
<file path=[Content_Types].xml><?xml version="1.0" encoding="utf-8"?>
<Types xmlns="http://schemas.openxmlformats.org/package/2006/content-types">
  <Default ContentType="application/vnd.openxmlformats-officedocument.oleObject" Extension="bin"/>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580"/>
        </w:tabs>
        <w:jc w:val="center"/>
        <w:rPr>
          <w:rFonts w:hint="eastAsia" w:ascii="宋体" w:hAnsi="宋体" w:cs="宋体"/>
          <w:sz w:val="56"/>
          <w:szCs w:val="28"/>
        </w:rPr>
      </w:pPr>
      <w:bookmarkStart w:id="382" w:name="_GoBack"/>
      <w:bookmarkEnd w:id="382"/>
      <w:r>
        <w:rPr>
          <w:rFonts w:hint="eastAsia" w:ascii="宋体" w:hAnsi="宋体" w:cs="宋体"/>
          <w:sz w:val="56"/>
          <w:szCs w:val="28"/>
          <w:lang w:val="en-US" w:eastAsia="zh-CN"/>
        </w:rPr>
        <w:t xml:space="preserve"> </w:t>
      </w:r>
      <w:r>
        <w:rPr>
          <w:rFonts w:hint="eastAsia" w:ascii="宋体" w:hAnsi="宋体" w:cs="宋体"/>
          <w:sz w:val="56"/>
          <w:szCs w:val="28"/>
        </w:rPr>
        <w:t>瑞安市公共资源交易中心</w:t>
      </w:r>
    </w:p>
    <w:p>
      <w:pPr>
        <w:pStyle w:val="2"/>
        <w:tabs>
          <w:tab w:val="left" w:pos="6208"/>
        </w:tabs>
        <w:ind w:left="0" w:leftChars="0"/>
        <w:rPr>
          <w:rFonts w:hint="eastAsia" w:ascii="宋体" w:hAnsi="宋体" w:cs="宋体"/>
          <w:color w:val="FF0000"/>
          <w:szCs w:val="21"/>
          <w:highlight w:val="cyan"/>
        </w:rPr>
      </w:pPr>
      <w:bookmarkStart w:id="0" w:name="_Hlt162751967"/>
      <w:bookmarkEnd w:id="0"/>
    </w:p>
    <w:p>
      <w:pPr>
        <w:pStyle w:val="2"/>
        <w:tabs>
          <w:tab w:val="left" w:pos="6208"/>
        </w:tabs>
        <w:ind w:left="0" w:leftChars="0"/>
        <w:rPr>
          <w:rFonts w:hint="eastAsia" w:ascii="宋体" w:hAnsi="宋体" w:cs="宋体"/>
          <w:color w:val="FF0000"/>
          <w:szCs w:val="21"/>
          <w:highlight w:val="cyan"/>
        </w:rPr>
      </w:pPr>
    </w:p>
    <w:p>
      <w:pPr>
        <w:pStyle w:val="2"/>
        <w:tabs>
          <w:tab w:val="left" w:pos="6208"/>
        </w:tabs>
        <w:ind w:left="0" w:leftChars="0"/>
        <w:rPr>
          <w:rFonts w:hint="eastAsia" w:ascii="宋体" w:hAnsi="宋体" w:cs="宋体"/>
        </w:rPr>
      </w:pPr>
      <w:r>
        <w:rPr>
          <w:rFonts w:hint="eastAsia" w:ascii="宋体" w:hAnsi="宋体" w:cs="宋体"/>
          <w:sz w:val="36"/>
          <w:szCs w:val="10"/>
        </w:rPr>
        <w:tab/>
      </w:r>
    </w:p>
    <w:p>
      <w:pPr>
        <w:jc w:val="center"/>
        <w:rPr>
          <w:rFonts w:hint="eastAsia" w:ascii="宋体" w:hAnsi="宋体" w:cs="宋体"/>
          <w:b/>
          <w:bCs/>
          <w:sz w:val="72"/>
        </w:rPr>
      </w:pPr>
      <w:r>
        <w:rPr>
          <w:rFonts w:hint="eastAsia" w:ascii="宋体" w:hAnsi="宋体" w:cs="宋体"/>
          <w:b/>
          <w:bCs/>
          <w:sz w:val="72"/>
        </w:rPr>
        <w:t>招 标 文 件</w:t>
      </w:r>
    </w:p>
    <w:p>
      <w:pPr>
        <w:widowControl w:val="0"/>
        <w:spacing w:line="700" w:lineRule="exact"/>
        <w:jc w:val="center"/>
        <w:rPr>
          <w:rFonts w:hint="eastAsia" w:ascii="宋体" w:hAnsi="宋体" w:cs="宋体"/>
          <w:sz w:val="30"/>
        </w:rPr>
      </w:pPr>
    </w:p>
    <w:p>
      <w:pPr>
        <w:widowControl w:val="0"/>
        <w:spacing w:line="800" w:lineRule="exact"/>
        <w:rPr>
          <w:rFonts w:hint="eastAsia" w:ascii="宋体" w:hAnsi="宋体" w:cs="宋体"/>
          <w:sz w:val="30"/>
        </w:rPr>
      </w:pPr>
    </w:p>
    <w:p>
      <w:pPr>
        <w:pStyle w:val="8"/>
        <w:ind w:firstLine="0"/>
        <w:rPr>
          <w:rFonts w:hint="eastAsia" w:ascii="宋体" w:hAnsi="宋体" w:cs="宋体"/>
        </w:rPr>
      </w:pPr>
    </w:p>
    <w:tbl>
      <w:tblPr>
        <w:tblStyle w:val="29"/>
        <w:tblpPr w:leftFromText="180" w:rightFromText="180" w:vertAnchor="text" w:horzAnchor="page" w:tblpX="1840" w:tblpY="6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5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1" w:type="dxa"/>
            <w:tcBorders>
              <w:top w:val="nil"/>
              <w:left w:val="nil"/>
              <w:bottom w:val="nil"/>
              <w:right w:val="nil"/>
            </w:tcBorders>
            <w:noWrap w:val="0"/>
            <w:vAlign w:val="center"/>
          </w:tcPr>
          <w:p>
            <w:pPr>
              <w:widowControl w:val="0"/>
              <w:spacing w:line="440" w:lineRule="exact"/>
              <w:ind w:left="-209" w:leftChars="-100" w:hanging="1"/>
              <w:jc w:val="right"/>
              <w:rPr>
                <w:rFonts w:hint="eastAsia" w:ascii="宋体" w:hAnsi="宋体" w:cs="宋体"/>
                <w:sz w:val="30"/>
                <w:szCs w:val="30"/>
              </w:rPr>
            </w:pPr>
            <w:r>
              <w:rPr>
                <w:rFonts w:hint="eastAsia" w:ascii="宋体" w:hAnsi="宋体" w:cs="宋体"/>
                <w:sz w:val="30"/>
                <w:szCs w:val="30"/>
              </w:rPr>
              <w:t>项 目 编 号：</w:t>
            </w:r>
          </w:p>
        </w:tc>
        <w:tc>
          <w:tcPr>
            <w:tcW w:w="5691" w:type="dxa"/>
            <w:tcBorders>
              <w:top w:val="nil"/>
              <w:left w:val="nil"/>
              <w:bottom w:val="nil"/>
              <w:right w:val="nil"/>
            </w:tcBorders>
            <w:noWrap w:val="0"/>
            <w:vAlign w:val="center"/>
          </w:tcPr>
          <w:p>
            <w:pPr>
              <w:widowControl w:val="0"/>
              <w:spacing w:line="440" w:lineRule="exact"/>
              <w:ind w:left="-73" w:leftChars="-35" w:firstLine="2"/>
              <w:jc w:val="both"/>
              <w:rPr>
                <w:rFonts w:hint="eastAsia" w:ascii="宋体" w:hAnsi="宋体" w:eastAsia="宋体" w:cs="宋体"/>
                <w:sz w:val="30"/>
                <w:szCs w:val="30"/>
                <w:lang w:eastAsia="zh-CN"/>
              </w:rPr>
            </w:pPr>
            <w:r>
              <w:rPr>
                <w:rFonts w:hint="eastAsia" w:ascii="宋体" w:hAnsi="宋体" w:cs="宋体"/>
                <w:sz w:val="30"/>
                <w:szCs w:val="30"/>
                <w:highlight w:val="none"/>
                <w:lang w:eastAsia="zh-CN"/>
              </w:rPr>
              <w:t>DLCG-RA202104005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271" w:type="dxa"/>
            <w:tcBorders>
              <w:top w:val="nil"/>
              <w:left w:val="nil"/>
              <w:bottom w:val="nil"/>
              <w:right w:val="nil"/>
            </w:tcBorders>
            <w:noWrap w:val="0"/>
            <w:vAlign w:val="center"/>
          </w:tcPr>
          <w:p>
            <w:pPr>
              <w:widowControl w:val="0"/>
              <w:spacing w:line="440" w:lineRule="exact"/>
              <w:ind w:left="-210" w:leftChars="-100" w:firstLine="1"/>
              <w:jc w:val="right"/>
              <w:rPr>
                <w:rFonts w:hint="eastAsia" w:ascii="宋体" w:hAnsi="宋体" w:cs="宋体"/>
                <w:sz w:val="30"/>
                <w:szCs w:val="30"/>
              </w:rPr>
            </w:pPr>
            <w:r>
              <w:rPr>
                <w:rFonts w:hint="eastAsia" w:ascii="宋体" w:hAnsi="宋体" w:cs="宋体"/>
                <w:sz w:val="30"/>
                <w:szCs w:val="30"/>
              </w:rPr>
              <w:t>项 目 名 称：</w:t>
            </w:r>
          </w:p>
        </w:tc>
        <w:tc>
          <w:tcPr>
            <w:tcW w:w="5691" w:type="dxa"/>
            <w:tcBorders>
              <w:top w:val="nil"/>
              <w:left w:val="nil"/>
              <w:bottom w:val="nil"/>
              <w:right w:val="nil"/>
            </w:tcBorders>
            <w:noWrap w:val="0"/>
            <w:vAlign w:val="center"/>
          </w:tcPr>
          <w:p>
            <w:pPr>
              <w:widowControl w:val="0"/>
              <w:spacing w:line="440" w:lineRule="exact"/>
              <w:ind w:left="-73" w:leftChars="-35"/>
              <w:jc w:val="both"/>
              <w:rPr>
                <w:rFonts w:hint="eastAsia" w:ascii="宋体" w:hAnsi="宋体" w:cs="宋体"/>
                <w:sz w:val="30"/>
                <w:szCs w:val="30"/>
              </w:rPr>
            </w:pPr>
            <w:r>
              <w:rPr>
                <w:rFonts w:hint="eastAsia" w:ascii="宋体" w:hAnsi="宋体" w:cs="宋体"/>
                <w:sz w:val="30"/>
                <w:szCs w:val="30"/>
              </w:rPr>
              <w:t>瑞安市“一把扫帚”环卫保洁一体化招标（玉海街道、锦湖街道、潘岱街道）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271" w:type="dxa"/>
            <w:tcBorders>
              <w:top w:val="nil"/>
              <w:left w:val="nil"/>
              <w:bottom w:val="nil"/>
              <w:right w:val="nil"/>
            </w:tcBorders>
            <w:noWrap w:val="0"/>
            <w:vAlign w:val="center"/>
          </w:tcPr>
          <w:p>
            <w:pPr>
              <w:widowControl w:val="0"/>
              <w:spacing w:line="440" w:lineRule="exact"/>
              <w:jc w:val="right"/>
              <w:rPr>
                <w:rFonts w:hint="eastAsia" w:ascii="宋体" w:hAnsi="宋体" w:cs="宋体"/>
                <w:sz w:val="30"/>
                <w:szCs w:val="30"/>
              </w:rPr>
            </w:pPr>
            <w:r>
              <w:rPr>
                <w:rFonts w:hint="eastAsia" w:ascii="宋体" w:hAnsi="宋体" w:cs="宋体"/>
                <w:sz w:val="30"/>
                <w:szCs w:val="30"/>
              </w:rPr>
              <w:t>采 购 方 式：</w:t>
            </w:r>
          </w:p>
        </w:tc>
        <w:tc>
          <w:tcPr>
            <w:tcW w:w="5691" w:type="dxa"/>
            <w:tcBorders>
              <w:top w:val="nil"/>
              <w:left w:val="nil"/>
              <w:bottom w:val="nil"/>
              <w:right w:val="nil"/>
            </w:tcBorders>
            <w:noWrap w:val="0"/>
            <w:vAlign w:val="center"/>
          </w:tcPr>
          <w:p>
            <w:pPr>
              <w:widowControl w:val="0"/>
              <w:spacing w:line="440" w:lineRule="exact"/>
              <w:ind w:left="-73" w:leftChars="-35" w:firstLine="2"/>
              <w:jc w:val="both"/>
              <w:rPr>
                <w:rFonts w:hint="eastAsia" w:ascii="宋体" w:hAnsi="宋体" w:cs="宋体"/>
                <w:sz w:val="30"/>
                <w:szCs w:val="30"/>
              </w:rPr>
            </w:pPr>
            <w:r>
              <w:rPr>
                <w:rFonts w:hint="eastAsia" w:ascii="宋体" w:hAnsi="宋体" w:cs="宋体"/>
                <w:sz w:val="30"/>
                <w:szCs w:val="30"/>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1" w:type="dxa"/>
            <w:tcBorders>
              <w:top w:val="nil"/>
              <w:left w:val="nil"/>
              <w:bottom w:val="nil"/>
              <w:right w:val="nil"/>
            </w:tcBorders>
            <w:noWrap w:val="0"/>
            <w:vAlign w:val="center"/>
          </w:tcPr>
          <w:p>
            <w:pPr>
              <w:spacing w:line="360" w:lineRule="auto"/>
              <w:jc w:val="right"/>
              <w:rPr>
                <w:rFonts w:hint="eastAsia" w:ascii="宋体" w:hAnsi="宋体" w:cs="宋体"/>
                <w:sz w:val="30"/>
                <w:szCs w:val="30"/>
              </w:rPr>
            </w:pPr>
          </w:p>
        </w:tc>
        <w:tc>
          <w:tcPr>
            <w:tcW w:w="5691" w:type="dxa"/>
            <w:tcBorders>
              <w:top w:val="nil"/>
              <w:left w:val="nil"/>
              <w:bottom w:val="nil"/>
              <w:right w:val="nil"/>
            </w:tcBorders>
            <w:noWrap w:val="0"/>
            <w:vAlign w:val="center"/>
          </w:tcPr>
          <w:p>
            <w:pPr>
              <w:spacing w:line="360" w:lineRule="auto"/>
              <w:jc w:val="both"/>
              <w:rPr>
                <w:rFonts w:hint="eastAsia" w:ascii="宋体" w:hAnsi="宋体" w:cs="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tcBorders>
              <w:top w:val="nil"/>
              <w:left w:val="nil"/>
              <w:bottom w:val="nil"/>
              <w:right w:val="nil"/>
            </w:tcBorders>
            <w:noWrap w:val="0"/>
            <w:vAlign w:val="top"/>
          </w:tcPr>
          <w:p>
            <w:pPr>
              <w:spacing w:line="360" w:lineRule="auto"/>
              <w:jc w:val="center"/>
              <w:rPr>
                <w:rFonts w:hint="eastAsia" w:ascii="宋体" w:hAnsi="宋体" w:cs="宋体"/>
                <w:sz w:val="30"/>
                <w:szCs w:val="30"/>
              </w:rPr>
            </w:pPr>
            <w:r>
              <w:rPr>
                <w:rFonts w:hint="eastAsia" w:ascii="宋体" w:hAnsi="宋体" w:cs="宋体"/>
                <w:sz w:val="30"/>
                <w:szCs w:val="30"/>
              </w:rPr>
              <w:t>采   购   人：</w:t>
            </w:r>
          </w:p>
        </w:tc>
        <w:tc>
          <w:tcPr>
            <w:tcW w:w="5691" w:type="dxa"/>
            <w:tcBorders>
              <w:top w:val="nil"/>
              <w:left w:val="nil"/>
              <w:bottom w:val="nil"/>
              <w:right w:val="nil"/>
            </w:tcBorders>
            <w:noWrap w:val="0"/>
            <w:vAlign w:val="center"/>
          </w:tcPr>
          <w:p>
            <w:pPr>
              <w:spacing w:line="360" w:lineRule="auto"/>
              <w:jc w:val="both"/>
              <w:rPr>
                <w:rFonts w:hint="eastAsia" w:ascii="宋体" w:hAnsi="宋体" w:cs="宋体"/>
                <w:sz w:val="30"/>
                <w:szCs w:val="30"/>
              </w:rPr>
            </w:pPr>
            <w:r>
              <w:rPr>
                <w:rFonts w:hint="eastAsia" w:ascii="宋体" w:hAnsi="宋体" w:cs="宋体"/>
                <w:sz w:val="30"/>
                <w:szCs w:val="30"/>
              </w:rPr>
              <w:t>瑞安市综合行政执法局</w:t>
            </w:r>
          </w:p>
          <w:p>
            <w:pPr>
              <w:spacing w:line="360" w:lineRule="auto"/>
              <w:jc w:val="both"/>
              <w:rPr>
                <w:rFonts w:hint="eastAsia" w:ascii="宋体" w:hAnsi="宋体" w:cs="宋体"/>
                <w:sz w:val="30"/>
                <w:szCs w:val="30"/>
              </w:rPr>
            </w:pPr>
            <w:r>
              <w:rPr>
                <w:rFonts w:hint="eastAsia" w:ascii="宋体" w:hAnsi="宋体" w:cs="宋体"/>
                <w:sz w:val="30"/>
                <w:szCs w:val="30"/>
              </w:rPr>
              <w:t>瑞安市玉海街道办事处</w:t>
            </w:r>
          </w:p>
          <w:p>
            <w:pPr>
              <w:spacing w:line="360" w:lineRule="auto"/>
              <w:jc w:val="both"/>
              <w:rPr>
                <w:rFonts w:hint="eastAsia" w:ascii="宋体" w:hAnsi="宋体" w:cs="宋体"/>
                <w:sz w:val="30"/>
                <w:szCs w:val="30"/>
              </w:rPr>
            </w:pPr>
            <w:r>
              <w:rPr>
                <w:rFonts w:hint="eastAsia" w:ascii="宋体" w:hAnsi="宋体" w:cs="宋体"/>
                <w:sz w:val="30"/>
                <w:szCs w:val="30"/>
              </w:rPr>
              <w:t>瑞安市锦湖街道办事处</w:t>
            </w:r>
          </w:p>
          <w:p>
            <w:pPr>
              <w:spacing w:line="360" w:lineRule="auto"/>
              <w:jc w:val="both"/>
              <w:rPr>
                <w:rFonts w:hint="eastAsia" w:ascii="宋体" w:hAnsi="宋体" w:cs="宋体"/>
              </w:rPr>
            </w:pPr>
            <w:r>
              <w:rPr>
                <w:rFonts w:hint="eastAsia" w:ascii="宋体" w:hAnsi="宋体" w:cs="宋体"/>
                <w:sz w:val="30"/>
                <w:szCs w:val="30"/>
              </w:rPr>
              <w:t>瑞安市潘岱街道办事处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271" w:type="dxa"/>
            <w:tcBorders>
              <w:top w:val="nil"/>
              <w:left w:val="nil"/>
              <w:bottom w:val="nil"/>
              <w:right w:val="nil"/>
            </w:tcBorders>
            <w:noWrap w:val="0"/>
            <w:vAlign w:val="center"/>
          </w:tcPr>
          <w:p>
            <w:pPr>
              <w:spacing w:line="360" w:lineRule="auto"/>
              <w:jc w:val="right"/>
              <w:rPr>
                <w:rFonts w:hint="eastAsia" w:ascii="宋体" w:hAnsi="宋体" w:cs="宋体"/>
                <w:sz w:val="30"/>
                <w:szCs w:val="30"/>
              </w:rPr>
            </w:pPr>
            <w:r>
              <w:rPr>
                <w:rFonts w:hint="eastAsia" w:ascii="宋体" w:hAnsi="宋体" w:cs="宋体"/>
                <w:sz w:val="30"/>
                <w:szCs w:val="30"/>
              </w:rPr>
              <w:t>采购代理机构：</w:t>
            </w:r>
          </w:p>
        </w:tc>
        <w:tc>
          <w:tcPr>
            <w:tcW w:w="5691" w:type="dxa"/>
            <w:tcBorders>
              <w:top w:val="nil"/>
              <w:left w:val="nil"/>
              <w:bottom w:val="nil"/>
              <w:right w:val="nil"/>
            </w:tcBorders>
            <w:noWrap w:val="0"/>
            <w:vAlign w:val="center"/>
          </w:tcPr>
          <w:p>
            <w:pPr>
              <w:spacing w:line="360" w:lineRule="auto"/>
              <w:jc w:val="both"/>
              <w:rPr>
                <w:rFonts w:hint="eastAsia" w:ascii="宋体" w:hAnsi="宋体" w:cs="宋体"/>
                <w:sz w:val="30"/>
                <w:szCs w:val="30"/>
              </w:rPr>
            </w:pPr>
            <w:r>
              <w:rPr>
                <w:rFonts w:hint="eastAsia" w:ascii="宋体" w:hAnsi="宋体" w:cs="宋体"/>
                <w:sz w:val="30"/>
                <w:szCs w:val="30"/>
              </w:rPr>
              <w:t>浙江鼎力工程项目管理有限公司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tcBorders>
              <w:top w:val="nil"/>
              <w:left w:val="nil"/>
              <w:bottom w:val="nil"/>
              <w:right w:val="nil"/>
            </w:tcBorders>
            <w:noWrap w:val="0"/>
            <w:vAlign w:val="center"/>
          </w:tcPr>
          <w:p>
            <w:pPr>
              <w:spacing w:line="360" w:lineRule="auto"/>
              <w:jc w:val="right"/>
              <w:rPr>
                <w:rFonts w:hint="eastAsia" w:ascii="宋体" w:hAnsi="宋体" w:cs="宋体"/>
                <w:sz w:val="30"/>
                <w:szCs w:val="30"/>
              </w:rPr>
            </w:pPr>
          </w:p>
        </w:tc>
        <w:tc>
          <w:tcPr>
            <w:tcW w:w="5691" w:type="dxa"/>
            <w:tcBorders>
              <w:top w:val="nil"/>
              <w:left w:val="nil"/>
              <w:bottom w:val="nil"/>
              <w:right w:val="nil"/>
            </w:tcBorders>
            <w:noWrap w:val="0"/>
            <w:vAlign w:val="center"/>
          </w:tcPr>
          <w:p>
            <w:pPr>
              <w:spacing w:line="360" w:lineRule="auto"/>
              <w:jc w:val="both"/>
              <w:rPr>
                <w:rFonts w:hint="eastAsia" w:ascii="宋体" w:hAnsi="宋体" w:cs="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2" w:type="dxa"/>
            <w:gridSpan w:val="2"/>
            <w:tcBorders>
              <w:top w:val="nil"/>
              <w:left w:val="nil"/>
              <w:bottom w:val="nil"/>
              <w:right w:val="nil"/>
            </w:tcBorders>
            <w:noWrap w:val="0"/>
            <w:vAlign w:val="center"/>
          </w:tcPr>
          <w:p>
            <w:pPr>
              <w:spacing w:line="360" w:lineRule="auto"/>
              <w:ind w:firstLine="2550" w:firstLineChars="850"/>
              <w:rPr>
                <w:rFonts w:hint="eastAsia" w:ascii="宋体" w:hAnsi="宋体" w:cs="宋体"/>
                <w:sz w:val="30"/>
                <w:szCs w:val="30"/>
              </w:rPr>
            </w:pPr>
            <w:r>
              <w:rPr>
                <w:rFonts w:hint="eastAsia" w:ascii="宋体" w:hAnsi="宋体" w:cs="宋体"/>
                <w:sz w:val="30"/>
                <w:szCs w:val="30"/>
              </w:rPr>
              <w:t>二○二一年</w:t>
            </w:r>
            <w:r>
              <w:rPr>
                <w:rFonts w:hint="eastAsia" w:ascii="宋体" w:hAnsi="宋体" w:cs="宋体"/>
                <w:sz w:val="30"/>
                <w:szCs w:val="30"/>
                <w:lang w:val="en-US" w:eastAsia="zh-CN"/>
              </w:rPr>
              <w:t>四</w:t>
            </w:r>
            <w:r>
              <w:rPr>
                <w:rFonts w:hint="eastAsia" w:ascii="宋体" w:hAnsi="宋体" w:cs="宋体"/>
                <w:sz w:val="30"/>
                <w:szCs w:val="30"/>
              </w:rPr>
              <w:t>月</w:t>
            </w:r>
          </w:p>
        </w:tc>
      </w:tr>
    </w:tbl>
    <w:p>
      <w:pPr>
        <w:pStyle w:val="8"/>
        <w:ind w:firstLine="0"/>
        <w:rPr>
          <w:rFonts w:hint="eastAsia" w:ascii="宋体" w:hAnsi="宋体" w:cs="宋体"/>
          <w:sz w:val="30"/>
          <w:szCs w:val="22"/>
        </w:rPr>
      </w:pPr>
    </w:p>
    <w:p>
      <w:pPr>
        <w:rPr>
          <w:rFonts w:hint="eastAsia" w:ascii="宋体" w:hAnsi="宋体" w:cs="宋体"/>
        </w:rPr>
      </w:pPr>
    </w:p>
    <w:p>
      <w:pPr>
        <w:spacing w:before="312" w:beforeLines="100" w:after="312" w:afterLines="100"/>
        <w:jc w:val="center"/>
        <w:rPr>
          <w:rFonts w:hint="eastAsia"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目    录</w:t>
      </w:r>
    </w:p>
    <w:p>
      <w:pPr>
        <w:pStyle w:val="22"/>
        <w:tabs>
          <w:tab w:val="right" w:leader="dot" w:pos="9070"/>
          <w:tab w:val="clear" w:pos="8948"/>
        </w:tabs>
        <w:ind w:firstLine="0" w:firstLineChars="0"/>
      </w:pPr>
      <w:r>
        <w:rPr>
          <w:rFonts w:hint="eastAsia" w:cs="宋体"/>
          <w:color w:val="auto"/>
          <w:kern w:val="2"/>
          <w:szCs w:val="21"/>
        </w:rPr>
        <w:fldChar w:fldCharType="begin"/>
      </w:r>
      <w:r>
        <w:rPr>
          <w:rFonts w:hint="eastAsia" w:cs="宋体"/>
          <w:color w:val="auto"/>
          <w:kern w:val="2"/>
          <w:szCs w:val="21"/>
        </w:rPr>
        <w:instrText xml:space="preserve"> TOC \o "1-3" \h \z \u </w:instrText>
      </w:r>
      <w:r>
        <w:rPr>
          <w:rFonts w:hint="eastAsia" w:cs="宋体"/>
          <w:color w:val="auto"/>
          <w:kern w:val="2"/>
          <w:szCs w:val="21"/>
        </w:rPr>
        <w:fldChar w:fldCharType="separate"/>
      </w:r>
      <w:r>
        <w:rPr>
          <w:rFonts w:hint="eastAsia" w:cs="宋体"/>
          <w:color w:val="auto"/>
          <w:kern w:val="2"/>
          <w:szCs w:val="21"/>
        </w:rPr>
        <w:fldChar w:fldCharType="begin"/>
      </w:r>
      <w:r>
        <w:rPr>
          <w:rFonts w:hint="eastAsia" w:cs="宋体"/>
          <w:kern w:val="2"/>
          <w:szCs w:val="21"/>
        </w:rPr>
        <w:instrText xml:space="preserve"> HYPERLINK \l _Toc23684 </w:instrText>
      </w:r>
      <w:r>
        <w:rPr>
          <w:rFonts w:hint="eastAsia" w:cs="宋体"/>
          <w:kern w:val="2"/>
          <w:szCs w:val="21"/>
        </w:rPr>
        <w:fldChar w:fldCharType="separate"/>
      </w:r>
      <w:r>
        <w:rPr>
          <w:rFonts w:hint="eastAsia" w:cs="宋体"/>
          <w:szCs w:val="36"/>
        </w:rPr>
        <w:t>第一部分  招标公告</w:t>
      </w:r>
      <w:r>
        <w:tab/>
      </w:r>
      <w:r>
        <w:fldChar w:fldCharType="begin"/>
      </w:r>
      <w:r>
        <w:instrText xml:space="preserve"> PAGEREF _Toc23684 \h </w:instrText>
      </w:r>
      <w:r>
        <w:fldChar w:fldCharType="separate"/>
      </w:r>
      <w:r>
        <w:t>1</w:t>
      </w:r>
      <w:r>
        <w:fldChar w:fldCharType="end"/>
      </w:r>
      <w:r>
        <w:rPr>
          <w:rFonts w:hint="eastAsia" w:cs="宋体"/>
          <w:color w:val="auto"/>
          <w:kern w:val="2"/>
          <w:szCs w:val="21"/>
        </w:rPr>
        <w:fldChar w:fldCharType="end"/>
      </w:r>
    </w:p>
    <w:p>
      <w:pPr>
        <w:pStyle w:val="22"/>
        <w:tabs>
          <w:tab w:val="right" w:leader="dot" w:pos="9070"/>
          <w:tab w:val="clear" w:pos="8948"/>
        </w:tabs>
        <w:ind w:firstLine="0" w:firstLineChars="0"/>
      </w:pPr>
      <w:r>
        <w:rPr>
          <w:rFonts w:hint="eastAsia" w:cs="宋体"/>
          <w:color w:val="auto"/>
          <w:szCs w:val="21"/>
        </w:rPr>
        <w:fldChar w:fldCharType="begin"/>
      </w:r>
      <w:r>
        <w:rPr>
          <w:rFonts w:hint="eastAsia" w:cs="宋体"/>
          <w:szCs w:val="21"/>
        </w:rPr>
        <w:instrText xml:space="preserve"> HYPERLINK \l _Toc26735 </w:instrText>
      </w:r>
      <w:r>
        <w:rPr>
          <w:rFonts w:hint="eastAsia" w:cs="宋体"/>
          <w:szCs w:val="21"/>
        </w:rPr>
        <w:fldChar w:fldCharType="separate"/>
      </w:r>
      <w:r>
        <w:rPr>
          <w:rFonts w:hint="eastAsia" w:cs="宋体"/>
          <w:szCs w:val="36"/>
        </w:rPr>
        <w:t>第二部分  投标供应商须知</w:t>
      </w:r>
      <w:r>
        <w:tab/>
      </w:r>
      <w:r>
        <w:fldChar w:fldCharType="begin"/>
      </w:r>
      <w:r>
        <w:instrText xml:space="preserve"> PAGEREF _Toc26735 \h </w:instrText>
      </w:r>
      <w:r>
        <w:fldChar w:fldCharType="separate"/>
      </w:r>
      <w:r>
        <w:t>4</w:t>
      </w:r>
      <w:r>
        <w:fldChar w:fldCharType="end"/>
      </w:r>
      <w:r>
        <w:rPr>
          <w:rFonts w:hint="eastAsia" w:cs="宋体"/>
          <w:color w:val="auto"/>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_Toc12707 </w:instrText>
      </w:r>
      <w:r>
        <w:rPr>
          <w:rFonts w:hint="eastAsia" w:ascii="宋体" w:hAnsi="宋体" w:cs="宋体"/>
          <w:szCs w:val="21"/>
        </w:rPr>
        <w:fldChar w:fldCharType="separate"/>
      </w:r>
      <w:r>
        <w:rPr>
          <w:rFonts w:hint="eastAsia" w:ascii="宋体" w:hAnsi="宋体" w:cs="宋体"/>
          <w:szCs w:val="24"/>
        </w:rPr>
        <w:t>（一）</w:t>
      </w:r>
      <w:r>
        <w:rPr>
          <w:rFonts w:hint="eastAsia" w:ascii="宋体" w:hAnsi="宋体" w:cs="宋体"/>
          <w:bCs/>
          <w:szCs w:val="24"/>
        </w:rPr>
        <w:t>投标须知前附表</w:t>
      </w:r>
      <w:r>
        <w:tab/>
      </w:r>
      <w:r>
        <w:fldChar w:fldCharType="begin"/>
      </w:r>
      <w:r>
        <w:instrText xml:space="preserve"> PAGEREF _Toc12707 \h </w:instrText>
      </w:r>
      <w:r>
        <w:fldChar w:fldCharType="separate"/>
      </w:r>
      <w:r>
        <w:t>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_Toc25049 </w:instrText>
      </w:r>
      <w:r>
        <w:rPr>
          <w:rFonts w:hint="eastAsia" w:ascii="宋体" w:hAnsi="宋体" w:cs="宋体"/>
          <w:szCs w:val="21"/>
        </w:rPr>
        <w:fldChar w:fldCharType="separate"/>
      </w:r>
      <w:r>
        <w:rPr>
          <w:rFonts w:hint="eastAsia" w:ascii="宋体" w:hAnsi="宋体" w:cs="宋体"/>
          <w:szCs w:val="24"/>
        </w:rPr>
        <w:t>（二）总   则</w:t>
      </w:r>
      <w:r>
        <w:tab/>
      </w:r>
      <w:r>
        <w:fldChar w:fldCharType="begin"/>
      </w:r>
      <w:r>
        <w:instrText xml:space="preserve"> PAGEREF _Toc25049 \h </w:instrText>
      </w:r>
      <w:r>
        <w:fldChar w:fldCharType="separate"/>
      </w:r>
      <w:r>
        <w:t>7</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_Toc30133 </w:instrText>
      </w:r>
      <w:r>
        <w:rPr>
          <w:rFonts w:hint="eastAsia" w:ascii="宋体" w:hAnsi="宋体" w:cs="宋体"/>
          <w:szCs w:val="21"/>
        </w:rPr>
        <w:fldChar w:fldCharType="separate"/>
      </w:r>
      <w:r>
        <w:rPr>
          <w:rFonts w:hint="eastAsia" w:ascii="宋体" w:hAnsi="宋体" w:cs="宋体"/>
          <w:szCs w:val="24"/>
        </w:rPr>
        <w:t>（三）招标文件说明</w:t>
      </w:r>
      <w:r>
        <w:tab/>
      </w:r>
      <w:r>
        <w:fldChar w:fldCharType="begin"/>
      </w:r>
      <w:r>
        <w:instrText xml:space="preserve"> PAGEREF _Toc30133 \h </w:instrText>
      </w:r>
      <w:r>
        <w:fldChar w:fldCharType="separate"/>
      </w:r>
      <w:r>
        <w:t>9</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_Toc13532 </w:instrText>
      </w:r>
      <w:r>
        <w:rPr>
          <w:rFonts w:hint="eastAsia" w:ascii="宋体" w:hAnsi="宋体" w:cs="宋体"/>
          <w:szCs w:val="21"/>
        </w:rPr>
        <w:fldChar w:fldCharType="separate"/>
      </w:r>
      <w:r>
        <w:rPr>
          <w:rFonts w:hint="eastAsia" w:ascii="宋体" w:hAnsi="宋体" w:cs="宋体"/>
          <w:szCs w:val="24"/>
        </w:rPr>
        <w:t>（四）投标文件的编制</w:t>
      </w:r>
      <w:r>
        <w:tab/>
      </w:r>
      <w:r>
        <w:fldChar w:fldCharType="begin"/>
      </w:r>
      <w:r>
        <w:instrText xml:space="preserve"> PAGEREF _Toc13532 \h </w:instrText>
      </w:r>
      <w:r>
        <w:fldChar w:fldCharType="separate"/>
      </w:r>
      <w:r>
        <w:t>10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_Toc3748 </w:instrText>
      </w:r>
      <w:r>
        <w:rPr>
          <w:rFonts w:hint="eastAsia" w:ascii="宋体" w:hAnsi="宋体" w:cs="宋体"/>
          <w:szCs w:val="21"/>
        </w:rPr>
        <w:fldChar w:fldCharType="separate"/>
      </w:r>
      <w:r>
        <w:rPr>
          <w:rFonts w:hint="eastAsia" w:ascii="宋体" w:hAnsi="宋体" w:cs="宋体"/>
          <w:szCs w:val="24"/>
        </w:rPr>
        <w:t>（五）投标文件的递交与撤回</w:t>
      </w:r>
      <w:r>
        <w:tab/>
      </w:r>
      <w:r>
        <w:fldChar w:fldCharType="begin"/>
      </w:r>
      <w:r>
        <w:instrText xml:space="preserve"> PAGEREF _Toc3748 \h </w:instrText>
      </w:r>
      <w:r>
        <w:fldChar w:fldCharType="separate"/>
      </w:r>
      <w:r>
        <w:t>13</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_Toc25920 </w:instrText>
      </w:r>
      <w:r>
        <w:rPr>
          <w:rFonts w:hint="eastAsia" w:ascii="宋体" w:hAnsi="宋体" w:cs="宋体"/>
          <w:szCs w:val="21"/>
        </w:rPr>
        <w:fldChar w:fldCharType="separate"/>
      </w:r>
      <w:r>
        <w:rPr>
          <w:rFonts w:hint="eastAsia" w:ascii="宋体" w:hAnsi="宋体" w:cs="宋体"/>
          <w:szCs w:val="24"/>
        </w:rPr>
        <w:t>（六）开标与评审</w:t>
      </w:r>
      <w:r>
        <w:tab/>
      </w:r>
      <w:r>
        <w:fldChar w:fldCharType="begin"/>
      </w:r>
      <w:r>
        <w:instrText xml:space="preserve"> PAGEREF _Toc25920 \h </w:instrText>
      </w:r>
      <w:r>
        <w:fldChar w:fldCharType="separate"/>
      </w:r>
      <w:r>
        <w:t>14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_Toc30849 </w:instrText>
      </w:r>
      <w:r>
        <w:rPr>
          <w:rFonts w:hint="eastAsia" w:ascii="宋体" w:hAnsi="宋体" w:cs="宋体"/>
          <w:szCs w:val="21"/>
        </w:rPr>
        <w:fldChar w:fldCharType="separate"/>
      </w:r>
      <w:r>
        <w:rPr>
          <w:rFonts w:hint="eastAsia" w:ascii="宋体" w:hAnsi="宋体" w:cs="宋体"/>
          <w:szCs w:val="24"/>
        </w:rPr>
        <w:t>（七）授予合同</w:t>
      </w:r>
      <w:r>
        <w:tab/>
      </w:r>
      <w:r>
        <w:fldChar w:fldCharType="begin"/>
      </w:r>
      <w:r>
        <w:instrText xml:space="preserve"> PAGEREF _Toc30849 \h </w:instrText>
      </w:r>
      <w:r>
        <w:fldChar w:fldCharType="separate"/>
      </w:r>
      <w:r>
        <w:t>18</w:t>
      </w:r>
      <w:r>
        <w:fldChar w:fldCharType="end"/>
      </w:r>
      <w:r>
        <w:rPr>
          <w:rFonts w:hint="eastAsia" w:ascii="宋体" w:hAnsi="宋体" w:cs="宋体"/>
          <w:szCs w:val="21"/>
        </w:rPr>
        <w:fldChar w:fldCharType="end"/>
      </w:r>
    </w:p>
    <w:p>
      <w:pPr>
        <w:pStyle w:val="22"/>
        <w:tabs>
          <w:tab w:val="right" w:leader="dot" w:pos="9070"/>
          <w:tab w:val="clear" w:pos="8948"/>
        </w:tabs>
        <w:ind w:firstLine="0" w:firstLineChars="0"/>
      </w:pPr>
      <w:r>
        <w:rPr>
          <w:rFonts w:hint="eastAsia" w:cs="宋体"/>
          <w:color w:val="auto"/>
          <w:szCs w:val="21"/>
        </w:rPr>
        <w:fldChar w:fldCharType="begin"/>
      </w:r>
      <w:r>
        <w:rPr>
          <w:rFonts w:hint="eastAsia" w:cs="宋体"/>
          <w:szCs w:val="21"/>
        </w:rPr>
        <w:instrText xml:space="preserve"> HYPERLINK \l _Toc28850 </w:instrText>
      </w:r>
      <w:r>
        <w:rPr>
          <w:rFonts w:hint="eastAsia" w:cs="宋体"/>
          <w:szCs w:val="21"/>
        </w:rPr>
        <w:fldChar w:fldCharType="separate"/>
      </w:r>
      <w:r>
        <w:rPr>
          <w:rFonts w:hint="eastAsia" w:cs="宋体"/>
          <w:szCs w:val="36"/>
        </w:rPr>
        <w:t>第三部分  招标内容及要求</w:t>
      </w:r>
      <w:r>
        <w:tab/>
      </w:r>
      <w:r>
        <w:fldChar w:fldCharType="begin"/>
      </w:r>
      <w:r>
        <w:instrText xml:space="preserve"> PAGEREF _Toc28850 \h </w:instrText>
      </w:r>
      <w:r>
        <w:fldChar w:fldCharType="separate"/>
      </w:r>
      <w:r>
        <w:t>19</w:t>
      </w:r>
      <w:r>
        <w:fldChar w:fldCharType="end"/>
      </w:r>
      <w:r>
        <w:rPr>
          <w:rFonts w:hint="eastAsia" w:cs="宋体"/>
          <w:color w:val="auto"/>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_Toc19634 </w:instrText>
      </w:r>
      <w:r>
        <w:rPr>
          <w:rFonts w:hint="eastAsia" w:ascii="宋体" w:hAnsi="宋体" w:cs="宋体"/>
          <w:szCs w:val="21"/>
        </w:rPr>
        <w:fldChar w:fldCharType="separate"/>
      </w:r>
      <w:r>
        <w:rPr>
          <w:rFonts w:hint="eastAsia" w:ascii="宋体" w:hAnsi="宋体" w:cs="宋体"/>
          <w:szCs w:val="22"/>
        </w:rPr>
        <w:t>一、概述</w:t>
      </w:r>
      <w:r>
        <w:tab/>
      </w:r>
      <w:r>
        <w:fldChar w:fldCharType="begin"/>
      </w:r>
      <w:r>
        <w:instrText xml:space="preserve"> PAGEREF _Toc19634 \h </w:instrText>
      </w:r>
      <w:r>
        <w:fldChar w:fldCharType="separate"/>
      </w:r>
      <w:r>
        <w:t>19</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_Toc7076 </w:instrText>
      </w:r>
      <w:r>
        <w:rPr>
          <w:rFonts w:hint="eastAsia" w:ascii="宋体" w:hAnsi="宋体" w:cs="宋体"/>
          <w:szCs w:val="21"/>
        </w:rPr>
        <w:fldChar w:fldCharType="separate"/>
      </w:r>
      <w:r>
        <w:rPr>
          <w:rFonts w:hint="eastAsia" w:ascii="宋体" w:hAnsi="宋体" w:cs="宋体"/>
          <w:szCs w:val="22"/>
        </w:rPr>
        <w:t>二、招标范围</w:t>
      </w:r>
      <w:r>
        <w:tab/>
      </w:r>
      <w:r>
        <w:fldChar w:fldCharType="begin"/>
      </w:r>
      <w:r>
        <w:instrText xml:space="preserve"> PAGEREF _Toc7076 \h </w:instrText>
      </w:r>
      <w:r>
        <w:fldChar w:fldCharType="separate"/>
      </w:r>
      <w:r>
        <w:t>19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_Toc13286 </w:instrText>
      </w:r>
      <w:r>
        <w:rPr>
          <w:rFonts w:hint="eastAsia" w:ascii="宋体" w:hAnsi="宋体" w:cs="宋体"/>
          <w:szCs w:val="21"/>
        </w:rPr>
        <w:fldChar w:fldCharType="separate"/>
      </w:r>
      <w:r>
        <w:rPr>
          <w:rFonts w:hint="eastAsia" w:ascii="宋体" w:hAnsi="宋体" w:cs="宋体"/>
          <w:szCs w:val="21"/>
        </w:rPr>
        <w:t>（一）项目概况</w:t>
      </w:r>
      <w:r>
        <w:tab/>
      </w:r>
      <w:r>
        <w:fldChar w:fldCharType="begin"/>
      </w:r>
      <w:r>
        <w:instrText xml:space="preserve"> PAGEREF _Toc13286 \h </w:instrText>
      </w:r>
      <w:r>
        <w:fldChar w:fldCharType="separate"/>
      </w:r>
      <w:r>
        <w:t>19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_Toc4617 </w:instrText>
      </w:r>
      <w:r>
        <w:rPr>
          <w:rFonts w:hint="eastAsia" w:ascii="宋体" w:hAnsi="宋体" w:cs="宋体"/>
          <w:szCs w:val="21"/>
        </w:rPr>
        <w:fldChar w:fldCharType="separate"/>
      </w:r>
      <w:r>
        <w:rPr>
          <w:rFonts w:hint="eastAsia" w:ascii="宋体" w:hAnsi="宋体" w:cs="宋体"/>
          <w:szCs w:val="21"/>
        </w:rPr>
        <w:t>（二）具体保洁范围清单</w:t>
      </w:r>
      <w:r>
        <w:tab/>
      </w:r>
      <w:r>
        <w:fldChar w:fldCharType="begin"/>
      </w:r>
      <w:r>
        <w:instrText xml:space="preserve"> PAGEREF _Toc4617 \h </w:instrText>
      </w:r>
      <w:r>
        <w:fldChar w:fldCharType="separate"/>
      </w:r>
      <w:r>
        <w:t>19</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_Toc8280 </w:instrText>
      </w:r>
      <w:r>
        <w:rPr>
          <w:rFonts w:hint="eastAsia" w:ascii="宋体" w:hAnsi="宋体" w:cs="宋体"/>
          <w:szCs w:val="21"/>
        </w:rPr>
        <w:fldChar w:fldCharType="separate"/>
      </w:r>
      <w:r>
        <w:rPr>
          <w:rFonts w:hint="eastAsia" w:ascii="宋体" w:hAnsi="宋体" w:cs="宋体"/>
          <w:szCs w:val="21"/>
        </w:rPr>
        <w:t>三、环境卫生保洁服务内容及要求</w:t>
      </w:r>
      <w:r>
        <w:tab/>
      </w:r>
      <w:r>
        <w:fldChar w:fldCharType="begin"/>
      </w:r>
      <w:r>
        <w:instrText xml:space="preserve"> PAGEREF _Toc8280 \h </w:instrText>
      </w:r>
      <w:r>
        <w:fldChar w:fldCharType="separate"/>
      </w:r>
      <w:r>
        <w:t>20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_Toc25337 </w:instrText>
      </w:r>
      <w:r>
        <w:rPr>
          <w:rFonts w:hint="eastAsia" w:ascii="宋体" w:hAnsi="宋体" w:cs="宋体"/>
          <w:szCs w:val="21"/>
        </w:rPr>
        <w:fldChar w:fldCharType="separate"/>
      </w:r>
      <w:r>
        <w:rPr>
          <w:rFonts w:hint="eastAsia" w:ascii="宋体" w:hAnsi="宋体" w:cs="宋体"/>
          <w:szCs w:val="21"/>
        </w:rPr>
        <w:t>（一）道路（含公路）保洁要求</w:t>
      </w:r>
      <w:r>
        <w:tab/>
      </w:r>
      <w:r>
        <w:fldChar w:fldCharType="begin"/>
      </w:r>
      <w:r>
        <w:instrText xml:space="preserve"> PAGEREF _Toc25337 \h </w:instrText>
      </w:r>
      <w:r>
        <w:fldChar w:fldCharType="separate"/>
      </w:r>
      <w:r>
        <w:t>20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_Toc23388 </w:instrText>
      </w:r>
      <w:r>
        <w:rPr>
          <w:rFonts w:hint="eastAsia" w:ascii="宋体" w:hAnsi="宋体" w:cs="宋体"/>
          <w:szCs w:val="21"/>
        </w:rPr>
        <w:fldChar w:fldCharType="separate"/>
      </w:r>
      <w:r>
        <w:rPr>
          <w:rFonts w:hint="eastAsia" w:ascii="宋体" w:hAnsi="宋体" w:cs="宋体"/>
          <w:szCs w:val="21"/>
        </w:rPr>
        <w:t>（二）公园、广场及公共绿地保洁要求</w:t>
      </w:r>
      <w:r>
        <w:tab/>
      </w:r>
      <w:r>
        <w:fldChar w:fldCharType="begin"/>
      </w:r>
      <w:r>
        <w:instrText xml:space="preserve"> PAGEREF _Toc23388 \h </w:instrText>
      </w:r>
      <w:r>
        <w:fldChar w:fldCharType="separate"/>
      </w:r>
      <w:r>
        <w:t>24</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_Toc22156 </w:instrText>
      </w:r>
      <w:r>
        <w:rPr>
          <w:rFonts w:hint="eastAsia" w:ascii="宋体" w:hAnsi="宋体" w:cs="宋体"/>
          <w:szCs w:val="21"/>
        </w:rPr>
        <w:fldChar w:fldCharType="separate"/>
      </w:r>
      <w:r>
        <w:rPr>
          <w:rFonts w:hint="eastAsia" w:ascii="宋体" w:hAnsi="宋体" w:cs="宋体"/>
          <w:szCs w:val="21"/>
        </w:rPr>
        <w:t>（三）市政设施保洁要求</w:t>
      </w:r>
      <w:r>
        <w:tab/>
      </w:r>
      <w:r>
        <w:fldChar w:fldCharType="begin"/>
      </w:r>
      <w:r>
        <w:instrText xml:space="preserve"> PAGEREF _Toc22156 \h </w:instrText>
      </w:r>
      <w:r>
        <w:fldChar w:fldCharType="separate"/>
      </w:r>
      <w:r>
        <w:t>26</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_Toc2145 </w:instrText>
      </w:r>
      <w:r>
        <w:rPr>
          <w:rFonts w:hint="eastAsia" w:ascii="宋体" w:hAnsi="宋体" w:cs="宋体"/>
          <w:szCs w:val="21"/>
        </w:rPr>
        <w:fldChar w:fldCharType="separate"/>
      </w:r>
      <w:r>
        <w:rPr>
          <w:rFonts w:hint="eastAsia" w:ascii="宋体" w:hAnsi="宋体" w:cs="宋体"/>
          <w:szCs w:val="21"/>
        </w:rPr>
        <w:t>（四）城市家具保洁要求</w:t>
      </w:r>
      <w:r>
        <w:tab/>
      </w:r>
      <w:r>
        <w:fldChar w:fldCharType="begin"/>
      </w:r>
      <w:r>
        <w:instrText xml:space="preserve"> PAGEREF _Toc2145 \h </w:instrText>
      </w:r>
      <w:r>
        <w:fldChar w:fldCharType="separate"/>
      </w:r>
      <w:r>
        <w:t>26</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_Toc22375 </w:instrText>
      </w:r>
      <w:r>
        <w:rPr>
          <w:rFonts w:hint="eastAsia" w:ascii="宋体" w:hAnsi="宋体" w:cs="宋体"/>
          <w:szCs w:val="21"/>
        </w:rPr>
        <w:fldChar w:fldCharType="separate"/>
      </w:r>
      <w:r>
        <w:rPr>
          <w:rFonts w:hint="eastAsia" w:ascii="宋体" w:hAnsi="宋体" w:cs="宋体"/>
          <w:szCs w:val="21"/>
        </w:rPr>
        <w:t>（五）飞云江堤坝保洁</w:t>
      </w:r>
      <w:r>
        <w:tab/>
      </w:r>
      <w:r>
        <w:fldChar w:fldCharType="begin"/>
      </w:r>
      <w:r>
        <w:instrText xml:space="preserve"> PAGEREF _Toc22375 \h </w:instrText>
      </w:r>
      <w:r>
        <w:fldChar w:fldCharType="separate"/>
      </w:r>
      <w:r>
        <w:t>28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_Toc4278 </w:instrText>
      </w:r>
      <w:r>
        <w:rPr>
          <w:rFonts w:hint="eastAsia" w:ascii="宋体" w:hAnsi="宋体" w:cs="宋体"/>
          <w:szCs w:val="21"/>
        </w:rPr>
        <w:fldChar w:fldCharType="separate"/>
      </w:r>
      <w:r>
        <w:rPr>
          <w:rFonts w:hint="eastAsia" w:ascii="宋体" w:hAnsi="宋体" w:cs="宋体"/>
          <w:szCs w:val="21"/>
        </w:rPr>
        <w:t>（六）河道保洁要求</w:t>
      </w:r>
      <w:r>
        <w:tab/>
      </w:r>
      <w:r>
        <w:fldChar w:fldCharType="begin"/>
      </w:r>
      <w:r>
        <w:instrText xml:space="preserve"> PAGEREF _Toc4278 \h </w:instrText>
      </w:r>
      <w:r>
        <w:fldChar w:fldCharType="separate"/>
      </w:r>
      <w:r>
        <w:t>29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_Toc13776 </w:instrText>
      </w:r>
      <w:r>
        <w:rPr>
          <w:rFonts w:hint="eastAsia" w:ascii="宋体" w:hAnsi="宋体" w:cs="宋体"/>
          <w:szCs w:val="21"/>
        </w:rPr>
        <w:fldChar w:fldCharType="separate"/>
      </w:r>
      <w:r>
        <w:rPr>
          <w:rFonts w:hint="eastAsia" w:ascii="宋体" w:hAnsi="宋体" w:cs="宋体"/>
          <w:szCs w:val="21"/>
        </w:rPr>
        <w:t>（七）公厕保洁要求</w:t>
      </w:r>
      <w:r>
        <w:tab/>
      </w:r>
      <w:r>
        <w:fldChar w:fldCharType="begin"/>
      </w:r>
      <w:r>
        <w:instrText xml:space="preserve"> PAGEREF _Toc13776 \h </w:instrText>
      </w:r>
      <w:r>
        <w:fldChar w:fldCharType="separate"/>
      </w:r>
      <w:r>
        <w:t>31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_Toc18145 </w:instrText>
      </w:r>
      <w:r>
        <w:rPr>
          <w:rFonts w:hint="eastAsia" w:ascii="宋体" w:hAnsi="宋体" w:cs="宋体"/>
          <w:szCs w:val="21"/>
        </w:rPr>
        <w:fldChar w:fldCharType="separate"/>
      </w:r>
      <w:r>
        <w:rPr>
          <w:rFonts w:hint="eastAsia" w:ascii="宋体" w:hAnsi="宋体" w:cs="宋体"/>
          <w:szCs w:val="21"/>
        </w:rPr>
        <w:t>（八）垃圾收集与清运要求</w:t>
      </w:r>
      <w:r>
        <w:tab/>
      </w:r>
      <w:r>
        <w:fldChar w:fldCharType="begin"/>
      </w:r>
      <w:r>
        <w:instrText xml:space="preserve"> PAGEREF _Toc18145 \h </w:instrText>
      </w:r>
      <w:r>
        <w:fldChar w:fldCharType="separate"/>
      </w:r>
      <w:r>
        <w:t>34</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_Toc30787 </w:instrText>
      </w:r>
      <w:r>
        <w:rPr>
          <w:rFonts w:hint="eastAsia" w:ascii="宋体" w:hAnsi="宋体" w:cs="宋体"/>
          <w:szCs w:val="21"/>
        </w:rPr>
        <w:fldChar w:fldCharType="separate"/>
      </w:r>
      <w:r>
        <w:rPr>
          <w:rFonts w:hint="eastAsia" w:ascii="宋体" w:hAnsi="宋体" w:cs="宋体"/>
          <w:szCs w:val="21"/>
        </w:rPr>
        <w:t>（九）小广告治理要求</w:t>
      </w:r>
      <w:r>
        <w:tab/>
      </w:r>
      <w:r>
        <w:fldChar w:fldCharType="begin"/>
      </w:r>
      <w:r>
        <w:instrText xml:space="preserve"> PAGEREF _Toc30787 \h </w:instrText>
      </w:r>
      <w:r>
        <w:fldChar w:fldCharType="separate"/>
      </w:r>
      <w:r>
        <w:t>37</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_Toc17738 </w:instrText>
      </w:r>
      <w:r>
        <w:rPr>
          <w:rFonts w:hint="eastAsia" w:ascii="宋体" w:hAnsi="宋体" w:cs="宋体"/>
          <w:szCs w:val="21"/>
        </w:rPr>
        <w:fldChar w:fldCharType="separate"/>
      </w:r>
      <w:r>
        <w:rPr>
          <w:rFonts w:hint="eastAsia" w:ascii="宋体" w:hAnsi="宋体" w:cs="宋体"/>
          <w:szCs w:val="21"/>
        </w:rPr>
        <w:t>（十）无主的建筑垃圾（含装修垃圾，废弃家具，下同）及其他零星垃圾清理要求</w:t>
      </w:r>
      <w:r>
        <w:tab/>
      </w:r>
      <w:r>
        <w:fldChar w:fldCharType="begin"/>
      </w:r>
      <w:r>
        <w:instrText xml:space="preserve"> PAGEREF _Toc17738 \h </w:instrText>
      </w:r>
      <w:r>
        <w:fldChar w:fldCharType="separate"/>
      </w:r>
      <w:r>
        <w:t>37</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_Toc19940 </w:instrText>
      </w:r>
      <w:r>
        <w:rPr>
          <w:rFonts w:hint="eastAsia" w:ascii="宋体" w:hAnsi="宋体" w:cs="宋体"/>
          <w:szCs w:val="21"/>
        </w:rPr>
        <w:fldChar w:fldCharType="separate"/>
      </w:r>
      <w:r>
        <w:rPr>
          <w:rFonts w:hint="eastAsia" w:ascii="宋体" w:hAnsi="宋体" w:cs="宋体"/>
          <w:szCs w:val="21"/>
        </w:rPr>
        <w:t>（十一）垃圾分类要求</w:t>
      </w:r>
      <w:r>
        <w:tab/>
      </w:r>
      <w:r>
        <w:fldChar w:fldCharType="begin"/>
      </w:r>
      <w:r>
        <w:instrText xml:space="preserve"> PAGEREF _Toc19940 \h </w:instrText>
      </w:r>
      <w:r>
        <w:fldChar w:fldCharType="separate"/>
      </w:r>
      <w:r>
        <w:t>38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_Toc27514 </w:instrText>
      </w:r>
      <w:r>
        <w:rPr>
          <w:rFonts w:hint="eastAsia" w:ascii="宋体" w:hAnsi="宋体" w:cs="宋体"/>
          <w:szCs w:val="21"/>
        </w:rPr>
        <w:fldChar w:fldCharType="separate"/>
      </w:r>
      <w:r>
        <w:rPr>
          <w:rFonts w:hint="eastAsia" w:ascii="宋体" w:hAnsi="宋体" w:cs="宋体"/>
          <w:szCs w:val="21"/>
        </w:rPr>
        <w:t>（十二）首次进场“大扫除”要求</w:t>
      </w:r>
      <w:r>
        <w:tab/>
      </w:r>
      <w:r>
        <w:fldChar w:fldCharType="begin"/>
      </w:r>
      <w:r>
        <w:instrText xml:space="preserve"> PAGEREF _Toc27514 \h </w:instrText>
      </w:r>
      <w:r>
        <w:fldChar w:fldCharType="separate"/>
      </w:r>
      <w:r>
        <w:t>39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_Toc6461 </w:instrText>
      </w:r>
      <w:r>
        <w:rPr>
          <w:rFonts w:hint="eastAsia" w:ascii="宋体" w:hAnsi="宋体" w:cs="宋体"/>
          <w:szCs w:val="21"/>
        </w:rPr>
        <w:fldChar w:fldCharType="separate"/>
      </w:r>
      <w:r>
        <w:rPr>
          <w:rFonts w:hint="eastAsia" w:ascii="宋体" w:hAnsi="宋体" w:cs="宋体"/>
          <w:szCs w:val="21"/>
        </w:rPr>
        <w:t>（十三）本项目保洁区域内未列明的其他保洁要求内容，均参照招标文件中上述要求标准及相关标准规定执行。</w:t>
      </w:r>
      <w:r>
        <w:tab/>
      </w:r>
      <w:r>
        <w:fldChar w:fldCharType="begin"/>
      </w:r>
      <w:r>
        <w:instrText xml:space="preserve"> PAGEREF _Toc6461 \h </w:instrText>
      </w:r>
      <w:r>
        <w:fldChar w:fldCharType="separate"/>
      </w:r>
      <w:r>
        <w:t>39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_Toc13905 </w:instrText>
      </w:r>
      <w:r>
        <w:rPr>
          <w:rFonts w:hint="eastAsia" w:ascii="宋体" w:hAnsi="宋体" w:cs="宋体"/>
          <w:szCs w:val="21"/>
        </w:rPr>
        <w:fldChar w:fldCharType="separate"/>
      </w:r>
      <w:r>
        <w:rPr>
          <w:rFonts w:hint="eastAsia" w:ascii="宋体" w:hAnsi="宋体" w:cs="宋体"/>
          <w:szCs w:val="21"/>
        </w:rPr>
        <w:t>（十四）报告制度</w:t>
      </w:r>
      <w:r>
        <w:tab/>
      </w:r>
      <w:r>
        <w:fldChar w:fldCharType="begin"/>
      </w:r>
      <w:r>
        <w:instrText xml:space="preserve"> PAGEREF _Toc13905 \h </w:instrText>
      </w:r>
      <w:r>
        <w:fldChar w:fldCharType="separate"/>
      </w:r>
      <w:r>
        <w:t>39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_Toc32297 </w:instrText>
      </w:r>
      <w:r>
        <w:rPr>
          <w:rFonts w:hint="eastAsia" w:ascii="宋体" w:hAnsi="宋体" w:cs="宋体"/>
          <w:szCs w:val="21"/>
        </w:rPr>
        <w:fldChar w:fldCharType="separate"/>
      </w:r>
      <w:r>
        <w:rPr>
          <w:rFonts w:hint="eastAsia" w:ascii="宋体" w:hAnsi="宋体" w:cs="宋体"/>
          <w:szCs w:val="21"/>
        </w:rPr>
        <w:t>（十五）其他特殊情况的处理</w:t>
      </w:r>
      <w:r>
        <w:tab/>
      </w:r>
      <w:r>
        <w:fldChar w:fldCharType="begin"/>
      </w:r>
      <w:r>
        <w:instrText xml:space="preserve"> PAGEREF _Toc32297 \h </w:instrText>
      </w:r>
      <w:r>
        <w:fldChar w:fldCharType="separate"/>
      </w:r>
      <w:r>
        <w:t>40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_Toc21208 </w:instrText>
      </w:r>
      <w:r>
        <w:rPr>
          <w:rFonts w:hint="eastAsia" w:ascii="宋体" w:hAnsi="宋体" w:cs="宋体"/>
          <w:szCs w:val="21"/>
        </w:rPr>
        <w:fldChar w:fldCharType="separate"/>
      </w:r>
      <w:r>
        <w:rPr>
          <w:rFonts w:hint="eastAsia" w:ascii="宋体" w:hAnsi="宋体" w:cs="宋体"/>
          <w:szCs w:val="21"/>
        </w:rPr>
        <w:t>四、玉海街道、锦湖街道、潘岱街道人员投入配置参考及相关要求</w:t>
      </w:r>
      <w:r>
        <w:tab/>
      </w:r>
      <w:r>
        <w:fldChar w:fldCharType="begin"/>
      </w:r>
      <w:r>
        <w:instrText xml:space="preserve"> PAGEREF _Toc21208 \h </w:instrText>
      </w:r>
      <w:r>
        <w:fldChar w:fldCharType="separate"/>
      </w:r>
      <w:r>
        <w:t>40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_Toc29659 </w:instrText>
      </w:r>
      <w:r>
        <w:rPr>
          <w:rFonts w:hint="eastAsia" w:ascii="宋体" w:hAnsi="宋体" w:cs="宋体"/>
          <w:szCs w:val="21"/>
        </w:rPr>
        <w:fldChar w:fldCharType="separate"/>
      </w:r>
      <w:r>
        <w:rPr>
          <w:rFonts w:hint="eastAsia" w:ascii="宋体" w:hAnsi="宋体" w:cs="宋体"/>
          <w:szCs w:val="21"/>
        </w:rPr>
        <w:t>五、玉海街道、锦湖街道、潘岱街道机械车辆、船只要求</w:t>
      </w:r>
      <w:r>
        <w:tab/>
      </w:r>
      <w:r>
        <w:fldChar w:fldCharType="begin"/>
      </w:r>
      <w:r>
        <w:instrText xml:space="preserve"> PAGEREF _Toc29659 \h </w:instrText>
      </w:r>
      <w:r>
        <w:fldChar w:fldCharType="separate"/>
      </w:r>
      <w:r>
        <w:t>42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_Toc2193 </w:instrText>
      </w:r>
      <w:r>
        <w:rPr>
          <w:rFonts w:hint="eastAsia" w:ascii="宋体" w:hAnsi="宋体" w:cs="宋体"/>
          <w:szCs w:val="21"/>
        </w:rPr>
        <w:fldChar w:fldCharType="separate"/>
      </w:r>
      <w:r>
        <w:rPr>
          <w:rFonts w:hint="eastAsia" w:ascii="宋体" w:hAnsi="宋体" w:cs="宋体"/>
          <w:szCs w:val="21"/>
        </w:rPr>
        <w:t>（九）▲本项目投入车辆参数基本要求</w:t>
      </w:r>
      <w:r>
        <w:tab/>
      </w:r>
      <w:r>
        <w:fldChar w:fldCharType="begin"/>
      </w:r>
      <w:r>
        <w:instrText xml:space="preserve"> PAGEREF _Toc2193 \h </w:instrText>
      </w:r>
      <w:r>
        <w:fldChar w:fldCharType="separate"/>
      </w:r>
      <w:r>
        <w:t>44</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_Toc9315 </w:instrText>
      </w:r>
      <w:r>
        <w:rPr>
          <w:rFonts w:hint="eastAsia" w:ascii="宋体" w:hAnsi="宋体" w:cs="宋体"/>
          <w:szCs w:val="21"/>
        </w:rPr>
        <w:fldChar w:fldCharType="separate"/>
      </w:r>
      <w:r>
        <w:rPr>
          <w:rFonts w:hint="eastAsia" w:ascii="宋体" w:hAnsi="宋体" w:cs="宋体"/>
          <w:szCs w:val="21"/>
        </w:rPr>
        <w:t>（十）机械作业规范要求</w:t>
      </w:r>
      <w:r>
        <w:tab/>
      </w:r>
      <w:r>
        <w:fldChar w:fldCharType="begin"/>
      </w:r>
      <w:r>
        <w:instrText xml:space="preserve"> PAGEREF _Toc9315 \h </w:instrText>
      </w:r>
      <w:r>
        <w:fldChar w:fldCharType="separate"/>
      </w:r>
      <w:r>
        <w:t>47</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_Toc16254 </w:instrText>
      </w:r>
      <w:r>
        <w:rPr>
          <w:rFonts w:hint="eastAsia" w:ascii="宋体" w:hAnsi="宋体" w:cs="宋体"/>
          <w:szCs w:val="21"/>
        </w:rPr>
        <w:fldChar w:fldCharType="separate"/>
      </w:r>
      <w:r>
        <w:rPr>
          <w:rFonts w:hint="eastAsia" w:ascii="宋体" w:hAnsi="宋体" w:cs="宋体"/>
          <w:szCs w:val="21"/>
        </w:rPr>
        <w:t>（十一）《瑞安市智慧环卫监管平台》系统接入配置基本要求</w:t>
      </w:r>
      <w:r>
        <w:tab/>
      </w:r>
      <w:r>
        <w:fldChar w:fldCharType="begin"/>
      </w:r>
      <w:r>
        <w:instrText xml:space="preserve"> PAGEREF _Toc16254 \h </w:instrText>
      </w:r>
      <w:r>
        <w:fldChar w:fldCharType="separate"/>
      </w:r>
      <w:r>
        <w:t>47</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_Toc27942 </w:instrText>
      </w:r>
      <w:r>
        <w:rPr>
          <w:rFonts w:hint="eastAsia" w:ascii="宋体" w:hAnsi="宋体" w:cs="宋体"/>
          <w:szCs w:val="21"/>
        </w:rPr>
        <w:fldChar w:fldCharType="separate"/>
      </w:r>
      <w:r>
        <w:rPr>
          <w:rFonts w:hint="eastAsia" w:ascii="宋体" w:hAnsi="宋体" w:cs="宋体"/>
          <w:szCs w:val="21"/>
        </w:rPr>
        <w:t>六、项目管理要求</w:t>
      </w:r>
      <w:r>
        <w:tab/>
      </w:r>
      <w:r>
        <w:fldChar w:fldCharType="begin"/>
      </w:r>
      <w:r>
        <w:instrText xml:space="preserve"> PAGEREF _Toc27942 \h </w:instrText>
      </w:r>
      <w:r>
        <w:fldChar w:fldCharType="separate"/>
      </w:r>
      <w:r>
        <w:t>50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_Toc18233 </w:instrText>
      </w:r>
      <w:r>
        <w:rPr>
          <w:rFonts w:hint="eastAsia" w:ascii="宋体" w:hAnsi="宋体" w:cs="宋体"/>
          <w:szCs w:val="21"/>
        </w:rPr>
        <w:fldChar w:fldCharType="separate"/>
      </w:r>
      <w:r>
        <w:rPr>
          <w:rFonts w:hint="eastAsia" w:ascii="宋体" w:hAnsi="宋体" w:cs="宋体"/>
          <w:szCs w:val="21"/>
        </w:rPr>
        <w:t>七、保洁安全作业要求</w:t>
      </w:r>
      <w:r>
        <w:tab/>
      </w:r>
      <w:r>
        <w:fldChar w:fldCharType="begin"/>
      </w:r>
      <w:r>
        <w:instrText xml:space="preserve"> PAGEREF _Toc18233 \h </w:instrText>
      </w:r>
      <w:r>
        <w:fldChar w:fldCharType="separate"/>
      </w:r>
      <w:r>
        <w:t>51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_Toc12305 </w:instrText>
      </w:r>
      <w:r>
        <w:rPr>
          <w:rFonts w:hint="eastAsia" w:ascii="宋体" w:hAnsi="宋体" w:cs="宋体"/>
          <w:szCs w:val="21"/>
        </w:rPr>
        <w:fldChar w:fldCharType="separate"/>
      </w:r>
      <w:r>
        <w:rPr>
          <w:rFonts w:hint="eastAsia" w:ascii="宋体" w:hAnsi="宋体" w:cs="宋体"/>
          <w:szCs w:val="21"/>
        </w:rPr>
        <w:t>（一）总体要求</w:t>
      </w:r>
      <w:r>
        <w:tab/>
      </w:r>
      <w:r>
        <w:fldChar w:fldCharType="begin"/>
      </w:r>
      <w:r>
        <w:instrText xml:space="preserve"> PAGEREF _Toc12305 \h </w:instrText>
      </w:r>
      <w:r>
        <w:fldChar w:fldCharType="separate"/>
      </w:r>
      <w:r>
        <w:t>51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_Toc28613 </w:instrText>
      </w:r>
      <w:r>
        <w:rPr>
          <w:rFonts w:hint="eastAsia" w:ascii="宋体" w:hAnsi="宋体" w:cs="宋体"/>
          <w:szCs w:val="21"/>
        </w:rPr>
        <w:fldChar w:fldCharType="separate"/>
      </w:r>
      <w:r>
        <w:rPr>
          <w:rFonts w:hint="eastAsia" w:ascii="宋体" w:hAnsi="宋体" w:cs="宋体"/>
          <w:szCs w:val="21"/>
        </w:rPr>
        <w:t>（二）人员服装要求</w:t>
      </w:r>
      <w:r>
        <w:tab/>
      </w:r>
      <w:r>
        <w:fldChar w:fldCharType="begin"/>
      </w:r>
      <w:r>
        <w:instrText xml:space="preserve"> PAGEREF _Toc28613 \h </w:instrText>
      </w:r>
      <w:r>
        <w:fldChar w:fldCharType="separate"/>
      </w:r>
      <w:r>
        <w:t>51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_Toc25507 </w:instrText>
      </w:r>
      <w:r>
        <w:rPr>
          <w:rFonts w:hint="eastAsia" w:ascii="宋体" w:hAnsi="宋体" w:cs="宋体"/>
          <w:szCs w:val="21"/>
        </w:rPr>
        <w:fldChar w:fldCharType="separate"/>
      </w:r>
      <w:r>
        <w:rPr>
          <w:rFonts w:hint="eastAsia" w:ascii="宋体" w:hAnsi="宋体" w:cs="宋体"/>
          <w:szCs w:val="21"/>
        </w:rPr>
        <w:t>（三）机械安全操作要求</w:t>
      </w:r>
      <w:r>
        <w:tab/>
      </w:r>
      <w:r>
        <w:fldChar w:fldCharType="begin"/>
      </w:r>
      <w:r>
        <w:instrText xml:space="preserve"> PAGEREF _Toc25507 \h </w:instrText>
      </w:r>
      <w:r>
        <w:fldChar w:fldCharType="separate"/>
      </w:r>
      <w:r>
        <w:t>51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_Toc18956 </w:instrText>
      </w:r>
      <w:r>
        <w:rPr>
          <w:rFonts w:hint="eastAsia" w:ascii="宋体" w:hAnsi="宋体" w:cs="宋体"/>
          <w:szCs w:val="21"/>
        </w:rPr>
        <w:fldChar w:fldCharType="separate"/>
      </w:r>
      <w:r>
        <w:rPr>
          <w:rFonts w:hint="eastAsia" w:ascii="宋体" w:hAnsi="宋体" w:cs="宋体"/>
          <w:szCs w:val="21"/>
        </w:rPr>
        <w:t>（四）道路、公路作业安全要求</w:t>
      </w:r>
      <w:r>
        <w:tab/>
      </w:r>
      <w:r>
        <w:fldChar w:fldCharType="begin"/>
      </w:r>
      <w:r>
        <w:instrText xml:space="preserve"> PAGEREF _Toc18956 \h </w:instrText>
      </w:r>
      <w:r>
        <w:fldChar w:fldCharType="separate"/>
      </w:r>
      <w:r>
        <w:t>52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_Toc32762 </w:instrText>
      </w:r>
      <w:r>
        <w:rPr>
          <w:rFonts w:hint="eastAsia" w:ascii="宋体" w:hAnsi="宋体" w:cs="宋体"/>
          <w:szCs w:val="21"/>
        </w:rPr>
        <w:fldChar w:fldCharType="separate"/>
      </w:r>
      <w:r>
        <w:rPr>
          <w:rFonts w:hint="eastAsia" w:ascii="宋体" w:hAnsi="宋体" w:cs="宋体"/>
          <w:szCs w:val="21"/>
        </w:rPr>
        <w:t>（五）水域保洁安全要求</w:t>
      </w:r>
      <w:r>
        <w:tab/>
      </w:r>
      <w:r>
        <w:fldChar w:fldCharType="begin"/>
      </w:r>
      <w:r>
        <w:instrText xml:space="preserve"> PAGEREF _Toc32762 \h </w:instrText>
      </w:r>
      <w:r>
        <w:fldChar w:fldCharType="separate"/>
      </w:r>
      <w:r>
        <w:t>52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_Toc21793 </w:instrText>
      </w:r>
      <w:r>
        <w:rPr>
          <w:rFonts w:hint="eastAsia" w:ascii="宋体" w:hAnsi="宋体" w:cs="宋体"/>
          <w:szCs w:val="21"/>
        </w:rPr>
        <w:fldChar w:fldCharType="separate"/>
      </w:r>
      <w:r>
        <w:rPr>
          <w:rFonts w:hint="eastAsia" w:ascii="宋体" w:hAnsi="宋体" w:cs="宋体"/>
          <w:szCs w:val="21"/>
        </w:rPr>
        <w:t>（六）突发公共卫生事件安全防治要求</w:t>
      </w:r>
      <w:r>
        <w:tab/>
      </w:r>
      <w:r>
        <w:fldChar w:fldCharType="begin"/>
      </w:r>
      <w:r>
        <w:instrText xml:space="preserve"> PAGEREF _Toc21793 \h </w:instrText>
      </w:r>
      <w:r>
        <w:fldChar w:fldCharType="separate"/>
      </w:r>
      <w:r>
        <w:t>52</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_Toc6532 </w:instrText>
      </w:r>
      <w:r>
        <w:rPr>
          <w:rFonts w:hint="eastAsia" w:ascii="宋体" w:hAnsi="宋体" w:cs="宋体"/>
          <w:szCs w:val="21"/>
        </w:rPr>
        <w:fldChar w:fldCharType="separate"/>
      </w:r>
      <w:r>
        <w:rPr>
          <w:rFonts w:hint="eastAsia" w:ascii="宋体" w:hAnsi="宋体" w:cs="宋体"/>
          <w:szCs w:val="21"/>
        </w:rPr>
        <w:t>八、▲服务期限</w:t>
      </w:r>
      <w:r>
        <w:tab/>
      </w:r>
      <w:r>
        <w:fldChar w:fldCharType="begin"/>
      </w:r>
      <w:r>
        <w:instrText xml:space="preserve"> PAGEREF _Toc6532 \h </w:instrText>
      </w:r>
      <w:r>
        <w:fldChar w:fldCharType="separate"/>
      </w:r>
      <w:r>
        <w:t>52</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_Toc18113 </w:instrText>
      </w:r>
      <w:r>
        <w:rPr>
          <w:rFonts w:hint="eastAsia" w:ascii="宋体" w:hAnsi="宋体" w:cs="宋体"/>
          <w:szCs w:val="21"/>
        </w:rPr>
        <w:fldChar w:fldCharType="separate"/>
      </w:r>
      <w:r>
        <w:rPr>
          <w:rFonts w:hint="eastAsia" w:ascii="宋体" w:hAnsi="宋体" w:cs="宋体"/>
          <w:szCs w:val="21"/>
        </w:rPr>
        <w:t>九、履约保证金</w:t>
      </w:r>
      <w:r>
        <w:tab/>
      </w:r>
      <w:r>
        <w:fldChar w:fldCharType="begin"/>
      </w:r>
      <w:r>
        <w:instrText xml:space="preserve"> PAGEREF _Toc18113 \h </w:instrText>
      </w:r>
      <w:r>
        <w:fldChar w:fldCharType="separate"/>
      </w:r>
      <w:r>
        <w:t>54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_Toc15881 </w:instrText>
      </w:r>
      <w:r>
        <w:rPr>
          <w:rFonts w:hint="eastAsia" w:ascii="宋体" w:hAnsi="宋体" w:cs="宋体"/>
          <w:szCs w:val="21"/>
        </w:rPr>
        <w:fldChar w:fldCharType="separate"/>
      </w:r>
      <w:r>
        <w:rPr>
          <w:rFonts w:hint="eastAsia" w:ascii="宋体" w:hAnsi="宋体" w:cs="宋体"/>
          <w:szCs w:val="21"/>
        </w:rPr>
        <w:t>十、▲付款方式</w:t>
      </w:r>
      <w:r>
        <w:tab/>
      </w:r>
      <w:r>
        <w:fldChar w:fldCharType="begin"/>
      </w:r>
      <w:r>
        <w:instrText xml:space="preserve"> PAGEREF _Toc15881 \h </w:instrText>
      </w:r>
      <w:r>
        <w:fldChar w:fldCharType="separate"/>
      </w:r>
      <w:r>
        <w:t>54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_Toc20647 </w:instrText>
      </w:r>
      <w:r>
        <w:rPr>
          <w:rFonts w:hint="eastAsia" w:ascii="宋体" w:hAnsi="宋体" w:cs="宋体"/>
          <w:szCs w:val="21"/>
        </w:rPr>
        <w:fldChar w:fldCharType="separate"/>
      </w:r>
      <w:r>
        <w:rPr>
          <w:rFonts w:hint="eastAsia" w:ascii="宋体" w:hAnsi="宋体" w:cs="宋体"/>
          <w:szCs w:val="21"/>
        </w:rPr>
        <w:t>十一、其他说明</w:t>
      </w:r>
      <w:r>
        <w:tab/>
      </w:r>
      <w:r>
        <w:fldChar w:fldCharType="begin"/>
      </w:r>
      <w:r>
        <w:instrText xml:space="preserve"> PAGEREF _Toc20647 \h </w:instrText>
      </w:r>
      <w:r>
        <w:fldChar w:fldCharType="separate"/>
      </w:r>
      <w:r>
        <w:t>55</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_Toc3872 </w:instrText>
      </w:r>
      <w:r>
        <w:rPr>
          <w:rFonts w:hint="eastAsia" w:ascii="宋体" w:hAnsi="宋体" w:cs="宋体"/>
          <w:szCs w:val="21"/>
        </w:rPr>
        <w:fldChar w:fldCharType="separate"/>
      </w:r>
      <w:r>
        <w:rPr>
          <w:rFonts w:hint="eastAsia" w:ascii="宋体" w:hAnsi="宋体" w:cs="宋体"/>
          <w:szCs w:val="21"/>
        </w:rPr>
        <w:t>（一）项目负责人要求</w:t>
      </w:r>
      <w:r>
        <w:tab/>
      </w:r>
      <w:r>
        <w:fldChar w:fldCharType="begin"/>
      </w:r>
      <w:r>
        <w:instrText xml:space="preserve"> PAGEREF _Toc3872 \h </w:instrText>
      </w:r>
      <w:r>
        <w:fldChar w:fldCharType="separate"/>
      </w:r>
      <w:r>
        <w:t>55</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_Toc4522 </w:instrText>
      </w:r>
      <w:r>
        <w:rPr>
          <w:rFonts w:hint="eastAsia" w:ascii="宋体" w:hAnsi="宋体" w:cs="宋体"/>
          <w:szCs w:val="21"/>
        </w:rPr>
        <w:fldChar w:fldCharType="separate"/>
      </w:r>
      <w:r>
        <w:rPr>
          <w:rFonts w:hint="eastAsia" w:ascii="宋体" w:hAnsi="宋体" w:cs="宋体"/>
          <w:szCs w:val="21"/>
        </w:rPr>
        <w:t>（二）员工劳动保障要求</w:t>
      </w:r>
      <w:r>
        <w:tab/>
      </w:r>
      <w:r>
        <w:fldChar w:fldCharType="begin"/>
      </w:r>
      <w:r>
        <w:instrText xml:space="preserve"> PAGEREF _Toc4522 \h </w:instrText>
      </w:r>
      <w:r>
        <w:fldChar w:fldCharType="separate"/>
      </w:r>
      <w:r>
        <w:t>55</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_Toc11610 </w:instrText>
      </w:r>
      <w:r>
        <w:rPr>
          <w:rFonts w:hint="eastAsia" w:ascii="宋体" w:hAnsi="宋体" w:cs="宋体"/>
          <w:szCs w:val="21"/>
        </w:rPr>
        <w:fldChar w:fldCharType="separate"/>
      </w:r>
      <w:r>
        <w:rPr>
          <w:rFonts w:hint="eastAsia" w:ascii="宋体" w:hAnsi="宋体" w:cs="宋体"/>
          <w:szCs w:val="21"/>
        </w:rPr>
        <w:t>（三）设立售后服务机构要求</w:t>
      </w:r>
      <w:r>
        <w:tab/>
      </w:r>
      <w:r>
        <w:fldChar w:fldCharType="begin"/>
      </w:r>
      <w:r>
        <w:instrText xml:space="preserve"> PAGEREF _Toc11610 \h </w:instrText>
      </w:r>
      <w:r>
        <w:fldChar w:fldCharType="separate"/>
      </w:r>
      <w:r>
        <w:t>55</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_Toc6348 </w:instrText>
      </w:r>
      <w:r>
        <w:rPr>
          <w:rFonts w:hint="eastAsia" w:ascii="宋体" w:hAnsi="宋体" w:cs="宋体"/>
          <w:szCs w:val="21"/>
        </w:rPr>
        <w:fldChar w:fldCharType="separate"/>
      </w:r>
      <w:r>
        <w:rPr>
          <w:rFonts w:hint="eastAsia" w:ascii="宋体" w:hAnsi="宋体" w:cs="宋体"/>
          <w:szCs w:val="21"/>
        </w:rPr>
        <w:t>（四） 不可预见性因素，而导致付款有可能存在延期的风险，不得终止清扫保洁工作，不影响保洁质量，否则按违规处理。</w:t>
      </w:r>
      <w:r>
        <w:tab/>
      </w:r>
      <w:r>
        <w:fldChar w:fldCharType="begin"/>
      </w:r>
      <w:r>
        <w:instrText xml:space="preserve"> PAGEREF _Toc6348 \h </w:instrText>
      </w:r>
      <w:r>
        <w:fldChar w:fldCharType="separate"/>
      </w:r>
      <w:r>
        <w:t>55</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_Toc24993 </w:instrText>
      </w:r>
      <w:r>
        <w:rPr>
          <w:rFonts w:hint="eastAsia" w:ascii="宋体" w:hAnsi="宋体" w:cs="宋体"/>
          <w:szCs w:val="21"/>
        </w:rPr>
        <w:fldChar w:fldCharType="separate"/>
      </w:r>
      <w:r>
        <w:rPr>
          <w:rFonts w:hint="eastAsia"/>
        </w:rPr>
        <w:t xml:space="preserve">（五） </w:t>
      </w:r>
      <w:r>
        <w:rPr>
          <w:rFonts w:hint="eastAsia"/>
          <w:highlight w:val="none"/>
        </w:rPr>
        <w:t>已列入本项目保洁范围的开放式小区今后如实行封闭式管理，自实行封闭管理之日起退出本项目保洁范围并扣除相应保洁费用。</w:t>
      </w:r>
      <w:r>
        <w:tab/>
      </w:r>
      <w:r>
        <w:fldChar w:fldCharType="begin"/>
      </w:r>
      <w:r>
        <w:instrText xml:space="preserve"> PAGEREF _Toc24993 \h </w:instrText>
      </w:r>
      <w:r>
        <w:fldChar w:fldCharType="separate"/>
      </w:r>
      <w:r>
        <w:t>20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_Toc20885 </w:instrText>
      </w:r>
      <w:r>
        <w:rPr>
          <w:rFonts w:hint="eastAsia" w:ascii="宋体" w:hAnsi="宋体" w:cs="宋体"/>
          <w:szCs w:val="21"/>
        </w:rPr>
        <w:fldChar w:fldCharType="separate"/>
      </w:r>
      <w:r>
        <w:rPr>
          <w:rFonts w:hint="eastAsia" w:ascii="宋体" w:hAnsi="宋体" w:cs="宋体"/>
          <w:szCs w:val="21"/>
        </w:rPr>
        <w:t>（六） ▲投标报价要求</w:t>
      </w:r>
      <w:r>
        <w:tab/>
      </w:r>
      <w:r>
        <w:fldChar w:fldCharType="begin"/>
      </w:r>
      <w:r>
        <w:instrText xml:space="preserve"> PAGEREF _Toc20885 \h </w:instrText>
      </w:r>
      <w:r>
        <w:fldChar w:fldCharType="separate"/>
      </w:r>
      <w:r>
        <w:t>55</w:t>
      </w:r>
      <w:r>
        <w:fldChar w:fldCharType="end"/>
      </w:r>
      <w:r>
        <w:rPr>
          <w:rFonts w:hint="eastAsia" w:ascii="宋体" w:hAnsi="宋体" w:cs="宋体"/>
          <w:szCs w:val="21"/>
        </w:rPr>
        <w:fldChar w:fldCharType="end"/>
      </w:r>
    </w:p>
    <w:p>
      <w:pPr>
        <w:pStyle w:val="22"/>
        <w:tabs>
          <w:tab w:val="right" w:leader="dot" w:pos="9070"/>
          <w:tab w:val="clear" w:pos="8948"/>
        </w:tabs>
        <w:ind w:firstLine="0" w:firstLineChars="0"/>
      </w:pPr>
      <w:r>
        <w:rPr>
          <w:rFonts w:hint="eastAsia" w:cs="宋体"/>
          <w:color w:val="auto"/>
          <w:szCs w:val="21"/>
        </w:rPr>
        <w:fldChar w:fldCharType="begin"/>
      </w:r>
      <w:r>
        <w:rPr>
          <w:rFonts w:hint="eastAsia" w:cs="宋体"/>
          <w:szCs w:val="21"/>
        </w:rPr>
        <w:instrText xml:space="preserve"> HYPERLINK \l _Toc7829 </w:instrText>
      </w:r>
      <w:r>
        <w:rPr>
          <w:rFonts w:hint="eastAsia" w:cs="宋体"/>
          <w:szCs w:val="21"/>
        </w:rPr>
        <w:fldChar w:fldCharType="separate"/>
      </w:r>
      <w:r>
        <w:rPr>
          <w:rFonts w:hint="eastAsia" w:cs="宋体"/>
          <w:szCs w:val="36"/>
        </w:rPr>
        <w:t>第四部分  合同主要条款</w:t>
      </w:r>
      <w:r>
        <w:tab/>
      </w:r>
      <w:r>
        <w:fldChar w:fldCharType="begin"/>
      </w:r>
      <w:r>
        <w:instrText xml:space="preserve"> PAGEREF _Toc7829 \h </w:instrText>
      </w:r>
      <w:r>
        <w:fldChar w:fldCharType="separate"/>
      </w:r>
      <w:r>
        <w:t>58</w:t>
      </w:r>
      <w:r>
        <w:fldChar w:fldCharType="end"/>
      </w:r>
      <w:r>
        <w:rPr>
          <w:rFonts w:hint="eastAsia" w:cs="宋体"/>
          <w:color w:val="auto"/>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_Toc11376 </w:instrText>
      </w:r>
      <w:r>
        <w:rPr>
          <w:rFonts w:hint="eastAsia" w:ascii="宋体" w:hAnsi="宋体" w:cs="宋体"/>
          <w:szCs w:val="21"/>
        </w:rPr>
        <w:fldChar w:fldCharType="separate"/>
      </w:r>
      <w:r>
        <w:rPr>
          <w:rFonts w:hint="eastAsia" w:ascii="宋体" w:hAnsi="宋体" w:cs="宋体"/>
        </w:rPr>
        <w:t>一、合同总则</w:t>
      </w:r>
      <w:r>
        <w:tab/>
      </w:r>
      <w:r>
        <w:fldChar w:fldCharType="begin"/>
      </w:r>
      <w:r>
        <w:instrText xml:space="preserve"> PAGEREF _Toc11376 \h </w:instrText>
      </w:r>
      <w:r>
        <w:fldChar w:fldCharType="separate"/>
      </w:r>
      <w:r>
        <w:t>58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_Toc508 </w:instrText>
      </w:r>
      <w:r>
        <w:rPr>
          <w:rFonts w:hint="eastAsia" w:ascii="宋体" w:hAnsi="宋体" w:cs="宋体"/>
          <w:szCs w:val="21"/>
        </w:rPr>
        <w:fldChar w:fldCharType="separate"/>
      </w:r>
      <w:r>
        <w:rPr>
          <w:rFonts w:hint="eastAsia" w:ascii="宋体" w:hAnsi="宋体" w:cs="宋体"/>
          <w:szCs w:val="21"/>
        </w:rPr>
        <w:t xml:space="preserve">第一条  </w:t>
      </w:r>
      <w:r>
        <w:rPr>
          <w:rFonts w:hint="eastAsia" w:ascii="宋体" w:hAnsi="宋体" w:cs="宋体"/>
        </w:rPr>
        <w:t>合同文件：下列文件构成本合同的组成部分：</w:t>
      </w:r>
      <w:r>
        <w:tab/>
      </w:r>
      <w:r>
        <w:fldChar w:fldCharType="begin"/>
      </w:r>
      <w:r>
        <w:instrText xml:space="preserve"> PAGEREF _Toc508 \h </w:instrText>
      </w:r>
      <w:r>
        <w:fldChar w:fldCharType="separate"/>
      </w:r>
      <w:r>
        <w:t>58</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_Toc10992 </w:instrText>
      </w:r>
      <w:r>
        <w:rPr>
          <w:rFonts w:hint="eastAsia" w:ascii="宋体" w:hAnsi="宋体" w:cs="宋体"/>
          <w:szCs w:val="21"/>
        </w:rPr>
        <w:fldChar w:fldCharType="separate"/>
      </w:r>
      <w:r>
        <w:rPr>
          <w:rFonts w:hint="eastAsia" w:ascii="宋体" w:hAnsi="宋体" w:cs="宋体"/>
        </w:rPr>
        <w:t>二、合同主要条款</w:t>
      </w:r>
      <w:r>
        <w:tab/>
      </w:r>
      <w:r>
        <w:fldChar w:fldCharType="begin"/>
      </w:r>
      <w:r>
        <w:instrText xml:space="preserve"> PAGEREF _Toc10992 \h </w:instrText>
      </w:r>
      <w:r>
        <w:fldChar w:fldCharType="separate"/>
      </w:r>
      <w:r>
        <w:t>58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_Toc32379 </w:instrText>
      </w:r>
      <w:r>
        <w:rPr>
          <w:rFonts w:hint="eastAsia" w:ascii="宋体" w:hAnsi="宋体" w:cs="宋体"/>
          <w:szCs w:val="21"/>
        </w:rPr>
        <w:fldChar w:fldCharType="separate"/>
      </w:r>
      <w:r>
        <w:rPr>
          <w:rFonts w:hint="eastAsia" w:ascii="宋体" w:hAnsi="宋体" w:cs="宋体"/>
          <w:szCs w:val="21"/>
        </w:rPr>
        <w:t>第二条  合同名称</w:t>
      </w:r>
      <w:r>
        <w:tab/>
      </w:r>
      <w:r>
        <w:fldChar w:fldCharType="begin"/>
      </w:r>
      <w:r>
        <w:instrText xml:space="preserve"> PAGEREF _Toc32379 \h </w:instrText>
      </w:r>
      <w:r>
        <w:fldChar w:fldCharType="separate"/>
      </w:r>
      <w:r>
        <w:t>58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_Toc30491 </w:instrText>
      </w:r>
      <w:r>
        <w:rPr>
          <w:rFonts w:hint="eastAsia" w:ascii="宋体" w:hAnsi="宋体" w:cs="宋体"/>
          <w:szCs w:val="21"/>
        </w:rPr>
        <w:fldChar w:fldCharType="separate"/>
      </w:r>
      <w:r>
        <w:rPr>
          <w:rFonts w:hint="eastAsia" w:ascii="宋体" w:hAnsi="宋体" w:cs="宋体"/>
          <w:szCs w:val="21"/>
        </w:rPr>
        <w:t>第三条  承包内容和要求：</w:t>
      </w:r>
      <w:r>
        <w:tab/>
      </w:r>
      <w:r>
        <w:fldChar w:fldCharType="begin"/>
      </w:r>
      <w:r>
        <w:instrText xml:space="preserve"> PAGEREF _Toc30491 \h </w:instrText>
      </w:r>
      <w:r>
        <w:fldChar w:fldCharType="separate"/>
      </w:r>
      <w:r>
        <w:t>58</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_Toc22567 </w:instrText>
      </w:r>
      <w:r>
        <w:rPr>
          <w:rFonts w:hint="eastAsia" w:ascii="宋体" w:hAnsi="宋体" w:cs="宋体"/>
          <w:szCs w:val="21"/>
        </w:rPr>
        <w:fldChar w:fldCharType="separate"/>
      </w:r>
      <w:r>
        <w:rPr>
          <w:rFonts w:hint="eastAsia" w:ascii="宋体" w:hAnsi="宋体" w:cs="宋体"/>
          <w:szCs w:val="21"/>
        </w:rPr>
        <w:t>第四条  承包期限</w:t>
      </w:r>
      <w:r>
        <w:tab/>
      </w:r>
      <w:r>
        <w:fldChar w:fldCharType="begin"/>
      </w:r>
      <w:r>
        <w:instrText xml:space="preserve"> PAGEREF _Toc22567 \h </w:instrText>
      </w:r>
      <w:r>
        <w:fldChar w:fldCharType="separate"/>
      </w:r>
      <w:r>
        <w:t>59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_Toc9776 </w:instrText>
      </w:r>
      <w:r>
        <w:rPr>
          <w:rFonts w:hint="eastAsia" w:ascii="宋体" w:hAnsi="宋体" w:cs="宋体"/>
          <w:szCs w:val="21"/>
        </w:rPr>
        <w:fldChar w:fldCharType="separate"/>
      </w:r>
      <w:r>
        <w:rPr>
          <w:rFonts w:hint="eastAsia" w:ascii="宋体" w:hAnsi="宋体" w:cs="宋体"/>
          <w:szCs w:val="21"/>
        </w:rPr>
        <w:t>第五条  承包经费</w:t>
      </w:r>
      <w:r>
        <w:tab/>
      </w:r>
      <w:r>
        <w:fldChar w:fldCharType="begin"/>
      </w:r>
      <w:r>
        <w:instrText xml:space="preserve"> PAGEREF _Toc9776 \h </w:instrText>
      </w:r>
      <w:r>
        <w:fldChar w:fldCharType="separate"/>
      </w:r>
      <w:r>
        <w:t>59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_Toc12990 </w:instrText>
      </w:r>
      <w:r>
        <w:rPr>
          <w:rFonts w:hint="eastAsia" w:ascii="宋体" w:hAnsi="宋体" w:cs="宋体"/>
          <w:szCs w:val="21"/>
        </w:rPr>
        <w:fldChar w:fldCharType="separate"/>
      </w:r>
      <w:r>
        <w:rPr>
          <w:rFonts w:hint="eastAsia" w:ascii="宋体" w:hAnsi="宋体" w:cs="宋体"/>
          <w:szCs w:val="21"/>
        </w:rPr>
        <w:t>第六条   付款方式：</w:t>
      </w:r>
      <w:r>
        <w:tab/>
      </w:r>
      <w:r>
        <w:fldChar w:fldCharType="begin"/>
      </w:r>
      <w:r>
        <w:instrText xml:space="preserve"> PAGEREF _Toc12990 \h </w:instrText>
      </w:r>
      <w:r>
        <w:fldChar w:fldCharType="separate"/>
      </w:r>
      <w:r>
        <w:t>59</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_Toc2694 </w:instrText>
      </w:r>
      <w:r>
        <w:rPr>
          <w:rFonts w:hint="eastAsia" w:ascii="宋体" w:hAnsi="宋体" w:cs="宋体"/>
          <w:szCs w:val="21"/>
        </w:rPr>
        <w:fldChar w:fldCharType="separate"/>
      </w:r>
      <w:r>
        <w:rPr>
          <w:rFonts w:hint="eastAsia" w:ascii="宋体" w:hAnsi="宋体" w:cs="宋体"/>
          <w:szCs w:val="21"/>
        </w:rPr>
        <w:t>第七条  承包方式</w:t>
      </w:r>
      <w:r>
        <w:tab/>
      </w:r>
      <w:r>
        <w:fldChar w:fldCharType="begin"/>
      </w:r>
      <w:r>
        <w:instrText xml:space="preserve"> PAGEREF _Toc2694 \h </w:instrText>
      </w:r>
      <w:r>
        <w:fldChar w:fldCharType="separate"/>
      </w:r>
      <w:r>
        <w:t>60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_Toc9862 </w:instrText>
      </w:r>
      <w:r>
        <w:rPr>
          <w:rFonts w:hint="eastAsia" w:ascii="宋体" w:hAnsi="宋体" w:cs="宋体"/>
          <w:szCs w:val="21"/>
        </w:rPr>
        <w:fldChar w:fldCharType="separate"/>
      </w:r>
      <w:r>
        <w:rPr>
          <w:rFonts w:hint="eastAsia" w:ascii="宋体" w:hAnsi="宋体" w:cs="宋体"/>
          <w:szCs w:val="21"/>
        </w:rPr>
        <w:t>第八条  保洁质量</w:t>
      </w:r>
      <w:r>
        <w:tab/>
      </w:r>
      <w:r>
        <w:fldChar w:fldCharType="begin"/>
      </w:r>
      <w:r>
        <w:instrText xml:space="preserve"> PAGEREF _Toc9862 \h </w:instrText>
      </w:r>
      <w:r>
        <w:fldChar w:fldCharType="separate"/>
      </w:r>
      <w:r>
        <w:t>60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_Toc21875 </w:instrText>
      </w:r>
      <w:r>
        <w:rPr>
          <w:rFonts w:hint="eastAsia" w:ascii="宋体" w:hAnsi="宋体" w:cs="宋体"/>
          <w:szCs w:val="21"/>
        </w:rPr>
        <w:fldChar w:fldCharType="separate"/>
      </w:r>
      <w:r>
        <w:rPr>
          <w:rFonts w:hint="eastAsia" w:ascii="宋体" w:hAnsi="宋体" w:cs="宋体"/>
          <w:szCs w:val="21"/>
        </w:rPr>
        <w:t>第九条  检查考评办法</w:t>
      </w:r>
      <w:r>
        <w:tab/>
      </w:r>
      <w:r>
        <w:fldChar w:fldCharType="begin"/>
      </w:r>
      <w:r>
        <w:instrText xml:space="preserve"> PAGEREF _Toc21875 \h </w:instrText>
      </w:r>
      <w:r>
        <w:fldChar w:fldCharType="separate"/>
      </w:r>
      <w:r>
        <w:t>60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_Toc14614 </w:instrText>
      </w:r>
      <w:r>
        <w:rPr>
          <w:rFonts w:hint="eastAsia" w:ascii="宋体" w:hAnsi="宋体" w:cs="宋体"/>
          <w:szCs w:val="21"/>
        </w:rPr>
        <w:fldChar w:fldCharType="separate"/>
      </w:r>
      <w:r>
        <w:rPr>
          <w:rFonts w:hint="eastAsia" w:ascii="宋体" w:hAnsi="宋体" w:cs="宋体"/>
          <w:szCs w:val="21"/>
        </w:rPr>
        <w:t>第十条  履约保证金</w:t>
      </w:r>
      <w:r>
        <w:tab/>
      </w:r>
      <w:r>
        <w:fldChar w:fldCharType="begin"/>
      </w:r>
      <w:r>
        <w:instrText xml:space="preserve"> PAGEREF _Toc14614 \h </w:instrText>
      </w:r>
      <w:r>
        <w:fldChar w:fldCharType="separate"/>
      </w:r>
      <w:r>
        <w:t>60</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_Toc4445 </w:instrText>
      </w:r>
      <w:r>
        <w:rPr>
          <w:rFonts w:hint="eastAsia" w:ascii="宋体" w:hAnsi="宋体" w:cs="宋体"/>
          <w:szCs w:val="21"/>
        </w:rPr>
        <w:fldChar w:fldCharType="separate"/>
      </w:r>
      <w:r>
        <w:rPr>
          <w:rFonts w:hint="eastAsia" w:ascii="宋体" w:hAnsi="宋体" w:cs="宋体"/>
          <w:szCs w:val="21"/>
        </w:rPr>
        <w:t>第十一条  权利和义务</w:t>
      </w:r>
      <w:r>
        <w:tab/>
      </w:r>
      <w:r>
        <w:fldChar w:fldCharType="begin"/>
      </w:r>
      <w:r>
        <w:instrText xml:space="preserve"> PAGEREF _Toc4445 \h </w:instrText>
      </w:r>
      <w:r>
        <w:fldChar w:fldCharType="separate"/>
      </w:r>
      <w:r>
        <w:t>61</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_Toc16806 </w:instrText>
      </w:r>
      <w:r>
        <w:rPr>
          <w:rFonts w:hint="eastAsia" w:ascii="宋体" w:hAnsi="宋体" w:cs="宋体"/>
          <w:szCs w:val="21"/>
        </w:rPr>
        <w:fldChar w:fldCharType="separate"/>
      </w:r>
      <w:r>
        <w:rPr>
          <w:rFonts w:hint="eastAsia" w:ascii="宋体" w:hAnsi="宋体" w:cs="宋体"/>
          <w:szCs w:val="21"/>
        </w:rPr>
        <w:t>第十二条  合同组成</w:t>
      </w:r>
      <w:r>
        <w:tab/>
      </w:r>
      <w:r>
        <w:fldChar w:fldCharType="begin"/>
      </w:r>
      <w:r>
        <w:instrText xml:space="preserve"> PAGEREF _Toc16806 \h </w:instrText>
      </w:r>
      <w:r>
        <w:fldChar w:fldCharType="separate"/>
      </w:r>
      <w:r>
        <w:t>62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_Toc32099 </w:instrText>
      </w:r>
      <w:r>
        <w:rPr>
          <w:rFonts w:hint="eastAsia" w:ascii="宋体" w:hAnsi="宋体" w:cs="宋体"/>
          <w:szCs w:val="21"/>
        </w:rPr>
        <w:fldChar w:fldCharType="separate"/>
      </w:r>
      <w:r>
        <w:rPr>
          <w:rFonts w:hint="eastAsia" w:ascii="宋体" w:hAnsi="宋体" w:cs="宋体"/>
          <w:szCs w:val="21"/>
        </w:rPr>
        <w:t>第十三条  违约责任</w:t>
      </w:r>
      <w:r>
        <w:tab/>
      </w:r>
      <w:r>
        <w:fldChar w:fldCharType="begin"/>
      </w:r>
      <w:r>
        <w:instrText xml:space="preserve"> PAGEREF _Toc32099 \h </w:instrText>
      </w:r>
      <w:r>
        <w:fldChar w:fldCharType="separate"/>
      </w:r>
      <w:r>
        <w:t>62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_Toc15505 </w:instrText>
      </w:r>
      <w:r>
        <w:rPr>
          <w:rFonts w:hint="eastAsia" w:ascii="宋体" w:hAnsi="宋体" w:cs="宋体"/>
          <w:szCs w:val="21"/>
        </w:rPr>
        <w:fldChar w:fldCharType="separate"/>
      </w:r>
      <w:r>
        <w:rPr>
          <w:rFonts w:hint="eastAsia" w:ascii="宋体" w:hAnsi="宋体" w:cs="宋体"/>
          <w:szCs w:val="21"/>
        </w:rPr>
        <w:t>第十四条  争议的解决</w:t>
      </w:r>
      <w:r>
        <w:tab/>
      </w:r>
      <w:r>
        <w:fldChar w:fldCharType="begin"/>
      </w:r>
      <w:r>
        <w:instrText xml:space="preserve"> PAGEREF _Toc15505 \h </w:instrText>
      </w:r>
      <w:r>
        <w:fldChar w:fldCharType="separate"/>
      </w:r>
      <w:r>
        <w:t>62</w:t>
      </w:r>
      <w:r>
        <w:fldChar w:fldCharType="end"/>
      </w:r>
      <w:r>
        <w:rPr>
          <w:rFonts w:hint="eastAsia" w:ascii="宋体" w:hAnsi="宋体" w:cs="宋体"/>
          <w:szCs w:val="21"/>
        </w:rPr>
        <w:fldChar w:fldCharType="end"/>
      </w:r>
    </w:p>
    <w:p>
      <w:pPr>
        <w:pStyle w:val="16"/>
        <w:tabs>
          <w:tab w:val="right" w:leader="dot" w:pos="9070"/>
        </w:tabs>
      </w:pPr>
      <w:r>
        <w:rPr>
          <w:rFonts w:hint="eastAsia" w:ascii="宋体" w:hAnsi="宋体" w:cs="宋体"/>
          <w:szCs w:val="21"/>
        </w:rPr>
        <w:fldChar w:fldCharType="begin"/>
      </w:r>
      <w:r>
        <w:rPr>
          <w:rFonts w:hint="eastAsia" w:ascii="宋体" w:hAnsi="宋体" w:cs="宋体"/>
          <w:szCs w:val="21"/>
        </w:rPr>
        <w:instrText xml:space="preserve"> HYPERLINK \l _Toc24387 </w:instrText>
      </w:r>
      <w:r>
        <w:rPr>
          <w:rFonts w:hint="eastAsia" w:ascii="宋体" w:hAnsi="宋体" w:cs="宋体"/>
          <w:szCs w:val="21"/>
        </w:rPr>
        <w:fldChar w:fldCharType="separate"/>
      </w:r>
      <w:r>
        <w:rPr>
          <w:rFonts w:hint="eastAsia" w:ascii="宋体" w:hAnsi="宋体" w:cs="宋体"/>
          <w:szCs w:val="21"/>
        </w:rPr>
        <w:t>第十五条  合同生效及终止</w:t>
      </w:r>
      <w:r>
        <w:tab/>
      </w:r>
      <w:r>
        <w:fldChar w:fldCharType="begin"/>
      </w:r>
      <w:r>
        <w:instrText xml:space="preserve"> PAGEREF _Toc24387 \h </w:instrText>
      </w:r>
      <w:r>
        <w:fldChar w:fldCharType="separate"/>
      </w:r>
      <w:r>
        <w:t>62</w:t>
      </w:r>
      <w:r>
        <w:fldChar w:fldCharType="end"/>
      </w:r>
      <w:r>
        <w:rPr>
          <w:rFonts w:hint="eastAsia" w:ascii="宋体" w:hAnsi="宋体" w:cs="宋体"/>
          <w:szCs w:val="21"/>
        </w:rPr>
        <w:fldChar w:fldCharType="end"/>
      </w:r>
    </w:p>
    <w:p>
      <w:pPr>
        <w:pStyle w:val="22"/>
        <w:tabs>
          <w:tab w:val="right" w:leader="dot" w:pos="9070"/>
          <w:tab w:val="clear" w:pos="8948"/>
        </w:tabs>
        <w:ind w:firstLine="0" w:firstLineChars="0"/>
      </w:pPr>
      <w:r>
        <w:rPr>
          <w:rFonts w:hint="eastAsia" w:cs="宋体"/>
          <w:color w:val="auto"/>
          <w:szCs w:val="21"/>
        </w:rPr>
        <w:fldChar w:fldCharType="begin"/>
      </w:r>
      <w:r>
        <w:rPr>
          <w:rFonts w:hint="eastAsia" w:cs="宋体"/>
          <w:szCs w:val="21"/>
        </w:rPr>
        <w:instrText xml:space="preserve"> HYPERLINK \l _Toc28717 </w:instrText>
      </w:r>
      <w:r>
        <w:rPr>
          <w:rFonts w:hint="eastAsia" w:cs="宋体"/>
          <w:szCs w:val="21"/>
        </w:rPr>
        <w:fldChar w:fldCharType="separate"/>
      </w:r>
      <w:r>
        <w:rPr>
          <w:rFonts w:hint="eastAsia" w:cs="宋体"/>
          <w:szCs w:val="36"/>
        </w:rPr>
        <w:t>第五部分  投标文件格式</w:t>
      </w:r>
      <w:r>
        <w:tab/>
      </w:r>
      <w:r>
        <w:fldChar w:fldCharType="begin"/>
      </w:r>
      <w:r>
        <w:instrText xml:space="preserve"> PAGEREF _Toc28717 \h </w:instrText>
      </w:r>
      <w:r>
        <w:fldChar w:fldCharType="separate"/>
      </w:r>
      <w:r>
        <w:t>97</w:t>
      </w:r>
      <w:r>
        <w:fldChar w:fldCharType="end"/>
      </w:r>
      <w:r>
        <w:rPr>
          <w:rFonts w:hint="eastAsia" w:cs="宋体"/>
          <w:color w:val="auto"/>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_Toc17758 </w:instrText>
      </w:r>
      <w:r>
        <w:rPr>
          <w:rFonts w:hint="eastAsia" w:ascii="宋体" w:hAnsi="宋体" w:cs="宋体"/>
          <w:szCs w:val="21"/>
        </w:rPr>
        <w:fldChar w:fldCharType="separate"/>
      </w:r>
      <w:r>
        <w:rPr>
          <w:rFonts w:hint="eastAsia" w:ascii="宋体" w:hAnsi="宋体" w:cs="宋体"/>
          <w:szCs w:val="36"/>
        </w:rPr>
        <w:t>附件一  关于《中华人民共和国政府采购法》第二十二条规定的承诺函</w:t>
      </w:r>
      <w:r>
        <w:tab/>
      </w:r>
      <w:r>
        <w:fldChar w:fldCharType="begin"/>
      </w:r>
      <w:r>
        <w:instrText xml:space="preserve"> PAGEREF _Toc17758 \h </w:instrText>
      </w:r>
      <w:r>
        <w:fldChar w:fldCharType="separate"/>
      </w:r>
      <w:r>
        <w:t>98</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_Toc5419 </w:instrText>
      </w:r>
      <w:r>
        <w:rPr>
          <w:rFonts w:hint="eastAsia" w:ascii="宋体" w:hAnsi="宋体" w:cs="宋体"/>
          <w:szCs w:val="21"/>
        </w:rPr>
        <w:fldChar w:fldCharType="separate"/>
      </w:r>
      <w:r>
        <w:rPr>
          <w:rFonts w:hint="eastAsia" w:ascii="宋体" w:hAnsi="宋体" w:cs="宋体"/>
          <w:szCs w:val="36"/>
        </w:rPr>
        <w:t>附件二-1 法定代表人授权委托书</w:t>
      </w:r>
      <w:r>
        <w:tab/>
      </w:r>
      <w:r>
        <w:fldChar w:fldCharType="begin"/>
      </w:r>
      <w:r>
        <w:instrText xml:space="preserve"> PAGEREF _Toc5419 \h </w:instrText>
      </w:r>
      <w:r>
        <w:fldChar w:fldCharType="separate"/>
      </w:r>
      <w:r>
        <w:t>99</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_Toc16919 </w:instrText>
      </w:r>
      <w:r>
        <w:rPr>
          <w:rFonts w:hint="eastAsia" w:ascii="宋体" w:hAnsi="宋体" w:cs="宋体"/>
          <w:szCs w:val="21"/>
        </w:rPr>
        <w:fldChar w:fldCharType="separate"/>
      </w:r>
      <w:r>
        <w:rPr>
          <w:rFonts w:hint="eastAsia" w:ascii="宋体" w:hAnsi="宋体" w:cs="宋体"/>
          <w:szCs w:val="36"/>
        </w:rPr>
        <w:t>附件二-2 法定代表人身份证明</w:t>
      </w:r>
      <w:r>
        <w:tab/>
      </w:r>
      <w:r>
        <w:fldChar w:fldCharType="begin"/>
      </w:r>
      <w:r>
        <w:instrText xml:space="preserve"> PAGEREF _Toc16919 \h </w:instrText>
      </w:r>
      <w:r>
        <w:fldChar w:fldCharType="separate"/>
      </w:r>
      <w:r>
        <w:t>100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_Toc1809 </w:instrText>
      </w:r>
      <w:r>
        <w:rPr>
          <w:rFonts w:hint="eastAsia" w:ascii="宋体" w:hAnsi="宋体" w:cs="宋体"/>
          <w:szCs w:val="21"/>
        </w:rPr>
        <w:fldChar w:fldCharType="separate"/>
      </w:r>
      <w:r>
        <w:rPr>
          <w:rFonts w:hint="eastAsia" w:ascii="宋体" w:hAnsi="宋体" w:cs="宋体"/>
          <w:szCs w:val="36"/>
        </w:rPr>
        <w:t>附件三  投标函</w:t>
      </w:r>
      <w:r>
        <w:tab/>
      </w:r>
      <w:r>
        <w:fldChar w:fldCharType="begin"/>
      </w:r>
      <w:r>
        <w:instrText xml:space="preserve"> PAGEREF _Toc1809 \h </w:instrText>
      </w:r>
      <w:r>
        <w:fldChar w:fldCharType="separate"/>
      </w:r>
      <w:r>
        <w:t>101</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_Toc13013 </w:instrText>
      </w:r>
      <w:r>
        <w:rPr>
          <w:rFonts w:hint="eastAsia" w:ascii="宋体" w:hAnsi="宋体" w:cs="宋体"/>
          <w:szCs w:val="21"/>
        </w:rPr>
        <w:fldChar w:fldCharType="separate"/>
      </w:r>
      <w:r>
        <w:rPr>
          <w:rFonts w:hint="eastAsia" w:ascii="宋体" w:hAnsi="宋体" w:cs="宋体"/>
          <w:bCs/>
          <w:szCs w:val="32"/>
        </w:rPr>
        <w:t>附件四-1、法定代表人诚信投标承诺书</w:t>
      </w:r>
      <w:r>
        <w:tab/>
      </w:r>
      <w:r>
        <w:fldChar w:fldCharType="begin"/>
      </w:r>
      <w:r>
        <w:instrText xml:space="preserve"> PAGEREF _Toc13013 \h </w:instrText>
      </w:r>
      <w:r>
        <w:fldChar w:fldCharType="separate"/>
      </w:r>
      <w:r>
        <w:t>102</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_Toc26014 </w:instrText>
      </w:r>
      <w:r>
        <w:rPr>
          <w:rFonts w:hint="eastAsia" w:ascii="宋体" w:hAnsi="宋体" w:cs="宋体"/>
          <w:szCs w:val="21"/>
        </w:rPr>
        <w:fldChar w:fldCharType="separate"/>
      </w:r>
      <w:r>
        <w:rPr>
          <w:rFonts w:hint="eastAsia" w:ascii="宋体" w:hAnsi="宋体" w:cs="宋体"/>
          <w:bCs/>
          <w:szCs w:val="32"/>
        </w:rPr>
        <w:t>附件四-2、环卫保洁承诺书</w:t>
      </w:r>
      <w:r>
        <w:tab/>
      </w:r>
      <w:r>
        <w:fldChar w:fldCharType="begin"/>
      </w:r>
      <w:r>
        <w:instrText xml:space="preserve"> PAGEREF _Toc26014 \h </w:instrText>
      </w:r>
      <w:r>
        <w:fldChar w:fldCharType="separate"/>
      </w:r>
      <w:r>
        <w:t>103</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_Toc30837 </w:instrText>
      </w:r>
      <w:r>
        <w:rPr>
          <w:rFonts w:hint="eastAsia" w:ascii="宋体" w:hAnsi="宋体" w:cs="宋体"/>
          <w:szCs w:val="21"/>
        </w:rPr>
        <w:fldChar w:fldCharType="separate"/>
      </w:r>
      <w:r>
        <w:rPr>
          <w:rFonts w:hint="eastAsia" w:ascii="宋体" w:hAnsi="宋体" w:cs="宋体"/>
          <w:szCs w:val="36"/>
        </w:rPr>
        <w:t>附件五  建议与少量偏离表</w:t>
      </w:r>
      <w:r>
        <w:tab/>
      </w:r>
      <w:r>
        <w:fldChar w:fldCharType="begin"/>
      </w:r>
      <w:r>
        <w:instrText xml:space="preserve"> PAGEREF _Toc30837 \h </w:instrText>
      </w:r>
      <w:r>
        <w:fldChar w:fldCharType="separate"/>
      </w:r>
      <w:r>
        <w:t>104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_Toc5641 </w:instrText>
      </w:r>
      <w:r>
        <w:rPr>
          <w:rFonts w:hint="eastAsia" w:ascii="宋体" w:hAnsi="宋体" w:cs="宋体"/>
          <w:szCs w:val="21"/>
        </w:rPr>
        <w:fldChar w:fldCharType="separate"/>
      </w:r>
      <w:r>
        <w:rPr>
          <w:rFonts w:hint="eastAsia" w:ascii="宋体" w:hAnsi="宋体" w:cs="宋体"/>
          <w:szCs w:val="32"/>
        </w:rPr>
        <w:t>附件六   环卫保洁实施方案</w:t>
      </w:r>
      <w:r>
        <w:tab/>
      </w:r>
      <w:r>
        <w:fldChar w:fldCharType="begin"/>
      </w:r>
      <w:r>
        <w:instrText xml:space="preserve"> PAGEREF _Toc5641 \h </w:instrText>
      </w:r>
      <w:r>
        <w:fldChar w:fldCharType="separate"/>
      </w:r>
      <w:r>
        <w:t>105</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_Toc29682 </w:instrText>
      </w:r>
      <w:r>
        <w:rPr>
          <w:rFonts w:hint="eastAsia" w:ascii="宋体" w:hAnsi="宋体" w:cs="宋体"/>
          <w:szCs w:val="21"/>
        </w:rPr>
        <w:fldChar w:fldCharType="separate"/>
      </w:r>
      <w:r>
        <w:rPr>
          <w:rFonts w:hint="eastAsia" w:ascii="宋体" w:hAnsi="宋体" w:cs="宋体"/>
        </w:rPr>
        <w:t>附件七  拟投入本项目人员配置明细表</w:t>
      </w:r>
      <w:r>
        <w:tab/>
      </w:r>
      <w:r>
        <w:fldChar w:fldCharType="begin"/>
      </w:r>
      <w:r>
        <w:instrText xml:space="preserve"> PAGEREF _Toc29682 \h </w:instrText>
      </w:r>
      <w:r>
        <w:fldChar w:fldCharType="separate"/>
      </w:r>
      <w:r>
        <w:t>106</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_Toc19323 </w:instrText>
      </w:r>
      <w:r>
        <w:rPr>
          <w:rFonts w:hint="eastAsia" w:ascii="宋体" w:hAnsi="宋体" w:cs="宋体"/>
          <w:szCs w:val="21"/>
        </w:rPr>
        <w:fldChar w:fldCharType="separate"/>
      </w:r>
      <w:r>
        <w:rPr>
          <w:rFonts w:hint="eastAsia" w:ascii="宋体" w:hAnsi="宋体" w:cs="宋体"/>
          <w:szCs w:val="36"/>
        </w:rPr>
        <w:t>附件八  项目负责人履历情况证明（可选）</w:t>
      </w:r>
      <w:r>
        <w:tab/>
      </w:r>
      <w:r>
        <w:fldChar w:fldCharType="begin"/>
      </w:r>
      <w:r>
        <w:instrText xml:space="preserve"> PAGEREF _Toc19323 \h </w:instrText>
      </w:r>
      <w:r>
        <w:fldChar w:fldCharType="separate"/>
      </w:r>
      <w:r>
        <w:t>107</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_Toc29056 </w:instrText>
      </w:r>
      <w:r>
        <w:rPr>
          <w:rFonts w:hint="eastAsia" w:ascii="宋体" w:hAnsi="宋体" w:cs="宋体"/>
          <w:szCs w:val="21"/>
        </w:rPr>
        <w:fldChar w:fldCharType="separate"/>
      </w:r>
      <w:r>
        <w:rPr>
          <w:rFonts w:hint="eastAsia" w:ascii="宋体" w:hAnsi="宋体" w:cs="宋体"/>
          <w:szCs w:val="36"/>
        </w:rPr>
        <w:t>附件九  拟投入设备一览表</w:t>
      </w:r>
      <w:r>
        <w:tab/>
      </w:r>
      <w:r>
        <w:fldChar w:fldCharType="begin"/>
      </w:r>
      <w:r>
        <w:instrText xml:space="preserve"> PAGEREF _Toc29056 \h </w:instrText>
      </w:r>
      <w:r>
        <w:fldChar w:fldCharType="separate"/>
      </w:r>
      <w:r>
        <w:t>108</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_Toc14401 </w:instrText>
      </w:r>
      <w:r>
        <w:rPr>
          <w:rFonts w:hint="eastAsia" w:ascii="宋体" w:hAnsi="宋体" w:cs="宋体"/>
          <w:szCs w:val="21"/>
        </w:rPr>
        <w:fldChar w:fldCharType="separate"/>
      </w:r>
      <w:r>
        <w:rPr>
          <w:rFonts w:hint="eastAsia" w:ascii="宋体" w:hAnsi="宋体" w:cs="宋体"/>
          <w:bCs/>
          <w:szCs w:val="36"/>
        </w:rPr>
        <w:t>附件十  2017年1月1日以来业绩一览表</w:t>
      </w:r>
      <w:r>
        <w:tab/>
      </w:r>
      <w:r>
        <w:fldChar w:fldCharType="begin"/>
      </w:r>
      <w:r>
        <w:instrText xml:space="preserve"> PAGEREF _Toc14401 \h </w:instrText>
      </w:r>
      <w:r>
        <w:fldChar w:fldCharType="separate"/>
      </w:r>
      <w:r>
        <w:t>110</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_Toc15742 </w:instrText>
      </w:r>
      <w:r>
        <w:rPr>
          <w:rFonts w:hint="eastAsia" w:ascii="宋体" w:hAnsi="宋体" w:cs="宋体"/>
          <w:szCs w:val="21"/>
        </w:rPr>
        <w:fldChar w:fldCharType="separate"/>
      </w:r>
      <w:r>
        <w:rPr>
          <w:rFonts w:hint="eastAsia" w:ascii="宋体" w:hAnsi="宋体" w:cs="宋体"/>
          <w:szCs w:val="36"/>
        </w:rPr>
        <w:t>附件十一  开标一览表</w:t>
      </w:r>
      <w:r>
        <w:tab/>
      </w:r>
      <w:r>
        <w:fldChar w:fldCharType="begin"/>
      </w:r>
      <w:r>
        <w:instrText xml:space="preserve"> PAGEREF _Toc15742 \h </w:instrText>
      </w:r>
      <w:r>
        <w:fldChar w:fldCharType="separate"/>
      </w:r>
      <w:r>
        <w:t>111</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_Toc21882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-1  玉海街道投标分项报价汇总表</w:t>
      </w:r>
      <w:r>
        <w:tab/>
      </w:r>
      <w:r>
        <w:fldChar w:fldCharType="begin"/>
      </w:r>
      <w:r>
        <w:instrText xml:space="preserve"> PAGEREF _Toc21882 \h </w:instrText>
      </w:r>
      <w:r>
        <w:fldChar w:fldCharType="separate"/>
      </w:r>
      <w:r>
        <w:t>112</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_Toc14815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-2  锦湖街道投标分项报价汇总表</w:t>
      </w:r>
      <w:r>
        <w:tab/>
      </w:r>
      <w:r>
        <w:fldChar w:fldCharType="begin"/>
      </w:r>
      <w:r>
        <w:instrText xml:space="preserve"> PAGEREF _Toc14815 \h </w:instrText>
      </w:r>
      <w:r>
        <w:fldChar w:fldCharType="separate"/>
      </w:r>
      <w:r>
        <w:t>113</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_Toc23890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-3  潘岱街道投标分项报价汇总表</w:t>
      </w:r>
      <w:r>
        <w:tab/>
      </w:r>
      <w:r>
        <w:fldChar w:fldCharType="begin"/>
      </w:r>
      <w:r>
        <w:instrText xml:space="preserve"> PAGEREF _Toc23890 \h </w:instrText>
      </w:r>
      <w:r>
        <w:fldChar w:fldCharType="separate"/>
      </w:r>
      <w:r>
        <w:t>114</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_Toc16385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-4  玉海街道投标分项报价明细表</w:t>
      </w:r>
      <w:r>
        <w:tab/>
      </w:r>
      <w:r>
        <w:fldChar w:fldCharType="begin"/>
      </w:r>
      <w:r>
        <w:instrText xml:space="preserve"> PAGEREF _Toc16385 \h </w:instrText>
      </w:r>
      <w:r>
        <w:fldChar w:fldCharType="separate"/>
      </w:r>
      <w:r>
        <w:t>115</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_Toc13326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-5  锦湖街道投标分项报价明细表</w:t>
      </w:r>
      <w:r>
        <w:tab/>
      </w:r>
      <w:r>
        <w:fldChar w:fldCharType="begin"/>
      </w:r>
      <w:r>
        <w:instrText xml:space="preserve"> PAGEREF _Toc13326 \h </w:instrText>
      </w:r>
      <w:r>
        <w:fldChar w:fldCharType="separate"/>
      </w:r>
      <w:r>
        <w:t>119</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_Toc14854 </w:instrText>
      </w:r>
      <w:r>
        <w:rPr>
          <w:rFonts w:hint="eastAsia" w:ascii="宋体" w:hAnsi="宋体" w:cs="宋体"/>
          <w:szCs w:val="21"/>
        </w:rPr>
        <w:fldChar w:fldCharType="separate"/>
      </w:r>
      <w:r>
        <w:rPr>
          <w:rFonts w:hint="eastAsia" w:ascii="宋体" w:hAnsi="宋体" w:cs="宋体"/>
          <w:szCs w:val="36"/>
        </w:rPr>
        <w:t>附件</w:t>
      </w:r>
      <w:r>
        <w:rPr>
          <w:rFonts w:hint="eastAsia" w:ascii="宋体" w:hAnsi="宋体" w:cs="宋体"/>
          <w:szCs w:val="21"/>
        </w:rPr>
        <w:t>十二</w:t>
      </w:r>
      <w:r>
        <w:rPr>
          <w:rFonts w:hint="eastAsia" w:ascii="宋体" w:hAnsi="宋体" w:cs="宋体"/>
          <w:szCs w:val="36"/>
        </w:rPr>
        <w:t>-6  潘岱街道投标分项报价明细表</w:t>
      </w:r>
      <w:r>
        <w:tab/>
      </w:r>
      <w:r>
        <w:fldChar w:fldCharType="begin"/>
      </w:r>
      <w:r>
        <w:instrText xml:space="preserve"> PAGEREF _Toc14854 \h </w:instrText>
      </w:r>
      <w:r>
        <w:fldChar w:fldCharType="separate"/>
      </w:r>
      <w:r>
        <w:t>122</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_Toc7793 </w:instrText>
      </w:r>
      <w:r>
        <w:rPr>
          <w:rFonts w:hint="eastAsia" w:ascii="宋体" w:hAnsi="宋体" w:cs="宋体"/>
          <w:szCs w:val="21"/>
        </w:rPr>
        <w:fldChar w:fldCharType="separate"/>
      </w:r>
      <w:r>
        <w:rPr>
          <w:rFonts w:hint="eastAsia" w:ascii="宋体" w:hAnsi="宋体" w:cs="宋体"/>
          <w:bCs/>
          <w:szCs w:val="36"/>
        </w:rPr>
        <w:t>附件十三  中小企业声明函（工程、服务）</w:t>
      </w:r>
      <w:r>
        <w:tab/>
      </w:r>
      <w:r>
        <w:fldChar w:fldCharType="begin"/>
      </w:r>
      <w:r>
        <w:instrText xml:space="preserve"> PAGEREF _Toc7793 \h </w:instrText>
      </w:r>
      <w:r>
        <w:fldChar w:fldCharType="separate"/>
      </w:r>
      <w:r>
        <w:t>126</w:t>
      </w:r>
      <w:r>
        <w:fldChar w:fldCharType="end"/>
      </w:r>
      <w:r>
        <w:rPr>
          <w:rFonts w:hint="eastAsia" w:ascii="宋体" w:hAnsi="宋体" w:cs="宋体"/>
          <w:szCs w:val="21"/>
        </w:rPr>
        <w:fldChar w:fldCharType="end"/>
      </w:r>
    </w:p>
    <w:p>
      <w:pPr>
        <w:pStyle w:val="24"/>
        <w:tabs>
          <w:tab w:val="right" w:leader="dot" w:pos="9070"/>
          <w:tab w:val="clear" w:pos="8948"/>
        </w:tabs>
      </w:pPr>
      <w:r>
        <w:rPr>
          <w:rFonts w:hint="eastAsia" w:ascii="宋体" w:hAnsi="宋体" w:cs="宋体"/>
          <w:szCs w:val="21"/>
        </w:rPr>
        <w:fldChar w:fldCharType="begin"/>
      </w:r>
      <w:r>
        <w:rPr>
          <w:rFonts w:hint="eastAsia" w:ascii="宋体" w:hAnsi="宋体" w:cs="宋体"/>
          <w:szCs w:val="21"/>
        </w:rPr>
        <w:instrText xml:space="preserve"> HYPERLINK \l _Toc30763 </w:instrText>
      </w:r>
      <w:r>
        <w:rPr>
          <w:rFonts w:hint="eastAsia" w:ascii="宋体" w:hAnsi="宋体" w:cs="宋体"/>
          <w:szCs w:val="21"/>
        </w:rPr>
        <w:fldChar w:fldCharType="separate"/>
      </w:r>
      <w:r>
        <w:rPr>
          <w:rFonts w:hint="eastAsia" w:ascii="宋体" w:hAnsi="宋体" w:cs="宋体"/>
          <w:szCs w:val="36"/>
        </w:rPr>
        <w:t>附件十四  残疾人福利性单位声明函</w:t>
      </w:r>
      <w:r>
        <w:tab/>
      </w:r>
      <w:r>
        <w:fldChar w:fldCharType="begin"/>
      </w:r>
      <w:r>
        <w:instrText xml:space="preserve"> PAGEREF _Toc30763 \h </w:instrText>
      </w:r>
      <w:r>
        <w:fldChar w:fldCharType="separate"/>
      </w:r>
      <w:r>
        <w:t>127</w:t>
      </w:r>
      <w:r>
        <w:fldChar w:fldCharType="end"/>
      </w:r>
      <w:r>
        <w:rPr>
          <w:rFonts w:hint="eastAsia" w:ascii="宋体" w:hAnsi="宋体" w:cs="宋体"/>
          <w:szCs w:val="21"/>
        </w:rPr>
        <w:fldChar w:fldCharType="end"/>
      </w:r>
    </w:p>
    <w:p>
      <w:pPr>
        <w:pStyle w:val="22"/>
        <w:tabs>
          <w:tab w:val="right" w:leader="dot" w:pos="9070"/>
          <w:tab w:val="clear" w:pos="8948"/>
        </w:tabs>
        <w:ind w:firstLine="0" w:firstLineChars="0"/>
      </w:pPr>
      <w:r>
        <w:rPr>
          <w:rFonts w:hint="eastAsia" w:cs="宋体"/>
          <w:color w:val="auto"/>
          <w:szCs w:val="21"/>
        </w:rPr>
        <w:fldChar w:fldCharType="begin"/>
      </w:r>
      <w:r>
        <w:rPr>
          <w:rFonts w:hint="eastAsia" w:cs="宋体"/>
          <w:szCs w:val="21"/>
        </w:rPr>
        <w:instrText xml:space="preserve"> HYPERLINK \l _Toc22589 </w:instrText>
      </w:r>
      <w:r>
        <w:rPr>
          <w:rFonts w:hint="eastAsia" w:cs="宋体"/>
          <w:szCs w:val="21"/>
        </w:rPr>
        <w:fldChar w:fldCharType="separate"/>
      </w:r>
      <w:r>
        <w:rPr>
          <w:rFonts w:hint="eastAsia" w:cs="宋体"/>
          <w:szCs w:val="36"/>
        </w:rPr>
        <w:t>第六部分  评标办法</w:t>
      </w:r>
      <w:r>
        <w:tab/>
      </w:r>
      <w:r>
        <w:fldChar w:fldCharType="begin"/>
      </w:r>
      <w:r>
        <w:instrText xml:space="preserve"> PAGEREF _Toc22589 \h </w:instrText>
      </w:r>
      <w:r>
        <w:fldChar w:fldCharType="separate"/>
      </w:r>
      <w:r>
        <w:t>128</w:t>
      </w:r>
      <w:r>
        <w:fldChar w:fldCharType="end"/>
      </w:r>
      <w:r>
        <w:rPr>
          <w:rFonts w:hint="eastAsia" w:cs="宋体"/>
          <w:color w:val="auto"/>
          <w:szCs w:val="21"/>
        </w:rPr>
        <w:fldChar w:fldCharType="end"/>
      </w:r>
    </w:p>
    <w:p>
      <w:pPr>
        <w:pStyle w:val="22"/>
        <w:tabs>
          <w:tab w:val="right" w:leader="dot" w:pos="9070"/>
          <w:tab w:val="clear" w:pos="8948"/>
        </w:tabs>
      </w:pPr>
      <w:r>
        <w:rPr>
          <w:rFonts w:hint="eastAsia" w:cs="宋体"/>
          <w:color w:val="auto"/>
          <w:szCs w:val="21"/>
        </w:rPr>
        <w:fldChar w:fldCharType="begin"/>
      </w:r>
      <w:r>
        <w:rPr>
          <w:rFonts w:hint="eastAsia" w:cs="宋体"/>
          <w:szCs w:val="21"/>
        </w:rPr>
        <w:instrText xml:space="preserve"> HYPERLINK \l _Toc10679 </w:instrText>
      </w:r>
      <w:r>
        <w:rPr>
          <w:rFonts w:hint="eastAsia" w:cs="宋体"/>
          <w:szCs w:val="21"/>
        </w:rPr>
        <w:fldChar w:fldCharType="separate"/>
      </w:r>
      <w:r>
        <w:rPr>
          <w:rFonts w:hint="eastAsia" w:cs="宋体"/>
        </w:rPr>
        <w:t>附件1-《</w:t>
      </w:r>
      <w:r>
        <w:rPr>
          <w:rFonts w:hint="eastAsia" w:cs="宋体"/>
          <w:lang w:eastAsia="zh-CN"/>
        </w:rPr>
        <w:t>玉海街道</w:t>
      </w:r>
      <w:r>
        <w:rPr>
          <w:rFonts w:hint="eastAsia" w:cs="宋体"/>
        </w:rPr>
        <w:t>环卫保洁作业量清单》</w:t>
      </w:r>
      <w:r>
        <w:tab/>
      </w:r>
      <w:r>
        <w:fldChar w:fldCharType="begin"/>
      </w:r>
      <w:r>
        <w:instrText xml:space="preserve"> PAGEREF _Toc10679 \h </w:instrText>
      </w:r>
      <w:r>
        <w:fldChar w:fldCharType="separate"/>
      </w:r>
      <w:r>
        <w:t>138</w:t>
      </w:r>
      <w:r>
        <w:fldChar w:fldCharType="end"/>
      </w:r>
      <w:r>
        <w:rPr>
          <w:rFonts w:hint="eastAsia" w:cs="宋体"/>
          <w:color w:val="auto"/>
          <w:szCs w:val="21"/>
        </w:rPr>
        <w:fldChar w:fldCharType="end"/>
      </w:r>
    </w:p>
    <w:p>
      <w:pPr>
        <w:pStyle w:val="22"/>
        <w:tabs>
          <w:tab w:val="right" w:leader="dot" w:pos="9070"/>
          <w:tab w:val="clear" w:pos="8948"/>
        </w:tabs>
      </w:pPr>
      <w:r>
        <w:rPr>
          <w:rFonts w:hint="eastAsia" w:cs="宋体"/>
          <w:color w:val="auto"/>
          <w:szCs w:val="21"/>
        </w:rPr>
        <w:fldChar w:fldCharType="begin"/>
      </w:r>
      <w:r>
        <w:rPr>
          <w:rFonts w:hint="eastAsia" w:cs="宋体"/>
          <w:szCs w:val="21"/>
        </w:rPr>
        <w:instrText xml:space="preserve"> HYPERLINK \l _Toc29670 </w:instrText>
      </w:r>
      <w:r>
        <w:rPr>
          <w:rFonts w:hint="eastAsia" w:cs="宋体"/>
          <w:szCs w:val="21"/>
        </w:rPr>
        <w:fldChar w:fldCharType="separate"/>
      </w:r>
      <w:r>
        <w:rPr>
          <w:rFonts w:hint="eastAsia" w:cs="宋体"/>
          <w:szCs w:val="22"/>
          <w:lang w:val="en-US" w:eastAsia="zh-CN"/>
        </w:rPr>
        <w:t>附件2-《锦湖街道环卫保洁作业量清单》</w:t>
      </w:r>
      <w:r>
        <w:tab/>
      </w:r>
      <w:r>
        <w:fldChar w:fldCharType="begin"/>
      </w:r>
      <w:r>
        <w:instrText xml:space="preserve"> PAGEREF _Toc29670 \h </w:instrText>
      </w:r>
      <w:r>
        <w:fldChar w:fldCharType="separate"/>
      </w:r>
      <w:r>
        <w:t>208</w:t>
      </w:r>
      <w:r>
        <w:fldChar w:fldCharType="end"/>
      </w:r>
      <w:r>
        <w:rPr>
          <w:rFonts w:hint="eastAsia" w:cs="宋体"/>
          <w:color w:val="auto"/>
          <w:szCs w:val="21"/>
        </w:rPr>
        <w:fldChar w:fldCharType="end"/>
      </w:r>
    </w:p>
    <w:p>
      <w:pPr>
        <w:pStyle w:val="22"/>
        <w:tabs>
          <w:tab w:val="right" w:leader="dot" w:pos="9070"/>
          <w:tab w:val="clear" w:pos="8948"/>
        </w:tabs>
      </w:pPr>
      <w:r>
        <w:rPr>
          <w:rFonts w:hint="eastAsia" w:cs="宋体"/>
          <w:color w:val="auto"/>
          <w:szCs w:val="21"/>
        </w:rPr>
        <w:fldChar w:fldCharType="begin"/>
      </w:r>
      <w:r>
        <w:rPr>
          <w:rFonts w:hint="eastAsia" w:cs="宋体"/>
          <w:szCs w:val="21"/>
        </w:rPr>
        <w:instrText xml:space="preserve"> HYPERLINK \l _Toc24178 </w:instrText>
      </w:r>
      <w:r>
        <w:rPr>
          <w:rFonts w:hint="eastAsia" w:cs="宋体"/>
          <w:szCs w:val="21"/>
        </w:rPr>
        <w:fldChar w:fldCharType="separate"/>
      </w:r>
      <w:r>
        <w:rPr>
          <w:rFonts w:hint="eastAsia" w:cs="宋体"/>
          <w:szCs w:val="22"/>
          <w:lang w:val="en-US" w:eastAsia="zh-CN"/>
        </w:rPr>
        <w:t>附件3-《潘岱街道环卫保洁作业量清单》</w:t>
      </w:r>
      <w:r>
        <w:tab/>
      </w:r>
      <w:r>
        <w:fldChar w:fldCharType="begin"/>
      </w:r>
      <w:r>
        <w:instrText xml:space="preserve"> PAGEREF _Toc24178 \h </w:instrText>
      </w:r>
      <w:r>
        <w:fldChar w:fldCharType="separate"/>
      </w:r>
      <w:r>
        <w:t>208</w:t>
      </w:r>
      <w:r>
        <w:fldChar w:fldCharType="end"/>
      </w:r>
      <w:r>
        <w:rPr>
          <w:rFonts w:hint="eastAsia" w:cs="宋体"/>
          <w:color w:val="auto"/>
          <w:szCs w:val="21"/>
        </w:rPr>
        <w:fldChar w:fldCharType="end"/>
      </w:r>
    </w:p>
    <w:p>
      <w:pPr>
        <w:pStyle w:val="22"/>
        <w:spacing w:line="300" w:lineRule="exact"/>
        <w:rPr>
          <w:rFonts w:hint="eastAsia" w:cs="宋体"/>
          <w:color w:val="auto"/>
          <w:szCs w:val="21"/>
        </w:rPr>
        <w:sectPr>
          <w:headerReference r:id="rId5" w:type="first"/>
          <w:headerReference r:id="rId3" w:type="default"/>
          <w:footerReference r:id="rId6" w:type="default"/>
          <w:headerReference r:id="rId4" w:type="even"/>
          <w:footerReference r:id="rId7" w:type="even"/>
          <w:pgSz w:w="11906" w:h="16838"/>
          <w:pgMar w:top="1588" w:right="1418" w:bottom="1134" w:left="1418" w:header="680" w:footer="992" w:gutter="0"/>
          <w:pgNumType w:fmt="upperRoman" w:start="1"/>
          <w:cols w:space="720" w:num="1"/>
          <w:docGrid w:type="lines" w:linePitch="312" w:charSpace="0"/>
        </w:sectPr>
      </w:pPr>
      <w:r>
        <w:rPr>
          <w:rFonts w:hint="eastAsia" w:cs="宋体"/>
          <w:color w:val="auto"/>
          <w:szCs w:val="21"/>
        </w:rPr>
        <w:fldChar w:fldCharType="end"/>
      </w:r>
    </w:p>
    <w:p>
      <w:pPr>
        <w:pStyle w:val="3"/>
        <w:keepNext w:val="0"/>
        <w:keepLines w:val="0"/>
        <w:pageBreakBefore/>
        <w:spacing w:before="240" w:beforeLines="100" w:after="240" w:afterLines="100"/>
        <w:jc w:val="center"/>
        <w:rPr>
          <w:rFonts w:hint="eastAsia" w:ascii="宋体" w:hAnsi="宋体" w:eastAsia="宋体" w:cs="宋体"/>
          <w:sz w:val="28"/>
          <w:szCs w:val="36"/>
        </w:rPr>
      </w:pPr>
      <w:bookmarkStart w:id="1" w:name="_Toc23684"/>
      <w:r>
        <w:rPr>
          <w:rFonts w:hint="eastAsia" w:ascii="宋体" w:hAnsi="宋体" w:eastAsia="宋体" w:cs="宋体"/>
          <w:sz w:val="28"/>
          <w:szCs w:val="36"/>
        </w:rPr>
        <w:t>第一部分  招标公告</w:t>
      </w:r>
      <w:bookmarkEnd w:id="1"/>
    </w:p>
    <w:p>
      <w:pPr>
        <w:jc w:val="center"/>
        <w:rPr>
          <w:rFonts w:hint="eastAsia" w:ascii="宋体" w:hAnsi="宋体" w:cs="宋体"/>
          <w:highlight w:val="none"/>
        </w:rPr>
      </w:pPr>
      <w:r>
        <w:rPr>
          <w:rFonts w:hint="eastAsia" w:ascii="宋体" w:hAnsi="宋体" w:cs="宋体"/>
        </w:rPr>
        <w:t>发布日期：2021年</w:t>
      </w:r>
      <w:r>
        <w:rPr>
          <w:rFonts w:hint="eastAsia" w:ascii="宋体" w:hAnsi="宋体" w:cs="宋体"/>
          <w:highlight w:val="none"/>
          <w:lang w:val="en-US" w:eastAsia="zh-CN"/>
        </w:rPr>
        <w:t>4</w:t>
      </w:r>
      <w:r>
        <w:rPr>
          <w:rFonts w:hint="eastAsia" w:ascii="宋体" w:hAnsi="宋体" w:cs="宋体"/>
          <w:highlight w:val="none"/>
        </w:rPr>
        <w:t>月</w:t>
      </w:r>
      <w:r>
        <w:rPr>
          <w:rFonts w:hint="eastAsia" w:ascii="宋体" w:hAnsi="宋体" w:cs="宋体"/>
          <w:highlight w:val="none"/>
          <w:lang w:val="en-US" w:eastAsia="zh-CN"/>
        </w:rPr>
        <w:t>19</w:t>
      </w:r>
      <w:r>
        <w:rPr>
          <w:rFonts w:hint="eastAsia" w:ascii="宋体" w:hAnsi="宋体" w:cs="宋体"/>
          <w:highlight w:val="none"/>
        </w:rPr>
        <w:t>日</w:t>
      </w:r>
    </w:p>
    <w:tbl>
      <w:tblPr>
        <w:tblStyle w:val="2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8730" w:type="dxa"/>
            <w:noWrap w:val="0"/>
            <w:vAlign w:val="top"/>
          </w:tcPr>
          <w:p>
            <w:pPr>
              <w:shd w:val="clear" w:color="auto" w:fill="FFFFFF"/>
              <w:spacing w:line="390" w:lineRule="exact"/>
              <w:rPr>
                <w:rFonts w:hint="eastAsia" w:ascii="宋体" w:hAnsi="宋体" w:cs="宋体"/>
                <w:szCs w:val="21"/>
                <w:highlight w:val="none"/>
              </w:rPr>
            </w:pPr>
            <w:r>
              <w:rPr>
                <w:rFonts w:hint="eastAsia" w:ascii="宋体" w:hAnsi="宋体" w:cs="宋体"/>
                <w:szCs w:val="21"/>
                <w:highlight w:val="none"/>
              </w:rPr>
              <w:t>项目概况</w:t>
            </w:r>
          </w:p>
          <w:p>
            <w:pPr>
              <w:shd w:val="clear" w:color="auto" w:fill="FFFFFF"/>
              <w:spacing w:line="390" w:lineRule="exact"/>
              <w:ind w:firstLine="420" w:firstLineChars="200"/>
              <w:rPr>
                <w:rFonts w:hint="eastAsia" w:ascii="宋体" w:hAnsi="宋体" w:cs="宋体"/>
                <w:szCs w:val="21"/>
                <w:highlight w:val="none"/>
              </w:rPr>
            </w:pPr>
            <w:r>
              <w:rPr>
                <w:rFonts w:hint="eastAsia" w:ascii="宋体" w:hAnsi="宋体" w:cs="宋体"/>
                <w:szCs w:val="21"/>
                <w:highlight w:val="none"/>
              </w:rPr>
              <w:t>瑞安市“一把扫帚”环卫保洁一体化招标（玉海街道、锦湖街道、潘岱街道）招标项目的潜在投标人应在“政府采购云平台”获取招标文件，并于</w:t>
            </w:r>
            <w:r>
              <w:rPr>
                <w:rFonts w:hint="eastAsia" w:ascii="宋体" w:hAnsi="宋体" w:cs="宋体"/>
                <w:bCs/>
                <w:highlight w:val="none"/>
              </w:rPr>
              <w:t>2021年</w:t>
            </w:r>
            <w:r>
              <w:rPr>
                <w:rFonts w:hint="eastAsia" w:ascii="宋体" w:hAnsi="宋体" w:cs="宋体"/>
                <w:bCs/>
                <w:highlight w:val="none"/>
                <w:lang w:val="en-US" w:eastAsia="zh-CN"/>
              </w:rPr>
              <w:t>5</w:t>
            </w:r>
            <w:r>
              <w:rPr>
                <w:rFonts w:hint="eastAsia" w:ascii="宋体" w:hAnsi="宋体" w:cs="宋体"/>
                <w:bCs/>
                <w:highlight w:val="none"/>
              </w:rPr>
              <w:t>月</w:t>
            </w:r>
            <w:r>
              <w:rPr>
                <w:rFonts w:hint="eastAsia" w:ascii="宋体" w:hAnsi="宋体" w:cs="宋体"/>
                <w:bCs/>
                <w:highlight w:val="none"/>
                <w:lang w:val="en-US" w:eastAsia="zh-CN"/>
              </w:rPr>
              <w:t>1</w:t>
            </w:r>
            <w:r>
              <w:rPr>
                <w:rFonts w:hint="eastAsia" w:ascii="宋体" w:hAnsi="宋体" w:cs="宋体"/>
                <w:bCs/>
                <w:highlight w:val="none"/>
                <w:lang w:val="en-US" w:eastAsia="zh-CN"/>
              </w:rPr>
              <w:t>2</w:t>
            </w:r>
            <w:r>
              <w:rPr>
                <w:rFonts w:hint="eastAsia" w:ascii="宋体" w:hAnsi="宋体" w:cs="宋体"/>
                <w:bCs/>
                <w:highlight w:val="none"/>
              </w:rPr>
              <w:t>日</w:t>
            </w:r>
            <w:r>
              <w:rPr>
                <w:rFonts w:hint="eastAsia" w:ascii="宋体" w:hAnsi="宋体" w:cs="宋体"/>
                <w:szCs w:val="21"/>
                <w:highlight w:val="none"/>
              </w:rPr>
              <w:t>09点00分（北京时间）前递交投标文件。</w:t>
            </w:r>
          </w:p>
        </w:tc>
      </w:tr>
    </w:tbl>
    <w:p>
      <w:pPr>
        <w:shd w:val="clear" w:color="auto" w:fill="FFFFFF"/>
        <w:spacing w:line="390" w:lineRule="exact"/>
        <w:rPr>
          <w:rFonts w:hint="eastAsia" w:ascii="宋体" w:hAnsi="宋体" w:cs="宋体"/>
          <w:szCs w:val="21"/>
        </w:rPr>
      </w:pPr>
      <w:r>
        <w:rPr>
          <w:rFonts w:hint="eastAsia" w:ascii="宋体" w:hAnsi="宋体" w:cs="宋体"/>
          <w:szCs w:val="21"/>
        </w:rPr>
        <w:t>一、项目基本情况</w:t>
      </w:r>
    </w:p>
    <w:p>
      <w:pPr>
        <w:shd w:val="clear" w:color="auto" w:fill="FFFFFF"/>
        <w:spacing w:line="390" w:lineRule="exact"/>
        <w:ind w:firstLine="420" w:firstLineChars="200"/>
        <w:rPr>
          <w:rFonts w:hint="eastAsia" w:ascii="宋体" w:hAnsi="宋体" w:eastAsia="宋体" w:cs="宋体"/>
          <w:szCs w:val="21"/>
          <w:lang w:eastAsia="zh-CN"/>
        </w:rPr>
      </w:pPr>
      <w:r>
        <w:rPr>
          <w:rFonts w:hint="eastAsia" w:ascii="宋体" w:hAnsi="宋体" w:cs="宋体"/>
          <w:szCs w:val="21"/>
        </w:rPr>
        <w:t>项目编号：</w:t>
      </w:r>
      <w:r>
        <w:rPr>
          <w:rFonts w:hint="eastAsia" w:ascii="宋体" w:hAnsi="宋体" w:cs="宋体"/>
          <w:szCs w:val="21"/>
          <w:lang w:eastAsia="zh-CN"/>
        </w:rPr>
        <w:t>DLCG-RA202104005</w:t>
      </w:r>
    </w:p>
    <w:p>
      <w:pPr>
        <w:shd w:val="clear" w:color="auto" w:fill="FFFFFF"/>
        <w:spacing w:line="390" w:lineRule="exact"/>
        <w:ind w:left="420" w:leftChars="200"/>
        <w:rPr>
          <w:rFonts w:hint="eastAsia" w:ascii="宋体" w:hAnsi="宋体" w:cs="宋体"/>
          <w:szCs w:val="21"/>
        </w:rPr>
      </w:pPr>
      <w:r>
        <w:rPr>
          <w:rFonts w:hint="eastAsia" w:ascii="宋体" w:hAnsi="宋体" w:cs="宋体"/>
          <w:szCs w:val="21"/>
        </w:rPr>
        <w:t>项目名称：瑞安市“一把扫帚”环卫保洁一体化招标（玉海街道、锦湖街道、潘岱街道）</w:t>
      </w:r>
    </w:p>
    <w:p>
      <w:pPr>
        <w:shd w:val="clear" w:color="auto" w:fill="FFFFFF"/>
        <w:spacing w:line="390" w:lineRule="exact"/>
        <w:ind w:left="420" w:leftChars="200"/>
        <w:rPr>
          <w:rFonts w:hint="eastAsia" w:ascii="宋体" w:hAnsi="宋体" w:cs="宋体"/>
          <w:szCs w:val="21"/>
        </w:rPr>
      </w:pPr>
      <w:r>
        <w:rPr>
          <w:rFonts w:hint="eastAsia" w:ascii="宋体" w:hAnsi="宋体" w:cs="宋体"/>
          <w:szCs w:val="21"/>
        </w:rPr>
        <w:t>预算金额：11162</w:t>
      </w:r>
      <w:r>
        <w:rPr>
          <w:rFonts w:hint="eastAsia" w:ascii="宋体" w:hAnsi="宋体" w:cs="宋体"/>
          <w:szCs w:val="21"/>
          <w:lang w:val="en-US" w:eastAsia="zh-CN"/>
        </w:rPr>
        <w:t>.</w:t>
      </w:r>
      <w:r>
        <w:rPr>
          <w:rFonts w:hint="eastAsia" w:ascii="宋体" w:hAnsi="宋体" w:cs="宋体"/>
          <w:szCs w:val="21"/>
        </w:rPr>
        <w:t>2365万元（三年）</w:t>
      </w:r>
    </w:p>
    <w:p>
      <w:pPr>
        <w:shd w:val="clear" w:color="auto" w:fill="FFFFFF"/>
        <w:spacing w:line="390" w:lineRule="exact"/>
        <w:ind w:firstLine="420" w:firstLineChars="200"/>
        <w:rPr>
          <w:rFonts w:hint="eastAsia" w:ascii="宋体" w:hAnsi="宋体" w:eastAsia="宋体" w:cs="宋体"/>
          <w:color w:val="FF0000"/>
          <w:szCs w:val="21"/>
          <w:lang w:val="en-US" w:eastAsia="zh-CN"/>
        </w:rPr>
      </w:pPr>
      <w:r>
        <w:rPr>
          <w:rFonts w:hint="eastAsia" w:ascii="宋体" w:hAnsi="宋体" w:cs="宋体"/>
          <w:color w:val="auto"/>
          <w:szCs w:val="21"/>
        </w:rPr>
        <w:t>最高限价</w:t>
      </w:r>
      <w:r>
        <w:rPr>
          <w:rFonts w:hint="eastAsia" w:ascii="宋体" w:hAnsi="宋体" w:eastAsia="宋体" w:cs="宋体"/>
          <w:color w:val="auto"/>
          <w:szCs w:val="21"/>
        </w:rPr>
        <w:t>：玉海街道46281624元人民币/三年；锦湖街道47455020元人民币/三年；潘岱街道17885721元人民币/三年</w:t>
      </w:r>
      <w:r>
        <w:rPr>
          <w:rFonts w:hint="eastAsia" w:ascii="宋体" w:hAnsi="宋体" w:eastAsia="宋体" w:cs="宋体"/>
          <w:color w:val="auto"/>
          <w:szCs w:val="21"/>
          <w:lang w:eastAsia="zh-CN"/>
        </w:rPr>
        <w:t>。</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采购需求：</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461"/>
        <w:gridCol w:w="736"/>
        <w:gridCol w:w="734"/>
        <w:gridCol w:w="3376"/>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36"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标项序号</w:t>
            </w:r>
          </w:p>
        </w:tc>
        <w:tc>
          <w:tcPr>
            <w:tcW w:w="2461" w:type="dxa"/>
            <w:noWrap w:val="0"/>
            <w:vAlign w:val="center"/>
          </w:tcPr>
          <w:p>
            <w:pPr>
              <w:shd w:val="clear" w:color="auto" w:fill="FFFFFF"/>
              <w:spacing w:line="390" w:lineRule="exact"/>
              <w:ind w:firstLine="210" w:firstLineChars="100"/>
              <w:jc w:val="center"/>
              <w:rPr>
                <w:rFonts w:hint="eastAsia" w:ascii="宋体" w:hAnsi="宋体" w:cs="宋体"/>
                <w:szCs w:val="21"/>
              </w:rPr>
            </w:pPr>
            <w:r>
              <w:rPr>
                <w:rFonts w:hint="eastAsia" w:ascii="宋体" w:hAnsi="宋体" w:cs="宋体"/>
                <w:szCs w:val="21"/>
              </w:rPr>
              <w:t>标项名称</w:t>
            </w:r>
          </w:p>
        </w:tc>
        <w:tc>
          <w:tcPr>
            <w:tcW w:w="736"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数量</w:t>
            </w:r>
          </w:p>
        </w:tc>
        <w:tc>
          <w:tcPr>
            <w:tcW w:w="734"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单位</w:t>
            </w:r>
          </w:p>
        </w:tc>
        <w:tc>
          <w:tcPr>
            <w:tcW w:w="3376"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简要规格描述或标项基本概况介绍</w:t>
            </w:r>
          </w:p>
        </w:tc>
        <w:tc>
          <w:tcPr>
            <w:tcW w:w="674"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36" w:type="dxa"/>
            <w:noWrap w:val="0"/>
            <w:vAlign w:val="center"/>
          </w:tcPr>
          <w:p>
            <w:pPr>
              <w:shd w:val="clear" w:color="auto" w:fill="FFFFFF"/>
              <w:spacing w:line="390" w:lineRule="exact"/>
              <w:ind w:firstLine="210" w:firstLineChars="100"/>
              <w:jc w:val="center"/>
              <w:rPr>
                <w:rFonts w:hint="eastAsia" w:ascii="宋体" w:hAnsi="宋体" w:cs="宋体"/>
                <w:szCs w:val="21"/>
              </w:rPr>
            </w:pPr>
            <w:r>
              <w:rPr>
                <w:rFonts w:hint="eastAsia" w:ascii="宋体" w:hAnsi="宋体" w:cs="宋体"/>
                <w:szCs w:val="21"/>
              </w:rPr>
              <w:t>1</w:t>
            </w:r>
          </w:p>
        </w:tc>
        <w:tc>
          <w:tcPr>
            <w:tcW w:w="2461"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瑞安市“一把扫帚”环卫保洁一体化招标（玉海街道、锦湖街道、潘岱街道）</w:t>
            </w:r>
          </w:p>
        </w:tc>
        <w:tc>
          <w:tcPr>
            <w:tcW w:w="736"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1</w:t>
            </w:r>
          </w:p>
        </w:tc>
        <w:tc>
          <w:tcPr>
            <w:tcW w:w="734" w:type="dxa"/>
            <w:noWrap w:val="0"/>
            <w:vAlign w:val="center"/>
          </w:tcPr>
          <w:p>
            <w:pPr>
              <w:shd w:val="clear" w:color="auto" w:fill="FFFFFF"/>
              <w:spacing w:line="390" w:lineRule="exact"/>
              <w:jc w:val="center"/>
              <w:rPr>
                <w:rFonts w:hint="eastAsia" w:ascii="宋体" w:hAnsi="宋体" w:cs="宋体"/>
                <w:szCs w:val="21"/>
              </w:rPr>
            </w:pPr>
            <w:r>
              <w:rPr>
                <w:rFonts w:hint="eastAsia" w:ascii="宋体" w:hAnsi="宋体" w:cs="宋体"/>
                <w:szCs w:val="21"/>
              </w:rPr>
              <w:t>项</w:t>
            </w:r>
          </w:p>
        </w:tc>
        <w:tc>
          <w:tcPr>
            <w:tcW w:w="3376" w:type="dxa"/>
            <w:noWrap w:val="0"/>
            <w:vAlign w:val="center"/>
          </w:tcPr>
          <w:p>
            <w:pPr>
              <w:shd w:val="clear" w:color="auto" w:fill="FFFFFF"/>
              <w:spacing w:line="390" w:lineRule="exact"/>
              <w:rPr>
                <w:rFonts w:hint="eastAsia" w:ascii="宋体" w:hAnsi="宋体" w:cs="宋体"/>
                <w:szCs w:val="21"/>
              </w:rPr>
            </w:pPr>
            <w:r>
              <w:rPr>
                <w:rFonts w:hint="eastAsia" w:ascii="宋体" w:hAnsi="宋体" w:cs="宋体"/>
                <w:szCs w:val="21"/>
              </w:rPr>
              <w:t>瑞安市“一把扫帚”环卫保洁一体化招标（玉海街道、锦湖街道、潘岱街道）（具体要求详见招标文件第三部分）</w:t>
            </w:r>
          </w:p>
        </w:tc>
        <w:tc>
          <w:tcPr>
            <w:tcW w:w="674" w:type="dxa"/>
            <w:noWrap w:val="0"/>
            <w:vAlign w:val="center"/>
          </w:tcPr>
          <w:p>
            <w:pPr>
              <w:shd w:val="clear" w:color="auto" w:fill="FFFFFF"/>
              <w:spacing w:line="390" w:lineRule="exact"/>
              <w:jc w:val="center"/>
              <w:rPr>
                <w:rFonts w:hint="eastAsia" w:ascii="宋体" w:hAnsi="宋体" w:cs="宋体"/>
                <w:b/>
                <w:szCs w:val="21"/>
              </w:rPr>
            </w:pPr>
            <w:r>
              <w:rPr>
                <w:rFonts w:hint="eastAsia" w:ascii="宋体" w:hAnsi="宋体" w:cs="宋体"/>
                <w:b/>
                <w:szCs w:val="21"/>
              </w:rPr>
              <w:t>/</w:t>
            </w:r>
          </w:p>
        </w:tc>
      </w:tr>
    </w:tbl>
    <w:p>
      <w:pPr>
        <w:shd w:val="clear" w:color="auto" w:fill="FFFFFF"/>
        <w:spacing w:line="390" w:lineRule="exact"/>
        <w:rPr>
          <w:rFonts w:hint="eastAsia" w:ascii="宋体" w:hAnsi="宋体" w:cs="宋体"/>
          <w:szCs w:val="21"/>
        </w:rPr>
      </w:pPr>
      <w:r>
        <w:rPr>
          <w:rFonts w:hint="eastAsia" w:ascii="宋体" w:hAnsi="宋体" w:cs="宋体"/>
          <w:szCs w:val="21"/>
        </w:rPr>
        <w:t xml:space="preserve">    合同履行期限：详见第三部分招标内容及要求。</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本项目（否）接受联合体投标。</w:t>
      </w:r>
    </w:p>
    <w:p>
      <w:pPr>
        <w:shd w:val="clear" w:color="auto" w:fill="FFFFFF"/>
        <w:spacing w:line="390" w:lineRule="exact"/>
        <w:rPr>
          <w:rFonts w:hint="eastAsia" w:ascii="宋体" w:hAnsi="宋体" w:cs="宋体"/>
          <w:szCs w:val="21"/>
        </w:rPr>
      </w:pPr>
      <w:r>
        <w:rPr>
          <w:rFonts w:hint="eastAsia" w:ascii="宋体" w:hAnsi="宋体" w:cs="宋体"/>
          <w:szCs w:val="21"/>
        </w:rPr>
        <w:t>二、申请人的资格要求：</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1.满足《中华人民共和国政府采购法》第二十二条规定；未被信用中国网站（www.creditchina.gov.cn）列入失信被执行人、重大税收违法案件当事人名单，未被中国政府采购网（www.ccgp.gov.cn）列入政府采购严重违法失信行为记录名单。</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2.落实政府采购政策需满足的资格要求：/。</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3.本项目的特定资格要求：无。</w:t>
      </w:r>
    </w:p>
    <w:p>
      <w:pPr>
        <w:shd w:val="clear" w:color="auto" w:fill="FFFFFF"/>
        <w:spacing w:line="390" w:lineRule="exact"/>
        <w:rPr>
          <w:rFonts w:hint="eastAsia" w:ascii="宋体" w:hAnsi="宋体" w:cs="宋体"/>
          <w:szCs w:val="21"/>
        </w:rPr>
      </w:pPr>
      <w:r>
        <w:rPr>
          <w:rFonts w:hint="eastAsia" w:ascii="宋体" w:hAnsi="宋体" w:cs="宋体"/>
          <w:szCs w:val="21"/>
        </w:rPr>
        <w:t>三、获取招标文件</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时间：2021年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19</w:t>
      </w:r>
      <w:r>
        <w:rPr>
          <w:rFonts w:hint="eastAsia" w:ascii="宋体" w:hAnsi="宋体" w:cs="宋体"/>
          <w:szCs w:val="21"/>
        </w:rPr>
        <w:t>日至投标截止时间前，每天上午 00:00至12:00 ，下午 12:00至23:59（北京时间，线上获取法定节假日均可，线下获取文件法定节假日除外）</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地点：“政府采购云平台”在线获取</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售价：0元。</w:t>
      </w:r>
    </w:p>
    <w:p>
      <w:pPr>
        <w:shd w:val="clear" w:color="auto" w:fill="FFFFFF"/>
        <w:spacing w:line="390" w:lineRule="exact"/>
        <w:rPr>
          <w:rFonts w:hint="eastAsia" w:ascii="宋体" w:hAnsi="宋体" w:cs="宋体"/>
          <w:szCs w:val="21"/>
        </w:rPr>
      </w:pPr>
      <w:r>
        <w:rPr>
          <w:rFonts w:hint="eastAsia" w:ascii="宋体" w:hAnsi="宋体" w:cs="宋体"/>
          <w:szCs w:val="21"/>
        </w:rPr>
        <w:t>四、提交投标文件截止时间、开标时间和地点</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提交投标文件截止时间：2021年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日9点00分（北京时间）。</w:t>
      </w:r>
    </w:p>
    <w:p>
      <w:pPr>
        <w:shd w:val="clear" w:color="auto" w:fill="FFFFFF"/>
        <w:spacing w:line="390" w:lineRule="exact"/>
        <w:ind w:firstLine="420" w:firstLineChars="200"/>
        <w:rPr>
          <w:rFonts w:hint="eastAsia" w:ascii="宋体" w:hAnsi="宋体" w:cs="宋体"/>
          <w:bCs/>
          <w:szCs w:val="21"/>
        </w:rPr>
      </w:pPr>
      <w:r>
        <w:rPr>
          <w:rFonts w:hint="eastAsia" w:ascii="宋体" w:hAnsi="宋体" w:cs="宋体"/>
          <w:szCs w:val="21"/>
        </w:rPr>
        <w:t>投标地点：</w:t>
      </w:r>
      <w:r>
        <w:rPr>
          <w:rFonts w:hint="eastAsia" w:ascii="宋体" w:hAnsi="宋体" w:cs="宋体"/>
          <w:bCs/>
          <w:szCs w:val="21"/>
        </w:rPr>
        <w:t>政府采购云平台（</w:t>
      </w:r>
      <w:r>
        <w:rPr>
          <w:rFonts w:hint="eastAsia" w:ascii="宋体" w:hAnsi="宋体" w:cs="宋体"/>
          <w:bCs/>
          <w:szCs w:val="21"/>
        </w:rPr>
        <w:fldChar w:fldCharType="begin"/>
      </w:r>
      <w:r>
        <w:rPr>
          <w:rFonts w:hint="eastAsia" w:ascii="宋体" w:hAnsi="宋体" w:cs="宋体"/>
          <w:bCs/>
          <w:szCs w:val="21"/>
        </w:rPr>
        <w:instrText xml:space="preserve"> HYPERLINK "http://www.zcygov.cn" </w:instrText>
      </w:r>
      <w:r>
        <w:rPr>
          <w:rFonts w:hint="eastAsia" w:ascii="宋体" w:hAnsi="宋体" w:cs="宋体"/>
          <w:bCs/>
          <w:szCs w:val="21"/>
        </w:rPr>
        <w:fldChar w:fldCharType="separate"/>
      </w:r>
      <w:r>
        <w:rPr>
          <w:rStyle w:val="36"/>
          <w:rFonts w:hint="eastAsia" w:ascii="宋体" w:hAnsi="宋体" w:cs="宋体"/>
          <w:bCs/>
          <w:color w:val="auto"/>
          <w:szCs w:val="21"/>
        </w:rPr>
        <w:t>www.zcygov.cn</w:t>
      </w:r>
      <w:r>
        <w:rPr>
          <w:rFonts w:hint="eastAsia" w:ascii="宋体" w:hAnsi="宋体" w:cs="宋体"/>
          <w:bCs/>
          <w:szCs w:val="21"/>
        </w:rPr>
        <w:fldChar w:fldCharType="end"/>
      </w:r>
      <w:r>
        <w:rPr>
          <w:rFonts w:hint="eastAsia" w:ascii="宋体" w:hAnsi="宋体" w:cs="宋体"/>
          <w:bCs/>
          <w:szCs w:val="21"/>
        </w:rPr>
        <w:t>）；</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开标时间：2021年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日9点00分（北京时间）。</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开标地点：线上：</w:t>
      </w:r>
      <w:r>
        <w:rPr>
          <w:rFonts w:hint="eastAsia" w:ascii="宋体" w:hAnsi="宋体" w:cs="宋体"/>
          <w:bCs/>
          <w:szCs w:val="21"/>
        </w:rPr>
        <w:t>政府采购云平台（</w:t>
      </w:r>
      <w:r>
        <w:rPr>
          <w:rFonts w:hint="eastAsia" w:ascii="宋体" w:hAnsi="宋体" w:cs="宋体"/>
          <w:bCs/>
          <w:szCs w:val="21"/>
        </w:rPr>
        <w:fldChar w:fldCharType="begin"/>
      </w:r>
      <w:r>
        <w:rPr>
          <w:rFonts w:hint="eastAsia" w:ascii="宋体" w:hAnsi="宋体" w:cs="宋体"/>
          <w:bCs/>
          <w:szCs w:val="21"/>
        </w:rPr>
        <w:instrText xml:space="preserve"> HYPERLINK "http://www.zcygov.cn" </w:instrText>
      </w:r>
      <w:r>
        <w:rPr>
          <w:rFonts w:hint="eastAsia" w:ascii="宋体" w:hAnsi="宋体" w:cs="宋体"/>
          <w:bCs/>
          <w:szCs w:val="21"/>
        </w:rPr>
        <w:fldChar w:fldCharType="separate"/>
      </w:r>
      <w:r>
        <w:rPr>
          <w:rStyle w:val="36"/>
          <w:rFonts w:hint="eastAsia" w:ascii="宋体" w:hAnsi="宋体" w:cs="宋体"/>
          <w:bCs/>
          <w:color w:val="auto"/>
          <w:szCs w:val="21"/>
        </w:rPr>
        <w:t>www.zcygov.cn</w:t>
      </w:r>
      <w:r>
        <w:rPr>
          <w:rFonts w:hint="eastAsia" w:ascii="宋体" w:hAnsi="宋体" w:cs="宋体"/>
          <w:bCs/>
          <w:szCs w:val="21"/>
        </w:rPr>
        <w:fldChar w:fldCharType="end"/>
      </w:r>
      <w:r>
        <w:rPr>
          <w:rFonts w:hint="eastAsia" w:ascii="宋体" w:hAnsi="宋体" w:cs="宋体"/>
          <w:bCs/>
          <w:szCs w:val="21"/>
        </w:rPr>
        <w:t>）；线下：瑞安市公共资源交易中心指定开标室。</w:t>
      </w:r>
    </w:p>
    <w:p>
      <w:pPr>
        <w:shd w:val="clear" w:color="auto" w:fill="FFFFFF"/>
        <w:spacing w:line="390" w:lineRule="exact"/>
        <w:rPr>
          <w:rFonts w:hint="eastAsia" w:ascii="宋体" w:hAnsi="宋体" w:cs="宋体"/>
          <w:szCs w:val="21"/>
        </w:rPr>
      </w:pPr>
      <w:r>
        <w:rPr>
          <w:rFonts w:hint="eastAsia" w:ascii="宋体" w:hAnsi="宋体" w:cs="宋体"/>
          <w:szCs w:val="21"/>
        </w:rPr>
        <w:t>五、公告期限</w:t>
      </w:r>
    </w:p>
    <w:p>
      <w:p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自本公告发布之日起5个工作日。</w:t>
      </w:r>
    </w:p>
    <w:p>
      <w:pPr>
        <w:shd w:val="clear" w:color="auto" w:fill="FFFFFF"/>
        <w:spacing w:line="390" w:lineRule="exact"/>
        <w:rPr>
          <w:rFonts w:hint="eastAsia" w:ascii="宋体" w:hAnsi="宋体" w:cs="宋体"/>
          <w:szCs w:val="21"/>
        </w:rPr>
      </w:pPr>
      <w:r>
        <w:rPr>
          <w:rFonts w:hint="eastAsia" w:ascii="宋体" w:hAnsi="宋体" w:cs="宋体"/>
          <w:szCs w:val="21"/>
        </w:rPr>
        <w:t>六、其他补充事宜</w:t>
      </w:r>
    </w:p>
    <w:p>
      <w:pPr>
        <w:numPr>
          <w:ilvl w:val="0"/>
          <w:numId w:val="2"/>
        </w:num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本项目通过“政府采购云平台（www.zcygov.cn）”实行在线投标响应（电子投标），供应商通过政采云平台下载安装“政采云电子交易客户端”制作投标文件，同时按照本招标文件和“政府采购云平台”的要求，编制并加密投标文件。供应商未按规定加密的投标文件，“政府采购云平台”将予以拒收。请供应商自行前往浙江政府采购网下载并安装“政采云电子交易客户端”。</w:t>
      </w:r>
    </w:p>
    <w:p>
      <w:pPr>
        <w:shd w:val="clear" w:color="auto" w:fill="FFFFFF"/>
        <w:spacing w:line="390" w:lineRule="exact"/>
        <w:ind w:left="420"/>
        <w:rPr>
          <w:rFonts w:hint="eastAsia" w:ascii="宋体" w:hAnsi="宋体" w:cs="宋体"/>
          <w:szCs w:val="21"/>
        </w:rPr>
      </w:pPr>
      <w:r>
        <w:rPr>
          <w:rFonts w:hint="eastAsia" w:ascii="宋体" w:hAnsi="宋体" w:cs="宋体"/>
          <w:szCs w:val="21"/>
        </w:rPr>
        <w:t>下载网址：</w:t>
      </w:r>
      <w:r>
        <w:rPr>
          <w:rFonts w:hint="eastAsia" w:ascii="宋体" w:hAnsi="宋体" w:cs="宋体"/>
          <w:szCs w:val="21"/>
        </w:rPr>
        <w:fldChar w:fldCharType="begin"/>
      </w:r>
      <w:r>
        <w:rPr>
          <w:rFonts w:hint="eastAsia" w:ascii="宋体" w:hAnsi="宋体" w:cs="宋体"/>
          <w:szCs w:val="21"/>
        </w:rPr>
        <w:instrText xml:space="preserve"> HYPERLINK "http://zfcg.czt.zj.gov.cn/download/index.html?_=1571637782379），并按照本采购文件和\“政府采购云平台\”的要求，编制并加密响应文件。供应商未按规定加密的响应文件，\“政府采购云平台\”将予以拒收。" </w:instrText>
      </w:r>
      <w:r>
        <w:rPr>
          <w:rFonts w:hint="eastAsia" w:ascii="宋体" w:hAnsi="宋体" w:cs="宋体"/>
          <w:szCs w:val="21"/>
        </w:rPr>
        <w:fldChar w:fldCharType="separate"/>
      </w:r>
      <w:r>
        <w:rPr>
          <w:rStyle w:val="36"/>
          <w:rFonts w:hint="eastAsia" w:ascii="宋体" w:hAnsi="宋体" w:cs="宋体"/>
          <w:color w:val="auto"/>
          <w:szCs w:val="21"/>
        </w:rPr>
        <w:t>http://zfcg.czt.zj.gov.cn/download/index.html?_=1571637782379）。</w:t>
      </w:r>
      <w:r>
        <w:rPr>
          <w:rFonts w:hint="eastAsia" w:ascii="宋体" w:hAnsi="宋体" w:cs="宋体"/>
          <w:szCs w:val="21"/>
        </w:rPr>
        <w:fldChar w:fldCharType="end"/>
      </w:r>
    </w:p>
    <w:p>
      <w:pPr>
        <w:numPr>
          <w:ilvl w:val="0"/>
          <w:numId w:val="2"/>
        </w:numPr>
        <w:shd w:val="clear" w:color="auto" w:fill="FFFFFF"/>
        <w:spacing w:line="390" w:lineRule="exact"/>
        <w:ind w:firstLine="420" w:firstLineChars="200"/>
        <w:rPr>
          <w:rFonts w:hint="eastAsia" w:ascii="宋体" w:hAnsi="宋体" w:cs="宋体"/>
          <w:szCs w:val="21"/>
        </w:rPr>
      </w:pPr>
      <w:r>
        <w:rPr>
          <w:rFonts w:hint="eastAsia" w:ascii="宋体" w:hAnsi="宋体" w:cs="宋体"/>
          <w:szCs w:val="21"/>
        </w:rPr>
        <w:t>供应商应在开标前完成CA数字证书办理。（办理流程详见：</w:t>
      </w:r>
      <w:r>
        <w:rPr>
          <w:rFonts w:hint="eastAsia" w:ascii="宋体" w:hAnsi="宋体" w:cs="宋体"/>
          <w:szCs w:val="21"/>
        </w:rPr>
        <w:fldChar w:fldCharType="begin"/>
      </w:r>
      <w:r>
        <w:rPr>
          <w:rFonts w:hint="eastAsia" w:ascii="宋体" w:hAnsi="宋体" w:cs="宋体"/>
          <w:szCs w:val="21"/>
        </w:rPr>
        <w:instrText xml:space="preserve"> HYPERLINK "http://www.zjzfcg.gov.cn/bidClientTemplate/2019-05-27/12945.html）。" </w:instrText>
      </w:r>
      <w:r>
        <w:rPr>
          <w:rFonts w:hint="eastAsia" w:ascii="宋体" w:hAnsi="宋体" w:cs="宋体"/>
          <w:szCs w:val="21"/>
        </w:rPr>
        <w:fldChar w:fldCharType="separate"/>
      </w:r>
      <w:r>
        <w:rPr>
          <w:rStyle w:val="36"/>
          <w:rFonts w:hint="eastAsia" w:ascii="宋体" w:hAnsi="宋体" w:cs="宋体"/>
          <w:color w:val="auto"/>
          <w:szCs w:val="21"/>
        </w:rPr>
        <w:t xml:space="preserve"> http://zfcg.czt.zj.gov.cn/bidClientTemplate/2019-05-27/12945.html）。</w:t>
      </w:r>
      <w:r>
        <w:rPr>
          <w:rFonts w:hint="eastAsia" w:ascii="宋体" w:hAnsi="宋体" w:cs="宋体"/>
          <w:szCs w:val="21"/>
        </w:rPr>
        <w:fldChar w:fldCharType="end"/>
      </w:r>
      <w:r>
        <w:rPr>
          <w:rFonts w:hint="eastAsia" w:ascii="宋体" w:hAnsi="宋体" w:cs="宋体"/>
          <w:szCs w:val="21"/>
        </w:rPr>
        <w:t>完成CA数字证书办理预计一周左右，各投标供应商自行考虑办理时间。</w:t>
      </w:r>
    </w:p>
    <w:p>
      <w:pPr>
        <w:numPr>
          <w:ilvl w:val="0"/>
          <w:numId w:val="2"/>
        </w:numPr>
        <w:shd w:val="clear" w:color="auto" w:fill="FFFFFF"/>
        <w:spacing w:line="390" w:lineRule="exact"/>
        <w:ind w:firstLine="420" w:firstLineChars="200"/>
        <w:rPr>
          <w:rFonts w:hint="eastAsia" w:ascii="宋体" w:hAnsi="宋体" w:cs="宋体"/>
          <w:b/>
        </w:rPr>
      </w:pPr>
      <w:r>
        <w:rPr>
          <w:rFonts w:hint="eastAsia" w:ascii="宋体" w:hAnsi="宋体" w:cs="宋体"/>
          <w:szCs w:val="21"/>
        </w:rPr>
        <w:t>供应商在使用系统进行投标的过程中遇到涉及平台使用的任何问题，可致电政采云平台技术支持热线咨询，联系方式：400-881-7190。电子招投标全流程操作指南（以下简称操作指南）详见网址：</w:t>
      </w:r>
      <w:r>
        <w:rPr>
          <w:rFonts w:hint="eastAsia" w:ascii="宋体" w:hAnsi="宋体" w:cs="宋体"/>
          <w:szCs w:val="21"/>
        </w:rPr>
        <w:fldChar w:fldCharType="begin"/>
      </w:r>
      <w:r>
        <w:rPr>
          <w:rFonts w:hint="eastAsia" w:ascii="宋体" w:hAnsi="宋体" w:cs="宋体"/>
          <w:szCs w:val="21"/>
        </w:rPr>
        <w:instrText xml:space="preserve"> HYPERLINK "https://help.zcygov.cn/web/site_2/2018/12-28/2573.html" </w:instrText>
      </w:r>
      <w:r>
        <w:rPr>
          <w:rFonts w:hint="eastAsia" w:ascii="宋体" w:hAnsi="宋体" w:cs="宋体"/>
          <w:szCs w:val="21"/>
        </w:rPr>
        <w:fldChar w:fldCharType="separate"/>
      </w:r>
      <w:r>
        <w:rPr>
          <w:rFonts w:hint="eastAsia" w:ascii="宋体" w:hAnsi="宋体" w:cs="宋体"/>
          <w:szCs w:val="21"/>
        </w:rPr>
        <w:t>https://help.zcygov.cn/web/site_2/2018/12-28/2573.html</w:t>
      </w:r>
      <w:r>
        <w:rPr>
          <w:rFonts w:hint="eastAsia" w:ascii="宋体" w:hAnsi="宋体" w:cs="宋体"/>
          <w:szCs w:val="21"/>
        </w:rPr>
        <w:fldChar w:fldCharType="end"/>
      </w:r>
      <w:r>
        <w:rPr>
          <w:rFonts w:hint="eastAsia" w:ascii="宋体" w:hAnsi="宋体" w:cs="宋体"/>
          <w:b/>
          <w:szCs w:val="21"/>
        </w:rPr>
        <w:t>。</w:t>
      </w:r>
    </w:p>
    <w:p>
      <w:pPr>
        <w:numPr>
          <w:ilvl w:val="0"/>
          <w:numId w:val="2"/>
        </w:numPr>
        <w:shd w:val="clear" w:color="auto" w:fill="FFFFFF"/>
        <w:spacing w:line="390" w:lineRule="exact"/>
        <w:rPr>
          <w:rFonts w:hint="eastAsia" w:ascii="宋体" w:hAnsi="宋体" w:cs="宋体"/>
          <w:szCs w:val="21"/>
        </w:rPr>
      </w:pPr>
      <w:r>
        <w:rPr>
          <w:rFonts w:hint="eastAsia" w:ascii="宋体" w:hAnsi="宋体" w:cs="宋体"/>
          <w:szCs w:val="21"/>
        </w:rPr>
        <w:t>供应商认为采购文件使自己的权益受到损害的，可以自获取采购文件之日（发售截止日之后收到采购文件的，以发售截止日为准）或者采购文件公告期限届满之日（公告发布后的第6个工作日）起7个工作日内，以书面形式向招标人和采购代理机构提出质疑。质疑供应商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pPr>
        <w:numPr>
          <w:ilvl w:val="0"/>
          <w:numId w:val="2"/>
        </w:numPr>
        <w:shd w:val="clear" w:color="auto" w:fill="FFFFFF"/>
        <w:spacing w:line="390" w:lineRule="exact"/>
        <w:rPr>
          <w:rFonts w:hint="eastAsia" w:ascii="宋体" w:hAnsi="宋体" w:cs="宋体"/>
          <w:szCs w:val="21"/>
        </w:rPr>
      </w:pPr>
      <w:r>
        <w:rPr>
          <w:rFonts w:hint="eastAsia" w:ascii="宋体" w:hAnsi="宋体" w:cs="宋体"/>
          <w:szCs w:val="21"/>
        </w:rPr>
        <w:t>疫情防控期间，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pPr>
        <w:numPr>
          <w:ilvl w:val="0"/>
          <w:numId w:val="2"/>
        </w:numPr>
        <w:shd w:val="clear" w:color="auto" w:fill="FFFFFF"/>
        <w:spacing w:line="390" w:lineRule="exact"/>
        <w:rPr>
          <w:rFonts w:hint="eastAsia" w:ascii="宋体" w:hAnsi="宋体" w:cs="宋体"/>
          <w:szCs w:val="21"/>
        </w:rPr>
      </w:pPr>
      <w:r>
        <w:rPr>
          <w:rFonts w:hint="eastAsia" w:ascii="宋体" w:hAnsi="宋体" w:cs="宋体"/>
          <w:szCs w:val="21"/>
        </w:rPr>
        <w:t>潜在供应商应当按照规定方式获取采购文件，未按照规定方式获取采购文件的，不得对招标文件提起质疑投诉。</w:t>
      </w:r>
    </w:p>
    <w:p>
      <w:pPr>
        <w:numPr>
          <w:ilvl w:val="0"/>
          <w:numId w:val="2"/>
        </w:numPr>
        <w:shd w:val="clear" w:color="auto" w:fill="FFFFFF"/>
        <w:spacing w:line="390" w:lineRule="exact"/>
        <w:rPr>
          <w:rFonts w:hint="eastAsia" w:ascii="宋体" w:hAnsi="宋体" w:cs="宋体"/>
          <w:szCs w:val="21"/>
        </w:rPr>
      </w:pPr>
      <w:r>
        <w:rPr>
          <w:rFonts w:hint="eastAsia" w:ascii="宋体" w:hAnsi="宋体" w:cs="宋体"/>
          <w:szCs w:val="21"/>
        </w:rPr>
        <w:t>本项目执行的政府采购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w:t>
      </w:r>
    </w:p>
    <w:p>
      <w:pPr>
        <w:shd w:val="clear" w:color="auto" w:fill="FFFFFF"/>
        <w:spacing w:line="390" w:lineRule="exact"/>
        <w:rPr>
          <w:rFonts w:hint="eastAsia" w:ascii="宋体" w:hAnsi="宋体" w:cs="宋体"/>
          <w:szCs w:val="21"/>
        </w:rPr>
      </w:pPr>
      <w:r>
        <w:rPr>
          <w:rFonts w:hint="eastAsia" w:ascii="宋体" w:hAnsi="宋体" w:cs="宋体"/>
          <w:szCs w:val="21"/>
        </w:rPr>
        <w:t>七、凡对本次招标提出询问、质疑、投诉，请按以下方式联系</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xml:space="preserve">  1. 采购人信息</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名称：瑞安市综合行政执法局、瑞安市玉海街道办事处、瑞安市锦湖街道办事处、瑞安市潘岱街道办事处</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地址：瑞安市安阳路772号、瑞安市周松路20号、瑞安市瑞湖路158号、瑞安市前进路与瑞枫线交叉路口西南侧(潘岙小学东北侧约50米)</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传真：/ </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项目联系人（询问）：林先生、王先生、刘先生、郑先生</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项目联系方式（询问）：0577-65661672、13958845521、0577-65665198、15869417477</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质疑联系人：陈先生、沈先生、陈先生</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质疑联系方式：0577-65611213、0577-65068879、0577-58905201</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2. 采购代理机构信息</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名称：浙江鼎力工程项目管理有限公司</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地址：瑞安市安阳南路669号四楼</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传真：0577-65751879</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项目联系人（询问）：陈茜茜</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项目联系方式（询问）：15967723390</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质疑联系人：蔡宾虎</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质疑联系方式：13958842002</w:t>
      </w:r>
      <w:r>
        <w:rPr>
          <w:rFonts w:hint="eastAsia" w:ascii="宋体" w:hAnsi="宋体" w:cs="宋体"/>
          <w:szCs w:val="21"/>
        </w:rPr>
        <w:br w:type="textWrapping"/>
      </w:r>
      <w:r>
        <w:rPr>
          <w:rFonts w:hint="eastAsia" w:ascii="宋体" w:hAnsi="宋体" w:cs="宋体"/>
          <w:szCs w:val="21"/>
        </w:rPr>
        <w:t>    3. 同级政府采购监督管理部门</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名称：瑞安市财政局政府采购监管科 </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地址：瑞安市财政局大楼15楼 </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传真：0577-65827570 </w:t>
      </w:r>
    </w:p>
    <w:p>
      <w:pPr>
        <w:shd w:val="clear" w:color="auto" w:fill="FFFFFF"/>
        <w:tabs>
          <w:tab w:val="left" w:pos="420"/>
          <w:tab w:val="left" w:pos="1080"/>
        </w:tabs>
        <w:spacing w:line="390" w:lineRule="exact"/>
        <w:ind w:firstLine="315" w:firstLineChars="150"/>
        <w:rPr>
          <w:rFonts w:hint="eastAsia" w:ascii="宋体" w:hAnsi="宋体" w:cs="宋体"/>
          <w:szCs w:val="21"/>
        </w:rPr>
      </w:pPr>
      <w:r>
        <w:rPr>
          <w:rFonts w:hint="eastAsia" w:ascii="宋体" w:hAnsi="宋体" w:cs="宋体"/>
          <w:szCs w:val="21"/>
        </w:rPr>
        <w:t>   联系人：张先生 </w:t>
      </w:r>
    </w:p>
    <w:p>
      <w:pPr>
        <w:pStyle w:val="14"/>
        <w:ind w:firstLine="422" w:firstLineChars="200"/>
        <w:rPr>
          <w:rFonts w:hint="eastAsia" w:ascii="宋体" w:hAnsi="宋体" w:eastAsia="宋体" w:cs="宋体"/>
          <w:b/>
          <w:bCs/>
          <w:kern w:val="0"/>
          <w:sz w:val="21"/>
          <w:szCs w:val="21"/>
        </w:rPr>
      </w:pPr>
      <w:r>
        <w:rPr>
          <w:rFonts w:hint="eastAsia" w:ascii="宋体" w:hAnsi="宋体" w:eastAsia="宋体" w:cs="宋体"/>
          <w:b/>
          <w:bCs/>
          <w:kern w:val="0"/>
          <w:sz w:val="21"/>
          <w:szCs w:val="21"/>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pStyle w:val="3"/>
        <w:keepNext w:val="0"/>
        <w:keepLines w:val="0"/>
        <w:pageBreakBefore/>
        <w:spacing w:before="480" w:beforeLines="200" w:after="240" w:afterLines="100" w:line="240" w:lineRule="auto"/>
        <w:jc w:val="center"/>
        <w:rPr>
          <w:rFonts w:hint="eastAsia" w:ascii="宋体" w:hAnsi="宋体" w:eastAsia="宋体" w:cs="宋体"/>
          <w:sz w:val="28"/>
          <w:szCs w:val="36"/>
        </w:rPr>
      </w:pPr>
      <w:bookmarkStart w:id="2" w:name="_Toc26735"/>
      <w:r>
        <w:rPr>
          <w:rFonts w:hint="eastAsia" w:ascii="宋体" w:hAnsi="宋体" w:eastAsia="宋体" w:cs="宋体"/>
          <w:sz w:val="28"/>
          <w:szCs w:val="36"/>
        </w:rPr>
        <w:t>第二部分  投标供应商须知</w:t>
      </w:r>
      <w:bookmarkEnd w:id="2"/>
    </w:p>
    <w:p>
      <w:pPr>
        <w:pStyle w:val="4"/>
        <w:spacing w:before="120" w:beforeLines="50" w:after="120" w:afterLines="50" w:line="240" w:lineRule="auto"/>
        <w:jc w:val="center"/>
        <w:rPr>
          <w:rFonts w:hint="eastAsia" w:ascii="宋体" w:hAnsi="宋体" w:eastAsia="宋体" w:cs="宋体"/>
          <w:bCs w:val="0"/>
          <w:sz w:val="24"/>
          <w:szCs w:val="24"/>
        </w:rPr>
      </w:pPr>
      <w:bookmarkStart w:id="3" w:name="_Toc12707"/>
      <w:r>
        <w:rPr>
          <w:rFonts w:hint="eastAsia" w:ascii="宋体" w:hAnsi="宋体" w:eastAsia="宋体" w:cs="宋体"/>
          <w:sz w:val="24"/>
          <w:szCs w:val="24"/>
        </w:rPr>
        <w:t>（一）</w:t>
      </w:r>
      <w:r>
        <w:rPr>
          <w:rFonts w:hint="eastAsia" w:ascii="宋体" w:hAnsi="宋体" w:eastAsia="宋体" w:cs="宋体"/>
          <w:bCs w:val="0"/>
          <w:sz w:val="24"/>
          <w:szCs w:val="24"/>
        </w:rPr>
        <w:t>投标须知前附表</w:t>
      </w:r>
      <w:bookmarkEnd w:id="3"/>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645"/>
        <w:gridCol w:w="1812"/>
        <w:gridCol w:w="6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b/>
                <w:szCs w:val="21"/>
              </w:rPr>
            </w:pPr>
            <w:r>
              <w:rPr>
                <w:rFonts w:hint="eastAsia" w:ascii="宋体" w:hAnsi="宋体" w:cs="宋体"/>
                <w:b/>
                <w:szCs w:val="21"/>
              </w:rPr>
              <w:t>项号</w:t>
            </w:r>
          </w:p>
        </w:tc>
        <w:tc>
          <w:tcPr>
            <w:tcW w:w="1812" w:type="dxa"/>
            <w:noWrap w:val="0"/>
            <w:vAlign w:val="center"/>
          </w:tcPr>
          <w:p>
            <w:pPr>
              <w:jc w:val="center"/>
              <w:rPr>
                <w:rFonts w:hint="eastAsia" w:ascii="宋体" w:hAnsi="宋体" w:cs="宋体"/>
                <w:b/>
                <w:szCs w:val="21"/>
              </w:rPr>
            </w:pPr>
            <w:r>
              <w:rPr>
                <w:rFonts w:hint="eastAsia" w:ascii="宋体" w:hAnsi="宋体" w:cs="宋体"/>
                <w:b/>
                <w:szCs w:val="21"/>
              </w:rPr>
              <w:t>内容</w:t>
            </w:r>
          </w:p>
        </w:tc>
        <w:tc>
          <w:tcPr>
            <w:tcW w:w="6638" w:type="dxa"/>
            <w:noWrap w:val="0"/>
            <w:vAlign w:val="center"/>
          </w:tcPr>
          <w:p>
            <w:pPr>
              <w:jc w:val="center"/>
              <w:rPr>
                <w:rFonts w:hint="eastAsia" w:ascii="宋体" w:hAnsi="宋体" w:cs="宋体"/>
                <w:b/>
                <w:szCs w:val="21"/>
              </w:rPr>
            </w:pPr>
            <w:r>
              <w:rPr>
                <w:rFonts w:hint="eastAsia" w:ascii="宋体" w:hAnsi="宋体" w:cs="宋体"/>
                <w:b/>
                <w:szCs w:val="21"/>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w:t>
            </w:r>
          </w:p>
        </w:tc>
        <w:tc>
          <w:tcPr>
            <w:tcW w:w="1812" w:type="dxa"/>
            <w:noWrap w:val="0"/>
            <w:vAlign w:val="center"/>
          </w:tcPr>
          <w:p>
            <w:pPr>
              <w:jc w:val="center"/>
              <w:rPr>
                <w:rFonts w:hint="eastAsia" w:ascii="宋体" w:hAnsi="宋体" w:cs="宋体"/>
                <w:szCs w:val="21"/>
              </w:rPr>
            </w:pPr>
            <w:r>
              <w:rPr>
                <w:rFonts w:hint="eastAsia" w:ascii="宋体" w:hAnsi="宋体" w:cs="宋体"/>
                <w:szCs w:val="21"/>
              </w:rPr>
              <w:t>项目名称</w:t>
            </w:r>
          </w:p>
        </w:tc>
        <w:tc>
          <w:tcPr>
            <w:tcW w:w="6638" w:type="dxa"/>
            <w:noWrap w:val="0"/>
            <w:vAlign w:val="center"/>
          </w:tcPr>
          <w:p>
            <w:pPr>
              <w:rPr>
                <w:rFonts w:hint="eastAsia" w:ascii="宋体" w:hAnsi="宋体" w:cs="宋体"/>
                <w:szCs w:val="21"/>
              </w:rPr>
            </w:pPr>
            <w:r>
              <w:rPr>
                <w:rFonts w:hint="eastAsia" w:ascii="宋体" w:hAnsi="宋体" w:cs="宋体"/>
                <w:szCs w:val="21"/>
              </w:rPr>
              <w:t>瑞安市“一把扫帚”环卫保洁一体化招标（玉海街道、锦湖街道、潘岱街道）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w:t>
            </w:r>
          </w:p>
        </w:tc>
        <w:tc>
          <w:tcPr>
            <w:tcW w:w="1812" w:type="dxa"/>
            <w:noWrap w:val="0"/>
            <w:vAlign w:val="center"/>
          </w:tcPr>
          <w:p>
            <w:pPr>
              <w:jc w:val="center"/>
              <w:rPr>
                <w:rFonts w:hint="eastAsia" w:ascii="宋体" w:hAnsi="宋体" w:cs="宋体"/>
                <w:szCs w:val="21"/>
              </w:rPr>
            </w:pPr>
            <w:r>
              <w:rPr>
                <w:rFonts w:hint="eastAsia" w:ascii="宋体" w:hAnsi="宋体" w:cs="宋体"/>
                <w:szCs w:val="21"/>
              </w:rPr>
              <w:t>项目编号</w:t>
            </w:r>
          </w:p>
        </w:tc>
        <w:tc>
          <w:tcPr>
            <w:tcW w:w="6638" w:type="dxa"/>
            <w:noWrap w:val="0"/>
            <w:vAlign w:val="center"/>
          </w:tcPr>
          <w:p>
            <w:pPr>
              <w:rPr>
                <w:rFonts w:hint="eastAsia" w:ascii="宋体" w:hAnsi="宋体" w:eastAsia="宋体" w:cs="宋体"/>
                <w:szCs w:val="21"/>
                <w:lang w:eastAsia="zh-CN"/>
              </w:rPr>
            </w:pPr>
            <w:r>
              <w:rPr>
                <w:rFonts w:hint="eastAsia" w:ascii="宋体" w:hAnsi="宋体" w:cs="宋体"/>
                <w:szCs w:val="21"/>
                <w:lang w:eastAsia="zh-CN"/>
              </w:rPr>
              <w:t>DLCG-RA202104005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3</w:t>
            </w:r>
          </w:p>
        </w:tc>
        <w:tc>
          <w:tcPr>
            <w:tcW w:w="1812" w:type="dxa"/>
            <w:noWrap w:val="0"/>
            <w:vAlign w:val="center"/>
          </w:tcPr>
          <w:p>
            <w:pPr>
              <w:jc w:val="center"/>
              <w:rPr>
                <w:rFonts w:hint="eastAsia" w:ascii="宋体" w:hAnsi="宋体" w:cs="宋体"/>
                <w:szCs w:val="21"/>
              </w:rPr>
            </w:pPr>
            <w:r>
              <w:rPr>
                <w:rFonts w:hint="eastAsia" w:ascii="宋体" w:hAnsi="宋体" w:cs="宋体"/>
                <w:szCs w:val="21"/>
              </w:rPr>
              <w:t>资金来源</w:t>
            </w:r>
          </w:p>
        </w:tc>
        <w:tc>
          <w:tcPr>
            <w:tcW w:w="6638" w:type="dxa"/>
            <w:noWrap w:val="0"/>
            <w:vAlign w:val="center"/>
          </w:tcPr>
          <w:p>
            <w:pPr>
              <w:rPr>
                <w:rFonts w:hint="eastAsia" w:ascii="宋体" w:hAnsi="宋体" w:cs="宋体"/>
                <w:szCs w:val="21"/>
              </w:rPr>
            </w:pPr>
            <w:r>
              <w:rPr>
                <w:rFonts w:hint="eastAsia" w:ascii="宋体" w:hAnsi="宋体" w:cs="宋体"/>
                <w:szCs w:val="21"/>
              </w:rPr>
              <w:t>财政性资金，财政预算价：三年共计11162</w:t>
            </w:r>
            <w:r>
              <w:rPr>
                <w:rFonts w:hint="eastAsia" w:ascii="宋体" w:hAnsi="宋体" w:cs="宋体"/>
                <w:szCs w:val="21"/>
                <w:lang w:val="en-US" w:eastAsia="zh-CN"/>
              </w:rPr>
              <w:t>.</w:t>
            </w:r>
            <w:r>
              <w:rPr>
                <w:rFonts w:hint="eastAsia" w:ascii="宋体" w:hAnsi="宋体" w:cs="宋体"/>
                <w:szCs w:val="21"/>
              </w:rPr>
              <w:t>2365万元整（其中玉海街道46281624元人民币/三年；锦湖街道47455020元人民币/三年；潘岱街道17885721元人民币/三年）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4</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采购人</w:t>
            </w:r>
          </w:p>
        </w:tc>
        <w:tc>
          <w:tcPr>
            <w:tcW w:w="6638" w:type="dxa"/>
            <w:noWrap w:val="0"/>
            <w:vAlign w:val="center"/>
          </w:tcPr>
          <w:p>
            <w:pPr>
              <w:adjustRightInd w:val="0"/>
              <w:rPr>
                <w:rFonts w:hint="eastAsia" w:ascii="宋体" w:hAnsi="宋体" w:cs="宋体"/>
                <w:szCs w:val="21"/>
              </w:rPr>
            </w:pPr>
            <w:r>
              <w:rPr>
                <w:rFonts w:hint="eastAsia" w:ascii="宋体" w:hAnsi="宋体" w:cs="宋体"/>
                <w:szCs w:val="21"/>
              </w:rPr>
              <w:t>名称：瑞安市综合行政执法局、瑞安市玉海街道办事处、瑞安市锦湖街道办事处、瑞安市潘岱街道办事处</w:t>
            </w:r>
          </w:p>
          <w:p>
            <w:pPr>
              <w:spacing w:line="400" w:lineRule="exact"/>
              <w:rPr>
                <w:rFonts w:hint="eastAsia" w:ascii="宋体" w:hAnsi="宋体" w:cs="宋体"/>
                <w:szCs w:val="21"/>
              </w:rPr>
            </w:pPr>
            <w:r>
              <w:rPr>
                <w:rFonts w:hint="eastAsia" w:ascii="宋体" w:hAnsi="宋体" w:cs="宋体"/>
                <w:szCs w:val="21"/>
              </w:rPr>
              <w:t>联系人：林先生、王先生、刘先生、郑先生</w:t>
            </w:r>
          </w:p>
          <w:p>
            <w:pPr>
              <w:spacing w:line="400" w:lineRule="exact"/>
              <w:rPr>
                <w:rFonts w:hint="eastAsia" w:ascii="宋体" w:hAnsi="宋体" w:cs="宋体"/>
                <w:szCs w:val="21"/>
              </w:rPr>
            </w:pPr>
            <w:r>
              <w:rPr>
                <w:rFonts w:hint="eastAsia" w:ascii="宋体" w:hAnsi="宋体" w:cs="宋体"/>
                <w:szCs w:val="21"/>
              </w:rPr>
              <w:t>联系电话：0577-65661672、13958845521、0577-65665198、15869417477</w:t>
            </w:r>
          </w:p>
          <w:p>
            <w:pPr>
              <w:spacing w:line="400" w:lineRule="exact"/>
              <w:rPr>
                <w:rFonts w:hint="eastAsia" w:ascii="宋体" w:hAnsi="宋体" w:cs="宋体"/>
                <w:szCs w:val="21"/>
              </w:rPr>
            </w:pPr>
            <w:r>
              <w:rPr>
                <w:rFonts w:hint="eastAsia" w:ascii="宋体" w:hAnsi="宋体" w:cs="宋体"/>
                <w:szCs w:val="21"/>
              </w:rPr>
              <w:t>质疑答复人：陈先生、沈先生、陈先生</w:t>
            </w:r>
          </w:p>
          <w:p>
            <w:pPr>
              <w:spacing w:line="400" w:lineRule="exact"/>
              <w:rPr>
                <w:rFonts w:hint="eastAsia" w:ascii="宋体" w:hAnsi="宋体" w:cs="宋体"/>
                <w:szCs w:val="21"/>
              </w:rPr>
            </w:pPr>
            <w:r>
              <w:rPr>
                <w:rFonts w:hint="eastAsia" w:ascii="宋体" w:hAnsi="宋体" w:cs="宋体"/>
                <w:szCs w:val="21"/>
              </w:rPr>
              <w:t>联系电话：0577-65611213、0577-65068879、0577-58905201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5</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招标代理机构</w:t>
            </w:r>
          </w:p>
        </w:tc>
        <w:tc>
          <w:tcPr>
            <w:tcW w:w="6638" w:type="dxa"/>
            <w:noWrap w:val="0"/>
            <w:vAlign w:val="center"/>
          </w:tcPr>
          <w:p>
            <w:pPr>
              <w:adjustRightInd w:val="0"/>
              <w:rPr>
                <w:rFonts w:hint="eastAsia" w:ascii="宋体" w:hAnsi="宋体" w:cs="宋体"/>
                <w:szCs w:val="21"/>
              </w:rPr>
            </w:pPr>
            <w:r>
              <w:rPr>
                <w:rFonts w:hint="eastAsia" w:ascii="宋体" w:hAnsi="宋体" w:cs="宋体"/>
                <w:szCs w:val="21"/>
              </w:rPr>
              <w:t>名称：浙江鼎力工程项目管理有限公司</w:t>
            </w:r>
          </w:p>
          <w:p>
            <w:pPr>
              <w:adjustRightInd w:val="0"/>
              <w:rPr>
                <w:rFonts w:hint="eastAsia" w:ascii="宋体" w:hAnsi="宋体" w:cs="宋体"/>
                <w:szCs w:val="21"/>
              </w:rPr>
            </w:pPr>
            <w:r>
              <w:rPr>
                <w:rFonts w:hint="eastAsia" w:ascii="宋体" w:hAnsi="宋体" w:cs="宋体"/>
                <w:szCs w:val="21"/>
              </w:rPr>
              <w:t>地址：瑞安市安阳南路669号4楼</w:t>
            </w:r>
          </w:p>
          <w:p>
            <w:pPr>
              <w:adjustRightInd w:val="0"/>
              <w:rPr>
                <w:rFonts w:hint="eastAsia" w:ascii="宋体" w:hAnsi="宋体" w:cs="宋体"/>
                <w:szCs w:val="21"/>
              </w:rPr>
            </w:pPr>
            <w:r>
              <w:rPr>
                <w:rFonts w:hint="eastAsia" w:ascii="宋体" w:hAnsi="宋体" w:cs="宋体"/>
                <w:szCs w:val="21"/>
              </w:rPr>
              <w:t>项目负责人：陈茜茜</w:t>
            </w:r>
          </w:p>
          <w:p>
            <w:pPr>
              <w:adjustRightInd w:val="0"/>
              <w:rPr>
                <w:rFonts w:hint="eastAsia" w:ascii="宋体" w:hAnsi="宋体" w:cs="宋体"/>
                <w:szCs w:val="21"/>
              </w:rPr>
            </w:pPr>
            <w:r>
              <w:rPr>
                <w:rFonts w:hint="eastAsia" w:ascii="宋体" w:hAnsi="宋体" w:cs="宋体"/>
                <w:szCs w:val="21"/>
              </w:rPr>
              <w:t>电话：15967723390</w:t>
            </w:r>
          </w:p>
          <w:p>
            <w:pPr>
              <w:adjustRightInd w:val="0"/>
              <w:rPr>
                <w:rFonts w:hint="eastAsia" w:ascii="宋体" w:hAnsi="宋体" w:cs="宋体"/>
                <w:szCs w:val="21"/>
              </w:rPr>
            </w:pPr>
            <w:r>
              <w:rPr>
                <w:rFonts w:hint="eastAsia" w:ascii="宋体" w:hAnsi="宋体" w:cs="宋体"/>
                <w:szCs w:val="21"/>
              </w:rPr>
              <w:t>质疑答复人：蔡宾虎</w:t>
            </w:r>
          </w:p>
          <w:p>
            <w:pPr>
              <w:adjustRightInd w:val="0"/>
              <w:rPr>
                <w:rFonts w:hint="eastAsia" w:ascii="宋体" w:hAnsi="宋体" w:cs="宋体"/>
                <w:szCs w:val="21"/>
              </w:rPr>
            </w:pPr>
            <w:r>
              <w:rPr>
                <w:rFonts w:hint="eastAsia" w:ascii="宋体" w:hAnsi="宋体" w:cs="宋体"/>
                <w:szCs w:val="21"/>
              </w:rPr>
              <w:t>联系电话：13958842002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6</w:t>
            </w:r>
          </w:p>
        </w:tc>
        <w:tc>
          <w:tcPr>
            <w:tcW w:w="1812" w:type="dxa"/>
            <w:noWrap w:val="0"/>
            <w:vAlign w:val="center"/>
          </w:tcPr>
          <w:p>
            <w:pPr>
              <w:jc w:val="center"/>
              <w:rPr>
                <w:rFonts w:hint="eastAsia" w:ascii="宋体" w:hAnsi="宋体" w:cs="宋体"/>
                <w:szCs w:val="21"/>
              </w:rPr>
            </w:pPr>
            <w:r>
              <w:rPr>
                <w:rFonts w:hint="eastAsia" w:ascii="宋体" w:hAnsi="宋体" w:cs="宋体"/>
                <w:szCs w:val="21"/>
              </w:rPr>
              <w:t>招标内容</w:t>
            </w:r>
          </w:p>
        </w:tc>
        <w:tc>
          <w:tcPr>
            <w:tcW w:w="6638" w:type="dxa"/>
            <w:noWrap w:val="0"/>
            <w:vAlign w:val="center"/>
          </w:tcPr>
          <w:p>
            <w:pPr>
              <w:rPr>
                <w:rFonts w:hint="eastAsia" w:ascii="宋体" w:hAnsi="宋体" w:cs="宋体"/>
                <w:szCs w:val="21"/>
              </w:rPr>
            </w:pPr>
            <w:r>
              <w:rPr>
                <w:rFonts w:hint="eastAsia" w:ascii="宋体" w:hAnsi="宋体" w:cs="宋体"/>
                <w:szCs w:val="21"/>
              </w:rPr>
              <w:t>瑞安市“一把扫帚”环卫保洁一体化招标（玉海街道、锦湖街道、潘岱街道）（具体要求详见招标文件第三部分）。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374"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7</w:t>
            </w:r>
          </w:p>
        </w:tc>
        <w:tc>
          <w:tcPr>
            <w:tcW w:w="1812" w:type="dxa"/>
            <w:noWrap w:val="0"/>
            <w:vAlign w:val="center"/>
          </w:tcPr>
          <w:p>
            <w:pPr>
              <w:jc w:val="center"/>
              <w:rPr>
                <w:rFonts w:hint="eastAsia" w:ascii="宋体" w:hAnsi="宋体" w:cs="宋体"/>
                <w:szCs w:val="21"/>
              </w:rPr>
            </w:pPr>
            <w:r>
              <w:rPr>
                <w:rFonts w:hint="eastAsia" w:ascii="宋体" w:hAnsi="宋体" w:cs="宋体"/>
                <w:szCs w:val="21"/>
              </w:rPr>
              <w:t>投标供应商</w:t>
            </w:r>
          </w:p>
          <w:p>
            <w:pPr>
              <w:jc w:val="center"/>
              <w:rPr>
                <w:rFonts w:hint="eastAsia" w:ascii="宋体" w:hAnsi="宋体" w:cs="宋体"/>
                <w:szCs w:val="21"/>
              </w:rPr>
            </w:pPr>
            <w:r>
              <w:rPr>
                <w:rFonts w:hint="eastAsia" w:ascii="宋体" w:hAnsi="宋体" w:cs="宋体"/>
                <w:szCs w:val="21"/>
              </w:rPr>
              <w:t>资格要求</w:t>
            </w:r>
          </w:p>
        </w:tc>
        <w:tc>
          <w:tcPr>
            <w:tcW w:w="6638" w:type="dxa"/>
            <w:noWrap w:val="0"/>
            <w:vAlign w:val="center"/>
          </w:tcPr>
          <w:p>
            <w:pPr>
              <w:numPr>
                <w:ilvl w:val="0"/>
                <w:numId w:val="3"/>
              </w:numPr>
              <w:rPr>
                <w:rFonts w:hint="eastAsia" w:ascii="宋体" w:hAnsi="宋体" w:cs="宋体"/>
              </w:rPr>
            </w:pPr>
            <w:r>
              <w:rPr>
                <w:rFonts w:hint="eastAsia" w:ascii="宋体" w:hAnsi="宋体" w:cs="宋体"/>
              </w:rPr>
              <w:t>符合《中华人民共和国政府采购法》第二十二条规定；</w:t>
            </w:r>
          </w:p>
          <w:p>
            <w:pPr>
              <w:numPr>
                <w:ilvl w:val="0"/>
                <w:numId w:val="3"/>
              </w:numPr>
              <w:rPr>
                <w:rFonts w:hint="eastAsia" w:ascii="宋体" w:hAnsi="宋体" w:cs="宋体"/>
              </w:rPr>
            </w:pPr>
            <w:r>
              <w:rPr>
                <w:rFonts w:hint="eastAsia" w:ascii="宋体" w:hAnsi="宋体" w:cs="宋体"/>
              </w:rPr>
              <w:t>未被信用中国网站（www.creditchina.gov.cn）列入失信被执行人、重大税收违法件当事人名单，未被中国政府采购网（www.ccgp.gov.cn）列入政府采购严重违法失信行为记录名单；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8</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是否接受联合体投标</w:t>
            </w:r>
          </w:p>
        </w:tc>
        <w:tc>
          <w:tcPr>
            <w:tcW w:w="6638" w:type="dxa"/>
            <w:noWrap w:val="0"/>
            <w:vAlign w:val="center"/>
          </w:tcPr>
          <w:p>
            <w:pPr>
              <w:adjustRightInd w:val="0"/>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不接受</w:t>
            </w:r>
          </w:p>
          <w:p>
            <w:pPr>
              <w:adjustRightInd w:val="0"/>
              <w:rPr>
                <w:rFonts w:hint="eastAsia" w:ascii="宋体" w:hAnsi="宋体" w:cs="宋体"/>
                <w:szCs w:val="21"/>
              </w:rPr>
            </w:pPr>
            <w:r>
              <w:rPr>
                <w:rFonts w:hint="eastAsia" w:ascii="宋体" w:hAnsi="宋体" w:cs="宋体"/>
                <w:sz w:val="22"/>
                <w:szCs w:val="21"/>
              </w:rPr>
              <w:t>□</w:t>
            </w:r>
            <w:r>
              <w:rPr>
                <w:rFonts w:hint="eastAsia" w:ascii="宋体" w:hAnsi="宋体" w:cs="宋体"/>
                <w:szCs w:val="21"/>
              </w:rPr>
              <w:t>接受，应满足下列要求：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718"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9</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踏勘现场</w:t>
            </w:r>
          </w:p>
        </w:tc>
        <w:tc>
          <w:tcPr>
            <w:tcW w:w="6638" w:type="dxa"/>
            <w:noWrap w:val="0"/>
            <w:vAlign w:val="center"/>
          </w:tcPr>
          <w:p>
            <w:pPr>
              <w:adjustRightInd w:val="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eq \o\ac(□,√)</w:instrText>
            </w:r>
            <w:r>
              <w:rPr>
                <w:rFonts w:hint="eastAsia" w:ascii="宋体" w:hAnsi="宋体" w:cs="宋体"/>
                <w:szCs w:val="21"/>
              </w:rPr>
              <w:fldChar w:fldCharType="end"/>
            </w:r>
            <w:r>
              <w:rPr>
                <w:rFonts w:hint="eastAsia" w:ascii="宋体" w:hAnsi="宋体" w:cs="宋体"/>
                <w:szCs w:val="21"/>
              </w:rPr>
              <w:t xml:space="preserve"> 不组织</w:t>
            </w:r>
          </w:p>
          <w:p>
            <w:pPr>
              <w:adjustRightInd w:val="0"/>
              <w:rPr>
                <w:rFonts w:hint="eastAsia" w:ascii="宋体" w:hAnsi="宋体" w:cs="宋体"/>
                <w:szCs w:val="21"/>
              </w:rPr>
            </w:pPr>
            <w:r>
              <w:rPr>
                <w:rFonts w:hint="eastAsia" w:ascii="宋体" w:hAnsi="宋体" w:cs="宋体"/>
                <w:szCs w:val="21"/>
              </w:rPr>
              <w:t>□ 组织    踏勘时间：</w:t>
            </w:r>
            <w:r>
              <w:rPr>
                <w:rFonts w:hint="eastAsia" w:ascii="宋体" w:hAnsi="宋体" w:cs="宋体"/>
                <w:i/>
                <w:szCs w:val="21"/>
              </w:rPr>
              <w:t xml:space="preserve">             </w:t>
            </w:r>
            <w:r>
              <w:rPr>
                <w:rFonts w:hint="eastAsia" w:ascii="宋体" w:hAnsi="宋体" w:cs="宋体"/>
                <w:szCs w:val="21"/>
              </w:rPr>
              <w:t xml:space="preserve"> 踏勘集中地点：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10</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是否允许递交备选投标方案</w:t>
            </w:r>
          </w:p>
        </w:tc>
        <w:tc>
          <w:tcPr>
            <w:tcW w:w="6638" w:type="dxa"/>
            <w:noWrap w:val="0"/>
            <w:vAlign w:val="center"/>
          </w:tcPr>
          <w:p>
            <w:pPr>
              <w:adjustRightInd w:val="0"/>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不允许：</w:t>
            </w:r>
            <w:r>
              <w:rPr>
                <w:rFonts w:hint="eastAsia" w:ascii="宋体" w:hAnsi="宋体" w:cs="宋体"/>
              </w:rPr>
              <w:t>投标供应商不得递交任何的投标备选（替代）方案，否则其投标文件将作无效标处理。与“电子加密投标文件”同时生成的“备份投标文件”不是投标备选（替代）方案。</w:t>
            </w:r>
          </w:p>
          <w:p>
            <w:pPr>
              <w:adjustRightInd w:val="0"/>
              <w:rPr>
                <w:rFonts w:hint="eastAsia" w:ascii="宋体" w:hAnsi="宋体" w:cs="宋体"/>
                <w:szCs w:val="21"/>
              </w:rPr>
            </w:pPr>
            <w:r>
              <w:rPr>
                <w:rFonts w:hint="eastAsia" w:ascii="宋体" w:hAnsi="宋体" w:cs="宋体"/>
                <w:sz w:val="22"/>
                <w:szCs w:val="21"/>
              </w:rPr>
              <w:t>□</w:t>
            </w:r>
            <w:r>
              <w:rPr>
                <w:rFonts w:hint="eastAsia" w:ascii="宋体" w:hAnsi="宋体" w:cs="宋体"/>
                <w:szCs w:val="21"/>
              </w:rPr>
              <w:t>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11</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投标货币</w:t>
            </w:r>
          </w:p>
        </w:tc>
        <w:tc>
          <w:tcPr>
            <w:tcW w:w="6638" w:type="dxa"/>
            <w:noWrap w:val="0"/>
            <w:vAlign w:val="center"/>
          </w:tcPr>
          <w:p>
            <w:pPr>
              <w:adjustRightInd w:val="0"/>
              <w:rPr>
                <w:rFonts w:hint="eastAsia" w:ascii="宋体" w:hAnsi="宋体" w:cs="宋体"/>
                <w:szCs w:val="21"/>
              </w:rPr>
            </w:pPr>
            <w:r>
              <w:rPr>
                <w:rFonts w:hint="eastAsia" w:ascii="宋体" w:hAnsi="宋体" w:cs="宋体"/>
                <w:szCs w:val="21"/>
              </w:rPr>
              <w:t>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12</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投标语言</w:t>
            </w:r>
          </w:p>
        </w:tc>
        <w:tc>
          <w:tcPr>
            <w:tcW w:w="6638" w:type="dxa"/>
            <w:noWrap w:val="0"/>
            <w:vAlign w:val="center"/>
          </w:tcPr>
          <w:p>
            <w:pPr>
              <w:adjustRightInd w:val="0"/>
              <w:rPr>
                <w:rFonts w:hint="eastAsia" w:ascii="宋体" w:hAnsi="宋体" w:cs="宋体"/>
                <w:szCs w:val="21"/>
              </w:rPr>
            </w:pPr>
            <w:r>
              <w:rPr>
                <w:rFonts w:hint="eastAsia" w:ascii="宋体" w:hAnsi="宋体" w:cs="宋体"/>
                <w:szCs w:val="21"/>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13</w:t>
            </w:r>
          </w:p>
        </w:tc>
        <w:tc>
          <w:tcPr>
            <w:tcW w:w="1812" w:type="dxa"/>
            <w:noWrap w:val="0"/>
            <w:vAlign w:val="center"/>
          </w:tcPr>
          <w:p>
            <w:pPr>
              <w:jc w:val="center"/>
              <w:rPr>
                <w:rFonts w:hint="eastAsia" w:ascii="宋体" w:hAnsi="宋体" w:cs="宋体"/>
                <w:strike/>
                <w:szCs w:val="21"/>
              </w:rPr>
            </w:pPr>
            <w:r>
              <w:rPr>
                <w:rFonts w:hint="eastAsia" w:ascii="宋体" w:hAnsi="宋体" w:cs="宋体"/>
                <w:szCs w:val="21"/>
              </w:rPr>
              <w:t>投标文件的组成和份数</w:t>
            </w:r>
          </w:p>
        </w:tc>
        <w:tc>
          <w:tcPr>
            <w:tcW w:w="6638" w:type="dxa"/>
            <w:noWrap w:val="0"/>
            <w:vAlign w:val="center"/>
          </w:tcPr>
          <w:p>
            <w:pPr>
              <w:pStyle w:val="62"/>
              <w:numPr>
                <w:ilvl w:val="0"/>
                <w:numId w:val="4"/>
              </w:numPr>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投标文件由一份“电子加密投标文件”和一份“备份投标文件”（可选）组成，均包括资格文件、技术商务文件和报价文件。</w:t>
            </w:r>
          </w:p>
          <w:p>
            <w:pPr>
              <w:pStyle w:val="62"/>
              <w:numPr>
                <w:ilvl w:val="0"/>
                <w:numId w:val="4"/>
              </w:numPr>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中标供应商在领取中标通知书时向采购人提供全套纸质投标文件4份。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14</w:t>
            </w:r>
          </w:p>
        </w:tc>
        <w:tc>
          <w:tcPr>
            <w:tcW w:w="1812" w:type="dxa"/>
            <w:noWrap w:val="0"/>
            <w:vAlign w:val="center"/>
          </w:tcPr>
          <w:p>
            <w:pPr>
              <w:jc w:val="center"/>
              <w:rPr>
                <w:rFonts w:hint="eastAsia" w:ascii="宋体" w:hAnsi="宋体" w:cs="宋体"/>
                <w:strike/>
                <w:szCs w:val="21"/>
              </w:rPr>
            </w:pPr>
            <w:r>
              <w:rPr>
                <w:rFonts w:hint="eastAsia" w:ascii="宋体" w:hAnsi="宋体" w:cs="宋体"/>
                <w:szCs w:val="21"/>
              </w:rPr>
              <w:t>投标文件的制作、递交</w:t>
            </w:r>
          </w:p>
        </w:tc>
        <w:tc>
          <w:tcPr>
            <w:tcW w:w="6638" w:type="dxa"/>
            <w:noWrap w:val="0"/>
            <w:vAlign w:val="center"/>
          </w:tcPr>
          <w:p>
            <w:pPr>
              <w:pStyle w:val="62"/>
              <w:numPr>
                <w:ilvl w:val="0"/>
                <w:numId w:val="5"/>
              </w:numPr>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投标文件的制作</w:t>
            </w:r>
          </w:p>
          <w:p>
            <w:pPr>
              <w:pStyle w:val="62"/>
              <w:spacing w:before="0" w:line="240" w:lineRule="auto"/>
              <w:ind w:firstLine="0" w:firstLineChars="0"/>
              <w:contextualSpacing/>
              <w:rPr>
                <w:rFonts w:hint="eastAsia" w:ascii="宋体" w:hAnsi="宋体" w:cs="宋体"/>
                <w:sz w:val="21"/>
                <w:szCs w:val="21"/>
              </w:rPr>
            </w:pPr>
            <w:r>
              <w:rPr>
                <w:rFonts w:hint="eastAsia" w:ascii="宋体" w:hAnsi="宋体" w:cs="宋体"/>
                <w:b/>
                <w:bCs/>
                <w:sz w:val="21"/>
                <w:szCs w:val="21"/>
              </w:rPr>
              <w:t>①电子加密投标文件：</w:t>
            </w:r>
            <w:r>
              <w:rPr>
                <w:rFonts w:hint="eastAsia" w:ascii="宋体" w:hAnsi="宋体" w:cs="宋体"/>
                <w:sz w:val="21"/>
                <w:szCs w:val="21"/>
              </w:rPr>
              <w:t>供应商通过政采云投标客户端线上制作投标文件并采用CA数字证书进行电子签章及加密，生成格式为.jmbs的投标文件。</w:t>
            </w:r>
          </w:p>
          <w:p>
            <w:pPr>
              <w:pStyle w:val="62"/>
              <w:spacing w:before="0" w:line="240" w:lineRule="auto"/>
              <w:ind w:firstLine="0" w:firstLineChars="0"/>
              <w:contextualSpacing/>
              <w:rPr>
                <w:rFonts w:hint="eastAsia" w:ascii="宋体" w:hAnsi="宋体" w:cs="宋体"/>
                <w:b/>
                <w:bCs/>
                <w:strike/>
                <w:sz w:val="21"/>
                <w:szCs w:val="21"/>
                <w:highlight w:val="yellow"/>
              </w:rPr>
            </w:pPr>
            <w:r>
              <w:rPr>
                <w:rFonts w:hint="eastAsia" w:ascii="宋体" w:hAnsi="宋体" w:cs="宋体"/>
                <w:b/>
                <w:bCs/>
                <w:sz w:val="21"/>
                <w:szCs w:val="21"/>
              </w:rPr>
              <w:t>②</w:t>
            </w:r>
            <w:r>
              <w:rPr>
                <w:rFonts w:hint="eastAsia" w:ascii="宋体" w:hAnsi="宋体" w:cs="宋体"/>
                <w:b/>
                <w:sz w:val="21"/>
                <w:szCs w:val="21"/>
              </w:rPr>
              <w:t>备份投标文件（可选）：与“</w:t>
            </w:r>
            <w:r>
              <w:rPr>
                <w:rFonts w:hint="eastAsia" w:ascii="宋体" w:hAnsi="宋体" w:cs="宋体"/>
                <w:b/>
                <w:bCs/>
                <w:sz w:val="21"/>
                <w:szCs w:val="21"/>
              </w:rPr>
              <w:t>电子加密投标文件</w:t>
            </w:r>
            <w:r>
              <w:rPr>
                <w:rFonts w:hint="eastAsia" w:ascii="宋体" w:hAnsi="宋体" w:cs="宋体"/>
                <w:b/>
                <w:sz w:val="21"/>
                <w:szCs w:val="21"/>
              </w:rPr>
              <w:t>”同时生成的以介质存储（U盘）的数据电文形式的电子文件（备份标书），文件格式为.bfbs。</w:t>
            </w:r>
          </w:p>
          <w:p>
            <w:pPr>
              <w:pStyle w:val="62"/>
              <w:numPr>
                <w:ilvl w:val="0"/>
                <w:numId w:val="5"/>
              </w:numPr>
              <w:spacing w:before="0" w:line="240" w:lineRule="auto"/>
              <w:ind w:firstLine="0" w:firstLineChars="0"/>
              <w:contextualSpacing/>
              <w:rPr>
                <w:rFonts w:hint="eastAsia" w:ascii="宋体" w:hAnsi="宋体" w:cs="宋体"/>
                <w:b/>
                <w:bCs/>
                <w:sz w:val="21"/>
                <w:szCs w:val="21"/>
              </w:rPr>
            </w:pPr>
            <w:r>
              <w:rPr>
                <w:rFonts w:hint="eastAsia" w:ascii="宋体" w:hAnsi="宋体" w:cs="宋体"/>
                <w:sz w:val="21"/>
                <w:szCs w:val="21"/>
              </w:rPr>
              <w:t>投标文件的递交</w:t>
            </w:r>
          </w:p>
          <w:p>
            <w:pPr>
              <w:pStyle w:val="62"/>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①递交截止时间：2021年</w:t>
            </w:r>
            <w:r>
              <w:rPr>
                <w:rFonts w:hint="eastAsia" w:ascii="宋体" w:hAnsi="宋体" w:cs="宋体"/>
                <w:b/>
                <w:bCs/>
                <w:sz w:val="21"/>
                <w:szCs w:val="21"/>
                <w:lang w:val="en-US" w:eastAsia="zh-CN"/>
              </w:rPr>
              <w:t>5</w:t>
            </w:r>
            <w:r>
              <w:rPr>
                <w:rFonts w:hint="eastAsia" w:ascii="宋体" w:hAnsi="宋体" w:cs="宋体"/>
                <w:b/>
                <w:bCs/>
                <w:sz w:val="21"/>
                <w:szCs w:val="21"/>
              </w:rPr>
              <w:t>月</w:t>
            </w:r>
            <w:r>
              <w:rPr>
                <w:rFonts w:hint="eastAsia" w:ascii="宋体" w:hAnsi="宋体" w:cs="宋体"/>
                <w:b/>
                <w:bCs/>
                <w:sz w:val="21"/>
                <w:szCs w:val="21"/>
                <w:lang w:val="en-US" w:eastAsia="zh-CN"/>
              </w:rPr>
              <w:t>1</w:t>
            </w:r>
            <w:r>
              <w:rPr>
                <w:rFonts w:hint="eastAsia" w:ascii="宋体" w:hAnsi="宋体" w:cs="宋体"/>
                <w:b/>
                <w:bCs/>
                <w:sz w:val="21"/>
                <w:szCs w:val="21"/>
                <w:lang w:val="en-US" w:eastAsia="zh-CN"/>
              </w:rPr>
              <w:t>2</w:t>
            </w:r>
            <w:r>
              <w:rPr>
                <w:rFonts w:hint="eastAsia" w:ascii="宋体" w:hAnsi="宋体" w:cs="宋体"/>
                <w:b/>
                <w:bCs/>
                <w:sz w:val="21"/>
                <w:szCs w:val="21"/>
              </w:rPr>
              <w:t>日上午09：00止（北京时间）；</w:t>
            </w:r>
          </w:p>
          <w:p>
            <w:pPr>
              <w:pStyle w:val="62"/>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②递交地点：</w:t>
            </w:r>
          </w:p>
          <w:p>
            <w:pPr>
              <w:pStyle w:val="62"/>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电子加密投标文件在“政府采购云平台（www.zcygov.cn）”指定位置上传，“电子加密投标文件”成功上传递交后，供应商可自行打印投标文件接收回执。</w:t>
            </w:r>
          </w:p>
          <w:p>
            <w:pPr>
              <w:pStyle w:val="62"/>
              <w:spacing w:before="0" w:line="240" w:lineRule="auto"/>
              <w:ind w:firstLine="0" w:firstLineChars="0"/>
              <w:contextualSpacing/>
              <w:rPr>
                <w:rFonts w:hint="eastAsia" w:ascii="宋体" w:hAnsi="宋体" w:cs="宋体"/>
                <w:strike/>
                <w:sz w:val="21"/>
                <w:szCs w:val="21"/>
              </w:rPr>
            </w:pPr>
            <w:r>
              <w:rPr>
                <w:rFonts w:hint="eastAsia" w:ascii="宋体" w:hAnsi="宋体" w:cs="宋体"/>
                <w:sz w:val="21"/>
                <w:szCs w:val="21"/>
              </w:rPr>
              <w:t>供应商在“政府采购云平台”完成“电子加密响应文件”的上传递交后，还可将备份投标文件以邮寄形式（以采购代理机构联系人签收时间为准）在响应截止时间前寄送至地址：瑞安市外滩满庭芳大楼三楼瑞安市公共资源交易中心浙江鼎力工程项目管理有限公司窗口陈茜茜、林琴收，联系电话15967723390、13906879962。</w:t>
            </w:r>
            <w:r>
              <w:rPr>
                <w:rFonts w:hint="eastAsia" w:ascii="宋体" w:hAnsi="宋体" w:cs="宋体"/>
                <w:b/>
                <w:bCs/>
                <w:sz w:val="21"/>
                <w:szCs w:val="21"/>
              </w:rPr>
              <w:t>“备份投标文件”的完好性由供应商负责。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15</w:t>
            </w:r>
          </w:p>
        </w:tc>
        <w:tc>
          <w:tcPr>
            <w:tcW w:w="1812" w:type="dxa"/>
            <w:noWrap w:val="0"/>
            <w:vAlign w:val="center"/>
          </w:tcPr>
          <w:p>
            <w:pPr>
              <w:jc w:val="center"/>
              <w:rPr>
                <w:rFonts w:hint="eastAsia" w:ascii="宋体" w:hAnsi="宋体" w:cs="宋体"/>
                <w:strike/>
                <w:szCs w:val="21"/>
              </w:rPr>
            </w:pPr>
            <w:r>
              <w:rPr>
                <w:rFonts w:hint="eastAsia" w:ascii="宋体" w:hAnsi="宋体" w:cs="宋体"/>
                <w:b/>
                <w:bCs/>
                <w:szCs w:val="21"/>
              </w:rPr>
              <w:t>投标文件异常情况处理</w:t>
            </w:r>
          </w:p>
        </w:tc>
        <w:tc>
          <w:tcPr>
            <w:tcW w:w="6638" w:type="dxa"/>
            <w:noWrap w:val="0"/>
            <w:vAlign w:val="center"/>
          </w:tcPr>
          <w:p>
            <w:pPr>
              <w:pStyle w:val="62"/>
              <w:numPr>
                <w:ilvl w:val="0"/>
                <w:numId w:val="6"/>
              </w:numPr>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投标文件的拒收</w:t>
            </w:r>
          </w:p>
          <w:p>
            <w:pPr>
              <w:pStyle w:val="62"/>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①供应商未按规定加密或未在响应截止时间前递交的电子加密投标文件，“政府采购云平台”将予以拒收。</w:t>
            </w:r>
          </w:p>
          <w:p>
            <w:pPr>
              <w:pStyle w:val="62"/>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②备份投标文件（如有）如出现下列情况之一的将被拒收，视为未递交备份投标文件：</w:t>
            </w:r>
          </w:p>
          <w:p>
            <w:pPr>
              <w:numPr>
                <w:ilvl w:val="0"/>
                <w:numId w:val="7"/>
              </w:numPr>
              <w:adjustRightInd w:val="0"/>
              <w:snapToGrid w:val="0"/>
              <w:rPr>
                <w:rFonts w:hint="eastAsia" w:ascii="宋体" w:hAnsi="宋体" w:cs="宋体"/>
                <w:bCs/>
                <w:szCs w:val="21"/>
              </w:rPr>
            </w:pPr>
            <w:r>
              <w:rPr>
                <w:rFonts w:hint="eastAsia" w:ascii="宋体" w:hAnsi="宋体" w:cs="宋体"/>
                <w:bCs/>
                <w:szCs w:val="21"/>
              </w:rPr>
              <w:t>未按规定密封或标记的响应文件；</w:t>
            </w:r>
          </w:p>
          <w:p>
            <w:pPr>
              <w:numPr>
                <w:ilvl w:val="0"/>
                <w:numId w:val="7"/>
              </w:numPr>
              <w:adjustRightInd w:val="0"/>
              <w:snapToGrid w:val="0"/>
              <w:rPr>
                <w:rFonts w:hint="eastAsia" w:ascii="宋体" w:hAnsi="宋体" w:cs="宋体"/>
                <w:bCs/>
                <w:szCs w:val="21"/>
              </w:rPr>
            </w:pPr>
            <w:r>
              <w:rPr>
                <w:rFonts w:hint="eastAsia" w:ascii="宋体" w:hAnsi="宋体" w:cs="宋体"/>
                <w:bCs/>
                <w:szCs w:val="21"/>
              </w:rPr>
              <w:t>由于包装不妥，在送交途中严重破损或失散的；</w:t>
            </w:r>
          </w:p>
          <w:p>
            <w:pPr>
              <w:numPr>
                <w:ilvl w:val="0"/>
                <w:numId w:val="7"/>
              </w:numPr>
              <w:adjustRightInd w:val="0"/>
              <w:snapToGrid w:val="0"/>
              <w:rPr>
                <w:rFonts w:hint="eastAsia" w:ascii="宋体" w:hAnsi="宋体" w:cs="宋体"/>
                <w:bCs/>
                <w:szCs w:val="21"/>
              </w:rPr>
            </w:pPr>
            <w:r>
              <w:rPr>
                <w:rFonts w:hint="eastAsia" w:ascii="宋体" w:hAnsi="宋体" w:cs="宋体"/>
                <w:bCs/>
                <w:szCs w:val="21"/>
              </w:rPr>
              <w:t>超过递交截止时间送达的；</w:t>
            </w:r>
          </w:p>
          <w:p>
            <w:pPr>
              <w:pStyle w:val="62"/>
              <w:spacing w:before="0" w:line="240" w:lineRule="auto"/>
              <w:ind w:firstLine="0" w:firstLineChars="0"/>
              <w:contextualSpacing/>
              <w:rPr>
                <w:rFonts w:hint="eastAsia" w:ascii="宋体" w:hAnsi="宋体" w:cs="宋体"/>
                <w:b/>
                <w:bCs/>
                <w:sz w:val="21"/>
                <w:szCs w:val="21"/>
              </w:rPr>
            </w:pPr>
            <w:r>
              <w:rPr>
                <w:rFonts w:hint="eastAsia" w:ascii="宋体" w:hAnsi="宋体" w:cs="宋体"/>
                <w:b/>
                <w:bCs/>
                <w:sz w:val="21"/>
                <w:szCs w:val="21"/>
              </w:rPr>
              <w:t>2、投标文件的失效</w:t>
            </w:r>
          </w:p>
          <w:p>
            <w:pPr>
              <w:wordWrap w:val="0"/>
              <w:rPr>
                <w:rFonts w:hint="eastAsia" w:ascii="宋体" w:hAnsi="宋体" w:cs="宋体"/>
                <w:b/>
                <w:bCs/>
                <w:szCs w:val="21"/>
              </w:rPr>
            </w:pPr>
            <w:r>
              <w:rPr>
                <w:rFonts w:hint="eastAsia" w:ascii="宋体" w:hAnsi="宋体" w:cs="宋体"/>
                <w:b/>
                <w:bCs/>
                <w:szCs w:val="21"/>
              </w:rPr>
              <w:t>①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wordWrap w:val="0"/>
              <w:rPr>
                <w:rFonts w:hint="eastAsia" w:ascii="宋体" w:hAnsi="宋体" w:cs="宋体"/>
                <w:b/>
                <w:bCs/>
                <w:szCs w:val="21"/>
              </w:rPr>
            </w:pPr>
            <w:r>
              <w:rPr>
                <w:rFonts w:hint="eastAsia" w:ascii="宋体" w:hAnsi="宋体" w:cs="宋体"/>
                <w:b/>
                <w:bCs/>
                <w:szCs w:val="21"/>
              </w:rPr>
              <w:t>②通过“政府采购云平台”上传递交的“电子加密响应文件”已按时解密的，“备份响应文件”自动失效，不再开启。</w:t>
            </w:r>
          </w:p>
          <w:p>
            <w:pPr>
              <w:pStyle w:val="62"/>
              <w:spacing w:before="0" w:line="240" w:lineRule="auto"/>
              <w:ind w:firstLine="0" w:firstLineChars="0"/>
              <w:contextualSpacing/>
              <w:rPr>
                <w:rFonts w:hint="eastAsia" w:ascii="宋体" w:hAnsi="宋体" w:cs="宋体"/>
                <w:strike/>
                <w:sz w:val="21"/>
              </w:rPr>
            </w:pPr>
            <w:r>
              <w:rPr>
                <w:rFonts w:hint="eastAsia" w:ascii="宋体" w:hAnsi="宋体" w:cs="宋体"/>
                <w:b/>
                <w:bCs/>
                <w:sz w:val="21"/>
                <w:szCs w:val="21"/>
              </w:rPr>
              <w:t>3、投标截止时间前，投标供应商仅递交了“备份投标文件”而未将电子加密投标文件上传至“政府采购云平台”的，投标无效。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16</w:t>
            </w:r>
          </w:p>
        </w:tc>
        <w:tc>
          <w:tcPr>
            <w:tcW w:w="1812" w:type="dxa"/>
            <w:noWrap w:val="0"/>
            <w:vAlign w:val="center"/>
          </w:tcPr>
          <w:p>
            <w:pPr>
              <w:jc w:val="center"/>
              <w:rPr>
                <w:rFonts w:hint="eastAsia" w:ascii="宋体" w:hAnsi="宋体" w:cs="宋体"/>
                <w:szCs w:val="21"/>
              </w:rPr>
            </w:pPr>
            <w:r>
              <w:rPr>
                <w:rFonts w:hint="eastAsia" w:ascii="宋体" w:hAnsi="宋体" w:cs="宋体"/>
                <w:szCs w:val="21"/>
              </w:rPr>
              <w:t>投标有效期</w:t>
            </w:r>
          </w:p>
        </w:tc>
        <w:tc>
          <w:tcPr>
            <w:tcW w:w="6638" w:type="dxa"/>
            <w:noWrap w:val="0"/>
            <w:vAlign w:val="center"/>
          </w:tcPr>
          <w:p>
            <w:pPr>
              <w:rPr>
                <w:rFonts w:hint="eastAsia" w:ascii="宋体" w:hAnsi="宋体" w:cs="宋体"/>
                <w:szCs w:val="21"/>
              </w:rPr>
            </w:pPr>
            <w:r>
              <w:rPr>
                <w:rFonts w:hint="eastAsia" w:ascii="宋体" w:hAnsi="宋体" w:cs="宋体"/>
                <w:szCs w:val="21"/>
              </w:rPr>
              <w:t>投标截止时间起90日历天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17</w:t>
            </w:r>
          </w:p>
        </w:tc>
        <w:tc>
          <w:tcPr>
            <w:tcW w:w="1812" w:type="dxa"/>
            <w:noWrap w:val="0"/>
            <w:vAlign w:val="center"/>
          </w:tcPr>
          <w:p>
            <w:pPr>
              <w:jc w:val="center"/>
              <w:rPr>
                <w:rFonts w:hint="eastAsia" w:ascii="宋体" w:hAnsi="宋体" w:cs="宋体"/>
                <w:szCs w:val="21"/>
              </w:rPr>
            </w:pPr>
            <w:r>
              <w:rPr>
                <w:rFonts w:hint="eastAsia" w:ascii="宋体" w:hAnsi="宋体" w:cs="宋体"/>
                <w:szCs w:val="21"/>
              </w:rPr>
              <w:t>签字或盖章要求</w:t>
            </w:r>
          </w:p>
        </w:tc>
        <w:tc>
          <w:tcPr>
            <w:tcW w:w="6638" w:type="dxa"/>
            <w:noWrap w:val="0"/>
            <w:vAlign w:val="center"/>
          </w:tcPr>
          <w:p>
            <w:pPr>
              <w:rPr>
                <w:rFonts w:hint="eastAsia" w:ascii="宋体" w:hAnsi="宋体" w:cs="宋体"/>
                <w:szCs w:val="21"/>
              </w:rPr>
            </w:pPr>
            <w:r>
              <w:rPr>
                <w:rFonts w:hint="eastAsia" w:ascii="宋体" w:hAnsi="宋体" w:cs="宋体"/>
                <w:szCs w:val="21"/>
              </w:rPr>
              <w:t>1、按“响应文件格式”中提供的格式进行签字盖章。</w:t>
            </w:r>
          </w:p>
          <w:p>
            <w:pPr>
              <w:rPr>
                <w:rFonts w:hint="eastAsia" w:ascii="宋体" w:hAnsi="宋体" w:cs="宋体"/>
                <w:szCs w:val="21"/>
              </w:rPr>
            </w:pPr>
            <w:r>
              <w:rPr>
                <w:rFonts w:hint="eastAsia" w:ascii="宋体" w:hAnsi="宋体" w:cs="宋体"/>
                <w:szCs w:val="21"/>
              </w:rPr>
              <w:t>2、响应文件签署人（签字或盖章）：投标文件凡涉及法定代表人或其授权代表的签字（或盖章）的地方均可使用电子签章，或签字（或盖章）扫描后上传。</w:t>
            </w:r>
          </w:p>
          <w:p>
            <w:pPr>
              <w:rPr>
                <w:rFonts w:hint="eastAsia" w:ascii="宋体" w:hAnsi="宋体" w:cs="宋体"/>
                <w:szCs w:val="21"/>
              </w:rPr>
            </w:pPr>
            <w:r>
              <w:rPr>
                <w:rFonts w:hint="eastAsia" w:ascii="宋体" w:hAnsi="宋体" w:cs="宋体"/>
                <w:szCs w:val="21"/>
              </w:rPr>
              <w:t>3、盖单位公章：投标文件中须加盖单位公章的地方均可使用电子签章或加盖单位公章后扫描上传。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18</w:t>
            </w:r>
          </w:p>
        </w:tc>
        <w:tc>
          <w:tcPr>
            <w:tcW w:w="1812" w:type="dxa"/>
            <w:noWrap w:val="0"/>
            <w:vAlign w:val="center"/>
          </w:tcPr>
          <w:p>
            <w:pPr>
              <w:jc w:val="center"/>
              <w:rPr>
                <w:rFonts w:hint="eastAsia" w:ascii="宋体" w:hAnsi="宋体" w:cs="宋体"/>
                <w:szCs w:val="21"/>
              </w:rPr>
            </w:pPr>
            <w:r>
              <w:rPr>
                <w:rFonts w:hint="eastAsia" w:ascii="宋体" w:hAnsi="宋体" w:cs="宋体"/>
                <w:szCs w:val="21"/>
              </w:rPr>
              <w:t>密封要求</w:t>
            </w:r>
          </w:p>
        </w:tc>
        <w:tc>
          <w:tcPr>
            <w:tcW w:w="6638" w:type="dxa"/>
            <w:noWrap w:val="0"/>
            <w:vAlign w:val="center"/>
          </w:tcPr>
          <w:p>
            <w:pPr>
              <w:rPr>
                <w:rFonts w:hint="eastAsia" w:ascii="宋体" w:hAnsi="宋体" w:cs="宋体"/>
                <w:szCs w:val="21"/>
              </w:rPr>
            </w:pPr>
            <w:r>
              <w:rPr>
                <w:rFonts w:hint="eastAsia" w:ascii="宋体" w:hAnsi="宋体" w:cs="宋体"/>
                <w:szCs w:val="21"/>
              </w:rPr>
              <w:t>“备份投标文件”（如有递交）应当密封包装，并在包装上标注项目名称、供应商名称及“备份投标文件”字样并加盖单位公章。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19</w:t>
            </w:r>
          </w:p>
        </w:tc>
        <w:tc>
          <w:tcPr>
            <w:tcW w:w="1812" w:type="dxa"/>
            <w:noWrap w:val="0"/>
            <w:vAlign w:val="center"/>
          </w:tcPr>
          <w:p>
            <w:pPr>
              <w:jc w:val="center"/>
              <w:rPr>
                <w:rFonts w:hint="eastAsia" w:ascii="宋体" w:hAnsi="宋体" w:cs="宋体"/>
                <w:szCs w:val="21"/>
              </w:rPr>
            </w:pPr>
            <w:r>
              <w:rPr>
                <w:rFonts w:hint="eastAsia" w:ascii="宋体" w:hAnsi="宋体" w:cs="宋体"/>
                <w:szCs w:val="21"/>
              </w:rPr>
              <w:t>投标样品</w:t>
            </w:r>
          </w:p>
        </w:tc>
        <w:tc>
          <w:tcPr>
            <w:tcW w:w="6638" w:type="dxa"/>
            <w:noWrap w:val="0"/>
            <w:vAlign w:val="center"/>
          </w:tcPr>
          <w:p>
            <w:pPr>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不需要</w:t>
            </w:r>
          </w:p>
          <w:p>
            <w:pPr>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20</w:t>
            </w:r>
          </w:p>
        </w:tc>
        <w:tc>
          <w:tcPr>
            <w:tcW w:w="1812" w:type="dxa"/>
            <w:noWrap w:val="0"/>
            <w:vAlign w:val="center"/>
          </w:tcPr>
          <w:p>
            <w:pPr>
              <w:jc w:val="center"/>
              <w:rPr>
                <w:rFonts w:hint="eastAsia" w:ascii="宋体" w:hAnsi="宋体" w:cs="宋体"/>
                <w:szCs w:val="21"/>
              </w:rPr>
            </w:pPr>
            <w:r>
              <w:rPr>
                <w:rFonts w:hint="eastAsia" w:ascii="宋体" w:hAnsi="宋体" w:cs="宋体"/>
                <w:szCs w:val="21"/>
              </w:rPr>
              <w:t>投标保证金</w:t>
            </w:r>
          </w:p>
        </w:tc>
        <w:tc>
          <w:tcPr>
            <w:tcW w:w="6638" w:type="dxa"/>
            <w:noWrap w:val="0"/>
            <w:vAlign w:val="center"/>
          </w:tcPr>
          <w:p>
            <w:pPr>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不需要</w:t>
            </w:r>
          </w:p>
          <w:p>
            <w:pPr>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21</w:t>
            </w:r>
          </w:p>
        </w:tc>
        <w:tc>
          <w:tcPr>
            <w:tcW w:w="1812" w:type="dxa"/>
            <w:noWrap w:val="0"/>
            <w:vAlign w:val="center"/>
          </w:tcPr>
          <w:p>
            <w:pPr>
              <w:adjustRightInd w:val="0"/>
              <w:jc w:val="center"/>
              <w:rPr>
                <w:rFonts w:hint="eastAsia" w:ascii="宋体" w:hAnsi="宋体" w:cs="宋体"/>
                <w:szCs w:val="21"/>
              </w:rPr>
            </w:pPr>
            <w:r>
              <w:rPr>
                <w:rFonts w:hint="eastAsia" w:ascii="宋体" w:hAnsi="宋体" w:cs="宋体"/>
                <w:szCs w:val="21"/>
              </w:rPr>
              <w:t>履约担保</w:t>
            </w:r>
          </w:p>
        </w:tc>
        <w:tc>
          <w:tcPr>
            <w:tcW w:w="6638" w:type="dxa"/>
            <w:noWrap w:val="0"/>
            <w:vAlign w:val="center"/>
          </w:tcPr>
          <w:p>
            <w:pPr>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不需要</w:t>
            </w:r>
          </w:p>
          <w:p>
            <w:pPr>
              <w:adjustRightInd w:val="0"/>
              <w:rPr>
                <w:rFonts w:hint="eastAsia" w:ascii="宋体" w:hAnsi="宋体" w:cs="宋体"/>
                <w:szCs w:val="21"/>
              </w:rPr>
            </w:pPr>
            <w:r>
              <w:rPr>
                <w:rFonts w:hint="eastAsia" w:ascii="宋体" w:hAnsi="宋体" w:cs="宋体"/>
                <w:sz w:val="18"/>
                <w:szCs w:val="21"/>
              </w:rPr>
              <w:fldChar w:fldCharType="begin"/>
            </w:r>
            <w:r>
              <w:rPr>
                <w:rFonts w:hint="eastAsia" w:ascii="宋体" w:hAnsi="宋体" w:cs="宋体"/>
                <w:sz w:val="18"/>
                <w:szCs w:val="21"/>
              </w:rPr>
              <w:instrText xml:space="preserve"> eq \o\ac(</w:instrText>
            </w:r>
            <w:r>
              <w:rPr>
                <w:rFonts w:hint="eastAsia" w:ascii="宋体" w:hAnsi="宋体" w:cs="宋体"/>
                <w:sz w:val="24"/>
                <w:szCs w:val="21"/>
              </w:rPr>
              <w:instrText xml:space="preserve">□</w:instrText>
            </w:r>
            <w:r>
              <w:rPr>
                <w:rFonts w:hint="eastAsia" w:ascii="宋体" w:hAnsi="宋体" w:cs="宋体"/>
                <w:sz w:val="18"/>
                <w:szCs w:val="21"/>
              </w:rPr>
              <w:instrText xml:space="preserve">,√)</w:instrText>
            </w:r>
            <w:r>
              <w:rPr>
                <w:rFonts w:hint="eastAsia" w:ascii="宋体" w:hAnsi="宋体" w:cs="宋体"/>
                <w:sz w:val="18"/>
                <w:szCs w:val="21"/>
              </w:rPr>
              <w:fldChar w:fldCharType="end"/>
            </w:r>
            <w:r>
              <w:rPr>
                <w:rFonts w:hint="eastAsia" w:ascii="宋体" w:hAnsi="宋体" w:cs="宋体"/>
                <w:szCs w:val="21"/>
              </w:rPr>
              <w:t>需要 中标供应商应以银行转账/转账支票/银行汇票/银行、保险机构出具的保函等非现金方式提供相应区域一年中标金额的5%作为履约保证金分别缴纳至合同对应采购人指定账户。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22</w:t>
            </w:r>
          </w:p>
        </w:tc>
        <w:tc>
          <w:tcPr>
            <w:tcW w:w="1812" w:type="dxa"/>
            <w:noWrap w:val="0"/>
            <w:vAlign w:val="center"/>
          </w:tcPr>
          <w:p>
            <w:pPr>
              <w:jc w:val="center"/>
              <w:rPr>
                <w:rFonts w:hint="eastAsia" w:ascii="宋体" w:hAnsi="宋体" w:cs="宋体"/>
                <w:szCs w:val="21"/>
              </w:rPr>
            </w:pPr>
            <w:r>
              <w:rPr>
                <w:rFonts w:hint="eastAsia" w:ascii="宋体" w:hAnsi="宋体" w:cs="宋体"/>
                <w:szCs w:val="21"/>
              </w:rPr>
              <w:t>招标文件获取时间及方式等</w:t>
            </w:r>
          </w:p>
        </w:tc>
        <w:tc>
          <w:tcPr>
            <w:tcW w:w="6638" w:type="dxa"/>
            <w:noWrap w:val="0"/>
            <w:vAlign w:val="center"/>
          </w:tcPr>
          <w:p>
            <w:pPr>
              <w:numPr>
                <w:ilvl w:val="0"/>
                <w:numId w:val="8"/>
              </w:numPr>
              <w:rPr>
                <w:rFonts w:hint="eastAsia" w:ascii="宋体" w:hAnsi="宋体" w:cs="宋体"/>
              </w:rPr>
            </w:pPr>
            <w:r>
              <w:rPr>
                <w:rFonts w:hint="eastAsia" w:ascii="宋体" w:hAnsi="宋体" w:cs="宋体"/>
              </w:rPr>
              <w:t>获取时间：2021年</w:t>
            </w:r>
            <w:r>
              <w:rPr>
                <w:rFonts w:hint="eastAsia" w:ascii="宋体" w:hAnsi="宋体" w:cs="宋体"/>
                <w:lang w:val="en-US" w:eastAsia="zh-CN"/>
              </w:rPr>
              <w:t>4</w:t>
            </w:r>
            <w:r>
              <w:rPr>
                <w:rFonts w:hint="eastAsia" w:ascii="宋体" w:hAnsi="宋体" w:cs="宋体"/>
              </w:rPr>
              <w:t>月</w:t>
            </w:r>
            <w:r>
              <w:rPr>
                <w:rFonts w:hint="eastAsia" w:ascii="宋体" w:hAnsi="宋体" w:cs="宋体"/>
                <w:lang w:val="en-US" w:eastAsia="zh-CN"/>
              </w:rPr>
              <w:t>19</w:t>
            </w:r>
            <w:r>
              <w:rPr>
                <w:rFonts w:hint="eastAsia" w:ascii="宋体" w:hAnsi="宋体" w:cs="宋体"/>
              </w:rPr>
              <w:t>日至投标截止时间前；</w:t>
            </w:r>
          </w:p>
          <w:p>
            <w:pPr>
              <w:numPr>
                <w:ilvl w:val="0"/>
                <w:numId w:val="8"/>
              </w:numPr>
              <w:rPr>
                <w:rFonts w:hint="eastAsia" w:ascii="宋体" w:hAnsi="宋体" w:cs="宋体"/>
                <w:szCs w:val="22"/>
              </w:rPr>
            </w:pPr>
            <w:r>
              <w:rPr>
                <w:rFonts w:hint="eastAsia" w:ascii="宋体" w:hAnsi="宋体" w:cs="宋体"/>
              </w:rPr>
              <w:t>获取方式：供应商登录浙江政府采购网（https://zfcg.czt.zj.gov.cn/new/）申请获</w:t>
            </w:r>
            <w:r>
              <w:rPr>
                <w:rFonts w:hint="eastAsia" w:ascii="宋体" w:hAnsi="宋体" w:cs="宋体"/>
                <w:szCs w:val="22"/>
              </w:rPr>
              <w:t>取采购文件。操作路径：浙江政府采购网：供应商注册-项目采购-获取采购文件-申请获取采购文件。</w:t>
            </w:r>
          </w:p>
          <w:p>
            <w:pPr>
              <w:numPr>
                <w:ilvl w:val="0"/>
                <w:numId w:val="8"/>
              </w:numPr>
              <w:rPr>
                <w:rFonts w:hint="eastAsia" w:ascii="宋体" w:hAnsi="宋体" w:cs="宋体"/>
              </w:rPr>
            </w:pPr>
            <w:r>
              <w:rPr>
                <w:rFonts w:hint="eastAsia" w:ascii="宋体" w:hAnsi="宋体" w:cs="宋体"/>
                <w:szCs w:val="21"/>
              </w:rPr>
              <w:t>本项目招标文件实行“政府采购云平台”在线获取，不提供纸质招标文件。不收取招标文件工本费。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23</w:t>
            </w:r>
          </w:p>
        </w:tc>
        <w:tc>
          <w:tcPr>
            <w:tcW w:w="1812" w:type="dxa"/>
            <w:noWrap w:val="0"/>
            <w:vAlign w:val="center"/>
          </w:tcPr>
          <w:p>
            <w:pPr>
              <w:jc w:val="center"/>
              <w:rPr>
                <w:rFonts w:hint="eastAsia" w:ascii="宋体" w:hAnsi="宋体" w:cs="宋体"/>
                <w:szCs w:val="21"/>
              </w:rPr>
            </w:pPr>
            <w:r>
              <w:rPr>
                <w:rFonts w:hint="eastAsia" w:ascii="宋体" w:hAnsi="宋体" w:cs="宋体"/>
                <w:szCs w:val="21"/>
              </w:rPr>
              <w:t>投标截止时间</w:t>
            </w:r>
          </w:p>
        </w:tc>
        <w:tc>
          <w:tcPr>
            <w:tcW w:w="6638" w:type="dxa"/>
            <w:noWrap w:val="0"/>
            <w:vAlign w:val="center"/>
          </w:tcPr>
          <w:p>
            <w:pPr>
              <w:rPr>
                <w:rFonts w:hint="eastAsia" w:ascii="宋体" w:hAnsi="宋体" w:cs="宋体"/>
                <w:szCs w:val="21"/>
              </w:rPr>
            </w:pPr>
            <w:r>
              <w:rPr>
                <w:rFonts w:hint="eastAsia" w:ascii="宋体" w:hAnsi="宋体" w:cs="宋体"/>
                <w:szCs w:val="21"/>
              </w:rPr>
              <w:t>2021年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日上午09：00止(北京时间)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24</w:t>
            </w:r>
          </w:p>
        </w:tc>
        <w:tc>
          <w:tcPr>
            <w:tcW w:w="1812" w:type="dxa"/>
            <w:noWrap w:val="0"/>
            <w:vAlign w:val="center"/>
          </w:tcPr>
          <w:p>
            <w:pPr>
              <w:jc w:val="center"/>
              <w:rPr>
                <w:rFonts w:hint="eastAsia" w:ascii="宋体" w:hAnsi="宋体" w:cs="宋体"/>
                <w:szCs w:val="21"/>
              </w:rPr>
            </w:pPr>
            <w:r>
              <w:rPr>
                <w:rFonts w:hint="eastAsia" w:ascii="宋体" w:hAnsi="宋体" w:cs="宋体"/>
                <w:szCs w:val="21"/>
              </w:rPr>
              <w:t>开标时间</w:t>
            </w:r>
          </w:p>
          <w:p>
            <w:pPr>
              <w:jc w:val="center"/>
              <w:rPr>
                <w:rFonts w:hint="eastAsia" w:ascii="宋体" w:hAnsi="宋体" w:cs="宋体"/>
                <w:szCs w:val="21"/>
              </w:rPr>
            </w:pPr>
            <w:r>
              <w:rPr>
                <w:rFonts w:hint="eastAsia" w:ascii="宋体" w:hAnsi="宋体" w:cs="宋体"/>
                <w:szCs w:val="21"/>
              </w:rPr>
              <w:t>开标地点</w:t>
            </w:r>
          </w:p>
        </w:tc>
        <w:tc>
          <w:tcPr>
            <w:tcW w:w="6638" w:type="dxa"/>
            <w:noWrap w:val="0"/>
            <w:vAlign w:val="center"/>
          </w:tcPr>
          <w:p>
            <w:pPr>
              <w:rPr>
                <w:rFonts w:hint="eastAsia" w:ascii="宋体" w:hAnsi="宋体" w:cs="宋体"/>
                <w:szCs w:val="21"/>
              </w:rPr>
            </w:pPr>
            <w:r>
              <w:rPr>
                <w:rFonts w:hint="eastAsia" w:ascii="宋体" w:hAnsi="宋体" w:cs="宋体"/>
                <w:szCs w:val="21"/>
              </w:rPr>
              <w:t>开标时间：2021年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日上午09：00正</w:t>
            </w:r>
            <w:r>
              <w:rPr>
                <w:rFonts w:hint="eastAsia" w:ascii="宋体" w:hAnsi="宋体" w:cs="宋体"/>
                <w:i/>
                <w:szCs w:val="21"/>
              </w:rPr>
              <w:t xml:space="preserve"> </w:t>
            </w:r>
            <w:r>
              <w:rPr>
                <w:rFonts w:hint="eastAsia" w:ascii="宋体" w:hAnsi="宋体" w:cs="宋体"/>
                <w:szCs w:val="21"/>
              </w:rPr>
              <w:t>(北京时间)</w:t>
            </w:r>
          </w:p>
          <w:p>
            <w:pPr>
              <w:rPr>
                <w:rFonts w:hint="eastAsia" w:ascii="宋体" w:hAnsi="宋体" w:cs="宋体"/>
                <w:szCs w:val="21"/>
              </w:rPr>
            </w:pPr>
            <w:r>
              <w:rPr>
                <w:rFonts w:hint="eastAsia" w:ascii="宋体" w:hAnsi="宋体" w:cs="宋体"/>
                <w:szCs w:val="21"/>
              </w:rPr>
              <w:t>开标地点：瑞安市公共资源交易中心开标室（见当日大厅公示栏）（滨江大道外滩满庭芳大楼三楼）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25</w:t>
            </w:r>
          </w:p>
        </w:tc>
        <w:tc>
          <w:tcPr>
            <w:tcW w:w="1812" w:type="dxa"/>
            <w:noWrap w:val="0"/>
            <w:vAlign w:val="center"/>
          </w:tcPr>
          <w:p>
            <w:pPr>
              <w:jc w:val="center"/>
              <w:rPr>
                <w:rFonts w:hint="eastAsia" w:ascii="宋体" w:hAnsi="宋体" w:cs="宋体"/>
                <w:szCs w:val="21"/>
              </w:rPr>
            </w:pPr>
            <w:r>
              <w:rPr>
                <w:rFonts w:hint="eastAsia" w:ascii="宋体" w:hAnsi="宋体" w:cs="宋体"/>
                <w:szCs w:val="21"/>
              </w:rPr>
              <w:t>开标程序</w:t>
            </w:r>
          </w:p>
        </w:tc>
        <w:tc>
          <w:tcPr>
            <w:tcW w:w="6638" w:type="dxa"/>
            <w:noWrap w:val="0"/>
            <w:vAlign w:val="center"/>
          </w:tcPr>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开标后，采购组织机构将向各投标供应商发出“电子加密投标文件”的解密通知，各投标供应商代表应当在接到解密通知后30分钟内自行完成“电子加密投标文件”的在线解密；</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解密结束后，各供应商签署《政府采购活动现场确认声明书》（见招标文件附表），并在15分钟内通过邮件形式发送至采购代理机构邮箱：：420206010@qq.com。</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采购人或采购代理机构先进行资格性审查；</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评标委员会对资格性审查合格的投标供应商进行符合性审查；</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评标委员会再对资格性、符合性审查合格的投标供应商进行技术商务评审；</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开启资格审查、技术商务评审有效供应商的报价文件，并录入评标系统。</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由评标委员会进行综合评分；</w:t>
            </w:r>
          </w:p>
          <w:p>
            <w:pPr>
              <w:pStyle w:val="62"/>
              <w:numPr>
                <w:ilvl w:val="0"/>
                <w:numId w:val="9"/>
              </w:numPr>
              <w:spacing w:before="0" w:line="240" w:lineRule="auto"/>
              <w:ind w:firstLine="0" w:firstLineChars="0"/>
              <w:contextualSpacing/>
              <w:rPr>
                <w:rFonts w:hint="eastAsia" w:ascii="宋体" w:hAnsi="宋体" w:cs="宋体"/>
                <w:sz w:val="21"/>
                <w:szCs w:val="21"/>
              </w:rPr>
            </w:pPr>
            <w:r>
              <w:rPr>
                <w:rFonts w:hint="eastAsia" w:ascii="宋体" w:hAnsi="宋体" w:cs="宋体"/>
                <w:sz w:val="21"/>
                <w:szCs w:val="21"/>
              </w:rPr>
              <w:t>评标委员会根据综合评分情况，按照综合得分由高到低顺序确定一个预选中标供应商（得分高者）。</w:t>
            </w:r>
          </w:p>
          <w:p>
            <w:pPr>
              <w:pStyle w:val="62"/>
              <w:spacing w:before="0" w:line="240" w:lineRule="auto"/>
              <w:ind w:firstLine="0" w:firstLineChars="0"/>
              <w:contextualSpacing/>
              <w:rPr>
                <w:rFonts w:hint="eastAsia" w:ascii="宋体" w:hAnsi="宋体" w:cs="宋体"/>
                <w:szCs w:val="21"/>
              </w:rPr>
            </w:pPr>
            <w:r>
              <w:rPr>
                <w:rFonts w:hint="eastAsia" w:ascii="宋体" w:hAnsi="宋体" w:cs="宋体"/>
                <w:sz w:val="21"/>
                <w:szCs w:val="21"/>
              </w:rPr>
              <w:t>如遇“政府采购云平台”电子化开标或评审程序调整的，按调整后程序执行。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26</w:t>
            </w:r>
          </w:p>
        </w:tc>
        <w:tc>
          <w:tcPr>
            <w:tcW w:w="1812" w:type="dxa"/>
            <w:noWrap w:val="0"/>
            <w:vAlign w:val="center"/>
          </w:tcPr>
          <w:p>
            <w:pPr>
              <w:jc w:val="center"/>
              <w:rPr>
                <w:rFonts w:hint="eastAsia" w:ascii="宋体" w:hAnsi="宋体" w:cs="宋体"/>
                <w:szCs w:val="21"/>
              </w:rPr>
            </w:pPr>
            <w:r>
              <w:rPr>
                <w:rFonts w:hint="eastAsia" w:ascii="宋体" w:hAnsi="宋体" w:cs="宋体"/>
                <w:szCs w:val="21"/>
              </w:rPr>
              <w:t>评标委员会的组建</w:t>
            </w:r>
          </w:p>
        </w:tc>
        <w:tc>
          <w:tcPr>
            <w:tcW w:w="6638" w:type="dxa"/>
            <w:noWrap w:val="0"/>
            <w:vAlign w:val="center"/>
          </w:tcPr>
          <w:p>
            <w:pPr>
              <w:rPr>
                <w:rFonts w:hint="eastAsia" w:ascii="宋体" w:hAnsi="宋体" w:cs="宋体"/>
                <w:szCs w:val="21"/>
              </w:rPr>
            </w:pPr>
            <w:r>
              <w:rPr>
                <w:rFonts w:hint="eastAsia" w:ascii="宋体" w:hAnsi="宋体" w:cs="宋体"/>
                <w:szCs w:val="21"/>
              </w:rPr>
              <w:t>评标委员会构成：由采购人代表以及有关技术、经济等方面的专家组成，成员为7人及以上单数，其中技术、经济类专家不得少于总人数的2/3；</w:t>
            </w:r>
          </w:p>
          <w:p>
            <w:pPr>
              <w:rPr>
                <w:rFonts w:hint="eastAsia" w:ascii="宋体" w:hAnsi="宋体" w:cs="宋体"/>
                <w:szCs w:val="21"/>
              </w:rPr>
            </w:pPr>
            <w:r>
              <w:rPr>
                <w:rFonts w:hint="eastAsia" w:ascii="宋体" w:hAnsi="宋体" w:cs="宋体"/>
                <w:szCs w:val="21"/>
              </w:rPr>
              <w:t>评标专家确定方式：按相关规定从专家库中抽取。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27</w:t>
            </w:r>
          </w:p>
        </w:tc>
        <w:tc>
          <w:tcPr>
            <w:tcW w:w="1812" w:type="dxa"/>
            <w:noWrap w:val="0"/>
            <w:vAlign w:val="center"/>
          </w:tcPr>
          <w:p>
            <w:pPr>
              <w:jc w:val="center"/>
              <w:rPr>
                <w:rFonts w:hint="eastAsia" w:ascii="宋体" w:hAnsi="宋体" w:cs="宋体"/>
                <w:szCs w:val="21"/>
              </w:rPr>
            </w:pPr>
            <w:r>
              <w:rPr>
                <w:rFonts w:hint="eastAsia" w:ascii="宋体" w:hAnsi="宋体" w:cs="宋体"/>
                <w:szCs w:val="21"/>
              </w:rPr>
              <w:t>落实政府采购支持中小企业、监狱企业及残疾人福利性单位发展政策</w:t>
            </w:r>
          </w:p>
        </w:tc>
        <w:tc>
          <w:tcPr>
            <w:tcW w:w="6638" w:type="dxa"/>
            <w:noWrap w:val="0"/>
            <w:vAlign w:val="center"/>
          </w:tcPr>
          <w:p>
            <w:pPr>
              <w:rPr>
                <w:rFonts w:hint="eastAsia" w:ascii="宋体" w:hAnsi="宋体" w:cs="宋体"/>
              </w:rPr>
            </w:pPr>
            <w:r>
              <w:rPr>
                <w:rFonts w:hint="eastAsia" w:ascii="宋体" w:hAnsi="宋体" w:cs="宋体"/>
              </w:rPr>
              <w:t>□ 专门面向中小企业采购项目</w:t>
            </w:r>
          </w:p>
          <w:p>
            <w:pPr>
              <w:rPr>
                <w:rFonts w:hint="eastAsia" w:ascii="宋体" w:hAnsi="宋体" w:cs="宋体"/>
              </w:rPr>
            </w:pPr>
            <w:r>
              <w:rPr>
                <w:rFonts w:hint="eastAsia" w:ascii="宋体" w:hAnsi="宋体" w:cs="宋体"/>
              </w:rPr>
              <w:fldChar w:fldCharType="begin"/>
            </w:r>
            <w:r>
              <w:rPr>
                <w:rFonts w:hint="eastAsia" w:ascii="宋体" w:hAnsi="宋体" w:cs="宋体"/>
              </w:rPr>
              <w:instrText xml:space="preserve"> eq \o\ac(□,√)</w:instrText>
            </w:r>
            <w:r>
              <w:rPr>
                <w:rFonts w:hint="eastAsia" w:ascii="宋体" w:hAnsi="宋体" w:cs="宋体"/>
              </w:rPr>
              <w:fldChar w:fldCharType="end"/>
            </w:r>
            <w:r>
              <w:rPr>
                <w:rFonts w:hint="eastAsia" w:ascii="宋体" w:hAnsi="宋体" w:cs="宋体"/>
              </w:rPr>
              <w:t xml:space="preserve"> 非专门面向中小企业采购项目。对小型和微型企业服务报价给予6%～10%的扣除，用扣除后的价格参与评审。</w:t>
            </w:r>
          </w:p>
          <w:p>
            <w:pPr>
              <w:rPr>
                <w:rFonts w:hint="eastAsia" w:ascii="宋体" w:hAnsi="宋体" w:cs="宋体"/>
              </w:rPr>
            </w:pPr>
            <w:r>
              <w:rPr>
                <w:rFonts w:hint="eastAsia" w:ascii="宋体" w:hAnsi="宋体" w:cs="宋体"/>
              </w:rPr>
              <w:t>本项目的扣除比例为：小型、微型企业均扣除 6 %</w:t>
            </w:r>
          </w:p>
          <w:p>
            <w:pPr>
              <w:rPr>
                <w:rFonts w:hint="eastAsia" w:ascii="宋体" w:hAnsi="宋体" w:cs="宋体"/>
              </w:rPr>
            </w:pPr>
            <w:r>
              <w:rPr>
                <w:rFonts w:hint="eastAsia" w:ascii="宋体" w:hAnsi="宋体" w:cs="宋体"/>
              </w:rPr>
              <w:t>监狱企业、残疾人福利性单位视同小型、微型企业，享受价格扣除。</w:t>
            </w:r>
          </w:p>
          <w:p>
            <w:pPr>
              <w:rPr>
                <w:rFonts w:hint="eastAsia" w:ascii="宋体" w:hAnsi="宋体" w:cs="宋体"/>
              </w:rPr>
            </w:pPr>
            <w:r>
              <w:rPr>
                <w:rFonts w:hint="eastAsia" w:ascii="宋体" w:hAnsi="宋体" w:cs="宋体"/>
              </w:rPr>
              <w:t>残疾人福利性单位属于小型、微型企业的，不重复享受政策。</w:t>
            </w:r>
          </w:p>
          <w:p>
            <w:pPr>
              <w:pStyle w:val="64"/>
              <w:rPr>
                <w:rFonts w:ascii="宋体" w:hAnsi="宋体" w:cs="宋体"/>
              </w:rPr>
            </w:pPr>
            <w:r>
              <w:rPr>
                <w:rFonts w:hint="eastAsia" w:ascii="宋体" w:hAnsi="宋体" w:cs="宋体"/>
                <w:b/>
                <w:bCs/>
                <w:color w:val="000000"/>
                <w:u w:val="single"/>
              </w:rPr>
              <w:t>本项目所属行业：其他未列明行</w:t>
            </w:r>
            <w:r>
              <w:rPr>
                <w:rFonts w:hint="eastAsia" w:ascii="宋体" w:hAnsi="宋体" w:eastAsia="宋体" w:cs="宋体"/>
                <w:b/>
                <w:bCs/>
                <w:color w:val="000000"/>
                <w:u w:val="single"/>
              </w:rPr>
              <w:t>业</w:t>
            </w:r>
            <w:r>
              <w:rPr>
                <w:rFonts w:hint="eastAsia" w:ascii="宋体" w:hAnsi="宋体" w:eastAsia="宋体" w:cs="宋体"/>
                <w:b/>
                <w:bCs/>
                <w:color w:val="000000"/>
                <w:u w:val="single"/>
                <w:lang w:val="en-US" w:eastAsia="zh-CN"/>
              </w:rPr>
              <w:t>（包括科学研究和技术服务业，水利、环境和公共设施管理业，居民服务、修理和其他服务业，社会工作，文化、体育和娱乐业等），</w:t>
            </w:r>
            <w:r>
              <w:rPr>
                <w:rFonts w:hint="eastAsia" w:ascii="宋体" w:hAnsi="宋体" w:eastAsia="宋体" w:cs="宋体"/>
                <w:b w:val="0"/>
                <w:bCs w:val="0"/>
                <w:color w:val="000000"/>
                <w:u w:val="single"/>
                <w:lang w:val="en-US" w:eastAsia="zh-CN"/>
              </w:rPr>
              <w:t>投标供应商属于招标文件中明确的行业所对应的小微企业享受价格优惠折扣。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28</w:t>
            </w:r>
          </w:p>
        </w:tc>
        <w:tc>
          <w:tcPr>
            <w:tcW w:w="1812" w:type="dxa"/>
            <w:noWrap w:val="0"/>
            <w:vAlign w:val="center"/>
          </w:tcPr>
          <w:p>
            <w:pPr>
              <w:jc w:val="center"/>
              <w:rPr>
                <w:rFonts w:hint="eastAsia" w:ascii="宋体" w:hAnsi="宋体" w:cs="宋体"/>
                <w:szCs w:val="21"/>
              </w:rPr>
            </w:pPr>
            <w:r>
              <w:rPr>
                <w:rFonts w:hint="eastAsia" w:ascii="宋体" w:hAnsi="宋体" w:cs="宋体"/>
                <w:szCs w:val="21"/>
              </w:rPr>
              <w:t>诚信履约管理</w:t>
            </w:r>
          </w:p>
        </w:tc>
        <w:tc>
          <w:tcPr>
            <w:tcW w:w="6638" w:type="dxa"/>
            <w:noWrap w:val="0"/>
            <w:vAlign w:val="center"/>
          </w:tcPr>
          <w:p>
            <w:pPr>
              <w:rPr>
                <w:rFonts w:hint="eastAsia" w:ascii="宋体" w:hAnsi="宋体" w:cs="宋体"/>
                <w:szCs w:val="21"/>
              </w:rPr>
            </w:pPr>
            <w:r>
              <w:rPr>
                <w:rFonts w:hint="eastAsia" w:ascii="宋体" w:hAnsi="宋体" w:cs="宋体"/>
                <w:szCs w:val="21"/>
              </w:rPr>
              <w:t>合同签订后，采购人依法加强对合同履约进行管理，并在中标供应商供货、项目验收等重要关节，如实填写《诚信评价反馈表》（表附合同条款中），及时向市公共资源交易中心报备。建立中标供应商诚信履约评价制度，结果纳入诚信档案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29</w:t>
            </w:r>
          </w:p>
        </w:tc>
        <w:tc>
          <w:tcPr>
            <w:tcW w:w="1812" w:type="dxa"/>
            <w:noWrap w:val="0"/>
            <w:vAlign w:val="center"/>
          </w:tcPr>
          <w:p>
            <w:pPr>
              <w:jc w:val="center"/>
              <w:rPr>
                <w:rFonts w:hint="eastAsia" w:ascii="宋体" w:hAnsi="宋体" w:cs="宋体"/>
                <w:szCs w:val="21"/>
              </w:rPr>
            </w:pPr>
            <w:r>
              <w:rPr>
                <w:rFonts w:hint="eastAsia" w:ascii="宋体" w:hAnsi="宋体" w:cs="宋体"/>
                <w:szCs w:val="21"/>
              </w:rPr>
              <w:t>解释权</w:t>
            </w:r>
          </w:p>
        </w:tc>
        <w:tc>
          <w:tcPr>
            <w:tcW w:w="6638" w:type="dxa"/>
            <w:noWrap w:val="0"/>
            <w:vAlign w:val="center"/>
          </w:tcPr>
          <w:p>
            <w:pPr>
              <w:rPr>
                <w:rFonts w:hint="eastAsia" w:ascii="宋体" w:hAnsi="宋体" w:cs="宋体"/>
                <w:szCs w:val="21"/>
              </w:rPr>
            </w:pPr>
            <w:r>
              <w:rPr>
                <w:rFonts w:hint="eastAsia" w:ascii="宋体" w:hAnsi="宋体" w:cs="宋体"/>
                <w:szCs w:val="21"/>
              </w:rPr>
              <w:t>构成本招标文件的各个组成文件应互为解释，互为说明；如有不明确或不一致的，由招标采购单位负责解释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bCs/>
                <w:szCs w:val="21"/>
              </w:rPr>
            </w:pPr>
            <w:r>
              <w:rPr>
                <w:rFonts w:hint="eastAsia" w:ascii="宋体" w:hAnsi="宋体" w:cs="宋体"/>
                <w:bCs/>
                <w:szCs w:val="21"/>
              </w:rPr>
              <w:t>30</w:t>
            </w:r>
          </w:p>
        </w:tc>
        <w:tc>
          <w:tcPr>
            <w:tcW w:w="1812" w:type="dxa"/>
            <w:noWrap w:val="0"/>
            <w:vAlign w:val="center"/>
          </w:tcPr>
          <w:p>
            <w:pPr>
              <w:jc w:val="center"/>
              <w:rPr>
                <w:rFonts w:hint="eastAsia" w:ascii="宋体" w:hAnsi="宋体" w:cs="宋体"/>
                <w:szCs w:val="21"/>
              </w:rPr>
            </w:pPr>
            <w:r>
              <w:rPr>
                <w:rFonts w:hint="eastAsia" w:ascii="宋体" w:hAnsi="宋体" w:cs="宋体"/>
                <w:szCs w:val="21"/>
              </w:rPr>
              <w:t>合同管理</w:t>
            </w:r>
          </w:p>
        </w:tc>
        <w:tc>
          <w:tcPr>
            <w:tcW w:w="6638" w:type="dxa"/>
            <w:noWrap w:val="0"/>
            <w:vAlign w:val="center"/>
          </w:tcPr>
          <w:p>
            <w:pPr>
              <w:rPr>
                <w:rFonts w:hint="eastAsia" w:ascii="宋体" w:hAnsi="宋体" w:cs="宋体"/>
                <w:szCs w:val="21"/>
              </w:rPr>
            </w:pPr>
            <w:r>
              <w:rPr>
                <w:rFonts w:hint="eastAsia" w:ascii="宋体" w:hAnsi="宋体" w:cs="宋体"/>
                <w:szCs w:val="21"/>
              </w:rPr>
              <w:t>1.</w:t>
            </w:r>
            <w:r>
              <w:rPr>
                <w:rFonts w:hint="eastAsia" w:ascii="宋体" w:hAnsi="宋体" w:cs="宋体"/>
                <w:szCs w:val="21"/>
              </w:rPr>
              <w:tab/>
            </w:r>
            <w:r>
              <w:rPr>
                <w:rFonts w:hint="eastAsia" w:ascii="宋体" w:hAnsi="宋体" w:cs="宋体"/>
                <w:szCs w:val="21"/>
              </w:rPr>
              <w:t>中标供应商与采购人签订合同后，三个工作日内将合同原件交给浙江鼎力工程项目管理有限公司。</w:t>
            </w:r>
          </w:p>
          <w:p>
            <w:pPr>
              <w:rPr>
                <w:rFonts w:hint="eastAsia" w:ascii="宋体" w:hAnsi="宋体" w:cs="宋体"/>
                <w:b/>
                <w:i/>
                <w:szCs w:val="21"/>
              </w:rPr>
            </w:pPr>
            <w:r>
              <w:rPr>
                <w:rFonts w:hint="eastAsia" w:ascii="宋体" w:hAnsi="宋体" w:cs="宋体"/>
                <w:szCs w:val="21"/>
              </w:rPr>
              <w:t>2.</w:t>
            </w:r>
            <w:r>
              <w:rPr>
                <w:rFonts w:hint="eastAsia" w:ascii="宋体" w:hAnsi="宋体" w:cs="宋体"/>
                <w:szCs w:val="21"/>
              </w:rPr>
              <w:tab/>
            </w:r>
            <w:r>
              <w:rPr>
                <w:rFonts w:hint="eastAsia" w:ascii="宋体" w:hAnsi="宋体" w:cs="宋体"/>
                <w:szCs w:val="21"/>
              </w:rPr>
              <w:t>采购人在合同签订后七个工作日内向财政监督管理部门申请备案。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645" w:type="dxa"/>
            <w:noWrap w:val="0"/>
            <w:vAlign w:val="center"/>
          </w:tcPr>
          <w:p>
            <w:pPr>
              <w:jc w:val="center"/>
              <w:rPr>
                <w:rFonts w:hint="eastAsia" w:ascii="宋体" w:hAnsi="宋体" w:cs="宋体"/>
                <w:szCs w:val="21"/>
              </w:rPr>
            </w:pPr>
            <w:r>
              <w:rPr>
                <w:rFonts w:hint="eastAsia" w:ascii="宋体" w:hAnsi="宋体" w:cs="宋体"/>
                <w:szCs w:val="21"/>
              </w:rPr>
              <w:t>31</w:t>
            </w:r>
          </w:p>
        </w:tc>
        <w:tc>
          <w:tcPr>
            <w:tcW w:w="1812" w:type="dxa"/>
            <w:noWrap w:val="0"/>
            <w:vAlign w:val="center"/>
          </w:tcPr>
          <w:p>
            <w:pPr>
              <w:jc w:val="center"/>
              <w:rPr>
                <w:rFonts w:hint="eastAsia" w:ascii="宋体" w:hAnsi="宋体" w:cs="宋体"/>
                <w:szCs w:val="21"/>
              </w:rPr>
            </w:pPr>
            <w:r>
              <w:rPr>
                <w:rFonts w:hint="eastAsia" w:ascii="宋体" w:hAnsi="宋体" w:cs="宋体"/>
                <w:szCs w:val="21"/>
              </w:rPr>
              <w:t>温馨提醒</w:t>
            </w:r>
          </w:p>
        </w:tc>
        <w:tc>
          <w:tcPr>
            <w:tcW w:w="6638" w:type="dxa"/>
            <w:noWrap w:val="0"/>
            <w:vAlign w:val="center"/>
          </w:tcPr>
          <w:p>
            <w:pPr>
              <w:rPr>
                <w:rFonts w:hint="eastAsia" w:ascii="宋体" w:hAnsi="宋体" w:cs="宋体"/>
              </w:rPr>
            </w:pPr>
            <w:r>
              <w:rPr>
                <w:rFonts w:hint="eastAsia" w:ascii="宋体" w:hAnsi="宋体" w:cs="宋体"/>
              </w:rPr>
              <w:t>1.根据《浙江省政府采购供应商注册登记和诚信管理暂行办法》，中标供应商，必须事先申请加入“浙江省政府采购供应商库”，请供应商登入“浙江政府采购网”进行登记注册。</w:t>
            </w:r>
          </w:p>
          <w:p>
            <w:pPr>
              <w:rPr>
                <w:rFonts w:hint="eastAsia" w:ascii="宋体" w:hAnsi="宋体" w:cs="宋体"/>
                <w:b/>
                <w:bCs/>
                <w:szCs w:val="21"/>
              </w:rPr>
            </w:pPr>
            <w:r>
              <w:rPr>
                <w:rFonts w:hint="eastAsia" w:ascii="宋体" w:hAnsi="宋体" w:cs="宋体"/>
                <w:b/>
                <w:bCs/>
                <w:szCs w:val="21"/>
              </w:rPr>
              <w:t>2、请务必确保投标文件制作客户端为最新版本，旧版本可能导致投标文件解密失败。</w:t>
            </w:r>
          </w:p>
          <w:p>
            <w:pPr>
              <w:rPr>
                <w:rFonts w:hint="eastAsia" w:ascii="宋体" w:hAnsi="宋体" w:cs="宋体"/>
                <w:b/>
                <w:bCs/>
                <w:szCs w:val="21"/>
              </w:rPr>
            </w:pPr>
            <w:r>
              <w:rPr>
                <w:rFonts w:hint="eastAsia" w:ascii="宋体" w:hAnsi="宋体" w:cs="宋体"/>
                <w:b/>
                <w:bCs/>
                <w:szCs w:val="21"/>
              </w:rPr>
              <w:t>3、请务必确保投标文件制作时所用的 CA 锁与投标文件解密时的 CA 锁为同一把，否则可能导致投标文件解密失败。</w:t>
            </w:r>
          </w:p>
          <w:p>
            <w:pPr>
              <w:rPr>
                <w:rFonts w:hint="eastAsia" w:ascii="宋体" w:hAnsi="宋体" w:cs="宋体"/>
              </w:rPr>
            </w:pPr>
            <w:r>
              <w:rPr>
                <w:rFonts w:hint="eastAsia" w:ascii="宋体" w:hAnsi="宋体" w:cs="宋体"/>
                <w:b/>
                <w:bCs/>
                <w:szCs w:val="21"/>
              </w:rPr>
              <w:t>4、在投标文件解密前，请务必检验 CA 锁与所用电脑的兼容性，部分电脑因 CA 驱动未正常安装、USB 接口兼容性差等原因可能造成投标文件解密失败。</w:t>
            </w:r>
          </w:p>
        </w:tc>
      </w:tr>
    </w:tbl>
    <w:p>
      <w:pPr>
        <w:pStyle w:val="4"/>
        <w:spacing w:before="120" w:beforeLines="50" w:after="120" w:afterLines="50" w:line="240" w:lineRule="auto"/>
        <w:jc w:val="center"/>
        <w:rPr>
          <w:rFonts w:hint="eastAsia" w:ascii="宋体" w:hAnsi="宋体" w:eastAsia="宋体" w:cs="宋体"/>
          <w:sz w:val="24"/>
          <w:szCs w:val="24"/>
        </w:rPr>
      </w:pPr>
      <w:bookmarkStart w:id="4" w:name="_Toc25049"/>
      <w:r>
        <w:rPr>
          <w:rFonts w:hint="eastAsia" w:ascii="宋体" w:hAnsi="宋体" w:eastAsia="宋体" w:cs="宋体"/>
          <w:sz w:val="24"/>
          <w:szCs w:val="24"/>
        </w:rPr>
        <w:t>（二）总   则</w:t>
      </w:r>
      <w:bookmarkEnd w:id="4"/>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说明</w:t>
      </w:r>
    </w:p>
    <w:p>
      <w:pPr>
        <w:numPr>
          <w:ilvl w:val="1"/>
          <w:numId w:val="10"/>
        </w:numPr>
        <w:snapToGrid w:val="0"/>
        <w:spacing w:line="400" w:lineRule="atLeast"/>
        <w:jc w:val="both"/>
        <w:rPr>
          <w:rFonts w:hint="eastAsia" w:ascii="宋体" w:hAnsi="宋体" w:cs="宋体"/>
        </w:rPr>
      </w:pPr>
      <w:r>
        <w:rPr>
          <w:rFonts w:hint="eastAsia" w:ascii="宋体" w:hAnsi="宋体" w:cs="宋体"/>
        </w:rPr>
        <w:t>本次招标工作是按照《中华人民共和国政府采购法》、《中华人民共和国政府采购法实施条例》、《政府采购货物和服务招标投标管理办法》、《浙江省政府采购项目电子交易管理暂行办法》和浙江省及项目所在地的有关政府采购规定，结合本项目的实际，组织和实施。</w:t>
      </w:r>
    </w:p>
    <w:p>
      <w:pPr>
        <w:numPr>
          <w:ilvl w:val="1"/>
          <w:numId w:val="10"/>
        </w:numPr>
        <w:snapToGrid w:val="0"/>
        <w:spacing w:line="400" w:lineRule="atLeast"/>
        <w:jc w:val="both"/>
        <w:rPr>
          <w:rFonts w:hint="eastAsia" w:ascii="宋体" w:hAnsi="宋体" w:cs="宋体"/>
        </w:rPr>
      </w:pPr>
      <w:r>
        <w:rPr>
          <w:rFonts w:hint="eastAsia" w:ascii="宋体" w:hAnsi="宋体" w:cs="宋体"/>
        </w:rPr>
        <w:t>资金来源：财政性资金</w:t>
      </w:r>
      <w:r>
        <w:rPr>
          <w:rFonts w:hint="eastAsia" w:ascii="宋体" w:hAnsi="宋体" w:cs="宋体"/>
          <w:szCs w:val="21"/>
        </w:rPr>
        <w:t>，财政预算价：11162</w:t>
      </w:r>
      <w:r>
        <w:rPr>
          <w:rFonts w:hint="eastAsia" w:ascii="宋体" w:hAnsi="宋体" w:cs="宋体"/>
          <w:szCs w:val="21"/>
          <w:lang w:val="en-US" w:eastAsia="zh-CN"/>
        </w:rPr>
        <w:t>.</w:t>
      </w:r>
      <w:r>
        <w:rPr>
          <w:rFonts w:hint="eastAsia" w:ascii="宋体" w:hAnsi="宋体" w:cs="宋体"/>
          <w:szCs w:val="21"/>
        </w:rPr>
        <w:t>2365万元（三年）</w:t>
      </w:r>
      <w:r>
        <w:rPr>
          <w:rFonts w:hint="eastAsia" w:ascii="宋体" w:hAnsi="宋体" w:cs="宋体"/>
          <w:szCs w:val="21"/>
          <w:lang w:eastAsia="zh-CN"/>
        </w:rPr>
        <w:t>。</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定义及解释</w:t>
      </w:r>
    </w:p>
    <w:p>
      <w:pPr>
        <w:numPr>
          <w:ilvl w:val="1"/>
          <w:numId w:val="10"/>
        </w:numPr>
        <w:snapToGrid w:val="0"/>
        <w:spacing w:line="400" w:lineRule="atLeast"/>
        <w:jc w:val="both"/>
        <w:rPr>
          <w:rFonts w:hint="eastAsia" w:ascii="宋体" w:hAnsi="宋体" w:cs="宋体"/>
        </w:rPr>
      </w:pPr>
      <w:r>
        <w:rPr>
          <w:rFonts w:hint="eastAsia" w:ascii="宋体" w:hAnsi="宋体" w:cs="宋体"/>
        </w:rPr>
        <w:t>采购人：</w:t>
      </w:r>
      <w:r>
        <w:rPr>
          <w:rFonts w:hint="eastAsia" w:ascii="宋体" w:hAnsi="宋体" w:cs="宋体"/>
          <w:szCs w:val="21"/>
        </w:rPr>
        <w:t>瑞安市综合行政执法局、瑞安市玉海街道办事处、瑞安市锦湖街道办事处、瑞安市潘岱街道办事处</w:t>
      </w:r>
      <w:r>
        <w:rPr>
          <w:rFonts w:hint="eastAsia" w:ascii="宋体" w:hAnsi="宋体" w:cs="宋体"/>
        </w:rPr>
        <w:t>；</w:t>
      </w:r>
    </w:p>
    <w:p>
      <w:pPr>
        <w:numPr>
          <w:ilvl w:val="1"/>
          <w:numId w:val="10"/>
        </w:numPr>
        <w:snapToGrid w:val="0"/>
        <w:spacing w:line="400" w:lineRule="atLeast"/>
        <w:jc w:val="both"/>
        <w:rPr>
          <w:rFonts w:hint="eastAsia" w:ascii="宋体" w:hAnsi="宋体" w:cs="宋体"/>
        </w:rPr>
      </w:pPr>
      <w:r>
        <w:rPr>
          <w:rFonts w:hint="eastAsia" w:ascii="宋体" w:hAnsi="宋体" w:cs="宋体"/>
        </w:rPr>
        <w:t xml:space="preserve">招标代理机构：浙江鼎力工程项目管理有限公司 </w:t>
      </w:r>
    </w:p>
    <w:p>
      <w:pPr>
        <w:numPr>
          <w:ilvl w:val="1"/>
          <w:numId w:val="10"/>
        </w:numPr>
        <w:snapToGrid w:val="0"/>
        <w:spacing w:line="400" w:lineRule="atLeast"/>
        <w:jc w:val="both"/>
        <w:rPr>
          <w:rFonts w:hint="eastAsia" w:ascii="宋体" w:hAnsi="宋体" w:cs="宋体"/>
        </w:rPr>
      </w:pPr>
      <w:r>
        <w:rPr>
          <w:rFonts w:hint="eastAsia" w:ascii="宋体" w:hAnsi="宋体" w:cs="宋体"/>
        </w:rPr>
        <w:t>招标采购单位：系指组织本次招标的</w:t>
      </w:r>
      <w:r>
        <w:rPr>
          <w:rFonts w:hint="eastAsia" w:ascii="宋体" w:hAnsi="宋体" w:cs="宋体"/>
          <w:szCs w:val="21"/>
        </w:rPr>
        <w:t>浙江鼎力工程项目管理有限公司</w:t>
      </w:r>
      <w:r>
        <w:rPr>
          <w:rFonts w:hint="eastAsia" w:ascii="宋体" w:hAnsi="宋体" w:cs="宋体"/>
        </w:rPr>
        <w:t>和采购人</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投标供应商：投标供应商是响应采购、参加投标竞争的依法成立的供应商。</w:t>
      </w:r>
    </w:p>
    <w:p>
      <w:pPr>
        <w:numPr>
          <w:ilvl w:val="1"/>
          <w:numId w:val="10"/>
        </w:numPr>
        <w:snapToGrid w:val="0"/>
        <w:spacing w:line="400" w:lineRule="atLeast"/>
        <w:jc w:val="both"/>
        <w:rPr>
          <w:rFonts w:hint="eastAsia" w:ascii="宋体" w:hAnsi="宋体" w:cs="宋体"/>
        </w:rPr>
      </w:pPr>
      <w:r>
        <w:rPr>
          <w:rFonts w:hint="eastAsia" w:ascii="宋体" w:hAnsi="宋体" w:cs="宋体"/>
        </w:rPr>
        <w:t>中标供应商：系指在本次招标中中标的投标供应商。</w:t>
      </w:r>
    </w:p>
    <w:p>
      <w:pPr>
        <w:numPr>
          <w:ilvl w:val="1"/>
          <w:numId w:val="10"/>
        </w:numPr>
        <w:snapToGrid w:val="0"/>
        <w:spacing w:line="400" w:lineRule="atLeast"/>
        <w:jc w:val="both"/>
        <w:rPr>
          <w:rFonts w:hint="eastAsia" w:ascii="宋体" w:hAnsi="宋体" w:cs="宋体"/>
        </w:rPr>
      </w:pPr>
      <w:r>
        <w:rPr>
          <w:rFonts w:hint="eastAsia" w:ascii="宋体" w:hAnsi="宋体" w:cs="宋体"/>
        </w:rPr>
        <w:t>评标委员会：评标委员会是依据《中华人民共和国政府采购法》、《中华人民共和国政府采购法实施条例》、《政府采购货物和服务招标投标管理办法》、《浙江省政府采购项目电子交易管理暂行办法》和浙江省及项目所在地的有关政府采购招投标规定，结合本项目的实际，组建的专门负责采购评审工作的临时性机构。</w:t>
      </w:r>
    </w:p>
    <w:p>
      <w:pPr>
        <w:numPr>
          <w:ilvl w:val="1"/>
          <w:numId w:val="10"/>
        </w:numPr>
        <w:snapToGrid w:val="0"/>
        <w:spacing w:line="400" w:lineRule="atLeast"/>
        <w:jc w:val="both"/>
        <w:rPr>
          <w:rFonts w:hint="eastAsia" w:ascii="宋体" w:hAnsi="宋体" w:cs="宋体"/>
        </w:rPr>
      </w:pPr>
      <w:r>
        <w:rPr>
          <w:rFonts w:hint="eastAsia" w:ascii="宋体" w:hAnsi="宋体" w:cs="宋体"/>
        </w:rPr>
        <w:t>日期：指公历日。</w:t>
      </w:r>
    </w:p>
    <w:p>
      <w:pPr>
        <w:numPr>
          <w:ilvl w:val="1"/>
          <w:numId w:val="10"/>
        </w:numPr>
        <w:snapToGrid w:val="0"/>
        <w:spacing w:line="400" w:lineRule="atLeast"/>
        <w:jc w:val="both"/>
        <w:rPr>
          <w:rFonts w:hint="eastAsia" w:ascii="宋体" w:hAnsi="宋体" w:cs="宋体"/>
        </w:rPr>
      </w:pPr>
      <w:r>
        <w:rPr>
          <w:rFonts w:hint="eastAsia" w:ascii="宋体" w:hAnsi="宋体" w:cs="宋体"/>
        </w:rPr>
        <w:t>合同：指由采购所产生的合同或合约文件。</w:t>
      </w:r>
    </w:p>
    <w:p>
      <w:pPr>
        <w:numPr>
          <w:ilvl w:val="1"/>
          <w:numId w:val="10"/>
        </w:numPr>
        <w:snapToGrid w:val="0"/>
        <w:spacing w:line="400" w:lineRule="atLeast"/>
        <w:jc w:val="both"/>
        <w:rPr>
          <w:rFonts w:hint="eastAsia" w:ascii="宋体" w:hAnsi="宋体" w:cs="宋体"/>
          <w:b/>
          <w:bCs/>
        </w:rPr>
      </w:pPr>
      <w:r>
        <w:rPr>
          <w:rFonts w:hint="eastAsia" w:ascii="宋体" w:hAnsi="宋体" w:cs="宋体"/>
          <w:b/>
          <w:bCs/>
        </w:rPr>
        <w:t>电子加密投标文件：指通过“政采云电子交易客户端”完成投标文件编制后生成并加密的数据电文形式的投标文件。文件格式为.jmbs；</w:t>
      </w:r>
    </w:p>
    <w:p>
      <w:pPr>
        <w:numPr>
          <w:ilvl w:val="1"/>
          <w:numId w:val="10"/>
        </w:numPr>
        <w:snapToGrid w:val="0"/>
        <w:spacing w:line="400" w:lineRule="atLeast"/>
        <w:jc w:val="both"/>
        <w:rPr>
          <w:rFonts w:hint="eastAsia" w:ascii="宋体" w:hAnsi="宋体" w:cs="宋体"/>
          <w:b/>
          <w:bCs/>
        </w:rPr>
      </w:pPr>
      <w:r>
        <w:rPr>
          <w:rFonts w:hint="eastAsia" w:ascii="宋体" w:hAnsi="宋体" w:cs="宋体"/>
          <w:b/>
          <w:bCs/>
        </w:rPr>
        <w:t>备份投标文件：指与“电子加密投标文件”同时生成的数据电文形式的电子文件（备份标书），其他方式编制的备份投标文件视为无效备份投标文件。文件格式为.bfbs。</w:t>
      </w:r>
    </w:p>
    <w:p>
      <w:pPr>
        <w:numPr>
          <w:ilvl w:val="1"/>
          <w:numId w:val="10"/>
        </w:numPr>
        <w:snapToGrid w:val="0"/>
        <w:spacing w:line="400" w:lineRule="atLeast"/>
        <w:jc w:val="both"/>
        <w:rPr>
          <w:rFonts w:hint="eastAsia" w:ascii="宋体" w:hAnsi="宋体" w:cs="宋体"/>
          <w:b/>
          <w:bCs/>
        </w:rPr>
      </w:pPr>
      <w:r>
        <w:rPr>
          <w:rFonts w:hint="eastAsia" w:ascii="宋体" w:hAnsi="宋体" w:cs="宋体"/>
          <w:b/>
          <w:bCs/>
        </w:rPr>
        <w:t>电子签章：投标供应商通过“政采购云平台”办理的CA锁进行的签章。</w:t>
      </w:r>
    </w:p>
    <w:p>
      <w:pPr>
        <w:numPr>
          <w:ilvl w:val="1"/>
          <w:numId w:val="10"/>
        </w:numPr>
        <w:snapToGrid w:val="0"/>
        <w:spacing w:line="400" w:lineRule="atLeast"/>
        <w:jc w:val="both"/>
        <w:rPr>
          <w:rFonts w:hint="eastAsia" w:ascii="宋体" w:hAnsi="宋体" w:cs="宋体"/>
        </w:rPr>
      </w:pPr>
      <w:r>
        <w:rPr>
          <w:rFonts w:hint="eastAsia" w:ascii="宋体" w:hAnsi="宋体" w:cs="宋体"/>
        </w:rPr>
        <w:t>招标文件中的标题或题名仅起引导作用，而不应视为对招标文件内容的理解和解释。</w:t>
      </w:r>
    </w:p>
    <w:p>
      <w:pPr>
        <w:numPr>
          <w:ilvl w:val="1"/>
          <w:numId w:val="10"/>
        </w:numPr>
        <w:snapToGrid w:val="0"/>
        <w:spacing w:line="400" w:lineRule="atLeast"/>
        <w:jc w:val="both"/>
        <w:rPr>
          <w:rFonts w:hint="eastAsia" w:ascii="宋体" w:hAnsi="宋体" w:cs="宋体"/>
        </w:rPr>
      </w:pPr>
      <w:r>
        <w:rPr>
          <w:rFonts w:hint="eastAsia" w:ascii="宋体" w:hAnsi="宋体" w:cs="宋体"/>
        </w:rPr>
        <w:t>“书面形式”是指任何手写的、打印的或印刷的文件，包括电报和传真发送。</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合格的投标供应商</w:t>
      </w:r>
    </w:p>
    <w:p>
      <w:pPr>
        <w:numPr>
          <w:ilvl w:val="1"/>
          <w:numId w:val="10"/>
        </w:numPr>
        <w:snapToGrid w:val="0"/>
        <w:spacing w:line="400" w:lineRule="atLeast"/>
        <w:jc w:val="both"/>
        <w:rPr>
          <w:rFonts w:hint="eastAsia" w:ascii="宋体" w:hAnsi="宋体" w:eastAsia="宋体" w:cs="宋体"/>
          <w:szCs w:val="21"/>
        </w:rPr>
      </w:pPr>
      <w:r>
        <w:rPr>
          <w:rFonts w:hint="eastAsia" w:ascii="宋体" w:hAnsi="宋体" w:eastAsia="宋体" w:cs="宋体"/>
          <w:szCs w:val="21"/>
        </w:rPr>
        <w:t>满足《中华人民共和国政府采购法》第二十二条规定；未被信用中国网站（www.creditchina.gov.cn）列入失信被执行人、重大税收违法案件当事人名单，未被中国政府采购网（www.ccgp.gov.cn）列入政府采购严重违法失信行为记录名单。</w:t>
      </w:r>
    </w:p>
    <w:p>
      <w:pPr>
        <w:numPr>
          <w:ilvl w:val="1"/>
          <w:numId w:val="10"/>
        </w:numPr>
        <w:snapToGrid w:val="0"/>
        <w:spacing w:line="400" w:lineRule="atLeast"/>
        <w:jc w:val="both"/>
        <w:rPr>
          <w:rFonts w:hint="eastAsia" w:ascii="宋体" w:hAnsi="宋体" w:eastAsia="宋体" w:cs="宋体"/>
          <w:szCs w:val="21"/>
        </w:rPr>
      </w:pPr>
      <w:r>
        <w:rPr>
          <w:rFonts w:hint="eastAsia" w:ascii="宋体" w:hAnsi="宋体" w:eastAsia="宋体" w:cs="宋体"/>
          <w:szCs w:val="21"/>
        </w:rPr>
        <w:t>落实政府采购政策需满足的资格要求：/。</w:t>
      </w:r>
    </w:p>
    <w:p>
      <w:pPr>
        <w:numPr>
          <w:ilvl w:val="1"/>
          <w:numId w:val="10"/>
        </w:numPr>
        <w:snapToGrid w:val="0"/>
        <w:spacing w:line="400" w:lineRule="atLeast"/>
        <w:jc w:val="both"/>
        <w:rPr>
          <w:rFonts w:hint="eastAsia" w:ascii="宋体" w:hAnsi="宋体" w:cs="宋体"/>
        </w:rPr>
      </w:pPr>
      <w:r>
        <w:rPr>
          <w:rFonts w:hint="eastAsia" w:ascii="宋体" w:hAnsi="宋体" w:cs="宋体"/>
          <w:szCs w:val="21"/>
        </w:rPr>
        <w:t>本项目的特定资格要求：无。</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信用记录</w:t>
      </w:r>
    </w:p>
    <w:p>
      <w:pPr>
        <w:numPr>
          <w:ilvl w:val="1"/>
          <w:numId w:val="10"/>
        </w:numPr>
        <w:snapToGrid w:val="0"/>
        <w:spacing w:line="400" w:lineRule="atLeast"/>
        <w:jc w:val="both"/>
        <w:rPr>
          <w:rFonts w:hint="eastAsia" w:ascii="宋体" w:hAnsi="宋体" w:cs="宋体"/>
          <w:szCs w:val="22"/>
          <w:lang w:val="zh-CN"/>
        </w:rPr>
      </w:pPr>
      <w:r>
        <w:rPr>
          <w:rFonts w:hint="eastAsia" w:ascii="宋体" w:hAnsi="宋体" w:cs="宋体"/>
          <w:szCs w:val="22"/>
          <w:lang w:val="zh-CN"/>
        </w:rPr>
        <w:t>信用信息查询的截止时点：以开标当日采购组织机构核实的查询结果为准。</w:t>
      </w:r>
    </w:p>
    <w:p>
      <w:pPr>
        <w:numPr>
          <w:ilvl w:val="1"/>
          <w:numId w:val="10"/>
        </w:numPr>
        <w:snapToGrid w:val="0"/>
        <w:spacing w:line="400" w:lineRule="atLeast"/>
        <w:jc w:val="both"/>
        <w:rPr>
          <w:rFonts w:hint="eastAsia" w:ascii="宋体" w:hAnsi="宋体" w:cs="宋体"/>
          <w:szCs w:val="22"/>
          <w:lang w:val="zh-CN"/>
        </w:rPr>
      </w:pPr>
      <w:r>
        <w:rPr>
          <w:rFonts w:hint="eastAsia" w:ascii="宋体" w:hAnsi="宋体" w:cs="宋体"/>
          <w:szCs w:val="22"/>
          <w:lang w:val="zh-CN"/>
        </w:rPr>
        <w:t>查询渠道与留存方式：招标采购单位登录“信用中国”（</w:t>
      </w:r>
      <w:r>
        <w:rPr>
          <w:rFonts w:hint="eastAsia" w:ascii="宋体" w:hAnsi="宋体" w:cs="宋体"/>
          <w:szCs w:val="22"/>
          <w:lang w:val="zh-CN"/>
        </w:rPr>
        <w:fldChar w:fldCharType="begin"/>
      </w:r>
      <w:r>
        <w:rPr>
          <w:rFonts w:hint="eastAsia" w:ascii="宋体" w:hAnsi="宋体" w:cs="宋体"/>
          <w:szCs w:val="22"/>
          <w:lang w:val="zh-CN"/>
        </w:rPr>
        <w:instrText xml:space="preserve">HYPERLINK "http://www.creditchina.gov.cn/"</w:instrText>
      </w:r>
      <w:r>
        <w:rPr>
          <w:rFonts w:hint="eastAsia" w:ascii="宋体" w:hAnsi="宋体" w:cs="宋体"/>
          <w:szCs w:val="22"/>
          <w:lang w:val="zh-CN"/>
        </w:rPr>
        <w:fldChar w:fldCharType="separate"/>
      </w:r>
      <w:r>
        <w:rPr>
          <w:rFonts w:hint="eastAsia" w:ascii="宋体" w:hAnsi="宋体" w:cs="宋体"/>
          <w:szCs w:val="22"/>
          <w:lang w:val="zh-CN"/>
        </w:rPr>
        <w:t>www.creditchina.gov.cn</w:t>
      </w:r>
      <w:r>
        <w:rPr>
          <w:rFonts w:hint="eastAsia" w:ascii="宋体" w:hAnsi="宋体" w:cs="宋体"/>
          <w:szCs w:val="22"/>
          <w:lang w:val="zh-CN"/>
        </w:rPr>
        <w:fldChar w:fldCharType="end"/>
      </w:r>
      <w:r>
        <w:rPr>
          <w:rFonts w:hint="eastAsia" w:ascii="宋体" w:hAnsi="宋体" w:cs="宋体"/>
          <w:szCs w:val="22"/>
          <w:lang w:val="zh-CN"/>
        </w:rPr>
        <w:t>）、“中国政府采购网”（</w:t>
      </w:r>
      <w:r>
        <w:rPr>
          <w:rFonts w:hint="eastAsia" w:ascii="宋体" w:hAnsi="宋体" w:cs="宋体"/>
          <w:szCs w:val="22"/>
          <w:lang w:val="zh-CN"/>
        </w:rPr>
        <w:fldChar w:fldCharType="begin"/>
      </w:r>
      <w:r>
        <w:rPr>
          <w:rFonts w:hint="eastAsia" w:ascii="宋体" w:hAnsi="宋体" w:cs="宋体"/>
          <w:szCs w:val="22"/>
          <w:lang w:val="zh-CN"/>
        </w:rPr>
        <w:instrText xml:space="preserve">HYPERLINK "http://www.ccgp.gov.cn/"</w:instrText>
      </w:r>
      <w:r>
        <w:rPr>
          <w:rFonts w:hint="eastAsia" w:ascii="宋体" w:hAnsi="宋体" w:cs="宋体"/>
          <w:szCs w:val="22"/>
          <w:lang w:val="zh-CN"/>
        </w:rPr>
        <w:fldChar w:fldCharType="separate"/>
      </w:r>
      <w:r>
        <w:rPr>
          <w:rFonts w:hint="eastAsia" w:ascii="宋体" w:hAnsi="宋体" w:cs="宋体"/>
          <w:szCs w:val="22"/>
          <w:lang w:val="zh-CN"/>
        </w:rPr>
        <w:t>www.ccgp.gov.cn</w:t>
      </w:r>
      <w:r>
        <w:rPr>
          <w:rFonts w:hint="eastAsia" w:ascii="宋体" w:hAnsi="宋体" w:cs="宋体"/>
          <w:szCs w:val="22"/>
          <w:lang w:val="zh-CN"/>
        </w:rPr>
        <w:fldChar w:fldCharType="end"/>
      </w:r>
      <w:r>
        <w:rPr>
          <w:rFonts w:hint="eastAsia" w:ascii="宋体" w:hAnsi="宋体" w:cs="宋体"/>
          <w:szCs w:val="22"/>
          <w:lang w:val="zh-CN"/>
        </w:rPr>
        <w:t>）网站查询各投标供应商信用记录，网页截图并打印存档。</w:t>
      </w:r>
    </w:p>
    <w:p>
      <w:pPr>
        <w:numPr>
          <w:ilvl w:val="1"/>
          <w:numId w:val="10"/>
        </w:numPr>
        <w:snapToGrid w:val="0"/>
        <w:spacing w:line="400" w:lineRule="atLeast"/>
        <w:jc w:val="both"/>
        <w:rPr>
          <w:rFonts w:hint="eastAsia" w:ascii="宋体" w:hAnsi="宋体" w:cs="宋体"/>
          <w:szCs w:val="22"/>
          <w:lang w:val="zh-CN"/>
        </w:rPr>
      </w:pPr>
      <w:r>
        <w:rPr>
          <w:rFonts w:hint="eastAsia" w:ascii="宋体" w:hAnsi="宋体" w:cs="宋体"/>
          <w:szCs w:val="22"/>
          <w:lang w:val="zh-CN"/>
        </w:rPr>
        <w:t>不良信用记录指：被列入失信被执行人、重大税收违法案件当事人名单、政府采购严重违法失信行为记录名单及其他不符合《中华人民共和国政府采购法》第二十二条规定条件。存在不良信用记录的投标供应商，将被拒绝参与政府采购活动。</w:t>
      </w:r>
    </w:p>
    <w:p>
      <w:pPr>
        <w:numPr>
          <w:ilvl w:val="1"/>
          <w:numId w:val="10"/>
        </w:numPr>
        <w:snapToGrid w:val="0"/>
        <w:spacing w:line="400" w:lineRule="atLeast"/>
        <w:jc w:val="both"/>
        <w:rPr>
          <w:rFonts w:hint="eastAsia" w:ascii="宋体" w:hAnsi="宋体" w:cs="宋体"/>
          <w:szCs w:val="22"/>
          <w:lang w:val="zh-CN"/>
        </w:rPr>
      </w:pPr>
      <w:r>
        <w:rPr>
          <w:rFonts w:hint="eastAsia" w:ascii="宋体" w:hAnsi="宋体" w:cs="宋体"/>
          <w:szCs w:val="22"/>
          <w:lang w:val="zh-CN"/>
        </w:rPr>
        <w:t>联合体投标时，招标采购单位将对所有联合体成员进行信用记录查询，联合体成员存在不良信用记录的，视同联合体存在不良信用记录。</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联合体投标：本项目不接受。</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保密与披露事项</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投标供应商不得串通，以不正当的手段妨碍排挤其他投标供应商，扰乱市场，破坏公平竞争原则。</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投标供应商自购买招标文件之日起，须承诺承担本招标项目下保密义务，不得将因本次招标获得的信息向第三方外传。</w:t>
      </w:r>
    </w:p>
    <w:p>
      <w:pPr>
        <w:numPr>
          <w:ilvl w:val="1"/>
          <w:numId w:val="10"/>
        </w:numPr>
        <w:snapToGrid w:val="0"/>
        <w:spacing w:line="400" w:lineRule="atLeast"/>
        <w:jc w:val="both"/>
        <w:rPr>
          <w:rFonts w:hint="eastAsia" w:ascii="宋体" w:hAnsi="宋体" w:cs="宋体"/>
        </w:rPr>
      </w:pPr>
      <w:r>
        <w:rPr>
          <w:rFonts w:hint="eastAsia" w:ascii="宋体" w:hAnsi="宋体" w:cs="宋体"/>
        </w:rPr>
        <w:t>招标代理机构有权将投标供应商提供的所有资料向其他政府部门或有关的非政府机构负责评审标书的人员或与评标有关的人员披露。</w:t>
      </w:r>
    </w:p>
    <w:p>
      <w:pPr>
        <w:numPr>
          <w:ilvl w:val="1"/>
          <w:numId w:val="10"/>
        </w:numPr>
        <w:snapToGrid w:val="0"/>
        <w:spacing w:line="400" w:lineRule="atLeast"/>
        <w:jc w:val="both"/>
        <w:rPr>
          <w:rFonts w:hint="eastAsia" w:ascii="宋体" w:hAnsi="宋体" w:cs="宋体"/>
          <w:sz w:val="24"/>
        </w:rPr>
      </w:pPr>
      <w:r>
        <w:rPr>
          <w:rFonts w:hint="eastAsia" w:ascii="宋体" w:hAnsi="宋体" w:cs="宋体"/>
        </w:rPr>
        <w:t>招标代理机构有权在认为适当时，或在任何第三者提出要求（书面或其他方式）时，无须事先征求中标供应商同意而披露关于已订立合约的资料、中标供应商的名称及地址、中标服务的有关信息以及合约条款等。</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投标费用</w:t>
      </w:r>
    </w:p>
    <w:p>
      <w:pPr>
        <w:numPr>
          <w:ilvl w:val="1"/>
          <w:numId w:val="10"/>
        </w:numPr>
        <w:snapToGrid w:val="0"/>
        <w:spacing w:line="400" w:lineRule="atLeast"/>
        <w:jc w:val="both"/>
        <w:rPr>
          <w:rFonts w:hint="eastAsia" w:ascii="宋体" w:hAnsi="宋体" w:cs="宋体"/>
        </w:rPr>
      </w:pPr>
      <w:r>
        <w:rPr>
          <w:rFonts w:hint="eastAsia" w:ascii="宋体" w:hAnsi="宋体" w:cs="宋体"/>
          <w:szCs w:val="22"/>
          <w:lang w:val="zh-CN"/>
        </w:rPr>
        <w:t>投标</w:t>
      </w:r>
      <w:r>
        <w:rPr>
          <w:rFonts w:hint="eastAsia" w:ascii="宋体" w:hAnsi="宋体" w:cs="宋体"/>
        </w:rPr>
        <w:t>供应商应承担所有与编写和提交投标文件有关的费用，不论投标的结果如何，招标代理机构和采购人在任何情况下均无义务和责任承担这些费用 。</w:t>
      </w:r>
    </w:p>
    <w:p>
      <w:pPr>
        <w:numPr>
          <w:ilvl w:val="0"/>
          <w:numId w:val="10"/>
        </w:numPr>
        <w:snapToGrid w:val="0"/>
        <w:spacing w:line="400" w:lineRule="atLeast"/>
        <w:jc w:val="both"/>
        <w:rPr>
          <w:rFonts w:hint="eastAsia" w:ascii="宋体" w:hAnsi="宋体" w:cs="宋体"/>
        </w:rPr>
      </w:pPr>
      <w:r>
        <w:rPr>
          <w:rFonts w:hint="eastAsia" w:ascii="宋体" w:hAnsi="宋体" w:cs="宋体"/>
          <w:b/>
        </w:rPr>
        <w:t>踏勘现场：</w:t>
      </w:r>
      <w:r>
        <w:rPr>
          <w:rFonts w:hint="eastAsia" w:ascii="宋体" w:hAnsi="宋体" w:cs="宋体"/>
        </w:rPr>
        <w:t>自行组织</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备选投标方案：</w:t>
      </w:r>
      <w:r>
        <w:rPr>
          <w:rFonts w:hint="eastAsia" w:ascii="宋体" w:hAnsi="宋体" w:cs="宋体"/>
        </w:rPr>
        <w:t>不允许。</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投标委托</w:t>
      </w:r>
    </w:p>
    <w:p>
      <w:pPr>
        <w:numPr>
          <w:ilvl w:val="1"/>
          <w:numId w:val="10"/>
        </w:numPr>
        <w:snapToGrid w:val="0"/>
        <w:spacing w:line="400" w:lineRule="atLeast"/>
        <w:jc w:val="both"/>
        <w:rPr>
          <w:rFonts w:hint="eastAsia" w:ascii="宋体" w:hAnsi="宋体" w:cs="宋体"/>
        </w:rPr>
      </w:pPr>
      <w:r>
        <w:rPr>
          <w:rFonts w:hint="eastAsia" w:ascii="宋体" w:hAnsi="宋体" w:cs="宋体"/>
        </w:rPr>
        <w:t>如投标供应商代表不是法定代表人，须提供《法定代表人授权委托书》，</w:t>
      </w:r>
      <w:r>
        <w:rPr>
          <w:rFonts w:hint="eastAsia" w:ascii="宋体" w:hAnsi="宋体" w:cs="宋体"/>
          <w:b/>
        </w:rPr>
        <w:t>授权委托书需具备以下几项条件：</w:t>
      </w:r>
    </w:p>
    <w:p>
      <w:pPr>
        <w:spacing w:line="400" w:lineRule="atLeast"/>
        <w:ind w:left="840" w:leftChars="400"/>
        <w:rPr>
          <w:rFonts w:hint="eastAsia" w:ascii="宋体" w:hAnsi="宋体" w:cs="宋体"/>
        </w:rPr>
      </w:pPr>
      <w:r>
        <w:rPr>
          <w:rFonts w:hint="eastAsia" w:ascii="宋体" w:hAnsi="宋体" w:cs="宋体"/>
        </w:rPr>
        <w:t>a.加盖单位公章</w:t>
      </w:r>
    </w:p>
    <w:p>
      <w:pPr>
        <w:spacing w:line="400" w:lineRule="atLeast"/>
        <w:ind w:left="840" w:leftChars="400"/>
        <w:rPr>
          <w:rFonts w:hint="eastAsia" w:ascii="宋体" w:hAnsi="宋体" w:cs="宋体"/>
        </w:rPr>
      </w:pPr>
      <w:r>
        <w:rPr>
          <w:rFonts w:hint="eastAsia" w:ascii="宋体" w:hAnsi="宋体" w:cs="宋体"/>
        </w:rPr>
        <w:t>b.法定代表人签字或盖章</w:t>
      </w:r>
    </w:p>
    <w:p>
      <w:pPr>
        <w:spacing w:line="400" w:lineRule="atLeast"/>
        <w:ind w:left="840" w:leftChars="400"/>
        <w:rPr>
          <w:rFonts w:hint="eastAsia" w:ascii="宋体" w:hAnsi="宋体" w:cs="宋体"/>
        </w:rPr>
      </w:pPr>
      <w:r>
        <w:rPr>
          <w:rFonts w:hint="eastAsia" w:ascii="宋体" w:hAnsi="宋体" w:cs="宋体"/>
        </w:rPr>
        <w:t>c.本人有效身份证(扫描件)，其它证件无效</w:t>
      </w:r>
    </w:p>
    <w:p>
      <w:pPr>
        <w:spacing w:line="400" w:lineRule="atLeast"/>
        <w:ind w:left="840" w:leftChars="400"/>
        <w:rPr>
          <w:rFonts w:hint="eastAsia" w:ascii="宋体" w:hAnsi="宋体" w:cs="宋体"/>
          <w:szCs w:val="22"/>
        </w:rPr>
      </w:pPr>
      <w:r>
        <w:rPr>
          <w:rFonts w:hint="eastAsia" w:ascii="宋体" w:hAnsi="宋体" w:cs="宋体"/>
          <w:szCs w:val="22"/>
        </w:rPr>
        <w:t>D.社保缴纳证明</w:t>
      </w:r>
    </w:p>
    <w:p>
      <w:pPr>
        <w:pStyle w:val="4"/>
        <w:spacing w:before="120" w:beforeLines="50" w:after="120" w:afterLines="50" w:line="240" w:lineRule="auto"/>
        <w:jc w:val="center"/>
        <w:rPr>
          <w:rFonts w:hint="eastAsia" w:ascii="宋体" w:hAnsi="宋体" w:eastAsia="宋体" w:cs="宋体"/>
          <w:sz w:val="24"/>
          <w:szCs w:val="24"/>
        </w:rPr>
      </w:pPr>
      <w:bookmarkStart w:id="5" w:name="_Toc30133"/>
      <w:r>
        <w:rPr>
          <w:rFonts w:hint="eastAsia" w:ascii="宋体" w:hAnsi="宋体" w:eastAsia="宋体" w:cs="宋体"/>
          <w:sz w:val="24"/>
          <w:szCs w:val="24"/>
        </w:rPr>
        <w:t>（三）招标文件说明</w:t>
      </w:r>
      <w:bookmarkEnd w:id="5"/>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招标文件构成</w:t>
      </w:r>
    </w:p>
    <w:p>
      <w:pPr>
        <w:numPr>
          <w:ilvl w:val="1"/>
          <w:numId w:val="10"/>
        </w:numPr>
        <w:snapToGrid w:val="0"/>
        <w:spacing w:line="400" w:lineRule="atLeast"/>
        <w:jc w:val="both"/>
        <w:rPr>
          <w:rFonts w:hint="eastAsia" w:ascii="宋体" w:hAnsi="宋体" w:cs="宋体"/>
        </w:rPr>
      </w:pPr>
      <w:r>
        <w:rPr>
          <w:rFonts w:hint="eastAsia" w:ascii="宋体" w:hAnsi="宋体" w:cs="宋体"/>
          <w:szCs w:val="21"/>
        </w:rPr>
        <w:t>招标文件是用以阐明所需货物、服务，以及招标、投标程序和相应的合同条款。“招标文件”由下述部分组成：</w:t>
      </w:r>
    </w:p>
    <w:p>
      <w:pPr>
        <w:snapToGrid w:val="0"/>
        <w:spacing w:line="400" w:lineRule="atLeast"/>
        <w:ind w:left="851"/>
        <w:jc w:val="both"/>
        <w:rPr>
          <w:rFonts w:hint="eastAsia" w:ascii="宋体" w:hAnsi="宋体" w:cs="宋体"/>
        </w:rPr>
      </w:pPr>
      <w:r>
        <w:rPr>
          <w:rFonts w:hint="eastAsia" w:ascii="宋体" w:hAnsi="宋体" w:cs="宋体"/>
        </w:rPr>
        <w:t>第一部分  招标公告</w:t>
      </w:r>
    </w:p>
    <w:p>
      <w:pPr>
        <w:snapToGrid w:val="0"/>
        <w:spacing w:line="400" w:lineRule="atLeast"/>
        <w:ind w:left="851"/>
        <w:jc w:val="both"/>
        <w:rPr>
          <w:rFonts w:hint="eastAsia" w:ascii="宋体" w:hAnsi="宋体" w:cs="宋体"/>
        </w:rPr>
      </w:pPr>
      <w:r>
        <w:rPr>
          <w:rFonts w:hint="eastAsia" w:ascii="宋体" w:hAnsi="宋体" w:cs="宋体"/>
        </w:rPr>
        <w:t>第二部分  投标供应商须知</w:t>
      </w:r>
    </w:p>
    <w:p>
      <w:pPr>
        <w:snapToGrid w:val="0"/>
        <w:spacing w:line="400" w:lineRule="atLeast"/>
        <w:ind w:left="851"/>
        <w:jc w:val="both"/>
        <w:rPr>
          <w:rFonts w:hint="eastAsia" w:ascii="宋体" w:hAnsi="宋体" w:cs="宋体"/>
        </w:rPr>
      </w:pPr>
      <w:r>
        <w:rPr>
          <w:rFonts w:hint="eastAsia" w:ascii="宋体" w:hAnsi="宋体" w:cs="宋体"/>
        </w:rPr>
        <w:t>第三部分  招标内容及要求</w:t>
      </w:r>
    </w:p>
    <w:p>
      <w:pPr>
        <w:snapToGrid w:val="0"/>
        <w:spacing w:line="400" w:lineRule="atLeast"/>
        <w:ind w:left="851"/>
        <w:jc w:val="both"/>
        <w:rPr>
          <w:rFonts w:hint="eastAsia" w:ascii="宋体" w:hAnsi="宋体" w:cs="宋体"/>
        </w:rPr>
      </w:pPr>
      <w:r>
        <w:rPr>
          <w:rFonts w:hint="eastAsia" w:ascii="宋体" w:hAnsi="宋体" w:cs="宋体"/>
        </w:rPr>
        <w:t>第四部分  合同主要条款</w:t>
      </w:r>
    </w:p>
    <w:p>
      <w:pPr>
        <w:snapToGrid w:val="0"/>
        <w:spacing w:line="400" w:lineRule="atLeast"/>
        <w:ind w:left="851"/>
        <w:jc w:val="both"/>
        <w:rPr>
          <w:rFonts w:hint="eastAsia" w:ascii="宋体" w:hAnsi="宋体" w:cs="宋体"/>
        </w:rPr>
      </w:pPr>
      <w:r>
        <w:rPr>
          <w:rFonts w:hint="eastAsia" w:ascii="宋体" w:hAnsi="宋体" w:cs="宋体"/>
        </w:rPr>
        <w:t>第五部分  投标文件格式</w:t>
      </w:r>
    </w:p>
    <w:p>
      <w:pPr>
        <w:snapToGrid w:val="0"/>
        <w:spacing w:line="400" w:lineRule="atLeast"/>
        <w:ind w:left="851"/>
        <w:jc w:val="both"/>
        <w:rPr>
          <w:rFonts w:hint="eastAsia" w:ascii="宋体" w:hAnsi="宋体" w:cs="宋体"/>
        </w:rPr>
      </w:pPr>
      <w:r>
        <w:rPr>
          <w:rFonts w:hint="eastAsia" w:ascii="宋体" w:hAnsi="宋体" w:cs="宋体"/>
        </w:rPr>
        <w:t>第六部分  评标办法</w:t>
      </w:r>
    </w:p>
    <w:p>
      <w:pPr>
        <w:snapToGrid w:val="0"/>
        <w:spacing w:line="400" w:lineRule="atLeast"/>
        <w:ind w:left="851"/>
        <w:jc w:val="both"/>
        <w:rPr>
          <w:rFonts w:hint="eastAsia" w:ascii="宋体" w:hAnsi="宋体" w:cs="宋体"/>
        </w:rPr>
      </w:pPr>
      <w:r>
        <w:rPr>
          <w:rFonts w:hint="eastAsia" w:ascii="宋体" w:hAnsi="宋体" w:cs="宋体"/>
        </w:rPr>
        <w:t>第七部分  补充通知及答疑（若有）</w:t>
      </w:r>
    </w:p>
    <w:p>
      <w:pPr>
        <w:numPr>
          <w:ilvl w:val="1"/>
          <w:numId w:val="10"/>
        </w:numPr>
        <w:snapToGrid w:val="0"/>
        <w:spacing w:line="400" w:lineRule="atLeast"/>
        <w:jc w:val="both"/>
        <w:rPr>
          <w:rFonts w:hint="eastAsia" w:ascii="宋体" w:hAnsi="宋体" w:cs="宋体"/>
          <w:szCs w:val="21"/>
        </w:rPr>
      </w:pPr>
      <w:r>
        <w:rPr>
          <w:rFonts w:hint="eastAsia" w:ascii="宋体" w:hAnsi="宋体" w:cs="宋体"/>
          <w:szCs w:val="21"/>
        </w:rPr>
        <w:t>投标供应商应详细阅读招标文件的全部内容。如果投标供应商没有按照招标文件要求提交</w:t>
      </w:r>
      <w:r>
        <w:rPr>
          <w:rFonts w:hint="eastAsia" w:ascii="宋体" w:hAnsi="宋体" w:cs="宋体"/>
          <w:szCs w:val="22"/>
          <w:lang w:val="zh-CN"/>
        </w:rPr>
        <w:t>全部</w:t>
      </w:r>
      <w:r>
        <w:rPr>
          <w:rFonts w:hint="eastAsia" w:ascii="宋体" w:hAnsi="宋体" w:cs="宋体"/>
          <w:szCs w:val="21"/>
        </w:rPr>
        <w:t>资料或者投标文件文件没有对招标文件在各方面的要求都做出实质性响应，是投标供应商的风险。</w:t>
      </w:r>
    </w:p>
    <w:p>
      <w:pPr>
        <w:numPr>
          <w:ilvl w:val="1"/>
          <w:numId w:val="10"/>
        </w:numPr>
        <w:snapToGrid w:val="0"/>
        <w:spacing w:line="400" w:lineRule="atLeast"/>
        <w:jc w:val="both"/>
        <w:rPr>
          <w:rFonts w:hint="eastAsia" w:ascii="宋体" w:hAnsi="宋体" w:cs="宋体"/>
          <w:szCs w:val="21"/>
        </w:rPr>
      </w:pPr>
      <w:r>
        <w:rPr>
          <w:rFonts w:hint="eastAsia" w:ascii="宋体" w:hAnsi="宋体" w:cs="宋体"/>
          <w:szCs w:val="21"/>
        </w:rPr>
        <w:t>本</w:t>
      </w:r>
      <w:r>
        <w:rPr>
          <w:rFonts w:hint="eastAsia" w:ascii="宋体" w:hAnsi="宋体" w:cs="宋体"/>
          <w:szCs w:val="22"/>
          <w:lang w:val="zh-CN"/>
        </w:rPr>
        <w:t>招标</w:t>
      </w:r>
      <w:r>
        <w:rPr>
          <w:rFonts w:hint="eastAsia" w:ascii="宋体" w:hAnsi="宋体" w:cs="宋体"/>
          <w:szCs w:val="21"/>
        </w:rPr>
        <w:t>文件要求投标供应商作出实质性响应的有关技术和商务条款，将在该条款前以“▲”醒目标识。</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招标文件的澄清</w:t>
      </w:r>
    </w:p>
    <w:p>
      <w:pPr>
        <w:numPr>
          <w:ilvl w:val="1"/>
          <w:numId w:val="10"/>
        </w:numPr>
        <w:snapToGrid w:val="0"/>
        <w:spacing w:line="400" w:lineRule="atLeast"/>
        <w:jc w:val="both"/>
        <w:rPr>
          <w:rFonts w:hint="eastAsia" w:ascii="宋体" w:hAnsi="宋体" w:cs="宋体"/>
        </w:rPr>
      </w:pPr>
      <w:r>
        <w:rPr>
          <w:rFonts w:hint="eastAsia" w:ascii="宋体" w:hAnsi="宋体" w:cs="宋体"/>
        </w:rPr>
        <w:t>任何要求对招标文件进行澄清的投标供应商，均应在答疑截止期规定时间以前按招标公告书中的通讯地址以书面形式传真或寄送给招标代理机构，招标代理机构对答疑截止期规定时间以前收到的任何澄清要求将以书面形式予以答复，同时将书面答复以邮寄、传真或类似的方式送达所有投标供应商，答复中包括原提出的问题，但不包括问题的来源。</w:t>
      </w:r>
    </w:p>
    <w:p>
      <w:pPr>
        <w:numPr>
          <w:ilvl w:val="1"/>
          <w:numId w:val="10"/>
        </w:numPr>
        <w:snapToGrid w:val="0"/>
        <w:spacing w:line="400" w:lineRule="atLeast"/>
        <w:jc w:val="both"/>
        <w:rPr>
          <w:rFonts w:hint="eastAsia" w:ascii="宋体" w:hAnsi="宋体" w:cs="宋体"/>
          <w:sz w:val="24"/>
        </w:rPr>
      </w:pPr>
      <w:r>
        <w:rPr>
          <w:rFonts w:hint="eastAsia" w:ascii="宋体" w:hAnsi="宋体" w:cs="宋体"/>
        </w:rPr>
        <w:t>招标代理机构将视情况确定是否有必要召开标前会，如果召开时会将标前会的通知（包括时间和地点）发给所有投标供应商。</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招标文件的修改</w:t>
      </w:r>
    </w:p>
    <w:p>
      <w:pPr>
        <w:numPr>
          <w:ilvl w:val="1"/>
          <w:numId w:val="10"/>
        </w:numPr>
        <w:snapToGrid w:val="0"/>
        <w:spacing w:line="400" w:lineRule="atLeast"/>
        <w:jc w:val="both"/>
        <w:rPr>
          <w:rFonts w:hint="eastAsia" w:ascii="宋体" w:hAnsi="宋体" w:cs="宋体"/>
        </w:rPr>
      </w:pPr>
      <w:r>
        <w:rPr>
          <w:rFonts w:hint="eastAsia" w:ascii="宋体" w:hAnsi="宋体" w:cs="宋体"/>
        </w:rPr>
        <w:t>采购</w:t>
      </w:r>
      <w:r>
        <w:rPr>
          <w:rFonts w:hint="eastAsia" w:ascii="宋体" w:hAnsi="宋体" w:cs="宋体"/>
          <w:szCs w:val="22"/>
          <w:lang w:val="zh-CN"/>
        </w:rPr>
        <w:t>代理</w:t>
      </w:r>
      <w:r>
        <w:rPr>
          <w:rFonts w:hint="eastAsia" w:ascii="宋体" w:hAnsi="宋体" w:cs="宋体"/>
        </w:rPr>
        <w:t>机构对已发出的招标文件进行必要澄清或者修改的，将在投标截止期十五天前在“浙江政府采购网”上发布更正公告。投标供应商登陆浙江政府采购网自行下载，该澄清和修改的内容为招标文件的组成部分。</w:t>
      </w:r>
    </w:p>
    <w:p>
      <w:pPr>
        <w:numPr>
          <w:ilvl w:val="1"/>
          <w:numId w:val="10"/>
        </w:numPr>
        <w:snapToGrid w:val="0"/>
        <w:spacing w:line="400" w:lineRule="atLeast"/>
        <w:jc w:val="both"/>
        <w:rPr>
          <w:rFonts w:hint="eastAsia" w:ascii="宋体" w:hAnsi="宋体" w:cs="宋体"/>
        </w:rPr>
      </w:pPr>
      <w:r>
        <w:rPr>
          <w:rFonts w:hint="eastAsia" w:ascii="宋体" w:hAnsi="宋体" w:cs="宋体"/>
        </w:rPr>
        <w:t>采购代理机构可以视采购具体情况在招标文件要求提交截止时间前，作出延长投标截止时间和开标时间的决定。</w:t>
      </w:r>
    </w:p>
    <w:p>
      <w:pPr>
        <w:numPr>
          <w:ilvl w:val="1"/>
          <w:numId w:val="10"/>
        </w:numPr>
        <w:snapToGrid w:val="0"/>
        <w:spacing w:line="400" w:lineRule="atLeast"/>
        <w:jc w:val="both"/>
        <w:rPr>
          <w:rFonts w:hint="eastAsia" w:ascii="宋体" w:hAnsi="宋体" w:cs="宋体"/>
        </w:rPr>
      </w:pPr>
      <w:r>
        <w:rPr>
          <w:rFonts w:hint="eastAsia" w:ascii="宋体" w:hAnsi="宋体" w:cs="宋体"/>
        </w:rPr>
        <w:t>招标文件澄清、答复、修改、补充的内容为招标文件的组成部分。当招标文件与招标文件的答复、澄清、修改、补充通知就同一内容的表述不一致时，以最后发出的文件为准，对所有投标供应商有约束力。</w:t>
      </w:r>
    </w:p>
    <w:p>
      <w:pPr>
        <w:pStyle w:val="4"/>
        <w:spacing w:before="120" w:beforeLines="50" w:after="120" w:afterLines="50" w:line="240" w:lineRule="auto"/>
        <w:ind w:firstLine="3542" w:firstLineChars="1470"/>
        <w:rPr>
          <w:rFonts w:hint="eastAsia" w:ascii="宋体" w:hAnsi="宋体" w:eastAsia="宋体" w:cs="宋体"/>
          <w:sz w:val="24"/>
          <w:szCs w:val="24"/>
        </w:rPr>
      </w:pPr>
      <w:bookmarkStart w:id="6" w:name="_Toc13532"/>
      <w:r>
        <w:rPr>
          <w:rFonts w:hint="eastAsia" w:ascii="宋体" w:hAnsi="宋体" w:eastAsia="宋体" w:cs="宋体"/>
          <w:sz w:val="24"/>
          <w:szCs w:val="24"/>
        </w:rPr>
        <w:t>（四）投标文件的编制</w:t>
      </w:r>
      <w:bookmarkEnd w:id="6"/>
    </w:p>
    <w:p>
      <w:pPr>
        <w:numPr>
          <w:ilvl w:val="0"/>
          <w:numId w:val="10"/>
        </w:numPr>
        <w:snapToGrid w:val="0"/>
        <w:spacing w:line="400" w:lineRule="atLeast"/>
        <w:jc w:val="both"/>
        <w:rPr>
          <w:rFonts w:hint="eastAsia" w:ascii="宋体" w:hAnsi="宋体" w:cs="宋体"/>
          <w:b/>
          <w:bCs/>
          <w:sz w:val="24"/>
        </w:rPr>
      </w:pPr>
      <w:r>
        <w:rPr>
          <w:rFonts w:hint="eastAsia" w:ascii="宋体" w:hAnsi="宋体" w:cs="宋体"/>
          <w:b/>
          <w:bCs/>
          <w:sz w:val="24"/>
        </w:rPr>
        <w:t>投标文件的说明</w:t>
      </w:r>
    </w:p>
    <w:p>
      <w:pPr>
        <w:numPr>
          <w:ilvl w:val="1"/>
          <w:numId w:val="10"/>
        </w:numPr>
        <w:snapToGrid w:val="0"/>
        <w:spacing w:line="400" w:lineRule="atLeast"/>
        <w:jc w:val="both"/>
        <w:rPr>
          <w:rFonts w:hint="eastAsia" w:ascii="宋体" w:hAnsi="宋体" w:cs="宋体"/>
        </w:rPr>
      </w:pPr>
      <w:r>
        <w:rPr>
          <w:rFonts w:hint="eastAsia" w:ascii="宋体" w:hAnsi="宋体" w:cs="宋体"/>
        </w:rPr>
        <w:t>投标文件应字迹清楚、内容齐全、不得涂改。如有修改，修改处须有法定代表人或其同一授权代表签字或盖章。</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投标供应商必须按招标文件的要求提供相关技术参数、资料，包括采用的计量单位，并保证</w:t>
      </w:r>
      <w:r>
        <w:rPr>
          <w:rFonts w:hint="eastAsia" w:ascii="宋体" w:hAnsi="宋体" w:cs="宋体"/>
          <w:szCs w:val="22"/>
          <w:lang w:val="zh-CN"/>
        </w:rPr>
        <w:t>投标</w:t>
      </w:r>
      <w:r>
        <w:rPr>
          <w:rFonts w:hint="eastAsia" w:ascii="宋体" w:hAnsi="宋体" w:cs="宋体"/>
        </w:rPr>
        <w:t>文件的正确性和真实性，否则评标委员会将作出不利于其投标的评定。技术和商务如有偏离均应填写偏离表。不按招标文件的要求提供的投标文件可能导致无效。</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投标文件的组成</w:t>
      </w:r>
    </w:p>
    <w:p>
      <w:pPr>
        <w:numPr>
          <w:ilvl w:val="1"/>
          <w:numId w:val="10"/>
        </w:numPr>
        <w:snapToGrid w:val="0"/>
        <w:spacing w:line="400" w:lineRule="atLeast"/>
        <w:jc w:val="both"/>
        <w:rPr>
          <w:rFonts w:hint="eastAsia" w:ascii="宋体" w:hAnsi="宋体" w:cs="宋体"/>
          <w:sz w:val="24"/>
        </w:rPr>
      </w:pPr>
      <w:r>
        <w:rPr>
          <w:rFonts w:hint="eastAsia" w:ascii="宋体" w:hAnsi="宋体" w:cs="宋体"/>
          <w:szCs w:val="22"/>
          <w:lang w:val="zh-CN"/>
        </w:rPr>
        <w:t>投标</w:t>
      </w:r>
      <w:r>
        <w:rPr>
          <w:rFonts w:hint="eastAsia" w:ascii="宋体" w:hAnsi="宋体" w:cs="宋体"/>
        </w:rPr>
        <w:t>供应商编写的</w:t>
      </w:r>
      <w:r>
        <w:rPr>
          <w:rFonts w:hint="eastAsia" w:ascii="宋体" w:hAnsi="宋体" w:cs="宋体"/>
          <w:b/>
        </w:rPr>
        <w:t>投标文件</w:t>
      </w:r>
      <w:r>
        <w:rPr>
          <w:rFonts w:hint="eastAsia" w:ascii="宋体" w:hAnsi="宋体" w:cs="宋体"/>
        </w:rPr>
        <w:t>应包括下列部分：</w:t>
      </w:r>
    </w:p>
    <w:p>
      <w:pPr>
        <w:numPr>
          <w:ilvl w:val="0"/>
          <w:numId w:val="11"/>
        </w:numPr>
        <w:snapToGrid w:val="0"/>
        <w:spacing w:line="400" w:lineRule="atLeast"/>
        <w:ind w:left="851"/>
        <w:rPr>
          <w:rFonts w:hint="eastAsia" w:ascii="宋体" w:hAnsi="宋体" w:cs="宋体"/>
          <w:szCs w:val="22"/>
        </w:rPr>
      </w:pPr>
      <w:r>
        <w:rPr>
          <w:rFonts w:hint="eastAsia" w:ascii="宋体" w:hAnsi="宋体" w:cs="宋体"/>
          <w:szCs w:val="22"/>
        </w:rPr>
        <w:t>资格文件：</w:t>
      </w:r>
    </w:p>
    <w:p>
      <w:pPr>
        <w:numPr>
          <w:ilvl w:val="0"/>
          <w:numId w:val="12"/>
        </w:numPr>
        <w:snapToGrid w:val="0"/>
        <w:spacing w:line="400" w:lineRule="atLeast"/>
        <w:ind w:left="839"/>
        <w:rPr>
          <w:rFonts w:hint="eastAsia" w:ascii="宋体" w:hAnsi="宋体" w:cs="宋体"/>
          <w:szCs w:val="22"/>
        </w:rPr>
      </w:pPr>
      <w:r>
        <w:rPr>
          <w:rFonts w:hint="eastAsia" w:ascii="宋体" w:hAnsi="宋体" w:cs="宋体"/>
          <w:szCs w:val="22"/>
        </w:rPr>
        <w:t>供应商须在投标文件中出具符合以下情况的证明材料扫描件（五选一）：</w:t>
      </w:r>
    </w:p>
    <w:p>
      <w:pPr>
        <w:tabs>
          <w:tab w:val="left" w:pos="1260"/>
        </w:tabs>
        <w:snapToGrid w:val="0"/>
        <w:spacing w:line="400" w:lineRule="atLeast"/>
        <w:ind w:left="880" w:leftChars="419"/>
        <w:rPr>
          <w:rFonts w:hint="eastAsia" w:ascii="宋体" w:hAnsi="宋体" w:cs="宋体"/>
        </w:rPr>
      </w:pPr>
      <w:r>
        <w:rPr>
          <w:rFonts w:hint="eastAsia" w:ascii="宋体" w:hAnsi="宋体" w:cs="宋体"/>
        </w:rPr>
        <w:t>①如投标供应商是企业（包括合伙企业），提供在工商部门注册的有效“企业法人营业执照”或“营业执照”；</w:t>
      </w:r>
    </w:p>
    <w:p>
      <w:pPr>
        <w:tabs>
          <w:tab w:val="left" w:pos="1260"/>
        </w:tabs>
        <w:snapToGrid w:val="0"/>
        <w:spacing w:line="400" w:lineRule="atLeast"/>
        <w:ind w:left="880" w:leftChars="419"/>
        <w:rPr>
          <w:rFonts w:hint="eastAsia" w:ascii="宋体" w:hAnsi="宋体" w:cs="宋体"/>
        </w:rPr>
      </w:pPr>
      <w:r>
        <w:rPr>
          <w:rFonts w:hint="eastAsia" w:ascii="宋体" w:hAnsi="宋体" w:cs="宋体"/>
        </w:rPr>
        <w:t>②如</w:t>
      </w:r>
      <w:r>
        <w:rPr>
          <w:rFonts w:hint="eastAsia" w:ascii="宋体" w:hAnsi="宋体" w:cs="宋体"/>
          <w:szCs w:val="22"/>
        </w:rPr>
        <w:t>投标</w:t>
      </w:r>
      <w:r>
        <w:rPr>
          <w:rFonts w:hint="eastAsia" w:ascii="宋体" w:hAnsi="宋体" w:cs="宋体"/>
        </w:rPr>
        <w:t>供应商是事业单位，提供有效的“事业单位法人证书”；</w:t>
      </w:r>
    </w:p>
    <w:p>
      <w:pPr>
        <w:tabs>
          <w:tab w:val="left" w:pos="1260"/>
        </w:tabs>
        <w:snapToGrid w:val="0"/>
        <w:spacing w:line="400" w:lineRule="atLeast"/>
        <w:ind w:left="880" w:leftChars="419"/>
        <w:rPr>
          <w:rFonts w:hint="eastAsia" w:ascii="宋体" w:hAnsi="宋体" w:cs="宋体"/>
          <w:szCs w:val="22"/>
        </w:rPr>
      </w:pPr>
      <w:r>
        <w:rPr>
          <w:rFonts w:hint="eastAsia" w:ascii="宋体" w:hAnsi="宋体" w:cs="宋体"/>
        </w:rPr>
        <w:t>③如投标</w:t>
      </w:r>
      <w:r>
        <w:rPr>
          <w:rFonts w:hint="eastAsia" w:ascii="宋体" w:hAnsi="宋体" w:cs="宋体"/>
          <w:szCs w:val="22"/>
        </w:rPr>
        <w:t>供应商是非企业专业服务机构的，提供执业许可证等证明文件；</w:t>
      </w:r>
    </w:p>
    <w:p>
      <w:pPr>
        <w:tabs>
          <w:tab w:val="left" w:pos="1260"/>
        </w:tabs>
        <w:snapToGrid w:val="0"/>
        <w:spacing w:line="400" w:lineRule="atLeast"/>
        <w:ind w:left="880" w:leftChars="419"/>
        <w:rPr>
          <w:rFonts w:hint="eastAsia" w:ascii="宋体" w:hAnsi="宋体" w:cs="宋体"/>
          <w:szCs w:val="22"/>
        </w:rPr>
      </w:pPr>
      <w:r>
        <w:rPr>
          <w:rFonts w:hint="eastAsia" w:ascii="宋体" w:hAnsi="宋体" w:cs="宋体"/>
          <w:szCs w:val="22"/>
        </w:rPr>
        <w:t>④如投标供应商是个体工商户，提供有效的“个体工商户营业执照”；</w:t>
      </w:r>
    </w:p>
    <w:p>
      <w:pPr>
        <w:tabs>
          <w:tab w:val="left" w:pos="1260"/>
        </w:tabs>
        <w:snapToGrid w:val="0"/>
        <w:spacing w:line="400" w:lineRule="atLeast"/>
        <w:ind w:left="880" w:leftChars="419"/>
        <w:rPr>
          <w:rFonts w:hint="eastAsia" w:ascii="宋体" w:hAnsi="宋体" w:cs="宋体"/>
        </w:rPr>
      </w:pPr>
      <w:r>
        <w:rPr>
          <w:rFonts w:hint="eastAsia" w:ascii="宋体" w:hAnsi="宋体" w:cs="宋体"/>
          <w:szCs w:val="22"/>
        </w:rPr>
        <w:t>⑤如投标供应商是自然人，提供有效的自然人身份证明（居民身份证正反面或公安机关出具的临时居民身份证</w:t>
      </w:r>
      <w:r>
        <w:rPr>
          <w:rFonts w:hint="eastAsia" w:ascii="宋体" w:hAnsi="宋体" w:cs="宋体"/>
        </w:rPr>
        <w:t>正反面或港澳台胞证或证照）。</w:t>
      </w:r>
    </w:p>
    <w:p>
      <w:pPr>
        <w:numPr>
          <w:ilvl w:val="0"/>
          <w:numId w:val="12"/>
        </w:numPr>
        <w:snapToGrid w:val="0"/>
        <w:spacing w:line="400" w:lineRule="atLeast"/>
        <w:ind w:left="839"/>
        <w:rPr>
          <w:rFonts w:hint="eastAsia" w:ascii="宋体" w:hAnsi="宋体" w:cs="宋体"/>
          <w:szCs w:val="22"/>
        </w:rPr>
      </w:pPr>
      <w:r>
        <w:rPr>
          <w:rFonts w:hint="eastAsia" w:ascii="宋体" w:hAnsi="宋体" w:cs="宋体"/>
          <w:szCs w:val="22"/>
        </w:rPr>
        <w:t xml:space="preserve">关于《中华人民共和国政府采购法》第二十二条规定的承诺函。 </w:t>
      </w:r>
    </w:p>
    <w:p>
      <w:pPr>
        <w:snapToGrid w:val="0"/>
        <w:spacing w:line="400" w:lineRule="atLeast"/>
        <w:ind w:left="839"/>
        <w:jc w:val="right"/>
        <w:rPr>
          <w:rFonts w:hint="eastAsia" w:ascii="宋体" w:hAnsi="宋体" w:cs="宋体"/>
          <w:szCs w:val="22"/>
        </w:rPr>
      </w:pPr>
      <w:r>
        <w:rPr>
          <w:rFonts w:hint="eastAsia" w:ascii="宋体" w:hAnsi="宋体" w:cs="宋体"/>
          <w:szCs w:val="22"/>
        </w:rPr>
        <w:t>（见第五部分附件一）</w:t>
      </w:r>
    </w:p>
    <w:p>
      <w:pPr>
        <w:tabs>
          <w:tab w:val="left" w:pos="1260"/>
        </w:tabs>
        <w:snapToGrid w:val="0"/>
        <w:spacing w:line="400" w:lineRule="atLeast"/>
        <w:ind w:left="880" w:leftChars="419"/>
        <w:rPr>
          <w:rFonts w:hint="eastAsia" w:ascii="宋体" w:hAnsi="宋体" w:cs="宋体"/>
          <w:szCs w:val="22"/>
        </w:rPr>
      </w:pPr>
      <w:r>
        <w:rPr>
          <w:rFonts w:hint="eastAsia" w:ascii="宋体" w:hAnsi="宋体" w:cs="宋体"/>
          <w:szCs w:val="22"/>
        </w:rPr>
        <w:t>备注</w:t>
      </w:r>
      <w:r>
        <w:rPr>
          <w:rFonts w:hint="eastAsia" w:ascii="宋体" w:hAnsi="宋体" w:cs="宋体"/>
          <w:b/>
          <w:bCs/>
          <w:szCs w:val="21"/>
        </w:rPr>
        <w:t>：</w:t>
      </w:r>
      <w:r>
        <w:rPr>
          <w:rFonts w:hint="eastAsia" w:ascii="宋体" w:hAnsi="宋体" w:cs="宋体"/>
          <w:szCs w:val="22"/>
        </w:rPr>
        <w:t>以上所需的各种证书、证件、证明等须提供扫描件并加盖公章，如遇年检或换证等特殊情况须按要求提供相应的证明材料。</w:t>
      </w:r>
    </w:p>
    <w:p>
      <w:pPr>
        <w:numPr>
          <w:ilvl w:val="0"/>
          <w:numId w:val="11"/>
        </w:numPr>
        <w:snapToGrid w:val="0"/>
        <w:spacing w:line="400" w:lineRule="atLeast"/>
        <w:ind w:left="851"/>
        <w:rPr>
          <w:rFonts w:hint="eastAsia" w:ascii="宋体" w:hAnsi="宋体" w:cs="宋体"/>
        </w:rPr>
      </w:pPr>
      <w:r>
        <w:rPr>
          <w:rFonts w:hint="eastAsia" w:ascii="宋体" w:hAnsi="宋体" w:cs="宋体"/>
        </w:rPr>
        <w:t xml:space="preserve">技术商务文件：  </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法定代表人授权委托书；                             （见第五部分附件二-1）</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法定代表人身份证明；                               （见第五部分附件二-2）</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投标函；                                           （见第五部分附件三）</w:t>
      </w:r>
    </w:p>
    <w:p>
      <w:pPr>
        <w:numPr>
          <w:ilvl w:val="0"/>
          <w:numId w:val="13"/>
        </w:numPr>
        <w:snapToGrid w:val="0"/>
        <w:spacing w:line="400" w:lineRule="atLeast"/>
        <w:ind w:left="839"/>
        <w:rPr>
          <w:rFonts w:hint="eastAsia" w:ascii="宋体" w:hAnsi="宋体" w:cs="宋体"/>
          <w:szCs w:val="21"/>
        </w:rPr>
      </w:pPr>
      <w:r>
        <w:rPr>
          <w:rFonts w:hint="eastAsia" w:ascii="宋体" w:hAnsi="宋体" w:cs="宋体"/>
          <w:sz w:val="22"/>
        </w:rPr>
        <w:t>法定代表人诚信投标承诺书</w:t>
      </w:r>
      <w:r>
        <w:rPr>
          <w:rFonts w:hint="eastAsia" w:ascii="宋体" w:hAnsi="宋体" w:cs="宋体"/>
          <w:szCs w:val="21"/>
        </w:rPr>
        <w:t xml:space="preserve">                          （见第五部分附件四-1）</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环卫保洁承诺书                                      （见第五部分附件四-2）</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建议与少量偏离表（技术与商务部分的偏离须分别填写，均放在此处，如不填写将视为对招标文件要求无偏差） ；                              （见第五部分附件五）</w:t>
      </w:r>
    </w:p>
    <w:p>
      <w:pPr>
        <w:numPr>
          <w:ilvl w:val="0"/>
          <w:numId w:val="13"/>
        </w:numPr>
        <w:snapToGrid w:val="0"/>
        <w:spacing w:line="400" w:lineRule="atLeast"/>
        <w:ind w:left="839"/>
        <w:rPr>
          <w:rFonts w:hint="eastAsia" w:ascii="宋体" w:hAnsi="宋体" w:cs="宋体"/>
        </w:rPr>
      </w:pPr>
      <w:r>
        <w:rPr>
          <w:rFonts w:hint="eastAsia" w:ascii="宋体" w:hAnsi="宋体" w:cs="宋体"/>
        </w:rPr>
        <w:t>企业简介、获奖等</w:t>
      </w:r>
    </w:p>
    <w:p>
      <w:pPr>
        <w:numPr>
          <w:ilvl w:val="0"/>
          <w:numId w:val="13"/>
        </w:numPr>
        <w:snapToGrid w:val="0"/>
        <w:spacing w:line="400" w:lineRule="atLeast"/>
        <w:ind w:left="839"/>
        <w:rPr>
          <w:rFonts w:hint="eastAsia" w:ascii="宋体" w:hAnsi="宋体" w:cs="宋体"/>
        </w:rPr>
      </w:pPr>
      <w:r>
        <w:rPr>
          <w:rFonts w:hint="eastAsia" w:ascii="宋体" w:hAnsi="宋体" w:cs="宋体"/>
        </w:rPr>
        <w:t>环卫保洁实施方案</w:t>
      </w:r>
      <w:r>
        <w:rPr>
          <w:rFonts w:hint="eastAsia" w:ascii="宋体" w:hAnsi="宋体" w:cs="宋体"/>
          <w:szCs w:val="21"/>
        </w:rPr>
        <w:t xml:space="preserve">                                     （见第五部分附件六）</w:t>
      </w:r>
    </w:p>
    <w:p>
      <w:pPr>
        <w:numPr>
          <w:ilvl w:val="0"/>
          <w:numId w:val="14"/>
        </w:numPr>
        <w:snapToGrid w:val="0"/>
        <w:spacing w:line="400" w:lineRule="atLeast"/>
        <w:ind w:left="0" w:firstLine="850"/>
        <w:rPr>
          <w:rFonts w:hint="eastAsia" w:ascii="宋体" w:hAnsi="宋体" w:cs="宋体"/>
        </w:rPr>
      </w:pPr>
      <w:r>
        <w:rPr>
          <w:rFonts w:hint="eastAsia" w:ascii="宋体" w:hAnsi="宋体" w:cs="宋体"/>
          <w:szCs w:val="21"/>
        </w:rPr>
        <w:t>对本项目清扫保洁工作的现状调查与问题剖析</w:t>
      </w:r>
      <w:r>
        <w:rPr>
          <w:rFonts w:hint="eastAsia" w:ascii="宋体" w:hAnsi="宋体" w:cs="宋体"/>
        </w:rPr>
        <w:t>；</w:t>
      </w:r>
    </w:p>
    <w:p>
      <w:pPr>
        <w:numPr>
          <w:ilvl w:val="0"/>
          <w:numId w:val="14"/>
        </w:numPr>
        <w:snapToGrid w:val="0"/>
        <w:spacing w:line="400" w:lineRule="atLeast"/>
        <w:ind w:left="0" w:firstLine="850"/>
        <w:rPr>
          <w:rFonts w:hint="eastAsia" w:ascii="宋体" w:hAnsi="宋体" w:cs="宋体"/>
          <w:szCs w:val="21"/>
        </w:rPr>
      </w:pPr>
      <w:r>
        <w:rPr>
          <w:rFonts w:hint="eastAsia" w:ascii="宋体" w:hAnsi="宋体" w:cs="宋体"/>
          <w:szCs w:val="21"/>
        </w:rPr>
        <w:t>清扫保洁具体实施计划和方案；</w:t>
      </w:r>
    </w:p>
    <w:p>
      <w:pPr>
        <w:numPr>
          <w:ilvl w:val="0"/>
          <w:numId w:val="14"/>
        </w:numPr>
        <w:snapToGrid w:val="0"/>
        <w:spacing w:line="400" w:lineRule="atLeast"/>
        <w:ind w:left="0" w:firstLine="850"/>
        <w:rPr>
          <w:rFonts w:hint="eastAsia" w:ascii="宋体" w:hAnsi="宋体" w:cs="宋体"/>
          <w:szCs w:val="21"/>
        </w:rPr>
      </w:pPr>
      <w:r>
        <w:rPr>
          <w:rFonts w:hint="eastAsia" w:ascii="宋体" w:hAnsi="宋体" w:cs="宋体"/>
          <w:szCs w:val="21"/>
        </w:rPr>
        <w:t>应付突发事情的响应及处理方案；</w:t>
      </w:r>
    </w:p>
    <w:p>
      <w:pPr>
        <w:numPr>
          <w:ilvl w:val="0"/>
          <w:numId w:val="14"/>
        </w:numPr>
        <w:snapToGrid w:val="0"/>
        <w:spacing w:line="400" w:lineRule="atLeast"/>
        <w:ind w:left="0" w:firstLine="850"/>
        <w:rPr>
          <w:rFonts w:hint="eastAsia" w:ascii="宋体" w:hAnsi="宋体" w:cs="宋体"/>
          <w:szCs w:val="21"/>
        </w:rPr>
      </w:pPr>
      <w:r>
        <w:rPr>
          <w:rFonts w:hint="eastAsia" w:ascii="宋体" w:hAnsi="宋体" w:cs="宋体"/>
        </w:rPr>
        <w:t>日常管理组织、</w:t>
      </w:r>
      <w:r>
        <w:rPr>
          <w:rFonts w:hint="eastAsia" w:ascii="宋体" w:hAnsi="宋体" w:cs="宋体"/>
          <w:szCs w:val="21"/>
        </w:rPr>
        <w:t>拟设立的各项管理规章制度及档案资料的建立管理；</w:t>
      </w:r>
    </w:p>
    <w:p>
      <w:pPr>
        <w:numPr>
          <w:ilvl w:val="0"/>
          <w:numId w:val="14"/>
        </w:numPr>
        <w:snapToGrid w:val="0"/>
        <w:spacing w:line="400" w:lineRule="atLeast"/>
        <w:ind w:left="0" w:firstLine="850"/>
        <w:rPr>
          <w:rFonts w:hint="eastAsia" w:ascii="宋体" w:hAnsi="宋体" w:cs="宋体"/>
        </w:rPr>
      </w:pPr>
      <w:r>
        <w:rPr>
          <w:rFonts w:hint="eastAsia" w:ascii="宋体" w:hAnsi="宋体" w:cs="宋体"/>
        </w:rPr>
        <w:t>车辆优化作业方案说明</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拟投入本项目人员配置明细表；                       （见第五部分附件七）</w:t>
      </w:r>
    </w:p>
    <w:p>
      <w:pPr>
        <w:numPr>
          <w:ilvl w:val="0"/>
          <w:numId w:val="13"/>
        </w:numPr>
        <w:snapToGrid w:val="0"/>
        <w:spacing w:line="400" w:lineRule="atLeast"/>
        <w:ind w:left="839"/>
        <w:rPr>
          <w:rFonts w:hint="eastAsia" w:ascii="宋体" w:hAnsi="宋体" w:cs="宋体"/>
          <w:szCs w:val="21"/>
        </w:rPr>
      </w:pPr>
      <w:r>
        <w:rPr>
          <w:rFonts w:hint="eastAsia" w:ascii="宋体" w:hAnsi="宋体" w:cs="宋体"/>
        </w:rPr>
        <w:t>项目负责人履历情况证明（可选）</w:t>
      </w:r>
      <w:r>
        <w:rPr>
          <w:rFonts w:hint="eastAsia" w:ascii="宋体" w:hAnsi="宋体" w:cs="宋体"/>
          <w:szCs w:val="21"/>
        </w:rPr>
        <w:t xml:space="preserve">                     （见第五部分附件八）</w:t>
      </w:r>
    </w:p>
    <w:p>
      <w:pPr>
        <w:numPr>
          <w:ilvl w:val="0"/>
          <w:numId w:val="13"/>
        </w:numPr>
        <w:snapToGrid w:val="0"/>
        <w:spacing w:line="400" w:lineRule="atLeast"/>
        <w:ind w:left="839"/>
        <w:rPr>
          <w:rFonts w:hint="eastAsia" w:ascii="宋体" w:hAnsi="宋体" w:cs="宋体"/>
        </w:rPr>
      </w:pPr>
      <w:r>
        <w:rPr>
          <w:rFonts w:hint="eastAsia" w:ascii="宋体" w:hAnsi="宋体" w:cs="宋体"/>
          <w:szCs w:val="21"/>
        </w:rPr>
        <w:t>提升技术、服务水平及履约能力评价；</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拟投入设备一览表；</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 xml:space="preserve">     （见第五部分附件九）</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2017年1月1日以来业绩一览表；                     （见第五部分附件十）</w:t>
      </w:r>
    </w:p>
    <w:p>
      <w:pPr>
        <w:numPr>
          <w:ilvl w:val="0"/>
          <w:numId w:val="13"/>
        </w:numPr>
        <w:snapToGrid w:val="0"/>
        <w:spacing w:line="400" w:lineRule="atLeast"/>
        <w:ind w:left="839"/>
        <w:rPr>
          <w:rFonts w:hint="eastAsia" w:ascii="宋体" w:hAnsi="宋体" w:cs="宋体"/>
          <w:szCs w:val="21"/>
        </w:rPr>
      </w:pPr>
      <w:r>
        <w:rPr>
          <w:rFonts w:hint="eastAsia" w:ascii="宋体" w:hAnsi="宋体" w:cs="宋体"/>
          <w:szCs w:val="21"/>
        </w:rPr>
        <w:t>投标供应商认为需要提供的文件和资料；</w:t>
      </w:r>
    </w:p>
    <w:p>
      <w:pPr>
        <w:numPr>
          <w:ilvl w:val="0"/>
          <w:numId w:val="11"/>
        </w:numPr>
        <w:snapToGrid w:val="0"/>
        <w:spacing w:line="400" w:lineRule="atLeast"/>
        <w:ind w:left="851"/>
        <w:rPr>
          <w:rFonts w:hint="eastAsia" w:ascii="宋体" w:hAnsi="宋体" w:cs="宋体"/>
        </w:rPr>
      </w:pPr>
      <w:r>
        <w:rPr>
          <w:rFonts w:hint="eastAsia" w:ascii="宋体" w:hAnsi="宋体" w:cs="宋体"/>
        </w:rPr>
        <w:t>报价文件：</w:t>
      </w:r>
    </w:p>
    <w:p>
      <w:pPr>
        <w:numPr>
          <w:ilvl w:val="0"/>
          <w:numId w:val="15"/>
        </w:numPr>
        <w:snapToGrid w:val="0"/>
        <w:spacing w:line="400" w:lineRule="atLeast"/>
        <w:ind w:left="840"/>
        <w:rPr>
          <w:rFonts w:hint="eastAsia" w:ascii="宋体" w:hAnsi="宋体" w:cs="宋体"/>
        </w:rPr>
      </w:pPr>
      <w:r>
        <w:rPr>
          <w:rFonts w:hint="eastAsia" w:ascii="宋体" w:hAnsi="宋体" w:cs="宋体"/>
        </w:rPr>
        <w:t>开标</w:t>
      </w:r>
      <w:r>
        <w:rPr>
          <w:rFonts w:hint="eastAsia" w:ascii="宋体" w:hAnsi="宋体" w:cs="宋体"/>
          <w:szCs w:val="22"/>
        </w:rPr>
        <w:t>一览表</w:t>
      </w:r>
      <w:r>
        <w:rPr>
          <w:rFonts w:hint="eastAsia" w:ascii="宋体" w:hAnsi="宋体" w:cs="宋体"/>
        </w:rPr>
        <w:t>（统一格式，用于唱标）；                   （见第五部分附件十一）</w:t>
      </w:r>
    </w:p>
    <w:p>
      <w:pPr>
        <w:numPr>
          <w:ilvl w:val="0"/>
          <w:numId w:val="15"/>
        </w:numPr>
        <w:snapToGrid w:val="0"/>
        <w:spacing w:line="400" w:lineRule="atLeast"/>
        <w:ind w:left="840"/>
        <w:rPr>
          <w:rFonts w:hint="eastAsia" w:ascii="宋体" w:hAnsi="宋体" w:cs="宋体"/>
        </w:rPr>
      </w:pPr>
      <w:r>
        <w:rPr>
          <w:rFonts w:hint="eastAsia" w:ascii="宋体" w:hAnsi="宋体" w:cs="宋体"/>
        </w:rPr>
        <w:t>玉海街道投标分项报价汇总表；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（见第五部分附件十二-1）</w:t>
      </w:r>
    </w:p>
    <w:p>
      <w:pPr>
        <w:numPr>
          <w:ilvl w:val="0"/>
          <w:numId w:val="15"/>
        </w:numPr>
        <w:snapToGrid w:val="0"/>
        <w:spacing w:line="400" w:lineRule="atLeast"/>
        <w:ind w:left="840"/>
        <w:rPr>
          <w:rFonts w:hint="eastAsia" w:ascii="宋体" w:hAnsi="宋体" w:cs="宋体"/>
        </w:rPr>
      </w:pPr>
      <w:r>
        <w:rPr>
          <w:rFonts w:hint="eastAsia" w:ascii="宋体" w:hAnsi="宋体" w:cs="宋体"/>
        </w:rPr>
        <w:t>锦湖街道投标分项报价汇总表；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（见第五部分附件十二-2）</w:t>
      </w:r>
    </w:p>
    <w:p>
      <w:pPr>
        <w:numPr>
          <w:ilvl w:val="0"/>
          <w:numId w:val="15"/>
        </w:numPr>
        <w:snapToGrid w:val="0"/>
        <w:spacing w:line="400" w:lineRule="atLeast"/>
        <w:ind w:left="840"/>
        <w:rPr>
          <w:rFonts w:hint="eastAsia" w:ascii="宋体" w:hAnsi="宋体" w:cs="宋体"/>
        </w:rPr>
      </w:pPr>
      <w:r>
        <w:rPr>
          <w:rFonts w:hint="eastAsia" w:ascii="宋体" w:hAnsi="宋体" w:cs="宋体"/>
        </w:rPr>
        <w:t>潘岱街道投标分项报价汇总表；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（见第五部分附件十二-3）</w:t>
      </w:r>
    </w:p>
    <w:p>
      <w:pPr>
        <w:numPr>
          <w:ilvl w:val="0"/>
          <w:numId w:val="15"/>
        </w:numPr>
        <w:snapToGrid w:val="0"/>
        <w:spacing w:line="400" w:lineRule="atLeast"/>
        <w:ind w:left="840"/>
        <w:rPr>
          <w:rFonts w:hint="eastAsia" w:ascii="宋体" w:hAnsi="宋体" w:cs="宋体"/>
        </w:rPr>
      </w:pPr>
      <w:r>
        <w:rPr>
          <w:rFonts w:hint="eastAsia" w:ascii="宋体" w:hAnsi="宋体" w:cs="宋体"/>
        </w:rPr>
        <w:t>玉海街道投标分项报价明细表；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（见第五部分附件十二-4）</w:t>
      </w:r>
    </w:p>
    <w:p>
      <w:pPr>
        <w:numPr>
          <w:ilvl w:val="0"/>
          <w:numId w:val="15"/>
        </w:numPr>
        <w:snapToGrid w:val="0"/>
        <w:spacing w:line="400" w:lineRule="atLeast"/>
        <w:ind w:left="840"/>
        <w:rPr>
          <w:rFonts w:hint="eastAsia" w:ascii="宋体" w:hAnsi="宋体" w:cs="宋体"/>
        </w:rPr>
      </w:pPr>
      <w:r>
        <w:rPr>
          <w:rFonts w:hint="eastAsia" w:ascii="宋体" w:hAnsi="宋体" w:cs="宋体"/>
        </w:rPr>
        <w:t>锦湖街道投标分项报价明细表；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（见第五部分附件十二-5）</w:t>
      </w:r>
    </w:p>
    <w:p>
      <w:pPr>
        <w:numPr>
          <w:ilvl w:val="0"/>
          <w:numId w:val="15"/>
        </w:numPr>
        <w:snapToGrid w:val="0"/>
        <w:spacing w:line="400" w:lineRule="atLeast"/>
        <w:ind w:left="840"/>
        <w:rPr>
          <w:rFonts w:hint="eastAsia" w:ascii="宋体" w:hAnsi="宋体" w:cs="宋体"/>
        </w:rPr>
      </w:pPr>
      <w:r>
        <w:rPr>
          <w:rFonts w:hint="eastAsia" w:ascii="宋体" w:hAnsi="宋体" w:cs="宋体"/>
        </w:rPr>
        <w:t>潘岱街道投标分项报价明细表；</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（见第五部分附件十二-6）</w:t>
      </w:r>
    </w:p>
    <w:p>
      <w:pPr>
        <w:numPr>
          <w:ilvl w:val="0"/>
          <w:numId w:val="15"/>
        </w:numPr>
        <w:snapToGrid w:val="0"/>
        <w:spacing w:line="400" w:lineRule="atLeast"/>
        <w:ind w:left="840"/>
        <w:rPr>
          <w:rFonts w:hint="eastAsia" w:ascii="宋体" w:hAnsi="宋体" w:cs="宋体"/>
        </w:rPr>
      </w:pPr>
      <w:r>
        <w:rPr>
          <w:rFonts w:hint="eastAsia" w:ascii="宋体" w:hAnsi="宋体" w:cs="宋体"/>
        </w:rPr>
        <w:t>中小企业声明函；（小微企业投标时适用）；           （见第五部分附件十三）</w:t>
      </w:r>
    </w:p>
    <w:p>
      <w:pPr>
        <w:numPr>
          <w:ilvl w:val="0"/>
          <w:numId w:val="15"/>
        </w:numPr>
        <w:snapToGrid w:val="0"/>
        <w:spacing w:line="400" w:lineRule="atLeast"/>
        <w:ind w:left="840"/>
        <w:rPr>
          <w:rFonts w:hint="eastAsia" w:ascii="宋体" w:hAnsi="宋体" w:cs="宋体"/>
        </w:rPr>
      </w:pPr>
      <w:r>
        <w:rPr>
          <w:rFonts w:hint="eastAsia" w:ascii="宋体" w:hAnsi="宋体" w:cs="宋体"/>
        </w:rPr>
        <w:t>残疾人福利性单位声明函；（残疾人福利性单位投标时适用）；</w:t>
      </w:r>
    </w:p>
    <w:p>
      <w:pPr>
        <w:snapToGrid w:val="0"/>
        <w:spacing w:line="400" w:lineRule="atLeast"/>
        <w:ind w:left="6300" w:firstLine="420"/>
        <w:rPr>
          <w:rFonts w:hint="eastAsia" w:ascii="宋体" w:hAnsi="宋体" w:cs="宋体"/>
        </w:rPr>
      </w:pPr>
      <w:r>
        <w:rPr>
          <w:rFonts w:hint="eastAsia" w:ascii="宋体" w:hAnsi="宋体" w:cs="宋体"/>
        </w:rPr>
        <w:t>（见第五部分附件十四）</w:t>
      </w:r>
    </w:p>
    <w:p>
      <w:pPr>
        <w:numPr>
          <w:ilvl w:val="0"/>
          <w:numId w:val="15"/>
        </w:numPr>
        <w:snapToGrid w:val="0"/>
        <w:spacing w:line="400" w:lineRule="atLeast"/>
        <w:ind w:left="840"/>
        <w:rPr>
          <w:rFonts w:hint="eastAsia" w:ascii="宋体" w:hAnsi="宋体" w:cs="宋体"/>
        </w:rPr>
      </w:pPr>
      <w:r>
        <w:rPr>
          <w:rFonts w:hint="eastAsia" w:ascii="宋体" w:hAnsi="宋体" w:cs="宋体"/>
        </w:rPr>
        <w:t>省级以上监狱管理局、戒毒管理局（含新疆生产建设兵团）出具的属于监狱企业的证明文件；（监狱企业投标时适用）；</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投标文件格式填写说明</w:t>
      </w:r>
    </w:p>
    <w:p>
      <w:pPr>
        <w:numPr>
          <w:ilvl w:val="1"/>
          <w:numId w:val="10"/>
        </w:numPr>
        <w:snapToGrid w:val="0"/>
        <w:spacing w:line="400" w:lineRule="atLeast"/>
        <w:jc w:val="both"/>
        <w:rPr>
          <w:rFonts w:hint="eastAsia" w:ascii="宋体" w:hAnsi="宋体" w:eastAsia="宋体" w:cs="宋体"/>
        </w:rPr>
      </w:pPr>
      <w:r>
        <w:rPr>
          <w:rFonts w:hint="eastAsia" w:ascii="宋体" w:hAnsi="宋体" w:eastAsia="宋体" w:cs="宋体"/>
        </w:rPr>
        <w:t>投标供应商应在认真阅读招标文件所有内容的基础上，按照招标文件格式和顺序编制电子加密响应文件并进行关联定位，混乱的编排或关联导致投标文件被误读或评标委员会查找不到有效文件是投标供应商的风险。招标文件对投标文件格式有要求的应按格式逐项填写内容，不准有空项；无相应内容可填的项应填写“无”、“未测试”、“没有相应指标”等明确的回答文字。</w:t>
      </w:r>
    </w:p>
    <w:p>
      <w:pPr>
        <w:numPr>
          <w:ilvl w:val="1"/>
          <w:numId w:val="10"/>
        </w:numPr>
        <w:snapToGrid w:val="0"/>
        <w:spacing w:line="400" w:lineRule="atLeast"/>
        <w:jc w:val="both"/>
        <w:rPr>
          <w:rFonts w:hint="eastAsia" w:ascii="宋体" w:hAnsi="宋体" w:eastAsia="宋体" w:cs="宋体"/>
        </w:rPr>
      </w:pPr>
      <w:r>
        <w:rPr>
          <w:rFonts w:hint="eastAsia" w:ascii="宋体" w:hAnsi="宋体" w:eastAsia="宋体" w:cs="宋体"/>
        </w:rPr>
        <w:t>投标供应商必须保证投标文件所提供的全部资料真实可靠，并接受采购代理机构对其中任何资料进一步审查的要求。提供虚假证明的投标供应商将被取消政府采购人资格，并在政府采购宣传媒体上予以公告。</w:t>
      </w:r>
    </w:p>
    <w:p>
      <w:pPr>
        <w:numPr>
          <w:ilvl w:val="1"/>
          <w:numId w:val="10"/>
        </w:numPr>
        <w:snapToGrid w:val="0"/>
        <w:spacing w:line="400" w:lineRule="atLeast"/>
        <w:jc w:val="both"/>
        <w:rPr>
          <w:rFonts w:hint="eastAsia" w:ascii="宋体" w:hAnsi="宋体" w:eastAsia="宋体" w:cs="宋体"/>
        </w:rPr>
      </w:pPr>
      <w:r>
        <w:rPr>
          <w:rFonts w:hint="eastAsia" w:ascii="宋体" w:hAnsi="宋体" w:eastAsia="宋体" w:cs="宋体"/>
        </w:rPr>
        <w:t>《开标一览表》要求按格式填写、统一规范，不得自行增减内容。</w:t>
      </w:r>
    </w:p>
    <w:p>
      <w:pPr>
        <w:numPr>
          <w:ilvl w:val="1"/>
          <w:numId w:val="10"/>
        </w:numPr>
        <w:snapToGrid w:val="0"/>
        <w:spacing w:line="400" w:lineRule="atLeast"/>
        <w:jc w:val="both"/>
        <w:rPr>
          <w:rFonts w:hint="eastAsia" w:ascii="宋体" w:hAnsi="宋体" w:cs="宋体"/>
          <w:szCs w:val="21"/>
        </w:rPr>
      </w:pPr>
      <w:r>
        <w:rPr>
          <w:rFonts w:hint="eastAsia" w:ascii="宋体" w:hAnsi="宋体" w:eastAsia="宋体" w:cs="宋体"/>
        </w:rPr>
        <w:t>投标文件须对招标文件中的内容做出实质性和完整的响应（文中带“▲”标识），否则其投标将被拒绝。如果投标文件填报的内容资料不详，或没有提供招标文件中所要求的全部资料及数据，</w:t>
      </w:r>
      <w:r>
        <w:rPr>
          <w:rFonts w:hint="eastAsia" w:ascii="宋体" w:hAnsi="宋体" w:cs="宋体"/>
        </w:rPr>
        <w:t>将可能会导致评标委员会作出对其不利的判断和分析。</w:t>
      </w:r>
    </w:p>
    <w:p>
      <w:pPr>
        <w:numPr>
          <w:ilvl w:val="0"/>
          <w:numId w:val="10"/>
        </w:numPr>
        <w:snapToGrid w:val="0"/>
        <w:spacing w:line="400" w:lineRule="atLeast"/>
        <w:jc w:val="both"/>
        <w:rPr>
          <w:rFonts w:hint="eastAsia" w:ascii="宋体" w:hAnsi="宋体" w:cs="宋体"/>
          <w:sz w:val="24"/>
        </w:rPr>
      </w:pPr>
      <w:r>
        <w:rPr>
          <w:rFonts w:hint="eastAsia" w:ascii="宋体" w:hAnsi="宋体" w:cs="宋体"/>
          <w:b/>
          <w:sz w:val="24"/>
        </w:rPr>
        <w:t>投标报价</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投标供应商提供的服务价格应该用人民币投标。</w:t>
      </w:r>
      <w:r>
        <w:rPr>
          <w:rFonts w:hint="eastAsia" w:ascii="宋体" w:hAnsi="宋体" w:cs="宋体"/>
          <w:b/>
          <w:szCs w:val="21"/>
        </w:rPr>
        <w:t>本项目投标报价采用固定总价承包，并对合同内容的费用、质量、安全、文明服务等实行全面承包。投标总价必须包括在承包区域内提供服务所需的人工费（包括工人工资、奖金、房补、劳保福利、社保（一线现场服务人员社保缴纳人数不得低于一线现场服务人员总数的30%）、意外保险、工伤费、教育培训费、暂住费及处理一切伤亡事故等费用）、机械台班费、水电费、工具材料费、保洁低值易耗品、垃圾清运费（含建筑垃圾处置）、安全文明生产装备费（包括工人冬、夏装工作服等）、企业应缴税金和应得利润、应急等完成合同所需的一切本身和不可或缺的所有工作开支、政策性文件规定计合同包含的所有风险、责任等各项全部费用并承担一切风险责任。投标供应商认为完成本招标文件规定的项目承包内容所发生的直接成本、间接成本、利润、税金、政策性文件规定的费用、设备进出场费等一切费用均应计入投标报价，凡未列入的将被认为均已包含在投标总价中，今后不得以任何理由追加或调整。</w:t>
      </w:r>
    </w:p>
    <w:p>
      <w:pPr>
        <w:numPr>
          <w:ilvl w:val="1"/>
          <w:numId w:val="10"/>
        </w:numPr>
        <w:snapToGrid w:val="0"/>
        <w:spacing w:line="400" w:lineRule="atLeast"/>
        <w:jc w:val="both"/>
        <w:rPr>
          <w:rFonts w:hint="eastAsia" w:ascii="宋体" w:hAnsi="宋体" w:cs="宋体"/>
        </w:rPr>
      </w:pPr>
      <w:r>
        <w:rPr>
          <w:rFonts w:hint="eastAsia" w:ascii="宋体" w:hAnsi="宋体" w:cs="宋体"/>
        </w:rPr>
        <w:t>本次采购，只允许有一个报价，并只有一次投标报价，投标供应商应在各自技术和商务占优势的基础上并充分考虑本次采购的重要性，提供对采购人最优惠的投标报价。</w:t>
      </w:r>
    </w:p>
    <w:p>
      <w:pPr>
        <w:numPr>
          <w:ilvl w:val="1"/>
          <w:numId w:val="10"/>
        </w:numPr>
        <w:snapToGrid w:val="0"/>
        <w:spacing w:line="400" w:lineRule="atLeast"/>
        <w:jc w:val="both"/>
        <w:rPr>
          <w:rFonts w:hint="eastAsia" w:ascii="宋体" w:hAnsi="宋体" w:cs="宋体"/>
        </w:rPr>
      </w:pPr>
      <w:r>
        <w:rPr>
          <w:rFonts w:hint="eastAsia" w:ascii="宋体" w:hAnsi="宋体" w:cs="宋体"/>
        </w:rPr>
        <w:t>最低报价不能作为中标的保证。</w:t>
      </w:r>
    </w:p>
    <w:p>
      <w:pPr>
        <w:numPr>
          <w:ilvl w:val="1"/>
          <w:numId w:val="10"/>
        </w:numPr>
        <w:snapToGrid w:val="0"/>
        <w:spacing w:line="400" w:lineRule="atLeast"/>
        <w:jc w:val="both"/>
        <w:rPr>
          <w:rFonts w:hint="eastAsia" w:ascii="宋体" w:hAnsi="宋体" w:cs="宋体"/>
          <w:b/>
          <w:bCs/>
        </w:rPr>
      </w:pPr>
      <w:r>
        <w:rPr>
          <w:rFonts w:hint="eastAsia" w:ascii="宋体" w:hAnsi="宋体" w:cs="宋体"/>
        </w:rPr>
        <w:t>投标供应商若有方案和报价未被唱标，应在开标时及时声明或提请招标代理机构注意，否则是投标供应商自己的风险，招标代理机构对此不承担任何责任。</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投标有效期</w:t>
      </w:r>
    </w:p>
    <w:p>
      <w:pPr>
        <w:numPr>
          <w:ilvl w:val="1"/>
          <w:numId w:val="10"/>
        </w:numPr>
        <w:snapToGrid w:val="0"/>
        <w:spacing w:line="400" w:lineRule="atLeast"/>
        <w:jc w:val="both"/>
        <w:rPr>
          <w:rFonts w:hint="eastAsia" w:ascii="宋体" w:hAnsi="宋体" w:cs="宋体"/>
        </w:rPr>
      </w:pPr>
      <w:r>
        <w:rPr>
          <w:rFonts w:hint="eastAsia" w:ascii="宋体" w:hAnsi="宋体" w:cs="宋体"/>
          <w:szCs w:val="21"/>
        </w:rPr>
        <w:t>提交投标截止时间起90日历天</w:t>
      </w:r>
      <w:r>
        <w:rPr>
          <w:rFonts w:hint="eastAsia" w:ascii="宋体" w:hAnsi="宋体" w:cs="宋体"/>
        </w:rPr>
        <w:t>，投标文件应保持有效。投标有效期比规定期限短的将被视为非响应投标而予以否决。</w:t>
      </w:r>
    </w:p>
    <w:p>
      <w:pPr>
        <w:numPr>
          <w:ilvl w:val="1"/>
          <w:numId w:val="10"/>
        </w:numPr>
        <w:snapToGrid w:val="0"/>
        <w:spacing w:line="400" w:lineRule="atLeast"/>
        <w:jc w:val="both"/>
        <w:rPr>
          <w:rFonts w:hint="eastAsia" w:ascii="宋体" w:hAnsi="宋体" w:cs="宋体"/>
        </w:rPr>
      </w:pPr>
      <w:r>
        <w:rPr>
          <w:rFonts w:hint="eastAsia" w:ascii="宋体" w:hAnsi="宋体" w:cs="宋体"/>
        </w:rPr>
        <w:t>特殊情况下，招标代理机构可于投标有效期满之前要求投标供应商同意延长有效期，要求与答复均应为书面形式。投标供应商可拒绝前述要求。对于同意该要求的投标供应商，既不要求也不允许其修改投标文件。</w:t>
      </w:r>
    </w:p>
    <w:p>
      <w:pPr>
        <w:numPr>
          <w:ilvl w:val="0"/>
          <w:numId w:val="10"/>
        </w:numPr>
        <w:snapToGrid w:val="0"/>
        <w:spacing w:line="400" w:lineRule="atLeast"/>
        <w:jc w:val="both"/>
        <w:rPr>
          <w:rFonts w:hint="eastAsia" w:ascii="宋体" w:hAnsi="宋体" w:cs="宋体"/>
        </w:rPr>
      </w:pPr>
      <w:r>
        <w:rPr>
          <w:rFonts w:hint="eastAsia" w:ascii="宋体" w:hAnsi="宋体" w:cs="宋体"/>
          <w:b/>
          <w:sz w:val="24"/>
        </w:rPr>
        <w:t>投标文件的式样和签署</w:t>
      </w:r>
    </w:p>
    <w:p>
      <w:pPr>
        <w:numPr>
          <w:ilvl w:val="1"/>
          <w:numId w:val="10"/>
        </w:numPr>
        <w:snapToGrid w:val="0"/>
        <w:spacing w:line="400" w:lineRule="atLeast"/>
        <w:jc w:val="both"/>
        <w:rPr>
          <w:rFonts w:hint="eastAsia" w:ascii="宋体" w:hAnsi="宋体" w:cs="宋体"/>
          <w:b/>
          <w:bCs/>
          <w:szCs w:val="21"/>
        </w:rPr>
      </w:pPr>
      <w:r>
        <w:rPr>
          <w:rFonts w:hint="eastAsia" w:ascii="宋体" w:hAnsi="宋体" w:cs="宋体"/>
          <w:b/>
          <w:bCs/>
          <w:szCs w:val="21"/>
        </w:rPr>
        <w:t>本项目通过“政府采购云平台（www.zcygov.cn）”实行在线投标响应（电子投标）。供应商应通过“政采云电子交易客户端”，并按照本招标文件和“政府采购云平台”的要求编制并加密投标文件。</w:t>
      </w:r>
    </w:p>
    <w:p>
      <w:pPr>
        <w:numPr>
          <w:ilvl w:val="1"/>
          <w:numId w:val="10"/>
        </w:numPr>
        <w:snapToGrid w:val="0"/>
        <w:spacing w:line="400" w:lineRule="atLeast"/>
        <w:jc w:val="both"/>
        <w:rPr>
          <w:rFonts w:hint="eastAsia" w:ascii="宋体" w:hAnsi="宋体" w:cs="宋体"/>
          <w:b/>
          <w:bCs/>
          <w:szCs w:val="21"/>
        </w:rPr>
      </w:pPr>
      <w:r>
        <w:rPr>
          <w:rFonts w:hint="eastAsia" w:ascii="宋体" w:hAnsi="宋体" w:cs="宋体"/>
          <w:b/>
          <w:bCs/>
          <w:szCs w:val="21"/>
        </w:rPr>
        <w:t>本文件中有提供格式的，投标供应商须参照格式进行编制（格式中要求提供相关证明材料的还需后附相关证明材料），并按格式要求在指定位置根据要求进行逐一关联响应并电子签章，否则视为未提供；本文件未提供格式的，请各投标供应商自行拟定格式，并加盖公章。</w:t>
      </w:r>
    </w:p>
    <w:p>
      <w:pPr>
        <w:numPr>
          <w:ilvl w:val="1"/>
          <w:numId w:val="10"/>
        </w:numPr>
        <w:snapToGrid w:val="0"/>
        <w:spacing w:line="400" w:lineRule="atLeast"/>
        <w:jc w:val="both"/>
        <w:rPr>
          <w:rFonts w:hint="eastAsia" w:ascii="宋体" w:hAnsi="宋体" w:cs="宋体"/>
          <w:b/>
          <w:bCs/>
          <w:szCs w:val="21"/>
        </w:rPr>
      </w:pPr>
      <w:r>
        <w:rPr>
          <w:rFonts w:hint="eastAsia" w:ascii="宋体" w:hAnsi="宋体" w:cs="宋体"/>
          <w:b/>
          <w:bCs/>
          <w:szCs w:val="21"/>
        </w:rPr>
        <w:t>投标文件不得涂改和增删，如有修改错漏处，修改处须有法定代表人或其授权代表签字或签章。</w:t>
      </w:r>
    </w:p>
    <w:p>
      <w:pPr>
        <w:numPr>
          <w:ilvl w:val="1"/>
          <w:numId w:val="10"/>
        </w:numPr>
        <w:snapToGrid w:val="0"/>
        <w:spacing w:line="400" w:lineRule="atLeast"/>
        <w:jc w:val="both"/>
        <w:rPr>
          <w:rFonts w:hint="eastAsia" w:ascii="宋体" w:hAnsi="宋体" w:cs="宋体"/>
          <w:b/>
          <w:bCs/>
          <w:sz w:val="24"/>
        </w:rPr>
      </w:pPr>
      <w:r>
        <w:rPr>
          <w:rFonts w:hint="eastAsia" w:ascii="宋体" w:hAnsi="宋体" w:cs="宋体"/>
          <w:b/>
          <w:bCs/>
          <w:szCs w:val="21"/>
        </w:rPr>
        <w:t>投标文件凡涉及加盖公章的均可使用电子签章或加盖单位公章后扫描上传。</w:t>
      </w:r>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知识产权</w:t>
      </w:r>
    </w:p>
    <w:p>
      <w:pPr>
        <w:numPr>
          <w:ilvl w:val="1"/>
          <w:numId w:val="10"/>
        </w:numPr>
        <w:snapToGrid w:val="0"/>
        <w:spacing w:line="400" w:lineRule="atLeast"/>
        <w:jc w:val="both"/>
        <w:rPr>
          <w:rFonts w:hint="eastAsia" w:ascii="宋体" w:hAnsi="宋体" w:cs="宋体"/>
          <w:b/>
          <w:sz w:val="24"/>
        </w:rPr>
      </w:pPr>
      <w:r>
        <w:rPr>
          <w:rFonts w:hint="eastAsia" w:ascii="宋体" w:hAnsi="宋体" w:cs="宋体"/>
        </w:rPr>
        <w:t>投标</w:t>
      </w:r>
      <w:r>
        <w:rPr>
          <w:rFonts w:hint="eastAsia" w:ascii="宋体" w:hAnsi="宋体" w:cs="宋体"/>
          <w:szCs w:val="22"/>
          <w:lang w:val="zh-CN"/>
        </w:rPr>
        <w:t>供应商</w:t>
      </w:r>
      <w:r>
        <w:rPr>
          <w:rFonts w:hint="eastAsia" w:ascii="宋体" w:hAnsi="宋体" w:cs="宋体"/>
        </w:rPr>
        <w:t>应保证，采购人在中华人民共和国使用服务的任何一部分时，采购人免受第三方提出侵犯其专利权、商标权或其它知识产权的起诉；</w:t>
      </w:r>
    </w:p>
    <w:p>
      <w:pPr>
        <w:numPr>
          <w:ilvl w:val="1"/>
          <w:numId w:val="10"/>
        </w:numPr>
        <w:snapToGrid w:val="0"/>
        <w:spacing w:line="400" w:lineRule="atLeast"/>
        <w:jc w:val="both"/>
        <w:rPr>
          <w:rFonts w:hint="eastAsia" w:ascii="宋体" w:hAnsi="宋体" w:cs="宋体"/>
          <w:b/>
          <w:sz w:val="24"/>
        </w:rPr>
      </w:pPr>
      <w:r>
        <w:rPr>
          <w:rFonts w:hint="eastAsia" w:ascii="宋体" w:hAnsi="宋体" w:cs="宋体"/>
        </w:rPr>
        <w:t>投标报价应包括所有应支付的对专利权和版权、设计或其他知识产权而需要向其他方支付的版税。</w:t>
      </w:r>
    </w:p>
    <w:p>
      <w:pPr>
        <w:numPr>
          <w:ilvl w:val="0"/>
          <w:numId w:val="10"/>
        </w:numPr>
        <w:snapToGrid w:val="0"/>
        <w:spacing w:line="400" w:lineRule="atLeast"/>
        <w:jc w:val="both"/>
        <w:rPr>
          <w:rFonts w:hint="eastAsia" w:ascii="宋体" w:hAnsi="宋体" w:cs="宋体"/>
          <w:b/>
          <w:bCs/>
          <w:sz w:val="24"/>
        </w:rPr>
      </w:pPr>
      <w:r>
        <w:rPr>
          <w:rFonts w:hint="eastAsia" w:ascii="宋体" w:hAnsi="宋体" w:cs="宋体"/>
          <w:b/>
          <w:bCs/>
          <w:sz w:val="24"/>
        </w:rPr>
        <w:t>投标保证金</w:t>
      </w:r>
    </w:p>
    <w:p>
      <w:pPr>
        <w:numPr>
          <w:ilvl w:val="1"/>
          <w:numId w:val="10"/>
        </w:numPr>
        <w:snapToGrid w:val="0"/>
        <w:spacing w:line="400" w:lineRule="atLeast"/>
        <w:jc w:val="both"/>
        <w:rPr>
          <w:rFonts w:hint="eastAsia" w:ascii="宋体" w:hAnsi="宋体" w:cs="宋体"/>
        </w:rPr>
      </w:pPr>
      <w:r>
        <w:rPr>
          <w:rFonts w:hint="eastAsia" w:ascii="宋体" w:hAnsi="宋体" w:cs="宋体"/>
        </w:rPr>
        <w:t>无需缴纳投标保证金</w:t>
      </w:r>
    </w:p>
    <w:p>
      <w:pPr>
        <w:numPr>
          <w:ilvl w:val="0"/>
          <w:numId w:val="10"/>
        </w:numPr>
        <w:snapToGrid w:val="0"/>
        <w:spacing w:line="400" w:lineRule="atLeast"/>
        <w:jc w:val="both"/>
        <w:rPr>
          <w:rFonts w:hint="eastAsia" w:ascii="宋体" w:hAnsi="宋体" w:cs="宋体"/>
          <w:b/>
          <w:bCs/>
          <w:sz w:val="24"/>
          <w:szCs w:val="22"/>
        </w:rPr>
      </w:pPr>
      <w:r>
        <w:rPr>
          <w:rFonts w:hint="eastAsia" w:ascii="宋体" w:hAnsi="宋体" w:cs="宋体"/>
          <w:b/>
          <w:bCs/>
          <w:sz w:val="24"/>
          <w:szCs w:val="22"/>
        </w:rPr>
        <w:t>串通行为认定</w:t>
      </w:r>
    </w:p>
    <w:p>
      <w:pPr>
        <w:numPr>
          <w:ilvl w:val="0"/>
          <w:numId w:val="16"/>
        </w:numPr>
        <w:snapToGrid w:val="0"/>
        <w:spacing w:line="400" w:lineRule="atLeast"/>
        <w:ind w:left="850" w:hanging="850"/>
        <w:jc w:val="both"/>
        <w:rPr>
          <w:rFonts w:hint="eastAsia" w:ascii="宋体" w:hAnsi="宋体" w:cs="宋体"/>
        </w:rPr>
      </w:pPr>
      <w:r>
        <w:rPr>
          <w:rFonts w:hint="eastAsia" w:ascii="宋体" w:hAnsi="宋体" w:cs="宋体"/>
        </w:rPr>
        <w:t>不同投标供应商的投标文件由同一单位或人员编制的；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不同供应商委托同一单位或人员办理投标事宜的；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不同投标供应商的投标文件中的内容出现非正常的一致，或者报价细目呈明显规律性变化，或在完全可比的情况下投标总价均高于市场平均价的；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不同投标供应商的投标文件载明的项目管理或实施人员出现同一单位的工作人员或同一人的；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不同投标供应商的授权代表为同一单位的工作人员的；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不同投标供应商的投标文件相互混装，或在一个投标供应商的投标文件内遗留有其他投标供应商的签名、盖章等不属于本投标供应商参加政府采购必需的信息资料的；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采购响应截止时间后，招标采购单位协助投标供应商撤换或更改投标文件的；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招标采购单位泄露有意向参加政府采购的投标供应商名称、数量等应当保密的事项的；</w:t>
      </w:r>
    </w:p>
    <w:p>
      <w:pPr>
        <w:numPr>
          <w:ilvl w:val="0"/>
          <w:numId w:val="16"/>
        </w:numPr>
        <w:snapToGrid w:val="0"/>
        <w:spacing w:line="400" w:lineRule="atLeast"/>
        <w:ind w:left="850" w:hanging="850"/>
        <w:jc w:val="both"/>
        <w:rPr>
          <w:rFonts w:hint="eastAsia" w:ascii="宋体" w:hAnsi="宋体" w:cs="宋体"/>
          <w:szCs w:val="22"/>
        </w:rPr>
      </w:pPr>
      <w:r>
        <w:rPr>
          <w:rFonts w:hint="eastAsia" w:ascii="宋体" w:hAnsi="宋体" w:cs="宋体"/>
          <w:szCs w:val="22"/>
        </w:rPr>
        <w:t>不同投标供应商之间私下达成书面或口头协议，指定一家投标供应商中标或轮流中标的；</w:t>
      </w:r>
    </w:p>
    <w:p>
      <w:pPr>
        <w:numPr>
          <w:ilvl w:val="0"/>
          <w:numId w:val="16"/>
        </w:numPr>
        <w:snapToGrid w:val="0"/>
        <w:spacing w:line="400" w:lineRule="atLeast"/>
        <w:ind w:left="850" w:hanging="850"/>
        <w:jc w:val="both"/>
        <w:rPr>
          <w:rFonts w:hint="eastAsia" w:ascii="宋体" w:hAnsi="宋体" w:cs="宋体"/>
        </w:rPr>
      </w:pPr>
      <w:r>
        <w:rPr>
          <w:rFonts w:hint="eastAsia" w:ascii="宋体" w:hAnsi="宋体" w:cs="宋体"/>
          <w:szCs w:val="22"/>
        </w:rPr>
        <w:t>法律、法</w:t>
      </w:r>
      <w:r>
        <w:rPr>
          <w:rFonts w:hint="eastAsia" w:ascii="宋体" w:hAnsi="宋体" w:cs="宋体"/>
        </w:rPr>
        <w:t>规或规章规定的其他串通行为。</w:t>
      </w:r>
    </w:p>
    <w:p>
      <w:pPr>
        <w:snapToGrid w:val="0"/>
        <w:jc w:val="both"/>
        <w:rPr>
          <w:rFonts w:hint="eastAsia" w:ascii="宋体" w:hAnsi="宋体" w:cs="宋体"/>
        </w:rPr>
      </w:pPr>
    </w:p>
    <w:p>
      <w:pPr>
        <w:pStyle w:val="4"/>
        <w:spacing w:before="120" w:beforeLines="50" w:after="120" w:afterLines="50" w:line="240" w:lineRule="auto"/>
        <w:jc w:val="center"/>
        <w:rPr>
          <w:rFonts w:hint="eastAsia" w:ascii="宋体" w:hAnsi="宋体" w:eastAsia="宋体" w:cs="宋体"/>
          <w:sz w:val="24"/>
          <w:szCs w:val="24"/>
        </w:rPr>
      </w:pPr>
      <w:bookmarkStart w:id="7" w:name="_Toc3748"/>
      <w:r>
        <w:rPr>
          <w:rFonts w:hint="eastAsia" w:ascii="宋体" w:hAnsi="宋体" w:eastAsia="宋体" w:cs="宋体"/>
          <w:sz w:val="24"/>
          <w:szCs w:val="24"/>
        </w:rPr>
        <w:t>（五）投标文件的递交与撤回</w:t>
      </w:r>
      <w:bookmarkEnd w:id="7"/>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投标文件的制作、递交</w:t>
      </w:r>
    </w:p>
    <w:p>
      <w:pPr>
        <w:numPr>
          <w:ilvl w:val="1"/>
          <w:numId w:val="10"/>
        </w:numPr>
        <w:snapToGrid w:val="0"/>
        <w:spacing w:line="400" w:lineRule="atLeast"/>
        <w:jc w:val="both"/>
        <w:rPr>
          <w:rFonts w:hint="eastAsia" w:ascii="宋体" w:hAnsi="宋体" w:cs="宋体"/>
          <w:b/>
          <w:szCs w:val="22"/>
        </w:rPr>
      </w:pPr>
      <w:r>
        <w:rPr>
          <w:rFonts w:hint="eastAsia" w:ascii="宋体" w:hAnsi="宋体" w:cs="宋体"/>
          <w:b/>
          <w:szCs w:val="22"/>
        </w:rPr>
        <w:t>详见本招标文件“投标须知前附表”第14项。</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投标文件异常情况处理</w:t>
      </w:r>
    </w:p>
    <w:p>
      <w:pPr>
        <w:numPr>
          <w:ilvl w:val="1"/>
          <w:numId w:val="10"/>
        </w:numPr>
        <w:snapToGrid w:val="0"/>
        <w:spacing w:line="400" w:lineRule="atLeast"/>
        <w:jc w:val="both"/>
        <w:rPr>
          <w:rFonts w:hint="eastAsia" w:ascii="宋体" w:hAnsi="宋体" w:cs="宋体"/>
          <w:b/>
          <w:szCs w:val="22"/>
        </w:rPr>
      </w:pPr>
      <w:r>
        <w:rPr>
          <w:rFonts w:hint="eastAsia" w:ascii="宋体" w:hAnsi="宋体" w:cs="宋体"/>
          <w:b/>
          <w:szCs w:val="22"/>
        </w:rPr>
        <w:t>详见本招标文件“投标须知前附表”第15项。</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投标文件的修改与撤回</w:t>
      </w:r>
    </w:p>
    <w:p>
      <w:pPr>
        <w:numPr>
          <w:ilvl w:val="1"/>
          <w:numId w:val="10"/>
        </w:numPr>
        <w:snapToGrid w:val="0"/>
        <w:spacing w:line="400" w:lineRule="atLeast"/>
        <w:jc w:val="both"/>
        <w:rPr>
          <w:rFonts w:hint="eastAsia" w:ascii="宋体" w:hAnsi="宋体" w:cs="宋体"/>
          <w:b/>
          <w:szCs w:val="22"/>
        </w:rPr>
      </w:pPr>
      <w:r>
        <w:rPr>
          <w:rFonts w:hint="eastAsia" w:ascii="宋体" w:hAnsi="宋体" w:cs="宋体"/>
          <w:b/>
          <w:szCs w:val="22"/>
        </w:rPr>
        <w:t>供应商在网上递交投标文件以后如必须修改或撤回投标文件，必须在投标文件提交的截止时间以前在网上撤回投标文件，修改并重新递交电子投标文件，如已递交备份投标文件的，应同时将撤标通知邮寄到达或送达采购代理机构，并同时重新邮寄备份投标文件。投标截止时间后，供应商不得撤回、修改投标文件。</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投标截止时间</w:t>
      </w:r>
    </w:p>
    <w:p>
      <w:pPr>
        <w:numPr>
          <w:ilvl w:val="1"/>
          <w:numId w:val="10"/>
        </w:numPr>
        <w:snapToGrid w:val="0"/>
        <w:spacing w:line="400" w:lineRule="atLeast"/>
        <w:jc w:val="both"/>
        <w:rPr>
          <w:rFonts w:hint="eastAsia" w:ascii="宋体" w:hAnsi="宋体" w:cs="宋体"/>
        </w:rPr>
      </w:pPr>
      <w:r>
        <w:rPr>
          <w:rFonts w:hint="eastAsia" w:ascii="宋体" w:hAnsi="宋体" w:cs="宋体"/>
        </w:rPr>
        <w:t>本次采购的投标截止时间：见本招标文件“招标公告”。招标代理机构收到投标文件的时间不得迟于规定的截止时间。</w:t>
      </w:r>
    </w:p>
    <w:p>
      <w:pPr>
        <w:numPr>
          <w:ilvl w:val="1"/>
          <w:numId w:val="10"/>
        </w:numPr>
        <w:snapToGrid w:val="0"/>
        <w:spacing w:line="400" w:lineRule="atLeast"/>
        <w:jc w:val="both"/>
        <w:rPr>
          <w:rFonts w:hint="eastAsia" w:ascii="宋体" w:hAnsi="宋体" w:cs="宋体"/>
        </w:rPr>
      </w:pPr>
      <w:r>
        <w:rPr>
          <w:rFonts w:hint="eastAsia" w:ascii="宋体" w:hAnsi="宋体" w:cs="宋体"/>
        </w:rPr>
        <w:t>在</w:t>
      </w:r>
      <w:r>
        <w:rPr>
          <w:rFonts w:hint="eastAsia" w:ascii="宋体" w:hAnsi="宋体" w:cs="宋体"/>
          <w:szCs w:val="22"/>
          <w:lang w:val="zh-CN"/>
        </w:rPr>
        <w:t>推迟</w:t>
      </w:r>
      <w:r>
        <w:rPr>
          <w:rFonts w:hint="eastAsia" w:ascii="宋体" w:hAnsi="宋体" w:cs="宋体"/>
        </w:rPr>
        <w:t>了投标截止时间的情况下，招标代理机构、采购人和投标供应商受投标截止时间制约的所有权利和义务均应延长至新的截止时间。</w:t>
      </w:r>
    </w:p>
    <w:p>
      <w:pPr>
        <w:pStyle w:val="4"/>
        <w:spacing w:before="120" w:beforeLines="50" w:after="120" w:afterLines="50" w:line="240" w:lineRule="auto"/>
        <w:jc w:val="center"/>
        <w:rPr>
          <w:rFonts w:hint="eastAsia" w:ascii="宋体" w:hAnsi="宋体" w:eastAsia="宋体" w:cs="宋体"/>
          <w:sz w:val="24"/>
          <w:szCs w:val="24"/>
        </w:rPr>
      </w:pPr>
      <w:bookmarkStart w:id="8" w:name="_Toc25920"/>
      <w:r>
        <w:rPr>
          <w:rFonts w:hint="eastAsia" w:ascii="宋体" w:hAnsi="宋体" w:eastAsia="宋体" w:cs="宋体"/>
          <w:sz w:val="24"/>
          <w:szCs w:val="24"/>
        </w:rPr>
        <w:t>（六）开标与评审</w:t>
      </w:r>
      <w:bookmarkEnd w:id="8"/>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开标</w:t>
      </w:r>
    </w:p>
    <w:p>
      <w:pPr>
        <w:numPr>
          <w:ilvl w:val="1"/>
          <w:numId w:val="10"/>
        </w:numPr>
        <w:snapToGrid w:val="0"/>
        <w:spacing w:line="400" w:lineRule="atLeast"/>
        <w:jc w:val="both"/>
        <w:rPr>
          <w:rFonts w:hint="eastAsia" w:ascii="宋体" w:hAnsi="宋体" w:cs="宋体"/>
        </w:rPr>
      </w:pPr>
      <w:r>
        <w:rPr>
          <w:rFonts w:hint="eastAsia" w:ascii="宋体" w:hAnsi="宋体" w:cs="宋体"/>
        </w:rPr>
        <w:t>开标时间和地点：见本招标文件“招标公告”。</w:t>
      </w:r>
    </w:p>
    <w:p>
      <w:pPr>
        <w:numPr>
          <w:ilvl w:val="1"/>
          <w:numId w:val="10"/>
        </w:numPr>
        <w:snapToGrid w:val="0"/>
        <w:spacing w:line="400" w:lineRule="atLeast"/>
        <w:jc w:val="both"/>
        <w:rPr>
          <w:rFonts w:hint="eastAsia" w:ascii="宋体" w:hAnsi="宋体" w:cs="宋体"/>
          <w:b/>
        </w:rPr>
      </w:pPr>
      <w:r>
        <w:rPr>
          <w:rFonts w:hint="eastAsia" w:ascii="宋体" w:hAnsi="宋体" w:cs="宋体"/>
          <w:b/>
        </w:rPr>
        <w:t>采购代理机构组织和主持开标会，</w:t>
      </w:r>
      <w:r>
        <w:rPr>
          <w:rFonts w:hint="eastAsia" w:ascii="宋体" w:hAnsi="宋体" w:cs="宋体"/>
          <w:b/>
          <w:szCs w:val="21"/>
        </w:rPr>
        <w:t>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评标委员会</w:t>
      </w:r>
    </w:p>
    <w:p>
      <w:pPr>
        <w:numPr>
          <w:ilvl w:val="1"/>
          <w:numId w:val="10"/>
        </w:numPr>
        <w:snapToGrid w:val="0"/>
        <w:spacing w:line="400" w:lineRule="atLeast"/>
        <w:jc w:val="both"/>
        <w:rPr>
          <w:rFonts w:hint="eastAsia" w:ascii="宋体" w:hAnsi="宋体" w:cs="宋体"/>
        </w:rPr>
      </w:pPr>
      <w:r>
        <w:rPr>
          <w:rFonts w:hint="eastAsia" w:ascii="宋体" w:hAnsi="宋体" w:cs="宋体"/>
        </w:rPr>
        <w:t>本次采购依法组建评标委员会。</w:t>
      </w:r>
    </w:p>
    <w:p>
      <w:pPr>
        <w:numPr>
          <w:ilvl w:val="1"/>
          <w:numId w:val="10"/>
        </w:numPr>
        <w:snapToGrid w:val="0"/>
        <w:spacing w:line="400" w:lineRule="atLeast"/>
        <w:jc w:val="both"/>
        <w:rPr>
          <w:rFonts w:hint="eastAsia" w:ascii="宋体" w:hAnsi="宋体" w:cs="宋体"/>
        </w:rPr>
      </w:pPr>
      <w:r>
        <w:rPr>
          <w:rFonts w:hint="eastAsia" w:ascii="宋体" w:hAnsi="宋体" w:cs="宋体"/>
        </w:rPr>
        <w:t>评标</w:t>
      </w:r>
      <w:r>
        <w:rPr>
          <w:rFonts w:hint="eastAsia" w:ascii="宋体" w:hAnsi="宋体" w:cs="宋体"/>
          <w:szCs w:val="22"/>
          <w:lang w:val="zh-CN"/>
        </w:rPr>
        <w:t>委员会</w:t>
      </w:r>
      <w:r>
        <w:rPr>
          <w:rFonts w:hint="eastAsia" w:ascii="宋体" w:hAnsi="宋体" w:cs="宋体"/>
        </w:rPr>
        <w:t>依法根据招标文件的规定，按对每一个投标供应商的投标文件进行评审、提交评标报告。</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评标原则和评标方法</w:t>
      </w:r>
    </w:p>
    <w:p>
      <w:pPr>
        <w:numPr>
          <w:ilvl w:val="1"/>
          <w:numId w:val="10"/>
        </w:numPr>
        <w:snapToGrid w:val="0"/>
        <w:spacing w:line="400" w:lineRule="atLeast"/>
        <w:jc w:val="both"/>
        <w:rPr>
          <w:rFonts w:hint="eastAsia" w:ascii="宋体" w:hAnsi="宋体" w:cs="宋体"/>
        </w:rPr>
      </w:pPr>
      <w:r>
        <w:rPr>
          <w:rFonts w:hint="eastAsia" w:ascii="宋体" w:hAnsi="宋体" w:cs="宋体"/>
        </w:rPr>
        <w:t>评标基本原则：评审工作应依据《政府采购法》以及国家和地方政府有关政府采购的有关规定，</w:t>
      </w:r>
      <w:r>
        <w:rPr>
          <w:rFonts w:hint="eastAsia" w:ascii="宋体" w:hAnsi="宋体" w:cs="宋体"/>
          <w:szCs w:val="22"/>
          <w:lang w:val="zh-CN"/>
        </w:rPr>
        <w:t>遵循</w:t>
      </w:r>
      <w:r>
        <w:rPr>
          <w:rFonts w:hint="eastAsia" w:ascii="宋体" w:hAnsi="宋体" w:cs="宋体"/>
        </w:rPr>
        <w:t>“公开、公平、公正、择优、信用”的原则。</w:t>
      </w:r>
    </w:p>
    <w:p>
      <w:pPr>
        <w:numPr>
          <w:ilvl w:val="1"/>
          <w:numId w:val="10"/>
        </w:numPr>
        <w:snapToGrid w:val="0"/>
        <w:spacing w:line="400" w:lineRule="atLeast"/>
        <w:jc w:val="both"/>
        <w:rPr>
          <w:rFonts w:hint="eastAsia" w:ascii="宋体" w:hAnsi="宋体" w:cs="宋体"/>
        </w:rPr>
      </w:pPr>
      <w:r>
        <w:rPr>
          <w:rFonts w:hint="eastAsia" w:ascii="宋体" w:hAnsi="宋体" w:cs="宋体"/>
        </w:rPr>
        <w:t>评审方法：本次采购的评审方法采用综合评分法；评标委员会根据所投服务、投标报价、投标</w:t>
      </w:r>
      <w:r>
        <w:rPr>
          <w:rFonts w:hint="eastAsia" w:ascii="宋体" w:hAnsi="宋体" w:cs="宋体"/>
          <w:szCs w:val="22"/>
          <w:lang w:val="zh-CN"/>
        </w:rPr>
        <w:t>供应商</w:t>
      </w:r>
      <w:r>
        <w:rPr>
          <w:rFonts w:hint="eastAsia" w:ascii="宋体" w:hAnsi="宋体" w:cs="宋体"/>
        </w:rPr>
        <w:t>承诺给予采购人的各种优惠条件等相关内容进行全面审查、比较、评估。</w:t>
      </w:r>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评标工作程序</w:t>
      </w:r>
    </w:p>
    <w:p>
      <w:pPr>
        <w:numPr>
          <w:ilvl w:val="1"/>
          <w:numId w:val="10"/>
        </w:numPr>
        <w:snapToGrid w:val="0"/>
        <w:spacing w:line="400" w:lineRule="atLeast"/>
        <w:jc w:val="both"/>
        <w:rPr>
          <w:rFonts w:hint="eastAsia" w:ascii="宋体" w:hAnsi="宋体" w:cs="宋体"/>
        </w:rPr>
      </w:pPr>
      <w:r>
        <w:rPr>
          <w:rFonts w:hint="eastAsia" w:ascii="宋体" w:hAnsi="宋体" w:cs="宋体"/>
        </w:rPr>
        <w:t>开标后，采购组织机构将向各投标供应商发出“电子加密投标文件”的解密通知，各投标供应商代表应当在接到解密通知后30分钟内自行完成“电子加密投标文件”的在线解密；</w:t>
      </w:r>
    </w:p>
    <w:p>
      <w:pPr>
        <w:numPr>
          <w:ilvl w:val="1"/>
          <w:numId w:val="10"/>
        </w:numPr>
        <w:snapToGrid w:val="0"/>
        <w:spacing w:line="400" w:lineRule="atLeast"/>
        <w:jc w:val="both"/>
        <w:rPr>
          <w:rFonts w:hint="eastAsia" w:ascii="宋体" w:hAnsi="宋体" w:cs="宋体"/>
        </w:rPr>
      </w:pPr>
      <w:r>
        <w:rPr>
          <w:rFonts w:hint="eastAsia" w:ascii="宋体" w:hAnsi="宋体" w:cs="宋体"/>
        </w:rPr>
        <w:t>采购人或采购代理机构先进行资格性审查；</w:t>
      </w:r>
    </w:p>
    <w:p>
      <w:pPr>
        <w:numPr>
          <w:ilvl w:val="1"/>
          <w:numId w:val="10"/>
        </w:numPr>
        <w:snapToGrid w:val="0"/>
        <w:spacing w:line="400" w:lineRule="atLeast"/>
        <w:jc w:val="both"/>
        <w:rPr>
          <w:rFonts w:hint="eastAsia" w:ascii="宋体" w:hAnsi="宋体" w:cs="宋体"/>
        </w:rPr>
      </w:pPr>
      <w:r>
        <w:rPr>
          <w:rFonts w:hint="eastAsia" w:ascii="宋体" w:hAnsi="宋体" w:cs="宋体"/>
        </w:rPr>
        <w:t>评标委员会对资格性审查合格的投标供应商进行符合性审查；</w:t>
      </w:r>
    </w:p>
    <w:p>
      <w:pPr>
        <w:numPr>
          <w:ilvl w:val="1"/>
          <w:numId w:val="10"/>
        </w:numPr>
        <w:snapToGrid w:val="0"/>
        <w:spacing w:line="400" w:lineRule="atLeast"/>
        <w:jc w:val="both"/>
        <w:rPr>
          <w:rFonts w:hint="eastAsia" w:ascii="宋体" w:hAnsi="宋体" w:cs="宋体"/>
        </w:rPr>
      </w:pPr>
      <w:r>
        <w:rPr>
          <w:rFonts w:hint="eastAsia" w:ascii="宋体" w:hAnsi="宋体" w:cs="宋体"/>
        </w:rPr>
        <w:t>评标委员会再对资格性、符合性审查合格的投标供应商进行技术商务评审；</w:t>
      </w:r>
    </w:p>
    <w:p>
      <w:pPr>
        <w:numPr>
          <w:ilvl w:val="1"/>
          <w:numId w:val="10"/>
        </w:numPr>
        <w:snapToGrid w:val="0"/>
        <w:spacing w:line="400" w:lineRule="atLeast"/>
        <w:jc w:val="both"/>
        <w:rPr>
          <w:rFonts w:hint="eastAsia" w:ascii="宋体" w:hAnsi="宋体" w:cs="宋体"/>
        </w:rPr>
      </w:pPr>
      <w:r>
        <w:rPr>
          <w:rFonts w:hint="eastAsia" w:ascii="宋体" w:hAnsi="宋体" w:cs="宋体"/>
        </w:rPr>
        <w:t>开启资格审查、技术商务评审有效供应商的报价文件，并录入评标系统。</w:t>
      </w:r>
    </w:p>
    <w:p>
      <w:pPr>
        <w:numPr>
          <w:ilvl w:val="1"/>
          <w:numId w:val="10"/>
        </w:numPr>
        <w:snapToGrid w:val="0"/>
        <w:spacing w:line="400" w:lineRule="atLeast"/>
        <w:jc w:val="both"/>
        <w:rPr>
          <w:rFonts w:hint="eastAsia" w:ascii="宋体" w:hAnsi="宋体" w:cs="宋体"/>
        </w:rPr>
      </w:pPr>
      <w:r>
        <w:rPr>
          <w:rFonts w:hint="eastAsia" w:ascii="宋体" w:hAnsi="宋体" w:cs="宋体"/>
        </w:rPr>
        <w:t>由评标委员会进行综合评分；</w:t>
      </w:r>
    </w:p>
    <w:p>
      <w:pPr>
        <w:numPr>
          <w:ilvl w:val="1"/>
          <w:numId w:val="10"/>
        </w:numPr>
        <w:snapToGrid w:val="0"/>
        <w:spacing w:line="400" w:lineRule="atLeast"/>
        <w:jc w:val="both"/>
        <w:rPr>
          <w:rFonts w:hint="eastAsia" w:ascii="宋体" w:hAnsi="宋体" w:cs="宋体"/>
        </w:rPr>
      </w:pPr>
      <w:r>
        <w:rPr>
          <w:rFonts w:hint="eastAsia" w:ascii="宋体" w:hAnsi="宋体" w:cs="宋体"/>
        </w:rPr>
        <w:t>评标委员会根据综合评分情况，按照综合得分由高到低顺序确定一个预选中标供应商（得分高者），其余有效投标供应商按得分由高到低依次确定为备选中标供应商，并出具评审报告。合计得分相同的，按投标报价由低到高顺序排列；合计得分且投标报价相同的，则由采购人代表在所有得分均相同者中随机抽取其中一名为名次优先者，依法予以确认为中标供应商。</w:t>
      </w:r>
    </w:p>
    <w:p>
      <w:pPr>
        <w:numPr>
          <w:ilvl w:val="1"/>
          <w:numId w:val="10"/>
        </w:numPr>
        <w:snapToGrid w:val="0"/>
        <w:spacing w:line="400" w:lineRule="atLeast"/>
        <w:jc w:val="both"/>
        <w:rPr>
          <w:rFonts w:hint="eastAsia" w:ascii="宋体" w:hAnsi="宋体" w:cs="宋体"/>
        </w:rPr>
      </w:pPr>
      <w:r>
        <w:rPr>
          <w:rFonts w:hint="eastAsia" w:ascii="宋体" w:hAnsi="宋体" w:cs="宋体"/>
        </w:rPr>
        <w:t>如遇“政府采购云平台”电子化开标或评审程序调整的，按调整后程序执行。</w:t>
      </w:r>
    </w:p>
    <w:p>
      <w:pPr>
        <w:numPr>
          <w:ilvl w:val="0"/>
          <w:numId w:val="10"/>
        </w:numPr>
        <w:snapToGrid w:val="0"/>
        <w:spacing w:line="400" w:lineRule="atLeast"/>
        <w:jc w:val="both"/>
        <w:rPr>
          <w:rFonts w:hint="eastAsia" w:ascii="宋体" w:hAnsi="宋体" w:cs="宋体"/>
        </w:rPr>
      </w:pPr>
      <w:r>
        <w:rPr>
          <w:rFonts w:hint="eastAsia" w:ascii="宋体" w:hAnsi="宋体" w:cs="宋体"/>
          <w:b/>
          <w:sz w:val="24"/>
        </w:rPr>
        <w:t>关于评审的说明</w:t>
      </w:r>
    </w:p>
    <w:p>
      <w:pPr>
        <w:numPr>
          <w:ilvl w:val="1"/>
          <w:numId w:val="10"/>
        </w:numPr>
        <w:snapToGrid w:val="0"/>
        <w:spacing w:line="400" w:lineRule="atLeast"/>
        <w:jc w:val="both"/>
        <w:rPr>
          <w:rFonts w:hint="eastAsia" w:ascii="宋体" w:hAnsi="宋体" w:cs="宋体"/>
        </w:rPr>
      </w:pPr>
      <w:r>
        <w:rPr>
          <w:rFonts w:hint="eastAsia" w:ascii="宋体" w:hAnsi="宋体" w:cs="宋体"/>
        </w:rPr>
        <w:t xml:space="preserve">初步评审： </w:t>
      </w:r>
    </w:p>
    <w:p>
      <w:pPr>
        <w:numPr>
          <w:ilvl w:val="0"/>
          <w:numId w:val="17"/>
        </w:numPr>
        <w:snapToGrid w:val="0"/>
        <w:spacing w:line="400" w:lineRule="atLeast"/>
        <w:jc w:val="both"/>
        <w:rPr>
          <w:rFonts w:hint="eastAsia" w:ascii="宋体" w:hAnsi="宋体" w:cs="宋体"/>
        </w:rPr>
      </w:pPr>
      <w:r>
        <w:rPr>
          <w:rFonts w:hint="eastAsia" w:ascii="宋体" w:hAnsi="宋体" w:cs="宋体"/>
        </w:rPr>
        <w:t>资格性检查：采购人或采购代理机构根据法律法规和招标文件的规定，检查投标文件提供的资格证明文件是否齐全、是否满足招标文件的要求等。</w:t>
      </w:r>
    </w:p>
    <w:p>
      <w:pPr>
        <w:numPr>
          <w:ilvl w:val="0"/>
          <w:numId w:val="17"/>
        </w:numPr>
        <w:snapToGrid w:val="0"/>
        <w:spacing w:line="400" w:lineRule="atLeast"/>
        <w:jc w:val="both"/>
        <w:rPr>
          <w:rFonts w:hint="eastAsia" w:ascii="宋体" w:hAnsi="宋体" w:cs="宋体"/>
        </w:rPr>
      </w:pPr>
      <w:r>
        <w:rPr>
          <w:rFonts w:hint="eastAsia" w:ascii="宋体" w:hAnsi="宋体" w:cs="宋体"/>
        </w:rPr>
        <w:t>符合性检查：评标委员会根据招标文件的规定，从投标文件的有效性、完整性和对招标文件的响应程度进行检查，以确定是否对招标文件的实质性要求作出响应。</w:t>
      </w:r>
    </w:p>
    <w:p>
      <w:pPr>
        <w:numPr>
          <w:ilvl w:val="0"/>
          <w:numId w:val="17"/>
        </w:numPr>
        <w:snapToGrid w:val="0"/>
        <w:spacing w:line="400" w:lineRule="atLeast"/>
        <w:jc w:val="both"/>
        <w:rPr>
          <w:rFonts w:hint="eastAsia" w:ascii="宋体" w:hAnsi="宋体" w:cs="宋体"/>
        </w:rPr>
      </w:pPr>
      <w:r>
        <w:rPr>
          <w:rFonts w:hint="eastAsia" w:ascii="宋体" w:hAnsi="宋体" w:cs="宋体"/>
        </w:rPr>
        <w:t>▲在资格性检查、符合性检查及详细评审投标文件时出现下列情况，按照</w:t>
      </w:r>
      <w:r>
        <w:rPr>
          <w:rFonts w:hint="eastAsia" w:ascii="宋体" w:hAnsi="宋体" w:cs="宋体"/>
          <w:b/>
          <w:bCs/>
        </w:rPr>
        <w:t>无效投标</w:t>
      </w:r>
      <w:r>
        <w:rPr>
          <w:rFonts w:hint="eastAsia" w:ascii="宋体" w:hAnsi="宋体" w:cs="宋体"/>
        </w:rPr>
        <w:t>处理</w:t>
      </w:r>
      <w:r>
        <w:rPr>
          <w:rFonts w:hint="eastAsia" w:ascii="宋体" w:hAnsi="宋体" w:cs="宋体"/>
          <w:b/>
          <w:bCs/>
        </w:rPr>
        <w:t>：</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仅提交备份投标文件的；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投标文件存在一个或一个以上备选（替代）投标方案的；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电子加密投标文件解密失败且未按规定提交备份投标文件的；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电子投标文件及备份投标文件均解密失败的；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b/>
          <w:bCs/>
        </w:rPr>
        <w:t>投标报价不是固定的或超过财政预算价的或超过相对应的最高限价的；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投标有效期不足的；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单价与总价不相符，又不接受评标委员会修正的投标总价或投标明显不合理而投标供应商不能合理说明的；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存在串标、抬标或弄虚作假情况的；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不具备招标文件中规定资格要求的；</w:t>
      </w:r>
    </w:p>
    <w:p>
      <w:pPr>
        <w:widowControl w:val="0"/>
        <w:numPr>
          <w:ilvl w:val="0"/>
          <w:numId w:val="18"/>
        </w:numPr>
        <w:tabs>
          <w:tab w:val="left" w:pos="993"/>
        </w:tabs>
        <w:spacing w:line="400" w:lineRule="exact"/>
        <w:jc w:val="both"/>
        <w:rPr>
          <w:rFonts w:hint="eastAsia" w:ascii="宋体" w:hAnsi="宋体" w:cs="宋体"/>
          <w:bCs/>
        </w:rPr>
      </w:pPr>
      <w:r>
        <w:rPr>
          <w:rFonts w:hint="eastAsia" w:ascii="宋体" w:hAnsi="宋体" w:cs="宋体"/>
          <w:bCs/>
        </w:rPr>
        <w:t>未按招标文件要求提供承诺书的；</w:t>
      </w:r>
    </w:p>
    <w:p>
      <w:pPr>
        <w:widowControl w:val="0"/>
        <w:numPr>
          <w:ilvl w:val="0"/>
          <w:numId w:val="18"/>
        </w:numPr>
        <w:tabs>
          <w:tab w:val="left" w:pos="993"/>
        </w:tabs>
        <w:spacing w:line="400" w:lineRule="exact"/>
        <w:jc w:val="both"/>
        <w:rPr>
          <w:rFonts w:hint="eastAsia" w:ascii="宋体" w:hAnsi="宋体" w:cs="宋体"/>
          <w:bCs/>
        </w:rPr>
      </w:pPr>
      <w:r>
        <w:rPr>
          <w:rFonts w:hint="eastAsia" w:ascii="宋体" w:hAnsi="宋体" w:cs="宋体"/>
          <w:bCs/>
        </w:rPr>
        <w:t>投标文件含有采购人不能接受的附加条件的；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bCs/>
        </w:rPr>
        <w:t>投标人存在不良信用记录的（具体详见投标供应商须知总则第4条）；</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评标委员会认为投标文件未实质性响应招标文件的要求的；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授权代表未提供有效法定代表人授权委托书的；</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投标文件中需签字或盖章的地方未加盖投标供应商单位全称的公章，或使用投标专用章、合同章等类似图章代替，或未经法定代表人或其授权代表签字或盖章；</w:t>
      </w:r>
    </w:p>
    <w:p>
      <w:pPr>
        <w:widowControl w:val="0"/>
        <w:numPr>
          <w:ilvl w:val="0"/>
          <w:numId w:val="18"/>
        </w:numPr>
        <w:tabs>
          <w:tab w:val="left" w:pos="993"/>
        </w:tabs>
        <w:spacing w:line="400" w:lineRule="exact"/>
        <w:jc w:val="both"/>
        <w:rPr>
          <w:rFonts w:hint="eastAsia" w:ascii="宋体" w:hAnsi="宋体" w:cs="宋体"/>
          <w:szCs w:val="21"/>
        </w:rPr>
      </w:pPr>
      <w:r>
        <w:rPr>
          <w:rFonts w:hint="eastAsia" w:ascii="宋体" w:hAnsi="宋体" w:cs="宋体"/>
          <w:szCs w:val="21"/>
        </w:rPr>
        <w:t>不符合法律、法规和招标文件中规定的其他实质性要求的。</w:t>
      </w:r>
    </w:p>
    <w:p>
      <w:pPr>
        <w:numPr>
          <w:ilvl w:val="1"/>
          <w:numId w:val="10"/>
        </w:numPr>
        <w:snapToGrid w:val="0"/>
        <w:spacing w:line="400" w:lineRule="atLeast"/>
        <w:jc w:val="both"/>
        <w:rPr>
          <w:rFonts w:hint="eastAsia" w:ascii="宋体" w:hAnsi="宋体" w:cs="宋体"/>
        </w:rPr>
      </w:pPr>
      <w:r>
        <w:rPr>
          <w:rFonts w:hint="eastAsia" w:ascii="宋体" w:hAnsi="宋体" w:cs="宋体"/>
        </w:rPr>
        <w:t>澄清有关问题：评标委员会</w:t>
      </w:r>
      <w:r>
        <w:rPr>
          <w:rFonts w:hint="eastAsia" w:ascii="宋体" w:hAnsi="宋体" w:cs="宋体"/>
          <w:szCs w:val="22"/>
        </w:rPr>
        <w:t>对投标文件的资格性和符合性进行检查时，可以要求供应商对投标文件中含义不明确、同类问题表述不一致或者有明显文字和计算错误的内容进行澄清、说明或补正。</w:t>
      </w:r>
      <w:r>
        <w:rPr>
          <w:rFonts w:hint="eastAsia" w:ascii="宋体" w:hAnsi="宋体" w:cs="宋体"/>
          <w:b/>
          <w:bCs/>
          <w:szCs w:val="22"/>
        </w:rPr>
        <w:t>需要供应商对其响应文件作出澄清、说明、补正的，代理机构将统一由“政府采购云平台”发出通知，各供应商在30分钟内通过“政府采购云平台”作出澄清、说明、补正，</w:t>
      </w:r>
      <w:r>
        <w:rPr>
          <w:rFonts w:hint="eastAsia" w:ascii="宋体" w:hAnsi="宋体" w:cs="宋体"/>
          <w:szCs w:val="22"/>
        </w:rPr>
        <w:t>并</w:t>
      </w:r>
      <w:r>
        <w:rPr>
          <w:rFonts w:hint="eastAsia" w:ascii="宋体" w:hAnsi="宋体" w:cs="宋体"/>
        </w:rPr>
        <w:t>不得超出投标文件的范围或者改变投标文件的实质性内容。</w:t>
      </w:r>
    </w:p>
    <w:p>
      <w:pPr>
        <w:numPr>
          <w:ilvl w:val="1"/>
          <w:numId w:val="10"/>
        </w:numPr>
        <w:snapToGrid w:val="0"/>
        <w:spacing w:line="400" w:lineRule="atLeast"/>
        <w:jc w:val="both"/>
        <w:rPr>
          <w:rFonts w:hint="eastAsia" w:ascii="宋体" w:hAnsi="宋体" w:cs="宋体"/>
        </w:rPr>
      </w:pPr>
      <w:r>
        <w:rPr>
          <w:rFonts w:hint="eastAsia" w:ascii="宋体" w:hAnsi="宋体" w:cs="宋体"/>
        </w:rPr>
        <w:t>比较与评价：评标委员会按招标文件中规定的评标方法和标准，对资格性检查和符合性检查合格的投标文件进行报价和技术商务评估，先评技术商务部分，综合比较与评价，宣布评价结果；接着对技术和商务都合格的投标报价予以审查，计算报价得分。评标委员会对投标文件的判定，只依据投标文件内容本身，不依据任何外来证明。</w:t>
      </w:r>
    </w:p>
    <w:p>
      <w:pPr>
        <w:numPr>
          <w:ilvl w:val="1"/>
          <w:numId w:val="10"/>
        </w:numPr>
        <w:snapToGrid w:val="0"/>
        <w:spacing w:line="400" w:lineRule="atLeast"/>
        <w:jc w:val="both"/>
        <w:rPr>
          <w:rFonts w:hint="eastAsia" w:ascii="宋体" w:hAnsi="宋体" w:cs="宋体"/>
          <w:b/>
        </w:rPr>
      </w:pPr>
      <w:r>
        <w:rPr>
          <w:rFonts w:hint="eastAsia" w:ascii="宋体" w:hAnsi="宋体" w:cs="宋体"/>
        </w:rPr>
        <w:t>如评标委员会一致认为某个投标供应商的报价明显不合理，有降低服务质量、不能诚信履行及不正当竞争的可能时，评标委员会有权通知投标供应商限期进行解释。若该投标供应商未在规定期限内做出解释，或做出的解释不合理，经评标委员会取得一致意见后，可否决该投标。</w:t>
      </w:r>
    </w:p>
    <w:p>
      <w:pPr>
        <w:numPr>
          <w:ilvl w:val="0"/>
          <w:numId w:val="10"/>
        </w:numPr>
        <w:snapToGrid w:val="0"/>
        <w:spacing w:line="400" w:lineRule="atLeast"/>
        <w:jc w:val="both"/>
        <w:rPr>
          <w:rFonts w:hint="eastAsia" w:ascii="宋体" w:hAnsi="宋体" w:cs="宋体"/>
          <w:b/>
          <w:bCs/>
          <w:sz w:val="24"/>
        </w:rPr>
      </w:pPr>
      <w:r>
        <w:rPr>
          <w:rFonts w:hint="eastAsia" w:ascii="宋体" w:hAnsi="宋体" w:cs="宋体"/>
          <w:b/>
          <w:bCs/>
          <w:sz w:val="24"/>
        </w:rPr>
        <w:t>评标过程保密</w:t>
      </w:r>
    </w:p>
    <w:p>
      <w:pPr>
        <w:numPr>
          <w:ilvl w:val="1"/>
          <w:numId w:val="10"/>
        </w:numPr>
        <w:snapToGrid w:val="0"/>
        <w:spacing w:line="400" w:lineRule="atLeast"/>
        <w:jc w:val="both"/>
        <w:rPr>
          <w:rFonts w:hint="eastAsia" w:ascii="宋体" w:hAnsi="宋体" w:cs="宋体"/>
        </w:rPr>
      </w:pPr>
      <w:r>
        <w:rPr>
          <w:rFonts w:hint="eastAsia" w:ascii="宋体" w:hAnsi="宋体" w:cs="宋体"/>
        </w:rPr>
        <w:t>开标之后，直到授予投标供应商合同止，凡是属于审查、澄清、评价和比较投标的有关资料以及授标意向等，均不得向投标供应商或其他无关的人员透露。</w:t>
      </w:r>
    </w:p>
    <w:p>
      <w:pPr>
        <w:numPr>
          <w:ilvl w:val="1"/>
          <w:numId w:val="10"/>
        </w:numPr>
        <w:snapToGrid w:val="0"/>
        <w:spacing w:line="400" w:lineRule="atLeast"/>
        <w:jc w:val="both"/>
        <w:rPr>
          <w:rFonts w:hint="eastAsia" w:ascii="宋体" w:hAnsi="宋体" w:cs="宋体"/>
        </w:rPr>
      </w:pPr>
      <w:r>
        <w:rPr>
          <w:rFonts w:hint="eastAsia" w:ascii="宋体" w:hAnsi="宋体" w:cs="宋体"/>
        </w:rPr>
        <w:t>在评标期间，投标供应商企图影响招标代理机构或评标委员会的任何活动，都将导致投标被拒绝，并由其承担相应的法律责任。</w:t>
      </w:r>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废标</w:t>
      </w:r>
    </w:p>
    <w:p>
      <w:pPr>
        <w:numPr>
          <w:ilvl w:val="1"/>
          <w:numId w:val="10"/>
        </w:numPr>
        <w:snapToGrid w:val="0"/>
        <w:spacing w:line="400" w:lineRule="atLeast"/>
        <w:jc w:val="both"/>
        <w:rPr>
          <w:rFonts w:hint="eastAsia" w:ascii="宋体" w:hAnsi="宋体" w:cs="宋体"/>
        </w:rPr>
      </w:pPr>
      <w:r>
        <w:rPr>
          <w:rFonts w:hint="eastAsia" w:ascii="宋体" w:hAnsi="宋体" w:cs="宋体"/>
        </w:rPr>
        <w:t>在采购中，出现下列情形之一的，应予废标：</w:t>
      </w:r>
    </w:p>
    <w:p>
      <w:pPr>
        <w:snapToGrid w:val="0"/>
        <w:spacing w:line="400" w:lineRule="atLeast"/>
        <w:ind w:left="420" w:firstLine="420"/>
        <w:jc w:val="both"/>
        <w:rPr>
          <w:rFonts w:hint="eastAsia" w:ascii="宋体" w:hAnsi="宋体" w:cs="宋体"/>
        </w:rPr>
      </w:pPr>
      <w:r>
        <w:rPr>
          <w:rFonts w:hint="eastAsia" w:ascii="宋体" w:hAnsi="宋体" w:cs="宋体"/>
        </w:rPr>
        <w:t>（1）出现影响采购公正的违法、违规行为的；</w:t>
      </w:r>
    </w:p>
    <w:p>
      <w:pPr>
        <w:snapToGrid w:val="0"/>
        <w:spacing w:line="400" w:lineRule="atLeast"/>
        <w:ind w:left="420" w:firstLine="420"/>
        <w:jc w:val="both"/>
        <w:rPr>
          <w:rFonts w:hint="eastAsia" w:ascii="宋体" w:hAnsi="宋体" w:cs="宋体"/>
          <w:szCs w:val="22"/>
        </w:rPr>
      </w:pPr>
      <w:r>
        <w:rPr>
          <w:rFonts w:hint="eastAsia" w:ascii="宋体" w:hAnsi="宋体" w:cs="宋体"/>
        </w:rPr>
        <w:t>（2）符</w:t>
      </w:r>
      <w:r>
        <w:rPr>
          <w:rFonts w:hint="eastAsia" w:ascii="宋体" w:hAnsi="宋体" w:cs="宋体"/>
          <w:szCs w:val="22"/>
        </w:rPr>
        <w:t>合专业条件的供应商或者对招标文件作实质响应的供应商不足三家的；</w:t>
      </w:r>
    </w:p>
    <w:p>
      <w:pPr>
        <w:snapToGrid w:val="0"/>
        <w:spacing w:line="400" w:lineRule="atLeast"/>
        <w:ind w:left="420" w:firstLine="420"/>
        <w:jc w:val="both"/>
        <w:rPr>
          <w:rFonts w:hint="eastAsia" w:ascii="宋体" w:hAnsi="宋体" w:cs="宋体"/>
          <w:szCs w:val="22"/>
        </w:rPr>
      </w:pPr>
      <w:r>
        <w:rPr>
          <w:rFonts w:hint="eastAsia" w:ascii="宋体" w:hAnsi="宋体" w:cs="宋体"/>
          <w:szCs w:val="22"/>
        </w:rPr>
        <w:t xml:space="preserve">（3）供应商的报价均超过了采购预算，采购人不能支付的； </w:t>
      </w:r>
    </w:p>
    <w:p>
      <w:pPr>
        <w:snapToGrid w:val="0"/>
        <w:spacing w:line="400" w:lineRule="atLeast"/>
        <w:ind w:left="420" w:firstLine="420"/>
        <w:jc w:val="both"/>
        <w:rPr>
          <w:rFonts w:hint="eastAsia" w:ascii="宋体" w:hAnsi="宋体" w:cs="宋体"/>
          <w:szCs w:val="22"/>
        </w:rPr>
      </w:pPr>
      <w:r>
        <w:rPr>
          <w:rFonts w:hint="eastAsia" w:ascii="宋体" w:hAnsi="宋体" w:cs="宋体"/>
          <w:szCs w:val="22"/>
        </w:rPr>
        <w:t>（4）因重大变故，采购任务取消的。</w:t>
      </w:r>
    </w:p>
    <w:p>
      <w:pPr>
        <w:snapToGrid w:val="0"/>
        <w:spacing w:line="400" w:lineRule="atLeast"/>
        <w:ind w:left="420" w:firstLine="420"/>
        <w:jc w:val="both"/>
        <w:rPr>
          <w:rFonts w:hint="eastAsia" w:ascii="宋体" w:hAnsi="宋体" w:cs="宋体"/>
        </w:rPr>
      </w:pPr>
      <w:r>
        <w:rPr>
          <w:rFonts w:hint="eastAsia" w:ascii="宋体" w:hAnsi="宋体" w:cs="宋体"/>
          <w:szCs w:val="22"/>
        </w:rPr>
        <w:t>（5）电</w:t>
      </w:r>
      <w:r>
        <w:rPr>
          <w:rFonts w:hint="eastAsia" w:ascii="宋体" w:hAnsi="宋体" w:cs="宋体"/>
        </w:rPr>
        <w:t>子交易平台无法正常运行，无法保证电子交易的公平、公正和安全的情况。</w:t>
      </w:r>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可中止电子交易活动的情形</w:t>
      </w:r>
    </w:p>
    <w:p>
      <w:pPr>
        <w:numPr>
          <w:ilvl w:val="1"/>
          <w:numId w:val="10"/>
        </w:numPr>
        <w:snapToGrid w:val="0"/>
        <w:spacing w:line="400" w:lineRule="atLeast"/>
        <w:jc w:val="both"/>
        <w:rPr>
          <w:rFonts w:hint="eastAsia" w:ascii="宋体" w:hAnsi="宋体" w:cs="宋体"/>
        </w:rPr>
      </w:pPr>
      <w:r>
        <w:rPr>
          <w:rFonts w:hint="eastAsia" w:ascii="宋体" w:hAnsi="宋体" w:cs="宋体"/>
        </w:rPr>
        <w:t>采购过程中出现以下情形，导致电子交易平台无法正常运行，或者无法保证电子交易的公平、公正和安全时，采购组织机构可中止电子交易活动：</w:t>
      </w:r>
    </w:p>
    <w:p>
      <w:pPr>
        <w:snapToGrid w:val="0"/>
        <w:spacing w:line="400" w:lineRule="atLeast"/>
        <w:ind w:left="420" w:firstLine="420"/>
        <w:jc w:val="both"/>
        <w:rPr>
          <w:rFonts w:hint="eastAsia" w:ascii="宋体" w:hAnsi="宋体" w:cs="宋体"/>
          <w:szCs w:val="22"/>
        </w:rPr>
      </w:pPr>
      <w:r>
        <w:rPr>
          <w:rFonts w:hint="eastAsia" w:ascii="宋体" w:hAnsi="宋体" w:cs="宋体"/>
        </w:rPr>
        <w:t>（</w:t>
      </w:r>
      <w:r>
        <w:rPr>
          <w:rFonts w:hint="eastAsia" w:ascii="宋体" w:hAnsi="宋体" w:cs="宋体"/>
          <w:szCs w:val="22"/>
        </w:rPr>
        <w:t>1）电子交易平台发生故障而无法登录访问的；</w:t>
      </w:r>
    </w:p>
    <w:p>
      <w:pPr>
        <w:snapToGrid w:val="0"/>
        <w:spacing w:line="400" w:lineRule="atLeast"/>
        <w:ind w:left="420" w:firstLine="420"/>
        <w:jc w:val="both"/>
        <w:rPr>
          <w:rFonts w:hint="eastAsia" w:ascii="宋体" w:hAnsi="宋体" w:cs="宋体"/>
          <w:szCs w:val="22"/>
        </w:rPr>
      </w:pPr>
      <w:r>
        <w:rPr>
          <w:rFonts w:hint="eastAsia" w:ascii="宋体" w:hAnsi="宋体" w:cs="宋体"/>
          <w:szCs w:val="22"/>
        </w:rPr>
        <w:t>（2）电子交易平台应用或数据库出现错误，不能进行正常操作的；</w:t>
      </w:r>
    </w:p>
    <w:p>
      <w:pPr>
        <w:snapToGrid w:val="0"/>
        <w:spacing w:line="400" w:lineRule="atLeast"/>
        <w:ind w:left="420" w:firstLine="420"/>
        <w:jc w:val="both"/>
        <w:rPr>
          <w:rFonts w:hint="eastAsia" w:ascii="宋体" w:hAnsi="宋体" w:cs="宋体"/>
          <w:szCs w:val="22"/>
        </w:rPr>
      </w:pPr>
      <w:r>
        <w:rPr>
          <w:rFonts w:hint="eastAsia" w:ascii="宋体" w:hAnsi="宋体" w:cs="宋体"/>
          <w:szCs w:val="22"/>
        </w:rPr>
        <w:t>（3）电子交易平台发现严重安全漏洞，有潜在泄密危险的；</w:t>
      </w:r>
    </w:p>
    <w:p>
      <w:pPr>
        <w:snapToGrid w:val="0"/>
        <w:spacing w:line="400" w:lineRule="atLeast"/>
        <w:ind w:left="420" w:firstLine="420"/>
        <w:jc w:val="both"/>
        <w:rPr>
          <w:rFonts w:hint="eastAsia" w:ascii="宋体" w:hAnsi="宋体" w:cs="宋体"/>
          <w:szCs w:val="22"/>
        </w:rPr>
      </w:pPr>
      <w:r>
        <w:rPr>
          <w:rFonts w:hint="eastAsia" w:ascii="宋体" w:hAnsi="宋体" w:cs="宋体"/>
          <w:szCs w:val="22"/>
        </w:rPr>
        <w:t>（4）病毒发作导致不能进行正常操作的；</w:t>
      </w:r>
    </w:p>
    <w:p>
      <w:pPr>
        <w:snapToGrid w:val="0"/>
        <w:spacing w:line="400" w:lineRule="atLeast"/>
        <w:ind w:left="420" w:firstLine="420"/>
        <w:jc w:val="both"/>
        <w:rPr>
          <w:rFonts w:hint="eastAsia" w:ascii="宋体" w:hAnsi="宋体" w:cs="宋体"/>
        </w:rPr>
      </w:pPr>
      <w:r>
        <w:rPr>
          <w:rFonts w:hint="eastAsia" w:ascii="宋体" w:hAnsi="宋体" w:cs="宋体"/>
          <w:szCs w:val="22"/>
        </w:rPr>
        <w:t>（5）</w:t>
      </w:r>
      <w:r>
        <w:rPr>
          <w:rFonts w:hint="eastAsia" w:ascii="宋体" w:hAnsi="宋体" w:cs="宋体"/>
        </w:rPr>
        <w:t>其他无法保证电子交易的公平、公正和安全的情况。</w:t>
      </w:r>
    </w:p>
    <w:p>
      <w:pPr>
        <w:numPr>
          <w:ilvl w:val="1"/>
          <w:numId w:val="10"/>
        </w:numPr>
        <w:snapToGrid w:val="0"/>
        <w:spacing w:line="400" w:lineRule="atLeast"/>
        <w:jc w:val="both"/>
        <w:rPr>
          <w:rFonts w:hint="eastAsia" w:ascii="宋体" w:hAnsi="宋体" w:cs="宋体"/>
          <w:szCs w:val="22"/>
        </w:rPr>
      </w:pPr>
      <w:r>
        <w:rPr>
          <w:rFonts w:hint="eastAsia" w:ascii="宋体" w:hAnsi="宋体" w:cs="宋体"/>
          <w:szCs w:val="22"/>
        </w:rPr>
        <w:t>出现前款规定情形，不影响采购公平、公正性的，采购组织机构可以待上述情形消除后继续组织电子交易活动；影响或可能影响采购公平、公正性的，应当重新采购。</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szCs w:val="22"/>
        </w:rPr>
        <w:t>中标</w:t>
      </w:r>
      <w:r>
        <w:rPr>
          <w:rFonts w:hint="eastAsia" w:ascii="宋体" w:hAnsi="宋体" w:cs="宋体"/>
          <w:b/>
          <w:sz w:val="24"/>
        </w:rPr>
        <w:t>供应商的确定</w:t>
      </w:r>
    </w:p>
    <w:p>
      <w:pPr>
        <w:numPr>
          <w:ilvl w:val="1"/>
          <w:numId w:val="10"/>
        </w:numPr>
        <w:snapToGrid w:val="0"/>
        <w:spacing w:line="400" w:lineRule="atLeast"/>
        <w:jc w:val="both"/>
        <w:rPr>
          <w:rFonts w:hint="eastAsia" w:ascii="宋体" w:hAnsi="宋体" w:cs="宋体"/>
        </w:rPr>
      </w:pPr>
      <w:r>
        <w:rPr>
          <w:rFonts w:hint="eastAsia" w:ascii="宋体" w:hAnsi="宋体" w:cs="宋体"/>
        </w:rPr>
        <w:t>采购代理机构在评审结束后2个工作日内将评审报告送采购人确认。采购人在收到评审报告后5个工作日内，从评审报告提出的中标候选供应商中，按照排序由高到低的原则确定中标供应商，也可以书面授权评标委员会直接确定中标供应商。</w:t>
      </w:r>
    </w:p>
    <w:p>
      <w:pPr>
        <w:numPr>
          <w:ilvl w:val="1"/>
          <w:numId w:val="10"/>
        </w:numPr>
        <w:snapToGrid w:val="0"/>
        <w:spacing w:line="400" w:lineRule="atLeast"/>
        <w:jc w:val="both"/>
        <w:rPr>
          <w:rFonts w:hint="eastAsia" w:ascii="宋体" w:hAnsi="宋体" w:cs="宋体"/>
        </w:rPr>
      </w:pPr>
      <w:r>
        <w:rPr>
          <w:rFonts w:hint="eastAsia" w:ascii="宋体" w:hAnsi="宋体" w:cs="宋体"/>
        </w:rPr>
        <w:t>采购代理机构在中标供应商确定后2个工作日内，在“浙江政府采购网”（网址：https://zfcg.czt.zj.gov.cn/new/）发布中标结果公告，同时向中标供应商发出中标通知书。</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szCs w:val="22"/>
        </w:rPr>
        <w:t>否决</w:t>
      </w:r>
      <w:r>
        <w:rPr>
          <w:rFonts w:hint="eastAsia" w:ascii="宋体" w:hAnsi="宋体" w:cs="宋体"/>
          <w:b/>
          <w:sz w:val="24"/>
        </w:rPr>
        <w:t>任何或所有投标的权利</w:t>
      </w:r>
    </w:p>
    <w:p>
      <w:pPr>
        <w:numPr>
          <w:ilvl w:val="1"/>
          <w:numId w:val="10"/>
        </w:numPr>
        <w:snapToGrid w:val="0"/>
        <w:spacing w:line="400" w:lineRule="atLeast"/>
        <w:jc w:val="both"/>
        <w:rPr>
          <w:rFonts w:hint="eastAsia" w:ascii="宋体" w:hAnsi="宋体" w:cs="宋体"/>
        </w:rPr>
      </w:pPr>
      <w:r>
        <w:rPr>
          <w:rFonts w:hint="eastAsia" w:ascii="宋体" w:hAnsi="宋体" w:cs="宋体"/>
        </w:rPr>
        <w:t>评标</w:t>
      </w:r>
      <w:r>
        <w:rPr>
          <w:rFonts w:hint="eastAsia" w:ascii="宋体" w:hAnsi="宋体" w:cs="宋体"/>
          <w:szCs w:val="22"/>
          <w:lang w:val="zh-CN"/>
        </w:rPr>
        <w:t>委员会</w:t>
      </w:r>
      <w:r>
        <w:rPr>
          <w:rFonts w:hint="eastAsia" w:ascii="宋体" w:hAnsi="宋体" w:cs="宋体"/>
        </w:rPr>
        <w:t>经评审，认为所有投标都不符合招标文件要求的，可以否决所有投标。</w:t>
      </w:r>
    </w:p>
    <w:p>
      <w:pPr>
        <w:numPr>
          <w:ilvl w:val="1"/>
          <w:numId w:val="10"/>
        </w:numPr>
        <w:snapToGrid w:val="0"/>
        <w:spacing w:line="400" w:lineRule="atLeast"/>
        <w:jc w:val="both"/>
        <w:rPr>
          <w:rFonts w:hint="eastAsia" w:ascii="宋体" w:hAnsi="宋体" w:cs="宋体"/>
        </w:rPr>
      </w:pPr>
      <w:r>
        <w:rPr>
          <w:rFonts w:hint="eastAsia" w:ascii="宋体" w:hAnsi="宋体" w:cs="宋体"/>
          <w:szCs w:val="22"/>
          <w:lang w:val="zh-CN"/>
        </w:rPr>
        <w:t>如果</w:t>
      </w:r>
      <w:r>
        <w:rPr>
          <w:rFonts w:hint="eastAsia" w:ascii="宋体" w:hAnsi="宋体" w:cs="宋体"/>
        </w:rPr>
        <w:t>候选人的部分或全部投标高于</w:t>
      </w:r>
      <w:r>
        <w:rPr>
          <w:rFonts w:hint="eastAsia" w:ascii="宋体" w:hAnsi="宋体" w:cs="宋体"/>
          <w:bCs/>
          <w:kern w:val="28"/>
        </w:rPr>
        <w:t>服务标准价</w:t>
      </w:r>
      <w:r>
        <w:rPr>
          <w:rFonts w:hint="eastAsia" w:ascii="宋体" w:hAnsi="宋体" w:cs="宋体"/>
        </w:rPr>
        <w:t>时，招标代理机构将取消其中标资格，对受影响的投标供应商不承担任何责任，也无义务向受影响的投标供应商解释采取这一行动的理由。</w:t>
      </w:r>
    </w:p>
    <w:p>
      <w:pPr>
        <w:numPr>
          <w:ilvl w:val="1"/>
          <w:numId w:val="10"/>
        </w:numPr>
        <w:snapToGrid w:val="0"/>
        <w:spacing w:line="400" w:lineRule="atLeast"/>
        <w:jc w:val="both"/>
        <w:rPr>
          <w:rFonts w:hint="eastAsia" w:ascii="宋体" w:hAnsi="宋体" w:cs="宋体"/>
        </w:rPr>
      </w:pPr>
      <w:r>
        <w:rPr>
          <w:rFonts w:hint="eastAsia" w:ascii="宋体" w:hAnsi="宋体" w:cs="宋体"/>
        </w:rPr>
        <w:t>若在开、评标期间出现符合专业条件的投标供应商或者对招标文件作出实质响应的投标供应商（有效投标）不足三家，或投标供应商的报价均</w:t>
      </w:r>
      <w:r>
        <w:rPr>
          <w:rFonts w:hint="eastAsia" w:ascii="宋体" w:hAnsi="宋体" w:cs="宋体"/>
          <w:szCs w:val="21"/>
        </w:rPr>
        <w:t>超过</w:t>
      </w:r>
      <w:r>
        <w:rPr>
          <w:rFonts w:hint="eastAsia" w:ascii="宋体" w:hAnsi="宋体" w:cs="宋体"/>
          <w:bCs/>
          <w:kern w:val="28"/>
        </w:rPr>
        <w:t>服务标准价</w:t>
      </w:r>
      <w:r>
        <w:rPr>
          <w:rFonts w:hint="eastAsia" w:ascii="宋体" w:hAnsi="宋体" w:cs="宋体"/>
          <w:szCs w:val="21"/>
        </w:rPr>
        <w:t>的</w:t>
      </w:r>
      <w:r>
        <w:rPr>
          <w:rFonts w:hint="eastAsia" w:ascii="宋体" w:hAnsi="宋体" w:cs="宋体"/>
        </w:rPr>
        <w:t>，按政府采购有关规定，在采购人同意，并经政府有关部门批准，转为其它政府采购方式进行采购，或宣布本次招标失败，重新组织招标。</w:t>
      </w:r>
    </w:p>
    <w:p>
      <w:pPr>
        <w:numPr>
          <w:ilvl w:val="1"/>
          <w:numId w:val="10"/>
        </w:numPr>
        <w:snapToGrid w:val="0"/>
        <w:spacing w:line="400" w:lineRule="atLeast"/>
        <w:jc w:val="both"/>
        <w:rPr>
          <w:rFonts w:hint="eastAsia" w:ascii="宋体" w:hAnsi="宋体" w:cs="宋体"/>
        </w:rPr>
      </w:pPr>
      <w:r>
        <w:rPr>
          <w:rFonts w:hint="eastAsia" w:ascii="宋体" w:hAnsi="宋体" w:cs="宋体"/>
        </w:rPr>
        <w:t>如果第一候选人不能按照招标文件要求及其投标文件的承诺签订合同或其投标文件与事实不符，影响采购的公平公开及合同的实施，采购人有权在授予合同前任何时候依照法定程序将合同授予第二候选人。如果第二候选人仍无法签订合同，采购人有权在授予合同前任何时候依照法定程序将合同授予第三候选人，以此类推。若所有候选人均无法签订合同的，采购人将依法接受或拒绝任何投标，并宣布采购无效，对受影响的投标供应商不承担任何责任，也无义务向受影响的投标供应商解释采取这一行动的理由。采购人也可以重新开展政府采购活动。</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szCs w:val="22"/>
        </w:rPr>
        <w:t>质疑</w:t>
      </w:r>
      <w:r>
        <w:rPr>
          <w:rFonts w:hint="eastAsia" w:ascii="宋体" w:hAnsi="宋体" w:cs="宋体"/>
          <w:b/>
          <w:sz w:val="24"/>
        </w:rPr>
        <w:t>与投诉</w:t>
      </w:r>
    </w:p>
    <w:p>
      <w:pPr>
        <w:numPr>
          <w:ilvl w:val="1"/>
          <w:numId w:val="10"/>
        </w:numPr>
        <w:snapToGrid w:val="0"/>
        <w:spacing w:line="400" w:lineRule="atLeast"/>
        <w:jc w:val="both"/>
        <w:rPr>
          <w:rFonts w:hint="eastAsia" w:ascii="宋体" w:hAnsi="宋体" w:cs="宋体"/>
        </w:rPr>
      </w:pPr>
      <w:r>
        <w:rPr>
          <w:rFonts w:hint="eastAsia" w:ascii="宋体" w:hAnsi="宋体" w:cs="宋体"/>
        </w:rPr>
        <w:t>投标供应商认为招标文件、招标过程和中标结果使自己的合法权益受到损害的，应当在知道或者应知其权益受到损害之日起七个工作日内，以书面形式向采购人、招标代理机构提出</w:t>
      </w:r>
      <w:r>
        <w:rPr>
          <w:rFonts w:hint="eastAsia" w:ascii="宋体" w:hAnsi="宋体" w:cs="宋体"/>
          <w:szCs w:val="22"/>
          <w:lang w:val="zh-CN"/>
        </w:rPr>
        <w:t>质疑</w:t>
      </w:r>
      <w:r>
        <w:rPr>
          <w:rFonts w:hint="eastAsia" w:ascii="宋体" w:hAnsi="宋体" w:cs="宋体"/>
        </w:rPr>
        <w:t>。投标供应商对招标采购单位的质疑答复不满意或者招标采购单位未在规定时间内作出答复的，可以在答复期满后十五个工作日内向同级采购监管部门投诉。</w:t>
      </w:r>
    </w:p>
    <w:p>
      <w:pPr>
        <w:numPr>
          <w:ilvl w:val="1"/>
          <w:numId w:val="10"/>
        </w:numPr>
        <w:snapToGrid w:val="0"/>
        <w:spacing w:line="400" w:lineRule="atLeast"/>
        <w:jc w:val="both"/>
        <w:rPr>
          <w:rFonts w:hint="eastAsia" w:ascii="宋体" w:hAnsi="宋体" w:cs="宋体"/>
        </w:rPr>
      </w:pPr>
      <w:r>
        <w:rPr>
          <w:rFonts w:hint="eastAsia" w:ascii="宋体" w:hAnsi="宋体" w:cs="宋体"/>
        </w:rPr>
        <w:t>疫情防控期间，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pPr>
        <w:numPr>
          <w:ilvl w:val="1"/>
          <w:numId w:val="10"/>
        </w:numPr>
        <w:snapToGrid w:val="0"/>
        <w:spacing w:line="400" w:lineRule="atLeast"/>
        <w:jc w:val="both"/>
        <w:rPr>
          <w:rFonts w:hint="eastAsia" w:ascii="宋体" w:hAnsi="宋体" w:cs="宋体"/>
        </w:rPr>
      </w:pPr>
      <w:r>
        <w:rPr>
          <w:rFonts w:hint="eastAsia" w:ascii="宋体" w:hAnsi="宋体" w:cs="宋体"/>
        </w:rPr>
        <w:t>对采购公告信息（含供应商资格条件）或网上下载的采购文件提出质疑的，质疑期限自采购公告或采购文件发布之日起计算。对实行申请获取的采购文件提出质疑的，质疑期限自供应商申请获取采购文件之日起计算，且应当在采购响应截止时间之前提出，否则，被质疑人可不予接受。</w:t>
      </w:r>
    </w:p>
    <w:p>
      <w:pPr>
        <w:numPr>
          <w:ilvl w:val="1"/>
          <w:numId w:val="10"/>
        </w:numPr>
        <w:snapToGrid w:val="0"/>
        <w:spacing w:line="400" w:lineRule="atLeast"/>
        <w:jc w:val="both"/>
        <w:rPr>
          <w:rFonts w:hint="eastAsia" w:ascii="宋体" w:hAnsi="宋体" w:cs="宋体"/>
        </w:rPr>
      </w:pPr>
      <w:r>
        <w:rPr>
          <w:rFonts w:hint="eastAsia" w:ascii="宋体" w:hAnsi="宋体" w:cs="宋体"/>
          <w:szCs w:val="22"/>
          <w:lang w:val="zh-CN"/>
        </w:rPr>
        <w:t>质疑</w:t>
      </w:r>
      <w:r>
        <w:rPr>
          <w:rFonts w:hint="eastAsia" w:ascii="宋体" w:hAnsi="宋体" w:cs="宋体"/>
        </w:rPr>
        <w:t>、投诉应当采用书面形式，质疑书、投诉书均应明确阐述招标文件、招标过程和中标结果中使自己合法权益受到损害的实质性内容，提供相关事实、依据和证据及其来源或线索，便于有关单位调查、答复和处理。</w:t>
      </w:r>
    </w:p>
    <w:p>
      <w:pPr>
        <w:snapToGrid w:val="0"/>
        <w:spacing w:line="400" w:lineRule="atLeast"/>
        <w:ind w:firstLine="840" w:firstLineChars="400"/>
        <w:jc w:val="both"/>
        <w:rPr>
          <w:rFonts w:hint="eastAsia" w:ascii="宋体" w:hAnsi="宋体" w:cs="宋体"/>
        </w:rPr>
      </w:pPr>
      <w:r>
        <w:rPr>
          <w:rFonts w:hint="eastAsia" w:ascii="宋体" w:hAnsi="宋体" w:cs="宋体"/>
        </w:rPr>
        <w:t xml:space="preserve">1）  质疑受理机构：浙江鼎力工程项目管理有限公司 </w:t>
      </w:r>
    </w:p>
    <w:p>
      <w:pPr>
        <w:tabs>
          <w:tab w:val="left" w:pos="425"/>
          <w:tab w:val="left" w:pos="1133"/>
        </w:tabs>
        <w:spacing w:line="400" w:lineRule="atLeast"/>
        <w:ind w:left="1418"/>
        <w:rPr>
          <w:rFonts w:hint="eastAsia" w:ascii="宋体" w:hAnsi="宋体" w:cs="宋体"/>
        </w:rPr>
      </w:pPr>
      <w:r>
        <w:rPr>
          <w:rFonts w:hint="eastAsia" w:ascii="宋体" w:hAnsi="宋体" w:cs="宋体"/>
        </w:rPr>
        <w:t>质疑答复人：蔡宾虎</w:t>
      </w:r>
    </w:p>
    <w:p>
      <w:pPr>
        <w:tabs>
          <w:tab w:val="left" w:pos="425"/>
          <w:tab w:val="left" w:pos="1133"/>
        </w:tabs>
        <w:spacing w:line="400" w:lineRule="atLeast"/>
        <w:ind w:left="1418"/>
        <w:rPr>
          <w:rFonts w:hint="eastAsia" w:ascii="宋体" w:hAnsi="宋体" w:cs="宋体"/>
        </w:rPr>
      </w:pPr>
      <w:r>
        <w:rPr>
          <w:rFonts w:hint="eastAsia" w:ascii="宋体" w:hAnsi="宋体" w:cs="宋体"/>
        </w:rPr>
        <w:t>联系电话：13958842002</w:t>
      </w:r>
    </w:p>
    <w:p>
      <w:pPr>
        <w:numPr>
          <w:ilvl w:val="0"/>
          <w:numId w:val="19"/>
        </w:numPr>
        <w:tabs>
          <w:tab w:val="left" w:pos="900"/>
        </w:tabs>
        <w:spacing w:line="400" w:lineRule="atLeast"/>
        <w:ind w:left="750" w:leftChars="357" w:firstLine="105" w:firstLineChars="50"/>
        <w:rPr>
          <w:rFonts w:hint="eastAsia" w:ascii="宋体" w:hAnsi="宋体" w:cs="宋体"/>
          <w:spacing w:val="-11"/>
        </w:rPr>
      </w:pPr>
      <w:r>
        <w:rPr>
          <w:rFonts w:hint="eastAsia" w:ascii="宋体" w:hAnsi="宋体" w:cs="宋体"/>
        </w:rPr>
        <w:t xml:space="preserve"> </w:t>
      </w:r>
      <w:r>
        <w:rPr>
          <w:rFonts w:hint="eastAsia" w:ascii="宋体" w:hAnsi="宋体" w:cs="宋体"/>
          <w:spacing w:val="-6"/>
        </w:rPr>
        <w:t>质疑受理机构：</w:t>
      </w:r>
      <w:r>
        <w:rPr>
          <w:rFonts w:hint="eastAsia" w:ascii="宋体" w:hAnsi="宋体" w:cs="宋体"/>
          <w:spacing w:val="-11"/>
          <w:szCs w:val="21"/>
        </w:rPr>
        <w:t>瑞安市综合行政执法局、瑞安市玉海街道办事处、瑞安市锦湖街道办事处、瑞安市潘岱街道办事处</w:t>
      </w:r>
    </w:p>
    <w:p>
      <w:pPr>
        <w:tabs>
          <w:tab w:val="left" w:pos="425"/>
          <w:tab w:val="left" w:pos="1133"/>
        </w:tabs>
        <w:spacing w:line="400" w:lineRule="atLeast"/>
        <w:ind w:left="1418"/>
        <w:rPr>
          <w:rFonts w:hint="eastAsia" w:ascii="宋体" w:hAnsi="宋体" w:cs="宋体"/>
          <w:szCs w:val="22"/>
        </w:rPr>
      </w:pPr>
      <w:r>
        <w:rPr>
          <w:rFonts w:hint="eastAsia" w:ascii="宋体" w:hAnsi="宋体" w:cs="宋体"/>
          <w:szCs w:val="22"/>
        </w:rPr>
        <w:t>质疑答复人：</w:t>
      </w:r>
      <w:r>
        <w:rPr>
          <w:rFonts w:hint="eastAsia" w:ascii="宋体" w:hAnsi="宋体" w:cs="宋体"/>
          <w:szCs w:val="21"/>
        </w:rPr>
        <w:t>陈先生、沈先生、陈先生</w:t>
      </w:r>
    </w:p>
    <w:p>
      <w:pPr>
        <w:tabs>
          <w:tab w:val="left" w:pos="425"/>
          <w:tab w:val="left" w:pos="1133"/>
        </w:tabs>
        <w:spacing w:line="400" w:lineRule="atLeast"/>
        <w:ind w:left="1418"/>
        <w:rPr>
          <w:rFonts w:hint="eastAsia" w:ascii="宋体" w:hAnsi="宋体" w:cs="宋体"/>
          <w:szCs w:val="22"/>
        </w:rPr>
      </w:pPr>
      <w:r>
        <w:rPr>
          <w:rFonts w:hint="eastAsia" w:ascii="宋体" w:hAnsi="宋体" w:cs="宋体"/>
          <w:szCs w:val="22"/>
        </w:rPr>
        <w:t>联系电话：</w:t>
      </w:r>
      <w:r>
        <w:rPr>
          <w:rFonts w:hint="eastAsia" w:ascii="宋体" w:hAnsi="宋体" w:cs="宋体"/>
          <w:szCs w:val="21"/>
        </w:rPr>
        <w:t>0577-65611213、0577-65068879、0577-58905201</w:t>
      </w:r>
    </w:p>
    <w:p>
      <w:pPr>
        <w:numPr>
          <w:ilvl w:val="0"/>
          <w:numId w:val="19"/>
        </w:numPr>
        <w:tabs>
          <w:tab w:val="left" w:pos="900"/>
        </w:tabs>
        <w:spacing w:line="400" w:lineRule="atLeast"/>
        <w:ind w:left="750" w:leftChars="357" w:firstLine="105" w:firstLineChars="50"/>
        <w:rPr>
          <w:rFonts w:hint="eastAsia" w:ascii="宋体" w:hAnsi="宋体" w:cs="宋体"/>
        </w:rPr>
      </w:pPr>
      <w:r>
        <w:rPr>
          <w:rFonts w:hint="eastAsia" w:ascii="宋体" w:hAnsi="宋体" w:cs="宋体"/>
        </w:rPr>
        <w:t xml:space="preserve"> 投诉受理机构：瑞安市财政局政府采购监督管理科</w:t>
      </w:r>
    </w:p>
    <w:p>
      <w:pPr>
        <w:tabs>
          <w:tab w:val="left" w:pos="425"/>
          <w:tab w:val="left" w:pos="1133"/>
        </w:tabs>
        <w:spacing w:line="400" w:lineRule="atLeast"/>
        <w:ind w:left="1418"/>
        <w:rPr>
          <w:rFonts w:hint="eastAsia" w:ascii="宋体" w:hAnsi="宋体" w:cs="宋体"/>
          <w:szCs w:val="22"/>
        </w:rPr>
      </w:pPr>
      <w:r>
        <w:rPr>
          <w:rFonts w:hint="eastAsia" w:ascii="宋体" w:hAnsi="宋体" w:cs="宋体"/>
        </w:rPr>
        <w:t>投诉</w:t>
      </w:r>
      <w:r>
        <w:rPr>
          <w:rFonts w:hint="eastAsia" w:ascii="宋体" w:hAnsi="宋体" w:cs="宋体"/>
          <w:szCs w:val="22"/>
        </w:rPr>
        <w:t>地址：瑞安市财政局大楼15楼</w:t>
      </w:r>
    </w:p>
    <w:p>
      <w:pPr>
        <w:tabs>
          <w:tab w:val="left" w:pos="425"/>
          <w:tab w:val="left" w:pos="1133"/>
        </w:tabs>
        <w:spacing w:line="400" w:lineRule="atLeast"/>
        <w:ind w:left="1418"/>
        <w:rPr>
          <w:rFonts w:hint="eastAsia" w:ascii="宋体" w:hAnsi="宋体" w:cs="宋体"/>
        </w:rPr>
      </w:pPr>
      <w:r>
        <w:rPr>
          <w:rFonts w:hint="eastAsia" w:ascii="宋体" w:hAnsi="宋体" w:cs="宋体"/>
          <w:szCs w:val="22"/>
        </w:rPr>
        <w:t>投诉</w:t>
      </w:r>
      <w:r>
        <w:rPr>
          <w:rFonts w:hint="eastAsia" w:ascii="宋体" w:hAnsi="宋体" w:cs="宋体"/>
        </w:rPr>
        <w:t>电话：0577-65827570</w:t>
      </w:r>
    </w:p>
    <w:p>
      <w:pPr>
        <w:pStyle w:val="4"/>
        <w:spacing w:before="120" w:beforeLines="50" w:after="120" w:afterLines="50" w:line="240" w:lineRule="auto"/>
        <w:jc w:val="center"/>
        <w:rPr>
          <w:rFonts w:hint="eastAsia" w:ascii="宋体" w:hAnsi="宋体" w:eastAsia="宋体" w:cs="宋体"/>
          <w:sz w:val="24"/>
          <w:szCs w:val="24"/>
        </w:rPr>
      </w:pPr>
      <w:bookmarkStart w:id="9" w:name="_Toc30849"/>
      <w:r>
        <w:rPr>
          <w:rFonts w:hint="eastAsia" w:ascii="宋体" w:hAnsi="宋体" w:eastAsia="宋体" w:cs="宋体"/>
          <w:sz w:val="24"/>
          <w:szCs w:val="24"/>
        </w:rPr>
        <w:t>（七）授予合同</w:t>
      </w:r>
      <w:bookmarkEnd w:id="9"/>
    </w:p>
    <w:p>
      <w:pPr>
        <w:numPr>
          <w:ilvl w:val="0"/>
          <w:numId w:val="10"/>
        </w:numPr>
        <w:snapToGrid w:val="0"/>
        <w:spacing w:line="400" w:lineRule="atLeast"/>
        <w:jc w:val="both"/>
        <w:rPr>
          <w:rFonts w:hint="eastAsia" w:ascii="宋体" w:hAnsi="宋体" w:cs="宋体"/>
        </w:rPr>
      </w:pPr>
      <w:r>
        <w:rPr>
          <w:rFonts w:hint="eastAsia" w:ascii="宋体" w:hAnsi="宋体" w:cs="宋体"/>
          <w:b/>
          <w:sz w:val="24"/>
        </w:rPr>
        <w:t>中标通知</w:t>
      </w:r>
    </w:p>
    <w:p>
      <w:pPr>
        <w:numPr>
          <w:ilvl w:val="1"/>
          <w:numId w:val="10"/>
        </w:numPr>
        <w:snapToGrid w:val="0"/>
        <w:spacing w:line="400" w:lineRule="atLeast"/>
        <w:jc w:val="both"/>
        <w:rPr>
          <w:rFonts w:hint="eastAsia" w:ascii="宋体" w:hAnsi="宋体" w:cs="宋体"/>
        </w:rPr>
      </w:pPr>
      <w:r>
        <w:rPr>
          <w:rFonts w:hint="eastAsia" w:ascii="宋体" w:hAnsi="宋体" w:cs="宋体"/>
        </w:rPr>
        <w:t>在投标有效期期满之前，招标代理机构将用书面形式向获接受的投标供应商发出书面的《中标通知书》。《中标通知书》将是合同的一个组成部分。</w:t>
      </w:r>
    </w:p>
    <w:p>
      <w:pPr>
        <w:numPr>
          <w:ilvl w:val="0"/>
          <w:numId w:val="10"/>
        </w:numPr>
        <w:snapToGrid w:val="0"/>
        <w:spacing w:line="400" w:lineRule="atLeast"/>
        <w:jc w:val="both"/>
        <w:rPr>
          <w:rFonts w:hint="eastAsia" w:ascii="宋体" w:hAnsi="宋体" w:cs="宋体"/>
        </w:rPr>
      </w:pPr>
      <w:r>
        <w:rPr>
          <w:rFonts w:hint="eastAsia" w:ascii="宋体" w:hAnsi="宋体" w:cs="宋体"/>
          <w:b/>
          <w:sz w:val="24"/>
        </w:rPr>
        <w:t>签订</w:t>
      </w:r>
      <w:r>
        <w:rPr>
          <w:rFonts w:hint="eastAsia" w:ascii="宋体" w:hAnsi="宋体" w:cs="宋体"/>
          <w:b/>
          <w:sz w:val="24"/>
          <w:szCs w:val="22"/>
        </w:rPr>
        <w:t>合同</w:t>
      </w:r>
    </w:p>
    <w:p>
      <w:pPr>
        <w:numPr>
          <w:ilvl w:val="1"/>
          <w:numId w:val="10"/>
        </w:numPr>
        <w:snapToGrid w:val="0"/>
        <w:spacing w:line="400" w:lineRule="atLeast"/>
        <w:jc w:val="both"/>
        <w:rPr>
          <w:rFonts w:hint="eastAsia" w:ascii="宋体" w:hAnsi="宋体" w:cs="宋体"/>
          <w:sz w:val="24"/>
        </w:rPr>
      </w:pPr>
      <w:r>
        <w:rPr>
          <w:rFonts w:hint="eastAsia" w:ascii="宋体" w:hAnsi="宋体" w:cs="宋体"/>
        </w:rPr>
        <w:t>中标</w:t>
      </w:r>
      <w:r>
        <w:rPr>
          <w:rFonts w:hint="eastAsia" w:ascii="宋体" w:hAnsi="宋体" w:cs="宋体"/>
          <w:szCs w:val="22"/>
          <w:lang w:val="zh-CN"/>
        </w:rPr>
        <w:t>供应商</w:t>
      </w:r>
      <w:r>
        <w:rPr>
          <w:rFonts w:hint="eastAsia" w:ascii="宋体" w:hAnsi="宋体" w:cs="宋体"/>
          <w:bCs/>
          <w:kern w:val="16"/>
          <w:szCs w:val="21"/>
        </w:rPr>
        <w:t>自发出中标通知书后</w:t>
      </w:r>
      <w:r>
        <w:rPr>
          <w:rFonts w:hint="eastAsia" w:ascii="宋体" w:hAnsi="宋体" w:cs="宋体"/>
          <w:b/>
          <w:kern w:val="16"/>
          <w:szCs w:val="21"/>
        </w:rPr>
        <w:t>30天</w:t>
      </w:r>
      <w:r>
        <w:rPr>
          <w:rFonts w:hint="eastAsia" w:ascii="宋体" w:hAnsi="宋体" w:cs="宋体"/>
          <w:bCs/>
          <w:kern w:val="16"/>
          <w:szCs w:val="21"/>
        </w:rPr>
        <w:t>内，必须依照《中华人民共和国政府采购法》、招标文件、投标文件的各项条款的要约与承诺，与采购人签订合同</w:t>
      </w:r>
      <w:r>
        <w:rPr>
          <w:rFonts w:hint="eastAsia" w:ascii="宋体" w:hAnsi="宋体" w:cs="宋体"/>
        </w:rPr>
        <w:t>。</w:t>
      </w:r>
    </w:p>
    <w:p>
      <w:pPr>
        <w:numPr>
          <w:ilvl w:val="1"/>
          <w:numId w:val="10"/>
        </w:numPr>
        <w:snapToGrid w:val="0"/>
        <w:spacing w:line="400" w:lineRule="atLeast"/>
        <w:jc w:val="both"/>
        <w:rPr>
          <w:rFonts w:hint="eastAsia" w:ascii="宋体" w:hAnsi="宋体" w:cs="宋体"/>
        </w:rPr>
      </w:pPr>
      <w:r>
        <w:rPr>
          <w:rFonts w:hint="eastAsia" w:ascii="宋体" w:hAnsi="宋体" w:cs="宋体"/>
        </w:rPr>
        <w:t>招标</w:t>
      </w:r>
      <w:r>
        <w:rPr>
          <w:rFonts w:hint="eastAsia" w:ascii="宋体" w:hAnsi="宋体" w:cs="宋体"/>
          <w:szCs w:val="22"/>
          <w:lang w:val="zh-CN"/>
        </w:rPr>
        <w:t>文件</w:t>
      </w:r>
      <w:r>
        <w:rPr>
          <w:rFonts w:hint="eastAsia" w:ascii="宋体" w:hAnsi="宋体" w:cs="宋体"/>
        </w:rPr>
        <w:t>、中标供应商的投标文件及其澄清文件等，均为签订经济合同的依据。</w:t>
      </w:r>
    </w:p>
    <w:p>
      <w:pPr>
        <w:numPr>
          <w:ilvl w:val="1"/>
          <w:numId w:val="10"/>
        </w:numPr>
        <w:snapToGrid w:val="0"/>
        <w:spacing w:line="400" w:lineRule="atLeast"/>
        <w:jc w:val="both"/>
        <w:rPr>
          <w:rFonts w:hint="eastAsia" w:ascii="宋体" w:hAnsi="宋体" w:cs="宋体"/>
          <w:sz w:val="24"/>
        </w:rPr>
      </w:pPr>
      <w:r>
        <w:rPr>
          <w:rFonts w:hint="eastAsia" w:ascii="宋体" w:hAnsi="宋体" w:cs="宋体"/>
        </w:rPr>
        <w:t>中标供应商不遵守招标文件或投标文件的要约、承诺，擅自修改报价或在接到中标通知书后，借故拖延、拒签合同者，赔偿采购人损失。同时，招标代理机构取消该单位的中标资格，另选其它投标供应商中标。</w:t>
      </w:r>
    </w:p>
    <w:p>
      <w:pPr>
        <w:numPr>
          <w:ilvl w:val="0"/>
          <w:numId w:val="10"/>
        </w:numPr>
        <w:snapToGrid w:val="0"/>
        <w:spacing w:line="400" w:lineRule="atLeast"/>
        <w:jc w:val="both"/>
        <w:rPr>
          <w:rFonts w:hint="eastAsia" w:ascii="宋体" w:hAnsi="宋体" w:cs="宋体"/>
          <w:b/>
          <w:sz w:val="24"/>
        </w:rPr>
      </w:pPr>
      <w:r>
        <w:rPr>
          <w:rFonts w:hint="eastAsia" w:ascii="宋体" w:hAnsi="宋体" w:cs="宋体"/>
          <w:b/>
          <w:sz w:val="24"/>
        </w:rPr>
        <w:t>采购</w:t>
      </w:r>
      <w:r>
        <w:rPr>
          <w:rFonts w:hint="eastAsia" w:ascii="宋体" w:hAnsi="宋体" w:cs="宋体"/>
          <w:b/>
          <w:sz w:val="24"/>
          <w:szCs w:val="22"/>
        </w:rPr>
        <w:t>结果</w:t>
      </w:r>
      <w:r>
        <w:rPr>
          <w:rFonts w:hint="eastAsia" w:ascii="宋体" w:hAnsi="宋体" w:cs="宋体"/>
          <w:b/>
          <w:sz w:val="24"/>
        </w:rPr>
        <w:t>通知</w:t>
      </w:r>
    </w:p>
    <w:p>
      <w:pPr>
        <w:numPr>
          <w:ilvl w:val="1"/>
          <w:numId w:val="10"/>
        </w:numPr>
        <w:snapToGrid w:val="0"/>
        <w:spacing w:line="400" w:lineRule="atLeast"/>
        <w:jc w:val="both"/>
        <w:rPr>
          <w:rFonts w:hint="eastAsia" w:ascii="宋体" w:hAnsi="宋体" w:cs="宋体"/>
        </w:rPr>
      </w:pPr>
      <w:r>
        <w:rPr>
          <w:rFonts w:hint="eastAsia" w:ascii="宋体" w:hAnsi="宋体" w:cs="宋体"/>
        </w:rPr>
        <w:t>招标</w:t>
      </w:r>
      <w:r>
        <w:rPr>
          <w:rFonts w:hint="eastAsia" w:ascii="宋体" w:hAnsi="宋体" w:cs="宋体"/>
          <w:szCs w:val="22"/>
          <w:lang w:val="zh-CN"/>
        </w:rPr>
        <w:t>代理</w:t>
      </w:r>
      <w:r>
        <w:rPr>
          <w:rFonts w:hint="eastAsia" w:ascii="宋体" w:hAnsi="宋体" w:cs="宋体"/>
        </w:rPr>
        <w:t>机构在发出《中标通知书》的同时在“浙江政府采购网” （网址：https://zfcg.czt.zj.gov.cn/new/） 发布中标结果。</w:t>
      </w:r>
    </w:p>
    <w:p>
      <w:pPr>
        <w:numPr>
          <w:ilvl w:val="0"/>
          <w:numId w:val="10"/>
        </w:numPr>
        <w:snapToGrid w:val="0"/>
        <w:spacing w:line="400" w:lineRule="atLeast"/>
        <w:jc w:val="both"/>
        <w:rPr>
          <w:rFonts w:hint="eastAsia" w:ascii="宋体" w:hAnsi="宋体" w:cs="宋体"/>
          <w:b/>
          <w:sz w:val="24"/>
          <w:szCs w:val="22"/>
        </w:rPr>
      </w:pPr>
      <w:r>
        <w:rPr>
          <w:rFonts w:hint="eastAsia" w:ascii="宋体" w:hAnsi="宋体" w:cs="宋体"/>
          <w:b/>
          <w:sz w:val="24"/>
          <w:szCs w:val="22"/>
        </w:rPr>
        <w:t>代理服务费</w:t>
      </w:r>
    </w:p>
    <w:p>
      <w:pPr>
        <w:numPr>
          <w:ilvl w:val="1"/>
          <w:numId w:val="10"/>
        </w:numPr>
        <w:snapToGrid w:val="0"/>
        <w:spacing w:line="400" w:lineRule="atLeast"/>
        <w:jc w:val="both"/>
        <w:rPr>
          <w:rFonts w:hint="eastAsia" w:ascii="宋体" w:hAnsi="宋体" w:cs="宋体"/>
          <w:szCs w:val="22"/>
        </w:rPr>
      </w:pPr>
      <w:r>
        <w:rPr>
          <w:rFonts w:hint="eastAsia" w:ascii="宋体" w:hAnsi="宋体" w:cs="宋体"/>
          <w:szCs w:val="22"/>
        </w:rPr>
        <w:t>经采购人和代理人双方协商，本次采购代理服务费由中标供应商支付，采购代理服务费</w:t>
      </w:r>
      <w:r>
        <w:rPr>
          <w:rFonts w:hint="eastAsia" w:ascii="宋体" w:hAnsi="宋体" w:cs="宋体"/>
        </w:rPr>
        <w:t>以叁年的投标总价作为收费基准价格，</w:t>
      </w:r>
      <w:r>
        <w:rPr>
          <w:rFonts w:hint="eastAsia" w:ascii="宋体" w:hAnsi="宋体" w:cs="宋体"/>
          <w:szCs w:val="22"/>
        </w:rPr>
        <w:t>按发改办价格（2003）857号文件及国家计委印发的《招标代理服务收费管理暂行办法》计价格【2002】1980号文件的收费标准收取。采购代理服务费不在报价中单列（各投标供应商应在报价中予以考虑），该费用必须在领取中标通知书前付清。</w:t>
      </w:r>
    </w:p>
    <w:p>
      <w:pPr>
        <w:pStyle w:val="3"/>
        <w:keepNext w:val="0"/>
        <w:keepLines w:val="0"/>
        <w:pageBreakBefore/>
        <w:spacing w:before="480" w:beforeLines="200" w:after="240" w:afterLines="100" w:line="240" w:lineRule="auto"/>
        <w:jc w:val="center"/>
        <w:rPr>
          <w:rFonts w:hint="eastAsia" w:ascii="宋体" w:hAnsi="宋体" w:eastAsia="宋体" w:cs="宋体"/>
          <w:sz w:val="28"/>
          <w:szCs w:val="36"/>
        </w:rPr>
      </w:pPr>
      <w:bookmarkStart w:id="10" w:name="_Toc28850"/>
      <w:r>
        <w:rPr>
          <w:rFonts w:hint="eastAsia" w:ascii="宋体" w:hAnsi="宋体" w:eastAsia="宋体" w:cs="宋体"/>
          <w:sz w:val="28"/>
          <w:szCs w:val="36"/>
        </w:rPr>
        <w:t>第三部分  招标内容及要求</w:t>
      </w:r>
      <w:bookmarkEnd w:id="10"/>
    </w:p>
    <w:p>
      <w:pPr>
        <w:adjustRightInd w:val="0"/>
        <w:snapToGrid w:val="0"/>
        <w:spacing w:line="400" w:lineRule="exact"/>
        <w:ind w:firstLine="433" w:firstLineChars="196"/>
        <w:outlineLvl w:val="1"/>
        <w:rPr>
          <w:rFonts w:hint="eastAsia" w:ascii="宋体" w:hAnsi="宋体" w:cs="宋体"/>
          <w:b/>
          <w:sz w:val="22"/>
          <w:szCs w:val="22"/>
        </w:rPr>
      </w:pPr>
      <w:bookmarkStart w:id="11" w:name="_Toc10008"/>
      <w:bookmarkStart w:id="12" w:name="_Toc19634"/>
      <w:bookmarkStart w:id="13" w:name="_Toc10004"/>
      <w:bookmarkStart w:id="14" w:name="_Toc196474518"/>
      <w:r>
        <w:rPr>
          <w:rFonts w:hint="eastAsia" w:ascii="宋体" w:hAnsi="宋体" w:cs="宋体"/>
          <w:b/>
          <w:sz w:val="22"/>
          <w:szCs w:val="22"/>
        </w:rPr>
        <w:t>一、概述</w:t>
      </w:r>
      <w:bookmarkEnd w:id="11"/>
      <w:bookmarkEnd w:id="12"/>
      <w:bookmarkEnd w:id="13"/>
    </w:p>
    <w:p>
      <w:pPr>
        <w:tabs>
          <w:tab w:val="left" w:pos="540"/>
        </w:tabs>
        <w:adjustRightInd w:val="0"/>
        <w:snapToGrid w:val="0"/>
        <w:spacing w:line="400" w:lineRule="exact"/>
        <w:ind w:firstLine="315" w:firstLineChars="150"/>
        <w:rPr>
          <w:rFonts w:hint="eastAsia" w:ascii="宋体" w:hAnsi="宋体" w:cs="宋体"/>
          <w:szCs w:val="21"/>
        </w:rPr>
      </w:pPr>
      <w:r>
        <w:rPr>
          <w:rFonts w:hint="eastAsia" w:ascii="宋体" w:hAnsi="宋体" w:cs="宋体"/>
          <w:szCs w:val="21"/>
        </w:rPr>
        <w:t>（一）投标供应商必须完成招标内容和合同规定义务，不允许只对部分内容进行报价。</w:t>
      </w:r>
    </w:p>
    <w:p>
      <w:pPr>
        <w:tabs>
          <w:tab w:val="left" w:pos="540"/>
        </w:tabs>
        <w:adjustRightInd w:val="0"/>
        <w:snapToGrid w:val="0"/>
        <w:spacing w:line="400" w:lineRule="exact"/>
        <w:ind w:firstLine="310" w:firstLineChars="147"/>
        <w:rPr>
          <w:rFonts w:hint="eastAsia" w:ascii="宋体" w:hAnsi="宋体" w:cs="宋体"/>
          <w:szCs w:val="21"/>
        </w:rPr>
      </w:pPr>
      <w:r>
        <w:rPr>
          <w:rFonts w:hint="eastAsia" w:ascii="宋体" w:hAnsi="宋体" w:cs="宋体"/>
          <w:b/>
          <w:szCs w:val="21"/>
        </w:rPr>
        <w:t>（二）现场踏勘：各投标供应商于投标截止时间前自行到现场进行踏勘，以获取本次投标所需的现场资料及数据，投标供应商若未到现场踏勘，引起的一切后果均由其自行负责，由此造成投标价的偏差均不予调整。现场踏勘费用自理。</w:t>
      </w:r>
    </w:p>
    <w:p>
      <w:pPr>
        <w:tabs>
          <w:tab w:val="left" w:pos="540"/>
        </w:tabs>
        <w:adjustRightInd w:val="0"/>
        <w:snapToGrid w:val="0"/>
        <w:spacing w:line="400" w:lineRule="exact"/>
        <w:ind w:firstLine="315" w:firstLineChars="150"/>
        <w:rPr>
          <w:rFonts w:hint="eastAsia" w:ascii="宋体" w:hAnsi="宋体" w:cs="宋体"/>
          <w:szCs w:val="21"/>
        </w:rPr>
      </w:pPr>
      <w:r>
        <w:rPr>
          <w:rFonts w:hint="eastAsia" w:ascii="宋体" w:hAnsi="宋体" w:cs="宋体"/>
          <w:szCs w:val="21"/>
        </w:rPr>
        <w:t>（三）▲</w:t>
      </w:r>
      <w:r>
        <w:rPr>
          <w:rFonts w:hint="eastAsia" w:ascii="宋体" w:hAnsi="宋体" w:cs="宋体"/>
          <w:bCs/>
        </w:rPr>
        <w:t>投标供应商需要对本次招标的全部招标内容进行投标，不允许只对其中部分内容进行投标，谢绝联合投标。</w:t>
      </w:r>
    </w:p>
    <w:p>
      <w:pPr>
        <w:tabs>
          <w:tab w:val="left" w:pos="540"/>
        </w:tabs>
        <w:adjustRightInd w:val="0"/>
        <w:snapToGrid w:val="0"/>
        <w:spacing w:line="400" w:lineRule="exact"/>
        <w:ind w:firstLine="315" w:firstLineChars="150"/>
        <w:rPr>
          <w:rFonts w:hint="eastAsia" w:ascii="宋体" w:hAnsi="宋体" w:cs="宋体"/>
          <w:szCs w:val="21"/>
        </w:rPr>
      </w:pPr>
      <w:r>
        <w:rPr>
          <w:rFonts w:hint="eastAsia" w:ascii="宋体" w:hAnsi="宋体" w:cs="宋体"/>
          <w:bCs/>
        </w:rPr>
        <w:t>（四）投标供应商应按招标文件的要求完成采购工作。按工作顺序提交所需的无论其是否被明细列在合同文件中的所有资料，提供的货物和服务必须满足招标文件中提出的相关要求。</w:t>
      </w:r>
    </w:p>
    <w:p>
      <w:pPr>
        <w:tabs>
          <w:tab w:val="left" w:pos="540"/>
        </w:tabs>
        <w:adjustRightInd w:val="0"/>
        <w:snapToGrid w:val="0"/>
        <w:spacing w:line="400" w:lineRule="exact"/>
        <w:ind w:firstLine="315" w:firstLineChars="150"/>
        <w:rPr>
          <w:rFonts w:hint="eastAsia" w:ascii="宋体" w:hAnsi="宋体" w:cs="宋体"/>
          <w:szCs w:val="21"/>
        </w:rPr>
      </w:pPr>
      <w:r>
        <w:rPr>
          <w:rFonts w:hint="eastAsia" w:ascii="宋体" w:hAnsi="宋体" w:cs="宋体"/>
          <w:szCs w:val="21"/>
        </w:rPr>
        <w:t>（五）在投标之前，投标供应商须仔细阅读招标文件，如发现有任何疑问、冲突或技术问题，投标供应商在答疑截止时间前以书面形式向采购代理机构提出。逾期采购人不再作答复，有关风险及责任由投标供应商自行承担。</w:t>
      </w:r>
    </w:p>
    <w:p>
      <w:pPr>
        <w:tabs>
          <w:tab w:val="left" w:pos="540"/>
        </w:tabs>
        <w:adjustRightInd w:val="0"/>
        <w:snapToGrid w:val="0"/>
        <w:spacing w:line="400" w:lineRule="exact"/>
        <w:ind w:firstLine="315" w:firstLineChars="150"/>
        <w:rPr>
          <w:rFonts w:hint="eastAsia" w:ascii="宋体" w:hAnsi="宋体" w:cs="宋体"/>
          <w:snapToGrid w:val="0"/>
        </w:rPr>
      </w:pPr>
      <w:r>
        <w:rPr>
          <w:rFonts w:hint="eastAsia" w:ascii="宋体" w:hAnsi="宋体" w:cs="宋体"/>
          <w:szCs w:val="21"/>
        </w:rPr>
        <w:t>（六）投标供应商须对招标文件中各个条款一一给予实质性答复，</w:t>
      </w:r>
      <w:r>
        <w:rPr>
          <w:rFonts w:hint="eastAsia" w:ascii="宋体" w:hAnsi="宋体" w:cs="宋体"/>
          <w:szCs w:val="21"/>
          <w:u w:val="wave"/>
        </w:rPr>
        <w:t>否则有可能导致作无效标处理。</w:t>
      </w:r>
      <w:r>
        <w:rPr>
          <w:rFonts w:hint="eastAsia" w:ascii="宋体" w:hAnsi="宋体" w:cs="宋体"/>
          <w:b/>
          <w:szCs w:val="21"/>
        </w:rPr>
        <w:t xml:space="preserve">  </w:t>
      </w:r>
    </w:p>
    <w:p>
      <w:pPr>
        <w:adjustRightInd w:val="0"/>
        <w:snapToGrid w:val="0"/>
        <w:spacing w:line="400" w:lineRule="exact"/>
        <w:ind w:firstLine="433" w:firstLineChars="196"/>
        <w:outlineLvl w:val="1"/>
        <w:rPr>
          <w:rFonts w:hint="eastAsia" w:ascii="宋体" w:hAnsi="宋体" w:cs="宋体"/>
          <w:b/>
          <w:sz w:val="22"/>
          <w:szCs w:val="22"/>
        </w:rPr>
      </w:pPr>
      <w:bookmarkStart w:id="15" w:name="_Toc7076"/>
      <w:r>
        <w:rPr>
          <w:rFonts w:hint="eastAsia" w:ascii="宋体" w:hAnsi="宋体" w:cs="宋体"/>
          <w:b/>
          <w:sz w:val="22"/>
          <w:szCs w:val="22"/>
        </w:rPr>
        <w:t>二、招标范围</w:t>
      </w:r>
      <w:bookmarkEnd w:id="14"/>
      <w:bookmarkEnd w:id="15"/>
    </w:p>
    <w:p>
      <w:pPr>
        <w:adjustRightInd w:val="0"/>
        <w:snapToGrid w:val="0"/>
        <w:spacing w:line="400" w:lineRule="exact"/>
        <w:ind w:firstLine="517" w:firstLineChars="245"/>
        <w:outlineLvl w:val="2"/>
        <w:rPr>
          <w:rFonts w:hint="eastAsia" w:ascii="宋体" w:hAnsi="宋体" w:cs="宋体"/>
          <w:b/>
          <w:szCs w:val="21"/>
        </w:rPr>
      </w:pPr>
      <w:bookmarkStart w:id="16" w:name="_Toc12376"/>
      <w:bookmarkStart w:id="17" w:name="_Toc10142"/>
      <w:bookmarkStart w:id="18" w:name="_Toc13286"/>
      <w:bookmarkStart w:id="19" w:name="_Toc22179"/>
      <w:r>
        <w:rPr>
          <w:rFonts w:hint="eastAsia" w:ascii="宋体" w:hAnsi="宋体" w:cs="宋体"/>
          <w:b/>
          <w:szCs w:val="21"/>
        </w:rPr>
        <w:t>（一）项目概况</w:t>
      </w:r>
      <w:bookmarkEnd w:id="16"/>
      <w:bookmarkEnd w:id="17"/>
      <w:bookmarkEnd w:id="18"/>
      <w:bookmarkEnd w:id="19"/>
    </w:p>
    <w:tbl>
      <w:tblPr>
        <w:tblStyle w:val="29"/>
        <w:tblW w:w="0" w:type="auto"/>
        <w:tblInd w:w="-16" w:type="dxa"/>
        <w:tblLayout w:type="fixed"/>
        <w:tblCellMar>
          <w:top w:w="0" w:type="dxa"/>
          <w:left w:w="0" w:type="dxa"/>
          <w:bottom w:w="0" w:type="dxa"/>
          <w:right w:w="0" w:type="dxa"/>
        </w:tblCellMar>
      </w:tblPr>
      <w:tblGrid>
        <w:gridCol w:w="709"/>
        <w:gridCol w:w="1418"/>
        <w:gridCol w:w="1701"/>
        <w:gridCol w:w="3134"/>
        <w:gridCol w:w="2677"/>
      </w:tblGrid>
      <w:tr>
        <w:tblPrEx>
          <w:tblCellMar>
            <w:top w:w="0" w:type="dxa"/>
            <w:left w:w="0" w:type="dxa"/>
            <w:bottom w:w="0" w:type="dxa"/>
            <w:right w:w="0" w:type="dxa"/>
          </w:tblCellMar>
        </w:tblPrEx>
        <w:trPr>
          <w:trHeight w:val="281" w:hRule="atLeast"/>
        </w:trPr>
        <w:tc>
          <w:tcPr>
            <w:tcW w:w="709" w:type="dxa"/>
            <w:tcBorders>
              <w:top w:val="single" w:color="000000" w:sz="6" w:space="0"/>
              <w:left w:val="single" w:color="000000" w:sz="6" w:space="0"/>
              <w:bottom w:val="single" w:color="000000" w:sz="6" w:space="0"/>
              <w:right w:val="single" w:color="auto" w:sz="4" w:space="0"/>
            </w:tcBorders>
            <w:noWrap w:val="0"/>
            <w:vAlign w:val="center"/>
          </w:tcPr>
          <w:p>
            <w:pPr>
              <w:spacing w:line="276" w:lineRule="auto"/>
              <w:jc w:val="center"/>
              <w:rPr>
                <w:rFonts w:hint="eastAsia" w:ascii="宋体" w:hAnsi="宋体" w:cs="宋体"/>
                <w:szCs w:val="21"/>
              </w:rPr>
            </w:pPr>
            <w:r>
              <w:rPr>
                <w:rFonts w:hint="eastAsia" w:ascii="宋体" w:hAnsi="宋体" w:cs="宋体"/>
                <w:szCs w:val="21"/>
              </w:rPr>
              <w:t>序号</w:t>
            </w:r>
          </w:p>
        </w:tc>
        <w:tc>
          <w:tcPr>
            <w:tcW w:w="1418" w:type="dxa"/>
            <w:tcBorders>
              <w:top w:val="single" w:color="000000" w:sz="6" w:space="0"/>
              <w:left w:val="single" w:color="auto" w:sz="4" w:space="0"/>
              <w:bottom w:val="single" w:color="000000" w:sz="6" w:space="0"/>
              <w:right w:val="single" w:color="000000" w:sz="6" w:space="0"/>
            </w:tcBorders>
            <w:noWrap w:val="0"/>
            <w:vAlign w:val="center"/>
          </w:tcPr>
          <w:p>
            <w:pPr>
              <w:tabs>
                <w:tab w:val="left" w:pos="426"/>
              </w:tabs>
              <w:snapToGrid w:val="0"/>
              <w:spacing w:line="300" w:lineRule="auto"/>
              <w:ind w:left="13"/>
              <w:jc w:val="center"/>
              <w:rPr>
                <w:rFonts w:hint="eastAsia" w:ascii="宋体" w:hAnsi="宋体" w:cs="宋体"/>
                <w:szCs w:val="21"/>
              </w:rPr>
            </w:pPr>
            <w:r>
              <w:rPr>
                <w:rFonts w:hint="eastAsia" w:ascii="宋体" w:hAnsi="宋体" w:cs="宋体"/>
                <w:szCs w:val="21"/>
              </w:rPr>
              <w:t>标项内容</w:t>
            </w:r>
          </w:p>
        </w:tc>
        <w:tc>
          <w:tcPr>
            <w:tcW w:w="1701" w:type="dxa"/>
            <w:tcBorders>
              <w:top w:val="single" w:color="000000" w:sz="6" w:space="0"/>
              <w:left w:val="single" w:color="000000" w:sz="6" w:space="0"/>
              <w:bottom w:val="single" w:color="000000" w:sz="6" w:space="0"/>
              <w:right w:val="single" w:color="000000" w:sz="6" w:space="0"/>
            </w:tcBorders>
            <w:noWrap w:val="0"/>
            <w:tcMar>
              <w:top w:w="30" w:type="dxa"/>
              <w:left w:w="30" w:type="dxa"/>
              <w:bottom w:w="30" w:type="dxa"/>
              <w:right w:w="30" w:type="dxa"/>
            </w:tcMar>
            <w:vAlign w:val="center"/>
          </w:tcPr>
          <w:p>
            <w:pPr>
              <w:spacing w:line="276" w:lineRule="auto"/>
              <w:jc w:val="center"/>
              <w:rPr>
                <w:rFonts w:hint="eastAsia" w:ascii="宋体" w:hAnsi="宋体" w:cs="宋体"/>
                <w:szCs w:val="21"/>
              </w:rPr>
            </w:pPr>
            <w:r>
              <w:rPr>
                <w:rFonts w:hint="eastAsia" w:ascii="宋体" w:hAnsi="宋体" w:cs="宋体"/>
                <w:szCs w:val="21"/>
              </w:rPr>
              <w:t>采购人</w:t>
            </w:r>
          </w:p>
        </w:tc>
        <w:tc>
          <w:tcPr>
            <w:tcW w:w="3134" w:type="dxa"/>
            <w:tcBorders>
              <w:top w:val="single" w:color="000000" w:sz="6" w:space="0"/>
              <w:left w:val="single" w:color="000000" w:sz="6" w:space="0"/>
              <w:bottom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b/>
                <w:szCs w:val="21"/>
              </w:rPr>
            </w:pPr>
            <w:r>
              <w:rPr>
                <w:rFonts w:hint="eastAsia" w:ascii="宋体" w:hAnsi="宋体" w:cs="宋体"/>
                <w:b/>
                <w:szCs w:val="21"/>
              </w:rPr>
              <w:t>简要技术要求、用途</w:t>
            </w:r>
          </w:p>
        </w:tc>
        <w:tc>
          <w:tcPr>
            <w:tcW w:w="2677" w:type="dxa"/>
            <w:tcBorders>
              <w:top w:val="single" w:color="000000" w:sz="6" w:space="0"/>
              <w:left w:val="single" w:color="000000" w:sz="6" w:space="0"/>
              <w:bottom w:val="single" w:color="000000" w:sz="6" w:space="0"/>
              <w:right w:val="single" w:color="000000" w:sz="6" w:space="0"/>
            </w:tcBorders>
            <w:noWrap w:val="0"/>
            <w:vAlign w:val="top"/>
          </w:tcPr>
          <w:p>
            <w:pPr>
              <w:spacing w:line="276" w:lineRule="auto"/>
              <w:rPr>
                <w:rFonts w:hint="eastAsia" w:ascii="宋体" w:hAnsi="宋体" w:cs="宋体"/>
                <w:sz w:val="22"/>
              </w:rPr>
            </w:pPr>
            <w:r>
              <w:rPr>
                <w:rFonts w:hint="eastAsia" w:ascii="宋体" w:hAnsi="宋体" w:cs="宋体"/>
                <w:sz w:val="22"/>
              </w:rPr>
              <w:t>备注</w:t>
            </w:r>
          </w:p>
        </w:tc>
      </w:tr>
      <w:tr>
        <w:tblPrEx>
          <w:tblCellMar>
            <w:top w:w="0" w:type="dxa"/>
            <w:left w:w="0" w:type="dxa"/>
            <w:bottom w:w="0" w:type="dxa"/>
            <w:right w:w="0" w:type="dxa"/>
          </w:tblCellMar>
        </w:tblPrEx>
        <w:trPr>
          <w:trHeight w:val="1137" w:hRule="atLeast"/>
        </w:trPr>
        <w:tc>
          <w:tcPr>
            <w:tcW w:w="709" w:type="dxa"/>
            <w:tcBorders>
              <w:top w:val="single" w:color="000000" w:sz="6" w:space="0"/>
              <w:left w:val="single" w:color="000000" w:sz="6" w:space="0"/>
              <w:bottom w:val="single" w:color="000000" w:sz="6" w:space="0"/>
              <w:right w:val="single" w:color="auto" w:sz="4" w:space="0"/>
            </w:tcBorders>
            <w:noWrap w:val="0"/>
            <w:vAlign w:val="center"/>
          </w:tcPr>
          <w:p>
            <w:pPr>
              <w:spacing w:line="276" w:lineRule="auto"/>
              <w:jc w:val="center"/>
              <w:rPr>
                <w:rFonts w:hint="eastAsia" w:ascii="宋体" w:hAnsi="宋体" w:cs="宋体"/>
                <w:szCs w:val="21"/>
              </w:rPr>
            </w:pPr>
            <w:bookmarkStart w:id="20" w:name="_Toc174420629"/>
            <w:bookmarkStart w:id="21" w:name="_Toc196474520"/>
            <w:r>
              <w:rPr>
                <w:rFonts w:hint="eastAsia" w:ascii="宋体" w:hAnsi="宋体" w:cs="宋体"/>
                <w:szCs w:val="21"/>
              </w:rPr>
              <w:t>1</w:t>
            </w:r>
          </w:p>
        </w:tc>
        <w:tc>
          <w:tcPr>
            <w:tcW w:w="1418" w:type="dxa"/>
            <w:tcBorders>
              <w:top w:val="single" w:color="000000" w:sz="6" w:space="0"/>
              <w:left w:val="single" w:color="auto" w:sz="4" w:space="0"/>
              <w:bottom w:val="single" w:color="000000" w:sz="6" w:space="0"/>
              <w:right w:val="single" w:color="000000" w:sz="6" w:space="0"/>
            </w:tcBorders>
            <w:noWrap w:val="0"/>
            <w:vAlign w:val="center"/>
          </w:tcPr>
          <w:p>
            <w:pPr>
              <w:spacing w:line="276" w:lineRule="auto"/>
              <w:rPr>
                <w:rFonts w:hint="eastAsia" w:ascii="宋体" w:hAnsi="宋体" w:cs="宋体"/>
                <w:sz w:val="22"/>
              </w:rPr>
            </w:pPr>
            <w:r>
              <w:rPr>
                <w:rFonts w:hint="eastAsia" w:ascii="宋体" w:hAnsi="宋体" w:cs="宋体"/>
                <w:sz w:val="22"/>
              </w:rPr>
              <w:t>玉海街道“一把扫帚”环卫保洁一体化项目</w:t>
            </w:r>
          </w:p>
        </w:tc>
        <w:tc>
          <w:tcPr>
            <w:tcW w:w="1701" w:type="dxa"/>
            <w:vMerge w:val="restart"/>
            <w:tcBorders>
              <w:top w:val="single" w:color="000000" w:sz="6" w:space="0"/>
              <w:left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sz w:val="22"/>
              </w:rPr>
            </w:pPr>
            <w:r>
              <w:rPr>
                <w:rFonts w:hint="eastAsia" w:ascii="宋体" w:hAnsi="宋体" w:cs="宋体"/>
                <w:szCs w:val="21"/>
              </w:rPr>
              <w:t>瑞安市综合行政执法局、瑞安市玉海街道办事处、瑞安市锦湖街道办事处、瑞安市潘岱街道办事处</w:t>
            </w:r>
          </w:p>
        </w:tc>
        <w:tc>
          <w:tcPr>
            <w:tcW w:w="3134" w:type="dxa"/>
            <w:vMerge w:val="restart"/>
            <w:tcBorders>
              <w:top w:val="single" w:color="000000" w:sz="6" w:space="0"/>
              <w:left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sz w:val="22"/>
              </w:rPr>
            </w:pPr>
            <w:r>
              <w:rPr>
                <w:rFonts w:hint="eastAsia" w:ascii="宋体" w:hAnsi="宋体" w:cs="宋体"/>
                <w:sz w:val="22"/>
              </w:rPr>
              <w:t>包括道路（含公路）、公园、广场及公共绿地、市政设施、城市家具</w:t>
            </w:r>
            <w:r>
              <w:rPr>
                <w:rFonts w:hint="eastAsia" w:ascii="宋体" w:hAnsi="宋体" w:cs="宋体"/>
                <w:color w:val="auto"/>
                <w:sz w:val="22"/>
              </w:rPr>
              <w:t>、飞云江堤坝、</w:t>
            </w:r>
            <w:r>
              <w:rPr>
                <w:rFonts w:hint="eastAsia" w:ascii="宋体" w:hAnsi="宋体" w:cs="宋体"/>
                <w:sz w:val="22"/>
              </w:rPr>
              <w:t>河道、公厕的保洁清运；小广告的治理；无主的建筑垃圾清运处置；垃圾分类及清运等公共区域内所有环卫保洁项目；具体要求以招标文件及采购人业务要求为准。</w:t>
            </w:r>
          </w:p>
        </w:tc>
        <w:tc>
          <w:tcPr>
            <w:tcW w:w="2677" w:type="dxa"/>
            <w:vMerge w:val="restart"/>
            <w:tcBorders>
              <w:top w:val="single" w:color="000000" w:sz="6" w:space="0"/>
              <w:left w:val="single" w:color="000000" w:sz="6" w:space="0"/>
              <w:right w:val="single" w:color="000000" w:sz="6" w:space="0"/>
            </w:tcBorders>
            <w:noWrap w:val="0"/>
            <w:vAlign w:val="top"/>
          </w:tcPr>
          <w:p>
            <w:pPr>
              <w:spacing w:line="276" w:lineRule="auto"/>
              <w:rPr>
                <w:rFonts w:hint="eastAsia" w:ascii="宋体" w:hAnsi="宋体" w:cs="宋体"/>
                <w:sz w:val="22"/>
              </w:rPr>
            </w:pPr>
            <w:r>
              <w:rPr>
                <w:rFonts w:hint="eastAsia" w:ascii="宋体" w:hAnsi="宋体" w:cs="宋体"/>
                <w:sz w:val="22"/>
              </w:rPr>
              <w:t>为便于管理及考虑区域实际情况，本项目按一个标项进行公开招标，由一家中标供应商承担服务，但中标合同须分别与瑞安市综合行政执法局、瑞安市玉海街道办事处；瑞安市综合行政执法局、瑞安市锦湖街道办事处；瑞安市综合行政执法局、瑞安市潘岱街道办事处签订。</w:t>
            </w:r>
          </w:p>
        </w:tc>
      </w:tr>
      <w:tr>
        <w:tblPrEx>
          <w:tblCellMar>
            <w:top w:w="0" w:type="dxa"/>
            <w:left w:w="0" w:type="dxa"/>
            <w:bottom w:w="0" w:type="dxa"/>
            <w:right w:w="0" w:type="dxa"/>
          </w:tblCellMar>
        </w:tblPrEx>
        <w:trPr>
          <w:trHeight w:val="1137" w:hRule="atLeast"/>
        </w:trPr>
        <w:tc>
          <w:tcPr>
            <w:tcW w:w="709" w:type="dxa"/>
            <w:tcBorders>
              <w:top w:val="single" w:color="000000" w:sz="6" w:space="0"/>
              <w:left w:val="single" w:color="000000" w:sz="6" w:space="0"/>
              <w:bottom w:val="single" w:color="000000" w:sz="6" w:space="0"/>
              <w:right w:val="single" w:color="auto" w:sz="4" w:space="0"/>
            </w:tcBorders>
            <w:noWrap w:val="0"/>
            <w:vAlign w:val="center"/>
          </w:tcPr>
          <w:p>
            <w:pPr>
              <w:spacing w:line="276" w:lineRule="auto"/>
              <w:jc w:val="center"/>
              <w:rPr>
                <w:rFonts w:hint="eastAsia" w:ascii="宋体" w:hAnsi="宋体" w:cs="宋体"/>
                <w:szCs w:val="21"/>
              </w:rPr>
            </w:pPr>
            <w:r>
              <w:rPr>
                <w:rFonts w:hint="eastAsia" w:ascii="宋体" w:hAnsi="宋体" w:cs="宋体"/>
                <w:szCs w:val="21"/>
              </w:rPr>
              <w:t>2</w:t>
            </w:r>
          </w:p>
        </w:tc>
        <w:tc>
          <w:tcPr>
            <w:tcW w:w="1418" w:type="dxa"/>
            <w:tcBorders>
              <w:top w:val="single" w:color="000000" w:sz="6" w:space="0"/>
              <w:left w:val="single" w:color="auto" w:sz="4" w:space="0"/>
              <w:bottom w:val="single" w:color="000000" w:sz="6" w:space="0"/>
              <w:right w:val="single" w:color="000000" w:sz="6" w:space="0"/>
            </w:tcBorders>
            <w:noWrap w:val="0"/>
            <w:vAlign w:val="center"/>
          </w:tcPr>
          <w:p>
            <w:pPr>
              <w:spacing w:line="276" w:lineRule="auto"/>
              <w:rPr>
                <w:rFonts w:hint="eastAsia" w:ascii="宋体" w:hAnsi="宋体" w:cs="宋体"/>
                <w:sz w:val="22"/>
              </w:rPr>
            </w:pPr>
            <w:r>
              <w:rPr>
                <w:rFonts w:hint="eastAsia" w:ascii="宋体" w:hAnsi="宋体" w:cs="宋体"/>
                <w:szCs w:val="21"/>
              </w:rPr>
              <w:t>锦湖街道</w:t>
            </w:r>
            <w:r>
              <w:rPr>
                <w:rFonts w:hint="eastAsia" w:ascii="宋体" w:hAnsi="宋体" w:cs="宋体"/>
                <w:sz w:val="22"/>
              </w:rPr>
              <w:t>“一把扫帚”环卫保洁一体化项目</w:t>
            </w:r>
          </w:p>
        </w:tc>
        <w:tc>
          <w:tcPr>
            <w:tcW w:w="1701" w:type="dxa"/>
            <w:vMerge w:val="continue"/>
            <w:tcBorders>
              <w:left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szCs w:val="21"/>
              </w:rPr>
            </w:pPr>
          </w:p>
        </w:tc>
        <w:tc>
          <w:tcPr>
            <w:tcW w:w="3134" w:type="dxa"/>
            <w:vMerge w:val="continue"/>
            <w:tcBorders>
              <w:left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sz w:val="22"/>
              </w:rPr>
            </w:pPr>
          </w:p>
        </w:tc>
        <w:tc>
          <w:tcPr>
            <w:tcW w:w="2677" w:type="dxa"/>
            <w:vMerge w:val="continue"/>
            <w:tcBorders>
              <w:left w:val="single" w:color="000000" w:sz="6" w:space="0"/>
              <w:right w:val="single" w:color="000000" w:sz="6" w:space="0"/>
            </w:tcBorders>
            <w:noWrap w:val="0"/>
            <w:vAlign w:val="top"/>
          </w:tcPr>
          <w:p>
            <w:pPr>
              <w:spacing w:line="276" w:lineRule="auto"/>
              <w:rPr>
                <w:rFonts w:hint="eastAsia" w:ascii="宋体" w:hAnsi="宋体" w:cs="宋体"/>
                <w:sz w:val="22"/>
              </w:rPr>
            </w:pPr>
          </w:p>
        </w:tc>
      </w:tr>
      <w:tr>
        <w:tblPrEx>
          <w:tblCellMar>
            <w:top w:w="0" w:type="dxa"/>
            <w:left w:w="0" w:type="dxa"/>
            <w:bottom w:w="0" w:type="dxa"/>
            <w:right w:w="0" w:type="dxa"/>
          </w:tblCellMar>
        </w:tblPrEx>
        <w:trPr>
          <w:trHeight w:val="1469" w:hRule="atLeast"/>
        </w:trPr>
        <w:tc>
          <w:tcPr>
            <w:tcW w:w="709" w:type="dxa"/>
            <w:tcBorders>
              <w:top w:val="single" w:color="000000" w:sz="6" w:space="0"/>
              <w:left w:val="single" w:color="000000" w:sz="6" w:space="0"/>
              <w:bottom w:val="single" w:color="000000" w:sz="6" w:space="0"/>
              <w:right w:val="single" w:color="auto" w:sz="4" w:space="0"/>
            </w:tcBorders>
            <w:noWrap w:val="0"/>
            <w:vAlign w:val="center"/>
          </w:tcPr>
          <w:p>
            <w:pPr>
              <w:spacing w:line="276" w:lineRule="auto"/>
              <w:jc w:val="center"/>
              <w:rPr>
                <w:rFonts w:hint="eastAsia" w:ascii="宋体" w:hAnsi="宋体" w:cs="宋体"/>
                <w:szCs w:val="21"/>
              </w:rPr>
            </w:pPr>
            <w:r>
              <w:rPr>
                <w:rFonts w:hint="eastAsia" w:ascii="宋体" w:hAnsi="宋体" w:cs="宋体"/>
                <w:szCs w:val="21"/>
              </w:rPr>
              <w:t>3</w:t>
            </w:r>
          </w:p>
        </w:tc>
        <w:tc>
          <w:tcPr>
            <w:tcW w:w="1418" w:type="dxa"/>
            <w:tcBorders>
              <w:top w:val="single" w:color="000000" w:sz="6" w:space="0"/>
              <w:left w:val="single" w:color="auto" w:sz="4" w:space="0"/>
              <w:bottom w:val="single" w:color="000000" w:sz="6" w:space="0"/>
              <w:right w:val="single" w:color="000000" w:sz="6" w:space="0"/>
            </w:tcBorders>
            <w:noWrap w:val="0"/>
            <w:vAlign w:val="center"/>
          </w:tcPr>
          <w:p>
            <w:pPr>
              <w:spacing w:line="276" w:lineRule="auto"/>
              <w:rPr>
                <w:rFonts w:hint="eastAsia" w:ascii="宋体" w:hAnsi="宋体" w:cs="宋体"/>
                <w:sz w:val="22"/>
              </w:rPr>
            </w:pPr>
            <w:r>
              <w:rPr>
                <w:rFonts w:hint="eastAsia" w:ascii="宋体" w:hAnsi="宋体" w:cs="宋体"/>
                <w:szCs w:val="21"/>
              </w:rPr>
              <w:t>潘岱街道</w:t>
            </w:r>
            <w:r>
              <w:rPr>
                <w:rFonts w:hint="eastAsia" w:ascii="宋体" w:hAnsi="宋体" w:cs="宋体"/>
                <w:sz w:val="22"/>
              </w:rPr>
              <w:t>“一把扫帚”环卫保洁一体化项目</w:t>
            </w:r>
          </w:p>
        </w:tc>
        <w:tc>
          <w:tcPr>
            <w:tcW w:w="1701" w:type="dxa"/>
            <w:vMerge w:val="continue"/>
            <w:tcBorders>
              <w:left w:val="single" w:color="000000" w:sz="6" w:space="0"/>
              <w:bottom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sz w:val="22"/>
              </w:rPr>
            </w:pPr>
          </w:p>
        </w:tc>
        <w:tc>
          <w:tcPr>
            <w:tcW w:w="3134" w:type="dxa"/>
            <w:vMerge w:val="continue"/>
            <w:tcBorders>
              <w:left w:val="single" w:color="000000" w:sz="6" w:space="0"/>
              <w:bottom w:val="single" w:color="000000" w:sz="6" w:space="0"/>
              <w:right w:val="single" w:color="000000" w:sz="6" w:space="0"/>
            </w:tcBorders>
            <w:noWrap w:val="0"/>
            <w:tcMar>
              <w:top w:w="30" w:type="dxa"/>
              <w:left w:w="30" w:type="dxa"/>
              <w:bottom w:w="30" w:type="dxa"/>
              <w:right w:w="30" w:type="dxa"/>
            </w:tcMar>
            <w:vAlign w:val="center"/>
          </w:tcPr>
          <w:p>
            <w:pPr>
              <w:spacing w:line="276" w:lineRule="auto"/>
              <w:rPr>
                <w:rFonts w:hint="eastAsia" w:ascii="宋体" w:hAnsi="宋体" w:cs="宋体"/>
                <w:b/>
                <w:szCs w:val="21"/>
              </w:rPr>
            </w:pPr>
          </w:p>
        </w:tc>
        <w:tc>
          <w:tcPr>
            <w:tcW w:w="2677" w:type="dxa"/>
            <w:vMerge w:val="continue"/>
            <w:tcBorders>
              <w:left w:val="single" w:color="000000" w:sz="6" w:space="0"/>
              <w:bottom w:val="single" w:color="000000" w:sz="6" w:space="0"/>
              <w:right w:val="single" w:color="000000" w:sz="6" w:space="0"/>
            </w:tcBorders>
            <w:noWrap w:val="0"/>
            <w:vAlign w:val="top"/>
          </w:tcPr>
          <w:p>
            <w:pPr>
              <w:spacing w:line="276" w:lineRule="auto"/>
              <w:rPr>
                <w:rFonts w:hint="eastAsia" w:ascii="宋体" w:hAnsi="宋体" w:cs="宋体"/>
                <w:sz w:val="22"/>
              </w:rPr>
            </w:pPr>
          </w:p>
        </w:tc>
      </w:tr>
    </w:tbl>
    <w:p>
      <w:pPr>
        <w:spacing w:line="400" w:lineRule="exact"/>
        <w:ind w:firstLine="310" w:firstLineChars="147"/>
        <w:outlineLvl w:val="2"/>
        <w:rPr>
          <w:rFonts w:hint="eastAsia" w:ascii="宋体" w:hAnsi="宋体" w:cs="宋体"/>
          <w:b/>
          <w:szCs w:val="21"/>
        </w:rPr>
      </w:pPr>
      <w:bookmarkStart w:id="22" w:name="_Toc26645"/>
      <w:bookmarkStart w:id="23" w:name="_Toc4617"/>
      <w:bookmarkStart w:id="24" w:name="_Toc8601"/>
      <w:bookmarkStart w:id="25" w:name="_Toc11925"/>
      <w:r>
        <w:rPr>
          <w:rFonts w:hint="eastAsia" w:ascii="宋体" w:hAnsi="宋体" w:cs="宋体"/>
          <w:b/>
          <w:szCs w:val="21"/>
        </w:rPr>
        <w:t>（二）具体保洁范围清单</w:t>
      </w:r>
      <w:bookmarkEnd w:id="22"/>
      <w:bookmarkEnd w:id="23"/>
      <w:bookmarkEnd w:id="24"/>
      <w:bookmarkEnd w:id="25"/>
    </w:p>
    <w:p>
      <w:pPr>
        <w:autoSpaceDE w:val="0"/>
        <w:autoSpaceDN w:val="0"/>
        <w:adjustRightInd w:val="0"/>
        <w:spacing w:line="400" w:lineRule="exact"/>
        <w:ind w:firstLine="433" w:firstLineChars="196"/>
        <w:textAlignment w:val="bottom"/>
        <w:rPr>
          <w:rFonts w:hint="eastAsia" w:ascii="宋体" w:hAnsi="宋体" w:cs="宋体"/>
          <w:b/>
          <w:sz w:val="22"/>
        </w:rPr>
      </w:pPr>
      <w:r>
        <w:rPr>
          <w:rFonts w:hint="eastAsia" w:ascii="宋体" w:hAnsi="宋体" w:cs="宋体"/>
          <w:b/>
          <w:sz w:val="22"/>
        </w:rPr>
        <w:t>1、玉海街道行政区域范围的所有公共区域，具体见招标文件附件1-《玉海街道环卫保洁作业量清单》。</w:t>
      </w:r>
    </w:p>
    <w:p>
      <w:pPr>
        <w:autoSpaceDE w:val="0"/>
        <w:autoSpaceDN w:val="0"/>
        <w:adjustRightInd w:val="0"/>
        <w:spacing w:line="400" w:lineRule="exact"/>
        <w:ind w:firstLine="433" w:firstLineChars="196"/>
        <w:textAlignment w:val="bottom"/>
        <w:rPr>
          <w:rFonts w:hint="eastAsia" w:ascii="宋体" w:hAnsi="宋体" w:cs="宋体"/>
          <w:b/>
          <w:sz w:val="22"/>
        </w:rPr>
      </w:pPr>
      <w:r>
        <w:rPr>
          <w:rFonts w:hint="eastAsia" w:ascii="宋体" w:hAnsi="宋体" w:cs="宋体"/>
          <w:b/>
          <w:sz w:val="22"/>
        </w:rPr>
        <w:t>2、锦湖街道行政区域范围的所有公共区域，具体见招标文件附件2-《锦湖街道环卫保洁作业量清单》。</w:t>
      </w:r>
    </w:p>
    <w:p>
      <w:pPr>
        <w:pStyle w:val="64"/>
        <w:rPr>
          <w:rFonts w:hint="eastAsia" w:ascii="宋体" w:hAnsi="宋体" w:cs="宋体"/>
        </w:rPr>
      </w:pPr>
      <w:r>
        <w:rPr>
          <w:rFonts w:hint="eastAsia" w:ascii="宋体" w:hAnsi="宋体" w:cs="宋体"/>
          <w:b/>
          <w:sz w:val="22"/>
        </w:rPr>
        <w:t>3、潘岱街道行政区域范围的所有公共区域，具体见招标文件附件3-《潘岱街道环卫保洁作业量清单》。</w:t>
      </w:r>
    </w:p>
    <w:p>
      <w:pPr>
        <w:pStyle w:val="66"/>
        <w:rPr>
          <w:rFonts w:hint="eastAsia" w:hAnsi="宋体" w:cs="宋体"/>
          <w:b/>
          <w:sz w:val="22"/>
        </w:rPr>
      </w:pPr>
      <w:r>
        <w:rPr>
          <w:rFonts w:hint="eastAsia" w:hAnsi="宋体" w:cs="宋体"/>
          <w:b/>
          <w:sz w:val="22"/>
        </w:rPr>
        <w:t>4、作业量清单说明</w:t>
      </w:r>
    </w:p>
    <w:p>
      <w:pPr>
        <w:pStyle w:val="66"/>
        <w:rPr>
          <w:rFonts w:hint="eastAsia" w:hAnsi="宋体" w:cs="宋体"/>
          <w:b/>
          <w:sz w:val="22"/>
        </w:rPr>
      </w:pPr>
      <w:r>
        <w:rPr>
          <w:rFonts w:hint="eastAsia" w:hAnsi="宋体" w:cs="宋体"/>
          <w:b/>
          <w:sz w:val="22"/>
        </w:rPr>
        <w:t>（1）保洁区域内的公园、广场、公共绿地、公共绿化、公共花坛等包含在本次招标范围中，总价包干，具体数量不一一列出，由供应商实地勘察自行测算；</w:t>
      </w:r>
    </w:p>
    <w:p>
      <w:pPr>
        <w:pStyle w:val="66"/>
        <w:rPr>
          <w:rFonts w:hint="eastAsia" w:hAnsi="宋体" w:cs="宋体"/>
          <w:b/>
          <w:sz w:val="22"/>
        </w:rPr>
      </w:pPr>
      <w:r>
        <w:rPr>
          <w:rFonts w:hint="eastAsia" w:hAnsi="宋体" w:cs="宋体"/>
          <w:b/>
          <w:sz w:val="22"/>
        </w:rPr>
        <w:t>（2）</w:t>
      </w:r>
      <w:bookmarkStart w:id="26" w:name="_Hlk497462068"/>
      <w:r>
        <w:rPr>
          <w:rFonts w:hint="eastAsia" w:hAnsi="宋体" w:cs="宋体"/>
          <w:b/>
          <w:sz w:val="22"/>
        </w:rPr>
        <w:t>保洁区域内的道路（含公路）护栏，隔离栏、公交站台、站牌、电杆、监控杆、灯箱、广告牌、弱电设施、固定室外座椅等市政设施包含在本次招标范围中，总价包干，具体数量不一一列出，由供应商实地勘察自行测算。</w:t>
      </w:r>
    </w:p>
    <w:p>
      <w:pPr>
        <w:pStyle w:val="66"/>
        <w:rPr>
          <w:rFonts w:hint="eastAsia" w:hAnsi="宋体" w:cs="宋体"/>
          <w:b/>
          <w:color w:val="auto"/>
          <w:sz w:val="22"/>
        </w:rPr>
      </w:pPr>
      <w:r>
        <w:rPr>
          <w:rFonts w:hint="eastAsia" w:hAnsi="宋体" w:cs="宋体"/>
          <w:b/>
          <w:sz w:val="22"/>
        </w:rPr>
        <w:t>（3）保洁区域内的池塘</w:t>
      </w:r>
      <w:r>
        <w:rPr>
          <w:rFonts w:hint="eastAsia" w:hAnsi="宋体" w:cs="宋体"/>
          <w:b/>
          <w:color w:val="auto"/>
          <w:sz w:val="22"/>
        </w:rPr>
        <w:t>、溪流、沟、渠、小微水体等包含在本次招标范围内，总价包干，具体数量不一一列出，由供应商实地勘察自行测算。</w:t>
      </w:r>
    </w:p>
    <w:p>
      <w:pPr>
        <w:pStyle w:val="66"/>
        <w:rPr>
          <w:rFonts w:hint="eastAsia"/>
          <w:color w:val="auto"/>
          <w:sz w:val="22"/>
          <w:szCs w:val="22"/>
          <w:highlight w:val="none"/>
        </w:rPr>
      </w:pPr>
      <w:bookmarkStart w:id="27" w:name="_Toc24993"/>
      <w:r>
        <w:rPr>
          <w:rFonts w:hint="eastAsia"/>
          <w:color w:val="auto"/>
          <w:sz w:val="22"/>
          <w:szCs w:val="22"/>
          <w:highlight w:val="none"/>
        </w:rPr>
        <w:t>（4）已列入本项目保洁范围的开放式小区今后如实行封闭式管理，自实行封闭管理之日起退出本项目保洁范围并扣除相应保洁费用，供应商须无条件服从。</w:t>
      </w:r>
      <w:bookmarkEnd w:id="27"/>
    </w:p>
    <w:p>
      <w:pPr>
        <w:pStyle w:val="66"/>
        <w:rPr>
          <w:rFonts w:hint="eastAsia" w:eastAsia="宋体"/>
          <w:color w:val="auto"/>
          <w:sz w:val="22"/>
          <w:szCs w:val="22"/>
          <w:highlight w:val="none"/>
          <w:lang w:eastAsia="zh-CN"/>
        </w:rPr>
      </w:pPr>
      <w:r>
        <w:rPr>
          <w:rFonts w:hint="eastAsia"/>
          <w:color w:val="auto"/>
          <w:sz w:val="22"/>
          <w:szCs w:val="22"/>
          <w:highlight w:val="none"/>
          <w:lang w:eastAsia="zh-CN"/>
        </w:rPr>
        <w:t>（</w:t>
      </w:r>
      <w:r>
        <w:rPr>
          <w:rFonts w:hint="eastAsia"/>
          <w:color w:val="auto"/>
          <w:sz w:val="22"/>
          <w:szCs w:val="22"/>
          <w:highlight w:val="none"/>
          <w:lang w:val="en-US" w:eastAsia="zh-CN"/>
        </w:rPr>
        <w:t>5</w:t>
      </w:r>
      <w:r>
        <w:rPr>
          <w:rFonts w:hint="eastAsia"/>
          <w:color w:val="auto"/>
          <w:sz w:val="22"/>
          <w:szCs w:val="22"/>
          <w:highlight w:val="none"/>
          <w:lang w:eastAsia="zh-CN"/>
        </w:rPr>
        <w:t>）本次招标范围包括集云山、集云山水库周边无主生活垃圾，无主建筑垃圾的及时收运，加强日常巡查，发现问题及时报告，及时清运，其它保洁要求须响应采购人要求，纳入考核范围。费用包含在投标总价中。</w:t>
      </w:r>
    </w:p>
    <w:p>
      <w:pPr>
        <w:pStyle w:val="66"/>
        <w:rPr>
          <w:rFonts w:hint="eastAsia" w:hAnsi="宋体" w:cs="宋体"/>
          <w:sz w:val="22"/>
          <w:szCs w:val="22"/>
        </w:rPr>
      </w:pPr>
      <w:r>
        <w:rPr>
          <w:rFonts w:hint="eastAsia" w:hAnsi="宋体" w:cs="宋体"/>
          <w:color w:val="auto"/>
          <w:sz w:val="22"/>
          <w:szCs w:val="22"/>
          <w:highlight w:val="none"/>
        </w:rPr>
        <w:t>5、本项目提供的市政道路、公路、河道、水体、公园、广场等保洁面积为参考数</w:t>
      </w:r>
      <w:r>
        <w:rPr>
          <w:rFonts w:hint="eastAsia" w:hAnsi="宋体" w:cs="宋体"/>
          <w:color w:val="auto"/>
          <w:sz w:val="22"/>
          <w:szCs w:val="22"/>
        </w:rPr>
        <w:t>据，合同执行过程保洁面积以实际面积为准，供应商</w:t>
      </w:r>
      <w:r>
        <w:rPr>
          <w:rFonts w:hint="eastAsia" w:hAnsi="宋体" w:cs="宋体"/>
          <w:sz w:val="22"/>
          <w:szCs w:val="22"/>
        </w:rPr>
        <w:t>须现场踏勘，以求得准确的报价依据，并自行承担投标报价风险。保洁范围特别说明如下：</w:t>
      </w:r>
    </w:p>
    <w:p>
      <w:pPr>
        <w:spacing w:line="400" w:lineRule="exact"/>
        <w:ind w:firstLine="330" w:firstLineChars="150"/>
        <w:rPr>
          <w:rFonts w:hint="eastAsia" w:ascii="宋体" w:hAnsi="宋体" w:cs="宋体"/>
          <w:sz w:val="22"/>
          <w:szCs w:val="22"/>
        </w:rPr>
      </w:pPr>
      <w:r>
        <w:rPr>
          <w:rFonts w:hint="eastAsia" w:ascii="宋体" w:hAnsi="宋体" w:cs="宋体"/>
          <w:sz w:val="22"/>
          <w:szCs w:val="22"/>
        </w:rPr>
        <w:t>（1）纳入保洁区域内漏算面积（不含中标后新建面积），不超过总面积10%的，多算面积不超过总面积5%的，由供应商予以承担保洁任务且合同总价（中标价）不变。如区域内漏算面积，超过总面积10%的，超出部分按实际投入人员，机械情况，合同各方视情况协商解决。如区域内多算面积，超过总面积5%的，多算部分按投标单价予以扣除。公厕按座数，参照以上比例的范围予以调整。</w:t>
      </w:r>
    </w:p>
    <w:p>
      <w:pPr>
        <w:autoSpaceDE w:val="0"/>
        <w:autoSpaceDN w:val="0"/>
        <w:adjustRightInd w:val="0"/>
        <w:spacing w:line="400" w:lineRule="exact"/>
        <w:ind w:firstLine="330" w:firstLineChars="150"/>
        <w:textAlignment w:val="bottom"/>
        <w:rPr>
          <w:rFonts w:ascii="宋体" w:hAnsi="宋体" w:cs="宋体"/>
          <w:color w:val="auto"/>
          <w:sz w:val="22"/>
          <w:szCs w:val="22"/>
          <w:highlight w:val="yellow"/>
          <w:u w:val="single"/>
        </w:rPr>
      </w:pPr>
      <w:r>
        <w:rPr>
          <w:rFonts w:hint="eastAsia" w:ascii="宋体" w:hAnsi="宋体" w:cs="宋体"/>
          <w:sz w:val="22"/>
          <w:szCs w:val="22"/>
        </w:rPr>
        <w:t>（2）在合同期内，因市政建设或河道清淤需要征用、临时占用需要调整供应商清扫保洁面积时，采购人根据占用的时间和面积数，扣</w:t>
      </w:r>
      <w:r>
        <w:rPr>
          <w:rFonts w:hint="eastAsia" w:ascii="宋体" w:hAnsi="宋体" w:cs="宋体"/>
          <w:color w:val="auto"/>
          <w:sz w:val="22"/>
          <w:szCs w:val="22"/>
        </w:rPr>
        <w:t>除相应的清扫保洁费，供应商须无条件服从。由属地镇街将核减区域面积、人数、机械化作业及核减经费以书面形式告知瑞安市执法局，具体核减方式按该核减区域面积与区域总面积比例来测算此次需要核减的经费。</w:t>
      </w:r>
    </w:p>
    <w:p>
      <w:pPr>
        <w:autoSpaceDE w:val="0"/>
        <w:autoSpaceDN w:val="0"/>
        <w:adjustRightInd w:val="0"/>
        <w:spacing w:line="400" w:lineRule="exact"/>
        <w:ind w:firstLine="330" w:firstLineChars="150"/>
        <w:textAlignment w:val="bottom"/>
        <w:rPr>
          <w:rFonts w:hint="eastAsia" w:ascii="宋体" w:hAnsi="宋体" w:cs="宋体"/>
          <w:color w:val="auto"/>
          <w:sz w:val="22"/>
          <w:szCs w:val="22"/>
        </w:rPr>
      </w:pPr>
      <w:r>
        <w:rPr>
          <w:rFonts w:hint="eastAsia" w:ascii="宋体" w:hAnsi="宋体" w:cs="宋体"/>
          <w:color w:val="auto"/>
          <w:sz w:val="22"/>
          <w:szCs w:val="22"/>
        </w:rPr>
        <w:t>（3）在合同期内，出现新增道路、河道，新增社区或因改造、改建、新增清扫保洁面积时，采购人将根据实际情况对作业量做出调整，供应商须无条件服从。增加的费用双方协商确定。</w:t>
      </w:r>
    </w:p>
    <w:p>
      <w:pPr>
        <w:autoSpaceDE w:val="0"/>
        <w:autoSpaceDN w:val="0"/>
        <w:adjustRightInd w:val="0"/>
        <w:spacing w:line="400" w:lineRule="exact"/>
        <w:ind w:firstLine="325" w:firstLineChars="147"/>
        <w:textAlignment w:val="bottom"/>
        <w:rPr>
          <w:rFonts w:hint="eastAsia" w:ascii="宋体" w:hAnsi="宋体" w:cs="宋体"/>
          <w:b/>
          <w:color w:val="auto"/>
          <w:sz w:val="22"/>
          <w:szCs w:val="22"/>
        </w:rPr>
      </w:pPr>
      <w:r>
        <w:rPr>
          <w:rFonts w:hint="eastAsia" w:ascii="宋体" w:hAnsi="宋体" w:cs="宋体"/>
          <w:b/>
          <w:color w:val="auto"/>
          <w:sz w:val="22"/>
          <w:szCs w:val="22"/>
        </w:rPr>
        <w:t>（4）</w:t>
      </w:r>
      <w:bookmarkEnd w:id="26"/>
      <w:r>
        <w:rPr>
          <w:rFonts w:hint="eastAsia" w:ascii="宋体" w:hAnsi="宋体" w:cs="宋体"/>
          <w:b/>
          <w:bCs/>
          <w:color w:val="auto"/>
          <w:sz w:val="22"/>
          <w:szCs w:val="22"/>
        </w:rPr>
        <w:t>采购人有权对保洁范围进行调整。本项目预计进场作业时间为2021年</w:t>
      </w:r>
      <w:r>
        <w:rPr>
          <w:rFonts w:hint="eastAsia" w:ascii="宋体" w:hAnsi="宋体" w:cs="宋体"/>
          <w:b/>
          <w:bCs/>
          <w:color w:val="auto"/>
          <w:sz w:val="22"/>
          <w:szCs w:val="22"/>
          <w:lang w:val="en-US" w:eastAsia="zh-CN"/>
        </w:rPr>
        <w:t>6</w:t>
      </w:r>
      <w:r>
        <w:rPr>
          <w:rFonts w:hint="eastAsia" w:ascii="宋体" w:hAnsi="宋体" w:cs="宋体"/>
          <w:b/>
          <w:bCs/>
          <w:color w:val="auto"/>
          <w:sz w:val="22"/>
          <w:szCs w:val="22"/>
        </w:rPr>
        <w:t>月</w:t>
      </w:r>
      <w:r>
        <w:rPr>
          <w:rFonts w:hint="eastAsia" w:ascii="宋体" w:hAnsi="宋体" w:cs="宋体"/>
          <w:b/>
          <w:bCs/>
          <w:color w:val="auto"/>
          <w:sz w:val="22"/>
          <w:szCs w:val="22"/>
          <w:lang w:val="en-US" w:eastAsia="zh-CN"/>
        </w:rPr>
        <w:t>1</w:t>
      </w:r>
      <w:r>
        <w:rPr>
          <w:rFonts w:hint="eastAsia" w:ascii="宋体" w:hAnsi="宋体" w:cs="宋体"/>
          <w:b/>
          <w:bCs/>
          <w:color w:val="auto"/>
          <w:sz w:val="22"/>
          <w:szCs w:val="22"/>
        </w:rPr>
        <w:t>日，个别区域进场作业时间由采购人根据实际情况确定，保洁经费按实际进场作业开始时间计算。</w:t>
      </w:r>
      <w:r>
        <w:rPr>
          <w:rFonts w:hint="eastAsia" w:ascii="宋体" w:hAnsi="宋体" w:cs="宋体"/>
          <w:b/>
          <w:color w:val="auto"/>
          <w:sz w:val="22"/>
          <w:szCs w:val="22"/>
        </w:rPr>
        <w:t xml:space="preserve"> </w:t>
      </w:r>
    </w:p>
    <w:p>
      <w:pPr>
        <w:spacing w:line="400" w:lineRule="exact"/>
        <w:ind w:firstLine="413" w:firstLineChars="196"/>
        <w:outlineLvl w:val="1"/>
        <w:rPr>
          <w:rFonts w:hint="eastAsia" w:ascii="宋体" w:hAnsi="宋体" w:cs="宋体"/>
          <w:b/>
          <w:color w:val="auto"/>
          <w:szCs w:val="21"/>
        </w:rPr>
      </w:pPr>
      <w:bookmarkStart w:id="28" w:name="_Toc8280"/>
      <w:r>
        <w:rPr>
          <w:rFonts w:hint="eastAsia" w:ascii="宋体" w:hAnsi="宋体" w:cs="宋体"/>
          <w:b/>
          <w:color w:val="auto"/>
          <w:szCs w:val="21"/>
        </w:rPr>
        <w:t>三、环境卫生保洁服务内容及要求</w:t>
      </w:r>
      <w:bookmarkEnd w:id="28"/>
    </w:p>
    <w:bookmarkEnd w:id="20"/>
    <w:bookmarkEnd w:id="21"/>
    <w:p>
      <w:pPr>
        <w:spacing w:line="400" w:lineRule="exact"/>
        <w:ind w:firstLine="413" w:firstLineChars="196"/>
        <w:outlineLvl w:val="2"/>
        <w:rPr>
          <w:rFonts w:hint="eastAsia" w:ascii="宋体" w:hAnsi="宋体" w:cs="宋体"/>
          <w:b/>
          <w:szCs w:val="21"/>
        </w:rPr>
      </w:pPr>
      <w:bookmarkStart w:id="29" w:name="_Toc10782"/>
      <w:bookmarkStart w:id="30" w:name="_Toc25337"/>
      <w:bookmarkStart w:id="31" w:name="_Toc29191"/>
      <w:bookmarkStart w:id="32" w:name="_Hlk497233314"/>
      <w:r>
        <w:rPr>
          <w:rFonts w:hint="eastAsia" w:ascii="宋体" w:hAnsi="宋体" w:cs="宋体"/>
          <w:b/>
          <w:szCs w:val="21"/>
          <w:highlight w:val="none"/>
        </w:rPr>
        <w:t>（一）</w:t>
      </w:r>
      <w:r>
        <w:rPr>
          <w:rFonts w:hint="eastAsia" w:ascii="宋体" w:hAnsi="宋体" w:cs="宋体"/>
          <w:b/>
          <w:szCs w:val="21"/>
        </w:rPr>
        <w:t>道路（含公路）保洁要求</w:t>
      </w:r>
      <w:bookmarkEnd w:id="29"/>
      <w:bookmarkEnd w:id="30"/>
      <w:bookmarkEnd w:id="31"/>
    </w:p>
    <w:p>
      <w:pPr>
        <w:snapToGrid w:val="0"/>
        <w:spacing w:line="400" w:lineRule="exact"/>
        <w:ind w:firstLine="422" w:firstLineChars="200"/>
        <w:outlineLvl w:val="3"/>
        <w:rPr>
          <w:rFonts w:hint="eastAsia" w:ascii="宋体" w:hAnsi="宋体" w:cs="宋体"/>
          <w:b/>
          <w:szCs w:val="21"/>
        </w:rPr>
      </w:pPr>
      <w:bookmarkStart w:id="33" w:name="_Toc1899"/>
      <w:bookmarkStart w:id="34" w:name="_Toc88"/>
      <w:bookmarkStart w:id="35" w:name="_Toc30288"/>
      <w:r>
        <w:rPr>
          <w:rFonts w:hint="eastAsia" w:ascii="宋体" w:hAnsi="宋体" w:cs="宋体"/>
          <w:b/>
          <w:szCs w:val="21"/>
        </w:rPr>
        <w:t>1、道路（含公路）清扫保洁范围</w:t>
      </w:r>
      <w:bookmarkEnd w:id="33"/>
      <w:bookmarkEnd w:id="34"/>
      <w:bookmarkEnd w:id="35"/>
    </w:p>
    <w:p>
      <w:pPr>
        <w:snapToGrid w:val="0"/>
        <w:spacing w:line="400" w:lineRule="exact"/>
        <w:ind w:firstLine="525" w:firstLineChars="250"/>
        <w:rPr>
          <w:rFonts w:hint="eastAsia" w:ascii="宋体" w:hAnsi="宋体" w:cs="宋体"/>
          <w:szCs w:val="21"/>
        </w:rPr>
      </w:pPr>
      <w:r>
        <w:rPr>
          <w:rFonts w:hint="eastAsia" w:ascii="宋体" w:hAnsi="宋体" w:cs="宋体"/>
          <w:szCs w:val="21"/>
        </w:rPr>
        <w:t>保洁范围为主次道路、道路两侧人行道、绿化带、排水沟渠、边沟、伸缩缝及背街小巷等，不同承包单位间交叉保洁范围不少于5米，公路两侧管理控制区域（国、省道单侧10米，县道单侧5米，通村公路单侧3米，绿化带宽于上述标准的，按绿化带宽度）。</w:t>
      </w:r>
    </w:p>
    <w:p>
      <w:pPr>
        <w:snapToGrid w:val="0"/>
        <w:spacing w:line="400" w:lineRule="exact"/>
        <w:ind w:firstLine="422" w:firstLineChars="200"/>
        <w:outlineLvl w:val="3"/>
        <w:rPr>
          <w:rFonts w:hint="eastAsia" w:ascii="宋体" w:hAnsi="宋体" w:cs="宋体"/>
          <w:b/>
          <w:szCs w:val="21"/>
        </w:rPr>
      </w:pPr>
      <w:bookmarkStart w:id="36" w:name="_Toc25143"/>
      <w:bookmarkStart w:id="37" w:name="_Toc31319"/>
      <w:bookmarkStart w:id="38" w:name="_Toc8824"/>
      <w:r>
        <w:rPr>
          <w:rFonts w:hint="eastAsia" w:ascii="宋体" w:hAnsi="宋体" w:cs="宋体"/>
          <w:b/>
          <w:szCs w:val="21"/>
        </w:rPr>
        <w:t>2、道路（含公路）清扫保洁质量要求</w:t>
      </w:r>
      <w:bookmarkEnd w:id="36"/>
      <w:bookmarkEnd w:id="37"/>
      <w:bookmarkEnd w:id="38"/>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（1）普扫质量要求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达到“七无”、“五净”、“一通”标准，既无杂物,无瓜皮果壳,无纸屑、烟蒂、塑料袋，无淤泥积土，无污水，无堵塞窨井沟眼，无卫生死角。路面、路牙净，窨井沟眼净，树穴净，边角净，花坛周围净。落水口、排水渠畅通。</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（2）动态保洁质量要求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承包责任区域内无垃圾废弃物（包括烟头、纸屑、瓜果皮核、包装壳、塑料袋、砖瓦、石子等各类明显废弃物）；无散装、袋装垃圾滞留路面及路边绿化带；果壳箱及时加盖、关门；人行道、步阶、墙跟、树穴无明显杂草、杂物。晴天路面无积水，无蚊蝇孳生，路两旁及隔离护栏下无淤泥，路面基本见本色。</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（3）道路机扫质量要求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机扫到边、到位效果明显，路面无垃圾、无积泥、无沙石，路牙无浮土。作业期间基本无扬尘，清扫途中无垃圾撒落。</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（4）道路洒水质量要求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1）有明显的降温压尘的效果，实行全年洒水作业。</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2）喷雾降尘作业时，水要喷射成雾状，达到“路面见潮不见水流”的效果。</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（5）道路清洗质量要求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1）道路冲水路段，要求水冲后无积水、无灰尘、无烟蒂、无果壳散落；冲洗路面时如发现路面有垃圾应及时清理。</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2）人行道 (包括侧石、花岗岩路面)实行人工药水冲刷，彩砖地面不得使用破坏釉面的药水。冲洗后路面无积垢、无灰尘、无烟蒂、无果壳散落。</w:t>
      </w:r>
    </w:p>
    <w:p>
      <w:pPr>
        <w:snapToGrid w:val="0"/>
        <w:spacing w:line="400" w:lineRule="exact"/>
        <w:ind w:firstLine="422" w:firstLineChars="200"/>
        <w:outlineLvl w:val="3"/>
        <w:rPr>
          <w:rFonts w:hint="eastAsia" w:ascii="宋体" w:hAnsi="宋体" w:cs="宋体"/>
          <w:b/>
          <w:szCs w:val="21"/>
        </w:rPr>
      </w:pPr>
      <w:bookmarkStart w:id="39" w:name="_Toc2621"/>
      <w:bookmarkStart w:id="40" w:name="_Toc17527"/>
      <w:bookmarkStart w:id="41" w:name="_Toc31409"/>
      <w:r>
        <w:rPr>
          <w:rFonts w:hint="eastAsia" w:ascii="宋体" w:hAnsi="宋体" w:cs="宋体"/>
          <w:b/>
          <w:szCs w:val="21"/>
        </w:rPr>
        <w:t>3、道路（含公路）清扫保洁作业要求</w:t>
      </w:r>
      <w:bookmarkEnd w:id="39"/>
      <w:bookmarkEnd w:id="40"/>
      <w:bookmarkEnd w:id="41"/>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（1）人工作业要求</w:t>
      </w:r>
    </w:p>
    <w:p>
      <w:pPr>
        <w:autoSpaceDE w:val="0"/>
        <w:autoSpaceDN w:val="0"/>
        <w:adjustRightInd w:val="0"/>
        <w:spacing w:line="400" w:lineRule="exact"/>
        <w:ind w:firstLine="522" w:firstLineChars="249"/>
        <w:textAlignment w:val="bottom"/>
        <w:rPr>
          <w:rFonts w:hint="eastAsia" w:ascii="宋体" w:hAnsi="宋体" w:cs="宋体"/>
          <w:szCs w:val="21"/>
        </w:rPr>
      </w:pPr>
      <w:r>
        <w:rPr>
          <w:rFonts w:hint="eastAsia" w:ascii="宋体" w:hAnsi="宋体" w:cs="宋体"/>
          <w:szCs w:val="21"/>
        </w:rPr>
        <w:t>1) 作业人员工作期间须穿戴统一的工作服，工作服要求具有明显的公司名称标识，同时具有反光安全服的功能，作业人员工作服须整洁干净。</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2）作业前准备好作业工具，作业过程中工具规范放置。</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3）道路实行普扫、巡回保洁。重点要求对路面（含人行道）、路角、落水口、排水沟及树穴进行清扫，及时捡拾路边垃圾，清除沿路挂树垃圾。</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4）人员作业时遵守交通法规，应面向来车作业，保洁车辆静放。应与车行线保持安全距离，做到不妨碍交通、车容整洁。</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5）道路保洁人员应文明作业，不应将垃圾、污水扫到或溅到行人身上。在岗作业人员应勤走、勤看、勤扫，循回作业，无离岗及在岗不作为现象。</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6）人员作业不应将垃圾扫入或倒入窨井、绿地、河道、河岸、花坛、绿化等处，且不应将垃圾堆放或停留在窨井盖上。</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7）保持路面排水通畅，不积水。路面积水应在雨停后一天内排除干净。</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8）清除影响道路安全通行的路面、路角上的杂草、灌木等。</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9）服务人员在作业时间内，不集聚闲聊，工期休息不超过10分钟；作业期间不做与作业无关的事；严禁作业人员擅自向责任区内单位收取各种费用。</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szCs w:val="21"/>
        </w:rPr>
        <w:t>10）清扫作业中不</w:t>
      </w:r>
      <w:r>
        <w:rPr>
          <w:rFonts w:hint="eastAsia" w:ascii="宋体" w:hAnsi="宋体" w:cs="宋体"/>
          <w:color w:val="auto"/>
          <w:szCs w:val="21"/>
        </w:rPr>
        <w:t>得漏扫、甩扫；交接班不得出现空档，责任区交界处清扫保洁各过界5米；垃圾在指定地点倾倒，不得焚烧垃圾。</w:t>
      </w:r>
    </w:p>
    <w:p>
      <w:pPr>
        <w:pStyle w:val="2"/>
        <w:rPr>
          <w:rFonts w:hint="eastAsia" w:ascii="宋体" w:hAnsi="宋体" w:cs="宋体"/>
          <w:color w:val="auto"/>
          <w:highlight w:val="yellow"/>
        </w:rPr>
      </w:pPr>
      <w:r>
        <w:rPr>
          <w:rFonts w:hint="eastAsia" w:ascii="宋体" w:hAnsi="宋体" w:cs="宋体"/>
          <w:color w:val="auto"/>
          <w:szCs w:val="21"/>
        </w:rPr>
        <w:t>11)人行道、非机动车道冲洗应当定人定车定时定岗，确保保洁质量。</w:t>
      </w:r>
    </w:p>
    <w:p>
      <w:pPr>
        <w:autoSpaceDE w:val="0"/>
        <w:autoSpaceDN w:val="0"/>
        <w:adjustRightInd w:val="0"/>
        <w:spacing w:line="400" w:lineRule="exact"/>
        <w:ind w:firstLine="420" w:firstLineChars="200"/>
        <w:textAlignment w:val="bottom"/>
        <w:outlineLvl w:val="4"/>
        <w:rPr>
          <w:rFonts w:hint="eastAsia" w:ascii="宋体" w:hAnsi="宋体" w:cs="宋体"/>
          <w:color w:val="auto"/>
          <w:szCs w:val="21"/>
        </w:rPr>
      </w:pPr>
      <w:r>
        <w:rPr>
          <w:rFonts w:hint="eastAsia" w:ascii="宋体" w:hAnsi="宋体" w:cs="宋体"/>
          <w:color w:val="auto"/>
          <w:szCs w:val="21"/>
        </w:rPr>
        <w:t>（2）机械作业要求</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1）机扫作业要求</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①机扫时间应规避上下班高峰期。</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②在计划作业时间内，遇到雨天天气时，中标供应商可以在采购人上班之前通过智慧平台进行申报延后作业，半天申报一次，经采购人同意后方可停止作业，如未申报的，则视为当天未作业。</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③机扫作业时应避免“干扫”，做到喷水压尘，不漏土。不应侧刷或吸盘不落地空跑。</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④机扫车应有提示音乐音量调节装置，警示灯完好。22:00-7:00期间机扫作业时不得播放提示音乐，应使用警示灯光。</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⑤▲机械清扫作业时速≤10km/h。</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2）洒水作业要求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①雨后地面潮湿，行车无扬尘，不安排洒水、喷雾降尘作业，气温低于3℃时停止洒水。</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②作业时适应当控制好水压和车速，避免把水溅到路边的行人，人行道侧喷嘴需采用鸭嘴式喷头，经过公交车站头、十字路口、人行横道、机动车道与非机动车道混行的路段等人流密集的地方需降低速度，控制好水幅。</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③洒水车应有提示音乐音量调节装置，警示灯完好。22:00-7:00期间洒水作业时不得播放提示音乐，应使用警示灯光。</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④建筑工地、绿化工地、市政工地等周边的易扬尘道路，应开展机械洒水和喷雾作业，抑制道路扬尘。</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⑤▲洒水作业行车速度最高时速≤25 km/h，经过医院、学校、公交站台等人流密集地方作业行车速度最高时速≤10 km/h；</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3）道路清洗作业要求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①道路冲洗时间一般应在晚上或清晨。</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②清洗作业时注意调整喷架高度及水压，可以与洒水车、机扫车、人工洗刷相互配合，以消除路面的积泥、砂石、污迹。</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③冲洗车应有提示音乐音量调节装置，警示灯完好。22:00-7:00期间冲洗作业时不得播放提示音乐，应使用警示灯光。</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④▲作业速度：机械冲洗作业时速≤15km/h。</w:t>
      </w:r>
    </w:p>
    <w:p>
      <w:pPr>
        <w:snapToGrid w:val="0"/>
        <w:spacing w:line="400" w:lineRule="exact"/>
        <w:ind w:firstLine="422" w:firstLineChars="200"/>
        <w:outlineLvl w:val="3"/>
        <w:rPr>
          <w:rFonts w:hint="eastAsia" w:ascii="宋体" w:hAnsi="宋体" w:cs="宋体"/>
          <w:b/>
          <w:szCs w:val="21"/>
        </w:rPr>
      </w:pPr>
      <w:bookmarkStart w:id="42" w:name="_Toc23232"/>
      <w:bookmarkStart w:id="43" w:name="_Toc28915"/>
      <w:bookmarkStart w:id="44" w:name="_Toc8459"/>
      <w:r>
        <w:rPr>
          <w:rFonts w:hint="eastAsia" w:ascii="宋体" w:hAnsi="宋体" w:cs="宋体"/>
          <w:b/>
          <w:szCs w:val="21"/>
        </w:rPr>
        <w:t>4、机械配置要求</w:t>
      </w:r>
      <w:bookmarkEnd w:id="42"/>
      <w:bookmarkEnd w:id="43"/>
      <w:bookmarkEnd w:id="44"/>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洗扫一体车、冲洗车、洒水车、清扫车、分类垃圾运输车等机械作业车辆，运输车辆须经相关主管部门核准，办理核准手续到采购方备案后方可使用。所有车辆外观整洁，及时清洗。</w:t>
      </w:r>
    </w:p>
    <w:p>
      <w:pPr>
        <w:snapToGrid w:val="0"/>
        <w:spacing w:line="400" w:lineRule="exact"/>
        <w:ind w:firstLine="422" w:firstLineChars="200"/>
        <w:outlineLvl w:val="3"/>
        <w:rPr>
          <w:rFonts w:hint="eastAsia" w:ascii="宋体" w:hAnsi="宋体" w:cs="宋体"/>
          <w:b/>
          <w:szCs w:val="21"/>
        </w:rPr>
      </w:pPr>
      <w:bookmarkStart w:id="45" w:name="_Toc8529"/>
      <w:bookmarkStart w:id="46" w:name="_Toc31236"/>
      <w:bookmarkStart w:id="47" w:name="_Toc25032"/>
      <w:r>
        <w:rPr>
          <w:rFonts w:hint="eastAsia" w:ascii="宋体" w:hAnsi="宋体" w:cs="宋体"/>
          <w:b/>
          <w:szCs w:val="21"/>
        </w:rPr>
        <w:t>5、日常工作要求</w:t>
      </w:r>
      <w:bookmarkEnd w:id="45"/>
      <w:bookmarkEnd w:id="46"/>
      <w:bookmarkEnd w:id="47"/>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（1）在每天最后一次清扫完成后将垃圾集中收集至指定的垃圾中转站。</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（2）道路两侧水沟、水渠等小微水体中的垃圾收集清运。</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（3）承包范围内垃圾应在每天早上7:00之前清理完毕。保洁垃圾应袋装，并及时收集，严禁裸露堆放在路面，并对夜间保洁垃圾和门店垃圾进行收集，做到垃圾不过夜。</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（4）清除影响道路安全通行的路面、路肩、人行道上的杂草、灌木等。</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（5）发现有主物品在道路上堆放时，如劝说无效的，须及时报告行政主管部门。</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（6）道路及区内各类设施、建筑及构筑物立面上违法小广告的清除。</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szCs w:val="21"/>
        </w:rPr>
        <w:t>（7）玉海街道、锦湖街道道</w:t>
      </w:r>
      <w:r>
        <w:rPr>
          <w:rFonts w:hint="eastAsia" w:ascii="宋体" w:hAnsi="宋体" w:cs="宋体"/>
          <w:color w:val="auto"/>
          <w:szCs w:val="21"/>
        </w:rPr>
        <w:t>路（含公路）保洁等级要求</w:t>
      </w:r>
    </w:p>
    <w:tbl>
      <w:tblPr>
        <w:tblStyle w:val="2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2048"/>
        <w:gridCol w:w="1354"/>
        <w:gridCol w:w="1158"/>
        <w:gridCol w:w="1144"/>
        <w:gridCol w:w="1158"/>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36" w:type="pct"/>
            <w:gridSpan w:val="2"/>
            <w:tcBorders>
              <w:tl2br w:val="single" w:color="auto" w:sz="4" w:space="0"/>
            </w:tcBorders>
            <w:noWrap w:val="0"/>
            <w:vAlign w:val="center"/>
          </w:tcPr>
          <w:p>
            <w:pPr>
              <w:autoSpaceDE w:val="0"/>
              <w:autoSpaceDN w:val="0"/>
              <w:adjustRightInd w:val="0"/>
              <w:ind w:firstLine="1800" w:firstLineChars="1000"/>
              <w:textAlignment w:val="bottom"/>
              <w:rPr>
                <w:rFonts w:hint="eastAsia" w:ascii="宋体" w:hAnsi="宋体" w:cs="宋体"/>
                <w:color w:val="auto"/>
                <w:sz w:val="18"/>
                <w:szCs w:val="18"/>
              </w:rPr>
            </w:pPr>
            <w:r>
              <w:rPr>
                <w:rFonts w:hint="eastAsia" w:ascii="宋体" w:hAnsi="宋体" w:cs="宋体"/>
                <w:color w:val="auto"/>
                <w:sz w:val="18"/>
                <w:szCs w:val="18"/>
              </w:rPr>
              <w:t>道路等级</w:t>
            </w:r>
          </w:p>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质量标准</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一级道路</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二级道路</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三级道路</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四级道路</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公路一级道路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36" w:type="pct"/>
            <w:gridSpan w:val="2"/>
            <w:noWrap w:val="0"/>
            <w:vAlign w:val="center"/>
          </w:tcPr>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质量要求</w:t>
            </w:r>
          </w:p>
        </w:tc>
        <w:tc>
          <w:tcPr>
            <w:tcW w:w="3663" w:type="pct"/>
            <w:gridSpan w:val="5"/>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6" w:type="pct"/>
            <w:gridSpan w:val="2"/>
            <w:noWrap w:val="0"/>
            <w:vAlign w:val="center"/>
          </w:tcPr>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保洁时间、频次</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18小时巡回</w:t>
            </w:r>
          </w:p>
          <w:p>
            <w:pPr>
              <w:pStyle w:val="14"/>
              <w:jc w:val="center"/>
              <w:rPr>
                <w:rFonts w:hint="eastAsia" w:ascii="宋体" w:hAnsi="宋体" w:eastAsia="宋体" w:cs="宋体"/>
                <w:color w:val="auto"/>
                <w:sz w:val="18"/>
                <w:szCs w:val="18"/>
                <w:lang w:val="en-US" w:eastAsia="zh-CN"/>
              </w:rPr>
            </w:pPr>
            <w:r>
              <w:rPr>
                <w:rFonts w:hint="eastAsia" w:ascii="宋体" w:hAnsi="宋体" w:eastAsia="宋体" w:cs="宋体"/>
                <w:color w:val="auto"/>
                <w:kern w:val="0"/>
                <w:sz w:val="18"/>
                <w:szCs w:val="18"/>
                <w:lang w:val="en-US" w:eastAsia="zh-CN"/>
              </w:rPr>
              <w:t>4:00-22:00</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18小时巡回</w:t>
            </w:r>
          </w:p>
          <w:p>
            <w:pPr>
              <w:pStyle w:val="14"/>
              <w:jc w:val="center"/>
              <w:rPr>
                <w:rFonts w:hint="eastAsia" w:ascii="宋体" w:hAnsi="宋体" w:eastAsia="宋体" w:cs="宋体"/>
                <w:color w:val="auto"/>
                <w:sz w:val="18"/>
                <w:szCs w:val="18"/>
                <w:lang w:val="en-US" w:eastAsia="zh-CN"/>
              </w:rPr>
            </w:pPr>
            <w:r>
              <w:rPr>
                <w:rFonts w:hint="eastAsia" w:ascii="宋体" w:hAnsi="宋体" w:eastAsia="宋体" w:cs="宋体"/>
                <w:color w:val="auto"/>
                <w:kern w:val="0"/>
                <w:sz w:val="18"/>
                <w:szCs w:val="18"/>
                <w:lang w:val="en-US" w:eastAsia="zh-CN"/>
              </w:rPr>
              <w:t>4:00-22:00</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16小时巡回</w:t>
            </w:r>
          </w:p>
          <w:p>
            <w:pPr>
              <w:pStyle w:val="14"/>
              <w:rPr>
                <w:rFonts w:hint="eastAsia" w:ascii="宋体" w:hAnsi="宋体" w:eastAsia="宋体" w:cs="宋体"/>
                <w:color w:val="auto"/>
                <w:sz w:val="18"/>
                <w:szCs w:val="18"/>
                <w:lang w:val="en-US" w:eastAsia="zh-CN"/>
              </w:rPr>
            </w:pPr>
            <w:r>
              <w:rPr>
                <w:rFonts w:hint="eastAsia" w:ascii="宋体" w:hAnsi="宋体" w:eastAsia="宋体" w:cs="宋体"/>
                <w:color w:val="auto"/>
                <w:kern w:val="0"/>
                <w:sz w:val="18"/>
                <w:szCs w:val="18"/>
                <w:lang w:val="en-US" w:eastAsia="zh-CN"/>
              </w:rPr>
              <w:t>4:00-20:00</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16小时巡回</w:t>
            </w:r>
          </w:p>
          <w:p>
            <w:pPr>
              <w:pStyle w:val="14"/>
              <w:rPr>
                <w:rFonts w:hint="eastAsia" w:ascii="宋体" w:hAnsi="宋体" w:eastAsia="宋体" w:cs="宋体"/>
                <w:color w:val="auto"/>
                <w:sz w:val="18"/>
                <w:szCs w:val="18"/>
                <w:lang w:val="en-US" w:eastAsia="zh-CN"/>
              </w:rPr>
            </w:pPr>
            <w:r>
              <w:rPr>
                <w:rFonts w:hint="eastAsia" w:ascii="宋体" w:hAnsi="宋体" w:eastAsia="宋体" w:cs="宋体"/>
                <w:color w:val="auto"/>
                <w:kern w:val="0"/>
                <w:sz w:val="18"/>
                <w:szCs w:val="18"/>
                <w:lang w:val="en-US" w:eastAsia="zh-CN"/>
              </w:rPr>
              <w:t>4:00-20:00</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12小时巡回</w:t>
            </w:r>
          </w:p>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eastAsia="宋体" w:cs="宋体"/>
                <w:color w:val="auto"/>
                <w:kern w:val="0"/>
                <w:sz w:val="18"/>
                <w:szCs w:val="18"/>
                <w:lang w:val="en-US" w:eastAsia="zh-CN"/>
              </w:rPr>
              <w:t>5:00-17:00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pct"/>
            <w:gridSpan w:val="2"/>
            <w:noWrap w:val="0"/>
            <w:vAlign w:val="center"/>
          </w:tcPr>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普扫次数</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每天2次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pct"/>
            <w:gridSpan w:val="2"/>
            <w:noWrap w:val="0"/>
            <w:vAlign w:val="center"/>
          </w:tcPr>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机扫次数</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每天2次</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36" w:type="pct"/>
            <w:gridSpan w:val="2"/>
            <w:noWrap w:val="0"/>
            <w:vAlign w:val="center"/>
          </w:tcPr>
          <w:p>
            <w:pPr>
              <w:autoSpaceDE w:val="0"/>
              <w:autoSpaceDN w:val="0"/>
              <w:adjustRightInd w:val="0"/>
              <w:textAlignment w:val="bottom"/>
              <w:rPr>
                <w:rFonts w:hint="eastAsia" w:ascii="宋体" w:hAnsi="宋体" w:cs="宋体"/>
                <w:color w:val="auto"/>
                <w:sz w:val="18"/>
                <w:szCs w:val="18"/>
              </w:rPr>
            </w:pPr>
            <w:r>
              <w:rPr>
                <w:rFonts w:hint="eastAsia" w:ascii="宋体" w:hAnsi="宋体" w:cs="宋体"/>
                <w:color w:val="auto"/>
                <w:sz w:val="18"/>
                <w:szCs w:val="18"/>
              </w:rPr>
              <w:t>洒水次数</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每天2次</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294" w:type="pct"/>
            <w:vMerge w:val="restart"/>
            <w:noWrap w:val="0"/>
            <w:vAlign w:val="center"/>
          </w:tcPr>
          <w:p>
            <w:pPr>
              <w:autoSpaceDE w:val="0"/>
              <w:autoSpaceDN w:val="0"/>
              <w:adjustRightInd w:val="0"/>
              <w:spacing w:line="240" w:lineRule="exact"/>
              <w:jc w:val="center"/>
              <w:textAlignment w:val="bottom"/>
              <w:rPr>
                <w:rFonts w:hint="eastAsia" w:ascii="宋体" w:hAnsi="宋体" w:cs="宋体"/>
                <w:color w:val="auto"/>
                <w:sz w:val="18"/>
                <w:szCs w:val="18"/>
              </w:rPr>
            </w:pPr>
            <w:r>
              <w:rPr>
                <w:rFonts w:hint="eastAsia" w:ascii="宋体" w:hAnsi="宋体" w:cs="宋体"/>
                <w:color w:val="auto"/>
                <w:sz w:val="16"/>
                <w:szCs w:val="16"/>
              </w:rPr>
              <w:t>冲洗次数</w:t>
            </w:r>
          </w:p>
        </w:tc>
        <w:tc>
          <w:tcPr>
            <w:tcW w:w="104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8"/>
                <w:szCs w:val="18"/>
              </w:rPr>
            </w:pPr>
            <w:r>
              <w:rPr>
                <w:rFonts w:hint="eastAsia" w:ascii="宋体" w:hAnsi="宋体" w:cs="宋体"/>
                <w:color w:val="auto"/>
                <w:sz w:val="16"/>
                <w:szCs w:val="16"/>
              </w:rPr>
              <w:t>车行道</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 w:type="pct"/>
            <w:vMerge w:val="continue"/>
            <w:noWrap w:val="0"/>
            <w:vAlign w:val="center"/>
          </w:tcPr>
          <w:p>
            <w:pPr>
              <w:autoSpaceDE w:val="0"/>
              <w:autoSpaceDN w:val="0"/>
              <w:adjustRightInd w:val="0"/>
              <w:spacing w:line="240" w:lineRule="exact"/>
              <w:jc w:val="center"/>
              <w:textAlignment w:val="bottom"/>
              <w:rPr>
                <w:rFonts w:hint="eastAsia" w:ascii="宋体" w:hAnsi="宋体" w:cs="宋体"/>
                <w:color w:val="auto"/>
                <w:sz w:val="18"/>
                <w:szCs w:val="18"/>
              </w:rPr>
            </w:pPr>
          </w:p>
        </w:tc>
        <w:tc>
          <w:tcPr>
            <w:tcW w:w="104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8"/>
                <w:szCs w:val="18"/>
              </w:rPr>
            </w:pPr>
            <w:r>
              <w:rPr>
                <w:rFonts w:hint="eastAsia" w:ascii="宋体" w:hAnsi="宋体" w:cs="宋体"/>
                <w:color w:val="auto"/>
                <w:sz w:val="16"/>
                <w:szCs w:val="16"/>
              </w:rPr>
              <w:t>人行道、非机动车道</w:t>
            </w:r>
          </w:p>
        </w:tc>
        <w:tc>
          <w:tcPr>
            <w:tcW w:w="6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每周3次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每周2次</w:t>
            </w:r>
          </w:p>
        </w:tc>
        <w:tc>
          <w:tcPr>
            <w:tcW w:w="582"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每周1次</w:t>
            </w:r>
          </w:p>
        </w:tc>
        <w:tc>
          <w:tcPr>
            <w:tcW w:w="589"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w:t>
            </w:r>
          </w:p>
        </w:tc>
        <w:tc>
          <w:tcPr>
            <w:tcW w:w="1213" w:type="pct"/>
            <w:noWrap w:val="0"/>
            <w:vAlign w:val="center"/>
          </w:tcPr>
          <w:p>
            <w:pPr>
              <w:autoSpaceDE w:val="0"/>
              <w:autoSpaceDN w:val="0"/>
              <w:adjustRightInd w:val="0"/>
              <w:jc w:val="center"/>
              <w:textAlignment w:val="bottom"/>
              <w:rPr>
                <w:rFonts w:hint="eastAsia" w:ascii="宋体" w:hAnsi="宋体" w:cs="宋体"/>
                <w:color w:val="auto"/>
                <w:sz w:val="18"/>
                <w:szCs w:val="18"/>
              </w:rPr>
            </w:pPr>
            <w:r>
              <w:rPr>
                <w:rFonts w:hint="eastAsia" w:ascii="宋体" w:hAnsi="宋体" w:cs="宋体"/>
                <w:color w:val="auto"/>
                <w:sz w:val="18"/>
                <w:szCs w:val="18"/>
              </w:rPr>
              <w:t>每周1次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00" w:type="pct"/>
            <w:gridSpan w:val="7"/>
            <w:noWrap w:val="0"/>
            <w:vAlign w:val="center"/>
          </w:tcPr>
          <w:p>
            <w:pPr>
              <w:autoSpaceDE w:val="0"/>
              <w:autoSpaceDN w:val="0"/>
              <w:adjustRightInd w:val="0"/>
              <w:textAlignment w:val="bottom"/>
              <w:rPr>
                <w:rFonts w:hint="eastAsia"/>
                <w:color w:val="auto"/>
              </w:rPr>
            </w:pPr>
            <w:r>
              <w:rPr>
                <w:rFonts w:hint="eastAsia"/>
                <w:color w:val="auto"/>
              </w:rPr>
              <w:t>注：</w:t>
            </w:r>
          </w:p>
          <w:p>
            <w:pPr>
              <w:autoSpaceDE w:val="0"/>
              <w:autoSpaceDN w:val="0"/>
              <w:adjustRightInd w:val="0"/>
              <w:textAlignment w:val="bottom"/>
              <w:rPr>
                <w:rFonts w:hint="eastAsia"/>
                <w:color w:val="auto"/>
              </w:rPr>
            </w:pPr>
            <w:r>
              <w:rPr>
                <w:rFonts w:hint="eastAsia"/>
                <w:color w:val="auto"/>
              </w:rPr>
              <w:t>1、第一次普扫即晨扫必须在夏季6:30、冬季7:00以前完成，第二次普扫在下午13:30前完成，第三次普扫在夏季17:00、冬季16:30前完成。如需调整经乡镇街道同意，并报综合执法局批准备案后再实施。</w:t>
            </w:r>
          </w:p>
          <w:p>
            <w:pPr>
              <w:autoSpaceDE w:val="0"/>
              <w:autoSpaceDN w:val="0"/>
              <w:adjustRightInd w:val="0"/>
              <w:textAlignment w:val="bottom"/>
              <w:rPr>
                <w:rFonts w:hint="eastAsia"/>
                <w:color w:val="auto"/>
              </w:rPr>
            </w:pPr>
            <w:r>
              <w:rPr>
                <w:rFonts w:hint="eastAsia"/>
                <w:color w:val="auto"/>
              </w:rPr>
              <w:t>2、菜市场、步行商业街分的保洁时间应覆盖菜市场、步行商业街的开放时间；采购人有特殊要求的，保洁时间按采购人要求执行。</w:t>
            </w:r>
          </w:p>
          <w:p>
            <w:pPr>
              <w:autoSpaceDE w:val="0"/>
              <w:autoSpaceDN w:val="0"/>
              <w:adjustRightInd w:val="0"/>
              <w:textAlignment w:val="bottom"/>
              <w:rPr>
                <w:rFonts w:hint="eastAsia"/>
                <w:color w:val="auto"/>
              </w:rPr>
            </w:pPr>
            <w:r>
              <w:rPr>
                <w:rFonts w:hint="eastAsia"/>
                <w:color w:val="auto"/>
              </w:rPr>
              <w:t>3、垃圾中转站、农贸市场（菜市场）、学校、医院等重要场所200米范围周边道路每天冲洗不少于一次。</w:t>
            </w:r>
          </w:p>
          <w:p>
            <w:pPr>
              <w:autoSpaceDE w:val="0"/>
              <w:autoSpaceDN w:val="0"/>
              <w:adjustRightInd w:val="0"/>
              <w:textAlignment w:val="bottom"/>
              <w:rPr>
                <w:rFonts w:hint="eastAsia"/>
                <w:color w:val="auto"/>
              </w:rPr>
            </w:pPr>
            <w:r>
              <w:rPr>
                <w:rFonts w:hint="eastAsia"/>
                <w:color w:val="auto"/>
              </w:rPr>
              <w:t>4、采购人认为有必要采用机械化作业的道路，供应商应无条件服从。</w:t>
            </w:r>
          </w:p>
          <w:p>
            <w:pPr>
              <w:autoSpaceDE w:val="0"/>
              <w:autoSpaceDN w:val="0"/>
              <w:adjustRightInd w:val="0"/>
              <w:textAlignment w:val="bottom"/>
              <w:rPr>
                <w:rFonts w:hint="eastAsia"/>
                <w:color w:val="auto"/>
              </w:rPr>
            </w:pPr>
            <w:r>
              <w:rPr>
                <w:rFonts w:hint="eastAsia"/>
                <w:color w:val="auto"/>
              </w:rPr>
              <w:t>5、道路人行道（公路、通村道路路肩），边沟包括绿化带等机械清扫无法覆盖的位置辅以人工清扫方式清扫。</w:t>
            </w:r>
          </w:p>
          <w:p>
            <w:pPr>
              <w:autoSpaceDE w:val="0"/>
              <w:autoSpaceDN w:val="0"/>
              <w:adjustRightInd w:val="0"/>
              <w:textAlignment w:val="bottom"/>
              <w:rPr>
                <w:rFonts w:hint="eastAsia"/>
                <w:color w:val="auto"/>
              </w:rPr>
            </w:pPr>
            <w:r>
              <w:rPr>
                <w:rFonts w:hint="eastAsia"/>
                <w:color w:val="auto"/>
              </w:rPr>
              <w:t>6、招标范围内隧道墙壁每周清洗一次，人行道、道路、护栏等按照标书规定执行。</w:t>
            </w:r>
          </w:p>
          <w:p>
            <w:pPr>
              <w:autoSpaceDE w:val="0"/>
              <w:autoSpaceDN w:val="0"/>
              <w:adjustRightInd w:val="0"/>
              <w:textAlignment w:val="bottom"/>
              <w:rPr>
                <w:rFonts w:hint="eastAsia"/>
                <w:color w:val="auto"/>
                <w:sz w:val="20"/>
                <w:szCs w:val="18"/>
              </w:rPr>
            </w:pPr>
            <w:r>
              <w:rPr>
                <w:rFonts w:hint="eastAsia"/>
                <w:color w:val="auto"/>
              </w:rPr>
              <w:t>7、</w:t>
            </w:r>
            <w:r>
              <w:rPr>
                <w:rFonts w:hint="eastAsia"/>
                <w:color w:val="auto"/>
                <w:sz w:val="20"/>
                <w:szCs w:val="18"/>
              </w:rPr>
              <w:t>▲交通兼有城市化功能的公路路段，保洁标准参照市区道路一级或二级标准执行（采购人要求的公路路段）；</w:t>
            </w:r>
          </w:p>
          <w:p>
            <w:pPr>
              <w:pStyle w:val="2"/>
              <w:ind w:left="0" w:leftChars="0"/>
              <w:rPr>
                <w:color w:val="auto"/>
              </w:rPr>
            </w:pPr>
            <w:r>
              <w:rPr>
                <w:rFonts w:hint="eastAsia" w:ascii="宋体" w:hAnsi="宋体" w:cs="宋体"/>
                <w:color w:val="auto"/>
                <w:sz w:val="18"/>
                <w:szCs w:val="18"/>
              </w:rPr>
              <w:t>8、本项目应按需配备加水点：中标供应商在本标段现有3个加水点外另配置1个加水点，合计不少于4个加水点。分布位置需合理。</w:t>
            </w:r>
          </w:p>
        </w:tc>
      </w:tr>
    </w:tbl>
    <w:p>
      <w:pPr>
        <w:rPr>
          <w:rFonts w:hint="eastAsia" w:ascii="宋体" w:hAnsi="宋体" w:cs="宋体"/>
          <w:b/>
          <w:color w:val="auto"/>
          <w:sz w:val="22"/>
        </w:rPr>
      </w:pPr>
      <w:r>
        <w:rPr>
          <w:rFonts w:hint="eastAsia" w:ascii="宋体" w:hAnsi="宋体" w:cs="宋体"/>
          <w:b/>
          <w:color w:val="auto"/>
          <w:sz w:val="22"/>
        </w:rPr>
        <w:t>潘岱街道保洁等级要求</w:t>
      </w:r>
    </w:p>
    <w:tbl>
      <w:tblPr>
        <w:tblStyle w:val="29"/>
        <w:tblpPr w:leftFromText="180" w:rightFromText="180" w:vertAnchor="text" w:horzAnchor="margin" w:tblpXSpec="center" w:tblpY="29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41"/>
        <w:gridCol w:w="1346"/>
        <w:gridCol w:w="1406"/>
        <w:gridCol w:w="1344"/>
        <w:gridCol w:w="1125"/>
        <w:gridCol w:w="922"/>
        <w:gridCol w:w="1188"/>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833" w:type="pct"/>
            <w:gridSpan w:val="2"/>
            <w:tcBorders>
              <w:tl2br w:val="single" w:color="auto" w:sz="4" w:space="0"/>
            </w:tcBorders>
            <w:noWrap w:val="0"/>
            <w:vAlign w:val="center"/>
          </w:tcPr>
          <w:p>
            <w:pPr>
              <w:wordWrap w:val="0"/>
              <w:autoSpaceDE w:val="0"/>
              <w:autoSpaceDN w:val="0"/>
              <w:adjustRightInd w:val="0"/>
              <w:spacing w:line="300" w:lineRule="exact"/>
              <w:jc w:val="right"/>
              <w:textAlignment w:val="bottom"/>
              <w:rPr>
                <w:rFonts w:hint="eastAsia" w:ascii="宋体" w:hAnsi="宋体" w:cs="宋体"/>
                <w:color w:val="auto"/>
                <w:sz w:val="16"/>
                <w:szCs w:val="16"/>
              </w:rPr>
            </w:pPr>
            <w:r>
              <w:rPr>
                <w:rFonts w:hint="eastAsia" w:ascii="宋体" w:hAnsi="宋体" w:cs="宋体"/>
                <w:color w:val="auto"/>
                <w:sz w:val="16"/>
                <w:szCs w:val="16"/>
              </w:rPr>
              <w:t>道路等级</w:t>
            </w:r>
          </w:p>
          <w:p>
            <w:pPr>
              <w:autoSpaceDE w:val="0"/>
              <w:autoSpaceDN w:val="0"/>
              <w:adjustRightInd w:val="0"/>
              <w:spacing w:line="300" w:lineRule="exact"/>
              <w:textAlignment w:val="bottom"/>
              <w:rPr>
                <w:rFonts w:hint="eastAsia" w:ascii="宋体" w:hAnsi="宋体" w:cs="宋体"/>
                <w:color w:val="auto"/>
                <w:sz w:val="16"/>
                <w:szCs w:val="16"/>
              </w:rPr>
            </w:pPr>
            <w:r>
              <w:rPr>
                <w:rFonts w:hint="eastAsia" w:ascii="宋体" w:hAnsi="宋体" w:cs="宋体"/>
                <w:color w:val="auto"/>
                <w:sz w:val="16"/>
                <w:szCs w:val="16"/>
              </w:rPr>
              <w:t>质量标准</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集镇区一级道路</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集镇区二级道路</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集镇区三级道路</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农村中心村一级道路</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11"/>
                <w:sz w:val="16"/>
                <w:szCs w:val="16"/>
              </w:rPr>
            </w:pPr>
            <w:r>
              <w:rPr>
                <w:rFonts w:hint="eastAsia" w:ascii="宋体" w:hAnsi="宋体" w:cs="宋体"/>
                <w:color w:val="auto"/>
                <w:spacing w:val="-11"/>
                <w:sz w:val="16"/>
                <w:szCs w:val="16"/>
              </w:rPr>
              <w:t>农村中心村二级道路</w:t>
            </w:r>
          </w:p>
        </w:tc>
        <w:tc>
          <w:tcPr>
            <w:tcW w:w="60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highlight w:val="yellow"/>
              </w:rPr>
            </w:pPr>
            <w:r>
              <w:rPr>
                <w:rFonts w:hint="eastAsia" w:ascii="宋体" w:hAnsi="宋体" w:cs="宋体"/>
                <w:color w:val="auto"/>
                <w:sz w:val="16"/>
                <w:szCs w:val="16"/>
              </w:rPr>
              <w:t>公路一级道路</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公路二级道路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833" w:type="pct"/>
            <w:gridSpan w:val="2"/>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质量要求</w:t>
            </w:r>
          </w:p>
        </w:tc>
        <w:tc>
          <w:tcPr>
            <w:tcW w:w="4166" w:type="pct"/>
            <w:gridSpan w:val="7"/>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33" w:type="pct"/>
            <w:gridSpan w:val="2"/>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保洁时间、频次</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16小时巡回</w:t>
            </w:r>
            <w:r>
              <w:rPr>
                <w:rFonts w:hint="eastAsia" w:ascii="宋体" w:hAnsi="宋体" w:cs="宋体"/>
                <w:color w:val="auto"/>
                <w:spacing w:val="-6"/>
                <w:sz w:val="15"/>
                <w:szCs w:val="15"/>
              </w:rPr>
              <w:t>（5:00-21:00）</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12小时巡回</w:t>
            </w:r>
            <w:r>
              <w:rPr>
                <w:rFonts w:hint="eastAsia" w:ascii="宋体" w:hAnsi="宋体" w:cs="宋体"/>
                <w:color w:val="auto"/>
                <w:spacing w:val="-6"/>
                <w:sz w:val="15"/>
                <w:szCs w:val="15"/>
              </w:rPr>
              <w:t>（5:00-17:00）</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8小时巡回</w:t>
            </w:r>
            <w:r>
              <w:rPr>
                <w:rFonts w:hint="eastAsia" w:ascii="宋体" w:hAnsi="宋体" w:cs="宋体"/>
                <w:color w:val="auto"/>
                <w:spacing w:val="-6"/>
                <w:sz w:val="15"/>
                <w:szCs w:val="15"/>
              </w:rPr>
              <w:t>（6:00-10:00，13:00-17:00）</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12小时巡回</w:t>
            </w:r>
            <w:r>
              <w:rPr>
                <w:rFonts w:hint="eastAsia" w:ascii="宋体" w:hAnsi="宋体" w:cs="宋体"/>
                <w:color w:val="auto"/>
                <w:spacing w:val="-6"/>
                <w:sz w:val="15"/>
                <w:szCs w:val="15"/>
              </w:rPr>
              <w:t>（5:00-17:00）</w:t>
            </w:r>
          </w:p>
        </w:tc>
        <w:tc>
          <w:tcPr>
            <w:tcW w:w="467" w:type="pct"/>
            <w:noWrap w:val="0"/>
            <w:vAlign w:val="top"/>
          </w:tcPr>
          <w:p>
            <w:pPr>
              <w:autoSpaceDE w:val="0"/>
              <w:autoSpaceDN w:val="0"/>
              <w:adjustRightInd w:val="0"/>
              <w:spacing w:line="240" w:lineRule="exact"/>
              <w:jc w:val="left"/>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保洁1次</w:t>
            </w:r>
          </w:p>
        </w:tc>
        <w:tc>
          <w:tcPr>
            <w:tcW w:w="602"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12小时巡回</w:t>
            </w:r>
            <w:r>
              <w:rPr>
                <w:rFonts w:hint="eastAsia" w:ascii="宋体" w:hAnsi="宋体" w:cs="宋体"/>
                <w:color w:val="auto"/>
                <w:spacing w:val="-6"/>
                <w:sz w:val="15"/>
                <w:szCs w:val="15"/>
              </w:rPr>
              <w:t>（5:00-17:00）</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保洁1次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33" w:type="pct"/>
            <w:gridSpan w:val="2"/>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普扫次数</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每天3次</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每天2次</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每天1次</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每天1次</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每天1次</w:t>
            </w:r>
          </w:p>
        </w:tc>
        <w:tc>
          <w:tcPr>
            <w:tcW w:w="602" w:type="pct"/>
            <w:noWrap w:val="0"/>
            <w:vAlign w:val="center"/>
          </w:tcPr>
          <w:p>
            <w:pPr>
              <w:autoSpaceDE w:val="0"/>
              <w:autoSpaceDN w:val="0"/>
              <w:adjustRightInd w:val="0"/>
              <w:jc w:val="center"/>
              <w:textAlignment w:val="bottom"/>
              <w:rPr>
                <w:rFonts w:hint="eastAsia" w:ascii="宋体" w:hAnsi="宋体" w:cs="宋体"/>
                <w:color w:val="auto"/>
                <w:spacing w:val="-6"/>
                <w:sz w:val="16"/>
                <w:szCs w:val="16"/>
              </w:rPr>
            </w:pPr>
            <w:r>
              <w:rPr>
                <w:rFonts w:hint="eastAsia" w:ascii="宋体" w:hAnsi="宋体" w:cs="宋体"/>
                <w:color w:val="auto"/>
                <w:sz w:val="18"/>
                <w:szCs w:val="18"/>
              </w:rPr>
              <w:t>每天1次</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pacing w:val="-6"/>
                <w:sz w:val="16"/>
                <w:szCs w:val="16"/>
              </w:rPr>
            </w:pPr>
            <w:r>
              <w:rPr>
                <w:rFonts w:hint="eastAsia" w:ascii="宋体" w:hAnsi="宋体" w:cs="宋体"/>
                <w:color w:val="auto"/>
                <w:spacing w:val="-6"/>
                <w:sz w:val="16"/>
                <w:szCs w:val="16"/>
              </w:rPr>
              <w:t>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33" w:type="pct"/>
            <w:gridSpan w:val="2"/>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机扫次数</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每天3次</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每天1次</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602" w:type="pct"/>
            <w:noWrap w:val="0"/>
            <w:vAlign w:val="center"/>
          </w:tcPr>
          <w:p>
            <w:pPr>
              <w:autoSpaceDE w:val="0"/>
              <w:autoSpaceDN w:val="0"/>
              <w:adjustRightInd w:val="0"/>
              <w:jc w:val="center"/>
              <w:textAlignment w:val="bottom"/>
              <w:rPr>
                <w:rFonts w:hint="eastAsia" w:ascii="宋体" w:hAnsi="宋体" w:cs="宋体"/>
                <w:color w:val="auto"/>
                <w:sz w:val="16"/>
                <w:szCs w:val="16"/>
              </w:rPr>
            </w:pPr>
            <w:r>
              <w:rPr>
                <w:rFonts w:hint="eastAsia" w:ascii="宋体" w:hAnsi="宋体" w:cs="宋体"/>
                <w:color w:val="auto"/>
                <w:sz w:val="18"/>
                <w:szCs w:val="18"/>
              </w:rPr>
              <w:t>每天3次</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pacing w:val="-6"/>
                <w:sz w:val="16"/>
                <w:szCs w:val="16"/>
              </w:rPr>
              <w:t>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33" w:type="pct"/>
            <w:gridSpan w:val="2"/>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洒水次数</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每天3次</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每天2次</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每天1次</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602" w:type="pct"/>
            <w:noWrap w:val="0"/>
            <w:vAlign w:val="center"/>
          </w:tcPr>
          <w:p>
            <w:pPr>
              <w:autoSpaceDE w:val="0"/>
              <w:autoSpaceDN w:val="0"/>
              <w:adjustRightInd w:val="0"/>
              <w:jc w:val="center"/>
              <w:textAlignment w:val="bottom"/>
              <w:rPr>
                <w:rFonts w:hint="eastAsia" w:ascii="宋体" w:hAnsi="宋体" w:cs="宋体"/>
                <w:color w:val="auto"/>
                <w:sz w:val="16"/>
                <w:szCs w:val="16"/>
              </w:rPr>
            </w:pPr>
            <w:r>
              <w:rPr>
                <w:rFonts w:hint="eastAsia" w:ascii="宋体" w:hAnsi="宋体" w:cs="宋体"/>
                <w:color w:val="auto"/>
                <w:sz w:val="18"/>
                <w:szCs w:val="18"/>
              </w:rPr>
              <w:t>每天3次</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pacing w:val="-6"/>
                <w:sz w:val="16"/>
                <w:szCs w:val="16"/>
              </w:rPr>
              <w:t>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54" w:type="pct"/>
            <w:vMerge w:val="restar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冲洗次数</w:t>
            </w:r>
          </w:p>
        </w:tc>
        <w:tc>
          <w:tcPr>
            <w:tcW w:w="578"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车行道</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每天1次</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每天1次</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每天1次</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602" w:type="pct"/>
            <w:noWrap w:val="0"/>
            <w:vAlign w:val="center"/>
          </w:tcPr>
          <w:p>
            <w:pPr>
              <w:autoSpaceDE w:val="0"/>
              <w:autoSpaceDN w:val="0"/>
              <w:adjustRightInd w:val="0"/>
              <w:jc w:val="center"/>
              <w:textAlignment w:val="bottom"/>
              <w:rPr>
                <w:rFonts w:hint="eastAsia" w:ascii="宋体" w:hAnsi="宋体" w:cs="宋体"/>
                <w:color w:val="auto"/>
                <w:sz w:val="16"/>
                <w:szCs w:val="16"/>
              </w:rPr>
            </w:pPr>
            <w:r>
              <w:rPr>
                <w:rFonts w:hint="eastAsia" w:ascii="宋体" w:hAnsi="宋体" w:cs="宋体"/>
                <w:color w:val="auto"/>
                <w:sz w:val="18"/>
                <w:szCs w:val="18"/>
              </w:rPr>
              <w:t>每天1次</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每周1次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54" w:type="pct"/>
            <w:vMerge w:val="continue"/>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p>
        </w:tc>
        <w:tc>
          <w:tcPr>
            <w:tcW w:w="578"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人行道、非机动车道</w:t>
            </w:r>
          </w:p>
        </w:tc>
        <w:tc>
          <w:tcPr>
            <w:tcW w:w="682"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每周2次</w:t>
            </w:r>
          </w:p>
        </w:tc>
        <w:tc>
          <w:tcPr>
            <w:tcW w:w="713"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每周1次</w:t>
            </w:r>
          </w:p>
        </w:tc>
        <w:tc>
          <w:tcPr>
            <w:tcW w:w="681"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570"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每周1次</w:t>
            </w:r>
          </w:p>
        </w:tc>
        <w:tc>
          <w:tcPr>
            <w:tcW w:w="467"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w:t>
            </w:r>
          </w:p>
        </w:tc>
        <w:tc>
          <w:tcPr>
            <w:tcW w:w="602" w:type="pct"/>
            <w:noWrap w:val="0"/>
            <w:vAlign w:val="center"/>
          </w:tcPr>
          <w:p>
            <w:pPr>
              <w:autoSpaceDE w:val="0"/>
              <w:autoSpaceDN w:val="0"/>
              <w:adjustRightInd w:val="0"/>
              <w:jc w:val="center"/>
              <w:textAlignment w:val="bottom"/>
              <w:rPr>
                <w:rFonts w:hint="eastAsia" w:ascii="宋体" w:hAnsi="宋体" w:cs="宋体"/>
                <w:color w:val="auto"/>
                <w:sz w:val="16"/>
                <w:szCs w:val="16"/>
              </w:rPr>
            </w:pPr>
            <w:r>
              <w:rPr>
                <w:rFonts w:hint="eastAsia" w:ascii="宋体" w:hAnsi="宋体" w:cs="宋体"/>
                <w:color w:val="auto"/>
                <w:sz w:val="18"/>
                <w:szCs w:val="18"/>
              </w:rPr>
              <w:t>每周1次</w:t>
            </w:r>
          </w:p>
        </w:tc>
        <w:tc>
          <w:tcPr>
            <w:tcW w:w="446" w:type="pct"/>
            <w:noWrap w:val="0"/>
            <w:vAlign w:val="center"/>
          </w:tcPr>
          <w:p>
            <w:pPr>
              <w:autoSpaceDE w:val="0"/>
              <w:autoSpaceDN w:val="0"/>
              <w:adjustRightInd w:val="0"/>
              <w:spacing w:line="240" w:lineRule="exact"/>
              <w:jc w:val="center"/>
              <w:textAlignment w:val="bottom"/>
              <w:rPr>
                <w:rFonts w:hint="eastAsia" w:ascii="宋体" w:hAnsi="宋体" w:cs="宋体"/>
                <w:color w:val="auto"/>
                <w:sz w:val="16"/>
                <w:szCs w:val="16"/>
              </w:rPr>
            </w:pPr>
            <w:r>
              <w:rPr>
                <w:rFonts w:hint="eastAsia" w:ascii="宋体" w:hAnsi="宋体" w:cs="宋体"/>
                <w:color w:val="auto"/>
                <w:sz w:val="16"/>
                <w:szCs w:val="16"/>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000" w:type="pct"/>
            <w:gridSpan w:val="9"/>
            <w:noWrap w:val="0"/>
            <w:vAlign w:val="center"/>
          </w:tcPr>
          <w:p>
            <w:pPr>
              <w:autoSpaceDE w:val="0"/>
              <w:autoSpaceDN w:val="0"/>
              <w:adjustRightInd w:val="0"/>
              <w:textAlignment w:val="bottom"/>
              <w:rPr>
                <w:rFonts w:hint="eastAsia"/>
                <w:color w:val="auto"/>
                <w:sz w:val="18"/>
                <w:szCs w:val="18"/>
              </w:rPr>
            </w:pPr>
            <w:bookmarkStart w:id="48" w:name="_Toc30075"/>
            <w:r>
              <w:rPr>
                <w:rFonts w:hint="eastAsia"/>
                <w:color w:val="auto"/>
                <w:sz w:val="18"/>
                <w:szCs w:val="18"/>
              </w:rPr>
              <w:t>注：1、第一次普扫即晨扫必须在夏季6:30、冬季7:00以前完成，第二次普扫在下午13:30前完成，第三次普扫在夏季17:00、冬季16:30前完成。如需调整经乡镇街道同意，并报综合执法局批准备案后再实施。</w:t>
            </w:r>
          </w:p>
          <w:p>
            <w:pPr>
              <w:autoSpaceDE w:val="0"/>
              <w:autoSpaceDN w:val="0"/>
              <w:adjustRightInd w:val="0"/>
              <w:textAlignment w:val="bottom"/>
              <w:rPr>
                <w:rFonts w:hint="eastAsia"/>
                <w:color w:val="auto"/>
                <w:sz w:val="18"/>
                <w:szCs w:val="18"/>
              </w:rPr>
            </w:pPr>
            <w:r>
              <w:rPr>
                <w:rFonts w:hint="eastAsia"/>
                <w:color w:val="auto"/>
                <w:sz w:val="18"/>
                <w:szCs w:val="18"/>
              </w:rPr>
              <w:t>2、菜市场、步行商业街分的保洁时间应覆盖菜市场、步行商业街的开放时间；采购人有特殊要求的，保洁时间按采购人要求执行。</w:t>
            </w:r>
          </w:p>
          <w:p>
            <w:pPr>
              <w:autoSpaceDE w:val="0"/>
              <w:autoSpaceDN w:val="0"/>
              <w:adjustRightInd w:val="0"/>
              <w:textAlignment w:val="bottom"/>
              <w:rPr>
                <w:rFonts w:hint="eastAsia"/>
                <w:color w:val="auto"/>
                <w:sz w:val="18"/>
                <w:szCs w:val="18"/>
              </w:rPr>
            </w:pPr>
            <w:r>
              <w:rPr>
                <w:rFonts w:hint="eastAsia"/>
                <w:color w:val="auto"/>
                <w:sz w:val="18"/>
                <w:szCs w:val="18"/>
              </w:rPr>
              <w:t>3、垃圾中转站、农贸市场（菜市场）、学校、医院等重要场所200米范围周边道路每天冲洗不少于一次。</w:t>
            </w:r>
          </w:p>
          <w:p>
            <w:pPr>
              <w:autoSpaceDE w:val="0"/>
              <w:autoSpaceDN w:val="0"/>
              <w:adjustRightInd w:val="0"/>
              <w:textAlignment w:val="bottom"/>
              <w:rPr>
                <w:rFonts w:hint="eastAsia"/>
                <w:color w:val="auto"/>
                <w:sz w:val="18"/>
                <w:szCs w:val="18"/>
              </w:rPr>
            </w:pPr>
            <w:r>
              <w:rPr>
                <w:rFonts w:hint="eastAsia"/>
                <w:color w:val="auto"/>
                <w:sz w:val="18"/>
                <w:szCs w:val="18"/>
              </w:rPr>
              <w:t>4、采购人认为有必要采用机械化作业的道路，供应商应无条件服从。</w:t>
            </w:r>
          </w:p>
          <w:p>
            <w:pPr>
              <w:autoSpaceDE w:val="0"/>
              <w:autoSpaceDN w:val="0"/>
              <w:adjustRightInd w:val="0"/>
              <w:textAlignment w:val="bottom"/>
              <w:rPr>
                <w:rFonts w:hint="eastAsia"/>
                <w:color w:val="auto"/>
                <w:sz w:val="18"/>
                <w:szCs w:val="18"/>
              </w:rPr>
            </w:pPr>
            <w:r>
              <w:rPr>
                <w:rFonts w:hint="eastAsia"/>
                <w:color w:val="auto"/>
                <w:sz w:val="18"/>
                <w:szCs w:val="18"/>
              </w:rPr>
              <w:t>5、道路人行道（公路、通村道路路肩），边沟包括绿化带等机械清扫无法覆盖的位置辅以人工清扫方式清扫。</w:t>
            </w:r>
          </w:p>
          <w:p>
            <w:pPr>
              <w:autoSpaceDE w:val="0"/>
              <w:autoSpaceDN w:val="0"/>
              <w:adjustRightInd w:val="0"/>
              <w:textAlignment w:val="bottom"/>
              <w:rPr>
                <w:rFonts w:hint="eastAsia"/>
                <w:color w:val="auto"/>
                <w:sz w:val="18"/>
                <w:szCs w:val="18"/>
              </w:rPr>
            </w:pPr>
            <w:r>
              <w:rPr>
                <w:rFonts w:hint="eastAsia"/>
                <w:color w:val="auto"/>
                <w:sz w:val="18"/>
                <w:szCs w:val="18"/>
              </w:rPr>
              <w:t>6、招标范围内隧道墙壁每周清洗一次，人行道、道路、护栏等按照标书规定执行。</w:t>
            </w:r>
          </w:p>
          <w:p>
            <w:pPr>
              <w:autoSpaceDE w:val="0"/>
              <w:autoSpaceDN w:val="0"/>
              <w:adjustRightInd w:val="0"/>
              <w:spacing w:line="240" w:lineRule="exact"/>
              <w:jc w:val="both"/>
              <w:textAlignment w:val="bottom"/>
              <w:rPr>
                <w:rFonts w:hint="eastAsia"/>
                <w:color w:val="auto"/>
                <w:sz w:val="18"/>
                <w:szCs w:val="18"/>
              </w:rPr>
            </w:pPr>
            <w:r>
              <w:rPr>
                <w:rFonts w:hint="eastAsia"/>
                <w:color w:val="auto"/>
                <w:sz w:val="18"/>
                <w:szCs w:val="18"/>
              </w:rPr>
              <w:t>7、▲交通兼有城市化功能的公路路段，保洁标准参照市区道路一级或二级标准执行（采购人要求的公路路段）；</w:t>
            </w:r>
          </w:p>
          <w:p>
            <w:pPr>
              <w:pStyle w:val="2"/>
              <w:ind w:left="0" w:leftChars="0"/>
              <w:rPr>
                <w:rFonts w:hint="eastAsia"/>
                <w:color w:val="auto"/>
              </w:rPr>
            </w:pPr>
            <w:r>
              <w:rPr>
                <w:rFonts w:hint="eastAsia" w:ascii="宋体" w:hAnsi="宋体" w:cs="宋体"/>
                <w:color w:val="auto"/>
                <w:sz w:val="18"/>
                <w:szCs w:val="18"/>
              </w:rPr>
              <w:t>8、本项目应按需配备加水点：中标供应商在本标段现有3个加水点外另配置1个加水点，合计不少于4个加水点。分布位置需合理。</w:t>
            </w:r>
          </w:p>
        </w:tc>
      </w:tr>
    </w:tbl>
    <w:p>
      <w:pPr>
        <w:snapToGrid w:val="0"/>
        <w:spacing w:line="400" w:lineRule="exact"/>
        <w:ind w:firstLine="422" w:firstLineChars="200"/>
        <w:outlineLvl w:val="3"/>
        <w:rPr>
          <w:rFonts w:hint="eastAsia" w:ascii="宋体" w:hAnsi="宋体" w:cs="宋体"/>
          <w:b/>
          <w:color w:val="auto"/>
          <w:szCs w:val="21"/>
        </w:rPr>
      </w:pPr>
      <w:r>
        <w:rPr>
          <w:rFonts w:hint="eastAsia" w:ascii="宋体" w:hAnsi="宋体" w:cs="宋体"/>
          <w:b/>
          <w:color w:val="auto"/>
          <w:szCs w:val="21"/>
        </w:rPr>
        <w:t>6、应急作业要求</w:t>
      </w:r>
      <w:bookmarkEnd w:id="48"/>
    </w:p>
    <w:p>
      <w:pPr>
        <w:pStyle w:val="2"/>
        <w:adjustRightInd w:val="0"/>
        <w:snapToGrid w:val="0"/>
        <w:spacing w:after="0" w:line="400" w:lineRule="exact"/>
        <w:ind w:left="0" w:leftChars="0" w:firstLine="420" w:firstLineChars="200"/>
        <w:rPr>
          <w:rFonts w:hint="eastAsia" w:ascii="宋体" w:hAnsi="宋体" w:cs="宋体"/>
          <w:szCs w:val="21"/>
        </w:rPr>
      </w:pPr>
      <w:bookmarkStart w:id="49" w:name="_Hlk497139671"/>
      <w:r>
        <w:rPr>
          <w:rFonts w:hint="eastAsia" w:ascii="宋体" w:hAnsi="宋体" w:cs="宋体"/>
          <w:szCs w:val="21"/>
        </w:rPr>
        <w:t>（1）中标供应商须根据采购人要求及道路突发情况24小时待命。</w:t>
      </w:r>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 xml:space="preserve">（2）责任路段范围内出现大面积遗撒物、交通安全事故，自接到通知后，应在2小时内清理干净。 </w:t>
      </w:r>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（3）路面液态油质，如机油、柴油、汽油、润滑油等污染物应在4小时内清理每天干净。</w:t>
      </w:r>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（4）责任路段范围内出现易燃易爆、有毒有害物质遗撒泄露，服务提供组织应及时报告行政主管部门。</w:t>
      </w:r>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（5）出现降雪天气时，提供服务组织应及时进行融雪和路面清理。应保证4小时至10小时内完成融雪，在 2 至 3 天内完成路面清理。</w:t>
      </w:r>
      <w:bookmarkEnd w:id="49"/>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6）台风、暴雨、洪水及冰冻等灾害性天气结束后，应及时进行保洁。增加保洁工作量的，采购人可以按实际工作增加量，给予中标供应商适当的补助经费。如实际保洁未增加费用的，则不予以补助，具体以采购人审定为准。</w:t>
      </w:r>
    </w:p>
    <w:p>
      <w:pPr>
        <w:pStyle w:val="2"/>
        <w:adjustRightInd w:val="0"/>
        <w:snapToGrid w:val="0"/>
        <w:spacing w:after="0" w:line="400" w:lineRule="exact"/>
        <w:ind w:left="0" w:leftChars="0" w:firstLine="420" w:firstLineChars="200"/>
        <w:rPr>
          <w:rFonts w:hint="eastAsia" w:ascii="宋体" w:hAnsi="宋体" w:cs="宋体"/>
          <w:szCs w:val="21"/>
        </w:rPr>
      </w:pPr>
      <w:r>
        <w:rPr>
          <w:rFonts w:hint="eastAsia" w:ascii="宋体" w:hAnsi="宋体" w:cs="宋体"/>
          <w:szCs w:val="21"/>
        </w:rPr>
        <w:t>（7）因车辆原因或其它自身原因不能及时处理应急事件时，须及时报告行政主管部门。</w:t>
      </w:r>
    </w:p>
    <w:bookmarkEnd w:id="32"/>
    <w:p>
      <w:pPr>
        <w:snapToGrid w:val="0"/>
        <w:spacing w:line="400" w:lineRule="exact"/>
        <w:ind w:firstLine="422" w:firstLineChars="200"/>
        <w:outlineLvl w:val="3"/>
        <w:rPr>
          <w:rFonts w:hint="default" w:ascii="宋体" w:hAnsi="宋体" w:eastAsia="宋体" w:cs="宋体"/>
          <w:b/>
          <w:color w:val="auto"/>
          <w:szCs w:val="21"/>
          <w:highlight w:val="none"/>
          <w:lang w:val="en-US" w:eastAsia="zh-CN"/>
        </w:rPr>
      </w:pPr>
      <w:bookmarkStart w:id="50" w:name="_Toc23388"/>
      <w:bookmarkStart w:id="51" w:name="_Toc5184"/>
      <w:bookmarkStart w:id="52" w:name="_Toc403"/>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席地而坐</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示范区保洁要求</w:t>
      </w:r>
    </w:p>
    <w:p>
      <w:pPr>
        <w:keepNext w:val="0"/>
        <w:keepLines w:val="0"/>
        <w:pageBreakBefore w:val="0"/>
        <w:widowControl/>
        <w:kinsoku/>
        <w:wordWrap/>
        <w:overflowPunct/>
        <w:topLinePunct w:val="0"/>
        <w:autoSpaceDE/>
        <w:autoSpaceDN/>
        <w:bidi w:val="0"/>
        <w:adjustRightInd/>
        <w:snapToGrid/>
        <w:spacing w:line="400" w:lineRule="exact"/>
        <w:ind w:firstLine="413" w:firstLineChars="196"/>
        <w:textAlignment w:val="auto"/>
        <w:outlineLvl w:val="9"/>
        <w:rPr>
          <w:rFonts w:hint="eastAsia" w:ascii="宋体" w:hAnsi="宋体" w:cs="宋体"/>
          <w:b/>
          <w:color w:val="auto"/>
          <w:szCs w:val="21"/>
          <w:highlight w:val="none"/>
        </w:rPr>
      </w:pPr>
      <w:r>
        <w:rPr>
          <w:rFonts w:hint="eastAsia" w:ascii="宋体" w:hAnsi="宋体" w:cs="宋体"/>
          <w:b/>
          <w:color w:val="auto"/>
          <w:szCs w:val="21"/>
          <w:highlight w:val="none"/>
        </w:rPr>
        <w:t>（1）暂定范围：</w:t>
      </w:r>
      <w:r>
        <w:rPr>
          <w:rFonts w:hint="eastAsia" w:ascii="宋体" w:hAnsi="宋体" w:cs="宋体"/>
          <w:b/>
          <w:color w:val="auto"/>
          <w:szCs w:val="21"/>
          <w:highlight w:val="none"/>
          <w:lang w:val="en-US" w:eastAsia="zh-CN"/>
        </w:rPr>
        <w:t>玉海街道滨江大道（飞云江大桥至解放南路）、忠义街</w:t>
      </w:r>
      <w:r>
        <w:rPr>
          <w:rFonts w:hint="eastAsia" w:ascii="宋体" w:hAnsi="宋体" w:cs="宋体"/>
          <w:b/>
          <w:color w:val="auto"/>
          <w:szCs w:val="21"/>
          <w:highlight w:val="none"/>
        </w:rPr>
        <w:t>等</w:t>
      </w:r>
      <w:r>
        <w:rPr>
          <w:rFonts w:hint="eastAsia" w:ascii="宋体" w:hAnsi="宋体" w:cs="宋体"/>
          <w:b/>
          <w:color w:val="auto"/>
          <w:szCs w:val="21"/>
          <w:highlight w:val="none"/>
          <w:lang w:val="en-US" w:eastAsia="zh-CN"/>
        </w:rPr>
        <w:t>二</w:t>
      </w:r>
      <w:r>
        <w:rPr>
          <w:rFonts w:hint="eastAsia" w:ascii="宋体" w:hAnsi="宋体" w:cs="宋体"/>
          <w:b/>
          <w:color w:val="auto"/>
          <w:szCs w:val="21"/>
          <w:highlight w:val="none"/>
        </w:rPr>
        <w:t>处；</w:t>
      </w:r>
      <w:r>
        <w:rPr>
          <w:rFonts w:ascii="宋体" w:hAnsi="宋体" w:eastAsia="宋体"/>
          <w:color w:val="auto"/>
          <w:szCs w:val="21"/>
          <w:highlight w:val="none"/>
        </w:rPr>
        <w:t>如因政策要求，采购人可在服务期内增加数量，各投标供应商应无条件响应。</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（2）保洁质量要求：</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 地面路面深度保洁，达到干净清爽、席地而坐标准</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要求</w:t>
      </w:r>
      <w:r>
        <w:rPr>
          <w:rFonts w:hint="eastAsia" w:ascii="宋体" w:hAnsi="宋体" w:cs="宋体"/>
          <w:b w:val="0"/>
          <w:bCs/>
          <w:color w:val="auto"/>
          <w:szCs w:val="21"/>
          <w:highlight w:val="none"/>
          <w:lang w:val="en-US" w:eastAsia="zh-CN"/>
        </w:rPr>
        <w:t>滨江大道（飞云江大桥至解放南路）</w:t>
      </w:r>
      <w:r>
        <w:rPr>
          <w:rFonts w:hint="eastAsia" w:ascii="宋体" w:hAnsi="宋体" w:eastAsia="宋体" w:cs="宋体"/>
          <w:b w:val="0"/>
          <w:bCs/>
          <w:color w:val="auto"/>
          <w:szCs w:val="21"/>
          <w:highlight w:val="none"/>
        </w:rPr>
        <w:t>实施1</w:t>
      </w:r>
      <w:r>
        <w:rPr>
          <w:rFonts w:hint="eastAsia" w:ascii="宋体" w:hAnsi="宋体" w:eastAsia="宋体" w:cs="宋体"/>
          <w:b w:val="0"/>
          <w:bCs/>
          <w:color w:val="auto"/>
          <w:szCs w:val="21"/>
          <w:highlight w:val="none"/>
          <w:lang w:val="en-US" w:eastAsia="zh-CN"/>
        </w:rPr>
        <w:t>8</w:t>
      </w:r>
      <w:r>
        <w:rPr>
          <w:rFonts w:hint="eastAsia" w:ascii="宋体" w:hAnsi="宋体" w:eastAsia="宋体" w:cs="宋体"/>
          <w:b w:val="0"/>
          <w:bCs/>
          <w:color w:val="auto"/>
          <w:szCs w:val="21"/>
          <w:highlight w:val="none"/>
        </w:rPr>
        <w:t>小时（</w:t>
      </w:r>
      <w:r>
        <w:rPr>
          <w:rFonts w:hint="eastAsia" w:ascii="宋体" w:hAnsi="宋体" w:eastAsia="宋体" w:cs="宋体"/>
          <w:b w:val="0"/>
          <w:bCs/>
          <w:color w:val="auto"/>
          <w:szCs w:val="21"/>
          <w:highlight w:val="none"/>
          <w:lang w:val="en-US" w:eastAsia="zh-CN"/>
        </w:rPr>
        <w:t>4</w:t>
      </w:r>
      <w:r>
        <w:rPr>
          <w:rFonts w:hint="eastAsia" w:ascii="宋体" w:hAnsi="宋体" w:eastAsia="宋体" w:cs="宋体"/>
          <w:b w:val="0"/>
          <w:bCs/>
          <w:color w:val="auto"/>
          <w:szCs w:val="21"/>
          <w:highlight w:val="none"/>
        </w:rPr>
        <w:t>:00-</w:t>
      </w:r>
      <w:r>
        <w:rPr>
          <w:rFonts w:hint="eastAsia" w:ascii="宋体" w:hAnsi="宋体" w:eastAsia="宋体" w:cs="宋体"/>
          <w:b w:val="0"/>
          <w:bCs/>
          <w:color w:val="auto"/>
          <w:szCs w:val="21"/>
          <w:highlight w:val="none"/>
          <w:lang w:val="en-US" w:eastAsia="zh-CN"/>
        </w:rPr>
        <w:t>22</w:t>
      </w:r>
      <w:r>
        <w:rPr>
          <w:rFonts w:hint="eastAsia" w:ascii="宋体" w:hAnsi="宋体" w:eastAsia="宋体" w:cs="宋体"/>
          <w:b w:val="0"/>
          <w:bCs/>
          <w:color w:val="auto"/>
          <w:szCs w:val="21"/>
          <w:highlight w:val="none"/>
        </w:rPr>
        <w:t>:00）动态巡回保洁，</w:t>
      </w:r>
      <w:r>
        <w:rPr>
          <w:rFonts w:hint="eastAsia" w:ascii="宋体" w:hAnsi="宋体" w:cs="宋体"/>
          <w:b w:val="0"/>
          <w:bCs/>
          <w:color w:val="auto"/>
          <w:szCs w:val="21"/>
          <w:highlight w:val="none"/>
          <w:lang w:val="en-US" w:eastAsia="zh-CN"/>
        </w:rPr>
        <w:t>忠义街</w:t>
      </w:r>
      <w:r>
        <w:rPr>
          <w:rFonts w:hint="eastAsia" w:ascii="宋体" w:hAnsi="宋体" w:eastAsia="宋体" w:cs="宋体"/>
          <w:b w:val="0"/>
          <w:bCs/>
          <w:color w:val="auto"/>
          <w:szCs w:val="21"/>
          <w:highlight w:val="none"/>
        </w:rPr>
        <w:t>实施1</w:t>
      </w:r>
      <w:r>
        <w:rPr>
          <w:rFonts w:hint="eastAsia" w:ascii="宋体" w:hAnsi="宋体" w:eastAsia="宋体" w:cs="宋体"/>
          <w:b w:val="0"/>
          <w:bCs/>
          <w:color w:val="auto"/>
          <w:szCs w:val="21"/>
          <w:highlight w:val="none"/>
          <w:lang w:val="en-US" w:eastAsia="zh-CN"/>
        </w:rPr>
        <w:t>6</w:t>
      </w:r>
      <w:r>
        <w:rPr>
          <w:rFonts w:hint="eastAsia" w:ascii="宋体" w:hAnsi="宋体" w:eastAsia="宋体" w:cs="宋体"/>
          <w:b w:val="0"/>
          <w:bCs/>
          <w:color w:val="auto"/>
          <w:szCs w:val="21"/>
          <w:highlight w:val="none"/>
        </w:rPr>
        <w:t>小时（</w:t>
      </w:r>
      <w:r>
        <w:rPr>
          <w:rFonts w:hint="eastAsia" w:ascii="宋体" w:hAnsi="宋体" w:eastAsia="宋体" w:cs="宋体"/>
          <w:b w:val="0"/>
          <w:bCs/>
          <w:color w:val="auto"/>
          <w:szCs w:val="21"/>
          <w:highlight w:val="none"/>
          <w:lang w:val="en-US" w:eastAsia="zh-CN"/>
        </w:rPr>
        <w:t>4</w:t>
      </w:r>
      <w:r>
        <w:rPr>
          <w:rFonts w:hint="eastAsia" w:ascii="宋体" w:hAnsi="宋体" w:eastAsia="宋体" w:cs="宋体"/>
          <w:b w:val="0"/>
          <w:bCs/>
          <w:color w:val="auto"/>
          <w:szCs w:val="21"/>
          <w:highlight w:val="none"/>
        </w:rPr>
        <w:t>:00-</w:t>
      </w:r>
      <w:r>
        <w:rPr>
          <w:rFonts w:hint="eastAsia" w:ascii="宋体" w:hAnsi="宋体" w:eastAsia="宋体" w:cs="宋体"/>
          <w:b w:val="0"/>
          <w:bCs/>
          <w:color w:val="auto"/>
          <w:szCs w:val="21"/>
          <w:highlight w:val="none"/>
          <w:lang w:val="en-US" w:eastAsia="zh-CN"/>
        </w:rPr>
        <w:t>20</w:t>
      </w:r>
      <w:r>
        <w:rPr>
          <w:rFonts w:hint="eastAsia" w:ascii="宋体" w:hAnsi="宋体" w:eastAsia="宋体" w:cs="宋体"/>
          <w:b w:val="0"/>
          <w:bCs/>
          <w:color w:val="auto"/>
          <w:szCs w:val="21"/>
          <w:highlight w:val="none"/>
        </w:rPr>
        <w:t>:00）动态巡回保洁</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动态垃圾停留时间小于5分钟。</w:t>
      </w:r>
      <w:r>
        <w:rPr>
          <w:rFonts w:hint="eastAsia" w:ascii="宋体" w:hAnsi="宋体" w:eastAsia="宋体" w:cs="宋体"/>
          <w:color w:val="auto"/>
          <w:szCs w:val="21"/>
          <w:highlight w:val="none"/>
        </w:rPr>
        <w:t>使用人工清洁和深度保洁装备及适合广场、人行道等作业小型机扫车、油污清除车等作业车辆，实施深度除污、除尘，路面及人行道保持干净整洁，还原路面本色，对公共广场地面进行洗刷。对侧挡石、墙角、树穴、砖（墙）缝等区域的积泥、杂草进行清除，保持干净整洁、无污渍、无杂物堆放、无零星垃圾，具体清扫频次：地面每天普扫不少于5次，每天冲洗不少于1次。</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 立面屋面规范保洁，达到整洁靓丽、视觉舒适标准</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全面清理“空中垃圾”、建筑物（构筑物）立面（2米以下部分）积灰积尘，每天擦洗不少于2次；景观水体可见垃圾和附着污物，每1小时巡回保洁一次。</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 城市家俱精洗保洁，达到洁净如洗、随手可摸标准</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着眼细节，对条椅、石凳、花坛边、可坐台阶等可坐的区域，实行精洗保洁+巡回擦洗作业方式，每天擦洗不少于3次，确保可坐人区域可正常如坐。</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果壳箱等各类城市家俱进行精洗保洁，每天擦洗不少于2次，实现设施上无杂物、无灰尘、无污渍、无张贴。采用防黏贴新材料对路灯杆、配电箱等表面处理确保洁净。</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 绿化绿地冲洗保洁，达到绿地整洁有序、绿叶如新标准</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绿化隔离带、街头绿地以冲洗、捡拾为主，清除暴露垃圾、杂草，绿化带内无杂物悬挂、堆放，绿地无裸露。利用高压冲洗车冲洗绿植，实现绿植表面无浮尘，每天冲洗不少于1次。</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（3）工作要求</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 按照最高标准保洁作业要求，建立“扫、捡、冲、刷、洗、拔、捞、擦、吸、巡”等组合式作业方式进行保洁。</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 配备专人，采用专业设备对保洁区域进行不间断的巡回保洁模式，确保所保洁区域能达到席地而坐的保准。</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 如因节假日游览人员增加，中标供应商应加派人员和设备，确保</w:t>
      </w:r>
      <w:r>
        <w:rPr>
          <w:rFonts w:hint="eastAsia" w:ascii="宋体" w:hAnsi="宋体" w:eastAsia="宋体" w:cs="宋体"/>
          <w:color w:val="auto"/>
          <w:szCs w:val="21"/>
          <w:highlight w:val="none"/>
          <w:lang w:val="en-US" w:eastAsia="zh-CN"/>
        </w:rPr>
        <w:t>达到</w:t>
      </w:r>
      <w:r>
        <w:rPr>
          <w:rFonts w:hint="eastAsia" w:ascii="宋体" w:hAnsi="宋体" w:eastAsia="宋体" w:cs="宋体"/>
          <w:color w:val="auto"/>
          <w:szCs w:val="21"/>
          <w:highlight w:val="none"/>
        </w:rPr>
        <w:t>保洁质量的要求。</w:t>
      </w:r>
    </w:p>
    <w:p>
      <w:pPr>
        <w:pStyle w:val="2"/>
        <w:adjustRightInd w:val="0"/>
        <w:snapToGrid w:val="0"/>
        <w:spacing w:after="0"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（4）人员和设备配置：投标供应商自行配备，确保能满足服务要求。</w:t>
      </w:r>
    </w:p>
    <w:p>
      <w:pPr>
        <w:spacing w:line="400" w:lineRule="exact"/>
        <w:ind w:firstLine="413" w:firstLineChars="196"/>
        <w:outlineLvl w:val="2"/>
        <w:rPr>
          <w:rFonts w:hint="eastAsia" w:ascii="宋体" w:hAnsi="宋体" w:cs="宋体"/>
          <w:b/>
          <w:szCs w:val="21"/>
        </w:rPr>
      </w:pPr>
      <w:r>
        <w:rPr>
          <w:rFonts w:hint="eastAsia" w:ascii="宋体" w:hAnsi="宋体" w:cs="宋体"/>
          <w:b/>
          <w:szCs w:val="21"/>
        </w:rPr>
        <w:t>（二）公园、广场及公共绿地保洁要求</w:t>
      </w:r>
      <w:bookmarkEnd w:id="50"/>
      <w:bookmarkEnd w:id="51"/>
      <w:bookmarkEnd w:id="52"/>
    </w:p>
    <w:p>
      <w:pPr>
        <w:snapToGrid w:val="0"/>
        <w:spacing w:line="400" w:lineRule="exact"/>
        <w:ind w:firstLine="422" w:firstLineChars="200"/>
        <w:outlineLvl w:val="3"/>
        <w:rPr>
          <w:rFonts w:hint="eastAsia" w:ascii="宋体" w:hAnsi="宋体" w:cs="宋体"/>
          <w:b/>
          <w:szCs w:val="21"/>
        </w:rPr>
      </w:pPr>
      <w:bookmarkStart w:id="53" w:name="_Toc22299"/>
      <w:bookmarkStart w:id="54" w:name="_Toc3041"/>
      <w:bookmarkStart w:id="55" w:name="_Toc28069"/>
      <w:r>
        <w:rPr>
          <w:rFonts w:hint="eastAsia" w:ascii="宋体" w:hAnsi="宋体" w:cs="宋体"/>
          <w:b/>
          <w:szCs w:val="21"/>
        </w:rPr>
        <w:t>1、公园、广场及公共绿地保洁范围</w:t>
      </w:r>
      <w:bookmarkEnd w:id="53"/>
      <w:bookmarkEnd w:id="54"/>
      <w:bookmarkEnd w:id="55"/>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公园、广场及公共绿地（含道路绿化隔离带、道路两侧绿地、假山公园、小游园、园林景观道路绿地（带）、园林休闲道绿地（带）及配套的人工附属设施设备，下同）内的保洁（含垃圾筒、果皮箱等卫生设施、护栏、护树设施、灯光及各类电气设施、座椅、指示牌、宣传牌、警示牌等标识系统等）；公园、广场及公共绿地内建筑及构筑物的地面保洁及立面清洗（含亭、台、楼、榭、登山道、挡土墙、花基、围墙、大门、小品、雕塑等）；公园、广场及公共绿地内道路及铺装的保洁（道路、活动广场、入口广场、停车场等）；水体保洁（含给水系统、喷灌系统、排水沟及防洪设施、喷泉、水池、溪流、湖等）；道路及区内各类设施、建筑及构筑物立面上违法小广告的清除；公园、广场内公厕保洁；其他园林设施的清洁。</w:t>
      </w:r>
    </w:p>
    <w:p>
      <w:pPr>
        <w:snapToGrid w:val="0"/>
        <w:spacing w:line="400" w:lineRule="exact"/>
        <w:ind w:firstLine="422" w:firstLineChars="200"/>
        <w:outlineLvl w:val="3"/>
        <w:rPr>
          <w:rFonts w:hint="eastAsia" w:ascii="宋体" w:hAnsi="宋体" w:cs="宋体"/>
          <w:b/>
          <w:szCs w:val="21"/>
        </w:rPr>
      </w:pPr>
      <w:bookmarkStart w:id="56" w:name="_Toc16601"/>
      <w:bookmarkStart w:id="57" w:name="_Toc17604"/>
      <w:bookmarkStart w:id="58" w:name="_Toc11404"/>
      <w:r>
        <w:rPr>
          <w:rFonts w:hint="eastAsia" w:ascii="宋体" w:hAnsi="宋体" w:cs="宋体"/>
          <w:b/>
          <w:szCs w:val="21"/>
        </w:rPr>
        <w:t>2、公园、广场及公共绿地保洁质量要求</w:t>
      </w:r>
      <w:bookmarkEnd w:id="56"/>
      <w:bookmarkEnd w:id="57"/>
      <w:bookmarkEnd w:id="58"/>
    </w:p>
    <w:p>
      <w:pPr>
        <w:numPr>
          <w:ilvl w:val="0"/>
          <w:numId w:val="20"/>
        </w:num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公园、广场、绿地、绿化带（地）干净整洁无垃圾污染，无卫生死角，无杂物积存，空旷绿地无明显垃圾，要求清理垃圾（含养护公司清理出的垃圾）。</w:t>
      </w:r>
    </w:p>
    <w:p>
      <w:pPr>
        <w:numPr>
          <w:ilvl w:val="0"/>
          <w:numId w:val="20"/>
        </w:num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人工附属设施设备（各类灯、音响、指示牌、宣传栏、休闲椅、桥面、栏杆、扶手、凉亭、走廊、花架、园林小品等，下同）、体育健身区域器材设施表面无积尘，干净整洁，无乱涂写，乱粘贴和悬挂物。</w:t>
      </w:r>
    </w:p>
    <w:p>
      <w:pPr>
        <w:numPr>
          <w:ilvl w:val="0"/>
          <w:numId w:val="20"/>
        </w:num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lang w:val="zh-CN"/>
        </w:rPr>
        <w:t>眼看水体、水面及水</w:t>
      </w:r>
      <w:r>
        <w:rPr>
          <w:rFonts w:hint="eastAsia" w:ascii="宋体" w:hAnsi="宋体" w:cs="宋体"/>
          <w:color w:val="auto"/>
          <w:szCs w:val="21"/>
          <w:highlight w:val="none"/>
          <w:lang w:val="zh-CN"/>
        </w:rPr>
        <w:t>面周围无杂物、水葫芦、青苔等漂浮物。排水沟目视干净无杂草、杂物，排水畅通。</w:t>
      </w:r>
    </w:p>
    <w:p>
      <w:pPr>
        <w:numPr>
          <w:ilvl w:val="0"/>
          <w:numId w:val="20"/>
        </w:num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落叶、枯枝等禁止扫入周边园路及两侧绿化道。</w:t>
      </w:r>
    </w:p>
    <w:p>
      <w:pPr>
        <w:pStyle w:val="2"/>
        <w:numPr>
          <w:ilvl w:val="0"/>
          <w:numId w:val="20"/>
        </w:numPr>
        <w:adjustRightInd w:val="0"/>
        <w:snapToGrid w:val="0"/>
        <w:spacing w:after="0" w:line="400" w:lineRule="exact"/>
        <w:ind w:left="0" w:lef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公厕保洁按现相关同类公厕标准执行。</w:t>
      </w:r>
    </w:p>
    <w:p>
      <w:pPr>
        <w:snapToGrid w:val="0"/>
        <w:spacing w:line="400" w:lineRule="exact"/>
        <w:ind w:firstLine="422" w:firstLineChars="200"/>
        <w:outlineLvl w:val="3"/>
        <w:rPr>
          <w:rFonts w:hint="eastAsia" w:ascii="宋体" w:hAnsi="宋体" w:cs="宋体"/>
          <w:b/>
          <w:color w:val="auto"/>
          <w:szCs w:val="21"/>
          <w:highlight w:val="none"/>
        </w:rPr>
      </w:pPr>
      <w:bookmarkStart w:id="59" w:name="_Toc13178"/>
      <w:bookmarkStart w:id="60" w:name="_Toc16190"/>
      <w:bookmarkStart w:id="61" w:name="_Toc18481"/>
      <w:r>
        <w:rPr>
          <w:rFonts w:hint="eastAsia" w:ascii="宋体" w:hAnsi="宋体" w:cs="宋体"/>
          <w:b/>
          <w:color w:val="auto"/>
          <w:szCs w:val="21"/>
          <w:highlight w:val="none"/>
        </w:rPr>
        <w:t>3、公园、广场及公共绿地保洁作业要求</w:t>
      </w:r>
      <w:bookmarkEnd w:id="59"/>
      <w:bookmarkEnd w:id="60"/>
      <w:bookmarkEnd w:id="61"/>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集镇区公园、广场要求实施16小时（5:00-21:00）动态巡回保洁，保洁要达到“七无”、“五净”标准。公园、广场内道路及铺装、建筑及构筑物的地面每天普扫3次，每周冲洗3次；公园、广场内各类设施、建筑及构筑物立面（2米以下部分）每天清洗1次；水体保洁按河道保洁要求执行；公园、广场内公厕按一类公厕保洁标准执行。</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农村二类村公园、广场要求实施12小时（5:00-17:00）动态巡回保洁，保洁要达到“七无”、“五净”标准。公园、广场内道路及铺装、建筑及构筑物的地面每天普扫1次，每周冲洗1次；公园、广场内各类设施、建筑及构筑物立面（2米以下部分）每天清洗1次；水体保洁按河道保洁要求执行；公园、广场内公厕按二类公厕保洁标准执行。</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（3）公共绿地要求清理绿化中的垃圾（含养护公司清理出的垃圾）、抛洒物、零星废弃物，卫生死角、积存垃圾杂物，确保绿化区域干净整洁。</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（4）大型树木季节性砍杈养护，造成的树杈、落枝、落叶由中标供应商负责在12小时内清运完毕。</w:t>
      </w:r>
    </w:p>
    <w:p>
      <w:pPr>
        <w:snapToGrid w:val="0"/>
        <w:spacing w:line="400" w:lineRule="exact"/>
        <w:ind w:firstLine="422" w:firstLineChars="200"/>
        <w:outlineLvl w:val="3"/>
        <w:rPr>
          <w:rFonts w:hint="eastAsia" w:ascii="宋体" w:hAnsi="宋体" w:cs="宋体"/>
          <w:b/>
          <w:szCs w:val="21"/>
        </w:rPr>
      </w:pPr>
      <w:bookmarkStart w:id="62" w:name="_Toc19327"/>
      <w:r>
        <w:rPr>
          <w:rFonts w:hint="eastAsia" w:ascii="宋体" w:hAnsi="宋体" w:cs="宋体"/>
          <w:b/>
          <w:szCs w:val="21"/>
        </w:rPr>
        <w:t>4、船只配备要求</w:t>
      </w:r>
      <w:bookmarkEnd w:id="62"/>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人工河打捞漂浮物时结合实际情况选择使用充气船或木船等作业船只，作业行船安全，防止超载、颠覆、进水。安全救生用具配戴齐全，定期实施设施安全检查。</w:t>
      </w:r>
    </w:p>
    <w:p>
      <w:pPr>
        <w:snapToGrid w:val="0"/>
        <w:spacing w:line="400" w:lineRule="exact"/>
        <w:ind w:firstLine="422" w:firstLineChars="200"/>
        <w:outlineLvl w:val="3"/>
        <w:rPr>
          <w:rFonts w:hint="eastAsia" w:ascii="宋体" w:hAnsi="宋体" w:cs="宋体"/>
          <w:b/>
          <w:szCs w:val="21"/>
        </w:rPr>
      </w:pPr>
      <w:bookmarkStart w:id="63" w:name="_Toc24841"/>
      <w:r>
        <w:rPr>
          <w:rFonts w:hint="eastAsia" w:ascii="宋体" w:hAnsi="宋体" w:cs="宋体"/>
          <w:b/>
          <w:szCs w:val="21"/>
        </w:rPr>
        <w:t>5、日常工作要求</w:t>
      </w:r>
      <w:bookmarkEnd w:id="63"/>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（1）路面上的口香糖等粘性物体应及时清理干净。</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（2）垃圾桶、果皮箱垃圾袋里的垃圾不得超过三分之二，每天至少清理1次并将垃圾集中收集至指定的垃圾中转站。</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（3）绿化地每天巡回保洁，确保草坪、花园内无瓜果皮壳、枯叶、饮料盒、纸屑、碎石、塑料袋等杂物。</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rPr>
        <w:t>（4）人工附属设施设备、体育健身</w:t>
      </w:r>
      <w:r>
        <w:rPr>
          <w:rFonts w:hint="eastAsia" w:ascii="宋体" w:hAnsi="宋体" w:cs="宋体"/>
          <w:color w:val="auto"/>
          <w:szCs w:val="21"/>
          <w:highlight w:val="none"/>
        </w:rPr>
        <w:t>区域器材设施每周擦洗1次。</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（5）人工河保洁每天不得少于2次，打捞人员必须穿戴救身衣、会游泳、习水性。</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（6）枯枝、落叶、泥土等垃圾经养护公司</w:t>
      </w:r>
      <w:r>
        <w:rPr>
          <w:rFonts w:hint="eastAsia" w:ascii="宋体" w:hAnsi="宋体" w:cs="宋体"/>
          <w:color w:val="auto"/>
          <w:szCs w:val="21"/>
          <w:highlight w:val="none"/>
          <w:lang w:val="en-US" w:eastAsia="zh-CN"/>
        </w:rPr>
        <w:t>整</w:t>
      </w:r>
      <w:r>
        <w:rPr>
          <w:rFonts w:hint="eastAsia" w:ascii="宋体" w:hAnsi="宋体" w:cs="宋体"/>
          <w:color w:val="auto"/>
          <w:szCs w:val="21"/>
          <w:highlight w:val="none"/>
        </w:rPr>
        <w:t>理打包后，由保洁公司负责清理、处置，确保日产日清。</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（7）园区内喷泉的水体及设施，每2个月清洗次数不少于1次。</w:t>
      </w:r>
    </w:p>
    <w:p>
      <w:pPr>
        <w:snapToGrid w:val="0"/>
        <w:spacing w:line="400" w:lineRule="exact"/>
        <w:ind w:firstLine="422" w:firstLineChars="200"/>
        <w:outlineLvl w:val="3"/>
        <w:rPr>
          <w:rFonts w:hint="eastAsia" w:ascii="宋体" w:hAnsi="宋体" w:cs="宋体"/>
          <w:b/>
          <w:color w:val="auto"/>
          <w:szCs w:val="21"/>
          <w:highlight w:val="none"/>
        </w:rPr>
      </w:pPr>
      <w:bookmarkStart w:id="64" w:name="_Toc10625"/>
      <w:bookmarkStart w:id="65" w:name="_Toc16230"/>
      <w:bookmarkStart w:id="66" w:name="_Toc16004"/>
      <w:r>
        <w:rPr>
          <w:rFonts w:hint="eastAsia" w:ascii="宋体" w:hAnsi="宋体" w:cs="宋体"/>
          <w:b/>
          <w:color w:val="auto"/>
          <w:szCs w:val="21"/>
          <w:highlight w:val="none"/>
        </w:rPr>
        <w:t>6、应急要求</w:t>
      </w:r>
      <w:bookmarkEnd w:id="64"/>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公园、广场及公共绿地内遇到可疑人员须及时汇报行业主管部门。</w:t>
      </w:r>
    </w:p>
    <w:p>
      <w:pPr>
        <w:spacing w:line="400" w:lineRule="exact"/>
        <w:ind w:firstLine="413" w:firstLineChars="196"/>
        <w:outlineLvl w:val="2"/>
        <w:rPr>
          <w:rFonts w:hint="eastAsia" w:ascii="宋体" w:hAnsi="宋体" w:cs="宋体"/>
          <w:b/>
          <w:szCs w:val="21"/>
        </w:rPr>
      </w:pPr>
      <w:bookmarkStart w:id="67" w:name="_Toc22156"/>
      <w:r>
        <w:rPr>
          <w:rFonts w:hint="eastAsia" w:ascii="宋体" w:hAnsi="宋体" w:cs="宋体"/>
          <w:b/>
          <w:szCs w:val="21"/>
        </w:rPr>
        <w:t>（三）市政设施保洁要求</w:t>
      </w:r>
      <w:bookmarkEnd w:id="65"/>
      <w:bookmarkEnd w:id="66"/>
      <w:bookmarkEnd w:id="67"/>
    </w:p>
    <w:p>
      <w:pPr>
        <w:snapToGrid w:val="0"/>
        <w:spacing w:line="400" w:lineRule="exact"/>
        <w:ind w:firstLine="422" w:firstLineChars="200"/>
        <w:outlineLvl w:val="3"/>
        <w:rPr>
          <w:rFonts w:hint="eastAsia" w:ascii="宋体" w:hAnsi="宋体" w:cs="宋体"/>
          <w:b/>
          <w:szCs w:val="21"/>
        </w:rPr>
      </w:pPr>
      <w:bookmarkStart w:id="68" w:name="_Toc22311"/>
      <w:r>
        <w:rPr>
          <w:rFonts w:hint="eastAsia" w:ascii="宋体" w:hAnsi="宋体" w:cs="宋体"/>
          <w:b/>
          <w:szCs w:val="21"/>
        </w:rPr>
        <w:t>1、市政设施保洁范围</w:t>
      </w:r>
      <w:bookmarkEnd w:id="68"/>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含道路（含公路、桥梁）护栏、隔离栏、电杆、监控杆、弱电设施等一切公共室外市政设施。</w:t>
      </w:r>
    </w:p>
    <w:p>
      <w:pPr>
        <w:snapToGrid w:val="0"/>
        <w:spacing w:line="400" w:lineRule="exact"/>
        <w:ind w:firstLine="422" w:firstLineChars="200"/>
        <w:outlineLvl w:val="3"/>
        <w:rPr>
          <w:rFonts w:hint="eastAsia" w:ascii="宋体" w:hAnsi="宋体" w:cs="宋体"/>
          <w:b/>
          <w:szCs w:val="21"/>
        </w:rPr>
      </w:pPr>
      <w:bookmarkStart w:id="69" w:name="_Toc23914"/>
      <w:r>
        <w:rPr>
          <w:rFonts w:hint="eastAsia" w:ascii="宋体" w:hAnsi="宋体" w:cs="宋体"/>
          <w:b/>
          <w:szCs w:val="21"/>
        </w:rPr>
        <w:t>2、市政设施保洁质量要求</w:t>
      </w:r>
      <w:bookmarkEnd w:id="69"/>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（1）护栏、隔离栏清洗必须达到目测无污痕，擦拭无污垢。</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（2）市政设施表面无积尘，干净整洁。</w:t>
      </w:r>
    </w:p>
    <w:p>
      <w:pPr>
        <w:snapToGrid w:val="0"/>
        <w:spacing w:line="400" w:lineRule="exact"/>
        <w:ind w:firstLine="422" w:firstLineChars="200"/>
        <w:outlineLvl w:val="3"/>
        <w:rPr>
          <w:rFonts w:hint="eastAsia" w:ascii="宋体" w:hAnsi="宋体" w:cs="宋体"/>
          <w:b/>
          <w:szCs w:val="21"/>
        </w:rPr>
      </w:pPr>
      <w:bookmarkStart w:id="70" w:name="_Toc10538"/>
      <w:bookmarkStart w:id="71" w:name="_Toc5262"/>
      <w:bookmarkStart w:id="72" w:name="_Toc26346"/>
      <w:r>
        <w:rPr>
          <w:rFonts w:hint="eastAsia" w:ascii="宋体" w:hAnsi="宋体" w:cs="宋体"/>
          <w:b/>
          <w:szCs w:val="21"/>
        </w:rPr>
        <w:t>3、市政设施保洁作业要求</w:t>
      </w:r>
      <w:bookmarkEnd w:id="70"/>
      <w:bookmarkEnd w:id="71"/>
      <w:bookmarkEnd w:id="72"/>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（1）护栏、隔离栏每周清洗不少于1次，清洗保洁作业时间尽量错开交通高峰期，遇重大活动、节假日，护栏、隔离栏要随时保持清洁。</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（2）电杆、监控杆、弱电设施等一切公共室外市政设施每周按规范清洁不得少于1次。电杆、监控杆高于2米的市政设施，只需负责2米以下部分擦洗及保洁。</w:t>
      </w:r>
    </w:p>
    <w:p>
      <w:pPr>
        <w:spacing w:line="400" w:lineRule="exact"/>
        <w:ind w:firstLine="413" w:firstLineChars="196"/>
        <w:outlineLvl w:val="2"/>
        <w:rPr>
          <w:rFonts w:hint="eastAsia" w:ascii="宋体" w:hAnsi="宋体" w:cs="宋体"/>
          <w:b/>
          <w:szCs w:val="21"/>
        </w:rPr>
      </w:pPr>
      <w:bookmarkStart w:id="73" w:name="_Toc2145"/>
      <w:bookmarkStart w:id="74" w:name="_Toc27258"/>
      <w:bookmarkStart w:id="75" w:name="_Toc8717"/>
      <w:r>
        <w:rPr>
          <w:rFonts w:hint="eastAsia" w:ascii="宋体" w:hAnsi="宋体" w:cs="宋体"/>
          <w:b/>
          <w:szCs w:val="21"/>
        </w:rPr>
        <w:t>（四）城市家具保洁要求</w:t>
      </w:r>
      <w:bookmarkEnd w:id="73"/>
      <w:bookmarkEnd w:id="74"/>
      <w:bookmarkEnd w:id="75"/>
    </w:p>
    <w:p>
      <w:pPr>
        <w:snapToGrid w:val="0"/>
        <w:spacing w:line="400" w:lineRule="exact"/>
        <w:ind w:firstLine="422" w:firstLineChars="200"/>
        <w:outlineLvl w:val="3"/>
        <w:rPr>
          <w:rFonts w:hint="eastAsia" w:ascii="宋体" w:hAnsi="宋体" w:cs="宋体"/>
          <w:b/>
          <w:szCs w:val="21"/>
        </w:rPr>
      </w:pPr>
      <w:bookmarkStart w:id="76" w:name="_Toc7586"/>
      <w:bookmarkStart w:id="77" w:name="_Toc28351"/>
      <w:bookmarkStart w:id="78" w:name="_Toc10572"/>
      <w:r>
        <w:rPr>
          <w:rFonts w:hint="eastAsia" w:ascii="宋体" w:hAnsi="宋体" w:cs="宋体"/>
          <w:b/>
          <w:szCs w:val="21"/>
        </w:rPr>
        <w:t>1、城市家具保洁范围</w:t>
      </w:r>
      <w:bookmarkEnd w:id="76"/>
      <w:bookmarkEnd w:id="77"/>
      <w:bookmarkEnd w:id="78"/>
    </w:p>
    <w:p>
      <w:pPr>
        <w:autoSpaceDE w:val="0"/>
        <w:autoSpaceDN w:val="0"/>
        <w:adjustRightInd w:val="0"/>
        <w:snapToGrid w:val="0"/>
        <w:spacing w:line="400" w:lineRule="exact"/>
        <w:ind w:firstLine="525" w:firstLineChars="250"/>
        <w:textAlignment w:val="bottom"/>
        <w:rPr>
          <w:rFonts w:hint="eastAsia" w:ascii="宋体" w:hAnsi="宋体" w:cs="宋体"/>
          <w:szCs w:val="21"/>
        </w:rPr>
      </w:pPr>
      <w:r>
        <w:rPr>
          <w:rFonts w:hint="eastAsia" w:ascii="宋体" w:hAnsi="宋体" w:cs="宋体"/>
          <w:szCs w:val="21"/>
        </w:rPr>
        <w:t>含环卫设施（果壳箱、垃圾桶、垃圾房、垃圾坞）、公交站台、站牌、灯箱、广告牌、报刊（信息）亭、电话亭、邮政信箱、固定室外座椅等一切城市家具。</w:t>
      </w:r>
    </w:p>
    <w:p>
      <w:pPr>
        <w:snapToGrid w:val="0"/>
        <w:spacing w:line="400" w:lineRule="exact"/>
        <w:ind w:firstLine="422" w:firstLineChars="200"/>
        <w:outlineLvl w:val="3"/>
        <w:rPr>
          <w:rFonts w:hint="eastAsia" w:ascii="宋体" w:hAnsi="宋体" w:cs="宋体"/>
          <w:b/>
          <w:szCs w:val="21"/>
        </w:rPr>
      </w:pPr>
      <w:bookmarkStart w:id="79" w:name="_Toc1553"/>
      <w:bookmarkStart w:id="80" w:name="_Toc16200"/>
      <w:bookmarkStart w:id="81" w:name="_Toc111"/>
      <w:r>
        <w:rPr>
          <w:rFonts w:hint="eastAsia" w:ascii="宋体" w:hAnsi="宋体" w:cs="宋体"/>
          <w:b/>
          <w:szCs w:val="21"/>
        </w:rPr>
        <w:t>2、城市家具保洁质量要求</w:t>
      </w:r>
      <w:bookmarkEnd w:id="79"/>
      <w:bookmarkEnd w:id="80"/>
      <w:bookmarkEnd w:id="81"/>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（1）环卫设施（果壳箱、垃圾桶、垃圾房、垃圾坞）内的垃圾应日产日清，不过夜，不溢满，保持外观整洁。</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（2）果壳箱、垃圾桶按垃圾分类要求放置整齐规范、无敞门、无破损、歪斜、油漆剥落（或严重褪色）现象。收集、清洗后要归位复原，桶盖(箱门)及时盖上（关闭），做到车走地净。</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szCs w:val="21"/>
        </w:rPr>
        <w:t>（3）作业时间内禁止环</w:t>
      </w:r>
      <w:r>
        <w:rPr>
          <w:rFonts w:hint="eastAsia" w:ascii="宋体" w:hAnsi="宋体" w:cs="宋体"/>
          <w:color w:val="auto"/>
          <w:szCs w:val="21"/>
        </w:rPr>
        <w:t>卫工人在果壳箱、垃圾桶内翻捡废品。</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（4）城市家具表面无积尘，保持干燥整洁。</w:t>
      </w:r>
    </w:p>
    <w:p>
      <w:pPr>
        <w:wordWrap w:val="0"/>
        <w:overflowPunct w:val="0"/>
        <w:adjustRightInd w:val="0"/>
        <w:snapToGrid w:val="0"/>
        <w:spacing w:line="360" w:lineRule="auto"/>
        <w:ind w:firstLine="420" w:firstLineChars="200"/>
        <w:textAlignment w:val="bottom"/>
        <w:rPr>
          <w:rFonts w:hint="eastAsia" w:ascii="宋体" w:hAnsi="宋体" w:cs="宋体"/>
          <w:color w:val="auto"/>
          <w:szCs w:val="21"/>
        </w:rPr>
      </w:pPr>
      <w:bookmarkStart w:id="82" w:name="_Toc21692"/>
      <w:bookmarkStart w:id="83" w:name="_Toc10044"/>
      <w:bookmarkStart w:id="84" w:name="_Toc11409"/>
      <w:r>
        <w:rPr>
          <w:rFonts w:hint="eastAsia" w:ascii="宋体" w:hAnsi="宋体" w:cs="宋体"/>
          <w:color w:val="auto"/>
          <w:szCs w:val="21"/>
        </w:rPr>
        <w:t>（5）配备相应的操作工具、材料及专职工作人员，确保城市家具表面无积尘，干净整洁。</w:t>
      </w:r>
    </w:p>
    <w:p>
      <w:pPr>
        <w:wordWrap w:val="0"/>
        <w:overflowPunct w:val="0"/>
        <w:snapToGrid w:val="0"/>
        <w:spacing w:line="360" w:lineRule="auto"/>
        <w:ind w:firstLine="422" w:firstLineChars="200"/>
        <w:outlineLvl w:val="3"/>
        <w:rPr>
          <w:rFonts w:hint="eastAsia" w:ascii="宋体" w:hAnsi="宋体" w:cs="宋体"/>
          <w:b/>
          <w:color w:val="auto"/>
          <w:szCs w:val="21"/>
        </w:rPr>
      </w:pPr>
      <w:r>
        <w:rPr>
          <w:rFonts w:hint="eastAsia" w:ascii="宋体" w:hAnsi="宋体" w:cs="宋体"/>
          <w:b/>
          <w:color w:val="auto"/>
          <w:szCs w:val="21"/>
        </w:rPr>
        <w:t>3、城市家具保洁作业设备要求</w:t>
      </w:r>
    </w:p>
    <w:p>
      <w:pPr>
        <w:wordWrap w:val="0"/>
        <w:overflowPunct w:val="0"/>
        <w:adjustRightInd w:val="0"/>
        <w:snapToGrid w:val="0"/>
        <w:spacing w:line="360" w:lineRule="auto"/>
        <w:ind w:firstLine="440" w:firstLineChars="200"/>
        <w:textAlignment w:val="bottom"/>
        <w:rPr>
          <w:rFonts w:hint="eastAsia" w:ascii="宋体" w:hAnsi="宋体" w:cs="宋体"/>
          <w:color w:val="auto"/>
          <w:kern w:val="2"/>
          <w:sz w:val="22"/>
          <w:szCs w:val="22"/>
        </w:rPr>
      </w:pPr>
      <w:r>
        <w:rPr>
          <w:rFonts w:hint="eastAsia" w:ascii="宋体" w:hAnsi="宋体" w:cs="宋体"/>
          <w:color w:val="auto"/>
          <w:kern w:val="2"/>
          <w:sz w:val="22"/>
          <w:szCs w:val="22"/>
        </w:rPr>
        <w:t>保洁设备机具配置种类应完备，适用于不同类别城市家具的保洁工况及工序要求，包含但不限于以下要求：电动巡捡车、水桶、扫把、捡拾器、簸箕、伸缩刷（钩）、铲子、抹布、喷壶等工具，能够满足捡拾、清扫、擦拭、清理等作业要求。</w:t>
      </w:r>
    </w:p>
    <w:p>
      <w:pPr>
        <w:wordWrap w:val="0"/>
        <w:overflowPunct w:val="0"/>
        <w:snapToGrid w:val="0"/>
        <w:spacing w:line="360" w:lineRule="auto"/>
        <w:ind w:firstLine="422" w:firstLineChars="200"/>
        <w:outlineLvl w:val="3"/>
        <w:rPr>
          <w:rFonts w:hint="eastAsia" w:ascii="宋体" w:hAnsi="宋体" w:cs="宋体"/>
          <w:b/>
          <w:color w:val="auto"/>
          <w:szCs w:val="21"/>
        </w:rPr>
      </w:pPr>
      <w:r>
        <w:rPr>
          <w:rFonts w:hint="eastAsia" w:ascii="宋体" w:hAnsi="宋体" w:cs="宋体"/>
          <w:b/>
          <w:color w:val="auto"/>
          <w:szCs w:val="21"/>
        </w:rPr>
        <w:t>4、城市家具保洁作业要求</w:t>
      </w:r>
    </w:p>
    <w:p>
      <w:pPr>
        <w:wordWrap w:val="0"/>
        <w:overflowPunct w:val="0"/>
        <w:adjustRightInd w:val="0"/>
        <w:snapToGrid w:val="0"/>
        <w:spacing w:line="360" w:lineRule="auto"/>
        <w:ind w:firstLine="420" w:firstLineChars="200"/>
        <w:textAlignment w:val="bottom"/>
        <w:rPr>
          <w:rFonts w:hint="eastAsia" w:ascii="宋体" w:hAnsi="宋体" w:cs="宋体"/>
          <w:color w:val="auto"/>
          <w:szCs w:val="21"/>
        </w:rPr>
      </w:pPr>
      <w:r>
        <w:rPr>
          <w:rFonts w:hint="eastAsia" w:ascii="宋体" w:hAnsi="宋体" w:cs="宋体"/>
          <w:color w:val="auto"/>
          <w:szCs w:val="21"/>
        </w:rPr>
        <w:t>（1）需在垃圾清运后清洗环卫设施箱体1次（含内壁冲洗），环卫设施及周边路面每天清洗不少于2次，并确保周围地面无暴露垃圾、污水。</w:t>
      </w:r>
    </w:p>
    <w:p>
      <w:pPr>
        <w:wordWrap w:val="0"/>
        <w:overflowPunct w:val="0"/>
        <w:adjustRightInd w:val="0"/>
        <w:snapToGrid w:val="0"/>
        <w:spacing w:line="360" w:lineRule="auto"/>
        <w:ind w:firstLine="420" w:firstLineChars="200"/>
        <w:textAlignment w:val="bottom"/>
        <w:rPr>
          <w:rFonts w:hint="eastAsia" w:ascii="宋体" w:hAnsi="宋体" w:cs="宋体"/>
          <w:b/>
          <w:color w:val="auto"/>
          <w:szCs w:val="21"/>
        </w:rPr>
      </w:pPr>
      <w:r>
        <w:rPr>
          <w:rFonts w:hint="eastAsia" w:ascii="宋体" w:hAnsi="宋体" w:cs="宋体"/>
          <w:color w:val="auto"/>
          <w:szCs w:val="21"/>
        </w:rPr>
        <w:t>（2）公交站台、站牌、灯箱、广告牌、报刊（信息）亭、电话亭、邮政信箱、固定室外座椅等城市家具，每两天清洁擦洗不得少于1次，公交站台座椅每天擦洗不少于2次。</w:t>
      </w:r>
    </w:p>
    <w:bookmarkEnd w:id="82"/>
    <w:bookmarkEnd w:id="83"/>
    <w:bookmarkEnd w:id="84"/>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（3）每日巡查时检查垃圾桶、果壳箱、垃圾坞等垃圾分类的标识，如出现模糊、掉落、错误等情况的，中标供应商须将标识修复或更换。</w:t>
      </w:r>
    </w:p>
    <w:p>
      <w:pPr>
        <w:snapToGrid w:val="0"/>
        <w:spacing w:line="400" w:lineRule="exact"/>
        <w:ind w:firstLine="422" w:firstLineChars="200"/>
        <w:outlineLvl w:val="3"/>
        <w:rPr>
          <w:rFonts w:hint="eastAsia" w:ascii="宋体" w:hAnsi="宋体" w:cs="宋体"/>
          <w:b/>
          <w:color w:val="auto"/>
          <w:szCs w:val="21"/>
        </w:rPr>
      </w:pPr>
      <w:bookmarkStart w:id="85" w:name="_Toc26560"/>
      <w:bookmarkStart w:id="86" w:name="_Toc11900"/>
      <w:bookmarkStart w:id="87" w:name="_Toc10854"/>
      <w:r>
        <w:rPr>
          <w:rFonts w:hint="eastAsia" w:ascii="宋体" w:hAnsi="宋体" w:cs="宋体"/>
          <w:b/>
          <w:color w:val="auto"/>
          <w:szCs w:val="21"/>
        </w:rPr>
        <w:t>5、特殊要求</w:t>
      </w:r>
      <w:bookmarkEnd w:id="85"/>
      <w:bookmarkEnd w:id="86"/>
      <w:bookmarkEnd w:id="87"/>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（1）非保洁区(非集镇区)</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非保洁区(非集镇区)垃圾桶由各社区(各村)自行负责。</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（2）保洁区(集镇区)</w:t>
      </w:r>
    </w:p>
    <w:p>
      <w:pPr>
        <w:pStyle w:val="66"/>
        <w:ind w:left="839" w:firstLine="0"/>
        <w:rPr>
          <w:rFonts w:hint="eastAsia" w:hAnsi="宋体" w:cs="宋体"/>
          <w:color w:val="auto"/>
          <w:szCs w:val="21"/>
        </w:rPr>
      </w:pPr>
      <w:r>
        <w:rPr>
          <w:rFonts w:hint="eastAsia" w:hAnsi="宋体" w:cs="宋体"/>
          <w:color w:val="auto"/>
        </w:rPr>
        <w:t>1）、</w:t>
      </w:r>
      <w:r>
        <w:rPr>
          <w:rFonts w:hint="eastAsia" w:hAnsi="宋体" w:cs="宋体"/>
          <w:color w:val="auto"/>
          <w:szCs w:val="21"/>
        </w:rPr>
        <w:t>本项目保洁区(集镇区)垃圾桶纳入《瑞安市智慧环卫监管平台》进行监管；</w:t>
      </w:r>
    </w:p>
    <w:p>
      <w:pPr>
        <w:pStyle w:val="66"/>
        <w:ind w:left="839" w:firstLine="0"/>
        <w:rPr>
          <w:rFonts w:hint="eastAsia" w:hAnsi="宋体" w:cs="宋体"/>
          <w:color w:val="auto"/>
          <w:szCs w:val="21"/>
        </w:rPr>
      </w:pPr>
      <w:r>
        <w:rPr>
          <w:rFonts w:hint="eastAsia" w:hAnsi="宋体" w:cs="宋体"/>
          <w:color w:val="auto"/>
          <w:szCs w:val="21"/>
        </w:rPr>
        <w:t>2）、合同履行期间，中标供应商负责垃圾桶、果壳箱的保管与维护。垃圾桶的采购原则上由采购人负责，采购人视垃圾桶折损情况逐步更换补齐，但每年度至多采购垃圾桶总量的33%，超出部分由中标供应商负责采购。</w:t>
      </w:r>
    </w:p>
    <w:p>
      <w:pPr>
        <w:pStyle w:val="66"/>
        <w:ind w:left="839" w:firstLine="0"/>
        <w:rPr>
          <w:rFonts w:hint="eastAsia" w:hAnsi="宋体" w:cs="宋体"/>
          <w:szCs w:val="21"/>
        </w:rPr>
      </w:pPr>
      <w:r>
        <w:rPr>
          <w:rFonts w:hint="eastAsia" w:hAnsi="宋体" w:cs="宋体"/>
          <w:color w:val="auto"/>
          <w:szCs w:val="21"/>
        </w:rPr>
        <w:t>3）合同履行期间，采购人投放的垃圾</w:t>
      </w:r>
      <w:r>
        <w:rPr>
          <w:rFonts w:hint="eastAsia" w:hAnsi="宋体" w:cs="宋体"/>
          <w:szCs w:val="21"/>
        </w:rPr>
        <w:t>桶、果壳箱如有破损（含第三方人为破损）与丢失情况，由中标供应商向采购人报备并在12小时内按原样式、规格、质量标准、配置要求予以免费维修或更换补齐。中标供应商将垃圾桶设置清单台账报至采购人处备查。</w:t>
      </w:r>
    </w:p>
    <w:p>
      <w:pPr>
        <w:pStyle w:val="66"/>
        <w:ind w:left="839" w:firstLine="0"/>
        <w:rPr>
          <w:rFonts w:hint="eastAsia" w:hAnsi="宋体" w:cs="宋体"/>
          <w:szCs w:val="21"/>
        </w:rPr>
      </w:pPr>
      <w:r>
        <w:rPr>
          <w:rFonts w:hint="eastAsia" w:hAnsi="宋体" w:cs="宋体"/>
          <w:szCs w:val="21"/>
        </w:rPr>
        <w:t>4）、合同履行到期，中标供应商须按原样式、规格、质量标准、数量，将垃圾桶、果壳箱按采购人投放数量补齐，并与采购人办理相关移交手续。否则采购人将从履约保证金中一次性扣回，其中垃圾桶120L脚踏式塑料垃圾桶（含垃圾桶盖及轮子）按每只128元扣回、240L脚踏式塑料垃圾桶（含垃圾桶盖及轮子）按每只156元扣回。</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rPr>
        <w:t>（3）因垃圾分类工</w:t>
      </w:r>
      <w:r>
        <w:rPr>
          <w:rFonts w:hint="eastAsia" w:ascii="宋体" w:hAnsi="宋体" w:cs="宋体"/>
          <w:color w:val="auto"/>
          <w:szCs w:val="21"/>
          <w:highlight w:val="none"/>
        </w:rPr>
        <w:t>作深入推进，需增加投放垃圾收集容器，则由采购人设置后移交中标供应商进行运维，及时做好分类清运，并按城市家具保洁要求做好日常维护。</w:t>
      </w:r>
    </w:p>
    <w:p>
      <w:pPr>
        <w:spacing w:line="400" w:lineRule="exact"/>
        <w:ind w:firstLine="411" w:firstLineChars="196"/>
        <w:outlineLvl w:val="2"/>
        <w:rPr>
          <w:rFonts w:hint="eastAsia" w:ascii="宋体" w:hAnsi="宋体" w:eastAsia="宋体" w:cs="宋体"/>
          <w:color w:val="auto"/>
          <w:szCs w:val="21"/>
          <w:highlight w:val="none"/>
          <w:lang w:val="en-US" w:eastAsia="zh-CN"/>
        </w:rPr>
      </w:pPr>
      <w:bookmarkStart w:id="88" w:name="_Toc22375"/>
      <w:bookmarkStart w:id="89" w:name="_Toc22726"/>
      <w:bookmarkStart w:id="90" w:name="_Toc11477"/>
      <w:r>
        <w:rPr>
          <w:rFonts w:hint="eastAsia" w:ascii="宋体" w:hAnsi="宋体" w:cs="宋体"/>
          <w:color w:val="auto"/>
          <w:szCs w:val="21"/>
          <w:highlight w:val="none"/>
        </w:rPr>
        <w:t>（五）飞云江堤坝保洁</w:t>
      </w:r>
      <w:bookmarkEnd w:id="88"/>
      <w:r>
        <w:rPr>
          <w:rFonts w:hint="eastAsia" w:ascii="宋体" w:hAnsi="宋体" w:cs="宋体"/>
          <w:color w:val="auto"/>
          <w:szCs w:val="21"/>
          <w:highlight w:val="none"/>
          <w:lang w:val="en-US" w:eastAsia="zh-CN"/>
        </w:rPr>
        <w:t>要求</w:t>
      </w:r>
    </w:p>
    <w:p>
      <w:pPr>
        <w:autoSpaceDE w:val="0"/>
        <w:autoSpaceDN w:val="0"/>
        <w:adjustRightInd w:val="0"/>
        <w:spacing w:line="400" w:lineRule="exact"/>
        <w:ind w:firstLine="420" w:firstLineChars="200"/>
        <w:textAlignment w:val="bottom"/>
        <w:rPr>
          <w:rFonts w:hint="eastAsia" w:ascii="宋体" w:hAnsi="宋体" w:cs="宋体"/>
          <w:color w:val="auto"/>
          <w:highlight w:val="none"/>
        </w:rPr>
      </w:pPr>
      <w:r>
        <w:rPr>
          <w:rFonts w:hint="eastAsia" w:ascii="宋体" w:hAnsi="宋体" w:cs="宋体"/>
          <w:color w:val="auto"/>
          <w:highlight w:val="none"/>
        </w:rPr>
        <w:t>本项目</w:t>
      </w:r>
      <w:r>
        <w:rPr>
          <w:rFonts w:hint="eastAsia" w:ascii="宋体" w:hAnsi="宋体" w:cs="宋体"/>
          <w:b/>
          <w:bCs/>
          <w:color w:val="auto"/>
          <w:highlight w:val="none"/>
        </w:rPr>
        <w:t>玉海街道、锦湖街道</w:t>
      </w:r>
      <w:r>
        <w:rPr>
          <w:rFonts w:hint="eastAsia" w:ascii="宋体" w:hAnsi="宋体" w:cs="宋体"/>
          <w:color w:val="auto"/>
          <w:szCs w:val="21"/>
          <w:highlight w:val="none"/>
        </w:rPr>
        <w:t>飞云江堤坝保洁范围内</w:t>
      </w:r>
      <w:r>
        <w:rPr>
          <w:rFonts w:hint="eastAsia" w:ascii="宋体" w:hAnsi="宋体" w:cs="宋体"/>
          <w:color w:val="auto"/>
          <w:highlight w:val="none"/>
        </w:rPr>
        <w:t>的垃圾清理工作纳入到本次合同中，由于</w:t>
      </w:r>
      <w:r>
        <w:rPr>
          <w:rFonts w:hint="eastAsia" w:ascii="宋体" w:hAnsi="宋体" w:cs="宋体"/>
          <w:color w:val="auto"/>
          <w:szCs w:val="21"/>
          <w:highlight w:val="none"/>
        </w:rPr>
        <w:t>飞云江堤坝保洁范围</w:t>
      </w:r>
      <w:r>
        <w:rPr>
          <w:rFonts w:hint="eastAsia" w:ascii="宋体" w:hAnsi="宋体" w:cs="宋体"/>
          <w:color w:val="auto"/>
          <w:highlight w:val="none"/>
        </w:rPr>
        <w:t>的区域的保洁清理难度大、危险性高、专业性强的特殊性，要做到保洁的队伍年轻化、清理工具专业化、车辆设备实用化、清理过程规范化，要确保作业过程安全，清理效果显著。</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color w:val="auto"/>
          <w:highlight w:val="none"/>
        </w:rPr>
      </w:pPr>
      <w:r>
        <w:rPr>
          <w:rFonts w:hint="eastAsia" w:ascii="宋体" w:hAnsi="宋体" w:cs="宋体"/>
          <w:color w:val="auto"/>
          <w:szCs w:val="21"/>
          <w:highlight w:val="none"/>
        </w:rPr>
        <w:t>飞云江堤坝保洁范围</w:t>
      </w:r>
    </w:p>
    <w:p>
      <w:pPr>
        <w:autoSpaceDE w:val="0"/>
        <w:autoSpaceDN w:val="0"/>
        <w:adjustRightInd w:val="0"/>
        <w:spacing w:line="400" w:lineRule="exact"/>
        <w:ind w:firstLine="422" w:firstLineChars="200"/>
        <w:textAlignment w:val="bottom"/>
        <w:rPr>
          <w:rFonts w:hint="eastAsia" w:ascii="宋体" w:hAnsi="宋体" w:cs="宋体"/>
          <w:color w:val="auto"/>
          <w:highlight w:val="none"/>
        </w:rPr>
      </w:pPr>
      <w:r>
        <w:rPr>
          <w:rFonts w:hint="eastAsia" w:ascii="宋体" w:hAnsi="宋体" w:cs="宋体"/>
          <w:b/>
          <w:bCs/>
          <w:color w:val="auto"/>
          <w:highlight w:val="none"/>
        </w:rPr>
        <w:t>玉海街道、锦湖街道以堤坝壁</w:t>
      </w:r>
      <w:r>
        <w:rPr>
          <w:rFonts w:hint="eastAsia" w:ascii="宋体" w:hAnsi="宋体" w:cs="宋体"/>
          <w:color w:val="auto"/>
          <w:highlight w:val="none"/>
        </w:rPr>
        <w:t>向江面延伸五米范围为作业区域（不可站人滩涂区域除外）。堤坝上需参照市政道路保洁要求，并定期进行冲洗作业（该段堤坝保洁已纳入本轮保洁范围内，费用和要求详见对应环境卫生保洁服务内容及要求）。背水坡和迎水坡镇压层及各自向外延伸五米范围内无</w:t>
      </w:r>
      <w:r>
        <w:rPr>
          <w:rFonts w:hint="eastAsia" w:ascii="宋体" w:hAnsi="宋体" w:cs="宋体"/>
          <w:color w:val="auto"/>
          <w:szCs w:val="21"/>
          <w:highlight w:val="none"/>
        </w:rPr>
        <w:t>生活垃圾、工业垃圾、建筑垃圾、枯枝败叶、动物尸体等。</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bCs/>
          <w:color w:val="auto"/>
          <w:szCs w:val="21"/>
          <w:highlight w:val="none"/>
        </w:rPr>
      </w:pPr>
      <w:r>
        <w:rPr>
          <w:rFonts w:hint="eastAsia" w:ascii="宋体" w:hAnsi="宋体" w:cs="宋体"/>
          <w:color w:val="auto"/>
          <w:szCs w:val="21"/>
          <w:highlight w:val="none"/>
        </w:rPr>
        <w:t>飞云江堤坝保洁质量要求</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飞云江堤坝保洁质量要求达到“二无二净”。“二无”即：堤岸无漂浮物、无暴露垃圾；“二净”即：浅滩干净、堤岸干净。</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bCs/>
          <w:color w:val="auto"/>
          <w:szCs w:val="21"/>
          <w:highlight w:val="none"/>
        </w:rPr>
      </w:pPr>
      <w:r>
        <w:rPr>
          <w:rFonts w:hint="eastAsia" w:ascii="宋体" w:hAnsi="宋体" w:cs="宋体"/>
          <w:color w:val="auto"/>
          <w:szCs w:val="21"/>
          <w:highlight w:val="none"/>
        </w:rPr>
        <w:t>飞云江堤坝保洁作业设备要求</w:t>
      </w:r>
    </w:p>
    <w:p>
      <w:pPr>
        <w:autoSpaceDE w:val="0"/>
        <w:autoSpaceDN w:val="0"/>
        <w:adjustRightInd w:val="0"/>
        <w:snapToGrid w:val="0"/>
        <w:spacing w:line="400" w:lineRule="exact"/>
        <w:ind w:firstLine="420" w:firstLineChars="200"/>
        <w:textAlignment w:val="bottom"/>
        <w:rPr>
          <w:rFonts w:hint="eastAsia"/>
          <w:color w:val="auto"/>
          <w:highlight w:val="none"/>
        </w:rPr>
      </w:pPr>
      <w:r>
        <w:rPr>
          <w:rFonts w:hint="eastAsia" w:ascii="宋体" w:hAnsi="宋体" w:cs="宋体"/>
          <w:color w:val="auto"/>
          <w:highlight w:val="none"/>
        </w:rPr>
        <w:t>保洁队伍需要配备安全绳、登高梯、照明灯、对讲机、救生衣、小型可移动升降吊机、可悬挂登高梯、垃圾清运车、手套、防滑防刺鞋、网兜、应急医疗包及其他相关作业所需机具物资。</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bCs/>
          <w:color w:val="auto"/>
          <w:szCs w:val="21"/>
          <w:highlight w:val="none"/>
        </w:rPr>
      </w:pPr>
      <w:r>
        <w:rPr>
          <w:rFonts w:hint="eastAsia" w:ascii="宋体" w:hAnsi="宋体" w:cs="宋体"/>
          <w:color w:val="auto"/>
          <w:szCs w:val="21"/>
          <w:highlight w:val="none"/>
        </w:rPr>
        <w:t>飞云江堤坝</w:t>
      </w:r>
      <w:r>
        <w:rPr>
          <w:rFonts w:hint="eastAsia" w:ascii="宋体" w:hAnsi="宋体" w:cs="宋体"/>
          <w:bCs/>
          <w:color w:val="auto"/>
          <w:szCs w:val="21"/>
          <w:highlight w:val="none"/>
        </w:rPr>
        <w:t>保洁作业要求</w:t>
      </w:r>
    </w:p>
    <w:p>
      <w:pPr>
        <w:autoSpaceDE w:val="0"/>
        <w:autoSpaceDN w:val="0"/>
        <w:adjustRightInd w:val="0"/>
        <w:snapToGrid w:val="0"/>
        <w:spacing w:line="400" w:lineRule="exact"/>
        <w:ind w:firstLine="420" w:firstLineChars="200"/>
        <w:textAlignment w:val="bottom"/>
        <w:rPr>
          <w:rFonts w:hint="eastAsia" w:ascii="宋体" w:hAnsi="宋体" w:cs="宋体"/>
          <w:bCs/>
          <w:color w:val="auto"/>
          <w:szCs w:val="21"/>
          <w:highlight w:val="none"/>
        </w:rPr>
      </w:pPr>
      <w:r>
        <w:rPr>
          <w:rFonts w:hint="eastAsia" w:ascii="宋体" w:hAnsi="宋体" w:cs="宋体"/>
          <w:bCs/>
          <w:color w:val="auto"/>
          <w:szCs w:val="21"/>
          <w:highlight w:val="none"/>
        </w:rPr>
        <w:t>（1）</w:t>
      </w:r>
      <w:r>
        <w:rPr>
          <w:rFonts w:hint="eastAsia" w:ascii="宋体" w:hAnsi="宋体" w:cs="宋体"/>
          <w:color w:val="auto"/>
          <w:highlight w:val="none"/>
        </w:rPr>
        <w:t>在夜间或天黑情况下不可以安排人员下去清理作业。</w:t>
      </w:r>
      <w:r>
        <w:rPr>
          <w:rFonts w:hint="eastAsia" w:ascii="宋体" w:hAnsi="宋体" w:cs="宋体"/>
          <w:color w:val="auto"/>
          <w:szCs w:val="21"/>
          <w:highlight w:val="none"/>
        </w:rPr>
        <w:t>保洁范围内</w:t>
      </w:r>
      <w:r>
        <w:rPr>
          <w:rFonts w:hint="eastAsia" w:ascii="宋体" w:hAnsi="宋体" w:cs="宋体"/>
          <w:bCs/>
          <w:color w:val="auto"/>
          <w:szCs w:val="21"/>
          <w:highlight w:val="none"/>
        </w:rPr>
        <w:t>每天保洁时间不少于10小时，巡回保洁每天不少于3次。</w:t>
      </w:r>
    </w:p>
    <w:p>
      <w:pPr>
        <w:autoSpaceDE w:val="0"/>
        <w:autoSpaceDN w:val="0"/>
        <w:adjustRightInd w:val="0"/>
        <w:snapToGrid w:val="0"/>
        <w:spacing w:line="400" w:lineRule="exact"/>
        <w:ind w:firstLine="420" w:firstLineChars="200"/>
        <w:textAlignment w:val="bottom"/>
        <w:rPr>
          <w:rFonts w:hint="eastAsia"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highlight w:val="none"/>
        </w:rPr>
        <w:t>塘顶、路面、背水坡和迎水坡镇压层，应经常清理，保持清洁整齐，无积水、散落物、杂草、垃圾和弃置堆物、工器具等，工程标牌要保持清洁完好。</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highlight w:val="none"/>
        </w:rPr>
        <w:t>（3）</w:t>
      </w:r>
      <w:r>
        <w:rPr>
          <w:rFonts w:hint="eastAsia" w:ascii="宋体" w:hAnsi="宋体" w:cs="宋体"/>
          <w:color w:val="auto"/>
          <w:szCs w:val="21"/>
          <w:highlight w:val="none"/>
        </w:rPr>
        <w:t>保洁员发现污水直排、偷排以及重大水污染事件，应立即向所属乡镇（街道）相关部门汇报。</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（4）保洁员禁止酒后作业，作业时不得拾荒、捕鱼、游泳，不得做与工作无关之事。打捞作业时要集中注意力，避免发生撞船或落水意外事故。</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（5）规范作业，保证安全，保洁工作人员每日按时上班，作业必须穿着救生衣，会游泳、习水性。</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color w:val="auto"/>
          <w:highlight w:val="none"/>
        </w:rPr>
      </w:pPr>
      <w:r>
        <w:rPr>
          <w:rFonts w:hint="eastAsia" w:ascii="宋体" w:hAnsi="宋体" w:cs="宋体"/>
          <w:color w:val="auto"/>
          <w:highlight w:val="none"/>
        </w:rPr>
        <w:t>作业人员要求</w:t>
      </w:r>
    </w:p>
    <w:p>
      <w:pPr>
        <w:autoSpaceDE w:val="0"/>
        <w:autoSpaceDN w:val="0"/>
        <w:adjustRightInd w:val="0"/>
        <w:spacing w:line="400" w:lineRule="exact"/>
        <w:ind w:firstLine="420" w:firstLineChars="200"/>
        <w:textAlignment w:val="bottom"/>
        <w:rPr>
          <w:rFonts w:hint="eastAsia"/>
          <w:color w:val="auto"/>
          <w:highlight w:val="none"/>
        </w:rPr>
      </w:pPr>
      <w:r>
        <w:rPr>
          <w:rFonts w:hint="eastAsia" w:ascii="宋体" w:hAnsi="宋体" w:cs="宋体"/>
          <w:color w:val="auto"/>
          <w:highlight w:val="none"/>
        </w:rPr>
        <w:t>安全员</w:t>
      </w:r>
      <w:r>
        <w:rPr>
          <w:rFonts w:hint="eastAsia" w:ascii="宋体" w:hAnsi="宋体" w:cs="宋体"/>
          <w:color w:val="auto"/>
          <w:highlight w:val="none"/>
          <w:lang w:val="en-US" w:eastAsia="zh-CN"/>
        </w:rPr>
        <w:t>配备</w:t>
      </w:r>
      <w:r>
        <w:rPr>
          <w:rFonts w:hint="eastAsia" w:ascii="宋体" w:hAnsi="宋体" w:cs="宋体"/>
          <w:color w:val="auto"/>
          <w:highlight w:val="none"/>
        </w:rPr>
        <w:t>不少于</w:t>
      </w:r>
      <w:r>
        <w:rPr>
          <w:rFonts w:hint="eastAsia" w:ascii="宋体" w:hAnsi="宋体" w:cs="宋体"/>
          <w:color w:val="auto"/>
          <w:highlight w:val="none"/>
          <w:lang w:val="en-US" w:eastAsia="zh-CN"/>
        </w:rPr>
        <w:t>1</w:t>
      </w:r>
      <w:r>
        <w:rPr>
          <w:rFonts w:hint="eastAsia" w:ascii="宋体" w:hAnsi="宋体" w:cs="宋体"/>
          <w:color w:val="auto"/>
          <w:highlight w:val="none"/>
        </w:rPr>
        <w:t>人</w:t>
      </w:r>
      <w:r>
        <w:rPr>
          <w:rFonts w:hint="eastAsia" w:ascii="宋体" w:hAnsi="宋体" w:cs="宋体"/>
          <w:color w:val="auto"/>
          <w:highlight w:val="none"/>
          <w:lang w:eastAsia="zh-CN"/>
        </w:rPr>
        <w:t>，</w:t>
      </w:r>
      <w:r>
        <w:rPr>
          <w:rFonts w:hint="eastAsia" w:ascii="宋体" w:hAnsi="宋体" w:cs="宋体"/>
          <w:color w:val="auto"/>
          <w:highlight w:val="none"/>
        </w:rPr>
        <w:t>进行作业</w:t>
      </w:r>
      <w:r>
        <w:rPr>
          <w:rFonts w:hint="eastAsia" w:ascii="宋体" w:hAnsi="宋体" w:cs="宋体"/>
          <w:color w:val="auto"/>
          <w:highlight w:val="none"/>
          <w:lang w:val="en-US" w:eastAsia="zh-CN"/>
        </w:rPr>
        <w:t>时至少有1人在</w:t>
      </w:r>
      <w:r>
        <w:rPr>
          <w:rFonts w:hint="eastAsia" w:ascii="宋体" w:hAnsi="宋体" w:cs="宋体"/>
          <w:color w:val="auto"/>
          <w:highlight w:val="none"/>
        </w:rPr>
        <w:t>堤坝上</w:t>
      </w:r>
      <w:r>
        <w:rPr>
          <w:rFonts w:hint="eastAsia" w:ascii="宋体" w:hAnsi="宋体" w:cs="宋体"/>
          <w:color w:val="auto"/>
          <w:highlight w:val="none"/>
          <w:lang w:eastAsia="zh-CN"/>
        </w:rPr>
        <w:t>面</w:t>
      </w:r>
      <w:r>
        <w:rPr>
          <w:rFonts w:hint="eastAsia" w:ascii="宋体" w:hAnsi="宋体" w:cs="宋体"/>
          <w:color w:val="auto"/>
          <w:highlight w:val="none"/>
          <w:lang w:val="en-US" w:eastAsia="zh-CN"/>
        </w:rPr>
        <w:t>，</w:t>
      </w:r>
      <w:r>
        <w:rPr>
          <w:rFonts w:hint="eastAsia" w:ascii="宋体" w:hAnsi="宋体" w:cs="宋体"/>
          <w:color w:val="auto"/>
          <w:highlight w:val="none"/>
        </w:rPr>
        <w:t>确保下面人员安全和观察潮水等</w:t>
      </w:r>
      <w:r>
        <w:rPr>
          <w:rFonts w:hint="eastAsia" w:ascii="宋体" w:hAnsi="宋体" w:cs="宋体"/>
          <w:color w:val="auto"/>
          <w:highlight w:val="none"/>
          <w:lang w:eastAsia="zh-CN"/>
        </w:rPr>
        <w:t>，避免</w:t>
      </w:r>
      <w:r>
        <w:rPr>
          <w:rFonts w:hint="eastAsia" w:ascii="宋体" w:hAnsi="宋体" w:cs="宋体"/>
          <w:color w:val="auto"/>
          <w:highlight w:val="none"/>
        </w:rPr>
        <w:t>影响作业人员安全的情况发生。保洁队伍需经过安全生产和作业专业性培训。</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color w:val="auto"/>
          <w:szCs w:val="21"/>
          <w:highlight w:val="none"/>
        </w:rPr>
      </w:pPr>
      <w:r>
        <w:rPr>
          <w:rFonts w:hint="eastAsia" w:ascii="宋体" w:hAnsi="宋体" w:cs="宋体"/>
          <w:color w:val="auto"/>
          <w:szCs w:val="21"/>
          <w:highlight w:val="none"/>
        </w:rPr>
        <w:t>保洁范围内垃圾处置</w:t>
      </w:r>
    </w:p>
    <w:p>
      <w:pPr>
        <w:tabs>
          <w:tab w:val="left" w:pos="1890"/>
        </w:tabs>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1）堤坝外水体打捞垃圾不得堆放在堤岸、路边，上岸即清，清理出来的垃圾及其他漂浮物等均由中标供应商负责清运到采购人指定地点。</w:t>
      </w:r>
    </w:p>
    <w:p>
      <w:pPr>
        <w:autoSpaceDE w:val="0"/>
        <w:autoSpaceDN w:val="0"/>
        <w:adjustRightInd w:val="0"/>
        <w:snapToGrid w:val="0"/>
        <w:spacing w:line="400" w:lineRule="exact"/>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2）禁止现场焚烧垃圾。</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3）生活垃圾、工业垃圾及漂浮物须进行分类，清运至指定地点。</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4）清运途中应采取密闭措施，防止抛洒、泄漏出现二次污染。</w:t>
      </w:r>
    </w:p>
    <w:p>
      <w:pPr>
        <w:tabs>
          <w:tab w:val="left" w:pos="1890"/>
        </w:tabs>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5）垃圾必须日产日清，清理完毕。</w:t>
      </w:r>
    </w:p>
    <w:p>
      <w:pPr>
        <w:numPr>
          <w:ilvl w:val="0"/>
          <w:numId w:val="21"/>
        </w:numPr>
        <w:autoSpaceDE w:val="0"/>
        <w:autoSpaceDN w:val="0"/>
        <w:adjustRightInd w:val="0"/>
        <w:spacing w:line="400" w:lineRule="exact"/>
        <w:ind w:left="103" w:firstLine="527"/>
        <w:textAlignment w:val="bottom"/>
        <w:outlineLvl w:val="3"/>
        <w:rPr>
          <w:rFonts w:hint="eastAsia" w:ascii="宋体" w:hAnsi="宋体" w:cs="宋体"/>
          <w:b/>
          <w:color w:val="auto"/>
          <w:szCs w:val="21"/>
          <w:highlight w:val="none"/>
        </w:rPr>
      </w:pPr>
      <w:r>
        <w:rPr>
          <w:rFonts w:hint="eastAsia" w:ascii="宋体" w:hAnsi="宋体" w:cs="宋体"/>
          <w:b/>
          <w:color w:val="auto"/>
          <w:szCs w:val="21"/>
          <w:highlight w:val="none"/>
        </w:rPr>
        <w:t>特殊要求</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（1）发现保洁范围内病死动物及病死动物产品，发现保洁范围内的病死动物及病死动物产品时，河道保洁责任单位及时向采购人、卫生、畜牧兽医等相关部门报告。</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台风、暴雨过后，保洁范围内会产生因暴风雨带来的垃圾，所以发生台风、暴雨后3日内，河道保洁责任单位应相应加强保洁力度，增加保洁次数，及时清理保洁范围内的垃圾、废弃漂浮物、障碍物等，确保保洁范围内干净整洁。</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发生突发水污染事件可分为4大类：1、剧毒农药和有毒有害化学物质泄漏事故，如DDT、乐果、氰化钾等；2、溢油事故，如油罐车泄漏、油船触礁等；3、非正常大量排放废水事故，如化工厂废水、矿业废水等；4、放射性污染事故，如放射性废料渗出。</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发生突发水污染事件时，保洁单位或保洁人员应立即向采购人、当地人民政府、街道办事处以及环保局报告，并积极配合有关部门采取相应措施。</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（4）发生其它影响河道保洁的情况时，保洁单位或保洁人员应及时向采购人、当地政府报告，各乡镇（街道）应及时通知水利局和环保分局等相关部门，尽快研究对策，并迅速采取处理措施。</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（5）堤坝外保洁其它要求参照水利部门要求；</w:t>
      </w:r>
    </w:p>
    <w:p>
      <w:pPr>
        <w:spacing w:line="400" w:lineRule="exact"/>
        <w:ind w:firstLine="413" w:firstLineChars="196"/>
        <w:outlineLvl w:val="2"/>
        <w:rPr>
          <w:rFonts w:hint="eastAsia" w:ascii="宋体" w:hAnsi="宋体" w:cs="宋体"/>
          <w:b/>
          <w:color w:val="auto"/>
          <w:szCs w:val="21"/>
          <w:highlight w:val="none"/>
        </w:rPr>
      </w:pPr>
      <w:bookmarkStart w:id="91" w:name="_Toc4278"/>
      <w:r>
        <w:rPr>
          <w:rFonts w:hint="eastAsia" w:ascii="宋体" w:hAnsi="宋体" w:cs="宋体"/>
          <w:b/>
          <w:color w:val="auto"/>
          <w:szCs w:val="21"/>
          <w:highlight w:val="none"/>
        </w:rPr>
        <w:t>（六）河道保洁要求</w:t>
      </w:r>
      <w:bookmarkEnd w:id="89"/>
      <w:bookmarkEnd w:id="90"/>
      <w:bookmarkEnd w:id="91"/>
    </w:p>
    <w:p>
      <w:pPr>
        <w:snapToGrid w:val="0"/>
        <w:spacing w:line="400" w:lineRule="exact"/>
        <w:ind w:firstLine="422" w:firstLineChars="200"/>
        <w:outlineLvl w:val="3"/>
        <w:rPr>
          <w:rFonts w:hint="eastAsia" w:ascii="宋体" w:hAnsi="宋体" w:cs="宋体"/>
          <w:b/>
          <w:color w:val="auto"/>
          <w:szCs w:val="21"/>
          <w:highlight w:val="none"/>
        </w:rPr>
      </w:pPr>
      <w:bookmarkStart w:id="92" w:name="_Toc11063"/>
      <w:bookmarkStart w:id="93" w:name="_Toc24395"/>
      <w:bookmarkStart w:id="94" w:name="_Toc12708"/>
      <w:bookmarkStart w:id="95" w:name="_Toc8117"/>
      <w:bookmarkStart w:id="96" w:name="_Toc31680"/>
      <w:bookmarkStart w:id="97" w:name="_Toc19360"/>
      <w:r>
        <w:rPr>
          <w:rFonts w:hint="eastAsia" w:ascii="宋体" w:hAnsi="宋体" w:cs="宋体"/>
          <w:b/>
          <w:color w:val="auto"/>
          <w:szCs w:val="21"/>
          <w:highlight w:val="none"/>
        </w:rPr>
        <w:t>1、河道保洁范围</w:t>
      </w:r>
      <w:bookmarkEnd w:id="92"/>
      <w:bookmarkEnd w:id="93"/>
      <w:bookmarkEnd w:id="94"/>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包括保洁区域范围的河道、湖泊、水库、池塘、溪流、沟、渠、小微水体保洁。保洁范围为水体侧向陆域延伸不少于8米（陆域有其它单位保洁的除外，具体保洁范围包括两侧公用绿地区域）。</w:t>
      </w:r>
    </w:p>
    <w:p>
      <w:pPr>
        <w:snapToGrid w:val="0"/>
        <w:spacing w:line="400" w:lineRule="exact"/>
        <w:ind w:firstLine="422" w:firstLineChars="200"/>
        <w:outlineLvl w:val="3"/>
        <w:rPr>
          <w:rFonts w:hint="eastAsia" w:ascii="宋体" w:hAnsi="宋体" w:cs="宋体"/>
          <w:b/>
          <w:color w:val="auto"/>
          <w:szCs w:val="21"/>
          <w:highlight w:val="none"/>
        </w:rPr>
      </w:pPr>
      <w:r>
        <w:rPr>
          <w:rFonts w:hint="eastAsia" w:ascii="宋体" w:hAnsi="宋体" w:cs="宋体"/>
          <w:b/>
          <w:color w:val="auto"/>
          <w:szCs w:val="21"/>
          <w:highlight w:val="none"/>
        </w:rPr>
        <w:t>2、河道保洁质量要求</w:t>
      </w:r>
      <w:bookmarkEnd w:id="95"/>
      <w:bookmarkEnd w:id="96"/>
      <w:bookmarkEnd w:id="97"/>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河道保洁质量要求达到“三无三净”。“三无”即：河面无漂浮物、岸边无水生植物、河边无暴露垃圾；“三净”即：水面干净、浅滩干净、堤岸干净。</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 河道畅通，水面无垃圾、病死动物，无影响水生态的浮萍、水葫芦等水生植物，无阻碍行洪的高杆植物等。</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 水域中无漂浮障碍物。</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 堤岸及桥下无垃圾及堆放的杂物。</w:t>
      </w:r>
    </w:p>
    <w:p>
      <w:pPr>
        <w:snapToGrid w:val="0"/>
        <w:spacing w:line="400" w:lineRule="exact"/>
        <w:ind w:firstLine="422" w:firstLineChars="200"/>
        <w:outlineLvl w:val="3"/>
        <w:rPr>
          <w:rFonts w:hint="eastAsia" w:ascii="宋体" w:hAnsi="宋体" w:cs="宋体"/>
          <w:b/>
          <w:color w:val="auto"/>
          <w:szCs w:val="21"/>
          <w:highlight w:val="none"/>
        </w:rPr>
      </w:pPr>
      <w:bookmarkStart w:id="98" w:name="_Toc21957"/>
      <w:bookmarkStart w:id="99" w:name="_Toc30252"/>
      <w:bookmarkStart w:id="100" w:name="_Toc15512"/>
      <w:r>
        <w:rPr>
          <w:rFonts w:hint="eastAsia" w:ascii="宋体" w:hAnsi="宋体" w:cs="宋体"/>
          <w:b/>
          <w:color w:val="auto"/>
          <w:szCs w:val="21"/>
          <w:highlight w:val="none"/>
        </w:rPr>
        <w:t>3、河道保洁作业要求</w:t>
      </w:r>
      <w:bookmarkEnd w:id="98"/>
      <w:bookmarkEnd w:id="99"/>
      <w:bookmarkEnd w:id="100"/>
    </w:p>
    <w:p>
      <w:pPr>
        <w:autoSpaceDE w:val="0"/>
        <w:autoSpaceDN w:val="0"/>
        <w:adjustRightInd w:val="0"/>
        <w:snapToGrid w:val="0"/>
        <w:spacing w:line="400" w:lineRule="exact"/>
        <w:ind w:firstLine="422" w:firstLineChars="200"/>
        <w:textAlignment w:val="bottom"/>
        <w:rPr>
          <w:rFonts w:hint="eastAsia" w:ascii="宋体" w:hAnsi="宋体" w:cs="宋体"/>
          <w:b/>
          <w:color w:val="auto"/>
          <w:szCs w:val="21"/>
          <w:highlight w:val="none"/>
        </w:rPr>
      </w:pPr>
      <w:r>
        <w:rPr>
          <w:rFonts w:hint="eastAsia" w:ascii="宋体" w:hAnsi="宋体" w:cs="宋体"/>
          <w:b/>
          <w:color w:val="auto"/>
          <w:szCs w:val="21"/>
          <w:highlight w:val="none"/>
        </w:rPr>
        <w:t>（1）人员集中居住地段（或景区河道）：一级河道每天保洁时间不少于12小时，巡回保洁每天不少于4次，二级河道每天保洁时间不少于8小时，巡回保洁每天不少于2次，三级河道巡回保洁每天不少于1次。</w:t>
      </w:r>
    </w:p>
    <w:p>
      <w:pPr>
        <w:autoSpaceDE w:val="0"/>
        <w:autoSpaceDN w:val="0"/>
        <w:adjustRightInd w:val="0"/>
        <w:snapToGrid w:val="0"/>
        <w:spacing w:line="400" w:lineRule="exact"/>
        <w:ind w:firstLine="422" w:firstLineChars="200"/>
        <w:textAlignment w:val="bottom"/>
        <w:rPr>
          <w:rFonts w:hint="eastAsia" w:ascii="宋体" w:hAnsi="宋体" w:cs="宋体"/>
          <w:b/>
          <w:color w:val="auto"/>
          <w:szCs w:val="21"/>
          <w:highlight w:val="none"/>
        </w:rPr>
      </w:pPr>
      <w:r>
        <w:rPr>
          <w:rFonts w:hint="eastAsia" w:ascii="宋体" w:hAnsi="宋体" w:cs="宋体"/>
          <w:b/>
          <w:color w:val="auto"/>
          <w:szCs w:val="21"/>
          <w:highlight w:val="none"/>
          <w:lang w:eastAsia="zh-CN"/>
        </w:rPr>
        <w:t>（</w:t>
      </w:r>
      <w:r>
        <w:rPr>
          <w:rFonts w:hint="eastAsia" w:ascii="宋体" w:hAnsi="宋体" w:cs="宋体"/>
          <w:b/>
          <w:color w:val="auto"/>
          <w:szCs w:val="21"/>
          <w:highlight w:val="none"/>
        </w:rPr>
        <w:t>2）空阔地段：河道巡回保洁每天不少于1次。</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）水面保洁</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1）对漂入乡镇（街道）区内河的漂浮物应及时清理；对大面积爆发的浮萍等应及时清理。</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发现漂浮垃圾时，作业船只应减速慢行，打捞的垃圾及时送入船舱。对不易打捞入船舱的体积较大的漂浮物，可用绳子将其系挂于船尾拖至码头吊运；若无法系挂于船尾，应上报相关部门，并协助打捞。保洁过程中发现河道里有沉船，应及时报告当地政府部门。</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3）保洁员发现污水直排、偷排以及重大水污染事件，应立即向所属乡镇（街道）相关部门汇报。</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4）保洁员禁止酒后作业，作业时不得拾荒、捕鱼、游泳，不得做与工作无关之事。打捞作业时要集中注意力，避免发生撞船或落水意外事故。</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5）规范作业，保证安全，保洁工作人员每日按时上班，作业必须穿着救生衣，会游泳、习水性。</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）堤岸保洁</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1）防汛墙、驳岸、边坡等建（构）筑物的临水侧应定期清洗，清除垃圾。</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2）对河道的堤岸、绿地、慢行系统等设施进行保洁，应做到干净整洁、无杂物堆积、无痰迹烟蒂、无青苔、无积水积泥等。</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3）作业时应保护好堤岸上的其他设施。</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）垃圾处置</w:t>
      </w:r>
    </w:p>
    <w:p>
      <w:pPr>
        <w:tabs>
          <w:tab w:val="left" w:pos="1890"/>
        </w:tabs>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1）河道水体打捞垃圾不得堆放在堤岸、路边，上岸即清，清理出来的垃圾及其他漂浮物等均由中标供应商负责清运到采购人指定地点。</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2）生活垃圾、工业垃圾及漂浮物须进行分类，清运至指定地点。</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3）清运途中应采取密闭措施，防止抛洒、泄漏出现二次污染。</w:t>
      </w:r>
    </w:p>
    <w:p>
      <w:pPr>
        <w:tabs>
          <w:tab w:val="left" w:pos="1890"/>
        </w:tabs>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4）沿河两侧坎边垃圾必须日产日清，清理完毕。</w:t>
      </w:r>
    </w:p>
    <w:p>
      <w:pPr>
        <w:snapToGrid w:val="0"/>
        <w:spacing w:line="400" w:lineRule="exact"/>
        <w:ind w:firstLine="420" w:firstLineChars="200"/>
        <w:outlineLvl w:val="3"/>
        <w:rPr>
          <w:rFonts w:hint="eastAsia" w:ascii="宋体" w:hAnsi="宋体" w:eastAsia="宋体" w:cs="宋体"/>
          <w:color w:val="auto"/>
          <w:sz w:val="21"/>
          <w:szCs w:val="21"/>
          <w:highlight w:val="none"/>
          <w:lang w:val="en-US" w:eastAsia="zh-CN" w:bidi="ar-SA"/>
        </w:rPr>
      </w:pPr>
      <w:bookmarkStart w:id="101" w:name="_Toc20962"/>
      <w:bookmarkStart w:id="102" w:name="_Toc22995"/>
      <w:bookmarkStart w:id="103" w:name="_Toc6362"/>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发现河道内有妨碍行洪的障碍物、生活垃圾、有害或废弃的漂浮物、阻碍行洪的高杆作物等时，</w:t>
      </w:r>
      <w:r>
        <w:rPr>
          <w:rFonts w:hint="eastAsia" w:ascii="宋体" w:hAnsi="宋体" w:eastAsia="宋体" w:cs="宋体"/>
          <w:color w:val="auto"/>
          <w:sz w:val="21"/>
          <w:szCs w:val="21"/>
          <w:highlight w:val="none"/>
          <w:lang w:val="en-US" w:eastAsia="zh-CN" w:bidi="ar-SA"/>
        </w:rPr>
        <w:t>要及时打捞和清运河面，及时清运至指定地点倾倒，避免造成二次污染。</w:t>
      </w:r>
    </w:p>
    <w:p>
      <w:pPr>
        <w:snapToGrid w:val="0"/>
        <w:spacing w:line="400" w:lineRule="exact"/>
        <w:ind w:firstLine="420" w:firstLineChars="200"/>
        <w:outlineLvl w:val="3"/>
        <w:rPr>
          <w:rFonts w:hint="eastAsia"/>
          <w:color w:val="auto"/>
          <w:highlight w:val="none"/>
          <w:lang w:val="en-US" w:eastAsia="zh-CN"/>
        </w:rPr>
      </w:pPr>
      <w:r>
        <w:rPr>
          <w:rFonts w:hint="eastAsia" w:ascii="宋体" w:hAnsi="宋体" w:eastAsia="宋体" w:cs="宋体"/>
          <w:color w:val="auto"/>
          <w:sz w:val="21"/>
          <w:szCs w:val="21"/>
          <w:highlight w:val="none"/>
          <w:lang w:val="en-US" w:eastAsia="zh-CN" w:bidi="ar-SA"/>
        </w:rPr>
        <w:t>（7）日常河道保洁根据河道水位深度进行岸边打捞或下水打捞两种，所有河道保洁人员须佩戴GPS纳入《瑞安市智慧环卫监管平台》管理，如遇到暴雨、涨潮等特殊情况导致河道水位上涨后使用船只进行打捞。</w:t>
      </w:r>
    </w:p>
    <w:p>
      <w:pPr>
        <w:snapToGrid w:val="0"/>
        <w:spacing w:line="400" w:lineRule="exact"/>
        <w:ind w:firstLine="422" w:firstLineChars="200"/>
        <w:outlineLvl w:val="3"/>
        <w:rPr>
          <w:rFonts w:hint="eastAsia" w:ascii="宋体" w:hAnsi="宋体" w:cs="宋体"/>
          <w:b/>
          <w:color w:val="auto"/>
          <w:szCs w:val="21"/>
          <w:highlight w:val="none"/>
        </w:rPr>
      </w:pPr>
      <w:r>
        <w:rPr>
          <w:rFonts w:hint="eastAsia" w:ascii="宋体" w:hAnsi="宋体" w:cs="宋体"/>
          <w:b/>
          <w:color w:val="auto"/>
          <w:szCs w:val="21"/>
          <w:highlight w:val="none"/>
        </w:rPr>
        <w:t>4、船只配备要求</w:t>
      </w:r>
      <w:bookmarkEnd w:id="101"/>
      <w:bookmarkEnd w:id="102"/>
      <w:bookmarkEnd w:id="103"/>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河道保洁船舶符合航管部门要求，宜选用清洁能源或无油污染、噪声低的环保型船舶，并应安全可靠。作业船只船容应整洁、无明显污渍和破损。废弃物储存设施应整洁、完好，无残余物品吊挂，及时消杀船舱内垃圾，减少蝇蛆滋生。</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（2）作业器具标识明显，作业行船安全，防止超载、颠覆、进水。</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（3）安全救生用具配戴齐全，定期实施设施安全检查。</w:t>
      </w:r>
    </w:p>
    <w:p>
      <w:pPr>
        <w:snapToGrid w:val="0"/>
        <w:spacing w:line="400" w:lineRule="exact"/>
        <w:ind w:firstLine="422" w:firstLineChars="200"/>
        <w:outlineLvl w:val="3"/>
        <w:rPr>
          <w:rFonts w:hint="eastAsia" w:ascii="宋体" w:hAnsi="宋体" w:cs="宋体"/>
          <w:b/>
          <w:szCs w:val="21"/>
        </w:rPr>
      </w:pPr>
      <w:bookmarkStart w:id="104" w:name="_Toc10292"/>
      <w:bookmarkStart w:id="105" w:name="_Toc12067"/>
      <w:bookmarkStart w:id="106" w:name="_Toc11674"/>
      <w:bookmarkStart w:id="107" w:name="_Toc360729980"/>
      <w:r>
        <w:rPr>
          <w:rFonts w:hint="eastAsia" w:ascii="宋体" w:hAnsi="宋体" w:cs="宋体"/>
          <w:b/>
          <w:szCs w:val="21"/>
        </w:rPr>
        <w:t>5、特殊要求</w:t>
      </w:r>
      <w:bookmarkEnd w:id="104"/>
      <w:bookmarkEnd w:id="105"/>
      <w:bookmarkEnd w:id="106"/>
      <w:bookmarkEnd w:id="107"/>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（1）发现河道内病死动物及病死动物产品，发现河道内的病死动物及病死动物产品时，河道保洁责任单位及时向采购人、卫生、畜牧兽医等相关部门报告。</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台风、暴雨过后，河道内会产生因暴风雨带来的垃圾，所以发生台风、暴雨后3日内，河道保洁责任单位应相应加强保洁力度，增加保洁次数，及时清理河道中的垃圾、废弃漂浮物、杂草、障碍物等，确保河道的畅通和河面、河岸干净整洁。</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发生突发水污染事件可分为4大类：1、剧毒农药和有毒有害化学物质泄漏事故，如DDT、乐果、氰化钾等；2、溢油事故，如油罐车泄漏、油船触礁等；3、非正常大量排放废水事故，如化工厂废水、矿业废水等；4、放射性污染事故，如放射性废料渗出。</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发生突发水污染事件时，保洁单位或保洁人员应立即向采购人、当地人民政府、街道办事处以及环保局报告，并积极配合有关部门采取相应措施。</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（4）发生其它影响河道保洁的情况时，保洁单位或保洁人员应及时向采购人、当地政府报告，各乡镇（街道）应及时通知水利局和环保分局等相关部门，尽快研究对策，并迅速采取处理措施。</w:t>
      </w:r>
    </w:p>
    <w:p>
      <w:pPr>
        <w:autoSpaceDE w:val="0"/>
        <w:autoSpaceDN w:val="0"/>
        <w:adjustRightInd w:val="0"/>
        <w:snapToGrid w:val="0"/>
        <w:spacing w:line="400" w:lineRule="exact"/>
        <w:ind w:firstLine="420" w:firstLineChars="200"/>
        <w:textAlignment w:val="bottom"/>
        <w:rPr>
          <w:rFonts w:hint="eastAsia" w:ascii="宋体" w:hAnsi="宋体" w:cs="宋体"/>
          <w:b/>
          <w:szCs w:val="21"/>
        </w:rPr>
      </w:pPr>
      <w:r>
        <w:rPr>
          <w:rFonts w:hint="eastAsia" w:ascii="宋体" w:hAnsi="宋体" w:cs="宋体"/>
          <w:szCs w:val="21"/>
        </w:rPr>
        <w:t>（5）河道保洁其它要求以水利部门要求为准。</w:t>
      </w:r>
    </w:p>
    <w:p>
      <w:pPr>
        <w:spacing w:line="400" w:lineRule="exact"/>
        <w:ind w:firstLine="413" w:firstLineChars="196"/>
        <w:outlineLvl w:val="2"/>
        <w:rPr>
          <w:rFonts w:hint="eastAsia" w:ascii="宋体" w:hAnsi="宋体" w:cs="宋体"/>
          <w:b/>
          <w:szCs w:val="21"/>
        </w:rPr>
      </w:pPr>
      <w:bookmarkStart w:id="108" w:name="_Toc13776"/>
      <w:bookmarkStart w:id="109" w:name="_Toc8462"/>
      <w:bookmarkStart w:id="110" w:name="_Toc13719"/>
      <w:r>
        <w:rPr>
          <w:rFonts w:hint="eastAsia" w:ascii="宋体" w:hAnsi="宋体" w:cs="宋体"/>
          <w:b/>
          <w:szCs w:val="21"/>
        </w:rPr>
        <w:t>（七）公厕保洁要求</w:t>
      </w:r>
      <w:bookmarkEnd w:id="108"/>
      <w:bookmarkEnd w:id="109"/>
      <w:bookmarkEnd w:id="110"/>
    </w:p>
    <w:p>
      <w:pPr>
        <w:snapToGrid w:val="0"/>
        <w:spacing w:line="400" w:lineRule="exact"/>
        <w:ind w:firstLine="422" w:firstLineChars="200"/>
        <w:outlineLvl w:val="3"/>
        <w:rPr>
          <w:rFonts w:hint="eastAsia" w:ascii="宋体" w:hAnsi="宋体" w:cs="宋体"/>
          <w:b/>
          <w:szCs w:val="21"/>
        </w:rPr>
      </w:pPr>
      <w:bookmarkStart w:id="111" w:name="_Toc3722"/>
      <w:bookmarkStart w:id="112" w:name="_Toc25211"/>
      <w:bookmarkStart w:id="113" w:name="_Toc4019"/>
      <w:r>
        <w:rPr>
          <w:rFonts w:hint="eastAsia" w:ascii="宋体" w:hAnsi="宋体" w:cs="宋体"/>
          <w:b/>
          <w:szCs w:val="21"/>
        </w:rPr>
        <w:t>1、公厕保洁范围</w:t>
      </w:r>
      <w:bookmarkEnd w:id="111"/>
      <w:bookmarkEnd w:id="112"/>
      <w:bookmarkEnd w:id="113"/>
    </w:p>
    <w:p>
      <w:pPr>
        <w:pStyle w:val="2"/>
        <w:adjustRightInd w:val="0"/>
        <w:snapToGrid w:val="0"/>
        <w:spacing w:after="0" w:line="400" w:lineRule="exact"/>
        <w:ind w:left="0" w:leftChars="0" w:firstLine="525" w:firstLineChars="250"/>
        <w:rPr>
          <w:rFonts w:hint="eastAsia" w:ascii="宋体" w:hAnsi="宋体" w:cs="宋体"/>
          <w:color w:val="FF0000"/>
          <w:szCs w:val="21"/>
        </w:rPr>
      </w:pPr>
      <w:r>
        <w:rPr>
          <w:rFonts w:hint="eastAsia" w:ascii="宋体" w:hAnsi="宋体" w:cs="宋体"/>
          <w:szCs w:val="21"/>
        </w:rPr>
        <w:t>玉海街道、锦湖街道、潘岱街道保洁区域内公厕及公厕周边5米范围。</w:t>
      </w:r>
    </w:p>
    <w:p>
      <w:pPr>
        <w:snapToGrid w:val="0"/>
        <w:spacing w:line="400" w:lineRule="exact"/>
        <w:ind w:firstLine="422" w:firstLineChars="200"/>
        <w:outlineLvl w:val="3"/>
        <w:rPr>
          <w:rFonts w:hint="eastAsia" w:ascii="宋体" w:hAnsi="宋体" w:cs="宋体"/>
          <w:b/>
          <w:szCs w:val="21"/>
        </w:rPr>
      </w:pPr>
      <w:bookmarkStart w:id="114" w:name="_Toc30813"/>
      <w:bookmarkStart w:id="115" w:name="_Toc19346"/>
      <w:bookmarkStart w:id="116" w:name="_Toc6076"/>
      <w:r>
        <w:rPr>
          <w:rFonts w:hint="eastAsia" w:ascii="宋体" w:hAnsi="宋体" w:cs="宋体"/>
          <w:b/>
          <w:szCs w:val="21"/>
        </w:rPr>
        <w:t>2、公厕保洁质量要求</w:t>
      </w:r>
      <w:bookmarkEnd w:id="114"/>
      <w:bookmarkEnd w:id="115"/>
      <w:bookmarkEnd w:id="116"/>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（1）公厕保洁要达到“十净、六无、一整洁”标准：</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1）十净：地面净、墙壁净、蹲台净、门窗净、隔板净、便池净、洁具净、灯具净、天花板净、周围环境净；</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2）六无：蹲坑便槽无杂物，厕内外无乱涂写、乱张贴、乱堆乱放，定期消毒无蝇蛆，厕内无明显臭味，上水通畅、下水无堵塞（包括坑位到化粪池的管道），厕内无灰网；</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3）一整洁：管理间、工具间干净整洁无杂物。</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（2）保证室内设施设备(门、窗、供水、供电、照明等)完好和正常使用，无漏雨、透风及管道堵塞现象；</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（3）地面、蹲位、便池、墙壁、挡板等保持完好和整洁；无地面积水、纸屑、烟头、痰迹，无积存尿液、尿垢，无蚊蝇；</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（4）换气、除臭等设施必须使用。保持厕内通风良好，无异味，厕内燃点盘香，男小便器内投放专用樟脑球，废纸篓内套放标准垃圾袋（均由中标供应商提供，计入投标报价成本中）；</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（5）保持公共厕所外周边5米范围环境整洁，无乱堆杂物、杂草、垃圾、粪便、污水等；</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（6）蝇蚊孳生季节，定时喷洒药物，有效控制蝇蛆孳生；</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（7）治理清除公厕内外非法小广告；</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（8）保洁工具应放置整齐，照明灯具、洗手器具、镜子、挂衣钩、烘手器、冲水等设备完好，无积灰、污物。</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（9）发现公厕水龙头未拧紧导致漏水的情况，须及时拧紧水龙头。</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（10）中标供应商保洁服务期间，如采购人对公厕类别进行提升的，保洁服务等级要求须做相应的提升，相关费用双方协商解决。</w:t>
      </w:r>
    </w:p>
    <w:p>
      <w:pPr>
        <w:snapToGrid w:val="0"/>
        <w:spacing w:line="400" w:lineRule="exact"/>
        <w:ind w:firstLine="422" w:firstLineChars="200"/>
        <w:outlineLvl w:val="3"/>
        <w:rPr>
          <w:rFonts w:hint="eastAsia" w:ascii="宋体" w:hAnsi="宋体" w:cs="宋体"/>
          <w:b/>
          <w:szCs w:val="21"/>
        </w:rPr>
      </w:pPr>
      <w:bookmarkStart w:id="117" w:name="_Toc7961"/>
      <w:bookmarkStart w:id="118" w:name="_Toc13365"/>
      <w:bookmarkStart w:id="119" w:name="_Toc19363"/>
      <w:r>
        <w:rPr>
          <w:rFonts w:hint="eastAsia" w:ascii="宋体" w:hAnsi="宋体" w:cs="宋体"/>
          <w:b/>
          <w:szCs w:val="21"/>
        </w:rPr>
        <w:t>3、公厕保洁作业要求</w:t>
      </w:r>
      <w:bookmarkEnd w:id="117"/>
      <w:bookmarkEnd w:id="118"/>
      <w:bookmarkEnd w:id="119"/>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（1）公厕保洁员到岗后的保洁程序为：</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一掸：即使用清洁工具掸除公厕内的蛛网、灰尘；</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二抹：即用抹布清洗门窗、洗手器具、隔断板、墙面等；</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三冲：即对公厕蹲便器、座便器、小便斗进行冲洗；</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四拖：即用拖把清除地面污垢、积水，保持干燥整洁；</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五扫：即清扫公厕周边5米范围内；</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六理：即清理垃圾；</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七查：即检查水龙头、干手器、水箱、警报器（如有）等设施是否完好，发现损坏及时修理；</w:t>
      </w:r>
    </w:p>
    <w:p>
      <w:pPr>
        <w:pStyle w:val="2"/>
        <w:adjustRightInd w:val="0"/>
        <w:snapToGrid w:val="0"/>
        <w:spacing w:after="0" w:line="400" w:lineRule="exact"/>
        <w:ind w:left="0" w:leftChars="0" w:firstLine="525" w:firstLineChars="250"/>
        <w:rPr>
          <w:rFonts w:hint="eastAsia" w:ascii="宋体" w:hAnsi="宋体" w:cs="宋体"/>
          <w:szCs w:val="21"/>
        </w:rPr>
      </w:pPr>
      <w:r>
        <w:rPr>
          <w:rFonts w:hint="eastAsia" w:ascii="宋体" w:hAnsi="宋体" w:cs="宋体"/>
          <w:szCs w:val="21"/>
        </w:rPr>
        <w:t>八喷：即喷洒消毒药水。</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（2）坑位内冲洗、坑位周边保持干净、及时清理垃圾篓（垃圾篓内垃圾不超过三分之二），做到公厕内部地面（坑位）干净整洁、无污迹水迹。</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（3）严格区分保洁工具：男厕与女厕、地面、与踏步的保洁扫帚、拖把分开使用，分别使用不同的擦洗工具清理门窗、洗手器具、分隔板、墙面。保洁工具使用后，必须立即清洗，确保无异味。</w:t>
      </w:r>
    </w:p>
    <w:p>
      <w:pPr>
        <w:autoSpaceDE w:val="0"/>
        <w:autoSpaceDN w:val="0"/>
        <w:adjustRightInd w:val="0"/>
        <w:spacing w:line="400" w:lineRule="exact"/>
        <w:ind w:firstLine="420" w:firstLineChars="200"/>
        <w:textAlignment w:val="bottom"/>
        <w:outlineLvl w:val="4"/>
        <w:rPr>
          <w:rFonts w:hint="eastAsia" w:ascii="宋体" w:hAnsi="宋体" w:cs="宋体"/>
          <w:szCs w:val="21"/>
        </w:rPr>
      </w:pPr>
      <w:r>
        <w:rPr>
          <w:rFonts w:hint="eastAsia" w:ascii="宋体" w:hAnsi="宋体" w:cs="宋体"/>
          <w:szCs w:val="21"/>
        </w:rPr>
        <w:t>（4）供洗手用的水龙头不得用于保洁作业。</w:t>
      </w:r>
    </w:p>
    <w:p>
      <w:pPr>
        <w:autoSpaceDE w:val="0"/>
        <w:autoSpaceDN w:val="0"/>
        <w:adjustRightInd w:val="0"/>
        <w:spacing w:line="400" w:lineRule="exact"/>
        <w:ind w:firstLine="420" w:firstLineChars="200"/>
        <w:textAlignment w:val="bottom"/>
        <w:outlineLvl w:val="4"/>
        <w:rPr>
          <w:rFonts w:hint="eastAsia" w:ascii="宋体" w:hAnsi="宋体" w:cs="宋体"/>
          <w:szCs w:val="21"/>
        </w:rPr>
      </w:pPr>
      <w:bookmarkStart w:id="120" w:name="_Toc13479"/>
      <w:bookmarkStart w:id="121" w:name="_Toc20236"/>
      <w:bookmarkStart w:id="122" w:name="_Toc13352"/>
      <w:r>
        <w:rPr>
          <w:rFonts w:hint="eastAsia" w:ascii="宋体" w:hAnsi="宋体" w:cs="宋体"/>
          <w:szCs w:val="21"/>
        </w:rPr>
        <w:t>（5）公厕保洁等级要求</w:t>
      </w:r>
      <w:bookmarkEnd w:id="120"/>
      <w:bookmarkEnd w:id="121"/>
      <w:bookmarkEnd w:id="122"/>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525"/>
        <w:gridCol w:w="26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38" w:type="dxa"/>
            <w:tcBorders>
              <w:tl2br w:val="single" w:color="auto" w:sz="4" w:space="0"/>
            </w:tcBorders>
            <w:noWrap w:val="0"/>
            <w:vAlign w:val="center"/>
          </w:tcPr>
          <w:p>
            <w:pPr>
              <w:autoSpaceDE w:val="0"/>
              <w:autoSpaceDN w:val="0"/>
              <w:adjustRightInd w:val="0"/>
              <w:ind w:firstLine="540" w:firstLineChars="300"/>
              <w:textAlignment w:val="bottom"/>
              <w:rPr>
                <w:rFonts w:hint="eastAsia" w:ascii="宋体" w:hAnsi="宋体" w:cs="宋体"/>
                <w:sz w:val="18"/>
                <w:szCs w:val="18"/>
                <w:highlight w:val="none"/>
              </w:rPr>
            </w:pPr>
            <w:r>
              <w:rPr>
                <w:rFonts w:hint="eastAsia" w:ascii="宋体" w:hAnsi="宋体" w:cs="宋体"/>
                <w:sz w:val="18"/>
                <w:szCs w:val="18"/>
                <w:highlight w:val="none"/>
              </w:rPr>
              <w:t>公厕等级</w:t>
            </w:r>
          </w:p>
          <w:p>
            <w:pPr>
              <w:autoSpaceDE w:val="0"/>
              <w:autoSpaceDN w:val="0"/>
              <w:adjustRightInd w:val="0"/>
              <w:textAlignment w:val="bottom"/>
              <w:rPr>
                <w:rFonts w:hint="eastAsia" w:ascii="宋体" w:hAnsi="宋体" w:cs="宋体"/>
                <w:sz w:val="18"/>
                <w:szCs w:val="18"/>
                <w:highlight w:val="none"/>
              </w:rPr>
            </w:pPr>
            <w:r>
              <w:rPr>
                <w:rFonts w:hint="eastAsia" w:ascii="宋体" w:hAnsi="宋体" w:cs="宋体"/>
                <w:sz w:val="18"/>
                <w:szCs w:val="18"/>
                <w:highlight w:val="none"/>
              </w:rPr>
              <w:t>质量标准</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一类公厕</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二类公厕</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三类公厕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质量要求</w:t>
            </w:r>
          </w:p>
        </w:tc>
        <w:tc>
          <w:tcPr>
            <w:tcW w:w="5158" w:type="dxa"/>
            <w:gridSpan w:val="2"/>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按招标文件要求</w:t>
            </w:r>
          </w:p>
        </w:tc>
        <w:tc>
          <w:tcPr>
            <w:tcW w:w="2355" w:type="dxa"/>
            <w:noWrap w:val="0"/>
            <w:vAlign w:val="center"/>
          </w:tcPr>
          <w:p>
            <w:pPr>
              <w:autoSpaceDE w:val="0"/>
              <w:autoSpaceDN w:val="0"/>
              <w:adjustRightInd w:val="0"/>
              <w:jc w:val="center"/>
              <w:textAlignment w:val="bottom"/>
              <w:rPr>
                <w:highlight w:val="none"/>
              </w:rPr>
            </w:pPr>
            <w:r>
              <w:rPr>
                <w:rFonts w:hint="eastAsia" w:ascii="宋体" w:hAnsi="宋体" w:eastAsia="宋体" w:cs="宋体"/>
                <w:color w:val="auto"/>
                <w:sz w:val="18"/>
                <w:szCs w:val="18"/>
                <w:highlight w:val="none"/>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保洁时间</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18小时巡回（5:00-23:00)</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16小时巡回（6:00-22:00)</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12小时巡回（6:00-18:00)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保洁频次</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早、中、晚蹲位、便池、地面、挡板等全面清洗一遍，门、窗、墙面每天擦洗1次。</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早、晚蹲位、便池、地面、挡板等全面清洗一遍，门、窗、墙面每2天擦洗1次</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每天蹲位、便池、地面、挡板等全面清洗一遍；门、窗、墙面每周擦洗1次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巡回频次</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每1小时巡回保洁一次</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每</w:t>
            </w:r>
            <w:r>
              <w:rPr>
                <w:rFonts w:hint="eastAsia" w:ascii="宋体" w:hAnsi="宋体" w:cs="宋体"/>
                <w:sz w:val="18"/>
                <w:szCs w:val="18"/>
                <w:highlight w:val="none"/>
                <w:lang w:val="en-US" w:eastAsia="zh-CN"/>
              </w:rPr>
              <w:t>1</w:t>
            </w:r>
            <w:r>
              <w:rPr>
                <w:rFonts w:hint="eastAsia" w:ascii="宋体" w:hAnsi="宋体" w:cs="宋体"/>
                <w:sz w:val="18"/>
                <w:szCs w:val="18"/>
                <w:highlight w:val="none"/>
              </w:rPr>
              <w:t>小时巡回保洁一次</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每</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rPr>
              <w:t>小时巡回保洁一次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耗材</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卫生纸、洗手液、垃圾袋、盘香、樟脑球等由中标供应商提供</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卫生纸、垃圾袋、盘香、樟脑球等由中标供应商提供</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垃圾袋、盘香、樟脑球等由中标供应商提供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臭味强度</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≤1级</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≤2级</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38"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维护维修</w:t>
            </w:r>
          </w:p>
        </w:tc>
        <w:tc>
          <w:tcPr>
            <w:tcW w:w="2525"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由中标供应商承担</w:t>
            </w:r>
          </w:p>
        </w:tc>
        <w:tc>
          <w:tcPr>
            <w:tcW w:w="2633" w:type="dxa"/>
            <w:noWrap w:val="0"/>
            <w:vAlign w:val="center"/>
          </w:tcPr>
          <w:p>
            <w:pPr>
              <w:autoSpaceDE w:val="0"/>
              <w:autoSpaceDN w:val="0"/>
              <w:adjustRightInd w:val="0"/>
              <w:jc w:val="center"/>
              <w:textAlignment w:val="bottom"/>
              <w:rPr>
                <w:rFonts w:hint="eastAsia" w:ascii="宋体" w:hAnsi="宋体" w:cs="宋体"/>
                <w:sz w:val="18"/>
                <w:szCs w:val="18"/>
                <w:highlight w:val="none"/>
              </w:rPr>
            </w:pPr>
            <w:r>
              <w:rPr>
                <w:rFonts w:hint="eastAsia" w:ascii="宋体" w:hAnsi="宋体" w:cs="宋体"/>
                <w:sz w:val="18"/>
                <w:szCs w:val="18"/>
                <w:highlight w:val="none"/>
              </w:rPr>
              <w:t>由中标供应商承担</w:t>
            </w:r>
          </w:p>
        </w:tc>
        <w:tc>
          <w:tcPr>
            <w:tcW w:w="2355" w:type="dxa"/>
            <w:noWrap w:val="0"/>
            <w:vAlign w:val="center"/>
          </w:tcPr>
          <w:p>
            <w:pPr>
              <w:autoSpaceDE w:val="0"/>
              <w:autoSpaceDN w:val="0"/>
              <w:adjustRightInd w:val="0"/>
              <w:jc w:val="center"/>
              <w:textAlignment w:val="bottom"/>
              <w:rPr>
                <w:rFonts w:hint="eastAsia" w:ascii="宋体" w:hAnsi="宋体" w:cs="宋体"/>
                <w:strike/>
                <w:sz w:val="18"/>
                <w:szCs w:val="18"/>
                <w:highlight w:val="none"/>
              </w:rPr>
            </w:pPr>
            <w:r>
              <w:rPr>
                <w:rFonts w:hint="eastAsia" w:ascii="宋体" w:hAnsi="宋体" w:eastAsia="宋体" w:cs="宋体"/>
                <w:color w:val="auto"/>
                <w:sz w:val="18"/>
                <w:szCs w:val="18"/>
                <w:highlight w:val="none"/>
              </w:rPr>
              <w:t>由中标供应商承担</w:t>
            </w:r>
          </w:p>
        </w:tc>
      </w:tr>
    </w:tbl>
    <w:p>
      <w:pPr>
        <w:autoSpaceDE w:val="0"/>
        <w:autoSpaceDN w:val="0"/>
        <w:adjustRightInd w:val="0"/>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注：一类、二类、三类公厕分类参照以下标准：</w:t>
      </w:r>
    </w:p>
    <w:p>
      <w:pPr>
        <w:autoSpaceDE w:val="0"/>
        <w:autoSpaceDN w:val="0"/>
        <w:adjustRightInd w:val="0"/>
        <w:textAlignment w:val="bottom"/>
        <w:rPr>
          <w:rFonts w:hint="eastAsia" w:ascii="宋体" w:hAnsi="宋体" w:cs="宋体"/>
          <w:szCs w:val="21"/>
          <w:highlight w:val="none"/>
        </w:rPr>
      </w:pPr>
      <w:r>
        <w:rPr>
          <w:rFonts w:hint="eastAsia" w:ascii="宋体" w:hAnsi="宋体" w:eastAsia="宋体" w:cs="宋体"/>
          <w:color w:val="auto"/>
          <w:sz w:val="21"/>
          <w:szCs w:val="21"/>
          <w:highlight w:val="none"/>
        </w:rPr>
        <w:t>①一类公厕：需配备独立式大小便器、采保暖设施、手纸架、先进节水器，需设置1.8米高的独立单间等，设有无障碍设施，地面、墙裙装饰用才标准较高；②二类公厕：可以设置独立式便器的单间，也可建设通槽式便器，采用瓷砖面小便池；③三类公厕：采用通槽式大小便器，装修用材标准也相应降低。</w:t>
      </w:r>
    </w:p>
    <w:p>
      <w:pPr>
        <w:snapToGrid w:val="0"/>
        <w:spacing w:line="400" w:lineRule="exact"/>
        <w:ind w:firstLine="422" w:firstLineChars="200"/>
        <w:outlineLvl w:val="3"/>
        <w:rPr>
          <w:rFonts w:hint="eastAsia" w:ascii="宋体" w:hAnsi="宋体" w:cs="宋体"/>
          <w:b/>
          <w:szCs w:val="21"/>
          <w:highlight w:val="none"/>
        </w:rPr>
      </w:pPr>
      <w:bookmarkStart w:id="123" w:name="_Toc29960"/>
      <w:bookmarkStart w:id="124" w:name="_Toc21982"/>
      <w:bookmarkStart w:id="125" w:name="_Toc4843"/>
      <w:r>
        <w:rPr>
          <w:rFonts w:hint="eastAsia" w:ascii="宋体" w:hAnsi="宋体" w:cs="宋体"/>
          <w:b/>
          <w:szCs w:val="21"/>
          <w:highlight w:val="none"/>
        </w:rPr>
        <w:t>4、公厕管理要求</w:t>
      </w:r>
      <w:bookmarkEnd w:id="123"/>
      <w:bookmarkEnd w:id="124"/>
      <w:bookmarkEnd w:id="125"/>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highlight w:val="none"/>
        </w:rPr>
        <w:t>（1）按规定要求公厕实行全天候免费开放使用，不得擅自停业、歇业，影响公众使用；如需停</w:t>
      </w:r>
      <w:r>
        <w:rPr>
          <w:rFonts w:hint="eastAsia" w:ascii="宋体" w:hAnsi="宋体" w:cs="宋体"/>
          <w:szCs w:val="21"/>
        </w:rPr>
        <w:t>止开放的，要征得业主同意后，公示停业原由和期限。</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2）各项制度（内容包括但不限于公厕名称、类别、公厕编号、管理单位、服务公约、联系电话、监管电话、开放时间等信息）、责任内容按规定要求上墙，文明规范用语按要求配置，设置规范且醒目，便于市民监督；设置节约用水、禁止吸烟、文明如厕、爱护公物等提示性、劝导性标识。</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（3）严禁公厕内经营活动和私自收费现象，责任范围内不得有乱搭建、乱堆放；</w:t>
      </w:r>
    </w:p>
    <w:p>
      <w:pPr>
        <w:autoSpaceDE w:val="0"/>
        <w:autoSpaceDN w:val="0"/>
        <w:adjustRightInd w:val="0"/>
        <w:snapToGrid w:val="0"/>
        <w:spacing w:line="400" w:lineRule="exact"/>
        <w:ind w:firstLine="420" w:firstLineChars="200"/>
        <w:textAlignment w:val="bottom"/>
        <w:rPr>
          <w:rFonts w:hint="eastAsia" w:ascii="宋体" w:hAnsi="宋体" w:cs="宋体"/>
          <w:szCs w:val="21"/>
        </w:rPr>
      </w:pPr>
      <w:r>
        <w:rPr>
          <w:rFonts w:hint="eastAsia" w:ascii="宋体" w:hAnsi="宋体" w:cs="宋体"/>
          <w:szCs w:val="21"/>
        </w:rPr>
        <w:t>（4）公厕管理间卫生整洁、秩序井然，无闲杂人员，无乱堆杂物，无人员留宿；</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rPr>
        <w:t>（5）公厕须实行专</w:t>
      </w:r>
      <w:r>
        <w:rPr>
          <w:rFonts w:hint="eastAsia" w:ascii="宋体" w:hAnsi="宋体" w:cs="宋体"/>
          <w:color w:val="auto"/>
          <w:szCs w:val="21"/>
          <w:highlight w:val="none"/>
        </w:rPr>
        <w:t>人专职保洁，保洁人员统一服装、统一佩证上岗、礼貌待人、服务周到。</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（6）公厕保洁人员不得在公厕内私设厨房及就餐，在保洁时间范围外不得在公厕内住宿，不得占用妨碍残疾人公共厕所、第三卫生间的正常使用；</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（7）除公厕固有用电设施外，其他设备不得在公厕内进行充电，违反一次处罚1000元，第二次加倍扣罚，以此类推。</w:t>
      </w:r>
    </w:p>
    <w:p>
      <w:pPr>
        <w:autoSpaceDE w:val="0"/>
        <w:autoSpaceDN w:val="0"/>
        <w:adjustRightInd w:val="0"/>
        <w:snapToGri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（8）积极配合完成管理部门的各项工作或临时突击性和检查任务。</w:t>
      </w:r>
    </w:p>
    <w:p>
      <w:pPr>
        <w:snapToGrid w:val="0"/>
        <w:spacing w:line="400" w:lineRule="exact"/>
        <w:ind w:firstLine="422" w:firstLineChars="200"/>
        <w:outlineLvl w:val="3"/>
        <w:rPr>
          <w:rFonts w:hint="eastAsia" w:ascii="宋体" w:hAnsi="宋体" w:cs="宋体"/>
          <w:b/>
          <w:color w:val="auto"/>
          <w:szCs w:val="21"/>
          <w:highlight w:val="none"/>
        </w:rPr>
      </w:pPr>
      <w:bookmarkStart w:id="126" w:name="_Toc9929"/>
      <w:bookmarkStart w:id="127" w:name="_Toc26397"/>
      <w:bookmarkStart w:id="128" w:name="_Toc1398"/>
      <w:r>
        <w:rPr>
          <w:rFonts w:hint="eastAsia" w:ascii="宋体" w:hAnsi="宋体" w:cs="宋体"/>
          <w:b/>
          <w:color w:val="auto"/>
          <w:szCs w:val="21"/>
          <w:highlight w:val="none"/>
        </w:rPr>
        <w:t>5、作业设备要求</w:t>
      </w:r>
      <w:bookmarkEnd w:id="126"/>
      <w:bookmarkEnd w:id="127"/>
      <w:bookmarkEnd w:id="128"/>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1）一类公厕服务人员须配置专用公厕保洁布草车。公厕保洁服务人员、布草车均纳入《瑞安市智慧环卫监管平台》监管，要求布草车中专用擦洗毛巾抹布不少于4条；扫把、拖布不少于3把；均按保洁部位做分类使用，不得混用。</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（2）一类公厕采购人设置臭味传感器的，纳入《瑞安市智慧环卫监管平台》监管。</w:t>
      </w:r>
    </w:p>
    <w:p>
      <w:pPr>
        <w:snapToGrid w:val="0"/>
        <w:spacing w:line="400" w:lineRule="exact"/>
        <w:ind w:firstLine="422" w:firstLineChars="200"/>
        <w:outlineLvl w:val="3"/>
        <w:rPr>
          <w:rFonts w:hint="eastAsia" w:ascii="宋体" w:hAnsi="宋体" w:cs="宋体"/>
          <w:b/>
          <w:color w:val="auto"/>
          <w:szCs w:val="21"/>
          <w:highlight w:val="none"/>
        </w:rPr>
      </w:pPr>
      <w:bookmarkStart w:id="129" w:name="_Toc31964"/>
      <w:bookmarkStart w:id="130" w:name="_Toc7050"/>
      <w:bookmarkStart w:id="131" w:name="_Toc21531"/>
      <w:bookmarkStart w:id="132" w:name="_Toc30631"/>
      <w:r>
        <w:rPr>
          <w:rFonts w:hint="eastAsia" w:ascii="宋体" w:hAnsi="宋体" w:cs="宋体"/>
          <w:b/>
          <w:color w:val="auto"/>
          <w:szCs w:val="21"/>
          <w:highlight w:val="none"/>
        </w:rPr>
        <w:t>6、卫生消毒要求</w:t>
      </w:r>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bookmarkStart w:id="133" w:name="_Toc1796"/>
      <w:r>
        <w:rPr>
          <w:rFonts w:hint="eastAsia" w:ascii="宋体" w:hAnsi="宋体" w:cs="宋体"/>
          <w:color w:val="auto"/>
          <w:szCs w:val="21"/>
          <w:highlight w:val="none"/>
        </w:rPr>
        <w:t>（1）公厕内的便器、洗手器具、扶手等每日消毒1次及以上，通风、给排水设施、烘手器等设施设备每周消毒1次及以上。（一次未按时消毒扣罚500元）</w:t>
      </w:r>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（2）蚊蝇孳生季节（4月至10月），根据实际情况每日至少1次喷洒灭蚊蝇药物，控制蚊蝇孳生。（一次未按时喷洒药物的扣罚500元）</w:t>
      </w:r>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（3）在传染病流行期间，应做好公厕的卫生消毒工作，提高消毒次数，无条件服从政策和业主的消毒要求。</w:t>
      </w:r>
    </w:p>
    <w:p>
      <w:pPr>
        <w:autoSpaceDE w:val="0"/>
        <w:autoSpaceDN w:val="0"/>
        <w:adjustRightInd w:val="0"/>
        <w:spacing w:line="400" w:lineRule="exact"/>
        <w:ind w:firstLine="525" w:firstLineChars="250"/>
        <w:textAlignment w:val="bottom"/>
        <w:rPr>
          <w:rFonts w:hint="eastAsia" w:ascii="宋体" w:hAnsi="宋体" w:cs="宋体"/>
          <w:color w:val="auto"/>
          <w:highlight w:val="none"/>
        </w:rPr>
      </w:pPr>
      <w:r>
        <w:rPr>
          <w:rFonts w:hint="eastAsia" w:ascii="宋体" w:hAnsi="宋体" w:cs="宋体"/>
          <w:color w:val="auto"/>
          <w:szCs w:val="21"/>
          <w:highlight w:val="none"/>
        </w:rPr>
        <w:t>（4）消毒、灭蚊蝇所需药水药物和作业工具由中标供应商负责。</w:t>
      </w:r>
    </w:p>
    <w:p>
      <w:pPr>
        <w:overflowPunct w:val="0"/>
        <w:snapToGrid w:val="0"/>
        <w:spacing w:line="360" w:lineRule="auto"/>
        <w:ind w:firstLine="422" w:firstLineChars="200"/>
        <w:outlineLvl w:val="3"/>
        <w:rPr>
          <w:rFonts w:hint="eastAsia" w:ascii="宋体" w:hAnsi="宋体" w:cs="宋体"/>
          <w:b/>
          <w:color w:val="auto"/>
          <w:szCs w:val="21"/>
          <w:highlight w:val="none"/>
        </w:rPr>
      </w:pPr>
      <w:r>
        <w:rPr>
          <w:rFonts w:hint="eastAsia" w:ascii="宋体" w:hAnsi="宋体" w:cs="宋体"/>
          <w:b/>
          <w:color w:val="auto"/>
          <w:szCs w:val="21"/>
          <w:highlight w:val="none"/>
        </w:rPr>
        <w:t>7、硬件设备采购要求</w:t>
      </w:r>
    </w:p>
    <w:p>
      <w:pPr>
        <w:pStyle w:val="2"/>
        <w:rPr>
          <w:rFonts w:hint="eastAsia" w:ascii="宋体" w:hAnsi="宋体" w:cs="宋体"/>
          <w:color w:val="auto"/>
          <w:kern w:val="2"/>
          <w:szCs w:val="21"/>
          <w:highlight w:val="none"/>
        </w:rPr>
      </w:pPr>
      <w:r>
        <w:rPr>
          <w:rFonts w:hint="eastAsia" w:ascii="宋体" w:hAnsi="宋体" w:cs="宋体"/>
          <w:color w:val="auto"/>
          <w:sz w:val="22"/>
          <w:szCs w:val="22"/>
          <w:highlight w:val="none"/>
        </w:rPr>
        <w:t>（1）、</w:t>
      </w:r>
      <w:r>
        <w:rPr>
          <w:rFonts w:hint="eastAsia" w:ascii="宋体" w:hAnsi="宋体" w:cs="宋体"/>
          <w:color w:val="auto"/>
          <w:kern w:val="2"/>
          <w:szCs w:val="21"/>
          <w:highlight w:val="none"/>
        </w:rPr>
        <w:t>服务期结束后，设备的所有权归采购人所有，中标供应商应确保移交时设备的正常运行，否则由中标供应商承担</w:t>
      </w:r>
      <w:r>
        <w:rPr>
          <w:rFonts w:hint="eastAsia" w:ascii="宋体" w:hAnsi="宋体" w:cs="宋体"/>
          <w:color w:val="auto"/>
          <w:kern w:val="2"/>
          <w:szCs w:val="21"/>
          <w:highlight w:val="none"/>
          <w:lang w:val="en-US" w:eastAsia="zh-CN"/>
        </w:rPr>
        <w:t>相应的维修费用</w:t>
      </w:r>
      <w:r>
        <w:rPr>
          <w:rFonts w:hint="eastAsia" w:ascii="宋体" w:hAnsi="宋体" w:cs="宋体"/>
          <w:color w:val="auto"/>
          <w:kern w:val="2"/>
          <w:szCs w:val="21"/>
          <w:highlight w:val="none"/>
        </w:rPr>
        <w:t>。</w:t>
      </w:r>
    </w:p>
    <w:p>
      <w:pPr>
        <w:pStyle w:val="2"/>
        <w:rPr>
          <w:rFonts w:hint="eastAsia" w:ascii="宋体" w:hAnsi="宋体" w:cs="宋体"/>
          <w:color w:val="auto"/>
          <w:kern w:val="2"/>
          <w:szCs w:val="21"/>
          <w:highlight w:val="none"/>
        </w:rPr>
      </w:pPr>
      <w:r>
        <w:rPr>
          <w:rFonts w:hint="eastAsia" w:ascii="宋体" w:hAnsi="宋体" w:cs="宋体"/>
          <w:color w:val="auto"/>
          <w:kern w:val="2"/>
          <w:szCs w:val="21"/>
          <w:highlight w:val="none"/>
        </w:rPr>
        <w:t>（2）、纳入本次保洁范围的玉海街道每座公厕和锦湖街道一类公厕需根据下述清单内容进行改造，供应商在投标报价中综合考虑所需费用，今后不再调整。</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50"/>
        <w:gridCol w:w="709"/>
        <w:gridCol w:w="709"/>
        <w:gridCol w:w="5103"/>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序号</w:t>
            </w:r>
          </w:p>
        </w:tc>
        <w:tc>
          <w:tcPr>
            <w:tcW w:w="850"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名称</w:t>
            </w:r>
          </w:p>
        </w:tc>
        <w:tc>
          <w:tcPr>
            <w:tcW w:w="70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数量</w:t>
            </w:r>
          </w:p>
        </w:tc>
        <w:tc>
          <w:tcPr>
            <w:tcW w:w="70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单位</w:t>
            </w:r>
          </w:p>
        </w:tc>
        <w:tc>
          <w:tcPr>
            <w:tcW w:w="5103" w:type="dxa"/>
            <w:noWrap w:val="0"/>
            <w:vAlign w:val="center"/>
          </w:tcPr>
          <w:p>
            <w:pPr>
              <w:widowControl w:val="0"/>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参数及要求</w:t>
            </w:r>
          </w:p>
        </w:tc>
        <w:tc>
          <w:tcPr>
            <w:tcW w:w="1188"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人脸识别考勤机</w:t>
            </w:r>
          </w:p>
        </w:tc>
        <w:tc>
          <w:tcPr>
            <w:tcW w:w="709" w:type="dxa"/>
            <w:noWrap w:val="0"/>
            <w:vAlign w:val="center"/>
          </w:tcPr>
          <w:p>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台</w:t>
            </w:r>
          </w:p>
        </w:tc>
        <w:tc>
          <w:tcPr>
            <w:tcW w:w="5103" w:type="dxa"/>
            <w:noWrap w:val="0"/>
            <w:vAlign w:val="top"/>
          </w:tcPr>
          <w:p>
            <w:pPr>
              <w:widowControl w:val="0"/>
              <w:rPr>
                <w:rFonts w:hint="eastAsia" w:ascii="宋体" w:hAnsi="宋体" w:cs="宋体"/>
                <w:color w:val="auto"/>
                <w:kern w:val="2"/>
                <w:szCs w:val="21"/>
                <w:highlight w:val="none"/>
              </w:rPr>
            </w:pPr>
            <w:r>
              <w:rPr>
                <w:rFonts w:hint="eastAsia" w:ascii="宋体" w:hAnsi="宋体" w:cs="宋体"/>
                <w:color w:val="auto"/>
                <w:kern w:val="2"/>
                <w:szCs w:val="21"/>
                <w:highlight w:val="none"/>
              </w:rPr>
              <w:t>1、摄像头像素≥30W像素彩色摄像头和红外摄像头；</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2、显示屏：2.4寸液晶屏；</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3、人脸识别时间≤1.0S；</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4、识别距离：30-80cm；</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5、验证方式：人脸识别验证，掌纹纹验证，指纹验证，密码验证；</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6、容量：用户容量、人脸容量、密码容量掌纹容量各500个；指纹容量5000【每人10个指纹】；用户记录20万。</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7、拒识率&lt;= 0.1%，误识率&lt;= 0.01%。</w:t>
            </w:r>
          </w:p>
          <w:p>
            <w:pPr>
              <w:pStyle w:val="14"/>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8、其他：支持夜间识别；支持人脸，掌纹，指纹，考勤方式；支持异地考勤，总部统一管理。</w:t>
            </w:r>
          </w:p>
        </w:tc>
        <w:tc>
          <w:tcPr>
            <w:tcW w:w="1188" w:type="dxa"/>
            <w:noWrap w:val="0"/>
            <w:vAlign w:val="center"/>
          </w:tcPr>
          <w:p>
            <w:pPr>
              <w:jc w:val="center"/>
              <w:rPr>
                <w:rFonts w:hint="eastAsia"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通讯费</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3</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年</w:t>
            </w:r>
          </w:p>
        </w:tc>
        <w:tc>
          <w:tcPr>
            <w:tcW w:w="5103" w:type="dxa"/>
            <w:noWrap w:val="0"/>
            <w:vAlign w:val="top"/>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3年 通讯费</w:t>
            </w:r>
          </w:p>
        </w:tc>
        <w:tc>
          <w:tcPr>
            <w:tcW w:w="1188" w:type="dxa"/>
            <w:noWrap w:val="0"/>
            <w:vAlign w:val="center"/>
          </w:tcPr>
          <w:p>
            <w:pPr>
              <w:widowControl w:val="0"/>
              <w:jc w:val="center"/>
              <w:rPr>
                <w:rFonts w:hint="eastAsia"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平台接入</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项</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含，采购人指定平台</w:t>
            </w:r>
          </w:p>
        </w:tc>
        <w:tc>
          <w:tcPr>
            <w:tcW w:w="1188" w:type="dxa"/>
            <w:noWrap w:val="0"/>
            <w:vAlign w:val="center"/>
          </w:tcPr>
          <w:p>
            <w:pPr>
              <w:widowControl w:val="0"/>
              <w:jc w:val="center"/>
              <w:rPr>
                <w:rFonts w:hint="eastAsia"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防滑地垫</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张</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含</w:t>
            </w:r>
          </w:p>
        </w:tc>
        <w:tc>
          <w:tcPr>
            <w:tcW w:w="1188" w:type="dxa"/>
            <w:noWrap w:val="0"/>
            <w:vAlign w:val="center"/>
          </w:tcPr>
          <w:p>
            <w:pPr>
              <w:widowControl w:val="0"/>
              <w:jc w:val="center"/>
              <w:rPr>
                <w:rFonts w:hint="eastAsia"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防滑毯</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张</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与公厕的实际面积匹配</w:t>
            </w:r>
          </w:p>
        </w:tc>
        <w:tc>
          <w:tcPr>
            <w:tcW w:w="1188"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 w:val="22"/>
                <w:szCs w:val="21"/>
                <w:highlight w:val="none"/>
              </w:rPr>
              <w:drawing>
                <wp:inline distT="0" distB="0" distL="114300" distR="114300">
                  <wp:extent cx="617220" cy="822960"/>
                  <wp:effectExtent l="0" t="0" r="11430" b="15240"/>
                  <wp:docPr id="2" name="图片 55" descr="e0263b051f94bfaa9a28cce5eedb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e0263b051f94bfaa9a28cce5eedbf97"/>
                          <pic:cNvPicPr>
                            <a:picLocks noChangeAspect="1"/>
                          </pic:cNvPicPr>
                        </pic:nvPicPr>
                        <pic:blipFill>
                          <a:blip r:embed="rId17"/>
                          <a:stretch>
                            <a:fillRect/>
                          </a:stretch>
                        </pic:blipFill>
                        <pic:spPr>
                          <a:xfrm>
                            <a:off x="0" y="0"/>
                            <a:ext cx="617220" cy="822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2"/>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辅材及安装</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项</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含</w:t>
            </w:r>
          </w:p>
        </w:tc>
        <w:tc>
          <w:tcPr>
            <w:tcW w:w="1188" w:type="dxa"/>
            <w:noWrap w:val="0"/>
            <w:vAlign w:val="center"/>
          </w:tcPr>
          <w:p>
            <w:pPr>
              <w:widowControl w:val="0"/>
              <w:jc w:val="center"/>
              <w:rPr>
                <w:rFonts w:hint="eastAsia" w:ascii="宋体" w:hAnsi="宋体" w:cs="宋体"/>
                <w:color w:val="auto"/>
                <w:kern w:val="2"/>
                <w:szCs w:val="21"/>
                <w:highlight w:val="none"/>
              </w:rPr>
            </w:pPr>
          </w:p>
        </w:tc>
      </w:tr>
    </w:tbl>
    <w:p>
      <w:pPr>
        <w:pStyle w:val="2"/>
        <w:rPr>
          <w:rFonts w:hint="eastAsia" w:ascii="宋体" w:hAnsi="宋体" w:cs="宋体"/>
          <w:color w:val="auto"/>
          <w:kern w:val="2"/>
          <w:szCs w:val="21"/>
          <w:highlight w:val="none"/>
        </w:rPr>
      </w:pPr>
      <w:r>
        <w:rPr>
          <w:rFonts w:hint="eastAsia" w:ascii="宋体" w:hAnsi="宋体" w:cs="宋体"/>
          <w:color w:val="auto"/>
          <w:kern w:val="2"/>
          <w:szCs w:val="21"/>
          <w:highlight w:val="none"/>
        </w:rPr>
        <w:t>（3）、纳入本次保洁范围的潘岱街道每座公厕和锦湖街道二类公厕需根据下述清单内容进行改造，供应商在投标报价中综合考虑所需费用，今后不再调整。</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50"/>
        <w:gridCol w:w="709"/>
        <w:gridCol w:w="709"/>
        <w:gridCol w:w="5103"/>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序号</w:t>
            </w:r>
          </w:p>
        </w:tc>
        <w:tc>
          <w:tcPr>
            <w:tcW w:w="850"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名称</w:t>
            </w:r>
          </w:p>
        </w:tc>
        <w:tc>
          <w:tcPr>
            <w:tcW w:w="70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数量</w:t>
            </w:r>
          </w:p>
        </w:tc>
        <w:tc>
          <w:tcPr>
            <w:tcW w:w="709"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单位</w:t>
            </w:r>
          </w:p>
        </w:tc>
        <w:tc>
          <w:tcPr>
            <w:tcW w:w="5103" w:type="dxa"/>
            <w:noWrap w:val="0"/>
            <w:vAlign w:val="center"/>
          </w:tcPr>
          <w:p>
            <w:pPr>
              <w:widowControl w:val="0"/>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参数及要求</w:t>
            </w:r>
          </w:p>
        </w:tc>
        <w:tc>
          <w:tcPr>
            <w:tcW w:w="1188" w:type="dxa"/>
            <w:noWrap w:val="0"/>
            <w:vAlign w:val="center"/>
          </w:tcPr>
          <w:p>
            <w:pPr>
              <w:jc w:val="center"/>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3"/>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防滑地垫</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张</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含</w:t>
            </w:r>
          </w:p>
        </w:tc>
        <w:tc>
          <w:tcPr>
            <w:tcW w:w="1188" w:type="dxa"/>
            <w:noWrap w:val="0"/>
            <w:vAlign w:val="center"/>
          </w:tcPr>
          <w:p>
            <w:pPr>
              <w:widowControl w:val="0"/>
              <w:jc w:val="center"/>
              <w:rPr>
                <w:rFonts w:hint="eastAsia"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widowControl w:val="0"/>
              <w:numPr>
                <w:ilvl w:val="0"/>
                <w:numId w:val="23"/>
              </w:numPr>
              <w:jc w:val="center"/>
              <w:rPr>
                <w:rFonts w:hint="eastAsia" w:ascii="宋体" w:hAnsi="宋体" w:cs="宋体"/>
                <w:color w:val="auto"/>
                <w:kern w:val="2"/>
                <w:sz w:val="22"/>
                <w:szCs w:val="22"/>
                <w:highlight w:val="none"/>
              </w:rPr>
            </w:pPr>
          </w:p>
        </w:tc>
        <w:tc>
          <w:tcPr>
            <w:tcW w:w="850"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防滑毯</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w:t>
            </w:r>
          </w:p>
        </w:tc>
        <w:tc>
          <w:tcPr>
            <w:tcW w:w="709"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张</w:t>
            </w:r>
          </w:p>
        </w:tc>
        <w:tc>
          <w:tcPr>
            <w:tcW w:w="5103" w:type="dxa"/>
            <w:noWrap w:val="0"/>
            <w:vAlign w:val="center"/>
          </w:tcPr>
          <w:p>
            <w:pPr>
              <w:widowControl w:val="0"/>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与公厕的实际面积匹配</w:t>
            </w:r>
          </w:p>
        </w:tc>
        <w:tc>
          <w:tcPr>
            <w:tcW w:w="1188" w:type="dxa"/>
            <w:noWrap w:val="0"/>
            <w:vAlign w:val="center"/>
          </w:tcPr>
          <w:p>
            <w:pPr>
              <w:widowControl w:val="0"/>
              <w:jc w:val="center"/>
              <w:rPr>
                <w:rFonts w:hint="eastAsia" w:ascii="宋体" w:hAnsi="宋体" w:cs="宋体"/>
                <w:color w:val="auto"/>
                <w:kern w:val="2"/>
                <w:szCs w:val="21"/>
                <w:highlight w:val="none"/>
              </w:rPr>
            </w:pPr>
            <w:r>
              <w:rPr>
                <w:rFonts w:hint="eastAsia" w:ascii="宋体" w:hAnsi="宋体" w:cs="宋体"/>
                <w:color w:val="auto"/>
                <w:kern w:val="2"/>
                <w:sz w:val="22"/>
                <w:szCs w:val="21"/>
                <w:highlight w:val="none"/>
              </w:rPr>
              <w:drawing>
                <wp:inline distT="0" distB="0" distL="114300" distR="114300">
                  <wp:extent cx="617220" cy="822960"/>
                  <wp:effectExtent l="0" t="0" r="11430" b="15240"/>
                  <wp:docPr id="3" name="图片 55" descr="e0263b051f94bfaa9a28cce5eedb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descr="e0263b051f94bfaa9a28cce5eedbf97"/>
                          <pic:cNvPicPr>
                            <a:picLocks noChangeAspect="1"/>
                          </pic:cNvPicPr>
                        </pic:nvPicPr>
                        <pic:blipFill>
                          <a:blip r:embed="rId17"/>
                          <a:stretch>
                            <a:fillRect/>
                          </a:stretch>
                        </pic:blipFill>
                        <pic:spPr>
                          <a:xfrm>
                            <a:off x="0" y="0"/>
                            <a:ext cx="617220" cy="822960"/>
                          </a:xfrm>
                          <a:prstGeom prst="rect">
                            <a:avLst/>
                          </a:prstGeom>
                          <a:noFill/>
                          <a:ln>
                            <a:noFill/>
                          </a:ln>
                        </pic:spPr>
                      </pic:pic>
                    </a:graphicData>
                  </a:graphic>
                </wp:inline>
              </w:drawing>
            </w:r>
          </w:p>
        </w:tc>
      </w:tr>
    </w:tbl>
    <w:p>
      <w:pPr>
        <w:snapToGrid w:val="0"/>
        <w:spacing w:line="400" w:lineRule="exact"/>
        <w:ind w:firstLine="422" w:firstLineChars="200"/>
        <w:outlineLvl w:val="3"/>
        <w:rPr>
          <w:rFonts w:hint="eastAsia" w:ascii="宋体" w:hAnsi="宋体" w:cs="宋体"/>
          <w:b/>
          <w:color w:val="auto"/>
          <w:szCs w:val="21"/>
          <w:highlight w:val="none"/>
        </w:rPr>
      </w:pPr>
      <w:r>
        <w:rPr>
          <w:rFonts w:hint="eastAsia" w:ascii="宋体" w:hAnsi="宋体" w:cs="宋体"/>
          <w:b/>
          <w:color w:val="auto"/>
          <w:szCs w:val="21"/>
          <w:highlight w:val="none"/>
        </w:rPr>
        <w:t>8、特殊要求</w:t>
      </w:r>
      <w:bookmarkEnd w:id="133"/>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1）采购人确保室内设施设备(门、窗、供水、供电、照明、警报器（如有）等)完好和正常使用后，以清单和照片留存的形式移交给中标供应商维修维护。合同履行到期，中标供应商须按原样与采购人办理相关移交手续。</w:t>
      </w:r>
    </w:p>
    <w:p>
      <w:pPr>
        <w:autoSpaceDE w:val="0"/>
        <w:autoSpaceDN w:val="0"/>
        <w:adjustRightInd w:val="0"/>
        <w:spacing w:line="400" w:lineRule="exact"/>
        <w:ind w:firstLine="525" w:firstLineChars="250"/>
        <w:textAlignment w:val="bottom"/>
        <w:rPr>
          <w:rFonts w:hint="eastAsia" w:ascii="宋体" w:hAnsi="宋体" w:cs="宋体"/>
          <w:b/>
          <w:bCs/>
          <w:szCs w:val="21"/>
        </w:rPr>
      </w:pPr>
      <w:r>
        <w:rPr>
          <w:rFonts w:hint="eastAsia" w:ascii="宋体" w:hAnsi="宋体" w:cs="宋体"/>
          <w:color w:val="auto"/>
          <w:szCs w:val="21"/>
          <w:highlight w:val="none"/>
        </w:rPr>
        <w:t>（2）中标供应商发现</w:t>
      </w:r>
      <w:r>
        <w:rPr>
          <w:rFonts w:hint="eastAsia" w:ascii="宋体" w:hAnsi="宋体" w:cs="宋体"/>
          <w:szCs w:val="21"/>
        </w:rPr>
        <w:t>公厕内设施设备损坏的，须在进场作业后30日历天内提出，经采购人现场确认后由采购人负责维修或更换，逾期视为设施设备完好，由中标供应商负责维修或更换。</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3）供应商须配备专职的水电综合维修工，并都要有相关工作经验，需持有对应的上岗证书。公厕除结构性大修以外，管道、水龙头、马桶（蹲坑）、电风扇（空调）、除臭设施（含加装除臭药水）、门窗、门帘、制度牌、文明用语牌及其冲洗装置的维修，管道疏通等设备、材料、人工均由中标供应商负责，水电费由采购人负责（如水电费需中标供应商支付的，则按实际使用量另行支付），供应商应做到节水节电。</w:t>
      </w:r>
    </w:p>
    <w:bookmarkEnd w:id="129"/>
    <w:bookmarkEnd w:id="130"/>
    <w:bookmarkEnd w:id="131"/>
    <w:bookmarkEnd w:id="132"/>
    <w:p>
      <w:pPr>
        <w:spacing w:line="400" w:lineRule="exact"/>
        <w:ind w:firstLine="413" w:firstLineChars="196"/>
        <w:outlineLvl w:val="2"/>
        <w:rPr>
          <w:rFonts w:hint="eastAsia" w:ascii="宋体" w:hAnsi="宋体" w:cs="宋体"/>
          <w:b/>
          <w:szCs w:val="21"/>
        </w:rPr>
      </w:pPr>
      <w:bookmarkStart w:id="134" w:name="_Toc18145"/>
      <w:bookmarkStart w:id="135" w:name="_Toc17127"/>
      <w:bookmarkStart w:id="136" w:name="_Toc32105"/>
      <w:r>
        <w:rPr>
          <w:rFonts w:hint="eastAsia" w:ascii="宋体" w:hAnsi="宋体" w:cs="宋体"/>
          <w:b/>
          <w:szCs w:val="21"/>
        </w:rPr>
        <w:t>（八）垃圾收集与清运要求</w:t>
      </w:r>
      <w:bookmarkEnd w:id="134"/>
      <w:bookmarkEnd w:id="135"/>
      <w:bookmarkEnd w:id="136"/>
    </w:p>
    <w:p>
      <w:pPr>
        <w:snapToGrid w:val="0"/>
        <w:spacing w:line="400" w:lineRule="exact"/>
        <w:ind w:firstLine="420" w:firstLineChars="200"/>
        <w:outlineLvl w:val="3"/>
        <w:rPr>
          <w:rFonts w:hint="eastAsia" w:ascii="宋体" w:hAnsi="宋体" w:cs="宋体"/>
          <w:szCs w:val="21"/>
        </w:rPr>
      </w:pPr>
      <w:bookmarkStart w:id="137" w:name="_Toc19842"/>
      <w:bookmarkStart w:id="138" w:name="_Toc4845"/>
      <w:bookmarkStart w:id="139" w:name="_Toc11457"/>
      <w:r>
        <w:rPr>
          <w:rFonts w:hint="eastAsia" w:ascii="宋体" w:hAnsi="宋体" w:cs="宋体"/>
          <w:szCs w:val="21"/>
        </w:rPr>
        <w:t>1、垃圾收集与清运范围</w:t>
      </w:r>
      <w:bookmarkEnd w:id="137"/>
      <w:bookmarkEnd w:id="138"/>
      <w:bookmarkEnd w:id="139"/>
    </w:p>
    <w:p>
      <w:pPr>
        <w:pStyle w:val="2"/>
        <w:spacing w:after="0" w:line="400" w:lineRule="exact"/>
        <w:ind w:left="0" w:leftChars="0" w:firstLine="525" w:firstLineChars="250"/>
        <w:rPr>
          <w:rFonts w:hint="eastAsia" w:ascii="宋体" w:hAnsi="宋体" w:cs="宋体"/>
          <w:color w:val="auto"/>
          <w:szCs w:val="21"/>
        </w:rPr>
      </w:pPr>
      <w:r>
        <w:rPr>
          <w:rFonts w:hint="eastAsia" w:ascii="宋体" w:hAnsi="宋体" w:cs="宋体"/>
          <w:szCs w:val="21"/>
        </w:rPr>
        <w:t>区域内生活垃圾实行统</w:t>
      </w:r>
      <w:r>
        <w:rPr>
          <w:rFonts w:hint="eastAsia" w:ascii="宋体" w:hAnsi="宋体" w:cs="宋体"/>
          <w:color w:val="auto"/>
          <w:szCs w:val="21"/>
        </w:rPr>
        <w:t>一清运，包括但不限于道路（含公路）、公园、广场、公共绿地、河道及公厕、机关事业单位、学校、企业、物管小区、经营性场所等区域所产生的所有生活垃圾。</w:t>
      </w:r>
    </w:p>
    <w:p>
      <w:pPr>
        <w:snapToGrid w:val="0"/>
        <w:spacing w:line="400" w:lineRule="exact"/>
        <w:ind w:firstLine="422" w:firstLineChars="200"/>
        <w:outlineLvl w:val="3"/>
        <w:rPr>
          <w:rFonts w:hint="eastAsia" w:ascii="宋体" w:hAnsi="宋体" w:cs="宋体"/>
          <w:b/>
          <w:color w:val="auto"/>
          <w:szCs w:val="21"/>
        </w:rPr>
      </w:pPr>
      <w:bookmarkStart w:id="140" w:name="_Toc7185"/>
      <w:bookmarkStart w:id="141" w:name="_Toc32717"/>
      <w:bookmarkStart w:id="142" w:name="_Toc7648"/>
      <w:r>
        <w:rPr>
          <w:rFonts w:hint="eastAsia" w:ascii="宋体" w:hAnsi="宋体" w:cs="宋体"/>
          <w:b/>
          <w:color w:val="auto"/>
          <w:szCs w:val="21"/>
        </w:rPr>
        <w:t>2、</w:t>
      </w:r>
      <w:r>
        <w:rPr>
          <w:rFonts w:hint="eastAsia" w:ascii="宋体" w:hAnsi="宋体" w:cs="宋体"/>
          <w:color w:val="auto"/>
          <w:szCs w:val="21"/>
        </w:rPr>
        <w:t>垃圾收集与清运质量要求</w:t>
      </w:r>
      <w:bookmarkEnd w:id="140"/>
      <w:bookmarkEnd w:id="141"/>
      <w:bookmarkEnd w:id="142"/>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1）玉海街道和锦湖街道一、二级道路，潘岱街道集镇一级道路沿街实行上门分类收集垃圾，时间为07:00和12:00和17:00左右（根据实际情况，时间可作适当调整）。垃圾上门收集时，工作人员着统一工作服，摇铃提示。</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（2）每日生活垃圾必须日产日清，及时收集清运, 无积压、溢满，周围无散落垃圾及污水；定时喷洒除臭剂、杀虫剂、消毒剂等，确保废物箱（果壳箱、垃圾桶）、垃圾坞无四害滋生。</w:t>
      </w:r>
    </w:p>
    <w:p>
      <w:pPr>
        <w:autoSpaceDE w:val="0"/>
        <w:autoSpaceDN w:val="0"/>
        <w:adjustRightInd w:val="0"/>
        <w:spacing w:line="40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3）按照要求配置分类垃圾运输车（易腐垃圾、其他垃圾，详见（九）本项目投入车辆参数基本要求第8项），生活垃圾统一清运到就近垃圾中转站，清理、收集的其余垃圾按分类垃圾分别收集、转运并倾倒至指定地点；垃圾运输密闭，无抛洒、吊挂和污水滴漏。清运路线要合理规划设置，并报采购人备案认可。</w:t>
      </w:r>
    </w:p>
    <w:p>
      <w:pPr>
        <w:snapToGrid w:val="0"/>
        <w:spacing w:line="400" w:lineRule="exact"/>
        <w:ind w:firstLine="420" w:firstLineChars="200"/>
        <w:rPr>
          <w:rFonts w:hint="eastAsia" w:ascii="宋体" w:hAnsi="宋体" w:cs="宋体"/>
          <w:b/>
          <w:color w:val="auto"/>
          <w:szCs w:val="21"/>
        </w:rPr>
      </w:pPr>
      <w:r>
        <w:rPr>
          <w:rFonts w:hint="eastAsia" w:ascii="宋体" w:hAnsi="宋体" w:cs="宋体"/>
          <w:color w:val="auto"/>
          <w:szCs w:val="21"/>
        </w:rPr>
        <w:t>（4）收运垃圾时控制噪声防止扰民。</w:t>
      </w:r>
    </w:p>
    <w:p>
      <w:pPr>
        <w:snapToGrid w:val="0"/>
        <w:spacing w:line="400" w:lineRule="exact"/>
        <w:ind w:firstLine="420" w:firstLineChars="200"/>
        <w:outlineLvl w:val="3"/>
        <w:rPr>
          <w:rFonts w:hint="eastAsia" w:ascii="宋体" w:hAnsi="宋体" w:cs="宋体"/>
          <w:szCs w:val="21"/>
        </w:rPr>
      </w:pPr>
      <w:r>
        <w:rPr>
          <w:rFonts w:hint="eastAsia" w:ascii="宋体" w:hAnsi="宋体" w:cs="宋体"/>
          <w:szCs w:val="21"/>
        </w:rPr>
        <w:t>3、配置车辆要求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（1）根据垃圾的类型和数量，自行科学合理的配置垃圾分类收集和运输车辆的种类、规格、数量；</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（2）垃圾运输车辆干净整洁（不准安装外挂袋），一日一洗，保持安全正常运转，定期维护，停放有序。</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（3）垃圾运输车车身应印刷公司名称、编号、分类标识，字迹清晰、整洁。</w:t>
      </w:r>
    </w:p>
    <w:p>
      <w:pPr>
        <w:pStyle w:val="2"/>
        <w:rPr>
          <w:rFonts w:hint="eastAsia" w:ascii="宋体" w:hAnsi="宋体" w:cs="宋体"/>
          <w:szCs w:val="21"/>
        </w:rPr>
      </w:pPr>
      <w:r>
        <w:rPr>
          <w:rFonts w:hint="eastAsia" w:ascii="宋体" w:hAnsi="宋体" w:cs="宋体"/>
          <w:szCs w:val="21"/>
        </w:rPr>
        <w:t>（4）垃圾运输车辆应与垃圾中转站设施设备相配套，垃圾装卸方便。</w:t>
      </w:r>
    </w:p>
    <w:p>
      <w:pPr>
        <w:pStyle w:val="2"/>
        <w:rPr>
          <w:rFonts w:hint="eastAsia" w:ascii="宋体" w:hAnsi="宋体" w:cs="宋体"/>
          <w:szCs w:val="21"/>
        </w:rPr>
      </w:pPr>
      <w:r>
        <w:rPr>
          <w:rFonts w:hint="eastAsia" w:ascii="宋体" w:hAnsi="宋体" w:cs="宋体"/>
          <w:szCs w:val="21"/>
        </w:rPr>
        <w:t>（5）垃圾运输车辆应保证整车密封性，设有防遗洒、渗漏装置，确保运输过程中不扬、撤、拖挂，澎溢超载和污水滴漏。</w:t>
      </w:r>
    </w:p>
    <w:p>
      <w:pPr>
        <w:pStyle w:val="2"/>
        <w:rPr>
          <w:rFonts w:hint="eastAsia" w:ascii="宋体" w:hAnsi="宋体" w:cs="宋体"/>
          <w:szCs w:val="21"/>
        </w:rPr>
      </w:pPr>
      <w:r>
        <w:rPr>
          <w:rFonts w:hint="eastAsia" w:ascii="宋体" w:hAnsi="宋体" w:cs="宋体"/>
          <w:szCs w:val="21"/>
        </w:rPr>
        <w:t>（6）垃圾运输车辆外部和垃圾箱体应完好无损，如遇磕碰漆皮脱落等应及时修补。</w:t>
      </w:r>
    </w:p>
    <w:p>
      <w:pPr>
        <w:snapToGrid w:val="0"/>
        <w:spacing w:line="400" w:lineRule="exact"/>
        <w:ind w:firstLine="422" w:firstLineChars="200"/>
        <w:outlineLvl w:val="3"/>
        <w:rPr>
          <w:rFonts w:hint="eastAsia" w:ascii="宋体" w:hAnsi="宋体" w:cs="宋体"/>
          <w:b/>
          <w:szCs w:val="21"/>
        </w:rPr>
      </w:pPr>
      <w:bookmarkStart w:id="143" w:name="_Toc7444"/>
      <w:bookmarkStart w:id="144" w:name="_Toc18053"/>
      <w:bookmarkStart w:id="145" w:name="_Toc27061"/>
      <w:r>
        <w:rPr>
          <w:rFonts w:hint="eastAsia" w:ascii="宋体" w:hAnsi="宋体" w:cs="宋体"/>
          <w:b/>
          <w:szCs w:val="21"/>
        </w:rPr>
        <w:t>4、垃圾收集与清运作业要求</w:t>
      </w:r>
      <w:bookmarkEnd w:id="143"/>
      <w:bookmarkEnd w:id="144"/>
      <w:bookmarkEnd w:id="145"/>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（1）道路、公园、广场、绿地垃圾收集及清运</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1）每日生活垃圾必须日产日清，及时收集清运，在作业和运输过程中不得遗洒垃圾和污水。</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2）废物箱（果壳箱、垃圾桶）、垃圾坞无四害孳生, 无积压、溢满，废物箱（果壳箱、垃圾桶）周围散落垃圾及时收集清运。</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3）果壳箱垃圾收集每日不少于2次、垃圾桶垃圾收集每日不少于3次、垃圾坞垃圾收集每日不少于3次。学校、医院、农贸市场、车站等重要区域应按实际需要增加收集与清运频次。确保垃圾桶不满溢。</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4）作业时车辆应靠边停放，不能太靠近车行线。</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5）车辆上的作业工具应摆放整齐，不能对交通安全产生影响。</w:t>
      </w:r>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6）对已经实施垃圾分类的区域或单位，须进行分类收集、分类运输，分类运输车辆分类标识应完整清晰。</w:t>
      </w:r>
    </w:p>
    <w:p>
      <w:pPr>
        <w:pStyle w:val="2"/>
        <w:ind w:firstLine="105" w:firstLineChars="50"/>
        <w:rPr>
          <w:rFonts w:hint="eastAsia" w:ascii="宋体" w:hAnsi="宋体" w:cs="宋体"/>
          <w:szCs w:val="21"/>
        </w:rPr>
      </w:pPr>
      <w:r>
        <w:rPr>
          <w:rFonts w:hint="eastAsia" w:ascii="宋体" w:hAnsi="宋体" w:cs="宋体"/>
          <w:szCs w:val="21"/>
        </w:rPr>
        <w:t>7）驾驶员应文明行车、车辆运输尽量避开人口密集区和交通拥堵区。</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（2）河道垃圾收集及清运</w:t>
      </w:r>
    </w:p>
    <w:p>
      <w:pPr>
        <w:tabs>
          <w:tab w:val="left" w:pos="1890"/>
        </w:tabs>
        <w:spacing w:line="400" w:lineRule="exact"/>
        <w:ind w:firstLine="420" w:firstLineChars="200"/>
        <w:rPr>
          <w:rFonts w:hint="eastAsia" w:ascii="宋体" w:hAnsi="宋体" w:cs="宋体"/>
          <w:szCs w:val="21"/>
        </w:rPr>
      </w:pPr>
      <w:r>
        <w:rPr>
          <w:rFonts w:hint="eastAsia" w:ascii="宋体" w:hAnsi="宋体" w:cs="宋体"/>
          <w:szCs w:val="21"/>
        </w:rPr>
        <w:t>1）河道水体打捞垃圾不得堆放在堤岸、路边，上岸即清，清理出来的垃圾及其他漂浮物等均由中标供应商负责清运到采购人指定地点。</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2）生活垃圾、工业垃圾及漂浮物须进行分类，清运至指定地点。</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3）清运途中应采取密闭措施，防止抛洒、泄漏出现二次污染。</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rPr>
        <w:t>4）沿河两侧坎边垃圾必须日</w:t>
      </w:r>
      <w:r>
        <w:rPr>
          <w:rFonts w:hint="eastAsia" w:ascii="宋体" w:hAnsi="宋体" w:cs="宋体"/>
          <w:color w:val="auto"/>
          <w:szCs w:val="21"/>
          <w:highlight w:val="none"/>
        </w:rPr>
        <w:t>产日清，清理完毕。</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（3）机关事业单位、学校、企业、物管小区、经营性场所等垃圾收运</w:t>
      </w:r>
    </w:p>
    <w:p>
      <w:pPr>
        <w:overflowPunct w:val="0"/>
        <w:adjustRightInd w:val="0"/>
        <w:spacing w:line="360" w:lineRule="auto"/>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中标供应商中标后积极对接机关事业单位、学校、企业、物管小区、经营性场所，提出合理化的垃圾收集点设置方案和收运流程，已经实施垃圾分类的须按分类要求进行收集运输，同时制作定时定点上门垃圾收集宣传手册进行发放。</w:t>
      </w:r>
    </w:p>
    <w:p>
      <w:pPr>
        <w:overflowPunct w:val="0"/>
        <w:adjustRightInd w:val="0"/>
        <w:spacing w:line="360" w:lineRule="auto"/>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2）机关事业单位、学校、企业、物管小区、经营性场所等因垃圾分类不到位或拒缴垃圾处理费，采购人需要采取垃圾暂停清运服务的，中标供应商要无条件予以配合，每发现一次不配合扣罚5000元。</w:t>
      </w:r>
    </w:p>
    <w:p>
      <w:pPr>
        <w:overflowPunct w:val="0"/>
        <w:adjustRightInd w:val="0"/>
        <w:spacing w:line="360" w:lineRule="auto"/>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3）机关事业单位、学校、企业、物管小区、经营性场所，设置1-2处垃圾集中收集点供保洁公司收运。垃圾产生单位提供按分类要求垃圾收集容器，并负责清洗和维护。</w:t>
      </w:r>
    </w:p>
    <w:p>
      <w:pPr>
        <w:snapToGrid w:val="0"/>
        <w:spacing w:line="400" w:lineRule="exact"/>
        <w:ind w:firstLine="422" w:firstLineChars="200"/>
        <w:outlineLvl w:val="3"/>
        <w:rPr>
          <w:rFonts w:hint="eastAsia" w:ascii="宋体" w:hAnsi="宋体" w:cs="宋体"/>
          <w:b/>
          <w:color w:val="auto"/>
          <w:szCs w:val="21"/>
          <w:highlight w:val="none"/>
        </w:rPr>
      </w:pPr>
      <w:bookmarkStart w:id="146" w:name="_Toc29834"/>
      <w:bookmarkStart w:id="147" w:name="_Toc24779"/>
      <w:bookmarkStart w:id="148" w:name="_Toc3868"/>
      <w:r>
        <w:rPr>
          <w:rFonts w:hint="eastAsia" w:ascii="宋体" w:hAnsi="宋体" w:cs="宋体"/>
          <w:b/>
          <w:color w:val="auto"/>
          <w:szCs w:val="21"/>
          <w:highlight w:val="none"/>
        </w:rPr>
        <w:t>5、特殊要求</w:t>
      </w:r>
      <w:bookmarkEnd w:id="146"/>
      <w:bookmarkEnd w:id="147"/>
      <w:bookmarkEnd w:id="148"/>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（1）本项目清扫保洁、垃圾清运范围限定于招标行政区域内，不经采购人及相关部门同意，不得到区域外清扫保洁作业或将行政区域外垃圾运输至本区域内。</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（2）后续中转站进行市场化经营、改造提升的，中标供应商须服从采购人、中转站运营方的相关管理规定。</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（3）当垃圾中转站运力不足时或采购人有特殊要求时，使用重型压缩车直运至采购人指定垃圾焚烧厂，相关费用包含在投标报价内。</w:t>
      </w:r>
    </w:p>
    <w:p>
      <w:pPr>
        <w:pStyle w:val="2"/>
        <w:rPr>
          <w:rFonts w:hint="eastAsia"/>
          <w:color w:val="auto"/>
          <w:highlight w:val="none"/>
          <w:lang w:eastAsia="zh-CN"/>
        </w:rPr>
      </w:pPr>
      <w:r>
        <w:rPr>
          <w:rFonts w:hint="eastAsia"/>
          <w:color w:val="auto"/>
          <w:highlight w:val="none"/>
        </w:rPr>
        <w:t>（4）每辆中型及以上车型：每车次均须配备人员不少于2人（驾驶员和跟车人员各1名）</w:t>
      </w:r>
      <w:r>
        <w:rPr>
          <w:rFonts w:hint="eastAsia"/>
          <w:color w:val="auto"/>
          <w:highlight w:val="none"/>
          <w:lang w:eastAsia="zh-CN"/>
        </w:rPr>
        <w:t>。</w:t>
      </w:r>
    </w:p>
    <w:p>
      <w:pPr>
        <w:pStyle w:val="2"/>
        <w:rPr>
          <w:rFonts w:hint="eastAsia" w:eastAsia="宋体" w:cs="Times New Roman"/>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eastAsia="宋体" w:cs="Times New Roman"/>
          <w:color w:val="auto"/>
          <w:highlight w:val="none"/>
        </w:rPr>
        <w:t>由于中转站基础设施原因，暂无法将收集的垃圾倾倒至中转站的，须将垃圾统一运送至焚烧厂统一处理，待中转站具备该项功能后，运送至中转站统一处理，供应商应自行考虑其报价风险。</w:t>
      </w:r>
    </w:p>
    <w:p>
      <w:pPr>
        <w:snapToGrid w:val="0"/>
        <w:spacing w:line="400" w:lineRule="exact"/>
        <w:ind w:firstLine="422" w:firstLineChars="200"/>
        <w:outlineLvl w:val="3"/>
        <w:rPr>
          <w:rFonts w:hint="eastAsia" w:ascii="宋体"/>
          <w:b/>
          <w:color w:val="auto"/>
          <w:szCs w:val="21"/>
          <w:highlight w:val="none"/>
        </w:rPr>
      </w:pPr>
      <w:r>
        <w:rPr>
          <w:rFonts w:hint="eastAsia" w:ascii="宋体"/>
          <w:b/>
          <w:color w:val="auto"/>
          <w:szCs w:val="21"/>
          <w:highlight w:val="none"/>
        </w:rPr>
        <w:t>6、</w:t>
      </w:r>
      <w:bookmarkStart w:id="149" w:name="_Hlk69252883"/>
      <w:r>
        <w:rPr>
          <w:rFonts w:hint="eastAsia" w:ascii="宋体"/>
          <w:b/>
          <w:color w:val="auto"/>
          <w:szCs w:val="21"/>
          <w:highlight w:val="none"/>
        </w:rPr>
        <w:t>生活垃圾分类收运支付标准及处罚标准等</w:t>
      </w:r>
      <w:bookmarkEnd w:id="149"/>
    </w:p>
    <w:p>
      <w:pPr>
        <w:overflowPunct w:val="0"/>
        <w:adjustRightInd w:val="0"/>
        <w:spacing w:line="360" w:lineRule="auto"/>
        <w:ind w:firstLine="420" w:firstLineChars="200"/>
        <w:textAlignment w:val="bottom"/>
        <w:rPr>
          <w:rFonts w:hint="eastAsia" w:ascii="宋体" w:eastAsia="宋体"/>
          <w:color w:val="auto"/>
          <w:szCs w:val="21"/>
          <w:highlight w:val="none"/>
          <w:lang w:eastAsia="zh-CN"/>
        </w:rPr>
      </w:pPr>
      <w:r>
        <w:rPr>
          <w:rFonts w:hint="eastAsia" w:ascii="宋体"/>
          <w:color w:val="auto"/>
          <w:szCs w:val="21"/>
          <w:highlight w:val="none"/>
        </w:rPr>
        <w:t>6</w:t>
      </w:r>
      <w:r>
        <w:rPr>
          <w:rFonts w:ascii="宋体"/>
          <w:color w:val="auto"/>
          <w:szCs w:val="21"/>
          <w:highlight w:val="none"/>
        </w:rPr>
        <w:t>.1</w:t>
      </w:r>
      <w:r>
        <w:rPr>
          <w:rFonts w:hint="eastAsia" w:ascii="宋体"/>
          <w:color w:val="auto"/>
          <w:szCs w:val="21"/>
          <w:highlight w:val="none"/>
        </w:rPr>
        <w:t>、物管小区部分：在服务期内，实行生活垃圾分类统一收运的物管小区，采购人根据每户每天</w:t>
      </w:r>
      <w:r>
        <w:rPr>
          <w:rFonts w:hint="eastAsia" w:ascii="宋体"/>
          <w:color w:val="auto"/>
          <w:szCs w:val="21"/>
          <w:highlight w:val="none"/>
          <w:lang w:val="en-US" w:eastAsia="zh-CN"/>
        </w:rPr>
        <w:t>一定</w:t>
      </w:r>
      <w:r>
        <w:rPr>
          <w:rFonts w:hint="eastAsia" w:ascii="宋体"/>
          <w:color w:val="auto"/>
          <w:szCs w:val="21"/>
          <w:highlight w:val="none"/>
        </w:rPr>
        <w:t>的标准</w:t>
      </w:r>
      <w:r>
        <w:rPr>
          <w:rFonts w:hint="eastAsia" w:ascii="宋体"/>
          <w:color w:val="auto"/>
          <w:szCs w:val="21"/>
          <w:highlight w:val="none"/>
          <w:lang w:val="en-US" w:eastAsia="zh-CN"/>
        </w:rPr>
        <w:t>予以</w:t>
      </w:r>
      <w:r>
        <w:rPr>
          <w:rFonts w:hint="eastAsia" w:ascii="宋体"/>
          <w:color w:val="auto"/>
          <w:szCs w:val="21"/>
          <w:highlight w:val="none"/>
        </w:rPr>
        <w:t>支付此项服务款，</w:t>
      </w:r>
      <w:r>
        <w:rPr>
          <w:rFonts w:hint="eastAsia" w:ascii="宋体"/>
          <w:color w:val="auto"/>
          <w:szCs w:val="21"/>
          <w:highlight w:val="none"/>
          <w:lang w:val="en-US" w:eastAsia="zh-CN"/>
        </w:rPr>
        <w:t>但不得超出各自街道</w:t>
      </w:r>
      <w:r>
        <w:rPr>
          <w:rFonts w:hint="eastAsia" w:ascii="宋体"/>
          <w:color w:val="auto"/>
          <w:szCs w:val="21"/>
          <w:highlight w:val="none"/>
        </w:rPr>
        <w:t>支付上限金额（每年）</w:t>
      </w:r>
      <w:r>
        <w:rPr>
          <w:rFonts w:hint="eastAsia" w:ascii="宋体"/>
          <w:color w:val="auto"/>
          <w:szCs w:val="21"/>
          <w:highlight w:val="none"/>
          <w:lang w:eastAsia="zh-CN"/>
        </w:rPr>
        <w:t>。</w:t>
      </w:r>
      <w:r>
        <w:rPr>
          <w:rFonts w:hint="eastAsia" w:ascii="宋体"/>
          <w:color w:val="auto"/>
          <w:szCs w:val="21"/>
          <w:highlight w:val="none"/>
          <w:lang w:val="en-US" w:eastAsia="zh-CN"/>
        </w:rPr>
        <w:t>如超出</w:t>
      </w:r>
      <w:r>
        <w:rPr>
          <w:rFonts w:hint="eastAsia" w:ascii="宋体"/>
          <w:color w:val="auto"/>
          <w:szCs w:val="21"/>
          <w:highlight w:val="none"/>
        </w:rPr>
        <w:t>支付上限金额的</w:t>
      </w:r>
      <w:r>
        <w:rPr>
          <w:rFonts w:hint="eastAsia" w:ascii="宋体"/>
          <w:color w:val="auto"/>
          <w:szCs w:val="21"/>
          <w:highlight w:val="none"/>
          <w:lang w:val="en-US" w:eastAsia="zh-CN"/>
        </w:rPr>
        <w:t>，</w:t>
      </w:r>
      <w:r>
        <w:rPr>
          <w:rFonts w:hint="eastAsia" w:ascii="宋体"/>
          <w:color w:val="auto"/>
          <w:szCs w:val="21"/>
          <w:highlight w:val="none"/>
        </w:rPr>
        <w:t>采购人</w:t>
      </w:r>
      <w:r>
        <w:rPr>
          <w:rFonts w:hint="eastAsia" w:ascii="宋体"/>
          <w:color w:val="auto"/>
          <w:szCs w:val="21"/>
          <w:highlight w:val="none"/>
          <w:lang w:val="en-US" w:eastAsia="zh-CN"/>
        </w:rPr>
        <w:t>只支付到</w:t>
      </w:r>
      <w:r>
        <w:rPr>
          <w:rFonts w:hint="eastAsia" w:ascii="宋体"/>
          <w:color w:val="auto"/>
          <w:szCs w:val="21"/>
          <w:highlight w:val="none"/>
        </w:rPr>
        <w:t>上限金额（每年），</w:t>
      </w:r>
      <w:r>
        <w:rPr>
          <w:rFonts w:hint="eastAsia" w:ascii="宋体"/>
          <w:color w:val="auto"/>
          <w:szCs w:val="21"/>
          <w:highlight w:val="none"/>
          <w:lang w:val="en-US" w:eastAsia="zh-CN"/>
        </w:rPr>
        <w:t>超出部分</w:t>
      </w:r>
      <w:r>
        <w:rPr>
          <w:rFonts w:hint="eastAsia" w:ascii="宋体"/>
          <w:color w:val="auto"/>
          <w:szCs w:val="21"/>
          <w:highlight w:val="none"/>
        </w:rPr>
        <w:t>由中标单位</w:t>
      </w:r>
      <w:r>
        <w:rPr>
          <w:rFonts w:hint="eastAsia" w:ascii="宋体"/>
          <w:color w:val="auto"/>
          <w:szCs w:val="21"/>
          <w:highlight w:val="none"/>
          <w:lang w:val="en-US" w:eastAsia="zh-CN"/>
        </w:rPr>
        <w:t>自行承担；如</w:t>
      </w:r>
      <w:r>
        <w:rPr>
          <w:rFonts w:hint="eastAsia" w:ascii="宋体"/>
          <w:color w:val="auto"/>
          <w:szCs w:val="21"/>
          <w:highlight w:val="none"/>
        </w:rPr>
        <w:t>低于支付上限金额的，则按实际数量进行结算，具体户数以街道出具数据为准，各投标供应商应充分考虑其报价风险。根据不完全统计，本区域物管小区的</w:t>
      </w:r>
      <w:r>
        <w:rPr>
          <w:rFonts w:hint="eastAsia" w:ascii="宋体"/>
          <w:color w:val="auto"/>
          <w:szCs w:val="21"/>
          <w:highlight w:val="none"/>
          <w:lang w:val="en-US" w:eastAsia="zh-CN"/>
        </w:rPr>
        <w:t>相应数据如下表</w:t>
      </w:r>
      <w:r>
        <w:rPr>
          <w:rFonts w:hint="eastAsia" w:ascii="宋体"/>
          <w:color w:val="auto"/>
          <w:szCs w:val="21"/>
          <w:highlight w:val="none"/>
          <w:lang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14"/>
        <w:gridCol w:w="1428"/>
        <w:gridCol w:w="2080"/>
        <w:gridCol w:w="2027"/>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14"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序号</w:t>
            </w:r>
          </w:p>
        </w:tc>
        <w:tc>
          <w:tcPr>
            <w:tcW w:w="1428" w:type="dxa"/>
            <w:noWrap w:val="0"/>
            <w:vAlign w:val="center"/>
          </w:tcPr>
          <w:p>
            <w:pPr>
              <w:overflowPunct w:val="0"/>
              <w:adjustRightInd w:val="0"/>
              <w:spacing w:line="360" w:lineRule="auto"/>
              <w:jc w:val="center"/>
              <w:textAlignment w:val="bottom"/>
              <w:rPr>
                <w:rFonts w:hint="eastAsia"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街道</w:t>
            </w:r>
          </w:p>
        </w:tc>
        <w:tc>
          <w:tcPr>
            <w:tcW w:w="2080"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物管小区户数</w:t>
            </w:r>
          </w:p>
        </w:tc>
        <w:tc>
          <w:tcPr>
            <w:tcW w:w="2027" w:type="dxa"/>
            <w:noWrap w:val="0"/>
            <w:vAlign w:val="center"/>
          </w:tcPr>
          <w:p>
            <w:pPr>
              <w:overflowPunct w:val="0"/>
              <w:adjustRightInd w:val="0"/>
              <w:spacing w:line="360" w:lineRule="auto"/>
              <w:jc w:val="center"/>
              <w:textAlignment w:val="bottom"/>
              <w:rPr>
                <w:rFonts w:hint="eastAsia"/>
                <w:color w:val="auto"/>
                <w:highlight w:val="none"/>
                <w:lang w:val="en-US" w:eastAsia="zh-CN"/>
              </w:rPr>
            </w:pPr>
            <w:r>
              <w:rPr>
                <w:rFonts w:hint="eastAsia"/>
                <w:color w:val="auto"/>
                <w:highlight w:val="none"/>
                <w:lang w:val="en-US" w:eastAsia="zh-CN"/>
              </w:rPr>
              <w:t>垃圾分类收运费</w:t>
            </w:r>
          </w:p>
          <w:p>
            <w:pPr>
              <w:overflowPunct w:val="0"/>
              <w:adjustRightInd w:val="0"/>
              <w:spacing w:line="360" w:lineRule="auto"/>
              <w:jc w:val="center"/>
              <w:textAlignment w:val="bottom"/>
              <w:rPr>
                <w:rFonts w:hint="default"/>
                <w:color w:val="auto"/>
                <w:highlight w:val="none"/>
                <w:lang w:val="en-US" w:eastAsia="zh-CN"/>
              </w:rPr>
            </w:pPr>
            <w:r>
              <w:rPr>
                <w:rFonts w:hint="eastAsia" w:ascii="宋体"/>
                <w:color w:val="auto"/>
                <w:szCs w:val="21"/>
                <w:highlight w:val="none"/>
                <w:vertAlign w:val="baseline"/>
                <w:lang w:val="en-US" w:eastAsia="zh-CN"/>
              </w:rPr>
              <w:t>（元/户/天）</w:t>
            </w:r>
          </w:p>
        </w:tc>
        <w:tc>
          <w:tcPr>
            <w:tcW w:w="3605" w:type="dxa"/>
            <w:noWrap w:val="0"/>
            <w:vAlign w:val="center"/>
          </w:tcPr>
          <w:p>
            <w:pPr>
              <w:overflowPunct w:val="0"/>
              <w:adjustRightInd w:val="0"/>
              <w:spacing w:line="360" w:lineRule="auto"/>
              <w:jc w:val="center"/>
              <w:textAlignment w:val="bottom"/>
              <w:rPr>
                <w:rFonts w:hint="eastAsia" w:ascii="宋体"/>
                <w:color w:val="auto"/>
                <w:szCs w:val="21"/>
                <w:highlight w:val="none"/>
                <w:vertAlign w:val="baseline"/>
              </w:rPr>
            </w:pPr>
            <w:r>
              <w:rPr>
                <w:rFonts w:hint="eastAsia" w:ascii="宋体"/>
                <w:color w:val="auto"/>
                <w:szCs w:val="21"/>
                <w:highlight w:val="none"/>
                <w:vertAlign w:val="baseline"/>
                <w:lang w:val="en-US" w:eastAsia="zh-CN"/>
              </w:rPr>
              <w:t>预算上限金额（元/年）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14" w:type="dxa"/>
            <w:noWrap w:val="0"/>
            <w:vAlign w:val="center"/>
          </w:tcPr>
          <w:p>
            <w:pPr>
              <w:overflowPunct w:val="0"/>
              <w:adjustRightInd w:val="0"/>
              <w:spacing w:line="360" w:lineRule="auto"/>
              <w:jc w:val="center"/>
              <w:textAlignment w:val="bottom"/>
              <w:rPr>
                <w:rFonts w:hint="eastAsia"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1</w:t>
            </w:r>
          </w:p>
        </w:tc>
        <w:tc>
          <w:tcPr>
            <w:tcW w:w="1428"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玉海街道</w:t>
            </w:r>
          </w:p>
        </w:tc>
        <w:tc>
          <w:tcPr>
            <w:tcW w:w="2080"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9651户</w:t>
            </w:r>
          </w:p>
        </w:tc>
        <w:tc>
          <w:tcPr>
            <w:tcW w:w="2027"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0.1458</w:t>
            </w:r>
          </w:p>
        </w:tc>
        <w:tc>
          <w:tcPr>
            <w:tcW w:w="3605" w:type="dxa"/>
            <w:noWrap w:val="0"/>
            <w:vAlign w:val="center"/>
          </w:tcPr>
          <w:p>
            <w:pPr>
              <w:overflowPunct w:val="0"/>
              <w:adjustRightInd w:val="0"/>
              <w:spacing w:line="360" w:lineRule="auto"/>
              <w:jc w:val="center"/>
              <w:textAlignment w:val="bottom"/>
              <w:rPr>
                <w:rFonts w:hint="default" w:ascii="宋体"/>
                <w:color w:val="auto"/>
                <w:szCs w:val="21"/>
                <w:highlight w:val="none"/>
                <w:vertAlign w:val="baseline"/>
                <w:lang w:val="en-US"/>
              </w:rPr>
            </w:pPr>
            <w:r>
              <w:rPr>
                <w:rFonts w:hint="eastAsia" w:ascii="宋体"/>
                <w:color w:val="auto"/>
                <w:szCs w:val="21"/>
                <w:highlight w:val="none"/>
                <w:vertAlign w:val="baseline"/>
                <w:lang w:val="en-US" w:eastAsia="zh-CN"/>
              </w:rPr>
              <w:t>513597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14" w:type="dxa"/>
            <w:noWrap w:val="0"/>
            <w:vAlign w:val="center"/>
          </w:tcPr>
          <w:p>
            <w:pPr>
              <w:overflowPunct w:val="0"/>
              <w:adjustRightInd w:val="0"/>
              <w:spacing w:line="360" w:lineRule="auto"/>
              <w:jc w:val="center"/>
              <w:textAlignment w:val="bottom"/>
              <w:rPr>
                <w:rFonts w:hint="eastAsia"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2</w:t>
            </w:r>
          </w:p>
        </w:tc>
        <w:tc>
          <w:tcPr>
            <w:tcW w:w="1428"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锦湖街道</w:t>
            </w:r>
          </w:p>
        </w:tc>
        <w:tc>
          <w:tcPr>
            <w:tcW w:w="2080"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8631户</w:t>
            </w:r>
          </w:p>
        </w:tc>
        <w:tc>
          <w:tcPr>
            <w:tcW w:w="2027"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0.1536</w:t>
            </w:r>
          </w:p>
        </w:tc>
        <w:tc>
          <w:tcPr>
            <w:tcW w:w="3605" w:type="dxa"/>
            <w:noWrap w:val="0"/>
            <w:vAlign w:val="center"/>
          </w:tcPr>
          <w:p>
            <w:pPr>
              <w:overflowPunct w:val="0"/>
              <w:adjustRightInd w:val="0"/>
              <w:spacing w:line="360" w:lineRule="auto"/>
              <w:jc w:val="center"/>
              <w:textAlignment w:val="bottom"/>
              <w:rPr>
                <w:rFonts w:hint="default" w:ascii="宋体"/>
                <w:color w:val="auto"/>
                <w:szCs w:val="21"/>
                <w:highlight w:val="none"/>
                <w:vertAlign w:val="baseline"/>
                <w:lang w:val="en-US"/>
              </w:rPr>
            </w:pPr>
            <w:r>
              <w:rPr>
                <w:rFonts w:hint="eastAsia" w:ascii="宋体"/>
                <w:color w:val="auto"/>
                <w:szCs w:val="21"/>
                <w:highlight w:val="none"/>
                <w:vertAlign w:val="baseline"/>
                <w:lang w:val="en-US" w:eastAsia="zh-CN"/>
              </w:rPr>
              <w:t>483888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14" w:type="dxa"/>
            <w:noWrap w:val="0"/>
            <w:vAlign w:val="center"/>
          </w:tcPr>
          <w:p>
            <w:pPr>
              <w:overflowPunct w:val="0"/>
              <w:adjustRightInd w:val="0"/>
              <w:spacing w:line="360" w:lineRule="auto"/>
              <w:jc w:val="center"/>
              <w:textAlignment w:val="bottom"/>
              <w:rPr>
                <w:rFonts w:hint="eastAsia"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3</w:t>
            </w:r>
          </w:p>
        </w:tc>
        <w:tc>
          <w:tcPr>
            <w:tcW w:w="1428"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潘岱街道</w:t>
            </w:r>
          </w:p>
        </w:tc>
        <w:tc>
          <w:tcPr>
            <w:tcW w:w="2080"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3342户</w:t>
            </w:r>
          </w:p>
        </w:tc>
        <w:tc>
          <w:tcPr>
            <w:tcW w:w="2027" w:type="dxa"/>
            <w:noWrap w:val="0"/>
            <w:vAlign w:val="center"/>
          </w:tcPr>
          <w:p>
            <w:pPr>
              <w:overflowPunct w:val="0"/>
              <w:adjustRightInd w:val="0"/>
              <w:spacing w:line="360" w:lineRule="auto"/>
              <w:jc w:val="center"/>
              <w:textAlignment w:val="bottom"/>
              <w:rPr>
                <w:rFonts w:hint="default" w:ascii="宋体" w:eastAsia="宋体"/>
                <w:color w:val="auto"/>
                <w:szCs w:val="21"/>
                <w:highlight w:val="none"/>
                <w:vertAlign w:val="baseline"/>
                <w:lang w:val="en-US" w:eastAsia="zh-CN"/>
              </w:rPr>
            </w:pPr>
            <w:r>
              <w:rPr>
                <w:rFonts w:hint="eastAsia" w:ascii="宋体"/>
                <w:color w:val="auto"/>
                <w:szCs w:val="21"/>
                <w:highlight w:val="none"/>
                <w:vertAlign w:val="baseline"/>
                <w:lang w:val="en-US" w:eastAsia="zh-CN"/>
              </w:rPr>
              <w:t>0.1225</w:t>
            </w:r>
          </w:p>
        </w:tc>
        <w:tc>
          <w:tcPr>
            <w:tcW w:w="3605" w:type="dxa"/>
            <w:noWrap w:val="0"/>
            <w:vAlign w:val="center"/>
          </w:tcPr>
          <w:p>
            <w:pPr>
              <w:overflowPunct w:val="0"/>
              <w:adjustRightInd w:val="0"/>
              <w:spacing w:line="360" w:lineRule="auto"/>
              <w:jc w:val="center"/>
              <w:textAlignment w:val="bottom"/>
              <w:rPr>
                <w:rFonts w:hint="eastAsia" w:ascii="宋体"/>
                <w:color w:val="auto"/>
                <w:szCs w:val="21"/>
                <w:highlight w:val="none"/>
                <w:vertAlign w:val="baseline"/>
              </w:rPr>
            </w:pPr>
            <w:r>
              <w:rPr>
                <w:rFonts w:hint="eastAsia" w:ascii="宋体"/>
                <w:color w:val="auto"/>
                <w:szCs w:val="21"/>
                <w:highlight w:val="none"/>
                <w:vertAlign w:val="baseline"/>
                <w:lang w:val="en-US" w:eastAsia="zh-CN"/>
              </w:rPr>
              <w:t>149429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854" w:type="dxa"/>
            <w:gridSpan w:val="5"/>
            <w:noWrap w:val="0"/>
            <w:vAlign w:val="top"/>
          </w:tcPr>
          <w:p>
            <w:pPr>
              <w:overflowPunct w:val="0"/>
              <w:adjustRightInd w:val="0"/>
              <w:spacing w:line="360" w:lineRule="auto"/>
              <w:textAlignment w:val="bottom"/>
              <w:rPr>
                <w:rFonts w:ascii="宋体"/>
                <w:color w:val="auto"/>
                <w:szCs w:val="21"/>
                <w:highlight w:val="none"/>
              </w:rPr>
            </w:pPr>
            <w:r>
              <w:rPr>
                <w:rFonts w:hint="eastAsia" w:ascii="宋体"/>
                <w:color w:val="auto"/>
                <w:szCs w:val="21"/>
                <w:highlight w:val="none"/>
                <w:vertAlign w:val="baseline"/>
                <w:lang w:val="en-US" w:eastAsia="zh-CN"/>
              </w:rPr>
              <w:t>备注：</w:t>
            </w:r>
            <w:r>
              <w:rPr>
                <w:rFonts w:hint="eastAsia" w:ascii="宋体"/>
                <w:color w:val="auto"/>
                <w:szCs w:val="21"/>
                <w:highlight w:val="none"/>
              </w:rPr>
              <w:t>① 每户每天</w:t>
            </w:r>
            <w:r>
              <w:rPr>
                <w:rFonts w:hint="eastAsia" w:ascii="宋体"/>
                <w:color w:val="auto"/>
                <w:szCs w:val="21"/>
                <w:highlight w:val="none"/>
                <w:lang w:val="en-US" w:eastAsia="zh-CN"/>
              </w:rPr>
              <w:t>实际支付</w:t>
            </w:r>
            <w:r>
              <w:rPr>
                <w:rFonts w:hint="eastAsia" w:ascii="宋体"/>
                <w:color w:val="auto"/>
                <w:szCs w:val="21"/>
                <w:highlight w:val="none"/>
              </w:rPr>
              <w:t>标准以中标供应商投标总价下浮比例进行等比例下调；</w:t>
            </w:r>
          </w:p>
          <w:p>
            <w:pPr>
              <w:overflowPunct w:val="0"/>
              <w:adjustRightInd w:val="0"/>
              <w:spacing w:line="360" w:lineRule="auto"/>
              <w:textAlignment w:val="bottom"/>
              <w:rPr>
                <w:rFonts w:ascii="宋体"/>
                <w:color w:val="auto"/>
                <w:szCs w:val="21"/>
                <w:highlight w:val="none"/>
              </w:rPr>
            </w:pPr>
            <w:r>
              <w:rPr>
                <w:rFonts w:hint="eastAsia" w:ascii="宋体"/>
                <w:color w:val="auto"/>
                <w:szCs w:val="21"/>
                <w:highlight w:val="none"/>
              </w:rPr>
              <w:t>②</w:t>
            </w:r>
            <w:r>
              <w:rPr>
                <w:rFonts w:ascii="宋体"/>
                <w:color w:val="auto"/>
                <w:szCs w:val="21"/>
                <w:highlight w:val="none"/>
              </w:rPr>
              <w:t xml:space="preserve"> </w:t>
            </w:r>
            <w:r>
              <w:rPr>
                <w:rFonts w:hint="eastAsia" w:ascii="宋体"/>
                <w:color w:val="auto"/>
                <w:szCs w:val="21"/>
                <w:highlight w:val="none"/>
              </w:rPr>
              <w:t>预算上限金额（每年）已包含在本次报价中，最终支付上限金额（每年）以中标供应商投标总价下浮比例进行等比例下调，并且该项费用由采购人根据实际户数及天数，按上述规定进行支付。</w:t>
            </w:r>
          </w:p>
          <w:p>
            <w:pPr>
              <w:overflowPunct w:val="0"/>
              <w:adjustRightInd w:val="0"/>
              <w:spacing w:line="360" w:lineRule="auto"/>
              <w:textAlignment w:val="bottom"/>
              <w:rPr>
                <w:rFonts w:hint="eastAsia" w:ascii="宋体" w:eastAsia="宋体"/>
                <w:color w:val="auto"/>
                <w:szCs w:val="21"/>
                <w:highlight w:val="none"/>
                <w:vertAlign w:val="baseline"/>
                <w:lang w:val="en-US" w:eastAsia="zh-CN"/>
              </w:rPr>
            </w:pPr>
            <w:r>
              <w:rPr>
                <w:rFonts w:hint="eastAsia" w:ascii="宋体"/>
                <w:color w:val="auto"/>
                <w:szCs w:val="21"/>
                <w:highlight w:val="none"/>
              </w:rPr>
              <w:t>③ 经采购人监督或者投诉发现，因中标供应商原因导致统一收运无法开展的，每个物管小区则按照200元/天的金额进行处罚，15天内未整改到位的，记1次书面警告（或严重警告），以此类推。</w:t>
            </w:r>
          </w:p>
        </w:tc>
      </w:tr>
    </w:tbl>
    <w:p>
      <w:pPr>
        <w:autoSpaceDE w:val="0"/>
        <w:autoSpaceDN w:val="0"/>
        <w:adjustRightInd w:val="0"/>
        <w:spacing w:line="400" w:lineRule="exact"/>
        <w:ind w:firstLine="420" w:firstLineChars="200"/>
        <w:textAlignment w:val="bottom"/>
        <w:rPr>
          <w:rFonts w:hint="eastAsia" w:ascii="宋体" w:hAnsi="宋体" w:eastAsia="宋体" w:cs="宋体"/>
          <w:color w:val="auto"/>
          <w:szCs w:val="21"/>
          <w:highlight w:val="none"/>
        </w:rPr>
      </w:pPr>
      <w:r>
        <w:rPr>
          <w:rFonts w:hint="eastAsia" w:ascii="宋体"/>
          <w:color w:val="auto"/>
          <w:szCs w:val="21"/>
          <w:highlight w:val="none"/>
        </w:rPr>
        <w:t>6</w:t>
      </w:r>
      <w:r>
        <w:rPr>
          <w:rFonts w:ascii="宋体"/>
          <w:color w:val="auto"/>
          <w:szCs w:val="21"/>
          <w:highlight w:val="none"/>
        </w:rPr>
        <w:t>.2</w:t>
      </w:r>
      <w:r>
        <w:rPr>
          <w:rFonts w:hint="eastAsia" w:ascii="宋体"/>
          <w:color w:val="auto"/>
          <w:szCs w:val="21"/>
          <w:highlight w:val="none"/>
        </w:rPr>
        <w:t>、机关事业单位、学校、企业、经营性场所等须1</w:t>
      </w:r>
      <w:r>
        <w:rPr>
          <w:rFonts w:ascii="宋体"/>
          <w:color w:val="auto"/>
          <w:szCs w:val="21"/>
          <w:highlight w:val="none"/>
        </w:rPr>
        <w:t>00</w:t>
      </w:r>
      <w:r>
        <w:rPr>
          <w:rFonts w:hint="eastAsia" w:ascii="宋体"/>
          <w:color w:val="auto"/>
          <w:szCs w:val="21"/>
          <w:highlight w:val="none"/>
        </w:rPr>
        <w:t>%实行生活垃圾分类统一收运工作，如未能对分类生活垃圾进行统一收运的，经采购人监督或者投诉发现，每个单位（收集点）按照100元/天的金额进行处罚，如发现是中标供应商原因导致工作无法开展的，则按照200元/天的金额进行处罚，15天内未整改到位的，记1次书面警告（或严重警告），以此类推。</w:t>
      </w:r>
    </w:p>
    <w:p>
      <w:pPr>
        <w:spacing w:line="400" w:lineRule="exact"/>
        <w:ind w:firstLine="413" w:firstLineChars="196"/>
        <w:outlineLvl w:val="2"/>
        <w:rPr>
          <w:rFonts w:hint="eastAsia" w:ascii="宋体" w:hAnsi="宋体" w:cs="宋体"/>
          <w:b/>
          <w:color w:val="auto"/>
          <w:szCs w:val="21"/>
          <w:highlight w:val="none"/>
        </w:rPr>
      </w:pPr>
      <w:bookmarkStart w:id="150" w:name="_Toc30787"/>
      <w:bookmarkStart w:id="151" w:name="_Toc10140"/>
      <w:bookmarkStart w:id="152" w:name="_Toc14875"/>
      <w:r>
        <w:rPr>
          <w:rFonts w:hint="eastAsia" w:ascii="宋体" w:hAnsi="宋体" w:cs="宋体"/>
          <w:b/>
          <w:color w:val="auto"/>
          <w:szCs w:val="21"/>
          <w:highlight w:val="none"/>
        </w:rPr>
        <w:t>（九）小广告治理要求</w:t>
      </w:r>
      <w:bookmarkEnd w:id="150"/>
      <w:bookmarkEnd w:id="151"/>
      <w:bookmarkEnd w:id="152"/>
    </w:p>
    <w:p>
      <w:pPr>
        <w:snapToGrid w:val="0"/>
        <w:spacing w:line="400" w:lineRule="exact"/>
        <w:ind w:firstLine="422" w:firstLineChars="200"/>
        <w:outlineLvl w:val="3"/>
        <w:rPr>
          <w:rFonts w:hint="eastAsia" w:ascii="宋体" w:hAnsi="宋体" w:cs="宋体"/>
          <w:b/>
          <w:szCs w:val="21"/>
        </w:rPr>
      </w:pPr>
      <w:bookmarkStart w:id="153" w:name="_Toc18599"/>
      <w:bookmarkStart w:id="154" w:name="_Toc13812"/>
      <w:bookmarkStart w:id="155" w:name="_Toc20774"/>
      <w:r>
        <w:rPr>
          <w:rFonts w:hint="eastAsia" w:ascii="宋体" w:hAnsi="宋体" w:cs="宋体"/>
          <w:b/>
          <w:szCs w:val="21"/>
        </w:rPr>
        <w:t>1、小广告治理范围</w:t>
      </w:r>
      <w:bookmarkEnd w:id="153"/>
      <w:bookmarkEnd w:id="154"/>
      <w:bookmarkEnd w:id="155"/>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道路、公园、广场、公厕、道路两侧构筑物、建筑物、道路辅助设施、市政（家具）设施上可见的小广告、非法喷涂广告。区域内利用废弃木板、纸片等涂写广告，并在公交站台、沿街外立面、绿化带等处放置的，视作乱涂乱贴进行清理。</w:t>
      </w:r>
    </w:p>
    <w:p>
      <w:pPr>
        <w:snapToGrid w:val="0"/>
        <w:spacing w:line="400" w:lineRule="exact"/>
        <w:ind w:firstLine="422" w:firstLineChars="200"/>
        <w:outlineLvl w:val="3"/>
        <w:rPr>
          <w:rFonts w:hint="eastAsia" w:ascii="宋体" w:hAnsi="宋体" w:cs="宋体"/>
          <w:b/>
          <w:szCs w:val="21"/>
        </w:rPr>
      </w:pPr>
      <w:bookmarkStart w:id="156" w:name="_Toc5117"/>
      <w:bookmarkStart w:id="157" w:name="_Toc27260"/>
      <w:bookmarkStart w:id="158" w:name="_Toc8905"/>
      <w:r>
        <w:rPr>
          <w:rFonts w:hint="eastAsia" w:ascii="宋体" w:hAnsi="宋体" w:cs="宋体"/>
          <w:b/>
          <w:szCs w:val="21"/>
        </w:rPr>
        <w:t>2、小广告治理质量要求</w:t>
      </w:r>
      <w:bookmarkEnd w:id="156"/>
      <w:bookmarkEnd w:id="157"/>
      <w:bookmarkEnd w:id="158"/>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（1）随时发现，随时清理干净。并配合执法部门取证打击非法张贴小广告行为。</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（2）外墙（含沿街外立面、开放式小区外立面）、地面、栏杆、店面卷帘门、空调外机等清理保洁做到“日有日清”。</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外墙（含沿街外立面、开放式小区外立面）、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清除乱张贴乱涂写时注意不得污损周围墙体、地面、桥面，保持整洁。在清理乱张贴乱涂写时，要注意保护市政公用设施、绿化树木，在清理路灯杆、配电箱、果皮箱等上面的纸质宣传品时，要注意保护防锈涂层。</w:t>
      </w:r>
    </w:p>
    <w:p>
      <w:pPr>
        <w:snapToGrid w:val="0"/>
        <w:spacing w:line="400" w:lineRule="exact"/>
        <w:ind w:firstLine="422" w:firstLineChars="200"/>
        <w:outlineLvl w:val="3"/>
        <w:rPr>
          <w:rFonts w:hint="eastAsia" w:ascii="宋体" w:hAnsi="宋体" w:cs="宋体"/>
          <w:b/>
          <w:szCs w:val="21"/>
        </w:rPr>
      </w:pPr>
      <w:bookmarkStart w:id="159" w:name="_Toc9694"/>
      <w:bookmarkStart w:id="160" w:name="_Toc22104"/>
      <w:bookmarkStart w:id="161" w:name="_Toc13830"/>
      <w:r>
        <w:rPr>
          <w:rFonts w:hint="eastAsia" w:ascii="宋体" w:hAnsi="宋体" w:cs="宋体"/>
          <w:b/>
          <w:szCs w:val="21"/>
        </w:rPr>
        <w:t>3、配置要求</w:t>
      </w:r>
      <w:bookmarkEnd w:id="159"/>
      <w:bookmarkEnd w:id="160"/>
      <w:bookmarkEnd w:id="161"/>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清理小广告配备相应的操作工具、材料及专职工作人员。</w:t>
      </w:r>
    </w:p>
    <w:p>
      <w:pPr>
        <w:snapToGrid w:val="0"/>
        <w:spacing w:line="400" w:lineRule="exact"/>
        <w:ind w:firstLine="422" w:firstLineChars="200"/>
        <w:outlineLvl w:val="3"/>
        <w:rPr>
          <w:rFonts w:hint="eastAsia" w:ascii="宋体" w:hAnsi="宋体" w:cs="宋体"/>
          <w:b/>
          <w:szCs w:val="21"/>
        </w:rPr>
      </w:pPr>
      <w:bookmarkStart w:id="162" w:name="_Toc31906"/>
      <w:bookmarkStart w:id="163" w:name="_Toc21868"/>
      <w:bookmarkStart w:id="164" w:name="_Toc12638"/>
      <w:r>
        <w:rPr>
          <w:rFonts w:hint="eastAsia" w:ascii="宋体" w:hAnsi="宋体" w:cs="宋体"/>
          <w:b/>
          <w:szCs w:val="21"/>
        </w:rPr>
        <w:t>4、小广告治理作业要求</w:t>
      </w:r>
      <w:bookmarkEnd w:id="162"/>
      <w:bookmarkEnd w:id="163"/>
      <w:bookmarkEnd w:id="164"/>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（1）实施12小时动态巡回保洁，同一地方的乱张贴或乱涂写存续时间主次干道（桥梁）不能超过2小时，特殊情况不得超过1小时；其它地方不能超过3小时，特殊情况不能超过2小时。</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（2）实行定街、定段、定人、定时、定保洁标准责任到人管理。原则上应在每日上午9点以前清除完毕。</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（3）接到承包范围内反映“小广告”问题的投诉或新闻舆论曝光后，须在 1 小时内及时处理完毕并反馈信息。</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（4）在对外墙等保洁之前，应向有关建筑物的产权单位先行告知，避免产生不必要的纠纷。</w:t>
      </w:r>
    </w:p>
    <w:p>
      <w:pPr>
        <w:snapToGrid w:val="0"/>
        <w:spacing w:line="400" w:lineRule="exact"/>
        <w:ind w:firstLine="422" w:firstLineChars="200"/>
        <w:outlineLvl w:val="3"/>
        <w:rPr>
          <w:rFonts w:hint="eastAsia" w:ascii="宋体" w:hAnsi="宋体" w:cs="宋体"/>
          <w:b/>
          <w:szCs w:val="21"/>
        </w:rPr>
      </w:pPr>
      <w:bookmarkStart w:id="165" w:name="_Toc22312"/>
      <w:bookmarkStart w:id="166" w:name="_Toc23299"/>
      <w:bookmarkStart w:id="167" w:name="_Toc21421"/>
      <w:r>
        <w:rPr>
          <w:rFonts w:hint="eastAsia" w:ascii="宋体" w:hAnsi="宋体" w:cs="宋体"/>
          <w:b/>
          <w:szCs w:val="21"/>
        </w:rPr>
        <w:t>5、特殊要求</w:t>
      </w:r>
      <w:bookmarkEnd w:id="165"/>
      <w:bookmarkEnd w:id="166"/>
      <w:bookmarkEnd w:id="167"/>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加强小广告电话号码管控。在实施小广告清除工作的同时，对小广告中公示的电话号码等联系方式进行逐一登记、分类、汇总，并将汇总分类情况汇报管理部门进行处置。</w:t>
      </w:r>
    </w:p>
    <w:p>
      <w:pPr>
        <w:snapToGrid w:val="0"/>
        <w:spacing w:line="400" w:lineRule="exact"/>
        <w:ind w:firstLine="422" w:firstLineChars="200"/>
        <w:outlineLvl w:val="3"/>
        <w:rPr>
          <w:rFonts w:hint="eastAsia" w:ascii="宋体" w:hAnsi="宋体" w:cs="宋体"/>
          <w:b/>
          <w:szCs w:val="21"/>
        </w:rPr>
      </w:pPr>
      <w:bookmarkStart w:id="168" w:name="_Toc25867"/>
      <w:bookmarkStart w:id="169" w:name="_Toc20423"/>
      <w:bookmarkStart w:id="170" w:name="_Toc8416"/>
      <w:r>
        <w:rPr>
          <w:rFonts w:hint="eastAsia" w:ascii="宋体" w:hAnsi="宋体" w:cs="宋体"/>
          <w:b/>
          <w:szCs w:val="21"/>
        </w:rPr>
        <w:t>6、应急要求</w:t>
      </w:r>
      <w:bookmarkEnd w:id="168"/>
      <w:bookmarkEnd w:id="169"/>
      <w:bookmarkEnd w:id="170"/>
    </w:p>
    <w:p>
      <w:pPr>
        <w:autoSpaceDE w:val="0"/>
        <w:autoSpaceDN w:val="0"/>
        <w:adjustRightInd w:val="0"/>
        <w:spacing w:line="400" w:lineRule="exact"/>
        <w:ind w:firstLine="420" w:firstLineChars="200"/>
        <w:textAlignment w:val="bottom"/>
        <w:rPr>
          <w:rFonts w:hint="eastAsia" w:ascii="宋体" w:hAnsi="宋体" w:cs="宋体"/>
        </w:rPr>
      </w:pPr>
      <w:bookmarkStart w:id="171" w:name="_Toc23026"/>
      <w:bookmarkStart w:id="172" w:name="_Toc19170"/>
      <w:bookmarkStart w:id="173" w:name="_Toc14757"/>
      <w:bookmarkStart w:id="174" w:name="_Toc20674"/>
      <w:r>
        <w:rPr>
          <w:rFonts w:hint="eastAsia" w:ascii="宋体" w:hAnsi="宋体" w:cs="宋体"/>
        </w:rPr>
        <w:t>出现大规模低俗、反社会等小广告时，须组织人员在最短时间内进行清除。</w:t>
      </w:r>
      <w:bookmarkEnd w:id="171"/>
      <w:bookmarkEnd w:id="172"/>
      <w:bookmarkEnd w:id="173"/>
      <w:bookmarkEnd w:id="174"/>
    </w:p>
    <w:p>
      <w:pPr>
        <w:spacing w:line="400" w:lineRule="exact"/>
        <w:ind w:firstLine="413" w:firstLineChars="196"/>
        <w:outlineLvl w:val="2"/>
        <w:rPr>
          <w:rFonts w:hint="eastAsia" w:ascii="宋体" w:hAnsi="宋体" w:cs="宋体"/>
          <w:b/>
          <w:szCs w:val="21"/>
        </w:rPr>
      </w:pPr>
      <w:bookmarkStart w:id="175" w:name="_Toc17738"/>
      <w:bookmarkStart w:id="176" w:name="_Toc22345"/>
      <w:bookmarkStart w:id="177" w:name="_Toc20881"/>
      <w:r>
        <w:rPr>
          <w:rFonts w:hint="eastAsia" w:ascii="宋体" w:hAnsi="宋体" w:cs="宋体"/>
          <w:b/>
          <w:szCs w:val="21"/>
        </w:rPr>
        <w:t>（十）无主的建筑垃圾（含装修垃圾，废弃家具，下同）及其他零星垃圾清理要求</w:t>
      </w:r>
      <w:bookmarkEnd w:id="175"/>
    </w:p>
    <w:p>
      <w:pPr>
        <w:snapToGrid w:val="0"/>
        <w:spacing w:line="400" w:lineRule="exact"/>
        <w:ind w:firstLine="422" w:firstLineChars="200"/>
        <w:outlineLvl w:val="3"/>
        <w:rPr>
          <w:rFonts w:hint="eastAsia" w:ascii="宋体" w:hAnsi="宋体" w:cs="宋体"/>
          <w:b/>
          <w:szCs w:val="21"/>
        </w:rPr>
      </w:pPr>
      <w:bookmarkStart w:id="178" w:name="_Toc20729"/>
      <w:bookmarkStart w:id="179" w:name="_Toc14957"/>
      <w:bookmarkStart w:id="180" w:name="_Toc17607"/>
      <w:r>
        <w:rPr>
          <w:rFonts w:hint="eastAsia" w:ascii="宋体" w:hAnsi="宋体" w:cs="宋体"/>
          <w:b/>
          <w:szCs w:val="21"/>
        </w:rPr>
        <w:t>1、无主的建筑垃圾及其他零星垃圾清理范围</w:t>
      </w:r>
      <w:bookmarkEnd w:id="178"/>
      <w:bookmarkEnd w:id="179"/>
      <w:bookmarkEnd w:id="180"/>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玉海街道、锦湖街道、潘岱街道保洁区域内无主的建筑垃圾及其他零星垃圾。</w:t>
      </w:r>
    </w:p>
    <w:p>
      <w:pPr>
        <w:snapToGrid w:val="0"/>
        <w:spacing w:line="400" w:lineRule="exact"/>
        <w:ind w:firstLine="422" w:firstLineChars="200"/>
        <w:outlineLvl w:val="3"/>
        <w:rPr>
          <w:rFonts w:hint="eastAsia" w:ascii="宋体" w:hAnsi="宋体" w:cs="宋体"/>
          <w:b/>
          <w:szCs w:val="21"/>
        </w:rPr>
      </w:pPr>
      <w:bookmarkStart w:id="181" w:name="_Toc22541"/>
      <w:bookmarkStart w:id="182" w:name="_Toc16426"/>
      <w:bookmarkStart w:id="183" w:name="_Toc19418"/>
      <w:r>
        <w:rPr>
          <w:rFonts w:hint="eastAsia" w:ascii="宋体" w:hAnsi="宋体" w:cs="宋体"/>
          <w:b/>
          <w:szCs w:val="21"/>
        </w:rPr>
        <w:t>2、无主的建筑垃圾及其他零星垃圾清理质量要求</w:t>
      </w:r>
      <w:bookmarkEnd w:id="181"/>
      <w:bookmarkEnd w:id="182"/>
      <w:bookmarkEnd w:id="183"/>
    </w:p>
    <w:p>
      <w:pPr>
        <w:autoSpaceDE w:val="0"/>
        <w:autoSpaceDN w:val="0"/>
        <w:adjustRightInd w:val="0"/>
        <w:spacing w:line="400" w:lineRule="exact"/>
        <w:ind w:firstLine="420" w:firstLineChars="200"/>
        <w:textAlignment w:val="bottom"/>
        <w:rPr>
          <w:rFonts w:hint="eastAsia" w:ascii="宋体" w:hAnsi="宋体" w:cs="宋体"/>
          <w:b/>
          <w:bCs/>
          <w:szCs w:val="21"/>
        </w:rPr>
      </w:pPr>
      <w:r>
        <w:rPr>
          <w:rFonts w:hint="eastAsia" w:ascii="宋体" w:hAnsi="宋体" w:cs="宋体"/>
          <w:szCs w:val="21"/>
        </w:rPr>
        <w:t>（1）无主的建筑垃圾及其他零星垃圾不得与生活垃圾混运、混放，由中标供应商自行筛分、拆卸、分类后运至相应合格消纳场进行分类消纳，可委托有资质的企业进行无害化、资源化处置，但须事先向采购人审核报备，</w:t>
      </w:r>
      <w:r>
        <w:rPr>
          <w:rFonts w:hint="eastAsia" w:ascii="宋体" w:hAnsi="宋体" w:cs="宋体"/>
          <w:b/>
          <w:bCs/>
          <w:szCs w:val="21"/>
        </w:rPr>
        <w:t>所需费用均已包含在投标总价中。</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（2）中标供应商有义务对负责区域内的建筑垃圾乱倾倒，乱堆放负有监督义务，如发现有人乱倾倒建筑垃圾须及时上报采购人处理。</w:t>
      </w:r>
    </w:p>
    <w:p>
      <w:pPr>
        <w:snapToGrid w:val="0"/>
        <w:spacing w:line="400" w:lineRule="exact"/>
        <w:ind w:firstLine="420" w:firstLineChars="200"/>
        <w:outlineLvl w:val="3"/>
        <w:rPr>
          <w:rFonts w:hint="eastAsia" w:ascii="宋体" w:hAnsi="宋体" w:cs="宋体"/>
          <w:szCs w:val="21"/>
        </w:rPr>
      </w:pPr>
      <w:bookmarkStart w:id="184" w:name="_Toc32169"/>
      <w:bookmarkStart w:id="185" w:name="_Toc16900"/>
      <w:bookmarkStart w:id="186" w:name="_Toc29451"/>
      <w:r>
        <w:rPr>
          <w:rFonts w:hint="eastAsia" w:ascii="宋体" w:hAnsi="宋体" w:cs="宋体"/>
          <w:szCs w:val="21"/>
        </w:rPr>
        <w:t>3、无主的建筑垃圾及其他零星垃圾清理作业要求</w:t>
      </w:r>
      <w:bookmarkEnd w:id="184"/>
      <w:bookmarkEnd w:id="185"/>
      <w:bookmarkEnd w:id="186"/>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（1）做业期间基本无扬尘，控制噪声污染，运输途中无抛洒；垃圾在指定地点倾倒，不得随意倾倒、偷到、乱倒垃圾；</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（2）保洁责任区域内应当发现的（保洁过程中应该发现）渣土、装修垃圾，要在24小时内清运完毕；采购人要求清运的渣土、装修垃圾，供应商接到通知要在12小时内清运完毕。</w:t>
      </w:r>
    </w:p>
    <w:p>
      <w:pPr>
        <w:snapToGrid w:val="0"/>
        <w:spacing w:line="400" w:lineRule="exact"/>
        <w:ind w:firstLine="422" w:firstLineChars="200"/>
        <w:outlineLvl w:val="3"/>
        <w:rPr>
          <w:rFonts w:hint="eastAsia" w:ascii="宋体" w:hAnsi="宋体" w:cs="宋体"/>
          <w:b/>
          <w:szCs w:val="21"/>
        </w:rPr>
      </w:pPr>
      <w:bookmarkStart w:id="187" w:name="_Toc11782"/>
      <w:bookmarkStart w:id="188" w:name="_Toc3134"/>
      <w:bookmarkStart w:id="189" w:name="_Toc10919"/>
      <w:r>
        <w:rPr>
          <w:rFonts w:hint="eastAsia" w:ascii="宋体" w:hAnsi="宋体" w:cs="宋体"/>
          <w:b/>
          <w:szCs w:val="21"/>
        </w:rPr>
        <w:t>4、配置要求</w:t>
      </w:r>
      <w:bookmarkEnd w:id="187"/>
      <w:bookmarkEnd w:id="188"/>
      <w:bookmarkEnd w:id="189"/>
    </w:p>
    <w:p>
      <w:pPr>
        <w:autoSpaceDE w:val="0"/>
        <w:autoSpaceDN w:val="0"/>
        <w:adjustRightInd w:val="0"/>
        <w:spacing w:line="400" w:lineRule="exact"/>
        <w:ind w:firstLine="525" w:firstLineChars="250"/>
        <w:textAlignment w:val="bottom"/>
        <w:rPr>
          <w:rFonts w:hint="eastAsia" w:ascii="宋体" w:hAnsi="宋体" w:cs="宋体"/>
          <w:szCs w:val="21"/>
        </w:rPr>
      </w:pPr>
      <w:r>
        <w:rPr>
          <w:rFonts w:hint="eastAsia" w:ascii="宋体" w:hAnsi="宋体" w:cs="宋体"/>
          <w:szCs w:val="21"/>
        </w:rPr>
        <w:t>渣土运输车和轮式铲车须经相关主管部门核准，办理核准手续到采购方备案后方可使用。所有车辆外观整洁，及时清洗。</w:t>
      </w:r>
    </w:p>
    <w:p>
      <w:pPr>
        <w:spacing w:line="400" w:lineRule="exact"/>
        <w:ind w:firstLine="413" w:firstLineChars="196"/>
        <w:outlineLvl w:val="2"/>
        <w:rPr>
          <w:rFonts w:hint="eastAsia" w:ascii="宋体" w:hAnsi="宋体" w:cs="宋体"/>
          <w:b/>
          <w:szCs w:val="21"/>
        </w:rPr>
      </w:pPr>
      <w:bookmarkStart w:id="190" w:name="_Toc19940"/>
      <w:r>
        <w:rPr>
          <w:rFonts w:hint="eastAsia" w:ascii="宋体" w:hAnsi="宋体" w:cs="宋体"/>
          <w:b/>
          <w:szCs w:val="21"/>
        </w:rPr>
        <w:t>（十一）垃圾分类要求</w:t>
      </w:r>
      <w:bookmarkEnd w:id="176"/>
      <w:bookmarkEnd w:id="177"/>
      <w:bookmarkEnd w:id="190"/>
    </w:p>
    <w:p>
      <w:pPr>
        <w:snapToGrid w:val="0"/>
        <w:spacing w:line="400" w:lineRule="exact"/>
        <w:ind w:firstLine="422" w:firstLineChars="200"/>
        <w:outlineLvl w:val="3"/>
        <w:rPr>
          <w:rFonts w:hint="eastAsia" w:ascii="宋体" w:hAnsi="宋体" w:cs="宋体"/>
          <w:b/>
          <w:szCs w:val="21"/>
        </w:rPr>
      </w:pPr>
      <w:bookmarkStart w:id="191" w:name="_Toc31042"/>
      <w:bookmarkStart w:id="192" w:name="_Toc7044"/>
      <w:bookmarkStart w:id="193" w:name="_Toc16356"/>
      <w:r>
        <w:rPr>
          <w:rFonts w:hint="eastAsia" w:ascii="宋体" w:hAnsi="宋体" w:cs="宋体"/>
          <w:b/>
          <w:szCs w:val="21"/>
        </w:rPr>
        <w:t>1、垃圾分类范围</w:t>
      </w:r>
      <w:bookmarkEnd w:id="191"/>
      <w:bookmarkEnd w:id="192"/>
      <w:bookmarkEnd w:id="193"/>
    </w:p>
    <w:p>
      <w:pPr>
        <w:pStyle w:val="8"/>
        <w:ind w:left="420" w:firstLine="0"/>
        <w:rPr>
          <w:rFonts w:hint="eastAsia" w:ascii="宋体" w:hAnsi="宋体" w:cs="宋体"/>
          <w:b/>
          <w:bCs/>
          <w:szCs w:val="21"/>
        </w:rPr>
      </w:pPr>
      <w:r>
        <w:rPr>
          <w:rFonts w:hint="eastAsia" w:ascii="宋体" w:hAnsi="宋体" w:cs="宋体"/>
          <w:szCs w:val="21"/>
        </w:rPr>
        <w:t>玉海街道、锦湖街道、潘岱街道保洁区域内的垃圾分类收集及运输。</w:t>
      </w:r>
    </w:p>
    <w:p>
      <w:pPr>
        <w:snapToGrid w:val="0"/>
        <w:spacing w:line="400" w:lineRule="exact"/>
        <w:ind w:firstLine="422" w:firstLineChars="200"/>
        <w:outlineLvl w:val="3"/>
        <w:rPr>
          <w:rFonts w:hint="eastAsia" w:ascii="宋体" w:hAnsi="宋体" w:cs="宋体"/>
          <w:b/>
          <w:szCs w:val="21"/>
        </w:rPr>
      </w:pPr>
      <w:bookmarkStart w:id="194" w:name="_Toc18899"/>
      <w:bookmarkStart w:id="195" w:name="_Toc22142"/>
      <w:bookmarkStart w:id="196" w:name="_Toc11641"/>
      <w:r>
        <w:rPr>
          <w:rFonts w:hint="eastAsia" w:ascii="宋体" w:hAnsi="宋体" w:cs="宋体"/>
          <w:b/>
          <w:szCs w:val="21"/>
        </w:rPr>
        <w:t>2、垃圾分类质量要求</w:t>
      </w:r>
      <w:bookmarkEnd w:id="194"/>
      <w:bookmarkEnd w:id="195"/>
      <w:bookmarkEnd w:id="196"/>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按照确定的分类方法以及年度工作目标，科学合理设置生活垃圾分类运输路线，统一配置数量充足、规格适宜、标识醒目一致的分类运输车辆，确保垃圾分类运输率达到100%。</w:t>
      </w:r>
    </w:p>
    <w:p>
      <w:pPr>
        <w:snapToGrid w:val="0"/>
        <w:spacing w:line="400" w:lineRule="exact"/>
        <w:ind w:firstLine="422" w:firstLineChars="200"/>
        <w:outlineLvl w:val="3"/>
        <w:rPr>
          <w:rFonts w:hint="eastAsia" w:ascii="宋体" w:hAnsi="宋体" w:cs="宋体"/>
          <w:b/>
          <w:szCs w:val="21"/>
        </w:rPr>
      </w:pPr>
      <w:bookmarkStart w:id="197" w:name="_Toc19616"/>
      <w:bookmarkStart w:id="198" w:name="_Toc3505"/>
      <w:bookmarkStart w:id="199" w:name="_Toc3679"/>
      <w:r>
        <w:rPr>
          <w:rFonts w:hint="eastAsia" w:ascii="宋体" w:hAnsi="宋体" w:cs="宋体"/>
          <w:b/>
          <w:szCs w:val="21"/>
        </w:rPr>
        <w:t>3、垃圾分类作业要求</w:t>
      </w:r>
      <w:bookmarkEnd w:id="197"/>
      <w:bookmarkEnd w:id="198"/>
      <w:bookmarkEnd w:id="199"/>
    </w:p>
    <w:p>
      <w:pPr>
        <w:autoSpaceDE w:val="0"/>
        <w:autoSpaceDN w:val="0"/>
        <w:adjustRightInd w:val="0"/>
        <w:spacing w:line="400" w:lineRule="exact"/>
        <w:ind w:firstLine="420" w:firstLineChars="200"/>
        <w:textAlignment w:val="bottom"/>
        <w:outlineLvl w:val="4"/>
        <w:rPr>
          <w:rFonts w:hint="eastAsia" w:ascii="宋体" w:hAnsi="宋体" w:cs="宋体"/>
          <w:szCs w:val="22"/>
        </w:rPr>
      </w:pPr>
      <w:r>
        <w:rPr>
          <w:rFonts w:hint="eastAsia" w:ascii="宋体" w:hAnsi="宋体" w:cs="宋体"/>
          <w:szCs w:val="22"/>
        </w:rPr>
        <w:t>（1）易腐垃圾收集</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1）频次：每天收集不少于2次，有特殊需求的须及时收集。</w:t>
      </w:r>
    </w:p>
    <w:p>
      <w:pPr>
        <w:autoSpaceDE w:val="0"/>
        <w:autoSpaceDN w:val="0"/>
        <w:adjustRightInd w:val="0"/>
        <w:spacing w:line="400" w:lineRule="exact"/>
        <w:ind w:left="420" w:leftChars="200"/>
        <w:textAlignment w:val="bottom"/>
        <w:rPr>
          <w:rFonts w:hint="eastAsia" w:ascii="宋体" w:hAnsi="宋体" w:cs="宋体"/>
        </w:rPr>
      </w:pPr>
      <w:r>
        <w:rPr>
          <w:rFonts w:hint="eastAsia" w:ascii="宋体" w:hAnsi="宋体" w:cs="宋体"/>
          <w:szCs w:val="21"/>
        </w:rPr>
        <w:t>2）要求：保洁区域内的易腐垃圾由中标单位采用专用运输车辆运送至采购单位指定的易腐垃圾处理中心进行处理，但保洁区域内的大中型</w:t>
      </w:r>
      <w:r>
        <w:rPr>
          <w:rFonts w:hint="eastAsia" w:ascii="宋体" w:hAnsi="宋体" w:cs="宋体"/>
        </w:rPr>
        <w:t>酒店、餐饮单位的餐厨垃圾由第三方餐厨垃圾收运公司负责收运处理的除外。</w:t>
      </w:r>
    </w:p>
    <w:p>
      <w:pPr>
        <w:autoSpaceDE w:val="0"/>
        <w:autoSpaceDN w:val="0"/>
        <w:adjustRightInd w:val="0"/>
        <w:spacing w:line="400" w:lineRule="exact"/>
        <w:ind w:firstLine="420" w:firstLineChars="200"/>
        <w:textAlignment w:val="bottom"/>
        <w:outlineLvl w:val="4"/>
        <w:rPr>
          <w:rFonts w:hint="eastAsia" w:ascii="宋体" w:hAnsi="宋体" w:cs="宋体"/>
          <w:szCs w:val="22"/>
        </w:rPr>
      </w:pPr>
      <w:r>
        <w:rPr>
          <w:rFonts w:hint="eastAsia" w:ascii="宋体" w:hAnsi="宋体" w:cs="宋体"/>
          <w:szCs w:val="22"/>
        </w:rPr>
        <w:t>（2）可回收物收集</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1）频次：每天收集不少于2次，有特殊需求的须及时收集。</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szCs w:val="21"/>
        </w:rPr>
        <w:t>2）要求：所有区域内的可回收物，由中标供应商统一采</w:t>
      </w:r>
      <w:r>
        <w:rPr>
          <w:rFonts w:hint="eastAsia" w:ascii="宋体" w:hAnsi="宋体" w:cs="宋体"/>
          <w:color w:val="auto"/>
          <w:szCs w:val="21"/>
          <w:highlight w:val="none"/>
        </w:rPr>
        <w:t>用专用车辆收运至采购人指定的第三方回收中心。</w:t>
      </w:r>
    </w:p>
    <w:p>
      <w:pPr>
        <w:autoSpaceDE w:val="0"/>
        <w:autoSpaceDN w:val="0"/>
        <w:adjustRightInd w:val="0"/>
        <w:spacing w:line="400" w:lineRule="exact"/>
        <w:ind w:firstLine="420" w:firstLineChars="200"/>
        <w:textAlignment w:val="bottom"/>
        <w:outlineLvl w:val="4"/>
        <w:rPr>
          <w:rFonts w:hint="eastAsia" w:ascii="宋体" w:hAnsi="宋体" w:cs="宋体"/>
          <w:color w:val="auto"/>
          <w:szCs w:val="21"/>
          <w:highlight w:val="none"/>
        </w:rPr>
      </w:pPr>
      <w:r>
        <w:rPr>
          <w:rFonts w:hint="eastAsia" w:ascii="宋体" w:hAnsi="宋体" w:cs="宋体"/>
          <w:color w:val="auto"/>
          <w:szCs w:val="21"/>
          <w:highlight w:val="none"/>
        </w:rPr>
        <w:t>（3）有害垃圾收集</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1）频次：每月收集不少于2次，有特殊需求的须及时收集并做好登记，如实记录有害垃圾来源、重量等相关信息。</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2）要求：</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做到当天收集当天入库，不得将装有有害垃圾的车辆随意停放。</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有害垃圾收集必须专人、专车，配备专用封闭车辆或封闭容器，收集过程须保持全程封闭，无遗洒、飘撒。</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收集人员做好自身防护，作业车辆配备灭火器，作业期间严禁烟火。</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有害垃圾收集必须收集至指定场所（有害垃圾暂存点），不得自行处置有害垃圾。</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建立有害垃圾收集应急预案。</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highlight w:val="none"/>
        </w:rPr>
      </w:pPr>
      <w:r>
        <w:rPr>
          <w:rFonts w:hint="eastAsia" w:ascii="宋体" w:hAnsi="宋体" w:cs="宋体"/>
          <w:color w:val="auto"/>
          <w:szCs w:val="21"/>
          <w:highlight w:val="none"/>
        </w:rPr>
        <w:t>收集运输中做好“三防”措施，参照危废管理相关要求。</w:t>
      </w:r>
    </w:p>
    <w:p>
      <w:pPr>
        <w:numPr>
          <w:ilvl w:val="0"/>
          <w:numId w:val="24"/>
        </w:numPr>
        <w:autoSpaceDE w:val="0"/>
        <w:autoSpaceDN w:val="0"/>
        <w:adjustRightInd w:val="0"/>
        <w:spacing w:line="400" w:lineRule="exact"/>
        <w:ind w:left="0"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公布有害垃圾收集预约联系人，预约时间要求等。</w:t>
      </w:r>
    </w:p>
    <w:p>
      <w:pPr>
        <w:autoSpaceDE w:val="0"/>
        <w:autoSpaceDN w:val="0"/>
        <w:adjustRightInd w:val="0"/>
        <w:spacing w:line="400" w:lineRule="exact"/>
        <w:ind w:firstLine="420" w:firstLineChars="200"/>
        <w:textAlignment w:val="bottom"/>
        <w:outlineLvl w:val="4"/>
        <w:rPr>
          <w:rFonts w:hint="eastAsia" w:ascii="宋体" w:hAnsi="宋体" w:cs="宋体"/>
          <w:color w:val="auto"/>
          <w:szCs w:val="21"/>
          <w:highlight w:val="none"/>
        </w:rPr>
      </w:pPr>
      <w:r>
        <w:rPr>
          <w:rFonts w:hint="eastAsia" w:ascii="宋体" w:hAnsi="宋体" w:cs="宋体"/>
          <w:color w:val="auto"/>
          <w:szCs w:val="22"/>
          <w:highlight w:val="none"/>
        </w:rPr>
        <w:t>（4）其他垃圾收集要求：按“（八）垃圾收集与清运要求”进行收集处理。</w:t>
      </w:r>
    </w:p>
    <w:p>
      <w:pPr>
        <w:snapToGrid w:val="0"/>
        <w:spacing w:line="400" w:lineRule="exact"/>
        <w:ind w:firstLine="422" w:firstLineChars="200"/>
        <w:outlineLvl w:val="3"/>
        <w:rPr>
          <w:rFonts w:hint="eastAsia" w:ascii="宋体" w:hAnsi="宋体" w:cs="宋体"/>
          <w:b/>
          <w:color w:val="auto"/>
          <w:szCs w:val="21"/>
          <w:highlight w:val="none"/>
        </w:rPr>
      </w:pPr>
      <w:r>
        <w:rPr>
          <w:rFonts w:hint="eastAsia" w:ascii="宋体" w:hAnsi="宋体" w:cs="宋体"/>
          <w:b/>
          <w:color w:val="auto"/>
          <w:szCs w:val="21"/>
          <w:highlight w:val="none"/>
        </w:rPr>
        <w:t>4、特殊要求</w:t>
      </w:r>
    </w:p>
    <w:p>
      <w:pPr>
        <w:autoSpaceDE w:val="0"/>
        <w:autoSpaceDN w:val="0"/>
        <w:adjustRightInd w:val="0"/>
        <w:spacing w:line="400" w:lineRule="exact"/>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1）已实施（或本项目合同实施期间将实施）生活垃圾分类投放的区域，供应商收集、清运、处置垃圾须按规定执行分类。其中涉及的可回收物、有害垃圾、易腐垃圾、其他垃圾须按照省市相关规定分类收集、分类运输、分类处置，所需费用纳入投标总价。</w:t>
      </w:r>
    </w:p>
    <w:p>
      <w:pPr>
        <w:autoSpaceDE w:val="0"/>
        <w:autoSpaceDN w:val="0"/>
        <w:adjustRightInd w:val="0"/>
        <w:spacing w:line="40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（2）现尚未实施生活垃圾分类投放的的区域，在逐步推行垃圾分类后，供应商须按规定进行分类收集运输。</w:t>
      </w:r>
    </w:p>
    <w:p>
      <w:pPr>
        <w:spacing w:line="400" w:lineRule="exact"/>
        <w:ind w:firstLine="413" w:firstLineChars="196"/>
        <w:outlineLvl w:val="2"/>
        <w:rPr>
          <w:rFonts w:hint="eastAsia" w:ascii="宋体" w:hAnsi="宋体" w:cs="宋体"/>
          <w:b/>
          <w:color w:val="auto"/>
          <w:szCs w:val="21"/>
          <w:highlight w:val="none"/>
        </w:rPr>
      </w:pPr>
      <w:bookmarkStart w:id="200" w:name="_Toc27514"/>
      <w:bookmarkStart w:id="201" w:name="_Toc20288"/>
      <w:bookmarkStart w:id="202" w:name="_Toc8171"/>
      <w:r>
        <w:rPr>
          <w:rFonts w:hint="eastAsia" w:ascii="宋体" w:hAnsi="宋体" w:cs="宋体"/>
          <w:b/>
          <w:color w:val="auto"/>
          <w:szCs w:val="21"/>
          <w:highlight w:val="none"/>
        </w:rPr>
        <w:t>（十二）首次进场“大扫除”要求</w:t>
      </w:r>
      <w:bookmarkEnd w:id="200"/>
      <w:bookmarkEnd w:id="201"/>
      <w:bookmarkEnd w:id="202"/>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供应商在进场作业后30日历天内，须根据前1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项中“质量要求”、“作业要求”内容规定，对保洁区域进行一次全方位环境卫生普查，并根据普查结果，对不达标保洁区域环境卫生进行一次“大扫除”，清除、清运保洁区域内历史积存的所有垃圾，确保正常进入日常保洁工作中，并使城乡面貌得以改善。具体要求如下：</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（1）道路（含公路）、公园、广场及公共绿地达到“七无”、“五净”、“一通”标准；</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（2）市政设施、城市家具达到表面无积尘、干净整洁；</w:t>
      </w:r>
    </w:p>
    <w:p>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玉海街道、锦湖街</w:t>
      </w:r>
      <w:r>
        <w:rPr>
          <w:rFonts w:hint="eastAsia" w:ascii="宋体" w:hAnsi="宋体" w:eastAsia="宋体" w:cs="宋体"/>
          <w:color w:val="auto"/>
          <w:szCs w:val="21"/>
          <w:highlight w:val="none"/>
          <w:lang w:val="en-US" w:eastAsia="zh-CN"/>
        </w:rPr>
        <w:t>道范围内飞云江堤坝区域达到“二无二净”。</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）河道达到水面无垃圾、病死动物及水葫芦等漂浮物；</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）公厕达到地面、蹲坑、便池、墙壁、挡板等整洁、无积水、纸屑、垃圾、粪便、污水等；</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）及时收集垃圾、无主的建筑垃圾（含装修垃圾、废弃家具）及其他零星垃圾并清运至指定地点进行消纳；</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）及时清理未处理的小广告；</w:t>
      </w:r>
    </w:p>
    <w:p>
      <w:pPr>
        <w:pStyle w:val="2"/>
        <w:spacing w:after="0" w:line="400" w:lineRule="exact"/>
        <w:ind w:left="0" w:leftChars="0" w:firstLine="420" w:firstLineChars="200"/>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）按工作实施方案对垃圾进行分类。</w:t>
      </w:r>
    </w:p>
    <w:p>
      <w:pPr>
        <w:spacing w:line="400" w:lineRule="exact"/>
        <w:ind w:firstLine="413" w:firstLineChars="196"/>
        <w:outlineLvl w:val="2"/>
        <w:rPr>
          <w:rFonts w:hint="eastAsia" w:ascii="宋体" w:hAnsi="宋体" w:cs="宋体"/>
          <w:b/>
          <w:szCs w:val="21"/>
        </w:rPr>
      </w:pPr>
      <w:bookmarkStart w:id="203" w:name="_Toc14743"/>
      <w:bookmarkStart w:id="204" w:name="_Toc3408"/>
      <w:bookmarkStart w:id="205" w:name="_Toc6461"/>
      <w:r>
        <w:rPr>
          <w:rFonts w:hint="eastAsia" w:ascii="宋体" w:hAnsi="宋体" w:cs="宋体"/>
          <w:b/>
          <w:szCs w:val="21"/>
        </w:rPr>
        <w:t>（十三）本项目保洁区域内未列明的其他保洁要求内容，均参照招标文件中上述要求标准及相关标准规定执行。</w:t>
      </w:r>
      <w:bookmarkEnd w:id="203"/>
      <w:bookmarkEnd w:id="204"/>
      <w:bookmarkEnd w:id="205"/>
    </w:p>
    <w:p>
      <w:pPr>
        <w:spacing w:line="400" w:lineRule="exact"/>
        <w:ind w:firstLine="413" w:firstLineChars="196"/>
        <w:outlineLvl w:val="2"/>
        <w:rPr>
          <w:rFonts w:hint="eastAsia" w:ascii="宋体" w:hAnsi="宋体" w:cs="宋体"/>
          <w:b/>
          <w:szCs w:val="21"/>
        </w:rPr>
      </w:pPr>
      <w:bookmarkStart w:id="206" w:name="_Toc18862"/>
      <w:bookmarkStart w:id="207" w:name="_Toc13905"/>
      <w:bookmarkStart w:id="208" w:name="_Toc3766"/>
      <w:r>
        <w:rPr>
          <w:rFonts w:hint="eastAsia" w:ascii="宋体" w:hAnsi="宋体" w:cs="宋体"/>
          <w:b/>
          <w:szCs w:val="21"/>
        </w:rPr>
        <w:t>（十四）报告制度</w:t>
      </w:r>
      <w:bookmarkEnd w:id="206"/>
      <w:bookmarkEnd w:id="207"/>
      <w:bookmarkEnd w:id="208"/>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 xml:space="preserve"> 中标供应商对保洁范围内跟环境卫生有关的内容，但不属于其公司保洁范围的要及时上报（发现后24小时内须上报），如排水管堵塞、乱堆乱放、偷倒工业垃圾、僵尸车、遇突发事件、公厕内的设施因其他人为因素的损坏、其他影响市容市貌的情况等。</w:t>
      </w:r>
    </w:p>
    <w:p>
      <w:pPr>
        <w:spacing w:line="400" w:lineRule="exact"/>
        <w:ind w:firstLine="413" w:firstLineChars="196"/>
        <w:outlineLvl w:val="2"/>
        <w:rPr>
          <w:rFonts w:hint="eastAsia" w:ascii="宋体" w:hAnsi="宋体" w:cs="宋体"/>
          <w:b/>
          <w:szCs w:val="21"/>
        </w:rPr>
      </w:pPr>
      <w:bookmarkStart w:id="209" w:name="_Toc7812"/>
      <w:bookmarkStart w:id="210" w:name="_Toc24244"/>
      <w:bookmarkStart w:id="211" w:name="_Toc32297"/>
      <w:r>
        <w:rPr>
          <w:rFonts w:hint="eastAsia" w:ascii="宋体" w:hAnsi="宋体" w:cs="宋体"/>
          <w:b/>
          <w:szCs w:val="21"/>
        </w:rPr>
        <w:t>（十五）其他特殊情况的处理</w:t>
      </w:r>
      <w:bookmarkEnd w:id="209"/>
      <w:bookmarkEnd w:id="210"/>
      <w:bookmarkEnd w:id="211"/>
    </w:p>
    <w:p>
      <w:pPr>
        <w:autoSpaceDE w:val="0"/>
        <w:autoSpaceDN w:val="0"/>
        <w:adjustRightInd w:val="0"/>
        <w:spacing w:line="400" w:lineRule="exact"/>
        <w:ind w:firstLine="420" w:firstLineChars="200"/>
        <w:textAlignment w:val="bottom"/>
        <w:rPr>
          <w:rFonts w:hint="eastAsia" w:ascii="宋体" w:hAnsi="宋体" w:cs="宋体"/>
        </w:rPr>
      </w:pPr>
      <w:r>
        <w:rPr>
          <w:rFonts w:hint="eastAsia" w:ascii="宋体" w:hAnsi="宋体" w:cs="宋体"/>
          <w:szCs w:val="21"/>
        </w:rPr>
        <w:t>如遇到异常恶劣的气候条件（瑞安气象台发布以下天气预警信号，其他不计：台风预警黄色及以上、暴雨预警橙色及以上、暴雪预警橙色及以上、大风预警橙色及以上、雷电预警橙色及以上、高温预警橙色及以上）、大雾、寒潮、高温等，中标供应商须上报采购人备案，以确定当天的保洁部署情况及考核情况。</w:t>
      </w:r>
    </w:p>
    <w:p>
      <w:pPr>
        <w:spacing w:line="460" w:lineRule="exact"/>
        <w:ind w:left="420"/>
        <w:outlineLvl w:val="1"/>
        <w:rPr>
          <w:rFonts w:hint="eastAsia" w:ascii="宋体" w:hAnsi="宋体" w:cs="宋体"/>
          <w:b/>
          <w:szCs w:val="21"/>
        </w:rPr>
      </w:pPr>
      <w:bookmarkStart w:id="212" w:name="_Toc21208"/>
      <w:r>
        <w:rPr>
          <w:rFonts w:hint="eastAsia" w:ascii="宋体" w:hAnsi="宋体" w:cs="宋体"/>
          <w:b/>
          <w:szCs w:val="21"/>
        </w:rPr>
        <w:t>四、玉海街道、锦湖街道、潘岱街道人员投入配置参考及相关要求</w:t>
      </w:r>
      <w:bookmarkEnd w:id="212"/>
    </w:p>
    <w:p>
      <w:pPr>
        <w:rPr>
          <w:rFonts w:hint="eastAsia" w:ascii="宋体" w:hAnsi="宋体" w:cs="宋体"/>
        </w:rPr>
      </w:pPr>
    </w:p>
    <w:tbl>
      <w:tblPr>
        <w:tblStyle w:val="29"/>
        <w:tblpPr w:leftFromText="180" w:rightFromText="180" w:vertAnchor="text" w:horzAnchor="page" w:tblpX="1126" w:tblpY="-70"/>
        <w:tblOverlap w:val="never"/>
        <w:tblW w:w="4982" w:type="pct"/>
        <w:tblInd w:w="0" w:type="dxa"/>
        <w:tblLayout w:type="autofit"/>
        <w:tblCellMar>
          <w:top w:w="0" w:type="dxa"/>
          <w:left w:w="108" w:type="dxa"/>
          <w:bottom w:w="0" w:type="dxa"/>
          <w:right w:w="108" w:type="dxa"/>
        </w:tblCellMar>
      </w:tblPr>
      <w:tblGrid>
        <w:gridCol w:w="678"/>
        <w:gridCol w:w="1108"/>
        <w:gridCol w:w="1591"/>
        <w:gridCol w:w="2196"/>
        <w:gridCol w:w="2076"/>
        <w:gridCol w:w="2170"/>
      </w:tblGrid>
      <w:tr>
        <w:tblPrEx>
          <w:tblCellMar>
            <w:top w:w="0" w:type="dxa"/>
            <w:left w:w="108" w:type="dxa"/>
            <w:bottom w:w="0" w:type="dxa"/>
            <w:right w:w="108" w:type="dxa"/>
          </w:tblCellMar>
        </w:tblPrEx>
        <w:tc>
          <w:tcPr>
            <w:tcW w:w="34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szCs w:val="21"/>
              </w:rPr>
            </w:pPr>
            <w:r>
              <w:rPr>
                <w:rFonts w:hint="eastAsia" w:ascii="宋体" w:hAnsi="宋体" w:cs="宋体"/>
                <w:szCs w:val="21"/>
              </w:rPr>
              <w:t>序号</w:t>
            </w:r>
          </w:p>
        </w:tc>
        <w:tc>
          <w:tcPr>
            <w:tcW w:w="1374" w:type="pct"/>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szCs w:val="21"/>
              </w:rPr>
            </w:pPr>
            <w:r>
              <w:rPr>
                <w:rFonts w:hint="eastAsia" w:ascii="宋体" w:hAnsi="宋体" w:cs="宋体"/>
                <w:szCs w:val="21"/>
              </w:rPr>
              <w:t>岗位</w:t>
            </w:r>
          </w:p>
        </w:tc>
        <w:tc>
          <w:tcPr>
            <w:tcW w:w="1118"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textAlignment w:val="bottom"/>
              <w:rPr>
                <w:rFonts w:hint="eastAsia" w:ascii="宋体" w:hAnsi="宋体" w:cs="宋体"/>
                <w:szCs w:val="21"/>
              </w:rPr>
            </w:pPr>
            <w:r>
              <w:rPr>
                <w:rFonts w:hint="eastAsia" w:ascii="宋体" w:hAnsi="宋体" w:cs="宋体"/>
                <w:b/>
                <w:szCs w:val="21"/>
              </w:rPr>
              <w:t>玉海街道投入数量（人）</w:t>
            </w:r>
          </w:p>
        </w:tc>
        <w:tc>
          <w:tcPr>
            <w:tcW w:w="1057"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textAlignment w:val="bottom"/>
              <w:rPr>
                <w:rFonts w:hint="eastAsia" w:ascii="宋体" w:hAnsi="宋体" w:cs="宋体"/>
                <w:szCs w:val="21"/>
              </w:rPr>
            </w:pPr>
            <w:r>
              <w:rPr>
                <w:rFonts w:hint="eastAsia" w:ascii="宋体" w:hAnsi="宋体" w:cs="宋体"/>
                <w:b/>
                <w:szCs w:val="21"/>
              </w:rPr>
              <w:t>锦湖街道投入数量（人）</w:t>
            </w:r>
          </w:p>
        </w:tc>
        <w:tc>
          <w:tcPr>
            <w:tcW w:w="1103"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textAlignment w:val="bottom"/>
              <w:rPr>
                <w:rFonts w:hint="eastAsia" w:ascii="宋体" w:hAnsi="宋体" w:cs="宋体"/>
                <w:szCs w:val="21"/>
              </w:rPr>
            </w:pPr>
            <w:r>
              <w:rPr>
                <w:rFonts w:hint="eastAsia" w:ascii="宋体" w:hAnsi="宋体" w:cs="宋体"/>
                <w:b/>
                <w:szCs w:val="21"/>
              </w:rPr>
              <w:t>潘岱街道投入数量（人）</w:t>
            </w:r>
          </w:p>
        </w:tc>
      </w:tr>
      <w:tr>
        <w:tblPrEx>
          <w:tblCellMar>
            <w:top w:w="0" w:type="dxa"/>
            <w:left w:w="108" w:type="dxa"/>
            <w:bottom w:w="0" w:type="dxa"/>
            <w:right w:w="108" w:type="dxa"/>
          </w:tblCellMar>
        </w:tblPrEx>
        <w:trPr>
          <w:trHeight w:val="490"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1</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道路清扫、绿化保洁、公路保洁、非保洁区域的统一分类收运等（含清运、管理）</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lang w:val="en-US" w:eastAsia="zh-CN"/>
              </w:rPr>
              <w:t>92</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lang w:eastAsia="zh-CN"/>
              </w:rPr>
            </w:pPr>
            <w:r>
              <w:rPr>
                <w:rFonts w:hint="eastAsia" w:ascii="宋体" w:hAnsi="宋体" w:cs="宋体"/>
                <w:b/>
                <w:color w:val="auto"/>
                <w:sz w:val="22"/>
                <w:szCs w:val="22"/>
              </w:rPr>
              <w:t>19</w:t>
            </w:r>
            <w:r>
              <w:rPr>
                <w:rFonts w:hint="eastAsia" w:ascii="宋体" w:hAnsi="宋体" w:cs="宋体"/>
                <w:b/>
                <w:color w:val="auto"/>
                <w:sz w:val="22"/>
                <w:szCs w:val="22"/>
                <w:lang w:val="en-US" w:eastAsia="zh-CN"/>
              </w:rPr>
              <w:t>1</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lang w:eastAsia="zh-CN"/>
              </w:rPr>
            </w:pPr>
            <w:r>
              <w:rPr>
                <w:rFonts w:hint="eastAsia" w:ascii="宋体" w:hAnsi="宋体" w:cs="宋体"/>
                <w:b/>
                <w:color w:val="auto"/>
                <w:sz w:val="22"/>
                <w:szCs w:val="22"/>
              </w:rPr>
              <w:t>5</w:t>
            </w:r>
            <w:r>
              <w:rPr>
                <w:rFonts w:hint="eastAsia" w:ascii="宋体" w:hAnsi="宋体" w:cs="宋体"/>
                <w:b/>
                <w:color w:val="auto"/>
                <w:sz w:val="22"/>
                <w:szCs w:val="22"/>
                <w:lang w:val="en-US" w:eastAsia="zh-CN"/>
              </w:rPr>
              <w:t>3</w:t>
            </w:r>
          </w:p>
        </w:tc>
      </w:tr>
      <w:tr>
        <w:tblPrEx>
          <w:tblCellMar>
            <w:top w:w="0" w:type="dxa"/>
            <w:left w:w="108" w:type="dxa"/>
            <w:bottom w:w="0" w:type="dxa"/>
            <w:right w:w="108" w:type="dxa"/>
          </w:tblCellMar>
        </w:tblPrEx>
        <w:trPr>
          <w:trHeight w:val="490"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2</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堤坝保洁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0</w:t>
            </w:r>
          </w:p>
        </w:tc>
      </w:tr>
      <w:tr>
        <w:tblPrEx>
          <w:tblCellMar>
            <w:top w:w="0" w:type="dxa"/>
            <w:left w:w="108" w:type="dxa"/>
            <w:bottom w:w="0" w:type="dxa"/>
            <w:right w:w="108" w:type="dxa"/>
          </w:tblCellMar>
        </w:tblPrEx>
        <w:trPr>
          <w:trHeight w:val="1235" w:hRule="atLeast"/>
        </w:trPr>
        <w:tc>
          <w:tcPr>
            <w:tcW w:w="346"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3</w:t>
            </w:r>
          </w:p>
        </w:tc>
        <w:tc>
          <w:tcPr>
            <w:tcW w:w="564"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公园广场</w:t>
            </w:r>
          </w:p>
        </w:tc>
        <w:tc>
          <w:tcPr>
            <w:tcW w:w="81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公园广场道路保洁和绿化保洁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c>
          <w:tcPr>
            <w:tcW w:w="1057"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0</w:t>
            </w:r>
          </w:p>
        </w:tc>
      </w:tr>
      <w:tr>
        <w:tblPrEx>
          <w:tblCellMar>
            <w:top w:w="0" w:type="dxa"/>
            <w:left w:w="108" w:type="dxa"/>
            <w:bottom w:w="0" w:type="dxa"/>
            <w:right w:w="108" w:type="dxa"/>
          </w:tblCellMar>
        </w:tblPrEx>
        <w:tc>
          <w:tcPr>
            <w:tcW w:w="346" w:type="pct"/>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p>
        </w:tc>
        <w:tc>
          <w:tcPr>
            <w:tcW w:w="564" w:type="pct"/>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公园广场公厕保洁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c>
          <w:tcPr>
            <w:tcW w:w="1057" w:type="pct"/>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0</w:t>
            </w:r>
          </w:p>
        </w:tc>
      </w:tr>
      <w:tr>
        <w:tblPrEx>
          <w:tblCellMar>
            <w:top w:w="0" w:type="dxa"/>
            <w:left w:w="108" w:type="dxa"/>
            <w:bottom w:w="0" w:type="dxa"/>
            <w:right w:w="108" w:type="dxa"/>
          </w:tblCellMar>
        </w:tblPrEx>
        <w:trPr>
          <w:trHeight w:val="90" w:hRule="atLeast"/>
        </w:trPr>
        <w:tc>
          <w:tcPr>
            <w:tcW w:w="346" w:type="pct"/>
            <w:tcBorders>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ascii="宋体" w:hAnsi="宋体" w:cs="宋体"/>
                <w:color w:val="auto"/>
                <w:szCs w:val="21"/>
              </w:rPr>
            </w:pPr>
            <w:r>
              <w:rPr>
                <w:rFonts w:hint="eastAsia" w:ascii="宋体" w:hAnsi="宋体" w:cs="宋体"/>
                <w:color w:val="auto"/>
                <w:szCs w:val="21"/>
              </w:rPr>
              <w:t>4</w:t>
            </w:r>
          </w:p>
        </w:tc>
        <w:tc>
          <w:tcPr>
            <w:tcW w:w="1374" w:type="pct"/>
            <w:gridSpan w:val="2"/>
            <w:tcBorders>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河道保洁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val="en-US" w:eastAsia="zh-CN"/>
              </w:rPr>
              <w:t>3</w:t>
            </w:r>
          </w:p>
        </w:tc>
        <w:tc>
          <w:tcPr>
            <w:tcW w:w="1057" w:type="pct"/>
            <w:tcBorders>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lang w:eastAsia="zh-CN"/>
              </w:rPr>
            </w:pPr>
            <w:r>
              <w:rPr>
                <w:rFonts w:hint="eastAsia" w:ascii="宋体" w:hAnsi="宋体" w:cs="宋体"/>
                <w:b/>
                <w:color w:val="auto"/>
                <w:sz w:val="22"/>
                <w:szCs w:val="22"/>
                <w:lang w:val="en-US" w:eastAsia="zh-CN"/>
              </w:rPr>
              <w:t>7</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10</w:t>
            </w:r>
          </w:p>
        </w:tc>
      </w:tr>
      <w:tr>
        <w:tblPrEx>
          <w:tblCellMar>
            <w:top w:w="0" w:type="dxa"/>
            <w:left w:w="108" w:type="dxa"/>
            <w:bottom w:w="0" w:type="dxa"/>
            <w:right w:w="108" w:type="dxa"/>
          </w:tblCellMar>
        </w:tblPrEx>
        <w:tc>
          <w:tcPr>
            <w:tcW w:w="346" w:type="pct"/>
            <w:tcBorders>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ascii="宋体" w:hAnsi="宋体" w:cs="宋体"/>
                <w:color w:val="auto"/>
                <w:szCs w:val="21"/>
              </w:rPr>
            </w:pPr>
            <w:r>
              <w:rPr>
                <w:rFonts w:hint="eastAsia" w:ascii="宋体" w:hAnsi="宋体" w:cs="宋体"/>
                <w:color w:val="auto"/>
                <w:szCs w:val="21"/>
              </w:rPr>
              <w:t>5</w:t>
            </w:r>
          </w:p>
        </w:tc>
        <w:tc>
          <w:tcPr>
            <w:tcW w:w="1374" w:type="pct"/>
            <w:gridSpan w:val="2"/>
            <w:tcBorders>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公厕保洁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lang w:val="en-US" w:eastAsia="zh-CN"/>
              </w:rPr>
              <w:t>5</w:t>
            </w:r>
          </w:p>
        </w:tc>
        <w:tc>
          <w:tcPr>
            <w:tcW w:w="1057" w:type="pct"/>
            <w:tcBorders>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14</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lang w:val="en-US" w:eastAsia="zh-CN"/>
              </w:rPr>
            </w:pPr>
            <w:r>
              <w:rPr>
                <w:rFonts w:hint="eastAsia" w:ascii="宋体" w:hAnsi="宋体" w:cs="宋体"/>
                <w:b/>
                <w:color w:val="auto"/>
                <w:sz w:val="22"/>
                <w:szCs w:val="22"/>
                <w:lang w:val="en-US" w:eastAsia="zh-CN"/>
              </w:rPr>
              <w:t>1</w:t>
            </w:r>
            <w:r>
              <w:rPr>
                <w:rFonts w:hint="eastAsia" w:ascii="宋体" w:hAnsi="宋体" w:cs="宋体"/>
                <w:b/>
                <w:color w:val="auto"/>
                <w:sz w:val="22"/>
                <w:szCs w:val="22"/>
                <w:lang w:val="en-US" w:eastAsia="zh-CN"/>
              </w:rPr>
              <w:t>2</w:t>
            </w:r>
          </w:p>
        </w:tc>
      </w:tr>
      <w:tr>
        <w:tblPrEx>
          <w:tblCellMar>
            <w:top w:w="0" w:type="dxa"/>
            <w:left w:w="108" w:type="dxa"/>
            <w:bottom w:w="0" w:type="dxa"/>
            <w:right w:w="108" w:type="dxa"/>
          </w:tblCellMar>
        </w:tblPrEx>
        <w:trPr>
          <w:trHeight w:val="418"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6</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小广告治理</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val="en-US" w:eastAsia="zh-CN"/>
              </w:rPr>
              <w:t>2</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6</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5</w:t>
            </w:r>
          </w:p>
        </w:tc>
      </w:tr>
      <w:tr>
        <w:tblPrEx>
          <w:tblCellMar>
            <w:top w:w="0" w:type="dxa"/>
            <w:left w:w="108" w:type="dxa"/>
            <w:bottom w:w="0" w:type="dxa"/>
            <w:right w:w="108" w:type="dxa"/>
          </w:tblCellMar>
        </w:tblPrEx>
        <w:trPr>
          <w:trHeight w:val="90"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7</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both"/>
              <w:textAlignment w:val="bottom"/>
              <w:rPr>
                <w:rFonts w:hint="eastAsia" w:ascii="宋体" w:hAnsi="宋体" w:cs="宋体"/>
                <w:b/>
                <w:color w:val="auto"/>
                <w:sz w:val="22"/>
                <w:szCs w:val="22"/>
              </w:rPr>
            </w:pPr>
            <w:r>
              <w:rPr>
                <w:rFonts w:hint="eastAsia" w:ascii="宋体" w:hAnsi="宋体" w:cs="宋体"/>
                <w:color w:val="auto"/>
                <w:szCs w:val="21"/>
              </w:rPr>
              <w:t>城市家具保洁</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lang w:eastAsia="zh-CN"/>
              </w:rPr>
            </w:pPr>
            <w:r>
              <w:rPr>
                <w:rFonts w:hint="eastAsia" w:ascii="宋体" w:hAnsi="宋体" w:cs="宋体"/>
                <w:b/>
                <w:color w:val="auto"/>
                <w:sz w:val="22"/>
                <w:szCs w:val="22"/>
              </w:rPr>
              <w:t>1</w:t>
            </w:r>
            <w:r>
              <w:rPr>
                <w:rFonts w:hint="eastAsia" w:ascii="宋体" w:hAnsi="宋体" w:cs="宋体"/>
                <w:b/>
                <w:color w:val="auto"/>
                <w:sz w:val="22"/>
                <w:szCs w:val="22"/>
                <w:lang w:val="en-US" w:eastAsia="zh-CN"/>
              </w:rPr>
              <w:t>0</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9</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ascii="宋体" w:hAnsi="宋体" w:cs="宋体"/>
                <w:b/>
                <w:color w:val="auto"/>
                <w:sz w:val="22"/>
                <w:szCs w:val="22"/>
              </w:rPr>
            </w:pPr>
            <w:r>
              <w:rPr>
                <w:rFonts w:hint="eastAsia" w:ascii="宋体" w:hAnsi="宋体" w:cs="宋体"/>
                <w:b/>
                <w:color w:val="auto"/>
                <w:sz w:val="22"/>
                <w:szCs w:val="22"/>
              </w:rPr>
              <w:t>2</w:t>
            </w:r>
          </w:p>
        </w:tc>
      </w:tr>
      <w:tr>
        <w:tblPrEx>
          <w:tblCellMar>
            <w:top w:w="0" w:type="dxa"/>
            <w:left w:w="108" w:type="dxa"/>
            <w:bottom w:w="0" w:type="dxa"/>
            <w:right w:w="108" w:type="dxa"/>
          </w:tblCellMar>
        </w:tblPrEx>
        <w:trPr>
          <w:trHeight w:val="863"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hint="eastAsia" w:ascii="宋体" w:hAnsi="宋体" w:cs="宋体"/>
                <w:color w:val="auto"/>
                <w:szCs w:val="21"/>
              </w:rPr>
            </w:pPr>
            <w:r>
              <w:rPr>
                <w:rFonts w:hint="eastAsia" w:ascii="宋体" w:hAnsi="宋体" w:cs="宋体"/>
                <w:color w:val="auto"/>
                <w:szCs w:val="21"/>
              </w:rPr>
              <w:t>8</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机动车驾驶员（含装载机、挖掘机）</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lang w:val="en-US" w:eastAsia="zh-CN"/>
              </w:rPr>
              <w:t>3</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ascii="宋体" w:hAnsi="宋体" w:cs="宋体"/>
                <w:b/>
                <w:color w:val="auto"/>
                <w:sz w:val="22"/>
                <w:szCs w:val="22"/>
                <w:highlight w:val="none"/>
              </w:rPr>
            </w:pPr>
            <w:r>
              <w:rPr>
                <w:rFonts w:hint="eastAsia" w:ascii="宋体" w:hAnsi="宋体" w:cs="宋体"/>
                <w:b/>
                <w:color w:val="auto"/>
                <w:sz w:val="22"/>
                <w:szCs w:val="22"/>
                <w:highlight w:val="none"/>
              </w:rPr>
              <w:t>12</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ascii="宋体" w:hAnsi="宋体" w:cs="宋体"/>
                <w:b/>
                <w:color w:val="auto"/>
                <w:sz w:val="22"/>
                <w:szCs w:val="22"/>
                <w:highlight w:val="none"/>
              </w:rPr>
            </w:pPr>
            <w:r>
              <w:rPr>
                <w:rFonts w:hint="eastAsia" w:ascii="宋体" w:hAnsi="宋体" w:cs="宋体"/>
                <w:b/>
                <w:color w:val="auto"/>
                <w:sz w:val="22"/>
                <w:szCs w:val="22"/>
                <w:highlight w:val="none"/>
              </w:rPr>
              <w:t>10</w:t>
            </w:r>
          </w:p>
        </w:tc>
      </w:tr>
      <w:tr>
        <w:tblPrEx>
          <w:tblCellMar>
            <w:top w:w="0" w:type="dxa"/>
            <w:left w:w="108" w:type="dxa"/>
            <w:bottom w:w="0" w:type="dxa"/>
            <w:right w:w="108" w:type="dxa"/>
          </w:tblCellMar>
        </w:tblPrEx>
        <w:trPr>
          <w:trHeight w:val="90"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ascii="宋体" w:hAnsi="宋体" w:cs="宋体"/>
                <w:color w:val="auto"/>
                <w:szCs w:val="21"/>
              </w:rPr>
            </w:pPr>
            <w:r>
              <w:rPr>
                <w:rFonts w:hint="eastAsia" w:ascii="宋体" w:hAnsi="宋体" w:cs="宋体"/>
                <w:color w:val="auto"/>
                <w:szCs w:val="21"/>
              </w:rPr>
              <w:t>9</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ascii="宋体" w:hAnsi="宋体" w:cs="宋体"/>
                <w:color w:val="auto"/>
                <w:szCs w:val="21"/>
              </w:rPr>
            </w:pPr>
            <w:r>
              <w:rPr>
                <w:rFonts w:hint="eastAsia" w:ascii="宋体" w:hAnsi="宋体" w:cs="宋体"/>
                <w:color w:val="auto"/>
                <w:szCs w:val="21"/>
              </w:rPr>
              <w:t>小型冲洗车驾驶人员</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12</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12</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6</w:t>
            </w:r>
          </w:p>
        </w:tc>
      </w:tr>
      <w:tr>
        <w:tblPrEx>
          <w:tblCellMar>
            <w:top w:w="0" w:type="dxa"/>
            <w:left w:w="108" w:type="dxa"/>
            <w:bottom w:w="0" w:type="dxa"/>
            <w:right w:w="108" w:type="dxa"/>
          </w:tblCellMar>
        </w:tblPrEx>
        <w:trPr>
          <w:trHeight w:val="90" w:hRule="atLeast"/>
        </w:trPr>
        <w:tc>
          <w:tcPr>
            <w:tcW w:w="346"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jc w:val="center"/>
              <w:textAlignment w:val="bottom"/>
              <w:rPr>
                <w:rFonts w:ascii="宋体" w:hAnsi="宋体" w:cs="宋体"/>
                <w:color w:val="auto"/>
                <w:szCs w:val="21"/>
              </w:rPr>
            </w:pPr>
            <w:r>
              <w:rPr>
                <w:rFonts w:hint="eastAsia" w:ascii="宋体" w:hAnsi="宋体" w:cs="宋体"/>
                <w:color w:val="auto"/>
                <w:szCs w:val="21"/>
              </w:rPr>
              <w:t>10</w:t>
            </w:r>
          </w:p>
        </w:tc>
        <w:tc>
          <w:tcPr>
            <w:tcW w:w="1374" w:type="pct"/>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水电综合维修工</w:t>
            </w:r>
          </w:p>
        </w:tc>
        <w:tc>
          <w:tcPr>
            <w:tcW w:w="2175" w:type="pct"/>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r>
      <w:tr>
        <w:tblPrEx>
          <w:tblCellMar>
            <w:top w:w="0" w:type="dxa"/>
            <w:left w:w="108" w:type="dxa"/>
            <w:bottom w:w="0" w:type="dxa"/>
            <w:right w:w="108" w:type="dxa"/>
          </w:tblCellMar>
        </w:tblPrEx>
        <w:trPr>
          <w:trHeight w:val="478" w:hRule="atLeast"/>
        </w:trPr>
        <w:tc>
          <w:tcPr>
            <w:tcW w:w="1720" w:type="pct"/>
            <w:gridSpan w:val="3"/>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color w:val="auto"/>
                <w:szCs w:val="21"/>
              </w:rPr>
              <w:t>合计</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lang w:val="en-US" w:eastAsia="zh-CN"/>
              </w:rPr>
            </w:pPr>
            <w:r>
              <w:rPr>
                <w:rFonts w:hint="eastAsia" w:ascii="宋体" w:hAnsi="宋体" w:cs="宋体"/>
                <w:b/>
                <w:color w:val="auto"/>
                <w:sz w:val="22"/>
                <w:szCs w:val="22"/>
                <w:lang w:val="en-US" w:eastAsia="zh-CN"/>
              </w:rPr>
              <w:t>2</w:t>
            </w:r>
            <w:r>
              <w:rPr>
                <w:rFonts w:hint="eastAsia" w:ascii="宋体" w:hAnsi="宋体" w:cs="宋体"/>
                <w:b/>
                <w:color w:val="auto"/>
                <w:sz w:val="22"/>
                <w:szCs w:val="22"/>
                <w:lang w:val="en-US" w:eastAsia="zh-CN"/>
              </w:rPr>
              <w:t>53</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lang w:eastAsia="zh-CN"/>
              </w:rPr>
            </w:pPr>
            <w:r>
              <w:rPr>
                <w:rFonts w:hint="eastAsia" w:ascii="宋体" w:hAnsi="宋体" w:cs="宋体"/>
                <w:b/>
                <w:color w:val="auto"/>
                <w:sz w:val="22"/>
                <w:szCs w:val="22"/>
              </w:rPr>
              <w:t>25</w:t>
            </w:r>
            <w:r>
              <w:rPr>
                <w:rFonts w:hint="eastAsia" w:ascii="宋体" w:hAnsi="宋体" w:cs="宋体"/>
                <w:b/>
                <w:color w:val="auto"/>
                <w:sz w:val="22"/>
                <w:szCs w:val="22"/>
                <w:lang w:val="en-US" w:eastAsia="zh-CN"/>
              </w:rPr>
              <w:t>3</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lang w:val="en-US" w:eastAsia="zh-CN"/>
              </w:rPr>
            </w:pPr>
            <w:r>
              <w:rPr>
                <w:rFonts w:hint="eastAsia" w:ascii="宋体" w:hAnsi="宋体" w:eastAsia="宋体" w:cs="宋体"/>
                <w:b/>
                <w:color w:val="auto"/>
                <w:sz w:val="22"/>
                <w:szCs w:val="22"/>
                <w:lang w:val="en-US" w:eastAsia="zh-CN"/>
              </w:rPr>
              <w:t>9</w:t>
            </w:r>
            <w:r>
              <w:rPr>
                <w:rFonts w:hint="eastAsia" w:ascii="宋体" w:hAnsi="宋体" w:eastAsia="宋体" w:cs="宋体"/>
                <w:b/>
                <w:color w:val="auto"/>
                <w:sz w:val="22"/>
                <w:szCs w:val="22"/>
                <w:lang w:val="en-US" w:eastAsia="zh-CN"/>
              </w:rPr>
              <w:t>9</w:t>
            </w:r>
          </w:p>
        </w:tc>
      </w:tr>
      <w:tr>
        <w:tblPrEx>
          <w:tblCellMar>
            <w:top w:w="0" w:type="dxa"/>
            <w:left w:w="108" w:type="dxa"/>
            <w:bottom w:w="0" w:type="dxa"/>
            <w:right w:w="108" w:type="dxa"/>
          </w:tblCellMar>
        </w:tblPrEx>
        <w:trPr>
          <w:trHeight w:val="90" w:hRule="atLeast"/>
        </w:trPr>
        <w:tc>
          <w:tcPr>
            <w:tcW w:w="1720" w:type="pct"/>
            <w:gridSpan w:val="3"/>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color w:val="auto"/>
                <w:szCs w:val="21"/>
              </w:rPr>
            </w:pPr>
            <w:r>
              <w:rPr>
                <w:rFonts w:hint="eastAsia" w:ascii="宋体" w:hAnsi="宋体" w:cs="宋体"/>
                <w:b/>
                <w:color w:val="auto"/>
                <w:sz w:val="22"/>
              </w:rPr>
              <w:t>▲</w:t>
            </w:r>
            <w:r>
              <w:rPr>
                <w:rFonts w:hint="eastAsia" w:ascii="宋体" w:hAnsi="宋体" w:cs="宋体"/>
                <w:color w:val="auto"/>
                <w:sz w:val="22"/>
              </w:rPr>
              <w:t>最低投入人数（不含增配车辆的驾驶员，新增驾驶员须另外计入人员总数）</w:t>
            </w:r>
          </w:p>
        </w:tc>
        <w:tc>
          <w:tcPr>
            <w:tcW w:w="111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default" w:ascii="宋体" w:hAnsi="宋体" w:eastAsia="宋体" w:cs="宋体"/>
                <w:b/>
                <w:color w:val="auto"/>
                <w:sz w:val="22"/>
                <w:szCs w:val="22"/>
                <w:highlight w:val="yellow"/>
                <w:lang w:val="en-US" w:eastAsia="zh-CN"/>
              </w:rPr>
            </w:pPr>
            <w:r>
              <w:rPr>
                <w:rFonts w:hint="eastAsia" w:ascii="宋体" w:hAnsi="宋体" w:cs="宋体"/>
                <w:b/>
                <w:color w:val="auto"/>
                <w:sz w:val="22"/>
                <w:szCs w:val="22"/>
              </w:rPr>
              <w:t>2</w:t>
            </w:r>
            <w:r>
              <w:rPr>
                <w:rFonts w:hint="eastAsia" w:ascii="宋体" w:hAnsi="宋体" w:cs="宋体"/>
                <w:b/>
                <w:color w:val="auto"/>
                <w:sz w:val="22"/>
                <w:szCs w:val="22"/>
                <w:lang w:val="en-US" w:eastAsia="zh-CN"/>
              </w:rPr>
              <w:t>43</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highlight w:val="yellow"/>
                <w:lang w:eastAsia="zh-CN"/>
              </w:rPr>
            </w:pPr>
            <w:r>
              <w:rPr>
                <w:rFonts w:hint="eastAsia" w:ascii="宋体" w:hAnsi="宋体" w:cs="宋体"/>
                <w:b/>
                <w:color w:val="auto"/>
                <w:sz w:val="22"/>
                <w:szCs w:val="22"/>
              </w:rPr>
              <w:t>24</w:t>
            </w:r>
            <w:r>
              <w:rPr>
                <w:rFonts w:hint="eastAsia" w:ascii="宋体" w:hAnsi="宋体" w:cs="宋体"/>
                <w:b/>
                <w:color w:val="auto"/>
                <w:sz w:val="22"/>
                <w:szCs w:val="22"/>
                <w:lang w:val="en-US" w:eastAsia="zh-CN"/>
              </w:rPr>
              <w:t>3</w:t>
            </w:r>
          </w:p>
        </w:tc>
        <w:tc>
          <w:tcPr>
            <w:tcW w:w="11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jc w:val="center"/>
              <w:textAlignment w:val="bottom"/>
              <w:rPr>
                <w:rFonts w:hint="eastAsia" w:ascii="宋体" w:hAnsi="宋体" w:eastAsia="宋体" w:cs="宋体"/>
                <w:b/>
                <w:color w:val="auto"/>
                <w:sz w:val="22"/>
                <w:szCs w:val="22"/>
                <w:highlight w:val="yellow"/>
                <w:lang w:eastAsia="zh-CN"/>
              </w:rPr>
            </w:pPr>
            <w:r>
              <w:rPr>
                <w:rFonts w:hint="eastAsia" w:ascii="宋体" w:hAnsi="宋体" w:cs="宋体"/>
                <w:b/>
                <w:color w:val="auto"/>
                <w:sz w:val="22"/>
                <w:szCs w:val="22"/>
              </w:rPr>
              <w:t>9</w:t>
            </w:r>
            <w:r>
              <w:rPr>
                <w:rFonts w:hint="eastAsia" w:ascii="宋体" w:hAnsi="宋体" w:cs="宋体"/>
                <w:b/>
                <w:color w:val="auto"/>
                <w:sz w:val="22"/>
                <w:szCs w:val="22"/>
                <w:lang w:val="en-US" w:eastAsia="zh-CN"/>
              </w:rPr>
              <w:t>6</w:t>
            </w:r>
          </w:p>
        </w:tc>
      </w:tr>
      <w:tr>
        <w:tblPrEx>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noWrap w:val="0"/>
            <w:vAlign w:val="top"/>
          </w:tcPr>
          <w:p>
            <w:pPr>
              <w:rPr>
                <w:rFonts w:hint="eastAsia"/>
                <w:lang w:val="en-US" w:eastAsia="zh-CN"/>
              </w:rPr>
            </w:pPr>
            <w:r>
              <w:rPr>
                <w:rFonts w:hint="eastAsia"/>
              </w:rPr>
              <w:t>注：</w:t>
            </w:r>
            <w:r>
              <w:rPr>
                <w:rFonts w:hint="eastAsia"/>
                <w:lang w:val="en-US" w:eastAsia="zh-CN"/>
              </w:rPr>
              <w:t>1、</w:t>
            </w:r>
            <w:r>
              <w:rPr>
                <w:rFonts w:hint="eastAsia"/>
              </w:rPr>
              <w:t>每日保洁时间范围内的20：00前，投入的最少人数不得低于总人数的20%；保洁时间范围内的20:00后，投入的最少人数不得低于总人数的10%。如未按规定投入人数，每发现少1人，扣200元/人次，以此类推，扣完为止。潘岱街道</w:t>
            </w:r>
            <w:r>
              <w:rPr>
                <w:rFonts w:hint="eastAsia"/>
                <w:lang w:val="en-US" w:eastAsia="zh-CN"/>
              </w:rPr>
              <w:t>除外。</w:t>
            </w:r>
          </w:p>
          <w:p>
            <w:pPr>
              <w:pStyle w:val="2"/>
              <w:keepNext w:val="0"/>
              <w:keepLines w:val="0"/>
              <w:pageBreakBefore w:val="0"/>
              <w:widowControl/>
              <w:kinsoku/>
              <w:wordWrap/>
              <w:overflowPunct/>
              <w:topLinePunct w:val="0"/>
              <w:autoSpaceDE/>
              <w:autoSpaceDN/>
              <w:bidi w:val="0"/>
              <w:adjustRightInd/>
              <w:snapToGrid/>
              <w:ind w:left="0" w:leftChars="0"/>
              <w:textAlignment w:val="auto"/>
              <w:rPr>
                <w:rFonts w:hint="default" w:eastAsia="宋体"/>
                <w:lang w:val="en-US" w:eastAsia="zh-CN"/>
              </w:rPr>
            </w:pPr>
            <w:r>
              <w:rPr>
                <w:rFonts w:hint="eastAsia" w:ascii="宋体" w:hAnsi="宋体" w:eastAsia="宋体" w:cs="宋体"/>
                <w:color w:val="auto"/>
                <w:szCs w:val="21"/>
                <w:lang w:val="en-US" w:eastAsia="zh-CN"/>
              </w:rPr>
              <w:t>2、以上表格序号8“机动车驾驶员（含装载机、挖掘机）”已含轻型自卸式垃圾车（无滴漏）驾驶员。在垃圾中转站改造PPP项目改造完成前，本标段轻型自卸式垃圾车（无滴漏）的13名驾驶员可暂不投入，该13名驾驶员转投入统一分类收运工作其他岗位，需保证总服务人数响应招标文件要求。</w:t>
            </w:r>
          </w:p>
        </w:tc>
      </w:tr>
    </w:tbl>
    <w:p>
      <w:pPr>
        <w:numPr>
          <w:ilvl w:val="0"/>
          <w:numId w:val="25"/>
        </w:numPr>
        <w:spacing w:line="360" w:lineRule="auto"/>
        <w:ind w:firstLine="550" w:firstLineChars="249"/>
        <w:rPr>
          <w:rFonts w:hint="eastAsia" w:ascii="宋体" w:hAnsi="宋体" w:cs="宋体"/>
          <w:b/>
          <w:szCs w:val="21"/>
          <w:u w:val="single"/>
        </w:rPr>
      </w:pPr>
      <w:r>
        <w:rPr>
          <w:rFonts w:hint="eastAsia" w:ascii="宋体" w:hAnsi="宋体" w:cs="宋体"/>
          <w:b/>
          <w:sz w:val="22"/>
          <w:u w:val="single"/>
        </w:rPr>
        <w:t>本项目供应商可以采用“新技术”、提高机械化程度的“机械换人”等措施在保证保洁质量的前提下，合理降低成本。鼓励供应商采用“机械换人”的情况下，增加保洁服务时间；道路清扫、清洗、洒水、降尘等保洁措施的频次。</w:t>
      </w:r>
      <w:r>
        <w:rPr>
          <w:rFonts w:hint="eastAsia" w:ascii="宋体" w:hAnsi="宋体" w:cs="宋体"/>
          <w:b/>
          <w:szCs w:val="21"/>
          <w:u w:val="single"/>
        </w:rPr>
        <w:t>为了达到“物尽其用”防止盲目投入，供应商需在技术商务文件附上新配车辆的具体作业方案。</w:t>
      </w:r>
    </w:p>
    <w:p>
      <w:pPr>
        <w:numPr>
          <w:ilvl w:val="0"/>
          <w:numId w:val="25"/>
        </w:numPr>
        <w:spacing w:line="360" w:lineRule="auto"/>
        <w:ind w:firstLine="550" w:firstLineChars="249"/>
        <w:rPr>
          <w:rFonts w:hint="eastAsia" w:ascii="宋体" w:hAnsi="宋体" w:cs="宋体"/>
          <w:b/>
          <w:szCs w:val="21"/>
          <w:u w:val="single"/>
        </w:rPr>
      </w:pPr>
      <w:r>
        <w:rPr>
          <w:rFonts w:hint="eastAsia" w:ascii="宋体" w:hAnsi="宋体" w:cs="宋体"/>
          <w:b/>
          <w:sz w:val="22"/>
          <w:u w:val="single"/>
        </w:rPr>
        <w:t>▲采用“新技术”、“机械换人”等措施降低上表序号1、序号6和序号7服务人员数量的，降低人数不得高于该三个序号要求服务人员之和的5%，其余人员不得降低人数。</w:t>
      </w:r>
    </w:p>
    <w:p>
      <w:pPr>
        <w:numPr>
          <w:ilvl w:val="0"/>
          <w:numId w:val="25"/>
        </w:numPr>
        <w:spacing w:line="360" w:lineRule="auto"/>
        <w:ind w:firstLine="550" w:firstLineChars="249"/>
        <w:rPr>
          <w:rFonts w:hint="eastAsia" w:ascii="宋体" w:hAnsi="宋体" w:cs="宋体"/>
          <w:b/>
          <w:sz w:val="22"/>
          <w:u w:val="single"/>
        </w:rPr>
      </w:pPr>
      <w:r>
        <w:rPr>
          <w:rFonts w:hint="eastAsia" w:ascii="宋体" w:hAnsi="宋体" w:cs="宋体"/>
          <w:b/>
          <w:sz w:val="22"/>
          <w:u w:val="single"/>
        </w:rPr>
        <w:t>▲供应商在“五、玉海街道、锦湖街道、潘岱街道机械车辆、船只要求”基础上，每增加一辆车（含小型作业车辆）的，须增加驾驶员（或操作员）1名。在实际保洁过程质量效果不佳（</w:t>
      </w:r>
      <w:r>
        <w:rPr>
          <w:rFonts w:hint="eastAsia" w:ascii="宋体" w:hAnsi="宋体" w:cs="宋体"/>
          <w:b/>
          <w:sz w:val="22"/>
          <w:szCs w:val="22"/>
          <w:u w:val="single"/>
        </w:rPr>
        <w:t>连续2个月（或全年累计3个月）扣罚总额为月保洁金额的10%（含）以上</w:t>
      </w:r>
      <w:r>
        <w:rPr>
          <w:rFonts w:hint="eastAsia" w:ascii="宋体" w:hAnsi="宋体" w:cs="宋体"/>
          <w:b/>
          <w:sz w:val="22"/>
          <w:u w:val="single"/>
        </w:rPr>
        <w:t>），采购人有权要求供应商按招标文件投入环卫人员配置进行作业，中标价（合同价）不予调整。</w:t>
      </w:r>
    </w:p>
    <w:p>
      <w:pPr>
        <w:numPr>
          <w:ilvl w:val="0"/>
          <w:numId w:val="25"/>
        </w:numPr>
        <w:spacing w:line="360" w:lineRule="auto"/>
        <w:ind w:firstLine="550" w:firstLineChars="249"/>
        <w:rPr>
          <w:rFonts w:hint="eastAsia" w:ascii="宋体" w:hAnsi="宋体" w:cs="宋体"/>
          <w:b/>
          <w:szCs w:val="21"/>
          <w:u w:val="single"/>
        </w:rPr>
      </w:pPr>
      <w:r>
        <w:rPr>
          <w:rFonts w:hint="eastAsia" w:ascii="宋体" w:hAnsi="宋体" w:cs="宋体"/>
          <w:b/>
          <w:sz w:val="22"/>
          <w:u w:val="single"/>
        </w:rPr>
        <w:t>中标后实施保洁过程中，如中标供应商提出机械化替代人工作业方案或优化方案结构（减少作业人数），可达到相当于或优于人工作业的保洁效果，须经采购人同意后方可实施。</w:t>
      </w:r>
    </w:p>
    <w:p>
      <w:pPr>
        <w:numPr>
          <w:ilvl w:val="0"/>
          <w:numId w:val="25"/>
        </w:numPr>
        <w:spacing w:line="360" w:lineRule="auto"/>
        <w:ind w:firstLine="525" w:firstLineChars="249"/>
        <w:rPr>
          <w:rFonts w:hint="eastAsia" w:ascii="宋体" w:hAnsi="宋体" w:cs="宋体"/>
          <w:b/>
          <w:szCs w:val="21"/>
          <w:u w:val="single"/>
        </w:rPr>
      </w:pPr>
      <w:r>
        <w:rPr>
          <w:rFonts w:hint="eastAsia" w:ascii="宋体" w:hAnsi="宋体" w:cs="宋体"/>
          <w:b/>
          <w:szCs w:val="21"/>
          <w:u w:val="single"/>
        </w:rPr>
        <w:t>上表中人员配置为仅为本项目投入的一线现场服务人员，不含项目办公室行政管理人员。为保证工作良性推进，供应商须配备相应管理人员协调管理各项工作开展。</w:t>
      </w:r>
    </w:p>
    <w:p>
      <w:pPr>
        <w:spacing w:line="460" w:lineRule="exact"/>
        <w:ind w:firstLine="413" w:firstLineChars="196"/>
        <w:outlineLvl w:val="1"/>
        <w:rPr>
          <w:rFonts w:hint="eastAsia" w:ascii="宋体" w:hAnsi="宋体" w:cs="宋体"/>
          <w:b/>
          <w:color w:val="auto"/>
          <w:szCs w:val="21"/>
          <w:u w:val="single"/>
        </w:rPr>
      </w:pPr>
      <w:bookmarkStart w:id="213" w:name="_Toc29659"/>
      <w:r>
        <w:rPr>
          <w:rFonts w:hint="eastAsia" w:ascii="宋体" w:hAnsi="宋体" w:cs="宋体"/>
          <w:b/>
          <w:szCs w:val="21"/>
          <w:u w:val="single"/>
        </w:rPr>
        <w:t>五、玉海街道、锦湖街道、潘岱街</w:t>
      </w:r>
      <w:r>
        <w:rPr>
          <w:rFonts w:hint="eastAsia" w:ascii="宋体" w:hAnsi="宋体" w:cs="宋体"/>
          <w:b/>
          <w:color w:val="auto"/>
          <w:szCs w:val="21"/>
          <w:u w:val="single"/>
        </w:rPr>
        <w:t>道机械车辆、船只要求</w:t>
      </w:r>
      <w:bookmarkEnd w:id="213"/>
    </w:p>
    <w:p>
      <w:pPr>
        <w:autoSpaceDE w:val="0"/>
        <w:autoSpaceDN w:val="0"/>
        <w:adjustRightInd w:val="0"/>
        <w:spacing w:line="440" w:lineRule="exact"/>
        <w:ind w:firstLine="417" w:firstLineChars="198"/>
        <w:textAlignment w:val="bottom"/>
        <w:rPr>
          <w:rFonts w:hint="eastAsia" w:ascii="宋体" w:hAnsi="宋体" w:cs="宋体"/>
          <w:b/>
          <w:color w:val="auto"/>
          <w:szCs w:val="21"/>
          <w:u w:val="single"/>
        </w:rPr>
      </w:pPr>
      <w:r>
        <w:rPr>
          <w:rFonts w:hint="eastAsia" w:ascii="宋体" w:hAnsi="宋体" w:cs="宋体"/>
          <w:b/>
          <w:color w:val="auto"/>
          <w:szCs w:val="21"/>
          <w:u w:val="single"/>
        </w:rPr>
        <w:t>（一）▲本项目要求机械车辆、船只投入的最低数量要求，车辆持有形式可以自有已上牌</w:t>
      </w:r>
      <w:r>
        <w:rPr>
          <w:rFonts w:hint="eastAsia" w:ascii="宋体" w:hAnsi="宋体" w:cs="宋体"/>
          <w:color w:val="auto"/>
          <w:u w:val="single"/>
        </w:rPr>
        <w:t>(指投标供应商自行购置，包括分公司</w:t>
      </w:r>
      <w:r>
        <w:rPr>
          <w:rFonts w:hint="eastAsia" w:ascii="宋体" w:hAnsi="宋体" w:eastAsia="宋体" w:cs="宋体"/>
          <w:color w:val="auto"/>
          <w:u w:val="single"/>
        </w:rPr>
        <w:t>或全资子公司购</w:t>
      </w:r>
      <w:r>
        <w:rPr>
          <w:rFonts w:hint="eastAsia" w:ascii="宋体" w:hAnsi="宋体" w:cs="宋体"/>
          <w:color w:val="auto"/>
          <w:u w:val="single"/>
        </w:rPr>
        <w:t>置)</w:t>
      </w:r>
      <w:r>
        <w:rPr>
          <w:rFonts w:hint="eastAsia" w:ascii="宋体" w:hAnsi="宋体" w:cs="宋体"/>
          <w:b/>
          <w:color w:val="auto"/>
          <w:szCs w:val="21"/>
          <w:u w:val="single"/>
        </w:rPr>
        <w:t>或现已租赁或承诺中标后购买或承诺中标后租赁。</w:t>
      </w:r>
    </w:p>
    <w:tbl>
      <w:tblPr>
        <w:tblStyle w:val="29"/>
        <w:tblW w:w="51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191"/>
        <w:gridCol w:w="2111"/>
        <w:gridCol w:w="2017"/>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u w:val="single"/>
              </w:rPr>
            </w:pPr>
            <w:r>
              <w:rPr>
                <w:rFonts w:hint="eastAsia" w:ascii="宋体" w:hAnsi="宋体" w:cs="宋体"/>
                <w:b/>
                <w:color w:val="auto"/>
                <w:sz w:val="22"/>
                <w:u w:val="single"/>
              </w:rPr>
              <w:t>序号</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u w:val="single"/>
              </w:rPr>
            </w:pPr>
            <w:r>
              <w:rPr>
                <w:rFonts w:hint="eastAsia" w:ascii="宋体" w:hAnsi="宋体" w:cs="宋体"/>
                <w:b/>
                <w:color w:val="auto"/>
                <w:sz w:val="22"/>
                <w:u w:val="single"/>
              </w:rPr>
              <w:t>品种</w:t>
            </w:r>
          </w:p>
        </w:tc>
        <w:tc>
          <w:tcPr>
            <w:tcW w:w="1040" w:type="pct"/>
            <w:noWrap w:val="0"/>
            <w:vAlign w:val="top"/>
          </w:tcPr>
          <w:p>
            <w:pPr>
              <w:autoSpaceDE w:val="0"/>
              <w:autoSpaceDN w:val="0"/>
              <w:adjustRightInd w:val="0"/>
              <w:jc w:val="center"/>
              <w:textAlignment w:val="bottom"/>
              <w:rPr>
                <w:rFonts w:hint="eastAsia" w:ascii="宋体" w:hAnsi="宋体" w:cs="宋体"/>
                <w:b/>
                <w:color w:val="auto"/>
                <w:sz w:val="22"/>
                <w:u w:val="single"/>
              </w:rPr>
            </w:pPr>
            <w:r>
              <w:rPr>
                <w:rFonts w:hint="eastAsia" w:ascii="宋体" w:hAnsi="宋体" w:cs="宋体"/>
                <w:b/>
                <w:color w:val="auto"/>
                <w:sz w:val="20"/>
              </w:rPr>
              <w:t>玉海街道投入数量（辆）</w:t>
            </w:r>
          </w:p>
        </w:tc>
        <w:tc>
          <w:tcPr>
            <w:tcW w:w="994" w:type="pct"/>
            <w:noWrap w:val="0"/>
            <w:vAlign w:val="top"/>
          </w:tcPr>
          <w:p>
            <w:pPr>
              <w:autoSpaceDE w:val="0"/>
              <w:autoSpaceDN w:val="0"/>
              <w:adjustRightInd w:val="0"/>
              <w:jc w:val="center"/>
              <w:textAlignment w:val="bottom"/>
              <w:rPr>
                <w:rFonts w:hint="eastAsia" w:ascii="宋体" w:hAnsi="宋体" w:cs="宋体"/>
                <w:b/>
                <w:color w:val="auto"/>
                <w:sz w:val="22"/>
                <w:u w:val="single"/>
              </w:rPr>
            </w:pPr>
            <w:r>
              <w:rPr>
                <w:rFonts w:hint="eastAsia" w:ascii="宋体" w:hAnsi="宋体" w:cs="宋体"/>
                <w:b/>
                <w:color w:val="auto"/>
                <w:sz w:val="20"/>
              </w:rPr>
              <w:t>锦湖街道投入数量（辆）</w:t>
            </w:r>
          </w:p>
        </w:tc>
        <w:tc>
          <w:tcPr>
            <w:tcW w:w="1023" w:type="pct"/>
            <w:noWrap w:val="0"/>
            <w:vAlign w:val="top"/>
          </w:tcPr>
          <w:p>
            <w:pPr>
              <w:autoSpaceDE w:val="0"/>
              <w:autoSpaceDN w:val="0"/>
              <w:adjustRightInd w:val="0"/>
              <w:jc w:val="center"/>
              <w:textAlignment w:val="bottom"/>
              <w:rPr>
                <w:rFonts w:hint="eastAsia" w:ascii="宋体" w:hAnsi="宋体" w:cs="宋体"/>
                <w:b/>
                <w:color w:val="auto"/>
                <w:sz w:val="22"/>
                <w:u w:val="single"/>
              </w:rPr>
            </w:pPr>
            <w:r>
              <w:rPr>
                <w:rFonts w:hint="eastAsia" w:ascii="宋体" w:hAnsi="宋体" w:cs="宋体"/>
                <w:b/>
                <w:color w:val="auto"/>
                <w:sz w:val="20"/>
              </w:rPr>
              <w:t>潘岱街道投入数量（辆）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 xml:space="preserve">重型洗扫一体车 </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2017" w:type="pct"/>
            <w:gridSpan w:val="2"/>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2</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中型或中型以上洗扫一体车</w:t>
            </w:r>
          </w:p>
        </w:tc>
        <w:tc>
          <w:tcPr>
            <w:tcW w:w="2034" w:type="pct"/>
            <w:gridSpan w:val="2"/>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3</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重型高压冲洗车</w:t>
            </w:r>
          </w:p>
        </w:tc>
        <w:tc>
          <w:tcPr>
            <w:tcW w:w="3058" w:type="pct"/>
            <w:gridSpan w:val="3"/>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4</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重型多功能抑尘车</w:t>
            </w:r>
          </w:p>
        </w:tc>
        <w:tc>
          <w:tcPr>
            <w:tcW w:w="3058" w:type="pct"/>
            <w:gridSpan w:val="3"/>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5</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中型或中型以上洒水车</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6</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建筑垃圾运输（轻型或轻型以上自卸）车</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7</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 xml:space="preserve">重型压缩式垃圾车（无滴漏） </w:t>
            </w:r>
          </w:p>
        </w:tc>
        <w:tc>
          <w:tcPr>
            <w:tcW w:w="3058" w:type="pct"/>
            <w:gridSpan w:val="3"/>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8</w:t>
            </w:r>
          </w:p>
        </w:tc>
        <w:tc>
          <w:tcPr>
            <w:tcW w:w="1572"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中型二分类（易腐、其他）垃圾运输车</w:t>
            </w:r>
          </w:p>
        </w:tc>
        <w:tc>
          <w:tcPr>
            <w:tcW w:w="1040" w:type="pct"/>
            <w:noWrap w:val="0"/>
            <w:vAlign w:val="top"/>
          </w:tcPr>
          <w:p>
            <w:pPr>
              <w:autoSpaceDE w:val="0"/>
              <w:autoSpaceDN w:val="0"/>
              <w:adjustRightInd w:val="0"/>
              <w:spacing w:line="440" w:lineRule="exact"/>
              <w:jc w:val="center"/>
              <w:textAlignment w:val="bottom"/>
              <w:rPr>
                <w:rFonts w:ascii="宋体" w:hAnsi="宋体" w:cs="宋体"/>
                <w:b/>
                <w:color w:val="auto"/>
                <w:sz w:val="22"/>
              </w:rPr>
            </w:pPr>
            <w:r>
              <w:rPr>
                <w:rFonts w:hint="eastAsia" w:ascii="宋体" w:hAnsi="宋体" w:cs="宋体"/>
                <w:b/>
                <w:color w:val="auto"/>
                <w:sz w:val="22"/>
              </w:rPr>
              <w:t>1</w:t>
            </w:r>
          </w:p>
        </w:tc>
        <w:tc>
          <w:tcPr>
            <w:tcW w:w="994" w:type="pct"/>
            <w:noWrap w:val="0"/>
            <w:vAlign w:val="top"/>
          </w:tcPr>
          <w:p>
            <w:pPr>
              <w:autoSpaceDE w:val="0"/>
              <w:autoSpaceDN w:val="0"/>
              <w:adjustRightInd w:val="0"/>
              <w:spacing w:line="440" w:lineRule="exact"/>
              <w:jc w:val="center"/>
              <w:textAlignment w:val="bottom"/>
              <w:rPr>
                <w:rFonts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ascii="宋体" w:hAnsi="宋体" w:cs="宋体"/>
                <w:b/>
                <w:color w:val="auto"/>
                <w:sz w:val="22"/>
              </w:rPr>
            </w:pPr>
            <w:r>
              <w:rPr>
                <w:rFonts w:hint="eastAsia" w:ascii="宋体" w:hAnsi="宋体" w:cs="宋体"/>
                <w:b/>
                <w:color w:val="auto"/>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9</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中型压缩式垃圾车（无滴漏）</w:t>
            </w:r>
          </w:p>
        </w:tc>
        <w:tc>
          <w:tcPr>
            <w:tcW w:w="2034" w:type="pct"/>
            <w:gridSpan w:val="2"/>
            <w:noWrap w:val="0"/>
            <w:vAlign w:val="top"/>
          </w:tcPr>
          <w:p>
            <w:pPr>
              <w:autoSpaceDE w:val="0"/>
              <w:autoSpaceDN w:val="0"/>
              <w:adjustRightInd w:val="0"/>
              <w:spacing w:line="440" w:lineRule="exact"/>
              <w:jc w:val="center"/>
              <w:textAlignment w:val="bottom"/>
              <w:rPr>
                <w:rFonts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10</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轻型自卸式垃圾车（无滴漏）</w:t>
            </w:r>
          </w:p>
        </w:tc>
        <w:tc>
          <w:tcPr>
            <w:tcW w:w="1040" w:type="pct"/>
            <w:noWrap w:val="0"/>
            <w:vAlign w:val="top"/>
          </w:tcPr>
          <w:p>
            <w:pPr>
              <w:autoSpaceDE w:val="0"/>
              <w:autoSpaceDN w:val="0"/>
              <w:adjustRightInd w:val="0"/>
              <w:spacing w:line="440" w:lineRule="exact"/>
              <w:jc w:val="center"/>
              <w:textAlignment w:val="bottom"/>
              <w:rPr>
                <w:rFonts w:hint="eastAsia" w:ascii="宋体" w:hAnsi="宋体" w:eastAsia="宋体" w:cs="宋体"/>
                <w:b/>
                <w:color w:val="auto"/>
                <w:sz w:val="22"/>
                <w:lang w:eastAsia="zh-CN"/>
              </w:rPr>
            </w:pPr>
            <w:r>
              <w:rPr>
                <w:rFonts w:hint="eastAsia" w:ascii="宋体" w:hAnsi="宋体" w:cs="宋体"/>
                <w:b/>
                <w:color w:val="auto"/>
                <w:sz w:val="22"/>
                <w:highlight w:val="none"/>
                <w:lang w:val="en-US" w:eastAsia="zh-CN"/>
              </w:rPr>
              <w:t>6</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5</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11</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装载机（轮式铲车）</w:t>
            </w:r>
          </w:p>
        </w:tc>
        <w:tc>
          <w:tcPr>
            <w:tcW w:w="2034" w:type="pct"/>
            <w:gridSpan w:val="2"/>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12</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bCs/>
                <w:color w:val="auto"/>
                <w:sz w:val="22"/>
              </w:rPr>
              <w:t>轮式挖掘机</w:t>
            </w:r>
          </w:p>
        </w:tc>
        <w:tc>
          <w:tcPr>
            <w:tcW w:w="3058" w:type="pct"/>
            <w:gridSpan w:val="3"/>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13</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机动船</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5</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14</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充气船或木船等非机动船</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15</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小型冲洗车</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12</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12</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16</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小型高温高压冲洗车（油污清洗车）</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c>
          <w:tcPr>
            <w:tcW w:w="2017" w:type="pct"/>
            <w:gridSpan w:val="2"/>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17</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color w:val="auto"/>
                <w:sz w:val="22"/>
              </w:rPr>
              <w:t>小型多功能清扫车</w:t>
            </w:r>
          </w:p>
        </w:tc>
        <w:tc>
          <w:tcPr>
            <w:tcW w:w="1040" w:type="pct"/>
            <w:noWrap w:val="0"/>
            <w:vAlign w:val="top"/>
          </w:tcPr>
          <w:p>
            <w:pPr>
              <w:autoSpaceDE w:val="0"/>
              <w:autoSpaceDN w:val="0"/>
              <w:adjustRightInd w:val="0"/>
              <w:spacing w:line="440" w:lineRule="exact"/>
              <w:jc w:val="center"/>
              <w:textAlignment w:val="bottom"/>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val="en-US" w:eastAsia="zh-CN"/>
              </w:rPr>
              <w:t>3</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3</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18</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垃圾分类上门收集车（四分类）</w:t>
            </w:r>
          </w:p>
        </w:tc>
        <w:tc>
          <w:tcPr>
            <w:tcW w:w="1040"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highlight w:val="none"/>
              </w:rPr>
            </w:pPr>
            <w:r>
              <w:rPr>
                <w:rFonts w:hint="eastAsia" w:ascii="宋体" w:hAnsi="宋体" w:cs="宋体"/>
                <w:b/>
                <w:color w:val="auto"/>
                <w:sz w:val="22"/>
                <w:szCs w:val="22"/>
                <w:highlight w:val="none"/>
              </w:rPr>
              <w:t>3</w:t>
            </w:r>
          </w:p>
        </w:tc>
        <w:tc>
          <w:tcPr>
            <w:tcW w:w="994"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3</w:t>
            </w:r>
          </w:p>
        </w:tc>
        <w:tc>
          <w:tcPr>
            <w:tcW w:w="1023" w:type="pct"/>
            <w:noWrap w:val="0"/>
            <w:vAlign w:val="top"/>
          </w:tcPr>
          <w:p>
            <w:pPr>
              <w:autoSpaceDE w:val="0"/>
              <w:autoSpaceDN w:val="0"/>
              <w:adjustRightInd w:val="0"/>
              <w:spacing w:line="440" w:lineRule="exact"/>
              <w:jc w:val="center"/>
              <w:textAlignment w:val="bottom"/>
              <w:rPr>
                <w:rFonts w:hint="eastAsia" w:ascii="宋体" w:hAnsi="宋体" w:cs="宋体"/>
                <w:b/>
                <w:color w:val="auto"/>
                <w:sz w:val="22"/>
                <w:szCs w:val="22"/>
              </w:rPr>
            </w:pPr>
            <w:r>
              <w:rPr>
                <w:rFonts w:hint="eastAsia" w:ascii="宋体" w:hAnsi="宋体" w:cs="宋体"/>
                <w:b/>
                <w:color w:val="auto"/>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19</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有害垃圾运输车</w:t>
            </w:r>
          </w:p>
        </w:tc>
        <w:tc>
          <w:tcPr>
            <w:tcW w:w="3058" w:type="pct"/>
            <w:gridSpan w:val="3"/>
            <w:noWrap w:val="0"/>
            <w:vAlign w:val="top"/>
          </w:tcPr>
          <w:p>
            <w:pPr>
              <w:autoSpaceDE w:val="0"/>
              <w:autoSpaceDN w:val="0"/>
              <w:adjustRightInd w:val="0"/>
              <w:spacing w:line="440" w:lineRule="exact"/>
              <w:jc w:val="center"/>
              <w:textAlignment w:val="bottom"/>
              <w:rPr>
                <w:rFonts w:hint="eastAsia" w:ascii="宋体" w:hAnsi="宋体" w:cs="宋体"/>
                <w:b/>
                <w:color w:val="auto"/>
                <w:sz w:val="22"/>
              </w:rPr>
            </w:pPr>
            <w:r>
              <w:rPr>
                <w:rFonts w:hint="eastAsia" w:ascii="宋体" w:hAnsi="宋体" w:cs="宋体"/>
                <w:b/>
                <w:color w:val="auto"/>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ascii="宋体" w:hAnsi="宋体" w:cs="宋体"/>
                <w:b/>
                <w:color w:val="auto"/>
                <w:sz w:val="22"/>
              </w:rPr>
            </w:pPr>
            <w:r>
              <w:rPr>
                <w:rFonts w:hint="eastAsia" w:ascii="宋体" w:hAnsi="宋体" w:cs="宋体"/>
                <w:b/>
                <w:color w:val="auto"/>
                <w:sz w:val="22"/>
              </w:rPr>
              <w:t>20</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城市家具保洁设备</w:t>
            </w:r>
          </w:p>
        </w:tc>
        <w:tc>
          <w:tcPr>
            <w:tcW w:w="1040"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994"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1023"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21</w:t>
            </w:r>
          </w:p>
        </w:tc>
        <w:tc>
          <w:tcPr>
            <w:tcW w:w="1572"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bCs/>
                <w:color w:val="auto"/>
                <w:sz w:val="22"/>
              </w:rPr>
              <w:t>垃圾桶自装卸式垃圾运输车</w:t>
            </w:r>
          </w:p>
        </w:tc>
        <w:tc>
          <w:tcPr>
            <w:tcW w:w="1040"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994"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1023"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noWrap w:val="0"/>
            <w:vAlign w:val="top"/>
          </w:tcPr>
          <w:p>
            <w:pPr>
              <w:autoSpaceDE w:val="0"/>
              <w:autoSpaceDN w:val="0"/>
              <w:adjustRightInd w:val="0"/>
              <w:spacing w:line="440" w:lineRule="exact"/>
              <w:textAlignment w:val="bottom"/>
              <w:rPr>
                <w:rFonts w:hint="eastAsia" w:ascii="宋体" w:hAnsi="宋体" w:cs="宋体"/>
                <w:b/>
                <w:color w:val="auto"/>
                <w:sz w:val="22"/>
              </w:rPr>
            </w:pPr>
            <w:r>
              <w:rPr>
                <w:rFonts w:hint="eastAsia" w:ascii="宋体" w:hAnsi="宋体" w:cs="宋体"/>
                <w:b/>
                <w:color w:val="auto"/>
                <w:sz w:val="22"/>
              </w:rPr>
              <w:t>22</w:t>
            </w:r>
          </w:p>
        </w:tc>
        <w:tc>
          <w:tcPr>
            <w:tcW w:w="1572" w:type="pct"/>
            <w:noWrap w:val="0"/>
            <w:vAlign w:val="center"/>
          </w:tcPr>
          <w:p>
            <w:pPr>
              <w:autoSpaceDE w:val="0"/>
              <w:autoSpaceDN w:val="0"/>
              <w:adjustRightInd w:val="0"/>
              <w:jc w:val="both"/>
              <w:textAlignment w:val="bottom"/>
              <w:rPr>
                <w:rFonts w:hint="eastAsia" w:ascii="宋体" w:hAnsi="宋体" w:cs="宋体"/>
                <w:b/>
                <w:color w:val="auto"/>
                <w:sz w:val="22"/>
              </w:rPr>
            </w:pPr>
            <w:r>
              <w:rPr>
                <w:rFonts w:hint="eastAsia" w:ascii="宋体" w:hAnsi="宋体" w:cs="宋体"/>
                <w:b/>
                <w:color w:val="auto"/>
                <w:sz w:val="22"/>
              </w:rPr>
              <w:t>人员清扫保洁车（密闭式）</w:t>
            </w:r>
          </w:p>
        </w:tc>
        <w:tc>
          <w:tcPr>
            <w:tcW w:w="1040"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994"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c>
          <w:tcPr>
            <w:tcW w:w="1023" w:type="pct"/>
            <w:noWrap w:val="0"/>
            <w:vAlign w:val="top"/>
          </w:tcPr>
          <w:p>
            <w:pPr>
              <w:autoSpaceDE w:val="0"/>
              <w:autoSpaceDN w:val="0"/>
              <w:adjustRightInd w:val="0"/>
              <w:jc w:val="center"/>
              <w:textAlignment w:val="bottom"/>
              <w:rPr>
                <w:rFonts w:hint="eastAsia" w:ascii="宋体" w:hAnsi="宋体" w:cs="宋体"/>
                <w:b/>
                <w:color w:val="auto"/>
                <w:sz w:val="22"/>
              </w:rPr>
            </w:pPr>
            <w:r>
              <w:rPr>
                <w:rFonts w:hint="eastAsia" w:ascii="宋体" w:hAnsi="宋体" w:cs="宋体"/>
                <w:b/>
                <w:color w:val="auto"/>
                <w:sz w:val="22"/>
              </w:rPr>
              <w:t>供应商根据项目需要自行配置若干</w:t>
            </w:r>
          </w:p>
        </w:tc>
      </w:tr>
    </w:tbl>
    <w:p>
      <w:pPr>
        <w:autoSpaceDE w:val="0"/>
        <w:autoSpaceDN w:val="0"/>
        <w:adjustRightInd w:val="0"/>
        <w:spacing w:line="440" w:lineRule="exact"/>
        <w:ind w:firstLine="420" w:firstLineChars="200"/>
        <w:textAlignment w:val="bottom"/>
        <w:rPr>
          <w:rFonts w:hint="eastAsia" w:ascii="宋体" w:hAnsi="宋体" w:cs="宋体"/>
          <w:b/>
          <w:bCs w:val="0"/>
          <w:color w:val="auto"/>
          <w:szCs w:val="21"/>
        </w:rPr>
      </w:pPr>
      <w:r>
        <w:rPr>
          <w:rFonts w:hint="eastAsia" w:ascii="宋体" w:hAnsi="宋体" w:cs="宋体"/>
          <w:color w:val="auto"/>
          <w:szCs w:val="21"/>
        </w:rPr>
        <w:t>注：1、</w:t>
      </w:r>
      <w:r>
        <w:rPr>
          <w:rFonts w:hint="eastAsia" w:ascii="宋体" w:hAnsi="宋体" w:cs="宋体"/>
          <w:b/>
          <w:bCs w:val="0"/>
          <w:color w:val="auto"/>
          <w:szCs w:val="21"/>
          <w:highlight w:val="none"/>
        </w:rPr>
        <w:t>考虑到本市垃圾中转站改造PPP项目尚未完成，故允许本表序号10的轻型自卸式垃圾车（无滴漏）在市区中转站改造完毕之前采用承诺方式，期间的统一分类收运工作投入设备种类、数量等情况由供应商根据需求自行配置，不允许出现滴撒漏和清运不及时的情况发生。待中转站改造完毕之后，10天内（以采购人通知为准）须将承诺车辆配备到位。供应商应充分考虑其报价风险。</w:t>
      </w:r>
    </w:p>
    <w:p>
      <w:pPr>
        <w:numPr>
          <w:ilvl w:val="0"/>
          <w:numId w:val="6"/>
        </w:numPr>
        <w:autoSpaceDE w:val="0"/>
        <w:autoSpaceDN w:val="0"/>
        <w:adjustRightInd w:val="0"/>
        <w:spacing w:line="440" w:lineRule="exact"/>
        <w:textAlignment w:val="bottom"/>
        <w:rPr>
          <w:rFonts w:hint="eastAsia" w:ascii="宋体" w:hAnsi="宋体" w:cs="宋体"/>
          <w:szCs w:val="21"/>
        </w:rPr>
      </w:pPr>
      <w:r>
        <w:rPr>
          <w:rFonts w:hint="eastAsia" w:ascii="宋体" w:hAnsi="宋体" w:cs="宋体"/>
          <w:szCs w:val="21"/>
        </w:rPr>
        <w:t>河道保洁因河道不通等相关因素，需要增加船只配置的，供应商自行增配，费用包含在投标总价中。</w:t>
      </w:r>
    </w:p>
    <w:p>
      <w:pPr>
        <w:numPr>
          <w:ilvl w:val="0"/>
          <w:numId w:val="6"/>
        </w:numPr>
        <w:autoSpaceDE w:val="0"/>
        <w:autoSpaceDN w:val="0"/>
        <w:adjustRightInd w:val="0"/>
        <w:spacing w:line="440" w:lineRule="exact"/>
        <w:textAlignment w:val="bottom"/>
        <w:rPr>
          <w:rFonts w:hint="eastAsia"/>
        </w:rPr>
      </w:pPr>
      <w:r>
        <w:rPr>
          <w:rFonts w:hint="eastAsia" w:ascii="宋体" w:hAnsi="宋体" w:cs="宋体"/>
          <w:szCs w:val="21"/>
        </w:rPr>
        <w:t>配置重型洗扫一体车中至少要有1辆具备公路护栏专用清洗功能，以满足公路护栏保洁要求。</w:t>
      </w:r>
    </w:p>
    <w:p>
      <w:pPr>
        <w:pStyle w:val="2"/>
        <w:numPr>
          <w:ilvl w:val="0"/>
          <w:numId w:val="6"/>
        </w:numPr>
        <w:ind w:left="0" w:leftChars="0"/>
        <w:rPr>
          <w:rFonts w:hint="eastAsia"/>
        </w:rPr>
      </w:pPr>
      <w:r>
        <w:rPr>
          <w:rFonts w:hint="eastAsia"/>
        </w:rPr>
        <w:t>三轮、四轮垃圾桶垃圾运输车（自装卸）如不能满足垃圾清运要求的，采购人可以要求中标供应商免费增加三轮、四轮垃圾桶垃圾运输车（自装卸）数量，供应商不得以任何理由拖延或拒绝，费用不做调整。</w:t>
      </w:r>
    </w:p>
    <w:p>
      <w:pPr>
        <w:pStyle w:val="2"/>
        <w:numPr>
          <w:ilvl w:val="0"/>
          <w:numId w:val="6"/>
        </w:numPr>
        <w:ind w:left="0" w:leftChars="0"/>
        <w:rPr>
          <w:rFonts w:hint="eastAsia"/>
        </w:rPr>
      </w:pPr>
      <w:r>
        <w:rPr>
          <w:rFonts w:hint="eastAsia"/>
        </w:rPr>
        <w:t>▲所有具备行驶证的机动车，其行驶证上注明的车辆类型须与上表注明的车辆类型相同，上表中注明轻/中/重或中/重的仅须满足其中一种类型即可。</w:t>
      </w:r>
    </w:p>
    <w:p>
      <w:pPr>
        <w:pStyle w:val="2"/>
        <w:numPr>
          <w:ilvl w:val="0"/>
          <w:numId w:val="6"/>
        </w:numPr>
        <w:ind w:left="0" w:leftChars="0"/>
        <w:rPr>
          <w:rFonts w:hint="eastAsia"/>
        </w:rPr>
      </w:pPr>
      <w:r>
        <w:rPr>
          <w:rFonts w:hint="eastAsia"/>
        </w:rPr>
        <w:t>▲本表设备、船只、车辆必须按招标文件要求的数量、时间进场。如不能按时，按数量，按规格进场，采购人可以无任何责任取消供应商中标资格及中标合同，中标单位还需赔偿采购人一切损失，并没收全部履约保证金。</w:t>
      </w:r>
    </w:p>
    <w:p>
      <w:pPr>
        <w:autoSpaceDE w:val="0"/>
        <w:autoSpaceDN w:val="0"/>
        <w:adjustRightInd w:val="0"/>
        <w:spacing w:line="440" w:lineRule="exact"/>
        <w:ind w:left="525" w:leftChars="250"/>
        <w:textAlignment w:val="bottom"/>
        <w:rPr>
          <w:rFonts w:hint="eastAsia" w:ascii="宋体" w:hAnsi="宋体" w:cs="宋体"/>
          <w:b/>
          <w:szCs w:val="21"/>
          <w:u w:val="single"/>
        </w:rPr>
      </w:pPr>
      <w:r>
        <w:rPr>
          <w:rFonts w:hint="eastAsia" w:ascii="宋体" w:hAnsi="宋体" w:cs="宋体"/>
          <w:b/>
          <w:szCs w:val="21"/>
          <w:u w:val="single"/>
        </w:rPr>
        <w:t>（二）中标后如经采购人同意，中标供应商可以用优于投标车辆品牌、参数的车辆以新换旧、以优换次来替代投标承诺投入本项目的车辆，但最终投入进场的车辆须专车专用，只用于本项目，未经采购人同意不得自行变更或另用他处。</w:t>
      </w:r>
    </w:p>
    <w:p>
      <w:pPr>
        <w:autoSpaceDE w:val="0"/>
        <w:autoSpaceDN w:val="0"/>
        <w:adjustRightInd w:val="0"/>
        <w:spacing w:line="440" w:lineRule="exact"/>
        <w:ind w:firstLine="420" w:firstLineChars="200"/>
        <w:textAlignment w:val="bottom"/>
        <w:rPr>
          <w:rFonts w:hint="eastAsia" w:ascii="宋体" w:hAnsi="宋体" w:cs="宋体"/>
          <w:b/>
          <w:szCs w:val="21"/>
          <w:u w:val="single"/>
        </w:rPr>
      </w:pPr>
      <w:r>
        <w:rPr>
          <w:rFonts w:hint="eastAsia" w:ascii="宋体" w:hAnsi="宋体" w:cs="宋体"/>
          <w:szCs w:val="21"/>
        </w:rPr>
        <w:t>（三）</w:t>
      </w:r>
      <w:r>
        <w:rPr>
          <w:rFonts w:hint="eastAsia" w:ascii="宋体" w:hAnsi="宋体" w:cs="宋体"/>
          <w:b/>
          <w:szCs w:val="21"/>
          <w:u w:val="single"/>
        </w:rPr>
        <w:t>▲本项目投入的环卫作业车辆符合国家相关规定允许的上路要求，非法改装车不得参与本项目投标及中标使用。</w:t>
      </w:r>
    </w:p>
    <w:p>
      <w:pPr>
        <w:autoSpaceDE w:val="0"/>
        <w:autoSpaceDN w:val="0"/>
        <w:adjustRightInd w:val="0"/>
        <w:spacing w:line="440" w:lineRule="exact"/>
        <w:ind w:firstLine="422" w:firstLineChars="200"/>
        <w:textAlignment w:val="bottom"/>
        <w:rPr>
          <w:rFonts w:hint="eastAsia" w:ascii="宋体" w:hAnsi="宋体" w:cs="宋体"/>
          <w:b/>
          <w:szCs w:val="21"/>
          <w:u w:val="single"/>
        </w:rPr>
      </w:pPr>
      <w:r>
        <w:rPr>
          <w:rFonts w:hint="eastAsia" w:ascii="宋体" w:hAnsi="宋体" w:cs="宋体"/>
          <w:b/>
          <w:szCs w:val="21"/>
          <w:u w:val="single"/>
        </w:rPr>
        <w:t>（四）▲所有机动车必须按“服务人员、车辆接入平台设备参考配置表”要求安装全球卫星定位系统（GPS）、视屏监控系统等，所有配置接入《瑞安市环卫智慧监管平台》，上路作业时，必须打开全球卫星定位系统（GPS）和警示灯或发送警示信号；作业时要遵守道路交通安全法规，礼让行车，注意行人的安全。</w:t>
      </w:r>
    </w:p>
    <w:p>
      <w:pPr>
        <w:autoSpaceDE w:val="0"/>
        <w:autoSpaceDN w:val="0"/>
        <w:adjustRightInd w:val="0"/>
        <w:spacing w:line="440" w:lineRule="exact"/>
        <w:ind w:firstLine="422" w:firstLineChars="200"/>
        <w:textAlignment w:val="bottom"/>
        <w:rPr>
          <w:rFonts w:hint="eastAsia" w:ascii="宋体" w:hAnsi="宋体" w:cs="宋体"/>
          <w:b/>
          <w:szCs w:val="21"/>
          <w:u w:val="single"/>
        </w:rPr>
      </w:pPr>
      <w:r>
        <w:rPr>
          <w:rFonts w:hint="eastAsia" w:ascii="宋体" w:hAnsi="宋体" w:cs="宋体"/>
          <w:b/>
          <w:szCs w:val="21"/>
          <w:u w:val="single"/>
        </w:rPr>
        <w:t>（五）本项目要求中标供应商须具有规范的停车场地，作业车辆统一停放。场地内具有洗车洗轮装备，作业完毕后车辆及时清洗干净入库。</w:t>
      </w:r>
    </w:p>
    <w:p>
      <w:pPr>
        <w:autoSpaceDE w:val="0"/>
        <w:autoSpaceDN w:val="0"/>
        <w:adjustRightInd w:val="0"/>
        <w:spacing w:line="440" w:lineRule="exact"/>
        <w:ind w:firstLine="422" w:firstLineChars="200"/>
        <w:textAlignment w:val="bottom"/>
        <w:rPr>
          <w:rFonts w:hint="eastAsia" w:ascii="宋体" w:hAnsi="宋体" w:cs="宋体"/>
          <w:b/>
          <w:szCs w:val="21"/>
        </w:rPr>
      </w:pPr>
      <w:r>
        <w:rPr>
          <w:rFonts w:hint="eastAsia" w:ascii="宋体" w:hAnsi="宋体" w:cs="宋体"/>
          <w:b/>
          <w:szCs w:val="21"/>
        </w:rPr>
        <w:t>（六）所有机动车（含小型冲洗车、清扫保洁电动车）、船只须整洁干净，同一种类车辆颜色标识统一，车身明显处具有中标供应商名称标识及设备编号。机动车、小型冲洗电动车、清扫保洁电动车、船只不得出现吊挂杂物或垃圾袋等影响市容市貌、城市形象的情形。</w:t>
      </w:r>
    </w:p>
    <w:p>
      <w:pPr>
        <w:autoSpaceDE w:val="0"/>
        <w:autoSpaceDN w:val="0"/>
        <w:adjustRightInd w:val="0"/>
        <w:spacing w:line="440" w:lineRule="exact"/>
        <w:ind w:firstLine="422" w:firstLineChars="200"/>
        <w:textAlignment w:val="bottom"/>
        <w:rPr>
          <w:rFonts w:hint="eastAsia" w:ascii="宋体" w:hAnsi="宋体" w:cs="宋体"/>
          <w:b/>
          <w:szCs w:val="21"/>
        </w:rPr>
      </w:pPr>
      <w:r>
        <w:rPr>
          <w:rFonts w:hint="eastAsia" w:ascii="宋体" w:hAnsi="宋体" w:cs="宋体"/>
          <w:b/>
          <w:szCs w:val="21"/>
        </w:rPr>
        <w:t>（七）所投标机械车辆，须根据投标文件在领取中标通知书7日内向采购人报备。制定机械作业方案报备采购人审定，并严格按照采购人确认的范围、路线、时间进行作业，不得随意变更。</w:t>
      </w:r>
    </w:p>
    <w:p>
      <w:pPr>
        <w:autoSpaceDE w:val="0"/>
        <w:autoSpaceDN w:val="0"/>
        <w:adjustRightInd w:val="0"/>
        <w:spacing w:line="440" w:lineRule="exact"/>
        <w:ind w:firstLine="420" w:firstLineChars="200"/>
        <w:textAlignment w:val="bottom"/>
        <w:rPr>
          <w:rFonts w:hint="eastAsia" w:ascii="宋体" w:hAnsi="宋体" w:cs="宋体"/>
          <w:szCs w:val="21"/>
          <w:shd w:val="pct10" w:color="auto" w:fill="FFFFFF"/>
        </w:rPr>
      </w:pPr>
      <w:r>
        <w:rPr>
          <w:rFonts w:hint="eastAsia" w:ascii="宋体" w:hAnsi="宋体" w:cs="宋体"/>
          <w:szCs w:val="21"/>
        </w:rPr>
        <w:t>（八）本项目车辆配置为最低要求，供应商须根据项目实际需要，自行增配相关机械车辆、船只，以达到环境卫生质量要求，增配机械、车辆、船只所有费用须包含在投标价格中。</w:t>
      </w:r>
    </w:p>
    <w:p>
      <w:pPr>
        <w:autoSpaceDE w:val="0"/>
        <w:autoSpaceDN w:val="0"/>
        <w:adjustRightInd w:val="0"/>
        <w:spacing w:line="440" w:lineRule="exact"/>
        <w:ind w:firstLine="422" w:firstLineChars="200"/>
        <w:textAlignment w:val="bottom"/>
        <w:outlineLvl w:val="2"/>
        <w:rPr>
          <w:rFonts w:hint="eastAsia" w:ascii="宋体" w:hAnsi="宋体" w:cs="宋体"/>
          <w:b/>
          <w:szCs w:val="21"/>
        </w:rPr>
      </w:pPr>
      <w:bookmarkStart w:id="214" w:name="_Toc14115"/>
      <w:bookmarkStart w:id="215" w:name="_Toc2193"/>
      <w:bookmarkStart w:id="216" w:name="_Toc21974"/>
      <w:bookmarkStart w:id="217" w:name="_Toc17308"/>
      <w:bookmarkStart w:id="218" w:name="_Toc6728"/>
      <w:bookmarkStart w:id="219" w:name="_Toc7387"/>
      <w:r>
        <w:rPr>
          <w:rFonts w:hint="eastAsia" w:ascii="宋体" w:hAnsi="宋体" w:cs="宋体"/>
          <w:b/>
          <w:szCs w:val="21"/>
        </w:rPr>
        <w:t>（九）▲本项目投入车辆参数基本要求</w:t>
      </w:r>
      <w:bookmarkEnd w:id="214"/>
      <w:bookmarkEnd w:id="215"/>
      <w:bookmarkEnd w:id="216"/>
      <w:bookmarkEnd w:id="217"/>
      <w:bookmarkEnd w:id="218"/>
      <w:bookmarkEnd w:id="219"/>
    </w:p>
    <w:tbl>
      <w:tblPr>
        <w:tblStyle w:val="29"/>
        <w:tblW w:w="4992" w:type="pct"/>
        <w:tblInd w:w="0" w:type="dxa"/>
        <w:tblLayout w:type="autofit"/>
        <w:tblCellMar>
          <w:top w:w="0" w:type="dxa"/>
          <w:left w:w="108" w:type="dxa"/>
          <w:bottom w:w="0" w:type="dxa"/>
          <w:right w:w="108" w:type="dxa"/>
        </w:tblCellMar>
      </w:tblPr>
      <w:tblGrid>
        <w:gridCol w:w="468"/>
        <w:gridCol w:w="1539"/>
        <w:gridCol w:w="2011"/>
        <w:gridCol w:w="2023"/>
        <w:gridCol w:w="3797"/>
      </w:tblGrid>
      <w:tr>
        <w:tblPrEx>
          <w:tblCellMar>
            <w:top w:w="0" w:type="dxa"/>
            <w:left w:w="108" w:type="dxa"/>
            <w:bottom w:w="0" w:type="dxa"/>
            <w:right w:w="108" w:type="dxa"/>
          </w:tblCellMar>
        </w:tblPrEx>
        <w:trPr>
          <w:trHeight w:val="260"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rPr>
            </w:pPr>
            <w:r>
              <w:rPr>
                <w:rFonts w:hint="eastAsia" w:ascii="宋体" w:hAnsi="宋体" w:cs="宋体"/>
              </w:rPr>
              <w:t>序号</w:t>
            </w:r>
          </w:p>
        </w:tc>
        <w:tc>
          <w:tcPr>
            <w:tcW w:w="782"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rPr>
            </w:pPr>
            <w:r>
              <w:rPr>
                <w:rFonts w:hint="eastAsia" w:ascii="宋体" w:hAnsi="宋体" w:cs="宋体"/>
              </w:rPr>
              <w:t>车辆类别</w:t>
            </w:r>
          </w:p>
        </w:tc>
        <w:tc>
          <w:tcPr>
            <w:tcW w:w="1022"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rPr>
            </w:pPr>
            <w:r>
              <w:rPr>
                <w:rFonts w:hint="eastAsia" w:ascii="宋体" w:hAnsi="宋体" w:cs="宋体"/>
                <w:b/>
                <w:szCs w:val="18"/>
              </w:rPr>
              <w:t>车辆类型</w:t>
            </w:r>
          </w:p>
        </w:tc>
        <w:tc>
          <w:tcPr>
            <w:tcW w:w="1028"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rPr>
            </w:pPr>
            <w:r>
              <w:rPr>
                <w:rFonts w:hint="eastAsia" w:ascii="宋体" w:hAnsi="宋体" w:cs="宋体"/>
              </w:rPr>
              <w:t>规格要求</w:t>
            </w:r>
          </w:p>
        </w:tc>
        <w:tc>
          <w:tcPr>
            <w:tcW w:w="1928"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rPr>
            </w:pPr>
            <w:r>
              <w:rPr>
                <w:rFonts w:hint="eastAsia" w:ascii="宋体" w:hAnsi="宋体" w:cs="宋体"/>
              </w:rPr>
              <w:t>参考图片</w:t>
            </w:r>
          </w:p>
        </w:tc>
      </w:tr>
      <w:tr>
        <w:tblPrEx>
          <w:tblCellMar>
            <w:top w:w="0" w:type="dxa"/>
            <w:left w:w="108" w:type="dxa"/>
            <w:bottom w:w="0" w:type="dxa"/>
            <w:right w:w="108" w:type="dxa"/>
          </w:tblCellMar>
        </w:tblPrEx>
        <w:trPr>
          <w:trHeight w:val="1719"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1</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重型洗扫一体车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bCs/>
                <w:szCs w:val="18"/>
              </w:rPr>
              <w:t>重型载货专项作业车</w:t>
            </w: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重型，以行驶证数据为准</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37080" cy="1195705"/>
                  <wp:effectExtent l="0" t="0" r="1270" b="4445"/>
                  <wp:docPr id="4" name="图片 40" descr="1608552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1608552588(1)"/>
                          <pic:cNvPicPr>
                            <a:picLocks noChangeAspect="1"/>
                          </pic:cNvPicPr>
                        </pic:nvPicPr>
                        <pic:blipFill>
                          <a:blip r:embed="rId18"/>
                          <a:stretch>
                            <a:fillRect/>
                          </a:stretch>
                        </pic:blipFill>
                        <pic:spPr>
                          <a:xfrm>
                            <a:off x="0" y="0"/>
                            <a:ext cx="2037080" cy="119570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2</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中型或中型以上洗扫一体车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bCs/>
                <w:szCs w:val="18"/>
              </w:rPr>
              <w:t>中型</w:t>
            </w:r>
            <w:r>
              <w:rPr>
                <w:rFonts w:hint="eastAsia" w:ascii="宋体" w:hAnsi="宋体" w:cs="宋体"/>
              </w:rPr>
              <w:t>或</w:t>
            </w:r>
            <w:r>
              <w:rPr>
                <w:rFonts w:hint="eastAsia" w:ascii="宋体" w:hAnsi="宋体" w:cs="宋体"/>
                <w:bCs/>
                <w:szCs w:val="18"/>
                <w:lang w:val="en-US" w:eastAsia="zh-CN"/>
              </w:rPr>
              <w:t>重</w:t>
            </w:r>
            <w:r>
              <w:rPr>
                <w:rFonts w:hint="eastAsia" w:ascii="宋体" w:hAnsi="宋体" w:cs="宋体"/>
                <w:bCs/>
                <w:szCs w:val="18"/>
              </w:rPr>
              <w:t>型载货专项作业车</w:t>
            </w: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中型或中型以上，以行驶证数据为准</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39620" cy="1167130"/>
                  <wp:effectExtent l="0" t="0" r="17780" b="1397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pic:cNvPicPr>
                        </pic:nvPicPr>
                        <pic:blipFill>
                          <a:blip r:embed="rId19"/>
                          <a:stretch>
                            <a:fillRect/>
                          </a:stretch>
                        </pic:blipFill>
                        <pic:spPr>
                          <a:xfrm>
                            <a:off x="0" y="0"/>
                            <a:ext cx="2039620" cy="11671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3</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sz w:val="20"/>
              </w:rPr>
              <w:t>重型高压冲洗车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bCs/>
                <w:szCs w:val="18"/>
              </w:rPr>
            </w:pPr>
            <w:r>
              <w:rPr>
                <w:rFonts w:hint="eastAsia" w:ascii="宋体" w:hAnsi="宋体" w:cs="宋体"/>
                <w:bCs/>
                <w:szCs w:val="18"/>
              </w:rPr>
              <w:t>重型载货专项作业车</w:t>
            </w: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重型，以行驶证数据为准；配副发动机，高压水泵及高压喷水架；</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267585" cy="1511935"/>
                  <wp:effectExtent l="0" t="0" r="18415" b="12065"/>
                  <wp:docPr id="6" name="图片 55" descr="微信图片_202103280836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descr="微信图片_20210328083628_副本"/>
                          <pic:cNvPicPr>
                            <a:picLocks noChangeAspect="1"/>
                          </pic:cNvPicPr>
                        </pic:nvPicPr>
                        <pic:blipFill>
                          <a:blip r:embed="rId20"/>
                          <a:stretch>
                            <a:fillRect/>
                          </a:stretch>
                        </pic:blipFill>
                        <pic:spPr>
                          <a:xfrm>
                            <a:off x="0" y="0"/>
                            <a:ext cx="2267585" cy="151193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4</w:t>
            </w:r>
          </w:p>
        </w:tc>
        <w:tc>
          <w:tcPr>
            <w:tcW w:w="78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r>
              <w:rPr>
                <w:rFonts w:hint="eastAsia" w:ascii="宋体" w:hAnsi="宋体" w:cs="宋体"/>
              </w:rPr>
              <w:t>重型多功能抑尘车</w:t>
            </w:r>
          </w:p>
        </w:tc>
        <w:tc>
          <w:tcPr>
            <w:tcW w:w="10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r>
              <w:rPr>
                <w:rFonts w:hint="eastAsia" w:ascii="宋体" w:hAnsi="宋体" w:cs="宋体"/>
                <w:bCs/>
                <w:szCs w:val="18"/>
              </w:rPr>
              <w:t>重型载货专项作业车</w:t>
            </w:r>
          </w:p>
        </w:tc>
        <w:tc>
          <w:tcPr>
            <w:tcW w:w="10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r>
              <w:rPr>
                <w:rFonts w:hint="eastAsia" w:ascii="宋体" w:hAnsi="宋体" w:cs="宋体"/>
              </w:rPr>
              <w:t xml:space="preserve">重型，以行驶证数据为准；具有洒水、冲洗、喷雾功能；配风炮; </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38985" cy="1293495"/>
                  <wp:effectExtent l="0" t="0" r="18415" b="1905"/>
                  <wp:docPr id="7" name="图片 42" descr="160855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1608553691(1)"/>
                          <pic:cNvPicPr>
                            <a:picLocks noChangeAspect="1"/>
                          </pic:cNvPicPr>
                        </pic:nvPicPr>
                        <pic:blipFill>
                          <a:blip r:embed="rId21"/>
                          <a:stretch>
                            <a:fillRect/>
                          </a:stretch>
                        </pic:blipFill>
                        <pic:spPr>
                          <a:xfrm>
                            <a:off x="0" y="0"/>
                            <a:ext cx="2038985" cy="1293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028"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5</w:t>
            </w:r>
          </w:p>
        </w:tc>
        <w:tc>
          <w:tcPr>
            <w:tcW w:w="78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rPr>
              <w:t>中型或中型以上洒水车</w:t>
            </w:r>
          </w:p>
        </w:tc>
        <w:tc>
          <w:tcPr>
            <w:tcW w:w="102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bCs/>
                <w:szCs w:val="18"/>
              </w:rPr>
              <w:t>中型</w:t>
            </w:r>
            <w:r>
              <w:rPr>
                <w:rFonts w:hint="eastAsia" w:ascii="宋体" w:hAnsi="宋体" w:cs="宋体"/>
              </w:rPr>
              <w:t>或</w:t>
            </w:r>
            <w:r>
              <w:rPr>
                <w:rFonts w:hint="eastAsia" w:ascii="宋体" w:hAnsi="宋体" w:cs="宋体"/>
                <w:bCs/>
                <w:szCs w:val="18"/>
                <w:lang w:val="en-US" w:eastAsia="zh-CN"/>
              </w:rPr>
              <w:t>重</w:t>
            </w:r>
            <w:r>
              <w:rPr>
                <w:rFonts w:hint="eastAsia" w:ascii="宋体" w:hAnsi="宋体" w:cs="宋体"/>
                <w:bCs/>
                <w:szCs w:val="18"/>
              </w:rPr>
              <w:t>型载货专项作业车</w:t>
            </w:r>
          </w:p>
        </w:tc>
        <w:tc>
          <w:tcPr>
            <w:tcW w:w="1028"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rPr>
              <w:t>中型或</w:t>
            </w:r>
            <w:r>
              <w:rPr>
                <w:rFonts w:hint="eastAsia" w:ascii="宋体" w:hAnsi="宋体" w:cs="宋体"/>
                <w:bCs/>
                <w:szCs w:val="18"/>
              </w:rPr>
              <w:t>中型</w:t>
            </w:r>
            <w:r>
              <w:rPr>
                <w:rFonts w:hint="eastAsia" w:ascii="宋体" w:hAnsi="宋体" w:cs="宋体"/>
              </w:rPr>
              <w:t>以上，以行驶证数据为准；具有洒水、冲洗功能；</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40255" cy="1194435"/>
                  <wp:effectExtent l="0" t="0" r="17145" b="5715"/>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pic:cNvPicPr>
                            <a:picLocks noChangeAspect="1"/>
                          </pic:cNvPicPr>
                        </pic:nvPicPr>
                        <pic:blipFill>
                          <a:blip r:embed="rId22"/>
                          <a:stretch>
                            <a:fillRect/>
                          </a:stretch>
                        </pic:blipFill>
                        <pic:spPr>
                          <a:xfrm>
                            <a:off x="0" y="0"/>
                            <a:ext cx="2040255" cy="11944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6</w:t>
            </w:r>
          </w:p>
        </w:tc>
        <w:tc>
          <w:tcPr>
            <w:tcW w:w="78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rPr>
              <w:t>建筑垃圾清运</w:t>
            </w:r>
            <w:r>
              <w:rPr>
                <w:rFonts w:hint="eastAsia" w:ascii="宋体" w:hAnsi="宋体" w:cs="宋体"/>
                <w:bCs/>
                <w:szCs w:val="18"/>
              </w:rPr>
              <w:t>(轻型或轻型以上自卸)</w:t>
            </w:r>
            <w:r>
              <w:rPr>
                <w:rFonts w:hint="eastAsia" w:ascii="宋体" w:hAnsi="宋体" w:cs="宋体"/>
              </w:rPr>
              <w:t>车</w:t>
            </w:r>
          </w:p>
        </w:tc>
        <w:tc>
          <w:tcPr>
            <w:tcW w:w="102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bCs/>
              </w:rPr>
              <w:t>轻型</w:t>
            </w:r>
            <w:r>
              <w:rPr>
                <w:rFonts w:hint="eastAsia" w:ascii="宋体" w:hAnsi="宋体" w:cs="宋体"/>
                <w:bCs/>
                <w:szCs w:val="18"/>
              </w:rPr>
              <w:t>或中</w:t>
            </w:r>
            <w:r>
              <w:rPr>
                <w:rFonts w:hint="eastAsia" w:ascii="宋体" w:hAnsi="宋体" w:cs="宋体"/>
                <w:bCs/>
              </w:rPr>
              <w:t>型</w:t>
            </w:r>
            <w:r>
              <w:rPr>
                <w:rFonts w:hint="eastAsia" w:ascii="宋体" w:hAnsi="宋体" w:cs="宋体"/>
                <w:bCs/>
                <w:szCs w:val="18"/>
              </w:rPr>
              <w:t>或重</w:t>
            </w:r>
            <w:r>
              <w:rPr>
                <w:rFonts w:hint="eastAsia" w:ascii="宋体" w:hAnsi="宋体" w:cs="宋体"/>
                <w:bCs/>
              </w:rPr>
              <w:t>型自卸货车</w:t>
            </w:r>
          </w:p>
        </w:tc>
        <w:tc>
          <w:tcPr>
            <w:tcW w:w="1028"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rPr>
            </w:pPr>
            <w:r>
              <w:rPr>
                <w:rFonts w:hint="eastAsia" w:ascii="宋体" w:hAnsi="宋体" w:cs="宋体"/>
                <w:bCs/>
              </w:rPr>
              <w:t>轻型</w:t>
            </w:r>
            <w:r>
              <w:rPr>
                <w:rFonts w:hint="eastAsia" w:ascii="宋体" w:hAnsi="宋体" w:cs="宋体"/>
                <w:bCs/>
                <w:szCs w:val="18"/>
              </w:rPr>
              <w:t>或中</w:t>
            </w:r>
            <w:r>
              <w:rPr>
                <w:rFonts w:hint="eastAsia" w:ascii="宋体" w:hAnsi="宋体" w:cs="宋体"/>
                <w:bCs/>
              </w:rPr>
              <w:t>型</w:t>
            </w:r>
            <w:r>
              <w:rPr>
                <w:rFonts w:hint="eastAsia" w:ascii="宋体" w:hAnsi="宋体" w:cs="宋体"/>
                <w:bCs/>
                <w:szCs w:val="18"/>
              </w:rPr>
              <w:t>或重</w:t>
            </w:r>
            <w:r>
              <w:rPr>
                <w:rFonts w:hint="eastAsia" w:ascii="宋体" w:hAnsi="宋体" w:cs="宋体"/>
              </w:rPr>
              <w:t>型，以行驶证数据为准</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42795" cy="991235"/>
                  <wp:effectExtent l="0" t="0" r="14605" b="18415"/>
                  <wp:docPr id="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
                          <pic:cNvPicPr>
                            <a:picLocks noChangeAspect="1"/>
                          </pic:cNvPicPr>
                        </pic:nvPicPr>
                        <pic:blipFill>
                          <a:blip r:embed="rId23"/>
                          <a:stretch>
                            <a:fillRect/>
                          </a:stretch>
                        </pic:blipFill>
                        <pic:spPr>
                          <a:xfrm>
                            <a:off x="0" y="0"/>
                            <a:ext cx="2042795" cy="9912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7</w:t>
            </w:r>
          </w:p>
        </w:tc>
        <w:tc>
          <w:tcPr>
            <w:tcW w:w="78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color w:val="auto"/>
              </w:rPr>
            </w:pPr>
            <w:r>
              <w:rPr>
                <w:rFonts w:hint="eastAsia" w:ascii="宋体" w:hAnsi="宋体" w:cs="宋体"/>
                <w:bCs/>
                <w:color w:val="auto"/>
                <w:szCs w:val="18"/>
              </w:rPr>
              <w:t>重型</w:t>
            </w:r>
            <w:r>
              <w:rPr>
                <w:rFonts w:hint="eastAsia" w:ascii="宋体" w:hAnsi="宋体" w:cs="宋体"/>
                <w:color w:val="auto"/>
              </w:rPr>
              <w:t>压缩式垃圾车（无滴漏）</w:t>
            </w:r>
          </w:p>
        </w:tc>
        <w:tc>
          <w:tcPr>
            <w:tcW w:w="10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color w:val="auto"/>
              </w:rPr>
            </w:pPr>
            <w:r>
              <w:rPr>
                <w:rFonts w:hint="eastAsia" w:ascii="宋体" w:hAnsi="宋体" w:cs="宋体"/>
                <w:bCs/>
                <w:color w:val="auto"/>
                <w:szCs w:val="18"/>
              </w:rPr>
              <w:t>重型特殊结构货车</w:t>
            </w:r>
          </w:p>
        </w:tc>
        <w:tc>
          <w:tcPr>
            <w:tcW w:w="10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color w:val="auto"/>
              </w:rPr>
            </w:pPr>
            <w:r>
              <w:rPr>
                <w:rFonts w:hint="eastAsia" w:ascii="宋体" w:hAnsi="宋体" w:cs="宋体"/>
                <w:color w:val="auto"/>
              </w:rPr>
              <w:t xml:space="preserve">重型，以行驶证数据为准；高位上料。 </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44700" cy="957580"/>
                  <wp:effectExtent l="0" t="0" r="12700" b="13970"/>
                  <wp:docPr id="10" name="图片 46" descr="1608555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descr="1608555099(1)"/>
                          <pic:cNvPicPr>
                            <a:picLocks noChangeAspect="1"/>
                          </pic:cNvPicPr>
                        </pic:nvPicPr>
                        <pic:blipFill>
                          <a:blip r:embed="rId24"/>
                          <a:stretch>
                            <a:fillRect/>
                          </a:stretch>
                        </pic:blipFill>
                        <pic:spPr>
                          <a:xfrm>
                            <a:off x="0" y="0"/>
                            <a:ext cx="2044700" cy="9575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59"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8</w:t>
            </w:r>
          </w:p>
        </w:tc>
        <w:tc>
          <w:tcPr>
            <w:tcW w:w="782" w:type="pct"/>
            <w:tcBorders>
              <w:top w:val="single" w:color="auto" w:sz="4" w:space="0"/>
              <w:left w:val="single" w:color="auto" w:sz="4" w:space="0"/>
              <w:bottom w:val="single" w:color="auto" w:sz="4" w:space="0"/>
              <w:right w:val="single" w:color="auto" w:sz="4" w:space="0"/>
            </w:tcBorders>
            <w:noWrap w:val="0"/>
            <w:vAlign w:val="top"/>
          </w:tcPr>
          <w:p>
            <w:pPr>
              <w:pStyle w:val="66"/>
              <w:ind w:left="0" w:firstLine="0"/>
              <w:rPr>
                <w:rFonts w:hint="eastAsia" w:hAnsi="宋体" w:cs="宋体"/>
                <w:color w:val="auto"/>
              </w:rPr>
            </w:pPr>
            <w:r>
              <w:rPr>
                <w:rFonts w:hint="eastAsia" w:hAnsi="宋体" w:cs="宋体"/>
                <w:color w:val="auto"/>
              </w:rPr>
              <w:t>二分类（易腐、其他）垃圾运输车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szCs w:val="22"/>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szCs w:val="22"/>
              </w:rPr>
            </w:pPr>
            <w:r>
              <w:rPr>
                <w:rFonts w:hint="eastAsia" w:ascii="宋体" w:hAnsi="宋体" w:cs="宋体"/>
                <w:color w:val="auto"/>
                <w:szCs w:val="22"/>
              </w:rPr>
              <w:t>中型四轮。箱体具有“易腐垃圾”、“其他垃圾”二分类垃圾收集功能。要求整体出厂，</w:t>
            </w:r>
            <w:r>
              <w:rPr>
                <w:rFonts w:hint="eastAsia" w:ascii="宋体" w:hAnsi="宋体" w:cs="宋体"/>
                <w:color w:val="auto"/>
              </w:rPr>
              <w:t>不漏水，耐腐蚀，抗老化。</w:t>
            </w:r>
            <w:r>
              <w:rPr>
                <w:rFonts w:hint="eastAsia" w:ascii="宋体" w:hAnsi="宋体" w:cs="宋体"/>
                <w:color w:val="auto"/>
                <w:szCs w:val="22"/>
              </w:rPr>
              <w:t>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42160" cy="981075"/>
                  <wp:effectExtent l="0" t="0" r="15240" b="9525"/>
                  <wp:docPr id="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
                          <pic:cNvPicPr>
                            <a:picLocks noChangeAspect="1"/>
                          </pic:cNvPicPr>
                        </pic:nvPicPr>
                        <pic:blipFill>
                          <a:blip r:embed="rId25"/>
                          <a:stretch>
                            <a:fillRect/>
                          </a:stretch>
                        </pic:blipFill>
                        <pic:spPr>
                          <a:xfrm>
                            <a:off x="0" y="0"/>
                            <a:ext cx="2042160" cy="9810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59"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9</w:t>
            </w:r>
          </w:p>
        </w:tc>
        <w:tc>
          <w:tcPr>
            <w:tcW w:w="782" w:type="pct"/>
            <w:tcBorders>
              <w:top w:val="single" w:color="auto" w:sz="4" w:space="0"/>
              <w:left w:val="single" w:color="auto" w:sz="4" w:space="0"/>
              <w:bottom w:val="single" w:color="auto" w:sz="4" w:space="0"/>
              <w:right w:val="single" w:color="auto" w:sz="4" w:space="0"/>
            </w:tcBorders>
            <w:noWrap w:val="0"/>
            <w:vAlign w:val="top"/>
          </w:tcPr>
          <w:p>
            <w:pPr>
              <w:pStyle w:val="66"/>
              <w:ind w:left="0" w:firstLine="0"/>
              <w:rPr>
                <w:rFonts w:hint="eastAsia" w:hAnsi="宋体" w:cs="宋体"/>
                <w:color w:val="auto"/>
              </w:rPr>
            </w:pPr>
            <w:r>
              <w:rPr>
                <w:rFonts w:hint="eastAsia" w:hAnsi="宋体" w:cs="宋体"/>
                <w:color w:val="auto"/>
              </w:rPr>
              <w:t>中型压缩式垃圾车（无滴漏）</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bCs/>
                <w:color w:val="auto"/>
                <w:szCs w:val="18"/>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szCs w:val="22"/>
              </w:rPr>
            </w:pPr>
            <w:r>
              <w:rPr>
                <w:rFonts w:hint="eastAsia" w:ascii="宋体" w:hAnsi="宋体" w:cs="宋体"/>
                <w:bCs/>
                <w:color w:val="auto"/>
                <w:szCs w:val="18"/>
              </w:rPr>
              <w:t>中</w:t>
            </w:r>
            <w:r>
              <w:rPr>
                <w:rFonts w:hint="eastAsia" w:ascii="宋体" w:hAnsi="宋体" w:cs="宋体"/>
                <w:color w:val="auto"/>
              </w:rPr>
              <w:t>型，以行驶证数据为准；高位上料。</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71370" cy="1381125"/>
                  <wp:effectExtent l="0" t="0" r="5080" b="9525"/>
                  <wp:docPr id="12" name="图片 56" descr="微信图片_202103280841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 descr="微信图片_20210328084145_副本"/>
                          <pic:cNvPicPr>
                            <a:picLocks noChangeAspect="1"/>
                          </pic:cNvPicPr>
                        </pic:nvPicPr>
                        <pic:blipFill>
                          <a:blip r:embed="rId26"/>
                          <a:stretch>
                            <a:fillRect/>
                          </a:stretch>
                        </pic:blipFill>
                        <pic:spPr>
                          <a:xfrm>
                            <a:off x="0" y="0"/>
                            <a:ext cx="2071370" cy="13811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59"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10</w:t>
            </w:r>
          </w:p>
        </w:tc>
        <w:tc>
          <w:tcPr>
            <w:tcW w:w="782" w:type="pct"/>
            <w:tcBorders>
              <w:top w:val="single" w:color="auto" w:sz="4" w:space="0"/>
              <w:left w:val="single" w:color="auto" w:sz="4" w:space="0"/>
              <w:bottom w:val="single" w:color="auto" w:sz="4" w:space="0"/>
              <w:right w:val="single" w:color="auto" w:sz="4" w:space="0"/>
            </w:tcBorders>
            <w:noWrap w:val="0"/>
            <w:vAlign w:val="top"/>
          </w:tcPr>
          <w:p>
            <w:pPr>
              <w:pStyle w:val="66"/>
              <w:ind w:left="0" w:firstLine="0"/>
              <w:rPr>
                <w:rFonts w:hint="eastAsia" w:hAnsi="宋体" w:cs="宋体"/>
                <w:color w:val="auto"/>
              </w:rPr>
            </w:pPr>
            <w:r>
              <w:rPr>
                <w:rFonts w:hint="eastAsia" w:hAnsi="宋体" w:cs="宋体"/>
                <w:color w:val="auto"/>
              </w:rPr>
              <w:t>轻型自卸式垃圾车（无滴漏）</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bCs/>
                <w:color w:val="auto"/>
                <w:szCs w:val="18"/>
              </w:rPr>
            </w:pPr>
            <w:r>
              <w:rPr>
                <w:rFonts w:hint="eastAsia" w:ascii="宋体" w:hAnsi="宋体" w:cs="宋体"/>
                <w:bCs/>
                <w:color w:val="auto"/>
              </w:rPr>
              <w:t>轻型自卸货车</w:t>
            </w:r>
          </w:p>
        </w:tc>
        <w:tc>
          <w:tcPr>
            <w:tcW w:w="1028"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textAlignment w:val="bottom"/>
              <w:rPr>
                <w:rFonts w:hint="eastAsia" w:ascii="宋体" w:hAnsi="宋体" w:cs="宋体"/>
                <w:color w:val="auto"/>
                <w:sz w:val="22"/>
                <w:szCs w:val="22"/>
              </w:rPr>
            </w:pPr>
            <w:r>
              <w:rPr>
                <w:rFonts w:hint="eastAsia" w:ascii="宋体" w:hAnsi="宋体" w:cs="宋体"/>
                <w:b/>
                <w:color w:val="auto"/>
                <w:szCs w:val="21"/>
              </w:rPr>
              <w:t>1、轻型，以行驶证数据为准。</w:t>
            </w:r>
            <w:r>
              <w:rPr>
                <w:rFonts w:hint="eastAsia" w:ascii="宋体" w:hAnsi="宋体" w:cs="宋体"/>
                <w:color w:val="auto"/>
                <w:sz w:val="22"/>
                <w:szCs w:val="22"/>
              </w:rPr>
              <w:t>高位上料。</w:t>
            </w:r>
          </w:p>
          <w:p>
            <w:pPr>
              <w:rPr>
                <w:rFonts w:hint="eastAsia" w:ascii="宋体" w:hAnsi="宋体" w:cs="宋体"/>
                <w:bCs/>
                <w:color w:val="auto"/>
                <w:szCs w:val="18"/>
              </w:rPr>
            </w:pPr>
            <w:r>
              <w:rPr>
                <w:rFonts w:hint="eastAsia" w:ascii="宋体" w:hAnsi="宋体" w:cs="宋体"/>
                <w:color w:val="auto"/>
                <w:sz w:val="22"/>
                <w:szCs w:val="22"/>
              </w:rPr>
              <w:t>2、专用于非保洁区域的统一分类收运工作。</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b/>
                <w:color w:val="000000"/>
                <w:kern w:val="2"/>
                <w:sz w:val="22"/>
                <w:szCs w:val="21"/>
              </w:rPr>
              <w:drawing>
                <wp:inline distT="0" distB="0" distL="114300" distR="114300">
                  <wp:extent cx="1452880" cy="1001395"/>
                  <wp:effectExtent l="0" t="0" r="13970" b="8255"/>
                  <wp:docPr id="13" name="图片 53" descr="16143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3" descr="1614311013(1)"/>
                          <pic:cNvPicPr>
                            <a:picLocks noChangeAspect="1"/>
                          </pic:cNvPicPr>
                        </pic:nvPicPr>
                        <pic:blipFill>
                          <a:blip r:embed="rId27"/>
                          <a:stretch>
                            <a:fillRect/>
                          </a:stretch>
                        </pic:blipFill>
                        <pic:spPr>
                          <a:xfrm>
                            <a:off x="0" y="0"/>
                            <a:ext cx="1452880" cy="10013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11</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rPr>
            </w:pPr>
            <w:r>
              <w:rPr>
                <w:rFonts w:hint="eastAsia" w:ascii="宋体" w:hAnsi="宋体" w:cs="宋体"/>
                <w:color w:val="auto"/>
              </w:rPr>
              <w:t>装载机（轮式铲车）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rPr>
            </w:pPr>
            <w:r>
              <w:rPr>
                <w:rFonts w:hint="eastAsia" w:ascii="宋体" w:hAnsi="宋体" w:cs="宋体"/>
                <w:color w:val="auto"/>
              </w:rPr>
              <w:t>1-3吨</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12</w:t>
            </w:r>
          </w:p>
        </w:tc>
        <w:tc>
          <w:tcPr>
            <w:tcW w:w="782"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sz w:val="22"/>
              </w:rPr>
            </w:pPr>
            <w:r>
              <w:rPr>
                <w:rFonts w:hint="eastAsia" w:ascii="宋体" w:hAnsi="宋体" w:cs="宋体"/>
                <w:sz w:val="22"/>
              </w:rPr>
              <w:t>轮式挖掘机</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规格由供应商按需配置</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13</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船只</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机动船及非机动船须统一标识，统一编号；机动船不得漏油污染河道，排放满足相关标准要求。</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r>
      <w:tr>
        <w:tblPrEx>
          <w:tblCellMar>
            <w:top w:w="0" w:type="dxa"/>
            <w:left w:w="108" w:type="dxa"/>
            <w:bottom w:w="0" w:type="dxa"/>
            <w:right w:w="108" w:type="dxa"/>
          </w:tblCellMar>
        </w:tblPrEx>
        <w:trPr>
          <w:trHeight w:val="90"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14</w:t>
            </w:r>
          </w:p>
          <w:p>
            <w:pPr>
              <w:pStyle w:val="8"/>
              <w:rPr>
                <w:rFonts w:hint="eastAsia" w:ascii="宋体" w:hAnsi="宋体" w:cs="宋体"/>
                <w:lang w:val="en-US" w:eastAsia="zh-CN"/>
              </w:rPr>
            </w:pP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r>
              <w:rPr>
                <w:rFonts w:hint="eastAsia" w:ascii="宋体" w:hAnsi="宋体" w:cs="宋体"/>
                <w:szCs w:val="22"/>
              </w:rPr>
              <w:t>小型冲洗车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r>
              <w:rPr>
                <w:rFonts w:hint="eastAsia" w:ascii="宋体" w:hAnsi="宋体" w:cs="宋体"/>
                <w:szCs w:val="22"/>
              </w:rPr>
              <w:t>电动三轮（四轮）高压道路清洗车，要求整体出厂，不得为非法组装车。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drawing>
                <wp:inline distT="0" distB="0" distL="114300" distR="114300">
                  <wp:extent cx="2038985" cy="1513840"/>
                  <wp:effectExtent l="0" t="0" r="18415" b="10160"/>
                  <wp:docPr id="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pic:cNvPicPr>
                            <a:picLocks noChangeAspect="1"/>
                          </pic:cNvPicPr>
                        </pic:nvPicPr>
                        <pic:blipFill>
                          <a:blip r:embed="rId28"/>
                          <a:stretch>
                            <a:fillRect/>
                          </a:stretch>
                        </pic:blipFill>
                        <pic:spPr>
                          <a:xfrm>
                            <a:off x="0" y="0"/>
                            <a:ext cx="2038985" cy="15138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01"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rPr>
                <w:rFonts w:hint="eastAsia" w:ascii="宋体" w:hAnsi="宋体" w:cs="宋体"/>
                <w:lang w:val="en-US" w:eastAsia="zh-CN"/>
              </w:rPr>
            </w:pPr>
          </w:p>
          <w:p>
            <w:pPr>
              <w:rPr>
                <w:rFonts w:hint="eastAsia" w:ascii="宋体" w:hAnsi="宋体" w:cs="宋体"/>
              </w:rPr>
            </w:pPr>
          </w:p>
          <w:p>
            <w:pPr>
              <w:rPr>
                <w:rFonts w:hint="eastAsia" w:ascii="宋体" w:hAnsi="宋体" w:cs="宋体"/>
              </w:rPr>
            </w:pPr>
            <w:r>
              <w:rPr>
                <w:rFonts w:hint="eastAsia" w:ascii="宋体" w:hAnsi="宋体" w:cs="宋体"/>
              </w:rPr>
              <w:t>15</w:t>
            </w:r>
          </w:p>
        </w:tc>
        <w:tc>
          <w:tcPr>
            <w:tcW w:w="782"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bCs/>
              </w:rPr>
            </w:pPr>
            <w:r>
              <w:rPr>
                <w:rFonts w:hint="eastAsia" w:ascii="宋体" w:hAnsi="宋体" w:cs="宋体"/>
                <w:bCs/>
                <w:sz w:val="22"/>
              </w:rPr>
              <w:t>小型高温高压冲洗车（油污清洗车）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小型四轮高压清洗车，具有高温加热功能，要求整体出厂，不易漏水，耐腐蚀，抗老化。不得为非法组装车。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1724660" cy="1517015"/>
                  <wp:effectExtent l="0" t="0" r="8890" b="6985"/>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pic:cNvPicPr>
                        </pic:nvPicPr>
                        <pic:blipFill>
                          <a:blip r:embed="rId29"/>
                          <a:stretch>
                            <a:fillRect/>
                          </a:stretch>
                        </pic:blipFill>
                        <pic:spPr>
                          <a:xfrm>
                            <a:off x="0" y="0"/>
                            <a:ext cx="1724660" cy="15170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16</w:t>
            </w:r>
          </w:p>
        </w:tc>
        <w:tc>
          <w:tcPr>
            <w:tcW w:w="782"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bCs/>
                <w:sz w:val="22"/>
              </w:rPr>
            </w:pPr>
            <w:r>
              <w:rPr>
                <w:rFonts w:hint="eastAsia" w:ascii="宋体" w:hAnsi="宋体" w:cs="宋体"/>
                <w:sz w:val="22"/>
              </w:rPr>
              <w:t>小型多功能清扫车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小型四轮多功能清扫车，具有扫地、吸尘、洒水、冲洗等功能，要求整体出厂，不得为非法组装</w:t>
            </w:r>
          </w:p>
          <w:p>
            <w:pPr>
              <w:rPr>
                <w:rFonts w:hint="eastAsia" w:ascii="宋体" w:hAnsi="宋体" w:cs="宋体"/>
              </w:rPr>
            </w:pP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59940" cy="1445260"/>
                  <wp:effectExtent l="0" t="0" r="16510" b="2540"/>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pic:cNvPicPr>
                            <a:picLocks noChangeAspect="1"/>
                          </pic:cNvPicPr>
                        </pic:nvPicPr>
                        <pic:blipFill>
                          <a:blip r:embed="rId30"/>
                          <a:stretch>
                            <a:fillRect/>
                          </a:stretch>
                        </pic:blipFill>
                        <pic:spPr>
                          <a:xfrm>
                            <a:off x="0" y="0"/>
                            <a:ext cx="2059940" cy="14452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17</w:t>
            </w:r>
          </w:p>
        </w:tc>
        <w:tc>
          <w:tcPr>
            <w:tcW w:w="782"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s="宋体"/>
                <w:bCs/>
              </w:rPr>
            </w:pPr>
            <w:r>
              <w:rPr>
                <w:rFonts w:hint="eastAsia" w:ascii="宋体" w:hAnsi="宋体" w:cs="宋体"/>
                <w:bCs/>
                <w:sz w:val="22"/>
              </w:rPr>
              <w:t>垃圾分类上门收集车（四分类）</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r>
              <w:rPr>
                <w:rFonts w:hint="eastAsia" w:ascii="宋体" w:hAnsi="宋体" w:cs="宋体"/>
                <w:szCs w:val="22"/>
              </w:rPr>
              <w:t>电动三轮（四轮），箱体具有“可回收物”、“有害垃圾”、“易腐垃圾”、“其他垃圾”四分类垃圾收集功能。要求整体出厂，</w:t>
            </w:r>
            <w:r>
              <w:rPr>
                <w:rFonts w:hint="eastAsia" w:ascii="宋体" w:hAnsi="宋体" w:cs="宋体"/>
              </w:rPr>
              <w:t>不漏水，耐腐蚀，抗老化。</w:t>
            </w:r>
            <w:r>
              <w:rPr>
                <w:rFonts w:hint="eastAsia" w:ascii="宋体" w:hAnsi="宋体" w:cs="宋体"/>
                <w:szCs w:val="22"/>
              </w:rPr>
              <w:t>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color w:val="FF0000"/>
                <w:highlight w:val="yellow"/>
              </w:rPr>
              <w:drawing>
                <wp:inline distT="0" distB="0" distL="114300" distR="114300">
                  <wp:extent cx="2061210" cy="1217295"/>
                  <wp:effectExtent l="0" t="0" r="15240" b="1905"/>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4"/>
                          <pic:cNvPicPr>
                            <a:picLocks noChangeAspect="1"/>
                          </pic:cNvPicPr>
                        </pic:nvPicPr>
                        <pic:blipFill>
                          <a:blip r:embed="rId31"/>
                          <a:stretch>
                            <a:fillRect/>
                          </a:stretch>
                        </pic:blipFill>
                        <pic:spPr>
                          <a:xfrm>
                            <a:off x="0" y="0"/>
                            <a:ext cx="2061210" cy="12172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18</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b/>
                <w:sz w:val="22"/>
              </w:rPr>
              <w:t>有害垃圾运输车</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电动三轮有害垃圾收集车，保证整车密封性，要求整体出厂，不漏水，耐腐蚀，抗老化。不得为非法组装车。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44700" cy="1538605"/>
                  <wp:effectExtent l="0" t="0" r="12700" b="4445"/>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9"/>
                          <pic:cNvPicPr>
                            <a:picLocks noChangeAspect="1"/>
                          </pic:cNvPicPr>
                        </pic:nvPicPr>
                        <pic:blipFill>
                          <a:blip r:embed="rId32"/>
                          <a:stretch>
                            <a:fillRect/>
                          </a:stretch>
                        </pic:blipFill>
                        <pic:spPr>
                          <a:xfrm>
                            <a:off x="0" y="0"/>
                            <a:ext cx="2044700" cy="15386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19</w:t>
            </w:r>
          </w:p>
        </w:tc>
        <w:tc>
          <w:tcPr>
            <w:tcW w:w="78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textAlignment w:val="bottom"/>
              <w:rPr>
                <w:rFonts w:hint="eastAsia" w:ascii="宋体" w:hAnsi="宋体" w:cs="宋体"/>
                <w:color w:val="auto"/>
                <w:sz w:val="22"/>
              </w:rPr>
            </w:pPr>
            <w:r>
              <w:rPr>
                <w:rFonts w:hint="eastAsia" w:ascii="宋体" w:hAnsi="宋体" w:cs="宋体"/>
                <w:color w:val="auto"/>
                <w:sz w:val="22"/>
              </w:rPr>
              <w:t>城市家具保洁设备</w:t>
            </w:r>
          </w:p>
        </w:tc>
        <w:tc>
          <w:tcPr>
            <w:tcW w:w="102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textAlignment w:val="bottom"/>
              <w:rPr>
                <w:rFonts w:hint="eastAsia" w:ascii="宋体" w:hAnsi="宋体" w:cs="宋体"/>
                <w:b/>
                <w:color w:val="auto"/>
                <w:szCs w:val="21"/>
              </w:rPr>
            </w:pPr>
          </w:p>
        </w:tc>
        <w:tc>
          <w:tcPr>
            <w:tcW w:w="102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textAlignment w:val="bottom"/>
              <w:rPr>
                <w:rFonts w:hint="eastAsia" w:ascii="宋体" w:hAnsi="宋体" w:cs="宋体"/>
                <w:color w:val="auto"/>
                <w:sz w:val="22"/>
              </w:rPr>
            </w:pPr>
            <w:r>
              <w:rPr>
                <w:rFonts w:hint="eastAsia" w:ascii="宋体" w:hAnsi="宋体" w:cs="宋体"/>
                <w:color w:val="auto"/>
                <w:szCs w:val="22"/>
              </w:rPr>
              <w:t>保洁设备机具配置种类应完备，适用于不同类别城市家具的保洁工况及工序要求，包含但不限于以下要求：电动巡捡车、水桶、扫把、捡拾器、簸箕、伸缩刷（钩）、铲子、抹布、喷壶等工具，能够满足捡拾、清扫、擦拭、清理等作业要求</w:t>
            </w:r>
          </w:p>
        </w:tc>
        <w:tc>
          <w:tcPr>
            <w:tcW w:w="192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textAlignment w:val="bottom"/>
              <w:rPr>
                <w:rFonts w:hint="eastAsia" w:ascii="宋体" w:hAnsi="宋体" w:cs="宋体"/>
                <w:color w:val="auto"/>
                <w:szCs w:val="22"/>
                <w:highlight w:val="yellow"/>
              </w:rPr>
            </w:pPr>
            <w:r>
              <w:rPr>
                <w:rFonts w:hint="eastAsia" w:ascii="宋体" w:hAnsi="宋体" w:cs="宋体"/>
                <w:color w:val="auto"/>
                <w:szCs w:val="22"/>
              </w:rPr>
              <w:t>如数量不足，采购人有权根据项目需要增加数量</w:t>
            </w:r>
          </w:p>
        </w:tc>
      </w:tr>
      <w:tr>
        <w:tblPrEx>
          <w:tblCellMar>
            <w:top w:w="0" w:type="dxa"/>
            <w:left w:w="108" w:type="dxa"/>
            <w:bottom w:w="0" w:type="dxa"/>
            <w:right w:w="108" w:type="dxa"/>
          </w:tblCellMar>
        </w:tblPrEx>
        <w:trPr>
          <w:trHeight w:val="1427"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ascii="宋体" w:hAnsi="宋体" w:cs="宋体"/>
                <w:lang w:val="en-US" w:eastAsia="zh-CN"/>
              </w:rPr>
            </w:pPr>
            <w:r>
              <w:rPr>
                <w:rFonts w:hint="eastAsia" w:ascii="宋体" w:hAnsi="宋体" w:cs="宋体"/>
                <w:lang w:val="en-US" w:eastAsia="zh-CN"/>
              </w:rPr>
              <w:t>20</w:t>
            </w:r>
          </w:p>
        </w:tc>
        <w:tc>
          <w:tcPr>
            <w:tcW w:w="782" w:type="pct"/>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40" w:lineRule="exact"/>
              <w:textAlignment w:val="bottom"/>
              <w:rPr>
                <w:rFonts w:hint="eastAsia" w:ascii="宋体" w:hAnsi="宋体"/>
                <w:color w:val="auto"/>
                <w:sz w:val="22"/>
              </w:rPr>
            </w:pPr>
            <w:r>
              <w:rPr>
                <w:rFonts w:hint="eastAsia" w:ascii="宋体" w:hAnsi="宋体"/>
                <w:color w:val="auto"/>
                <w:sz w:val="22"/>
              </w:rPr>
              <w:t>三轮电动垃圾桶垃圾运输车（自装卸）</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auto"/>
              </w:rPr>
            </w:pPr>
          </w:p>
        </w:tc>
        <w:tc>
          <w:tcPr>
            <w:tcW w:w="102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textAlignment w:val="bottom"/>
              <w:rPr>
                <w:rFonts w:hint="eastAsia" w:ascii="宋体" w:hAnsi="宋体" w:cs="宋体"/>
                <w:color w:val="auto"/>
                <w:szCs w:val="22"/>
              </w:rPr>
            </w:pPr>
            <w:r>
              <w:rPr>
                <w:rFonts w:hint="eastAsia" w:ascii="宋体" w:hAnsi="宋体" w:cs="宋体"/>
                <w:color w:val="auto"/>
                <w:szCs w:val="22"/>
              </w:rPr>
              <w:t xml:space="preserve">运输垃圾桶垃圾，具有自装卸功能（垃圾桶提升倾倒装置），要求整体出厂，不得为非法组装车。 </w:t>
            </w:r>
          </w:p>
        </w:tc>
        <w:tc>
          <w:tcPr>
            <w:tcW w:w="192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textAlignment w:val="bottom"/>
              <w:rPr>
                <w:rFonts w:hint="eastAsia" w:ascii="宋体" w:hAnsi="宋体" w:cs="宋体"/>
                <w:color w:val="auto"/>
                <w:szCs w:val="22"/>
                <w:highlight w:val="yellow"/>
              </w:rPr>
            </w:pPr>
          </w:p>
        </w:tc>
      </w:tr>
      <w:tr>
        <w:tblPrEx>
          <w:tblCellMar>
            <w:top w:w="0" w:type="dxa"/>
            <w:left w:w="108" w:type="dxa"/>
            <w:bottom w:w="0" w:type="dxa"/>
            <w:right w:w="108" w:type="dxa"/>
          </w:tblCellMar>
        </w:tblPrEx>
        <w:trPr>
          <w:trHeight w:val="90" w:hRule="atLeast"/>
        </w:trPr>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hint="eastAsia" w:ascii="宋体" w:hAnsi="宋体" w:cs="宋体"/>
                <w:lang w:val="en-US" w:eastAsia="zh-CN"/>
              </w:rPr>
            </w:pPr>
            <w:r>
              <w:rPr>
                <w:rFonts w:hint="eastAsia" w:ascii="宋体" w:hAnsi="宋体" w:cs="宋体"/>
                <w:lang w:val="en-US" w:eastAsia="zh-CN"/>
              </w:rPr>
              <w:t>21</w:t>
            </w:r>
          </w:p>
        </w:tc>
        <w:tc>
          <w:tcPr>
            <w:tcW w:w="782" w:type="pct"/>
            <w:tcBorders>
              <w:top w:val="single" w:color="auto" w:sz="4" w:space="0"/>
              <w:left w:val="single" w:color="auto" w:sz="4" w:space="0"/>
              <w:bottom w:val="single" w:color="auto" w:sz="4" w:space="0"/>
              <w:right w:val="single" w:color="auto" w:sz="4" w:space="0"/>
            </w:tcBorders>
            <w:noWrap w:val="0"/>
            <w:vAlign w:val="top"/>
          </w:tcPr>
          <w:p>
            <w:pPr>
              <w:pStyle w:val="66"/>
              <w:ind w:left="0" w:firstLine="0"/>
              <w:rPr>
                <w:rFonts w:hint="eastAsia" w:hAnsi="宋体" w:cs="宋体"/>
              </w:rPr>
            </w:pPr>
            <w:r>
              <w:rPr>
                <w:rFonts w:hint="eastAsia" w:hAnsi="宋体"/>
                <w:sz w:val="22"/>
              </w:rPr>
              <w:t>四轮垃圾桶垃圾桶运输车（自装卸）</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2"/>
              </w:rPr>
            </w:pPr>
            <w:r>
              <w:rPr>
                <w:rFonts w:hint="eastAsia" w:ascii="宋体" w:hAnsi="宋体" w:cs="宋体"/>
              </w:rPr>
              <w:t>运输垃圾桶垃圾，具有自装卸功能（垃圾桶提升倾倒装置），</w:t>
            </w:r>
            <w:r>
              <w:rPr>
                <w:rFonts w:hint="eastAsia" w:ascii="宋体" w:hAnsi="宋体" w:cs="宋体"/>
                <w:bCs/>
              </w:rPr>
              <w:t>要求整体出厂，不得为非法组装车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drawing>
                <wp:inline distT="0" distB="0" distL="114300" distR="114300">
                  <wp:extent cx="2038350" cy="1289050"/>
                  <wp:effectExtent l="0" t="0" r="0" b="6350"/>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pic:cNvPicPr>
                            <a:picLocks noChangeAspect="1"/>
                          </pic:cNvPicPr>
                        </pic:nvPicPr>
                        <pic:blipFill>
                          <a:blip r:embed="rId33"/>
                          <a:stretch>
                            <a:fillRect/>
                          </a:stretch>
                        </pic:blipFill>
                        <pic:spPr>
                          <a:xfrm>
                            <a:off x="0" y="0"/>
                            <a:ext cx="2038350" cy="128905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noWrap w:val="0"/>
            <w:vAlign w:val="top"/>
          </w:tcPr>
          <w:p>
            <w:pPr>
              <w:pStyle w:val="8"/>
              <w:ind w:firstLine="0"/>
              <w:rPr>
                <w:rFonts w:ascii="宋体" w:hAnsi="宋体" w:cs="宋体"/>
                <w:lang w:val="en-US" w:eastAsia="zh-CN"/>
              </w:rPr>
            </w:pPr>
            <w:r>
              <w:rPr>
                <w:rFonts w:hint="eastAsia" w:ascii="宋体" w:hAnsi="宋体" w:cs="宋体"/>
                <w:lang w:val="en-US" w:eastAsia="zh-CN"/>
              </w:rPr>
              <w:t>22</w:t>
            </w:r>
          </w:p>
        </w:tc>
        <w:tc>
          <w:tcPr>
            <w:tcW w:w="78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人员清扫保洁车（封闭式）</w:t>
            </w:r>
          </w:p>
        </w:tc>
        <w:tc>
          <w:tcPr>
            <w:tcW w:w="1022"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10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全密闭式电动三轮（四轮）快速保洁车，要求整体出厂，不得为非法组装车。</w:t>
            </w:r>
          </w:p>
        </w:tc>
        <w:tc>
          <w:tcPr>
            <w:tcW w:w="1928"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r>
      <w:tr>
        <w:tblPrEx>
          <w:tblCellMar>
            <w:top w:w="0" w:type="dxa"/>
            <w:left w:w="108" w:type="dxa"/>
            <w:bottom w:w="0" w:type="dxa"/>
            <w:right w:w="108" w:type="dxa"/>
          </w:tblCellMar>
        </w:tblPrEx>
        <w:tc>
          <w:tcPr>
            <w:tcW w:w="1020" w:type="pct"/>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p>
        </w:tc>
        <w:tc>
          <w:tcPr>
            <w:tcW w:w="3979" w:type="pct"/>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rPr>
            </w:pPr>
            <w:r>
              <w:rPr>
                <w:rFonts w:hint="eastAsia" w:ascii="宋体" w:hAnsi="宋体" w:cs="宋体"/>
              </w:rPr>
              <w:t>建议机动车辆排放达到国五标准及以上</w:t>
            </w:r>
          </w:p>
        </w:tc>
      </w:tr>
    </w:tbl>
    <w:p>
      <w:pPr>
        <w:autoSpaceDE w:val="0"/>
        <w:autoSpaceDN w:val="0"/>
        <w:adjustRightInd w:val="0"/>
        <w:spacing w:line="440" w:lineRule="exact"/>
        <w:ind w:firstLine="422" w:firstLineChars="200"/>
        <w:textAlignment w:val="bottom"/>
        <w:rPr>
          <w:rFonts w:hint="eastAsia" w:ascii="宋体" w:hAnsi="宋体" w:cs="宋体"/>
          <w:b/>
          <w:szCs w:val="21"/>
        </w:rPr>
      </w:pPr>
      <w:bookmarkStart w:id="220" w:name="_Toc17118"/>
      <w:bookmarkStart w:id="221" w:name="_Toc1576"/>
      <w:bookmarkStart w:id="222" w:name="_Toc25512"/>
      <w:bookmarkStart w:id="223" w:name="_Toc3050"/>
      <w:r>
        <w:rPr>
          <w:rFonts w:hint="eastAsia" w:ascii="宋体" w:hAnsi="宋体" w:cs="宋体"/>
          <w:b/>
          <w:szCs w:val="21"/>
        </w:rPr>
        <w:t>注：以上车辆图片仅供参考，不作为品牌推荐或今后实施过程中配置要求。</w:t>
      </w:r>
    </w:p>
    <w:p>
      <w:pPr>
        <w:autoSpaceDE w:val="0"/>
        <w:autoSpaceDN w:val="0"/>
        <w:adjustRightInd w:val="0"/>
        <w:spacing w:line="440" w:lineRule="exact"/>
        <w:ind w:firstLine="422" w:firstLineChars="200"/>
        <w:textAlignment w:val="bottom"/>
        <w:outlineLvl w:val="2"/>
        <w:rPr>
          <w:rFonts w:hint="eastAsia" w:ascii="宋体" w:hAnsi="宋体" w:cs="宋体"/>
          <w:b/>
          <w:szCs w:val="21"/>
        </w:rPr>
      </w:pPr>
      <w:bookmarkStart w:id="224" w:name="_Toc12764"/>
      <w:bookmarkStart w:id="225" w:name="_Toc9315"/>
      <w:r>
        <w:rPr>
          <w:rFonts w:hint="eastAsia" w:ascii="宋体" w:hAnsi="宋体" w:cs="宋体"/>
          <w:b/>
          <w:szCs w:val="21"/>
        </w:rPr>
        <w:t>（十）机械作业规范要求</w:t>
      </w:r>
      <w:bookmarkEnd w:id="220"/>
      <w:bookmarkEnd w:id="221"/>
      <w:bookmarkEnd w:id="222"/>
      <w:bookmarkEnd w:id="223"/>
      <w:bookmarkEnd w:id="224"/>
      <w:bookmarkEnd w:id="225"/>
    </w:p>
    <w:p>
      <w:pPr>
        <w:autoSpaceDE w:val="0"/>
        <w:autoSpaceDN w:val="0"/>
        <w:adjustRightInd w:val="0"/>
        <w:spacing w:line="440" w:lineRule="exact"/>
        <w:ind w:firstLine="525" w:firstLineChars="250"/>
        <w:textAlignment w:val="bottom"/>
        <w:rPr>
          <w:rFonts w:hint="eastAsia" w:ascii="宋体" w:hAnsi="宋体" w:cs="宋体"/>
          <w:szCs w:val="21"/>
        </w:rPr>
      </w:pPr>
      <w:r>
        <w:rPr>
          <w:rFonts w:hint="eastAsia" w:ascii="宋体" w:hAnsi="宋体" w:cs="宋体"/>
          <w:szCs w:val="21"/>
        </w:rPr>
        <w:t>1、机械化清扫车和洒水车等机械作业车辆出车前必须进行车辆检查，发现故障及时排除，禁止带故障运行。</w:t>
      </w:r>
    </w:p>
    <w:p>
      <w:pPr>
        <w:autoSpaceDE w:val="0"/>
        <w:autoSpaceDN w:val="0"/>
        <w:adjustRightInd w:val="0"/>
        <w:spacing w:line="440" w:lineRule="exact"/>
        <w:ind w:firstLine="525" w:firstLineChars="250"/>
        <w:textAlignment w:val="bottom"/>
        <w:rPr>
          <w:rFonts w:hint="eastAsia" w:ascii="宋体" w:hAnsi="宋体" w:cs="宋体"/>
          <w:szCs w:val="21"/>
        </w:rPr>
      </w:pPr>
      <w:r>
        <w:rPr>
          <w:rFonts w:hint="eastAsia" w:ascii="宋体" w:hAnsi="宋体" w:cs="宋体"/>
          <w:szCs w:val="21"/>
        </w:rPr>
        <w:t>2、驾驶员在工作过程中，要遵守道路交通安全法，礼让行车，注意行人的安全。</w:t>
      </w:r>
    </w:p>
    <w:p>
      <w:pPr>
        <w:autoSpaceDE w:val="0"/>
        <w:autoSpaceDN w:val="0"/>
        <w:adjustRightInd w:val="0"/>
        <w:spacing w:line="440" w:lineRule="exact"/>
        <w:ind w:firstLine="525" w:firstLineChars="250"/>
        <w:textAlignment w:val="bottom"/>
        <w:rPr>
          <w:rFonts w:hint="eastAsia" w:ascii="宋体" w:hAnsi="宋体" w:cs="宋体"/>
          <w:szCs w:val="21"/>
        </w:rPr>
      </w:pPr>
      <w:r>
        <w:rPr>
          <w:rFonts w:hint="eastAsia" w:ascii="宋体" w:hAnsi="宋体" w:cs="宋体"/>
          <w:szCs w:val="21"/>
        </w:rPr>
        <w:t>3、垃圾收集车辆（含机动车和非机动车）一定装有密封盖子，在运输时必须采用全封闭避免滴洒漏情况发生。</w:t>
      </w:r>
    </w:p>
    <w:p>
      <w:pPr>
        <w:autoSpaceDE w:val="0"/>
        <w:autoSpaceDN w:val="0"/>
        <w:adjustRightInd w:val="0"/>
        <w:spacing w:line="440" w:lineRule="exact"/>
        <w:ind w:firstLine="525" w:firstLineChars="250"/>
        <w:textAlignment w:val="bottom"/>
        <w:rPr>
          <w:rFonts w:hint="eastAsia" w:ascii="宋体" w:hAnsi="宋体" w:cs="宋体"/>
          <w:szCs w:val="21"/>
        </w:rPr>
      </w:pPr>
      <w:r>
        <w:rPr>
          <w:rFonts w:hint="eastAsia" w:ascii="宋体" w:hAnsi="宋体" w:cs="宋体"/>
          <w:szCs w:val="21"/>
        </w:rPr>
        <w:t>4、机械作业车辆停车场地由中标供应商自行解决。中标供应商须配置洗车设备，车辆外观整洁，及时清洗。</w:t>
      </w:r>
    </w:p>
    <w:p>
      <w:pPr>
        <w:autoSpaceDE w:val="0"/>
        <w:autoSpaceDN w:val="0"/>
        <w:adjustRightInd w:val="0"/>
        <w:spacing w:line="440" w:lineRule="exact"/>
        <w:ind w:firstLine="525" w:firstLineChars="250"/>
        <w:textAlignment w:val="bottom"/>
        <w:rPr>
          <w:rFonts w:hint="eastAsia" w:ascii="宋体" w:hAnsi="宋体" w:cs="宋体"/>
          <w:szCs w:val="21"/>
        </w:rPr>
      </w:pPr>
      <w:r>
        <w:rPr>
          <w:rFonts w:hint="eastAsia" w:ascii="宋体" w:hAnsi="宋体" w:cs="宋体"/>
          <w:szCs w:val="21"/>
        </w:rPr>
        <w:t>5、河道保洁船舶符合航管部门要求，作业器具标识明显，作业行船安全，防止超载、颠覆、进水。安全救生用具配戴齐全，定期实施设施安全检查。河道保洁时,若遇大风、暴雨、下雪停止作业，冰冻天气可适当缩短保洁时间。</w:t>
      </w:r>
    </w:p>
    <w:p>
      <w:pPr>
        <w:autoSpaceDE w:val="0"/>
        <w:autoSpaceDN w:val="0"/>
        <w:adjustRightInd w:val="0"/>
        <w:spacing w:line="440" w:lineRule="exact"/>
        <w:ind w:firstLine="422" w:firstLineChars="200"/>
        <w:textAlignment w:val="bottom"/>
        <w:outlineLvl w:val="2"/>
        <w:rPr>
          <w:rFonts w:hint="eastAsia" w:ascii="宋体" w:hAnsi="宋体" w:cs="宋体"/>
          <w:b/>
          <w:szCs w:val="21"/>
        </w:rPr>
      </w:pPr>
      <w:bookmarkStart w:id="226" w:name="_Toc16254"/>
      <w:bookmarkStart w:id="227" w:name="_Toc2537"/>
      <w:bookmarkStart w:id="228" w:name="_Toc291"/>
      <w:bookmarkStart w:id="229" w:name="_Toc16932"/>
      <w:bookmarkStart w:id="230" w:name="_Toc8929"/>
      <w:bookmarkStart w:id="231" w:name="_Toc99"/>
      <w:r>
        <w:rPr>
          <w:rFonts w:hint="eastAsia" w:ascii="宋体" w:hAnsi="宋体" w:cs="宋体"/>
          <w:b/>
          <w:szCs w:val="21"/>
        </w:rPr>
        <w:t>（十一）《瑞安市智慧环卫监管平台》系统接入配置基本要求</w:t>
      </w:r>
      <w:bookmarkEnd w:id="226"/>
      <w:bookmarkEnd w:id="227"/>
      <w:bookmarkEnd w:id="228"/>
      <w:bookmarkEnd w:id="229"/>
      <w:bookmarkEnd w:id="230"/>
      <w:bookmarkEnd w:id="231"/>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szCs w:val="21"/>
        </w:rPr>
        <w:t>1、本项目供应商所有一线服务人员</w:t>
      </w:r>
      <w:r>
        <w:rPr>
          <w:rFonts w:hint="eastAsia" w:ascii="宋体" w:hAnsi="宋体" w:cs="宋体"/>
          <w:b/>
          <w:color w:val="auto"/>
          <w:szCs w:val="21"/>
        </w:rPr>
        <w:t>、车辆机械和有条件的公厕等均纳入《瑞安市智慧环卫监管平台》进行监管。供应商服务人员、车辆机械监控、视频监控软硬件、流量费由中标供应商自行采购、自行承担成本，确保能够接入采购人《瑞安市智慧环卫监管平台》管理。</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2、中标供应商必须在中标通知书发布之日起15日内完成设备的采购及安装。</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3、本项目供应商进场作业后，需在7日内将车辆作业排班表上报至市综合行政执法局智慧环卫监管平台和各乡镇（街道）相关部门并通过审核，进场作业15日内将数据录入平台系统和规划作业区域、路线、时间，进场作业30日后进行正式监管考核。逾期未接入的，每辆车辆迟一天扣罚1500元。</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本项目供应商进场作业后，需在15日内将服务人员作业排班表上报至市综合行政执法局智慧环卫监管平台和各乡镇（街道）相关部门并通过审核，进场作业30日内将数据录入平台系统和规划作业区域、路线、时间，进场作业60日后完成调试，调试完成后次月开始进行正式监管考核。人员设备逾期未接入达不到监管要求的，每少接入1台人员终端设备迟一天扣罚400元。</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车辆或人员逾期15天及以上未接入市综合行政执法局智慧环卫监管平台的，除按上述条款扣罚外，另记1次书面警告（或严重警告），以此类推。</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4、本项目按《瑞安市“一把扫帚”智慧环卫平台监管考核细则》实施。</w:t>
      </w:r>
    </w:p>
    <w:p>
      <w:pPr>
        <w:autoSpaceDE w:val="0"/>
        <w:autoSpaceDN w:val="0"/>
        <w:adjustRightInd w:val="0"/>
        <w:spacing w:line="44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5、春节假期期间人员及车辆考核的约定</w:t>
      </w:r>
    </w:p>
    <w:p>
      <w:pPr>
        <w:autoSpaceDE w:val="0"/>
        <w:autoSpaceDN w:val="0"/>
        <w:adjustRightInd w:val="0"/>
        <w:snapToGrid w:val="0"/>
        <w:spacing w:line="400" w:lineRule="exact"/>
        <w:ind w:firstLine="310" w:firstLineChars="147"/>
        <w:textAlignment w:val="bottom"/>
        <w:rPr>
          <w:rFonts w:hint="eastAsia" w:ascii="宋体" w:hAnsi="宋体" w:eastAsia="宋体" w:cs="宋体"/>
          <w:b/>
          <w:color w:val="auto"/>
          <w:szCs w:val="21"/>
        </w:rPr>
      </w:pP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1</w:t>
      </w:r>
      <w:r>
        <w:rPr>
          <w:rFonts w:hint="eastAsia" w:ascii="宋体" w:hAnsi="宋体" w:eastAsia="宋体" w:cs="宋体"/>
          <w:b/>
          <w:color w:val="auto"/>
          <w:szCs w:val="21"/>
          <w:lang w:eastAsia="zh-CN"/>
        </w:rPr>
        <w:t>）</w:t>
      </w:r>
      <w:r>
        <w:rPr>
          <w:rFonts w:hint="eastAsia" w:ascii="宋体" w:hAnsi="宋体" w:eastAsia="宋体" w:cs="宋体"/>
          <w:b/>
          <w:color w:val="auto"/>
          <w:szCs w:val="21"/>
        </w:rPr>
        <w:t>春节假期之日起前10日，此期间经平台考核人员GPS到位率在85%及以上，将不再进行扣罚。人员GPS到位率低于85%的，按照考核办法进行扣罚。其他按照考核规定执行。</w:t>
      </w:r>
    </w:p>
    <w:p>
      <w:pPr>
        <w:autoSpaceDE w:val="0"/>
        <w:autoSpaceDN w:val="0"/>
        <w:adjustRightInd w:val="0"/>
        <w:snapToGrid w:val="0"/>
        <w:spacing w:line="400" w:lineRule="exact"/>
        <w:ind w:firstLine="310" w:firstLineChars="147"/>
        <w:textAlignment w:val="bottom"/>
        <w:rPr>
          <w:rFonts w:hint="eastAsia" w:ascii="宋体" w:hAnsi="宋体" w:eastAsia="宋体" w:cs="宋体"/>
          <w:b/>
          <w:color w:val="auto"/>
          <w:szCs w:val="21"/>
        </w:rPr>
      </w:pP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2</w:t>
      </w:r>
      <w:r>
        <w:rPr>
          <w:rFonts w:hint="eastAsia" w:ascii="宋体" w:hAnsi="宋体" w:eastAsia="宋体" w:cs="宋体"/>
          <w:b/>
          <w:color w:val="auto"/>
          <w:szCs w:val="21"/>
          <w:lang w:eastAsia="zh-CN"/>
        </w:rPr>
        <w:t>）</w:t>
      </w:r>
      <w:r>
        <w:rPr>
          <w:rFonts w:hint="eastAsia" w:ascii="宋体" w:hAnsi="宋体" w:eastAsia="宋体" w:cs="宋体"/>
          <w:b/>
          <w:color w:val="auto"/>
          <w:szCs w:val="21"/>
        </w:rPr>
        <w:t>春节假期期间，此期间经平台考核人员GPS到位率在80%及以上和小型车辆GPS使用率在50%及以上，将不再进行扣罚。人员GPS到位率低于80%和小型车辆GPS使用率低于50%的，按照考核办法进行扣罚。其他按照考核规定执行。</w:t>
      </w:r>
    </w:p>
    <w:p>
      <w:pPr>
        <w:autoSpaceDE w:val="0"/>
        <w:autoSpaceDN w:val="0"/>
        <w:adjustRightInd w:val="0"/>
        <w:snapToGrid w:val="0"/>
        <w:spacing w:line="400" w:lineRule="exact"/>
        <w:ind w:firstLine="310" w:firstLineChars="147"/>
        <w:textAlignment w:val="bottom"/>
        <w:rPr>
          <w:rFonts w:hint="eastAsia" w:ascii="宋体" w:hAnsi="宋体" w:eastAsia="宋体" w:cs="宋体"/>
          <w:b/>
          <w:szCs w:val="21"/>
        </w:rPr>
      </w:pP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3</w:t>
      </w:r>
      <w:r>
        <w:rPr>
          <w:rFonts w:hint="eastAsia" w:ascii="宋体" w:hAnsi="宋体" w:eastAsia="宋体" w:cs="宋体"/>
          <w:b/>
          <w:color w:val="auto"/>
          <w:szCs w:val="21"/>
          <w:lang w:eastAsia="zh-CN"/>
        </w:rPr>
        <w:t>）</w:t>
      </w:r>
      <w:r>
        <w:rPr>
          <w:rFonts w:hint="eastAsia" w:ascii="宋体" w:hAnsi="宋体" w:eastAsia="宋体" w:cs="宋体"/>
          <w:b/>
          <w:color w:val="auto"/>
          <w:szCs w:val="21"/>
        </w:rPr>
        <w:t>春节假期结束之日起后10日，此期间经平台考核人</w:t>
      </w:r>
      <w:r>
        <w:rPr>
          <w:rFonts w:hint="eastAsia" w:ascii="宋体" w:hAnsi="宋体" w:eastAsia="宋体" w:cs="宋体"/>
          <w:b/>
          <w:szCs w:val="21"/>
        </w:rPr>
        <w:t>员GPS到位率在85%及以上的，将不再进行扣罚。人员GPS到位率低于85%的，按照考核办法进行扣罚。其他按照考核规定执行。</w:t>
      </w:r>
    </w:p>
    <w:p>
      <w:pPr>
        <w:autoSpaceDE w:val="0"/>
        <w:autoSpaceDN w:val="0"/>
        <w:adjustRightInd w:val="0"/>
        <w:spacing w:line="440" w:lineRule="exact"/>
        <w:ind w:firstLine="422" w:firstLineChars="200"/>
        <w:textAlignment w:val="bottom"/>
        <w:rPr>
          <w:rFonts w:hint="eastAsia" w:ascii="宋体" w:hAnsi="宋体" w:cs="宋体"/>
          <w:b/>
          <w:szCs w:val="21"/>
        </w:rPr>
      </w:pPr>
      <w:r>
        <w:rPr>
          <w:rFonts w:hint="eastAsia" w:ascii="宋体" w:hAnsi="宋体" w:cs="宋体"/>
          <w:b/>
          <w:szCs w:val="21"/>
          <w:lang w:val="en-US" w:eastAsia="zh-CN"/>
        </w:rPr>
        <w:t>6、</w:t>
      </w:r>
      <w:r>
        <w:rPr>
          <w:rFonts w:hint="eastAsia" w:ascii="宋体" w:hAnsi="宋体" w:cs="宋体"/>
          <w:b/>
          <w:szCs w:val="21"/>
        </w:rPr>
        <w:t>《瑞安市智慧环卫监管平台》系统接入参数要求</w:t>
      </w:r>
    </w:p>
    <w:p>
      <w:pPr>
        <w:pStyle w:val="2"/>
        <w:snapToGrid w:val="0"/>
        <w:spacing w:after="0" w:line="400" w:lineRule="exact"/>
        <w:ind w:left="0" w:leftChars="0"/>
        <w:rPr>
          <w:rFonts w:hint="eastAsia" w:ascii="宋体" w:hAnsi="宋体" w:cs="宋体"/>
          <w:b/>
          <w:szCs w:val="21"/>
        </w:rPr>
      </w:pPr>
      <w:r>
        <w:rPr>
          <w:rFonts w:hint="eastAsia" w:ascii="宋体" w:hAnsi="宋体" w:cs="宋体"/>
          <w:b/>
          <w:szCs w:val="21"/>
        </w:rPr>
        <w:t xml:space="preserve">   （1）《瑞安市智慧环卫监管平台》系统接入方法</w:t>
      </w:r>
    </w:p>
    <w:p>
      <w:pPr>
        <w:pStyle w:val="2"/>
        <w:snapToGrid w:val="0"/>
        <w:spacing w:after="0" w:line="400" w:lineRule="exact"/>
        <w:ind w:left="0" w:leftChars="0" w:firstLine="450"/>
        <w:rPr>
          <w:rFonts w:hint="eastAsia" w:ascii="宋体" w:hAnsi="宋体" w:cs="宋体"/>
          <w:b/>
          <w:szCs w:val="21"/>
        </w:rPr>
      </w:pPr>
      <w:r>
        <w:rPr>
          <w:rFonts w:hint="eastAsia" w:ascii="宋体" w:hAnsi="宋体" w:cs="宋体"/>
          <w:b/>
          <w:szCs w:val="21"/>
        </w:rPr>
        <w:t>①车辆接入要求：车辆定位终端设备必须符合《中华人民共和国交通运输行业标准》JT/T808通讯协议；车载视频监控终端设备必须符合《道路运输车辆卫星定位系统车载视频通信协议》JT/T1078-2016标准。具体接入方式供应商中标后跟采购人智慧环卫监管平台技术对接。</w:t>
      </w:r>
    </w:p>
    <w:p>
      <w:pPr>
        <w:pStyle w:val="2"/>
        <w:snapToGrid w:val="0"/>
        <w:spacing w:after="0" w:line="400" w:lineRule="exact"/>
        <w:ind w:left="0" w:leftChars="0" w:firstLine="450"/>
        <w:rPr>
          <w:rFonts w:hint="eastAsia" w:ascii="宋体" w:hAnsi="宋体" w:cs="宋体"/>
          <w:b/>
          <w:szCs w:val="21"/>
        </w:rPr>
      </w:pPr>
      <w:r>
        <w:rPr>
          <w:rFonts w:hint="eastAsia" w:ascii="宋体" w:hAnsi="宋体" w:cs="宋体"/>
          <w:b/>
          <w:szCs w:val="21"/>
        </w:rPr>
        <w:t>②人员接入要求：供应商中标后跟采购人智慧环卫监管平台技术对接，自行采购终端设备，但该终端设备必须与采购人智慧环卫监管平台接入协议一致，根据接入协议确定服务人员、车辆机械等终端设备。</w:t>
      </w:r>
    </w:p>
    <w:p>
      <w:pPr>
        <w:autoSpaceDE w:val="0"/>
        <w:autoSpaceDN w:val="0"/>
        <w:adjustRightInd w:val="0"/>
        <w:snapToGrid w:val="0"/>
        <w:spacing w:line="400" w:lineRule="exact"/>
        <w:ind w:firstLine="310" w:firstLineChars="147"/>
        <w:textAlignment w:val="bottom"/>
        <w:rPr>
          <w:rFonts w:hint="eastAsia" w:ascii="宋体" w:hAnsi="宋体" w:cs="宋体"/>
          <w:b/>
          <w:szCs w:val="21"/>
        </w:rPr>
      </w:pPr>
      <w:r>
        <w:rPr>
          <w:rFonts w:hint="eastAsia" w:ascii="宋体" w:hAnsi="宋体" w:cs="宋体"/>
          <w:b/>
          <w:szCs w:val="21"/>
        </w:rPr>
        <w:t>（2）服务人员、车辆接入平台设备参考配置表</w:t>
      </w:r>
    </w:p>
    <w:tbl>
      <w:tblPr>
        <w:tblStyle w:val="29"/>
        <w:tblW w:w="0" w:type="auto"/>
        <w:tblInd w:w="94" w:type="dxa"/>
        <w:tblLayout w:type="fixed"/>
        <w:tblCellMar>
          <w:top w:w="0" w:type="dxa"/>
          <w:left w:w="108" w:type="dxa"/>
          <w:bottom w:w="0" w:type="dxa"/>
          <w:right w:w="108" w:type="dxa"/>
        </w:tblCellMar>
      </w:tblPr>
      <w:tblGrid>
        <w:gridCol w:w="865"/>
        <w:gridCol w:w="1095"/>
        <w:gridCol w:w="1358"/>
        <w:gridCol w:w="798"/>
        <w:gridCol w:w="812"/>
        <w:gridCol w:w="4703"/>
      </w:tblGrid>
      <w:tr>
        <w:tblPrEx>
          <w:tblCellMar>
            <w:top w:w="0" w:type="dxa"/>
            <w:left w:w="108" w:type="dxa"/>
            <w:bottom w:w="0" w:type="dxa"/>
            <w:right w:w="108" w:type="dxa"/>
          </w:tblCellMar>
        </w:tblPrEx>
        <w:trPr>
          <w:trHeight w:val="60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序号</w:t>
            </w:r>
          </w:p>
        </w:tc>
        <w:tc>
          <w:tcPr>
            <w:tcW w:w="1095"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类别</w:t>
            </w:r>
          </w:p>
        </w:tc>
        <w:tc>
          <w:tcPr>
            <w:tcW w:w="1358" w:type="dxa"/>
            <w:tcBorders>
              <w:top w:val="single" w:color="auto" w:sz="4" w:space="0"/>
              <w:left w:val="nil"/>
              <w:bottom w:val="nil"/>
              <w:right w:val="single" w:color="auto" w:sz="4" w:space="0"/>
            </w:tcBorders>
            <w:noWrap w:val="0"/>
            <w:vAlign w:val="center"/>
          </w:tcPr>
          <w:p>
            <w:pPr>
              <w:rPr>
                <w:rFonts w:hint="eastAsia" w:ascii="宋体" w:hAnsi="宋体" w:cs="宋体"/>
                <w:szCs w:val="21"/>
              </w:rPr>
            </w:pPr>
            <w:r>
              <w:rPr>
                <w:rFonts w:hint="eastAsia" w:ascii="宋体" w:hAnsi="宋体" w:cs="宋体"/>
                <w:szCs w:val="21"/>
              </w:rPr>
              <w:t>产品类型</w:t>
            </w:r>
          </w:p>
        </w:tc>
        <w:tc>
          <w:tcPr>
            <w:tcW w:w="798"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单位</w:t>
            </w:r>
          </w:p>
        </w:tc>
        <w:tc>
          <w:tcPr>
            <w:tcW w:w="812"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数量</w:t>
            </w:r>
          </w:p>
        </w:tc>
        <w:tc>
          <w:tcPr>
            <w:tcW w:w="4703"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型号/技术参数</w:t>
            </w:r>
          </w:p>
        </w:tc>
      </w:tr>
      <w:tr>
        <w:tblPrEx>
          <w:tblCellMar>
            <w:top w:w="0" w:type="dxa"/>
            <w:left w:w="108" w:type="dxa"/>
            <w:bottom w:w="0" w:type="dxa"/>
            <w:right w:w="108" w:type="dxa"/>
          </w:tblCellMar>
        </w:tblPrEx>
        <w:trPr>
          <w:trHeight w:val="600" w:hRule="atLeast"/>
        </w:trPr>
        <w:tc>
          <w:tcPr>
            <w:tcW w:w="9631" w:type="dxa"/>
            <w:gridSpan w:val="6"/>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一、车辆管理部分（单车配置）</w:t>
            </w:r>
          </w:p>
        </w:tc>
      </w:tr>
      <w:tr>
        <w:tblPrEx>
          <w:tblCellMar>
            <w:top w:w="0" w:type="dxa"/>
            <w:left w:w="108" w:type="dxa"/>
            <w:bottom w:w="0" w:type="dxa"/>
            <w:right w:w="108" w:type="dxa"/>
          </w:tblCellMar>
        </w:tblPrEx>
        <w:trPr>
          <w:trHeight w:val="600" w:hRule="atLeast"/>
        </w:trPr>
        <w:tc>
          <w:tcPr>
            <w:tcW w:w="865" w:type="dxa"/>
            <w:vMerge w:val="restart"/>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1095" w:type="dxa"/>
            <w:vMerge w:val="restart"/>
            <w:tcBorders>
              <w:top w:val="nil"/>
              <w:left w:val="single" w:color="auto" w:sz="4" w:space="0"/>
              <w:bottom w:val="single" w:color="000000"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扫地/洗扫车</w:t>
            </w:r>
          </w:p>
        </w:tc>
        <w:tc>
          <w:tcPr>
            <w:tcW w:w="135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超声波油位计（选配）</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油位传感器油位高度测量的分辨率为≤ 0.1mm，测量精度为≤±0.5%；</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车载信息监控终端可以接入各类传感器</w:t>
            </w:r>
            <w:r>
              <w:rPr>
                <w:rFonts w:hint="eastAsia" w:ascii="宋体" w:hAnsi="宋体" w:cs="宋体"/>
                <w:szCs w:val="21"/>
              </w:rPr>
              <w:br w:type="textWrapping"/>
            </w:r>
            <w:r>
              <w:rPr>
                <w:rFonts w:hint="eastAsia" w:ascii="宋体" w:hAnsi="宋体" w:cs="宋体"/>
                <w:szCs w:val="21"/>
              </w:rPr>
              <w:t>工作电压 9VDC～36VDC</w:t>
            </w:r>
            <w:r>
              <w:rPr>
                <w:rFonts w:hint="eastAsia" w:ascii="宋体" w:hAnsi="宋体" w:cs="宋体"/>
                <w:szCs w:val="21"/>
              </w:rPr>
              <w:br w:type="textWrapping"/>
            </w:r>
            <w:r>
              <w:rPr>
                <w:rFonts w:hint="eastAsia" w:ascii="宋体" w:hAnsi="宋体" w:cs="宋体"/>
                <w:szCs w:val="21"/>
              </w:rPr>
              <w:t>工作电流 50mA~750mA</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车载硬盘录像机</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图像压缩 H.264 Main Profile :双码流</w:t>
            </w:r>
            <w:r>
              <w:rPr>
                <w:rFonts w:hint="eastAsia" w:ascii="宋体" w:hAnsi="宋体" w:cs="宋体"/>
                <w:szCs w:val="21"/>
              </w:rPr>
              <w:br w:type="textWrapping"/>
            </w:r>
            <w:r>
              <w:rPr>
                <w:rFonts w:hint="eastAsia" w:ascii="宋体" w:hAnsi="宋体" w:cs="宋体"/>
                <w:szCs w:val="21"/>
              </w:rPr>
              <w:t>音、视频输入/出 4路输入、1路输出</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车载监控摄像头（车内）</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图像传感器 1/3"  HDIS视频制式 PAL</w:t>
            </w:r>
            <w:r>
              <w:rPr>
                <w:rFonts w:hint="eastAsia" w:ascii="宋体" w:hAnsi="宋体" w:cs="宋体"/>
                <w:szCs w:val="21"/>
              </w:rPr>
              <w:br w:type="textWrapping"/>
            </w:r>
            <w:r>
              <w:rPr>
                <w:rFonts w:hint="eastAsia" w:ascii="宋体" w:hAnsi="宋体" w:cs="宋体"/>
                <w:szCs w:val="21"/>
              </w:rPr>
              <w:t>有效像素大于等于 976(H)×496(V）红外线照射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车载监控摄像头（车外）</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影像传感器 1/3" HDIS清晰度 720TVL</w:t>
            </w:r>
            <w:r>
              <w:rPr>
                <w:rFonts w:hint="eastAsia" w:ascii="宋体" w:hAnsi="宋体" w:cs="宋体"/>
                <w:szCs w:val="21"/>
              </w:rPr>
              <w:br w:type="textWrapping"/>
            </w:r>
            <w:r>
              <w:rPr>
                <w:rFonts w:hint="eastAsia" w:ascii="宋体" w:hAnsi="宋体" w:cs="宋体"/>
                <w:szCs w:val="21"/>
              </w:rPr>
              <w:t>像素大于等于 960(H) ×496(V)红外线照射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车载显示屏</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屏幕尺寸 7寸-10寸</w:t>
            </w:r>
            <w:r>
              <w:rPr>
                <w:rFonts w:hint="eastAsia" w:ascii="宋体" w:hAnsi="宋体" w:cs="宋体"/>
                <w:szCs w:val="21"/>
              </w:rPr>
              <w:br w:type="textWrapping"/>
            </w:r>
            <w:r>
              <w:rPr>
                <w:rFonts w:hint="eastAsia" w:ascii="宋体" w:hAnsi="宋体" w:cs="宋体"/>
                <w:szCs w:val="21"/>
              </w:rPr>
              <w:t>像素大于等于  800*RGB*480</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扫盘传感器</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pStyle w:val="2"/>
              <w:rPr>
                <w:rFonts w:hint="eastAsia" w:ascii="宋体" w:hAnsi="宋体" w:cs="宋体"/>
                <w:szCs w:val="21"/>
              </w:rPr>
            </w:pPr>
            <w:r>
              <w:rPr>
                <w:rFonts w:hint="eastAsia" w:ascii="宋体" w:hAnsi="宋体" w:cs="宋体"/>
              </w:rPr>
              <w:t>电压范围10~30V DC</w:t>
            </w:r>
            <w:r>
              <w:rPr>
                <w:rFonts w:hint="eastAsia" w:ascii="宋体" w:hAnsi="宋体" w:cs="宋体"/>
              </w:rPr>
              <w:br w:type="textWrapping"/>
            </w:r>
            <w:r>
              <w:rPr>
                <w:rFonts w:hint="eastAsia" w:ascii="宋体" w:hAnsi="宋体" w:cs="宋体"/>
              </w:rPr>
              <w:t>检测距离10mm；</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流量费（3年）</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台/年</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终端≥40M/月，可24小时使用；视频≥20G 每年；视频可单通道观看23小时</w:t>
            </w:r>
          </w:p>
        </w:tc>
      </w:tr>
      <w:tr>
        <w:tblPrEx>
          <w:tblCellMar>
            <w:top w:w="0" w:type="dxa"/>
            <w:left w:w="108" w:type="dxa"/>
            <w:bottom w:w="0" w:type="dxa"/>
            <w:right w:w="108" w:type="dxa"/>
          </w:tblCellMar>
        </w:tblPrEx>
        <w:trPr>
          <w:trHeight w:val="600" w:hRule="atLeast"/>
        </w:trPr>
        <w:tc>
          <w:tcPr>
            <w:tcW w:w="865"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1095" w:type="dxa"/>
            <w:tcBorders>
              <w:top w:val="nil"/>
              <w:left w:val="nil"/>
              <w:bottom w:val="nil"/>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135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600" w:hRule="atLeast"/>
        </w:trPr>
        <w:tc>
          <w:tcPr>
            <w:tcW w:w="865" w:type="dxa"/>
            <w:vMerge w:val="restart"/>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2</w:t>
            </w:r>
          </w:p>
        </w:tc>
        <w:tc>
          <w:tcPr>
            <w:tcW w:w="1095" w:type="dxa"/>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洒水（冲洗、抑尘）车</w:t>
            </w:r>
          </w:p>
        </w:tc>
        <w:tc>
          <w:tcPr>
            <w:tcW w:w="135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超声波油位计（选配）</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油位传感器油位高度测量的分辨率为≤ 0.1mm，测量精度为≤±0.5%；</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车载信息监控终端可以接入各类传感器</w:t>
            </w:r>
            <w:r>
              <w:rPr>
                <w:rFonts w:hint="eastAsia" w:ascii="宋体" w:hAnsi="宋体" w:cs="宋体"/>
                <w:szCs w:val="21"/>
              </w:rPr>
              <w:br w:type="textWrapping"/>
            </w:r>
            <w:r>
              <w:rPr>
                <w:rFonts w:hint="eastAsia" w:ascii="宋体" w:hAnsi="宋体" w:cs="宋体"/>
                <w:szCs w:val="21"/>
              </w:rPr>
              <w:t>工作电压 9VDC～36VDC</w:t>
            </w:r>
            <w:r>
              <w:rPr>
                <w:rFonts w:hint="eastAsia" w:ascii="宋体" w:hAnsi="宋体" w:cs="宋体"/>
                <w:szCs w:val="21"/>
              </w:rPr>
              <w:br w:type="textWrapping"/>
            </w:r>
            <w:r>
              <w:rPr>
                <w:rFonts w:hint="eastAsia" w:ascii="宋体" w:hAnsi="宋体" w:cs="宋体"/>
                <w:szCs w:val="21"/>
              </w:rPr>
              <w:t>工作电流 50mA~750mA</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车载硬盘录像机</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图像压缩 H.264 Main Profile :双码流</w:t>
            </w:r>
            <w:r>
              <w:rPr>
                <w:rFonts w:hint="eastAsia" w:ascii="宋体" w:hAnsi="宋体" w:cs="宋体"/>
                <w:szCs w:val="21"/>
              </w:rPr>
              <w:br w:type="textWrapping"/>
            </w:r>
            <w:r>
              <w:rPr>
                <w:rFonts w:hint="eastAsia" w:ascii="宋体" w:hAnsi="宋体" w:cs="宋体"/>
                <w:szCs w:val="21"/>
              </w:rPr>
              <w:t>音、视频输入/出 4路输入、1路输出</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车载监控摄像头（车内）</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图像传感器 1/3"  HDIS视频制式 PAL</w:t>
            </w:r>
            <w:r>
              <w:rPr>
                <w:rFonts w:hint="eastAsia" w:ascii="宋体" w:hAnsi="宋体" w:cs="宋体"/>
                <w:szCs w:val="21"/>
              </w:rPr>
              <w:br w:type="textWrapping"/>
            </w:r>
            <w:r>
              <w:rPr>
                <w:rFonts w:hint="eastAsia" w:ascii="宋体" w:hAnsi="宋体" w:cs="宋体"/>
                <w:szCs w:val="21"/>
              </w:rPr>
              <w:t>有效像素大于等于 976(H)×496(V）红外线照射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车载监控摄像头（车外）</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影像传感器 1/3" HDIS清晰度 720TVL</w:t>
            </w:r>
            <w:r>
              <w:rPr>
                <w:rFonts w:hint="eastAsia" w:ascii="宋体" w:hAnsi="宋体" w:cs="宋体"/>
                <w:szCs w:val="21"/>
              </w:rPr>
              <w:br w:type="textWrapping"/>
            </w:r>
            <w:r>
              <w:rPr>
                <w:rFonts w:hint="eastAsia" w:ascii="宋体" w:hAnsi="宋体" w:cs="宋体"/>
                <w:szCs w:val="21"/>
              </w:rPr>
              <w:t>像素大于等于 960(H) ×496(V)红外线照射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车载显示屏</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屏幕尺寸 7寸-10寸</w:t>
            </w:r>
            <w:r>
              <w:rPr>
                <w:rFonts w:hint="eastAsia" w:ascii="宋体" w:hAnsi="宋体" w:cs="宋体"/>
                <w:szCs w:val="21"/>
              </w:rPr>
              <w:br w:type="textWrapping"/>
            </w:r>
            <w:r>
              <w:rPr>
                <w:rFonts w:hint="eastAsia" w:ascii="宋体" w:hAnsi="宋体" w:cs="宋体"/>
                <w:szCs w:val="21"/>
              </w:rPr>
              <w:t>像素大于等于  800*RGB*480</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水流传传感器</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电压范围10~30V DC</w:t>
            </w:r>
            <w:r>
              <w:rPr>
                <w:rFonts w:hint="eastAsia" w:ascii="宋体" w:hAnsi="宋体" w:cs="宋体"/>
                <w:szCs w:val="21"/>
              </w:rPr>
              <w:br w:type="textWrapping"/>
            </w:r>
            <w:r>
              <w:rPr>
                <w:rFonts w:hint="eastAsia" w:ascii="宋体" w:hAnsi="宋体" w:cs="宋体"/>
                <w:szCs w:val="21"/>
              </w:rPr>
              <w:t>检测距离10mm；</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流量费（3年）</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台/年</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终≥端40M/月，可24小时使用；视频≥20G 每年；视频可单通道观看23小时</w:t>
            </w:r>
          </w:p>
        </w:tc>
      </w:tr>
      <w:tr>
        <w:tblPrEx>
          <w:tblCellMar>
            <w:top w:w="0" w:type="dxa"/>
            <w:left w:w="108" w:type="dxa"/>
            <w:bottom w:w="0" w:type="dxa"/>
            <w:right w:w="108" w:type="dxa"/>
          </w:tblCellMar>
        </w:tblPrEx>
        <w:trPr>
          <w:trHeight w:val="600" w:hRule="atLeast"/>
        </w:trPr>
        <w:tc>
          <w:tcPr>
            <w:tcW w:w="865"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1095" w:type="dxa"/>
            <w:tcBorders>
              <w:top w:val="nil"/>
              <w:left w:val="nil"/>
              <w:bottom w:val="nil"/>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7671" w:type="dxa"/>
            <w:gridSpan w:val="4"/>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600" w:hRule="atLeast"/>
        </w:trPr>
        <w:tc>
          <w:tcPr>
            <w:tcW w:w="865" w:type="dxa"/>
            <w:vMerge w:val="restart"/>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3</w:t>
            </w:r>
          </w:p>
        </w:tc>
        <w:tc>
          <w:tcPr>
            <w:tcW w:w="1095" w:type="dxa"/>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垃圾清运（压缩）车/二分类（易腐、其他）垃圾运输车</w:t>
            </w:r>
          </w:p>
        </w:tc>
        <w:tc>
          <w:tcPr>
            <w:tcW w:w="135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超声波油位计（选配）</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油位传感器油位高度测量的分辨率为≤ 0.1mm，测量精度为≤±0.5%；</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车载信息监控终端可以接入各类传感器</w:t>
            </w:r>
            <w:r>
              <w:rPr>
                <w:rFonts w:hint="eastAsia" w:ascii="宋体" w:hAnsi="宋体" w:cs="宋体"/>
                <w:szCs w:val="21"/>
              </w:rPr>
              <w:br w:type="textWrapping"/>
            </w:r>
            <w:r>
              <w:rPr>
                <w:rFonts w:hint="eastAsia" w:ascii="宋体" w:hAnsi="宋体" w:cs="宋体"/>
                <w:szCs w:val="21"/>
              </w:rPr>
              <w:t>工作电压 9VDC～36VDC</w:t>
            </w:r>
            <w:r>
              <w:rPr>
                <w:rFonts w:hint="eastAsia" w:ascii="宋体" w:hAnsi="宋体" w:cs="宋体"/>
                <w:szCs w:val="21"/>
              </w:rPr>
              <w:br w:type="textWrapping"/>
            </w:r>
            <w:r>
              <w:rPr>
                <w:rFonts w:hint="eastAsia" w:ascii="宋体" w:hAnsi="宋体" w:cs="宋体"/>
                <w:szCs w:val="21"/>
              </w:rPr>
              <w:t>工作电流 50mA~750mA</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车载硬盘录像机</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图像压缩 H.264 Main Profile :双码流</w:t>
            </w:r>
            <w:r>
              <w:rPr>
                <w:rFonts w:hint="eastAsia" w:ascii="宋体" w:hAnsi="宋体" w:cs="宋体"/>
                <w:szCs w:val="21"/>
              </w:rPr>
              <w:br w:type="textWrapping"/>
            </w:r>
            <w:r>
              <w:rPr>
                <w:rFonts w:hint="eastAsia" w:ascii="宋体" w:hAnsi="宋体" w:cs="宋体"/>
                <w:szCs w:val="21"/>
              </w:rPr>
              <w:t>音、视频输入/出 4路输入、1路输出</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车载监控摄像头（车内）</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图像传感器 1/3"  HDIS视频制式 PAL</w:t>
            </w:r>
            <w:r>
              <w:rPr>
                <w:rFonts w:hint="eastAsia" w:ascii="宋体" w:hAnsi="宋体" w:cs="宋体"/>
                <w:szCs w:val="21"/>
              </w:rPr>
              <w:br w:type="textWrapping"/>
            </w:r>
            <w:r>
              <w:rPr>
                <w:rFonts w:hint="eastAsia" w:ascii="宋体" w:hAnsi="宋体" w:cs="宋体"/>
                <w:szCs w:val="21"/>
              </w:rPr>
              <w:t>有效像素大于等于 976(H)×496(V）红外线照射</w:t>
            </w:r>
          </w:p>
        </w:tc>
      </w:tr>
      <w:tr>
        <w:tblPrEx>
          <w:tblCellMar>
            <w:top w:w="0" w:type="dxa"/>
            <w:left w:w="108" w:type="dxa"/>
            <w:bottom w:w="0" w:type="dxa"/>
            <w:right w:w="108" w:type="dxa"/>
          </w:tblCellMar>
        </w:tblPrEx>
        <w:trPr>
          <w:trHeight w:val="687"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车载监控摄像头（车外）</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影像传感器 1/3" HDIS清晰度 720TVL</w:t>
            </w:r>
            <w:r>
              <w:rPr>
                <w:rFonts w:hint="eastAsia" w:ascii="宋体" w:hAnsi="宋体" w:cs="宋体"/>
                <w:szCs w:val="21"/>
              </w:rPr>
              <w:br w:type="textWrapping"/>
            </w:r>
            <w:r>
              <w:rPr>
                <w:rFonts w:hint="eastAsia" w:ascii="宋体" w:hAnsi="宋体" w:cs="宋体"/>
                <w:szCs w:val="21"/>
              </w:rPr>
              <w:t>像素大于等于 960(H) ×496(V)红外线照射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车载显示屏</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屏幕尺寸 7寸-10寸</w:t>
            </w:r>
            <w:r>
              <w:rPr>
                <w:rFonts w:hint="eastAsia" w:ascii="宋体" w:hAnsi="宋体" w:cs="宋体"/>
                <w:szCs w:val="21"/>
              </w:rPr>
              <w:br w:type="textWrapping"/>
            </w:r>
            <w:r>
              <w:rPr>
                <w:rFonts w:hint="eastAsia" w:ascii="宋体" w:hAnsi="宋体" w:cs="宋体"/>
                <w:szCs w:val="21"/>
              </w:rPr>
              <w:t>像素大于等于  800*RGB*480</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读卡器</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套</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远距离RFID读卡器</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流量费（3年）</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台/年</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终端≥40M/月，可24小时使用；视频≥20G 每年；视频可单通道观看23小时</w:t>
            </w:r>
          </w:p>
        </w:tc>
      </w:tr>
      <w:tr>
        <w:tblPrEx>
          <w:tblCellMar>
            <w:top w:w="0" w:type="dxa"/>
            <w:left w:w="108" w:type="dxa"/>
            <w:bottom w:w="0" w:type="dxa"/>
            <w:right w:w="108" w:type="dxa"/>
          </w:tblCellMar>
        </w:tblPrEx>
        <w:trPr>
          <w:trHeight w:val="600" w:hRule="atLeast"/>
        </w:trPr>
        <w:tc>
          <w:tcPr>
            <w:tcW w:w="865"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1095" w:type="dxa"/>
            <w:tcBorders>
              <w:top w:val="nil"/>
              <w:left w:val="nil"/>
              <w:bottom w:val="nil"/>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7671" w:type="dxa"/>
            <w:gridSpan w:val="4"/>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600" w:hRule="atLeast"/>
        </w:trPr>
        <w:tc>
          <w:tcPr>
            <w:tcW w:w="865" w:type="dxa"/>
            <w:vMerge w:val="restart"/>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4</w:t>
            </w:r>
          </w:p>
        </w:tc>
        <w:tc>
          <w:tcPr>
            <w:tcW w:w="1095" w:type="dxa"/>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建筑垃圾清运车（渣土车）</w:t>
            </w:r>
          </w:p>
        </w:tc>
        <w:tc>
          <w:tcPr>
            <w:tcW w:w="135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超声波油位计（选配）</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油位传感器油位高度测量的分辨率为≤ 0.1mm，测量精度为≤±0.5%；</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车载信息监控终端可以接入各类传感器</w:t>
            </w:r>
            <w:r>
              <w:rPr>
                <w:rFonts w:hint="eastAsia" w:ascii="宋体" w:hAnsi="宋体" w:cs="宋体"/>
                <w:szCs w:val="21"/>
              </w:rPr>
              <w:br w:type="textWrapping"/>
            </w:r>
            <w:r>
              <w:rPr>
                <w:rFonts w:hint="eastAsia" w:ascii="宋体" w:hAnsi="宋体" w:cs="宋体"/>
                <w:szCs w:val="21"/>
              </w:rPr>
              <w:t>工作电压 9VDC～36VDC</w:t>
            </w:r>
            <w:r>
              <w:rPr>
                <w:rFonts w:hint="eastAsia" w:ascii="宋体" w:hAnsi="宋体" w:cs="宋体"/>
                <w:szCs w:val="21"/>
              </w:rPr>
              <w:br w:type="textWrapping"/>
            </w:r>
            <w:r>
              <w:rPr>
                <w:rFonts w:hint="eastAsia" w:ascii="宋体" w:hAnsi="宋体" w:cs="宋体"/>
                <w:szCs w:val="21"/>
              </w:rPr>
              <w:t>工作电流 50mA~750mA</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车载硬盘录像机</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图像压缩 H.264 Main Profile :双码流</w:t>
            </w:r>
            <w:r>
              <w:rPr>
                <w:rFonts w:hint="eastAsia" w:ascii="宋体" w:hAnsi="宋体" w:cs="宋体"/>
                <w:szCs w:val="21"/>
              </w:rPr>
              <w:br w:type="textWrapping"/>
            </w:r>
            <w:r>
              <w:rPr>
                <w:rFonts w:hint="eastAsia" w:ascii="宋体" w:hAnsi="宋体" w:cs="宋体"/>
                <w:szCs w:val="21"/>
              </w:rPr>
              <w:t>音、视频输入/出 4路输入、1路输出</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车载监控摄像头（车内）</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图像传感器 1/3"  HDIS视频制式 PAL</w:t>
            </w:r>
            <w:r>
              <w:rPr>
                <w:rFonts w:hint="eastAsia" w:ascii="宋体" w:hAnsi="宋体" w:cs="宋体"/>
                <w:szCs w:val="21"/>
              </w:rPr>
              <w:br w:type="textWrapping"/>
            </w:r>
            <w:r>
              <w:rPr>
                <w:rFonts w:hint="eastAsia" w:ascii="宋体" w:hAnsi="宋体" w:cs="宋体"/>
                <w:szCs w:val="21"/>
              </w:rPr>
              <w:t>有效像素大于等于 976(H)×496(V）红外线照射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车载监控摄像头（车外）</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影像传感器 1/3" HDIS清晰度 720TVL</w:t>
            </w:r>
            <w:r>
              <w:rPr>
                <w:rFonts w:hint="eastAsia" w:ascii="宋体" w:hAnsi="宋体" w:cs="宋体"/>
                <w:szCs w:val="21"/>
              </w:rPr>
              <w:br w:type="textWrapping"/>
            </w:r>
            <w:r>
              <w:rPr>
                <w:rFonts w:hint="eastAsia" w:ascii="宋体" w:hAnsi="宋体" w:cs="宋体"/>
                <w:szCs w:val="21"/>
              </w:rPr>
              <w:t>像素大于等于 960(H) ×496(V)红外线照射</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倾倒传感器</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个</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屏幕尺寸 7寸-10寸</w:t>
            </w:r>
            <w:r>
              <w:rPr>
                <w:rFonts w:hint="eastAsia" w:ascii="宋体" w:hAnsi="宋体" w:cs="宋体"/>
                <w:szCs w:val="21"/>
              </w:rPr>
              <w:br w:type="textWrapping"/>
            </w:r>
            <w:r>
              <w:rPr>
                <w:rFonts w:hint="eastAsia" w:ascii="宋体" w:hAnsi="宋体" w:cs="宋体"/>
                <w:szCs w:val="21"/>
              </w:rPr>
              <w:t>像素大于等于  800*RGB*480</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流量费（3年）</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台/年</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终端≥40M/月，可24小时使用；视频≥20G 每年；视频可单通道观看23小时</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000000"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安装费</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套</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35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安装耗材</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套</w:t>
            </w:r>
          </w:p>
        </w:tc>
        <w:tc>
          <w:tcPr>
            <w:tcW w:w="812"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包含车载安装的线缆、接头等一切保证系统连通的所有辅助材料</w:t>
            </w:r>
          </w:p>
        </w:tc>
      </w:tr>
      <w:tr>
        <w:tblPrEx>
          <w:tblCellMar>
            <w:top w:w="0" w:type="dxa"/>
            <w:left w:w="108" w:type="dxa"/>
            <w:bottom w:w="0" w:type="dxa"/>
            <w:right w:w="108" w:type="dxa"/>
          </w:tblCellMar>
        </w:tblPrEx>
        <w:trPr>
          <w:trHeight w:val="60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1095"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c>
          <w:tcPr>
            <w:tcW w:w="7671" w:type="dxa"/>
            <w:gridSpan w:val="4"/>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600" w:hRule="atLeast"/>
        </w:trPr>
        <w:tc>
          <w:tcPr>
            <w:tcW w:w="865"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5</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各种小型车辆</w:t>
            </w:r>
          </w:p>
        </w:tc>
        <w:tc>
          <w:tcPr>
            <w:tcW w:w="1358"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车载信息监控终端</w:t>
            </w:r>
          </w:p>
        </w:tc>
        <w:tc>
          <w:tcPr>
            <w:tcW w:w="798"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台</w:t>
            </w:r>
          </w:p>
        </w:tc>
        <w:tc>
          <w:tcPr>
            <w:tcW w:w="812"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车载信息监控终端可以接入各类传感器</w:t>
            </w:r>
            <w:r>
              <w:rPr>
                <w:rFonts w:hint="eastAsia" w:ascii="宋体" w:hAnsi="宋体" w:cs="宋体"/>
                <w:szCs w:val="21"/>
              </w:rPr>
              <w:br w:type="textWrapping"/>
            </w:r>
            <w:r>
              <w:rPr>
                <w:rFonts w:hint="eastAsia" w:ascii="宋体" w:hAnsi="宋体" w:cs="宋体"/>
                <w:szCs w:val="21"/>
              </w:rPr>
              <w:t>工作电压 9VDC～36VDC</w:t>
            </w:r>
            <w:r>
              <w:rPr>
                <w:rFonts w:hint="eastAsia" w:ascii="宋体" w:hAnsi="宋体" w:cs="宋体"/>
                <w:szCs w:val="21"/>
              </w:rPr>
              <w:br w:type="textWrapping"/>
            </w:r>
            <w:r>
              <w:rPr>
                <w:rFonts w:hint="eastAsia" w:ascii="宋体" w:hAnsi="宋体" w:cs="宋体"/>
                <w:szCs w:val="21"/>
              </w:rPr>
              <w:t>工作电流 50mA~750mA</w:t>
            </w:r>
          </w:p>
        </w:tc>
      </w:tr>
      <w:tr>
        <w:tblPrEx>
          <w:tblCellMar>
            <w:top w:w="0" w:type="dxa"/>
            <w:left w:w="108" w:type="dxa"/>
            <w:bottom w:w="0" w:type="dxa"/>
            <w:right w:w="108" w:type="dxa"/>
          </w:tblCellMar>
        </w:tblPrEx>
        <w:trPr>
          <w:trHeight w:val="600" w:hRule="atLeast"/>
        </w:trPr>
        <w:tc>
          <w:tcPr>
            <w:tcW w:w="865"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358"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流量费（3年）</w:t>
            </w:r>
          </w:p>
        </w:tc>
        <w:tc>
          <w:tcPr>
            <w:tcW w:w="798"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台/年</w:t>
            </w:r>
          </w:p>
        </w:tc>
        <w:tc>
          <w:tcPr>
            <w:tcW w:w="81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470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终端≥40M/月</w:t>
            </w:r>
          </w:p>
        </w:tc>
      </w:tr>
      <w:tr>
        <w:tblPrEx>
          <w:tblCellMar>
            <w:top w:w="0" w:type="dxa"/>
            <w:left w:w="108" w:type="dxa"/>
            <w:bottom w:w="0" w:type="dxa"/>
            <w:right w:w="108" w:type="dxa"/>
          </w:tblCellMar>
        </w:tblPrEx>
        <w:trPr>
          <w:trHeight w:val="600" w:hRule="atLeast"/>
        </w:trPr>
        <w:tc>
          <w:tcPr>
            <w:tcW w:w="865" w:type="dxa"/>
            <w:tcBorders>
              <w:top w:val="single" w:color="auto" w:sz="4" w:space="0"/>
              <w:left w:val="single" w:color="auto" w:sz="4" w:space="0"/>
              <w:bottom w:val="single" w:color="auto" w:sz="4" w:space="0"/>
              <w:right w:val="nil"/>
            </w:tcBorders>
            <w:noWrap w:val="0"/>
            <w:vAlign w:val="center"/>
          </w:tcPr>
          <w:p>
            <w:pPr>
              <w:rPr>
                <w:rFonts w:hint="eastAsia" w:ascii="宋体" w:hAnsi="宋体" w:cs="宋体"/>
                <w:szCs w:val="21"/>
              </w:rPr>
            </w:pPr>
            <w:r>
              <w:rPr>
                <w:rFonts w:hint="eastAsia" w:ascii="宋体" w:hAnsi="宋体" w:cs="宋体"/>
                <w:szCs w:val="21"/>
              </w:rPr>
              <w:t>　</w:t>
            </w:r>
          </w:p>
        </w:tc>
        <w:tc>
          <w:tcPr>
            <w:tcW w:w="1095" w:type="dxa"/>
            <w:tcBorders>
              <w:top w:val="single" w:color="auto" w:sz="4" w:space="0"/>
              <w:left w:val="nil"/>
              <w:bottom w:val="single" w:color="auto" w:sz="4" w:space="0"/>
              <w:right w:val="nil"/>
            </w:tcBorders>
            <w:noWrap w:val="0"/>
            <w:vAlign w:val="center"/>
          </w:tcPr>
          <w:p>
            <w:pPr>
              <w:rPr>
                <w:rFonts w:hint="eastAsia" w:ascii="宋体" w:hAnsi="宋体" w:cs="宋体"/>
                <w:szCs w:val="21"/>
              </w:rPr>
            </w:pPr>
            <w:r>
              <w:rPr>
                <w:rFonts w:hint="eastAsia" w:ascii="宋体" w:hAnsi="宋体" w:cs="宋体"/>
                <w:szCs w:val="21"/>
              </w:rPr>
              <w:t>　</w:t>
            </w:r>
          </w:p>
        </w:tc>
        <w:tc>
          <w:tcPr>
            <w:tcW w:w="7671" w:type="dxa"/>
            <w:gridSpan w:val="4"/>
            <w:tcBorders>
              <w:top w:val="single" w:color="auto" w:sz="4" w:space="0"/>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小计</w:t>
            </w:r>
          </w:p>
        </w:tc>
      </w:tr>
      <w:tr>
        <w:tblPrEx>
          <w:tblCellMar>
            <w:top w:w="0" w:type="dxa"/>
            <w:left w:w="108" w:type="dxa"/>
            <w:bottom w:w="0" w:type="dxa"/>
            <w:right w:w="108" w:type="dxa"/>
          </w:tblCellMar>
        </w:tblPrEx>
        <w:trPr>
          <w:trHeight w:val="600" w:hRule="atLeast"/>
        </w:trPr>
        <w:tc>
          <w:tcPr>
            <w:tcW w:w="9631" w:type="dxa"/>
            <w:gridSpan w:val="6"/>
            <w:tcBorders>
              <w:top w:val="nil"/>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二、人员管理部分（单人配置）</w:t>
            </w:r>
          </w:p>
        </w:tc>
      </w:tr>
      <w:tr>
        <w:tblPrEx>
          <w:tblCellMar>
            <w:top w:w="0" w:type="dxa"/>
            <w:left w:w="108" w:type="dxa"/>
            <w:bottom w:w="0" w:type="dxa"/>
            <w:right w:w="108" w:type="dxa"/>
          </w:tblCellMar>
        </w:tblPrEx>
        <w:trPr>
          <w:trHeight w:val="600" w:hRule="atLeast"/>
        </w:trPr>
        <w:tc>
          <w:tcPr>
            <w:tcW w:w="865" w:type="dxa"/>
            <w:vMerge w:val="restart"/>
            <w:tcBorders>
              <w:top w:val="nil"/>
              <w:left w:val="single" w:color="auto" w:sz="4" w:space="0"/>
              <w:bottom w:val="single" w:color="000000"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2453" w:type="dxa"/>
            <w:gridSpan w:val="2"/>
            <w:tcBorders>
              <w:top w:val="single" w:color="auto" w:sz="4" w:space="0"/>
              <w:left w:val="nil"/>
              <w:bottom w:val="single" w:color="auto" w:sz="4" w:space="0"/>
              <w:right w:val="single" w:color="000000" w:sz="4" w:space="0"/>
            </w:tcBorders>
            <w:noWrap w:val="0"/>
            <w:vAlign w:val="center"/>
          </w:tcPr>
          <w:p>
            <w:pPr>
              <w:rPr>
                <w:rFonts w:hint="eastAsia" w:ascii="宋体" w:hAnsi="宋体" w:cs="宋体"/>
                <w:szCs w:val="21"/>
              </w:rPr>
            </w:pPr>
            <w:r>
              <w:rPr>
                <w:rFonts w:hint="eastAsia" w:ascii="宋体" w:hAnsi="宋体" w:cs="宋体"/>
                <w:szCs w:val="21"/>
              </w:rPr>
              <w:t>人员管理终端</w:t>
            </w:r>
          </w:p>
        </w:tc>
        <w:tc>
          <w:tcPr>
            <w:tcW w:w="798"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个</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符合平台接入要求</w:t>
            </w:r>
            <w:r>
              <w:rPr>
                <w:rFonts w:hint="eastAsia" w:ascii="宋体" w:hAnsi="宋体" w:cs="宋体"/>
                <w:szCs w:val="21"/>
              </w:rPr>
              <w:br w:type="textWrapping"/>
            </w:r>
            <w:r>
              <w:rPr>
                <w:rFonts w:hint="eastAsia" w:ascii="宋体" w:hAnsi="宋体" w:cs="宋体"/>
                <w:szCs w:val="21"/>
              </w:rPr>
              <w:t>GPS灵敏度 -163dBm  GPS定位精度 5-25m</w:t>
            </w:r>
            <w:r>
              <w:rPr>
                <w:rFonts w:hint="eastAsia" w:ascii="宋体" w:hAnsi="宋体" w:cs="宋体"/>
                <w:szCs w:val="21"/>
              </w:rPr>
              <w:br w:type="textWrapping"/>
            </w:r>
            <w:r>
              <w:rPr>
                <w:rFonts w:hint="eastAsia" w:ascii="宋体" w:hAnsi="宋体" w:cs="宋体"/>
                <w:szCs w:val="21"/>
              </w:rPr>
              <w:t>GPS中心频率 L1,1575.42MHz</w:t>
            </w:r>
          </w:p>
        </w:tc>
      </w:tr>
      <w:tr>
        <w:tblPrEx>
          <w:tblCellMar>
            <w:top w:w="0" w:type="dxa"/>
            <w:left w:w="108" w:type="dxa"/>
            <w:bottom w:w="0" w:type="dxa"/>
            <w:right w:w="108" w:type="dxa"/>
          </w:tblCellMar>
        </w:tblPrEx>
        <w:trPr>
          <w:trHeight w:val="600" w:hRule="atLeast"/>
        </w:trPr>
        <w:tc>
          <w:tcPr>
            <w:tcW w:w="865" w:type="dxa"/>
            <w:vMerge w:val="continue"/>
            <w:tcBorders>
              <w:top w:val="nil"/>
              <w:left w:val="single" w:color="auto" w:sz="4" w:space="0"/>
              <w:bottom w:val="single" w:color="000000" w:sz="4" w:space="0"/>
              <w:right w:val="single" w:color="auto" w:sz="4" w:space="0"/>
            </w:tcBorders>
            <w:noWrap w:val="0"/>
            <w:vAlign w:val="center"/>
          </w:tcPr>
          <w:p>
            <w:pPr>
              <w:rPr>
                <w:rFonts w:hint="eastAsia" w:ascii="宋体" w:hAnsi="宋体" w:cs="宋体"/>
                <w:szCs w:val="21"/>
              </w:rPr>
            </w:pPr>
          </w:p>
        </w:tc>
        <w:tc>
          <w:tcPr>
            <w:tcW w:w="2453" w:type="dxa"/>
            <w:gridSpan w:val="2"/>
            <w:tcBorders>
              <w:top w:val="single" w:color="auto" w:sz="4" w:space="0"/>
              <w:left w:val="nil"/>
              <w:bottom w:val="single" w:color="auto" w:sz="4" w:space="0"/>
              <w:right w:val="single" w:color="000000" w:sz="4" w:space="0"/>
            </w:tcBorders>
            <w:noWrap w:val="0"/>
            <w:vAlign w:val="center"/>
          </w:tcPr>
          <w:p>
            <w:pPr>
              <w:rPr>
                <w:rFonts w:hint="eastAsia" w:ascii="宋体" w:hAnsi="宋体" w:cs="宋体"/>
                <w:szCs w:val="21"/>
              </w:rPr>
            </w:pPr>
            <w:r>
              <w:rPr>
                <w:rFonts w:hint="eastAsia" w:ascii="宋体" w:hAnsi="宋体" w:cs="宋体"/>
                <w:szCs w:val="21"/>
              </w:rPr>
              <w:t>流量费（3年）</w:t>
            </w:r>
          </w:p>
        </w:tc>
        <w:tc>
          <w:tcPr>
            <w:tcW w:w="798" w:type="dxa"/>
            <w:tcBorders>
              <w:top w:val="nil"/>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年/套</w:t>
            </w:r>
          </w:p>
        </w:tc>
        <w:tc>
          <w:tcPr>
            <w:tcW w:w="812"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3</w:t>
            </w:r>
          </w:p>
        </w:tc>
        <w:tc>
          <w:tcPr>
            <w:tcW w:w="4703" w:type="dxa"/>
            <w:tcBorders>
              <w:top w:val="nil"/>
              <w:left w:val="nil"/>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移动，≥40M/月，300分钟通话</w:t>
            </w:r>
          </w:p>
        </w:tc>
      </w:tr>
    </w:tbl>
    <w:p>
      <w:pPr>
        <w:spacing w:line="400" w:lineRule="exact"/>
        <w:ind w:firstLine="413" w:firstLineChars="196"/>
        <w:outlineLvl w:val="1"/>
        <w:rPr>
          <w:rFonts w:hint="eastAsia" w:ascii="宋体" w:hAnsi="宋体" w:cs="宋体"/>
          <w:b/>
          <w:szCs w:val="21"/>
        </w:rPr>
      </w:pPr>
      <w:bookmarkStart w:id="232" w:name="_Toc27942"/>
      <w:r>
        <w:rPr>
          <w:rFonts w:hint="eastAsia" w:ascii="宋体" w:hAnsi="宋体" w:cs="宋体"/>
          <w:b/>
          <w:szCs w:val="21"/>
        </w:rPr>
        <w:t>六、项目管理要求</w:t>
      </w:r>
      <w:bookmarkEnd w:id="232"/>
    </w:p>
    <w:p>
      <w:pPr>
        <w:autoSpaceDE w:val="0"/>
        <w:autoSpaceDN w:val="0"/>
        <w:adjustRightInd w:val="0"/>
        <w:spacing w:line="400" w:lineRule="exact"/>
        <w:ind w:firstLine="420" w:firstLineChars="200"/>
        <w:textAlignment w:val="bottom"/>
        <w:rPr>
          <w:rFonts w:hint="eastAsia" w:ascii="宋体" w:hAnsi="宋体" w:cs="宋体"/>
          <w:b/>
          <w:szCs w:val="21"/>
        </w:rPr>
      </w:pPr>
      <w:r>
        <w:rPr>
          <w:rFonts w:hint="eastAsia" w:ascii="宋体" w:hAnsi="宋体" w:cs="宋体"/>
          <w:szCs w:val="21"/>
        </w:rPr>
        <w:t>（一）本项目供应商及其相关服务人员必须服从各级政府职能部门管理要求，服从村居组织监督管理要求。</w:t>
      </w:r>
    </w:p>
    <w:p>
      <w:pPr>
        <w:adjustRightInd w:val="0"/>
        <w:spacing w:line="400" w:lineRule="exact"/>
        <w:ind w:firstLine="420" w:firstLineChars="200"/>
        <w:rPr>
          <w:rFonts w:hint="eastAsia" w:ascii="宋体" w:hAnsi="宋体" w:cs="宋体"/>
          <w:szCs w:val="21"/>
        </w:rPr>
      </w:pPr>
      <w:r>
        <w:rPr>
          <w:rFonts w:hint="eastAsia" w:ascii="宋体" w:hAnsi="宋体" w:cs="宋体"/>
          <w:szCs w:val="21"/>
        </w:rPr>
        <w:t>（二）遇有重大活动或突发事件，中标供应商必须服从采购人统一指挥，必要时增加调度确保做好环卫保洁保障工作。</w:t>
      </w:r>
    </w:p>
    <w:p>
      <w:pPr>
        <w:spacing w:line="400" w:lineRule="exact"/>
        <w:ind w:left="109" w:leftChars="52" w:firstLine="315" w:firstLineChars="150"/>
        <w:rPr>
          <w:rFonts w:hint="eastAsia" w:ascii="宋体" w:hAnsi="宋体" w:cs="宋体"/>
          <w:szCs w:val="21"/>
        </w:rPr>
      </w:pPr>
      <w:r>
        <w:rPr>
          <w:rFonts w:hint="eastAsia" w:ascii="宋体" w:hAnsi="宋体" w:cs="宋体"/>
          <w:szCs w:val="21"/>
        </w:rPr>
        <w:t>（三）遇有不可抗力因素，中标供应商应无条件配合业主做好保洁工作。</w:t>
      </w:r>
    </w:p>
    <w:p>
      <w:pPr>
        <w:snapToGrid w:val="0"/>
        <w:spacing w:line="400" w:lineRule="exact"/>
        <w:ind w:firstLine="420" w:firstLineChars="200"/>
        <w:rPr>
          <w:rFonts w:hint="eastAsia" w:ascii="宋体" w:hAnsi="宋体" w:cs="宋体"/>
          <w:szCs w:val="21"/>
        </w:rPr>
      </w:pPr>
      <w:r>
        <w:rPr>
          <w:rFonts w:hint="eastAsia" w:ascii="宋体" w:hAnsi="宋体" w:cs="宋体"/>
          <w:szCs w:val="21"/>
        </w:rPr>
        <w:t>（四）供应商要让环卫工人遵守中转站倒垃圾秩序，当垃圾中转站、焚烧厂出现故障等突发事件导致排队倒垃圾现象时，供应商要及时做好环卫工人的情绪疏导，严禁出现乱倒垃圾的情形。</w:t>
      </w:r>
    </w:p>
    <w:p>
      <w:pPr>
        <w:spacing w:line="400" w:lineRule="exact"/>
        <w:ind w:firstLine="420" w:firstLineChars="200"/>
        <w:rPr>
          <w:rFonts w:hint="eastAsia" w:ascii="宋体" w:hAnsi="宋体" w:cs="宋体"/>
          <w:szCs w:val="21"/>
        </w:rPr>
      </w:pPr>
      <w:r>
        <w:rPr>
          <w:rFonts w:hint="eastAsia" w:ascii="宋体" w:hAnsi="宋体" w:cs="宋体"/>
          <w:szCs w:val="21"/>
        </w:rPr>
        <w:t>（五）</w:t>
      </w:r>
      <w:r>
        <w:rPr>
          <w:rFonts w:hint="eastAsia" w:ascii="宋体" w:hAnsi="宋体" w:cs="宋体"/>
        </w:rPr>
        <w:t>中标供应商要确保本项目相关服务人员居住地点安全、整洁、不堆放垃圾，每月进行不少于1次自检并做好台账记录备查。</w:t>
      </w:r>
    </w:p>
    <w:p>
      <w:pPr>
        <w:spacing w:line="400" w:lineRule="exact"/>
        <w:ind w:firstLine="420" w:firstLineChars="200"/>
        <w:rPr>
          <w:rFonts w:hint="eastAsia" w:ascii="宋体" w:hAnsi="宋体" w:cs="宋体"/>
          <w:szCs w:val="21"/>
        </w:rPr>
      </w:pPr>
      <w:r>
        <w:rPr>
          <w:rFonts w:hint="eastAsia" w:ascii="宋体" w:hAnsi="宋体" w:cs="宋体"/>
          <w:szCs w:val="21"/>
        </w:rPr>
        <w:t>（六）中标后的供应商应派1人参加采购人组织的卫生巡查、检查工作，交通工具及产生费用由供应商负责提供。</w:t>
      </w:r>
    </w:p>
    <w:p>
      <w:pPr>
        <w:snapToGrid w:val="0"/>
        <w:spacing w:line="400" w:lineRule="exact"/>
        <w:ind w:firstLine="420" w:firstLineChars="200"/>
        <w:rPr>
          <w:rFonts w:hint="eastAsia" w:ascii="宋体" w:hAnsi="宋体" w:cs="宋体"/>
          <w:szCs w:val="21"/>
        </w:rPr>
      </w:pPr>
      <w:r>
        <w:rPr>
          <w:rFonts w:hint="eastAsia" w:ascii="宋体" w:hAnsi="宋体" w:cs="宋体"/>
          <w:szCs w:val="21"/>
        </w:rPr>
        <w:t>（七）</w:t>
      </w:r>
      <w:r>
        <w:rPr>
          <w:rFonts w:hint="eastAsia" w:ascii="宋体" w:hAnsi="宋体" w:cs="宋体"/>
          <w:b/>
          <w:szCs w:val="21"/>
        </w:rPr>
        <w:t>▲本项目所涉及区域的清扫保洁标准，中标供应商必须无条件按采购人具体要求执行。</w:t>
      </w:r>
    </w:p>
    <w:p>
      <w:pPr>
        <w:spacing w:line="400" w:lineRule="exact"/>
        <w:ind w:firstLine="417" w:firstLineChars="199"/>
        <w:rPr>
          <w:rFonts w:hint="eastAsia" w:ascii="宋体" w:hAnsi="宋体" w:cs="宋体"/>
          <w:szCs w:val="21"/>
        </w:rPr>
      </w:pPr>
      <w:r>
        <w:rPr>
          <w:rFonts w:hint="eastAsia" w:ascii="宋体" w:hAnsi="宋体" w:cs="宋体"/>
          <w:szCs w:val="21"/>
        </w:rPr>
        <w:t>（八）本现场条件说明</w:t>
      </w:r>
    </w:p>
    <w:p>
      <w:pPr>
        <w:spacing w:line="400" w:lineRule="exact"/>
        <w:ind w:firstLine="525" w:firstLineChars="250"/>
        <w:rPr>
          <w:rFonts w:hint="eastAsia" w:ascii="宋体" w:hAnsi="宋体" w:cs="宋体"/>
          <w:szCs w:val="21"/>
        </w:rPr>
      </w:pPr>
      <w:r>
        <w:rPr>
          <w:rFonts w:hint="eastAsia" w:ascii="宋体" w:hAnsi="宋体" w:cs="宋体"/>
          <w:szCs w:val="21"/>
        </w:rPr>
        <w:t>1、本次招标所涉及的人员住房和作业机械设备、工具均由中标供应商自行负责解决。</w:t>
      </w:r>
    </w:p>
    <w:p>
      <w:pPr>
        <w:spacing w:line="400" w:lineRule="exact"/>
        <w:ind w:firstLine="519" w:firstLineChars="246"/>
        <w:rPr>
          <w:rFonts w:hint="eastAsia" w:ascii="宋体" w:hAnsi="宋体" w:cs="宋体"/>
          <w:b/>
          <w:color w:val="auto"/>
          <w:szCs w:val="21"/>
          <w:u w:val="single"/>
        </w:rPr>
      </w:pPr>
      <w:r>
        <w:rPr>
          <w:rFonts w:hint="eastAsia" w:ascii="宋体" w:hAnsi="宋体" w:cs="宋体"/>
          <w:b/>
          <w:szCs w:val="21"/>
        </w:rPr>
        <w:t>2、</w:t>
      </w:r>
      <w:r>
        <w:rPr>
          <w:rFonts w:hint="eastAsia" w:ascii="宋体" w:hAnsi="宋体" w:cs="宋体"/>
          <w:b/>
          <w:szCs w:val="21"/>
          <w:u w:val="single"/>
        </w:rPr>
        <w:t>▲作业车辆、</w:t>
      </w:r>
      <w:r>
        <w:rPr>
          <w:rFonts w:hint="eastAsia" w:ascii="宋体" w:hAnsi="宋体" w:cs="宋体"/>
          <w:b/>
          <w:color w:val="auto"/>
          <w:szCs w:val="21"/>
          <w:u w:val="single"/>
        </w:rPr>
        <w:t>工具的停放场地由中标供应商自行负责解决，要求规范、统一停放，供应商须在中标通知书发出之日起30日内在本次招标保洁区域内建立专门的停车场。中标供应商未按规定日期之内建立专用停车场地的，每延期一天扣1000元履约保证金。</w:t>
      </w:r>
    </w:p>
    <w:p>
      <w:pPr>
        <w:spacing w:line="400" w:lineRule="exact"/>
        <w:ind w:firstLine="519" w:firstLineChars="246"/>
        <w:rPr>
          <w:rFonts w:hint="eastAsia" w:ascii="宋体" w:hAnsi="宋体" w:cs="宋体"/>
          <w:b/>
          <w:color w:val="auto"/>
          <w:szCs w:val="21"/>
          <w:u w:val="single"/>
        </w:rPr>
      </w:pPr>
      <w:r>
        <w:rPr>
          <w:rFonts w:hint="eastAsia" w:ascii="宋体" w:hAnsi="宋体" w:cs="宋体"/>
          <w:b/>
          <w:color w:val="auto"/>
          <w:szCs w:val="21"/>
          <w:u w:val="single"/>
        </w:rPr>
        <w:t>3、专用停车场须具有清洗设备、排污装置，取得排水许可证。</w:t>
      </w:r>
    </w:p>
    <w:p>
      <w:pPr>
        <w:spacing w:line="400" w:lineRule="exact"/>
        <w:ind w:firstLine="525" w:firstLineChars="250"/>
        <w:rPr>
          <w:rFonts w:hint="eastAsia" w:ascii="宋体" w:hAnsi="宋体" w:cs="宋体"/>
          <w:szCs w:val="21"/>
        </w:rPr>
      </w:pPr>
      <w:r>
        <w:rPr>
          <w:rFonts w:hint="eastAsia" w:ascii="宋体" w:hAnsi="宋体" w:cs="宋体"/>
          <w:color w:val="auto"/>
          <w:szCs w:val="21"/>
        </w:rPr>
        <w:t>4、全年的扫帚等清扫机具材料、垃圾袋清洁</w:t>
      </w:r>
      <w:r>
        <w:rPr>
          <w:rFonts w:hint="eastAsia" w:ascii="宋体" w:hAnsi="宋体" w:cs="宋体"/>
          <w:szCs w:val="21"/>
        </w:rPr>
        <w:t>剂等作业耗材由中标供应商自行负责落实。</w:t>
      </w:r>
    </w:p>
    <w:p>
      <w:pPr>
        <w:spacing w:line="400" w:lineRule="exact"/>
        <w:ind w:firstLine="420" w:firstLineChars="200"/>
        <w:rPr>
          <w:rFonts w:hint="eastAsia" w:ascii="宋体" w:hAnsi="宋体" w:cs="宋体"/>
          <w:szCs w:val="21"/>
        </w:rPr>
      </w:pPr>
      <w:r>
        <w:rPr>
          <w:rFonts w:hint="eastAsia" w:ascii="宋体" w:hAnsi="宋体" w:cs="宋体"/>
          <w:szCs w:val="21"/>
        </w:rPr>
        <w:t>（九）台账内部管理</w:t>
      </w:r>
    </w:p>
    <w:p>
      <w:pPr>
        <w:spacing w:line="400" w:lineRule="exact"/>
        <w:ind w:firstLine="525" w:firstLineChars="250"/>
        <w:rPr>
          <w:rFonts w:hint="eastAsia" w:ascii="宋体" w:hAnsi="宋体" w:cs="宋体"/>
          <w:szCs w:val="21"/>
        </w:rPr>
      </w:pPr>
      <w:r>
        <w:rPr>
          <w:rFonts w:hint="eastAsia" w:ascii="宋体" w:hAnsi="宋体" w:cs="宋体"/>
          <w:szCs w:val="21"/>
        </w:rPr>
        <w:t xml:space="preserve">1、机械操作人员要实时做好出车（船）台账，要做到准确无误，真实有效；  </w:t>
      </w:r>
    </w:p>
    <w:p>
      <w:pPr>
        <w:spacing w:line="400" w:lineRule="exact"/>
        <w:ind w:firstLine="525" w:firstLineChars="250"/>
        <w:rPr>
          <w:rFonts w:hint="eastAsia" w:ascii="宋体" w:hAnsi="宋体" w:cs="宋体"/>
          <w:szCs w:val="21"/>
        </w:rPr>
      </w:pPr>
      <w:r>
        <w:rPr>
          <w:rFonts w:hint="eastAsia" w:ascii="宋体" w:hAnsi="宋体" w:cs="宋体"/>
          <w:szCs w:val="21"/>
        </w:rPr>
        <w:t>2、中标供应商要建立各项规章制度、内部岗位责任制度、内部考核机制，完善的管理制度。</w:t>
      </w:r>
    </w:p>
    <w:p>
      <w:pPr>
        <w:spacing w:line="400" w:lineRule="exact"/>
        <w:ind w:firstLine="525" w:firstLineChars="250"/>
        <w:rPr>
          <w:rFonts w:hint="eastAsia" w:ascii="宋体" w:hAnsi="宋体" w:cs="宋体"/>
          <w:szCs w:val="21"/>
        </w:rPr>
      </w:pPr>
      <w:r>
        <w:rPr>
          <w:rFonts w:hint="eastAsia" w:ascii="宋体" w:hAnsi="宋体" w:cs="宋体"/>
          <w:szCs w:val="21"/>
        </w:rPr>
        <w:t>3、中标供应商要完备的相关台账资料的登记、管理制度，制作的各类台账要规范、真实、清晰、准确。</w:t>
      </w:r>
    </w:p>
    <w:p>
      <w:pPr>
        <w:tabs>
          <w:tab w:val="left" w:pos="3484"/>
        </w:tabs>
        <w:spacing w:line="400" w:lineRule="exact"/>
        <w:ind w:firstLine="413" w:firstLineChars="196"/>
        <w:outlineLvl w:val="1"/>
        <w:rPr>
          <w:rFonts w:hint="eastAsia" w:ascii="宋体" w:hAnsi="宋体" w:cs="宋体"/>
          <w:b/>
          <w:szCs w:val="21"/>
        </w:rPr>
      </w:pPr>
      <w:bookmarkStart w:id="233" w:name="_Toc18233"/>
      <w:r>
        <w:rPr>
          <w:rFonts w:hint="eastAsia" w:ascii="宋体" w:hAnsi="宋体" w:cs="宋体"/>
          <w:b/>
          <w:szCs w:val="21"/>
        </w:rPr>
        <w:t>七、保洁安全作业要求</w:t>
      </w:r>
      <w:bookmarkEnd w:id="233"/>
      <w:r>
        <w:rPr>
          <w:rFonts w:hint="eastAsia" w:ascii="宋体" w:hAnsi="宋体" w:cs="宋体"/>
          <w:b/>
          <w:szCs w:val="21"/>
        </w:rPr>
        <w:tab/>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34" w:name="_Toc2590"/>
      <w:bookmarkStart w:id="235" w:name="_Toc12305"/>
      <w:r>
        <w:rPr>
          <w:rFonts w:hint="eastAsia" w:ascii="宋体" w:hAnsi="宋体" w:cs="宋体"/>
          <w:b/>
          <w:szCs w:val="21"/>
        </w:rPr>
        <w:t>（一）总体要求</w:t>
      </w:r>
      <w:bookmarkEnd w:id="234"/>
      <w:bookmarkEnd w:id="235"/>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在台风、雷暴雨、洪水、大雾、寒潮、高温等灾害性气候条件下，应按照气象部门发布的预警时间，暂停日常保洁相关作业，启动应急预案，保证安全前提下进行应急作业。雾霾天（水平能见度在一公里以下）保洁人员应暂停上路作业，雾散后及时上路作业。</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2、作业过程中出现突发情况或发现疑似危险物品，应及时向有关部门报告，待相关人员到现场后，配合清场、协助处理。</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3、中标供应商每月不少于1次组织相关主管部门专业人员对本项目所有员工进行安全生产和作业技能规范培训，并做好台账记录备查。</w:t>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36" w:name="_Toc8314"/>
      <w:bookmarkStart w:id="237" w:name="_Toc28613"/>
      <w:r>
        <w:rPr>
          <w:rFonts w:hint="eastAsia" w:ascii="宋体" w:hAnsi="宋体" w:cs="宋体"/>
          <w:b/>
          <w:szCs w:val="21"/>
        </w:rPr>
        <w:t>（二）人员服装要求</w:t>
      </w:r>
      <w:bookmarkEnd w:id="236"/>
      <w:bookmarkEnd w:id="237"/>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1、作业人员在道路上进行流动作业时，应当穿着安全服。安全服当具备反光或部分反光性能，安全服反光部分最小宽度不应小于5cm。</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2、水域保洁人员应穿救生衣等防护用品。</w:t>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38" w:name="_Toc3290"/>
      <w:bookmarkStart w:id="239" w:name="_Toc25507"/>
      <w:r>
        <w:rPr>
          <w:rFonts w:hint="eastAsia" w:ascii="宋体" w:hAnsi="宋体" w:cs="宋体"/>
          <w:b/>
          <w:szCs w:val="21"/>
        </w:rPr>
        <w:t>（三）机械安全操作要求</w:t>
      </w:r>
      <w:bookmarkEnd w:id="238"/>
      <w:bookmarkEnd w:id="239"/>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1、机械作业人员应了解各机具的性能、功效、使用方法、注意事项，熟悉操作方法；正确、安全操作。</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2、作业设备应专人使用，并定期检修、保养。作业设备的运转部件应设有安全防护罩和安全警示标志。</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3、在机械保洁作业过程中应控制速度，观察作业面情况无异常方可作业。</w:t>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40" w:name="_Toc18956"/>
      <w:bookmarkStart w:id="241" w:name="_Toc29835"/>
      <w:r>
        <w:rPr>
          <w:rFonts w:hint="eastAsia" w:ascii="宋体" w:hAnsi="宋体" w:cs="宋体"/>
          <w:b/>
          <w:szCs w:val="21"/>
        </w:rPr>
        <w:t>（四）道路、公路作业安全要求</w:t>
      </w:r>
      <w:bookmarkEnd w:id="240"/>
      <w:bookmarkEnd w:id="241"/>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1、把安全桩放置在过往车辆行驶方向前方20米以外，作为防护提示设施，随走随设。</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2、用于道路作业的工具、材料应放置在作业区内或其他不影响正常交通的场所。</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3、在道路上进行定点作业，白天应设置锥形交通路标或路栏，夜间设置锥形交通路标或路栏及道路作业警示灯。</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4、恶劣天气下作业时，应穿好带安全反光的雨衣（裤），遇雷雨不可站于树下或金属导体附近躲雨。</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5、夏季中午前后高温时段应增加道路机械清扫和冲洗频次，减少或暂时停止人员户外作业。</w:t>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42" w:name="_Toc32762"/>
      <w:bookmarkStart w:id="243" w:name="_Toc17781"/>
      <w:r>
        <w:rPr>
          <w:rFonts w:hint="eastAsia" w:ascii="宋体" w:hAnsi="宋体" w:cs="宋体"/>
          <w:b/>
          <w:szCs w:val="21"/>
        </w:rPr>
        <w:t>（五）水域保洁安全要求</w:t>
      </w:r>
      <w:bookmarkEnd w:id="242"/>
      <w:bookmarkEnd w:id="243"/>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1、保洁船上应备有救生圈、救生绳、长竹竿、警示照明灯、电喇叭等应急用品。</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2、保洁船在行驶过程中，遇到有人在河埠头等设施进行亲水活动时应减速慢行。</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3、应随时注意附近的其他船舶，主动避让，防止发生意外。</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 船舶通过桥梁、管线等跨河建（构）筑物时应观察上空情况，在流水中作业时不应熄火，定点作业时应系好缆绳。</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5、船舶装载垃圾不应超重。</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6、遇台风和雷暴雨等恶劣天气应停止水上作业及堤岸保洁作业，并将船只停靠安全地点。</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7、违章小广告清理的安全要求</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8、清理高处的小广告前，应检查所用的机械或折梯的各个部件。</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9、上梯操作应系好安全带、安全绳，穿胶底鞋，不穿带“钉”鞋；铲刀应栓绳套，套在手腕上，防止掉下砸伤人。</w:t>
      </w:r>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44" w:name="_Toc20335"/>
      <w:bookmarkStart w:id="245" w:name="_Toc21793"/>
      <w:r>
        <w:rPr>
          <w:rFonts w:hint="eastAsia" w:ascii="宋体" w:hAnsi="宋体" w:cs="宋体"/>
          <w:b/>
          <w:szCs w:val="21"/>
        </w:rPr>
        <w:t>（六）突发公共卫生事件安全防治要求</w:t>
      </w:r>
      <w:bookmarkEnd w:id="244"/>
      <w:bookmarkEnd w:id="245"/>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1、</w:t>
      </w:r>
      <w:r>
        <w:rPr>
          <w:rFonts w:hint="eastAsia" w:ascii="新宋体" w:hAnsi="新宋体" w:eastAsia="新宋体"/>
          <w:szCs w:val="21"/>
        </w:rPr>
        <w:t>发生突发公共卫生事件期间，市容环境卫生行政主管部门应当组织环境卫生专业服务单位，按照应急预案的要求做好垃圾、粪便的清运、处置</w:t>
      </w:r>
      <w:r>
        <w:rPr>
          <w:rFonts w:hint="eastAsia" w:ascii="宋体" w:hAnsi="宋体" w:cs="宋体"/>
          <w:szCs w:val="21"/>
        </w:rPr>
        <w:t>。</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2、中标供应商准备足量的</w:t>
      </w:r>
      <w:r>
        <w:rPr>
          <w:rFonts w:hint="eastAsia" w:ascii="宋体" w:hAnsi="宋体" w:cs="宋体"/>
          <w:b/>
          <w:szCs w:val="21"/>
        </w:rPr>
        <w:t>突发公共卫生事件</w:t>
      </w:r>
      <w:r>
        <w:rPr>
          <w:rFonts w:hint="eastAsia" w:ascii="宋体" w:hAnsi="宋体" w:cs="宋体"/>
          <w:szCs w:val="21"/>
        </w:rPr>
        <w:t>防护物品，向一线环卫工人提供口罩、手套、防护服等防护用品，监督每位工人穿戴好防护装备方可上岗。</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3、购买检测设备，如电子体温计、检测试纸等，每日分时段监测一线环卫工人的健康状况，在中转站或环卫宿舍设置检测点，并记录每位工人的健康状况，如发现工人身体不适应马上就近就医治疗。</w:t>
      </w:r>
    </w:p>
    <w:p>
      <w:pPr>
        <w:autoSpaceDE w:val="0"/>
        <w:autoSpaceDN w:val="0"/>
        <w:adjustRightInd w:val="0"/>
        <w:spacing w:line="400" w:lineRule="exact"/>
        <w:ind w:firstLine="420" w:firstLineChars="200"/>
        <w:textAlignment w:val="bottom"/>
        <w:rPr>
          <w:rFonts w:hint="eastAsia" w:ascii="宋体" w:hAnsi="宋体" w:cs="宋体"/>
          <w:szCs w:val="21"/>
        </w:rPr>
      </w:pPr>
      <w:r>
        <w:rPr>
          <w:rFonts w:hint="eastAsia" w:ascii="宋体" w:hAnsi="宋体" w:cs="宋体"/>
          <w:szCs w:val="21"/>
        </w:rPr>
        <w:t>4、每日安排对保洁车辆、清运车辆、垃圾收集容器进行冲洗和消毒。对环卫工人宿舍、公厕、中转站等场所进行消毒。</w:t>
      </w:r>
    </w:p>
    <w:p>
      <w:pPr>
        <w:spacing w:line="400" w:lineRule="exact"/>
        <w:ind w:firstLine="517" w:firstLineChars="245"/>
        <w:outlineLvl w:val="1"/>
        <w:rPr>
          <w:rFonts w:hint="eastAsia" w:ascii="宋体" w:hAnsi="宋体" w:cs="宋体"/>
          <w:b/>
          <w:szCs w:val="21"/>
          <w:u w:val="single"/>
        </w:rPr>
      </w:pPr>
      <w:bookmarkStart w:id="246" w:name="_Toc6532"/>
      <w:r>
        <w:rPr>
          <w:rFonts w:hint="eastAsia" w:ascii="宋体" w:hAnsi="宋体" w:cs="宋体"/>
          <w:b/>
          <w:szCs w:val="21"/>
          <w:u w:val="single"/>
        </w:rPr>
        <w:t>八、▲服务期限</w:t>
      </w:r>
      <w:bookmarkEnd w:id="246"/>
    </w:p>
    <w:p>
      <w:pPr>
        <w:snapToGrid w:val="0"/>
        <w:spacing w:line="400" w:lineRule="exact"/>
        <w:ind w:firstLine="422" w:firstLineChars="200"/>
        <w:rPr>
          <w:rFonts w:hint="eastAsia" w:ascii="宋体" w:hAnsi="宋体" w:cs="宋体"/>
          <w:b/>
          <w:color w:val="auto"/>
          <w:szCs w:val="21"/>
        </w:rPr>
      </w:pPr>
      <w:r>
        <w:rPr>
          <w:rFonts w:hint="eastAsia" w:ascii="宋体" w:hAnsi="宋体" w:cs="宋体"/>
          <w:b/>
          <w:szCs w:val="21"/>
        </w:rPr>
        <w:t>（一）本项目服务期限预计为合同签订后三年。本次招标合同期按1+1+1模式进行。1年合同期满后，若采购人对中标供应商的</w:t>
      </w:r>
      <w:r>
        <w:rPr>
          <w:rFonts w:hint="eastAsia" w:ascii="宋体" w:hAnsi="宋体" w:cs="宋体"/>
          <w:b/>
          <w:color w:val="auto"/>
          <w:szCs w:val="21"/>
        </w:rPr>
        <w:t>考核结果为合格及以上的，可以续签下年合同；若中标方有违约行为或经考核不合格，采购人有权按招标文件、合同约定，或按考核办法单方面解除合同或不续签下一年合同。</w:t>
      </w:r>
    </w:p>
    <w:p>
      <w:pPr>
        <w:overflowPunct w:val="0"/>
        <w:snapToGrid w:val="0"/>
        <w:spacing w:line="360" w:lineRule="auto"/>
        <w:ind w:firstLine="422" w:firstLineChars="200"/>
        <w:rPr>
          <w:rFonts w:hint="eastAsia" w:ascii="宋体" w:hAnsi="宋体" w:cs="宋体"/>
          <w:b/>
          <w:color w:val="auto"/>
          <w:szCs w:val="21"/>
        </w:rPr>
      </w:pPr>
      <w:bookmarkStart w:id="247" w:name="_Hlk498084903"/>
      <w:r>
        <w:rPr>
          <w:rFonts w:hint="eastAsia" w:ascii="宋体" w:hAnsi="宋体" w:cs="宋体"/>
          <w:b/>
          <w:color w:val="auto"/>
          <w:szCs w:val="21"/>
        </w:rPr>
        <w:t>（二）本项目有下列情形的，采购人有权对供应商做警告（或严重警告）处罚：</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1、车辆或船只或人员逾期15天及以上未接入市综合行政执法局智慧环卫监管平台的，记1次书面警告，情节严重的可按严重警告计。</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2、未按照</w:t>
      </w:r>
      <w:r>
        <w:rPr>
          <w:rFonts w:hint="eastAsia" w:ascii="宋体" w:hAnsi="宋体" w:cs="宋体"/>
          <w:color w:val="auto"/>
          <w:szCs w:val="21"/>
        </w:rPr>
        <w:t>国家劳动法律法规相关规定和</w:t>
      </w:r>
      <w:r>
        <w:rPr>
          <w:rFonts w:hint="eastAsia" w:ascii="宋体" w:hAnsi="宋体" w:cs="宋体"/>
          <w:color w:val="auto"/>
          <w:kern w:val="2"/>
          <w:szCs w:val="21"/>
        </w:rPr>
        <w:t>招标文件</w:t>
      </w:r>
      <w:r>
        <w:rPr>
          <w:rFonts w:hint="eastAsia" w:ascii="宋体" w:hAnsi="宋体" w:cs="宋体"/>
          <w:color w:val="auto"/>
          <w:szCs w:val="21"/>
        </w:rPr>
        <w:t>相关规定</w:t>
      </w:r>
      <w:r>
        <w:rPr>
          <w:rFonts w:hint="eastAsia" w:ascii="宋体" w:hAnsi="宋体" w:cs="宋体"/>
          <w:color w:val="auto"/>
          <w:kern w:val="2"/>
          <w:szCs w:val="21"/>
        </w:rPr>
        <w:t>的</w:t>
      </w:r>
      <w:r>
        <w:rPr>
          <w:rFonts w:hint="eastAsia" w:ascii="宋体" w:hAnsi="宋体" w:cs="宋体"/>
          <w:color w:val="auto"/>
          <w:szCs w:val="21"/>
        </w:rPr>
        <w:t>用工年龄执行</w:t>
      </w:r>
      <w:r>
        <w:rPr>
          <w:rFonts w:hint="eastAsia" w:ascii="宋体" w:hAnsi="宋体" w:cs="宋体"/>
          <w:color w:val="auto"/>
          <w:kern w:val="2"/>
          <w:szCs w:val="21"/>
        </w:rPr>
        <w:t>记1次书面警告，情节严重的可按严重警告计。</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3、供应商因机械、工具或技术、劳动等跟不上管理需要影响工作，未达到质量标准，记1次书面警告。</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4、供应商道路清扫车、洒水车、洗路车、垃圾运输车等相应的清扫保洁设备，在清扫保洁作业中，存在弄虚作假、更换gps设备、数据等情况的，一经发现，记1次严重警告。</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5、供应商承诺投入人员存在弄虚作假、更换gps设备、数据等情况的，一经发现，记1次警告，情节十分恶劣的，记1次严重警告。</w:t>
      </w:r>
    </w:p>
    <w:p>
      <w:pPr>
        <w:overflowPunct w:val="0"/>
        <w:snapToGrid w:val="0"/>
        <w:spacing w:line="360" w:lineRule="exact"/>
        <w:ind w:firstLine="420" w:firstLineChars="200"/>
        <w:rPr>
          <w:rFonts w:hint="eastAsia" w:ascii="宋体" w:hAnsi="宋体" w:cs="宋体"/>
          <w:color w:val="auto"/>
          <w:kern w:val="2"/>
          <w:szCs w:val="21"/>
        </w:rPr>
      </w:pPr>
      <w:r>
        <w:rPr>
          <w:rFonts w:hint="eastAsia" w:ascii="宋体" w:hAnsi="宋体" w:cs="宋体"/>
          <w:color w:val="auto"/>
          <w:kern w:val="2"/>
          <w:szCs w:val="21"/>
        </w:rPr>
        <w:t>6、经采购人下发整改通知，且拒不整改或整改2次不到位的，记1次警告，情节十分恶劣的，记1次严重警告。</w:t>
      </w:r>
    </w:p>
    <w:p>
      <w:pPr>
        <w:snapToGrid w:val="0"/>
        <w:spacing w:line="360" w:lineRule="exact"/>
        <w:ind w:firstLine="420" w:firstLineChars="200"/>
        <w:rPr>
          <w:rFonts w:hint="eastAsia" w:ascii="宋体" w:hAnsi="宋体" w:cs="宋体"/>
          <w:color w:val="auto"/>
          <w:kern w:val="2"/>
          <w:szCs w:val="21"/>
          <w:highlight w:val="yellow"/>
        </w:rPr>
      </w:pPr>
      <w:r>
        <w:rPr>
          <w:rFonts w:hint="eastAsia" w:ascii="宋体" w:hAnsi="宋体" w:cs="宋体"/>
          <w:color w:val="auto"/>
          <w:kern w:val="2"/>
          <w:szCs w:val="21"/>
        </w:rPr>
        <w:t>7、根据招标文件、合同约定及考核办法，其它警告的规定。</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（三）本项目有下列情形的，采购人有权不续签或终止合同：</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 xml:space="preserve">1、本项目遇不可抗力影响或法律、法规、国家政策重大调整影响合同无法执行的； </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2、实际投入人员、机械车辆、船只与投标文件承诺不符合，拒不履行投标承诺的中标供应商（未按招标文件规定时间人员、机械车辆、船只到位，达到解除合同条件的），采购人有权无责任终止采购合同，并没收其全部履约保证金。</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3、按相关法律、法规、招标文件规定及考核办法，有下列情形之一的，采购人有权不续签或终止合同：</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（1）全年有两次被严重警告或三次被警告（含一次严重警告，两次警告）的承包单位，采购人有权无责任终止采购合同，并没收其全部履约保证金。警告及严重警告情形具体见考核办法。</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（2）连续2个月（或全年累计3个月）扣罚总额为月保洁金额的10%（含）以上的，采购人有权无责任终止采购合同，并没收其全部履约保证金。</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（3）违反安全管理、规范作业规定，造成重大伤亡或重大损失。</w:t>
      </w:r>
    </w:p>
    <w:p>
      <w:pPr>
        <w:snapToGrid w:val="0"/>
        <w:spacing w:line="400" w:lineRule="exact"/>
        <w:ind w:firstLine="422" w:firstLineChars="200"/>
        <w:rPr>
          <w:rFonts w:hint="eastAsia" w:ascii="宋体" w:hAnsi="宋体" w:cs="宋体"/>
          <w:b/>
          <w:szCs w:val="21"/>
        </w:rPr>
      </w:pPr>
      <w:r>
        <w:rPr>
          <w:rFonts w:hint="eastAsia" w:ascii="宋体" w:hAnsi="宋体" w:cs="宋体"/>
          <w:b/>
          <w:szCs w:val="21"/>
        </w:rPr>
        <w:t>（4）经省、市级新闻媒体曝光，中标供应商为责任方，造成恶劣影响的。</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szCs w:val="21"/>
        </w:rPr>
        <w:t>（5）经有关部门认定严重违反劳动法，造成恶劣影响的；或其它因违法经营受到刑事处罚或者责令停产停业、吊销许可</w:t>
      </w:r>
      <w:r>
        <w:rPr>
          <w:rFonts w:hint="eastAsia" w:ascii="宋体" w:hAnsi="宋体" w:cs="宋体"/>
          <w:b/>
          <w:color w:val="auto"/>
          <w:szCs w:val="21"/>
        </w:rPr>
        <w:t>证或者执照、较大数额罚款等行政处罚的。</w:t>
      </w:r>
    </w:p>
    <w:p>
      <w:pPr>
        <w:snapToGrid w:val="0"/>
        <w:spacing w:line="400" w:lineRule="exact"/>
        <w:ind w:firstLine="420" w:firstLineChars="200"/>
        <w:rPr>
          <w:rFonts w:ascii="宋体" w:hAnsi="宋体" w:cs="宋体"/>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6</w:t>
      </w:r>
      <w:r>
        <w:rPr>
          <w:rFonts w:hint="eastAsia" w:ascii="宋体" w:hAnsi="宋体"/>
          <w:bCs/>
          <w:color w:val="auto"/>
          <w:szCs w:val="21"/>
          <w:highlight w:val="none"/>
        </w:rPr>
        <w:t>）</w:t>
      </w:r>
      <w:r>
        <w:rPr>
          <w:rFonts w:hint="eastAsia" w:ascii="宋体" w:hAnsi="宋体" w:cs="宋体"/>
          <w:color w:val="auto"/>
          <w:szCs w:val="21"/>
          <w:highlight w:val="none"/>
        </w:rPr>
        <w:t>将本项目分包与转包，有以下情形的，将认定为分包或转包：</w:t>
      </w:r>
    </w:p>
    <w:p>
      <w:pPr>
        <w:numPr>
          <w:ilvl w:val="0"/>
          <w:numId w:val="26"/>
        </w:numPr>
        <w:overflowPunct w:val="0"/>
        <w:snapToGrid w:val="0"/>
        <w:spacing w:line="360" w:lineRule="auto"/>
        <w:rPr>
          <w:rFonts w:ascii="宋体" w:hAnsi="宋体"/>
          <w:bCs/>
          <w:color w:val="auto"/>
          <w:szCs w:val="21"/>
          <w:highlight w:val="none"/>
        </w:rPr>
      </w:pPr>
      <w:r>
        <w:rPr>
          <w:rFonts w:hint="eastAsia" w:ascii="宋体" w:hAnsi="宋体"/>
          <w:bCs/>
          <w:color w:val="auto"/>
          <w:szCs w:val="21"/>
          <w:highlight w:val="none"/>
        </w:rPr>
        <w:t>中标供应商未按要求直接与员工签订劳动或劳务合同人数≥5</w:t>
      </w:r>
      <w:r>
        <w:rPr>
          <w:rFonts w:ascii="宋体" w:hAnsi="宋体"/>
          <w:bCs/>
          <w:color w:val="auto"/>
          <w:szCs w:val="21"/>
          <w:highlight w:val="none"/>
        </w:rPr>
        <w:t>0</w:t>
      </w:r>
      <w:r>
        <w:rPr>
          <w:rFonts w:hint="eastAsia" w:ascii="宋体" w:hAnsi="宋体"/>
          <w:bCs/>
          <w:color w:val="auto"/>
          <w:szCs w:val="21"/>
          <w:highlight w:val="none"/>
        </w:rPr>
        <w:t>%的；</w:t>
      </w:r>
    </w:p>
    <w:p>
      <w:pPr>
        <w:numPr>
          <w:ilvl w:val="0"/>
          <w:numId w:val="26"/>
        </w:numPr>
        <w:overflowPunct w:val="0"/>
        <w:snapToGrid w:val="0"/>
        <w:spacing w:line="360" w:lineRule="auto"/>
        <w:rPr>
          <w:rFonts w:hint="eastAsia" w:ascii="宋体" w:hAnsi="宋体"/>
          <w:color w:val="auto"/>
          <w:kern w:val="2"/>
          <w:sz w:val="22"/>
          <w:szCs w:val="22"/>
          <w:highlight w:val="none"/>
        </w:rPr>
      </w:pPr>
      <w:r>
        <w:rPr>
          <w:rFonts w:hint="eastAsia" w:ascii="宋体" w:hAnsi="宋体"/>
          <w:color w:val="auto"/>
          <w:kern w:val="2"/>
          <w:sz w:val="22"/>
          <w:szCs w:val="22"/>
          <w:highlight w:val="none"/>
        </w:rPr>
        <w:t>故意阻止采购人调阅和查询与本项有关的财务情形，且拒不整改的；</w:t>
      </w:r>
    </w:p>
    <w:p>
      <w:p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）其它弄虚作假及其他不正当行为。</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w:t>
      </w:r>
      <w:r>
        <w:rPr>
          <w:rFonts w:hint="eastAsia" w:ascii="宋体" w:hAnsi="宋体" w:cs="宋体"/>
          <w:b/>
          <w:color w:val="auto"/>
          <w:szCs w:val="21"/>
          <w:lang w:val="en-US" w:eastAsia="zh-CN"/>
        </w:rPr>
        <w:t>8</w:t>
      </w:r>
      <w:r>
        <w:rPr>
          <w:rFonts w:hint="eastAsia" w:ascii="宋体" w:hAnsi="宋体" w:cs="宋体"/>
          <w:b/>
          <w:color w:val="auto"/>
          <w:szCs w:val="21"/>
        </w:rPr>
        <w:t>）合同履约期间，中标供应商法人组织破产的；</w:t>
      </w:r>
    </w:p>
    <w:p>
      <w:pPr>
        <w:snapToGrid w:val="0"/>
        <w:spacing w:line="400" w:lineRule="exact"/>
        <w:ind w:firstLine="422" w:firstLineChars="200"/>
        <w:rPr>
          <w:rFonts w:hint="eastAsia" w:ascii="宋体" w:hAnsi="宋体" w:cs="宋体"/>
          <w:b/>
          <w:szCs w:val="21"/>
        </w:rPr>
      </w:pPr>
      <w:r>
        <w:rPr>
          <w:rFonts w:hint="eastAsia" w:ascii="宋体" w:hAnsi="宋体" w:cs="宋体"/>
          <w:b/>
          <w:color w:val="auto"/>
          <w:szCs w:val="21"/>
        </w:rPr>
        <w:t>（</w:t>
      </w:r>
      <w:r>
        <w:rPr>
          <w:rFonts w:hint="eastAsia" w:ascii="宋体" w:hAnsi="宋体" w:cs="宋体"/>
          <w:b/>
          <w:color w:val="auto"/>
          <w:szCs w:val="21"/>
          <w:lang w:val="en-US" w:eastAsia="zh-CN"/>
        </w:rPr>
        <w:t>9</w:t>
      </w:r>
      <w:r>
        <w:rPr>
          <w:rFonts w:hint="eastAsia" w:ascii="宋体" w:hAnsi="宋体" w:cs="宋体"/>
          <w:b/>
          <w:color w:val="auto"/>
          <w:szCs w:val="21"/>
        </w:rPr>
        <w:t>）根据招标文件及合同约定，其它不续签或</w:t>
      </w:r>
      <w:r>
        <w:rPr>
          <w:rFonts w:hint="eastAsia" w:ascii="宋体" w:hAnsi="宋体" w:cs="宋体"/>
          <w:b/>
          <w:szCs w:val="21"/>
        </w:rPr>
        <w:t>终止合同的规定，其它法律规定的终止情形。</w:t>
      </w:r>
    </w:p>
    <w:p>
      <w:pPr>
        <w:snapToGrid w:val="0"/>
        <w:spacing w:line="400" w:lineRule="exact"/>
        <w:ind w:left="422" w:leftChars="201" w:firstLine="103" w:firstLineChars="49"/>
        <w:rPr>
          <w:rFonts w:hint="eastAsia" w:ascii="宋体" w:hAnsi="宋体" w:cs="宋体"/>
          <w:b/>
          <w:szCs w:val="21"/>
        </w:rPr>
      </w:pPr>
      <w:r>
        <w:rPr>
          <w:rFonts w:hint="eastAsia" w:ascii="宋体" w:hAnsi="宋体" w:cs="宋体"/>
          <w:b/>
          <w:szCs w:val="21"/>
        </w:rPr>
        <w:t>4、合同期限届满时自行终止。</w:t>
      </w:r>
    </w:p>
    <w:p>
      <w:pPr>
        <w:snapToGrid w:val="0"/>
        <w:spacing w:line="400" w:lineRule="exact"/>
        <w:ind w:firstLine="525" w:firstLineChars="249"/>
        <w:rPr>
          <w:rFonts w:hint="eastAsia" w:ascii="宋体" w:hAnsi="宋体" w:cs="宋体"/>
          <w:b/>
          <w:szCs w:val="21"/>
        </w:rPr>
      </w:pPr>
      <w:r>
        <w:rPr>
          <w:rFonts w:hint="eastAsia" w:ascii="宋体" w:hAnsi="宋体" w:cs="宋体"/>
          <w:b/>
          <w:szCs w:val="21"/>
        </w:rPr>
        <w:t>5、本项目服务期（3年）到期后，采购人如有需要，要求中标供应商按原合同价格及保洁要求继续保洁作业（时间最多不超过三个月）的，中标供应商须无条件接受。</w:t>
      </w:r>
      <w:bookmarkEnd w:id="247"/>
    </w:p>
    <w:p>
      <w:pPr>
        <w:spacing w:line="400" w:lineRule="exact"/>
        <w:ind w:firstLine="517" w:firstLineChars="245"/>
        <w:outlineLvl w:val="1"/>
        <w:rPr>
          <w:rFonts w:hint="eastAsia" w:ascii="宋体" w:hAnsi="宋体" w:cs="宋体"/>
          <w:b/>
          <w:szCs w:val="21"/>
        </w:rPr>
      </w:pPr>
      <w:bookmarkStart w:id="248" w:name="_Toc18113"/>
      <w:r>
        <w:rPr>
          <w:rFonts w:hint="eastAsia" w:ascii="宋体" w:hAnsi="宋体" w:cs="宋体"/>
          <w:b/>
          <w:szCs w:val="21"/>
        </w:rPr>
        <w:t>九、履约保证金</w:t>
      </w:r>
      <w:bookmarkEnd w:id="248"/>
    </w:p>
    <w:p>
      <w:pPr>
        <w:snapToGrid w:val="0"/>
        <w:spacing w:line="400" w:lineRule="exact"/>
        <w:ind w:firstLine="420" w:firstLineChars="200"/>
        <w:rPr>
          <w:rFonts w:hint="eastAsia" w:ascii="宋体" w:hAnsi="宋体" w:cs="宋体"/>
          <w:szCs w:val="21"/>
        </w:rPr>
      </w:pPr>
      <w:r>
        <w:rPr>
          <w:rFonts w:hint="eastAsia" w:ascii="宋体" w:hAnsi="宋体" w:cs="宋体"/>
          <w:szCs w:val="21"/>
        </w:rPr>
        <w:t>（一）中标供应商应以银行转账/转帐支票/银行汇票/银行、保险公司出具的保函等非现金方式提供相应区域一年中标金额的5%作为履约保证金分别缴纳至合同对应采购人指定账户。采购人开给中标供应商合同履约保证金收据；</w:t>
      </w:r>
    </w:p>
    <w:p>
      <w:pPr>
        <w:snapToGrid w:val="0"/>
        <w:spacing w:line="400" w:lineRule="exact"/>
        <w:ind w:firstLine="422" w:firstLineChars="200"/>
        <w:rPr>
          <w:rFonts w:hint="eastAsia" w:ascii="宋体" w:hAnsi="宋体" w:cs="宋体"/>
          <w:szCs w:val="21"/>
        </w:rPr>
      </w:pPr>
      <w:r>
        <w:rPr>
          <w:rFonts w:hint="eastAsia" w:ascii="宋体" w:hAnsi="宋体" w:cs="宋体"/>
          <w:b/>
          <w:bCs/>
          <w:szCs w:val="21"/>
        </w:rPr>
        <w:t>注：采用银行、保险公司出具的保函形式提交至采购人，应满足以下几个条件：①为无条件保函：即在成交供应商没有实施合同或者未履行合同义务时，采购人不需要出具任何证明和理由，只要看到成交供应商违约，就可对保函进行收兑；②保函期限：自合同生效之日起至服务期满之日后30日历天止；③如果银行、保险公司要求分期出具保函的，则在前一份保函有效期满之日2个月前必须重新出具相同内容的保函。</w:t>
      </w:r>
    </w:p>
    <w:p>
      <w:pPr>
        <w:snapToGrid w:val="0"/>
        <w:spacing w:line="400" w:lineRule="exact"/>
        <w:ind w:firstLine="420" w:firstLineChars="200"/>
        <w:rPr>
          <w:rFonts w:hint="eastAsia" w:ascii="宋体" w:hAnsi="宋体" w:cs="宋体"/>
          <w:szCs w:val="21"/>
        </w:rPr>
      </w:pPr>
      <w:r>
        <w:rPr>
          <w:rFonts w:hint="eastAsia" w:ascii="宋体" w:hAnsi="宋体" w:cs="宋体"/>
          <w:szCs w:val="21"/>
        </w:rPr>
        <w:t>（二）履约保证金扣罚条款</w:t>
      </w:r>
    </w:p>
    <w:p>
      <w:pPr>
        <w:spacing w:line="400" w:lineRule="exact"/>
        <w:ind w:firstLine="420" w:firstLineChars="200"/>
        <w:rPr>
          <w:rFonts w:ascii="宋体" w:hAnsi="宋体"/>
          <w:szCs w:val="21"/>
        </w:rPr>
      </w:pPr>
      <w:r>
        <w:rPr>
          <w:rFonts w:hint="eastAsia" w:ascii="宋体" w:hAnsi="宋体" w:cs="宋体"/>
          <w:szCs w:val="21"/>
        </w:rPr>
        <w:t>1、</w:t>
      </w:r>
      <w:r>
        <w:rPr>
          <w:rFonts w:hint="eastAsia" w:ascii="宋体" w:hAnsi="宋体"/>
          <w:szCs w:val="21"/>
        </w:rPr>
        <w:t>1、中标供应商车辆、船只，未按投标文件承诺或招标文件规定的进场作业日期到位的，重型车辆每辆每延迟1天处以10</w:t>
      </w:r>
      <w:r>
        <w:rPr>
          <w:rFonts w:ascii="宋体" w:hAnsi="宋体"/>
          <w:szCs w:val="21"/>
        </w:rPr>
        <w:t>000</w:t>
      </w:r>
      <w:r>
        <w:rPr>
          <w:rFonts w:hint="eastAsia" w:ascii="宋体" w:hAnsi="宋体"/>
          <w:szCs w:val="21"/>
        </w:rPr>
        <w:t>元违约金；中型车辆每辆每延迟1天处以5000元违约金；其它轻型车辆、电动车、船只每辆每延迟1天处以1000元违约金；</w:t>
      </w:r>
    </w:p>
    <w:p>
      <w:pPr>
        <w:spacing w:line="400" w:lineRule="exact"/>
        <w:ind w:firstLine="420" w:firstLineChars="200"/>
        <w:rPr>
          <w:rFonts w:ascii="宋体" w:hAnsi="宋体"/>
          <w:szCs w:val="21"/>
          <w:highlight w:val="none"/>
        </w:rPr>
      </w:pPr>
      <w:r>
        <w:rPr>
          <w:rFonts w:hint="eastAsia" w:ascii="宋体" w:hAnsi="宋体"/>
          <w:szCs w:val="21"/>
        </w:rPr>
        <w:t>2、中标供应商服务人员，未按投标文件承诺或招标文件规定的进场作业日期到位的，每人每</w:t>
      </w:r>
      <w:r>
        <w:rPr>
          <w:rFonts w:hint="eastAsia" w:ascii="宋体" w:hAnsi="宋体"/>
          <w:szCs w:val="21"/>
          <w:highlight w:val="none"/>
        </w:rPr>
        <w:t>延迟1天处以400元违约金；</w:t>
      </w:r>
    </w:p>
    <w:p>
      <w:pPr>
        <w:spacing w:line="360" w:lineRule="exact"/>
        <w:ind w:firstLine="420" w:firstLineChars="200"/>
        <w:rPr>
          <w:rFonts w:hint="eastAsia" w:ascii="宋体" w:hAnsi="宋体" w:cs="宋体"/>
          <w:color w:val="auto"/>
          <w:szCs w:val="21"/>
        </w:rPr>
      </w:pPr>
      <w:r>
        <w:rPr>
          <w:rFonts w:hint="eastAsia" w:ascii="宋体" w:hAnsi="宋体"/>
          <w:szCs w:val="21"/>
          <w:highlight w:val="none"/>
        </w:rPr>
        <w:t>3、中标供应商机械、车辆、船只、服务人员，未按投标文件承诺或招标文件规定的进场作业日期，超期达7日及以上的，采购人有权</w:t>
      </w:r>
      <w:r>
        <w:rPr>
          <w:rFonts w:hint="eastAsia" w:ascii="宋体" w:hAnsi="宋体"/>
          <w:color w:val="auto"/>
          <w:szCs w:val="21"/>
          <w:highlight w:val="none"/>
        </w:rPr>
        <w:t>处以等同于履约保证金金额的违约金，并有权无条件解除合同。</w:t>
      </w:r>
    </w:p>
    <w:p>
      <w:pPr>
        <w:spacing w:line="360" w:lineRule="exact"/>
        <w:ind w:firstLine="420" w:firstLineChars="200"/>
        <w:rPr>
          <w:rFonts w:hint="eastAsia" w:ascii="宋体" w:hAnsi="宋体" w:cs="宋体"/>
          <w:color w:val="auto"/>
          <w:szCs w:val="21"/>
          <w:highlight w:val="yellow"/>
        </w:rPr>
      </w:pPr>
      <w:r>
        <w:rPr>
          <w:rFonts w:hint="eastAsia" w:ascii="宋体" w:hAnsi="宋体" w:cs="宋体"/>
          <w:color w:val="auto"/>
          <w:szCs w:val="21"/>
        </w:rPr>
        <w:t>4、</w:t>
      </w:r>
      <w:r>
        <w:rPr>
          <w:rFonts w:hint="eastAsia" w:ascii="宋体" w:hAnsi="宋体" w:cs="宋体"/>
          <w:b/>
          <w:color w:val="auto"/>
          <w:szCs w:val="21"/>
          <w:u w:val="single"/>
        </w:rPr>
        <w:t>作业车辆、工具的停放场地由中标供应商自行负责解决，要求规范、统一停放，供应商须在中标通知书发出之日起30日内在本次招标保洁区域内建立专门的停车场。中标供应商未按规定日期之内建立专用停车场地的，每延期一天扣1000元履约保证金。</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5、中标供应商不能按期保质保量完成清扫保洁业务，除承担相关责任外，采购人可相应没收全部或部分合同履约保证金。</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6、根据招标文件规定与合同约定，采购人可相应没收全部或部分履约保证金的条款。</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（三）采购人扣罚履约保证金，但未达到解除合同条件的，中标供应商须在扣罚之日起7日历天内补齐合同履约保证金至一年合同款的5％。拒不缴纳补齐的，采购人有权扣罚全部履约保证金，并无条件解除合同。</w:t>
      </w:r>
    </w:p>
    <w:p>
      <w:pPr>
        <w:snapToGrid w:val="0"/>
        <w:spacing w:line="400" w:lineRule="exact"/>
        <w:ind w:firstLine="420" w:firstLineChars="200"/>
        <w:rPr>
          <w:rFonts w:hint="eastAsia" w:ascii="宋体" w:hAnsi="宋体" w:cs="宋体"/>
          <w:b/>
          <w:color w:val="auto"/>
          <w:szCs w:val="21"/>
        </w:rPr>
      </w:pPr>
      <w:r>
        <w:rPr>
          <w:rFonts w:hint="eastAsia" w:ascii="宋体" w:hAnsi="宋体" w:cs="宋体"/>
          <w:color w:val="auto"/>
          <w:szCs w:val="21"/>
        </w:rPr>
        <w:t>（四）承包任务完成并验收移交采购人后30日内，采购人无息退还中标供应商剩余的合同履约保证金；</w:t>
      </w:r>
    </w:p>
    <w:p>
      <w:pPr>
        <w:spacing w:line="400" w:lineRule="exact"/>
        <w:ind w:firstLine="517" w:firstLineChars="245"/>
        <w:outlineLvl w:val="1"/>
        <w:rPr>
          <w:rFonts w:hint="eastAsia" w:ascii="宋体" w:hAnsi="宋体" w:cs="宋体"/>
          <w:b/>
          <w:color w:val="auto"/>
          <w:szCs w:val="21"/>
        </w:rPr>
      </w:pPr>
      <w:bookmarkStart w:id="249" w:name="_Toc15881"/>
      <w:r>
        <w:rPr>
          <w:rFonts w:hint="eastAsia" w:ascii="宋体" w:hAnsi="宋体" w:cs="宋体"/>
          <w:b/>
          <w:color w:val="auto"/>
          <w:szCs w:val="21"/>
        </w:rPr>
        <w:t>十、▲付款方式</w:t>
      </w:r>
      <w:bookmarkEnd w:id="249"/>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（一）付款方式为先保洁后支付,由采购人根据前一个月的考核结果，每月底结前一个月的承包经费（遇节假日顺延）。考核结果不达标，采购人有权暂缓支付承包经费。</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（二）中标供应商按每月的考核结果分别向瑞安市玉海街道办事处、瑞安市锦湖街道办事处和瑞安市潘岱街道办事处结算，采购人凭中标供应商开具的正式发票、一线现场服务人员社保花名册及工资册进行支付。</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（三）环境卫生质量考核遵照对应街道发布的现行考核办法（详见合同附件一）执行，如采购人有对考核内容作出调整的，供应商须无条件予以接受并遵守。</w:t>
      </w:r>
    </w:p>
    <w:p>
      <w:pPr>
        <w:snapToGrid w:val="0"/>
        <w:spacing w:line="400" w:lineRule="exact"/>
        <w:ind w:firstLine="422" w:firstLineChars="200"/>
        <w:rPr>
          <w:rFonts w:hint="eastAsia" w:ascii="宋体" w:hAnsi="宋体" w:cs="宋体"/>
          <w:b/>
          <w:color w:val="auto"/>
          <w:szCs w:val="21"/>
        </w:rPr>
      </w:pPr>
      <w:r>
        <w:rPr>
          <w:rFonts w:hint="eastAsia" w:ascii="宋体" w:hAnsi="宋体" w:cs="宋体"/>
          <w:b/>
          <w:color w:val="auto"/>
          <w:szCs w:val="21"/>
        </w:rPr>
        <w:t>（四）采购人每月作出的考核结果，汇总考核结算清单，并告知中标供应商。处罚金额按月直接在付款额中扣除。承包到期后根据考核结果将余款一次付清。</w:t>
      </w:r>
    </w:p>
    <w:p>
      <w:pPr>
        <w:snapToGrid w:val="0"/>
        <w:spacing w:line="400" w:lineRule="exact"/>
        <w:ind w:firstLine="422" w:firstLineChars="200"/>
        <w:rPr>
          <w:rFonts w:hint="eastAsia" w:ascii="宋体" w:hAnsi="宋体" w:cs="宋体"/>
          <w:b/>
          <w:szCs w:val="21"/>
        </w:rPr>
      </w:pPr>
      <w:r>
        <w:rPr>
          <w:rFonts w:hint="eastAsia" w:ascii="宋体" w:hAnsi="宋体" w:cs="宋体"/>
          <w:b/>
          <w:color w:val="auto"/>
          <w:szCs w:val="21"/>
        </w:rPr>
        <w:t>（五）由于本采购项目实施以人工投入为</w:t>
      </w:r>
      <w:r>
        <w:rPr>
          <w:rFonts w:hint="eastAsia" w:ascii="宋体" w:hAnsi="宋体" w:cs="宋体"/>
          <w:b/>
          <w:szCs w:val="21"/>
        </w:rPr>
        <w:t>主，在每年度合同签订且具备实施条件后15日历天内采购人向中标供应商支付合同总额（一年）的10%作为预付款。采购人在支付当年度第一期款项时等额予以扣回，如不足抵扣的，则在下期结算款支付时扣回预付款。在签订合同时，供应商明确表示无需预付款或者主动要求降低预付款比例的，采购人可不适用前述规定。</w:t>
      </w:r>
    </w:p>
    <w:p>
      <w:pPr>
        <w:spacing w:line="400" w:lineRule="exact"/>
        <w:ind w:firstLine="514" w:firstLineChars="244"/>
        <w:outlineLvl w:val="1"/>
        <w:rPr>
          <w:rFonts w:hint="eastAsia" w:ascii="宋体" w:hAnsi="宋体" w:cs="宋体"/>
          <w:b/>
          <w:szCs w:val="21"/>
        </w:rPr>
      </w:pPr>
      <w:bookmarkStart w:id="250" w:name="_Toc20647"/>
      <w:r>
        <w:rPr>
          <w:rFonts w:hint="eastAsia" w:ascii="宋体" w:hAnsi="宋体" w:cs="宋体"/>
          <w:b/>
          <w:szCs w:val="21"/>
        </w:rPr>
        <w:t>十一、其他说明</w:t>
      </w:r>
      <w:bookmarkEnd w:id="250"/>
    </w:p>
    <w:p>
      <w:pPr>
        <w:autoSpaceDE w:val="0"/>
        <w:autoSpaceDN w:val="0"/>
        <w:adjustRightInd w:val="0"/>
        <w:spacing w:line="400" w:lineRule="exact"/>
        <w:ind w:firstLine="422" w:firstLineChars="200"/>
        <w:textAlignment w:val="bottom"/>
        <w:outlineLvl w:val="2"/>
        <w:rPr>
          <w:rFonts w:hint="eastAsia" w:ascii="宋体" w:hAnsi="宋体" w:cs="宋体"/>
          <w:b/>
          <w:szCs w:val="21"/>
        </w:rPr>
      </w:pPr>
      <w:bookmarkStart w:id="251" w:name="_Toc15760"/>
      <w:bookmarkStart w:id="252" w:name="_Toc14260"/>
      <w:bookmarkStart w:id="253" w:name="_Toc25900"/>
      <w:bookmarkStart w:id="254" w:name="_Toc3872"/>
      <w:bookmarkStart w:id="255" w:name="_Toc20157"/>
      <w:r>
        <w:rPr>
          <w:rFonts w:hint="eastAsia" w:ascii="宋体" w:hAnsi="宋体" w:cs="宋体"/>
          <w:b/>
          <w:szCs w:val="21"/>
        </w:rPr>
        <w:t>（一）项目负责人要求</w:t>
      </w:r>
      <w:bookmarkEnd w:id="251"/>
      <w:bookmarkEnd w:id="252"/>
      <w:bookmarkEnd w:id="253"/>
      <w:bookmarkEnd w:id="254"/>
      <w:bookmarkEnd w:id="255"/>
    </w:p>
    <w:p>
      <w:pPr>
        <w:autoSpaceDE w:val="0"/>
        <w:autoSpaceDN w:val="0"/>
        <w:adjustRightInd w:val="0"/>
        <w:spacing w:line="400" w:lineRule="exact"/>
        <w:ind w:firstLine="422" w:firstLineChars="200"/>
        <w:textAlignment w:val="bottom"/>
        <w:rPr>
          <w:rFonts w:hint="eastAsia" w:ascii="宋体" w:hAnsi="宋体" w:cs="宋体"/>
          <w:b/>
          <w:szCs w:val="21"/>
        </w:rPr>
      </w:pPr>
      <w:r>
        <w:rPr>
          <w:rFonts w:hint="eastAsia" w:ascii="宋体" w:hAnsi="宋体" w:cs="宋体"/>
          <w:b/>
          <w:szCs w:val="21"/>
        </w:rPr>
        <w:t>1、</w:t>
      </w:r>
      <w:r>
        <w:rPr>
          <w:rFonts w:hint="eastAsia" w:ascii="宋体" w:hAnsi="宋体" w:cs="宋体"/>
          <w:szCs w:val="21"/>
        </w:rPr>
        <w:t>投标供应商的项目负责人应具有道路保洁实际工作一年以上经验，</w:t>
      </w:r>
      <w:r>
        <w:rPr>
          <w:rFonts w:hint="eastAsia" w:ascii="宋体"/>
          <w:b/>
          <w:color w:val="auto"/>
          <w:sz w:val="21"/>
          <w:szCs w:val="21"/>
          <w:highlight w:val="none"/>
        </w:rPr>
        <w:t>▲</w:t>
      </w:r>
      <w:r>
        <w:rPr>
          <w:rFonts w:hint="eastAsia" w:ascii="宋体"/>
          <w:b/>
          <w:color w:val="auto"/>
          <w:szCs w:val="21"/>
          <w:highlight w:val="none"/>
          <w:u w:val="single"/>
        </w:rPr>
        <w:t>在本</w:t>
      </w:r>
      <w:r>
        <w:rPr>
          <w:rFonts w:hint="eastAsia" w:ascii="宋体"/>
          <w:b/>
          <w:color w:val="auto"/>
          <w:szCs w:val="21"/>
          <w:highlight w:val="none"/>
          <w:u w:val="single"/>
          <w:lang w:val="en-US" w:eastAsia="zh-CN"/>
        </w:rPr>
        <w:t>项目</w:t>
      </w:r>
      <w:r>
        <w:rPr>
          <w:rFonts w:hint="eastAsia" w:ascii="宋体"/>
          <w:b/>
          <w:color w:val="auto"/>
          <w:szCs w:val="21"/>
          <w:highlight w:val="none"/>
          <w:u w:val="single"/>
        </w:rPr>
        <w:t>中担任项目负责人的，须专职，不得在瑞安其它项目中担任项目负责人，本项目中标供应商项目负责人不得擅自变更，未经采购人同意，变更项目负责人的，</w:t>
      </w:r>
      <w:r>
        <w:rPr>
          <w:rFonts w:hint="eastAsia" w:ascii="宋体"/>
          <w:b/>
          <w:color w:val="auto"/>
          <w:szCs w:val="21"/>
          <w:highlight w:val="none"/>
          <w:u w:val="single"/>
          <w:lang w:val="en-US" w:eastAsia="zh-CN"/>
        </w:rPr>
        <w:t>处以</w:t>
      </w:r>
      <w:r>
        <w:rPr>
          <w:rFonts w:hint="eastAsia" w:ascii="宋体"/>
          <w:b/>
          <w:color w:val="auto"/>
          <w:szCs w:val="21"/>
          <w:highlight w:val="none"/>
          <w:u w:val="single"/>
        </w:rPr>
        <w:t>10万元</w:t>
      </w:r>
      <w:r>
        <w:rPr>
          <w:rFonts w:hint="eastAsia" w:ascii="宋体"/>
          <w:b/>
          <w:color w:val="auto"/>
          <w:szCs w:val="21"/>
          <w:highlight w:val="none"/>
          <w:u w:val="single"/>
          <w:lang w:val="en-US" w:eastAsia="zh-CN"/>
        </w:rPr>
        <w:t>违约金（在履约保证金中扣除）</w:t>
      </w:r>
      <w:r>
        <w:rPr>
          <w:rFonts w:hint="eastAsia" w:ascii="宋体"/>
          <w:b/>
          <w:color w:val="auto"/>
          <w:szCs w:val="21"/>
          <w:highlight w:val="none"/>
          <w:u w:val="single"/>
        </w:rPr>
        <w:t>；情节严重的，采购人可以无责任取消其中标资格并解除中标合同</w:t>
      </w:r>
      <w:r>
        <w:rPr>
          <w:rFonts w:hint="eastAsia" w:ascii="宋体"/>
          <w:b/>
          <w:color w:val="auto"/>
          <w:sz w:val="21"/>
          <w:szCs w:val="21"/>
          <w:highlight w:val="none"/>
        </w:rPr>
        <w:t>。</w:t>
      </w:r>
    </w:p>
    <w:p>
      <w:pPr>
        <w:pStyle w:val="8"/>
        <w:rPr>
          <w:rFonts w:hint="eastAsia" w:ascii="宋体" w:hAnsi="宋体" w:cs="宋体"/>
          <w:b/>
          <w:szCs w:val="21"/>
        </w:rPr>
      </w:pPr>
      <w:r>
        <w:rPr>
          <w:rFonts w:hint="eastAsia" w:ascii="宋体" w:hAnsi="宋体" w:cs="宋体"/>
          <w:b/>
          <w:szCs w:val="21"/>
        </w:rPr>
        <w:t>2、项目负责人须在项目所在地服务天数达到每年300天及以上，因特殊原因需离开瑞安范围的须经采购人同意。</w:t>
      </w:r>
    </w:p>
    <w:p>
      <w:pPr>
        <w:pStyle w:val="8"/>
        <w:rPr>
          <w:rFonts w:hint="eastAsia" w:ascii="宋体" w:hAnsi="宋体" w:cs="宋体"/>
          <w:b/>
          <w:szCs w:val="21"/>
        </w:rPr>
      </w:pPr>
      <w:r>
        <w:rPr>
          <w:rFonts w:hint="eastAsia" w:ascii="宋体" w:hAnsi="宋体" w:cs="宋体"/>
          <w:b/>
          <w:szCs w:val="21"/>
        </w:rPr>
        <w:t>3、遇有重大活动或突发事件时，项目负责人须到场指挥，并服从采购人的统一工作安排。</w:t>
      </w:r>
    </w:p>
    <w:p>
      <w:pPr>
        <w:pStyle w:val="8"/>
        <w:rPr>
          <w:rFonts w:hint="eastAsia" w:ascii="宋体" w:hAnsi="宋体" w:cs="宋体"/>
          <w:b/>
          <w:szCs w:val="21"/>
        </w:rPr>
      </w:pPr>
      <w:r>
        <w:rPr>
          <w:rFonts w:hint="eastAsia" w:ascii="宋体" w:hAnsi="宋体" w:cs="宋体"/>
          <w:b/>
          <w:szCs w:val="21"/>
        </w:rPr>
        <w:t>4、若项目负责人擅自离开瑞安或未到位300天的，每天罚以违约金10000元，每年度最后一个月服务款中直接扣除，如不足抵扣的，不足部分从履约保证金中扣回。</w:t>
      </w:r>
    </w:p>
    <w:p>
      <w:pPr>
        <w:autoSpaceDE w:val="0"/>
        <w:autoSpaceDN w:val="0"/>
        <w:adjustRightInd w:val="0"/>
        <w:spacing w:line="400" w:lineRule="exact"/>
        <w:ind w:firstLine="422" w:firstLineChars="200"/>
        <w:textAlignment w:val="bottom"/>
        <w:outlineLvl w:val="2"/>
        <w:rPr>
          <w:rFonts w:hint="eastAsia" w:ascii="宋体" w:hAnsi="宋体" w:cs="宋体"/>
          <w:b/>
          <w:color w:val="auto"/>
          <w:szCs w:val="21"/>
        </w:rPr>
      </w:pPr>
      <w:bookmarkStart w:id="256" w:name="_Toc18192"/>
      <w:bookmarkStart w:id="257" w:name="_Toc4522"/>
      <w:bookmarkStart w:id="258" w:name="_Toc13060"/>
      <w:bookmarkStart w:id="259" w:name="_Toc15976"/>
      <w:bookmarkStart w:id="260" w:name="_Toc7322"/>
      <w:r>
        <w:rPr>
          <w:rFonts w:hint="eastAsia" w:ascii="宋体" w:hAnsi="宋体" w:cs="宋体"/>
          <w:b/>
          <w:szCs w:val="21"/>
        </w:rPr>
        <w:t>（二）员工劳动保障要求</w:t>
      </w:r>
      <w:bookmarkEnd w:id="256"/>
      <w:bookmarkEnd w:id="257"/>
      <w:bookmarkEnd w:id="258"/>
      <w:bookmarkEnd w:id="259"/>
      <w:bookmarkEnd w:id="260"/>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rPr>
        <w:t>1、</w:t>
      </w:r>
      <w:bookmarkStart w:id="261" w:name="_Hlk69253021"/>
      <w:r>
        <w:rPr>
          <w:rFonts w:hint="eastAsia" w:ascii="宋体"/>
          <w:color w:val="auto"/>
          <w:szCs w:val="21"/>
        </w:rPr>
        <w:t>中标供应商</w:t>
      </w:r>
      <w:r>
        <w:rPr>
          <w:rFonts w:ascii="宋体"/>
          <w:color w:val="auto"/>
          <w:szCs w:val="21"/>
        </w:rPr>
        <w:t>必须</w:t>
      </w:r>
      <w:r>
        <w:rPr>
          <w:rFonts w:hint="eastAsia" w:ascii="宋体"/>
          <w:color w:val="auto"/>
          <w:szCs w:val="21"/>
        </w:rPr>
        <w:t>按《劳动法》</w:t>
      </w:r>
      <w:r>
        <w:rPr>
          <w:rFonts w:ascii="宋体"/>
          <w:color w:val="auto"/>
          <w:szCs w:val="21"/>
        </w:rPr>
        <w:t>与员工</w:t>
      </w:r>
      <w:r>
        <w:rPr>
          <w:rFonts w:hint="eastAsia" w:ascii="宋体"/>
          <w:color w:val="auto"/>
          <w:szCs w:val="21"/>
        </w:rPr>
        <w:t>直接与本公司</w:t>
      </w:r>
      <w:r>
        <w:rPr>
          <w:rFonts w:ascii="宋体"/>
          <w:color w:val="auto"/>
          <w:szCs w:val="21"/>
        </w:rPr>
        <w:t>签订书面劳动</w:t>
      </w:r>
      <w:r>
        <w:rPr>
          <w:rFonts w:hint="eastAsia" w:ascii="宋体"/>
          <w:color w:val="auto"/>
          <w:szCs w:val="21"/>
        </w:rPr>
        <w:t>或劳务</w:t>
      </w:r>
      <w:r>
        <w:rPr>
          <w:rFonts w:ascii="宋体"/>
          <w:color w:val="auto"/>
          <w:szCs w:val="21"/>
        </w:rPr>
        <w:t>合同，招收人员在主管部门备案</w:t>
      </w:r>
      <w:r>
        <w:rPr>
          <w:rFonts w:hint="eastAsia" w:ascii="宋体"/>
          <w:color w:val="auto"/>
          <w:szCs w:val="21"/>
        </w:rPr>
        <w:t>，不得通过第三方机构派遣至中标</w:t>
      </w:r>
      <w:r>
        <w:rPr>
          <w:rFonts w:hint="eastAsia" w:ascii="宋体"/>
          <w:color w:val="auto"/>
          <w:szCs w:val="21"/>
          <w:highlight w:val="none"/>
        </w:rPr>
        <w:t>单位处，否则每发现一人次扣罚1000元，15天内未整改到位的，记1次书面警告（或严重警告），以此类推。</w:t>
      </w:r>
      <w:bookmarkEnd w:id="261"/>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2、执行《劳动法》、《劳动合同法》有关员工保障的其他规定，由劳动部门查实的，根据查实情况处罚。</w:t>
      </w:r>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3、一线现场服务人员用工年龄按照国家劳动法律法规相关规定执行，最高不超过70周岁，其中65周岁（含）以下占比不得低于80%，且河道保洁和公厕保洁员不得超过65周岁，堤坝保洁员不得超过55周岁，否则每发现一人次扣罚1000元，15天内未更换人员并到位的，记1次书面警告（或严重警告），以此类推。</w:t>
      </w:r>
    </w:p>
    <w:p>
      <w:pPr>
        <w:autoSpaceDE w:val="0"/>
        <w:autoSpaceDN w:val="0"/>
        <w:adjustRightInd w:val="0"/>
        <w:spacing w:line="400" w:lineRule="exact"/>
        <w:ind w:firstLine="525" w:firstLineChars="250"/>
        <w:textAlignment w:val="bottom"/>
        <w:rPr>
          <w:rFonts w:hint="eastAsia" w:ascii="宋体" w:hAnsi="宋体" w:cs="宋体"/>
          <w:color w:val="auto"/>
          <w:szCs w:val="21"/>
          <w:highlight w:val="none"/>
        </w:rPr>
      </w:pPr>
      <w:r>
        <w:rPr>
          <w:rFonts w:hint="eastAsia" w:ascii="宋体" w:hAnsi="宋体" w:cs="宋体"/>
          <w:color w:val="auto"/>
          <w:szCs w:val="21"/>
          <w:highlight w:val="none"/>
        </w:rPr>
        <w:t>4、承诺投入本项目的人员社会保险和工资册，采购单位随时进行核实。</w:t>
      </w:r>
    </w:p>
    <w:p>
      <w:pPr>
        <w:autoSpaceDE w:val="0"/>
        <w:autoSpaceDN w:val="0"/>
        <w:adjustRightInd w:val="0"/>
        <w:spacing w:line="400" w:lineRule="exact"/>
        <w:ind w:firstLine="525" w:firstLineChars="250"/>
        <w:textAlignment w:val="bottom"/>
        <w:rPr>
          <w:rFonts w:hint="eastAsia"/>
          <w:color w:val="auto"/>
          <w:highlight w:val="none"/>
        </w:rPr>
      </w:pPr>
      <w:r>
        <w:rPr>
          <w:rFonts w:hint="eastAsia" w:ascii="宋体" w:hAnsi="宋体"/>
          <w:color w:val="auto"/>
          <w:kern w:val="2"/>
          <w:szCs w:val="21"/>
          <w:highlight w:val="none"/>
        </w:rPr>
        <w:t>5、采购人有权调阅与本项目有关的财务状况，中标单位须无条件配合，否则采购人有权认定中标供应商存在将项目进行分包，按照违约情形认定。</w:t>
      </w:r>
    </w:p>
    <w:p>
      <w:pPr>
        <w:autoSpaceDE w:val="0"/>
        <w:autoSpaceDN w:val="0"/>
        <w:adjustRightInd w:val="0"/>
        <w:spacing w:line="400" w:lineRule="exact"/>
        <w:ind w:firstLine="422" w:firstLineChars="200"/>
        <w:textAlignment w:val="bottom"/>
        <w:outlineLvl w:val="2"/>
        <w:rPr>
          <w:rFonts w:hint="eastAsia" w:ascii="宋体" w:hAnsi="宋体" w:cs="宋体"/>
          <w:b/>
          <w:color w:val="auto"/>
          <w:szCs w:val="21"/>
          <w:highlight w:val="none"/>
        </w:rPr>
      </w:pPr>
      <w:bookmarkStart w:id="262" w:name="_Toc10195"/>
      <w:bookmarkStart w:id="263" w:name="_Toc8874"/>
      <w:bookmarkStart w:id="264" w:name="_Toc19028"/>
      <w:bookmarkStart w:id="265" w:name="_Toc2405"/>
      <w:bookmarkStart w:id="266" w:name="_Toc11610"/>
      <w:r>
        <w:rPr>
          <w:rFonts w:hint="eastAsia" w:ascii="宋体" w:hAnsi="宋体" w:cs="宋体"/>
          <w:b/>
          <w:color w:val="auto"/>
          <w:szCs w:val="21"/>
          <w:highlight w:val="none"/>
        </w:rPr>
        <w:t>（</w:t>
      </w:r>
      <w:bookmarkEnd w:id="262"/>
      <w:bookmarkEnd w:id="263"/>
      <w:bookmarkEnd w:id="264"/>
      <w:r>
        <w:rPr>
          <w:rFonts w:hint="eastAsia" w:ascii="宋体" w:hAnsi="宋体" w:cs="宋体"/>
          <w:b/>
          <w:color w:val="auto"/>
          <w:szCs w:val="21"/>
          <w:highlight w:val="none"/>
        </w:rPr>
        <w:t>三）设立售后服务机构要求</w:t>
      </w:r>
      <w:bookmarkEnd w:id="265"/>
      <w:bookmarkEnd w:id="266"/>
    </w:p>
    <w:p>
      <w:pPr>
        <w:autoSpaceDE w:val="0"/>
        <w:autoSpaceDN w:val="0"/>
        <w:adjustRightInd w:val="0"/>
        <w:spacing w:line="400" w:lineRule="exact"/>
        <w:ind w:firstLine="527" w:firstLineChars="250"/>
        <w:textAlignment w:val="bottom"/>
        <w:rPr>
          <w:rFonts w:hint="eastAsia" w:ascii="宋体" w:hAnsi="宋体" w:cs="宋体"/>
          <w:b/>
          <w:bCs/>
          <w:color w:val="auto"/>
        </w:rPr>
      </w:pPr>
      <w:r>
        <w:rPr>
          <w:rFonts w:hint="eastAsia" w:ascii="宋体" w:hAnsi="宋体" w:cs="宋体"/>
          <w:b/>
          <w:bCs/>
          <w:color w:val="auto"/>
          <w:szCs w:val="21"/>
        </w:rPr>
        <w:t>▲非本地企业中标后，</w:t>
      </w:r>
      <w:r>
        <w:rPr>
          <w:rFonts w:hint="eastAsia" w:ascii="宋体" w:hAnsi="宋体" w:cs="宋体"/>
          <w:b/>
          <w:bCs/>
          <w:color w:val="auto"/>
        </w:rPr>
        <w:t>供应商应当在中标公示后十五个工作日内在瑞安设立售后服务机构，否则视为放弃中标资格，由排名次之的中标候选供应商替补，以此类推，采购人也可以重新开展政府采购活动。</w:t>
      </w:r>
    </w:p>
    <w:p>
      <w:pPr>
        <w:numPr>
          <w:ilvl w:val="0"/>
          <w:numId w:val="27"/>
        </w:numPr>
        <w:autoSpaceDE w:val="0"/>
        <w:autoSpaceDN w:val="0"/>
        <w:adjustRightInd w:val="0"/>
        <w:spacing w:line="400" w:lineRule="exact"/>
        <w:ind w:firstLine="420" w:firstLineChars="200"/>
        <w:textAlignment w:val="bottom"/>
        <w:outlineLvl w:val="2"/>
        <w:rPr>
          <w:rFonts w:hint="eastAsia" w:ascii="宋体" w:hAnsi="宋体" w:cs="宋体"/>
          <w:color w:val="auto"/>
          <w:szCs w:val="21"/>
        </w:rPr>
      </w:pPr>
      <w:bookmarkStart w:id="267" w:name="_Toc7379"/>
      <w:bookmarkStart w:id="268" w:name="_Toc13009"/>
      <w:bookmarkStart w:id="269" w:name="_Toc27621"/>
      <w:bookmarkStart w:id="270" w:name="_Toc15557"/>
      <w:bookmarkStart w:id="271" w:name="_Toc6348"/>
      <w:r>
        <w:rPr>
          <w:rFonts w:hint="eastAsia" w:ascii="宋体" w:hAnsi="宋体" w:cs="宋体"/>
          <w:color w:val="auto"/>
          <w:szCs w:val="21"/>
        </w:rPr>
        <w:t>不可预见性因素，而导致付款有可能存在延期的风险，不得终止清扫保洁工作，不影响保洁质量，否则按违规处理。</w:t>
      </w:r>
      <w:bookmarkEnd w:id="267"/>
      <w:bookmarkEnd w:id="268"/>
      <w:bookmarkEnd w:id="269"/>
      <w:bookmarkEnd w:id="270"/>
      <w:bookmarkEnd w:id="271"/>
    </w:p>
    <w:p>
      <w:pPr>
        <w:numPr>
          <w:ilvl w:val="0"/>
          <w:numId w:val="27"/>
        </w:numPr>
        <w:autoSpaceDE w:val="0"/>
        <w:autoSpaceDN w:val="0"/>
        <w:adjustRightInd w:val="0"/>
        <w:spacing w:line="400" w:lineRule="exact"/>
        <w:ind w:firstLine="422" w:firstLineChars="200"/>
        <w:textAlignment w:val="bottom"/>
        <w:outlineLvl w:val="2"/>
        <w:rPr>
          <w:rFonts w:hint="eastAsia" w:ascii="宋体" w:hAnsi="宋体" w:cs="宋体"/>
          <w:b/>
          <w:color w:val="auto"/>
          <w:szCs w:val="21"/>
        </w:rPr>
      </w:pPr>
      <w:bookmarkStart w:id="272" w:name="_Toc20885"/>
      <w:bookmarkStart w:id="273" w:name="_Toc2113"/>
      <w:bookmarkStart w:id="274" w:name="_Toc28136"/>
      <w:bookmarkStart w:id="275" w:name="_Toc28452"/>
      <w:bookmarkStart w:id="276" w:name="_Toc4169"/>
      <w:r>
        <w:rPr>
          <w:rFonts w:hint="eastAsia" w:ascii="宋体" w:hAnsi="宋体" w:cs="宋体"/>
          <w:b/>
          <w:color w:val="auto"/>
          <w:szCs w:val="21"/>
        </w:rPr>
        <w:t>▲投标报价要求</w:t>
      </w:r>
      <w:bookmarkEnd w:id="272"/>
      <w:bookmarkEnd w:id="273"/>
      <w:bookmarkEnd w:id="274"/>
      <w:bookmarkEnd w:id="275"/>
      <w:bookmarkEnd w:id="276"/>
    </w:p>
    <w:p>
      <w:pPr>
        <w:autoSpaceDE w:val="0"/>
        <w:autoSpaceDN w:val="0"/>
        <w:adjustRightInd w:val="0"/>
        <w:spacing w:line="40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1、本项目总报价按三年服务期进行报价。</w:t>
      </w:r>
    </w:p>
    <w:p>
      <w:pPr>
        <w:autoSpaceDE w:val="0"/>
        <w:autoSpaceDN w:val="0"/>
        <w:adjustRightInd w:val="0"/>
        <w:spacing w:line="400" w:lineRule="exact"/>
        <w:ind w:firstLine="422" w:firstLineChars="200"/>
        <w:textAlignment w:val="bottom"/>
        <w:rPr>
          <w:rFonts w:hint="eastAsia" w:ascii="宋体" w:hAnsi="宋体" w:cs="宋体"/>
          <w:szCs w:val="21"/>
          <w:u w:val="single"/>
        </w:rPr>
      </w:pPr>
      <w:r>
        <w:rPr>
          <w:rFonts w:hint="eastAsia" w:ascii="宋体" w:hAnsi="宋体" w:cs="宋体"/>
          <w:b/>
          <w:color w:val="auto"/>
          <w:szCs w:val="21"/>
          <w:u w:val="single"/>
        </w:rPr>
        <w:t>2、▲</w:t>
      </w:r>
      <w:r>
        <w:rPr>
          <w:rFonts w:hint="eastAsia" w:ascii="宋体" w:hAnsi="宋体" w:cs="宋体"/>
          <w:color w:val="auto"/>
          <w:szCs w:val="21"/>
          <w:u w:val="single"/>
        </w:rPr>
        <w:t>中标供应商须为符合国家相关缴纳社保规定的所有员工缴纳社保</w:t>
      </w:r>
      <w:r>
        <w:rPr>
          <w:rFonts w:hint="eastAsia" w:ascii="宋体" w:hAnsi="宋体" w:cs="宋体"/>
          <w:b w:val="0"/>
          <w:bCs w:val="0"/>
          <w:color w:val="auto"/>
          <w:szCs w:val="21"/>
          <w:u w:val="single"/>
        </w:rPr>
        <w:t>（计入投标总价）</w:t>
      </w:r>
      <w:r>
        <w:rPr>
          <w:rFonts w:hint="eastAsia" w:ascii="宋体" w:hAnsi="宋体" w:cs="宋体"/>
          <w:color w:val="auto"/>
          <w:szCs w:val="21"/>
          <w:u w:val="single"/>
        </w:rPr>
        <w:t>，其中一线现场服务人员社保缴纳人数不得低于一线现场服务人员总数的30%，供应商在投标报价中综合考虑，今后不再调整。合同实施过程中发现一线现场服务人</w:t>
      </w:r>
      <w:r>
        <w:rPr>
          <w:rFonts w:hint="eastAsia" w:ascii="宋体" w:hAnsi="宋体" w:cs="宋体"/>
          <w:szCs w:val="21"/>
          <w:u w:val="single"/>
        </w:rPr>
        <w:t>员社保缴纳人数未达到一线现场服务人员总数的30%的，每少一人每月扣罚2400元，直接从当月服务款中扣除。</w:t>
      </w:r>
    </w:p>
    <w:p>
      <w:pPr>
        <w:pStyle w:val="66"/>
        <w:rPr>
          <w:rFonts w:hint="eastAsia" w:hAnsi="宋体" w:cs="宋体"/>
          <w:szCs w:val="21"/>
          <w:u w:val="single"/>
        </w:rPr>
      </w:pPr>
      <w:r>
        <w:rPr>
          <w:rFonts w:hint="eastAsia" w:hAnsi="宋体" w:cs="宋体"/>
          <w:szCs w:val="21"/>
          <w:u w:val="single"/>
        </w:rPr>
        <w:t>▲中标供应商须为一线现场服务人员缴纳意外保险，供应商在投标报价中综合考虑，今后不再调整。</w:t>
      </w:r>
    </w:p>
    <w:p>
      <w:pPr>
        <w:autoSpaceDE w:val="0"/>
        <w:autoSpaceDN w:val="0"/>
        <w:adjustRightInd w:val="0"/>
        <w:spacing w:line="400" w:lineRule="exact"/>
        <w:ind w:firstLine="422" w:firstLineChars="200"/>
        <w:textAlignment w:val="bottom"/>
        <w:rPr>
          <w:rFonts w:hint="eastAsia" w:ascii="宋体" w:hAnsi="宋体" w:cs="宋体"/>
          <w:b/>
          <w:szCs w:val="21"/>
          <w:u w:val="single"/>
        </w:rPr>
      </w:pPr>
      <w:r>
        <w:rPr>
          <w:rFonts w:hint="eastAsia" w:ascii="宋体" w:hAnsi="宋体" w:cs="宋体"/>
          <w:b/>
          <w:szCs w:val="21"/>
          <w:u w:val="single"/>
        </w:rPr>
        <w:t>3、▲结合本项目具体情况，要求本次投标供应商员工基本工资最低不得低于瑞安市本年度最低工资标准的120%（即2160元，最低工资不包括下列四项收入：延长工作时间的工资；中班、夜班、高温、低温、有毒有害等特殊工作环境、条件下的津贴；贴补伙食、住房等支付给劳动者的非货币性收入；法律、法规和国家规定的劳动者福利待遇等）。</w:t>
      </w:r>
    </w:p>
    <w:p>
      <w:pPr>
        <w:autoSpaceDE w:val="0"/>
        <w:autoSpaceDN w:val="0"/>
        <w:adjustRightInd w:val="0"/>
        <w:spacing w:line="400" w:lineRule="exact"/>
        <w:ind w:firstLine="422" w:firstLineChars="200"/>
        <w:textAlignment w:val="bottom"/>
        <w:rPr>
          <w:rFonts w:hint="eastAsia" w:ascii="宋体" w:hAnsi="宋体" w:cs="宋体"/>
          <w:b/>
          <w:szCs w:val="21"/>
          <w:u w:val="single"/>
        </w:rPr>
      </w:pPr>
      <w:r>
        <w:rPr>
          <w:rFonts w:hint="eastAsia" w:ascii="宋体" w:hAnsi="宋体" w:cs="宋体"/>
          <w:b/>
          <w:szCs w:val="21"/>
          <w:u w:val="single"/>
        </w:rPr>
        <w:t>4、▲高温补贴共4个月（六、七、八、九共四月，逐月发放，一线现场服务人员每人每月不低于300元人民币）按相关规定发放。</w:t>
      </w:r>
    </w:p>
    <w:p>
      <w:pPr>
        <w:autoSpaceDE w:val="0"/>
        <w:autoSpaceDN w:val="0"/>
        <w:adjustRightInd w:val="0"/>
        <w:spacing w:line="400" w:lineRule="exact"/>
        <w:ind w:firstLine="422" w:firstLineChars="200"/>
        <w:textAlignment w:val="bottom"/>
        <w:rPr>
          <w:rFonts w:hint="eastAsia" w:ascii="宋体" w:hAnsi="宋体" w:cs="宋体"/>
          <w:b/>
          <w:szCs w:val="21"/>
          <w:u w:val="single"/>
        </w:rPr>
      </w:pPr>
      <w:r>
        <w:rPr>
          <w:rFonts w:hint="eastAsia" w:ascii="宋体" w:hAnsi="宋体" w:cs="宋体"/>
          <w:b/>
          <w:szCs w:val="21"/>
          <w:u w:val="single"/>
        </w:rPr>
        <w:t>5、▲特殊岗位津贴发放标准按10元/每人/每出勤日。</w:t>
      </w:r>
    </w:p>
    <w:p>
      <w:pPr>
        <w:autoSpaceDE w:val="0"/>
        <w:autoSpaceDN w:val="0"/>
        <w:adjustRightInd w:val="0"/>
        <w:spacing w:line="400" w:lineRule="exact"/>
        <w:ind w:firstLine="422" w:firstLineChars="200"/>
        <w:textAlignment w:val="bottom"/>
        <w:rPr>
          <w:rFonts w:ascii="宋体" w:hAnsi="宋体" w:cs="宋体"/>
          <w:b/>
          <w:color w:val="auto"/>
          <w:szCs w:val="21"/>
        </w:rPr>
      </w:pPr>
      <w:r>
        <w:rPr>
          <w:rFonts w:hint="eastAsia" w:ascii="宋体" w:hAnsi="宋体" w:cs="宋体"/>
          <w:b/>
          <w:szCs w:val="21"/>
        </w:rPr>
        <w:t>6、所有人员的服装费用由供应商自行</w:t>
      </w:r>
      <w:r>
        <w:rPr>
          <w:rFonts w:hint="eastAsia" w:ascii="宋体" w:hAnsi="宋体" w:cs="宋体"/>
          <w:b/>
          <w:color w:val="auto"/>
          <w:szCs w:val="21"/>
        </w:rPr>
        <w:t>负责配备，工服款式总体保持一致，具体细节处理由供应商自行决定，但根据工种不同穿着对应主色的工服（见下表），按招标文件要求统一着装（反光服，包括上衣、裤子），但服装样式需经采购人核准，服装费包含在投标总价中。如在合同服务期内，采购人有权统一服装款式及样式，供应商需无条件响应并配合其工作。以下人员专人专岗，不得混岗，未经采购人同意擅自混岗的，每发现一次扣罚400元/人次。</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6022"/>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序号</w:t>
            </w:r>
          </w:p>
        </w:tc>
        <w:tc>
          <w:tcPr>
            <w:tcW w:w="305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工种</w:t>
            </w:r>
          </w:p>
        </w:tc>
        <w:tc>
          <w:tcPr>
            <w:tcW w:w="1339"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工服对应主色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1</w:t>
            </w:r>
          </w:p>
        </w:tc>
        <w:tc>
          <w:tcPr>
            <w:tcW w:w="3055" w:type="pct"/>
            <w:noWrap w:val="0"/>
            <w:vAlign w:val="top"/>
          </w:tcPr>
          <w:p>
            <w:pPr>
              <w:pStyle w:val="2"/>
              <w:ind w:left="0" w:leftChars="0"/>
              <w:jc w:val="both"/>
              <w:rPr>
                <w:rFonts w:ascii="宋体" w:hAnsi="宋体" w:cs="宋体"/>
                <w:color w:val="auto"/>
              </w:rPr>
            </w:pPr>
            <w:r>
              <w:rPr>
                <w:rFonts w:hint="eastAsia" w:ascii="宋体" w:hAnsi="宋体" w:cs="宋体"/>
                <w:color w:val="auto"/>
              </w:rPr>
              <w:t>道路（含公路）清扫保洁</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2</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公园、绿化带保洁</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3</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公厕保洁</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棕色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4</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清运及机械化作业、驾驶员等人员</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5</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河道及飞云江堤坝外保洁</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6</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小广告清理</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top"/>
          </w:tcPr>
          <w:p>
            <w:pPr>
              <w:pStyle w:val="2"/>
              <w:ind w:left="0" w:leftChars="0"/>
              <w:jc w:val="center"/>
              <w:rPr>
                <w:rFonts w:hint="eastAsia" w:ascii="宋体" w:hAnsi="宋体" w:cs="宋体"/>
                <w:color w:val="auto"/>
              </w:rPr>
            </w:pPr>
            <w:r>
              <w:rPr>
                <w:rFonts w:hint="eastAsia" w:ascii="宋体" w:hAnsi="宋体" w:cs="宋体"/>
                <w:color w:val="auto"/>
              </w:rPr>
              <w:t>7</w:t>
            </w:r>
          </w:p>
        </w:tc>
        <w:tc>
          <w:tcPr>
            <w:tcW w:w="3055"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城市家具清洗</w:t>
            </w:r>
          </w:p>
        </w:tc>
        <w:tc>
          <w:tcPr>
            <w:tcW w:w="1339" w:type="pct"/>
            <w:noWrap w:val="0"/>
            <w:vAlign w:val="top"/>
          </w:tcPr>
          <w:p>
            <w:pPr>
              <w:pStyle w:val="2"/>
              <w:ind w:left="0" w:leftChars="0"/>
              <w:jc w:val="both"/>
              <w:rPr>
                <w:rFonts w:hint="eastAsia" w:ascii="宋体" w:hAnsi="宋体" w:cs="宋体"/>
                <w:color w:val="auto"/>
              </w:rPr>
            </w:pPr>
            <w:r>
              <w:rPr>
                <w:rFonts w:hint="eastAsia" w:ascii="宋体" w:hAnsi="宋体" w:cs="宋体"/>
                <w:color w:val="auto"/>
              </w:rPr>
              <w:t>蓝色</w:t>
            </w:r>
          </w:p>
        </w:tc>
      </w:tr>
    </w:tbl>
    <w:p>
      <w:pPr>
        <w:autoSpaceDE w:val="0"/>
        <w:autoSpaceDN w:val="0"/>
        <w:adjustRightInd w:val="0"/>
        <w:spacing w:line="40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7、机械、车辆、船只的折旧、保险（交强险、商业险，包括小型电动车、人力车意外险）、维护保养、修理费、油费、电费和水费、停车场地（租金）费用由中标供应商自行负责，费用计入投标总价。</w:t>
      </w:r>
    </w:p>
    <w:p>
      <w:pPr>
        <w:autoSpaceDE w:val="0"/>
        <w:autoSpaceDN w:val="0"/>
        <w:adjustRightInd w:val="0"/>
        <w:spacing w:line="400" w:lineRule="exact"/>
        <w:ind w:firstLine="422" w:firstLineChars="200"/>
        <w:textAlignment w:val="bottom"/>
        <w:rPr>
          <w:rFonts w:hint="eastAsia" w:ascii="宋体" w:hAnsi="宋体" w:cs="宋体"/>
          <w:b/>
          <w:color w:val="auto"/>
          <w:szCs w:val="21"/>
        </w:rPr>
      </w:pPr>
      <w:r>
        <w:rPr>
          <w:rFonts w:hint="eastAsia" w:ascii="宋体" w:hAnsi="宋体" w:cs="宋体"/>
          <w:b/>
          <w:color w:val="auto"/>
          <w:szCs w:val="21"/>
        </w:rPr>
        <w:t>玉海街道、锦湖街道、潘岱街道共用的机械、车辆、船只费用，按各个采购人采购预算的组成比例分担计入投标报价。</w:t>
      </w:r>
    </w:p>
    <w:p>
      <w:pPr>
        <w:autoSpaceDE w:val="0"/>
        <w:autoSpaceDN w:val="0"/>
        <w:adjustRightInd w:val="0"/>
        <w:spacing w:line="400" w:lineRule="exact"/>
        <w:ind w:firstLine="422" w:firstLineChars="200"/>
        <w:textAlignment w:val="bottom"/>
        <w:rPr>
          <w:rFonts w:hint="eastAsia" w:ascii="宋体" w:hAnsi="宋体" w:cs="宋体"/>
          <w:b/>
          <w:szCs w:val="21"/>
        </w:rPr>
      </w:pPr>
      <w:r>
        <w:rPr>
          <w:rFonts w:hint="eastAsia" w:ascii="宋体" w:hAnsi="宋体" w:cs="宋体"/>
          <w:b/>
          <w:szCs w:val="21"/>
        </w:rPr>
        <w:t>8、本项目环卫保洁水费目前按6.05元/吨计算，如合同履约期间实际水价调整的，可以按实际价格调整水费。</w:t>
      </w:r>
    </w:p>
    <w:p>
      <w:pPr>
        <w:autoSpaceDE w:val="0"/>
        <w:autoSpaceDN w:val="0"/>
        <w:adjustRightInd w:val="0"/>
        <w:spacing w:line="400" w:lineRule="exact"/>
        <w:ind w:firstLine="422" w:firstLineChars="200"/>
        <w:textAlignment w:val="bottom"/>
        <w:rPr>
          <w:rFonts w:hint="eastAsia" w:ascii="宋体" w:hAnsi="宋体" w:cs="宋体"/>
          <w:b/>
          <w:szCs w:val="21"/>
        </w:rPr>
      </w:pPr>
      <w:r>
        <w:rPr>
          <w:rFonts w:hint="eastAsia" w:ascii="宋体" w:hAnsi="宋体" w:cs="宋体"/>
          <w:b/>
          <w:szCs w:val="21"/>
        </w:rPr>
        <w:t>9、本项目投标报价采用固定总价承包，并对合同内容的费用、质量、安全、文明服务等实行全面承包。投标总价必须包括在承包区域内提供服务所需的人工费（包括工人工资、奖金、房补、劳保福利、社保（一线现场服务人员社保缴纳人数不得低于一线现场服务人员总数的30%）、意外保险、工伤费、教育培训费、暂住费及处理一切伤亡事故等费用）、机械台班费、水电费、工具材料费、保洁低值易耗品、垃圾清运费（含建筑垃圾处置）、安全文明生产装备费（包括工人冬、夏装工作服等）、企业应缴税金和应得利润、应急等完成合同所需的一切本身和不可或缺的所有工作开支、政策性文件规定计合同包含的所有风险、责任等各项全部费用并承担一切风险责任。投标供应商认为完成本招标文件规定的项目承包内容所发生的直接成本、间接成本、利润、税金、政策性文件规定的费用、设备进出场费等一切费用均应计入投标报价，凡未列入的将被认为均已包含在投标总价中，今后不得以任何理由追加或调整。</w:t>
      </w:r>
    </w:p>
    <w:p>
      <w:pPr>
        <w:autoSpaceDE w:val="0"/>
        <w:autoSpaceDN w:val="0"/>
        <w:adjustRightInd w:val="0"/>
        <w:spacing w:line="400" w:lineRule="exact"/>
        <w:ind w:firstLine="422" w:firstLineChars="200"/>
        <w:textAlignment w:val="bottom"/>
        <w:rPr>
          <w:rFonts w:hint="eastAsia" w:ascii="宋体" w:hAnsi="宋体" w:cs="宋体"/>
          <w:b/>
          <w:szCs w:val="21"/>
        </w:rPr>
      </w:pPr>
      <w:r>
        <w:rPr>
          <w:rFonts w:hint="eastAsia" w:ascii="宋体" w:hAnsi="宋体" w:cs="宋体"/>
          <w:b/>
          <w:szCs w:val="21"/>
        </w:rPr>
        <w:t>10、本次报价含辖区内所有垃圾清运（包括但不限于无主建筑垃圾、生活垃圾、绿化垃圾等），中标供应商须将垃圾运至合规垃圾场处置及消纳。</w:t>
      </w:r>
    </w:p>
    <w:p>
      <w:pPr>
        <w:autoSpaceDE w:val="0"/>
        <w:autoSpaceDN w:val="0"/>
        <w:adjustRightInd w:val="0"/>
        <w:spacing w:line="400" w:lineRule="exact"/>
        <w:ind w:firstLine="422" w:firstLineChars="200"/>
        <w:textAlignment w:val="bottom"/>
        <w:rPr>
          <w:rFonts w:hint="eastAsia" w:ascii="宋体" w:hAnsi="宋体" w:cs="宋体"/>
          <w:b/>
          <w:szCs w:val="21"/>
        </w:rPr>
      </w:pPr>
      <w:r>
        <w:rPr>
          <w:rFonts w:hint="eastAsia" w:ascii="宋体" w:hAnsi="宋体" w:cs="宋体"/>
          <w:b/>
          <w:szCs w:val="21"/>
        </w:rPr>
        <w:t>11、本次采购，在服务期内如因政策性因素调整导致相关人员的工资、社保、节假日、高温补贴出现变化的，该部分费用由中标供应商自行承担，采购人不予以调整该部分费用，各供应商在报价时须综合考虑风险。</w:t>
      </w:r>
    </w:p>
    <w:p>
      <w:pPr>
        <w:pStyle w:val="2"/>
        <w:rPr>
          <w:rFonts w:hint="eastAsia" w:ascii="宋体" w:hAnsi="宋体" w:cs="宋体"/>
          <w:b/>
          <w:color w:val="FF0000"/>
          <w:szCs w:val="21"/>
          <w:highlight w:val="yellow"/>
        </w:rPr>
      </w:pPr>
    </w:p>
    <w:p>
      <w:pPr>
        <w:pStyle w:val="2"/>
        <w:rPr>
          <w:rFonts w:hint="eastAsia" w:ascii="宋体" w:hAnsi="宋体" w:cs="宋体"/>
          <w:b/>
          <w:color w:val="FF0000"/>
          <w:szCs w:val="21"/>
          <w:highlight w:val="yellow"/>
        </w:rPr>
      </w:pPr>
    </w:p>
    <w:p>
      <w:pPr>
        <w:pStyle w:val="3"/>
        <w:keepNext w:val="0"/>
        <w:keepLines w:val="0"/>
        <w:pageBreakBefore/>
        <w:spacing w:before="480" w:beforeLines="200" w:after="240" w:afterLines="100" w:line="240" w:lineRule="auto"/>
        <w:jc w:val="center"/>
        <w:rPr>
          <w:rFonts w:hint="eastAsia" w:ascii="宋体" w:hAnsi="宋体" w:eastAsia="宋体" w:cs="宋体"/>
          <w:sz w:val="28"/>
          <w:szCs w:val="36"/>
        </w:rPr>
      </w:pPr>
      <w:bookmarkStart w:id="277" w:name="_Toc7829"/>
      <w:r>
        <w:rPr>
          <w:rFonts w:hint="eastAsia" w:ascii="宋体" w:hAnsi="宋体" w:eastAsia="宋体" w:cs="宋体"/>
          <w:sz w:val="28"/>
          <w:szCs w:val="36"/>
        </w:rPr>
        <w:t>第四部分  合同主要条款</w:t>
      </w:r>
      <w:bookmarkEnd w:id="277"/>
    </w:p>
    <w:p>
      <w:pPr>
        <w:spacing w:line="520" w:lineRule="exact"/>
        <w:jc w:val="center"/>
        <w:rPr>
          <w:rFonts w:hint="eastAsia" w:ascii="宋体" w:hAnsi="宋体" w:cs="宋体"/>
          <w:b/>
          <w:color w:val="000000"/>
          <w:sz w:val="36"/>
          <w:szCs w:val="36"/>
        </w:rPr>
      </w:pPr>
      <w:r>
        <w:rPr>
          <w:rFonts w:hint="eastAsia" w:ascii="宋体" w:hAnsi="宋体" w:cs="宋体"/>
          <w:b/>
          <w:color w:val="000000"/>
          <w:sz w:val="36"/>
          <w:szCs w:val="36"/>
          <w:u w:val="single"/>
        </w:rPr>
        <w:t xml:space="preserve">              </w:t>
      </w:r>
      <w:r>
        <w:rPr>
          <w:rFonts w:hint="eastAsia" w:ascii="宋体" w:hAnsi="宋体" w:cs="宋体"/>
          <w:b/>
          <w:color w:val="000000"/>
          <w:sz w:val="36"/>
          <w:szCs w:val="36"/>
        </w:rPr>
        <w:t>服务承包合同</w:t>
      </w:r>
    </w:p>
    <w:p>
      <w:pPr>
        <w:spacing w:line="400" w:lineRule="exact"/>
        <w:ind w:firstLine="420" w:firstLineChars="200"/>
        <w:rPr>
          <w:rFonts w:hint="eastAsia" w:ascii="宋体" w:hAnsi="宋体" w:cs="宋体"/>
        </w:rPr>
      </w:pPr>
    </w:p>
    <w:p>
      <w:pPr>
        <w:spacing w:line="400" w:lineRule="exact"/>
        <w:ind w:firstLine="420" w:firstLineChars="200"/>
        <w:rPr>
          <w:rFonts w:hint="eastAsia" w:ascii="宋体" w:hAnsi="宋体" w:cs="宋体"/>
        </w:rPr>
      </w:pPr>
      <w:r>
        <w:rPr>
          <w:rFonts w:hint="eastAsia" w:ascii="宋体" w:hAnsi="宋体" w:cs="宋体"/>
        </w:rPr>
        <w:t xml:space="preserve">甲方： </w:t>
      </w:r>
      <w:r>
        <w:rPr>
          <w:rFonts w:hint="eastAsia" w:ascii="宋体" w:hAnsi="宋体" w:cs="宋体"/>
          <w:u w:val="single"/>
        </w:rPr>
        <w:t xml:space="preserve">                                                                   </w:t>
      </w:r>
    </w:p>
    <w:p>
      <w:pPr>
        <w:spacing w:line="400" w:lineRule="exact"/>
        <w:ind w:firstLine="420" w:firstLineChars="200"/>
        <w:rPr>
          <w:rFonts w:hint="eastAsia" w:ascii="宋体" w:hAnsi="宋体" w:cs="宋体"/>
        </w:rPr>
      </w:pPr>
      <w:r>
        <w:rPr>
          <w:rFonts w:hint="eastAsia" w:ascii="宋体" w:hAnsi="宋体" w:cs="宋体"/>
        </w:rPr>
        <w:t>乙方：</w:t>
      </w:r>
      <w:r>
        <w:rPr>
          <w:rFonts w:hint="eastAsia" w:ascii="宋体" w:hAnsi="宋体" w:cs="宋体"/>
          <w:b/>
        </w:rPr>
        <w:t xml:space="preserve"> </w:t>
      </w:r>
      <w:r>
        <w:rPr>
          <w:rFonts w:hint="eastAsia" w:ascii="宋体" w:hAnsi="宋体" w:cs="宋体"/>
          <w:u w:val="single"/>
        </w:rPr>
        <w:t xml:space="preserve">                                                               </w:t>
      </w:r>
    </w:p>
    <w:p>
      <w:pPr>
        <w:spacing w:line="400" w:lineRule="exact"/>
        <w:ind w:firstLine="420" w:firstLineChars="200"/>
        <w:rPr>
          <w:rFonts w:hint="eastAsia" w:ascii="宋体" w:hAnsi="宋体" w:cs="宋体"/>
        </w:rPr>
      </w:pPr>
      <w:r>
        <w:rPr>
          <w:rFonts w:hint="eastAsia" w:ascii="宋体" w:hAnsi="宋体" w:cs="宋体"/>
        </w:rPr>
        <w:t>项目编号：</w:t>
      </w:r>
    </w:p>
    <w:p>
      <w:pPr>
        <w:spacing w:line="400" w:lineRule="exact"/>
        <w:ind w:firstLine="420" w:firstLineChars="200"/>
        <w:rPr>
          <w:rFonts w:hint="eastAsia" w:ascii="宋体" w:hAnsi="宋体" w:cs="宋体"/>
        </w:rPr>
      </w:pPr>
      <w:r>
        <w:rPr>
          <w:rFonts w:hint="eastAsia" w:ascii="宋体" w:hAnsi="宋体" w:cs="宋体"/>
        </w:rPr>
        <w:t>签约日期：</w:t>
      </w:r>
    </w:p>
    <w:p>
      <w:pPr>
        <w:pStyle w:val="64"/>
        <w:rPr>
          <w:rFonts w:hint="eastAsia" w:ascii="宋体" w:hAnsi="宋体" w:cs="宋体"/>
        </w:rPr>
      </w:pPr>
    </w:p>
    <w:p>
      <w:pPr>
        <w:pStyle w:val="17"/>
        <w:tabs>
          <w:tab w:val="left" w:pos="1651"/>
          <w:tab w:val="left" w:pos="3828"/>
        </w:tabs>
        <w:spacing w:line="460" w:lineRule="exact"/>
        <w:ind w:firstLine="420" w:firstLineChars="200"/>
        <w:outlineLvl w:val="1"/>
        <w:rPr>
          <w:rFonts w:hint="eastAsia" w:ascii="宋体" w:hAnsi="宋体" w:cs="宋体"/>
        </w:rPr>
      </w:pPr>
      <w:bookmarkStart w:id="278" w:name="_Toc11376"/>
      <w:r>
        <w:rPr>
          <w:rFonts w:hint="eastAsia" w:ascii="宋体" w:hAnsi="宋体" w:cs="宋体"/>
        </w:rPr>
        <w:t>一、合同总则</w:t>
      </w:r>
      <w:bookmarkEnd w:id="278"/>
    </w:p>
    <w:p>
      <w:pPr>
        <w:pStyle w:val="17"/>
        <w:tabs>
          <w:tab w:val="left" w:pos="1651"/>
          <w:tab w:val="left" w:pos="3828"/>
        </w:tabs>
        <w:spacing w:line="460" w:lineRule="exact"/>
        <w:ind w:firstLine="440" w:firstLineChars="200"/>
        <w:rPr>
          <w:rFonts w:hint="eastAsia" w:ascii="宋体" w:hAnsi="宋体" w:cs="宋体"/>
        </w:rPr>
      </w:pPr>
      <w:r>
        <w:rPr>
          <w:rFonts w:hint="eastAsia" w:ascii="宋体" w:hAnsi="宋体" w:cs="宋体"/>
          <w:sz w:val="22"/>
        </w:rPr>
        <w:t>瑞安市“一把扫帚”环卫保洁一体化招标（    街道）</w:t>
      </w:r>
      <w:r>
        <w:rPr>
          <w:rFonts w:hint="eastAsia" w:ascii="宋体" w:hAnsi="宋体" w:cs="宋体"/>
        </w:rPr>
        <w:t>（项目编号：           ）通过公开招标方式采购，中标人为</w:t>
      </w:r>
      <w:r>
        <w:rPr>
          <w:rFonts w:hint="eastAsia" w:ascii="宋体" w:hAnsi="宋体" w:cs="宋体"/>
          <w:u w:val="single"/>
        </w:rPr>
        <w:t xml:space="preserve">                </w:t>
      </w:r>
      <w:r>
        <w:rPr>
          <w:rFonts w:hint="eastAsia" w:ascii="宋体" w:hAnsi="宋体" w:cs="宋体"/>
        </w:rPr>
        <w:t>。甲乙双方根据《中华人民共和国民法典》等有关法律法规和本合同的招标文件、投标文件及相关承诺，经双方友好协商，同意签订本合同，共同遵守。</w:t>
      </w:r>
    </w:p>
    <w:p>
      <w:pPr>
        <w:spacing w:line="360" w:lineRule="exact"/>
        <w:outlineLvl w:val="2"/>
        <w:rPr>
          <w:rFonts w:hint="eastAsia" w:ascii="宋体" w:hAnsi="宋体" w:cs="宋体"/>
        </w:rPr>
      </w:pPr>
      <w:bookmarkStart w:id="279" w:name="_Toc10045"/>
      <w:bookmarkStart w:id="280" w:name="_Toc508"/>
      <w:r>
        <w:rPr>
          <w:rFonts w:hint="eastAsia" w:ascii="宋体" w:hAnsi="宋体" w:cs="宋体"/>
          <w:szCs w:val="21"/>
        </w:rPr>
        <w:t xml:space="preserve">第一条  </w:t>
      </w:r>
      <w:r>
        <w:rPr>
          <w:rFonts w:hint="eastAsia" w:ascii="宋体" w:hAnsi="宋体" w:cs="宋体"/>
        </w:rPr>
        <w:t>合同文件：下列文件构成本合同的组成部分：</w:t>
      </w:r>
      <w:bookmarkEnd w:id="279"/>
      <w:bookmarkEnd w:id="280"/>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a. 合同补充条款或说明</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b. 合同主要条款</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 xml:space="preserve">c. 中标通知书               </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d. 招标文件</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e. 承诺书</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f. 投标文件</w:t>
      </w:r>
    </w:p>
    <w:p>
      <w:pPr>
        <w:adjustRightInd w:val="0"/>
        <w:snapToGrid w:val="0"/>
        <w:spacing w:line="460" w:lineRule="exact"/>
        <w:ind w:firstLine="630"/>
        <w:rPr>
          <w:rFonts w:hint="eastAsia" w:ascii="宋体" w:hAnsi="宋体" w:cs="宋体"/>
          <w:snapToGrid w:val="0"/>
          <w:szCs w:val="21"/>
        </w:rPr>
      </w:pPr>
      <w:r>
        <w:rPr>
          <w:rFonts w:hint="eastAsia" w:ascii="宋体" w:hAnsi="宋体" w:cs="宋体"/>
          <w:snapToGrid w:val="0"/>
          <w:szCs w:val="21"/>
        </w:rPr>
        <w:t>g. 履约保证金</w:t>
      </w:r>
    </w:p>
    <w:p>
      <w:pPr>
        <w:pStyle w:val="17"/>
        <w:spacing w:line="460" w:lineRule="exact"/>
        <w:ind w:firstLine="420" w:firstLineChars="200"/>
        <w:rPr>
          <w:rFonts w:hint="eastAsia" w:ascii="宋体" w:hAnsi="宋体" w:cs="宋体"/>
        </w:rPr>
      </w:pPr>
      <w:r>
        <w:rPr>
          <w:rFonts w:hint="eastAsia" w:ascii="宋体" w:hAnsi="宋体" w:cs="宋体"/>
        </w:rPr>
        <w:t>合同条款以上述条款的先后顺序作为依据。</w:t>
      </w:r>
    </w:p>
    <w:p>
      <w:pPr>
        <w:pStyle w:val="17"/>
        <w:tabs>
          <w:tab w:val="left" w:pos="1651"/>
          <w:tab w:val="left" w:pos="3828"/>
        </w:tabs>
        <w:spacing w:line="460" w:lineRule="exact"/>
        <w:ind w:firstLine="440" w:firstLineChars="200"/>
        <w:outlineLvl w:val="1"/>
        <w:rPr>
          <w:rFonts w:hint="eastAsia" w:ascii="宋体" w:hAnsi="宋体" w:cs="宋体"/>
          <w:sz w:val="22"/>
        </w:rPr>
      </w:pPr>
      <w:bookmarkStart w:id="281" w:name="_Toc10992"/>
      <w:bookmarkStart w:id="282" w:name="_Hlk497461925"/>
      <w:r>
        <w:rPr>
          <w:rFonts w:hint="eastAsia" w:ascii="宋体" w:hAnsi="宋体" w:cs="宋体"/>
          <w:sz w:val="22"/>
        </w:rPr>
        <w:t>二、合同主要条款</w:t>
      </w:r>
      <w:bookmarkEnd w:id="281"/>
      <w:r>
        <w:rPr>
          <w:rFonts w:hint="eastAsia" w:ascii="宋体" w:hAnsi="宋体" w:cs="宋体"/>
          <w:sz w:val="22"/>
        </w:rPr>
        <w:t xml:space="preserve"> </w:t>
      </w:r>
    </w:p>
    <w:p>
      <w:pPr>
        <w:spacing w:line="360" w:lineRule="exact"/>
        <w:outlineLvl w:val="2"/>
        <w:rPr>
          <w:rFonts w:hint="eastAsia" w:ascii="宋体" w:hAnsi="宋体" w:cs="宋体"/>
          <w:szCs w:val="21"/>
        </w:rPr>
      </w:pPr>
      <w:bookmarkStart w:id="283" w:name="_Toc32379"/>
      <w:r>
        <w:rPr>
          <w:rFonts w:hint="eastAsia" w:ascii="宋体" w:hAnsi="宋体" w:cs="宋体"/>
          <w:szCs w:val="21"/>
        </w:rPr>
        <w:t>第二条  合同名称</w:t>
      </w:r>
      <w:bookmarkEnd w:id="283"/>
    </w:p>
    <w:p>
      <w:pPr>
        <w:spacing w:line="360" w:lineRule="exact"/>
        <w:rPr>
          <w:rFonts w:hint="eastAsia" w:ascii="宋体" w:hAnsi="宋体" w:cs="宋体"/>
          <w:sz w:val="22"/>
        </w:rPr>
      </w:pPr>
      <w:r>
        <w:rPr>
          <w:rFonts w:hint="eastAsia" w:ascii="宋体" w:hAnsi="宋体" w:cs="宋体"/>
          <w:sz w:val="22"/>
        </w:rPr>
        <w:t>瑞安市“一把扫帚”环卫保洁一体化招标（</w:t>
      </w:r>
      <w:r>
        <w:rPr>
          <w:rFonts w:hint="eastAsia" w:ascii="宋体" w:hAnsi="宋体" w:cs="宋体"/>
          <w:sz w:val="22"/>
          <w:u w:val="single"/>
        </w:rPr>
        <w:t xml:space="preserve">      </w:t>
      </w:r>
      <w:r>
        <w:rPr>
          <w:rFonts w:hint="eastAsia" w:ascii="宋体" w:hAnsi="宋体" w:cs="宋体"/>
          <w:sz w:val="22"/>
        </w:rPr>
        <w:t>街道）服务业务承包合同</w:t>
      </w:r>
    </w:p>
    <w:p>
      <w:pPr>
        <w:spacing w:line="360" w:lineRule="exact"/>
        <w:outlineLvl w:val="2"/>
        <w:rPr>
          <w:rFonts w:hint="eastAsia" w:ascii="宋体" w:hAnsi="宋体" w:cs="宋体"/>
          <w:szCs w:val="21"/>
        </w:rPr>
      </w:pPr>
      <w:bookmarkStart w:id="284" w:name="_Toc30491"/>
      <w:r>
        <w:rPr>
          <w:rFonts w:hint="eastAsia" w:ascii="宋体" w:hAnsi="宋体" w:cs="宋体"/>
          <w:szCs w:val="21"/>
        </w:rPr>
        <w:t>第三条  承包内容和要求：</w:t>
      </w:r>
      <w:bookmarkEnd w:id="284"/>
    </w:p>
    <w:p>
      <w:pPr>
        <w:spacing w:line="460" w:lineRule="exact"/>
        <w:rPr>
          <w:rFonts w:hint="eastAsia" w:ascii="宋体" w:hAnsi="宋体" w:cs="宋体"/>
          <w:szCs w:val="21"/>
        </w:rPr>
      </w:pPr>
      <w:r>
        <w:rPr>
          <w:rFonts w:hint="eastAsia" w:ascii="宋体" w:hAnsi="宋体" w:cs="宋体"/>
          <w:szCs w:val="21"/>
        </w:rPr>
        <w:t>1、承包内容和要求见招标文件第三部分（含招标文件更正、补充文件）。</w:t>
      </w:r>
    </w:p>
    <w:p>
      <w:pPr>
        <w:spacing w:line="460" w:lineRule="exact"/>
        <w:rPr>
          <w:rFonts w:hint="eastAsia" w:ascii="宋体" w:hAnsi="宋体" w:cs="宋体"/>
          <w:szCs w:val="21"/>
        </w:rPr>
      </w:pPr>
      <w:r>
        <w:rPr>
          <w:rFonts w:hint="eastAsia" w:ascii="宋体" w:hAnsi="宋体" w:cs="宋体"/>
          <w:szCs w:val="21"/>
        </w:rPr>
        <w:t>2、本项目提供的市政道路、公路、河道、水体、公园、广场等保洁面积为参考数据，合同执行过程保洁面积以实际面积为准，乙方须现场踏勘，以求得准确的报价依据，并自行承担投标报价风险。保洁范围特别说明如下：</w:t>
      </w:r>
    </w:p>
    <w:p>
      <w:pPr>
        <w:spacing w:line="460" w:lineRule="exact"/>
        <w:rPr>
          <w:rFonts w:hint="eastAsia" w:ascii="宋体" w:hAnsi="宋体" w:cs="宋体"/>
          <w:color w:val="auto"/>
          <w:szCs w:val="21"/>
        </w:rPr>
      </w:pPr>
      <w:r>
        <w:rPr>
          <w:rFonts w:hint="eastAsia" w:ascii="宋体" w:hAnsi="宋体" w:cs="宋体"/>
          <w:szCs w:val="21"/>
        </w:rPr>
        <w:t>（1）纳入保洁区域内漏算面积（不含中标后新建面积），不超过总面积10%的，多算面积不超过总面积5%的，由乙方予以承担保洁任务且合同总价（中标价）不变。如区域内漏算面积，超过总面积10%的，超出部分按实际投入人员，机械情况，合同</w:t>
      </w:r>
      <w:r>
        <w:rPr>
          <w:rFonts w:hint="eastAsia" w:ascii="宋体" w:hAnsi="宋体" w:cs="宋体"/>
          <w:color w:val="auto"/>
          <w:szCs w:val="21"/>
        </w:rPr>
        <w:t>各方视情况协商解决。如区域内多算面积，超过总面积5%的，多算部分按投标单价予以扣除。公厕按座数，参照以上比例的范围予以调整。</w:t>
      </w:r>
    </w:p>
    <w:p>
      <w:pPr>
        <w:spacing w:line="460" w:lineRule="exact"/>
        <w:rPr>
          <w:rFonts w:hint="eastAsia" w:ascii="宋体" w:hAnsi="宋体" w:cs="宋体"/>
          <w:color w:val="auto"/>
          <w:szCs w:val="21"/>
        </w:rPr>
      </w:pPr>
      <w:r>
        <w:rPr>
          <w:rFonts w:hint="eastAsia" w:ascii="宋体" w:hAnsi="宋体" w:cs="宋体"/>
          <w:color w:val="auto"/>
          <w:szCs w:val="21"/>
        </w:rPr>
        <w:t>（2）在合同期内，因市政建设或河道清淤需要征用、临时占用需要调整乙方清扫保洁面积时，甲方根据占用的时间和面积数，扣除相应的清扫保洁费，乙方须无条件服从。</w:t>
      </w:r>
      <w:r>
        <w:rPr>
          <w:rFonts w:hint="eastAsia" w:ascii="宋体" w:hAnsi="宋体" w:cs="宋体"/>
          <w:color w:val="auto"/>
          <w:sz w:val="22"/>
          <w:szCs w:val="22"/>
        </w:rPr>
        <w:t>由属地镇街将核减区域面积、人数、机械化作业及核减经费以书面形式告知瑞安市执法局，具体核减方式按该核减区域面积与区域总面积比例来测算此次需要核减的经费。</w:t>
      </w:r>
    </w:p>
    <w:p>
      <w:pPr>
        <w:spacing w:line="460" w:lineRule="exact"/>
        <w:rPr>
          <w:rFonts w:hint="eastAsia" w:ascii="宋体" w:hAnsi="宋体" w:cs="宋体"/>
          <w:color w:val="auto"/>
          <w:szCs w:val="21"/>
        </w:rPr>
      </w:pPr>
      <w:r>
        <w:rPr>
          <w:rFonts w:hint="eastAsia" w:ascii="宋体" w:hAnsi="宋体" w:cs="宋体"/>
          <w:color w:val="auto"/>
          <w:szCs w:val="21"/>
        </w:rPr>
        <w:t>（3）在合同期内，出现新增道路、河道，新增社区或因改造、改建、新增清扫保洁面积时，甲方将根据实际情况对作业量做出调整，乙方须无条件服从。增加的费用双方协商确定。</w:t>
      </w:r>
    </w:p>
    <w:p>
      <w:pPr>
        <w:spacing w:line="460" w:lineRule="exact"/>
        <w:rPr>
          <w:rFonts w:hint="eastAsia" w:ascii="宋体" w:hAnsi="宋体" w:cs="宋体"/>
          <w:color w:val="auto"/>
          <w:sz w:val="22"/>
        </w:rPr>
      </w:pPr>
      <w:r>
        <w:rPr>
          <w:rFonts w:hint="eastAsia" w:ascii="宋体" w:hAnsi="宋体" w:cs="宋体"/>
          <w:color w:val="auto"/>
          <w:szCs w:val="21"/>
        </w:rPr>
        <w:t>（4）甲方有权对保洁范围进行调整，本项目预计进场作业时间为2021年</w:t>
      </w:r>
      <w:r>
        <w:rPr>
          <w:rFonts w:hint="eastAsia" w:ascii="宋体" w:hAnsi="宋体" w:cs="宋体"/>
          <w:color w:val="auto"/>
          <w:szCs w:val="21"/>
          <w:lang w:val="en-US" w:eastAsia="zh-CN"/>
        </w:rPr>
        <w:t xml:space="preserve">  </w:t>
      </w:r>
      <w:r>
        <w:rPr>
          <w:rFonts w:hint="eastAsia" w:ascii="宋体" w:hAnsi="宋体" w:cs="宋体"/>
          <w:color w:val="auto"/>
          <w:szCs w:val="21"/>
        </w:rPr>
        <w:t>月</w:t>
      </w:r>
      <w:r>
        <w:rPr>
          <w:rFonts w:hint="eastAsia" w:ascii="宋体" w:hAnsi="宋体" w:cs="宋体"/>
          <w:color w:val="auto"/>
          <w:szCs w:val="21"/>
          <w:lang w:val="en-US" w:eastAsia="zh-CN"/>
        </w:rPr>
        <w:t xml:space="preserve">  </w:t>
      </w:r>
      <w:r>
        <w:rPr>
          <w:rFonts w:hint="eastAsia" w:ascii="宋体" w:hAnsi="宋体" w:cs="宋体"/>
          <w:color w:val="auto"/>
          <w:szCs w:val="21"/>
        </w:rPr>
        <w:t>日，个别区域进场作业时间由甲方根据实际情况确定，保洁经费按实际进场作业开始时间计算。</w:t>
      </w:r>
    </w:p>
    <w:p>
      <w:pPr>
        <w:spacing w:line="360" w:lineRule="exact"/>
        <w:outlineLvl w:val="2"/>
        <w:rPr>
          <w:rFonts w:hint="eastAsia" w:ascii="宋体" w:hAnsi="宋体" w:cs="宋体"/>
          <w:color w:val="auto"/>
          <w:szCs w:val="21"/>
        </w:rPr>
      </w:pPr>
      <w:bookmarkStart w:id="285" w:name="_Toc22567"/>
      <w:r>
        <w:rPr>
          <w:rFonts w:hint="eastAsia" w:ascii="宋体" w:hAnsi="宋体" w:cs="宋体"/>
          <w:color w:val="auto"/>
          <w:szCs w:val="21"/>
        </w:rPr>
        <w:t>第四条  承包期限</w:t>
      </w:r>
      <w:bookmarkEnd w:id="285"/>
    </w:p>
    <w:p>
      <w:pPr>
        <w:tabs>
          <w:tab w:val="left" w:pos="5670"/>
        </w:tabs>
        <w:spacing w:line="360" w:lineRule="exact"/>
        <w:ind w:firstLine="645"/>
        <w:rPr>
          <w:rFonts w:hint="eastAsia" w:ascii="宋体" w:hAnsi="宋体" w:cs="宋体"/>
          <w:color w:val="auto"/>
          <w:szCs w:val="21"/>
        </w:rPr>
      </w:pPr>
      <w:r>
        <w:rPr>
          <w:rFonts w:hint="eastAsia" w:ascii="宋体" w:hAnsi="宋体" w:cs="宋体"/>
          <w:color w:val="auto"/>
          <w:szCs w:val="21"/>
        </w:rPr>
        <w:t>本项目承包期限为三年（2021年  月   日-2024年  月   日），从清扫保洁业务交接完毕之日起至2024年  月   日止。本项目进场作业时间为2021年  月  日，个别区域进场作业时间由甲方根据实际情况确定。</w:t>
      </w:r>
    </w:p>
    <w:p>
      <w:pPr>
        <w:tabs>
          <w:tab w:val="left" w:pos="5670"/>
        </w:tabs>
        <w:spacing w:line="360" w:lineRule="exact"/>
        <w:ind w:firstLine="645"/>
        <w:rPr>
          <w:rFonts w:hint="eastAsia" w:ascii="宋体" w:hAnsi="宋体" w:cs="宋体"/>
          <w:color w:val="auto"/>
          <w:szCs w:val="21"/>
        </w:rPr>
      </w:pPr>
      <w:r>
        <w:rPr>
          <w:rFonts w:hint="eastAsia" w:ascii="宋体" w:hAnsi="宋体" w:cs="宋体"/>
          <w:color w:val="auto"/>
          <w:szCs w:val="21"/>
        </w:rPr>
        <w:t>本合同期限为2021年  月  日至2022年  月  日，按1+1+1模式进行，1年合同期满后，若甲方对乙方的考核结果为合格的，可以续签下年合同；若乙方有违约行为或经考核不合格，甲方有权按招标文件、合同约定，或按考核办法单方面解除合同或不续签下一年合同。</w:t>
      </w:r>
    </w:p>
    <w:p>
      <w:pPr>
        <w:spacing w:line="360" w:lineRule="exact"/>
        <w:outlineLvl w:val="2"/>
        <w:rPr>
          <w:rFonts w:hint="eastAsia" w:ascii="宋体" w:hAnsi="宋体" w:cs="宋体"/>
          <w:color w:val="auto"/>
          <w:szCs w:val="21"/>
        </w:rPr>
      </w:pPr>
      <w:bookmarkStart w:id="286" w:name="_Toc9776"/>
      <w:r>
        <w:rPr>
          <w:rFonts w:hint="eastAsia" w:ascii="宋体" w:hAnsi="宋体" w:cs="宋体"/>
          <w:color w:val="auto"/>
          <w:szCs w:val="21"/>
        </w:rPr>
        <w:t>第五条  承包经费</w:t>
      </w:r>
      <w:bookmarkEnd w:id="286"/>
    </w:p>
    <w:p>
      <w:pPr>
        <w:spacing w:line="360" w:lineRule="exact"/>
        <w:rPr>
          <w:rFonts w:hint="eastAsia" w:ascii="宋体" w:hAnsi="宋体" w:cs="宋体"/>
          <w:color w:val="auto"/>
          <w:szCs w:val="21"/>
        </w:rPr>
      </w:pPr>
      <w:r>
        <w:rPr>
          <w:rFonts w:hint="eastAsia" w:ascii="宋体" w:hAnsi="宋体" w:cs="宋体"/>
          <w:color w:val="auto"/>
          <w:szCs w:val="21"/>
        </w:rPr>
        <w:t>（一）承包经费</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1、三年中标总价：</w:t>
      </w:r>
      <w:r>
        <w:rPr>
          <w:rFonts w:hint="eastAsia" w:ascii="宋体" w:hAnsi="宋体" w:cs="宋体"/>
          <w:color w:val="auto"/>
          <w:szCs w:val="21"/>
          <w:u w:val="single"/>
        </w:rPr>
        <w:t>￥：      元（人民币大写：     ）（三年总价）</w:t>
      </w:r>
      <w:r>
        <w:rPr>
          <w:rFonts w:hint="eastAsia" w:ascii="宋体" w:hAnsi="宋体" w:cs="宋体"/>
          <w:color w:val="auto"/>
          <w:szCs w:val="21"/>
        </w:rPr>
        <w:t>。</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2、本次合同经费为：</w:t>
      </w:r>
      <w:r>
        <w:rPr>
          <w:rFonts w:hint="eastAsia" w:ascii="宋体" w:hAnsi="宋体" w:cs="宋体"/>
          <w:color w:val="auto"/>
          <w:szCs w:val="21"/>
          <w:u w:val="single"/>
        </w:rPr>
        <w:t>￥：      元（人民币大写：     ）（一年总价）</w:t>
      </w:r>
      <w:r>
        <w:rPr>
          <w:rFonts w:hint="eastAsia" w:ascii="宋体" w:hAnsi="宋体" w:cs="宋体"/>
          <w:color w:val="auto"/>
          <w:szCs w:val="21"/>
        </w:rPr>
        <w:t>。</w:t>
      </w:r>
    </w:p>
    <w:p>
      <w:pPr>
        <w:spacing w:line="360" w:lineRule="exact"/>
        <w:rPr>
          <w:rFonts w:hint="eastAsia" w:ascii="宋体" w:hAnsi="宋体" w:cs="宋体"/>
          <w:szCs w:val="21"/>
        </w:rPr>
      </w:pPr>
      <w:r>
        <w:rPr>
          <w:rFonts w:hint="eastAsia" w:ascii="宋体" w:hAnsi="宋体" w:cs="宋体"/>
          <w:color w:val="auto"/>
          <w:szCs w:val="21"/>
        </w:rPr>
        <w:t>（二）承包经费由人工费（包括工人工资、奖金、房补、劳保福利、社保（一线现场服务人员社保缴纳人数不得低于一线现场服务人员总数的30%）、意外保险、工伤费、教育培训费、暂住费及处理一切伤亡事故等费用）、机械台班费、水电费、工具材料费、保洁低值易耗品、垃圾清运费（含建筑垃圾处置）、安全文明生产装备费（包括工人冬、夏装工作服等</w:t>
      </w:r>
      <w:r>
        <w:rPr>
          <w:rFonts w:hint="eastAsia" w:ascii="宋体" w:hAnsi="宋体" w:cs="宋体"/>
          <w:szCs w:val="21"/>
        </w:rPr>
        <w:t>）、企业应缴税金和应得利润、应急等完成合同所需的一切本身和不可或缺的所有工作开支、政策性文件规定及合同包含的所有风险、责任等各项全部费用组成。</w:t>
      </w:r>
    </w:p>
    <w:p>
      <w:pPr>
        <w:spacing w:line="360" w:lineRule="exact"/>
        <w:rPr>
          <w:rFonts w:hint="eastAsia" w:ascii="宋体" w:hAnsi="宋体" w:cs="宋体"/>
          <w:szCs w:val="21"/>
        </w:rPr>
      </w:pPr>
      <w:r>
        <w:rPr>
          <w:rFonts w:hint="eastAsia" w:ascii="宋体" w:hAnsi="宋体" w:cs="宋体"/>
          <w:szCs w:val="21"/>
        </w:rPr>
        <w:t>（三）承包经费按项目进度、检查验收结果和资金到账情况分次核拨，由乙方按甲方业务要求支配使用。</w:t>
      </w:r>
    </w:p>
    <w:p>
      <w:pPr>
        <w:spacing w:line="360" w:lineRule="exact"/>
        <w:rPr>
          <w:rFonts w:hint="eastAsia" w:ascii="宋体" w:hAnsi="宋体" w:cs="宋体"/>
          <w:szCs w:val="21"/>
        </w:rPr>
      </w:pPr>
      <w:r>
        <w:rPr>
          <w:rFonts w:hint="eastAsia" w:ascii="宋体" w:hAnsi="宋体" w:cs="宋体"/>
          <w:szCs w:val="21"/>
        </w:rPr>
        <w:t>（四）承包经费最终结算价依据中标通知书、投标文件、验收考核等要求计算。</w:t>
      </w:r>
    </w:p>
    <w:p>
      <w:pPr>
        <w:spacing w:line="360" w:lineRule="exact"/>
        <w:outlineLvl w:val="2"/>
        <w:rPr>
          <w:rFonts w:hint="eastAsia" w:ascii="宋体" w:hAnsi="宋体" w:cs="宋体"/>
          <w:szCs w:val="21"/>
        </w:rPr>
      </w:pPr>
      <w:bookmarkStart w:id="287" w:name="_Toc12990"/>
      <w:r>
        <w:rPr>
          <w:rFonts w:hint="eastAsia" w:ascii="宋体" w:hAnsi="宋体" w:cs="宋体"/>
          <w:szCs w:val="21"/>
        </w:rPr>
        <w:t>第六条   付款方式：</w:t>
      </w:r>
      <w:bookmarkEnd w:id="287"/>
    </w:p>
    <w:p>
      <w:pPr>
        <w:spacing w:line="360" w:lineRule="exact"/>
        <w:rPr>
          <w:rFonts w:hint="eastAsia" w:ascii="宋体" w:hAnsi="宋体" w:cs="宋体"/>
          <w:szCs w:val="21"/>
        </w:rPr>
      </w:pPr>
      <w:r>
        <w:rPr>
          <w:rFonts w:hint="eastAsia" w:ascii="宋体" w:hAnsi="宋体" w:cs="宋体"/>
          <w:szCs w:val="21"/>
        </w:rPr>
        <w:t>（1）付款方式为先保洁后支付,由甲方根据前一个月的考核结果，每月底结前一个月的承包经费（遇节假日顺延）。考核结果不达标，甲方有权责令中标方立即整改后支付承包经费。</w:t>
      </w:r>
    </w:p>
    <w:p>
      <w:pPr>
        <w:spacing w:line="360" w:lineRule="exact"/>
        <w:rPr>
          <w:rFonts w:hint="eastAsia" w:ascii="宋体" w:hAnsi="宋体" w:cs="宋体"/>
          <w:szCs w:val="21"/>
        </w:rPr>
      </w:pPr>
      <w:r>
        <w:rPr>
          <w:rFonts w:hint="eastAsia" w:ascii="宋体" w:hAnsi="宋体" w:cs="宋体"/>
          <w:szCs w:val="21"/>
        </w:rPr>
        <w:t>（2）乙方按每月的考核结果向瑞安市</w:t>
      </w:r>
      <w:r>
        <w:rPr>
          <w:rFonts w:hint="eastAsia" w:ascii="宋体" w:hAnsi="宋体" w:cs="宋体"/>
          <w:szCs w:val="21"/>
          <w:u w:val="single"/>
        </w:rPr>
        <w:t xml:space="preserve">      </w:t>
      </w:r>
      <w:r>
        <w:rPr>
          <w:rFonts w:hint="eastAsia" w:ascii="宋体" w:hAnsi="宋体" w:cs="宋体"/>
          <w:szCs w:val="21"/>
        </w:rPr>
        <w:t>街道结算，甲方凭乙方开具的正式发票、一线现场服务人员社保花名册及工资册进行支付。</w:t>
      </w:r>
    </w:p>
    <w:p>
      <w:pPr>
        <w:spacing w:line="360" w:lineRule="exact"/>
        <w:rPr>
          <w:rFonts w:hint="eastAsia" w:ascii="宋体" w:hAnsi="宋体" w:cs="宋体"/>
          <w:szCs w:val="21"/>
        </w:rPr>
      </w:pPr>
      <w:r>
        <w:rPr>
          <w:rFonts w:hint="eastAsia" w:ascii="宋体" w:hAnsi="宋体" w:cs="宋体"/>
          <w:szCs w:val="21"/>
        </w:rPr>
        <w:t>（3）环境卫生质量考核遵照瑞安市</w:t>
      </w:r>
      <w:r>
        <w:rPr>
          <w:rFonts w:hint="eastAsia" w:ascii="宋体" w:hAnsi="宋体" w:cs="宋体"/>
          <w:szCs w:val="21"/>
          <w:u w:val="single"/>
        </w:rPr>
        <w:t xml:space="preserve">      </w:t>
      </w:r>
      <w:r>
        <w:rPr>
          <w:rFonts w:hint="eastAsia" w:ascii="宋体" w:hAnsi="宋体" w:cs="宋体"/>
          <w:szCs w:val="21"/>
        </w:rPr>
        <w:t>街道发布的现行考核办法执行，并按《瑞安市“一把扫帚”智慧环卫平台监管考核细则》（瑞环改〔2020〕1号）对人员和车辆作业情况执行考核，如采购人有统一对考核内容作出调整的，乙方要无条件予以接受并遵守。</w:t>
      </w:r>
    </w:p>
    <w:p>
      <w:pPr>
        <w:spacing w:line="360" w:lineRule="exact"/>
        <w:rPr>
          <w:rFonts w:hint="eastAsia" w:ascii="宋体" w:hAnsi="宋体" w:cs="宋体"/>
          <w:szCs w:val="21"/>
        </w:rPr>
      </w:pPr>
      <w:r>
        <w:rPr>
          <w:rFonts w:hint="eastAsia" w:ascii="宋体" w:hAnsi="宋体" w:cs="宋体"/>
          <w:szCs w:val="21"/>
        </w:rPr>
        <w:t>（4）甲方每月作出的考核结果，汇总考核结算清单，并告知乙方。处罚金额按月直接在付款额中扣除。承包到期后根据考核结果将余款一次付清。</w:t>
      </w:r>
    </w:p>
    <w:p>
      <w:pPr>
        <w:spacing w:line="360" w:lineRule="exact"/>
        <w:rPr>
          <w:rFonts w:hint="eastAsia" w:ascii="宋体" w:hAnsi="宋体" w:cs="宋体"/>
          <w:szCs w:val="21"/>
        </w:rPr>
      </w:pPr>
      <w:r>
        <w:rPr>
          <w:rFonts w:hint="eastAsia" w:ascii="宋体" w:hAnsi="宋体" w:cs="宋体"/>
          <w:szCs w:val="21"/>
        </w:rPr>
        <w:t>（5）</w:t>
      </w:r>
      <w:r>
        <w:rPr>
          <w:rFonts w:hint="eastAsia" w:ascii="宋体" w:hAnsi="宋体" w:cs="宋体"/>
          <w:b/>
          <w:szCs w:val="21"/>
        </w:rPr>
        <w:t>由于本采购项目实施以人工投入为主，在每年度合同签订且具备实施条件后15日历天内甲方向乙方支付合同总额（一年）的10%作为预付款。甲方在支付当年度第一期款项时等额予以扣回，如不足抵扣的，则在下期结算款支付时扣回预付款。在签订合同时，乙方明确表示无需预付款或者主动要求降低预付款比例的，甲方可不适用前述规定。</w:t>
      </w:r>
    </w:p>
    <w:p>
      <w:pPr>
        <w:spacing w:line="360" w:lineRule="exact"/>
        <w:outlineLvl w:val="2"/>
        <w:rPr>
          <w:rFonts w:hint="eastAsia" w:ascii="宋体" w:hAnsi="宋体" w:cs="宋体"/>
          <w:szCs w:val="21"/>
        </w:rPr>
      </w:pPr>
      <w:bookmarkStart w:id="288" w:name="_Toc2694"/>
      <w:r>
        <w:rPr>
          <w:rFonts w:hint="eastAsia" w:ascii="宋体" w:hAnsi="宋体" w:cs="宋体"/>
          <w:szCs w:val="21"/>
        </w:rPr>
        <w:t>第七条  承包方式</w:t>
      </w:r>
      <w:bookmarkEnd w:id="288"/>
    </w:p>
    <w:p>
      <w:pPr>
        <w:spacing w:line="360" w:lineRule="exact"/>
        <w:ind w:firstLine="420" w:firstLineChars="200"/>
        <w:rPr>
          <w:rFonts w:hint="eastAsia" w:ascii="宋体" w:hAnsi="宋体" w:cs="宋体"/>
          <w:szCs w:val="21"/>
        </w:rPr>
      </w:pPr>
      <w:r>
        <w:rPr>
          <w:rFonts w:hint="eastAsia" w:ascii="宋体" w:hAnsi="宋体" w:cs="宋体"/>
          <w:szCs w:val="21"/>
        </w:rPr>
        <w:t>采用全包干形式，即业务包干、经费包干方式。甲方将清扫保洁业务及相应的经费交给乙方，乙方按甲方的管理要求和标准组织清扫保洁工作，并接受甲方的指导、监督和检查验收。</w:t>
      </w:r>
    </w:p>
    <w:p>
      <w:pPr>
        <w:spacing w:line="360" w:lineRule="exact"/>
        <w:outlineLvl w:val="2"/>
        <w:rPr>
          <w:rFonts w:hint="eastAsia" w:ascii="宋体" w:hAnsi="宋体" w:cs="宋体"/>
          <w:szCs w:val="21"/>
        </w:rPr>
      </w:pPr>
      <w:bookmarkStart w:id="289" w:name="_Toc9862"/>
      <w:r>
        <w:rPr>
          <w:rFonts w:hint="eastAsia" w:ascii="宋体" w:hAnsi="宋体" w:cs="宋体"/>
          <w:szCs w:val="21"/>
        </w:rPr>
        <w:t>第八条  保洁质量</w:t>
      </w:r>
      <w:bookmarkEnd w:id="289"/>
    </w:p>
    <w:p>
      <w:pPr>
        <w:spacing w:line="360" w:lineRule="exact"/>
        <w:ind w:firstLine="420" w:firstLineChars="200"/>
        <w:rPr>
          <w:rFonts w:hint="eastAsia" w:ascii="宋体" w:hAnsi="宋体" w:cs="宋体"/>
          <w:szCs w:val="21"/>
        </w:rPr>
      </w:pPr>
      <w:r>
        <w:rPr>
          <w:rFonts w:hint="eastAsia" w:ascii="宋体" w:hAnsi="宋体" w:cs="宋体"/>
          <w:szCs w:val="21"/>
        </w:rPr>
        <w:t>清扫保洁各项具体工作的质量标准和作业规范按甲方具体要求及甲方《招标文件》中规定，乙方《投标文件》承诺的措施、方案、投入的人力、机械设备车辆船只，严格执行。</w:t>
      </w:r>
    </w:p>
    <w:p>
      <w:pPr>
        <w:spacing w:line="360" w:lineRule="exact"/>
        <w:ind w:firstLine="420" w:firstLineChars="200"/>
        <w:rPr>
          <w:rFonts w:hint="eastAsia" w:ascii="宋体" w:hAnsi="宋体" w:cs="宋体"/>
          <w:szCs w:val="21"/>
        </w:rPr>
      </w:pPr>
      <w:r>
        <w:rPr>
          <w:rFonts w:hint="eastAsia" w:ascii="宋体" w:hAnsi="宋体" w:cs="宋体"/>
          <w:szCs w:val="21"/>
        </w:rPr>
        <w:t>乙方中标后采用优于投标车辆品牌及规格参数的车辆，以新换旧、以优换次替换投标车辆的，经采购人审核同意，可以予以更换。但最终进场车辆必须保证专车专用，只用于本项目。</w:t>
      </w:r>
    </w:p>
    <w:p>
      <w:pPr>
        <w:spacing w:line="360" w:lineRule="exact"/>
        <w:outlineLvl w:val="2"/>
        <w:rPr>
          <w:rFonts w:hint="eastAsia" w:ascii="宋体" w:hAnsi="宋体" w:cs="宋体"/>
          <w:szCs w:val="21"/>
        </w:rPr>
      </w:pPr>
      <w:bookmarkStart w:id="290" w:name="_Toc21875"/>
      <w:r>
        <w:rPr>
          <w:rFonts w:hint="eastAsia" w:ascii="宋体" w:hAnsi="宋体" w:cs="宋体"/>
          <w:szCs w:val="21"/>
        </w:rPr>
        <w:t>第九条  检查考评办法</w:t>
      </w:r>
      <w:bookmarkEnd w:id="290"/>
    </w:p>
    <w:p>
      <w:pPr>
        <w:spacing w:line="360" w:lineRule="exact"/>
        <w:ind w:firstLine="420" w:firstLineChars="200"/>
        <w:rPr>
          <w:rFonts w:hint="eastAsia" w:ascii="宋体" w:hAnsi="宋体" w:cs="宋体"/>
          <w:szCs w:val="21"/>
        </w:rPr>
      </w:pPr>
      <w:r>
        <w:rPr>
          <w:rFonts w:hint="eastAsia" w:ascii="宋体" w:hAnsi="宋体" w:cs="宋体"/>
          <w:szCs w:val="21"/>
        </w:rPr>
        <w:t>乙方应严格按照甲方具体要求及《招标文件》的规定，以及乙方《投标文件》承诺，对承包区域进行清扫保洁。甲方具体的检查验收方法、内容、程序等按招标文件及瑞安市</w:t>
      </w:r>
      <w:r>
        <w:rPr>
          <w:rFonts w:hint="eastAsia" w:ascii="宋体" w:hAnsi="宋体" w:cs="宋体"/>
          <w:szCs w:val="21"/>
          <w:u w:val="single"/>
        </w:rPr>
        <w:t xml:space="preserve">      </w:t>
      </w:r>
      <w:r>
        <w:rPr>
          <w:rFonts w:hint="eastAsia" w:ascii="宋体" w:hAnsi="宋体" w:cs="宋体"/>
          <w:szCs w:val="21"/>
        </w:rPr>
        <w:t>街道发布的现行考核办法、《瑞安市“一把扫帚”智慧环卫平台监管考核细则》（瑞环改〔2020〕1号）执行。</w:t>
      </w:r>
    </w:p>
    <w:p>
      <w:pPr>
        <w:spacing w:line="360" w:lineRule="exact"/>
        <w:outlineLvl w:val="2"/>
        <w:rPr>
          <w:rFonts w:hint="eastAsia" w:ascii="宋体" w:hAnsi="宋体" w:cs="宋体"/>
          <w:szCs w:val="21"/>
        </w:rPr>
      </w:pPr>
      <w:bookmarkStart w:id="291" w:name="_Toc14614"/>
      <w:r>
        <w:rPr>
          <w:rFonts w:hint="eastAsia" w:ascii="宋体" w:hAnsi="宋体" w:cs="宋体"/>
          <w:szCs w:val="21"/>
        </w:rPr>
        <w:t>第十条  履约保证金</w:t>
      </w:r>
      <w:bookmarkEnd w:id="291"/>
    </w:p>
    <w:p>
      <w:pPr>
        <w:pStyle w:val="8"/>
        <w:rPr>
          <w:rFonts w:hint="eastAsia" w:ascii="宋体" w:hAnsi="宋体" w:cs="宋体"/>
          <w:szCs w:val="21"/>
        </w:rPr>
      </w:pPr>
      <w:r>
        <w:rPr>
          <w:rFonts w:hint="eastAsia" w:ascii="宋体" w:hAnsi="宋体" w:cs="宋体"/>
          <w:szCs w:val="21"/>
        </w:rPr>
        <w:t>（一）乙方必须以银行转账/转帐支票/银行汇票/银行、保险公司出具的保函等非现金方式付甲方保洁区域一年合同款的5％作为履约保证金（无息）给甲方，甲方开给乙方合同履约保证金收据。</w:t>
      </w:r>
    </w:p>
    <w:p>
      <w:pPr>
        <w:pStyle w:val="8"/>
        <w:rPr>
          <w:rFonts w:hint="eastAsia" w:ascii="宋体" w:hAnsi="宋体" w:cs="宋体"/>
        </w:rPr>
      </w:pPr>
      <w:r>
        <w:rPr>
          <w:rFonts w:hint="eastAsia" w:ascii="宋体" w:hAnsi="宋体" w:cs="宋体"/>
          <w:szCs w:val="21"/>
        </w:rPr>
        <w:t>注：采用银行、保险公司出具的保函形式提交至乙方，应满足以下几个条件：①为无条件保函：即在乙方没有实施合同或者未履行合同义务时，甲方不需要出具任何证明和理由，只要看到乙方违约，就可对保函进行收兑；②保函期限：自合同生效之日起至服务期满之日后30日历天止；③如果银行、保险公司要求分期出具保函的，则在前一份保函有效期满之日2个月前必须重新出具相同内容的保函。</w:t>
      </w:r>
    </w:p>
    <w:p>
      <w:pPr>
        <w:spacing w:line="360" w:lineRule="exact"/>
        <w:rPr>
          <w:rFonts w:hint="eastAsia" w:ascii="宋体" w:hAnsi="宋体" w:cs="宋体"/>
          <w:szCs w:val="21"/>
        </w:rPr>
      </w:pPr>
      <w:r>
        <w:rPr>
          <w:rFonts w:hint="eastAsia" w:ascii="宋体" w:hAnsi="宋体" w:cs="宋体"/>
          <w:szCs w:val="21"/>
        </w:rPr>
        <w:t>（二）履约保证金扣罚条款</w:t>
      </w:r>
    </w:p>
    <w:p>
      <w:pPr>
        <w:spacing w:line="360" w:lineRule="exact"/>
        <w:ind w:firstLine="420" w:firstLineChars="200"/>
        <w:rPr>
          <w:rFonts w:hint="eastAsia" w:ascii="宋体" w:hAnsi="宋体" w:cs="宋体"/>
          <w:szCs w:val="21"/>
          <w:highlight w:val="none"/>
        </w:rPr>
      </w:pPr>
      <w:r>
        <w:rPr>
          <w:rFonts w:hint="eastAsia" w:ascii="宋体" w:hAnsi="宋体" w:cs="宋体"/>
          <w:szCs w:val="21"/>
        </w:rPr>
        <w:t>1、本项目进场作业时间为2021年  月  日，个别区域进场作业时间由甲方根据实际</w:t>
      </w:r>
      <w:r>
        <w:rPr>
          <w:rFonts w:hint="eastAsia" w:ascii="宋体" w:hAnsi="宋体" w:cs="宋体"/>
          <w:szCs w:val="21"/>
          <w:highlight w:val="none"/>
        </w:rPr>
        <w:t>情况确定。乙方</w:t>
      </w:r>
      <w:r>
        <w:rPr>
          <w:rFonts w:hint="eastAsia" w:ascii="宋体" w:hAnsi="宋体"/>
          <w:szCs w:val="21"/>
          <w:highlight w:val="none"/>
        </w:rPr>
        <w:t>车辆、船只，未按投标文件承诺或招标文件规定的进场作业日期到位的，重型车辆每辆每延迟1天处以10</w:t>
      </w:r>
      <w:r>
        <w:rPr>
          <w:rFonts w:ascii="宋体" w:hAnsi="宋体"/>
          <w:szCs w:val="21"/>
          <w:highlight w:val="none"/>
        </w:rPr>
        <w:t>000</w:t>
      </w:r>
      <w:r>
        <w:rPr>
          <w:rFonts w:hint="eastAsia" w:ascii="宋体" w:hAnsi="宋体"/>
          <w:szCs w:val="21"/>
          <w:highlight w:val="none"/>
        </w:rPr>
        <w:t>元违约金；中型车辆每辆每延迟1天处以5000元违约金；其它轻型车辆、电动车、船只每辆每延迟1天处以1000元违约金</w:t>
      </w:r>
      <w:r>
        <w:rPr>
          <w:rFonts w:hint="eastAsia" w:ascii="宋体" w:hAnsi="宋体" w:cs="宋体"/>
          <w:szCs w:val="21"/>
          <w:highlight w:val="none"/>
        </w:rPr>
        <w:t>。</w:t>
      </w:r>
    </w:p>
    <w:p>
      <w:pPr>
        <w:spacing w:line="360" w:lineRule="exact"/>
        <w:ind w:firstLine="420" w:firstLineChars="200"/>
        <w:rPr>
          <w:rFonts w:hint="eastAsia" w:ascii="宋体" w:hAnsi="宋体" w:cs="宋体"/>
          <w:szCs w:val="21"/>
        </w:rPr>
      </w:pPr>
      <w:r>
        <w:rPr>
          <w:rFonts w:hint="eastAsia" w:ascii="宋体" w:hAnsi="宋体" w:cs="宋体"/>
          <w:szCs w:val="21"/>
        </w:rPr>
        <w:t>2、乙方服务人员，未按投标文件承诺，及招标文件规定的进场作业日期到位的，每人每延迟1天扣400元履约保证金；</w:t>
      </w:r>
    </w:p>
    <w:p>
      <w:pPr>
        <w:spacing w:line="360" w:lineRule="exact"/>
        <w:ind w:firstLine="420" w:firstLineChars="200"/>
        <w:rPr>
          <w:rFonts w:hint="eastAsia" w:ascii="宋体" w:hAnsi="宋体" w:cs="宋体"/>
          <w:szCs w:val="21"/>
        </w:rPr>
      </w:pPr>
      <w:r>
        <w:rPr>
          <w:rFonts w:hint="eastAsia" w:ascii="宋体" w:hAnsi="宋体" w:cs="宋体"/>
          <w:szCs w:val="21"/>
        </w:rPr>
        <w:t>3、乙方机械、车辆、船只，服务人员，未按投标文件承诺，及招标文件规定的进场作业日期，超期达7日历天及以上的，甲方</w:t>
      </w:r>
      <w:r>
        <w:rPr>
          <w:rFonts w:hint="eastAsia" w:ascii="宋体" w:hAnsi="宋体"/>
          <w:szCs w:val="21"/>
          <w:highlight w:val="none"/>
        </w:rPr>
        <w:t>有权处以等同于履约保证金金额的违约金，并有权无条件解除合同</w:t>
      </w:r>
      <w:r>
        <w:rPr>
          <w:rFonts w:hint="eastAsia" w:ascii="宋体" w:hAnsi="宋体" w:cs="宋体"/>
          <w:szCs w:val="21"/>
        </w:rPr>
        <w:t>。</w:t>
      </w:r>
    </w:p>
    <w:p>
      <w:pPr>
        <w:spacing w:line="360" w:lineRule="exact"/>
        <w:ind w:firstLine="420" w:firstLineChars="200"/>
        <w:rPr>
          <w:rFonts w:hint="eastAsia" w:ascii="宋体" w:hAnsi="宋体" w:cs="宋体"/>
          <w:color w:val="auto"/>
          <w:szCs w:val="21"/>
        </w:rPr>
      </w:pPr>
      <w:r>
        <w:rPr>
          <w:rFonts w:hint="eastAsia" w:ascii="宋体" w:hAnsi="宋体" w:cs="宋体"/>
          <w:szCs w:val="21"/>
        </w:rPr>
        <w:t>4、</w:t>
      </w:r>
      <w:r>
        <w:rPr>
          <w:rFonts w:hint="eastAsia" w:ascii="宋体" w:hAnsi="宋体" w:cs="宋体"/>
          <w:bCs/>
          <w:szCs w:val="21"/>
        </w:rPr>
        <w:t>作业车辆、工具的</w:t>
      </w:r>
      <w:r>
        <w:rPr>
          <w:rFonts w:hint="eastAsia" w:ascii="宋体" w:hAnsi="宋体" w:cs="宋体"/>
          <w:bCs/>
          <w:color w:val="auto"/>
          <w:szCs w:val="21"/>
        </w:rPr>
        <w:t>停放场地由乙方自行负责解决，要求规范、统一停放，乙方须在中标通知书发出之日起30日内在本次招标保洁区域内建立专门的停车场。乙方未按规定日期之内建立专用停车场地的，每延期一天扣1000元履约保证金。</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5、乙方不能按期保质保量完成清扫保洁业务，除承担相关责任外，甲方可相应没收全部或部分合同履约保证金。</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6、根据招标文件规定与合同约定，甲方可相应没收全部或部分履约保证金的条款。</w:t>
      </w:r>
    </w:p>
    <w:p>
      <w:pPr>
        <w:spacing w:line="360" w:lineRule="exact"/>
        <w:rPr>
          <w:rFonts w:hint="eastAsia" w:ascii="宋体" w:hAnsi="宋体" w:cs="宋体"/>
          <w:color w:val="auto"/>
          <w:szCs w:val="21"/>
        </w:rPr>
      </w:pPr>
      <w:r>
        <w:rPr>
          <w:rFonts w:hint="eastAsia" w:ascii="宋体" w:hAnsi="宋体" w:cs="宋体"/>
          <w:color w:val="auto"/>
          <w:szCs w:val="21"/>
        </w:rPr>
        <w:t>（三）甲方扣罚履约保证金，但未达到解除合同条件的，乙方须在扣罚之日起7日历天内补齐合同履约保证金至一年合同款的5％。拒不缴纳补齐的，甲方有权扣罚全部履约保证金，并无条件解除合同。</w:t>
      </w:r>
    </w:p>
    <w:p>
      <w:pPr>
        <w:spacing w:line="360" w:lineRule="exact"/>
        <w:rPr>
          <w:rFonts w:hint="eastAsia" w:ascii="宋体" w:hAnsi="宋体" w:cs="宋体"/>
          <w:color w:val="auto"/>
          <w:szCs w:val="21"/>
        </w:rPr>
      </w:pPr>
      <w:r>
        <w:rPr>
          <w:rFonts w:hint="eastAsia" w:ascii="宋体" w:hAnsi="宋体" w:cs="宋体"/>
          <w:color w:val="auto"/>
          <w:szCs w:val="21"/>
        </w:rPr>
        <w:t>（四）承包任务完成并验收移交甲方后30日内，甲方无息退还乙方剩余的合同履约保证金；</w:t>
      </w:r>
    </w:p>
    <w:p>
      <w:pPr>
        <w:spacing w:line="360" w:lineRule="exact"/>
        <w:outlineLvl w:val="2"/>
        <w:rPr>
          <w:rFonts w:hint="eastAsia" w:ascii="宋体" w:hAnsi="宋体" w:cs="宋体"/>
          <w:color w:val="auto"/>
          <w:szCs w:val="21"/>
        </w:rPr>
      </w:pPr>
      <w:bookmarkStart w:id="292" w:name="_Toc4445"/>
      <w:r>
        <w:rPr>
          <w:rFonts w:hint="eastAsia" w:ascii="宋体" w:hAnsi="宋体" w:cs="宋体"/>
          <w:color w:val="auto"/>
          <w:szCs w:val="21"/>
        </w:rPr>
        <w:t>第十一条  权利和义务</w:t>
      </w:r>
      <w:bookmarkEnd w:id="292"/>
    </w:p>
    <w:p>
      <w:pPr>
        <w:spacing w:line="360" w:lineRule="exact"/>
        <w:rPr>
          <w:rFonts w:hint="eastAsia" w:ascii="宋体" w:hAnsi="宋体" w:cs="宋体"/>
          <w:color w:val="auto"/>
          <w:szCs w:val="21"/>
        </w:rPr>
      </w:pPr>
      <w:r>
        <w:rPr>
          <w:rFonts w:hint="eastAsia" w:ascii="宋体" w:hAnsi="宋体" w:cs="宋体"/>
          <w:color w:val="auto"/>
          <w:szCs w:val="21"/>
        </w:rPr>
        <w:t>（一）甲方权利与义务</w:t>
      </w:r>
    </w:p>
    <w:p>
      <w:pPr>
        <w:spacing w:line="360" w:lineRule="exact"/>
        <w:rPr>
          <w:rFonts w:hint="eastAsia" w:ascii="宋体" w:hAnsi="宋体" w:cs="宋体"/>
          <w:color w:val="auto"/>
          <w:szCs w:val="21"/>
        </w:rPr>
      </w:pPr>
      <w:r>
        <w:rPr>
          <w:rFonts w:hint="eastAsia" w:ascii="宋体" w:hAnsi="宋体" w:cs="宋体"/>
          <w:color w:val="auto"/>
          <w:szCs w:val="21"/>
        </w:rPr>
        <w:t>1、甲方对乙方的清扫保洁业务进行全面的技术指导、检查、管理和监督，对检查中发现的环境卫生质量问题及时向乙方提出书面或口头改进意见，直至终止本合同。</w:t>
      </w:r>
    </w:p>
    <w:p>
      <w:pPr>
        <w:spacing w:line="360" w:lineRule="exact"/>
        <w:rPr>
          <w:rFonts w:hint="eastAsia" w:ascii="宋体" w:hAnsi="宋体" w:cs="宋体"/>
          <w:color w:val="auto"/>
          <w:szCs w:val="21"/>
        </w:rPr>
      </w:pPr>
      <w:r>
        <w:rPr>
          <w:rFonts w:hint="eastAsia" w:ascii="宋体" w:hAnsi="宋体" w:cs="宋体"/>
          <w:color w:val="auto"/>
          <w:szCs w:val="21"/>
        </w:rPr>
        <w:t>2、甲方对乙方违反瑞安市      街道发布的现行考核办法（现场考核）和《瑞安市“一把扫帚”智慧环卫平台监管考核细则》（瑞环改〔2020〕1号）中规定的行为进行处罚。</w:t>
      </w:r>
    </w:p>
    <w:p>
      <w:pPr>
        <w:spacing w:line="360" w:lineRule="exact"/>
        <w:rPr>
          <w:rFonts w:hint="eastAsia" w:ascii="宋体" w:hAnsi="宋体" w:cs="宋体"/>
          <w:color w:val="auto"/>
          <w:szCs w:val="21"/>
        </w:rPr>
      </w:pPr>
      <w:r>
        <w:rPr>
          <w:rFonts w:hint="eastAsia" w:ascii="宋体" w:hAnsi="宋体" w:cs="宋体"/>
          <w:color w:val="auto"/>
          <w:szCs w:val="21"/>
        </w:rPr>
        <w:t>3、甲方有权监督检查乙方落实安全防火和安全生产措施。</w:t>
      </w:r>
    </w:p>
    <w:p>
      <w:pPr>
        <w:spacing w:line="360" w:lineRule="exact"/>
        <w:rPr>
          <w:rFonts w:hint="eastAsia" w:ascii="宋体" w:hAnsi="宋体" w:cs="宋体"/>
          <w:szCs w:val="21"/>
        </w:rPr>
      </w:pPr>
      <w:r>
        <w:rPr>
          <w:rFonts w:hint="eastAsia" w:ascii="宋体" w:hAnsi="宋体" w:cs="宋体"/>
          <w:color w:val="auto"/>
          <w:szCs w:val="21"/>
        </w:rPr>
        <w:t>4、甲方有权监督检查乙方对员工进行</w:t>
      </w:r>
      <w:r>
        <w:rPr>
          <w:rFonts w:hint="eastAsia" w:ascii="宋体" w:hAnsi="宋体" w:cs="宋体"/>
          <w:szCs w:val="21"/>
        </w:rPr>
        <w:t>培训的情况，以提高清扫保洁服务的技术水平。</w:t>
      </w:r>
    </w:p>
    <w:p>
      <w:pPr>
        <w:spacing w:line="360" w:lineRule="exact"/>
        <w:rPr>
          <w:rFonts w:hint="eastAsia" w:ascii="宋体" w:hAnsi="宋体" w:cs="宋体"/>
          <w:szCs w:val="21"/>
        </w:rPr>
      </w:pPr>
      <w:r>
        <w:rPr>
          <w:rFonts w:hint="eastAsia" w:ascii="宋体" w:hAnsi="宋体" w:cs="宋体"/>
          <w:szCs w:val="21"/>
        </w:rPr>
        <w:t>5、甲方应按清扫保洁质量和检查验收结果计算经费，扣除乙方因检查不合格应扣款后，将经费按期支付给乙方。</w:t>
      </w:r>
    </w:p>
    <w:p>
      <w:pPr>
        <w:spacing w:line="360" w:lineRule="exact"/>
        <w:rPr>
          <w:rFonts w:hint="eastAsia" w:ascii="宋体" w:hAnsi="宋体" w:cs="宋体"/>
          <w:szCs w:val="21"/>
        </w:rPr>
      </w:pPr>
      <w:r>
        <w:rPr>
          <w:rFonts w:hint="eastAsia" w:ascii="宋体" w:hAnsi="宋体" w:cs="宋体"/>
          <w:szCs w:val="21"/>
        </w:rPr>
        <w:t>6、甲方可要求乙方调整不合格员工。</w:t>
      </w:r>
    </w:p>
    <w:p>
      <w:pPr>
        <w:spacing w:line="360" w:lineRule="exact"/>
        <w:rPr>
          <w:rFonts w:hint="eastAsia" w:ascii="宋体" w:hAnsi="宋体" w:cs="宋体"/>
          <w:szCs w:val="21"/>
        </w:rPr>
      </w:pPr>
      <w:r>
        <w:rPr>
          <w:rFonts w:hint="eastAsia" w:ascii="宋体" w:hAnsi="宋体" w:cs="宋体"/>
          <w:szCs w:val="21"/>
        </w:rPr>
        <w:t>7、甲方可根据政策的变动并结合实际情况对瑞安市      街道发布的现行考核办法进行修改和补充。</w:t>
      </w:r>
    </w:p>
    <w:p>
      <w:pPr>
        <w:spacing w:line="360" w:lineRule="exact"/>
        <w:rPr>
          <w:rFonts w:hint="eastAsia" w:ascii="宋体" w:hAnsi="宋体" w:cs="宋体"/>
          <w:szCs w:val="21"/>
        </w:rPr>
      </w:pPr>
      <w:r>
        <w:rPr>
          <w:rFonts w:hint="eastAsia" w:ascii="宋体" w:hAnsi="宋体" w:cs="宋体"/>
          <w:szCs w:val="21"/>
        </w:rPr>
        <w:t>8、甲方应按时支付款项。本合同的清扫保洁经费由政府拨款和收取垃圾处置费，如因政策影响或其它原因，拨款未能及时到位，乙方不得以此为由而不履行本合同规定的义务。否则，甲方按规定扣罚。</w:t>
      </w:r>
    </w:p>
    <w:p>
      <w:pPr>
        <w:spacing w:line="360" w:lineRule="exact"/>
        <w:rPr>
          <w:rFonts w:hint="eastAsia" w:ascii="宋体" w:hAnsi="宋体" w:cs="宋体"/>
          <w:szCs w:val="21"/>
        </w:rPr>
      </w:pPr>
      <w:r>
        <w:rPr>
          <w:rFonts w:hint="eastAsia" w:ascii="宋体" w:hAnsi="宋体" w:cs="宋体"/>
          <w:szCs w:val="21"/>
        </w:rPr>
        <w:t>9、服务期内甲方遇到各类检查、考核（如上级部门检查、考核、督导等），乙方要无条件加班，甲方不另支付加班费，即此项造成的费用由乙方承担。</w:t>
      </w:r>
    </w:p>
    <w:p>
      <w:pPr>
        <w:spacing w:line="360" w:lineRule="exact"/>
        <w:rPr>
          <w:rFonts w:hint="eastAsia" w:ascii="宋体" w:hAnsi="宋体" w:cs="宋体"/>
          <w:szCs w:val="21"/>
        </w:rPr>
      </w:pPr>
      <w:r>
        <w:rPr>
          <w:rFonts w:hint="eastAsia" w:ascii="宋体" w:hAnsi="宋体" w:cs="宋体"/>
          <w:szCs w:val="21"/>
        </w:rPr>
        <w:t>（二）乙方权利和义务</w:t>
      </w:r>
    </w:p>
    <w:p>
      <w:pPr>
        <w:spacing w:line="360" w:lineRule="exact"/>
        <w:rPr>
          <w:rFonts w:hint="eastAsia" w:ascii="宋体" w:hAnsi="宋体" w:cs="宋体"/>
          <w:szCs w:val="21"/>
        </w:rPr>
      </w:pPr>
      <w:r>
        <w:rPr>
          <w:rFonts w:hint="eastAsia" w:ascii="宋体" w:hAnsi="宋体" w:cs="宋体"/>
          <w:szCs w:val="21"/>
        </w:rPr>
        <w:t>1、乙方有权根据承包合同按期领取承包经费。</w:t>
      </w:r>
    </w:p>
    <w:p>
      <w:pPr>
        <w:spacing w:line="360" w:lineRule="exact"/>
        <w:rPr>
          <w:rFonts w:hint="eastAsia" w:ascii="宋体" w:hAnsi="宋体" w:cs="宋体"/>
          <w:szCs w:val="21"/>
        </w:rPr>
      </w:pPr>
      <w:r>
        <w:rPr>
          <w:rFonts w:hint="eastAsia" w:ascii="宋体" w:hAnsi="宋体" w:cs="宋体"/>
          <w:szCs w:val="21"/>
        </w:rPr>
        <w:t>2、乙方履行承诺的义务，并参加由甲方组织的检查和综合考评。</w:t>
      </w:r>
    </w:p>
    <w:p>
      <w:pPr>
        <w:spacing w:line="360" w:lineRule="exact"/>
        <w:rPr>
          <w:rFonts w:hint="eastAsia" w:ascii="宋体" w:hAnsi="宋体" w:cs="宋体"/>
          <w:szCs w:val="21"/>
        </w:rPr>
      </w:pPr>
      <w:r>
        <w:rPr>
          <w:rFonts w:hint="eastAsia" w:ascii="宋体" w:hAnsi="宋体" w:cs="宋体"/>
          <w:szCs w:val="21"/>
        </w:rPr>
        <w:t>3、乙方应接受甲方的检查监督及指导。</w:t>
      </w:r>
    </w:p>
    <w:p>
      <w:pPr>
        <w:spacing w:line="360" w:lineRule="exact"/>
        <w:rPr>
          <w:rFonts w:hint="eastAsia" w:ascii="宋体" w:hAnsi="宋体" w:cs="宋体"/>
          <w:szCs w:val="21"/>
        </w:rPr>
      </w:pPr>
      <w:r>
        <w:rPr>
          <w:rFonts w:hint="eastAsia" w:ascii="宋体" w:hAnsi="宋体" w:cs="宋体"/>
          <w:szCs w:val="21"/>
        </w:rPr>
        <w:t>4、按甲方的要求开展工作，如有改变，乙方应提出书面申请，并征得甲方的书面同意。</w:t>
      </w:r>
    </w:p>
    <w:p>
      <w:pPr>
        <w:spacing w:line="360" w:lineRule="exact"/>
        <w:rPr>
          <w:rFonts w:hint="eastAsia" w:ascii="宋体" w:hAnsi="宋体" w:cs="宋体"/>
          <w:szCs w:val="21"/>
        </w:rPr>
      </w:pPr>
      <w:r>
        <w:rPr>
          <w:rFonts w:hint="eastAsia" w:ascii="宋体" w:hAnsi="宋体" w:cs="宋体"/>
          <w:szCs w:val="21"/>
        </w:rPr>
        <w:t>5、特殊情况下（台风和暴雨等），乙方除应做好管辖地段保护工作外，还应服从甲方的统一指挥和调动，参加抢险救灾工作。</w:t>
      </w:r>
    </w:p>
    <w:p>
      <w:pPr>
        <w:spacing w:line="360" w:lineRule="exact"/>
        <w:rPr>
          <w:rFonts w:hint="eastAsia" w:ascii="宋体" w:hAnsi="宋体" w:cs="宋体"/>
          <w:szCs w:val="21"/>
        </w:rPr>
      </w:pPr>
      <w:r>
        <w:rPr>
          <w:rFonts w:hint="eastAsia" w:ascii="宋体" w:hAnsi="宋体" w:cs="宋体"/>
          <w:szCs w:val="21"/>
        </w:rPr>
        <w:t>6、乙方根据本合同所承担的服务内容及“劳动法”有关规定，按实际上岗人数自行到有关部门申办用工手续、享受按国家有关规定的员工社会保险，根据浙政办发（2009）190号文件，月工资收入不低于瑞安市本年最低工资标准120%。并安排好属下人员的住宿和教育管理工作，如发生违法违纪事件，由乙方承担一切经济责任和法律责任。</w:t>
      </w:r>
    </w:p>
    <w:p>
      <w:pPr>
        <w:spacing w:line="360" w:lineRule="exact"/>
        <w:rPr>
          <w:rFonts w:hint="eastAsia" w:ascii="宋体" w:hAnsi="宋体" w:cs="宋体"/>
          <w:szCs w:val="21"/>
        </w:rPr>
      </w:pPr>
      <w:r>
        <w:rPr>
          <w:rFonts w:hint="eastAsia" w:ascii="宋体" w:hAnsi="宋体" w:cs="宋体"/>
          <w:szCs w:val="21"/>
        </w:rPr>
        <w:t>7、须为符合国家相关缴纳社保规定的所有员工缴纳社保（计入投标总价），其中一线现场服务人员社保缴纳人数不得低于一线现场服务人员总数的30%，乙方在投标报价中综合考虑，今后不再调整。合同实施过程中发现一线现场服务人员社保缴纳人数未达到一线现场服务人员总数的30%的，每少一人每月扣罚2400元，直接从当月服务款中扣除。</w:t>
      </w:r>
    </w:p>
    <w:p>
      <w:pPr>
        <w:spacing w:line="360" w:lineRule="exact"/>
        <w:rPr>
          <w:rFonts w:hint="eastAsia" w:ascii="宋体" w:hAnsi="宋体" w:cs="宋体"/>
          <w:szCs w:val="21"/>
        </w:rPr>
      </w:pPr>
      <w:r>
        <w:rPr>
          <w:rFonts w:hint="eastAsia" w:ascii="宋体" w:hAnsi="宋体" w:cs="宋体"/>
          <w:szCs w:val="21"/>
        </w:rPr>
        <w:t>8、乙方应按甲方要求，为上岗工人购买统一的反光工作服。</w:t>
      </w:r>
    </w:p>
    <w:p>
      <w:pPr>
        <w:spacing w:line="360" w:lineRule="exact"/>
        <w:rPr>
          <w:rFonts w:hint="eastAsia" w:ascii="宋体" w:hAnsi="宋体" w:cs="宋体"/>
          <w:szCs w:val="21"/>
        </w:rPr>
      </w:pPr>
      <w:r>
        <w:rPr>
          <w:rFonts w:hint="eastAsia" w:ascii="宋体" w:hAnsi="宋体" w:cs="宋体"/>
          <w:szCs w:val="21"/>
        </w:rPr>
        <w:t>9、负责提供清扫保洁所需的全部设备、工具和材料。</w:t>
      </w:r>
    </w:p>
    <w:p>
      <w:pPr>
        <w:spacing w:line="360" w:lineRule="exact"/>
        <w:rPr>
          <w:rFonts w:hint="eastAsia" w:ascii="宋体" w:hAnsi="宋体" w:cs="宋体"/>
          <w:szCs w:val="21"/>
        </w:rPr>
      </w:pPr>
      <w:r>
        <w:rPr>
          <w:rFonts w:hint="eastAsia" w:ascii="宋体" w:hAnsi="宋体" w:cs="宋体"/>
          <w:szCs w:val="21"/>
        </w:rPr>
        <w:t>10、乙方负责安排骨干参加业务技术的培训学习。教育员工遵守交通法规。</w:t>
      </w:r>
    </w:p>
    <w:p>
      <w:pPr>
        <w:spacing w:line="360" w:lineRule="exact"/>
        <w:rPr>
          <w:rFonts w:hint="eastAsia" w:ascii="宋体" w:hAnsi="宋体" w:cs="宋体"/>
          <w:szCs w:val="21"/>
        </w:rPr>
      </w:pPr>
      <w:r>
        <w:rPr>
          <w:rFonts w:hint="eastAsia" w:ascii="宋体" w:hAnsi="宋体" w:cs="宋体"/>
          <w:szCs w:val="21"/>
        </w:rPr>
        <w:t>11、乙方负责作业过程中的事故处理和一切费用。</w:t>
      </w:r>
    </w:p>
    <w:p>
      <w:pPr>
        <w:spacing w:line="360" w:lineRule="exact"/>
        <w:rPr>
          <w:rFonts w:hint="eastAsia" w:ascii="宋体" w:hAnsi="宋体" w:cs="宋体"/>
          <w:szCs w:val="21"/>
        </w:rPr>
      </w:pPr>
      <w:r>
        <w:rPr>
          <w:rFonts w:hint="eastAsia" w:ascii="宋体" w:hAnsi="宋体" w:cs="宋体"/>
          <w:szCs w:val="21"/>
        </w:rPr>
        <w:t>12、乙方不得有弄虚作假及其不正当行为。</w:t>
      </w:r>
      <w:r>
        <w:rPr>
          <w:rFonts w:hint="eastAsia" w:ascii="宋体" w:hAnsi="宋体" w:cs="宋体"/>
          <w:szCs w:val="21"/>
        </w:rPr>
        <w:cr/>
      </w:r>
      <w:r>
        <w:rPr>
          <w:rFonts w:hint="eastAsia" w:ascii="宋体" w:hAnsi="宋体" w:cs="宋体"/>
          <w:szCs w:val="21"/>
        </w:rPr>
        <w:t>13、乙方应认真保管，维护好保洁区域上的环卫设施。教育员工不得在责任区外翻捡废品，干私活，侵犯他人利益。</w:t>
      </w:r>
    </w:p>
    <w:p>
      <w:pPr>
        <w:spacing w:line="360" w:lineRule="exact"/>
        <w:rPr>
          <w:rFonts w:hint="eastAsia" w:ascii="宋体" w:hAnsi="宋体" w:cs="宋体"/>
          <w:szCs w:val="21"/>
        </w:rPr>
      </w:pPr>
      <w:r>
        <w:rPr>
          <w:rFonts w:hint="eastAsia" w:ascii="宋体" w:hAnsi="宋体" w:cs="宋体"/>
          <w:szCs w:val="21"/>
        </w:rPr>
        <w:t>14、乙方应严格遵守国家法律、法规的规定，做好社会治安综合治理和计划生育等工作，不得违反国家法律、法规和瑞安市的有关规定。</w:t>
      </w:r>
    </w:p>
    <w:p>
      <w:pPr>
        <w:spacing w:line="360" w:lineRule="exact"/>
        <w:rPr>
          <w:rFonts w:hint="eastAsia" w:ascii="宋体" w:hAnsi="宋体" w:cs="宋体"/>
          <w:szCs w:val="21"/>
        </w:rPr>
      </w:pPr>
      <w:r>
        <w:rPr>
          <w:rFonts w:hint="eastAsia" w:ascii="宋体" w:hAnsi="宋体" w:cs="宋体"/>
          <w:szCs w:val="21"/>
        </w:rPr>
        <w:t>15、在合同期内，因国家建设需要调整乙方管理服务任务时，乙方要服从大局，相应增减承包面积及经费。由此造成的经济损失，甲方不负赔偿责任。</w:t>
      </w:r>
    </w:p>
    <w:p>
      <w:pPr>
        <w:spacing w:line="360" w:lineRule="exact"/>
        <w:rPr>
          <w:rFonts w:hint="eastAsia" w:ascii="宋体" w:hAnsi="宋体" w:cs="宋体"/>
          <w:szCs w:val="21"/>
        </w:rPr>
      </w:pPr>
      <w:r>
        <w:rPr>
          <w:rFonts w:hint="eastAsia" w:ascii="宋体" w:hAnsi="宋体" w:cs="宋体"/>
          <w:szCs w:val="21"/>
        </w:rPr>
        <w:t>16、乙方应遵守法律、法规和政策的规定，因以上原因使合同性质发生改变，甲方不负赔偿责任。</w:t>
      </w:r>
    </w:p>
    <w:p>
      <w:pPr>
        <w:spacing w:line="360" w:lineRule="exact"/>
        <w:outlineLvl w:val="2"/>
        <w:rPr>
          <w:rFonts w:hint="eastAsia" w:ascii="宋体" w:hAnsi="宋体" w:cs="宋体"/>
          <w:szCs w:val="21"/>
        </w:rPr>
      </w:pPr>
      <w:bookmarkStart w:id="293" w:name="_Toc16806"/>
      <w:r>
        <w:rPr>
          <w:rFonts w:hint="eastAsia" w:ascii="宋体" w:hAnsi="宋体" w:cs="宋体"/>
          <w:szCs w:val="21"/>
        </w:rPr>
        <w:t>第十二条  合同组成</w:t>
      </w:r>
      <w:bookmarkEnd w:id="293"/>
    </w:p>
    <w:p>
      <w:pPr>
        <w:spacing w:line="360" w:lineRule="exact"/>
        <w:ind w:firstLine="420" w:firstLineChars="200"/>
        <w:rPr>
          <w:rFonts w:hint="eastAsia" w:ascii="宋体" w:hAnsi="宋体" w:cs="宋体"/>
          <w:szCs w:val="21"/>
        </w:rPr>
      </w:pPr>
      <w:r>
        <w:rPr>
          <w:rFonts w:hint="eastAsia" w:ascii="宋体" w:hAnsi="宋体" w:cs="宋体"/>
          <w:szCs w:val="21"/>
        </w:rPr>
        <w:t>承包合同由《招标文件》、《投标文件》、《瑞安市“一把扫帚”智慧环卫平台监管考核细则》（瑞环改〔2020〕1号）、瑞安市      街道发布的现行考核办法及附件为本合同的有效组成部分。</w:t>
      </w:r>
    </w:p>
    <w:p>
      <w:pPr>
        <w:spacing w:line="360" w:lineRule="exact"/>
        <w:outlineLvl w:val="2"/>
        <w:rPr>
          <w:rFonts w:hint="eastAsia" w:ascii="宋体" w:hAnsi="宋体" w:cs="宋体"/>
          <w:szCs w:val="21"/>
        </w:rPr>
      </w:pPr>
      <w:bookmarkStart w:id="294" w:name="_Toc32099"/>
      <w:r>
        <w:rPr>
          <w:rFonts w:hint="eastAsia" w:ascii="宋体" w:hAnsi="宋体" w:cs="宋体"/>
          <w:szCs w:val="21"/>
        </w:rPr>
        <w:t>第十三条  违约责任</w:t>
      </w:r>
      <w:bookmarkEnd w:id="294"/>
    </w:p>
    <w:p>
      <w:pPr>
        <w:spacing w:line="360" w:lineRule="exact"/>
        <w:ind w:left="105" w:hanging="105" w:hangingChars="50"/>
        <w:rPr>
          <w:rFonts w:hint="eastAsia" w:ascii="宋体" w:hAnsi="宋体" w:cs="宋体"/>
          <w:szCs w:val="21"/>
        </w:rPr>
      </w:pPr>
      <w:r>
        <w:rPr>
          <w:rFonts w:hint="eastAsia" w:ascii="宋体" w:hAnsi="宋体" w:cs="宋体"/>
          <w:szCs w:val="21"/>
        </w:rPr>
        <w:t>（一）乙方违反甲方具体要求及《招标文件》规定的行为均属违约行为。甲方根据上述规定条款，视乙方违反规定的情节轻重，做出批评教育或警告或按瑞安市      街道发布的现行考核办法进行扣罚处理，情节严重者，甲方有权单方终止本合同，由乙方承担一切经济损失和法律责任。因乙方违约造成甲方损失的，甲方从乙方缴纳的履约保证金中扣除，具体扣除金额以相关执法部门或瑞安市人民法院判决等相关依据为准。</w:t>
      </w:r>
    </w:p>
    <w:p>
      <w:pPr>
        <w:spacing w:line="360" w:lineRule="exact"/>
        <w:ind w:left="105" w:hanging="105" w:hangingChars="50"/>
        <w:rPr>
          <w:rFonts w:hint="eastAsia" w:ascii="宋体" w:hAnsi="宋体" w:cs="宋体"/>
          <w:szCs w:val="21"/>
        </w:rPr>
      </w:pPr>
      <w:r>
        <w:rPr>
          <w:rFonts w:hint="eastAsia" w:ascii="宋体" w:hAnsi="宋体" w:cs="宋体"/>
          <w:szCs w:val="21"/>
        </w:rPr>
        <w:t>（二）乙方因机械、工具或技术、劳动等跟不上管理需要影响工作，未达到质量标准，月考核一年内被甲方3次警告（含2次警告1次严重警告）或2次严重警告的，甲方有权单方终止本合同。</w:t>
      </w:r>
    </w:p>
    <w:p>
      <w:pPr>
        <w:spacing w:line="360" w:lineRule="exact"/>
        <w:ind w:left="105" w:hanging="105" w:hangingChars="50"/>
        <w:rPr>
          <w:rFonts w:hint="eastAsia" w:ascii="宋体" w:hAnsi="宋体" w:cs="宋体"/>
          <w:szCs w:val="21"/>
        </w:rPr>
      </w:pPr>
      <w:r>
        <w:rPr>
          <w:rFonts w:hint="eastAsia" w:ascii="宋体" w:hAnsi="宋体" w:cs="宋体"/>
          <w:szCs w:val="21"/>
        </w:rPr>
        <w:t>（三）根据招标文件对本项目人员、机械、车辆、船只的配备及要求，乙方如未按招标文件的要求和投标文件承诺配备的，甲方有权收回缺位费用，扣罚履约保证金，严重的直至终止采购合同。同时保留向乙方进一步索赔的权利，将乙方政府采购履约评价定为不合格。</w:t>
      </w:r>
    </w:p>
    <w:p>
      <w:pPr>
        <w:spacing w:line="360" w:lineRule="exact"/>
        <w:ind w:left="105" w:hanging="105" w:hangingChars="50"/>
        <w:rPr>
          <w:rFonts w:hint="eastAsia" w:ascii="宋体" w:hAnsi="宋体" w:cs="宋体"/>
          <w:szCs w:val="21"/>
        </w:rPr>
      </w:pPr>
      <w:r>
        <w:rPr>
          <w:rFonts w:hint="eastAsia" w:ascii="宋体" w:hAnsi="宋体" w:cs="宋体"/>
          <w:szCs w:val="21"/>
        </w:rPr>
        <w:t xml:space="preserve"> (四)乙方道路清扫车、洒水车、洗路车、垃圾运输车等相应的清扫保洁设备，在清扫保洁作业中，存在弄虚作假、更换gps设备、数据等情况的，一经发现，记1次严重警告。</w:t>
      </w:r>
    </w:p>
    <w:p>
      <w:pPr>
        <w:spacing w:line="360" w:lineRule="exact"/>
        <w:ind w:left="105" w:hanging="105" w:hangingChars="50"/>
        <w:rPr>
          <w:rFonts w:hint="eastAsia" w:ascii="宋体" w:hAnsi="宋体" w:cs="宋体"/>
          <w:szCs w:val="21"/>
        </w:rPr>
      </w:pPr>
      <w:r>
        <w:rPr>
          <w:rFonts w:hint="eastAsia" w:ascii="宋体" w:hAnsi="宋体" w:cs="宋体"/>
          <w:szCs w:val="21"/>
        </w:rPr>
        <w:t>(五)乙方不得将本项目分包与转包，一经发现立即终止合同，作违约处理，没收全部履约保证金并承担由此引起的法律责任及一切经济损失。</w:t>
      </w:r>
    </w:p>
    <w:p>
      <w:pPr>
        <w:spacing w:line="360" w:lineRule="exact"/>
        <w:outlineLvl w:val="2"/>
        <w:rPr>
          <w:rFonts w:hint="eastAsia" w:ascii="宋体" w:hAnsi="宋体" w:cs="宋体"/>
          <w:szCs w:val="21"/>
        </w:rPr>
      </w:pPr>
      <w:bookmarkStart w:id="295" w:name="_Toc15505"/>
      <w:r>
        <w:rPr>
          <w:rFonts w:hint="eastAsia" w:ascii="宋体" w:hAnsi="宋体" w:cs="宋体"/>
          <w:szCs w:val="21"/>
        </w:rPr>
        <w:t>第十四条  争议的解决</w:t>
      </w:r>
      <w:bookmarkEnd w:id="295"/>
    </w:p>
    <w:p>
      <w:pPr>
        <w:spacing w:line="360" w:lineRule="exact"/>
        <w:ind w:firstLine="420" w:firstLineChars="200"/>
        <w:rPr>
          <w:rFonts w:hint="eastAsia" w:ascii="宋体" w:hAnsi="宋体" w:cs="宋体"/>
          <w:szCs w:val="21"/>
        </w:rPr>
      </w:pPr>
      <w:r>
        <w:rPr>
          <w:rFonts w:hint="eastAsia" w:ascii="宋体" w:hAnsi="宋体" w:cs="宋体"/>
          <w:szCs w:val="21"/>
        </w:rPr>
        <w:t>合同未尽事宜，应双方友好协调解决。协商不一致，任何一方均有权向瑞安市人民法院提起诉讼。</w:t>
      </w:r>
    </w:p>
    <w:p>
      <w:pPr>
        <w:spacing w:line="360" w:lineRule="exact"/>
        <w:outlineLvl w:val="2"/>
        <w:rPr>
          <w:rFonts w:hint="eastAsia" w:ascii="宋体" w:hAnsi="宋体" w:cs="宋体"/>
          <w:szCs w:val="21"/>
        </w:rPr>
      </w:pPr>
      <w:bookmarkStart w:id="296" w:name="_Toc24387"/>
      <w:r>
        <w:rPr>
          <w:rFonts w:hint="eastAsia" w:ascii="宋体" w:hAnsi="宋体" w:cs="宋体"/>
          <w:szCs w:val="21"/>
        </w:rPr>
        <w:t>第十五条  合同生效及终止</w:t>
      </w:r>
      <w:bookmarkEnd w:id="296"/>
    </w:p>
    <w:p>
      <w:pPr>
        <w:spacing w:line="360" w:lineRule="exact"/>
        <w:rPr>
          <w:rFonts w:hint="eastAsia" w:ascii="宋体" w:hAnsi="宋体" w:cs="宋体"/>
          <w:szCs w:val="21"/>
        </w:rPr>
      </w:pPr>
      <w:r>
        <w:rPr>
          <w:rFonts w:hint="eastAsia" w:ascii="宋体" w:hAnsi="宋体" w:cs="宋体"/>
          <w:szCs w:val="21"/>
        </w:rPr>
        <w:t>（一）合同生效：本合同自甲乙双方法定代表人签字、盖章之日起生效。</w:t>
      </w:r>
    </w:p>
    <w:p>
      <w:pPr>
        <w:spacing w:line="360" w:lineRule="exact"/>
        <w:rPr>
          <w:rFonts w:hint="eastAsia" w:ascii="宋体" w:hAnsi="宋体" w:cs="宋体"/>
          <w:szCs w:val="21"/>
        </w:rPr>
      </w:pPr>
      <w:r>
        <w:rPr>
          <w:rFonts w:hint="eastAsia" w:ascii="宋体" w:hAnsi="宋体" w:cs="宋体"/>
          <w:szCs w:val="21"/>
        </w:rPr>
        <w:t>（二）合同终止：本项目有下列情形的，采购人有权不续签或终止合同。</w:t>
      </w:r>
    </w:p>
    <w:p>
      <w:pPr>
        <w:spacing w:line="360" w:lineRule="exact"/>
        <w:rPr>
          <w:rFonts w:hint="eastAsia" w:ascii="宋体" w:hAnsi="宋体" w:cs="宋体"/>
          <w:szCs w:val="21"/>
        </w:rPr>
      </w:pPr>
      <w:r>
        <w:rPr>
          <w:rFonts w:hint="eastAsia" w:ascii="宋体" w:hAnsi="宋体" w:cs="宋体"/>
          <w:szCs w:val="21"/>
        </w:rPr>
        <w:t>1、本项目遇不可抗力影响或法律、法规、国家政策重大调整影响合同无法执行的；</w:t>
      </w:r>
    </w:p>
    <w:p>
      <w:pPr>
        <w:spacing w:line="360" w:lineRule="exact"/>
        <w:rPr>
          <w:rFonts w:hint="eastAsia" w:ascii="宋体" w:hAnsi="宋体" w:cs="宋体"/>
          <w:szCs w:val="21"/>
        </w:rPr>
      </w:pPr>
      <w:r>
        <w:rPr>
          <w:rFonts w:hint="eastAsia" w:ascii="宋体" w:hAnsi="宋体" w:cs="宋体"/>
          <w:szCs w:val="21"/>
        </w:rPr>
        <w:t>2、实际投入人员、机械车辆、船只与投标文件承诺不符合，拒不履行投标承诺的乙方（未按招标文件规定时间人员、机械车辆、船只到位，达到解除合同条件的），采购人有权无责任终止采购合同，并没收其全部履约保证金。</w:t>
      </w:r>
    </w:p>
    <w:p>
      <w:pPr>
        <w:spacing w:line="360" w:lineRule="exact"/>
        <w:rPr>
          <w:rFonts w:hint="eastAsia" w:ascii="宋体" w:hAnsi="宋体" w:cs="宋体"/>
          <w:szCs w:val="21"/>
        </w:rPr>
      </w:pPr>
      <w:r>
        <w:rPr>
          <w:rFonts w:hint="eastAsia" w:ascii="宋体" w:hAnsi="宋体" w:cs="宋体"/>
          <w:szCs w:val="21"/>
        </w:rPr>
        <w:t>3、按相关法律、法规、招标文件规定及考核办法，有下列情形之一的，采购人有权不续签或终止合同：</w:t>
      </w:r>
    </w:p>
    <w:p>
      <w:pPr>
        <w:spacing w:line="360" w:lineRule="exact"/>
        <w:rPr>
          <w:rFonts w:hint="eastAsia" w:ascii="宋体" w:hAnsi="宋体" w:cs="宋体"/>
          <w:szCs w:val="21"/>
        </w:rPr>
      </w:pPr>
      <w:r>
        <w:rPr>
          <w:rFonts w:hint="eastAsia" w:ascii="宋体" w:hAnsi="宋体" w:cs="宋体"/>
          <w:szCs w:val="21"/>
        </w:rPr>
        <w:t>（1）全年有两次被严重警告或三次被警告（含一次严重警告，两次警告）的承包单位，采购人有权无责任终止采购合同，并没收其全部履约保证金。警告及严重警告情形具体见考核办法。</w:t>
      </w:r>
    </w:p>
    <w:p>
      <w:pPr>
        <w:spacing w:line="360" w:lineRule="exact"/>
        <w:rPr>
          <w:rFonts w:hint="eastAsia" w:ascii="宋体" w:hAnsi="宋体" w:cs="宋体"/>
          <w:szCs w:val="21"/>
        </w:rPr>
      </w:pPr>
      <w:r>
        <w:rPr>
          <w:rFonts w:hint="eastAsia" w:ascii="宋体" w:hAnsi="宋体" w:cs="宋体"/>
          <w:szCs w:val="21"/>
        </w:rPr>
        <w:t>（2）连续2个月（或全年累计3个月）扣罚总额为月保洁金额的10%（含）以上的，采购人有权无责任终止采购合同，并没收其全部履约保证金。</w:t>
      </w:r>
    </w:p>
    <w:p>
      <w:pPr>
        <w:spacing w:line="360" w:lineRule="exact"/>
        <w:rPr>
          <w:rFonts w:hint="eastAsia" w:ascii="宋体" w:hAnsi="宋体" w:cs="宋体"/>
          <w:szCs w:val="21"/>
        </w:rPr>
      </w:pPr>
      <w:r>
        <w:rPr>
          <w:rFonts w:hint="eastAsia" w:ascii="宋体" w:hAnsi="宋体" w:cs="宋体"/>
          <w:szCs w:val="21"/>
        </w:rPr>
        <w:t>（3）违反安全管理、规范作业规定，造成重大伤亡或重大损失。</w:t>
      </w:r>
    </w:p>
    <w:p>
      <w:pPr>
        <w:spacing w:line="360" w:lineRule="exact"/>
        <w:rPr>
          <w:rFonts w:hint="eastAsia" w:ascii="宋体" w:hAnsi="宋体" w:cs="宋体"/>
          <w:szCs w:val="21"/>
        </w:rPr>
      </w:pPr>
      <w:r>
        <w:rPr>
          <w:rFonts w:hint="eastAsia" w:ascii="宋体" w:hAnsi="宋体" w:cs="宋体"/>
          <w:szCs w:val="21"/>
        </w:rPr>
        <w:t>（4）经省、市级新闻媒体曝光，乙方为责任方，造成恶劣影响的。</w:t>
      </w:r>
    </w:p>
    <w:p>
      <w:pPr>
        <w:spacing w:line="360" w:lineRule="exact"/>
        <w:rPr>
          <w:rFonts w:hint="eastAsia" w:ascii="宋体" w:hAnsi="宋体" w:cs="宋体"/>
          <w:szCs w:val="21"/>
        </w:rPr>
      </w:pPr>
      <w:r>
        <w:rPr>
          <w:rFonts w:hint="eastAsia" w:ascii="宋体" w:hAnsi="宋体" w:cs="宋体"/>
          <w:szCs w:val="21"/>
        </w:rPr>
        <w:t>（5）经有关部门认定严重违反劳动法，造成恶劣影响的；或其它因违法经营受到刑事处罚或者责令停产停业、吊销许可证或者执照、较大数额罚款等行政处罚的。</w:t>
      </w:r>
    </w:p>
    <w:p>
      <w:pPr>
        <w:spacing w:line="360" w:lineRule="exact"/>
        <w:rPr>
          <w:rFonts w:hint="eastAsia" w:ascii="宋体" w:hAnsi="宋体" w:cs="宋体"/>
          <w:szCs w:val="21"/>
        </w:rPr>
      </w:pPr>
      <w:r>
        <w:rPr>
          <w:rFonts w:hint="eastAsia" w:ascii="宋体" w:hAnsi="宋体" w:cs="宋体"/>
          <w:szCs w:val="21"/>
        </w:rPr>
        <w:t>（6）其它弄虚作假及其他不正当行为。</w:t>
      </w:r>
    </w:p>
    <w:p>
      <w:pPr>
        <w:spacing w:line="360" w:lineRule="exact"/>
        <w:rPr>
          <w:rFonts w:hint="eastAsia" w:ascii="宋体" w:hAnsi="宋体" w:cs="宋体"/>
          <w:szCs w:val="21"/>
        </w:rPr>
      </w:pPr>
      <w:r>
        <w:rPr>
          <w:rFonts w:hint="eastAsia" w:ascii="宋体" w:hAnsi="宋体" w:cs="宋体"/>
          <w:szCs w:val="21"/>
        </w:rPr>
        <w:t>（7）合同履约期间，乙方法人组织破产的；</w:t>
      </w:r>
    </w:p>
    <w:p>
      <w:pPr>
        <w:spacing w:line="360" w:lineRule="exact"/>
        <w:rPr>
          <w:rFonts w:hint="eastAsia" w:ascii="宋体" w:hAnsi="宋体" w:cs="宋体"/>
          <w:szCs w:val="21"/>
        </w:rPr>
      </w:pPr>
      <w:r>
        <w:rPr>
          <w:rFonts w:hint="eastAsia" w:ascii="宋体" w:hAnsi="宋体" w:cs="宋体"/>
          <w:szCs w:val="21"/>
        </w:rPr>
        <w:t>（8）根据招标文件及合同约定，其它不续签或终止合同的规定，其它法律规定的终止情形。</w:t>
      </w:r>
    </w:p>
    <w:p>
      <w:pPr>
        <w:spacing w:line="360" w:lineRule="exact"/>
        <w:rPr>
          <w:rFonts w:hint="eastAsia" w:ascii="宋体" w:hAnsi="宋体" w:cs="宋体"/>
          <w:szCs w:val="21"/>
        </w:rPr>
      </w:pPr>
      <w:r>
        <w:rPr>
          <w:rFonts w:hint="eastAsia" w:ascii="宋体" w:hAnsi="宋体" w:cs="宋体"/>
          <w:szCs w:val="21"/>
        </w:rPr>
        <w:t>4、合同期限届满时自行终止。</w:t>
      </w:r>
    </w:p>
    <w:p>
      <w:pPr>
        <w:spacing w:line="360" w:lineRule="exact"/>
        <w:rPr>
          <w:rFonts w:hint="eastAsia" w:ascii="宋体" w:hAnsi="宋体" w:cs="宋体"/>
          <w:szCs w:val="21"/>
        </w:rPr>
      </w:pPr>
      <w:bookmarkStart w:id="297" w:name="_Toc22309"/>
      <w:r>
        <w:rPr>
          <w:rFonts w:hint="eastAsia" w:ascii="宋体" w:hAnsi="宋体" w:cs="宋体"/>
          <w:szCs w:val="21"/>
        </w:rPr>
        <w:t>第十六条  合同的解释</w:t>
      </w:r>
      <w:bookmarkEnd w:id="297"/>
    </w:p>
    <w:p>
      <w:pPr>
        <w:spacing w:line="360" w:lineRule="exact"/>
        <w:rPr>
          <w:rFonts w:hint="eastAsia" w:ascii="宋体" w:hAnsi="宋体" w:cs="宋体"/>
          <w:szCs w:val="21"/>
        </w:rPr>
      </w:pPr>
      <w:r>
        <w:rPr>
          <w:rFonts w:hint="eastAsia" w:ascii="宋体" w:hAnsi="宋体" w:cs="宋体"/>
          <w:szCs w:val="21"/>
        </w:rPr>
        <w:t>本合同的解释权在瑞安市综合行政执法局。</w:t>
      </w:r>
    </w:p>
    <w:p>
      <w:pPr>
        <w:spacing w:line="360" w:lineRule="exact"/>
        <w:rPr>
          <w:rFonts w:hint="eastAsia" w:ascii="宋体" w:hAnsi="宋体" w:cs="宋体"/>
          <w:szCs w:val="21"/>
        </w:rPr>
      </w:pPr>
      <w:bookmarkStart w:id="298" w:name="_Toc246"/>
      <w:r>
        <w:rPr>
          <w:rFonts w:hint="eastAsia" w:ascii="宋体" w:hAnsi="宋体" w:cs="宋体"/>
          <w:szCs w:val="21"/>
        </w:rPr>
        <w:t>第十七条  合同的份数</w:t>
      </w:r>
      <w:bookmarkEnd w:id="298"/>
    </w:p>
    <w:p>
      <w:pPr>
        <w:spacing w:line="360" w:lineRule="exact"/>
        <w:rPr>
          <w:rFonts w:hint="eastAsia" w:ascii="宋体" w:hAnsi="宋体" w:cs="宋体"/>
          <w:szCs w:val="21"/>
        </w:rPr>
      </w:pPr>
      <w:r>
        <w:rPr>
          <w:rFonts w:hint="eastAsia" w:ascii="宋体" w:hAnsi="宋体" w:cs="宋体"/>
          <w:szCs w:val="21"/>
        </w:rPr>
        <w:t>本合同一式七份，合同各方各执二份，瑞安市公共资源交易中心一份，具有同等法律效力。</w:t>
      </w:r>
    </w:p>
    <w:p>
      <w:pPr>
        <w:pStyle w:val="8"/>
        <w:tabs>
          <w:tab w:val="left" w:pos="840"/>
        </w:tabs>
        <w:spacing w:line="340" w:lineRule="exact"/>
        <w:ind w:firstLine="677" w:firstLineChars="321"/>
        <w:rPr>
          <w:rFonts w:hint="eastAsia" w:ascii="宋体" w:hAnsi="宋体" w:cs="宋体"/>
          <w:b/>
        </w:rPr>
      </w:pP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甲方：（印章）                   乙方：（印章）</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全权代表：（签字）               全权代表：（签字）</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确认送达地址：                  确认送达地址：</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邮政编码：                      邮政编码：</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电话：                          电话：</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传真：                          传真：</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开户银行：                      开户银行：</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帐号：                          帐号：</w:t>
      </w:r>
    </w:p>
    <w:p>
      <w:pPr>
        <w:pStyle w:val="8"/>
        <w:tabs>
          <w:tab w:val="left" w:pos="840"/>
        </w:tabs>
        <w:spacing w:line="340" w:lineRule="exact"/>
        <w:ind w:firstLine="677" w:firstLineChars="321"/>
        <w:rPr>
          <w:rFonts w:hint="eastAsia" w:ascii="宋体" w:hAnsi="宋体" w:cs="宋体"/>
          <w:b/>
        </w:rPr>
      </w:pPr>
    </w:p>
    <w:p>
      <w:pPr>
        <w:pStyle w:val="8"/>
        <w:tabs>
          <w:tab w:val="left" w:pos="840"/>
        </w:tabs>
        <w:spacing w:line="340" w:lineRule="exact"/>
        <w:ind w:firstLine="677" w:firstLineChars="321"/>
        <w:rPr>
          <w:rFonts w:hint="eastAsia" w:ascii="宋体" w:hAnsi="宋体" w:cs="宋体"/>
          <w:b/>
        </w:rPr>
      </w:pPr>
    </w:p>
    <w:p>
      <w:pPr>
        <w:pStyle w:val="8"/>
        <w:tabs>
          <w:tab w:val="left" w:pos="840"/>
        </w:tabs>
        <w:spacing w:line="340" w:lineRule="exact"/>
        <w:ind w:firstLine="677" w:firstLineChars="321"/>
        <w:rPr>
          <w:rFonts w:hint="eastAsia" w:ascii="宋体" w:hAnsi="宋体" w:cs="宋体"/>
          <w:b/>
        </w:rPr>
      </w:pP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瑞安市综合行政执法局：（印章）</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全权代表：（签字）</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确认送达地址：</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邮政编码：</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电话：</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传真：</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开户银行：</w:t>
      </w:r>
    </w:p>
    <w:p>
      <w:pPr>
        <w:pStyle w:val="8"/>
        <w:tabs>
          <w:tab w:val="left" w:pos="840"/>
        </w:tabs>
        <w:spacing w:line="340" w:lineRule="exact"/>
        <w:ind w:firstLine="677" w:firstLineChars="321"/>
        <w:rPr>
          <w:rFonts w:hint="eastAsia" w:ascii="宋体" w:hAnsi="宋体" w:cs="宋体"/>
          <w:b/>
        </w:rPr>
      </w:pPr>
      <w:r>
        <w:rPr>
          <w:rFonts w:hint="eastAsia" w:ascii="宋体" w:hAnsi="宋体" w:cs="宋体"/>
          <w:b/>
        </w:rPr>
        <w:t>帐号：</w:t>
      </w:r>
    </w:p>
    <w:p>
      <w:pPr>
        <w:snapToGrid w:val="0"/>
        <w:spacing w:line="360" w:lineRule="exact"/>
        <w:rPr>
          <w:rFonts w:hint="eastAsia" w:ascii="宋体" w:hAnsi="宋体" w:cs="宋体"/>
          <w:szCs w:val="21"/>
        </w:rPr>
      </w:pPr>
      <w:r>
        <w:rPr>
          <w:rFonts w:hint="eastAsia" w:ascii="宋体" w:hAnsi="宋体" w:cs="宋体"/>
          <w:b/>
        </w:rPr>
        <w:t>注：本合同作为示范文本，具体以成交人与采购人所签定正式合同为准。</w:t>
      </w:r>
    </w:p>
    <w:bookmarkEnd w:id="282"/>
    <w:p>
      <w:pPr>
        <w:pStyle w:val="64"/>
        <w:rPr>
          <w:rFonts w:hint="eastAsia"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附件一：</w:t>
      </w:r>
    </w:p>
    <w:p>
      <w:pPr>
        <w:jc w:val="center"/>
        <w:outlineLvl w:val="3"/>
        <w:rPr>
          <w:rFonts w:hint="eastAsia" w:ascii="宋体" w:hAnsi="宋体" w:cs="宋体"/>
          <w:b/>
          <w:sz w:val="36"/>
          <w:szCs w:val="36"/>
        </w:rPr>
      </w:pPr>
      <w:r>
        <w:rPr>
          <w:rFonts w:hint="eastAsia" w:ascii="宋体" w:hAnsi="宋体" w:cs="宋体"/>
          <w:b/>
          <w:sz w:val="36"/>
          <w:szCs w:val="36"/>
        </w:rPr>
        <w:t>玉海街道“一把扫帚”环卫公司保洁质量考核办法</w:t>
      </w:r>
    </w:p>
    <w:p>
      <w:pPr>
        <w:rPr>
          <w:rFonts w:hint="eastAsia" w:ascii="宋体" w:hAnsi="宋体" w:cs="宋体"/>
          <w:sz w:val="32"/>
          <w:szCs w:val="32"/>
        </w:rPr>
      </w:pPr>
    </w:p>
    <w:p>
      <w:pPr>
        <w:ind w:firstLine="420" w:firstLineChars="200"/>
        <w:rPr>
          <w:rFonts w:hint="eastAsia" w:ascii="宋体" w:hAnsi="宋体" w:cs="宋体"/>
          <w:szCs w:val="21"/>
        </w:rPr>
      </w:pPr>
      <w:r>
        <w:rPr>
          <w:rFonts w:hint="eastAsia" w:ascii="宋体" w:hAnsi="宋体" w:cs="宋体"/>
          <w:szCs w:val="21"/>
        </w:rPr>
        <w:t>为进一步提高城乡环境卫生建设和管理水平，改善市容环境 卫生面貌，营造整洁、有序、美观的城乡环境，加强玉海街道环卫作业监管，建立长效管理机制，现结合街道实际，特制定本办法。</w:t>
      </w:r>
    </w:p>
    <w:p>
      <w:pPr>
        <w:ind w:firstLine="420" w:firstLineChars="200"/>
        <w:rPr>
          <w:rFonts w:hint="eastAsia" w:ascii="宋体" w:hAnsi="宋体" w:cs="宋体"/>
          <w:szCs w:val="21"/>
        </w:rPr>
      </w:pPr>
      <w:r>
        <w:rPr>
          <w:rFonts w:hint="eastAsia" w:ascii="宋体" w:hAnsi="宋体" w:cs="宋体"/>
          <w:szCs w:val="21"/>
        </w:rPr>
        <w:t>一、考核对象</w:t>
      </w:r>
    </w:p>
    <w:p>
      <w:pPr>
        <w:ind w:firstLine="420" w:firstLineChars="200"/>
        <w:rPr>
          <w:rFonts w:hint="eastAsia" w:ascii="宋体" w:hAnsi="宋体" w:cs="宋体"/>
          <w:szCs w:val="21"/>
        </w:rPr>
      </w:pPr>
      <w:r>
        <w:rPr>
          <w:rFonts w:hint="eastAsia" w:ascii="宋体" w:hAnsi="宋体" w:cs="宋体"/>
          <w:szCs w:val="21"/>
        </w:rPr>
        <w:t>玉海街道辖区内“一把扫帚”环卫保洁服务中标的承包单位。</w:t>
      </w:r>
    </w:p>
    <w:p>
      <w:pPr>
        <w:ind w:firstLine="420" w:firstLineChars="200"/>
        <w:rPr>
          <w:rFonts w:hint="eastAsia" w:ascii="宋体" w:hAnsi="宋体" w:cs="宋体"/>
          <w:szCs w:val="21"/>
        </w:rPr>
      </w:pPr>
      <w:r>
        <w:rPr>
          <w:rFonts w:hint="eastAsia" w:ascii="宋体" w:hAnsi="宋体" w:cs="宋体"/>
          <w:szCs w:val="21"/>
        </w:rPr>
        <w:t>二、考核内容</w:t>
      </w:r>
    </w:p>
    <w:p>
      <w:pPr>
        <w:ind w:firstLine="420" w:firstLineChars="200"/>
        <w:rPr>
          <w:rFonts w:hint="eastAsia" w:ascii="宋体" w:hAnsi="宋体" w:cs="宋体"/>
          <w:szCs w:val="21"/>
        </w:rPr>
      </w:pPr>
      <w:r>
        <w:rPr>
          <w:rFonts w:hint="eastAsia" w:ascii="宋体" w:hAnsi="宋体" w:cs="宋体"/>
          <w:szCs w:val="21"/>
        </w:rPr>
        <w:t>考核区域内“一把扫帚”承包公司日常保洁情况和规范作业， 具体内容如下：</w:t>
      </w:r>
    </w:p>
    <w:p>
      <w:pPr>
        <w:ind w:firstLine="420" w:firstLineChars="200"/>
        <w:rPr>
          <w:rFonts w:hint="eastAsia" w:ascii="宋体" w:hAnsi="宋体" w:cs="宋体"/>
          <w:szCs w:val="21"/>
        </w:rPr>
      </w:pPr>
      <w:r>
        <w:rPr>
          <w:rFonts w:hint="eastAsia" w:ascii="宋体" w:hAnsi="宋体" w:cs="宋体"/>
          <w:szCs w:val="21"/>
        </w:rPr>
        <w:t>（一）城乡道路清扫保洁，包括城乡主次干道、通村道路和背街小巷等清扫保洁。</w:t>
      </w:r>
    </w:p>
    <w:p>
      <w:pPr>
        <w:ind w:firstLine="420" w:firstLineChars="200"/>
        <w:rPr>
          <w:rFonts w:hint="eastAsia" w:ascii="宋体" w:hAnsi="宋体" w:cs="宋体"/>
          <w:szCs w:val="21"/>
        </w:rPr>
      </w:pPr>
      <w:r>
        <w:rPr>
          <w:rFonts w:hint="eastAsia" w:ascii="宋体" w:hAnsi="宋体" w:cs="宋体"/>
          <w:szCs w:val="21"/>
        </w:rPr>
        <w:t>（二）公路清扫保洁（含隧道及墙壁保洁），包括国道、省道、县道等清扫保洁。</w:t>
      </w:r>
    </w:p>
    <w:p>
      <w:pPr>
        <w:ind w:firstLine="420" w:firstLineChars="200"/>
        <w:rPr>
          <w:rFonts w:hint="eastAsia" w:ascii="宋体" w:hAnsi="宋体" w:cs="宋体"/>
          <w:szCs w:val="21"/>
        </w:rPr>
      </w:pPr>
      <w:r>
        <w:rPr>
          <w:rFonts w:hint="eastAsia" w:ascii="宋体" w:hAnsi="宋体" w:cs="宋体"/>
          <w:szCs w:val="21"/>
        </w:rPr>
        <w:t>（三）园林绿化保洁，包括公园广场、公共绿地、道路（含公路）绿化带等保洁。</w:t>
      </w:r>
    </w:p>
    <w:p>
      <w:pPr>
        <w:ind w:firstLine="420" w:firstLineChars="200"/>
        <w:rPr>
          <w:rFonts w:hint="eastAsia" w:ascii="宋体" w:hAnsi="宋体" w:cs="宋体"/>
          <w:szCs w:val="21"/>
        </w:rPr>
      </w:pPr>
      <w:r>
        <w:rPr>
          <w:rFonts w:hint="eastAsia" w:ascii="宋体" w:hAnsi="宋体" w:cs="宋体"/>
          <w:szCs w:val="21"/>
        </w:rPr>
        <w:t>（四）河道保洁，包括各级河道、湖泊、水库、池塘、沟渠、 小微水体等保洁。</w:t>
      </w:r>
    </w:p>
    <w:p>
      <w:pPr>
        <w:ind w:firstLine="420" w:firstLineChars="200"/>
        <w:rPr>
          <w:rFonts w:hint="eastAsia" w:ascii="宋体" w:hAnsi="宋体" w:cs="宋体"/>
          <w:szCs w:val="21"/>
        </w:rPr>
      </w:pPr>
      <w:r>
        <w:rPr>
          <w:rFonts w:hint="eastAsia" w:ascii="宋体" w:hAnsi="宋体" w:cs="宋体"/>
          <w:szCs w:val="21"/>
        </w:rPr>
        <w:t>（五）市政设施（城市家具）保洁，包括道路（含公路、桥梁）护栏、隔离栏、电杆、监控杆、弱电设施等一切公共室外市政设施保洁，环卫设施（含垃圾桶、果壳箱等）、公交站台、站牌、灯箱、广告牌、报刊（信息）亭、电话亭、邮政信箱、固定室外座椅等一切城市家具保洁。</w:t>
      </w:r>
    </w:p>
    <w:p>
      <w:pPr>
        <w:ind w:firstLine="420" w:firstLineChars="200"/>
        <w:rPr>
          <w:rFonts w:hint="eastAsia" w:ascii="宋体" w:hAnsi="宋体" w:cs="宋体"/>
          <w:szCs w:val="21"/>
        </w:rPr>
      </w:pPr>
      <w:r>
        <w:rPr>
          <w:rFonts w:hint="eastAsia" w:ascii="宋体" w:hAnsi="宋体" w:cs="宋体"/>
          <w:szCs w:val="21"/>
        </w:rPr>
        <w:t>（六）无主建筑垃圾清理，包括无主装修垃圾，废弃家具的</w:t>
      </w:r>
    </w:p>
    <w:p>
      <w:pPr>
        <w:rPr>
          <w:rFonts w:hint="eastAsia" w:ascii="宋体" w:hAnsi="宋体" w:cs="宋体"/>
          <w:szCs w:val="21"/>
        </w:rPr>
      </w:pPr>
      <w:r>
        <w:rPr>
          <w:rFonts w:hint="eastAsia" w:ascii="宋体" w:hAnsi="宋体" w:cs="宋体"/>
          <w:szCs w:val="21"/>
        </w:rPr>
        <w:t>清理。</w:t>
      </w:r>
    </w:p>
    <w:p>
      <w:pPr>
        <w:ind w:firstLine="420" w:firstLineChars="200"/>
        <w:rPr>
          <w:rFonts w:hint="eastAsia" w:ascii="宋体" w:hAnsi="宋体" w:cs="宋体"/>
          <w:szCs w:val="21"/>
        </w:rPr>
      </w:pPr>
      <w:r>
        <w:rPr>
          <w:rFonts w:hint="eastAsia" w:ascii="宋体" w:hAnsi="宋体" w:cs="宋体"/>
          <w:szCs w:val="21"/>
        </w:rPr>
        <w:t>（七）公厕保洁与管理。</w:t>
      </w:r>
    </w:p>
    <w:p>
      <w:pPr>
        <w:ind w:firstLine="420" w:firstLineChars="200"/>
        <w:rPr>
          <w:rFonts w:hint="eastAsia" w:ascii="宋体" w:hAnsi="宋体" w:cs="宋体"/>
          <w:szCs w:val="21"/>
        </w:rPr>
      </w:pPr>
      <w:r>
        <w:rPr>
          <w:rFonts w:hint="eastAsia" w:ascii="宋体" w:hAnsi="宋体" w:cs="宋体"/>
          <w:szCs w:val="21"/>
        </w:rPr>
        <w:t>（八）小广告治理，包括道路、公园、广场、公厕、道路两侧构筑物、建筑物、道路辅助设施、市政（家具）设施上可见的小广告、非法喷涂广告。</w:t>
      </w:r>
    </w:p>
    <w:p>
      <w:pPr>
        <w:ind w:firstLine="420" w:firstLineChars="200"/>
        <w:rPr>
          <w:rFonts w:hint="eastAsia" w:ascii="宋体" w:hAnsi="宋体" w:cs="宋体"/>
          <w:szCs w:val="21"/>
        </w:rPr>
      </w:pPr>
      <w:r>
        <w:rPr>
          <w:rFonts w:hint="eastAsia" w:ascii="宋体" w:hAnsi="宋体" w:cs="宋体"/>
          <w:szCs w:val="21"/>
        </w:rPr>
        <w:t>（九）结合智慧平台实时监控情况，现场核查环卫保洁人员 出勤率、机械作业到位率和作业频次等情况。</w:t>
      </w:r>
    </w:p>
    <w:p>
      <w:pPr>
        <w:ind w:firstLine="420" w:firstLineChars="200"/>
        <w:rPr>
          <w:rFonts w:hint="eastAsia" w:ascii="宋体" w:hAnsi="宋体" w:cs="宋体"/>
          <w:szCs w:val="21"/>
        </w:rPr>
      </w:pPr>
      <w:r>
        <w:rPr>
          <w:rFonts w:hint="eastAsia" w:ascii="宋体" w:hAnsi="宋体" w:cs="宋体"/>
          <w:szCs w:val="21"/>
        </w:rPr>
        <w:t>（十）公司内部管理和环卫作业安全生产。</w:t>
      </w:r>
    </w:p>
    <w:p>
      <w:pPr>
        <w:ind w:firstLine="420" w:firstLineChars="200"/>
        <w:rPr>
          <w:rFonts w:hint="eastAsia" w:ascii="宋体" w:hAnsi="宋体" w:cs="宋体"/>
          <w:szCs w:val="21"/>
        </w:rPr>
      </w:pPr>
      <w:r>
        <w:rPr>
          <w:rFonts w:hint="eastAsia" w:ascii="宋体" w:hAnsi="宋体" w:cs="宋体"/>
          <w:szCs w:val="21"/>
        </w:rPr>
        <w:t>（十一）其他环境卫生问题。</w:t>
      </w:r>
    </w:p>
    <w:p>
      <w:pPr>
        <w:ind w:firstLine="420" w:firstLineChars="200"/>
        <w:rPr>
          <w:rFonts w:hint="eastAsia" w:ascii="宋体" w:hAnsi="宋体" w:cs="宋体"/>
          <w:szCs w:val="21"/>
        </w:rPr>
      </w:pPr>
      <w:r>
        <w:rPr>
          <w:rFonts w:hint="eastAsia" w:ascii="宋体" w:hAnsi="宋体" w:cs="宋体"/>
          <w:szCs w:val="21"/>
        </w:rPr>
        <w:t>三、考核方式</w:t>
      </w:r>
    </w:p>
    <w:p>
      <w:pPr>
        <w:ind w:firstLine="420" w:firstLineChars="200"/>
        <w:rPr>
          <w:rFonts w:hint="eastAsia" w:ascii="宋体" w:hAnsi="宋体" w:cs="宋体"/>
          <w:szCs w:val="21"/>
        </w:rPr>
      </w:pPr>
      <w:r>
        <w:rPr>
          <w:rFonts w:hint="eastAsia" w:ascii="宋体" w:hAnsi="宋体" w:cs="宋体"/>
          <w:szCs w:val="21"/>
        </w:rPr>
        <w:t>考核由街道主要领导考核、手机APP考核、执法中队考核、专业队伍日常监管、村居考核及其他考核等方式组成。</w:t>
      </w:r>
    </w:p>
    <w:p>
      <w:pPr>
        <w:ind w:firstLine="420" w:firstLineChars="200"/>
        <w:rPr>
          <w:rFonts w:hint="eastAsia" w:ascii="宋体" w:hAnsi="宋体" w:cs="宋体"/>
          <w:szCs w:val="21"/>
        </w:rPr>
      </w:pPr>
      <w:r>
        <w:rPr>
          <w:rFonts w:hint="eastAsia" w:ascii="宋体" w:hAnsi="宋体" w:cs="宋体"/>
          <w:szCs w:val="21"/>
        </w:rPr>
        <w:t>（一）街道主要领导及分管领导进行印象考核。</w:t>
      </w:r>
    </w:p>
    <w:p>
      <w:pPr>
        <w:ind w:firstLine="420" w:firstLineChars="200"/>
        <w:rPr>
          <w:rFonts w:hint="eastAsia" w:ascii="宋体" w:hAnsi="宋体" w:cs="宋体"/>
          <w:szCs w:val="21"/>
        </w:rPr>
      </w:pPr>
      <w:r>
        <w:rPr>
          <w:rFonts w:hint="eastAsia" w:ascii="宋体" w:hAnsi="宋体" w:cs="宋体"/>
          <w:szCs w:val="21"/>
        </w:rPr>
        <w:t>（二）参与手机APP考核可以有街道镇治办、社区两委、其他社会组织或个人等。</w:t>
      </w:r>
    </w:p>
    <w:p>
      <w:pPr>
        <w:ind w:firstLine="420" w:firstLineChars="200"/>
        <w:rPr>
          <w:rFonts w:hint="eastAsia" w:ascii="宋体" w:hAnsi="宋体" w:cs="宋体"/>
          <w:szCs w:val="21"/>
        </w:rPr>
      </w:pPr>
      <w:r>
        <w:rPr>
          <w:rFonts w:hint="eastAsia" w:ascii="宋体" w:hAnsi="宋体" w:cs="宋体"/>
          <w:szCs w:val="21"/>
        </w:rPr>
        <w:t>（三）执法中队考核在日常执法进行督查考核，每月形成综合评分。</w:t>
      </w:r>
    </w:p>
    <w:p>
      <w:pPr>
        <w:ind w:firstLine="420" w:firstLineChars="200"/>
        <w:rPr>
          <w:rFonts w:hint="eastAsia" w:ascii="宋体" w:hAnsi="宋体" w:cs="宋体"/>
          <w:szCs w:val="21"/>
        </w:rPr>
      </w:pPr>
      <w:r>
        <w:rPr>
          <w:rFonts w:hint="eastAsia" w:ascii="宋体" w:hAnsi="宋体" w:cs="宋体"/>
          <w:szCs w:val="21"/>
        </w:rPr>
        <w:t>（四）街道成立一支由镇治办和社区主职干部及分管环境卫生的干部组成的专业队伍，进行环卫日常监管考核工作。</w:t>
      </w:r>
    </w:p>
    <w:p>
      <w:pPr>
        <w:ind w:firstLine="420" w:firstLineChars="200"/>
        <w:rPr>
          <w:rFonts w:hint="eastAsia" w:ascii="宋体" w:hAnsi="宋体" w:cs="宋体"/>
          <w:szCs w:val="21"/>
        </w:rPr>
      </w:pPr>
      <w:r>
        <w:rPr>
          <w:rFonts w:hint="eastAsia" w:ascii="宋体" w:hAnsi="宋体" w:cs="宋体"/>
          <w:szCs w:val="21"/>
        </w:rPr>
        <w:t>（五）发动村居干部群众、社会知名人士参与考核。</w:t>
      </w:r>
    </w:p>
    <w:p>
      <w:pPr>
        <w:ind w:firstLine="420" w:firstLineChars="200"/>
        <w:rPr>
          <w:rFonts w:hint="eastAsia" w:ascii="宋体" w:hAnsi="宋体" w:cs="宋体"/>
          <w:szCs w:val="21"/>
        </w:rPr>
      </w:pPr>
      <w:r>
        <w:rPr>
          <w:rFonts w:hint="eastAsia" w:ascii="宋体" w:hAnsi="宋体" w:cs="宋体"/>
          <w:szCs w:val="21"/>
        </w:rPr>
        <w:t>四、考核计分</w:t>
      </w:r>
    </w:p>
    <w:p>
      <w:pPr>
        <w:ind w:firstLine="420" w:firstLineChars="200"/>
        <w:rPr>
          <w:rFonts w:hint="eastAsia" w:ascii="宋体" w:hAnsi="宋体" w:cs="宋体"/>
          <w:szCs w:val="21"/>
        </w:rPr>
      </w:pPr>
      <w:r>
        <w:rPr>
          <w:rFonts w:hint="eastAsia" w:ascii="宋体" w:hAnsi="宋体" w:cs="宋体"/>
          <w:szCs w:val="21"/>
        </w:rPr>
        <w:t>（一）得分公式。</w:t>
      </w:r>
    </w:p>
    <w:p>
      <w:pPr>
        <w:ind w:firstLine="420" w:firstLineChars="200"/>
        <w:rPr>
          <w:rFonts w:hint="eastAsia" w:ascii="宋体" w:hAnsi="宋体" w:cs="宋体"/>
          <w:szCs w:val="21"/>
        </w:rPr>
      </w:pPr>
      <w:r>
        <w:rPr>
          <w:rFonts w:hint="eastAsia" w:ascii="宋体" w:hAnsi="宋体" w:cs="宋体"/>
          <w:szCs w:val="21"/>
        </w:rPr>
        <w:t>得分率=保洁公司考核得分±加（扣）项分/各项考核总分</w:t>
      </w:r>
    </w:p>
    <w:p>
      <w:pPr>
        <w:ind w:firstLine="420" w:firstLineChars="200"/>
        <w:rPr>
          <w:rFonts w:hint="eastAsia" w:ascii="宋体" w:hAnsi="宋体" w:cs="宋体"/>
          <w:szCs w:val="21"/>
        </w:rPr>
      </w:pPr>
      <w:r>
        <w:rPr>
          <w:rFonts w:hint="eastAsia" w:ascii="宋体" w:hAnsi="宋体" w:cs="宋体"/>
          <w:szCs w:val="21"/>
        </w:rPr>
        <w:t>（二）考核评分占比。</w:t>
      </w:r>
    </w:p>
    <w:p>
      <w:pPr>
        <w:ind w:firstLine="420" w:firstLineChars="200"/>
        <w:rPr>
          <w:rFonts w:hint="eastAsia" w:ascii="宋体" w:hAnsi="宋体" w:cs="宋体"/>
          <w:szCs w:val="21"/>
        </w:rPr>
      </w:pPr>
      <w:r>
        <w:rPr>
          <w:rFonts w:hint="eastAsia" w:ascii="宋体" w:hAnsi="宋体" w:cs="宋体"/>
          <w:szCs w:val="21"/>
        </w:rPr>
        <w:t>单位领导印象考核评分占比为20%,执法中队考核评分占比20%，手机APP考核评分占比10%，专业人员人员考核评分占比为50%。</w:t>
      </w:r>
    </w:p>
    <w:p>
      <w:pPr>
        <w:ind w:firstLine="420" w:firstLineChars="200"/>
        <w:rPr>
          <w:rFonts w:hint="eastAsia" w:ascii="宋体" w:hAnsi="宋体" w:cs="宋体"/>
          <w:szCs w:val="21"/>
        </w:rPr>
      </w:pPr>
      <w:r>
        <w:rPr>
          <w:rFonts w:hint="eastAsia" w:ascii="宋体" w:hAnsi="宋体" w:cs="宋体"/>
          <w:szCs w:val="21"/>
        </w:rPr>
        <w:t xml:space="preserve">五、考核结果运用 </w:t>
      </w:r>
    </w:p>
    <w:p>
      <w:pPr>
        <w:ind w:firstLine="420" w:firstLineChars="200"/>
        <w:rPr>
          <w:rFonts w:hint="eastAsia" w:ascii="宋体" w:hAnsi="宋体" w:cs="宋体"/>
          <w:szCs w:val="21"/>
        </w:rPr>
      </w:pPr>
      <w:r>
        <w:rPr>
          <w:rFonts w:hint="eastAsia" w:ascii="宋体" w:hAnsi="宋体" w:cs="宋体"/>
          <w:szCs w:val="21"/>
        </w:rPr>
        <w:t>（一）承包合同保洁经费支付依据。</w:t>
      </w:r>
    </w:p>
    <w:p>
      <w:pPr>
        <w:ind w:firstLine="420" w:firstLineChars="200"/>
        <w:rPr>
          <w:rFonts w:hint="eastAsia" w:ascii="宋体" w:hAnsi="宋体" w:cs="宋体"/>
          <w:szCs w:val="21"/>
        </w:rPr>
      </w:pPr>
      <w:r>
        <w:rPr>
          <w:rFonts w:hint="eastAsia" w:ascii="宋体" w:hAnsi="宋体" w:cs="宋体"/>
          <w:szCs w:val="21"/>
        </w:rPr>
        <w:t>1 .合同款支付比例计算公式。</w:t>
      </w:r>
    </w:p>
    <w:p>
      <w:pPr>
        <w:rPr>
          <w:rFonts w:hint="eastAsia" w:ascii="宋体" w:hAnsi="宋体" w:cs="宋体"/>
          <w:szCs w:val="21"/>
        </w:rPr>
      </w:pPr>
      <w:r>
        <w:rPr>
          <w:rFonts w:hint="eastAsia" w:ascii="宋体" w:hAnsi="宋体" w:cs="宋体"/>
          <w:szCs w:val="21"/>
        </w:rPr>
        <w:pict>
          <v:shape id="_x0000_s1037" o:spid="_x0000_s1037" o:spt="75" type="#_x0000_t75" style="position:absolute;left:0pt;margin-left:41.55pt;margin-top:15.1pt;height:42.75pt;width:115.45pt;mso-wrap-distance-bottom:0pt;mso-wrap-distance-left:9pt;mso-wrap-distance-right:9pt;mso-wrap-distance-top:0pt;z-index:251659264;mso-width-relative:page;mso-height-relative:page;" o:ole="t" filled="f" o:preferrelative="t" stroked="f" coordsize="21600,21600">
            <v:path/>
            <v:fill on="f" focussize="0,0"/>
            <v:stroke on="f"/>
            <v:imagedata r:id="rId35" o:title=""/>
            <o:lock v:ext="edit" aspectratio="t"/>
            <w10:wrap type="square"/>
          </v:shape>
          <o:OLEObject Type="Embed" ProgID="Equation.3" ShapeID="_x0000_s1037" DrawAspect="Content" ObjectID="_1468075725" r:id="rId34">
            <o:LockedField>false</o:LockedField>
          </o:OLEObject>
        </w:pict>
      </w:r>
    </w:p>
    <w:p>
      <w:pPr>
        <w:rPr>
          <w:rFonts w:hint="eastAsia" w:ascii="宋体" w:hAnsi="宋体" w:cs="宋体"/>
          <w:szCs w:val="21"/>
        </w:rPr>
      </w:pPr>
    </w:p>
    <w:p>
      <w:pPr>
        <w:rPr>
          <w:rFonts w:hint="eastAsia" w:ascii="宋体" w:hAnsi="宋体" w:cs="宋体"/>
          <w:szCs w:val="21"/>
        </w:rPr>
      </w:pPr>
    </w:p>
    <w:p>
      <w:pPr>
        <w:pStyle w:val="2"/>
        <w:rPr>
          <w:rFonts w:hint="eastAsia" w:ascii="宋体" w:hAnsi="宋体" w:cs="宋体"/>
        </w:rPr>
      </w:pPr>
    </w:p>
    <w:p>
      <w:pPr>
        <w:spacing w:line="600" w:lineRule="exact"/>
        <w:ind w:firstLine="420" w:firstLineChars="200"/>
        <w:rPr>
          <w:rFonts w:hint="eastAsia" w:ascii="宋体" w:hAnsi="宋体" w:cs="宋体"/>
          <w:szCs w:val="21"/>
        </w:rPr>
      </w:pPr>
      <w:r>
        <w:rPr>
          <w:rFonts w:hint="eastAsia" w:ascii="宋体" w:hAnsi="宋体" w:cs="宋体"/>
          <w:szCs w:val="21"/>
        </w:rPr>
        <w:t>2. 合同支付款=月度保洁经费额×合同款支付比例</w:t>
      </w:r>
    </w:p>
    <w:p>
      <w:pPr>
        <w:ind w:firstLine="420" w:firstLineChars="200"/>
        <w:rPr>
          <w:rFonts w:hint="eastAsia" w:ascii="宋体" w:hAnsi="宋体" w:cs="宋体"/>
          <w:szCs w:val="21"/>
        </w:rPr>
      </w:pPr>
      <w:r>
        <w:rPr>
          <w:rFonts w:hint="eastAsia" w:ascii="宋体" w:hAnsi="宋体" w:cs="宋体"/>
          <w:szCs w:val="21"/>
        </w:rPr>
        <w:t>k按下表取值计算月度合同支付款：</w:t>
      </w:r>
    </w:p>
    <w:tbl>
      <w:tblPr>
        <w:tblStyle w:val="2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6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序号</w:t>
            </w:r>
          </w:p>
        </w:tc>
        <w:tc>
          <w:tcPr>
            <w:tcW w:w="6662" w:type="dxa"/>
            <w:noWrap w:val="0"/>
            <w:vAlign w:val="center"/>
          </w:tcPr>
          <w:p>
            <w:pPr>
              <w:pStyle w:val="72"/>
              <w:shd w:val="clear" w:color="auto" w:fill="FFFFFF"/>
              <w:adjustRightInd w:val="0"/>
              <w:snapToGrid w:val="0"/>
              <w:spacing w:before="0" w:beforeAutospacing="0" w:after="0" w:afterAutospacing="0" w:line="360" w:lineRule="auto"/>
              <w:ind w:firstLine="420" w:firstLineChars="200"/>
              <w:jc w:val="center"/>
              <w:rPr>
                <w:rFonts w:hint="eastAsia"/>
                <w:color w:val="000000"/>
                <w:szCs w:val="21"/>
                <w:lang w:val="zh-CN" w:bidi="zh-CN"/>
              </w:rPr>
            </w:pPr>
            <w:r>
              <w:rPr>
                <w:rFonts w:hint="eastAsia"/>
                <w:color w:val="000000"/>
                <w:szCs w:val="21"/>
                <w:lang w:val="zh-CN" w:bidi="zh-CN"/>
              </w:rPr>
              <w:t>考核得分档次</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1</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供应商月度考核得分率为90%（含）及以上的</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2</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供应商月度考核得分率为90%（不含）-85%（含）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3</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供应商月度考核得分率为85%（不含）-75%（含）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4</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供应商月度考核得分率为75%（不含）-60%（含）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5</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供应商月度考核得分率为低于60%的</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k=5</w:t>
            </w:r>
          </w:p>
        </w:tc>
      </w:tr>
    </w:tbl>
    <w:p>
      <w:pPr>
        <w:rPr>
          <w:rFonts w:hint="eastAsia" w:ascii="宋体" w:hAnsi="宋体" w:cs="宋体"/>
          <w:szCs w:val="21"/>
        </w:rPr>
      </w:pPr>
    </w:p>
    <w:p>
      <w:pPr>
        <w:ind w:firstLine="420" w:firstLineChars="200"/>
        <w:rPr>
          <w:rFonts w:hint="eastAsia" w:ascii="宋体" w:hAnsi="宋体" w:cs="宋体"/>
          <w:szCs w:val="21"/>
        </w:rPr>
      </w:pPr>
      <w:r>
        <w:rPr>
          <w:rFonts w:hint="eastAsia" w:ascii="宋体" w:hAnsi="宋体" w:cs="宋体"/>
          <w:szCs w:val="21"/>
        </w:rPr>
        <w:t>2.达标得分率为75%。月考核得分率为75% （不含）-60% （含）的，街道会商市综合行政执法局后，联合发书面 通知书以示警告。月考核得分率低于60% （不含）的，街道会商市综合行政执法局后，联合发书面通知书以示严重警告。</w:t>
      </w:r>
    </w:p>
    <w:p>
      <w:pPr>
        <w:ind w:firstLine="420" w:firstLineChars="200"/>
        <w:rPr>
          <w:rFonts w:hint="eastAsia" w:ascii="宋体" w:hAnsi="宋体" w:cs="宋体"/>
          <w:szCs w:val="21"/>
        </w:rPr>
      </w:pPr>
      <w:r>
        <w:rPr>
          <w:rFonts w:hint="eastAsia" w:ascii="宋体" w:hAnsi="宋体" w:cs="宋体"/>
          <w:szCs w:val="21"/>
        </w:rPr>
        <w:t>（二）其他扣罚措施</w:t>
      </w:r>
    </w:p>
    <w:p>
      <w:pPr>
        <w:ind w:firstLine="420" w:firstLineChars="200"/>
        <w:rPr>
          <w:rFonts w:hint="eastAsia" w:ascii="宋体" w:hAnsi="宋体" w:cs="宋体"/>
          <w:szCs w:val="21"/>
        </w:rPr>
      </w:pPr>
      <w:r>
        <w:rPr>
          <w:rFonts w:hint="eastAsia" w:ascii="宋体" w:hAnsi="宋体" w:cs="宋体"/>
          <w:szCs w:val="21"/>
        </w:rPr>
        <w:t>现场检查发现机动车辆、船只弄虚作假没有实际作业，一经发现核实，每车（船）每次扣1500元人民币。</w:t>
      </w:r>
    </w:p>
    <w:p>
      <w:pPr>
        <w:rPr>
          <w:rFonts w:hint="eastAsia" w:ascii="宋体" w:hAnsi="宋体" w:cs="宋体"/>
          <w:szCs w:val="21"/>
        </w:rPr>
      </w:pPr>
      <w:r>
        <w:rPr>
          <w:rFonts w:hint="eastAsia" w:ascii="宋体" w:hAnsi="宋体" w:cs="宋体"/>
          <w:szCs w:val="21"/>
        </w:rPr>
        <w:t>现场检查发现未经过采购人同意擅自减少保洁人员，或弄 虚作假谎报保洁人员的，一经发现核实，每人每次扣200元人民币。</w:t>
      </w:r>
    </w:p>
    <w:p>
      <w:pPr>
        <w:ind w:firstLine="420" w:firstLineChars="200"/>
        <w:rPr>
          <w:rFonts w:hint="eastAsia" w:ascii="宋体" w:hAnsi="宋体" w:cs="宋体"/>
          <w:szCs w:val="21"/>
        </w:rPr>
      </w:pPr>
      <w:r>
        <w:rPr>
          <w:rFonts w:hint="eastAsia" w:ascii="宋体" w:hAnsi="宋体" w:cs="宋体"/>
          <w:szCs w:val="21"/>
        </w:rPr>
        <w:t>3.凡遇国家、浙江省、温州市或瑞安市重大活动或检查时， 环卫方面发现不达标的，除给予通报批评外，还可以给予相应的 经济处罚。国家级检查发现问题的一处扣2000元以上，省级检查发现问题的一处扣1000元以上，地市级检查发现问题的一处扣800元以上，县市级领导检查发现问题的一处扣500元以上。</w:t>
      </w:r>
    </w:p>
    <w:p>
      <w:pPr>
        <w:ind w:firstLine="420" w:firstLineChars="200"/>
        <w:rPr>
          <w:rFonts w:hint="eastAsia" w:ascii="宋体" w:hAnsi="宋体" w:cs="宋体"/>
          <w:szCs w:val="21"/>
        </w:rPr>
      </w:pPr>
      <w:bookmarkStart w:id="299" w:name="bookmark1"/>
      <w:r>
        <w:rPr>
          <w:rFonts w:hint="eastAsia" w:ascii="宋体" w:hAnsi="宋体" w:cs="宋体"/>
          <w:szCs w:val="21"/>
        </w:rPr>
        <w:t>六、考核结果公布及申诉机制</w:t>
      </w:r>
      <w:bookmarkEnd w:id="299"/>
    </w:p>
    <w:p>
      <w:pPr>
        <w:ind w:firstLine="420" w:firstLineChars="200"/>
        <w:rPr>
          <w:rFonts w:hint="eastAsia" w:ascii="宋体" w:hAnsi="宋体" w:cs="宋体"/>
          <w:szCs w:val="21"/>
        </w:rPr>
      </w:pPr>
      <w:r>
        <w:rPr>
          <w:rFonts w:hint="eastAsia" w:ascii="宋体" w:hAnsi="宋体" w:cs="宋体"/>
          <w:szCs w:val="21"/>
        </w:rPr>
        <w:t>（一）市综合行政执法局每月7日前将智慧环卫平台扣罚结果报送至乡镇街道，街道须按考核结果在支付保洁经费中予以资金扣罚。</w:t>
      </w:r>
    </w:p>
    <w:p>
      <w:pPr>
        <w:ind w:firstLine="420" w:firstLineChars="200"/>
        <w:rPr>
          <w:rFonts w:hint="eastAsia" w:ascii="宋体" w:hAnsi="宋体" w:cs="宋体"/>
          <w:szCs w:val="21"/>
        </w:rPr>
      </w:pPr>
      <w:r>
        <w:rPr>
          <w:rFonts w:hint="eastAsia" w:ascii="宋体" w:hAnsi="宋体" w:cs="宋体"/>
          <w:szCs w:val="21"/>
        </w:rPr>
        <w:t>（二）街道于每月10曰前对各考核单位的结果进行汇总，并反馈至保洁公司，同时将结果报送市综合行政执法局备案。</w:t>
      </w:r>
    </w:p>
    <w:p>
      <w:pPr>
        <w:ind w:firstLine="420" w:firstLineChars="200"/>
        <w:rPr>
          <w:rFonts w:hint="eastAsia" w:ascii="宋体" w:hAnsi="宋体" w:cs="宋体"/>
          <w:szCs w:val="21"/>
        </w:rPr>
      </w:pPr>
      <w:r>
        <w:rPr>
          <w:rFonts w:hint="eastAsia" w:ascii="宋体" w:hAnsi="宋体" w:cs="宋体"/>
          <w:szCs w:val="21"/>
        </w:rPr>
        <w:t>（三）保洁公司收到考核结果后，在收到考核结果之日起3个工作日内可以向市综合行政执法局和街道提出异议申诉，市综合行政执法局会同街道自收到申诉之日起5个工作日内进行审核答复，逾期不予受理。</w:t>
      </w:r>
    </w:p>
    <w:p>
      <w:pPr>
        <w:ind w:firstLine="420" w:firstLineChars="200"/>
        <w:rPr>
          <w:rFonts w:hint="eastAsia" w:ascii="宋体" w:hAnsi="宋体" w:cs="宋体"/>
          <w:szCs w:val="21"/>
        </w:rPr>
      </w:pPr>
      <w:r>
        <w:rPr>
          <w:rFonts w:hint="eastAsia" w:ascii="宋体" w:hAnsi="宋体" w:cs="宋体"/>
          <w:szCs w:val="21"/>
        </w:rPr>
        <w:t>（四）街道对保洁公司考核和市级对其考核得分率相差20%以上的，市级综合行政执法局可会同市级各相关考核单位进行调查核对，发现有违规予以纠正处理。</w:t>
      </w:r>
    </w:p>
    <w:p>
      <w:pPr>
        <w:ind w:firstLine="420" w:firstLineChars="200"/>
        <w:rPr>
          <w:rFonts w:hint="eastAsia" w:ascii="宋体" w:hAnsi="宋体" w:cs="宋体"/>
          <w:szCs w:val="21"/>
        </w:rPr>
      </w:pPr>
      <w:r>
        <w:rPr>
          <w:rFonts w:hint="eastAsia" w:ascii="宋体" w:hAnsi="宋体" w:cs="宋体"/>
          <w:szCs w:val="21"/>
        </w:rPr>
        <w:t>（五）保洁公司在承包期限内违反《招标文件》和合同中 约定终止合同条款的，须街道会同市综合行政执法局形 成决议报请瑞安市人民政府。</w:t>
      </w:r>
    </w:p>
    <w:p>
      <w:pPr>
        <w:ind w:firstLine="420" w:firstLineChars="200"/>
        <w:rPr>
          <w:rFonts w:hint="eastAsia" w:ascii="宋体" w:hAnsi="宋体" w:cs="宋体"/>
          <w:szCs w:val="21"/>
        </w:rPr>
      </w:pPr>
      <w:r>
        <w:rPr>
          <w:rFonts w:hint="eastAsia" w:ascii="宋体" w:hAnsi="宋体" w:cs="宋体"/>
          <w:szCs w:val="21"/>
        </w:rPr>
        <w:t>七、考核纪律</w:t>
      </w:r>
    </w:p>
    <w:p>
      <w:pPr>
        <w:ind w:firstLine="420" w:firstLineChars="200"/>
        <w:rPr>
          <w:rFonts w:hint="eastAsia" w:ascii="宋体" w:hAnsi="宋体" w:cs="宋体"/>
          <w:szCs w:val="21"/>
        </w:rPr>
      </w:pPr>
      <w:r>
        <w:rPr>
          <w:rFonts w:hint="eastAsia" w:ascii="宋体" w:hAnsi="宋体" w:cs="宋体"/>
          <w:szCs w:val="21"/>
        </w:rPr>
        <w:t>（一）考核工作客观、透明、公正。检查考核人员应认真遵守廉洁自律规定，严格执行检查考核操作程序，自觉接受监督。</w:t>
      </w:r>
    </w:p>
    <w:p>
      <w:pPr>
        <w:ind w:firstLine="420" w:firstLineChars="200"/>
        <w:rPr>
          <w:rFonts w:hint="eastAsia" w:ascii="宋体" w:hAnsi="宋体" w:cs="宋体"/>
          <w:szCs w:val="21"/>
        </w:rPr>
      </w:pPr>
      <w:r>
        <w:rPr>
          <w:rFonts w:hint="eastAsia" w:ascii="宋体" w:hAnsi="宋体" w:cs="宋体"/>
          <w:szCs w:val="21"/>
        </w:rPr>
        <w:t>（二）考核人员违反考核工作纪律的，将通报批评并依照相 关规定给予严肃处理。</w:t>
      </w:r>
    </w:p>
    <w:p>
      <w:pPr>
        <w:ind w:firstLine="420" w:firstLineChars="200"/>
        <w:rPr>
          <w:rFonts w:hint="eastAsia" w:ascii="宋体" w:hAnsi="宋体" w:cs="宋体"/>
          <w:szCs w:val="21"/>
        </w:rPr>
      </w:pPr>
      <w:bookmarkStart w:id="300" w:name="bookmark2"/>
      <w:r>
        <w:rPr>
          <w:rFonts w:hint="eastAsia" w:ascii="宋体" w:hAnsi="宋体" w:cs="宋体"/>
          <w:szCs w:val="21"/>
        </w:rPr>
        <w:t>八、采购人可以根据实际情况予以调整考核办法，中标承包 单位须无条件接受并遵守。</w:t>
      </w:r>
      <w:bookmarkEnd w:id="300"/>
    </w:p>
    <w:p>
      <w:pPr>
        <w:ind w:firstLine="420" w:firstLineChars="200"/>
        <w:rPr>
          <w:rFonts w:hint="eastAsia" w:ascii="宋体" w:hAnsi="宋体" w:cs="宋体"/>
          <w:szCs w:val="21"/>
        </w:rPr>
      </w:pPr>
      <w:r>
        <w:rPr>
          <w:rFonts w:hint="eastAsia" w:ascii="宋体" w:hAnsi="宋体" w:cs="宋体"/>
          <w:szCs w:val="21"/>
        </w:rPr>
        <w:t>九、其他</w:t>
      </w:r>
    </w:p>
    <w:p>
      <w:pPr>
        <w:ind w:firstLine="420" w:firstLineChars="200"/>
        <w:rPr>
          <w:rFonts w:hint="eastAsia" w:ascii="宋体" w:hAnsi="宋体" w:cs="宋体"/>
          <w:szCs w:val="21"/>
        </w:rPr>
      </w:pPr>
      <w:r>
        <w:rPr>
          <w:rFonts w:hint="eastAsia" w:ascii="宋体" w:hAnsi="宋体" w:cs="宋体"/>
          <w:szCs w:val="21"/>
        </w:rPr>
        <w:t>（一）本办法已报备瑞安市“一把扫帚”环卫管理体制改革</w:t>
      </w:r>
    </w:p>
    <w:p>
      <w:pPr>
        <w:rPr>
          <w:rFonts w:hint="eastAsia" w:ascii="宋体" w:hAnsi="宋体" w:cs="宋体"/>
          <w:szCs w:val="21"/>
        </w:rPr>
      </w:pPr>
      <w:r>
        <w:rPr>
          <w:rFonts w:hint="eastAsia" w:ascii="宋体" w:hAnsi="宋体" w:cs="宋体"/>
          <w:szCs w:val="21"/>
        </w:rPr>
        <w:t>领导小组审核通过。</w:t>
      </w:r>
    </w:p>
    <w:p>
      <w:pPr>
        <w:pStyle w:val="64"/>
        <w:rPr>
          <w:rFonts w:hint="eastAsia" w:ascii="宋体" w:hAnsi="宋体" w:cs="宋体"/>
          <w:szCs w:val="21"/>
        </w:rPr>
      </w:pPr>
      <w:r>
        <w:rPr>
          <w:rFonts w:hint="eastAsia" w:ascii="宋体" w:hAnsi="宋体" w:cs="宋体"/>
          <w:szCs w:val="21"/>
        </w:rPr>
        <w:t>（二）本办法自印发之日起实施。</w:t>
      </w:r>
    </w:p>
    <w:p>
      <w:pPr>
        <w:pStyle w:val="64"/>
        <w:jc w:val="center"/>
        <w:outlineLvl w:val="3"/>
        <w:rPr>
          <w:rFonts w:hint="eastAsia" w:ascii="宋体" w:hAnsi="宋体" w:cs="宋体"/>
          <w:b/>
          <w:sz w:val="36"/>
          <w:szCs w:val="36"/>
          <w:highlight w:val="yellow"/>
        </w:rPr>
      </w:pPr>
      <w:r>
        <w:rPr>
          <w:rFonts w:hint="eastAsia" w:ascii="宋体" w:hAnsi="宋体" w:cs="宋体"/>
          <w:szCs w:val="21"/>
        </w:rPr>
        <w:br w:type="page"/>
      </w:r>
      <w:r>
        <w:rPr>
          <w:rFonts w:hint="eastAsia" w:ascii="宋体" w:hAnsi="宋体" w:cs="宋体"/>
          <w:b/>
          <w:sz w:val="36"/>
          <w:szCs w:val="36"/>
        </w:rPr>
        <w:t>锦湖街道“一把扫帚”环卫公司保洁质量考核办法</w:t>
      </w:r>
    </w:p>
    <w:p>
      <w:pPr>
        <w:pStyle w:val="64"/>
        <w:ind w:firstLine="420" w:firstLineChars="200"/>
        <w:rPr>
          <w:rFonts w:hint="eastAsia" w:ascii="宋体" w:hAnsi="宋体" w:cs="宋体"/>
          <w:color w:val="000000"/>
        </w:rPr>
      </w:pPr>
      <w:r>
        <w:rPr>
          <w:rFonts w:hint="eastAsia" w:ascii="宋体" w:hAnsi="宋体" w:cs="宋体"/>
          <w:color w:val="000000"/>
        </w:rPr>
        <w:t>为进一步提高城乡环境卫生建设和管理水平，改善市容环境 卫生面貌，营造整洁、有序、美观的城乡环境，加强锦湖街道环 卫作业监管，全面推进生活垃圾分类工作，建立长效管理机制， 现结合街道实际，特制定本办法。</w:t>
      </w:r>
    </w:p>
    <w:p>
      <w:pPr>
        <w:pStyle w:val="64"/>
        <w:ind w:firstLine="420" w:firstLineChars="200"/>
        <w:rPr>
          <w:rFonts w:hint="eastAsia" w:ascii="宋体" w:hAnsi="宋体" w:cs="宋体"/>
          <w:color w:val="000000"/>
        </w:rPr>
      </w:pPr>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考核对象</w:t>
      </w:r>
    </w:p>
    <w:p>
      <w:pPr>
        <w:pStyle w:val="64"/>
        <w:ind w:firstLine="420" w:firstLineChars="200"/>
        <w:rPr>
          <w:rFonts w:hint="eastAsia" w:ascii="宋体" w:hAnsi="宋体" w:cs="宋体"/>
          <w:color w:val="000000"/>
        </w:rPr>
      </w:pPr>
      <w:r>
        <w:rPr>
          <w:rFonts w:hint="eastAsia" w:ascii="宋体" w:hAnsi="宋体" w:cs="宋体"/>
          <w:color w:val="000000"/>
        </w:rPr>
        <w:t>锦湖街道辖区内“一把扫帚”环卫保洁服务中标的承包单位。</w:t>
      </w:r>
    </w:p>
    <w:p>
      <w:pPr>
        <w:pStyle w:val="64"/>
        <w:ind w:firstLine="420" w:firstLineChars="200"/>
        <w:rPr>
          <w:rFonts w:hint="eastAsia" w:ascii="宋体" w:hAnsi="宋体" w:cs="宋体"/>
          <w:color w:val="000000"/>
        </w:rPr>
      </w:pPr>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考核内容</w:t>
      </w:r>
    </w:p>
    <w:p>
      <w:pPr>
        <w:pStyle w:val="64"/>
        <w:ind w:firstLine="420" w:firstLineChars="200"/>
        <w:rPr>
          <w:rFonts w:hint="eastAsia" w:ascii="宋体" w:hAnsi="宋体" w:cs="宋体"/>
          <w:color w:val="000000"/>
        </w:rPr>
      </w:pPr>
      <w:r>
        <w:rPr>
          <w:rFonts w:hint="eastAsia" w:ascii="宋体" w:hAnsi="宋体" w:cs="宋体"/>
          <w:color w:val="000000"/>
        </w:rPr>
        <w:t>考核区域内“一把扫帚”承包公司日常保洁情况和规范作业, 具体内容如下：</w:t>
      </w:r>
    </w:p>
    <w:p>
      <w:pPr>
        <w:pStyle w:val="64"/>
        <w:ind w:firstLine="420" w:firstLineChars="200"/>
        <w:rPr>
          <w:rFonts w:hint="eastAsia" w:ascii="宋体" w:hAnsi="宋体" w:cs="宋体"/>
          <w:color w:val="000000"/>
        </w:rPr>
      </w:pPr>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城乡道路清扫保洁，包括城乡主次干道、通村道路和 背街小巷等清扫保洁。</w:t>
      </w:r>
    </w:p>
    <w:p>
      <w:pPr>
        <w:pStyle w:val="64"/>
        <w:ind w:firstLine="420" w:firstLineChars="200"/>
        <w:rPr>
          <w:rFonts w:hint="eastAsia" w:ascii="宋体" w:hAnsi="宋体" w:cs="宋体"/>
          <w:color w:val="000000"/>
        </w:rPr>
      </w:pPr>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公路清扫保洁（含隧道及墙壁保洁），包括国道、省道、 县道等清扫保洁。</w:t>
      </w:r>
    </w:p>
    <w:p>
      <w:pPr>
        <w:pStyle w:val="64"/>
        <w:ind w:firstLine="420" w:firstLineChars="200"/>
        <w:rPr>
          <w:rFonts w:hint="eastAsia" w:ascii="宋体" w:hAnsi="宋体" w:cs="宋体"/>
          <w:color w:val="000000"/>
        </w:rPr>
      </w:pPr>
      <w:r>
        <w:rPr>
          <w:rFonts w:hint="eastAsia" w:ascii="宋体" w:hAnsi="宋体" w:cs="宋体"/>
          <w:color w:val="000000"/>
        </w:rPr>
        <w:t>（三）</w:t>
      </w:r>
      <w:r>
        <w:rPr>
          <w:rFonts w:hint="eastAsia" w:ascii="宋体" w:hAnsi="宋体" w:cs="宋体"/>
          <w:color w:val="000000"/>
        </w:rPr>
        <w:tab/>
      </w:r>
      <w:r>
        <w:rPr>
          <w:rFonts w:hint="eastAsia" w:ascii="宋体" w:hAnsi="宋体" w:cs="宋体"/>
          <w:color w:val="000000"/>
        </w:rPr>
        <w:t>园林绿化保洁，包括公园广场、公共绿地、道路（含 公路）绿化带等保洁。</w:t>
      </w:r>
    </w:p>
    <w:p>
      <w:pPr>
        <w:pStyle w:val="64"/>
        <w:ind w:firstLine="420" w:firstLineChars="200"/>
        <w:rPr>
          <w:rFonts w:hint="eastAsia" w:ascii="宋体" w:hAnsi="宋体" w:cs="宋体"/>
          <w:color w:val="000000"/>
        </w:rPr>
      </w:pPr>
      <w:r>
        <w:rPr>
          <w:rFonts w:hint="eastAsia" w:ascii="宋体" w:hAnsi="宋体" w:cs="宋体"/>
          <w:color w:val="000000"/>
        </w:rPr>
        <w:t>（四）</w:t>
      </w:r>
      <w:r>
        <w:rPr>
          <w:rFonts w:hint="eastAsia" w:ascii="宋体" w:hAnsi="宋体" w:cs="宋体"/>
          <w:color w:val="000000"/>
        </w:rPr>
        <w:tab/>
      </w:r>
      <w:r>
        <w:rPr>
          <w:rFonts w:hint="eastAsia" w:ascii="宋体" w:hAnsi="宋体" w:cs="宋体"/>
          <w:color w:val="000000"/>
        </w:rPr>
        <w:t>河道保洁，包括各级河道、湖泊、水库、池塘、沟渠、 小微水体等保洁。</w:t>
      </w:r>
    </w:p>
    <w:p>
      <w:pPr>
        <w:pStyle w:val="64"/>
        <w:ind w:firstLine="420" w:firstLineChars="200"/>
        <w:rPr>
          <w:rFonts w:hint="eastAsia" w:ascii="宋体" w:hAnsi="宋体" w:cs="宋体"/>
          <w:color w:val="000000"/>
        </w:rPr>
      </w:pPr>
      <w:r>
        <w:rPr>
          <w:rFonts w:hint="eastAsia" w:ascii="宋体" w:hAnsi="宋体" w:cs="宋体"/>
          <w:color w:val="000000"/>
        </w:rPr>
        <w:t>（五）</w:t>
      </w:r>
      <w:r>
        <w:rPr>
          <w:rFonts w:hint="eastAsia" w:ascii="宋体" w:hAnsi="宋体" w:cs="宋体"/>
          <w:color w:val="000000"/>
        </w:rPr>
        <w:tab/>
      </w:r>
      <w:r>
        <w:rPr>
          <w:rFonts w:hint="eastAsia" w:ascii="宋体" w:hAnsi="宋体" w:cs="宋体"/>
          <w:color w:val="000000"/>
        </w:rPr>
        <w:t>市政设施（城市家具）保洁，包括道路（含公路、桥 梁）护栏、隔离栏、电杆、监控杆、弱电设施等一切公共室外市 政设施保洁，环卫设施（含垃圾桶、果壳箱等）、公交站台、站牌、 灯箱、广告牌、报刊（信息）亭、电话亭、邮政信箱、固定室外 座椅等一切城市家具保洁。</w:t>
      </w:r>
    </w:p>
    <w:p>
      <w:pPr>
        <w:pStyle w:val="64"/>
        <w:ind w:firstLine="420" w:firstLineChars="200"/>
        <w:rPr>
          <w:rFonts w:hint="eastAsia" w:ascii="宋体" w:hAnsi="宋体" w:cs="宋体"/>
          <w:color w:val="000000"/>
        </w:rPr>
      </w:pPr>
      <w:r>
        <w:rPr>
          <w:rFonts w:hint="eastAsia" w:ascii="宋体" w:hAnsi="宋体" w:cs="宋体"/>
          <w:color w:val="000000"/>
        </w:rPr>
        <w:t>（六）</w:t>
      </w:r>
      <w:r>
        <w:rPr>
          <w:rFonts w:hint="eastAsia" w:ascii="宋体" w:hAnsi="宋体" w:cs="宋体"/>
          <w:color w:val="000000"/>
        </w:rPr>
        <w:tab/>
      </w:r>
      <w:r>
        <w:rPr>
          <w:rFonts w:hint="eastAsia" w:ascii="宋体" w:hAnsi="宋体" w:cs="宋体"/>
          <w:color w:val="000000"/>
        </w:rPr>
        <w:t>无主建筑垃圾清理，包括无主装修垃圾，废弃家具的 清理。</w:t>
      </w:r>
    </w:p>
    <w:p>
      <w:pPr>
        <w:pStyle w:val="64"/>
        <w:ind w:firstLine="420" w:firstLineChars="200"/>
        <w:rPr>
          <w:rFonts w:hint="eastAsia" w:ascii="宋体" w:hAnsi="宋体" w:cs="宋体"/>
          <w:color w:val="000000"/>
        </w:rPr>
      </w:pPr>
      <w:r>
        <w:rPr>
          <w:rFonts w:hint="eastAsia" w:ascii="宋体" w:hAnsi="宋体" w:cs="宋体"/>
          <w:color w:val="000000"/>
        </w:rPr>
        <w:t>（七）</w:t>
      </w:r>
      <w:r>
        <w:rPr>
          <w:rFonts w:hint="eastAsia" w:ascii="宋体" w:hAnsi="宋体" w:cs="宋体"/>
          <w:color w:val="000000"/>
        </w:rPr>
        <w:tab/>
      </w:r>
      <w:r>
        <w:rPr>
          <w:rFonts w:hint="eastAsia" w:ascii="宋体" w:hAnsi="宋体" w:cs="宋体"/>
          <w:color w:val="000000"/>
        </w:rPr>
        <w:t>公厕保洁与管理。</w:t>
      </w:r>
    </w:p>
    <w:p>
      <w:pPr>
        <w:pStyle w:val="64"/>
        <w:ind w:firstLine="420" w:firstLineChars="200"/>
        <w:rPr>
          <w:rFonts w:hint="eastAsia" w:ascii="宋体" w:hAnsi="宋体" w:cs="宋体"/>
          <w:color w:val="000000"/>
        </w:rPr>
      </w:pPr>
      <w:r>
        <w:rPr>
          <w:rFonts w:hint="eastAsia" w:ascii="宋体" w:hAnsi="宋体" w:cs="宋体"/>
          <w:color w:val="000000"/>
        </w:rPr>
        <w:t>（八）</w:t>
      </w:r>
      <w:r>
        <w:rPr>
          <w:rFonts w:hint="eastAsia" w:ascii="宋体" w:hAnsi="宋体" w:cs="宋体"/>
          <w:color w:val="000000"/>
        </w:rPr>
        <w:tab/>
      </w:r>
      <w:r>
        <w:rPr>
          <w:rFonts w:hint="eastAsia" w:ascii="宋体" w:hAnsi="宋体" w:cs="宋体"/>
          <w:color w:val="000000"/>
        </w:rPr>
        <w:t>小广告治理，包括道路、公园、广场、公厕、道路两 侧构筑物、建筑物、道路辅助设施、市政（家具）设施上可见的 小广告、非）去喷涂广告</w:t>
      </w:r>
    </w:p>
    <w:p>
      <w:pPr>
        <w:pStyle w:val="64"/>
        <w:ind w:firstLine="420" w:firstLineChars="200"/>
        <w:rPr>
          <w:rFonts w:hint="eastAsia" w:ascii="宋体" w:hAnsi="宋体" w:cs="宋体"/>
          <w:color w:val="000000"/>
        </w:rPr>
      </w:pPr>
      <w:r>
        <w:rPr>
          <w:rFonts w:hint="eastAsia" w:ascii="宋体" w:hAnsi="宋体" w:cs="宋体"/>
          <w:color w:val="000000"/>
        </w:rPr>
        <w:t>（九）</w:t>
      </w:r>
      <w:r>
        <w:rPr>
          <w:rFonts w:hint="eastAsia" w:ascii="宋体" w:hAnsi="宋体" w:cs="宋体"/>
          <w:color w:val="000000"/>
        </w:rPr>
        <w:tab/>
      </w:r>
      <w:r>
        <w:rPr>
          <w:rFonts w:hint="eastAsia" w:ascii="宋体" w:hAnsi="宋体" w:cs="宋体"/>
          <w:color w:val="000000"/>
        </w:rPr>
        <w:t>结合智慧平台实时监控情况，现场核查环卫保洁人员 出勤率、机械作业到位率和作业频次等情况。</w:t>
      </w:r>
    </w:p>
    <w:p>
      <w:pPr>
        <w:pStyle w:val="64"/>
        <w:ind w:firstLine="420" w:firstLineChars="200"/>
        <w:rPr>
          <w:rFonts w:hint="eastAsia" w:ascii="宋体" w:hAnsi="宋体" w:cs="宋体"/>
          <w:color w:val="000000"/>
        </w:rPr>
      </w:pPr>
      <w:r>
        <w:rPr>
          <w:rFonts w:hint="eastAsia" w:ascii="宋体" w:hAnsi="宋体" w:cs="宋体"/>
          <w:color w:val="000000"/>
        </w:rPr>
        <w:t>（十）公司内部管理和环卫作业安全生产。</w:t>
      </w:r>
    </w:p>
    <w:p>
      <w:pPr>
        <w:pStyle w:val="64"/>
        <w:ind w:firstLine="420" w:firstLineChars="200"/>
        <w:rPr>
          <w:rFonts w:hint="eastAsia" w:ascii="宋体" w:hAnsi="宋体" w:cs="宋体"/>
          <w:color w:val="000000"/>
        </w:rPr>
      </w:pPr>
      <w:r>
        <w:rPr>
          <w:rFonts w:hint="eastAsia" w:ascii="宋体" w:hAnsi="宋体" w:cs="宋体"/>
          <w:color w:val="000000"/>
        </w:rPr>
        <w:t>（十一）其他环境卫生问题。</w:t>
      </w:r>
    </w:p>
    <w:p>
      <w:pPr>
        <w:pStyle w:val="64"/>
        <w:ind w:firstLine="420" w:firstLineChars="200"/>
        <w:rPr>
          <w:rFonts w:hint="eastAsia" w:ascii="宋体" w:hAnsi="宋体" w:cs="宋体"/>
          <w:color w:val="000000"/>
        </w:rPr>
      </w:pPr>
      <w:r>
        <w:rPr>
          <w:rFonts w:hint="eastAsia" w:ascii="宋体" w:hAnsi="宋体" w:cs="宋体"/>
          <w:color w:val="000000"/>
        </w:rPr>
        <w:t>三、考核方式</w:t>
      </w:r>
    </w:p>
    <w:p>
      <w:pPr>
        <w:pStyle w:val="64"/>
        <w:ind w:firstLine="420" w:firstLineChars="200"/>
        <w:rPr>
          <w:rFonts w:hint="eastAsia" w:ascii="宋体" w:hAnsi="宋体" w:cs="宋体"/>
          <w:color w:val="000000"/>
        </w:rPr>
      </w:pPr>
      <w:r>
        <w:rPr>
          <w:rFonts w:hint="eastAsia" w:ascii="宋体" w:hAnsi="宋体" w:cs="宋体"/>
          <w:color w:val="000000"/>
        </w:rPr>
        <w:t>考核由街道主要领导考核、智慧平台考核、手机APP考核、 执法中队考核、专业队伍日常监管、社区考核及其他考核等方式 组成。</w:t>
      </w:r>
    </w:p>
    <w:p>
      <w:pPr>
        <w:pStyle w:val="64"/>
        <w:ind w:firstLine="420" w:firstLineChars="200"/>
        <w:rPr>
          <w:rFonts w:hint="eastAsia" w:ascii="宋体" w:hAnsi="宋体" w:cs="宋体"/>
          <w:color w:val="000000"/>
        </w:rPr>
      </w:pPr>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街道主要领导及分管领导进行印象考核占比。</w:t>
      </w:r>
    </w:p>
    <w:p>
      <w:pPr>
        <w:pStyle w:val="64"/>
        <w:ind w:firstLine="420" w:firstLineChars="200"/>
        <w:rPr>
          <w:rFonts w:hint="eastAsia" w:ascii="宋体" w:hAnsi="宋体" w:cs="宋体"/>
          <w:color w:val="000000"/>
        </w:rPr>
      </w:pPr>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手机APP考核可以有街道城建办、社区干部、其他社 会组织或个人等。</w:t>
      </w:r>
    </w:p>
    <w:p>
      <w:pPr>
        <w:pStyle w:val="64"/>
        <w:ind w:firstLine="420" w:firstLineChars="200"/>
        <w:rPr>
          <w:rFonts w:hint="eastAsia" w:ascii="宋体" w:hAnsi="宋体" w:cs="宋体"/>
          <w:color w:val="000000"/>
        </w:rPr>
      </w:pPr>
      <w:r>
        <w:rPr>
          <w:rFonts w:hint="eastAsia" w:ascii="宋体" w:hAnsi="宋体" w:cs="宋体"/>
          <w:color w:val="000000"/>
        </w:rPr>
        <w:t>（三）</w:t>
      </w:r>
      <w:r>
        <w:rPr>
          <w:rFonts w:hint="eastAsia" w:ascii="宋体" w:hAnsi="宋体" w:cs="宋体"/>
          <w:color w:val="000000"/>
        </w:rPr>
        <w:tab/>
      </w:r>
      <w:r>
        <w:rPr>
          <w:rFonts w:hint="eastAsia" w:ascii="宋体" w:hAnsi="宋体" w:cs="宋体"/>
          <w:color w:val="000000"/>
        </w:rPr>
        <w:t>执法中队考核在日常执法进行督查考核，每月形成综 合评分。</w:t>
      </w:r>
    </w:p>
    <w:p>
      <w:pPr>
        <w:pStyle w:val="64"/>
        <w:ind w:firstLine="420" w:firstLineChars="200"/>
        <w:rPr>
          <w:rFonts w:hint="eastAsia" w:ascii="宋体" w:hAnsi="宋体" w:cs="宋体"/>
          <w:color w:val="000000"/>
        </w:rPr>
      </w:pPr>
      <w:r>
        <w:rPr>
          <w:rFonts w:hint="eastAsia" w:ascii="宋体" w:hAnsi="宋体" w:cs="宋体"/>
          <w:color w:val="000000"/>
        </w:rPr>
        <w:t>（四）</w:t>
      </w:r>
      <w:r>
        <w:rPr>
          <w:rFonts w:hint="eastAsia" w:ascii="宋体" w:hAnsi="宋体" w:cs="宋体"/>
          <w:color w:val="000000"/>
        </w:rPr>
        <w:tab/>
      </w:r>
      <w:r>
        <w:rPr>
          <w:rFonts w:hint="eastAsia" w:ascii="宋体" w:hAnsi="宋体" w:cs="宋体"/>
          <w:color w:val="000000"/>
        </w:rPr>
        <w:t>街道成立一支由城建办和社区干部组成的专业队伍， 进行环卫日常监管考核工作。</w:t>
      </w:r>
    </w:p>
    <w:p>
      <w:pPr>
        <w:pStyle w:val="64"/>
        <w:ind w:firstLine="420" w:firstLineChars="200"/>
        <w:rPr>
          <w:rFonts w:hint="eastAsia" w:ascii="宋体" w:hAnsi="宋体" w:cs="宋体"/>
          <w:color w:val="000000"/>
        </w:rPr>
      </w:pPr>
      <w:r>
        <w:rPr>
          <w:rFonts w:hint="eastAsia" w:ascii="宋体" w:hAnsi="宋体" w:cs="宋体"/>
          <w:color w:val="000000"/>
        </w:rPr>
        <w:t>（五）</w:t>
      </w:r>
      <w:r>
        <w:rPr>
          <w:rFonts w:hint="eastAsia" w:ascii="宋体" w:hAnsi="宋体" w:cs="宋体"/>
          <w:color w:val="000000"/>
        </w:rPr>
        <w:tab/>
      </w:r>
      <w:r>
        <w:rPr>
          <w:rFonts w:hint="eastAsia" w:ascii="宋体" w:hAnsi="宋体" w:cs="宋体"/>
          <w:color w:val="000000"/>
        </w:rPr>
        <w:t>社区群众、社会知名人士参与考核占比。</w:t>
      </w:r>
    </w:p>
    <w:p>
      <w:pPr>
        <w:pStyle w:val="64"/>
        <w:ind w:firstLine="420" w:firstLineChars="200"/>
        <w:rPr>
          <w:rFonts w:hint="eastAsia" w:ascii="宋体" w:hAnsi="宋体" w:cs="宋体"/>
          <w:color w:val="000000"/>
        </w:rPr>
      </w:pPr>
      <w:r>
        <w:rPr>
          <w:rFonts w:hint="eastAsia" w:ascii="宋体" w:hAnsi="宋体" w:cs="宋体"/>
          <w:color w:val="000000"/>
        </w:rPr>
        <w:t>四、</w:t>
      </w:r>
      <w:r>
        <w:rPr>
          <w:rFonts w:hint="eastAsia" w:ascii="宋体" w:hAnsi="宋体" w:cs="宋体"/>
          <w:color w:val="000000"/>
        </w:rPr>
        <w:tab/>
      </w:r>
      <w:r>
        <w:rPr>
          <w:rFonts w:hint="eastAsia" w:ascii="宋体" w:hAnsi="宋体" w:cs="宋体"/>
          <w:color w:val="000000"/>
        </w:rPr>
        <w:t>考核计分</w:t>
      </w:r>
    </w:p>
    <w:p>
      <w:pPr>
        <w:pStyle w:val="64"/>
        <w:ind w:firstLine="420" w:firstLineChars="200"/>
        <w:rPr>
          <w:rFonts w:hint="eastAsia" w:ascii="宋体" w:hAnsi="宋体" w:cs="宋体"/>
          <w:color w:val="000000"/>
        </w:rPr>
      </w:pPr>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得分公式。</w:t>
      </w:r>
    </w:p>
    <w:p>
      <w:pPr>
        <w:pStyle w:val="64"/>
        <w:ind w:firstLine="420" w:firstLineChars="200"/>
        <w:rPr>
          <w:rFonts w:hint="eastAsia" w:ascii="宋体" w:hAnsi="宋体" w:cs="宋体"/>
          <w:color w:val="000000"/>
        </w:rPr>
      </w:pPr>
      <w:r>
        <w:rPr>
          <w:rFonts w:hint="eastAsia" w:ascii="宋体" w:hAnsi="宋体" w:cs="宋体"/>
          <w:color w:val="000000"/>
        </w:rPr>
        <w:t>得分率=保洁公司考核得分±加（扣）项分/各项考核总分</w:t>
      </w:r>
    </w:p>
    <w:p>
      <w:pPr>
        <w:pStyle w:val="64"/>
        <w:ind w:firstLine="420" w:firstLineChars="200"/>
        <w:rPr>
          <w:rFonts w:hint="eastAsia" w:ascii="宋体" w:hAnsi="宋体" w:cs="宋体"/>
          <w:color w:val="000000"/>
        </w:rPr>
      </w:pPr>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考核评分占比。</w:t>
      </w:r>
    </w:p>
    <w:p>
      <w:pPr>
        <w:pStyle w:val="64"/>
        <w:ind w:firstLine="420" w:firstLineChars="200"/>
        <w:rPr>
          <w:rFonts w:hint="eastAsia" w:ascii="宋体" w:hAnsi="宋体" w:cs="宋体"/>
          <w:color w:val="000000"/>
        </w:rPr>
      </w:pPr>
      <w:r>
        <w:rPr>
          <w:rFonts w:hint="eastAsia" w:ascii="宋体" w:hAnsi="宋体" w:cs="宋体"/>
          <w:color w:val="000000"/>
        </w:rPr>
        <w:t>班子领导考核评分占比为30%,执法中队考核评分占比20%, 智慧平台、手机APP考核评分占比10%,社区干部考核占比10%、 专业人员人员考核评分占比为30%。</w:t>
      </w:r>
    </w:p>
    <w:p>
      <w:pPr>
        <w:pStyle w:val="64"/>
        <w:ind w:firstLine="420" w:firstLineChars="200"/>
        <w:rPr>
          <w:rFonts w:hint="eastAsia" w:ascii="宋体" w:hAnsi="宋体" w:cs="宋体"/>
          <w:color w:val="000000"/>
        </w:rPr>
      </w:pPr>
      <w:r>
        <w:rPr>
          <w:rFonts w:hint="eastAsia" w:ascii="宋体" w:hAnsi="宋体" w:cs="宋体"/>
          <w:color w:val="000000"/>
        </w:rPr>
        <w:t>五、</w:t>
      </w:r>
      <w:r>
        <w:rPr>
          <w:rFonts w:hint="eastAsia" w:ascii="宋体" w:hAnsi="宋体" w:cs="宋体"/>
          <w:color w:val="000000"/>
        </w:rPr>
        <w:tab/>
      </w:r>
      <w:r>
        <w:rPr>
          <w:rFonts w:hint="eastAsia" w:ascii="宋体" w:hAnsi="宋体" w:cs="宋体"/>
          <w:color w:val="000000"/>
        </w:rPr>
        <w:t>考核结果运用</w:t>
      </w:r>
    </w:p>
    <w:p>
      <w:pPr>
        <w:pStyle w:val="64"/>
        <w:ind w:firstLine="420" w:firstLineChars="200"/>
        <w:rPr>
          <w:rFonts w:hint="eastAsia" w:ascii="宋体" w:hAnsi="宋体" w:cs="宋体"/>
          <w:color w:val="000000"/>
        </w:rPr>
      </w:pPr>
      <w:r>
        <w:rPr>
          <w:rFonts w:hint="eastAsia" w:ascii="宋体" w:hAnsi="宋体" w:cs="宋体"/>
          <w:color w:val="000000"/>
        </w:rPr>
        <w:t>（一）承包合同保洁经费支付依据。</w:t>
      </w:r>
    </w:p>
    <w:p>
      <w:pPr>
        <w:pStyle w:val="64"/>
        <w:ind w:firstLine="420" w:firstLineChars="200"/>
        <w:rPr>
          <w:rFonts w:hint="eastAsia" w:ascii="宋体" w:hAnsi="宋体" w:cs="宋体"/>
          <w:color w:val="000000"/>
        </w:rPr>
      </w:pPr>
      <w:r>
        <w:rPr>
          <w:rFonts w:hint="eastAsia" w:ascii="宋体" w:hAnsi="宋体" w:cs="宋体"/>
          <w:color w:val="000000"/>
        </w:rPr>
        <w:t>1・合同款支付比例计算公式。</w:t>
      </w:r>
    </w:p>
    <w:p>
      <w:pPr>
        <w:rPr>
          <w:rFonts w:hint="eastAsia" w:ascii="宋体" w:hAnsi="宋体" w:cs="宋体"/>
          <w:szCs w:val="21"/>
        </w:rPr>
      </w:pPr>
      <w:r>
        <w:rPr>
          <w:rFonts w:hint="eastAsia" w:ascii="宋体" w:hAnsi="宋体" w:cs="宋体"/>
          <w:szCs w:val="21"/>
        </w:rPr>
        <w:pict>
          <v:shape id="Object 14" o:spid="_x0000_s1038" o:spt="75" type="#_x0000_t75" style="position:absolute;left:0pt;margin-left:41.55pt;margin-top:15.1pt;height:42.75pt;width:115.45pt;mso-wrap-distance-bottom:0pt;mso-wrap-distance-left:9pt;mso-wrap-distance-right:9pt;mso-wrap-distance-top:0pt;z-index:251661312;mso-width-relative:page;mso-height-relative:page;" o:ole="t" filled="f" o:preferrelative="t" stroked="f" coordsize="21600,21600">
            <v:path/>
            <v:fill on="f" focussize="0,0"/>
            <v:stroke on="f"/>
            <v:imagedata r:id="rId35" o:title=""/>
            <o:lock v:ext="edit" aspectratio="t"/>
            <w10:wrap type="square"/>
          </v:shape>
          <o:OLEObject Type="Embed" ProgID="Equation.3" ShapeID="Object 14" DrawAspect="Content" ObjectID="_1468075726" r:id="rId36">
            <o:LockedField>false</o:LockedField>
          </o:OLEObject>
        </w:pict>
      </w:r>
    </w:p>
    <w:p>
      <w:pPr>
        <w:rPr>
          <w:rFonts w:hint="eastAsia" w:ascii="宋体" w:hAnsi="宋体" w:cs="宋体"/>
          <w:szCs w:val="21"/>
        </w:rPr>
      </w:pPr>
    </w:p>
    <w:p>
      <w:pPr>
        <w:rPr>
          <w:rFonts w:hint="eastAsia" w:ascii="宋体" w:hAnsi="宋体" w:cs="宋体"/>
          <w:szCs w:val="21"/>
        </w:rPr>
      </w:pPr>
    </w:p>
    <w:p>
      <w:pPr>
        <w:pStyle w:val="2"/>
        <w:rPr>
          <w:rFonts w:hint="eastAsia" w:ascii="宋体" w:hAnsi="宋体" w:cs="宋体"/>
        </w:rPr>
      </w:pPr>
    </w:p>
    <w:p>
      <w:pPr>
        <w:spacing w:line="600" w:lineRule="exact"/>
        <w:ind w:firstLine="420" w:firstLineChars="200"/>
        <w:rPr>
          <w:rFonts w:hint="eastAsia" w:ascii="宋体" w:hAnsi="宋体" w:cs="宋体"/>
          <w:szCs w:val="21"/>
        </w:rPr>
      </w:pPr>
      <w:r>
        <w:rPr>
          <w:rFonts w:hint="eastAsia" w:ascii="宋体" w:hAnsi="宋体" w:cs="宋体"/>
          <w:szCs w:val="21"/>
        </w:rPr>
        <w:t>2. 合同支付款=月度保洁经费额×合同款支付比例</w:t>
      </w:r>
    </w:p>
    <w:p>
      <w:pPr>
        <w:ind w:firstLine="420" w:firstLineChars="200"/>
        <w:rPr>
          <w:rFonts w:hint="eastAsia" w:ascii="宋体" w:hAnsi="宋体" w:cs="宋体"/>
          <w:szCs w:val="21"/>
        </w:rPr>
      </w:pPr>
      <w:r>
        <w:rPr>
          <w:rFonts w:hint="eastAsia" w:ascii="宋体" w:hAnsi="宋体" w:cs="宋体"/>
          <w:szCs w:val="21"/>
        </w:rPr>
        <w:t>k按下表取值计算月度合同支付款：</w:t>
      </w:r>
    </w:p>
    <w:tbl>
      <w:tblPr>
        <w:tblStyle w:val="2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6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序号</w:t>
            </w:r>
          </w:p>
        </w:tc>
        <w:tc>
          <w:tcPr>
            <w:tcW w:w="6662" w:type="dxa"/>
            <w:noWrap w:val="0"/>
            <w:vAlign w:val="center"/>
          </w:tcPr>
          <w:p>
            <w:pPr>
              <w:pStyle w:val="72"/>
              <w:shd w:val="clear" w:color="auto" w:fill="FFFFFF"/>
              <w:adjustRightInd w:val="0"/>
              <w:snapToGrid w:val="0"/>
              <w:spacing w:before="0" w:beforeAutospacing="0" w:after="0" w:afterAutospacing="0" w:line="360" w:lineRule="auto"/>
              <w:ind w:firstLine="420" w:firstLineChars="200"/>
              <w:jc w:val="center"/>
              <w:rPr>
                <w:rFonts w:hint="eastAsia"/>
                <w:color w:val="000000"/>
                <w:szCs w:val="21"/>
                <w:lang w:val="zh-CN" w:bidi="zh-CN"/>
              </w:rPr>
            </w:pPr>
            <w:r>
              <w:rPr>
                <w:rFonts w:hint="eastAsia"/>
                <w:color w:val="000000"/>
                <w:szCs w:val="21"/>
                <w:lang w:val="zh-CN" w:bidi="zh-CN"/>
              </w:rPr>
              <w:t>考核得分档次</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1</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保洁公司月度考核得分率为90%（含）及以上的</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2</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保洁公司月度考核得分率为90%（不含）-85%（含）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3</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保洁公司月度考核得分率为85%（不含）-75%（含）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4</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保洁公司月度考核得分率为75%（不含）-60%（含）</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5</w:t>
            </w:r>
          </w:p>
        </w:tc>
        <w:tc>
          <w:tcPr>
            <w:tcW w:w="6662" w:type="dxa"/>
            <w:noWrap w:val="0"/>
            <w:vAlign w:val="center"/>
          </w:tcPr>
          <w:p>
            <w:pPr>
              <w:pStyle w:val="72"/>
              <w:shd w:val="clear" w:color="auto" w:fill="FFFFFF"/>
              <w:adjustRightInd w:val="0"/>
              <w:snapToGrid w:val="0"/>
              <w:spacing w:before="0" w:beforeAutospacing="0" w:after="0" w:afterAutospacing="0" w:line="360" w:lineRule="auto"/>
              <w:rPr>
                <w:rFonts w:hint="eastAsia"/>
                <w:color w:val="000000"/>
                <w:szCs w:val="21"/>
                <w:lang w:val="zh-CN" w:bidi="zh-CN"/>
              </w:rPr>
            </w:pPr>
            <w:r>
              <w:rPr>
                <w:rFonts w:hint="eastAsia"/>
                <w:color w:val="000000"/>
                <w:szCs w:val="21"/>
                <w:lang w:val="zh-CN" w:bidi="zh-CN"/>
              </w:rPr>
              <w:t>保洁公司月度考核得分率为低于60%的</w:t>
            </w:r>
          </w:p>
        </w:tc>
        <w:tc>
          <w:tcPr>
            <w:tcW w:w="992" w:type="dxa"/>
            <w:noWrap w:val="0"/>
            <w:vAlign w:val="center"/>
          </w:tcPr>
          <w:p>
            <w:pPr>
              <w:pStyle w:val="72"/>
              <w:shd w:val="clear" w:color="auto" w:fill="FFFFFF"/>
              <w:adjustRightInd w:val="0"/>
              <w:snapToGrid w:val="0"/>
              <w:spacing w:before="0" w:beforeAutospacing="0" w:after="0" w:afterAutospacing="0" w:line="360" w:lineRule="auto"/>
              <w:jc w:val="center"/>
              <w:rPr>
                <w:rFonts w:hint="eastAsia"/>
                <w:color w:val="000000"/>
                <w:szCs w:val="21"/>
                <w:lang w:val="zh-CN" w:bidi="zh-CN"/>
              </w:rPr>
            </w:pPr>
            <w:r>
              <w:rPr>
                <w:rFonts w:hint="eastAsia"/>
                <w:color w:val="000000"/>
                <w:szCs w:val="21"/>
                <w:lang w:val="zh-CN" w:bidi="zh-CN"/>
              </w:rPr>
              <w:t>k=5</w:t>
            </w:r>
          </w:p>
        </w:tc>
      </w:tr>
    </w:tbl>
    <w:p>
      <w:pPr>
        <w:rPr>
          <w:rFonts w:hint="eastAsia" w:ascii="宋体" w:hAnsi="宋体" w:cs="宋体"/>
          <w:szCs w:val="21"/>
        </w:rPr>
      </w:pPr>
    </w:p>
    <w:p>
      <w:pPr>
        <w:ind w:firstLine="420" w:firstLineChars="200"/>
        <w:rPr>
          <w:rFonts w:hint="eastAsia" w:ascii="宋体" w:hAnsi="宋体" w:cs="宋体"/>
          <w:szCs w:val="21"/>
        </w:rPr>
      </w:pPr>
      <w:r>
        <w:rPr>
          <w:rFonts w:hint="eastAsia" w:ascii="宋体" w:hAnsi="宋体" w:cs="宋体"/>
          <w:szCs w:val="21"/>
        </w:rPr>
        <w:t>2.达标得分率为75%。月考核得分率为75% （不含）-60% （含）的，街道会商市综合行政执法局后，联合发书面 通知书以示警告。月考核得分率低于60% （不含）的，街道会商市综合行政执法局后，联合发书面通知书以示严重警告。</w:t>
      </w:r>
    </w:p>
    <w:p>
      <w:pPr>
        <w:ind w:firstLine="420" w:firstLineChars="200"/>
        <w:rPr>
          <w:rFonts w:hint="eastAsia" w:ascii="宋体" w:hAnsi="宋体" w:cs="宋体"/>
          <w:szCs w:val="21"/>
        </w:rPr>
      </w:pPr>
      <w:r>
        <w:rPr>
          <w:rFonts w:hint="eastAsia" w:ascii="宋体" w:hAnsi="宋体" w:cs="宋体"/>
          <w:szCs w:val="21"/>
        </w:rPr>
        <w:t>（二）其他扣罚措施</w:t>
      </w:r>
    </w:p>
    <w:p>
      <w:pPr>
        <w:pStyle w:val="64"/>
        <w:ind w:firstLine="420" w:firstLineChars="200"/>
        <w:rPr>
          <w:rFonts w:hint="eastAsia" w:ascii="宋体" w:hAnsi="宋体" w:cs="宋体"/>
          <w:color w:val="000000"/>
        </w:rPr>
      </w:pPr>
      <w:r>
        <w:rPr>
          <w:rFonts w:hint="eastAsia" w:ascii="宋体" w:hAnsi="宋体" w:cs="宋体"/>
          <w:szCs w:val="21"/>
        </w:rPr>
        <w:t>发现机动车辆、船只弄虚作假没有实际作业，一经发现核实，</w:t>
      </w:r>
      <w:r>
        <w:rPr>
          <w:rFonts w:hint="eastAsia" w:ascii="宋体" w:hAnsi="宋体" w:cs="宋体"/>
          <w:color w:val="000000"/>
        </w:rPr>
        <w:t>每车（船）每次扣1500元人民币。</w:t>
      </w:r>
    </w:p>
    <w:p>
      <w:pPr>
        <w:pStyle w:val="64"/>
        <w:ind w:firstLine="420" w:firstLineChars="200"/>
        <w:rPr>
          <w:rFonts w:hint="eastAsia" w:ascii="宋体" w:hAnsi="宋体" w:cs="宋体"/>
          <w:color w:val="000000"/>
        </w:rPr>
      </w:pPr>
      <w:r>
        <w:rPr>
          <w:rFonts w:hint="eastAsia" w:ascii="宋体" w:hAnsi="宋体" w:cs="宋体"/>
          <w:color w:val="000000"/>
        </w:rPr>
        <w:t>发现未经过同意擅自减少保洁人员，或弄虚作假谎报保洁人 员的，一经发现核实，每人每次扣200元人民币。</w:t>
      </w:r>
    </w:p>
    <w:p>
      <w:pPr>
        <w:pStyle w:val="64"/>
        <w:numPr>
          <w:ilvl w:val="0"/>
          <w:numId w:val="28"/>
        </w:numPr>
        <w:ind w:firstLine="420" w:firstLineChars="200"/>
        <w:rPr>
          <w:rFonts w:hint="eastAsia" w:ascii="宋体" w:hAnsi="宋体" w:cs="宋体"/>
          <w:color w:val="000000"/>
        </w:rPr>
      </w:pPr>
      <w:r>
        <w:rPr>
          <w:rFonts w:hint="eastAsia" w:ascii="宋体" w:hAnsi="宋体" w:cs="宋体"/>
          <w:color w:val="000000"/>
        </w:rPr>
        <w:t>凡遇国家、浙江省、温州市或瑞安市重大活动或检查时，环 卫方面发现不达标的，除给予通报批评外，还可以给予相应的经济处罚。国家级检查发现问题的一处扣2000元以上，省级检查发 现问题的一处扣1000元以上，地市级检查发现问题的一处扣800 元以上，县市级领导检查发现问题的一处扣500元以上。</w:t>
      </w:r>
    </w:p>
    <w:p>
      <w:pPr>
        <w:pStyle w:val="64"/>
        <w:ind w:firstLine="420" w:firstLineChars="200"/>
        <w:rPr>
          <w:rFonts w:hint="eastAsia" w:ascii="宋体" w:hAnsi="宋体" w:cs="宋体"/>
          <w:color w:val="000000"/>
        </w:rPr>
      </w:pPr>
      <w:bookmarkStart w:id="301" w:name="bookmark31"/>
      <w:r>
        <w:rPr>
          <w:rFonts w:hint="eastAsia" w:ascii="宋体" w:hAnsi="宋体" w:cs="宋体"/>
          <w:color w:val="000000"/>
        </w:rPr>
        <w:t>六</w:t>
      </w:r>
      <w:bookmarkEnd w:id="301"/>
      <w:r>
        <w:rPr>
          <w:rFonts w:hint="eastAsia" w:ascii="宋体" w:hAnsi="宋体" w:cs="宋体"/>
          <w:color w:val="000000"/>
        </w:rPr>
        <w:t>、</w:t>
      </w:r>
      <w:r>
        <w:rPr>
          <w:rFonts w:hint="eastAsia" w:ascii="宋体" w:hAnsi="宋体" w:cs="宋体"/>
          <w:color w:val="000000"/>
        </w:rPr>
        <w:tab/>
      </w:r>
      <w:r>
        <w:rPr>
          <w:rFonts w:hint="eastAsia" w:ascii="宋体" w:hAnsi="宋体" w:cs="宋体"/>
          <w:color w:val="000000"/>
        </w:rPr>
        <w:t>考核结果公布及申诉机制</w:t>
      </w:r>
    </w:p>
    <w:p>
      <w:pPr>
        <w:pStyle w:val="64"/>
        <w:ind w:firstLine="420" w:firstLineChars="200"/>
        <w:rPr>
          <w:rFonts w:hint="eastAsia" w:ascii="宋体" w:hAnsi="宋体" w:cs="宋体"/>
          <w:color w:val="000000"/>
        </w:rPr>
      </w:pPr>
      <w:r>
        <w:rPr>
          <w:rFonts w:hint="eastAsia" w:ascii="宋体" w:hAnsi="宋体" w:cs="宋体"/>
          <w:color w:val="000000"/>
        </w:rPr>
        <w:t>（一）市综合行政执法局每月7日前将智慧环卫平台扣罚结 果报送至乡镇街道，街道须按考核结果在支付保洁经费中予以资 金扣罚</w:t>
      </w:r>
      <w:r>
        <w:rPr>
          <w:rFonts w:hint="eastAsia" w:ascii="宋体" w:hAnsi="宋体" w:cs="宋体"/>
          <w:color w:val="000000"/>
          <w:lang w:eastAsia="en-US"/>
        </w:rPr>
        <w:t>。</w:t>
      </w:r>
    </w:p>
    <w:p>
      <w:pPr>
        <w:pStyle w:val="64"/>
        <w:ind w:firstLine="420" w:firstLineChars="200"/>
        <w:rPr>
          <w:rFonts w:hint="eastAsia" w:ascii="宋体" w:hAnsi="宋体" w:cs="宋体"/>
          <w:color w:val="000000"/>
        </w:rPr>
      </w:pPr>
      <w:r>
        <w:rPr>
          <w:rFonts w:hint="eastAsia" w:ascii="宋体" w:hAnsi="宋体" w:cs="宋体"/>
          <w:color w:val="000000"/>
        </w:rPr>
        <w:t>（丄）街道于每月底对各考核单位的结果进行汇总，并反馈 至保洁公司，同时将结果报送市综合行政执法局备案。</w:t>
      </w:r>
    </w:p>
    <w:p>
      <w:pPr>
        <w:pStyle w:val="64"/>
        <w:ind w:firstLine="420" w:firstLineChars="200"/>
        <w:rPr>
          <w:rFonts w:hint="eastAsia" w:ascii="宋体" w:hAnsi="宋体" w:cs="宋体"/>
          <w:color w:val="000000"/>
        </w:rPr>
      </w:pPr>
      <w:bookmarkStart w:id="302" w:name="bookmark32"/>
      <w:r>
        <w:rPr>
          <w:rFonts w:hint="eastAsia" w:ascii="宋体" w:hAnsi="宋体" w:cs="宋体"/>
          <w:color w:val="000000"/>
        </w:rPr>
        <w:t>（</w:t>
      </w:r>
      <w:bookmarkEnd w:id="302"/>
      <w:r>
        <w:rPr>
          <w:rFonts w:hint="eastAsia" w:ascii="宋体" w:hAnsi="宋体" w:cs="宋体"/>
          <w:color w:val="000000"/>
        </w:rPr>
        <w:t>三）</w:t>
      </w:r>
      <w:r>
        <w:rPr>
          <w:rFonts w:hint="eastAsia" w:ascii="宋体" w:hAnsi="宋体" w:cs="宋体"/>
          <w:color w:val="000000"/>
        </w:rPr>
        <w:tab/>
      </w:r>
      <w:r>
        <w:rPr>
          <w:rFonts w:hint="eastAsia" w:ascii="宋体" w:hAnsi="宋体" w:cs="宋体"/>
          <w:color w:val="000000"/>
        </w:rPr>
        <w:t>保洁公司收到考核结果后，在收到考核结果之日起3 个工作日内可以向市综合行政执法局和街道提出异议申诉，市综 合行政执法局会同街道自收到申诉之日起5个工作日内进行审核 答复，逾期不予受理。</w:t>
      </w:r>
    </w:p>
    <w:p>
      <w:pPr>
        <w:pStyle w:val="64"/>
        <w:ind w:firstLine="420" w:firstLineChars="200"/>
        <w:rPr>
          <w:rFonts w:hint="eastAsia" w:ascii="宋体" w:hAnsi="宋体" w:cs="宋体"/>
          <w:color w:val="000000"/>
        </w:rPr>
      </w:pPr>
      <w:bookmarkStart w:id="303" w:name="bookmark33"/>
      <w:r>
        <w:rPr>
          <w:rFonts w:hint="eastAsia" w:ascii="宋体" w:hAnsi="宋体" w:cs="宋体"/>
          <w:color w:val="000000"/>
        </w:rPr>
        <w:t>（</w:t>
      </w:r>
      <w:bookmarkEnd w:id="303"/>
      <w:r>
        <w:rPr>
          <w:rFonts w:hint="eastAsia" w:ascii="宋体" w:hAnsi="宋体" w:cs="宋体"/>
          <w:color w:val="000000"/>
        </w:rPr>
        <w:t>四）</w:t>
      </w:r>
      <w:r>
        <w:rPr>
          <w:rFonts w:hint="eastAsia" w:ascii="宋体" w:hAnsi="宋体" w:cs="宋体"/>
          <w:color w:val="000000"/>
        </w:rPr>
        <w:tab/>
      </w:r>
      <w:r>
        <w:rPr>
          <w:rFonts w:hint="eastAsia" w:ascii="宋体" w:hAnsi="宋体" w:cs="宋体"/>
          <w:color w:val="000000"/>
        </w:rPr>
        <w:t>街道对保洁公司考核和市级对其考核得分率相差2 0% 以上的，市级综合行政执法局可会同市级各相关考核单位进行调 查核对，发现有违规予以纠正处理。</w:t>
      </w:r>
    </w:p>
    <w:p>
      <w:pPr>
        <w:pStyle w:val="64"/>
        <w:ind w:firstLine="420" w:firstLineChars="200"/>
        <w:rPr>
          <w:rFonts w:hint="eastAsia" w:ascii="宋体" w:hAnsi="宋体" w:cs="宋体"/>
          <w:color w:val="000000"/>
        </w:rPr>
      </w:pPr>
      <w:bookmarkStart w:id="304" w:name="bookmark34"/>
      <w:r>
        <w:rPr>
          <w:rFonts w:hint="eastAsia" w:ascii="宋体" w:hAnsi="宋体" w:cs="宋体"/>
          <w:color w:val="000000"/>
        </w:rPr>
        <w:t>（</w:t>
      </w:r>
      <w:bookmarkEnd w:id="304"/>
      <w:r>
        <w:rPr>
          <w:rFonts w:hint="eastAsia" w:ascii="宋体" w:hAnsi="宋体" w:cs="宋体"/>
          <w:color w:val="000000"/>
        </w:rPr>
        <w:t>五）</w:t>
      </w:r>
      <w:r>
        <w:rPr>
          <w:rFonts w:hint="eastAsia" w:ascii="宋体" w:hAnsi="宋体" w:cs="宋体"/>
          <w:color w:val="000000"/>
        </w:rPr>
        <w:tab/>
      </w:r>
      <w:r>
        <w:rPr>
          <w:rFonts w:hint="eastAsia" w:ascii="宋体" w:hAnsi="宋体" w:cs="宋体"/>
          <w:color w:val="000000"/>
        </w:rPr>
        <w:t>保洁公司在承包期限内违反《招标文件》和合同中约 定终止合同条款的，须街道会同市综合行政执法局形 成决议报请 瑞安市人民政府。</w:t>
      </w:r>
    </w:p>
    <w:p>
      <w:pPr>
        <w:pStyle w:val="64"/>
        <w:ind w:firstLine="420" w:firstLineChars="200"/>
        <w:rPr>
          <w:rFonts w:hint="eastAsia" w:ascii="宋体" w:hAnsi="宋体" w:cs="宋体"/>
          <w:color w:val="000000"/>
        </w:rPr>
      </w:pPr>
      <w:bookmarkStart w:id="305" w:name="bookmark35"/>
      <w:r>
        <w:rPr>
          <w:rFonts w:hint="eastAsia" w:ascii="宋体" w:hAnsi="宋体" w:cs="宋体"/>
          <w:color w:val="000000"/>
        </w:rPr>
        <w:t>七</w:t>
      </w:r>
      <w:bookmarkEnd w:id="305"/>
      <w:r>
        <w:rPr>
          <w:rFonts w:hint="eastAsia" w:ascii="宋体" w:hAnsi="宋体" w:cs="宋体"/>
          <w:color w:val="000000"/>
        </w:rPr>
        <w:t>、</w:t>
      </w:r>
      <w:r>
        <w:rPr>
          <w:rFonts w:hint="eastAsia" w:ascii="宋体" w:hAnsi="宋体" w:cs="宋体"/>
          <w:color w:val="000000"/>
        </w:rPr>
        <w:tab/>
      </w:r>
      <w:r>
        <w:rPr>
          <w:rFonts w:hint="eastAsia" w:ascii="宋体" w:hAnsi="宋体" w:cs="宋体"/>
          <w:color w:val="000000"/>
        </w:rPr>
        <w:t>考核纪律</w:t>
      </w:r>
    </w:p>
    <w:p>
      <w:pPr>
        <w:pStyle w:val="64"/>
        <w:ind w:firstLine="420" w:firstLineChars="200"/>
        <w:rPr>
          <w:rFonts w:hint="eastAsia" w:ascii="宋体" w:hAnsi="宋体" w:cs="宋体"/>
          <w:color w:val="000000"/>
        </w:rPr>
      </w:pPr>
      <w:bookmarkStart w:id="306" w:name="bookmark36"/>
      <w:r>
        <w:rPr>
          <w:rFonts w:hint="eastAsia" w:ascii="宋体" w:hAnsi="宋体" w:cs="宋体"/>
          <w:color w:val="000000"/>
        </w:rPr>
        <w:t>（</w:t>
      </w:r>
      <w:bookmarkEnd w:id="306"/>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考核工作客观、透明、公正。检查考核人员应认真遵 守廉洁自律规定，严格执行检查考核操作程序，自觉接受监督。</w:t>
      </w:r>
    </w:p>
    <w:p>
      <w:pPr>
        <w:pStyle w:val="64"/>
        <w:ind w:firstLine="420" w:firstLineChars="200"/>
        <w:rPr>
          <w:rFonts w:hint="eastAsia" w:ascii="宋体" w:hAnsi="宋体" w:cs="宋体"/>
          <w:color w:val="000000"/>
        </w:rPr>
      </w:pPr>
      <w:bookmarkStart w:id="307" w:name="bookmark37"/>
      <w:r>
        <w:rPr>
          <w:rFonts w:hint="eastAsia" w:ascii="宋体" w:hAnsi="宋体" w:cs="宋体"/>
          <w:color w:val="000000"/>
        </w:rPr>
        <w:t>（</w:t>
      </w:r>
      <w:bookmarkEnd w:id="307"/>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考核人员违反考核工作纪律的，将通报批评并依照相 关规定给予严肃处理。</w:t>
      </w:r>
    </w:p>
    <w:p>
      <w:pPr>
        <w:pStyle w:val="64"/>
        <w:ind w:firstLine="420" w:firstLineChars="200"/>
        <w:rPr>
          <w:rFonts w:hint="eastAsia" w:ascii="宋体" w:hAnsi="宋体" w:cs="宋体"/>
          <w:color w:val="000000"/>
        </w:rPr>
      </w:pPr>
      <w:bookmarkStart w:id="308" w:name="bookmark38"/>
      <w:r>
        <w:rPr>
          <w:rFonts w:hint="eastAsia" w:ascii="宋体" w:hAnsi="宋体" w:cs="宋体"/>
          <w:color w:val="000000"/>
        </w:rPr>
        <w:t>八</w:t>
      </w:r>
      <w:bookmarkEnd w:id="308"/>
      <w:r>
        <w:rPr>
          <w:rFonts w:hint="eastAsia" w:ascii="宋体" w:hAnsi="宋体" w:cs="宋体"/>
          <w:color w:val="000000"/>
        </w:rPr>
        <w:t>、</w:t>
      </w:r>
      <w:r>
        <w:rPr>
          <w:rFonts w:hint="eastAsia" w:ascii="宋体" w:hAnsi="宋体" w:cs="宋体"/>
          <w:color w:val="000000"/>
        </w:rPr>
        <w:tab/>
      </w:r>
      <w:r>
        <w:rPr>
          <w:rFonts w:hint="eastAsia" w:ascii="宋体" w:hAnsi="宋体" w:cs="宋体"/>
          <w:color w:val="000000"/>
        </w:rPr>
        <w:t>街道可以根据实际情况予以调整考核办法，中标承包单 位须接受并遵守。</w:t>
      </w:r>
    </w:p>
    <w:p>
      <w:pPr>
        <w:pStyle w:val="64"/>
        <w:ind w:firstLine="420" w:firstLineChars="200"/>
        <w:rPr>
          <w:rFonts w:hint="eastAsia" w:ascii="宋体" w:hAnsi="宋体" w:cs="宋体"/>
          <w:color w:val="000000"/>
        </w:rPr>
      </w:pPr>
      <w:bookmarkStart w:id="309" w:name="bookmark39"/>
      <w:r>
        <w:rPr>
          <w:rFonts w:hint="eastAsia" w:ascii="宋体" w:hAnsi="宋体" w:cs="宋体"/>
          <w:color w:val="000000"/>
        </w:rPr>
        <w:t>九</w:t>
      </w:r>
      <w:bookmarkEnd w:id="309"/>
      <w:r>
        <w:rPr>
          <w:rFonts w:hint="eastAsia" w:ascii="宋体" w:hAnsi="宋体" w:cs="宋体"/>
          <w:color w:val="000000"/>
        </w:rPr>
        <w:t>、</w:t>
      </w:r>
      <w:r>
        <w:rPr>
          <w:rFonts w:hint="eastAsia" w:ascii="宋体" w:hAnsi="宋体" w:cs="宋体"/>
          <w:color w:val="000000"/>
        </w:rPr>
        <w:tab/>
      </w:r>
      <w:r>
        <w:rPr>
          <w:rFonts w:hint="eastAsia" w:ascii="宋体" w:hAnsi="宋体" w:cs="宋体"/>
          <w:color w:val="000000"/>
        </w:rPr>
        <w:t>其他</w:t>
      </w:r>
    </w:p>
    <w:p>
      <w:pPr>
        <w:pStyle w:val="64"/>
        <w:ind w:firstLine="420" w:firstLineChars="200"/>
        <w:rPr>
          <w:rFonts w:hint="eastAsia" w:ascii="宋体" w:hAnsi="宋体" w:cs="宋体"/>
          <w:color w:val="000000"/>
        </w:rPr>
      </w:pPr>
      <w:bookmarkStart w:id="310" w:name="bookmark40"/>
      <w:r>
        <w:rPr>
          <w:rFonts w:hint="eastAsia" w:ascii="宋体" w:hAnsi="宋体" w:cs="宋体"/>
          <w:color w:val="000000"/>
        </w:rPr>
        <w:t>（</w:t>
      </w:r>
      <w:bookmarkEnd w:id="310"/>
      <w:r>
        <w:rPr>
          <w:rFonts w:hint="eastAsia" w:ascii="宋体" w:hAnsi="宋体" w:cs="宋体"/>
          <w:color w:val="000000"/>
        </w:rPr>
        <w:t>一）</w:t>
      </w:r>
      <w:r>
        <w:rPr>
          <w:rFonts w:hint="eastAsia" w:ascii="宋体" w:hAnsi="宋体" w:cs="宋体"/>
          <w:color w:val="000000"/>
        </w:rPr>
        <w:tab/>
      </w:r>
      <w:r>
        <w:rPr>
          <w:rFonts w:hint="eastAsia" w:ascii="宋体" w:hAnsi="宋体" w:cs="宋体"/>
          <w:color w:val="000000"/>
        </w:rPr>
        <w:t>本办法已报备瑞安市</w:t>
      </w:r>
      <w:r>
        <w:rPr>
          <w:rFonts w:hint="eastAsia" w:ascii="宋体" w:hAnsi="宋体" w:cs="宋体"/>
          <w:color w:val="000000"/>
          <w:lang w:val="zh-CN"/>
        </w:rPr>
        <w:t>“一把</w:t>
      </w:r>
      <w:r>
        <w:rPr>
          <w:rFonts w:hint="eastAsia" w:ascii="宋体" w:hAnsi="宋体" w:cs="宋体"/>
          <w:color w:val="000000"/>
        </w:rPr>
        <w:t>扫帚”环卫管理体制改革 领导小组审核通过。</w:t>
      </w:r>
    </w:p>
    <w:p>
      <w:pPr>
        <w:pStyle w:val="64"/>
        <w:ind w:firstLine="420" w:firstLineChars="200"/>
        <w:rPr>
          <w:rFonts w:hint="eastAsia" w:ascii="宋体" w:hAnsi="宋体" w:cs="宋体"/>
          <w:color w:val="000000"/>
        </w:rPr>
      </w:pPr>
      <w:bookmarkStart w:id="311" w:name="bookmark41"/>
      <w:r>
        <w:rPr>
          <w:rFonts w:hint="eastAsia" w:ascii="宋体" w:hAnsi="宋体" w:cs="宋体"/>
          <w:color w:val="000000"/>
        </w:rPr>
        <w:t>（</w:t>
      </w:r>
      <w:bookmarkEnd w:id="311"/>
      <w:r>
        <w:rPr>
          <w:rFonts w:hint="eastAsia" w:ascii="宋体" w:hAnsi="宋体" w:cs="宋体"/>
          <w:color w:val="000000"/>
        </w:rPr>
        <w:t>二）</w:t>
      </w:r>
      <w:r>
        <w:rPr>
          <w:rFonts w:hint="eastAsia" w:ascii="宋体" w:hAnsi="宋体" w:cs="宋体"/>
          <w:color w:val="000000"/>
        </w:rPr>
        <w:tab/>
      </w:r>
      <w:r>
        <w:rPr>
          <w:rFonts w:hint="eastAsia" w:ascii="宋体" w:hAnsi="宋体" w:cs="宋体"/>
          <w:color w:val="000000"/>
        </w:rPr>
        <w:t>本办法自印发之日起实施</w:t>
      </w:r>
    </w:p>
    <w:p>
      <w:pPr>
        <w:pStyle w:val="64"/>
        <w:ind w:firstLine="420" w:firstLineChars="200"/>
        <w:rPr>
          <w:rFonts w:hint="eastAsia" w:ascii="宋体" w:hAnsi="宋体" w:cs="宋体"/>
          <w:color w:val="000000"/>
        </w:rPr>
      </w:pPr>
      <w:r>
        <w:rPr>
          <w:rFonts w:hint="eastAsia" w:ascii="宋体" w:hAnsi="宋体" w:cs="宋体"/>
          <w:color w:val="000000"/>
        </w:rPr>
        <w:t>附件1:锦湖街道</w:t>
      </w:r>
      <w:r>
        <w:rPr>
          <w:rFonts w:hint="eastAsia" w:ascii="宋体" w:hAnsi="宋体" w:cs="宋体"/>
          <w:color w:val="000000"/>
          <w:lang w:val="zh-CN"/>
        </w:rPr>
        <w:t>“一把</w:t>
      </w:r>
      <w:r>
        <w:rPr>
          <w:rFonts w:hint="eastAsia" w:ascii="宋体" w:hAnsi="宋体" w:cs="宋体"/>
          <w:color w:val="000000"/>
        </w:rPr>
        <w:t>扫帚”保洁质量评分标准</w:t>
      </w:r>
    </w:p>
    <w:p>
      <w:pPr>
        <w:pStyle w:val="14"/>
        <w:rPr>
          <w:rFonts w:hint="eastAsia" w:ascii="宋体" w:hAnsi="宋体" w:cs="宋体"/>
          <w:color w:val="000000"/>
        </w:rPr>
        <w:sectPr>
          <w:footerReference r:id="rId9" w:type="first"/>
          <w:footerReference r:id="rId8" w:type="default"/>
          <w:pgSz w:w="11906" w:h="16838"/>
          <w:pgMar w:top="1134" w:right="1134" w:bottom="1134" w:left="1134" w:header="851" w:footer="851" w:gutter="0"/>
          <w:pgNumType w:start="1"/>
          <w:cols w:space="720" w:num="1"/>
          <w:titlePg/>
          <w:docGrid w:linePitch="312" w:charSpace="0"/>
        </w:sectPr>
      </w:pPr>
    </w:p>
    <w:p>
      <w:pPr>
        <w:pageBreakBefore/>
        <w:adjustRightInd w:val="0"/>
        <w:snapToGrid w:val="0"/>
        <w:spacing w:line="380" w:lineRule="exact"/>
        <w:ind w:left="-2" w:leftChars="-1" w:firstLine="2"/>
        <w:jc w:val="left"/>
        <w:rPr>
          <w:rFonts w:ascii="宋体" w:hAnsi="宋体"/>
          <w:b/>
          <w:sz w:val="30"/>
          <w:szCs w:val="30"/>
        </w:rPr>
      </w:pPr>
      <w:r>
        <w:rPr>
          <w:rFonts w:hint="eastAsia" w:ascii="黑体" w:hAnsi="黑体" w:eastAsia="黑体" w:cs="方正小标宋简体"/>
          <w:bCs/>
          <w:sz w:val="32"/>
          <w:szCs w:val="32"/>
        </w:rPr>
        <w:t>附件1：</w:t>
      </w:r>
      <w:r>
        <w:rPr>
          <w:rFonts w:hint="eastAsia" w:ascii="方正小标宋简体" w:hAnsi="方正小标宋简体" w:eastAsia="方正小标宋简体" w:cs="方正小标宋简体"/>
          <w:bCs/>
          <w:sz w:val="36"/>
          <w:szCs w:val="36"/>
        </w:rPr>
        <w:t xml:space="preserve"> </w:t>
      </w:r>
      <w:r>
        <w:rPr>
          <w:rFonts w:ascii="方正小标宋简体" w:hAnsi="方正小标宋简体" w:eastAsia="方正小标宋简体" w:cs="方正小标宋简体"/>
          <w:bCs/>
          <w:sz w:val="36"/>
          <w:szCs w:val="36"/>
        </w:rPr>
        <w:t xml:space="preserve">             </w:t>
      </w:r>
      <w:r>
        <w:rPr>
          <w:rFonts w:hint="eastAsia" w:ascii="方正小标宋简体" w:hAnsi="方正小标宋简体" w:eastAsia="方正小标宋简体" w:cs="方正小标宋简体"/>
          <w:bCs/>
          <w:sz w:val="36"/>
          <w:szCs w:val="36"/>
        </w:rPr>
        <w:t>瑞安市“一把扫帚”清扫保洁考核评分标准</w:t>
      </w:r>
    </w:p>
    <w:p>
      <w:pPr>
        <w:numPr>
          <w:ilvl w:val="0"/>
          <w:numId w:val="29"/>
        </w:numPr>
        <w:spacing w:line="380" w:lineRule="exact"/>
        <w:rPr>
          <w:rFonts w:ascii="新宋体" w:hAnsi="新宋体" w:eastAsia="新宋体"/>
          <w:b/>
          <w:sz w:val="22"/>
        </w:rPr>
      </w:pPr>
      <w:r>
        <w:rPr>
          <w:rFonts w:hint="eastAsia" w:ascii="新宋体" w:hAnsi="新宋体" w:eastAsia="新宋体"/>
          <w:b/>
          <w:sz w:val="22"/>
        </w:rPr>
        <w:t>城区、集镇区环境卫生考评表  （45</w:t>
      </w:r>
      <w:r>
        <w:rPr>
          <w:rFonts w:ascii="新宋体" w:hAnsi="新宋体" w:eastAsia="新宋体"/>
          <w:b/>
          <w:sz w:val="22"/>
        </w:rPr>
        <w:t>0</w:t>
      </w:r>
      <w:r>
        <w:rPr>
          <w:rFonts w:hint="eastAsia" w:ascii="新宋体" w:hAnsi="新宋体" w:eastAsia="新宋体"/>
          <w:b/>
          <w:sz w:val="22"/>
        </w:rPr>
        <w:t>分）</w:t>
      </w:r>
    </w:p>
    <w:tbl>
      <w:tblPr>
        <w:tblStyle w:val="29"/>
        <w:tblW w:w="14850" w:type="dxa"/>
        <w:tblInd w:w="0" w:type="dxa"/>
        <w:tblLayout w:type="fixed"/>
        <w:tblCellMar>
          <w:top w:w="0" w:type="dxa"/>
          <w:left w:w="108" w:type="dxa"/>
          <w:bottom w:w="0" w:type="dxa"/>
          <w:right w:w="108" w:type="dxa"/>
        </w:tblCellMar>
      </w:tblPr>
      <w:tblGrid>
        <w:gridCol w:w="959"/>
        <w:gridCol w:w="992"/>
        <w:gridCol w:w="9497"/>
        <w:gridCol w:w="709"/>
        <w:gridCol w:w="709"/>
        <w:gridCol w:w="1984"/>
      </w:tblGrid>
      <w:tr>
        <w:tblPrEx>
          <w:tblCellMar>
            <w:top w:w="0" w:type="dxa"/>
            <w:left w:w="108" w:type="dxa"/>
            <w:bottom w:w="0" w:type="dxa"/>
            <w:right w:w="108" w:type="dxa"/>
          </w:tblCellMar>
        </w:tblPrEx>
        <w:trPr>
          <w:trHeight w:val="510" w:hRule="atLeast"/>
        </w:trPr>
        <w:tc>
          <w:tcPr>
            <w:tcW w:w="959" w:type="dxa"/>
            <w:tcBorders>
              <w:top w:val="single" w:color="auto" w:sz="4"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92" w:type="dxa"/>
            <w:tcBorders>
              <w:top w:val="single" w:color="auto" w:sz="4"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子项目</w:t>
            </w:r>
          </w:p>
        </w:tc>
        <w:tc>
          <w:tcPr>
            <w:tcW w:w="9497" w:type="dxa"/>
            <w:tcBorders>
              <w:top w:val="single" w:color="auto" w:sz="4"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保洁要求与评分标准</w:t>
            </w:r>
          </w:p>
        </w:tc>
        <w:tc>
          <w:tcPr>
            <w:tcW w:w="709" w:type="dxa"/>
            <w:tcBorders>
              <w:top w:val="single" w:color="auto" w:sz="4" w:space="0"/>
              <w:left w:val="single" w:color="auto" w:sz="6" w:space="0"/>
              <w:bottom w:val="nil"/>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709" w:type="dxa"/>
            <w:tcBorders>
              <w:top w:val="single" w:color="auto" w:sz="4" w:space="0"/>
              <w:left w:val="single" w:color="auto" w:sz="4" w:space="0"/>
              <w:bottom w:val="nil"/>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984" w:type="dxa"/>
            <w:tcBorders>
              <w:top w:val="single" w:color="auto" w:sz="4" w:space="0"/>
              <w:left w:val="single" w:color="auto" w:sz="6" w:space="0"/>
              <w:bottom w:val="nil"/>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2411" w:hRule="exact"/>
        </w:trPr>
        <w:tc>
          <w:tcPr>
            <w:tcW w:w="959" w:type="dxa"/>
            <w:vMerge w:val="restart"/>
            <w:tcBorders>
              <w:top w:val="single" w:color="auto" w:sz="4" w:space="0"/>
              <w:left w:val="single" w:color="auto" w:sz="6"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新宋体" w:hAnsi="新宋体" w:eastAsia="新宋体"/>
                <w:b/>
                <w:sz w:val="22"/>
              </w:rPr>
              <w:t>主要道路清扫保洁</w:t>
            </w:r>
          </w:p>
        </w:tc>
        <w:tc>
          <w:tcPr>
            <w:tcW w:w="992" w:type="dxa"/>
            <w:tcBorders>
              <w:top w:val="single" w:color="auto" w:sz="4"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新宋体" w:hAnsi="新宋体" w:eastAsia="新宋体"/>
                <w:b/>
                <w:sz w:val="22"/>
              </w:rPr>
              <w:t>道路清扫（含绿化带）保洁</w:t>
            </w:r>
          </w:p>
        </w:tc>
        <w:tc>
          <w:tcPr>
            <w:tcW w:w="9497" w:type="dxa"/>
            <w:tcBorders>
              <w:top w:val="single" w:color="auto" w:sz="4"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清扫保洁要达到“七无、五净、一通”标准，即无杂物，无果皮壳，无纸屑、烟蒂、塑料袋，无淤泥积土，无污水，无堵塞窨井沟眼，无卫生死角；路面、路牙净，窨井沟眼净，树穴净，边角净，花坛周围净；落水口、排水渠通。有卫生死角的，一处扣3分；有成堆垃圾的，一处扣2分；有连续散落垃圾的，一处扣1分；有袋装垃圾的，一处扣1分；有垃圾散落点的，三处为一例，每例扣0.5分；地上有烟蒂的，五个为一例，每例扣0.5分；地面有积污水的，一处扣1分；落水口、排水渠堵塞的，一处扣1分；路肩等有杂草的，一处扣1分。</w:t>
            </w:r>
          </w:p>
        </w:tc>
        <w:tc>
          <w:tcPr>
            <w:tcW w:w="709"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709" w:type="dxa"/>
            <w:tcBorders>
              <w:top w:val="single" w:color="auto" w:sz="4" w:space="0"/>
              <w:left w:val="single" w:color="auto" w:sz="4"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546" w:hRule="exact"/>
        </w:trPr>
        <w:tc>
          <w:tcPr>
            <w:tcW w:w="959" w:type="dxa"/>
            <w:vMerge w:val="continue"/>
            <w:tcBorders>
              <w:left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新宋体" w:hAnsi="新宋体" w:eastAsia="新宋体"/>
                <w:b/>
                <w:sz w:val="22"/>
              </w:rPr>
              <w:t>市政设施保洁</w:t>
            </w:r>
          </w:p>
        </w:tc>
        <w:tc>
          <w:tcPr>
            <w:tcW w:w="9497" w:type="dxa"/>
            <w:tcBorders>
              <w:top w:val="single" w:color="auto" w:sz="4"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垃圾桶、果壳箱等环卫设施有破损、丢失未及时修复的，一处扣2分；垃圾桶、果壳箱外观不清洁，一处扣1分；垃圾容器封闭无四害滋生，周围无垃圾散落，垃圾做到日产日清。垃圾桶、果壳箱、垃圾坞有溢满的现象，或周围不清洁的，一处扣2分；内部或周边有四害滋生的，一处扣1分；垃圾桶、果壳箱、垃圾坞等垃圾分类标识破损或掉落未及时修复更换的，一处扣1分；垃圾桶、果壳箱未加盖、关门的，一处扣</w:t>
            </w:r>
            <w:r>
              <w:rPr>
                <w:rFonts w:ascii="仿宋_GB2312" w:hAnsi="宋体" w:eastAsia="仿宋_GB2312" w:cs="宋体"/>
                <w:kern w:val="0"/>
                <w:szCs w:val="21"/>
              </w:rPr>
              <w:t>1</w:t>
            </w:r>
            <w:r>
              <w:rPr>
                <w:rFonts w:hint="eastAsia" w:ascii="仿宋_GB2312" w:hAnsi="宋体" w:eastAsia="仿宋_GB2312" w:cs="宋体"/>
                <w:kern w:val="0"/>
                <w:szCs w:val="21"/>
              </w:rPr>
              <w:t>分；将已分类的垃圾混合收运的，一次扣3分。②交通护栏不整洁的，每</w:t>
            </w:r>
            <w:r>
              <w:rPr>
                <w:rFonts w:ascii="仿宋_GB2312" w:hAnsi="宋体" w:eastAsia="仿宋_GB2312" w:cs="宋体"/>
                <w:kern w:val="0"/>
                <w:szCs w:val="21"/>
              </w:rPr>
              <w:t>1</w:t>
            </w:r>
            <w:r>
              <w:rPr>
                <w:rFonts w:hint="eastAsia" w:ascii="仿宋_GB2312" w:hAnsi="宋体" w:eastAsia="仿宋_GB2312" w:cs="宋体"/>
                <w:kern w:val="0"/>
                <w:szCs w:val="21"/>
              </w:rPr>
              <w:t>0米扣1分。③其它市政设施有污痕、污垢、积尘的，一处扣1分。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549" w:hRule="exact"/>
        </w:trPr>
        <w:tc>
          <w:tcPr>
            <w:tcW w:w="959" w:type="dxa"/>
            <w:vMerge w:val="continue"/>
            <w:tcBorders>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宋体"/>
                <w:b/>
                <w:sz w:val="22"/>
              </w:rPr>
              <w:t>小广告治理</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外墙、地面、栏杆、店面卷帘门、空调外机等小广告清理保洁做到“日有日清”，未及时处理的，一处扣1分。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一处扣1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595"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子项目</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widowControl/>
              <w:snapToGrid w:val="0"/>
              <w:spacing w:line="300" w:lineRule="exact"/>
              <w:jc w:val="center"/>
              <w:rPr>
                <w:rFonts w:ascii="宋体" w:hAnsi="宋体" w:cs="宋体"/>
                <w:b/>
                <w:kern w:val="0"/>
                <w:sz w:val="24"/>
              </w:rPr>
            </w:pPr>
            <w:r>
              <w:rPr>
                <w:rFonts w:hint="eastAsia" w:ascii="宋体" w:hAnsi="宋体" w:cs="宋体"/>
                <w:b/>
                <w:kern w:val="0"/>
                <w:sz w:val="24"/>
              </w:rPr>
              <w:t>保洁要求与评分标准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1537" w:hRule="exact"/>
        </w:trPr>
        <w:tc>
          <w:tcPr>
            <w:tcW w:w="959" w:type="dxa"/>
            <w:vMerge w:val="restart"/>
            <w:tcBorders>
              <w:top w:val="single" w:color="auto" w:sz="6" w:space="0"/>
              <w:left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新宋体" w:hAnsi="新宋体" w:eastAsia="新宋体"/>
                <w:b/>
                <w:sz w:val="22"/>
              </w:rPr>
              <w:t>主要道路清扫保洁</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新宋体" w:hAnsi="新宋体" w:eastAsia="新宋体"/>
                <w:b/>
                <w:sz w:val="22"/>
              </w:rPr>
              <w:t>机械化作业</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宋体" w:hAnsi="宋体" w:cs="宋体"/>
                <w:b/>
                <w:kern w:val="0"/>
                <w:sz w:val="24"/>
              </w:rPr>
            </w:pPr>
            <w:r>
              <w:rPr>
                <w:rFonts w:hint="eastAsia" w:ascii="仿宋_GB2312" w:hAnsi="宋体" w:eastAsia="仿宋_GB2312" w:cs="宋体"/>
                <w:kern w:val="0"/>
                <w:szCs w:val="21"/>
              </w:rPr>
              <w:t>①械化作业要机扫到边、到位效果明显。机扫作业后路面有垃圾、积泥、沙石的，一次扣1分；机扫作业时“干扫”或侧刷或吸盘未落地的，一次扣1分；机械清扫车随意倾倒、偷倒、乱倒垃圾的，一次扣3分。②道路洒水要有明显的降温压尘的效果。道路冲洗后，路面有积垢、灰尘、烟蒂、果壳散落的，一次扣</w:t>
            </w:r>
            <w:r>
              <w:rPr>
                <w:rFonts w:ascii="仿宋_GB2312" w:hAnsi="宋体" w:eastAsia="仿宋_GB2312" w:cs="宋体"/>
                <w:kern w:val="0"/>
                <w:szCs w:val="21"/>
              </w:rPr>
              <w:t>1</w:t>
            </w:r>
            <w:r>
              <w:rPr>
                <w:rFonts w:hint="eastAsia" w:ascii="仿宋_GB2312" w:hAnsi="宋体" w:eastAsia="仿宋_GB2312" w:cs="宋体"/>
                <w:kern w:val="0"/>
                <w:szCs w:val="21"/>
              </w:rPr>
              <w:t>分。③机械车辆、船只未及时清洗，作业影响市容市貌的，一辆扣2分。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宋体" w:hAnsi="宋体" w:cs="宋体"/>
                <w:b/>
                <w:kern w:val="0"/>
                <w:sz w:val="24"/>
              </w:rPr>
            </w:pPr>
            <w:r>
              <w:rPr>
                <w:rFonts w:hint="eastAsia" w:ascii="仿宋_GB2312" w:hAnsi="宋体" w:eastAsia="仿宋_GB2312" w:cs="宋体"/>
                <w:kern w:val="0"/>
                <w:szCs w:val="21"/>
              </w:rPr>
              <w:t>15</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p>
        </w:tc>
      </w:tr>
      <w:tr>
        <w:tblPrEx>
          <w:tblCellMar>
            <w:top w:w="0" w:type="dxa"/>
            <w:left w:w="108" w:type="dxa"/>
            <w:bottom w:w="0" w:type="dxa"/>
            <w:right w:w="108" w:type="dxa"/>
          </w:tblCellMar>
        </w:tblPrEx>
        <w:trPr>
          <w:trHeight w:val="1855" w:hRule="exact"/>
        </w:trPr>
        <w:tc>
          <w:tcPr>
            <w:tcW w:w="959" w:type="dxa"/>
            <w:vMerge w:val="continue"/>
            <w:tcBorders>
              <w:left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无主建筑垃圾清理</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负责区域内无主建筑垃圾的清理，做业期间基本无扬尘，运输途中无垃圾撒落。运输途中垃圾撒落的，一处扣3分。②随意倾倒、偷倒、乱倒垃圾或未在指定地点倾倒的，一次扣3分；建筑垃圾与生活垃圾混运、混放的，一次扣3分。③保洁责任区域内应当发现的渣土、装修垃圾，未及时清理的，一处扣3分；未采用专用车辆进行清运的，一次扣3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264" w:hRule="exact"/>
        </w:trPr>
        <w:tc>
          <w:tcPr>
            <w:tcW w:w="959" w:type="dxa"/>
            <w:vMerge w:val="continue"/>
            <w:tcBorders>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规范作业</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①作业人员佩证上岗，作业期内穿反光安全服，在作业期间发现未穿工作服或工作服破损肮脏的，一次扣</w:t>
            </w:r>
            <w:r>
              <w:rPr>
                <w:rFonts w:ascii="仿宋_GB2312" w:hAnsi="宋体" w:eastAsia="仿宋_GB2312" w:cs="宋体"/>
                <w:kern w:val="0"/>
                <w:szCs w:val="21"/>
              </w:rPr>
              <w:t>1</w:t>
            </w:r>
            <w:r>
              <w:rPr>
                <w:rFonts w:hint="eastAsia" w:ascii="仿宋_GB2312" w:hAnsi="宋体" w:eastAsia="仿宋_GB2312" w:cs="宋体"/>
                <w:kern w:val="0"/>
                <w:szCs w:val="21"/>
              </w:rPr>
              <w:t>分；在作业时间内，集聚闲聊、工期休息超过10分钟、做与作业无关的事，一次扣</w:t>
            </w:r>
            <w:r>
              <w:rPr>
                <w:rFonts w:ascii="仿宋_GB2312" w:hAnsi="宋体" w:eastAsia="仿宋_GB2312" w:cs="宋体"/>
                <w:kern w:val="0"/>
                <w:szCs w:val="21"/>
              </w:rPr>
              <w:t>1</w:t>
            </w:r>
            <w:r>
              <w:rPr>
                <w:rFonts w:hint="eastAsia" w:ascii="仿宋_GB2312" w:hAnsi="宋体" w:eastAsia="仿宋_GB2312" w:cs="宋体"/>
                <w:kern w:val="0"/>
                <w:szCs w:val="21"/>
              </w:rPr>
              <w:t>分。②车辆停放未遵守交通法规的，一次扣2分；垃圾未实行密闭运输的，一次扣</w:t>
            </w:r>
            <w:r>
              <w:rPr>
                <w:rFonts w:ascii="仿宋_GB2312" w:hAnsi="宋体" w:eastAsia="仿宋_GB2312" w:cs="宋体"/>
                <w:kern w:val="0"/>
                <w:szCs w:val="21"/>
              </w:rPr>
              <w:t>2</w:t>
            </w:r>
            <w:r>
              <w:rPr>
                <w:rFonts w:hint="eastAsia" w:ascii="仿宋_GB2312" w:hAnsi="宋体" w:eastAsia="仿宋_GB2312" w:cs="宋体"/>
                <w:kern w:val="0"/>
                <w:szCs w:val="21"/>
              </w:rPr>
              <w:t>分；超高运输和吊挂杂物，一次扣1分。③作业人员擅自向责任区内单位收取各种费用的，一次扣3分；私自携带工业垃圾进垃圾中转的（零星的除外），一次扣3分。④洒水车接水点规范使用，做到节约用水，发现浪费、水龙头未拧紧一处扣5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873"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新宋体" w:hAnsi="新宋体" w:eastAsia="新宋体"/>
                <w:b/>
                <w:sz w:val="22"/>
              </w:rPr>
              <w:t>背街小巷、开放式小区清扫保洁</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新宋体" w:hAnsi="新宋体" w:eastAsia="新宋体"/>
                <w:b/>
                <w:sz w:val="22"/>
              </w:rPr>
              <w:t>道路清扫（含绿化带）保洁</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清扫保洁要达到“七无、五净、一通”标准，即无杂物，无果皮壳，无纸屑、烟蒂、塑料袋，无淤泥积土，无污水，无堵塞窨井沟眼，无卫生死角；路面、路牙净，窨井沟眼净，树穴净，边角净，花坛周围净；落水口、排水渠通。有卫生死角的，一处扣3分；有成堆垃圾的，一处扣2分；有连续散落垃圾的，一处扣1分；有袋装垃圾的，一处扣1分；有垃圾散落点的，三处为一例，每例扣0.5分；地上有烟蒂的，五个为一例，每例扣0.5分；地面有积污水的，一处扣1分；落水口、排水渠堵塞的，一处扣1分；路肩等有杂草的，一处扣1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widowControl/>
              <w:snapToGrid w:val="0"/>
              <w:ind w:right="-105" w:rightChars="-50"/>
              <w:jc w:val="center"/>
              <w:rPr>
                <w:rFonts w:ascii="宋体" w:hAnsi="宋体" w:cs="宋体"/>
                <w:b/>
                <w:kern w:val="0"/>
                <w:sz w:val="24"/>
              </w:rPr>
            </w:pPr>
            <w:r>
              <w:rPr>
                <w:rFonts w:hint="eastAsia" w:ascii="仿宋_GB2312" w:hAnsi="宋体" w:eastAsia="仿宋_GB2312" w:cs="宋体"/>
                <w:kern w:val="0"/>
                <w:szCs w:val="21"/>
              </w:rPr>
              <w:t>80</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p>
        </w:tc>
      </w:tr>
      <w:tr>
        <w:tblPrEx>
          <w:tblCellMar>
            <w:top w:w="0" w:type="dxa"/>
            <w:left w:w="108" w:type="dxa"/>
            <w:bottom w:w="0" w:type="dxa"/>
            <w:right w:w="108" w:type="dxa"/>
          </w:tblCellMar>
        </w:tblPrEx>
        <w:trPr>
          <w:trHeight w:val="581"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子项目</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widowControl/>
              <w:snapToGrid w:val="0"/>
              <w:spacing w:line="300" w:lineRule="exact"/>
              <w:jc w:val="center"/>
              <w:rPr>
                <w:rFonts w:ascii="宋体" w:hAnsi="宋体" w:cs="宋体"/>
                <w:b/>
                <w:kern w:val="0"/>
                <w:sz w:val="24"/>
              </w:rPr>
            </w:pPr>
            <w:r>
              <w:rPr>
                <w:rFonts w:hint="eastAsia" w:ascii="宋体" w:hAnsi="宋体" w:cs="宋体"/>
                <w:b/>
                <w:kern w:val="0"/>
                <w:sz w:val="24"/>
              </w:rPr>
              <w:t>保洁要求与评分标准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2132" w:hRule="exact"/>
        </w:trPr>
        <w:tc>
          <w:tcPr>
            <w:tcW w:w="959" w:type="dxa"/>
            <w:vMerge w:val="restart"/>
            <w:tcBorders>
              <w:left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新宋体" w:hAnsi="新宋体" w:eastAsia="新宋体"/>
                <w:b/>
                <w:sz w:val="22"/>
              </w:rPr>
              <w:t>背街小巷、开放式小区清扫保洁</w:t>
            </w: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jc w:val="center"/>
              <w:rPr>
                <w:rFonts w:ascii="仿宋_GB2312" w:hAnsi="宋体" w:eastAsia="仿宋_GB2312" w:cs="宋体"/>
                <w:kern w:val="0"/>
                <w:szCs w:val="21"/>
              </w:rPr>
            </w:pPr>
            <w:r>
              <w:rPr>
                <w:rFonts w:hint="eastAsia" w:ascii="新宋体" w:hAnsi="新宋体" w:eastAsia="新宋体"/>
                <w:b/>
                <w:sz w:val="22"/>
              </w:rPr>
              <w:t>市政设施保洁</w:t>
            </w:r>
          </w:p>
        </w:tc>
        <w:tc>
          <w:tcPr>
            <w:tcW w:w="9497" w:type="dxa"/>
            <w:tcBorders>
              <w:top w:val="single" w:color="auto" w:sz="4"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垃圾桶、果壳箱等环卫设施有破损、丢失未及时修复的，一处扣2分；垃圾桶、果壳箱外观不清洁，一处扣1分；垃圾容器封闭无四害滋生，周围无垃圾散落，垃圾做到日产日清。垃圾桶、果壳箱、垃圾坞有溢满的现象，或周围不清洁的，一处扣2分；内部或周边有四害滋生的，一处扣1分；垃圾桶、果壳箱、垃圾坞等垃圾分类标识破损或掉落未及时修复更换的，一处扣1分；垃圾桶、果壳箱未加盖、关门的，一处扣</w:t>
            </w:r>
            <w:r>
              <w:rPr>
                <w:rFonts w:ascii="仿宋_GB2312" w:hAnsi="宋体" w:eastAsia="仿宋_GB2312" w:cs="宋体"/>
                <w:kern w:val="0"/>
                <w:szCs w:val="21"/>
              </w:rPr>
              <w:t>1</w:t>
            </w:r>
            <w:r>
              <w:rPr>
                <w:rFonts w:hint="eastAsia" w:ascii="仿宋_GB2312" w:hAnsi="宋体" w:eastAsia="仿宋_GB2312" w:cs="宋体"/>
                <w:kern w:val="0"/>
                <w:szCs w:val="21"/>
              </w:rPr>
              <w:t>分；将已分类的垃圾混合收运的，一次扣3分。②交通护栏不整洁的，每</w:t>
            </w:r>
            <w:r>
              <w:rPr>
                <w:rFonts w:ascii="仿宋_GB2312" w:hAnsi="宋体" w:eastAsia="仿宋_GB2312" w:cs="宋体"/>
                <w:kern w:val="0"/>
                <w:szCs w:val="21"/>
              </w:rPr>
              <w:t>1</w:t>
            </w:r>
            <w:r>
              <w:rPr>
                <w:rFonts w:hint="eastAsia" w:ascii="仿宋_GB2312" w:hAnsi="宋体" w:eastAsia="仿宋_GB2312" w:cs="宋体"/>
                <w:kern w:val="0"/>
                <w:szCs w:val="21"/>
              </w:rPr>
              <w:t>0米扣1分。③其它市政设施有污痕、污垢、积尘的，一处扣1分。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119" w:hRule="exact"/>
        </w:trPr>
        <w:tc>
          <w:tcPr>
            <w:tcW w:w="959" w:type="dxa"/>
            <w:vMerge w:val="continue"/>
            <w:tcBorders>
              <w:left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jc w:val="center"/>
              <w:rPr>
                <w:rFonts w:ascii="仿宋_GB2312" w:hAnsi="宋体" w:eastAsia="仿宋_GB2312" w:cs="宋体"/>
                <w:kern w:val="0"/>
                <w:szCs w:val="21"/>
              </w:rPr>
            </w:pPr>
            <w:r>
              <w:rPr>
                <w:rFonts w:hint="eastAsia" w:ascii="宋体"/>
                <w:b/>
                <w:sz w:val="22"/>
              </w:rPr>
              <w:t>小广告治理</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外墙、地面、栏杆、店面卷帘门、空调外机等小广告清理保洁做到“日有日清”，未及时处理的，一处扣1分。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一处扣1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574" w:hRule="exact"/>
        </w:trPr>
        <w:tc>
          <w:tcPr>
            <w:tcW w:w="959" w:type="dxa"/>
            <w:vMerge w:val="continue"/>
            <w:tcBorders>
              <w:left w:val="single" w:color="auto" w:sz="6" w:space="0"/>
              <w:right w:val="single" w:color="auto" w:sz="6" w:space="0"/>
            </w:tcBorders>
            <w:noWrap w:val="0"/>
            <w:vAlign w:val="center"/>
          </w:tcPr>
          <w:p>
            <w:pPr>
              <w:widowControl/>
              <w:snapToGrid w:val="0"/>
              <w:jc w:val="center"/>
              <w:rPr>
                <w:rFonts w:ascii="宋体" w:hAnsi="宋体" w:cs="宋体"/>
                <w:b/>
                <w:kern w:val="0"/>
                <w:sz w:val="24"/>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b/>
                <w:sz w:val="22"/>
              </w:rPr>
              <w:t>无主建筑垃圾清理</w:t>
            </w:r>
          </w:p>
        </w:tc>
        <w:tc>
          <w:tcPr>
            <w:tcW w:w="9497" w:type="dxa"/>
            <w:tcBorders>
              <w:top w:val="single" w:color="auto" w:sz="4" w:space="0"/>
              <w:left w:val="single" w:color="auto" w:sz="6" w:space="0"/>
              <w:bottom w:val="single" w:color="auto" w:sz="6"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负责区域内无主建筑垃圾的清理，做业期间基本无扬尘，运输途中无垃圾撒落。运输途中垃圾撒落的，一处扣3分。②随意倾倒、偷倒、乱倒垃圾或未在指定地点倾倒的，一次扣3分；建筑垃圾与生活垃圾混运、混放的，一次扣3分。③保洁责任区域内应当发现的渣土、装修垃圾，未及时清理的，一处扣3分；未采用专用车辆进行清运的，一次扣3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p>
        </w:tc>
      </w:tr>
      <w:tr>
        <w:tblPrEx>
          <w:tblCellMar>
            <w:top w:w="0" w:type="dxa"/>
            <w:left w:w="108" w:type="dxa"/>
            <w:bottom w:w="0" w:type="dxa"/>
            <w:right w:w="108" w:type="dxa"/>
          </w:tblCellMar>
        </w:tblPrEx>
        <w:trPr>
          <w:trHeight w:val="2786" w:hRule="exact"/>
        </w:trPr>
        <w:tc>
          <w:tcPr>
            <w:tcW w:w="959" w:type="dxa"/>
            <w:vMerge w:val="continue"/>
            <w:tcBorders>
              <w:left w:val="single" w:color="auto" w:sz="6" w:space="0"/>
              <w:bottom w:val="single" w:color="auto" w:sz="4" w:space="0"/>
              <w:right w:val="single" w:color="auto" w:sz="6" w:space="0"/>
            </w:tcBorders>
            <w:noWrap w:val="0"/>
            <w:vAlign w:val="center"/>
          </w:tcPr>
          <w:p>
            <w:pPr>
              <w:widowControl/>
              <w:snapToGrid w:val="0"/>
              <w:jc w:val="center"/>
              <w:rPr>
                <w:rFonts w:ascii="新宋体" w:hAnsi="新宋体" w:eastAsia="新宋体"/>
                <w:b/>
                <w:sz w:val="22"/>
              </w:rPr>
            </w:pPr>
          </w:p>
        </w:tc>
        <w:tc>
          <w:tcPr>
            <w:tcW w:w="992" w:type="dxa"/>
            <w:tcBorders>
              <w:top w:val="single" w:color="auto" w:sz="6" w:space="0"/>
              <w:left w:val="single" w:color="auto" w:sz="6" w:space="0"/>
              <w:bottom w:val="single" w:color="auto" w:sz="4"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规范作业</w:t>
            </w:r>
          </w:p>
        </w:tc>
        <w:tc>
          <w:tcPr>
            <w:tcW w:w="9497" w:type="dxa"/>
            <w:tcBorders>
              <w:top w:val="single" w:color="auto" w:sz="4" w:space="0"/>
              <w:left w:val="single" w:color="auto" w:sz="6" w:space="0"/>
              <w:bottom w:val="single" w:color="auto" w:sz="4" w:space="0"/>
              <w:right w:val="single" w:color="auto" w:sz="4"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①作业人员佩证上岗，作业期内穿反光安全服，在作业期间发现未穿工作服或工作服破损肮脏的一次扣</w:t>
            </w:r>
            <w:r>
              <w:rPr>
                <w:rFonts w:ascii="仿宋_GB2312" w:hAnsi="宋体" w:eastAsia="仿宋_GB2312" w:cs="宋体"/>
                <w:kern w:val="0"/>
                <w:szCs w:val="21"/>
              </w:rPr>
              <w:t>1</w:t>
            </w:r>
            <w:r>
              <w:rPr>
                <w:rFonts w:hint="eastAsia" w:ascii="仿宋_GB2312" w:hAnsi="宋体" w:eastAsia="仿宋_GB2312" w:cs="宋体"/>
                <w:kern w:val="0"/>
                <w:szCs w:val="21"/>
              </w:rPr>
              <w:t>分；在作业时间内，不集聚闲聊，工期休息不超过10分钟，或作业期间不做与作业无关的事，发现一次扣</w:t>
            </w:r>
            <w:r>
              <w:rPr>
                <w:rFonts w:ascii="仿宋_GB2312" w:hAnsi="宋体" w:eastAsia="仿宋_GB2312" w:cs="宋体"/>
                <w:kern w:val="0"/>
                <w:szCs w:val="21"/>
              </w:rPr>
              <w:t>1</w:t>
            </w:r>
            <w:r>
              <w:rPr>
                <w:rFonts w:hint="eastAsia" w:ascii="仿宋_GB2312" w:hAnsi="宋体" w:eastAsia="仿宋_GB2312" w:cs="宋体"/>
                <w:kern w:val="0"/>
                <w:szCs w:val="21"/>
              </w:rPr>
              <w:t>分；②车辆停放遵守交通法规，发现一次扣2分；垃圾运输实行密闭，垃圾未实行密闭运输一次扣</w:t>
            </w:r>
            <w:r>
              <w:rPr>
                <w:rFonts w:ascii="仿宋_GB2312" w:hAnsi="宋体" w:eastAsia="仿宋_GB2312" w:cs="宋体"/>
                <w:kern w:val="0"/>
                <w:szCs w:val="21"/>
              </w:rPr>
              <w:t>2</w:t>
            </w:r>
            <w:r>
              <w:rPr>
                <w:rFonts w:hint="eastAsia" w:ascii="仿宋_GB2312" w:hAnsi="宋体" w:eastAsia="仿宋_GB2312" w:cs="宋体"/>
                <w:kern w:val="0"/>
                <w:szCs w:val="21"/>
              </w:rPr>
              <w:t>分；不得超高运输和吊挂杂物，发现一次扣1分；③严禁作业人员擅自向责任区内单位收取各种费用，发现作业人员擅自收费的一次扣3分；不得私自携带工业垃圾进垃圾中转（零星的除外），发现私自携带工业垃圾进垃圾中转站一次扣3分。④洒水车接水点规范使用，做到节约用水，发现浪费、水龙头未拧紧一处扣5分。</w:t>
            </w:r>
          </w:p>
        </w:tc>
        <w:tc>
          <w:tcPr>
            <w:tcW w:w="709" w:type="dxa"/>
            <w:tcBorders>
              <w:top w:val="single" w:color="auto" w:sz="4" w:space="0"/>
              <w:left w:val="single" w:color="auto" w:sz="4" w:space="0"/>
              <w:bottom w:val="single" w:color="auto" w:sz="4" w:space="0"/>
              <w:right w:val="single" w:color="auto" w:sz="6" w:space="0"/>
            </w:tcBorders>
            <w:noWrap w:val="0"/>
            <w:vAlign w:val="center"/>
          </w:tcPr>
          <w:p>
            <w:pPr>
              <w:spacing w:line="380" w:lineRule="exact"/>
              <w:jc w:val="center"/>
              <w:rPr>
                <w:rFonts w:ascii="宋体" w:hAnsi="宋体" w:cs="宋体"/>
                <w:kern w:val="0"/>
                <w:sz w:val="24"/>
              </w:rPr>
            </w:pPr>
            <w:r>
              <w:rPr>
                <w:rFonts w:hint="eastAsia" w:ascii="宋体" w:hAnsi="宋体" w:cs="宋体"/>
                <w:kern w:val="0"/>
                <w:sz w:val="24"/>
              </w:rPr>
              <w:t>20</w:t>
            </w:r>
          </w:p>
        </w:tc>
        <w:tc>
          <w:tcPr>
            <w:tcW w:w="709"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ascii="宋体" w:hAnsi="宋体" w:cs="宋体"/>
                <w:b/>
                <w:kern w:val="0"/>
                <w:sz w:val="24"/>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p>
        </w:tc>
      </w:tr>
      <w:tr>
        <w:tblPrEx>
          <w:tblCellMar>
            <w:top w:w="0" w:type="dxa"/>
            <w:left w:w="108" w:type="dxa"/>
            <w:bottom w:w="0" w:type="dxa"/>
            <w:right w:w="108" w:type="dxa"/>
          </w:tblCellMar>
        </w:tblPrEx>
        <w:trPr>
          <w:trHeight w:val="574" w:hRule="exact"/>
        </w:trPr>
        <w:tc>
          <w:tcPr>
            <w:tcW w:w="959" w:type="dxa"/>
            <w:tcBorders>
              <w:top w:val="single" w:color="auto" w:sz="4" w:space="0"/>
              <w:left w:val="single" w:color="auto" w:sz="4" w:space="0"/>
              <w:bottom w:val="single" w:color="auto" w:sz="6" w:space="0"/>
              <w:right w:val="single" w:color="auto" w:sz="4"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92" w:type="dxa"/>
            <w:tcBorders>
              <w:top w:val="single" w:color="auto" w:sz="4" w:space="0"/>
              <w:left w:val="single" w:color="auto" w:sz="4" w:space="0"/>
              <w:bottom w:val="single" w:color="auto" w:sz="6" w:space="0"/>
              <w:right w:val="single" w:color="auto" w:sz="4"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子项目</w:t>
            </w:r>
          </w:p>
        </w:tc>
        <w:tc>
          <w:tcPr>
            <w:tcW w:w="9497" w:type="dxa"/>
            <w:tcBorders>
              <w:top w:val="single" w:color="auto" w:sz="4" w:space="0"/>
              <w:left w:val="single" w:color="auto" w:sz="4" w:space="0"/>
              <w:bottom w:val="single" w:color="auto" w:sz="6" w:space="0"/>
              <w:right w:val="single" w:color="auto" w:sz="4" w:space="0"/>
            </w:tcBorders>
            <w:noWrap w:val="0"/>
            <w:vAlign w:val="center"/>
          </w:tcPr>
          <w:p>
            <w:pPr>
              <w:widowControl/>
              <w:snapToGrid w:val="0"/>
              <w:spacing w:line="300" w:lineRule="exact"/>
              <w:jc w:val="center"/>
              <w:rPr>
                <w:rFonts w:ascii="宋体" w:hAnsi="宋体" w:cs="宋体"/>
                <w:b/>
                <w:kern w:val="0"/>
                <w:sz w:val="24"/>
              </w:rPr>
            </w:pPr>
            <w:r>
              <w:rPr>
                <w:rFonts w:hint="eastAsia" w:ascii="宋体" w:hAnsi="宋体" w:cs="宋体"/>
                <w:b/>
                <w:kern w:val="0"/>
                <w:sz w:val="24"/>
              </w:rPr>
              <w:t>保洁要求与评分标准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1564" w:hRule="exact"/>
        </w:trPr>
        <w:tc>
          <w:tcPr>
            <w:tcW w:w="959"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新宋体" w:hAnsi="新宋体" w:eastAsia="新宋体"/>
                <w:b/>
                <w:sz w:val="22"/>
              </w:rPr>
              <w:t>公园、广场保洁</w:t>
            </w:r>
          </w:p>
          <w:p>
            <w:pPr>
              <w:spacing w:line="280" w:lineRule="exact"/>
              <w:jc w:val="center"/>
              <w:rPr>
                <w:rFonts w:ascii="仿宋_GB2312" w:hAnsi="宋体" w:eastAsia="仿宋_GB2312" w:cs="宋体"/>
                <w:kern w:val="0"/>
                <w:szCs w:val="21"/>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380" w:lineRule="exact"/>
              <w:jc w:val="center"/>
              <w:rPr>
                <w:rFonts w:ascii="仿宋_GB2312" w:hAnsi="宋体" w:eastAsia="仿宋_GB2312" w:cs="宋体"/>
                <w:kern w:val="0"/>
                <w:szCs w:val="21"/>
              </w:rPr>
            </w:pPr>
            <w:r>
              <w:rPr>
                <w:rFonts w:hint="eastAsia" w:ascii="新宋体" w:hAnsi="新宋体" w:eastAsia="新宋体"/>
                <w:b/>
                <w:sz w:val="22"/>
              </w:rPr>
              <w:t>清扫保洁</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清扫保洁要达到“七无、五净、一通”标准，有卫生死角的，一处扣3分；有成堆垃圾的，一处扣2分；有连续散落垃圾的，一处扣1分；有袋装垃圾的，一处扣1分；有垃圾散落点的，三处为一例，每例扣0.5分；地上有烟蒂的，五个为一例，每例扣0.5分；地面有积污水的，一处扣1分；落水口、排水渠堵塞的，一处扣1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983" w:hRule="exact"/>
        </w:trPr>
        <w:tc>
          <w:tcPr>
            <w:tcW w:w="959" w:type="dxa"/>
            <w:vMerge w:val="continue"/>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ascii="新宋体" w:hAnsi="新宋体" w:eastAsia="新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380" w:lineRule="exact"/>
              <w:jc w:val="center"/>
              <w:rPr>
                <w:rFonts w:ascii="新宋体" w:hAnsi="新宋体" w:eastAsia="新宋体"/>
                <w:b/>
                <w:sz w:val="22"/>
              </w:rPr>
            </w:pPr>
            <w:r>
              <w:rPr>
                <w:rFonts w:hint="eastAsia" w:ascii="新宋体" w:hAnsi="新宋体" w:eastAsia="新宋体"/>
                <w:b/>
                <w:sz w:val="22"/>
              </w:rPr>
              <w:t>设施水体保洁</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垃圾桶、果壳箱等环卫设施有破损、丢失未及时修复的，一处扣2分；垃圾桶、果壳箱外观不清洁，一处扣1分；垃圾容器封闭无四害滋生，周围无垃圾散落，垃圾做到日产日清。垃圾桶、果壳箱、垃圾坞有溢满的现象，或周围不清洁的，一处扣2分；内部或周边有四害滋生的，一处扣1分；垃圾桶、果壳箱、垃圾坞等垃圾分类标识破损或掉落未及时修复更换的，一处扣1分；垃圾桶、果壳箱未加盖、关门的，一处扣</w:t>
            </w:r>
            <w:r>
              <w:rPr>
                <w:rFonts w:ascii="仿宋_GB2312" w:hAnsi="宋体" w:eastAsia="仿宋_GB2312" w:cs="宋体"/>
                <w:kern w:val="0"/>
                <w:szCs w:val="21"/>
              </w:rPr>
              <w:t>1</w:t>
            </w:r>
            <w:r>
              <w:rPr>
                <w:rFonts w:hint="eastAsia" w:ascii="仿宋_GB2312" w:hAnsi="宋体" w:eastAsia="仿宋_GB2312" w:cs="宋体"/>
                <w:kern w:val="0"/>
                <w:szCs w:val="21"/>
              </w:rPr>
              <w:t>分；将已分类的垃圾混合收运的，一次扣3分。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841" w:hRule="exact"/>
        </w:trPr>
        <w:tc>
          <w:tcPr>
            <w:tcW w:w="95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380" w:lineRule="exact"/>
              <w:jc w:val="center"/>
              <w:rPr>
                <w:rFonts w:ascii="新宋体" w:hAnsi="新宋体" w:eastAsia="新宋体"/>
                <w:b/>
                <w:sz w:val="22"/>
              </w:rPr>
            </w:pPr>
            <w:r>
              <w:rPr>
                <w:rFonts w:hint="eastAsia" w:ascii="新宋体" w:hAnsi="新宋体" w:eastAsia="新宋体"/>
                <w:b/>
                <w:sz w:val="22"/>
              </w:rPr>
              <w:t>机械化作业</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机械化作业要机扫到边、到位效果明显。机扫作业后路面有垃圾、积泥、沙石的，一次扣1分；机扫作业时“干扫”或侧刷或吸盘未落地的，一次扣1分；机械清扫车随意倾倒、偷倒、乱倒垃圾的，一次扣3分。②道路洒水要有明显的降温压尘的效果。道路冲洗后，路面有积垢、灰尘、烟蒂、果壳散落的，一次扣</w:t>
            </w:r>
            <w:r>
              <w:rPr>
                <w:rFonts w:ascii="仿宋_GB2312" w:hAnsi="宋体" w:eastAsia="仿宋_GB2312" w:cs="宋体"/>
                <w:kern w:val="0"/>
                <w:szCs w:val="21"/>
              </w:rPr>
              <w:t>1</w:t>
            </w:r>
            <w:r>
              <w:rPr>
                <w:rFonts w:hint="eastAsia" w:ascii="仿宋_GB2312" w:hAnsi="宋体" w:eastAsia="仿宋_GB2312" w:cs="宋体"/>
                <w:kern w:val="0"/>
                <w:szCs w:val="21"/>
              </w:rPr>
              <w:t>分。③机械车辆、船只未及时清洗，作业影响市容市貌的，一辆扣2分。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3152" w:hRule="exact"/>
        </w:trPr>
        <w:tc>
          <w:tcPr>
            <w:tcW w:w="95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380" w:lineRule="exact"/>
              <w:jc w:val="center"/>
              <w:rPr>
                <w:rFonts w:ascii="新宋体" w:hAnsi="新宋体" w:eastAsia="新宋体"/>
                <w:b/>
                <w:sz w:val="22"/>
              </w:rPr>
            </w:pPr>
            <w:r>
              <w:rPr>
                <w:rFonts w:hint="eastAsia" w:ascii="宋体"/>
                <w:b/>
                <w:sz w:val="22"/>
              </w:rPr>
              <w:t>小广告清除</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外墙、地面、栏杆、店面卷帘门、空调外机等小广告清理保洁做到“日有日清”，未及时处理的，一处扣1分。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一处扣1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579"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子项目</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widowControl/>
              <w:snapToGrid w:val="0"/>
              <w:spacing w:line="300" w:lineRule="exact"/>
              <w:jc w:val="center"/>
              <w:rPr>
                <w:rFonts w:ascii="宋体" w:hAnsi="宋体" w:cs="宋体"/>
                <w:b/>
                <w:kern w:val="0"/>
                <w:sz w:val="24"/>
              </w:rPr>
            </w:pPr>
            <w:r>
              <w:rPr>
                <w:rFonts w:hint="eastAsia" w:ascii="宋体" w:hAnsi="宋体" w:cs="宋体"/>
                <w:b/>
                <w:kern w:val="0"/>
                <w:sz w:val="24"/>
              </w:rPr>
              <w:t>保洁要求与评分标准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1699"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新宋体" w:hAnsi="新宋体" w:eastAsia="新宋体"/>
                <w:b/>
                <w:sz w:val="22"/>
              </w:rPr>
              <w:t>公园、广场保洁</w:t>
            </w:r>
          </w:p>
        </w:tc>
        <w:tc>
          <w:tcPr>
            <w:tcW w:w="992"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b/>
                <w:sz w:val="22"/>
              </w:rPr>
              <w:t>规范作业</w:t>
            </w:r>
          </w:p>
        </w:tc>
        <w:tc>
          <w:tcPr>
            <w:tcW w:w="9497" w:type="dxa"/>
            <w:tcBorders>
              <w:top w:val="single" w:color="auto" w:sz="6" w:space="0"/>
              <w:left w:val="single" w:color="auto" w:sz="6" w:space="0"/>
              <w:bottom w:val="single" w:color="auto" w:sz="6" w:space="0"/>
              <w:right w:val="single" w:color="auto" w:sz="6" w:space="0"/>
            </w:tcBorders>
            <w:noWrap w:val="0"/>
            <w:vAlign w:val="center"/>
          </w:tcPr>
          <w:p>
            <w:pPr>
              <w:spacing w:line="300" w:lineRule="exact"/>
              <w:jc w:val="left"/>
              <w:rPr>
                <w:rFonts w:ascii="宋体" w:hAnsi="宋体" w:cs="宋体"/>
                <w:b/>
                <w:kern w:val="0"/>
                <w:sz w:val="24"/>
              </w:rPr>
            </w:pPr>
            <w:r>
              <w:rPr>
                <w:rFonts w:hint="eastAsia" w:ascii="仿宋_GB2312" w:hAnsi="宋体" w:eastAsia="仿宋_GB2312" w:cs="宋体"/>
                <w:kern w:val="0"/>
                <w:szCs w:val="21"/>
              </w:rPr>
              <w:t>①作业人员佩证上岗，作业期内穿反光安全服，在作业期间发现未穿工作服或工作服破损肮脏的，一次扣</w:t>
            </w:r>
            <w:r>
              <w:rPr>
                <w:rFonts w:ascii="仿宋_GB2312" w:hAnsi="宋体" w:eastAsia="仿宋_GB2312" w:cs="宋体"/>
                <w:kern w:val="0"/>
                <w:szCs w:val="21"/>
              </w:rPr>
              <w:t>1</w:t>
            </w:r>
            <w:r>
              <w:rPr>
                <w:rFonts w:hint="eastAsia" w:ascii="仿宋_GB2312" w:hAnsi="宋体" w:eastAsia="仿宋_GB2312" w:cs="宋体"/>
                <w:kern w:val="0"/>
                <w:szCs w:val="21"/>
              </w:rPr>
              <w:t>分；在作业时间内，集聚闲聊、工期休息超过10分钟、做与作业无关的事，一次扣</w:t>
            </w:r>
            <w:r>
              <w:rPr>
                <w:rFonts w:ascii="仿宋_GB2312" w:hAnsi="宋体" w:eastAsia="仿宋_GB2312" w:cs="宋体"/>
                <w:kern w:val="0"/>
                <w:szCs w:val="21"/>
              </w:rPr>
              <w:t>1</w:t>
            </w:r>
            <w:r>
              <w:rPr>
                <w:rFonts w:hint="eastAsia" w:ascii="仿宋_GB2312" w:hAnsi="宋体" w:eastAsia="仿宋_GB2312" w:cs="宋体"/>
                <w:kern w:val="0"/>
                <w:szCs w:val="21"/>
              </w:rPr>
              <w:t>分。②车辆停放未遵守交通法规的，一次扣2分；垃圾未实行密闭运输的，一次扣</w:t>
            </w:r>
            <w:r>
              <w:rPr>
                <w:rFonts w:ascii="仿宋_GB2312" w:hAnsi="宋体" w:eastAsia="仿宋_GB2312" w:cs="宋体"/>
                <w:kern w:val="0"/>
                <w:szCs w:val="21"/>
              </w:rPr>
              <w:t>2</w:t>
            </w:r>
            <w:r>
              <w:rPr>
                <w:rFonts w:hint="eastAsia" w:ascii="仿宋_GB2312" w:hAnsi="宋体" w:eastAsia="仿宋_GB2312" w:cs="宋体"/>
                <w:kern w:val="0"/>
                <w:szCs w:val="21"/>
              </w:rPr>
              <w:t>分；超高运输和吊挂杂物，一次扣1分。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宋体" w:hAnsi="宋体" w:cs="宋体"/>
                <w:b/>
                <w:kern w:val="0"/>
                <w:sz w:val="24"/>
              </w:rPr>
            </w:pPr>
            <w:r>
              <w:rPr>
                <w:rFonts w:hint="eastAsia" w:ascii="仿宋_GB2312" w:hAnsi="宋体" w:eastAsia="仿宋_GB2312" w:cs="宋体"/>
                <w:kern w:val="0"/>
                <w:szCs w:val="21"/>
              </w:rPr>
              <w:t>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ascii="宋体" w:hAnsi="宋体" w:cs="宋体"/>
                <w:b/>
                <w:kern w:val="0"/>
                <w:sz w:val="24"/>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p>
        </w:tc>
      </w:tr>
      <w:tr>
        <w:tblPrEx>
          <w:tblCellMar>
            <w:top w:w="0" w:type="dxa"/>
            <w:left w:w="108" w:type="dxa"/>
            <w:bottom w:w="0" w:type="dxa"/>
            <w:right w:w="108" w:type="dxa"/>
          </w:tblCellMar>
        </w:tblPrEx>
        <w:trPr>
          <w:trHeight w:val="4253"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新宋体" w:hAnsi="新宋体" w:eastAsia="新宋体"/>
                <w:b/>
                <w:sz w:val="22"/>
              </w:rPr>
              <w:t>公厕管理与保洁</w:t>
            </w:r>
          </w:p>
        </w:tc>
        <w:tc>
          <w:tcPr>
            <w:tcW w:w="992" w:type="dxa"/>
            <w:tcBorders>
              <w:top w:val="single" w:color="auto" w:sz="6" w:space="0"/>
              <w:left w:val="single" w:color="auto" w:sz="6" w:space="0"/>
              <w:bottom w:val="single" w:color="auto" w:sz="4" w:space="0"/>
              <w:right w:val="single" w:color="auto" w:sz="6" w:space="0"/>
            </w:tcBorders>
            <w:noWrap w:val="0"/>
            <w:vAlign w:val="center"/>
          </w:tcPr>
          <w:p>
            <w:pPr>
              <w:spacing w:line="380" w:lineRule="exact"/>
              <w:jc w:val="center"/>
              <w:rPr>
                <w:rFonts w:ascii="宋体"/>
                <w:b/>
                <w:sz w:val="22"/>
              </w:rPr>
            </w:pPr>
            <w:r>
              <w:rPr>
                <w:rFonts w:hint="eastAsia" w:ascii="新宋体" w:hAnsi="新宋体" w:eastAsia="新宋体"/>
                <w:b/>
                <w:sz w:val="22"/>
              </w:rPr>
              <w:t>公厕管理与保洁</w:t>
            </w:r>
          </w:p>
        </w:tc>
        <w:tc>
          <w:tcPr>
            <w:tcW w:w="9497" w:type="dxa"/>
            <w:tcBorders>
              <w:top w:val="single" w:color="auto" w:sz="6" w:space="0"/>
              <w:left w:val="single" w:color="auto" w:sz="6" w:space="0"/>
              <w:bottom w:val="single" w:color="auto" w:sz="4"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保洁要求：地面、蹲位、便池、墙壁、挡板等保持完好和整洁；无地面积水、纸屑、烟头、痰迹，无积存尿液、尿垢，无蚊蝇，无小广告；保持公共厕所外周边5米范围环境整洁，无乱堆杂物、杂草、垃圾、粪便、污水等；保证室内设施设备(门、窗、供水、供电、照明等)完好和正常使用，无漏雨、透风及管道堵塞现象；保洁工具应放置整齐，照明灯具、洗手器具、镜子、挂衣钩、烘手器、冲水等无积灰、污物；换气、除臭等设施必须使用。保持厕内通风良好，无异味，燃点盘香，男小便器内投放专用樟脑球，废纸篓内套放标准垃圾袋。有不符合以上情况的，一项扣1分；室内设施设备完好性不达标，视情扣2分/处。②公厕管理要求：各项制度、责任内容按规定要求上墙，文明规范用语按要求配置。未达要求的，一处扣1分；公厕内有经营活动和私自收费现象的，一次扣10分；公厕管理间不整洁、有闲杂人员、乱堆杂物、有人员留宿等情况的，一项扣</w:t>
            </w:r>
            <w:r>
              <w:rPr>
                <w:rFonts w:ascii="仿宋_GB2312" w:hAnsi="宋体" w:eastAsia="仿宋_GB2312" w:cs="宋体"/>
                <w:kern w:val="0"/>
                <w:szCs w:val="21"/>
              </w:rPr>
              <w:t>5</w:t>
            </w:r>
            <w:r>
              <w:rPr>
                <w:rFonts w:hint="eastAsia" w:ascii="仿宋_GB2312" w:hAnsi="宋体" w:eastAsia="仿宋_GB2312" w:cs="宋体"/>
                <w:kern w:val="0"/>
                <w:szCs w:val="21"/>
              </w:rPr>
              <w:t>分；公厕保洁人员在公厕内私设厨房及就餐的，一次扣</w:t>
            </w:r>
            <w:r>
              <w:rPr>
                <w:rFonts w:ascii="仿宋_GB2312" w:hAnsi="宋体" w:eastAsia="仿宋_GB2312" w:cs="宋体"/>
                <w:kern w:val="0"/>
                <w:szCs w:val="21"/>
              </w:rPr>
              <w:t>5</w:t>
            </w:r>
            <w:r>
              <w:rPr>
                <w:rFonts w:hint="eastAsia" w:ascii="仿宋_GB2312" w:hAnsi="宋体" w:eastAsia="仿宋_GB2312" w:cs="宋体"/>
                <w:kern w:val="0"/>
                <w:szCs w:val="21"/>
              </w:rPr>
              <w:t>分；公厕实行全天候免费开放使用，擅自停业、歇业，影响公众使用的，视情扣5分/处；未按要求清理屋顶落叶的，一次扣1分，如导致雨水管堵塞的，一次扣3分；未积极配合完成管理部门的各项工作或临时突击性和检查任务的，一次扣10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278" w:hRule="exact"/>
        </w:trPr>
        <w:tc>
          <w:tcPr>
            <w:tcW w:w="959" w:type="dxa"/>
            <w:tcBorders>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宋体"/>
                <w:b/>
                <w:sz w:val="22"/>
              </w:rPr>
              <w:t>其他</w:t>
            </w:r>
          </w:p>
        </w:tc>
        <w:tc>
          <w:tcPr>
            <w:tcW w:w="992" w:type="dxa"/>
            <w:tcBorders>
              <w:top w:val="single" w:color="auto" w:sz="4" w:space="0"/>
              <w:left w:val="single" w:color="auto" w:sz="6" w:space="0"/>
              <w:bottom w:val="single" w:color="auto" w:sz="4" w:space="0"/>
              <w:right w:val="single" w:color="auto" w:sz="6" w:space="0"/>
            </w:tcBorders>
            <w:noWrap w:val="0"/>
            <w:vAlign w:val="center"/>
          </w:tcPr>
          <w:p>
            <w:pPr>
              <w:spacing w:line="380" w:lineRule="exact"/>
              <w:jc w:val="center"/>
              <w:rPr>
                <w:rFonts w:ascii="宋体"/>
                <w:b/>
                <w:sz w:val="22"/>
              </w:rPr>
            </w:pPr>
            <w:r>
              <w:rPr>
                <w:rFonts w:hint="eastAsia" w:ascii="宋体"/>
                <w:b/>
                <w:sz w:val="22"/>
              </w:rPr>
              <w:t>其他</w:t>
            </w:r>
          </w:p>
        </w:tc>
        <w:tc>
          <w:tcPr>
            <w:tcW w:w="9497" w:type="dxa"/>
            <w:tcBorders>
              <w:top w:val="single" w:color="auto" w:sz="4" w:space="0"/>
              <w:left w:val="single" w:color="auto" w:sz="6" w:space="0"/>
              <w:bottom w:val="single" w:color="auto" w:sz="4" w:space="0"/>
              <w:right w:val="single" w:color="auto" w:sz="6" w:space="0"/>
            </w:tcBorders>
            <w:noWrap w:val="0"/>
            <w:vAlign w:val="center"/>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①接到数字城管、投诉电话和新闻舆论等举报投诉后，应在时限内处理完毕，并作好信息反馈，未及时处理的，一次扣2分。②经媒体曝光，造成恶劣影响的，一次扣15分，且采购人有权无条件解除合同。③其他保洁要求不达标的，酌情扣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562" w:hRule="exact"/>
        </w:trPr>
        <w:tc>
          <w:tcPr>
            <w:tcW w:w="11448" w:type="dxa"/>
            <w:gridSpan w:val="3"/>
            <w:tcBorders>
              <w:left w:val="single" w:color="auto" w:sz="6" w:space="0"/>
              <w:bottom w:val="single" w:color="auto" w:sz="6" w:space="0"/>
              <w:right w:val="single" w:color="auto" w:sz="6"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合计得分</w:t>
            </w:r>
          </w:p>
        </w:tc>
        <w:tc>
          <w:tcPr>
            <w:tcW w:w="709" w:type="dxa"/>
            <w:tcBorders>
              <w:top w:val="single" w:color="auto" w:sz="4" w:space="0"/>
              <w:left w:val="single" w:color="auto" w:sz="6"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450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984"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bl>
    <w:p>
      <w:pPr>
        <w:rPr>
          <w:rFonts w:ascii="宋体" w:hAnsi="宋体"/>
        </w:rPr>
      </w:pPr>
      <w:r>
        <w:rPr>
          <w:rFonts w:hint="eastAsia" w:ascii="宋体" w:hAnsi="宋体"/>
        </w:rPr>
        <w:t xml:space="preserve">考核人：                                                                                  </w:t>
      </w:r>
      <w:r>
        <w:rPr>
          <w:rFonts w:hint="eastAsia" w:ascii="宋体" w:hAnsi="宋体" w:cs="宋体"/>
          <w:kern w:val="0"/>
          <w:sz w:val="24"/>
        </w:rPr>
        <w:t>日期</w:t>
      </w:r>
      <w:r>
        <w:rPr>
          <w:rFonts w:hint="eastAsia" w:ascii="宋体" w:hAnsi="宋体"/>
        </w:rPr>
        <w:t>：</w:t>
      </w:r>
    </w:p>
    <w:p>
      <w:pPr>
        <w:spacing w:line="380" w:lineRule="exact"/>
        <w:rPr>
          <w:rFonts w:ascii="新宋体" w:hAnsi="新宋体" w:eastAsia="新宋体"/>
          <w:b/>
          <w:sz w:val="22"/>
        </w:rPr>
      </w:pPr>
      <w:r>
        <w:rPr>
          <w:rFonts w:hint="eastAsia" w:ascii="新宋体" w:hAnsi="新宋体" w:eastAsia="新宋体"/>
          <w:b/>
          <w:sz w:val="22"/>
        </w:rPr>
        <w:br w:type="page"/>
      </w:r>
      <w:r>
        <w:rPr>
          <w:rFonts w:hint="eastAsia" w:ascii="新宋体" w:hAnsi="新宋体" w:eastAsia="新宋体"/>
          <w:b/>
          <w:sz w:val="22"/>
        </w:rPr>
        <w:t>二、河道保洁考评表（</w:t>
      </w:r>
      <w:r>
        <w:rPr>
          <w:rFonts w:ascii="新宋体" w:hAnsi="新宋体" w:eastAsia="新宋体"/>
          <w:b/>
          <w:sz w:val="22"/>
        </w:rPr>
        <w:t>1</w:t>
      </w:r>
      <w:r>
        <w:rPr>
          <w:rFonts w:hint="eastAsia" w:ascii="新宋体" w:hAnsi="新宋体" w:eastAsia="新宋体"/>
          <w:b/>
          <w:sz w:val="22"/>
        </w:rPr>
        <w:t>5</w:t>
      </w:r>
      <w:r>
        <w:rPr>
          <w:rFonts w:ascii="新宋体" w:hAnsi="新宋体" w:eastAsia="新宋体"/>
          <w:b/>
          <w:sz w:val="22"/>
        </w:rPr>
        <w:t>0</w:t>
      </w:r>
      <w:r>
        <w:rPr>
          <w:rFonts w:hint="eastAsia" w:ascii="新宋体" w:hAnsi="新宋体" w:eastAsia="新宋体"/>
          <w:b/>
          <w:sz w:val="22"/>
        </w:rPr>
        <w:t>分）</w:t>
      </w:r>
    </w:p>
    <w:tbl>
      <w:tblPr>
        <w:tblStyle w:val="29"/>
        <w:tblW w:w="14567" w:type="dxa"/>
        <w:tblInd w:w="0" w:type="dxa"/>
        <w:tblLayout w:type="fixed"/>
        <w:tblCellMar>
          <w:top w:w="0" w:type="dxa"/>
          <w:left w:w="108" w:type="dxa"/>
          <w:bottom w:w="0" w:type="dxa"/>
          <w:right w:w="108" w:type="dxa"/>
        </w:tblCellMar>
      </w:tblPr>
      <w:tblGrid>
        <w:gridCol w:w="1668"/>
        <w:gridCol w:w="9355"/>
        <w:gridCol w:w="851"/>
        <w:gridCol w:w="850"/>
        <w:gridCol w:w="1843"/>
      </w:tblGrid>
      <w:tr>
        <w:tblPrEx>
          <w:tblCellMar>
            <w:top w:w="0" w:type="dxa"/>
            <w:left w:w="108" w:type="dxa"/>
            <w:bottom w:w="0" w:type="dxa"/>
            <w:right w:w="108" w:type="dxa"/>
          </w:tblCellMar>
        </w:tblPrEx>
        <w:trPr>
          <w:trHeight w:val="627"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保洁要求与评分标准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2500"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河道保洁</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①河道畅通，水面无垃圾、病死动物，无影响水生态的浮萍、水葫芦等水生植物，无阻碍行洪的高杆植物等。</w:t>
            </w:r>
            <w:r>
              <w:rPr>
                <w:rFonts w:hint="eastAsia" w:ascii="仿宋_GB2312" w:eastAsia="仿宋_GB2312"/>
                <w:szCs w:val="21"/>
              </w:rPr>
              <w:t>发现水面、堤岸、桥下、堤坝绿化带有垃圾的，</w:t>
            </w:r>
            <w:r>
              <w:rPr>
                <w:rFonts w:ascii="仿宋_GB2312" w:eastAsia="仿宋_GB2312"/>
                <w:szCs w:val="21"/>
              </w:rPr>
              <w:t>一处扣1分；</w:t>
            </w:r>
            <w:r>
              <w:rPr>
                <w:rFonts w:hint="eastAsia" w:ascii="仿宋_GB2312" w:hAnsi="宋体" w:eastAsia="仿宋_GB2312" w:cs="宋体"/>
                <w:kern w:val="0"/>
                <w:szCs w:val="21"/>
              </w:rPr>
              <w:t>浮萍、水葫芦等水生植物</w:t>
            </w:r>
            <w:r>
              <w:rPr>
                <w:rFonts w:ascii="仿宋_GB2312" w:eastAsia="仿宋_GB2312"/>
                <w:szCs w:val="21"/>
              </w:rPr>
              <w:t>超过1平方米的，一处扣1分</w:t>
            </w:r>
            <w:r>
              <w:rPr>
                <w:rFonts w:hint="eastAsia" w:ascii="仿宋_GB2312" w:eastAsia="仿宋_GB2312"/>
                <w:szCs w:val="21"/>
              </w:rPr>
              <w:t>，</w:t>
            </w:r>
            <w:r>
              <w:rPr>
                <w:rFonts w:ascii="仿宋_GB2312" w:eastAsia="仿宋_GB2312"/>
                <w:szCs w:val="21"/>
              </w:rPr>
              <w:t>面积较大的，可相应提高扣分值</w:t>
            </w:r>
            <w:r>
              <w:rPr>
                <w:rFonts w:hint="eastAsia" w:ascii="仿宋_GB2312" w:eastAsia="仿宋_GB2312"/>
                <w:szCs w:val="21"/>
              </w:rPr>
              <w:t>。</w:t>
            </w:r>
            <w:r>
              <w:rPr>
                <w:rFonts w:ascii="仿宋_GB2312" w:eastAsia="仿宋_GB2312"/>
                <w:szCs w:val="21"/>
              </w:rPr>
              <w:t>河中</w:t>
            </w:r>
            <w:r>
              <w:rPr>
                <w:rFonts w:hint="eastAsia" w:ascii="仿宋_GB2312" w:eastAsia="仿宋_GB2312"/>
                <w:szCs w:val="21"/>
              </w:rPr>
              <w:t>有</w:t>
            </w:r>
            <w:r>
              <w:rPr>
                <w:rFonts w:ascii="仿宋_GB2312" w:eastAsia="仿宋_GB2312"/>
                <w:szCs w:val="21"/>
              </w:rPr>
              <w:t>影响水流畅通的障碍物</w:t>
            </w:r>
            <w:r>
              <w:rPr>
                <w:rFonts w:hint="eastAsia" w:ascii="仿宋_GB2312" w:eastAsia="仿宋_GB2312"/>
                <w:szCs w:val="21"/>
              </w:rPr>
              <w:t>的，</w:t>
            </w:r>
            <w:r>
              <w:rPr>
                <w:rFonts w:ascii="仿宋_GB2312" w:eastAsia="仿宋_GB2312"/>
                <w:szCs w:val="21"/>
              </w:rPr>
              <w:t>一处扣1分</w:t>
            </w:r>
            <w:r>
              <w:rPr>
                <w:rFonts w:hint="eastAsia" w:ascii="仿宋_GB2312" w:eastAsia="仿宋_GB2312"/>
                <w:szCs w:val="21"/>
              </w:rPr>
              <w:t>；垃圾未及时清运，放置在影响市容市貌的河岸或河滩的，一例扣2分；</w:t>
            </w:r>
            <w:r>
              <w:rPr>
                <w:rFonts w:hint="eastAsia" w:ascii="仿宋_GB2312" w:hAnsi="宋体" w:eastAsia="仿宋_GB2312" w:cs="宋体"/>
                <w:kern w:val="0"/>
                <w:szCs w:val="21"/>
              </w:rPr>
              <w:t>未及时完成应急性任务的，</w:t>
            </w:r>
            <w:r>
              <w:rPr>
                <w:rFonts w:ascii="仿宋_GB2312" w:eastAsia="仿宋_GB2312"/>
                <w:szCs w:val="21"/>
              </w:rPr>
              <w:t>一</w:t>
            </w:r>
            <w:r>
              <w:rPr>
                <w:rFonts w:hint="eastAsia" w:ascii="仿宋_GB2312" w:hAnsi="宋体" w:eastAsia="仿宋_GB2312" w:cs="宋体"/>
                <w:kern w:val="0"/>
                <w:szCs w:val="21"/>
              </w:rPr>
              <w:t>次扣5分；发生安全事故的，视情况河道保洁整体扣10-50分。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267"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规范作业</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①作业人员佩证上岗，作业期内穿反光救生衣，在作业期间发现未穿工作服或工作服破损肮脏的，一次扣</w:t>
            </w:r>
            <w:r>
              <w:rPr>
                <w:rFonts w:ascii="仿宋_GB2312" w:hAnsi="宋体" w:eastAsia="仿宋_GB2312" w:cs="宋体"/>
                <w:kern w:val="0"/>
                <w:szCs w:val="21"/>
              </w:rPr>
              <w:t>1</w:t>
            </w:r>
            <w:r>
              <w:rPr>
                <w:rFonts w:hint="eastAsia" w:ascii="仿宋_GB2312" w:hAnsi="宋体" w:eastAsia="仿宋_GB2312" w:cs="宋体"/>
                <w:kern w:val="0"/>
                <w:szCs w:val="21"/>
              </w:rPr>
              <w:t>分；在作业时间内，集聚闲聊、工期休息超过10分钟、做与作业无关事的，一次扣</w:t>
            </w:r>
            <w:r>
              <w:rPr>
                <w:rFonts w:ascii="仿宋_GB2312" w:hAnsi="宋体" w:eastAsia="仿宋_GB2312" w:cs="宋体"/>
                <w:kern w:val="0"/>
                <w:szCs w:val="21"/>
              </w:rPr>
              <w:t>1</w:t>
            </w:r>
            <w:r>
              <w:rPr>
                <w:rFonts w:hint="eastAsia" w:ascii="仿宋_GB2312" w:hAnsi="宋体" w:eastAsia="仿宋_GB2312" w:cs="宋体"/>
                <w:kern w:val="0"/>
                <w:szCs w:val="21"/>
              </w:rPr>
              <w:t>分。②船只不配置统一标识或标识不明的，一只扣1分；船况不良的，一只扣5分；③垃圾运输未实行密闭运输、未在指定地点倾倒的，一次扣</w:t>
            </w:r>
            <w:r>
              <w:rPr>
                <w:rFonts w:ascii="仿宋_GB2312" w:hAnsi="宋体" w:eastAsia="仿宋_GB2312" w:cs="宋体"/>
                <w:kern w:val="0"/>
                <w:szCs w:val="21"/>
              </w:rPr>
              <w:t>2</w:t>
            </w:r>
            <w:r>
              <w:rPr>
                <w:rFonts w:hint="eastAsia" w:ascii="仿宋_GB2312" w:hAnsi="宋体" w:eastAsia="仿宋_GB2312" w:cs="宋体"/>
                <w:kern w:val="0"/>
                <w:szCs w:val="21"/>
              </w:rPr>
              <w:t>分；生活垃圾、工业垃圾未分类堆放或清运的，一次扣</w:t>
            </w:r>
            <w:r>
              <w:rPr>
                <w:rFonts w:ascii="仿宋_GB2312" w:hAnsi="宋体" w:eastAsia="仿宋_GB2312" w:cs="宋体"/>
                <w:kern w:val="0"/>
                <w:szCs w:val="21"/>
              </w:rPr>
              <w:t>3</w:t>
            </w:r>
            <w:r>
              <w:rPr>
                <w:rFonts w:hint="eastAsia" w:ascii="仿宋_GB2312" w:hAnsi="宋体" w:eastAsia="仿宋_GB2312" w:cs="宋体"/>
                <w:kern w:val="0"/>
                <w:szCs w:val="21"/>
              </w:rPr>
              <w:t>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269"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其他</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接到数字城管、投诉电话和新闻舆论等举报投诉后，应在时限内处理完毕，并作好信息反馈，未及时处理的，一次扣2分。②经媒体曝光，造成恶劣影响的，一次扣10分，且采购人有权无条件解除合同。③其他保洁要求不达标的，酌情扣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454" w:hRule="atLeast"/>
        </w:trPr>
        <w:tc>
          <w:tcPr>
            <w:tcW w:w="11023" w:type="dxa"/>
            <w:gridSpan w:val="2"/>
            <w:tcBorders>
              <w:top w:val="single" w:color="auto" w:sz="6" w:space="0"/>
              <w:left w:val="single" w:color="auto" w:sz="6" w:space="0"/>
              <w:bottom w:val="single" w:color="auto" w:sz="4"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仿宋_GB2312" w:hAnsi="宋体" w:eastAsia="仿宋_GB2312" w:cs="宋体"/>
                <w:kern w:val="0"/>
                <w:szCs w:val="21"/>
              </w:rPr>
              <w:t>合计得分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150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bl>
    <w:p>
      <w:pPr>
        <w:rPr>
          <w:rFonts w:ascii="宋体" w:hAnsi="宋体"/>
        </w:rPr>
      </w:pPr>
      <w:r>
        <w:rPr>
          <w:rFonts w:hint="eastAsia" w:ascii="宋体" w:hAnsi="宋体"/>
        </w:rPr>
        <w:t>考核人：                                                                               日期：</w:t>
      </w:r>
    </w:p>
    <w:p>
      <w:pPr>
        <w:spacing w:line="380" w:lineRule="exact"/>
        <w:jc w:val="center"/>
        <w:rPr>
          <w:rFonts w:ascii="新宋体" w:hAnsi="新宋体" w:eastAsia="新宋体"/>
          <w:b/>
          <w:sz w:val="22"/>
        </w:rPr>
      </w:pPr>
      <w:r>
        <w:rPr>
          <w:rFonts w:hint="eastAsia" w:ascii="新宋体" w:hAnsi="新宋体" w:eastAsia="新宋体"/>
          <w:b/>
          <w:sz w:val="22"/>
        </w:rPr>
        <w:br w:type="page"/>
      </w:r>
      <w:r>
        <w:rPr>
          <w:rFonts w:hint="eastAsia" w:ascii="新宋体" w:hAnsi="新宋体" w:eastAsia="新宋体"/>
          <w:b/>
          <w:sz w:val="22"/>
        </w:rPr>
        <w:t>三、公路保洁考评表（50分）</w:t>
      </w:r>
    </w:p>
    <w:tbl>
      <w:tblPr>
        <w:tblStyle w:val="29"/>
        <w:tblW w:w="14567" w:type="dxa"/>
        <w:tblInd w:w="0" w:type="dxa"/>
        <w:tblLayout w:type="fixed"/>
        <w:tblCellMar>
          <w:top w:w="0" w:type="dxa"/>
          <w:left w:w="108" w:type="dxa"/>
          <w:bottom w:w="0" w:type="dxa"/>
          <w:right w:w="108" w:type="dxa"/>
        </w:tblCellMar>
      </w:tblPr>
      <w:tblGrid>
        <w:gridCol w:w="1668"/>
        <w:gridCol w:w="9355"/>
        <w:gridCol w:w="851"/>
        <w:gridCol w:w="850"/>
        <w:gridCol w:w="1843"/>
      </w:tblGrid>
      <w:tr>
        <w:tblPrEx>
          <w:tblCellMar>
            <w:top w:w="0" w:type="dxa"/>
            <w:left w:w="108" w:type="dxa"/>
            <w:bottom w:w="0" w:type="dxa"/>
            <w:right w:w="108" w:type="dxa"/>
          </w:tblCellMar>
        </w:tblPrEx>
        <w:trPr>
          <w:trHeight w:val="450" w:hRule="atLeast"/>
        </w:trPr>
        <w:tc>
          <w:tcPr>
            <w:tcW w:w="1668" w:type="dxa"/>
            <w:tcBorders>
              <w:top w:val="single" w:color="auto" w:sz="4"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355" w:type="dxa"/>
            <w:tcBorders>
              <w:top w:val="single" w:color="auto" w:sz="4"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保洁要求与评分标准</w:t>
            </w:r>
          </w:p>
        </w:tc>
        <w:tc>
          <w:tcPr>
            <w:tcW w:w="851" w:type="dxa"/>
            <w:tcBorders>
              <w:top w:val="single" w:color="auto" w:sz="4" w:space="0"/>
              <w:left w:val="single" w:color="auto" w:sz="6" w:space="0"/>
              <w:bottom w:val="nil"/>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850" w:type="dxa"/>
            <w:tcBorders>
              <w:top w:val="single" w:color="auto" w:sz="4" w:space="0"/>
              <w:left w:val="single" w:color="auto" w:sz="4" w:space="0"/>
              <w:bottom w:val="nil"/>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843" w:type="dxa"/>
            <w:tcBorders>
              <w:top w:val="single" w:color="auto" w:sz="4" w:space="0"/>
              <w:left w:val="single" w:color="auto" w:sz="6" w:space="0"/>
              <w:bottom w:val="nil"/>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2395" w:hRule="exact"/>
        </w:trPr>
        <w:tc>
          <w:tcPr>
            <w:tcW w:w="1668" w:type="dxa"/>
            <w:tcBorders>
              <w:top w:val="single" w:color="auto" w:sz="4" w:space="0"/>
              <w:left w:val="single" w:color="auto" w:sz="6" w:space="0"/>
              <w:bottom w:val="single" w:color="auto" w:sz="6"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新宋体" w:hAnsi="新宋体" w:eastAsia="新宋体"/>
                <w:b/>
                <w:sz w:val="22"/>
              </w:rPr>
              <w:t>公路清扫（含绿化带）保洁</w:t>
            </w:r>
          </w:p>
        </w:tc>
        <w:tc>
          <w:tcPr>
            <w:tcW w:w="9355"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清扫保洁要达到“七无、五净、一通”标准，即无杂物，无果皮壳，无纸屑、烟蒂、塑料袋，无淤泥积土，无污水，无堵塞窨井沟眼，无卫生死角；路面、路牙净，窨井沟眼净，树穴净，边角净，花坛周围净；落水口、排水渠通。有卫生死角的，一处扣3分；有成堆垃圾的，一处扣2分；有连续散落垃圾的，一处扣1分；有袋装垃圾的，一处扣1分；有垃圾散落点的，三处为一例，每例扣0.5分；地上有烟蒂的，五个为一例，每例扣0.5分；地面有积污水的，一处扣1分；落水口、排水渠堵塞的，一处扣1分；路肩等有杂草的，一处扣1分；伸缩缝有淤泥及垃圾的，一处扣1分。</w:t>
            </w:r>
          </w:p>
        </w:tc>
        <w:tc>
          <w:tcPr>
            <w:tcW w:w="851"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0" w:type="dxa"/>
            <w:tcBorders>
              <w:top w:val="single" w:color="auto" w:sz="4" w:space="0"/>
              <w:left w:val="single" w:color="auto" w:sz="4"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274" w:hRule="exact"/>
        </w:trPr>
        <w:tc>
          <w:tcPr>
            <w:tcW w:w="1668" w:type="dxa"/>
            <w:tcBorders>
              <w:top w:val="single" w:color="auto" w:sz="4" w:space="0"/>
              <w:left w:val="single" w:color="auto" w:sz="6" w:space="0"/>
              <w:bottom w:val="single" w:color="auto" w:sz="6" w:space="0"/>
              <w:right w:val="single" w:color="auto" w:sz="4" w:space="0"/>
            </w:tcBorders>
            <w:noWrap w:val="0"/>
            <w:vAlign w:val="center"/>
          </w:tcPr>
          <w:p>
            <w:pPr>
              <w:widowControl/>
              <w:spacing w:line="280" w:lineRule="exact"/>
              <w:jc w:val="center"/>
              <w:rPr>
                <w:rFonts w:ascii="仿宋_GB2312" w:hAnsi="宋体" w:eastAsia="仿宋_GB2312" w:cs="宋体"/>
                <w:kern w:val="0"/>
                <w:szCs w:val="21"/>
              </w:rPr>
            </w:pPr>
            <w:r>
              <w:rPr>
                <w:rFonts w:hint="eastAsia" w:ascii="新宋体" w:hAnsi="新宋体" w:eastAsia="新宋体"/>
                <w:b/>
                <w:sz w:val="22"/>
              </w:rPr>
              <w:t>市政设施保洁</w:t>
            </w:r>
          </w:p>
        </w:tc>
        <w:tc>
          <w:tcPr>
            <w:tcW w:w="935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垃圾桶、果壳箱等环卫设施有破损、丢失未及时修复的，一处扣2分；垃圾桶、果壳箱外观不清洁，一处扣1分；垃圾容器封闭无四害滋生，周围无垃圾散落，垃圾做到日产日清。垃圾桶、果壳箱、垃圾坞有溢满的现象，或周围不清洁的，一处扣2分；内部或周边有四害滋生的，一处扣1分；垃圾桶、果壳箱、垃圾坞等垃圾分类标识破损或掉落未及时修复更换的，一处扣1分；垃圾桶、果壳箱未加盖、关门的，一处扣</w:t>
            </w:r>
            <w:r>
              <w:rPr>
                <w:rFonts w:ascii="仿宋_GB2312" w:hAnsi="宋体" w:eastAsia="仿宋_GB2312" w:cs="宋体"/>
                <w:kern w:val="0"/>
                <w:szCs w:val="21"/>
              </w:rPr>
              <w:t>1</w:t>
            </w:r>
            <w:r>
              <w:rPr>
                <w:rFonts w:hint="eastAsia" w:ascii="仿宋_GB2312" w:hAnsi="宋体" w:eastAsia="仿宋_GB2312" w:cs="宋体"/>
                <w:kern w:val="0"/>
                <w:szCs w:val="21"/>
              </w:rPr>
              <w:t>分；将已分类的垃圾混合收运的，一次扣3分。②交通护栏不整洁的，每</w:t>
            </w:r>
            <w:r>
              <w:rPr>
                <w:rFonts w:ascii="仿宋_GB2312" w:hAnsi="宋体" w:eastAsia="仿宋_GB2312" w:cs="宋体"/>
                <w:kern w:val="0"/>
                <w:szCs w:val="21"/>
              </w:rPr>
              <w:t>1</w:t>
            </w:r>
            <w:r>
              <w:rPr>
                <w:rFonts w:hint="eastAsia" w:ascii="仿宋_GB2312" w:hAnsi="宋体" w:eastAsia="仿宋_GB2312" w:cs="宋体"/>
                <w:kern w:val="0"/>
                <w:szCs w:val="21"/>
              </w:rPr>
              <w:t>0米扣1分。③其它市政设施有污痕、污垢、积尘的，一处扣1分。</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555"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新宋体" w:hAnsi="新宋体" w:eastAsia="新宋体"/>
                <w:b/>
                <w:sz w:val="22"/>
              </w:rPr>
              <w:t>机械化作业</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机械化作业要机扫到边、到位效果明显。机扫作业后路面有垃圾、积泥、沙石的，一次扣1分；机扫作业时“干扫”或侧刷或吸盘未落地的，一次扣1分；机械清扫车随意倾倒、偷倒、乱倒垃圾的，一次扣3分。②道路洒水要有明显的降温压尘的效果。道路冲洗后，路面有积垢、灰尘、烟蒂、果壳散落的，一次扣</w:t>
            </w:r>
            <w:r>
              <w:rPr>
                <w:rFonts w:ascii="仿宋_GB2312" w:hAnsi="宋体" w:eastAsia="仿宋_GB2312" w:cs="宋体"/>
                <w:kern w:val="0"/>
                <w:szCs w:val="21"/>
              </w:rPr>
              <w:t>1</w:t>
            </w:r>
            <w:r>
              <w:rPr>
                <w:rFonts w:hint="eastAsia" w:ascii="仿宋_GB2312" w:hAnsi="宋体" w:eastAsia="仿宋_GB2312" w:cs="宋体"/>
                <w:kern w:val="0"/>
                <w:szCs w:val="21"/>
              </w:rPr>
              <w:t>分。③机械车辆、船只未及时清洗，作业影响市容市貌的，一辆扣2分。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129"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新宋体" w:hAnsi="新宋体" w:eastAsia="新宋体"/>
                <w:b/>
                <w:sz w:val="22"/>
              </w:rPr>
            </w:pPr>
            <w:r>
              <w:rPr>
                <w:rFonts w:hint="eastAsia" w:ascii="宋体"/>
                <w:b/>
                <w:sz w:val="22"/>
              </w:rPr>
              <w:t>无主建筑垃圾清理</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负责区域内无主建筑垃圾的清理，做业期间基本无扬尘，运输途中无垃圾撒落。运输途中垃圾撒落的，一处扣3分。②随意倾倒、偷倒、乱倒垃圾或未在指定地点倾倒的，一次扣3分；建筑垃圾与生活垃圾混运、混放的，一次扣3分。③保洁责任区域内应当发现的渣土、装修垃圾，未及时清理的，一处扣3分；未采用专用车辆进行清运的，一次扣3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582"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项目</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widowControl/>
              <w:snapToGrid w:val="0"/>
              <w:jc w:val="center"/>
              <w:rPr>
                <w:rFonts w:ascii="宋体" w:hAnsi="宋体" w:cs="宋体"/>
                <w:b/>
                <w:kern w:val="0"/>
                <w:sz w:val="24"/>
              </w:rPr>
            </w:pPr>
            <w:r>
              <w:rPr>
                <w:rFonts w:hint="eastAsia" w:ascii="宋体" w:hAnsi="宋体" w:cs="宋体"/>
                <w:b/>
                <w:kern w:val="0"/>
                <w:sz w:val="24"/>
              </w:rPr>
              <w:t>保洁要求与评分标准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napToGrid w:val="0"/>
              <w:ind w:right="-105" w:rightChars="-50"/>
              <w:jc w:val="center"/>
              <w:rPr>
                <w:rFonts w:ascii="宋体" w:hAnsi="宋体" w:cs="宋体"/>
                <w:b/>
                <w:kern w:val="0"/>
                <w:sz w:val="24"/>
              </w:rPr>
            </w:pPr>
            <w:r>
              <w:rPr>
                <w:rFonts w:hint="eastAsia" w:ascii="宋体" w:hAnsi="宋体" w:cs="宋体"/>
                <w:b/>
                <w:kern w:val="0"/>
                <w:sz w:val="24"/>
              </w:rPr>
              <w:t>分值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ascii="宋体" w:hAnsi="宋体" w:cs="宋体"/>
                <w:b/>
                <w:kern w:val="0"/>
                <w:sz w:val="24"/>
              </w:rPr>
            </w:pPr>
            <w:r>
              <w:rPr>
                <w:rFonts w:hint="eastAsia" w:ascii="宋体" w:hAnsi="宋体" w:cs="宋体"/>
                <w:b/>
                <w:kern w:val="0"/>
                <w:sz w:val="24"/>
              </w:rPr>
              <w:t>扣分</w:t>
            </w: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napToGrid w:val="0"/>
              <w:ind w:left="-105" w:leftChars="-50" w:right="-105" w:rightChars="-50"/>
              <w:jc w:val="center"/>
              <w:rPr>
                <w:rFonts w:ascii="宋体" w:hAnsi="宋体" w:cs="宋体"/>
                <w:b/>
                <w:kern w:val="0"/>
                <w:sz w:val="24"/>
              </w:rPr>
            </w:pPr>
            <w:r>
              <w:rPr>
                <w:rFonts w:hint="eastAsia" w:ascii="宋体" w:hAnsi="宋体" w:cs="宋体"/>
                <w:b/>
                <w:kern w:val="0"/>
                <w:sz w:val="24"/>
              </w:rPr>
              <w:t>扣分依据</w:t>
            </w:r>
          </w:p>
        </w:tc>
      </w:tr>
      <w:tr>
        <w:tblPrEx>
          <w:tblCellMar>
            <w:top w:w="0" w:type="dxa"/>
            <w:left w:w="108" w:type="dxa"/>
            <w:bottom w:w="0" w:type="dxa"/>
            <w:right w:w="108" w:type="dxa"/>
          </w:tblCellMar>
        </w:tblPrEx>
        <w:trPr>
          <w:trHeight w:val="2418"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宋体"/>
                <w:b/>
                <w:sz w:val="22"/>
              </w:rPr>
              <w:t>小广告治理</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60" w:lineRule="exact"/>
              <w:rPr>
                <w:rFonts w:ascii="仿宋_GB2312" w:hAnsi="宋体" w:eastAsia="仿宋_GB2312" w:cs="宋体"/>
                <w:kern w:val="0"/>
                <w:szCs w:val="21"/>
              </w:rPr>
            </w:pPr>
            <w:r>
              <w:rPr>
                <w:rFonts w:hint="eastAsia" w:ascii="仿宋_GB2312" w:hAnsi="宋体" w:eastAsia="仿宋_GB2312" w:cs="宋体"/>
                <w:kern w:val="0"/>
                <w:szCs w:val="21"/>
              </w:rPr>
              <w:t>①外墙、地面、栏杆、店面卷帘门、空调外机等小广告清理保洁做到“日有日清”，未及时处理的，一处扣1分。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一处扣1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267"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规范作业</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①作业人员佩证上岗，作业期内穿反光安全服，在作业期间发现未穿工作服或工作服破损肮脏的，一次扣</w:t>
            </w:r>
            <w:r>
              <w:rPr>
                <w:rFonts w:ascii="仿宋_GB2312" w:hAnsi="宋体" w:eastAsia="仿宋_GB2312" w:cs="宋体"/>
                <w:kern w:val="0"/>
                <w:szCs w:val="21"/>
              </w:rPr>
              <w:t>1</w:t>
            </w:r>
            <w:r>
              <w:rPr>
                <w:rFonts w:hint="eastAsia" w:ascii="仿宋_GB2312" w:hAnsi="宋体" w:eastAsia="仿宋_GB2312" w:cs="宋体"/>
                <w:kern w:val="0"/>
                <w:szCs w:val="21"/>
              </w:rPr>
              <w:t>分；在作业时间内，集聚闲聊、工期休息超过10分钟、做与作业无关的事，一次扣</w:t>
            </w:r>
            <w:r>
              <w:rPr>
                <w:rFonts w:ascii="仿宋_GB2312" w:hAnsi="宋体" w:eastAsia="仿宋_GB2312" w:cs="宋体"/>
                <w:kern w:val="0"/>
                <w:szCs w:val="21"/>
              </w:rPr>
              <w:t>1</w:t>
            </w:r>
            <w:r>
              <w:rPr>
                <w:rFonts w:hint="eastAsia" w:ascii="仿宋_GB2312" w:hAnsi="宋体" w:eastAsia="仿宋_GB2312" w:cs="宋体"/>
                <w:kern w:val="0"/>
                <w:szCs w:val="21"/>
              </w:rPr>
              <w:t>分。②车辆停放未遵守交通法规的，一次扣2分；垃圾未实行密闭运输的，一次扣</w:t>
            </w:r>
            <w:r>
              <w:rPr>
                <w:rFonts w:ascii="仿宋_GB2312" w:hAnsi="宋体" w:eastAsia="仿宋_GB2312" w:cs="宋体"/>
                <w:kern w:val="0"/>
                <w:szCs w:val="21"/>
              </w:rPr>
              <w:t>2</w:t>
            </w:r>
            <w:r>
              <w:rPr>
                <w:rFonts w:hint="eastAsia" w:ascii="仿宋_GB2312" w:hAnsi="宋体" w:eastAsia="仿宋_GB2312" w:cs="宋体"/>
                <w:kern w:val="0"/>
                <w:szCs w:val="21"/>
              </w:rPr>
              <w:t>分；超高运输和吊挂杂物，一次扣1分。③作业人员擅自向责任区内单位收取各种费用的，一次扣3分；私自携带工业垃圾进垃圾中转的（零星的除外），一次扣3分。④洒水车接水点规范使用，做到节约用水，发现浪费、水龙头未拧紧一处扣5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1405"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widowControl/>
              <w:spacing w:line="280" w:lineRule="exact"/>
              <w:jc w:val="center"/>
              <w:rPr>
                <w:rFonts w:ascii="宋体"/>
                <w:b/>
                <w:sz w:val="22"/>
              </w:rPr>
            </w:pPr>
            <w:r>
              <w:rPr>
                <w:rFonts w:hint="eastAsia" w:ascii="宋体"/>
                <w:b/>
                <w:sz w:val="22"/>
              </w:rPr>
              <w:t>其他</w:t>
            </w:r>
          </w:p>
        </w:tc>
        <w:tc>
          <w:tcPr>
            <w:tcW w:w="9355"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ascii="仿宋_GB2312" w:hAnsi="宋体" w:eastAsia="仿宋_GB2312" w:cs="宋体"/>
                <w:kern w:val="0"/>
                <w:szCs w:val="21"/>
              </w:rPr>
            </w:pPr>
            <w:r>
              <w:rPr>
                <w:rFonts w:hint="eastAsia" w:ascii="仿宋_GB2312" w:hAnsi="宋体" w:eastAsia="仿宋_GB2312" w:cs="宋体"/>
                <w:kern w:val="0"/>
                <w:szCs w:val="21"/>
              </w:rPr>
              <w:t>①接到数字城管、投诉电话和新闻舆论等举报投诉后，应在时限内处理完毕，并作好信息反馈，未及时处理的，一次扣2分。②经媒体曝光，造成恶劣影响的，一次扣5分，且采购人有权无条件解除合同。③其他保洁要求不达标的，酌情扣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454" w:hRule="atLeast"/>
        </w:trPr>
        <w:tc>
          <w:tcPr>
            <w:tcW w:w="11023" w:type="dxa"/>
            <w:gridSpan w:val="2"/>
            <w:tcBorders>
              <w:top w:val="single" w:color="auto" w:sz="6" w:space="0"/>
              <w:left w:val="single" w:color="auto" w:sz="6" w:space="0"/>
              <w:bottom w:val="single" w:color="auto" w:sz="4" w:space="0"/>
              <w:right w:val="single" w:color="auto" w:sz="6" w:space="0"/>
            </w:tcBorders>
            <w:noWrap w:val="0"/>
            <w:vAlign w:val="center"/>
          </w:tcPr>
          <w:p>
            <w:pPr>
              <w:widowControl/>
              <w:spacing w:line="280" w:lineRule="exact"/>
              <w:jc w:val="center"/>
              <w:rPr>
                <w:rFonts w:ascii="仿宋_GB2312" w:hAnsi="宋体" w:eastAsia="仿宋_GB2312" w:cs="宋体"/>
                <w:kern w:val="0"/>
                <w:szCs w:val="21"/>
              </w:rPr>
            </w:pPr>
            <w:r>
              <w:rPr>
                <w:rFonts w:hint="eastAsia" w:ascii="仿宋_GB2312" w:hAnsi="宋体" w:eastAsia="仿宋_GB2312" w:cs="宋体"/>
                <w:kern w:val="0"/>
                <w:szCs w:val="21"/>
              </w:rPr>
              <w:t>合计得分</w:t>
            </w:r>
          </w:p>
        </w:tc>
        <w:tc>
          <w:tcPr>
            <w:tcW w:w="851"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c>
          <w:tcPr>
            <w:tcW w:w="1843" w:type="dxa"/>
            <w:tcBorders>
              <w:top w:val="single" w:color="auto" w:sz="6" w:space="0"/>
              <w:left w:val="single" w:color="auto" w:sz="6" w:space="0"/>
              <w:bottom w:val="single" w:color="auto" w:sz="6" w:space="0"/>
              <w:right w:val="single" w:color="auto" w:sz="4" w:space="0"/>
            </w:tcBorders>
            <w:noWrap w:val="0"/>
            <w:vAlign w:val="center"/>
          </w:tcPr>
          <w:p>
            <w:pPr>
              <w:widowControl/>
              <w:spacing w:line="280" w:lineRule="exact"/>
              <w:ind w:left="-105" w:leftChars="-50" w:right="-105" w:rightChars="-50"/>
              <w:jc w:val="center"/>
              <w:rPr>
                <w:rFonts w:ascii="仿宋_GB2312" w:hAnsi="宋体" w:eastAsia="仿宋_GB2312" w:cs="宋体"/>
                <w:kern w:val="0"/>
                <w:szCs w:val="21"/>
              </w:rPr>
            </w:pPr>
          </w:p>
        </w:tc>
      </w:tr>
    </w:tbl>
    <w:p>
      <w:pPr>
        <w:pStyle w:val="64"/>
        <w:keepNext w:val="0"/>
        <w:keepLines w:val="0"/>
        <w:pageBreakBefore w:val="0"/>
        <w:widowControl/>
        <w:kinsoku/>
        <w:wordWrap/>
        <w:overflowPunct/>
        <w:topLinePunct w:val="0"/>
        <w:autoSpaceDE/>
        <w:autoSpaceDN/>
        <w:bidi w:val="0"/>
        <w:adjustRightInd w:val="0"/>
        <w:snapToGrid/>
        <w:jc w:val="center"/>
        <w:textAlignment w:val="baseline"/>
        <w:outlineLvl w:val="9"/>
        <w:rPr>
          <w:rFonts w:hint="eastAsia" w:ascii="宋体" w:hAnsi="宋体" w:cs="宋体"/>
          <w:szCs w:val="21"/>
        </w:rPr>
        <w:sectPr>
          <w:pgSz w:w="16838" w:h="11906" w:orient="landscape"/>
          <w:pgMar w:top="1134" w:right="1134" w:bottom="1134" w:left="1134" w:header="851" w:footer="851" w:gutter="0"/>
          <w:cols w:space="720" w:num="1"/>
          <w:titlePg/>
          <w:docGrid w:linePitch="312" w:charSpace="0"/>
        </w:sectPr>
      </w:pPr>
      <w:r>
        <w:rPr>
          <w:rFonts w:hint="eastAsia" w:ascii="宋体" w:hAnsi="宋体"/>
        </w:rPr>
        <w:t>考核人：                                                                             日期：</w:t>
      </w:r>
    </w:p>
    <w:p>
      <w:pPr>
        <w:pStyle w:val="64"/>
        <w:jc w:val="center"/>
        <w:outlineLvl w:val="3"/>
        <w:rPr>
          <w:rFonts w:hint="eastAsia" w:ascii="宋体" w:hAnsi="宋体" w:cs="宋体"/>
          <w:b/>
          <w:bCs/>
        </w:rPr>
      </w:pPr>
      <w:r>
        <w:rPr>
          <w:rFonts w:hint="eastAsia" w:ascii="宋体" w:hAnsi="宋体" w:cs="宋体"/>
          <w:sz w:val="40"/>
          <w:szCs w:val="40"/>
        </w:rPr>
        <w:t>潘岱街道“一把扫帚”环卫公司保洁质量考核办法</w:t>
      </w:r>
    </w:p>
    <w:p>
      <w:pPr>
        <w:pStyle w:val="72"/>
        <w:shd w:val="clear" w:color="auto" w:fill="FFFFFF"/>
        <w:adjustRightInd w:val="0"/>
        <w:snapToGrid w:val="0"/>
        <w:spacing w:before="0" w:beforeAutospacing="0" w:after="0" w:afterAutospacing="0" w:line="360" w:lineRule="auto"/>
        <w:ind w:firstLine="440" w:firstLineChars="200"/>
        <w:rPr>
          <w:rFonts w:hint="eastAsia"/>
          <w:sz w:val="22"/>
          <w:szCs w:val="22"/>
        </w:rPr>
      </w:pP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为进一步提高辖区环境卫生建设和管理水平，改善市容环境卫生面貌，营造整洁、有序、美观的城乡环境，加强环卫作业监管，建立长效管理机制，现结合实际，特制定本办法。</w:t>
      </w:r>
    </w:p>
    <w:p>
      <w:pPr>
        <w:pStyle w:val="72"/>
        <w:shd w:val="clear" w:color="auto" w:fill="FFFFFF"/>
        <w:adjustRightInd w:val="0"/>
        <w:snapToGrid w:val="0"/>
        <w:spacing w:before="0" w:beforeAutospacing="0" w:after="0" w:afterAutospacing="0" w:line="360" w:lineRule="auto"/>
        <w:ind w:firstLine="422" w:firstLineChars="200"/>
        <w:rPr>
          <w:rFonts w:hint="eastAsia"/>
          <w:b/>
          <w:color w:val="000000"/>
        </w:rPr>
      </w:pPr>
      <w:r>
        <w:rPr>
          <w:rFonts w:hint="eastAsia"/>
          <w:b/>
          <w:color w:val="000000"/>
        </w:rPr>
        <w:t>一、考核对象</w:t>
      </w:r>
    </w:p>
    <w:p>
      <w:pPr>
        <w:pStyle w:val="72"/>
        <w:shd w:val="clear" w:color="auto" w:fill="FFFFFF"/>
        <w:adjustRightInd w:val="0"/>
        <w:snapToGrid w:val="0"/>
        <w:spacing w:before="0" w:beforeAutospacing="0" w:after="0" w:afterAutospacing="0" w:line="360" w:lineRule="auto"/>
        <w:ind w:firstLine="420" w:firstLineChars="200"/>
        <w:rPr>
          <w:rFonts w:hint="eastAsia"/>
          <w:color w:val="000000"/>
          <w:shd w:val="clear" w:color="auto" w:fill="FFFFFF"/>
        </w:rPr>
      </w:pPr>
      <w:r>
        <w:rPr>
          <w:rFonts w:hint="eastAsia"/>
          <w:szCs w:val="21"/>
        </w:rPr>
        <w:t>潘岱街道辖区内“一把扫帚”环卫保洁服务中标的承包单位</w:t>
      </w:r>
      <w:r>
        <w:rPr>
          <w:rFonts w:hint="eastAsia"/>
          <w:color w:val="000000"/>
          <w:shd w:val="clear" w:color="auto" w:fill="FFFFFF"/>
        </w:rPr>
        <w:t>。</w:t>
      </w:r>
    </w:p>
    <w:p>
      <w:pPr>
        <w:pStyle w:val="72"/>
        <w:shd w:val="clear" w:color="auto" w:fill="FFFFFF"/>
        <w:adjustRightInd w:val="0"/>
        <w:snapToGrid w:val="0"/>
        <w:spacing w:before="0" w:beforeAutospacing="0" w:after="0" w:afterAutospacing="0" w:line="360" w:lineRule="auto"/>
        <w:ind w:firstLine="422" w:firstLineChars="200"/>
        <w:rPr>
          <w:rFonts w:hint="eastAsia"/>
          <w:b/>
          <w:color w:val="000000"/>
        </w:rPr>
      </w:pPr>
      <w:r>
        <w:rPr>
          <w:rFonts w:hint="eastAsia"/>
          <w:b/>
          <w:color w:val="000000"/>
        </w:rPr>
        <w:t>二、考核范围及内容</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color w:val="000000"/>
          <w:shd w:val="clear" w:color="auto" w:fill="FFFFFF"/>
        </w:rPr>
        <w:t>潘岱街道</w:t>
      </w:r>
      <w:r>
        <w:rPr>
          <w:rFonts w:hint="eastAsia"/>
          <w:color w:val="000000"/>
        </w:rPr>
        <w:t>“一把扫帚”环卫</w:t>
      </w:r>
      <w:r>
        <w:rPr>
          <w:rFonts w:hint="eastAsia"/>
        </w:rPr>
        <w:t>保洁服务承包区域内日常保洁情况和规范作业，具体内容如下：</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1、城乡道路清扫保洁，包括城乡主次干道和背街小巷等清扫保洁；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2、公路清扫保洁，包括国道、省道、县道等清扫保洁；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3、园林绿化保洁，包括公园广场、公共绿地、道路绿化带等保洁；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4、河道保洁，包括各级河道、湖泊、水库、池塘、沟渠等保洁；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5、市政设施（城市家具）保洁，包括道路（含公路、桥梁）护栏、隔离栏、电杆、监控杆、弱电设施等一切公共室外市政设施保洁，环卫设施（含垃圾桶、果壳箱等）、公交站台、站牌、灯箱、广告牌、报刊（信息）亭、电话亭、邮政信箱、固定室外座椅等一切城市家具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6、无主建筑垃圾清理，包括无主装修垃圾，废弃家具的清理；</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7、公厕保洁与管理；</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8、小广告治理，包括道路、公园、广场、公厕、道路两侧构筑物、建筑物、道路辅助设施、市政（家具）设施上可见的小广告、非法喷涂广告。</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9、其他环境卫生问题。</w:t>
      </w:r>
    </w:p>
    <w:p>
      <w:pPr>
        <w:pStyle w:val="72"/>
        <w:shd w:val="clear" w:color="auto" w:fill="FFFFFF"/>
        <w:adjustRightInd w:val="0"/>
        <w:snapToGrid w:val="0"/>
        <w:spacing w:before="0" w:beforeAutospacing="0" w:after="0" w:afterAutospacing="0" w:line="360" w:lineRule="auto"/>
        <w:ind w:firstLine="422" w:firstLineChars="200"/>
        <w:rPr>
          <w:rFonts w:hint="eastAsia"/>
          <w:b/>
        </w:rPr>
      </w:pPr>
      <w:r>
        <w:rPr>
          <w:rFonts w:hint="eastAsia"/>
          <w:b/>
        </w:rPr>
        <w:t>三、考核方式</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1、考核由现场考核、领导班子、手机APP考核、综合执法中队、街道环卫所和村居人员参与的其他考核组成。</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2、现场考核分为四个区域：集镇所在地（前垟村、前岸村、后岸村）环境卫生，集镇外环境卫生，河道保洁，公路保洁。</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3、现场考核由街道环卫所负责。</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4、街道环卫所现场考核</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（1）街道环卫所组织对保洁公司进行日常考核，每周组织村干部、普通公众对保洁公司进行一次考核。</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（2）每次考核做好照片取证和台账记录备查。</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（3）次月5日前把考核结果报送至市综合行政执法局。</w:t>
      </w:r>
    </w:p>
    <w:p>
      <w:pPr>
        <w:pStyle w:val="72"/>
        <w:ind w:firstLine="420" w:firstLineChars="200"/>
        <w:rPr>
          <w:rFonts w:hint="eastAsia"/>
        </w:rPr>
      </w:pPr>
      <w:r>
        <w:rPr>
          <w:rFonts w:hint="eastAsia"/>
        </w:rPr>
        <w:t>5、其他考核每月集中考核一次。采取明查暗访、定期检查和不定期抽查相结合的方式进行考核。（由领导班子、执法中队、村两委成员参与考核）</w:t>
      </w:r>
    </w:p>
    <w:p>
      <w:pPr>
        <w:pStyle w:val="72"/>
        <w:ind w:firstLine="420" w:firstLineChars="200"/>
        <w:rPr>
          <w:rFonts w:hint="eastAsia"/>
        </w:rPr>
      </w:pPr>
    </w:p>
    <w:p>
      <w:pPr>
        <w:pStyle w:val="72"/>
        <w:rPr>
          <w:rFonts w:hint="eastAsia"/>
          <w:b/>
        </w:rPr>
      </w:pPr>
      <w:r>
        <w:rPr>
          <w:rFonts w:hint="eastAsia"/>
          <w:b/>
        </w:rPr>
        <w:t>四、考核计分</w:t>
      </w:r>
    </w:p>
    <w:p>
      <w:pPr>
        <w:pStyle w:val="72"/>
        <w:rPr>
          <w:rFonts w:hint="eastAsia"/>
          <w:b/>
        </w:rPr>
      </w:pPr>
      <w:r>
        <w:rPr>
          <w:rFonts w:hint="eastAsia"/>
        </w:rPr>
        <w:t>集镇区环境卫生考核满分400分，河道保洁考核满分150分，公路保洁考核满分50分。</w:t>
      </w:r>
    </w:p>
    <w:p>
      <w:pPr>
        <w:pStyle w:val="72"/>
        <w:rPr>
          <w:rFonts w:hint="eastAsia"/>
        </w:rPr>
      </w:pPr>
      <w:r>
        <w:rPr>
          <w:rFonts w:hint="eastAsia"/>
          <w:bCs/>
          <w:color w:val="000000"/>
        </w:rPr>
        <w:t>（一）考核得分率=保洁公司考核得分±加（扣）项分/各项考核总分。</w:t>
      </w:r>
    </w:p>
    <w:p>
      <w:pPr>
        <w:pStyle w:val="72"/>
        <w:rPr>
          <w:rFonts w:hint="eastAsia"/>
          <w:bCs/>
          <w:color w:val="000000"/>
        </w:rPr>
      </w:pPr>
      <w:r>
        <w:rPr>
          <w:rFonts w:hint="eastAsia"/>
          <w:bCs/>
          <w:color w:val="000000"/>
        </w:rPr>
        <w:t>（二）考核评分占比：单位班子领导考核评分占10%，执法中队考核评分占比20%，手机APP考核评分占比30%，专业队伍日常考核40%。</w:t>
      </w:r>
    </w:p>
    <w:p>
      <w:pPr>
        <w:pStyle w:val="72"/>
        <w:rPr>
          <w:rFonts w:hint="eastAsia"/>
          <w:b/>
        </w:rPr>
      </w:pPr>
      <w:r>
        <w:rPr>
          <w:rFonts w:hint="eastAsia"/>
          <w:b/>
        </w:rPr>
        <w:t>五、考核结果运用</w:t>
      </w:r>
    </w:p>
    <w:p>
      <w:pPr>
        <w:adjustRightInd w:val="0"/>
        <w:snapToGrid w:val="0"/>
        <w:spacing w:line="560" w:lineRule="exact"/>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（一）承包合同保洁经费支付依据。</w:t>
      </w:r>
    </w:p>
    <w:p>
      <w:pPr>
        <w:adjustRightInd w:val="0"/>
        <w:snapToGrid w:val="0"/>
        <w:spacing w:line="560" w:lineRule="exact"/>
        <w:ind w:firstLine="480" w:firstLineChars="200"/>
        <w:rPr>
          <w:rFonts w:hint="eastAsia" w:ascii="宋体" w:hAnsi="宋体" w:cs="宋体"/>
          <w:bCs/>
          <w:color w:val="000000"/>
          <w:sz w:val="24"/>
          <w:szCs w:val="24"/>
        </w:rPr>
      </w:pPr>
      <w:r>
        <w:rPr>
          <w:rFonts w:hint="eastAsia" w:ascii="宋体" w:hAnsi="宋体" w:cs="宋体"/>
          <w:bCs/>
          <w:color w:val="000000"/>
          <w:sz w:val="24"/>
          <w:szCs w:val="24"/>
        </w:rPr>
        <w:t>1.合同款支付比例计算公式。</w:t>
      </w:r>
    </w:p>
    <w:p>
      <w:pPr>
        <w:adjustRightInd w:val="0"/>
        <w:snapToGrid w:val="0"/>
        <w:spacing w:line="560" w:lineRule="exact"/>
        <w:ind w:firstLine="480" w:firstLineChars="200"/>
        <w:rPr>
          <w:rFonts w:hint="eastAsia" w:ascii="宋体" w:hAnsi="宋体" w:cs="宋体"/>
          <w:bCs/>
          <w:color w:val="000000"/>
          <w:sz w:val="24"/>
          <w:szCs w:val="24"/>
        </w:rPr>
      </w:pPr>
      <w:r>
        <w:rPr>
          <w:rFonts w:hint="eastAsia" w:ascii="宋体" w:hAnsi="宋体" w:cs="宋体"/>
          <w:bCs/>
          <w:color w:val="000000"/>
          <w:sz w:val="24"/>
          <w:szCs w:val="24"/>
        </w:rPr>
        <w:t>B=1-(1-A)/10</w:t>
      </w:r>
    </w:p>
    <w:p>
      <w:pPr>
        <w:adjustRightInd w:val="0"/>
        <w:snapToGrid w:val="0"/>
        <w:spacing w:line="560" w:lineRule="exact"/>
        <w:ind w:firstLine="480" w:firstLineChars="200"/>
        <w:rPr>
          <w:rFonts w:hint="eastAsia" w:ascii="宋体" w:hAnsi="宋体" w:cs="宋体"/>
          <w:bCs/>
          <w:color w:val="000000"/>
          <w:sz w:val="24"/>
          <w:szCs w:val="24"/>
        </w:rPr>
      </w:pPr>
      <w:r>
        <w:rPr>
          <w:rFonts w:hint="eastAsia" w:ascii="宋体" w:hAnsi="宋体" w:cs="宋体"/>
          <w:bCs/>
          <w:color w:val="000000"/>
          <w:sz w:val="24"/>
          <w:szCs w:val="24"/>
        </w:rPr>
        <w:t>A为得分率，B为合同款支付比例。</w:t>
      </w:r>
    </w:p>
    <w:p>
      <w:pPr>
        <w:adjustRightInd w:val="0"/>
        <w:snapToGrid w:val="0"/>
        <w:spacing w:line="560" w:lineRule="exact"/>
        <w:ind w:firstLine="480" w:firstLineChars="200"/>
        <w:rPr>
          <w:rFonts w:hint="eastAsia" w:ascii="宋体" w:hAnsi="宋体" w:cs="宋体"/>
          <w:bCs/>
          <w:color w:val="000000"/>
          <w:sz w:val="24"/>
          <w:szCs w:val="24"/>
        </w:rPr>
      </w:pPr>
      <w:r>
        <w:rPr>
          <w:rFonts w:hint="eastAsia" w:ascii="宋体" w:hAnsi="宋体" w:cs="宋体"/>
          <w:bCs/>
          <w:color w:val="000000"/>
          <w:sz w:val="24"/>
          <w:szCs w:val="24"/>
        </w:rPr>
        <w:t>2.合同支付款=月度保洁经费额×合同款支付比例</w:t>
      </w:r>
    </w:p>
    <w:p>
      <w:pPr>
        <w:pStyle w:val="72"/>
        <w:shd w:val="clear" w:color="auto" w:fill="FFFFFF"/>
        <w:adjustRightInd w:val="0"/>
        <w:snapToGrid w:val="0"/>
        <w:spacing w:before="0" w:beforeAutospacing="0" w:after="0" w:afterAutospacing="0" w:line="560" w:lineRule="exact"/>
        <w:ind w:firstLine="420" w:firstLineChars="200"/>
        <w:rPr>
          <w:rFonts w:hint="eastAsia"/>
          <w:color w:val="000000"/>
          <w:kern w:val="2"/>
        </w:rPr>
      </w:pPr>
      <w:r>
        <w:rPr>
          <w:rFonts w:hint="eastAsia"/>
          <w:color w:val="000000"/>
          <w:kern w:val="2"/>
        </w:rPr>
        <w:t>3.达标得分率为75%。月考核得分率为75%（不含）-60%（含）的，乡镇（街道）会商市综合行政执法局后，联合发书面通知书以示警告。月考核得分率低于60%（不含）的，乡镇（街道）会商市综合行政执法局后，联合发书面通知书以示严重警告。</w:t>
      </w:r>
    </w:p>
    <w:p>
      <w:pPr>
        <w:pStyle w:val="72"/>
        <w:shd w:val="clear" w:color="auto" w:fill="FFFFFF"/>
        <w:adjustRightInd w:val="0"/>
        <w:snapToGrid w:val="0"/>
        <w:spacing w:before="0" w:beforeAutospacing="0" w:after="0" w:afterAutospacing="0" w:line="560" w:lineRule="exact"/>
        <w:ind w:firstLine="420" w:firstLineChars="200"/>
        <w:rPr>
          <w:rFonts w:hint="eastAsia"/>
          <w:color w:val="000000"/>
          <w:kern w:val="2"/>
        </w:rPr>
      </w:pPr>
      <w:r>
        <w:rPr>
          <w:rFonts w:hint="eastAsia"/>
          <w:color w:val="000000"/>
          <w:kern w:val="2"/>
        </w:rPr>
        <w:t>（二)其他扣罚措施</w:t>
      </w:r>
    </w:p>
    <w:p>
      <w:pPr>
        <w:pStyle w:val="72"/>
        <w:shd w:val="clear" w:color="auto" w:fill="FFFFFF"/>
        <w:adjustRightInd w:val="0"/>
        <w:snapToGrid w:val="0"/>
        <w:spacing w:before="0" w:beforeAutospacing="0" w:after="0" w:afterAutospacing="0" w:line="560" w:lineRule="exact"/>
        <w:ind w:firstLine="420" w:firstLineChars="200"/>
        <w:rPr>
          <w:rFonts w:hint="eastAsia"/>
          <w:color w:val="000000"/>
          <w:kern w:val="2"/>
        </w:rPr>
      </w:pPr>
      <w:r>
        <w:rPr>
          <w:rFonts w:hint="eastAsia"/>
          <w:color w:val="000000"/>
          <w:kern w:val="2"/>
        </w:rPr>
        <w:t>1.现场检查发现机动车辆、船只弄虚作假没有实际作业，一经发现核实，每车（船）每次扣1500元人民币。</w:t>
      </w:r>
    </w:p>
    <w:p>
      <w:pPr>
        <w:pStyle w:val="72"/>
        <w:shd w:val="clear" w:color="auto" w:fill="FFFFFF"/>
        <w:adjustRightInd w:val="0"/>
        <w:snapToGrid w:val="0"/>
        <w:spacing w:before="0" w:beforeAutospacing="0" w:after="0" w:afterAutospacing="0" w:line="560" w:lineRule="exact"/>
        <w:ind w:firstLine="420" w:firstLineChars="200"/>
        <w:rPr>
          <w:rFonts w:hint="eastAsia"/>
          <w:color w:val="000000"/>
          <w:kern w:val="2"/>
        </w:rPr>
      </w:pPr>
      <w:r>
        <w:rPr>
          <w:rFonts w:hint="eastAsia"/>
          <w:color w:val="000000"/>
          <w:kern w:val="2"/>
        </w:rPr>
        <w:t>2.现场检查发现未经过采购人同意擅自减少保洁人员，或弄虚作假谎报保洁人员的，一经发现核实，每人每次扣200元人民币。</w:t>
      </w:r>
    </w:p>
    <w:p>
      <w:pPr>
        <w:pStyle w:val="72"/>
        <w:shd w:val="clear" w:color="auto" w:fill="FFFFFF"/>
        <w:adjustRightInd w:val="0"/>
        <w:snapToGrid w:val="0"/>
        <w:spacing w:before="0" w:beforeAutospacing="0" w:after="0" w:afterAutospacing="0" w:line="560" w:lineRule="exact"/>
        <w:ind w:firstLine="420" w:firstLineChars="200"/>
        <w:rPr>
          <w:rFonts w:hint="eastAsia"/>
          <w:color w:val="000000"/>
          <w:kern w:val="2"/>
        </w:rPr>
      </w:pPr>
      <w:r>
        <w:rPr>
          <w:rFonts w:hint="eastAsia"/>
          <w:color w:val="000000"/>
          <w:kern w:val="2"/>
        </w:rPr>
        <w:t>3凡遇国家、浙江省、温州市或瑞安市重大活动或检查时，环卫方面发现不达标的，除给予通报批评外，还可以给予相应的经济处罚。国家级检查发现问题的一处扣2000元以上，省级检查发现问题的一处扣1000元以上，地市级检查发现问题的一处扣800元以上，县市级领导检查发现问题的一处扣500元以上。</w:t>
      </w:r>
    </w:p>
    <w:p>
      <w:pPr>
        <w:pStyle w:val="72"/>
        <w:rPr>
          <w:rFonts w:hint="eastAsia"/>
          <w:b/>
          <w:szCs w:val="22"/>
        </w:rPr>
      </w:pPr>
      <w:r>
        <w:rPr>
          <w:rFonts w:hint="eastAsia"/>
          <w:b/>
          <w:szCs w:val="22"/>
        </w:rPr>
        <w:t>六、考核结果公布及申诉机制</w:t>
      </w:r>
    </w:p>
    <w:p>
      <w:pPr>
        <w:adjustRightInd w:val="0"/>
        <w:snapToGrid w:val="0"/>
        <w:spacing w:line="560" w:lineRule="exact"/>
        <w:ind w:firstLine="480" w:firstLineChars="200"/>
        <w:rPr>
          <w:rFonts w:hint="eastAsia" w:ascii="宋体" w:hAnsi="宋体" w:cs="宋体"/>
          <w:sz w:val="24"/>
          <w:szCs w:val="24"/>
        </w:rPr>
      </w:pPr>
      <w:r>
        <w:rPr>
          <w:rFonts w:hint="eastAsia" w:ascii="宋体" w:hAnsi="宋体" w:cs="宋体"/>
          <w:sz w:val="24"/>
          <w:szCs w:val="24"/>
        </w:rPr>
        <w:t>（一）市综合行政执法局每月7日前将智慧环卫平台扣罚结果报送至乡镇（街道），乡镇（街道）须按考核结果在支付保洁经费中予以资金扣罚。</w:t>
      </w:r>
    </w:p>
    <w:p>
      <w:pPr>
        <w:adjustRightInd w:val="0"/>
        <w:snapToGrid w:val="0"/>
        <w:spacing w:line="560" w:lineRule="exact"/>
        <w:ind w:firstLine="480" w:firstLineChars="200"/>
        <w:rPr>
          <w:rFonts w:hint="eastAsia" w:ascii="宋体" w:hAnsi="宋体" w:cs="宋体"/>
          <w:sz w:val="24"/>
          <w:szCs w:val="24"/>
        </w:rPr>
      </w:pPr>
      <w:r>
        <w:rPr>
          <w:rFonts w:hint="eastAsia" w:ascii="宋体" w:hAnsi="宋体" w:cs="宋体"/>
          <w:sz w:val="24"/>
          <w:szCs w:val="24"/>
        </w:rPr>
        <w:t>（二）乡镇（街道）于每月10日前对各考核单位的结果进行汇总，并反馈至保洁公司，同时将结果报送市综合行政执法局备案。</w:t>
      </w:r>
    </w:p>
    <w:p>
      <w:pPr>
        <w:adjustRightInd w:val="0"/>
        <w:snapToGrid w:val="0"/>
        <w:spacing w:line="560" w:lineRule="exact"/>
        <w:ind w:firstLine="480" w:firstLineChars="200"/>
        <w:rPr>
          <w:rFonts w:hint="eastAsia" w:ascii="宋体" w:hAnsi="宋体" w:cs="宋体"/>
          <w:sz w:val="24"/>
          <w:szCs w:val="24"/>
        </w:rPr>
      </w:pPr>
      <w:r>
        <w:rPr>
          <w:rFonts w:hint="eastAsia" w:ascii="宋体" w:hAnsi="宋体" w:cs="宋体"/>
          <w:sz w:val="24"/>
          <w:szCs w:val="24"/>
        </w:rPr>
        <w:t>（三）保洁公司收到考核结果后，在收到考核结果之日起3个工作日内可以向市综合行政执法局和乡镇（街道）提出异议申诉，市综合行政执法局会同乡镇（街道）自收到申诉之日起5个工作日内进行审核答复，逾期不予受理。</w:t>
      </w:r>
    </w:p>
    <w:p>
      <w:pPr>
        <w:adjustRightInd w:val="0"/>
        <w:snapToGrid w:val="0"/>
        <w:spacing w:line="56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（四）乡镇（街道）对保洁公司考核和市级对其考核得分率相差20%以上的，市级综合行政执法局可会同市级各相关考核单位进行调查核对，发现有违规予以纠正处理。</w:t>
      </w:r>
    </w:p>
    <w:p>
      <w:pPr>
        <w:adjustRightInd w:val="0"/>
        <w:snapToGrid w:val="0"/>
        <w:spacing w:line="56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（五）保洁公司在承包期限内违反《招标文件》和合同中约定终止合同条款的，须乡镇（街道）会同市综合行政执法局形成决议报请瑞安市人民政府。</w:t>
      </w:r>
    </w:p>
    <w:p>
      <w:pPr>
        <w:pStyle w:val="72"/>
        <w:rPr>
          <w:rFonts w:hint="eastAsia"/>
          <w:b/>
          <w:szCs w:val="22"/>
        </w:rPr>
      </w:pPr>
      <w:r>
        <w:rPr>
          <w:rFonts w:hint="eastAsia"/>
          <w:b/>
          <w:szCs w:val="22"/>
        </w:rPr>
        <w:t>七、考核纪律</w:t>
      </w:r>
    </w:p>
    <w:p>
      <w:pPr>
        <w:autoSpaceDE w:val="0"/>
        <w:autoSpaceDN w:val="0"/>
        <w:adjustRightInd w:val="0"/>
        <w:snapToGrid w:val="0"/>
        <w:spacing w:line="560" w:lineRule="exact"/>
        <w:ind w:firstLine="360" w:firstLineChars="150"/>
        <w:rPr>
          <w:rFonts w:hint="eastAsia" w:ascii="宋体" w:hAnsi="宋体" w:cs="宋体"/>
          <w:sz w:val="24"/>
          <w:szCs w:val="24"/>
        </w:rPr>
      </w:pPr>
      <w:r>
        <w:rPr>
          <w:rFonts w:hint="eastAsia" w:ascii="宋体" w:hAnsi="宋体" w:cs="宋体"/>
          <w:sz w:val="24"/>
          <w:szCs w:val="24"/>
        </w:rPr>
        <w:t>（一）考核工作客观、透明、公正。检查考核人员应认真遵守廉洁自律规定，严格执行检查考核操作程序，自觉接受监督。</w:t>
      </w:r>
    </w:p>
    <w:p>
      <w:pPr>
        <w:adjustRightInd w:val="0"/>
        <w:snapToGrid w:val="0"/>
        <w:spacing w:line="560" w:lineRule="exact"/>
        <w:ind w:firstLine="360" w:firstLineChars="150"/>
        <w:rPr>
          <w:rFonts w:hint="eastAsia" w:ascii="宋体" w:hAnsi="宋体" w:cs="宋体"/>
          <w:sz w:val="24"/>
          <w:szCs w:val="24"/>
        </w:rPr>
      </w:pPr>
      <w:r>
        <w:rPr>
          <w:rFonts w:hint="eastAsia" w:ascii="宋体" w:hAnsi="宋体" w:cs="宋体"/>
          <w:sz w:val="24"/>
          <w:szCs w:val="24"/>
        </w:rPr>
        <w:t>（二）考核人员违反考核工作纪律的，将通报批评并依照相关规定给予严肃处理。</w:t>
      </w:r>
    </w:p>
    <w:p>
      <w:pPr>
        <w:pStyle w:val="72"/>
        <w:rPr>
          <w:rFonts w:hint="eastAsia"/>
          <w:b/>
          <w:szCs w:val="22"/>
        </w:rPr>
      </w:pPr>
      <w:r>
        <w:rPr>
          <w:rFonts w:hint="eastAsia"/>
          <w:b/>
          <w:szCs w:val="22"/>
        </w:rPr>
        <w:t>八、采购人可以根据实际情况予以调整考核办法，中标承包单位须无条件接受并遵守。</w:t>
      </w:r>
    </w:p>
    <w:p>
      <w:pPr>
        <w:pStyle w:val="72"/>
        <w:rPr>
          <w:rFonts w:hint="eastAsia"/>
          <w:b/>
          <w:szCs w:val="22"/>
        </w:rPr>
      </w:pPr>
      <w:r>
        <w:rPr>
          <w:rFonts w:hint="eastAsia"/>
          <w:b/>
          <w:szCs w:val="22"/>
        </w:rPr>
        <w:t>九、其他</w:t>
      </w:r>
    </w:p>
    <w:p>
      <w:pPr>
        <w:adjustRightInd w:val="0"/>
        <w:snapToGrid w:val="0"/>
        <w:spacing w:line="560" w:lineRule="exact"/>
        <w:ind w:firstLine="360" w:firstLineChars="150"/>
        <w:rPr>
          <w:rFonts w:hint="eastAsia" w:ascii="宋体" w:hAnsi="宋体" w:cs="宋体"/>
          <w:sz w:val="24"/>
          <w:szCs w:val="24"/>
        </w:rPr>
      </w:pPr>
      <w:r>
        <w:rPr>
          <w:rFonts w:hint="eastAsia" w:ascii="宋体" w:hAnsi="宋体" w:cs="宋体"/>
          <w:sz w:val="24"/>
          <w:szCs w:val="24"/>
        </w:rPr>
        <w:t>（一）本办法已报备瑞安市“一把扫帚”环卫管理体制改革领导小组审核通过。</w:t>
      </w:r>
    </w:p>
    <w:p>
      <w:pPr>
        <w:adjustRightInd w:val="0"/>
        <w:snapToGrid w:val="0"/>
        <w:spacing w:line="560" w:lineRule="exact"/>
        <w:ind w:firstLine="360" w:firstLineChars="150"/>
        <w:rPr>
          <w:rFonts w:hint="eastAsia" w:ascii="宋体" w:hAnsi="宋体" w:cs="宋体"/>
          <w:sz w:val="24"/>
          <w:szCs w:val="24"/>
        </w:rPr>
      </w:pPr>
      <w:r>
        <w:rPr>
          <w:rFonts w:hint="eastAsia" w:ascii="宋体" w:hAnsi="宋体" w:cs="宋体"/>
          <w:sz w:val="24"/>
          <w:szCs w:val="24"/>
        </w:rPr>
        <w:t>（二）本办法自印发之日起实施。</w:t>
      </w:r>
    </w:p>
    <w:p>
      <w:pPr>
        <w:pStyle w:val="72"/>
        <w:rPr>
          <w:rFonts w:hint="eastAsia"/>
          <w:b/>
          <w:szCs w:val="22"/>
        </w:rPr>
      </w:pPr>
      <w:r>
        <w:rPr>
          <w:rFonts w:hint="eastAsia"/>
          <w:b/>
          <w:szCs w:val="22"/>
        </w:rPr>
        <w:t>十、本办法自印发之日起实施。</w:t>
      </w:r>
    </w:p>
    <w:p>
      <w:pPr>
        <w:pStyle w:val="72"/>
        <w:shd w:val="clear" w:color="auto" w:fill="FFFFFF"/>
        <w:adjustRightInd w:val="0"/>
        <w:snapToGrid w:val="0"/>
        <w:spacing w:before="0" w:beforeAutospacing="0" w:after="0" w:afterAutospacing="0" w:line="360" w:lineRule="auto"/>
        <w:ind w:firstLine="420" w:firstLineChars="200"/>
        <w:rPr>
          <w:rFonts w:hint="eastAsia"/>
        </w:rPr>
      </w:pPr>
      <w:r>
        <w:rPr>
          <w:rFonts w:hint="eastAsia"/>
        </w:rPr>
        <w:t>附件: 1、潘岱街道“一把扫帚”清扫保洁考核评分标准</w:t>
      </w:r>
    </w:p>
    <w:p>
      <w:pPr>
        <w:pStyle w:val="72"/>
        <w:shd w:val="clear" w:color="auto" w:fill="FFFFFF"/>
        <w:adjustRightInd w:val="0"/>
        <w:snapToGrid w:val="0"/>
        <w:spacing w:before="0" w:beforeAutospacing="0" w:after="0" w:afterAutospacing="0" w:line="360" w:lineRule="auto"/>
        <w:ind w:firstLine="420" w:firstLineChars="200"/>
        <w:jc w:val="right"/>
        <w:rPr>
          <w:rFonts w:hint="eastAsia"/>
        </w:rPr>
      </w:pPr>
    </w:p>
    <w:p>
      <w:pPr>
        <w:pStyle w:val="72"/>
        <w:shd w:val="clear" w:color="auto" w:fill="FFFFFF"/>
        <w:adjustRightInd w:val="0"/>
        <w:snapToGrid w:val="0"/>
        <w:spacing w:before="0" w:beforeAutospacing="0" w:after="0" w:afterAutospacing="0" w:line="360" w:lineRule="auto"/>
        <w:ind w:right="440" w:firstLine="6510" w:firstLineChars="3100"/>
        <w:rPr>
          <w:rFonts w:hint="eastAsia"/>
        </w:rPr>
      </w:pPr>
    </w:p>
    <w:p>
      <w:pPr>
        <w:pStyle w:val="72"/>
        <w:shd w:val="clear" w:color="auto" w:fill="FFFFFF"/>
        <w:adjustRightInd w:val="0"/>
        <w:snapToGrid w:val="0"/>
        <w:spacing w:before="0" w:beforeAutospacing="0" w:after="0" w:afterAutospacing="0" w:line="360" w:lineRule="auto"/>
        <w:ind w:right="440" w:firstLine="6510" w:firstLineChars="3100"/>
        <w:rPr>
          <w:rFonts w:hint="eastAsia"/>
        </w:rPr>
      </w:pPr>
      <w:r>
        <w:rPr>
          <w:rFonts w:hint="eastAsia"/>
        </w:rPr>
        <w:t>潘岱街道办事处</w:t>
      </w:r>
    </w:p>
    <w:p>
      <w:pPr>
        <w:pStyle w:val="72"/>
        <w:shd w:val="clear" w:color="auto" w:fill="FFFFFF"/>
        <w:adjustRightInd w:val="0"/>
        <w:snapToGrid w:val="0"/>
        <w:spacing w:before="0" w:beforeAutospacing="0" w:after="0" w:afterAutospacing="0" w:line="360" w:lineRule="auto"/>
        <w:ind w:right="220" w:firstLine="5985" w:firstLineChars="2850"/>
        <w:jc w:val="right"/>
        <w:rPr>
          <w:rFonts w:hint="eastAsia"/>
        </w:rPr>
        <w:sectPr>
          <w:pgSz w:w="11906" w:h="16838"/>
          <w:pgMar w:top="1134" w:right="1134" w:bottom="1134" w:left="1134" w:header="851" w:footer="851" w:gutter="0"/>
          <w:cols w:space="720" w:num="1"/>
          <w:titlePg/>
          <w:docGrid w:linePitch="312" w:charSpace="0"/>
        </w:sectPr>
      </w:pPr>
      <w:r>
        <w:rPr>
          <w:rFonts w:hint="eastAsia"/>
        </w:rPr>
        <w:t>2019年9月8日</w:t>
      </w:r>
    </w:p>
    <w:p>
      <w:pPr>
        <w:pageBreakBefore/>
        <w:adjustRightInd w:val="0"/>
        <w:snapToGrid w:val="0"/>
        <w:spacing w:line="380" w:lineRule="exact"/>
        <w:rPr>
          <w:rFonts w:hint="eastAsia" w:ascii="宋体" w:hAnsi="宋体" w:cs="宋体"/>
          <w:b/>
          <w:sz w:val="30"/>
          <w:szCs w:val="30"/>
        </w:rPr>
      </w:pPr>
      <w:r>
        <w:rPr>
          <w:rFonts w:hint="eastAsia" w:ascii="宋体" w:hAnsi="宋体" w:cs="宋体"/>
          <w:sz w:val="30"/>
          <w:szCs w:val="30"/>
        </w:rPr>
        <w:t>附件1</w:t>
      </w:r>
      <w:r>
        <w:rPr>
          <w:rFonts w:hint="eastAsia" w:ascii="宋体" w:hAnsi="宋体" w:cs="宋体"/>
          <w:b/>
          <w:sz w:val="30"/>
          <w:szCs w:val="30"/>
        </w:rPr>
        <w:t xml:space="preserve">                 瑞安市潘岱街道“一把扫帚”清扫保洁考核评分标准</w:t>
      </w:r>
    </w:p>
    <w:p>
      <w:pPr>
        <w:numPr>
          <w:ilvl w:val="0"/>
          <w:numId w:val="29"/>
        </w:numPr>
        <w:spacing w:line="380" w:lineRule="exact"/>
        <w:rPr>
          <w:rFonts w:hint="eastAsia" w:ascii="宋体" w:hAnsi="宋体" w:cs="宋体"/>
          <w:b/>
          <w:sz w:val="22"/>
        </w:rPr>
      </w:pPr>
      <w:r>
        <w:rPr>
          <w:rFonts w:hint="eastAsia" w:ascii="宋体" w:hAnsi="宋体" w:cs="宋体"/>
          <w:b/>
          <w:sz w:val="22"/>
        </w:rPr>
        <w:t>环境卫生考评表  （400分）</w:t>
      </w:r>
    </w:p>
    <w:tbl>
      <w:tblPr>
        <w:tblStyle w:val="29"/>
        <w:tblW w:w="14850" w:type="dxa"/>
        <w:tblInd w:w="0" w:type="dxa"/>
        <w:tblLayout w:type="fixed"/>
        <w:tblCellMar>
          <w:top w:w="0" w:type="dxa"/>
          <w:left w:w="108" w:type="dxa"/>
          <w:bottom w:w="0" w:type="dxa"/>
          <w:right w:w="108" w:type="dxa"/>
        </w:tblCellMar>
      </w:tblPr>
      <w:tblGrid>
        <w:gridCol w:w="959"/>
        <w:gridCol w:w="992"/>
        <w:gridCol w:w="9072"/>
        <w:gridCol w:w="851"/>
        <w:gridCol w:w="850"/>
        <w:gridCol w:w="2126"/>
      </w:tblGrid>
      <w:tr>
        <w:trPr>
          <w:trHeight w:val="652" w:hRule="atLeast"/>
        </w:trPr>
        <w:tc>
          <w:tcPr>
            <w:tcW w:w="959" w:type="dxa"/>
            <w:tcBorders>
              <w:top w:val="single" w:color="auto" w:sz="4"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4" w:space="0"/>
              <w:left w:val="single" w:color="auto" w:sz="6" w:space="0"/>
              <w:bottom w:val="single" w:color="auto" w:sz="6"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4"/>
              </w:rPr>
              <w:t>子项目</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6" w:space="0"/>
              <w:bottom w:val="nil"/>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4" w:space="0"/>
              <w:bottom w:val="nil"/>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nil"/>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2341" w:hRule="exact"/>
        </w:trPr>
        <w:tc>
          <w:tcPr>
            <w:tcW w:w="959" w:type="dxa"/>
            <w:vMerge w:val="restart"/>
            <w:tcBorders>
              <w:top w:val="single" w:color="auto" w:sz="4" w:space="0"/>
              <w:left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主要道路清扫保洁</w:t>
            </w: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r>
              <w:rPr>
                <w:rFonts w:hint="eastAsia" w:ascii="宋体" w:hAnsi="宋体" w:cs="宋体"/>
                <w:b/>
                <w:sz w:val="22"/>
              </w:rPr>
              <w:t>道路清扫（含绿化带）保洁</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普扫保洁要达到“七无、五净、一通”标准，既无杂物；无果皮壳；无纸屑，烟蒂，塑料袋；无淤泥积土；无污水；无堵塞窨井沟眼；无卫生死角。路面、路牙净，窨井沟眼净，树穴净，边角净，花坛周围净。落水口、排水渠通。卫生死角一处扣3分、成堆垃圾一处扣2分、连续散落垃圾一处扣1分；袋装垃圾扣1分、垃圾散落点三处为一例扣0.5分；烟蒂五个为一例扣0.5分，地面积污水一处扣1分；落水口、排水渠堵塞发现一处扣1分；路肩等杂草发现一处扣1分。</w:t>
            </w:r>
          </w:p>
        </w:tc>
        <w:tc>
          <w:tcPr>
            <w:tcW w:w="851"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75</w:t>
            </w:r>
          </w:p>
        </w:tc>
        <w:tc>
          <w:tcPr>
            <w:tcW w:w="850" w:type="dxa"/>
            <w:tcBorders>
              <w:top w:val="single" w:color="auto" w:sz="4" w:space="0"/>
              <w:left w:val="single" w:color="auto" w:sz="4"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3112" w:hRule="exact"/>
        </w:trPr>
        <w:tc>
          <w:tcPr>
            <w:tcW w:w="959" w:type="dxa"/>
            <w:vMerge w:val="continue"/>
            <w:tcBorders>
              <w:left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r>
              <w:rPr>
                <w:rFonts w:hint="eastAsia" w:ascii="宋体" w:hAnsi="宋体" w:cs="宋体"/>
                <w:b/>
                <w:sz w:val="22"/>
              </w:rPr>
              <w:t>市政设施保洁</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环卫设施无破损，垃圾桶、果壳箱破损、丢失未及时修复，更换的（12小时内），每次扣2分；定期清洗保持外观清洁；垃圾容器封闭无四害滋生，周围无垃圾散落，垃圾做到日产日清。垃圾桶、果壳箱、垃圾坞溢满，周围不清洁，每处扣2分；设施内部或周边四害滋生的发现一次扣1分；禁止环卫工人在果壳箱、垃圾桶内翻捡废品。垃圾桶、果壳箱、垃圾坞等垃圾分类的标识清晰完整，垃圾分类标识破损或掉落未及时修复更换的，每次扣1分。垃圾桶、果壳箱未及时清洗加盖、关门发现一次扣1分；不得将已分类的垃圾混合收运，每次扣3分；②交通护栏不整洁每10米扣1分；③其它市政设施有污痕、污垢、积尘的，发现一处扣1分。</w:t>
            </w:r>
          </w:p>
          <w:p>
            <w:pPr>
              <w:spacing w:line="380" w:lineRule="exact"/>
              <w:rPr>
                <w:rFonts w:hint="eastAsia" w:ascii="宋体" w:hAnsi="宋体" w:cs="宋体"/>
                <w:szCs w:val="21"/>
              </w:rPr>
            </w:pP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30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568" w:hRule="exact"/>
        </w:trPr>
        <w:tc>
          <w:tcPr>
            <w:tcW w:w="959" w:type="dxa"/>
            <w:vMerge w:val="continue"/>
            <w:tcBorders>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r>
              <w:rPr>
                <w:rFonts w:hint="eastAsia" w:ascii="宋体" w:hAnsi="宋体" w:cs="宋体"/>
                <w:b/>
                <w:sz w:val="22"/>
              </w:rPr>
              <w:t>机械化作业</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numPr>
                <w:ilvl w:val="0"/>
                <w:numId w:val="30"/>
              </w:numPr>
              <w:spacing w:line="380" w:lineRule="exact"/>
              <w:rPr>
                <w:rFonts w:hint="eastAsia" w:ascii="宋体" w:hAnsi="宋体" w:cs="宋体"/>
                <w:szCs w:val="21"/>
              </w:rPr>
            </w:pPr>
            <w:r>
              <w:rPr>
                <w:rFonts w:hint="eastAsia" w:ascii="宋体" w:hAnsi="宋体" w:cs="宋体"/>
                <w:szCs w:val="21"/>
              </w:rPr>
              <w:t>机械化机扫到边、到位效果明显，路面无垃圾、无积泥、无沙石。路面发现垃圾、积泥、沙石的一次扣1分；机扫作业时“干扫”或侧刷或吸盘未落地的发现一次扣1分；发现机械清扫车随意倾倒、偷倒、乱倒垃圾的一次扣3分。②道路洒水要有明显的降温压尘的效果。道路冲洗后，路面无积垢、无灰尘、无烟蒂、无果壳散落，冲洗后有积垢、灰尘、烟蒂、果壳散落的一次扣1分。③机械车辆、船只未及时清洗，作业影响市容市貌的，发现每辆一次扣1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30</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595"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子项目</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3297" w:hRule="exact"/>
        </w:trPr>
        <w:tc>
          <w:tcPr>
            <w:tcW w:w="959" w:type="dxa"/>
            <w:vMerge w:val="restart"/>
            <w:tcBorders>
              <w:top w:val="single" w:color="auto" w:sz="6" w:space="0"/>
              <w:left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主要道路清扫保洁</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小广告治理</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spacing w:line="300" w:lineRule="exact"/>
              <w:rPr>
                <w:rFonts w:hint="eastAsia" w:ascii="宋体" w:hAnsi="宋体" w:cs="宋体"/>
                <w:szCs w:val="21"/>
              </w:rPr>
            </w:pPr>
            <w:r>
              <w:rPr>
                <w:rFonts w:hint="eastAsia" w:ascii="宋体" w:hAnsi="宋体" w:cs="宋体"/>
                <w:szCs w:val="21"/>
              </w:rPr>
              <w:t>①外墙、地面、栏杆、店面卷帘门、空调外机等清理保洁做到“日有日清”，原则上应在每日上午9点以前清除完毕。同一地方的乱张贴或乱涂写存续时间主次干道（桥梁）不能超过2小时，特殊情况不得超过1小时；其它地方不能超过3小时，特殊情况不能超过2小时；未及时处理，发现一处小广告扣1分。出现大规模低俗、反社会等小广告时未及时组织人员清楚的，每发现一次扣3分。</w:t>
            </w:r>
          </w:p>
          <w:p>
            <w:pPr>
              <w:spacing w:line="300" w:lineRule="exact"/>
              <w:rPr>
                <w:rFonts w:hint="eastAsia" w:ascii="宋体" w:hAnsi="宋体" w:cs="宋体"/>
                <w:szCs w:val="21"/>
              </w:rPr>
            </w:pPr>
            <w:r>
              <w:rPr>
                <w:rFonts w:hint="eastAsia" w:ascii="宋体" w:hAnsi="宋体" w:cs="宋体"/>
                <w:szCs w:val="21"/>
              </w:rPr>
              <w:t>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发现一处扣3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25</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577" w:hRule="exact"/>
        </w:trPr>
        <w:tc>
          <w:tcPr>
            <w:tcW w:w="959" w:type="dxa"/>
            <w:vMerge w:val="continue"/>
            <w:tcBorders>
              <w:left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无主建筑垃圾清理</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numPr>
                <w:ilvl w:val="0"/>
                <w:numId w:val="31"/>
              </w:numPr>
              <w:spacing w:line="300" w:lineRule="exact"/>
              <w:rPr>
                <w:rFonts w:hint="eastAsia" w:ascii="宋体" w:hAnsi="宋体" w:cs="宋体"/>
                <w:szCs w:val="21"/>
              </w:rPr>
            </w:pPr>
            <w:r>
              <w:rPr>
                <w:rFonts w:hint="eastAsia" w:ascii="宋体" w:hAnsi="宋体" w:cs="宋体"/>
                <w:szCs w:val="21"/>
              </w:rPr>
              <w:t>负责区域内无主建筑垃圾的清理（含</w:t>
            </w:r>
            <w:r>
              <w:rPr>
                <w:rFonts w:hint="eastAsia" w:ascii="宋体" w:hAnsi="宋体" w:cs="宋体"/>
                <w:sz w:val="22"/>
              </w:rPr>
              <w:t>烟墩山、集云山、集云山水库周边无主生活垃圾、无主建筑垃圾</w:t>
            </w:r>
            <w:r>
              <w:rPr>
                <w:rFonts w:hint="eastAsia" w:ascii="宋体" w:hAnsi="宋体" w:cs="宋体"/>
                <w:szCs w:val="21"/>
              </w:rPr>
              <w:t>）。做业期间基本无扬尘，运输途中无垃圾撒落，如发现运输途中垃圾撒落的一处扣3分；垃圾在指定地点倾倒，不得随意倾倒、偷到、乱倒垃圾,如发现随意倾倒、偷倒、乱倒垃圾或未在指定地点倾倒的一次扣3分；不得与生活垃圾混运，混放。如发现建筑垃圾与生活垃圾混运、混放的一次扣3分；②保洁责任区域内应当发现的（保洁过程中应该发现）渣土、装修垃圾，要在24小时内清运完毕；采购人要求清运的渣土、装修垃圾，供应商接到通知要在12小时内清运完毕，未及时清理，每处扣3分；未采用专用车辆进行清运的一次扣3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790" w:hRule="exact"/>
        </w:trPr>
        <w:tc>
          <w:tcPr>
            <w:tcW w:w="959" w:type="dxa"/>
            <w:vMerge w:val="continue"/>
            <w:tcBorders>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r>
              <w:rPr>
                <w:rFonts w:hint="eastAsia" w:ascii="宋体" w:hAnsi="宋体" w:cs="宋体"/>
                <w:b/>
                <w:sz w:val="22"/>
              </w:rPr>
              <w:t>规范作业</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numPr>
                <w:ilvl w:val="0"/>
                <w:numId w:val="32"/>
              </w:numPr>
              <w:spacing w:line="380" w:lineRule="exact"/>
              <w:rPr>
                <w:rFonts w:hint="eastAsia" w:ascii="宋体" w:hAnsi="宋体" w:cs="宋体"/>
                <w:szCs w:val="21"/>
              </w:rPr>
            </w:pPr>
            <w:r>
              <w:rPr>
                <w:rFonts w:hint="eastAsia" w:ascii="宋体" w:hAnsi="宋体" w:cs="宋体"/>
                <w:szCs w:val="21"/>
              </w:rPr>
              <w:t>作业人员佩证上岗，作业期内穿反光安全服，在作业期间发现未穿工作服或工作服破损肮脏的一次扣1分；在作业时间内，不集聚闲聊，工期休息不超过10分钟，或作业期间不做与作业无关的事，发现一次扣1分；②车辆停放遵守交通法规，发现一次扣2分；垃圾运输实行密闭，垃圾未实行密闭运输一次扣2分；不得超高运输和吊挂杂物，发现一次扣1分；③严禁作业人员擅自向责任区内单位收取各种费用，发现作业人员擅自收费的一次扣3分；不得私自携带工业垃圾进垃圾中转（零星的除外），发现私自携带工业垃圾进垃圾中转站一次扣3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736"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4"/>
              </w:rPr>
              <w:t>子项目</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2367" w:hRule="exact"/>
        </w:trPr>
        <w:tc>
          <w:tcPr>
            <w:tcW w:w="959" w:type="dxa"/>
            <w:vMerge w:val="restart"/>
            <w:tcBorders>
              <w:top w:val="single" w:color="auto" w:sz="4" w:space="0"/>
              <w:left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背街小巷、开放式小区清扫保洁</w:t>
            </w: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b/>
                <w:sz w:val="22"/>
              </w:rPr>
              <w:t>道路清扫（含绿化带）保洁</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numPr>
                <w:ilvl w:val="0"/>
                <w:numId w:val="33"/>
              </w:numPr>
              <w:spacing w:line="360" w:lineRule="exact"/>
              <w:rPr>
                <w:rFonts w:hint="eastAsia" w:ascii="宋体" w:hAnsi="宋体" w:cs="宋体"/>
                <w:szCs w:val="21"/>
              </w:rPr>
            </w:pPr>
            <w:r>
              <w:rPr>
                <w:rFonts w:hint="eastAsia" w:ascii="宋体" w:hAnsi="宋体" w:cs="宋体"/>
                <w:szCs w:val="21"/>
              </w:rPr>
              <w:t>普扫保洁要达到“七无、五净、一通”标准，既无杂物；无果皮壳；无纸屑，烟蒂，塑料袋；无淤泥积土；无污水；无堵塞窨井沟眼；无卫生死角。路面、路牙净，窨井沟眼净，树穴净，边角净，花坛周围净。落水口、排水渠通。卫生死角一处扣3分、成堆垃圾一处扣2分、连续散落垃圾一处扣2分；袋装垃圾扣1分、垃圾散落点三处为一例扣0.5分；烟蒂五个为一例扣0.5分，地面积污水一处扣1分；落水口、排水渠堵塞发现一处扣1分；路肩等杂草发现一处扣1分。</w:t>
            </w:r>
          </w:p>
        </w:tc>
        <w:tc>
          <w:tcPr>
            <w:tcW w:w="851"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60</w:t>
            </w:r>
          </w:p>
        </w:tc>
        <w:tc>
          <w:tcPr>
            <w:tcW w:w="850" w:type="dxa"/>
            <w:tcBorders>
              <w:top w:val="single" w:color="auto" w:sz="4" w:space="0"/>
              <w:left w:val="single" w:color="auto" w:sz="4"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557" w:hRule="exact"/>
        </w:trPr>
        <w:tc>
          <w:tcPr>
            <w:tcW w:w="959" w:type="dxa"/>
            <w:vMerge w:val="continue"/>
            <w:tcBorders>
              <w:left w:val="single" w:color="auto" w:sz="6" w:space="0"/>
              <w:right w:val="single" w:color="auto" w:sz="6" w:space="0"/>
            </w:tcBorders>
            <w:noWrap w:val="0"/>
            <w:vAlign w:val="center"/>
          </w:tcPr>
          <w:p>
            <w:pPr>
              <w:spacing w:line="280" w:lineRule="exact"/>
              <w:rPr>
                <w:rFonts w:hint="eastAsia" w:ascii="宋体" w:hAnsi="宋体" w:cs="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b/>
                <w:sz w:val="22"/>
              </w:rPr>
              <w:t>市政设施保洁</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spacing w:line="360" w:lineRule="exact"/>
              <w:rPr>
                <w:rFonts w:hint="eastAsia" w:ascii="宋体" w:hAnsi="宋体" w:cs="宋体"/>
                <w:szCs w:val="21"/>
              </w:rPr>
            </w:pPr>
            <w:r>
              <w:rPr>
                <w:rFonts w:hint="eastAsia" w:ascii="宋体" w:hAnsi="宋体" w:cs="宋体"/>
                <w:szCs w:val="21"/>
              </w:rPr>
              <w:t>①环卫设施无破损，垃圾桶、果壳箱破损、丢失未及时修复，更换的（12小时内），每次扣2分；定期清洗保持外观清洁；垃圾容器封闭无四害滋生，周围无垃圾散落，垃圾做到日产日清。垃圾桶、果壳箱、垃圾坞溢满，周围不清洁，每处扣2分；设施内部或周边四害滋生的发现一次扣1分；禁止环卫工人在果壳箱、垃圾桶内翻捡废品。垃圾桶、果壳箱、垃圾坞等垃圾分类的标识清晰完整，垃圾分类标识破损或掉落未及时修复更换的，每次扣1分。垃圾桶、果壳箱未及时清洗加盖、关门发现一次扣1分；不得将已分类的垃圾混合收运，每次扣3分；②交通护栏不整洁每10米扣1分；③其它市政设施有污痕、污垢、积尘的，发现一处扣1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3600" w:hRule="exact"/>
        </w:trPr>
        <w:tc>
          <w:tcPr>
            <w:tcW w:w="959" w:type="dxa"/>
            <w:vMerge w:val="continue"/>
            <w:tcBorders>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b/>
                <w:sz w:val="22"/>
              </w:rPr>
              <w:t>小广告治理</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spacing w:line="360" w:lineRule="exact"/>
              <w:rPr>
                <w:rFonts w:hint="eastAsia" w:ascii="宋体" w:hAnsi="宋体" w:cs="宋体"/>
                <w:szCs w:val="21"/>
              </w:rPr>
            </w:pPr>
            <w:r>
              <w:rPr>
                <w:rFonts w:hint="eastAsia" w:ascii="宋体" w:hAnsi="宋体" w:cs="宋体"/>
                <w:szCs w:val="21"/>
              </w:rPr>
              <w:t>①外墙、地面、栏杆、店面卷帘门、空调外机等清理保洁做到“日有日清”，原则上应在每日上午9点以前清除完毕。同一地方的乱张贴或乱涂写存续时间主次干道（桥梁）不能超过2小时，特殊情况不得超过1小时；其它地方不能超过3小时，特殊情况不能超过2小时；未及时处理，发现一处小广告扣1分。出现大规模低俗、反社会等小广告时未及时组织人员清楚的，每发现一次扣3分。</w:t>
            </w:r>
          </w:p>
          <w:p>
            <w:pPr>
              <w:spacing w:line="360" w:lineRule="exact"/>
              <w:rPr>
                <w:rFonts w:hint="eastAsia" w:ascii="宋体" w:hAnsi="宋体" w:cs="宋体"/>
                <w:szCs w:val="21"/>
              </w:rPr>
            </w:pPr>
            <w:r>
              <w:rPr>
                <w:rFonts w:hint="eastAsia" w:ascii="宋体" w:hAnsi="宋体" w:cs="宋体"/>
                <w:szCs w:val="21"/>
              </w:rPr>
              <w:t>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发现一处扣3分。</w:t>
            </w:r>
          </w:p>
          <w:p>
            <w:pPr>
              <w:spacing w:line="360" w:lineRule="exact"/>
              <w:rPr>
                <w:rFonts w:hint="eastAsia" w:ascii="宋体" w:hAnsi="宋体" w:cs="宋体"/>
                <w:szCs w:val="21"/>
              </w:rPr>
            </w:pP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760"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4"/>
              </w:rPr>
              <w:t>子项目</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3110" w:hRule="exact"/>
        </w:trPr>
        <w:tc>
          <w:tcPr>
            <w:tcW w:w="959" w:type="dxa"/>
            <w:vMerge w:val="restart"/>
            <w:tcBorders>
              <w:top w:val="single" w:color="auto" w:sz="6" w:space="0"/>
              <w:left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2"/>
              </w:rPr>
              <w:t>背街小巷、开放式小区清扫保洁</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2"/>
              </w:rPr>
              <w:t>无主建筑垃圾清理</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numPr>
                <w:ilvl w:val="0"/>
                <w:numId w:val="34"/>
              </w:numPr>
              <w:spacing w:line="380" w:lineRule="exact"/>
              <w:rPr>
                <w:rFonts w:hint="eastAsia" w:ascii="宋体" w:hAnsi="宋体" w:cs="宋体"/>
                <w:szCs w:val="21"/>
              </w:rPr>
            </w:pPr>
            <w:r>
              <w:rPr>
                <w:rFonts w:hint="eastAsia" w:ascii="宋体" w:hAnsi="宋体" w:cs="宋体"/>
                <w:szCs w:val="21"/>
              </w:rPr>
              <w:t>负责区域内无主建筑垃圾的清理。做业期间基本无扬尘，运输途中无垃圾撒落，如发现运输途中垃圾撒落的一处扣3分；垃圾在指定地点倾倒，不得随意倾倒、偷到、乱倒垃圾,如发现随意倾倒、偷倒、乱倒垃圾或未在指定地点倾倒的一次扣3分；不得与生活垃圾混运，混放。如发现建筑垃圾与生活垃圾混运、混放的一次扣3分；②保洁责任区域内应当发现的（保洁过程中应该发现）渣土、装修垃圾，要在24小时内清运完毕；采购人要求清运的渣土、装修垃圾，供应商接到通知要在12小时内清运完毕，未及时清理，每处扣3分；未采用专用车辆进行清运的一次扣3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15</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p>
        </w:tc>
      </w:tr>
      <w:tr>
        <w:tblPrEx>
          <w:tblCellMar>
            <w:top w:w="0" w:type="dxa"/>
            <w:left w:w="108" w:type="dxa"/>
            <w:bottom w:w="0" w:type="dxa"/>
            <w:right w:w="108" w:type="dxa"/>
          </w:tblCellMar>
        </w:tblPrEx>
        <w:trPr>
          <w:trHeight w:val="3169" w:hRule="exact"/>
        </w:trPr>
        <w:tc>
          <w:tcPr>
            <w:tcW w:w="959" w:type="dxa"/>
            <w:vMerge w:val="continue"/>
            <w:tcBorders>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2"/>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spacing w:line="280" w:lineRule="exact"/>
              <w:rPr>
                <w:rFonts w:hint="eastAsia" w:ascii="宋体" w:hAnsi="宋体" w:cs="宋体"/>
                <w:b/>
                <w:sz w:val="22"/>
              </w:rPr>
            </w:pPr>
            <w:r>
              <w:rPr>
                <w:rFonts w:hint="eastAsia" w:ascii="宋体" w:hAnsi="宋体" w:cs="宋体"/>
                <w:b/>
                <w:sz w:val="22"/>
              </w:rPr>
              <w:t>规范作业</w:t>
            </w:r>
          </w:p>
        </w:tc>
        <w:tc>
          <w:tcPr>
            <w:tcW w:w="9072" w:type="dxa"/>
            <w:tcBorders>
              <w:top w:val="single" w:color="auto" w:sz="4" w:space="0"/>
              <w:left w:val="single" w:color="auto" w:sz="6" w:space="0"/>
              <w:bottom w:val="single" w:color="auto" w:sz="6" w:space="0"/>
              <w:right w:val="single" w:color="auto" w:sz="4" w:space="0"/>
            </w:tcBorders>
            <w:noWrap w:val="0"/>
            <w:vAlign w:val="center"/>
          </w:tcPr>
          <w:p>
            <w:pPr>
              <w:numPr>
                <w:ilvl w:val="0"/>
                <w:numId w:val="35"/>
              </w:numPr>
              <w:spacing w:line="380" w:lineRule="exact"/>
              <w:rPr>
                <w:rFonts w:hint="eastAsia" w:ascii="宋体" w:hAnsi="宋体" w:cs="宋体"/>
                <w:szCs w:val="21"/>
              </w:rPr>
            </w:pPr>
            <w:r>
              <w:rPr>
                <w:rFonts w:hint="eastAsia" w:ascii="宋体" w:hAnsi="宋体" w:cs="宋体"/>
                <w:szCs w:val="21"/>
              </w:rPr>
              <w:t>作业人员佩证上岗，作业期内穿反光安全服，在作业期间发现未穿工作服或工作服破损肮脏的一次扣1分；在作业时间内，不集聚闲聊，工期休息不超过10分钟，或作业期间不做与作业无关的事，发现一次扣1分；②车辆停放遵守交通法规，发现一次扣2分；垃圾运输实行密闭，垃圾未实行密闭运输一次扣2分；不得超高运输和吊挂杂物，发现一次扣1分；③严禁作业人员擅自向责任区内单位收取各种费用，发现作业人员擅自收费的一次扣3分；不得私自携带工业垃圾进垃圾中转（零星的除外），发现私自携带工业垃圾进垃圾中转站一次扣3分。</w:t>
            </w:r>
          </w:p>
        </w:tc>
        <w:tc>
          <w:tcPr>
            <w:tcW w:w="851" w:type="dxa"/>
            <w:tcBorders>
              <w:top w:val="single" w:color="auto" w:sz="4" w:space="0"/>
              <w:left w:val="single" w:color="auto" w:sz="4" w:space="0"/>
              <w:bottom w:val="single" w:color="auto" w:sz="4" w:space="0"/>
              <w:right w:val="single" w:color="auto" w:sz="6" w:space="0"/>
            </w:tcBorders>
            <w:noWrap w:val="0"/>
            <w:vAlign w:val="center"/>
          </w:tcPr>
          <w:p>
            <w:pPr>
              <w:spacing w:line="380" w:lineRule="exact"/>
              <w:jc w:val="center"/>
              <w:rPr>
                <w:rFonts w:hint="eastAsia" w:ascii="宋体" w:hAnsi="宋体" w:cs="宋体"/>
                <w:sz w:val="24"/>
              </w:rPr>
            </w:pPr>
            <w:r>
              <w:rPr>
                <w:rFonts w:hint="eastAsia" w:ascii="宋体" w:hAnsi="宋体" w:cs="宋体"/>
                <w:sz w:val="24"/>
              </w:rPr>
              <w:t>15</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p>
        </w:tc>
      </w:tr>
      <w:tr>
        <w:tblPrEx>
          <w:tblCellMar>
            <w:top w:w="0" w:type="dxa"/>
            <w:left w:w="108" w:type="dxa"/>
            <w:bottom w:w="0" w:type="dxa"/>
            <w:right w:w="108" w:type="dxa"/>
          </w:tblCellMar>
        </w:tblPrEx>
        <w:trPr>
          <w:trHeight w:val="1851" w:hRule="exact"/>
        </w:trPr>
        <w:tc>
          <w:tcPr>
            <w:tcW w:w="959" w:type="dxa"/>
            <w:tcBorders>
              <w:top w:val="single" w:color="auto" w:sz="4" w:space="0"/>
              <w:left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公园、广场保洁</w:t>
            </w:r>
          </w:p>
        </w:tc>
        <w:tc>
          <w:tcPr>
            <w:tcW w:w="992" w:type="dxa"/>
            <w:tcBorders>
              <w:top w:val="single" w:color="auto" w:sz="4"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b/>
                <w:sz w:val="22"/>
              </w:rPr>
              <w:t>清扫保洁</w:t>
            </w:r>
          </w:p>
        </w:tc>
        <w:tc>
          <w:tcPr>
            <w:tcW w:w="9072" w:type="dxa"/>
            <w:tcBorders>
              <w:top w:val="single" w:color="auto" w:sz="4" w:space="0"/>
              <w:left w:val="single" w:color="auto" w:sz="6" w:space="0"/>
              <w:bottom w:val="single" w:color="auto" w:sz="4" w:space="0"/>
              <w:right w:val="single" w:color="auto" w:sz="6" w:space="0"/>
            </w:tcBorders>
            <w:noWrap w:val="0"/>
            <w:vAlign w:val="center"/>
          </w:tcPr>
          <w:p>
            <w:pPr>
              <w:numPr>
                <w:ilvl w:val="0"/>
                <w:numId w:val="36"/>
              </w:numPr>
              <w:spacing w:line="380" w:lineRule="exact"/>
              <w:rPr>
                <w:rFonts w:hint="eastAsia" w:ascii="宋体" w:hAnsi="宋体" w:cs="宋体"/>
                <w:szCs w:val="21"/>
              </w:rPr>
            </w:pPr>
            <w:r>
              <w:rPr>
                <w:rFonts w:hint="eastAsia" w:ascii="宋体" w:hAnsi="宋体" w:cs="宋体"/>
                <w:szCs w:val="21"/>
              </w:rPr>
              <w:t>普扫保洁要达到“七无、五净、一通”标准，卫生死角一处扣5分；成堆垃圾一处扣2分、连续散落垃圾一处扣1分；垃圾散落点三处为一例扣0.5分；烟蒂五个为一例扣0.5分，地面积污水一处扣1分;落水口、排水渠堵塞发现一处扣1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15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594" w:hRule="exact"/>
        </w:trPr>
        <w:tc>
          <w:tcPr>
            <w:tcW w:w="959" w:type="dxa"/>
            <w:tcBorders>
              <w:top w:val="single" w:color="auto" w:sz="4" w:space="0"/>
              <w:left w:val="single" w:color="auto" w:sz="4" w:space="0"/>
              <w:bottom w:val="single" w:color="auto" w:sz="4"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4" w:space="0"/>
              <w:left w:val="single" w:color="auto" w:sz="6" w:space="0"/>
              <w:bottom w:val="single" w:color="auto" w:sz="4"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4"/>
              </w:rPr>
              <w:t>子项目</w:t>
            </w:r>
          </w:p>
        </w:tc>
        <w:tc>
          <w:tcPr>
            <w:tcW w:w="9072" w:type="dxa"/>
            <w:tcBorders>
              <w:top w:val="single" w:color="auto" w:sz="4" w:space="0"/>
              <w:left w:val="single" w:color="auto" w:sz="6" w:space="0"/>
              <w:bottom w:val="single" w:color="auto" w:sz="4"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6" w:space="0"/>
              <w:bottom w:val="single" w:color="auto" w:sz="4" w:space="0"/>
              <w:right w:val="single" w:color="auto" w:sz="6"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6" w:space="0"/>
              <w:bottom w:val="single" w:color="auto" w:sz="4" w:space="0"/>
              <w:right w:val="single" w:color="auto" w:sz="6"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2509" w:hRule="exact"/>
        </w:trPr>
        <w:tc>
          <w:tcPr>
            <w:tcW w:w="959" w:type="dxa"/>
            <w:vMerge w:val="restart"/>
            <w:tcBorders>
              <w:top w:val="single" w:color="auto" w:sz="4" w:space="0"/>
              <w:left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公园、广场保洁</w:t>
            </w:r>
          </w:p>
        </w:tc>
        <w:tc>
          <w:tcPr>
            <w:tcW w:w="992" w:type="dxa"/>
            <w:tcBorders>
              <w:top w:val="single" w:color="auto" w:sz="4"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b/>
                <w:sz w:val="22"/>
              </w:rPr>
            </w:pPr>
            <w:r>
              <w:rPr>
                <w:rFonts w:hint="eastAsia" w:ascii="宋体" w:hAnsi="宋体" w:cs="宋体"/>
                <w:b/>
                <w:sz w:val="22"/>
              </w:rPr>
              <w:t>机械化作业</w:t>
            </w:r>
          </w:p>
        </w:tc>
        <w:tc>
          <w:tcPr>
            <w:tcW w:w="9072" w:type="dxa"/>
            <w:tcBorders>
              <w:top w:val="single" w:color="auto" w:sz="4" w:space="0"/>
              <w:left w:val="single" w:color="auto" w:sz="6" w:space="0"/>
              <w:bottom w:val="single" w:color="auto" w:sz="4" w:space="0"/>
              <w:right w:val="single" w:color="auto" w:sz="6" w:space="0"/>
            </w:tcBorders>
            <w:noWrap w:val="0"/>
            <w:vAlign w:val="center"/>
          </w:tcPr>
          <w:p>
            <w:pPr>
              <w:numPr>
                <w:ilvl w:val="0"/>
                <w:numId w:val="37"/>
              </w:numPr>
              <w:spacing w:line="380" w:lineRule="exact"/>
              <w:rPr>
                <w:rFonts w:hint="eastAsia" w:ascii="宋体" w:hAnsi="宋体" w:cs="宋体"/>
                <w:szCs w:val="21"/>
              </w:rPr>
            </w:pPr>
            <w:r>
              <w:rPr>
                <w:rFonts w:hint="eastAsia" w:ascii="宋体" w:hAnsi="宋体" w:cs="宋体"/>
                <w:szCs w:val="21"/>
              </w:rPr>
              <w:t>机械化机扫到边、到位效果明显，路面无垃圾、无积泥、无沙石。路面发现垃圾、积泥、沙石的一次扣1分；机扫作业时“干扫”或侧刷或吸盘未落地的发现一次扣1分；发现机械清扫车随意倾倒、偷倒、乱倒垃圾的一次扣3分。②道路冲洗后，路面无积垢、无灰尘、无烟蒂、无果壳散落，冲洗后有积垢、灰尘、烟蒂、果壳散落的一次扣1分。③机械车辆、船只未及时清洗，作业影响市容市貌的，发现每辆一次扣2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3541" w:hRule="exact"/>
        </w:trPr>
        <w:tc>
          <w:tcPr>
            <w:tcW w:w="959" w:type="dxa"/>
            <w:vMerge w:val="continue"/>
            <w:tcBorders>
              <w:left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4"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b/>
                <w:sz w:val="22"/>
              </w:rPr>
            </w:pPr>
            <w:r>
              <w:rPr>
                <w:rFonts w:hint="eastAsia" w:ascii="宋体" w:hAnsi="宋体" w:cs="宋体"/>
                <w:b/>
                <w:sz w:val="22"/>
              </w:rPr>
              <w:t>小广告清除</w:t>
            </w:r>
          </w:p>
        </w:tc>
        <w:tc>
          <w:tcPr>
            <w:tcW w:w="9072" w:type="dxa"/>
            <w:tcBorders>
              <w:top w:val="single" w:color="auto" w:sz="4" w:space="0"/>
              <w:left w:val="single" w:color="auto" w:sz="6" w:space="0"/>
              <w:bottom w:val="single" w:color="auto" w:sz="4" w:space="0"/>
              <w:right w:val="single" w:color="auto" w:sz="6" w:space="0"/>
            </w:tcBorders>
            <w:noWrap w:val="0"/>
            <w:vAlign w:val="center"/>
          </w:tcPr>
          <w:p>
            <w:pPr>
              <w:spacing w:line="360" w:lineRule="exact"/>
              <w:rPr>
                <w:rFonts w:hint="eastAsia" w:ascii="宋体" w:hAnsi="宋体" w:cs="宋体"/>
                <w:szCs w:val="21"/>
              </w:rPr>
            </w:pPr>
            <w:r>
              <w:rPr>
                <w:rFonts w:hint="eastAsia" w:ascii="宋体" w:hAnsi="宋体" w:cs="宋体"/>
                <w:szCs w:val="21"/>
              </w:rPr>
              <w:t>①小广告清理保洁做到“日有日清”，原则上应在每日上午9点以前清除完毕。同一地方的乱张贴或乱涂写存续时间不能超过2小时；未及时处理，发现一处小广告扣1分。出现大规模低俗、反社会等小广告时未及时组织人员清楚的，每发现一次扣3分。</w:t>
            </w:r>
          </w:p>
          <w:p>
            <w:pPr>
              <w:spacing w:line="360" w:lineRule="exact"/>
              <w:rPr>
                <w:rFonts w:hint="eastAsia" w:ascii="宋体" w:hAnsi="宋体" w:cs="宋体"/>
                <w:szCs w:val="21"/>
              </w:rPr>
            </w:pPr>
            <w:r>
              <w:rPr>
                <w:rFonts w:hint="eastAsia" w:ascii="宋体" w:hAnsi="宋体" w:cs="宋体"/>
                <w:szCs w:val="21"/>
              </w:rPr>
              <w:t>②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发现一处扣3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119" w:hRule="exact"/>
        </w:trPr>
        <w:tc>
          <w:tcPr>
            <w:tcW w:w="959" w:type="dxa"/>
            <w:vMerge w:val="continue"/>
            <w:tcBorders>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p>
        </w:tc>
        <w:tc>
          <w:tcPr>
            <w:tcW w:w="992" w:type="dxa"/>
            <w:tcBorders>
              <w:top w:val="single" w:color="auto" w:sz="4"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b/>
                <w:sz w:val="22"/>
              </w:rPr>
            </w:pPr>
            <w:r>
              <w:rPr>
                <w:rFonts w:hint="eastAsia" w:ascii="宋体" w:hAnsi="宋体" w:cs="宋体"/>
                <w:b/>
                <w:sz w:val="22"/>
              </w:rPr>
              <w:t>规范作业</w:t>
            </w:r>
          </w:p>
        </w:tc>
        <w:tc>
          <w:tcPr>
            <w:tcW w:w="9072" w:type="dxa"/>
            <w:tcBorders>
              <w:top w:val="single" w:color="auto" w:sz="4" w:space="0"/>
              <w:left w:val="single" w:color="auto" w:sz="6" w:space="0"/>
              <w:bottom w:val="single" w:color="auto" w:sz="6" w:space="0"/>
              <w:right w:val="single" w:color="auto" w:sz="6" w:space="0"/>
            </w:tcBorders>
            <w:noWrap w:val="0"/>
            <w:vAlign w:val="center"/>
          </w:tcPr>
          <w:p>
            <w:pPr>
              <w:numPr>
                <w:ilvl w:val="0"/>
                <w:numId w:val="38"/>
              </w:numPr>
              <w:spacing w:line="380" w:lineRule="exact"/>
              <w:rPr>
                <w:rFonts w:hint="eastAsia" w:ascii="宋体" w:hAnsi="宋体" w:cs="宋体"/>
                <w:szCs w:val="21"/>
              </w:rPr>
            </w:pPr>
            <w:r>
              <w:rPr>
                <w:rFonts w:hint="eastAsia" w:ascii="宋体" w:hAnsi="宋体" w:cs="宋体"/>
                <w:szCs w:val="21"/>
              </w:rPr>
              <w:t xml:space="preserve">作业人员佩证上岗，作业期内穿反光安全服，在作业期间发现未穿工作服或工作服破损肮脏的一次扣1分；在作业时间内，不集聚闲聊，工期休息不超过10分钟，或作业期间不做与作业无关的事，发现一次扣1分；②垃圾运输实行密闭，垃圾未实行密闭运输一次扣2分；不得超高运输和吊挂杂物，发现一次扣1分。 </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865"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992" w:type="dxa"/>
            <w:tcBorders>
              <w:top w:val="single" w:color="auto" w:sz="6" w:space="0"/>
              <w:left w:val="single" w:color="auto" w:sz="6" w:space="0"/>
              <w:bottom w:val="single" w:color="auto" w:sz="6" w:space="0"/>
              <w:right w:val="single" w:color="auto" w:sz="6" w:space="0"/>
            </w:tcBorders>
            <w:noWrap w:val="0"/>
            <w:vAlign w:val="center"/>
          </w:tcPr>
          <w:p>
            <w:pPr>
              <w:snapToGrid w:val="0"/>
              <w:rPr>
                <w:rFonts w:hint="eastAsia" w:ascii="宋体" w:hAnsi="宋体" w:cs="宋体"/>
                <w:b/>
                <w:sz w:val="24"/>
              </w:rPr>
            </w:pPr>
            <w:r>
              <w:rPr>
                <w:rFonts w:hint="eastAsia" w:ascii="宋体" w:hAnsi="宋体" w:cs="宋体"/>
                <w:b/>
                <w:sz w:val="24"/>
              </w:rPr>
              <w:t>子项目</w:t>
            </w:r>
          </w:p>
        </w:tc>
        <w:tc>
          <w:tcPr>
            <w:tcW w:w="9072"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2126" w:type="dxa"/>
            <w:tcBorders>
              <w:top w:val="single" w:color="auto" w:sz="4" w:space="0"/>
              <w:left w:val="single" w:color="auto" w:sz="6" w:space="0"/>
              <w:bottom w:val="single" w:color="auto" w:sz="4"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5318" w:hRule="exact"/>
        </w:trPr>
        <w:tc>
          <w:tcPr>
            <w:tcW w:w="959"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公厕管理与保洁</w:t>
            </w:r>
          </w:p>
        </w:tc>
        <w:tc>
          <w:tcPr>
            <w:tcW w:w="992" w:type="dxa"/>
            <w:tcBorders>
              <w:top w:val="single" w:color="auto" w:sz="6"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b/>
                <w:sz w:val="22"/>
              </w:rPr>
            </w:pPr>
            <w:r>
              <w:rPr>
                <w:rFonts w:hint="eastAsia" w:ascii="宋体" w:hAnsi="宋体" w:cs="宋体"/>
                <w:b/>
                <w:sz w:val="22"/>
              </w:rPr>
              <w:t>公厕管理与保洁</w:t>
            </w:r>
          </w:p>
        </w:tc>
        <w:tc>
          <w:tcPr>
            <w:tcW w:w="9072" w:type="dxa"/>
            <w:tcBorders>
              <w:top w:val="single" w:color="auto" w:sz="6"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保洁要求：地面、蹲位、便池、墙壁、挡板等保持完好和整洁；无地面积水、纸屑、烟头、痰迹，无积存尿液、尿垢，无蚊蝇，无小广告；保持公共厕所外周边5米范围环境整洁，无乱堆杂物、杂草、垃圾、粪便、污水等；保证室内设施设备(门、窗、供水、供电、照明等)完好和正常使用，无漏雨、透风及管道堵塞现象；保洁工具应放置整齐，照明灯具、洗手器具、镜子、挂衣钩、烘手器、冲水等无积灰、污物；换气、除臭等设施必须使用。保持厕内通风良好，无异味，燃点盘香，男小便器内投放专用樟脑球，废纸篓内套放标准垃圾袋。每发现以上情况，有不符合招标要求的一项内容，扣1分；室内设施设备完好性不达标，视情扣2分/处。</w:t>
            </w:r>
          </w:p>
          <w:p>
            <w:pPr>
              <w:spacing w:line="380" w:lineRule="exact"/>
              <w:rPr>
                <w:rFonts w:hint="eastAsia" w:ascii="宋体" w:hAnsi="宋体" w:cs="宋体"/>
                <w:szCs w:val="21"/>
              </w:rPr>
            </w:pPr>
            <w:r>
              <w:rPr>
                <w:rFonts w:hint="eastAsia" w:ascii="宋体" w:hAnsi="宋体" w:cs="宋体"/>
                <w:szCs w:val="21"/>
              </w:rPr>
              <w:t>②公厕管理要求：各项制度、责任内容按规定要求上墙，文明规范用语按要求配置，未达要求的，每处公厕扣1分；严禁公厕内经营活动和私自收费现象，如发现一次每处公厕扣10分；公厕管理间卫生整洁、秩序井然，无闲杂人员，无乱堆杂物，无人员留宿，如发现一次每处公厕扣5分；公厕保洁人员不得在公厕内私设厨房及就餐，如发现一次每处公厕扣5分；按规定要求公厕实行全天候免费开放使用，不得擅自停业、歇业，影响公众使用。视情扣5分/处；未按文件要求清理屋顶落叶的，每发现一次扣1分，如导致雨水管堵塞的，每发现一次扣3分；未积极配合完成管理部门的各项工作或临时突击性和检查任务的，每次扣10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30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1726" w:hRule="exact"/>
        </w:trPr>
        <w:tc>
          <w:tcPr>
            <w:tcW w:w="959" w:type="dxa"/>
            <w:tcBorders>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其他</w:t>
            </w:r>
          </w:p>
        </w:tc>
        <w:tc>
          <w:tcPr>
            <w:tcW w:w="992" w:type="dxa"/>
            <w:tcBorders>
              <w:top w:val="single" w:color="auto" w:sz="4" w:space="0"/>
              <w:left w:val="single" w:color="auto" w:sz="6" w:space="0"/>
              <w:bottom w:val="single" w:color="auto" w:sz="4" w:space="0"/>
              <w:right w:val="single" w:color="auto" w:sz="6" w:space="0"/>
            </w:tcBorders>
            <w:noWrap w:val="0"/>
            <w:vAlign w:val="center"/>
          </w:tcPr>
          <w:p>
            <w:pPr>
              <w:spacing w:line="380" w:lineRule="exact"/>
              <w:rPr>
                <w:rFonts w:hint="eastAsia" w:ascii="宋体" w:hAnsi="宋体" w:cs="宋体"/>
                <w:b/>
                <w:sz w:val="22"/>
              </w:rPr>
            </w:pPr>
            <w:r>
              <w:rPr>
                <w:rFonts w:hint="eastAsia" w:ascii="宋体" w:hAnsi="宋体" w:cs="宋体"/>
                <w:b/>
                <w:sz w:val="22"/>
              </w:rPr>
              <w:t>其他</w:t>
            </w:r>
          </w:p>
        </w:tc>
        <w:tc>
          <w:tcPr>
            <w:tcW w:w="9072" w:type="dxa"/>
            <w:tcBorders>
              <w:top w:val="single" w:color="auto" w:sz="4" w:space="0"/>
              <w:left w:val="single" w:color="auto" w:sz="6" w:space="0"/>
              <w:bottom w:val="single" w:color="auto" w:sz="4" w:space="0"/>
              <w:right w:val="single" w:color="auto" w:sz="6" w:space="0"/>
            </w:tcBorders>
            <w:noWrap w:val="0"/>
            <w:vAlign w:val="center"/>
          </w:tcPr>
          <w:p>
            <w:pPr>
              <w:pStyle w:val="74"/>
              <w:numPr>
                <w:ilvl w:val="0"/>
                <w:numId w:val="39"/>
              </w:numPr>
              <w:spacing w:line="380" w:lineRule="exact"/>
              <w:ind w:firstLineChars="0"/>
              <w:rPr>
                <w:rFonts w:hint="eastAsia" w:ascii="宋体" w:hAnsi="宋体" w:cs="宋体"/>
                <w:szCs w:val="21"/>
              </w:rPr>
            </w:pPr>
            <w:r>
              <w:rPr>
                <w:rFonts w:hint="eastAsia" w:ascii="宋体" w:hAnsi="宋体" w:cs="宋体"/>
                <w:szCs w:val="21"/>
              </w:rPr>
              <w:t>接到数字城管、投诉电话和新闻舆论等举报投诉后，应在时限内处理完毕，并作好信息反馈，未及时处理，扣2分；②经媒体曝光，造成恶劣影响的，扣15分，且采购人有权无条件解除合同。③其他保洁要求不达标的，酌情扣分。</w:t>
            </w:r>
          </w:p>
          <w:p>
            <w:pPr>
              <w:pStyle w:val="74"/>
              <w:numPr>
                <w:ilvl w:val="0"/>
                <w:numId w:val="39"/>
              </w:numPr>
              <w:spacing w:line="380" w:lineRule="exact"/>
              <w:ind w:firstLineChars="0"/>
              <w:rPr>
                <w:rFonts w:hint="eastAsia" w:ascii="宋体" w:hAnsi="宋体" w:cs="宋体"/>
                <w:szCs w:val="21"/>
              </w:rPr>
            </w:pPr>
            <w:r>
              <w:rPr>
                <w:rFonts w:hint="eastAsia" w:ascii="宋体" w:hAnsi="宋体" w:cs="宋体"/>
                <w:szCs w:val="21"/>
              </w:rPr>
              <w:t>未及时与镇街进行垃圾收集点设置方案对接的，造成垃圾无法按时完成清运的，扣5分。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10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562" w:hRule="exact"/>
        </w:trPr>
        <w:tc>
          <w:tcPr>
            <w:tcW w:w="11023" w:type="dxa"/>
            <w:gridSpan w:val="3"/>
            <w:tcBorders>
              <w:left w:val="single" w:color="auto" w:sz="6" w:space="0"/>
              <w:bottom w:val="single" w:color="auto" w:sz="6" w:space="0"/>
              <w:right w:val="single" w:color="auto" w:sz="6"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合计得分</w:t>
            </w:r>
          </w:p>
        </w:tc>
        <w:tc>
          <w:tcPr>
            <w:tcW w:w="851"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400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2126" w:type="dxa"/>
            <w:tcBorders>
              <w:top w:val="single" w:color="auto" w:sz="4" w:space="0"/>
              <w:left w:val="single" w:color="auto" w:sz="6"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bl>
    <w:p>
      <w:pPr>
        <w:rPr>
          <w:rFonts w:hint="eastAsia" w:ascii="宋体" w:hAnsi="宋体" w:cs="宋体"/>
        </w:rPr>
      </w:pPr>
      <w:r>
        <w:rPr>
          <w:rFonts w:hint="eastAsia" w:ascii="宋体" w:hAnsi="宋体" w:cs="宋体"/>
        </w:rPr>
        <w:t xml:space="preserve">考核人：                                                                                        </w:t>
      </w:r>
      <w:r>
        <w:rPr>
          <w:rFonts w:hint="eastAsia" w:ascii="宋体" w:hAnsi="宋体" w:cs="宋体"/>
          <w:sz w:val="24"/>
        </w:rPr>
        <w:t>日期</w:t>
      </w:r>
      <w:r>
        <w:rPr>
          <w:rFonts w:hint="eastAsia" w:ascii="宋体" w:hAnsi="宋体" w:cs="宋体"/>
        </w:rPr>
        <w:t>：</w:t>
      </w:r>
    </w:p>
    <w:p>
      <w:pPr>
        <w:spacing w:line="380" w:lineRule="exact"/>
        <w:rPr>
          <w:rFonts w:hint="eastAsia" w:ascii="宋体" w:hAnsi="宋体" w:cs="宋体"/>
          <w:b/>
          <w:sz w:val="22"/>
        </w:rPr>
      </w:pPr>
    </w:p>
    <w:p>
      <w:pPr>
        <w:spacing w:line="380" w:lineRule="exact"/>
        <w:rPr>
          <w:rFonts w:hint="eastAsia" w:ascii="宋体" w:hAnsi="宋体" w:cs="宋体"/>
          <w:b/>
          <w:sz w:val="22"/>
        </w:rPr>
      </w:pPr>
      <w:r>
        <w:rPr>
          <w:rFonts w:hint="eastAsia" w:ascii="宋体" w:hAnsi="宋体" w:cs="宋体"/>
          <w:b/>
          <w:sz w:val="22"/>
        </w:rPr>
        <w:t>二、河道保洁考评表（150分）</w:t>
      </w:r>
    </w:p>
    <w:tbl>
      <w:tblPr>
        <w:tblStyle w:val="29"/>
        <w:tblW w:w="14567" w:type="dxa"/>
        <w:tblInd w:w="0" w:type="dxa"/>
        <w:tblLayout w:type="fixed"/>
        <w:tblCellMar>
          <w:top w:w="0" w:type="dxa"/>
          <w:left w:w="108" w:type="dxa"/>
          <w:bottom w:w="0" w:type="dxa"/>
          <w:right w:w="108" w:type="dxa"/>
        </w:tblCellMar>
      </w:tblPr>
      <w:tblGrid>
        <w:gridCol w:w="1668"/>
        <w:gridCol w:w="7796"/>
        <w:gridCol w:w="709"/>
        <w:gridCol w:w="850"/>
        <w:gridCol w:w="3544"/>
      </w:tblGrid>
      <w:tr>
        <w:tblPrEx>
          <w:tblCellMar>
            <w:top w:w="0" w:type="dxa"/>
            <w:left w:w="108" w:type="dxa"/>
            <w:bottom w:w="0" w:type="dxa"/>
            <w:right w:w="108" w:type="dxa"/>
          </w:tblCellMar>
        </w:tblPrEx>
        <w:trPr>
          <w:trHeight w:val="723"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3544" w:type="dxa"/>
            <w:tcBorders>
              <w:top w:val="single" w:color="auto" w:sz="6" w:space="0"/>
              <w:left w:val="single" w:color="auto" w:sz="6"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2620"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河道保洁</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numPr>
                <w:ilvl w:val="0"/>
                <w:numId w:val="40"/>
              </w:numPr>
              <w:spacing w:line="380" w:lineRule="exact"/>
              <w:rPr>
                <w:rFonts w:hint="eastAsia" w:ascii="宋体" w:hAnsi="宋体" w:cs="宋体"/>
                <w:szCs w:val="21"/>
              </w:rPr>
            </w:pPr>
            <w:r>
              <w:rPr>
                <w:rFonts w:hint="eastAsia" w:ascii="宋体" w:hAnsi="宋体" w:cs="宋体"/>
                <w:szCs w:val="21"/>
              </w:rPr>
              <w:t>河道畅通，水面无垃圾、病死动物，无影响水生态的浮萍、水葫芦等水生植物，无阻碍行洪的高杆植物等。</w:t>
            </w:r>
            <w:r>
              <w:rPr>
                <w:rFonts w:hint="eastAsia" w:ascii="宋体" w:hAnsi="宋体" w:cs="宋体"/>
              </w:rPr>
              <w:t>发现水面、堤岸、桥下、堤坝绿化带有垃圾，每一处扣1分；</w:t>
            </w:r>
            <w:r>
              <w:rPr>
                <w:rFonts w:hint="eastAsia" w:ascii="宋体" w:hAnsi="宋体" w:cs="宋体"/>
                <w:szCs w:val="21"/>
              </w:rPr>
              <w:t>浮萍、水葫芦等水生植物</w:t>
            </w:r>
            <w:r>
              <w:rPr>
                <w:rFonts w:hint="eastAsia" w:ascii="宋体" w:hAnsi="宋体" w:cs="宋体"/>
              </w:rPr>
              <w:t>超过1平方米的，每处扣1分面积较大的，可相应提高扣分值。河中无影响水流畅通的障碍物，每发现一处扣1分；垃圾未及时清运，放置在影响市容市貌的河岸或河滩。如发现1例扣2分；</w:t>
            </w:r>
            <w:r>
              <w:rPr>
                <w:rFonts w:hint="eastAsia" w:ascii="宋体" w:hAnsi="宋体" w:cs="宋体"/>
                <w:szCs w:val="21"/>
              </w:rPr>
              <w:t>未及时完成应急性任务的，每1次扣5分；发生安全事故的，视情况河道保洁整体扣10-50分；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100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420"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规范作业</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numPr>
                <w:ilvl w:val="0"/>
                <w:numId w:val="41"/>
              </w:numPr>
              <w:spacing w:line="380" w:lineRule="exact"/>
              <w:rPr>
                <w:rFonts w:hint="eastAsia" w:ascii="宋体" w:hAnsi="宋体" w:cs="宋体"/>
                <w:szCs w:val="21"/>
              </w:rPr>
            </w:pPr>
            <w:r>
              <w:rPr>
                <w:rFonts w:hint="eastAsia" w:ascii="宋体" w:hAnsi="宋体" w:cs="宋体"/>
                <w:szCs w:val="21"/>
              </w:rPr>
              <w:t>作业人员佩证上岗，作业期内穿反光救生衣，在作业期间发现未穿工作服或工作服破损肮脏的一次扣1分；在作业时间内，不集聚闲聊，工期休息不超过10分钟，或作业期间不做与作业无关的事，发现一次扣1分；②船只不配置统一标识或标识不明的，每只扣1分；船况不良的，每只扣5分；③垃圾运输实行密闭，垃圾未实行密闭运输、指定地点倾倒一次扣2分；生活垃圾、工业垃圾未分类堆放、清运的一次扣3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30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269"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其他</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numPr>
                <w:ilvl w:val="0"/>
                <w:numId w:val="42"/>
              </w:numPr>
              <w:spacing w:line="380" w:lineRule="exact"/>
              <w:rPr>
                <w:rFonts w:hint="eastAsia" w:ascii="宋体" w:hAnsi="宋体" w:cs="宋体"/>
                <w:szCs w:val="21"/>
              </w:rPr>
            </w:pPr>
            <w:r>
              <w:rPr>
                <w:rFonts w:hint="eastAsia" w:ascii="宋体" w:hAnsi="宋体" w:cs="宋体"/>
                <w:szCs w:val="21"/>
              </w:rPr>
              <w:t>接到数字城管、投诉电话和新闻舆论等举报投诉后，应在时限内处理完毕，并作好信息反馈，未及时处理，扣2分；②经媒体曝光，造成恶劣影响的，扣10分，且采购人有权无条件解除合同。③按时上报采购要求提供的资料（台账），未按时的每迟一天依次加扣3分；④采购人召开环卫工作会议要求项目负责人参加的，迟到半小时扣2分，缺席的扣10分，⑤其他保洁要求不达标的，酌情扣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454" w:hRule="atLeast"/>
        </w:trPr>
        <w:tc>
          <w:tcPr>
            <w:tcW w:w="9464" w:type="dxa"/>
            <w:gridSpan w:val="2"/>
            <w:tcBorders>
              <w:top w:val="single" w:color="auto" w:sz="6" w:space="0"/>
              <w:left w:val="single" w:color="auto" w:sz="6" w:space="0"/>
              <w:bottom w:val="single" w:color="auto" w:sz="4"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szCs w:val="21"/>
              </w:rPr>
              <w:t>合计得分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150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bl>
    <w:p>
      <w:pPr>
        <w:rPr>
          <w:rFonts w:hint="eastAsia" w:ascii="宋体" w:hAnsi="宋体" w:cs="宋体"/>
        </w:rPr>
      </w:pPr>
      <w:r>
        <w:rPr>
          <w:rFonts w:hint="eastAsia" w:ascii="宋体" w:hAnsi="宋体" w:cs="宋体"/>
        </w:rPr>
        <w:t xml:space="preserve">考核人：                                                                                        </w:t>
      </w:r>
      <w:r>
        <w:rPr>
          <w:rFonts w:hint="eastAsia" w:ascii="宋体" w:hAnsi="宋体" w:cs="宋体"/>
          <w:sz w:val="24"/>
        </w:rPr>
        <w:t>日期</w:t>
      </w:r>
      <w:r>
        <w:rPr>
          <w:rFonts w:hint="eastAsia" w:ascii="宋体" w:hAnsi="宋体" w:cs="宋体"/>
        </w:rPr>
        <w:t>：</w:t>
      </w:r>
    </w:p>
    <w:p>
      <w:pPr>
        <w:rPr>
          <w:rFonts w:hint="eastAsia" w:ascii="宋体" w:hAnsi="宋体" w:cs="宋体"/>
          <w:b/>
          <w:szCs w:val="21"/>
        </w:rPr>
      </w:pPr>
      <w:r>
        <w:rPr>
          <w:rFonts w:hint="eastAsia" w:ascii="宋体" w:hAnsi="宋体" w:cs="宋体"/>
          <w:b/>
          <w:szCs w:val="21"/>
        </w:rPr>
        <w:t>三、公路保洁</w:t>
      </w:r>
      <w:r>
        <w:rPr>
          <w:rFonts w:hint="eastAsia" w:ascii="宋体" w:hAnsi="宋体" w:cs="宋体"/>
          <w:b/>
          <w:sz w:val="22"/>
        </w:rPr>
        <w:t>考评表</w:t>
      </w:r>
      <w:r>
        <w:rPr>
          <w:rFonts w:hint="eastAsia" w:ascii="宋体" w:hAnsi="宋体" w:cs="宋体"/>
          <w:b/>
          <w:szCs w:val="21"/>
        </w:rPr>
        <w:t>（50分）</w:t>
      </w:r>
    </w:p>
    <w:p>
      <w:pPr>
        <w:ind w:left="480"/>
        <w:rPr>
          <w:rFonts w:hint="eastAsia" w:ascii="宋体" w:hAnsi="宋体" w:cs="宋体"/>
          <w:b/>
          <w:szCs w:val="21"/>
        </w:rPr>
      </w:pPr>
    </w:p>
    <w:tbl>
      <w:tblPr>
        <w:tblStyle w:val="29"/>
        <w:tblW w:w="14567" w:type="dxa"/>
        <w:tblInd w:w="0" w:type="dxa"/>
        <w:tblLayout w:type="fixed"/>
        <w:tblCellMar>
          <w:top w:w="0" w:type="dxa"/>
          <w:left w:w="108" w:type="dxa"/>
          <w:bottom w:w="0" w:type="dxa"/>
          <w:right w:w="108" w:type="dxa"/>
        </w:tblCellMar>
      </w:tblPr>
      <w:tblGrid>
        <w:gridCol w:w="1668"/>
        <w:gridCol w:w="7796"/>
        <w:gridCol w:w="709"/>
        <w:gridCol w:w="850"/>
        <w:gridCol w:w="3544"/>
      </w:tblGrid>
      <w:tr>
        <w:tblPrEx>
          <w:tblCellMar>
            <w:top w:w="0" w:type="dxa"/>
            <w:left w:w="108" w:type="dxa"/>
            <w:bottom w:w="0" w:type="dxa"/>
            <w:right w:w="108" w:type="dxa"/>
          </w:tblCellMar>
        </w:tblPrEx>
        <w:trPr>
          <w:trHeight w:val="450" w:hRule="atLeast"/>
        </w:trPr>
        <w:tc>
          <w:tcPr>
            <w:tcW w:w="1668" w:type="dxa"/>
            <w:tcBorders>
              <w:top w:val="single" w:color="auto" w:sz="4"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7796" w:type="dxa"/>
            <w:tcBorders>
              <w:top w:val="single" w:color="auto" w:sz="4"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709" w:type="dxa"/>
            <w:tcBorders>
              <w:top w:val="single" w:color="auto" w:sz="4" w:space="0"/>
              <w:left w:val="single" w:color="auto" w:sz="6" w:space="0"/>
              <w:bottom w:val="nil"/>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4" w:space="0"/>
              <w:left w:val="single" w:color="auto" w:sz="4" w:space="0"/>
              <w:bottom w:val="nil"/>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3544" w:type="dxa"/>
            <w:tcBorders>
              <w:top w:val="single" w:color="auto" w:sz="4" w:space="0"/>
              <w:left w:val="single" w:color="auto" w:sz="6" w:space="0"/>
              <w:bottom w:val="nil"/>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2519" w:hRule="exact"/>
        </w:trPr>
        <w:tc>
          <w:tcPr>
            <w:tcW w:w="1668" w:type="dxa"/>
            <w:tcBorders>
              <w:top w:val="single" w:color="auto" w:sz="4"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公路清扫（含绿化带）保洁</w:t>
            </w:r>
          </w:p>
        </w:tc>
        <w:tc>
          <w:tcPr>
            <w:tcW w:w="7796" w:type="dxa"/>
            <w:tcBorders>
              <w:top w:val="single" w:color="auto" w:sz="4" w:space="0"/>
              <w:left w:val="single" w:color="auto" w:sz="6" w:space="0"/>
              <w:bottom w:val="single" w:color="auto" w:sz="6" w:space="0"/>
              <w:right w:val="single" w:color="auto" w:sz="6" w:space="0"/>
            </w:tcBorders>
            <w:noWrap w:val="0"/>
            <w:vAlign w:val="center"/>
          </w:tcPr>
          <w:p>
            <w:pPr>
              <w:numPr>
                <w:ilvl w:val="0"/>
                <w:numId w:val="43"/>
              </w:numPr>
              <w:spacing w:line="360" w:lineRule="exact"/>
              <w:rPr>
                <w:rFonts w:hint="eastAsia" w:ascii="宋体" w:hAnsi="宋体" w:cs="宋体"/>
                <w:szCs w:val="21"/>
              </w:rPr>
            </w:pPr>
            <w:r>
              <w:rPr>
                <w:rFonts w:hint="eastAsia" w:ascii="宋体" w:hAnsi="宋体" w:cs="宋体"/>
                <w:szCs w:val="21"/>
              </w:rPr>
              <w:t>普扫要达到“七无、五净、一通”标准，既无杂物；无果皮壳；无纸屑，烟蒂，塑料袋；无淤泥积土；无污水；无堵塞窨井沟眼；无卫生死角。路面、路牙净，窨井沟眼净，树穴净，边角净，花坛周围净。落水口、排水渠通。卫生死角一处扣5分、成堆垃圾一处扣3分、连续散落垃圾一处扣3分；袋装垃圾扣1分、垃圾散落点三处为一例扣1分；烟蒂五个为一例扣1分，地面积污水一处扣2分；落水口、排水渠堵塞发现一处扣2分；路肩等杂草、杂物发现一处扣1分；伸缩缝发现淤泥及垃圾的，发现一处扣1分。</w:t>
            </w:r>
          </w:p>
        </w:tc>
        <w:tc>
          <w:tcPr>
            <w:tcW w:w="709"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20</w:t>
            </w:r>
          </w:p>
        </w:tc>
        <w:tc>
          <w:tcPr>
            <w:tcW w:w="850" w:type="dxa"/>
            <w:tcBorders>
              <w:top w:val="single" w:color="auto" w:sz="4" w:space="0"/>
              <w:left w:val="single" w:color="auto" w:sz="4"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4" w:space="0"/>
              <w:left w:val="single" w:color="auto" w:sz="6" w:space="0"/>
              <w:bottom w:val="nil"/>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873" w:hRule="exact"/>
        </w:trPr>
        <w:tc>
          <w:tcPr>
            <w:tcW w:w="1668" w:type="dxa"/>
            <w:tcBorders>
              <w:top w:val="single" w:color="auto" w:sz="4" w:space="0"/>
              <w:left w:val="single" w:color="auto" w:sz="6" w:space="0"/>
              <w:bottom w:val="single" w:color="auto" w:sz="6" w:space="0"/>
              <w:right w:val="single" w:color="auto" w:sz="4"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市政设施保洁</w:t>
            </w:r>
          </w:p>
        </w:tc>
        <w:tc>
          <w:tcPr>
            <w:tcW w:w="7796" w:type="dxa"/>
            <w:tcBorders>
              <w:top w:val="single" w:color="auto" w:sz="4" w:space="0"/>
              <w:left w:val="single" w:color="auto" w:sz="4" w:space="0"/>
              <w:bottom w:val="single" w:color="auto" w:sz="4" w:space="0"/>
              <w:right w:val="single" w:color="auto" w:sz="4" w:space="0"/>
            </w:tcBorders>
            <w:noWrap w:val="0"/>
            <w:vAlign w:val="center"/>
          </w:tcPr>
          <w:p>
            <w:pPr>
              <w:numPr>
                <w:ilvl w:val="0"/>
                <w:numId w:val="44"/>
              </w:numPr>
              <w:spacing w:line="360" w:lineRule="exact"/>
              <w:rPr>
                <w:rFonts w:hint="eastAsia" w:ascii="宋体" w:hAnsi="宋体" w:cs="宋体"/>
                <w:szCs w:val="21"/>
              </w:rPr>
            </w:pPr>
            <w:r>
              <w:rPr>
                <w:rFonts w:hint="eastAsia" w:ascii="宋体" w:hAnsi="宋体" w:cs="宋体"/>
                <w:szCs w:val="21"/>
              </w:rPr>
              <w:t>环卫设施无破损，垃圾桶、果壳箱破损、丢失未及时修复，更换的（12小时内），每次扣3分；定期清洗保持外观清洁；垃圾容器封闭无四害滋生，周围无垃圾散落，垃圾做到日产日清。垃圾桶、果壳箱、垃圾坞溢满，周围不清洁，每处扣3分；设施内部或周边四害滋生的发现一次扣1分；禁止环卫工人在果壳箱、垃圾桶内翻捡废品。垃圾桶、果壳箱、垃圾坞等垃圾分类的标识清晰完整，垃圾分类标识破损或掉落未及时修复更换的，每次扣1分。果壳箱未及时清洗加盖、关门发现一次扣1分；②交通护栏不整洁每10米扣1分；③其它市政设施有污痕、污垢、积尘的，发现一处扣1分。</w:t>
            </w:r>
          </w:p>
          <w:p>
            <w:pPr>
              <w:spacing w:line="360" w:lineRule="exact"/>
              <w:rPr>
                <w:rFonts w:hint="eastAsia" w:ascii="宋体" w:hAnsi="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689"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机械化作业</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 xml:space="preserve">①机械化机扫到边、到位效果明显，路面无垃圾、无积泥、无沙石。路面发现垃圾、积泥、沙石的一次扣1分；机扫作业时“干扫”或侧刷或吸盘未落地的发现一次扣1分；发现机械清扫车随意倾倒、偷倒、乱倒垃圾的一次扣3分。②道路洒水要有明显的降温压尘的效果。道路冲洗后，路面无积垢、无灰尘、无烟蒂、无果壳散落，冲洗后有积垢、灰尘、烟蒂、果壳散落的一次扣1分。③机械车辆、船只未及时清洗，作业影响市容市貌的，发现每辆一次扣2分。 </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582"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3544" w:type="dxa"/>
            <w:tcBorders>
              <w:top w:val="single" w:color="auto" w:sz="6" w:space="0"/>
              <w:left w:val="single" w:color="auto" w:sz="6"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3407" w:hRule="exact"/>
        </w:trPr>
        <w:tc>
          <w:tcPr>
            <w:tcW w:w="1668" w:type="dxa"/>
            <w:tcBorders>
              <w:top w:val="single" w:color="auto" w:sz="6" w:space="0"/>
              <w:left w:val="single" w:color="auto" w:sz="6" w:space="0"/>
              <w:bottom w:val="single" w:color="auto" w:sz="4"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无主建筑垃圾清理</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负责区域内无主建筑垃圾的清理。做业期间基本无扬尘，运输途中无垃圾撒落，如发现运输途中垃圾撒落的一处扣3分；垃圾在指定地点倾倒，不得随意倾倒、偷到、乱倒垃圾,如发现随意倾倒、偷倒、乱倒垃圾或未在指定地点倾倒的一次扣3分；不得与生活垃圾混运，混放。如发现建筑垃圾与生活垃圾混运、混放的一次扣3分；②保洁责任区域内应当发现的（保洁过程中应该发现）渣土、装修垃圾，要在24小时内清运完毕；采购人要求清运的渣土、装修垃圾，供应商接到通知要在12小时内清运完毕，未及时清理，每处扣3分；未采用专用车辆进行清运的一次扣3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5392"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b/>
                <w:sz w:val="22"/>
              </w:rPr>
              <w:t>小广告治理</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rPr>
                <w:rFonts w:hint="eastAsia" w:ascii="宋体" w:hAnsi="宋体" w:cs="宋体"/>
                <w:szCs w:val="21"/>
              </w:rPr>
            </w:pPr>
            <w:r>
              <w:rPr>
                <w:rFonts w:hint="eastAsia" w:ascii="宋体" w:hAnsi="宋体" w:cs="宋体"/>
                <w:szCs w:val="21"/>
              </w:rPr>
              <w:t>①外墙、地面、栏杆、店面卷帘门、空调外机等清理保洁做到“日有日清”，原则上应在每日上午9点以前清除完毕。同一地方的乱张贴或乱涂写存续时间主次干道（桥梁）不能超过2小时，特殊情况不得超过1小时；其它地方不能超过3小时，特殊情况不能超过2小时；未及时处理，发现一处小广告扣1分。出现大规模低俗、反社会等小广告时未及时组织人员清楚的，每发现一次扣3分。</w:t>
            </w:r>
          </w:p>
          <w:p>
            <w:pPr>
              <w:spacing w:line="360" w:lineRule="exact"/>
              <w:rPr>
                <w:rFonts w:hint="eastAsia" w:ascii="宋体" w:hAnsi="宋体" w:cs="宋体"/>
                <w:szCs w:val="21"/>
              </w:rPr>
            </w:pPr>
            <w:r>
              <w:rPr>
                <w:rFonts w:hint="eastAsia" w:ascii="宋体" w:hAnsi="宋体" w:cs="宋体"/>
                <w:szCs w:val="21"/>
              </w:rPr>
              <w:t>②外墙、地面、栏杆、灯箱、电话亭、书报亭清理乱张贴或乱涂写保洁基本上做到“同色覆盖”。选用环保材料、涂料、油漆、清除乱张贴、乱涂写的涂料要用与墙体、地面、栏杆相同或相接近的颜色进行有规则（正方形、长方形等）的覆盖，对花岗岩、大理石等墙面、地面应通过清洗方式进行保洁，不能出现“白癜风”的涂写、覆盖方式；清除乱张贴乱涂写时注意不得污损周围墙体、地面、桥面，保持整洁；涂料与清除方式使用不正确的，发现一处扣3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723"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项目</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
                <w:sz w:val="24"/>
              </w:rPr>
            </w:pPr>
            <w:r>
              <w:rPr>
                <w:rFonts w:hint="eastAsia" w:ascii="宋体" w:hAnsi="宋体" w:cs="宋体"/>
                <w:b/>
                <w:sz w:val="24"/>
              </w:rPr>
              <w:t>保洁要求与评分标准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napToGrid w:val="0"/>
              <w:ind w:right="-105" w:rightChars="-50"/>
              <w:jc w:val="center"/>
              <w:rPr>
                <w:rFonts w:hint="eastAsia" w:ascii="宋体" w:hAnsi="宋体" w:cs="宋体"/>
                <w:b/>
                <w:sz w:val="24"/>
              </w:rPr>
            </w:pPr>
            <w:r>
              <w:rPr>
                <w:rFonts w:hint="eastAsia" w:ascii="宋体" w:hAnsi="宋体" w:cs="宋体"/>
                <w:b/>
                <w:sz w:val="24"/>
              </w:rPr>
              <w:t>分值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w:t>
            </w:r>
          </w:p>
        </w:tc>
        <w:tc>
          <w:tcPr>
            <w:tcW w:w="3544" w:type="dxa"/>
            <w:tcBorders>
              <w:top w:val="single" w:color="auto" w:sz="6" w:space="0"/>
              <w:left w:val="single" w:color="auto" w:sz="6"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
                <w:sz w:val="24"/>
              </w:rPr>
            </w:pPr>
            <w:r>
              <w:rPr>
                <w:rFonts w:hint="eastAsia" w:ascii="宋体" w:hAnsi="宋体" w:cs="宋体"/>
                <w:b/>
                <w:sz w:val="24"/>
              </w:rPr>
              <w:t>扣分依据</w:t>
            </w:r>
          </w:p>
        </w:tc>
      </w:tr>
      <w:tr>
        <w:tblPrEx>
          <w:tblCellMar>
            <w:top w:w="0" w:type="dxa"/>
            <w:left w:w="108" w:type="dxa"/>
            <w:bottom w:w="0" w:type="dxa"/>
            <w:right w:w="108" w:type="dxa"/>
          </w:tblCellMar>
        </w:tblPrEx>
        <w:trPr>
          <w:trHeight w:val="3127"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规范作业</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作业人员佩证上岗，作业期内穿反光安全服，在作业期间发现未穿工作服或工作服破损肮脏的一次扣1分；在作业时间内，不集聚闲聊，工期休息不超过10分钟，或作业期间不做与作业无关的事，发现一次扣1分；②车辆停放遵守交通法规，发现一次扣2分；垃圾运输实行密闭，垃圾未实行密闭运输一次扣2分；不得超高运输和吊挂杂物，发现一次扣1分；③严禁作业人员擅自向责任区内单位收取各种费用，发现作业人员擅自收费的一次扣3分；不得私自携带工业垃圾进垃圾中转（零星的除外），发现私自携带工业垃圾进垃圾中转站一次扣3分。</w:t>
            </w:r>
          </w:p>
          <w:p>
            <w:pPr>
              <w:spacing w:line="280" w:lineRule="exact"/>
              <w:rPr>
                <w:rFonts w:hint="eastAsia" w:ascii="宋体" w:hAnsi="宋体" w:cs="宋体"/>
                <w:szCs w:val="21"/>
              </w:rPr>
            </w:pP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2534" w:hRule="exact"/>
        </w:trPr>
        <w:tc>
          <w:tcPr>
            <w:tcW w:w="1668"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
                <w:sz w:val="22"/>
              </w:rPr>
            </w:pPr>
            <w:r>
              <w:rPr>
                <w:rFonts w:hint="eastAsia" w:ascii="宋体" w:hAnsi="宋体" w:cs="宋体"/>
                <w:b/>
                <w:sz w:val="22"/>
              </w:rPr>
              <w:t>其他</w:t>
            </w:r>
          </w:p>
        </w:tc>
        <w:tc>
          <w:tcPr>
            <w:tcW w:w="7796" w:type="dxa"/>
            <w:tcBorders>
              <w:top w:val="single" w:color="auto" w:sz="6" w:space="0"/>
              <w:left w:val="single" w:color="auto" w:sz="6" w:space="0"/>
              <w:bottom w:val="single" w:color="auto" w:sz="6" w:space="0"/>
              <w:right w:val="single" w:color="auto" w:sz="6" w:space="0"/>
            </w:tcBorders>
            <w:noWrap w:val="0"/>
            <w:vAlign w:val="center"/>
          </w:tcPr>
          <w:p>
            <w:pPr>
              <w:spacing w:line="380" w:lineRule="exact"/>
              <w:rPr>
                <w:rFonts w:hint="eastAsia" w:ascii="宋体" w:hAnsi="宋体" w:cs="宋体"/>
                <w:szCs w:val="21"/>
              </w:rPr>
            </w:pPr>
            <w:r>
              <w:rPr>
                <w:rFonts w:hint="eastAsia" w:ascii="宋体" w:hAnsi="宋体" w:cs="宋体"/>
                <w:szCs w:val="21"/>
              </w:rPr>
              <w:t>①接到数字城管、投诉电话和新闻舆论等举报投诉后，应在时限内处理完毕，并作好信息反馈，未及时处理，扣2分；②经媒体曝光，造成恶劣影响的，扣5分，且采购人有权无条件解除合同；③其他保洁要求不达标的，酌情扣分。③按时上报采购要求提供的资料（台账），未按时的每迟一天依次加扣3分；④采购人召开环卫工作会议要求项目负责人参加的，迟到半小时扣2分，缺席的扣5分；⑤其他保洁要求不达标的，酌情扣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r>
        <w:tblPrEx>
          <w:tblCellMar>
            <w:top w:w="0" w:type="dxa"/>
            <w:left w:w="108" w:type="dxa"/>
            <w:bottom w:w="0" w:type="dxa"/>
            <w:right w:w="108" w:type="dxa"/>
          </w:tblCellMar>
        </w:tblPrEx>
        <w:trPr>
          <w:trHeight w:val="454" w:hRule="atLeast"/>
        </w:trPr>
        <w:tc>
          <w:tcPr>
            <w:tcW w:w="9464" w:type="dxa"/>
            <w:gridSpan w:val="2"/>
            <w:tcBorders>
              <w:top w:val="single" w:color="auto" w:sz="6" w:space="0"/>
              <w:left w:val="single" w:color="auto" w:sz="6" w:space="0"/>
              <w:bottom w:val="single" w:color="auto" w:sz="4" w:space="0"/>
              <w:right w:val="single" w:color="auto" w:sz="6" w:space="0"/>
            </w:tcBorders>
            <w:noWrap w:val="0"/>
            <w:vAlign w:val="center"/>
          </w:tcPr>
          <w:p>
            <w:pPr>
              <w:spacing w:line="280" w:lineRule="exact"/>
              <w:jc w:val="center"/>
              <w:rPr>
                <w:rFonts w:hint="eastAsia" w:ascii="宋体" w:hAnsi="宋体" w:cs="宋体"/>
                <w:szCs w:val="21"/>
              </w:rPr>
            </w:pPr>
            <w:r>
              <w:rPr>
                <w:rFonts w:hint="eastAsia" w:ascii="宋体" w:hAnsi="宋体" w:cs="宋体"/>
                <w:szCs w:val="21"/>
              </w:rPr>
              <w:t>合计得分</w:t>
            </w:r>
          </w:p>
        </w:tc>
        <w:tc>
          <w:tcPr>
            <w:tcW w:w="709"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r>
              <w:rPr>
                <w:rFonts w:hint="eastAsia" w:ascii="宋体" w:hAnsi="宋体" w:cs="宋体"/>
                <w:szCs w:val="21"/>
              </w:rPr>
              <w:t>50</w:t>
            </w:r>
          </w:p>
        </w:tc>
        <w:tc>
          <w:tcPr>
            <w:tcW w:w="85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c>
          <w:tcPr>
            <w:tcW w:w="354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szCs w:val="21"/>
              </w:rPr>
            </w:pPr>
          </w:p>
        </w:tc>
      </w:tr>
    </w:tbl>
    <w:p>
      <w:pPr>
        <w:rPr>
          <w:rFonts w:hint="eastAsia" w:ascii="宋体" w:hAnsi="宋体" w:cs="宋体"/>
        </w:rPr>
      </w:pPr>
      <w:r>
        <w:rPr>
          <w:rFonts w:hint="eastAsia" w:ascii="宋体" w:hAnsi="宋体" w:cs="宋体"/>
        </w:rPr>
        <w:t xml:space="preserve">考核人：                                                                                        </w:t>
      </w:r>
      <w:r>
        <w:rPr>
          <w:rFonts w:hint="eastAsia" w:ascii="宋体" w:hAnsi="宋体" w:cs="宋体"/>
          <w:sz w:val="24"/>
        </w:rPr>
        <w:t>日期</w:t>
      </w:r>
      <w:r>
        <w:rPr>
          <w:rFonts w:hint="eastAsia" w:ascii="宋体" w:hAnsi="宋体" w:cs="宋体"/>
        </w:rPr>
        <w:t>：</w:t>
      </w:r>
    </w:p>
    <w:p>
      <w:pPr>
        <w:ind w:left="480"/>
        <w:rPr>
          <w:rFonts w:hint="eastAsia" w:ascii="宋体" w:hAnsi="宋体" w:cs="宋体"/>
          <w:b/>
          <w:szCs w:val="21"/>
        </w:rPr>
      </w:pPr>
    </w:p>
    <w:p>
      <w:pPr>
        <w:ind w:firstLine="640" w:firstLineChars="200"/>
        <w:rPr>
          <w:rFonts w:hint="eastAsia" w:ascii="宋体" w:hAnsi="宋体" w:cs="宋体"/>
          <w:bCs/>
          <w:color w:val="000000"/>
          <w:sz w:val="32"/>
          <w:szCs w:val="32"/>
        </w:rPr>
      </w:pPr>
      <w:r>
        <w:rPr>
          <w:rFonts w:hint="eastAsia" w:ascii="宋体" w:hAnsi="宋体" w:cs="宋体"/>
          <w:bCs/>
          <w:color w:val="000000"/>
          <w:sz w:val="32"/>
          <w:szCs w:val="32"/>
        </w:rPr>
        <w:br w:type="page"/>
      </w:r>
      <w:r>
        <w:rPr>
          <w:rFonts w:hint="eastAsia" w:ascii="宋体" w:hAnsi="宋体" w:cs="宋体"/>
          <w:bCs/>
          <w:color w:val="000000"/>
          <w:sz w:val="32"/>
          <w:szCs w:val="32"/>
        </w:rPr>
        <w:t>四、扣分项考评表</w:t>
      </w:r>
    </w:p>
    <w:tbl>
      <w:tblPr>
        <w:tblStyle w:val="29"/>
        <w:tblW w:w="14145" w:type="dxa"/>
        <w:tblInd w:w="0" w:type="dxa"/>
        <w:tblLayout w:type="fixed"/>
        <w:tblCellMar>
          <w:top w:w="0" w:type="dxa"/>
          <w:left w:w="108" w:type="dxa"/>
          <w:bottom w:w="0" w:type="dxa"/>
          <w:right w:w="108" w:type="dxa"/>
        </w:tblCellMar>
      </w:tblPr>
      <w:tblGrid>
        <w:gridCol w:w="960"/>
        <w:gridCol w:w="10671"/>
        <w:gridCol w:w="720"/>
        <w:gridCol w:w="540"/>
        <w:gridCol w:w="1254"/>
      </w:tblGrid>
      <w:tr>
        <w:tblPrEx>
          <w:tblCellMar>
            <w:top w:w="0" w:type="dxa"/>
            <w:left w:w="108" w:type="dxa"/>
            <w:bottom w:w="0" w:type="dxa"/>
            <w:right w:w="108" w:type="dxa"/>
          </w:tblCellMar>
        </w:tblPrEx>
        <w:trPr>
          <w:trHeight w:val="385" w:hRule="exact"/>
        </w:trPr>
        <w:tc>
          <w:tcPr>
            <w:tcW w:w="960"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Cs/>
                <w:color w:val="000000"/>
                <w:szCs w:val="21"/>
              </w:rPr>
            </w:pPr>
            <w:r>
              <w:rPr>
                <w:rFonts w:hint="eastAsia" w:ascii="宋体" w:hAnsi="宋体" w:cs="宋体"/>
                <w:bCs/>
                <w:color w:val="000000"/>
                <w:szCs w:val="21"/>
              </w:rPr>
              <w:t>项目</w:t>
            </w:r>
          </w:p>
        </w:tc>
        <w:tc>
          <w:tcPr>
            <w:tcW w:w="10671"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Cs/>
                <w:color w:val="000000"/>
                <w:szCs w:val="21"/>
              </w:rPr>
            </w:pPr>
            <w:r>
              <w:rPr>
                <w:rFonts w:hint="eastAsia" w:ascii="宋体" w:hAnsi="宋体" w:cs="宋体"/>
                <w:bCs/>
                <w:color w:val="000000"/>
                <w:szCs w:val="21"/>
              </w:rPr>
              <w:t>扣分评分标准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napToGrid w:val="0"/>
              <w:ind w:right="-105" w:rightChars="-50"/>
              <w:rPr>
                <w:rFonts w:hint="eastAsia" w:ascii="宋体" w:hAnsi="宋体" w:cs="宋体"/>
                <w:bCs/>
                <w:color w:val="000000"/>
                <w:szCs w:val="21"/>
              </w:rPr>
            </w:pPr>
            <w:r>
              <w:rPr>
                <w:rFonts w:hint="eastAsia" w:ascii="宋体" w:hAnsi="宋体" w:cs="宋体"/>
                <w:bCs/>
                <w:color w:val="000000"/>
                <w:szCs w:val="21"/>
              </w:rPr>
              <w:t>分值</w:t>
            </w:r>
          </w:p>
        </w:tc>
        <w:tc>
          <w:tcPr>
            <w:tcW w:w="54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Cs/>
                <w:color w:val="000000"/>
                <w:szCs w:val="21"/>
              </w:rPr>
            </w:pPr>
            <w:r>
              <w:rPr>
                <w:rFonts w:hint="eastAsia" w:ascii="宋体" w:hAnsi="宋体" w:cs="宋体"/>
                <w:bCs/>
                <w:color w:val="000000"/>
                <w:szCs w:val="21"/>
              </w:rPr>
              <w:t>扣分</w:t>
            </w:r>
          </w:p>
        </w:tc>
        <w:tc>
          <w:tcPr>
            <w:tcW w:w="1254" w:type="dxa"/>
            <w:tcBorders>
              <w:top w:val="single" w:color="auto" w:sz="6" w:space="0"/>
              <w:left w:val="single" w:color="auto" w:sz="6"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Cs/>
                <w:color w:val="000000"/>
                <w:szCs w:val="21"/>
              </w:rPr>
            </w:pPr>
            <w:r>
              <w:rPr>
                <w:rFonts w:hint="eastAsia" w:ascii="宋体" w:hAnsi="宋体" w:cs="宋体"/>
                <w:bCs/>
                <w:color w:val="000000"/>
                <w:szCs w:val="21"/>
              </w:rPr>
              <w:t>扣分依据</w:t>
            </w:r>
          </w:p>
        </w:tc>
      </w:tr>
      <w:tr>
        <w:tblPrEx>
          <w:tblCellMar>
            <w:top w:w="0" w:type="dxa"/>
            <w:left w:w="108" w:type="dxa"/>
            <w:bottom w:w="0" w:type="dxa"/>
            <w:right w:w="108" w:type="dxa"/>
          </w:tblCellMar>
        </w:tblPrEx>
        <w:trPr>
          <w:trHeight w:val="1738" w:hRule="exact"/>
        </w:trPr>
        <w:tc>
          <w:tcPr>
            <w:tcW w:w="960"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Cs/>
                <w:color w:val="000000"/>
                <w:szCs w:val="21"/>
              </w:rPr>
            </w:pPr>
            <w:r>
              <w:rPr>
                <w:rFonts w:hint="eastAsia" w:ascii="宋体" w:hAnsi="宋体" w:cs="宋体"/>
                <w:bCs/>
                <w:color w:val="000000"/>
                <w:szCs w:val="21"/>
              </w:rPr>
              <w:t>扣分项</w:t>
            </w:r>
          </w:p>
        </w:tc>
        <w:tc>
          <w:tcPr>
            <w:tcW w:w="10671" w:type="dxa"/>
            <w:tcBorders>
              <w:top w:val="single" w:color="auto" w:sz="6" w:space="0"/>
              <w:left w:val="single" w:color="auto" w:sz="6" w:space="0"/>
              <w:bottom w:val="single" w:color="auto" w:sz="6" w:space="0"/>
              <w:right w:val="single" w:color="auto" w:sz="6" w:space="0"/>
            </w:tcBorders>
            <w:noWrap w:val="0"/>
            <w:vAlign w:val="center"/>
          </w:tcPr>
          <w:p>
            <w:pPr>
              <w:spacing w:line="300" w:lineRule="exact"/>
              <w:rPr>
                <w:rFonts w:hint="eastAsia" w:ascii="宋体" w:hAnsi="宋体" w:cs="宋体"/>
                <w:bCs/>
                <w:color w:val="000000"/>
                <w:szCs w:val="21"/>
              </w:rPr>
            </w:pPr>
            <w:r>
              <w:rPr>
                <w:rFonts w:hint="eastAsia" w:ascii="宋体" w:hAnsi="宋体" w:cs="宋体"/>
                <w:bCs/>
                <w:color w:val="000000"/>
                <w:szCs w:val="21"/>
              </w:rPr>
              <w:t>①本市范围内保洁服务被媒体曝光的：瑞安市级的扣10分，温州市级的扣20分，省部级的扣30分，国家级的定为当次考核最后一名，以曝光的时间点计入当次考核评分；②本市范围内保洁服务被有关部门通报、督办的：县处级部门的扣10分，厅局级的扣20分，省部级及以上的定为当次考核最后一名，以通报、督办下达时间点计入当次考核评分；③内部管理制度和台账缺失，每项扣10分，不规范的，每处扣5分；④环卫工人因严重违规而被责令开除上了环卫主管部门黑名单的，任何承包公司不得录用，发现一次扣20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54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125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r>
      <w:tr>
        <w:tblPrEx>
          <w:tblCellMar>
            <w:top w:w="0" w:type="dxa"/>
            <w:left w:w="108" w:type="dxa"/>
            <w:bottom w:w="0" w:type="dxa"/>
            <w:right w:w="108" w:type="dxa"/>
          </w:tblCellMar>
        </w:tblPrEx>
        <w:trPr>
          <w:trHeight w:val="411" w:hRule="atLeast"/>
        </w:trPr>
        <w:tc>
          <w:tcPr>
            <w:tcW w:w="11631" w:type="dxa"/>
            <w:gridSpan w:val="2"/>
            <w:tcBorders>
              <w:top w:val="single" w:color="auto" w:sz="6" w:space="0"/>
              <w:left w:val="single" w:color="auto" w:sz="6" w:space="0"/>
              <w:bottom w:val="single" w:color="auto" w:sz="4" w:space="0"/>
              <w:right w:val="single" w:color="auto" w:sz="6" w:space="0"/>
            </w:tcBorders>
            <w:noWrap w:val="0"/>
            <w:vAlign w:val="center"/>
          </w:tcPr>
          <w:p>
            <w:pPr>
              <w:spacing w:line="280" w:lineRule="exact"/>
              <w:jc w:val="center"/>
              <w:rPr>
                <w:rFonts w:hint="eastAsia" w:ascii="宋体" w:hAnsi="宋体" w:cs="宋体"/>
                <w:bCs/>
                <w:color w:val="000000"/>
                <w:szCs w:val="21"/>
              </w:rPr>
            </w:pPr>
            <w:r>
              <w:rPr>
                <w:rFonts w:hint="eastAsia" w:ascii="宋体" w:hAnsi="宋体" w:cs="宋体"/>
                <w:bCs/>
                <w:color w:val="000000"/>
                <w:szCs w:val="21"/>
              </w:rPr>
              <w:t>合计扣分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54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125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r>
    </w:tbl>
    <w:p>
      <w:pPr>
        <w:adjustRightInd w:val="0"/>
        <w:snapToGrid w:val="0"/>
        <w:spacing w:line="360" w:lineRule="exact"/>
        <w:rPr>
          <w:rFonts w:hint="eastAsia" w:ascii="宋体" w:hAnsi="宋体" w:cs="宋体"/>
          <w:bCs/>
          <w:color w:val="000000"/>
          <w:sz w:val="24"/>
          <w:szCs w:val="24"/>
        </w:rPr>
      </w:pPr>
      <w:r>
        <w:rPr>
          <w:rFonts w:hint="eastAsia" w:ascii="宋体" w:hAnsi="宋体" w:cs="宋体"/>
          <w:bCs/>
          <w:color w:val="000000"/>
          <w:sz w:val="24"/>
        </w:rPr>
        <w:t xml:space="preserve">考核人：                                              日期：                  </w:t>
      </w:r>
    </w:p>
    <w:p>
      <w:pPr>
        <w:ind w:firstLine="640" w:firstLineChars="200"/>
        <w:rPr>
          <w:rFonts w:hint="eastAsia" w:ascii="宋体" w:hAnsi="宋体" w:cs="宋体"/>
          <w:bCs/>
          <w:color w:val="000000"/>
          <w:sz w:val="32"/>
          <w:szCs w:val="32"/>
        </w:rPr>
      </w:pPr>
      <w:r>
        <w:rPr>
          <w:rFonts w:hint="eastAsia" w:ascii="宋体" w:hAnsi="宋体" w:cs="宋体"/>
          <w:bCs/>
          <w:color w:val="000000"/>
          <w:sz w:val="32"/>
          <w:szCs w:val="32"/>
        </w:rPr>
        <w:t>五、加分项考评表</w:t>
      </w:r>
    </w:p>
    <w:tbl>
      <w:tblPr>
        <w:tblStyle w:val="29"/>
        <w:tblW w:w="14145" w:type="dxa"/>
        <w:tblInd w:w="0" w:type="dxa"/>
        <w:tblLayout w:type="fixed"/>
        <w:tblCellMar>
          <w:top w:w="0" w:type="dxa"/>
          <w:left w:w="108" w:type="dxa"/>
          <w:bottom w:w="0" w:type="dxa"/>
          <w:right w:w="108" w:type="dxa"/>
        </w:tblCellMar>
      </w:tblPr>
      <w:tblGrid>
        <w:gridCol w:w="960"/>
        <w:gridCol w:w="10671"/>
        <w:gridCol w:w="720"/>
        <w:gridCol w:w="540"/>
        <w:gridCol w:w="1254"/>
      </w:tblGrid>
      <w:tr>
        <w:tblPrEx>
          <w:tblCellMar>
            <w:top w:w="0" w:type="dxa"/>
            <w:left w:w="108" w:type="dxa"/>
            <w:bottom w:w="0" w:type="dxa"/>
            <w:right w:w="108" w:type="dxa"/>
          </w:tblCellMar>
        </w:tblPrEx>
        <w:trPr>
          <w:trHeight w:val="346" w:hRule="exact"/>
        </w:trPr>
        <w:tc>
          <w:tcPr>
            <w:tcW w:w="960"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Cs/>
                <w:color w:val="000000"/>
                <w:szCs w:val="21"/>
              </w:rPr>
            </w:pPr>
            <w:r>
              <w:rPr>
                <w:rFonts w:hint="eastAsia" w:ascii="宋体" w:hAnsi="宋体" w:cs="宋体"/>
                <w:bCs/>
                <w:color w:val="000000"/>
                <w:szCs w:val="21"/>
              </w:rPr>
              <w:t>项目</w:t>
            </w:r>
          </w:p>
        </w:tc>
        <w:tc>
          <w:tcPr>
            <w:tcW w:w="10671" w:type="dxa"/>
            <w:tcBorders>
              <w:top w:val="single" w:color="auto" w:sz="6" w:space="0"/>
              <w:left w:val="single" w:color="auto" w:sz="6" w:space="0"/>
              <w:bottom w:val="single" w:color="auto" w:sz="6" w:space="0"/>
              <w:right w:val="single" w:color="auto" w:sz="6" w:space="0"/>
            </w:tcBorders>
            <w:noWrap w:val="0"/>
            <w:vAlign w:val="center"/>
          </w:tcPr>
          <w:p>
            <w:pPr>
              <w:snapToGrid w:val="0"/>
              <w:jc w:val="center"/>
              <w:rPr>
                <w:rFonts w:hint="eastAsia" w:ascii="宋体" w:hAnsi="宋体" w:cs="宋体"/>
                <w:bCs/>
                <w:color w:val="000000"/>
                <w:szCs w:val="21"/>
              </w:rPr>
            </w:pPr>
            <w:r>
              <w:rPr>
                <w:rFonts w:hint="eastAsia" w:ascii="宋体" w:hAnsi="宋体" w:cs="宋体"/>
                <w:bCs/>
                <w:color w:val="000000"/>
                <w:szCs w:val="21"/>
              </w:rPr>
              <w:t>加分评分标准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napToGrid w:val="0"/>
              <w:ind w:right="-105" w:rightChars="-50"/>
              <w:jc w:val="center"/>
              <w:rPr>
                <w:rFonts w:hint="eastAsia" w:ascii="宋体" w:hAnsi="宋体" w:cs="宋体"/>
                <w:bCs/>
                <w:color w:val="000000"/>
                <w:szCs w:val="21"/>
              </w:rPr>
            </w:pPr>
            <w:r>
              <w:rPr>
                <w:rFonts w:hint="eastAsia" w:ascii="宋体" w:hAnsi="宋体" w:cs="宋体"/>
                <w:bCs/>
                <w:color w:val="000000"/>
                <w:szCs w:val="21"/>
              </w:rPr>
              <w:t>分值</w:t>
            </w:r>
          </w:p>
        </w:tc>
        <w:tc>
          <w:tcPr>
            <w:tcW w:w="540" w:type="dxa"/>
            <w:tcBorders>
              <w:top w:val="single" w:color="auto" w:sz="6" w:space="0"/>
              <w:left w:val="single" w:color="auto" w:sz="4"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Cs/>
                <w:color w:val="000000"/>
                <w:szCs w:val="21"/>
              </w:rPr>
            </w:pPr>
            <w:r>
              <w:rPr>
                <w:rFonts w:hint="eastAsia" w:ascii="宋体" w:hAnsi="宋体" w:cs="宋体"/>
                <w:bCs/>
                <w:color w:val="000000"/>
                <w:szCs w:val="21"/>
              </w:rPr>
              <w:t>加分</w:t>
            </w:r>
          </w:p>
        </w:tc>
        <w:tc>
          <w:tcPr>
            <w:tcW w:w="1254" w:type="dxa"/>
            <w:tcBorders>
              <w:top w:val="single" w:color="auto" w:sz="6" w:space="0"/>
              <w:left w:val="single" w:color="auto" w:sz="6" w:space="0"/>
              <w:bottom w:val="single" w:color="auto" w:sz="6" w:space="0"/>
              <w:right w:val="single" w:color="auto" w:sz="4" w:space="0"/>
            </w:tcBorders>
            <w:noWrap w:val="0"/>
            <w:vAlign w:val="center"/>
          </w:tcPr>
          <w:p>
            <w:pPr>
              <w:snapToGrid w:val="0"/>
              <w:ind w:left="-105" w:leftChars="-50" w:right="-105" w:rightChars="-50"/>
              <w:jc w:val="center"/>
              <w:rPr>
                <w:rFonts w:hint="eastAsia" w:ascii="宋体" w:hAnsi="宋体" w:cs="宋体"/>
                <w:bCs/>
                <w:color w:val="000000"/>
                <w:szCs w:val="21"/>
              </w:rPr>
            </w:pPr>
            <w:r>
              <w:rPr>
                <w:rFonts w:hint="eastAsia" w:ascii="宋体" w:hAnsi="宋体" w:cs="宋体"/>
                <w:bCs/>
                <w:color w:val="000000"/>
                <w:szCs w:val="21"/>
              </w:rPr>
              <w:t>加分依据</w:t>
            </w:r>
          </w:p>
        </w:tc>
      </w:tr>
      <w:tr>
        <w:tblPrEx>
          <w:tblCellMar>
            <w:top w:w="0" w:type="dxa"/>
            <w:left w:w="108" w:type="dxa"/>
            <w:bottom w:w="0" w:type="dxa"/>
            <w:right w:w="108" w:type="dxa"/>
          </w:tblCellMar>
        </w:tblPrEx>
        <w:trPr>
          <w:trHeight w:val="1833" w:hRule="exact"/>
        </w:trPr>
        <w:tc>
          <w:tcPr>
            <w:tcW w:w="960" w:type="dxa"/>
            <w:tcBorders>
              <w:top w:val="single" w:color="auto" w:sz="6" w:space="0"/>
              <w:left w:val="single" w:color="auto" w:sz="6" w:space="0"/>
              <w:bottom w:val="single" w:color="auto" w:sz="6" w:space="0"/>
              <w:right w:val="single" w:color="auto" w:sz="6" w:space="0"/>
            </w:tcBorders>
            <w:noWrap w:val="0"/>
            <w:vAlign w:val="center"/>
          </w:tcPr>
          <w:p>
            <w:pPr>
              <w:spacing w:line="280" w:lineRule="exact"/>
              <w:jc w:val="center"/>
              <w:rPr>
                <w:rFonts w:hint="eastAsia" w:ascii="宋体" w:hAnsi="宋体" w:cs="宋体"/>
                <w:bCs/>
                <w:color w:val="000000"/>
                <w:szCs w:val="21"/>
              </w:rPr>
            </w:pPr>
            <w:r>
              <w:rPr>
                <w:rFonts w:hint="eastAsia" w:ascii="宋体" w:hAnsi="宋体" w:cs="宋体"/>
                <w:bCs/>
                <w:color w:val="000000"/>
                <w:szCs w:val="21"/>
              </w:rPr>
              <w:t>扣分项</w:t>
            </w:r>
          </w:p>
        </w:tc>
        <w:tc>
          <w:tcPr>
            <w:tcW w:w="10671" w:type="dxa"/>
            <w:tcBorders>
              <w:top w:val="single" w:color="auto" w:sz="6" w:space="0"/>
              <w:left w:val="single" w:color="auto" w:sz="6" w:space="0"/>
              <w:bottom w:val="single" w:color="auto" w:sz="6" w:space="0"/>
              <w:right w:val="single" w:color="auto" w:sz="6" w:space="0"/>
            </w:tcBorders>
            <w:noWrap w:val="0"/>
            <w:vAlign w:val="center"/>
          </w:tcPr>
          <w:p>
            <w:pPr>
              <w:spacing w:line="300" w:lineRule="exact"/>
              <w:rPr>
                <w:rFonts w:hint="eastAsia" w:ascii="宋体" w:hAnsi="宋体" w:cs="宋体"/>
                <w:bCs/>
                <w:color w:val="000000"/>
                <w:szCs w:val="21"/>
              </w:rPr>
            </w:pPr>
            <w:r>
              <w:rPr>
                <w:rFonts w:hint="eastAsia" w:ascii="宋体" w:hAnsi="宋体" w:cs="宋体"/>
                <w:bCs/>
                <w:color w:val="000000"/>
                <w:szCs w:val="21"/>
              </w:rPr>
              <w:t>①本市范围内保洁服务被媒体正面报道的：瑞安市级的加10分，温州市级的加20分，省部级的加30分，国家级的定为当次考核第一名，以报道时间点计入当次考核评分；②本市范围内保洁服务被有关部门通报表彰的：县处级的加10分，厅局级的加20分，省部级的加30分，国家级的定为当次考核第一名，以通报表彰文件下达时间点计入当次考核评分；③本市范围内保洁服务获得领导正面批示的：瑞安市委、市政府主要领导批示的加10分，温州市委、市政府或省厅领导批示的加15分，省委、省政府或中央部委领导批示的加20分，正部级以上领导批示的定为当次考核第一名，以批示时间点计入当次考核评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54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125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r>
      <w:tr>
        <w:tblPrEx>
          <w:tblCellMar>
            <w:top w:w="0" w:type="dxa"/>
            <w:left w:w="108" w:type="dxa"/>
            <w:bottom w:w="0" w:type="dxa"/>
            <w:right w:w="108" w:type="dxa"/>
          </w:tblCellMar>
        </w:tblPrEx>
        <w:trPr>
          <w:trHeight w:val="309" w:hRule="atLeast"/>
        </w:trPr>
        <w:tc>
          <w:tcPr>
            <w:tcW w:w="11631" w:type="dxa"/>
            <w:gridSpan w:val="2"/>
            <w:tcBorders>
              <w:top w:val="single" w:color="auto" w:sz="6" w:space="0"/>
              <w:left w:val="single" w:color="auto" w:sz="6" w:space="0"/>
              <w:bottom w:val="single" w:color="auto" w:sz="4" w:space="0"/>
              <w:right w:val="single" w:color="auto" w:sz="6" w:space="0"/>
            </w:tcBorders>
            <w:noWrap w:val="0"/>
            <w:vAlign w:val="center"/>
          </w:tcPr>
          <w:p>
            <w:pPr>
              <w:spacing w:line="280" w:lineRule="exact"/>
              <w:jc w:val="center"/>
              <w:rPr>
                <w:rFonts w:hint="eastAsia" w:ascii="宋体" w:hAnsi="宋体" w:cs="宋体"/>
                <w:bCs/>
                <w:color w:val="000000"/>
                <w:szCs w:val="21"/>
              </w:rPr>
            </w:pPr>
            <w:r>
              <w:rPr>
                <w:rFonts w:hint="eastAsia" w:ascii="宋体" w:hAnsi="宋体" w:cs="宋体"/>
                <w:bCs/>
                <w:color w:val="000000"/>
                <w:szCs w:val="21"/>
              </w:rPr>
              <w:t>合计得分</w:t>
            </w:r>
          </w:p>
        </w:tc>
        <w:tc>
          <w:tcPr>
            <w:tcW w:w="720"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540" w:type="dxa"/>
            <w:tcBorders>
              <w:top w:val="single" w:color="auto" w:sz="6" w:space="0"/>
              <w:left w:val="single" w:color="auto" w:sz="4"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c>
          <w:tcPr>
            <w:tcW w:w="1254" w:type="dxa"/>
            <w:tcBorders>
              <w:top w:val="single" w:color="auto" w:sz="6" w:space="0"/>
              <w:left w:val="single" w:color="auto" w:sz="6" w:space="0"/>
              <w:bottom w:val="single" w:color="auto" w:sz="6" w:space="0"/>
              <w:right w:val="single" w:color="auto" w:sz="4" w:space="0"/>
            </w:tcBorders>
            <w:noWrap w:val="0"/>
            <w:vAlign w:val="center"/>
          </w:tcPr>
          <w:p>
            <w:pPr>
              <w:spacing w:line="280" w:lineRule="exact"/>
              <w:ind w:left="-105" w:leftChars="-50" w:right="-105" w:rightChars="-50"/>
              <w:jc w:val="center"/>
              <w:rPr>
                <w:rFonts w:hint="eastAsia" w:ascii="宋体" w:hAnsi="宋体" w:cs="宋体"/>
                <w:bCs/>
                <w:color w:val="000000"/>
                <w:szCs w:val="21"/>
              </w:rPr>
            </w:pPr>
          </w:p>
        </w:tc>
      </w:tr>
    </w:tbl>
    <w:p>
      <w:pPr>
        <w:adjustRightInd w:val="0"/>
        <w:snapToGrid w:val="0"/>
        <w:rPr>
          <w:rFonts w:hint="eastAsia" w:ascii="宋体" w:hAnsi="宋体" w:cs="宋体"/>
          <w:bCs/>
          <w:color w:val="000000"/>
          <w:sz w:val="24"/>
          <w:szCs w:val="24"/>
        </w:rPr>
      </w:pPr>
      <w:r>
        <w:rPr>
          <w:rFonts w:hint="eastAsia" w:ascii="宋体" w:hAnsi="宋体" w:cs="宋体"/>
          <w:bCs/>
          <w:color w:val="000000"/>
          <w:sz w:val="24"/>
        </w:rPr>
        <w:t>考核人：                                              日期：</w:t>
      </w:r>
    </w:p>
    <w:p>
      <w:pPr>
        <w:rPr>
          <w:rFonts w:hint="eastAsia" w:ascii="宋体" w:hAnsi="宋体" w:cs="宋体"/>
          <w:bCs/>
        </w:rPr>
      </w:pPr>
      <w:r>
        <w:rPr>
          <w:rFonts w:hint="eastAsia" w:ascii="宋体" w:hAnsi="宋体" w:cs="宋体"/>
          <w:bCs/>
          <w:color w:val="000000"/>
          <w:szCs w:val="21"/>
        </w:rPr>
        <w:t>注：同一整改点和表彰事迹被不同主体通报的，按照最高标准一次性扣（加）分；考核对象收到整改通知后，未在限期内完成整改的加倍扣分。加分奖励须经瑞安市综合行政执法局核实。</w:t>
      </w:r>
    </w:p>
    <w:p>
      <w:pPr>
        <w:rPr>
          <w:rFonts w:hint="eastAsia" w:ascii="宋体" w:hAnsi="宋体" w:cs="宋体"/>
          <w:bCs/>
        </w:rPr>
        <w:sectPr>
          <w:pgSz w:w="16838" w:h="11906" w:orient="landscape"/>
          <w:pgMar w:top="2098" w:right="1474" w:bottom="1984" w:left="1418" w:header="851" w:footer="992" w:gutter="0"/>
          <w:cols w:space="720" w:num="1"/>
          <w:docGrid w:type="linesAndChars" w:linePitch="312" w:charSpace="0"/>
        </w:sectPr>
      </w:pPr>
    </w:p>
    <w:p>
      <w:pPr>
        <w:pStyle w:val="64"/>
        <w:rPr>
          <w:rFonts w:hint="eastAsia" w:ascii="宋体" w:hAnsi="宋体" w:cs="宋体"/>
          <w:b/>
          <w:sz w:val="28"/>
          <w:szCs w:val="28"/>
        </w:rPr>
      </w:pPr>
      <w:r>
        <w:rPr>
          <w:rFonts w:hint="eastAsia" w:ascii="宋体" w:hAnsi="宋体" w:cs="宋体"/>
          <w:b/>
          <w:sz w:val="28"/>
          <w:szCs w:val="28"/>
          <w:lang/>
        </w:rPr>
        <mc:AlternateContent>
          <mc:Choice Requires="wps">
            <w:drawing>
              <wp:anchor distT="0" distB="0" distL="114300" distR="114300" simplePos="0" relativeHeight="251660288" behindDoc="0" locked="0" layoutInCell="1" allowOverlap="1">
                <wp:simplePos x="0" y="0"/>
                <wp:positionH relativeFrom="column">
                  <wp:posOffset>4595495</wp:posOffset>
                </wp:positionH>
                <wp:positionV relativeFrom="paragraph">
                  <wp:posOffset>320675</wp:posOffset>
                </wp:positionV>
                <wp:extent cx="1209675" cy="328295"/>
                <wp:effectExtent l="0" t="0" r="9525" b="14605"/>
                <wp:wrapNone/>
                <wp:docPr id="1" name="文本框 4"/>
                <wp:cNvGraphicFramePr/>
                <a:graphic xmlns:a="http://schemas.openxmlformats.org/drawingml/2006/main">
                  <a:graphicData uri="http://schemas.microsoft.com/office/word/2010/wordprocessingShape">
                    <wps:wsp>
                      <wps:cNvSpPr txBox="1"/>
                      <wps:spPr>
                        <a:xfrm>
                          <a:off x="0" y="0"/>
                          <a:ext cx="1209675" cy="328295"/>
                        </a:xfrm>
                        <a:prstGeom prst="rect">
                          <a:avLst/>
                        </a:prstGeom>
                        <a:solidFill>
                          <a:srgbClr val="FFFFFF"/>
                        </a:solidFill>
                        <a:ln>
                          <a:noFill/>
                        </a:ln>
                      </wps:spPr>
                      <wps:txbx>
                        <w:txbxContent>
                          <w:p>
                            <w:pPr>
                              <w:spacing w:line="320" w:lineRule="exact"/>
                            </w:pPr>
                            <w:r>
                              <w:rPr>
                                <w:rFonts w:hint="eastAsia" w:eastAsia="Cambria Math"/>
                                <w:sz w:val="24"/>
                              </w:rPr>
                              <w:t>NO：</w:t>
                            </w:r>
                          </w:p>
                        </w:txbxContent>
                      </wps:txbx>
                      <wps:bodyPr wrap="square" upright="1"/>
                    </wps:wsp>
                  </a:graphicData>
                </a:graphic>
              </wp:anchor>
            </w:drawing>
          </mc:Choice>
          <mc:Fallback>
            <w:pict>
              <v:shape id="文本框 4" o:spid="_x0000_s1026" o:spt="202" type="#_x0000_t202" style="position:absolute;left:0pt;margin-left:361.85pt;margin-top:25.25pt;height:25.85pt;width:95.25pt;z-index:251660288;mso-width-relative:margin;mso-height-relative:margin;" fillcolor="#FFFFFF" filled="t" stroked="f" coordsize="21600,21600" o:gfxdata="UEsDBAoAAAAAAIdO4kAAAAAAAAAAAAAAAAAEAAAAZHJzL1BLAwQUAAAACACHTuJAcSbPFtgAAAAK AQAADwAAAGRycy9kb3ducmV2LnhtbE2PQU7DMBBF90jcwZpKbBC1Y5qGpnEqgQRi29IDOMk0iYjH Uew27e0ZVrAc/af/3xS7qxvEBafQezKQLBUIpNo3PbUGjl/vTy8gQrTU2METGrhhgF15f1fYvPEz 7fFyiK3gEgq5NdDFOOZShrpDZ8PSj0icnfzkbORzamUz2ZnL3SC1UmvpbE+80NkR3zqsvw9nZ+D0 OT+mm7n6iMdsv1q/2j6r/M2Yh0WitiAiXuMfDL/6rA4lO1X+TE0Qg4FMP2eMGkhVCoKBTbLSICom ldYgy0L+f6H8AVBLAwQUAAAACACHTuJALUfk+MkBAACFAwAADgAAAGRycy9lMm9Eb2MueG1srVPN jtMwEL4j8Q6W7zTZwC67VdOVoCoXBEgLD+A6TmLJf8y4TfoC8AacuHDnufocjJ3QheWyB3Jw7Pn5 Zr5v7NXtaA07KEDtXc0vFiVnyknfaNfV/NPH7bNrzjAK1wjjnar5USG/XT99shrCUlW+96ZRwAjE 4XIINe9jDMuiQNkrK3Dhg3LkbD1YEekIXdGAGAjdmqIqy6ti8NAE8FIhknUzOfmMCI8B9G2rpdp4 ubfKxQkVlBGRKGGvA/J17rZtlYzv2xZVZKbmxDTmlYrQfpfWYr0Syw5E6LWcWxCPaeEBJyu0o6Jn qI2Igu1B/wNltQSPvo0L6W0xEcmKEIuL8oE2d70IKnMhqTGcRcf/ByvfHT4A0w3dBM6csDTw07ev p+8/Tz++sBdJniHgkqLuAsXF8ZUfU+hsRzIm1mMLNv2JDyM/iXs8i6vGyGRKqsqbq5eXnEnyPa+u q5vLBFPcZwfA+EZ5y9Km5kDDy5qKw1uMU+jvkFQMvdHNVhuTD9DtXhtgB0GD3uZvRv8rzLgU7HxK mxCTpUgcJy5pF8fdOBPc+eZIvAe6IDXHz3sBirN9AN311GHWISfTdDKV+Sal8f95ziXuX8/6F1BL AwQKAAAAAACHTuJAAAAAAAAAAAAAAAAABgAAAF9yZWxzL1BLAwQUAAAACACHTuJAihRmPNEAAACU AQAACwAAAF9yZWxzLy5yZWxzpZDBasMwDIbvg72D0X1xmsMYo04vo9Br6R7A2IpjGltGMtn69vMO g2X0tqN+oe8T//7wmRa1IkukbGDX9aAwO/IxBwPvl+PTCyipNnu7UEYDNxQ4jI8P+zMutrYjmWMR 1ShZDMy1lletxc2YrHRUMLfNRJxsbSMHXay72oB66Ptnzb8ZMG6Y6uQN8MkPoC630sx/2Ck6JqGp do6SpmmK7h5VB7Zlju7INuEbuUazHLAa8CwaB2pZ134EfV+/+6fe00c+47rVfoeM649Xb7ocvwBQ SwMEFAAAAAgAh07iQH7m5SD3AAAA4QEAABMAAABbQ29udGVudF9UeXBlc10ueG1slZFBTsMwEEX3 SNzB8hYlTrtACCXpgrRLQKgcYGRPEotkbHlMaG+Pk7YbRJFY2jP/vye73BzGQUwY2Dqq5CovpEDS zljqKvm+32UPUnAEMjA4wkoekeWmvr0p90ePLFKauJJ9jP5RKdY9jsC580hp0rowQkzH0CkP+gM6 VOuiuFfaUUSKWZw7ZF022MLnEMX2kK5PJgEHluLptDizKgneD1ZDTKZqIvODkp0JeUouO9xbz3dJ Q6pfCfPkOuCce0lPE6xB8QohPsOYNJQJrIz7ooBT/nfJbDly5trWasybwE2KveF0sbrWjmvXOP3f 8u2SunSr5YPqb1BLAQIUABQAAAAIAIdO4kB+5uUg9wAAAOEBAAATAAAAAAAAAAEAIAAAADoEAABb Q29udGVudF9UeXBlc10ueG1sUEsBAhQACgAAAAAAh07iQAAAAAAAAAAAAAAAAAYAAAAAAAAAAAAQ AAAAHAMAAF9yZWxzL1BLAQIUABQAAAAIAIdO4kCKFGY80QAAAJQBAAALAAAAAAAAAAEAIAAAAEAD AABfcmVscy8ucmVsc1BLAQIUAAoAAAAAAIdO4kAAAAAAAAAAAAAAAAAEAAAAAAAAAAAAEAAAAAAA AABkcnMvUEsBAhQAFAAAAAgAh07iQHEmzxbYAAAACgEAAA8AAAAAAAAAAQAgAAAAIgAAAGRycy9k b3ducmV2LnhtbFBLAQIUABQAAAAIAIdO4kAtR+T4yQEAAIUDAAAOAAAAAAAAAAEAIAAAACcBAABk cnMvZTJvRG9jLnhtbFBLBQYAAAAABgAGAFkBAABiBQAAAAA= ">
                <v:fill on="t" focussize="0,0"/>
                <v:stroke on="f"/>
                <v:imagedata o:title=""/>
                <o:lock v:ext="edit" aspectratio="f"/>
                <v:textbox>
                  <w:txbxContent>
                    <w:p>
                      <w:pPr>
                        <w:spacing w:line="320" w:lineRule="exact"/>
                      </w:pPr>
                      <w:r>
                        <w:rPr>
                          <w:rFonts w:hint="eastAsia" w:eastAsia="Cambria Math"/>
                          <w:sz w:val="24"/>
                        </w:rPr>
                        <w:t>NO：</w:t>
                      </w:r>
                    </w:p>
                  </w:txbxContent>
                </v:textbox>
              </v:shape>
            </w:pict>
          </mc:Fallback>
        </mc:AlternateContent>
      </w:r>
      <w:r>
        <w:rPr>
          <w:rFonts w:hint="eastAsia" w:ascii="宋体" w:hAnsi="宋体" w:cs="宋体"/>
          <w:b/>
          <w:sz w:val="28"/>
          <w:szCs w:val="28"/>
        </w:rPr>
        <w:t>附件:</w:t>
      </w:r>
    </w:p>
    <w:p>
      <w:pPr>
        <w:snapToGrid w:val="0"/>
        <w:spacing w:before="156" w:beforeLines="50" w:after="156" w:afterLines="50"/>
        <w:jc w:val="center"/>
        <w:rPr>
          <w:rFonts w:hint="eastAsia" w:ascii="宋体" w:hAnsi="宋体" w:cs="宋体"/>
          <w:sz w:val="30"/>
          <w:szCs w:val="30"/>
        </w:rPr>
      </w:pPr>
      <w:r>
        <w:rPr>
          <w:rFonts w:hint="eastAsia" w:ascii="宋体" w:hAnsi="宋体" w:cs="宋体"/>
          <w:sz w:val="30"/>
          <w:szCs w:val="30"/>
        </w:rPr>
        <w:t>瑞安市政府采购项目诚信评价反馈表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709"/>
        <w:gridCol w:w="9"/>
        <w:gridCol w:w="3342"/>
        <w:gridCol w:w="9"/>
        <w:gridCol w:w="1064"/>
        <w:gridCol w:w="3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2" w:hRule="atLeast"/>
        </w:trPr>
        <w:tc>
          <w:tcPr>
            <w:tcW w:w="1167" w:type="dxa"/>
            <w:gridSpan w:val="2"/>
            <w:noWrap w:val="0"/>
            <w:vAlign w:val="center"/>
          </w:tcPr>
          <w:p>
            <w:pPr>
              <w:rPr>
                <w:rFonts w:hint="eastAsia" w:ascii="宋体" w:hAnsi="宋体" w:cs="宋体"/>
              </w:rPr>
            </w:pPr>
            <w:r>
              <w:rPr>
                <w:rFonts w:hint="eastAsia" w:ascii="宋体" w:hAnsi="宋体" w:cs="宋体"/>
              </w:rPr>
              <w:t>采购单位</w:t>
            </w:r>
          </w:p>
        </w:tc>
        <w:tc>
          <w:tcPr>
            <w:tcW w:w="3351" w:type="dxa"/>
            <w:gridSpan w:val="2"/>
            <w:noWrap w:val="0"/>
            <w:vAlign w:val="center"/>
          </w:tcPr>
          <w:p>
            <w:pPr>
              <w:rPr>
                <w:rFonts w:hint="eastAsia" w:ascii="宋体" w:hAnsi="宋体" w:cs="宋体"/>
              </w:rPr>
            </w:pPr>
          </w:p>
        </w:tc>
        <w:tc>
          <w:tcPr>
            <w:tcW w:w="1073" w:type="dxa"/>
            <w:gridSpan w:val="2"/>
            <w:noWrap w:val="0"/>
            <w:vAlign w:val="center"/>
          </w:tcPr>
          <w:p>
            <w:pPr>
              <w:rPr>
                <w:rFonts w:hint="eastAsia" w:ascii="宋体" w:hAnsi="宋体" w:cs="宋体"/>
              </w:rPr>
            </w:pPr>
            <w:r>
              <w:rPr>
                <w:rFonts w:hint="eastAsia" w:ascii="宋体" w:hAnsi="宋体" w:cs="宋体"/>
              </w:rPr>
              <w:t>联系方式</w:t>
            </w:r>
          </w:p>
        </w:tc>
        <w:tc>
          <w:tcPr>
            <w:tcW w:w="3550" w:type="dxa"/>
            <w:noWrap w:val="0"/>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2" w:hRule="atLeast"/>
        </w:trPr>
        <w:tc>
          <w:tcPr>
            <w:tcW w:w="1167" w:type="dxa"/>
            <w:gridSpan w:val="2"/>
            <w:noWrap w:val="0"/>
            <w:vAlign w:val="center"/>
          </w:tcPr>
          <w:p>
            <w:pPr>
              <w:rPr>
                <w:rFonts w:hint="eastAsia" w:ascii="宋体" w:hAnsi="宋体" w:cs="宋体"/>
              </w:rPr>
            </w:pPr>
            <w:r>
              <w:rPr>
                <w:rFonts w:hint="eastAsia" w:ascii="宋体" w:hAnsi="宋体" w:cs="宋体"/>
              </w:rPr>
              <w:t>项目名称</w:t>
            </w:r>
          </w:p>
        </w:tc>
        <w:tc>
          <w:tcPr>
            <w:tcW w:w="3351" w:type="dxa"/>
            <w:gridSpan w:val="2"/>
            <w:noWrap w:val="0"/>
            <w:vAlign w:val="center"/>
          </w:tcPr>
          <w:p>
            <w:pPr>
              <w:rPr>
                <w:rFonts w:hint="eastAsia" w:ascii="宋体" w:hAnsi="宋体" w:cs="宋体"/>
              </w:rPr>
            </w:pPr>
          </w:p>
        </w:tc>
        <w:tc>
          <w:tcPr>
            <w:tcW w:w="1073" w:type="dxa"/>
            <w:gridSpan w:val="2"/>
            <w:noWrap w:val="0"/>
            <w:vAlign w:val="center"/>
          </w:tcPr>
          <w:p>
            <w:pPr>
              <w:rPr>
                <w:rFonts w:hint="eastAsia" w:ascii="宋体" w:hAnsi="宋体" w:cs="宋体"/>
              </w:rPr>
            </w:pPr>
            <w:r>
              <w:rPr>
                <w:rFonts w:hint="eastAsia" w:ascii="宋体" w:hAnsi="宋体" w:cs="宋体"/>
              </w:rPr>
              <w:t>项目编号</w:t>
            </w:r>
          </w:p>
        </w:tc>
        <w:tc>
          <w:tcPr>
            <w:tcW w:w="3550" w:type="dxa"/>
            <w:noWrap w:val="0"/>
            <w:vAlign w:val="center"/>
          </w:tcPr>
          <w:p>
            <w:pPr>
              <w:rPr>
                <w:rFonts w:hint="eastAsia" w:ascii="宋体" w:hAnsi="宋体" w:cs="宋体"/>
              </w:rPr>
            </w:pPr>
            <w:r>
              <w:rPr>
                <w:rFonts w:hint="eastAsia" w:ascii="宋体" w:hAnsi="宋体" w:cs="宋体"/>
              </w:rPr>
              <w:t>RACG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2" w:hRule="atLeast"/>
        </w:trPr>
        <w:tc>
          <w:tcPr>
            <w:tcW w:w="1167" w:type="dxa"/>
            <w:gridSpan w:val="2"/>
            <w:noWrap w:val="0"/>
            <w:vAlign w:val="center"/>
          </w:tcPr>
          <w:p>
            <w:pPr>
              <w:rPr>
                <w:rFonts w:hint="eastAsia" w:ascii="宋体" w:hAnsi="宋体" w:cs="宋体"/>
              </w:rPr>
            </w:pPr>
            <w:r>
              <w:rPr>
                <w:rFonts w:hint="eastAsia" w:ascii="宋体" w:hAnsi="宋体" w:cs="宋体"/>
              </w:rPr>
              <w:t>中标供应商</w:t>
            </w:r>
          </w:p>
        </w:tc>
        <w:tc>
          <w:tcPr>
            <w:tcW w:w="3351" w:type="dxa"/>
            <w:gridSpan w:val="2"/>
            <w:noWrap w:val="0"/>
            <w:vAlign w:val="center"/>
          </w:tcPr>
          <w:p>
            <w:pPr>
              <w:rPr>
                <w:rFonts w:hint="eastAsia" w:ascii="宋体" w:hAnsi="宋体" w:cs="宋体"/>
              </w:rPr>
            </w:pPr>
          </w:p>
        </w:tc>
        <w:tc>
          <w:tcPr>
            <w:tcW w:w="1073" w:type="dxa"/>
            <w:gridSpan w:val="2"/>
            <w:noWrap w:val="0"/>
            <w:vAlign w:val="center"/>
          </w:tcPr>
          <w:p>
            <w:pPr>
              <w:rPr>
                <w:rFonts w:hint="eastAsia" w:ascii="宋体" w:hAnsi="宋体" w:cs="宋体"/>
              </w:rPr>
            </w:pPr>
            <w:r>
              <w:rPr>
                <w:rFonts w:hint="eastAsia" w:ascii="宋体" w:hAnsi="宋体" w:cs="宋体"/>
              </w:rPr>
              <w:t>中标金额</w:t>
            </w:r>
          </w:p>
        </w:tc>
        <w:tc>
          <w:tcPr>
            <w:tcW w:w="3550" w:type="dxa"/>
            <w:noWrap w:val="0"/>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0" w:hRule="atLeast"/>
        </w:trPr>
        <w:tc>
          <w:tcPr>
            <w:tcW w:w="1167" w:type="dxa"/>
            <w:gridSpan w:val="2"/>
            <w:tcBorders>
              <w:bottom w:val="single" w:color="auto" w:sz="4" w:space="0"/>
            </w:tcBorders>
            <w:noWrap w:val="0"/>
            <w:vAlign w:val="center"/>
          </w:tcPr>
          <w:p>
            <w:pPr>
              <w:rPr>
                <w:rFonts w:hint="eastAsia" w:ascii="宋体" w:hAnsi="宋体" w:cs="宋体"/>
              </w:rPr>
            </w:pPr>
            <w:r>
              <w:rPr>
                <w:rFonts w:hint="eastAsia" w:ascii="宋体" w:hAnsi="宋体" w:cs="宋体"/>
              </w:rPr>
              <w:t>代理机构</w:t>
            </w:r>
          </w:p>
        </w:tc>
        <w:tc>
          <w:tcPr>
            <w:tcW w:w="3351" w:type="dxa"/>
            <w:gridSpan w:val="2"/>
            <w:noWrap w:val="0"/>
            <w:vAlign w:val="center"/>
          </w:tcPr>
          <w:p>
            <w:pPr>
              <w:rPr>
                <w:rFonts w:hint="eastAsia" w:ascii="宋体" w:hAnsi="宋体" w:cs="宋体"/>
              </w:rPr>
            </w:pPr>
          </w:p>
        </w:tc>
        <w:tc>
          <w:tcPr>
            <w:tcW w:w="1073" w:type="dxa"/>
            <w:gridSpan w:val="2"/>
            <w:noWrap w:val="0"/>
            <w:vAlign w:val="center"/>
          </w:tcPr>
          <w:p>
            <w:pPr>
              <w:jc w:val="center"/>
              <w:rPr>
                <w:rFonts w:hint="eastAsia" w:ascii="宋体" w:hAnsi="宋体" w:cs="宋体"/>
              </w:rPr>
            </w:pPr>
            <w:r>
              <w:rPr>
                <w:rFonts w:hint="eastAsia" w:ascii="宋体" w:hAnsi="宋体" w:cs="宋体"/>
              </w:rPr>
              <w:t>定标时间</w:t>
            </w:r>
          </w:p>
        </w:tc>
        <w:tc>
          <w:tcPr>
            <w:tcW w:w="3550" w:type="dxa"/>
            <w:noWrap w:val="0"/>
            <w:vAlign w:val="center"/>
          </w:tcPr>
          <w:p>
            <w:pPr>
              <w:ind w:firstLine="420" w:firstLineChars="200"/>
              <w:rPr>
                <w:rFonts w:hint="eastAsia" w:ascii="宋体" w:hAnsi="宋体" w:cs="宋体"/>
              </w:rPr>
            </w:pPr>
            <w:r>
              <w:rPr>
                <w:rFonts w:hint="eastAsia" w:ascii="宋体" w:hAnsi="宋体" w:cs="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364" w:hRule="atLeast"/>
        </w:trPr>
        <w:tc>
          <w:tcPr>
            <w:tcW w:w="9141" w:type="dxa"/>
            <w:gridSpan w:val="7"/>
            <w:tcBorders>
              <w:bottom w:val="single" w:color="auto" w:sz="4" w:space="0"/>
            </w:tcBorders>
            <w:noWrap w:val="0"/>
            <w:vAlign w:val="center"/>
          </w:tcPr>
          <w:p>
            <w:pPr>
              <w:jc w:val="center"/>
              <w:rPr>
                <w:rFonts w:hint="eastAsia" w:ascii="宋体" w:hAnsi="宋体" w:cs="宋体"/>
                <w:b/>
                <w:bCs/>
              </w:rPr>
            </w:pPr>
            <w:r>
              <w:rPr>
                <w:rFonts w:hint="eastAsia" w:ascii="宋体" w:hAnsi="宋体" w:cs="宋体"/>
                <w:b/>
                <w:bCs/>
              </w:rPr>
              <w:t>以   下  内  容  由  采  购  单  位  填  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0" w:hRule="atLeast"/>
        </w:trPr>
        <w:tc>
          <w:tcPr>
            <w:tcW w:w="1176" w:type="dxa"/>
            <w:gridSpan w:val="3"/>
            <w:tcBorders>
              <w:bottom w:val="single" w:color="auto" w:sz="4" w:space="0"/>
            </w:tcBorders>
            <w:noWrap w:val="0"/>
            <w:vAlign w:val="center"/>
          </w:tcPr>
          <w:p>
            <w:pPr>
              <w:jc w:val="center"/>
              <w:rPr>
                <w:rFonts w:hint="eastAsia" w:ascii="宋体" w:hAnsi="宋体" w:cs="宋体"/>
                <w:b/>
                <w:bCs/>
              </w:rPr>
            </w:pPr>
            <w:r>
              <w:rPr>
                <w:rFonts w:hint="eastAsia" w:ascii="宋体" w:hAnsi="宋体" w:cs="宋体"/>
              </w:rPr>
              <w:t>合同签订时间</w:t>
            </w:r>
          </w:p>
        </w:tc>
        <w:tc>
          <w:tcPr>
            <w:tcW w:w="3351" w:type="dxa"/>
            <w:gridSpan w:val="2"/>
            <w:tcBorders>
              <w:bottom w:val="single" w:color="auto" w:sz="4" w:space="0"/>
            </w:tcBorders>
            <w:noWrap w:val="0"/>
            <w:vAlign w:val="center"/>
          </w:tcPr>
          <w:p>
            <w:pPr>
              <w:jc w:val="center"/>
              <w:rPr>
                <w:rFonts w:hint="eastAsia" w:ascii="宋体" w:hAnsi="宋体" w:cs="宋体"/>
                <w:b/>
                <w:bCs/>
              </w:rPr>
            </w:pPr>
          </w:p>
        </w:tc>
        <w:tc>
          <w:tcPr>
            <w:tcW w:w="1064" w:type="dxa"/>
            <w:tcBorders>
              <w:bottom w:val="single" w:color="auto" w:sz="4" w:space="0"/>
            </w:tcBorders>
            <w:noWrap w:val="0"/>
            <w:vAlign w:val="center"/>
          </w:tcPr>
          <w:p>
            <w:pPr>
              <w:jc w:val="center"/>
              <w:rPr>
                <w:rFonts w:hint="eastAsia" w:ascii="宋体" w:hAnsi="宋体" w:cs="宋体"/>
                <w:b/>
                <w:bCs/>
              </w:rPr>
            </w:pPr>
            <w:r>
              <w:rPr>
                <w:rFonts w:hint="eastAsia" w:ascii="宋体" w:hAnsi="宋体" w:cs="宋体"/>
              </w:rPr>
              <w:t>验收完成时间</w:t>
            </w:r>
          </w:p>
        </w:tc>
        <w:tc>
          <w:tcPr>
            <w:tcW w:w="3550" w:type="dxa"/>
            <w:tcBorders>
              <w:bottom w:val="single" w:color="auto" w:sz="4" w:space="0"/>
            </w:tcBorders>
            <w:noWrap w:val="0"/>
            <w:vAlign w:val="center"/>
          </w:tcPr>
          <w:p>
            <w:pPr>
              <w:jc w:val="center"/>
              <w:rPr>
                <w:rFonts w:hint="eastAsia"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80" w:hRule="atLeast"/>
        </w:trPr>
        <w:tc>
          <w:tcPr>
            <w:tcW w:w="1176" w:type="dxa"/>
            <w:gridSpan w:val="3"/>
            <w:tcBorders>
              <w:bottom w:val="single" w:color="auto" w:sz="4" w:space="0"/>
            </w:tcBorders>
            <w:noWrap w:val="0"/>
            <w:vAlign w:val="center"/>
          </w:tcPr>
          <w:p>
            <w:pPr>
              <w:jc w:val="center"/>
              <w:rPr>
                <w:rFonts w:hint="eastAsia" w:ascii="宋体" w:hAnsi="宋体" w:cs="宋体"/>
              </w:rPr>
            </w:pPr>
            <w:r>
              <w:rPr>
                <w:rFonts w:hint="eastAsia" w:ascii="宋体" w:hAnsi="宋体" w:cs="宋体"/>
              </w:rPr>
              <w:t>政府采购标签</w:t>
            </w:r>
          </w:p>
        </w:tc>
        <w:tc>
          <w:tcPr>
            <w:tcW w:w="3351" w:type="dxa"/>
            <w:gridSpan w:val="2"/>
            <w:tcBorders>
              <w:bottom w:val="single" w:color="auto" w:sz="4" w:space="0"/>
            </w:tcBorders>
            <w:noWrap w:val="0"/>
            <w:vAlign w:val="center"/>
          </w:tcPr>
          <w:p>
            <w:pPr>
              <w:jc w:val="center"/>
              <w:rPr>
                <w:rFonts w:hint="eastAsia" w:ascii="宋体" w:hAnsi="宋体" w:cs="宋体"/>
                <w:b/>
                <w:bCs/>
              </w:rPr>
            </w:pPr>
            <w:r>
              <w:rPr>
                <w:rFonts w:hint="eastAsia" w:ascii="宋体" w:hAnsi="宋体" w:cs="宋体"/>
                <w:b/>
                <w:bCs/>
              </w:rPr>
              <w:t>有/无</w:t>
            </w:r>
          </w:p>
        </w:tc>
        <w:tc>
          <w:tcPr>
            <w:tcW w:w="1064" w:type="dxa"/>
            <w:tcBorders>
              <w:bottom w:val="single" w:color="auto" w:sz="4" w:space="0"/>
            </w:tcBorders>
            <w:noWrap w:val="0"/>
            <w:vAlign w:val="center"/>
          </w:tcPr>
          <w:p>
            <w:pPr>
              <w:jc w:val="center"/>
              <w:rPr>
                <w:rFonts w:hint="eastAsia" w:ascii="宋体" w:hAnsi="宋体" w:cs="宋体"/>
              </w:rPr>
            </w:pPr>
            <w:r>
              <w:rPr>
                <w:rFonts w:hint="eastAsia" w:ascii="宋体" w:hAnsi="宋体" w:cs="宋体"/>
              </w:rPr>
              <w:t>协助验收</w:t>
            </w:r>
          </w:p>
        </w:tc>
        <w:tc>
          <w:tcPr>
            <w:tcW w:w="3550" w:type="dxa"/>
            <w:tcBorders>
              <w:bottom w:val="single" w:color="auto" w:sz="4" w:space="0"/>
            </w:tcBorders>
            <w:noWrap w:val="0"/>
            <w:vAlign w:val="center"/>
          </w:tcPr>
          <w:p>
            <w:pPr>
              <w:jc w:val="center"/>
              <w:rPr>
                <w:rFonts w:hint="eastAsia" w:ascii="宋体" w:hAnsi="宋体" w:cs="宋体"/>
                <w:b/>
                <w:bCs/>
              </w:rPr>
            </w:pPr>
            <w:r>
              <w:rPr>
                <w:rFonts w:hint="eastAsia" w:ascii="宋体" w:hAnsi="宋体" w:cs="宋体"/>
                <w:b/>
                <w:bCs/>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40" w:hRule="atLeast"/>
        </w:trPr>
        <w:tc>
          <w:tcPr>
            <w:tcW w:w="458" w:type="dxa"/>
            <w:vMerge w:val="restart"/>
            <w:noWrap w:val="0"/>
            <w:vAlign w:val="center"/>
          </w:tcPr>
          <w:p>
            <w:pPr>
              <w:rPr>
                <w:rFonts w:hint="eastAsia" w:ascii="宋体" w:hAnsi="宋体" w:cs="宋体"/>
              </w:rPr>
            </w:pPr>
            <w:r>
              <w:rPr>
                <w:rFonts w:hint="eastAsia" w:ascii="宋体" w:hAnsi="宋体" w:cs="宋体"/>
              </w:rPr>
              <w:t>采购单位对本次政府采购的评价意见</w:t>
            </w:r>
          </w:p>
        </w:tc>
        <w:tc>
          <w:tcPr>
            <w:tcW w:w="8683" w:type="dxa"/>
            <w:gridSpan w:val="6"/>
            <w:noWrap w:val="0"/>
            <w:vAlign w:val="center"/>
          </w:tcPr>
          <w:p>
            <w:pPr>
              <w:ind w:firstLine="420" w:firstLineChars="200"/>
              <w:rPr>
                <w:rFonts w:hint="eastAsia" w:ascii="宋体" w:hAnsi="宋体" w:cs="宋体"/>
              </w:rPr>
            </w:pPr>
            <w:r>
              <w:rPr>
                <w:rFonts w:hint="eastAsia" w:ascii="宋体" w:hAnsi="宋体" w:cs="宋体"/>
              </w:rPr>
              <w:t xml:space="preserve">请如实填写您对本次政府采购的项目（货物、服务、工程）在价格、质量、服务方面的意见（在结论上打“ </w:t>
            </w:r>
            <w:r>
              <w:rPr>
                <w:rFonts w:hint="eastAsia" w:ascii="宋体" w:hAnsi="宋体" w:cs="宋体"/>
                <w:b/>
                <w:bCs/>
              </w:rPr>
              <w:t>√</w:t>
            </w:r>
            <w:r>
              <w:rPr>
                <w:rFonts w:hint="eastAsia" w:ascii="宋体" w:hAnsi="宋体" w:cs="宋体"/>
              </w:rPr>
              <w:t>”）。</w:t>
            </w:r>
          </w:p>
          <w:p>
            <w:pPr>
              <w:widowControl w:val="0"/>
              <w:numPr>
                <w:ilvl w:val="0"/>
                <w:numId w:val="45"/>
              </w:numPr>
              <w:jc w:val="both"/>
              <w:rPr>
                <w:rFonts w:hint="eastAsia" w:ascii="宋体" w:hAnsi="宋体" w:cs="宋体"/>
              </w:rPr>
            </w:pPr>
            <w:r>
              <w:rPr>
                <w:rFonts w:hint="eastAsia" w:ascii="宋体" w:hAnsi="宋体" w:cs="宋体"/>
              </w:rPr>
              <w:t>对中标供应商的评价意见</w:t>
            </w:r>
          </w:p>
          <w:p>
            <w:pPr>
              <w:ind w:left="210" w:leftChars="100"/>
              <w:rPr>
                <w:rFonts w:hint="eastAsia" w:ascii="宋体" w:hAnsi="宋体" w:cs="宋体"/>
                <w:b/>
                <w:bCs/>
              </w:rPr>
            </w:pPr>
            <w:r>
              <w:rPr>
                <w:rFonts w:hint="eastAsia" w:ascii="宋体" w:hAnsi="宋体" w:cs="宋体"/>
                <w:b/>
                <w:bCs/>
              </w:rPr>
              <w:t>1、价格   A、优 B、良  C、好  D、一般   E、差</w:t>
            </w:r>
          </w:p>
          <w:p>
            <w:pPr>
              <w:ind w:left="210" w:leftChars="100"/>
              <w:rPr>
                <w:rFonts w:hint="eastAsia" w:ascii="宋体" w:hAnsi="宋体" w:cs="宋体"/>
                <w:b/>
                <w:bCs/>
              </w:rPr>
            </w:pPr>
            <w:r>
              <w:rPr>
                <w:rFonts w:hint="eastAsia" w:ascii="宋体" w:hAnsi="宋体" w:cs="宋体"/>
                <w:b/>
                <w:bCs/>
              </w:rPr>
              <w:t>2、质量   A、优 B、良  C、好  D、一般   E、差</w:t>
            </w:r>
          </w:p>
          <w:p>
            <w:pPr>
              <w:ind w:left="210" w:leftChars="100"/>
              <w:rPr>
                <w:rFonts w:hint="eastAsia" w:ascii="宋体" w:hAnsi="宋体" w:cs="宋体"/>
                <w:b/>
                <w:bCs/>
              </w:rPr>
            </w:pPr>
            <w:r>
              <w:rPr>
                <w:rFonts w:hint="eastAsia" w:ascii="宋体" w:hAnsi="宋体" w:cs="宋体"/>
                <w:b/>
                <w:bCs/>
              </w:rPr>
              <w:t>3、服务   A、优 B、良  C、好  D、一般   E、差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798" w:hRule="atLeast"/>
        </w:trPr>
        <w:tc>
          <w:tcPr>
            <w:tcW w:w="458" w:type="dxa"/>
            <w:vMerge w:val="continue"/>
            <w:noWrap w:val="0"/>
            <w:vAlign w:val="center"/>
          </w:tcPr>
          <w:p>
            <w:pPr>
              <w:rPr>
                <w:rFonts w:hint="eastAsia" w:ascii="宋体" w:hAnsi="宋体" w:cs="宋体"/>
              </w:rPr>
            </w:pPr>
          </w:p>
        </w:tc>
        <w:tc>
          <w:tcPr>
            <w:tcW w:w="8683" w:type="dxa"/>
            <w:gridSpan w:val="6"/>
            <w:noWrap w:val="0"/>
            <w:vAlign w:val="center"/>
          </w:tcPr>
          <w:p>
            <w:pPr>
              <w:rPr>
                <w:rFonts w:hint="eastAsia" w:ascii="宋体" w:hAnsi="宋体" w:cs="宋体"/>
              </w:rPr>
            </w:pPr>
            <w:r>
              <w:rPr>
                <w:rFonts w:hint="eastAsia" w:ascii="宋体" w:hAnsi="宋体" w:cs="宋体"/>
              </w:rPr>
              <w:t>二、对中标供应商诚信总体评价：</w:t>
            </w:r>
            <w:r>
              <w:rPr>
                <w:rFonts w:hint="eastAsia" w:ascii="宋体" w:hAnsi="宋体" w:cs="宋体"/>
                <w:sz w:val="24"/>
              </w:rPr>
              <w:t>A、优（90-100）B、良（80-90）C、好（70-80）D、一般（60-70）E、差（60以下）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442" w:hRule="atLeast"/>
        </w:trPr>
        <w:tc>
          <w:tcPr>
            <w:tcW w:w="458" w:type="dxa"/>
            <w:vMerge w:val="continue"/>
            <w:noWrap w:val="0"/>
            <w:vAlign w:val="center"/>
          </w:tcPr>
          <w:p>
            <w:pPr>
              <w:rPr>
                <w:rFonts w:hint="eastAsia" w:ascii="宋体" w:hAnsi="宋体" w:cs="宋体"/>
              </w:rPr>
            </w:pPr>
          </w:p>
        </w:tc>
        <w:tc>
          <w:tcPr>
            <w:tcW w:w="8683" w:type="dxa"/>
            <w:gridSpan w:val="6"/>
            <w:noWrap w:val="0"/>
            <w:vAlign w:val="top"/>
          </w:tcPr>
          <w:p>
            <w:pPr>
              <w:rPr>
                <w:rFonts w:hint="eastAsia" w:ascii="宋体" w:hAnsi="宋体" w:cs="宋体"/>
              </w:rPr>
            </w:pPr>
            <w:r>
              <w:rPr>
                <w:rFonts w:hint="eastAsia" w:ascii="宋体" w:hAnsi="宋体" w:cs="宋体"/>
              </w:rPr>
              <w:t>三、您若有政府采购方面的建议和措施，请说明（可附页说明）：</w:t>
            </w:r>
          </w:p>
          <w:p>
            <w:pPr>
              <w:ind w:left="210" w:leftChars="100"/>
              <w:rPr>
                <w:rFonts w:hint="eastAsia" w:ascii="宋体" w:hAnsi="宋体" w:cs="宋体"/>
                <w:b/>
                <w:bCs/>
              </w:rPr>
            </w:pPr>
            <w:r>
              <w:rPr>
                <w:rFonts w:hint="eastAsia" w:ascii="宋体" w:hAnsi="宋体" w:cs="宋体"/>
                <w:b/>
                <w:bCs/>
              </w:rPr>
              <w:t>1、</w:t>
            </w:r>
          </w:p>
          <w:p>
            <w:pPr>
              <w:ind w:left="210" w:leftChars="100"/>
              <w:rPr>
                <w:rFonts w:hint="eastAsia" w:ascii="宋体" w:hAnsi="宋体" w:cs="宋体"/>
                <w:b/>
                <w:bCs/>
              </w:rPr>
            </w:pPr>
          </w:p>
          <w:p>
            <w:pPr>
              <w:ind w:left="210" w:leftChars="100"/>
              <w:rPr>
                <w:rFonts w:hint="eastAsia" w:ascii="宋体" w:hAnsi="宋体" w:cs="宋体"/>
                <w:b/>
                <w:bCs/>
              </w:rPr>
            </w:pPr>
            <w:r>
              <w:rPr>
                <w:rFonts w:hint="eastAsia" w:ascii="宋体" w:hAnsi="宋体" w:cs="宋体"/>
                <w:b/>
                <w:bCs/>
              </w:rPr>
              <w:t>2、</w:t>
            </w:r>
          </w:p>
          <w:p>
            <w:pPr>
              <w:ind w:left="210" w:leftChars="100"/>
              <w:rPr>
                <w:rFonts w:hint="eastAsia" w:ascii="宋体" w:hAnsi="宋体" w:cs="宋体"/>
                <w:b/>
                <w:bCs/>
              </w:rPr>
            </w:pPr>
          </w:p>
          <w:p>
            <w:pPr>
              <w:ind w:left="210" w:leftChars="100"/>
              <w:rPr>
                <w:rFonts w:hint="eastAsia" w:ascii="宋体" w:hAnsi="宋体" w:cs="宋体"/>
                <w:b/>
                <w:bCs/>
              </w:rPr>
            </w:pPr>
            <w:r>
              <w:rPr>
                <w:rFonts w:hint="eastAsia" w:ascii="宋体" w:hAnsi="宋体" w:cs="宋体"/>
                <w:b/>
                <w:bCs/>
              </w:rPr>
              <w:t>3</w:t>
            </w:r>
            <w:r>
              <w:rPr>
                <w:rFonts w:hint="eastAsia" w:ascii="宋体" w:hAnsi="宋体" w:cs="宋体"/>
              </w:rPr>
              <w:t>、</w:t>
            </w:r>
          </w:p>
          <w:p>
            <w:pPr>
              <w:ind w:left="210" w:leftChars="100"/>
              <w:rPr>
                <w:rFonts w:hint="eastAsia" w:ascii="宋体" w:hAnsi="宋体" w:cs="宋体"/>
                <w:b/>
                <w:bCs/>
              </w:rPr>
            </w:pPr>
          </w:p>
          <w:p>
            <w:pPr>
              <w:ind w:left="210" w:leftChars="100"/>
              <w:rPr>
                <w:rFonts w:hint="eastAsia" w:ascii="宋体" w:hAnsi="宋体" w:cs="宋体"/>
                <w:b/>
                <w:bCs/>
              </w:rPr>
            </w:pPr>
          </w:p>
          <w:p>
            <w:pPr>
              <w:ind w:left="210" w:leftChars="100"/>
              <w:rPr>
                <w:rFonts w:hint="eastAsia" w:ascii="宋体" w:hAnsi="宋体" w:cs="宋体"/>
                <w:b/>
                <w:bCs/>
              </w:rPr>
            </w:pPr>
          </w:p>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238" w:hRule="atLeast"/>
        </w:trPr>
        <w:tc>
          <w:tcPr>
            <w:tcW w:w="458" w:type="dxa"/>
            <w:vMerge w:val="continue"/>
            <w:tcBorders>
              <w:bottom w:val="single" w:color="auto" w:sz="4" w:space="0"/>
            </w:tcBorders>
            <w:noWrap w:val="0"/>
            <w:vAlign w:val="center"/>
          </w:tcPr>
          <w:p>
            <w:pPr>
              <w:rPr>
                <w:rFonts w:hint="eastAsia" w:ascii="宋体" w:hAnsi="宋体" w:cs="宋体"/>
              </w:rPr>
            </w:pPr>
          </w:p>
        </w:tc>
        <w:tc>
          <w:tcPr>
            <w:tcW w:w="8683" w:type="dxa"/>
            <w:gridSpan w:val="6"/>
            <w:tcBorders>
              <w:bottom w:val="single" w:color="auto" w:sz="4" w:space="0"/>
            </w:tcBorders>
            <w:noWrap w:val="0"/>
            <w:vAlign w:val="center"/>
          </w:tcPr>
          <w:p>
            <w:pPr>
              <w:rPr>
                <w:rFonts w:hint="eastAsia" w:ascii="宋体" w:hAnsi="宋体" w:cs="宋体"/>
              </w:rPr>
            </w:pPr>
            <w:r>
              <w:rPr>
                <w:rFonts w:hint="eastAsia" w:ascii="宋体" w:hAnsi="宋体" w:cs="宋体"/>
              </w:rPr>
              <w:t>（此表由采购单位填写，主要对中标供应商在项目履约过程中的诚信情况及项目验收后项目总体履约（满意度）进行评价，此表务必在项目验收完成后三日内交回公共资源交易中心）</w:t>
            </w:r>
          </w:p>
          <w:p>
            <w:pPr>
              <w:rPr>
                <w:rFonts w:hint="eastAsia" w:ascii="宋体" w:hAnsi="宋体" w:cs="宋体"/>
              </w:rPr>
            </w:pPr>
          </w:p>
          <w:p>
            <w:pPr>
              <w:jc w:val="right"/>
              <w:rPr>
                <w:rFonts w:hint="eastAsia" w:ascii="宋体" w:hAnsi="宋体" w:cs="宋体"/>
              </w:rPr>
            </w:pPr>
            <w:r>
              <w:rPr>
                <w:rFonts w:hint="eastAsia" w:ascii="宋体" w:hAnsi="宋体" w:cs="宋体"/>
              </w:rPr>
              <w:t>采购单位确认：（盖章）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901" w:hRule="atLeast"/>
        </w:trPr>
        <w:tc>
          <w:tcPr>
            <w:tcW w:w="458" w:type="dxa"/>
            <w:tcBorders>
              <w:top w:val="single" w:color="auto" w:sz="4" w:space="0"/>
              <w:bottom w:val="single" w:color="auto" w:sz="4" w:space="0"/>
            </w:tcBorders>
            <w:noWrap w:val="0"/>
            <w:vAlign w:val="top"/>
          </w:tcPr>
          <w:p>
            <w:pPr>
              <w:ind w:firstLine="210" w:firstLineChars="100"/>
              <w:rPr>
                <w:rFonts w:hint="eastAsia" w:ascii="宋体" w:hAnsi="宋体" w:cs="宋体"/>
              </w:rPr>
            </w:pPr>
            <w:r>
              <w:rPr>
                <w:rFonts w:hint="eastAsia" w:ascii="宋体" w:hAnsi="宋体" w:cs="宋体"/>
              </w:rPr>
              <w:t xml:space="preserve">     备注</w:t>
            </w:r>
          </w:p>
        </w:tc>
        <w:tc>
          <w:tcPr>
            <w:tcW w:w="8683" w:type="dxa"/>
            <w:gridSpan w:val="6"/>
            <w:tcBorders>
              <w:top w:val="single" w:color="auto" w:sz="4" w:space="0"/>
              <w:bottom w:val="single" w:color="auto" w:sz="4" w:space="0"/>
            </w:tcBorders>
            <w:noWrap w:val="0"/>
            <w:vAlign w:val="center"/>
          </w:tcPr>
          <w:tbl>
            <w:tblPr>
              <w:tblStyle w:val="29"/>
              <w:tblW w:w="0" w:type="auto"/>
              <w:tblInd w:w="0" w:type="dxa"/>
              <w:tblLayout w:type="fixed"/>
              <w:tblCellMar>
                <w:top w:w="57" w:type="dxa"/>
                <w:left w:w="108" w:type="dxa"/>
                <w:bottom w:w="57" w:type="dxa"/>
                <w:right w:w="108" w:type="dxa"/>
              </w:tblCellMar>
            </w:tblPr>
            <w:tblGrid>
              <w:gridCol w:w="1925"/>
              <w:gridCol w:w="3000"/>
              <w:gridCol w:w="3542"/>
            </w:tblGrid>
            <w:tr>
              <w:tblPrEx>
                <w:tblCellMar>
                  <w:top w:w="57" w:type="dxa"/>
                  <w:left w:w="108" w:type="dxa"/>
                  <w:bottom w:w="57" w:type="dxa"/>
                  <w:right w:w="108" w:type="dxa"/>
                </w:tblCellMar>
              </w:tblPrEx>
              <w:trPr>
                <w:wBefore w:w="0" w:type="dxa"/>
              </w:trPr>
              <w:tc>
                <w:tcPr>
                  <w:tcW w:w="1925" w:type="dxa"/>
                  <w:vMerge w:val="restart"/>
                  <w:noWrap w:val="0"/>
                  <w:vAlign w:val="top"/>
                </w:tcPr>
                <w:p>
                  <w:pPr>
                    <w:rPr>
                      <w:rFonts w:hint="eastAsia" w:ascii="宋体" w:hAnsi="宋体" w:cs="宋体"/>
                    </w:rPr>
                  </w:pPr>
                  <w:r>
                    <w:rPr>
                      <w:rFonts w:hint="eastAsia" w:ascii="宋体" w:hAnsi="宋体" w:cs="宋体"/>
                    </w:rPr>
                    <w:t>瑞安市公共资源交易中心</w:t>
                  </w:r>
                </w:p>
              </w:tc>
              <w:tc>
                <w:tcPr>
                  <w:tcW w:w="3000" w:type="dxa"/>
                  <w:noWrap w:val="0"/>
                  <w:vAlign w:val="top"/>
                </w:tcPr>
                <w:p>
                  <w:pPr>
                    <w:rPr>
                      <w:rFonts w:hint="eastAsia" w:ascii="宋体" w:hAnsi="宋体" w:cs="宋体"/>
                    </w:rPr>
                  </w:pPr>
                  <w:r>
                    <w:rPr>
                      <w:rFonts w:hint="eastAsia" w:ascii="宋体" w:hAnsi="宋体" w:cs="宋体"/>
                    </w:rPr>
                    <w:t>地址：瑞安市满庭芳大楼三楼</w:t>
                  </w:r>
                </w:p>
              </w:tc>
              <w:tc>
                <w:tcPr>
                  <w:tcW w:w="3542" w:type="dxa"/>
                  <w:noWrap w:val="0"/>
                  <w:vAlign w:val="top"/>
                </w:tcPr>
                <w:p>
                  <w:pPr>
                    <w:rPr>
                      <w:rFonts w:hint="eastAsia" w:ascii="宋体" w:hAnsi="宋体" w:cs="宋体"/>
                    </w:rPr>
                  </w:pPr>
                  <w:r>
                    <w:rPr>
                      <w:rFonts w:hint="eastAsia" w:ascii="宋体" w:hAnsi="宋体" w:cs="宋体"/>
                    </w:rPr>
                    <w:t>联系电话：0577-65879521</w:t>
                  </w:r>
                </w:p>
              </w:tc>
            </w:tr>
            <w:tr>
              <w:tblPrEx>
                <w:tblCellMar>
                  <w:top w:w="57" w:type="dxa"/>
                  <w:left w:w="108" w:type="dxa"/>
                  <w:bottom w:w="57" w:type="dxa"/>
                  <w:right w:w="108" w:type="dxa"/>
                </w:tblCellMar>
              </w:tblPrEx>
              <w:trPr>
                <w:wBefore w:w="0" w:type="dxa"/>
              </w:trPr>
              <w:tc>
                <w:tcPr>
                  <w:tcW w:w="1925" w:type="dxa"/>
                  <w:vMerge w:val="continue"/>
                  <w:noWrap w:val="0"/>
                  <w:vAlign w:val="top"/>
                </w:tcPr>
                <w:p>
                  <w:pPr>
                    <w:rPr>
                      <w:rFonts w:hint="eastAsia" w:ascii="宋体" w:hAnsi="宋体" w:cs="宋体"/>
                    </w:rPr>
                  </w:pPr>
                </w:p>
              </w:tc>
              <w:tc>
                <w:tcPr>
                  <w:tcW w:w="3000" w:type="dxa"/>
                  <w:noWrap w:val="0"/>
                  <w:vAlign w:val="top"/>
                </w:tcPr>
                <w:p>
                  <w:pPr>
                    <w:rPr>
                      <w:rFonts w:hint="eastAsia" w:ascii="宋体" w:hAnsi="宋体" w:cs="宋体"/>
                    </w:rPr>
                  </w:pPr>
                  <w:r>
                    <w:rPr>
                      <w:rFonts w:hint="eastAsia" w:ascii="宋体" w:hAnsi="宋体" w:cs="宋体"/>
                    </w:rPr>
                    <w:t>传真：0577-65879523</w:t>
                  </w:r>
                </w:p>
              </w:tc>
              <w:tc>
                <w:tcPr>
                  <w:tcW w:w="3542" w:type="dxa"/>
                  <w:noWrap w:val="0"/>
                  <w:vAlign w:val="top"/>
                </w:tcPr>
                <w:p>
                  <w:pPr>
                    <w:rPr>
                      <w:rFonts w:hint="eastAsia" w:ascii="宋体" w:hAnsi="宋体" w:cs="宋体"/>
                    </w:rPr>
                  </w:pPr>
                  <w:r>
                    <w:rPr>
                      <w:rFonts w:hint="eastAsia" w:ascii="宋体" w:hAnsi="宋体" w:cs="宋体"/>
                    </w:rPr>
                    <w:t>网址：http://www.raztb.com/TPFront/</w:t>
                  </w:r>
                </w:p>
              </w:tc>
            </w:tr>
          </w:tbl>
          <w:p>
            <w:pPr>
              <w:rPr>
                <w:rFonts w:hint="eastAsia" w:ascii="宋体" w:hAnsi="宋体" w:cs="宋体"/>
              </w:rPr>
            </w:pPr>
          </w:p>
        </w:tc>
      </w:tr>
    </w:tbl>
    <w:p>
      <w:pPr>
        <w:rPr>
          <w:rFonts w:hint="eastAsia" w:ascii="宋体" w:hAnsi="宋体" w:cs="宋体"/>
          <w:szCs w:val="21"/>
        </w:rPr>
      </w:pPr>
    </w:p>
    <w:p>
      <w:pPr>
        <w:pStyle w:val="3"/>
        <w:keepNext w:val="0"/>
        <w:keepLines w:val="0"/>
        <w:pageBreakBefore/>
        <w:spacing w:before="624" w:beforeLines="200" w:after="312" w:afterLines="100" w:line="240" w:lineRule="auto"/>
        <w:jc w:val="center"/>
        <w:rPr>
          <w:rFonts w:hint="eastAsia" w:ascii="宋体" w:hAnsi="宋体" w:eastAsia="宋体" w:cs="宋体"/>
          <w:sz w:val="28"/>
          <w:szCs w:val="36"/>
        </w:rPr>
      </w:pPr>
      <w:bookmarkStart w:id="312" w:name="_Toc28717"/>
      <w:r>
        <w:rPr>
          <w:rFonts w:hint="eastAsia" w:ascii="宋体" w:hAnsi="宋体" w:eastAsia="宋体" w:cs="宋体"/>
          <w:sz w:val="28"/>
          <w:szCs w:val="36"/>
        </w:rPr>
        <w:t>第五部分  投标文件格式</w:t>
      </w:r>
      <w:bookmarkEnd w:id="312"/>
    </w:p>
    <w:p>
      <w:pPr>
        <w:snapToGrid w:val="0"/>
        <w:spacing w:before="624" w:beforeLines="200" w:after="156" w:afterLines="50"/>
        <w:jc w:val="center"/>
        <w:rPr>
          <w:rFonts w:hint="eastAsia" w:ascii="宋体" w:hAnsi="宋体" w:cs="宋体"/>
          <w:b/>
          <w:bCs/>
          <w:sz w:val="28"/>
        </w:rPr>
      </w:pPr>
      <w:r>
        <w:rPr>
          <w:rFonts w:hint="eastAsia" w:ascii="宋体" w:hAnsi="宋体" w:cs="宋体"/>
          <w:b/>
          <w:bCs/>
          <w:sz w:val="28"/>
        </w:rPr>
        <w:t>投标供应商提交投标文件须知</w:t>
      </w:r>
    </w:p>
    <w:p>
      <w:pPr>
        <w:snapToGrid w:val="0"/>
        <w:jc w:val="center"/>
        <w:rPr>
          <w:rFonts w:hint="eastAsia" w:ascii="宋体" w:hAnsi="宋体" w:cs="宋体"/>
          <w:sz w:val="28"/>
          <w:szCs w:val="21"/>
        </w:rPr>
      </w:pPr>
    </w:p>
    <w:p>
      <w:pPr>
        <w:snapToGrid w:val="0"/>
        <w:spacing w:line="400" w:lineRule="exact"/>
        <w:ind w:firstLine="420" w:firstLineChars="200"/>
        <w:rPr>
          <w:rFonts w:hint="eastAsia" w:ascii="宋体" w:hAnsi="宋体" w:cs="宋体"/>
        </w:rPr>
      </w:pPr>
      <w:r>
        <w:rPr>
          <w:rFonts w:hint="eastAsia" w:ascii="宋体" w:hAnsi="宋体" w:cs="宋体"/>
        </w:rPr>
        <w:t>1、</w:t>
      </w:r>
      <w:r>
        <w:rPr>
          <w:rFonts w:hint="eastAsia" w:ascii="宋体" w:hAnsi="宋体" w:cs="宋体"/>
          <w:szCs w:val="22"/>
        </w:rPr>
        <w:t>投标供应商应严格按照投标文件的组成提交下述规定的全部格式文件以及其他有关资料，混乱的编排导致投标文件被误读</w:t>
      </w:r>
      <w:r>
        <w:rPr>
          <w:rFonts w:hint="eastAsia" w:ascii="宋体" w:hAnsi="宋体" w:cs="宋体"/>
        </w:rPr>
        <w:t>或采购机构、评标委员会查找不到有效文件是投标供应商的风险。</w:t>
      </w:r>
    </w:p>
    <w:p>
      <w:pPr>
        <w:snapToGrid w:val="0"/>
        <w:spacing w:line="400" w:lineRule="exact"/>
        <w:ind w:firstLine="420" w:firstLineChars="200"/>
        <w:rPr>
          <w:rFonts w:hint="eastAsia" w:ascii="宋体" w:hAnsi="宋体" w:cs="宋体"/>
        </w:rPr>
      </w:pPr>
      <w:r>
        <w:rPr>
          <w:rFonts w:hint="eastAsia" w:ascii="宋体" w:hAnsi="宋体" w:cs="宋体"/>
        </w:rPr>
        <w:t>2、所附表格中要求回答的全部问题和/或信息都必须正面回答。</w:t>
      </w:r>
    </w:p>
    <w:p>
      <w:pPr>
        <w:snapToGrid w:val="0"/>
        <w:spacing w:line="400" w:lineRule="exact"/>
        <w:ind w:firstLine="420" w:firstLineChars="200"/>
        <w:rPr>
          <w:rFonts w:hint="eastAsia" w:ascii="宋体" w:hAnsi="宋体" w:cs="宋体"/>
        </w:rPr>
      </w:pPr>
      <w:r>
        <w:rPr>
          <w:rFonts w:hint="eastAsia" w:ascii="宋体" w:hAnsi="宋体" w:cs="宋体"/>
        </w:rPr>
        <w:t>3、本资格声明的签字人应保证全部声明和问题的回答是真实的和准确的。</w:t>
      </w:r>
    </w:p>
    <w:p>
      <w:pPr>
        <w:snapToGrid w:val="0"/>
        <w:spacing w:line="400" w:lineRule="exact"/>
        <w:ind w:firstLine="420" w:firstLineChars="200"/>
        <w:rPr>
          <w:rFonts w:hint="eastAsia" w:ascii="宋体" w:hAnsi="宋体" w:cs="宋体"/>
        </w:rPr>
      </w:pPr>
      <w:r>
        <w:rPr>
          <w:rFonts w:hint="eastAsia" w:ascii="宋体" w:hAnsi="宋体" w:cs="宋体"/>
        </w:rPr>
        <w:t>4、招标代理机构将应用投标供应商提交的资料根据自己的判断和考虑决定投标供应商履行合同的合格性及能力。</w:t>
      </w:r>
    </w:p>
    <w:p>
      <w:pPr>
        <w:snapToGrid w:val="0"/>
        <w:spacing w:line="400" w:lineRule="exact"/>
        <w:ind w:firstLine="420" w:firstLineChars="200"/>
        <w:rPr>
          <w:rFonts w:hint="eastAsia" w:ascii="宋体" w:hAnsi="宋体" w:cs="宋体"/>
        </w:rPr>
      </w:pPr>
      <w:r>
        <w:rPr>
          <w:rFonts w:hint="eastAsia" w:ascii="宋体" w:hAnsi="宋体" w:cs="宋体"/>
        </w:rPr>
        <w:t>5、投标供应商提交的材料将被保密保存，但不退还。</w:t>
      </w:r>
    </w:p>
    <w:p>
      <w:pPr>
        <w:snapToGrid w:val="0"/>
        <w:spacing w:line="400" w:lineRule="exact"/>
        <w:ind w:firstLine="420" w:firstLineChars="200"/>
        <w:rPr>
          <w:rFonts w:hint="eastAsia" w:ascii="宋体" w:hAnsi="宋体" w:cs="宋体"/>
        </w:rPr>
      </w:pPr>
      <w:r>
        <w:rPr>
          <w:rFonts w:hint="eastAsia" w:ascii="宋体" w:hAnsi="宋体" w:cs="宋体"/>
        </w:rPr>
        <w:t>6、全部文件应按投标供应商须知中规定的语言和份数提交。</w:t>
      </w:r>
    </w:p>
    <w:p>
      <w:pPr>
        <w:rPr>
          <w:rFonts w:hint="eastAsia" w:ascii="宋体" w:hAnsi="宋体" w:cs="宋体"/>
          <w:szCs w:val="21"/>
        </w:rPr>
      </w:pPr>
    </w:p>
    <w:p>
      <w:pPr>
        <w:pStyle w:val="4"/>
        <w:keepNext w:val="0"/>
        <w:keepLines w:val="0"/>
        <w:pageBreakBefore/>
        <w:widowControl w:val="0"/>
        <w:adjustRightInd w:val="0"/>
        <w:snapToGrid w:val="0"/>
        <w:spacing w:before="312" w:beforeLines="100" w:after="312" w:afterLines="100" w:line="240" w:lineRule="auto"/>
        <w:jc w:val="center"/>
        <w:rPr>
          <w:rFonts w:hint="eastAsia" w:ascii="宋体" w:hAnsi="宋体" w:eastAsia="宋体" w:cs="宋体"/>
          <w:sz w:val="28"/>
          <w:szCs w:val="36"/>
        </w:rPr>
      </w:pPr>
      <w:bookmarkStart w:id="313" w:name="_Toc27503"/>
      <w:bookmarkStart w:id="314" w:name="_Toc17758"/>
      <w:bookmarkStart w:id="315" w:name="_Toc13450"/>
      <w:bookmarkStart w:id="316" w:name="_Toc486931328"/>
      <w:bookmarkStart w:id="317" w:name="_Toc454832222"/>
      <w:bookmarkStart w:id="318" w:name="_Toc474156099"/>
      <w:bookmarkStart w:id="319" w:name="_Toc481591100"/>
      <w:r>
        <w:rPr>
          <w:rFonts w:hint="eastAsia" w:ascii="宋体" w:hAnsi="宋体" w:eastAsia="宋体" w:cs="宋体"/>
          <w:sz w:val="28"/>
          <w:szCs w:val="36"/>
        </w:rPr>
        <w:t>附件一  关于《中华人民共和国政府采购法》第二十二条规定的承诺函</w:t>
      </w:r>
      <w:bookmarkEnd w:id="313"/>
      <w:bookmarkEnd w:id="314"/>
      <w:bookmarkEnd w:id="315"/>
    </w:p>
    <w:p>
      <w:pPr>
        <w:rPr>
          <w:rFonts w:hint="eastAsia" w:ascii="宋体" w:hAnsi="宋体" w:cs="宋体"/>
        </w:rPr>
      </w:pPr>
    </w:p>
    <w:p>
      <w:pPr>
        <w:spacing w:line="276" w:lineRule="auto"/>
        <w:rPr>
          <w:rFonts w:hint="eastAsia" w:ascii="宋体" w:hAnsi="宋体" w:cs="宋体"/>
          <w:bCs/>
        </w:rPr>
      </w:pPr>
      <w:r>
        <w:rPr>
          <w:rFonts w:hint="eastAsia" w:ascii="宋体" w:hAnsi="宋体" w:cs="宋体"/>
          <w:szCs w:val="21"/>
        </w:rPr>
        <w:t>瑞安市综合行政执法局、瑞安市玉海街道办事处、瑞安市锦湖街道办事处、</w:t>
      </w:r>
      <w:r>
        <w:rPr>
          <w:rFonts w:hint="eastAsia" w:ascii="宋体" w:hAnsi="宋体" w:cs="宋体"/>
          <w:sz w:val="22"/>
        </w:rPr>
        <w:t>瑞安市潘岱街道办事处</w:t>
      </w:r>
      <w:r>
        <w:rPr>
          <w:rFonts w:hint="eastAsia" w:ascii="宋体" w:hAnsi="宋体" w:cs="宋体"/>
          <w:bCs/>
        </w:rPr>
        <w:t>：</w:t>
      </w:r>
    </w:p>
    <w:p>
      <w:pPr>
        <w:rPr>
          <w:rFonts w:hint="eastAsia" w:ascii="宋体" w:hAnsi="宋体" w:cs="宋体"/>
        </w:rPr>
      </w:pPr>
    </w:p>
    <w:p>
      <w:pPr>
        <w:spacing w:line="500" w:lineRule="exact"/>
        <w:ind w:firstLine="420" w:firstLineChars="200"/>
        <w:rPr>
          <w:rFonts w:hint="eastAsia" w:ascii="宋体" w:hAnsi="宋体" w:cs="宋体"/>
          <w:szCs w:val="21"/>
        </w:rPr>
      </w:pPr>
      <w:r>
        <w:rPr>
          <w:rFonts w:hint="eastAsia" w:ascii="宋体" w:hAnsi="宋体" w:cs="宋体"/>
          <w:szCs w:val="21"/>
        </w:rPr>
        <w:t>我单位就</w:t>
      </w:r>
      <w:r>
        <w:rPr>
          <w:rFonts w:hint="eastAsia" w:ascii="宋体" w:hAnsi="宋体" w:cs="宋体"/>
          <w:szCs w:val="21"/>
          <w:u w:val="single"/>
        </w:rPr>
        <w:t>瑞安市“一把扫帚”环卫保洁一体化招标（玉海街道、锦湖街道、潘岱街道）</w:t>
      </w:r>
      <w:r>
        <w:rPr>
          <w:rFonts w:hint="eastAsia" w:ascii="宋体" w:hAnsi="宋体" w:cs="宋体"/>
          <w:szCs w:val="21"/>
        </w:rPr>
        <w:t>项目承诺具备下列条件：</w:t>
      </w:r>
    </w:p>
    <w:p>
      <w:pPr>
        <w:widowControl w:val="0"/>
        <w:spacing w:line="500" w:lineRule="exact"/>
        <w:ind w:firstLine="420" w:firstLineChars="200"/>
        <w:jc w:val="both"/>
        <w:rPr>
          <w:rFonts w:hint="eastAsia" w:ascii="宋体" w:hAnsi="宋体" w:cs="宋体"/>
          <w:bCs/>
          <w:kern w:val="2"/>
          <w:szCs w:val="21"/>
        </w:rPr>
      </w:pPr>
      <w:r>
        <w:rPr>
          <w:rFonts w:hint="eastAsia" w:ascii="宋体" w:hAnsi="宋体" w:cs="宋体"/>
          <w:bCs/>
          <w:kern w:val="2"/>
          <w:szCs w:val="21"/>
        </w:rPr>
        <w:t>1.具有独立承担民事责任的能力</w:t>
      </w:r>
      <w:r>
        <w:rPr>
          <w:rFonts w:hint="eastAsia" w:ascii="宋体" w:hAnsi="宋体" w:cs="宋体"/>
          <w:bCs/>
          <w:szCs w:val="21"/>
        </w:rPr>
        <w:t>；</w:t>
      </w:r>
    </w:p>
    <w:p>
      <w:pPr>
        <w:widowControl w:val="0"/>
        <w:spacing w:line="500" w:lineRule="exact"/>
        <w:ind w:firstLine="420" w:firstLineChars="200"/>
        <w:jc w:val="both"/>
        <w:rPr>
          <w:rFonts w:hint="eastAsia" w:ascii="宋体" w:hAnsi="宋体" w:cs="宋体"/>
          <w:bCs/>
          <w:kern w:val="2"/>
          <w:szCs w:val="21"/>
        </w:rPr>
      </w:pPr>
      <w:r>
        <w:rPr>
          <w:rFonts w:hint="eastAsia" w:ascii="宋体" w:hAnsi="宋体" w:cs="宋体"/>
          <w:bCs/>
          <w:kern w:val="2"/>
          <w:szCs w:val="21"/>
        </w:rPr>
        <w:t>2.具有良好的商业信誉和健全的财务会计制度</w:t>
      </w:r>
      <w:r>
        <w:rPr>
          <w:rFonts w:hint="eastAsia" w:ascii="宋体" w:hAnsi="宋体" w:cs="宋体"/>
          <w:bCs/>
          <w:szCs w:val="21"/>
        </w:rPr>
        <w:t>；</w:t>
      </w:r>
    </w:p>
    <w:p>
      <w:pPr>
        <w:widowControl w:val="0"/>
        <w:spacing w:line="500" w:lineRule="exact"/>
        <w:ind w:firstLine="420" w:firstLineChars="200"/>
        <w:jc w:val="both"/>
        <w:rPr>
          <w:rFonts w:hint="eastAsia" w:ascii="宋体" w:hAnsi="宋体" w:cs="宋体"/>
          <w:bCs/>
          <w:kern w:val="2"/>
          <w:szCs w:val="21"/>
        </w:rPr>
      </w:pPr>
      <w:r>
        <w:rPr>
          <w:rFonts w:hint="eastAsia" w:ascii="宋体" w:hAnsi="宋体" w:cs="宋体"/>
          <w:bCs/>
          <w:kern w:val="2"/>
          <w:szCs w:val="21"/>
        </w:rPr>
        <w:t>3.具有履行合同所必需的设备和专业技术能力</w:t>
      </w:r>
      <w:r>
        <w:rPr>
          <w:rFonts w:hint="eastAsia" w:ascii="宋体" w:hAnsi="宋体" w:cs="宋体"/>
          <w:bCs/>
          <w:szCs w:val="21"/>
        </w:rPr>
        <w:t>；</w:t>
      </w:r>
      <w:r>
        <w:rPr>
          <w:rFonts w:hint="eastAsia" w:ascii="宋体" w:hAnsi="宋体" w:cs="宋体"/>
          <w:bCs/>
          <w:kern w:val="2"/>
          <w:szCs w:val="21"/>
        </w:rPr>
        <w:t xml:space="preserve"> </w:t>
      </w:r>
    </w:p>
    <w:p>
      <w:pPr>
        <w:widowControl w:val="0"/>
        <w:spacing w:line="500" w:lineRule="exact"/>
        <w:ind w:firstLine="420" w:firstLineChars="200"/>
        <w:jc w:val="both"/>
        <w:rPr>
          <w:rFonts w:hint="eastAsia" w:ascii="宋体" w:hAnsi="宋体" w:cs="宋体"/>
          <w:bCs/>
          <w:szCs w:val="21"/>
        </w:rPr>
      </w:pPr>
      <w:r>
        <w:rPr>
          <w:rFonts w:hint="eastAsia" w:ascii="宋体" w:hAnsi="宋体" w:cs="宋体"/>
          <w:bCs/>
          <w:kern w:val="2"/>
          <w:szCs w:val="21"/>
        </w:rPr>
        <w:t>4.有依法缴纳税收和社会保障资金的良好记录</w:t>
      </w:r>
      <w:r>
        <w:rPr>
          <w:rFonts w:hint="eastAsia" w:ascii="宋体" w:hAnsi="宋体" w:cs="宋体"/>
          <w:bCs/>
          <w:szCs w:val="21"/>
        </w:rPr>
        <w:t>；</w:t>
      </w:r>
      <w:r>
        <w:rPr>
          <w:rFonts w:hint="eastAsia" w:ascii="宋体" w:hAnsi="宋体" w:cs="宋体"/>
          <w:bCs/>
          <w:kern w:val="2"/>
          <w:szCs w:val="21"/>
        </w:rPr>
        <w:t xml:space="preserve"> </w:t>
      </w:r>
    </w:p>
    <w:p>
      <w:pPr>
        <w:snapToGrid w:val="0"/>
        <w:spacing w:line="460" w:lineRule="exact"/>
        <w:ind w:firstLine="420" w:firstLineChars="200"/>
        <w:rPr>
          <w:rFonts w:hint="eastAsia" w:ascii="宋体" w:hAnsi="宋体" w:cs="宋体"/>
          <w:szCs w:val="21"/>
        </w:rPr>
      </w:pPr>
      <w:r>
        <w:rPr>
          <w:rFonts w:hint="eastAsia" w:ascii="宋体" w:hAnsi="宋体" w:cs="宋体"/>
          <w:szCs w:val="21"/>
        </w:rPr>
        <w:t>5.参加政府采购活动前三年内，在经营活动中没有重大违法记录（包括行贿犯罪记录）。</w:t>
      </w:r>
    </w:p>
    <w:p>
      <w:pPr>
        <w:pStyle w:val="2"/>
      </w:pPr>
      <w:r>
        <w:rPr>
          <w:rFonts w:hint="eastAsia" w:ascii="宋体" w:hAnsi="宋体" w:cs="宋体"/>
          <w:szCs w:val="21"/>
        </w:rPr>
        <w:t>6.法律、行政法规规定的其他条件。</w:t>
      </w:r>
    </w:p>
    <w:p>
      <w:pPr>
        <w:snapToGrid w:val="0"/>
        <w:spacing w:line="460" w:lineRule="exact"/>
        <w:ind w:firstLine="422" w:firstLineChars="200"/>
        <w:rPr>
          <w:rFonts w:hint="eastAsia" w:ascii="宋体" w:hAnsi="宋体" w:cs="宋体"/>
          <w:b/>
          <w:szCs w:val="21"/>
        </w:rPr>
      </w:pPr>
    </w:p>
    <w:p>
      <w:pPr>
        <w:snapToGrid w:val="0"/>
        <w:spacing w:line="460" w:lineRule="exact"/>
        <w:ind w:firstLine="422" w:firstLineChars="200"/>
        <w:rPr>
          <w:rFonts w:hint="eastAsia" w:ascii="宋体" w:hAnsi="宋体" w:cs="宋体"/>
          <w:b/>
          <w:szCs w:val="21"/>
        </w:rPr>
      </w:pPr>
      <w:r>
        <w:rPr>
          <w:rFonts w:hint="eastAsia" w:ascii="宋体" w:hAnsi="宋体" w:cs="宋体"/>
          <w:b/>
          <w:szCs w:val="21"/>
        </w:rPr>
        <w:t>如有虚假，采购人可取消我单位任何资格（投标/中标/签订合同），我单位对此无任何异议。</w:t>
      </w:r>
    </w:p>
    <w:p>
      <w:pPr>
        <w:snapToGrid w:val="0"/>
        <w:spacing w:line="460" w:lineRule="exact"/>
        <w:ind w:firstLine="422" w:firstLineChars="200"/>
        <w:rPr>
          <w:rFonts w:hint="eastAsia" w:ascii="宋体" w:hAnsi="宋体" w:cs="宋体"/>
          <w:b/>
          <w:szCs w:val="21"/>
        </w:rPr>
      </w:pPr>
    </w:p>
    <w:p>
      <w:pPr>
        <w:snapToGrid w:val="0"/>
        <w:spacing w:line="460" w:lineRule="exact"/>
        <w:ind w:firstLine="422" w:firstLineChars="200"/>
        <w:rPr>
          <w:rFonts w:hint="eastAsia" w:ascii="宋体" w:hAnsi="宋体" w:cs="宋体"/>
          <w:b/>
          <w:szCs w:val="21"/>
        </w:rPr>
      </w:pPr>
      <w:r>
        <w:rPr>
          <w:rFonts w:hint="eastAsia" w:ascii="宋体" w:hAnsi="宋体" w:cs="宋体"/>
          <w:b/>
          <w:szCs w:val="21"/>
        </w:rPr>
        <w:t>特此承诺！</w:t>
      </w:r>
    </w:p>
    <w:p>
      <w:pPr>
        <w:tabs>
          <w:tab w:val="left" w:pos="9180"/>
        </w:tabs>
        <w:spacing w:line="440" w:lineRule="exact"/>
        <w:ind w:firstLine="420" w:firstLineChars="200"/>
        <w:rPr>
          <w:rFonts w:hint="eastAsia" w:ascii="宋体" w:hAnsi="宋体" w:cs="宋体"/>
          <w:snapToGrid w:val="0"/>
          <w:szCs w:val="21"/>
        </w:rPr>
      </w:pPr>
    </w:p>
    <w:p>
      <w:pPr>
        <w:tabs>
          <w:tab w:val="left" w:pos="9180"/>
        </w:tabs>
        <w:spacing w:line="440" w:lineRule="exact"/>
        <w:ind w:firstLine="420" w:firstLineChars="200"/>
        <w:rPr>
          <w:rFonts w:hint="eastAsia" w:ascii="宋体" w:hAnsi="宋体" w:cs="宋体"/>
          <w:snapToGrid w:val="0"/>
          <w:szCs w:val="21"/>
        </w:rPr>
      </w:pPr>
      <w:r>
        <w:rPr>
          <w:rFonts w:hint="eastAsia" w:ascii="宋体" w:hAnsi="宋体" w:cs="宋体"/>
          <w:snapToGrid w:val="0"/>
          <w:szCs w:val="21"/>
        </w:rPr>
        <w:t>注：（1）参加政府采购活动的时间是指供应商参加本项目的政府采购活动时间为准（具体以投标截止时间为准）。</w:t>
      </w:r>
    </w:p>
    <w:p>
      <w:pPr>
        <w:tabs>
          <w:tab w:val="left" w:pos="9180"/>
        </w:tabs>
        <w:spacing w:line="440" w:lineRule="exact"/>
        <w:ind w:firstLine="840" w:firstLineChars="400"/>
        <w:rPr>
          <w:rFonts w:hint="eastAsia" w:ascii="宋体" w:hAnsi="宋体" w:cs="宋体"/>
          <w:snapToGrid w:val="0"/>
          <w:szCs w:val="21"/>
        </w:rPr>
      </w:pPr>
      <w:r>
        <w:rPr>
          <w:rFonts w:hint="eastAsia" w:ascii="宋体" w:hAnsi="宋体" w:cs="宋体"/>
          <w:snapToGrid w:val="0"/>
          <w:szCs w:val="21"/>
        </w:rPr>
        <w:t>（2）本承诺函必须提供。</w:t>
      </w: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pStyle w:val="8"/>
        <w:tabs>
          <w:tab w:val="left" w:pos="2940"/>
        </w:tabs>
        <w:overflowPunct w:val="0"/>
        <w:spacing w:line="360" w:lineRule="auto"/>
        <w:ind w:right="-21" w:rightChars="-10" w:firstLine="480"/>
        <w:rPr>
          <w:rFonts w:hint="eastAsia" w:ascii="宋体" w:hAnsi="宋体" w:cs="宋体"/>
        </w:rPr>
      </w:pPr>
    </w:p>
    <w:bookmarkEnd w:id="316"/>
    <w:p>
      <w:pPr>
        <w:spacing w:line="480" w:lineRule="auto"/>
        <w:ind w:right="-2" w:firstLine="5250" w:firstLineChars="2500"/>
        <w:rPr>
          <w:rFonts w:hint="eastAsia" w:ascii="宋体" w:hAnsi="宋体" w:cs="宋体"/>
        </w:rPr>
      </w:pPr>
      <w:r>
        <w:rPr>
          <w:rFonts w:hint="eastAsia" w:ascii="宋体" w:hAnsi="宋体" w:cs="宋体"/>
        </w:rPr>
        <w:t>投标供应商（公章）：</w:t>
      </w:r>
    </w:p>
    <w:p>
      <w:pPr>
        <w:spacing w:line="48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48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20" w:name="_Toc5419"/>
      <w:r>
        <w:rPr>
          <w:rFonts w:hint="eastAsia" w:ascii="宋体" w:hAnsi="宋体" w:eastAsia="宋体" w:cs="宋体"/>
          <w:sz w:val="28"/>
          <w:szCs w:val="36"/>
        </w:rPr>
        <w:t>附件二-1 法定代表人授权委托书</w:t>
      </w:r>
      <w:bookmarkEnd w:id="320"/>
    </w:p>
    <w:p>
      <w:pPr>
        <w:pStyle w:val="8"/>
        <w:rPr>
          <w:rFonts w:hint="eastAsia" w:ascii="宋体" w:hAnsi="宋体" w:cs="宋体"/>
        </w:rPr>
      </w:pPr>
    </w:p>
    <w:p>
      <w:pPr>
        <w:spacing w:line="360" w:lineRule="auto"/>
        <w:rPr>
          <w:rFonts w:hint="eastAsia" w:ascii="宋体" w:hAnsi="宋体" w:cs="宋体"/>
        </w:rPr>
      </w:pPr>
      <w:r>
        <w:rPr>
          <w:rFonts w:hint="eastAsia" w:ascii="宋体" w:hAnsi="宋体" w:cs="宋体"/>
          <w:b/>
          <w:sz w:val="24"/>
          <w:u w:val="single"/>
        </w:rPr>
        <w:t>瑞安市综合行政执法局、瑞安市玉海街道办事处、瑞安市锦湖街道办事处、瑞安市潘岱街道办事处</w:t>
      </w:r>
      <w:r>
        <w:rPr>
          <w:rFonts w:hint="eastAsia" w:ascii="宋体" w:hAnsi="宋体" w:cs="宋体"/>
        </w:rPr>
        <w:t>：</w:t>
      </w:r>
    </w:p>
    <w:p>
      <w:pPr>
        <w:snapToGrid w:val="0"/>
        <w:spacing w:before="156" w:beforeLines="50" w:after="50" w:line="360" w:lineRule="auto"/>
        <w:ind w:firstLine="630" w:firstLineChars="300"/>
        <w:rPr>
          <w:rFonts w:hint="eastAsia" w:ascii="宋体" w:hAnsi="宋体" w:cs="宋体"/>
        </w:rPr>
      </w:pPr>
      <w:r>
        <w:rPr>
          <w:rFonts w:hint="eastAsia" w:ascii="宋体" w:hAnsi="宋体" w:cs="宋体"/>
        </w:rPr>
        <w:t>本授权委托书声明：我</w:t>
      </w:r>
      <w:r>
        <w:rPr>
          <w:rFonts w:hint="eastAsia" w:ascii="宋体" w:hAnsi="宋体" w:cs="宋体"/>
          <w:u w:val="single"/>
        </w:rPr>
        <w:t>（法人代表姓名）</w:t>
      </w:r>
      <w:r>
        <w:rPr>
          <w:rFonts w:hint="eastAsia" w:ascii="宋体" w:hAnsi="宋体" w:cs="宋体"/>
        </w:rPr>
        <w:t>系</w:t>
      </w:r>
      <w:r>
        <w:rPr>
          <w:rFonts w:hint="eastAsia" w:ascii="宋体" w:hAnsi="宋体" w:cs="宋体"/>
          <w:u w:val="single"/>
        </w:rPr>
        <w:t xml:space="preserve">（投 标 人 名 称） </w:t>
      </w:r>
      <w:r>
        <w:rPr>
          <w:rFonts w:hint="eastAsia" w:ascii="宋体" w:hAnsi="宋体" w:cs="宋体"/>
        </w:rPr>
        <w:t>的法定代表人，现授权委托本单位正式职工：</w:t>
      </w:r>
      <w:r>
        <w:rPr>
          <w:rFonts w:hint="eastAsia" w:ascii="宋体" w:hAnsi="宋体" w:cs="宋体"/>
          <w:u w:val="single"/>
        </w:rPr>
        <w:t>（授权代表姓名）</w:t>
      </w:r>
      <w:r>
        <w:rPr>
          <w:rFonts w:hint="eastAsia" w:ascii="宋体" w:hAnsi="宋体" w:cs="宋体"/>
        </w:rPr>
        <w:t>为我公司授权代表，参加贵处组织的</w:t>
      </w:r>
      <w:r>
        <w:rPr>
          <w:rFonts w:hint="eastAsia" w:ascii="宋体" w:hAnsi="宋体" w:cs="宋体"/>
          <w:u w:val="single"/>
        </w:rPr>
        <w:t xml:space="preserve">  （项目编号）  </w:t>
      </w:r>
      <w:r>
        <w:rPr>
          <w:rFonts w:hint="eastAsia" w:ascii="宋体" w:hAnsi="宋体" w:cs="宋体"/>
        </w:rPr>
        <w:t>项目投标，全权处理本次招投标活动中的一切事宜，并代表我方全权办理针对上述项目的投标、开标、评标、签约等具体事务和签署相关文件。</w:t>
      </w:r>
    </w:p>
    <w:p>
      <w:pPr>
        <w:snapToGrid w:val="0"/>
        <w:spacing w:before="156" w:beforeLines="50" w:after="50" w:line="360" w:lineRule="auto"/>
        <w:rPr>
          <w:rFonts w:hint="eastAsia" w:ascii="宋体" w:hAnsi="宋体" w:cs="宋体"/>
        </w:rPr>
      </w:pPr>
      <w:r>
        <w:rPr>
          <w:rFonts w:hint="eastAsia" w:ascii="宋体" w:hAnsi="宋体" w:cs="宋体"/>
        </w:rPr>
        <w:t xml:space="preserve">    我方对被授权人的签名负全部责任。</w:t>
      </w:r>
    </w:p>
    <w:p>
      <w:pPr>
        <w:snapToGrid w:val="0"/>
        <w:spacing w:before="156" w:beforeLines="50" w:after="50" w:line="360" w:lineRule="auto"/>
        <w:ind w:firstLine="480"/>
        <w:rPr>
          <w:rFonts w:hint="eastAsia" w:ascii="宋体" w:hAnsi="宋体" w:cs="宋体"/>
        </w:rPr>
      </w:pPr>
      <w:r>
        <w:rPr>
          <w:rFonts w:hint="eastAsia" w:ascii="宋体" w:hAnsi="宋体" w:cs="宋体"/>
        </w:rPr>
        <w:t>在撤销授权的书面通知以前，本授权书一直有效。被授权人在授权书有效期内签署的所有文件不因授权的撤销而失效。</w:t>
      </w:r>
    </w:p>
    <w:p>
      <w:pPr>
        <w:spacing w:line="360" w:lineRule="auto"/>
        <w:ind w:firstLine="612"/>
        <w:rPr>
          <w:rFonts w:hint="eastAsia" w:ascii="宋体" w:hAnsi="宋体" w:cs="宋体"/>
        </w:rPr>
      </w:pPr>
      <w:r>
        <w:rPr>
          <w:rFonts w:hint="eastAsia" w:ascii="宋体" w:hAnsi="宋体" w:cs="宋体"/>
        </w:rPr>
        <w:t>被授权人无转委托权，特此委托。</w:t>
      </w:r>
    </w:p>
    <w:p>
      <w:pPr>
        <w:ind w:firstLine="480"/>
        <w:rPr>
          <w:rFonts w:hint="eastAsia" w:ascii="宋体" w:hAnsi="宋体" w:cs="宋体"/>
          <w:sz w:val="22"/>
          <w:szCs w:val="22"/>
        </w:rPr>
      </w:pPr>
      <w:r>
        <w:rPr>
          <w:rFonts w:hint="eastAsia" w:ascii="宋体" w:hAnsi="宋体" w:cs="宋体"/>
          <w:sz w:val="22"/>
          <w:szCs w:val="22"/>
        </w:rPr>
        <w:t>附：1.授权委托人身份证</w:t>
      </w:r>
      <w:r>
        <w:rPr>
          <w:rFonts w:hint="eastAsia" w:ascii="宋体" w:hAnsi="宋体" w:cs="宋体"/>
        </w:rPr>
        <w:t>扫描件</w:t>
      </w:r>
      <w:r>
        <w:rPr>
          <w:rFonts w:hint="eastAsia" w:ascii="宋体" w:hAnsi="宋体" w:cs="宋体"/>
          <w:sz w:val="22"/>
          <w:szCs w:val="22"/>
        </w:rPr>
        <w:t>；</w:t>
      </w:r>
    </w:p>
    <w:p>
      <w:pPr>
        <w:pStyle w:val="66"/>
        <w:spacing w:line="240" w:lineRule="auto"/>
        <w:rPr>
          <w:rFonts w:hint="eastAsia" w:hAnsi="宋体" w:cs="宋体"/>
        </w:rPr>
      </w:pPr>
      <w:r>
        <w:rPr>
          <w:rFonts w:hint="eastAsia" w:hAnsi="宋体" w:cs="宋体"/>
          <w:sz w:val="22"/>
          <w:szCs w:val="22"/>
        </w:rPr>
        <w:t>2.</w:t>
      </w:r>
      <w:r>
        <w:rPr>
          <w:rFonts w:hint="eastAsia" w:hAnsi="宋体" w:cs="宋体"/>
        </w:rPr>
        <w:t>社保证明（可以由省政务网上打印）</w:t>
      </w:r>
    </w:p>
    <w:p>
      <w:pPr>
        <w:pStyle w:val="66"/>
        <w:rPr>
          <w:rFonts w:hint="eastAsia" w:hAnsi="宋体" w:cs="宋体"/>
        </w:rPr>
      </w:pPr>
    </w:p>
    <w:tbl>
      <w:tblPr>
        <w:tblStyle w:val="29"/>
        <w:tblW w:w="0" w:type="auto"/>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8" w:hRule="atLeast"/>
        </w:trPr>
        <w:tc>
          <w:tcPr>
            <w:tcW w:w="6095" w:type="dxa"/>
            <w:noWrap w:val="0"/>
            <w:vAlign w:val="top"/>
          </w:tcPr>
          <w:p>
            <w:pPr>
              <w:jc w:val="both"/>
              <w:rPr>
                <w:rFonts w:hint="eastAsia" w:ascii="宋体" w:hAnsi="宋体" w:cs="宋体"/>
              </w:rPr>
            </w:pPr>
          </w:p>
          <w:p>
            <w:pPr>
              <w:jc w:val="both"/>
              <w:rPr>
                <w:rFonts w:hint="eastAsia" w:ascii="宋体" w:hAnsi="宋体" w:cs="宋体"/>
              </w:rPr>
            </w:pPr>
          </w:p>
          <w:p>
            <w:pPr>
              <w:spacing w:line="360" w:lineRule="auto"/>
              <w:jc w:val="both"/>
              <w:rPr>
                <w:rFonts w:hint="eastAsia" w:ascii="宋体" w:hAnsi="宋体" w:cs="宋体"/>
              </w:rPr>
            </w:pPr>
          </w:p>
          <w:p>
            <w:pPr>
              <w:pStyle w:val="14"/>
              <w:spacing w:line="480" w:lineRule="auto"/>
              <w:jc w:val="center"/>
              <w:rPr>
                <w:rFonts w:hint="eastAsia" w:ascii="宋体" w:hAnsi="宋体" w:eastAsia="宋体" w:cs="宋体"/>
                <w:kern w:val="0"/>
                <w:sz w:val="21"/>
                <w:lang w:val="en-US" w:eastAsia="zh-CN"/>
              </w:rPr>
            </w:pPr>
            <w:r>
              <w:rPr>
                <w:rFonts w:hint="eastAsia" w:ascii="宋体" w:hAnsi="宋体" w:eastAsia="宋体" w:cs="宋体"/>
                <w:kern w:val="0"/>
                <w:sz w:val="21"/>
                <w:lang w:val="en-US" w:eastAsia="zh-CN"/>
              </w:rPr>
              <w:t>授权代表身份证扫描件（正反两面）</w:t>
            </w:r>
          </w:p>
        </w:tc>
      </w:tr>
    </w:tbl>
    <w:p>
      <w:pPr>
        <w:spacing w:before="312" w:beforeLines="100" w:after="312" w:afterLines="100" w:line="280" w:lineRule="atLeast"/>
        <w:ind w:left="2100" w:leftChars="1000" w:firstLine="1365" w:firstLineChars="650"/>
        <w:rPr>
          <w:rFonts w:hint="eastAsia" w:ascii="宋体" w:hAnsi="宋体" w:cs="宋体"/>
          <w:szCs w:val="21"/>
          <w:u w:val="single"/>
        </w:rPr>
      </w:pPr>
      <w:r>
        <w:rPr>
          <w:rFonts w:hint="eastAsia" w:ascii="宋体" w:hAnsi="宋体" w:cs="宋体"/>
          <w:szCs w:val="21"/>
        </w:rPr>
        <w:t>授权代表：</w:t>
      </w:r>
      <w:r>
        <w:rPr>
          <w:rFonts w:hint="eastAsia" w:ascii="宋体" w:hAnsi="宋体" w:cs="宋体"/>
          <w:szCs w:val="21"/>
          <w:u w:val="single"/>
        </w:rPr>
        <w:t xml:space="preserve">            </w:t>
      </w:r>
      <w:r>
        <w:rPr>
          <w:rFonts w:hint="eastAsia" w:ascii="宋体" w:hAnsi="宋体" w:cs="宋体"/>
          <w:szCs w:val="21"/>
        </w:rPr>
        <w:t>性别 ：</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r>
        <w:rPr>
          <w:rFonts w:hint="eastAsia" w:ascii="宋体" w:hAnsi="宋体" w:cs="宋体"/>
          <w:szCs w:val="21"/>
        </w:rPr>
        <w:t xml:space="preserve"> </w:t>
      </w:r>
    </w:p>
    <w:p>
      <w:pPr>
        <w:spacing w:before="312" w:beforeLines="100" w:after="312" w:afterLines="100" w:line="280" w:lineRule="atLeast"/>
        <w:ind w:left="2100" w:leftChars="1000" w:firstLine="1365" w:firstLineChars="650"/>
        <w:rPr>
          <w:rFonts w:hint="eastAsia"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职务：</w:t>
      </w:r>
    </w:p>
    <w:p>
      <w:pPr>
        <w:spacing w:before="312" w:beforeLines="100" w:after="312" w:afterLines="100" w:line="280" w:lineRule="atLeast"/>
        <w:ind w:left="2100" w:leftChars="1000" w:firstLine="1365" w:firstLineChars="650"/>
        <w:rPr>
          <w:rFonts w:hint="eastAsia" w:ascii="宋体" w:hAnsi="宋体" w:cs="宋体"/>
          <w:szCs w:val="21"/>
          <w:u w:val="single"/>
        </w:rPr>
      </w:pPr>
      <w:r>
        <w:rPr>
          <w:rFonts w:hint="eastAsia" w:ascii="宋体" w:hAnsi="宋体" w:cs="宋体"/>
          <w:szCs w:val="21"/>
        </w:rPr>
        <w:t>详细通讯地址：</w:t>
      </w:r>
      <w:r>
        <w:rPr>
          <w:rFonts w:hint="eastAsia" w:ascii="宋体" w:hAnsi="宋体" w:cs="宋体"/>
          <w:szCs w:val="21"/>
          <w:u w:val="single"/>
        </w:rPr>
        <w:t xml:space="preserve">              </w:t>
      </w:r>
      <w:r>
        <w:rPr>
          <w:rFonts w:hint="eastAsia" w:ascii="宋体" w:hAnsi="宋体" w:cs="宋体"/>
          <w:szCs w:val="21"/>
        </w:rPr>
        <w:t>邮政编码：</w:t>
      </w:r>
      <w:r>
        <w:rPr>
          <w:rFonts w:hint="eastAsia" w:ascii="宋体" w:hAnsi="宋体" w:cs="宋体"/>
          <w:szCs w:val="21"/>
          <w:u w:val="single"/>
        </w:rPr>
        <w:t xml:space="preserve">         </w:t>
      </w:r>
    </w:p>
    <w:p>
      <w:pPr>
        <w:spacing w:before="312" w:beforeLines="100" w:after="312" w:afterLines="100" w:line="280" w:lineRule="atLeast"/>
        <w:ind w:left="2100" w:leftChars="1000" w:firstLine="1365" w:firstLineChars="650"/>
        <w:rPr>
          <w:rFonts w:hint="eastAsia" w:ascii="宋体" w:hAnsi="宋体" w:cs="宋体"/>
          <w:szCs w:val="21"/>
          <w:u w:val="single"/>
        </w:rPr>
      </w:pPr>
      <w:r>
        <w:rPr>
          <w:rFonts w:hint="eastAsia" w:ascii="宋体" w:hAnsi="宋体" w:cs="宋体"/>
          <w:szCs w:val="21"/>
        </w:rPr>
        <w:t>电话：</w:t>
      </w:r>
      <w:r>
        <w:rPr>
          <w:rFonts w:hint="eastAsia" w:ascii="宋体" w:hAnsi="宋体" w:cs="宋体"/>
          <w:szCs w:val="21"/>
          <w:u w:val="single"/>
        </w:rPr>
        <w:t xml:space="preserve">             </w:t>
      </w:r>
      <w:r>
        <w:rPr>
          <w:rFonts w:hint="eastAsia" w:ascii="宋体" w:hAnsi="宋体" w:cs="宋体"/>
          <w:szCs w:val="21"/>
        </w:rPr>
        <w:t>邮箱：</w:t>
      </w:r>
      <w:r>
        <w:rPr>
          <w:rFonts w:hint="eastAsia" w:ascii="宋体" w:hAnsi="宋体" w:cs="宋体"/>
          <w:szCs w:val="21"/>
          <w:u w:val="single"/>
        </w:rPr>
        <w:t xml:space="preserve">           </w:t>
      </w:r>
      <w:r>
        <w:rPr>
          <w:rFonts w:hint="eastAsia" w:ascii="宋体" w:hAnsi="宋体" w:cs="宋体"/>
          <w:szCs w:val="21"/>
        </w:rPr>
        <w:t>传真：</w:t>
      </w:r>
      <w:r>
        <w:rPr>
          <w:rFonts w:hint="eastAsia" w:ascii="宋体" w:hAnsi="宋体" w:cs="宋体"/>
          <w:szCs w:val="21"/>
          <w:u w:val="single"/>
        </w:rPr>
        <w:t xml:space="preserve">             </w:t>
      </w:r>
    </w:p>
    <w:p>
      <w:pPr>
        <w:spacing w:before="312" w:beforeLines="100" w:after="312" w:afterLines="100" w:line="280" w:lineRule="atLeast"/>
        <w:ind w:left="1" w:firstLine="3129" w:firstLineChars="1490"/>
        <w:rPr>
          <w:rFonts w:hint="eastAsia" w:ascii="宋体" w:hAnsi="宋体" w:cs="宋体"/>
          <w:szCs w:val="21"/>
        </w:rPr>
      </w:pPr>
      <w:r>
        <w:rPr>
          <w:rFonts w:hint="eastAsia" w:ascii="宋体" w:hAnsi="宋体" w:cs="宋体"/>
          <w:szCs w:val="21"/>
        </w:rPr>
        <w:t xml:space="preserve">   投标供应商：</w:t>
      </w:r>
      <w:r>
        <w:rPr>
          <w:rFonts w:hint="eastAsia" w:ascii="宋体" w:hAnsi="宋体" w:cs="宋体"/>
          <w:szCs w:val="21"/>
          <w:u w:val="single"/>
        </w:rPr>
        <w:t xml:space="preserve">                            （盖章）</w:t>
      </w:r>
    </w:p>
    <w:p>
      <w:pPr>
        <w:spacing w:before="312" w:beforeLines="100" w:after="312" w:afterLines="100" w:line="280" w:lineRule="atLeast"/>
        <w:ind w:left="2100" w:leftChars="1000" w:right="420" w:firstLine="1365" w:firstLineChars="650"/>
        <w:rPr>
          <w:rFonts w:hint="eastAsia"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（签字或盖章）</w:t>
      </w:r>
    </w:p>
    <w:p>
      <w:pPr>
        <w:spacing w:before="312" w:beforeLines="100" w:after="312" w:afterLines="100" w:line="280" w:lineRule="atLeast"/>
        <w:ind w:left="2100" w:leftChars="1000" w:right="420" w:firstLine="1365" w:firstLineChars="650"/>
        <w:rPr>
          <w:rFonts w:hint="eastAsia" w:ascii="宋体" w:hAnsi="宋体" w:cs="宋体"/>
        </w:rPr>
      </w:pPr>
      <w:r>
        <w:rPr>
          <w:rFonts w:hint="eastAsia" w:ascii="宋体" w:hAnsi="宋体" w:cs="宋体"/>
          <w:szCs w:val="21"/>
        </w:rPr>
        <w:t>授权委托日期：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21" w:name="_Toc16919"/>
      <w:r>
        <w:rPr>
          <w:rFonts w:hint="eastAsia" w:ascii="宋体" w:hAnsi="宋体" w:eastAsia="宋体" w:cs="宋体"/>
          <w:sz w:val="28"/>
          <w:szCs w:val="36"/>
        </w:rPr>
        <w:t>附件二-2 法定代表人身份证明</w:t>
      </w:r>
      <w:bookmarkEnd w:id="321"/>
    </w:p>
    <w:p>
      <w:pPr>
        <w:rPr>
          <w:rFonts w:hint="eastAsia" w:ascii="宋体" w:hAnsi="宋体" w:cs="宋体"/>
        </w:rPr>
      </w:pPr>
    </w:p>
    <w:p>
      <w:pPr>
        <w:spacing w:line="400" w:lineRule="exact"/>
        <w:rPr>
          <w:rFonts w:hint="eastAsia" w:ascii="宋体" w:hAnsi="宋体" w:cs="宋体"/>
          <w:szCs w:val="21"/>
        </w:rPr>
      </w:pPr>
      <w:r>
        <w:rPr>
          <w:rFonts w:hint="eastAsia" w:ascii="宋体" w:hAnsi="宋体" w:cs="宋体"/>
          <w:szCs w:val="21"/>
        </w:rPr>
        <w:t>投标供应商：</w:t>
      </w:r>
      <w:r>
        <w:rPr>
          <w:rFonts w:hint="eastAsia" w:ascii="宋体" w:hAnsi="宋体" w:cs="宋体"/>
          <w:szCs w:val="21"/>
          <w:u w:val="single"/>
        </w:rPr>
        <w:t xml:space="preserve">                                                       </w:t>
      </w:r>
    </w:p>
    <w:p>
      <w:pPr>
        <w:spacing w:line="400" w:lineRule="exact"/>
        <w:rPr>
          <w:rFonts w:hint="eastAsia" w:ascii="宋体" w:hAnsi="宋体" w:cs="宋体"/>
          <w:szCs w:val="21"/>
          <w:u w:val="single"/>
        </w:rPr>
      </w:pPr>
      <w:r>
        <w:rPr>
          <w:rFonts w:hint="eastAsia" w:ascii="宋体" w:hAnsi="宋体" w:cs="宋体"/>
          <w:szCs w:val="21"/>
        </w:rPr>
        <w:t>单位性质：</w:t>
      </w:r>
      <w:r>
        <w:rPr>
          <w:rFonts w:hint="eastAsia" w:ascii="宋体" w:hAnsi="宋体" w:cs="宋体"/>
          <w:szCs w:val="21"/>
          <w:u w:val="single"/>
        </w:rPr>
        <w:t xml:space="preserve">                                                       </w:t>
      </w:r>
    </w:p>
    <w:p>
      <w:pPr>
        <w:spacing w:line="400" w:lineRule="exac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pPr>
        <w:spacing w:line="400" w:lineRule="exact"/>
        <w:rPr>
          <w:rFonts w:hint="eastAsia" w:ascii="宋体" w:hAnsi="宋体" w:cs="宋体"/>
          <w:szCs w:val="21"/>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400" w:lineRule="exact"/>
        <w:rPr>
          <w:rFonts w:hint="eastAsia" w:ascii="宋体" w:hAnsi="宋体" w:cs="宋体"/>
          <w:szCs w:val="21"/>
        </w:rPr>
      </w:pPr>
      <w:r>
        <w:rPr>
          <w:rFonts w:hint="eastAsia" w:ascii="宋体" w:hAnsi="宋体" w:cs="宋体"/>
          <w:szCs w:val="21"/>
        </w:rPr>
        <w:t>经营期限：</w:t>
      </w:r>
      <w:r>
        <w:rPr>
          <w:rFonts w:hint="eastAsia" w:ascii="宋体" w:hAnsi="宋体" w:cs="宋体"/>
          <w:szCs w:val="21"/>
          <w:u w:val="single"/>
        </w:rPr>
        <w:t xml:space="preserve">                                                       </w:t>
      </w:r>
    </w:p>
    <w:p>
      <w:pPr>
        <w:spacing w:line="400" w:lineRule="exact"/>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rPr>
        <w:t xml:space="preserve">             </w:t>
      </w:r>
      <w:r>
        <w:rPr>
          <w:rFonts w:hint="eastAsia" w:ascii="宋体" w:hAnsi="宋体" w:cs="宋体"/>
          <w:szCs w:val="21"/>
        </w:rPr>
        <w:t>性    别：</w:t>
      </w:r>
      <w:r>
        <w:rPr>
          <w:rFonts w:hint="eastAsia" w:ascii="宋体" w:hAnsi="宋体" w:cs="宋体"/>
          <w:szCs w:val="21"/>
          <w:u w:val="single"/>
        </w:rPr>
        <w:t xml:space="preserve">               </w:t>
      </w:r>
    </w:p>
    <w:p>
      <w:pPr>
        <w:spacing w:line="400" w:lineRule="exact"/>
        <w:rPr>
          <w:rFonts w:hint="eastAsia" w:ascii="宋体" w:hAnsi="宋体" w:cs="宋体"/>
          <w:szCs w:val="21"/>
        </w:rPr>
      </w:pPr>
      <w:r>
        <w:rPr>
          <w:rFonts w:hint="eastAsia" w:ascii="宋体" w:hAnsi="宋体" w:cs="宋体"/>
          <w:szCs w:val="21"/>
        </w:rPr>
        <w:t>年    龄：</w:t>
      </w:r>
      <w:r>
        <w:rPr>
          <w:rFonts w:hint="eastAsia" w:ascii="宋体" w:hAnsi="宋体" w:cs="宋体"/>
          <w:szCs w:val="21"/>
          <w:u w:val="single"/>
        </w:rPr>
        <w:t xml:space="preserve">             </w:t>
      </w:r>
      <w:r>
        <w:rPr>
          <w:rFonts w:hint="eastAsia" w:ascii="宋体" w:hAnsi="宋体" w:cs="宋体"/>
          <w:szCs w:val="21"/>
        </w:rPr>
        <w:t>职    务：</w:t>
      </w:r>
      <w:r>
        <w:rPr>
          <w:rFonts w:hint="eastAsia" w:ascii="宋体" w:hAnsi="宋体" w:cs="宋体"/>
          <w:szCs w:val="21"/>
          <w:u w:val="single"/>
        </w:rPr>
        <w:t xml:space="preserve">               </w:t>
      </w:r>
    </w:p>
    <w:p>
      <w:pPr>
        <w:spacing w:line="400" w:lineRule="exact"/>
        <w:rPr>
          <w:rFonts w:hint="eastAsia"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邮    箱：</w:t>
      </w:r>
    </w:p>
    <w:p>
      <w:pPr>
        <w:spacing w:line="400" w:lineRule="exact"/>
        <w:rPr>
          <w:rFonts w:hint="eastAsia" w:ascii="宋体" w:hAnsi="宋体" w:cs="宋体"/>
          <w:szCs w:val="21"/>
        </w:rPr>
      </w:pPr>
      <w:r>
        <w:rPr>
          <w:rFonts w:hint="eastAsia" w:ascii="宋体" w:hAnsi="宋体" w:cs="宋体"/>
          <w:szCs w:val="21"/>
        </w:rPr>
        <w:t>系</w:t>
      </w:r>
      <w:r>
        <w:rPr>
          <w:rFonts w:hint="eastAsia" w:ascii="宋体" w:hAnsi="宋体" w:cs="宋体"/>
          <w:szCs w:val="21"/>
          <w:u w:val="single"/>
        </w:rPr>
        <w:t xml:space="preserve">                                </w:t>
      </w:r>
      <w:r>
        <w:rPr>
          <w:rFonts w:hint="eastAsia" w:ascii="宋体" w:hAnsi="宋体" w:cs="宋体"/>
          <w:szCs w:val="21"/>
        </w:rPr>
        <w:t>（申请人名称）的法定代表人。</w:t>
      </w:r>
    </w:p>
    <w:p>
      <w:pPr>
        <w:spacing w:line="400" w:lineRule="exact"/>
        <w:rPr>
          <w:rFonts w:hint="eastAsia" w:ascii="宋体" w:hAnsi="宋体" w:cs="宋体"/>
          <w:szCs w:val="21"/>
        </w:rPr>
      </w:pPr>
      <w:r>
        <w:rPr>
          <w:rFonts w:hint="eastAsia" w:ascii="宋体" w:hAnsi="宋体" w:cs="宋体"/>
          <w:szCs w:val="21"/>
        </w:rPr>
        <w:t>特此证明。</w:t>
      </w:r>
    </w:p>
    <w:p>
      <w:pPr>
        <w:spacing w:line="360" w:lineRule="exact"/>
        <w:rPr>
          <w:rFonts w:hint="eastAsia" w:ascii="宋体" w:hAnsi="宋体" w:cs="宋体"/>
          <w:szCs w:val="21"/>
        </w:rPr>
      </w:pPr>
    </w:p>
    <w:tbl>
      <w:tblPr>
        <w:tblStyle w:val="29"/>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4" w:hRule="atLeast"/>
        </w:trPr>
        <w:tc>
          <w:tcPr>
            <w:tcW w:w="6662" w:type="dxa"/>
            <w:noWrap w:val="0"/>
            <w:vAlign w:val="top"/>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jc w:val="center"/>
              <w:rPr>
                <w:rFonts w:hint="eastAsia" w:ascii="宋体" w:hAnsi="宋体" w:cs="宋体"/>
                <w:szCs w:val="21"/>
              </w:rPr>
            </w:pPr>
            <w:r>
              <w:rPr>
                <w:rFonts w:hint="eastAsia" w:ascii="宋体" w:hAnsi="宋体" w:cs="宋体"/>
              </w:rPr>
              <w:t>附法定代表人身份证扫描件（正反两面）</w:t>
            </w:r>
          </w:p>
        </w:tc>
      </w:tr>
    </w:tbl>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jc w:val="right"/>
        <w:rPr>
          <w:rFonts w:hint="eastAsia" w:ascii="宋体" w:hAnsi="宋体" w:cs="宋体"/>
          <w:szCs w:val="21"/>
        </w:rPr>
      </w:pPr>
      <w:r>
        <w:rPr>
          <w:rFonts w:hint="eastAsia" w:ascii="宋体" w:hAnsi="宋体" w:cs="宋体"/>
          <w:szCs w:val="21"/>
        </w:rPr>
        <w:t>投标供应商：</w:t>
      </w:r>
      <w:r>
        <w:rPr>
          <w:rFonts w:hint="eastAsia" w:ascii="宋体" w:hAnsi="宋体" w:cs="宋体"/>
          <w:szCs w:val="21"/>
          <w:u w:val="single"/>
        </w:rPr>
        <w:t xml:space="preserve">                     </w:t>
      </w:r>
      <w:r>
        <w:rPr>
          <w:rFonts w:hint="eastAsia" w:ascii="宋体" w:hAnsi="宋体" w:cs="宋体"/>
          <w:szCs w:val="21"/>
        </w:rPr>
        <w:t>（盖单位公章）</w:t>
      </w:r>
    </w:p>
    <w:p>
      <w:pPr>
        <w:jc w:val="right"/>
        <w:rPr>
          <w:rFonts w:hint="eastAsia" w:ascii="宋体" w:hAnsi="宋体" w:cs="宋体"/>
          <w:szCs w:val="21"/>
        </w:rPr>
      </w:pPr>
    </w:p>
    <w:p>
      <w:pPr>
        <w:wordWrap w:val="0"/>
        <w:jc w:val="right"/>
        <w:rPr>
          <w:rFonts w:hint="eastAsia" w:ascii="宋体" w:hAnsi="宋体" w:cs="宋体"/>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tabs>
          <w:tab w:val="left" w:pos="4532"/>
        </w:tabs>
        <w:spacing w:line="360" w:lineRule="auto"/>
        <w:rPr>
          <w:rFonts w:hint="eastAsia" w:ascii="宋体" w:hAnsi="宋体" w:cs="宋体"/>
        </w:rPr>
      </w:pPr>
    </w:p>
    <w:p>
      <w:pPr>
        <w:pStyle w:val="4"/>
        <w:numPr>
          <w:ilvl w:val="1"/>
          <w:numId w:val="0"/>
        </w:numPr>
        <w:spacing w:line="240" w:lineRule="auto"/>
        <w:jc w:val="center"/>
        <w:rPr>
          <w:rFonts w:hint="eastAsia" w:ascii="宋体" w:hAnsi="宋体" w:eastAsia="宋体" w:cs="宋体"/>
          <w:sz w:val="28"/>
          <w:szCs w:val="36"/>
        </w:rPr>
      </w:pPr>
      <w:r>
        <w:rPr>
          <w:rFonts w:hint="eastAsia" w:ascii="宋体" w:hAnsi="宋体" w:eastAsia="宋体" w:cs="宋体"/>
          <w:sz w:val="28"/>
          <w:szCs w:val="36"/>
        </w:rPr>
        <w:br w:type="page"/>
      </w:r>
      <w:bookmarkStart w:id="322" w:name="_Toc1809"/>
      <w:r>
        <w:rPr>
          <w:rFonts w:hint="eastAsia" w:ascii="宋体" w:hAnsi="宋体" w:eastAsia="宋体" w:cs="宋体"/>
          <w:sz w:val="28"/>
          <w:szCs w:val="36"/>
        </w:rPr>
        <w:t>附件三  投标函</w:t>
      </w:r>
      <w:bookmarkEnd w:id="322"/>
    </w:p>
    <w:p>
      <w:pPr>
        <w:spacing w:line="340" w:lineRule="atLeast"/>
        <w:rPr>
          <w:rFonts w:hint="eastAsia" w:ascii="宋体" w:hAnsi="宋体" w:cs="宋体"/>
          <w:b/>
          <w:sz w:val="24"/>
          <w:szCs w:val="24"/>
        </w:rPr>
      </w:pPr>
      <w:r>
        <w:rPr>
          <w:rFonts w:hint="eastAsia" w:ascii="宋体" w:hAnsi="宋体" w:cs="宋体"/>
          <w:b/>
          <w:sz w:val="24"/>
          <w:szCs w:val="24"/>
        </w:rPr>
        <w:t>瑞安市综合行政执法局、瑞安市玉海街道办事处、瑞安市锦湖街道办事处、瑞安市潘岱街道办事处：</w:t>
      </w:r>
    </w:p>
    <w:p>
      <w:pPr>
        <w:spacing w:line="340" w:lineRule="atLeast"/>
        <w:ind w:firstLine="493" w:firstLineChars="235"/>
        <w:rPr>
          <w:rFonts w:hint="eastAsia" w:ascii="宋体" w:hAnsi="宋体" w:cs="宋体"/>
          <w:szCs w:val="21"/>
        </w:rPr>
      </w:pPr>
      <w:r>
        <w:rPr>
          <w:rFonts w:hint="eastAsia" w:ascii="宋体" w:hAnsi="宋体" w:cs="宋体"/>
          <w:szCs w:val="21"/>
        </w:rPr>
        <w:t>根据贵方为</w:t>
      </w:r>
      <w:r>
        <w:rPr>
          <w:rFonts w:hint="eastAsia" w:ascii="宋体" w:hAnsi="宋体" w:cs="宋体"/>
          <w:szCs w:val="21"/>
          <w:u w:val="single"/>
        </w:rPr>
        <w:t>瑞安市“一把扫帚”环卫保洁一体化招标（玉海街道、锦湖街道、潘岱街道）</w:t>
      </w:r>
      <w:r>
        <w:rPr>
          <w:rFonts w:hint="eastAsia" w:ascii="宋体" w:hAnsi="宋体" w:cs="宋体"/>
          <w:szCs w:val="21"/>
        </w:rPr>
        <w:t>（项目编号：</w:t>
      </w:r>
      <w:r>
        <w:rPr>
          <w:rFonts w:hint="eastAsia" w:ascii="宋体" w:hAnsi="宋体" w:cs="宋体"/>
          <w:szCs w:val="21"/>
          <w:lang w:eastAsia="zh-CN"/>
        </w:rPr>
        <w:t>DLCG-RA202104005</w:t>
      </w:r>
      <w:r>
        <w:rPr>
          <w:rFonts w:hint="eastAsia" w:ascii="宋体" w:hAnsi="宋体" w:cs="宋体"/>
          <w:szCs w:val="21"/>
        </w:rPr>
        <w:t>）招标项目的投标邀请，</w:t>
      </w:r>
      <w:r>
        <w:rPr>
          <w:rFonts w:hint="eastAsia" w:ascii="宋体" w:hAnsi="宋体" w:cs="宋体"/>
          <w:szCs w:val="21"/>
          <w:u w:val="single"/>
        </w:rPr>
        <w:t xml:space="preserve">   （投标供应商单位全称） </w:t>
      </w:r>
      <w:r>
        <w:rPr>
          <w:rFonts w:hint="eastAsia" w:ascii="宋体" w:hAnsi="宋体" w:cs="宋体"/>
          <w:szCs w:val="21"/>
        </w:rPr>
        <w:t>正式授权</w:t>
      </w:r>
      <w:r>
        <w:rPr>
          <w:rFonts w:hint="eastAsia" w:ascii="宋体" w:hAnsi="宋体" w:cs="宋体"/>
          <w:szCs w:val="21"/>
          <w:u w:val="single"/>
        </w:rPr>
        <w:t xml:space="preserve">  （被授权人名字）   </w:t>
      </w:r>
      <w:r>
        <w:rPr>
          <w:rFonts w:hint="eastAsia" w:ascii="宋体" w:hAnsi="宋体" w:cs="宋体"/>
          <w:szCs w:val="21"/>
        </w:rPr>
        <w:t>（职务）为全权代表，代表本公司参加贵方组织的此次招标的有关活动，并提交按“投标供应商须知”要求编制的投标文件。</w:t>
      </w:r>
    </w:p>
    <w:p>
      <w:pPr>
        <w:spacing w:line="340" w:lineRule="atLeast"/>
        <w:rPr>
          <w:rFonts w:hint="eastAsia" w:ascii="宋体" w:hAnsi="宋体" w:cs="宋体"/>
          <w:b/>
          <w:bCs/>
          <w:szCs w:val="21"/>
        </w:rPr>
      </w:pPr>
      <w:r>
        <w:rPr>
          <w:rFonts w:hint="eastAsia" w:ascii="宋体" w:hAnsi="宋体" w:cs="宋体"/>
          <w:b/>
          <w:bCs/>
          <w:szCs w:val="21"/>
        </w:rPr>
        <w:t>据此函全权代表宣布同意如下：</w:t>
      </w:r>
    </w:p>
    <w:p>
      <w:pPr>
        <w:spacing w:line="340" w:lineRule="atLeast"/>
        <w:ind w:right="6" w:firstLine="315" w:firstLineChars="150"/>
        <w:rPr>
          <w:rFonts w:hint="eastAsia" w:ascii="宋体" w:hAnsi="宋体" w:cs="宋体"/>
        </w:rPr>
      </w:pPr>
      <w:r>
        <w:rPr>
          <w:rFonts w:hint="eastAsia" w:ascii="宋体" w:hAnsi="宋体" w:cs="宋体"/>
        </w:rPr>
        <w:t>在此提交的投标文件中，包括如下内容：</w:t>
      </w:r>
    </w:p>
    <w:p>
      <w:pPr>
        <w:numPr>
          <w:ilvl w:val="0"/>
          <w:numId w:val="46"/>
        </w:numPr>
        <w:spacing w:line="340" w:lineRule="atLeast"/>
        <w:ind w:right="6" w:firstLine="315" w:firstLineChars="150"/>
        <w:rPr>
          <w:rFonts w:hint="eastAsia" w:ascii="宋体" w:hAnsi="宋体" w:cs="宋体"/>
        </w:rPr>
      </w:pPr>
      <w:r>
        <w:rPr>
          <w:rFonts w:hint="eastAsia" w:ascii="宋体" w:hAnsi="宋体" w:cs="宋体"/>
        </w:rPr>
        <w:t>按“投标供应商须知”要求编制投标文件的资格文件；</w:t>
      </w:r>
    </w:p>
    <w:p>
      <w:pPr>
        <w:numPr>
          <w:ilvl w:val="0"/>
          <w:numId w:val="46"/>
        </w:numPr>
        <w:spacing w:line="340" w:lineRule="atLeast"/>
        <w:ind w:right="6" w:firstLine="315" w:firstLineChars="150"/>
        <w:rPr>
          <w:rFonts w:hint="eastAsia" w:ascii="宋体" w:hAnsi="宋体" w:cs="宋体"/>
        </w:rPr>
      </w:pPr>
      <w:r>
        <w:rPr>
          <w:rFonts w:hint="eastAsia" w:ascii="宋体" w:hAnsi="宋体" w:cs="宋体"/>
        </w:rPr>
        <w:t>按“投标供应商须知”要求编制投标文件的技术商务文件；</w:t>
      </w:r>
    </w:p>
    <w:p>
      <w:pPr>
        <w:numPr>
          <w:ilvl w:val="0"/>
          <w:numId w:val="46"/>
        </w:numPr>
        <w:spacing w:line="340" w:lineRule="atLeast"/>
        <w:ind w:right="6" w:firstLine="315" w:firstLineChars="150"/>
        <w:rPr>
          <w:rFonts w:hint="eastAsia" w:ascii="宋体" w:hAnsi="宋体" w:cs="宋体"/>
        </w:rPr>
      </w:pPr>
      <w:r>
        <w:rPr>
          <w:rFonts w:hint="eastAsia" w:ascii="宋体" w:hAnsi="宋体" w:cs="宋体"/>
        </w:rPr>
        <w:t>按“投标供应商须知”要求编制投标文件的报价文件</w:t>
      </w:r>
    </w:p>
    <w:p>
      <w:pPr>
        <w:numPr>
          <w:ilvl w:val="0"/>
          <w:numId w:val="46"/>
        </w:numPr>
        <w:spacing w:line="340" w:lineRule="atLeast"/>
        <w:ind w:right="6" w:firstLine="315" w:firstLineChars="150"/>
        <w:rPr>
          <w:rFonts w:hint="eastAsia" w:ascii="宋体" w:hAnsi="宋体" w:cs="宋体"/>
        </w:rPr>
      </w:pPr>
      <w:r>
        <w:rPr>
          <w:rFonts w:hint="eastAsia" w:ascii="宋体" w:hAnsi="宋体" w:cs="宋体"/>
        </w:rPr>
        <w:t>我方已完全明白招标文件的所有条款要求，并重申以下几点：</w:t>
      </w:r>
    </w:p>
    <w:p>
      <w:pPr>
        <w:spacing w:line="340" w:lineRule="atLeast"/>
        <w:ind w:right="6" w:firstLine="315" w:firstLineChars="150"/>
        <w:rPr>
          <w:rFonts w:hint="eastAsia" w:ascii="宋体" w:hAnsi="宋体" w:cs="宋体"/>
        </w:rPr>
      </w:pPr>
      <w:r>
        <w:rPr>
          <w:rFonts w:hint="eastAsia" w:ascii="宋体" w:hAnsi="宋体" w:cs="宋体"/>
        </w:rPr>
        <w:t>4.1我方决定参加：作为本次供应商参与</w:t>
      </w:r>
      <w:r>
        <w:rPr>
          <w:rFonts w:hint="eastAsia" w:ascii="宋体" w:hAnsi="宋体" w:cs="宋体"/>
          <w:szCs w:val="21"/>
          <w:u w:val="single"/>
        </w:rPr>
        <w:t>瑞安市“一把扫帚”环卫保洁一体化招标（玉海街道、锦湖街道、潘岱街道）</w:t>
      </w:r>
      <w:r>
        <w:rPr>
          <w:rFonts w:hint="eastAsia" w:ascii="宋体" w:hAnsi="宋体" w:cs="宋体"/>
        </w:rPr>
        <w:t>项目的投标。</w:t>
      </w:r>
    </w:p>
    <w:p>
      <w:pPr>
        <w:spacing w:line="340" w:lineRule="atLeast"/>
        <w:ind w:right="6" w:firstLine="315" w:firstLineChars="150"/>
        <w:rPr>
          <w:rFonts w:hint="eastAsia" w:ascii="宋体" w:hAnsi="宋体" w:cs="宋体"/>
        </w:rPr>
      </w:pPr>
      <w:r>
        <w:rPr>
          <w:rFonts w:hint="eastAsia" w:ascii="宋体" w:hAnsi="宋体" w:cs="宋体"/>
        </w:rPr>
        <w:t>4.2我方承诺：</w:t>
      </w:r>
    </w:p>
    <w:p>
      <w:pPr>
        <w:numPr>
          <w:ilvl w:val="0"/>
          <w:numId w:val="47"/>
        </w:numPr>
        <w:tabs>
          <w:tab w:val="left" w:pos="814"/>
        </w:tabs>
        <w:spacing w:line="340" w:lineRule="atLeast"/>
        <w:ind w:left="0" w:firstLine="454"/>
        <w:rPr>
          <w:rFonts w:hint="eastAsia" w:ascii="宋体" w:hAnsi="宋体" w:cs="宋体"/>
        </w:rPr>
      </w:pPr>
      <w:r>
        <w:rPr>
          <w:rFonts w:hint="eastAsia" w:ascii="宋体" w:hAnsi="宋体" w:cs="宋体"/>
        </w:rPr>
        <w:t xml:space="preserve"> 我方承诺的政府采购价格按开标一览表及本次有关的招投标文件执行。</w:t>
      </w:r>
    </w:p>
    <w:p>
      <w:pPr>
        <w:numPr>
          <w:ilvl w:val="0"/>
          <w:numId w:val="47"/>
        </w:numPr>
        <w:tabs>
          <w:tab w:val="left" w:pos="814"/>
        </w:tabs>
        <w:spacing w:line="340" w:lineRule="atLeast"/>
        <w:ind w:left="0" w:firstLine="454"/>
        <w:rPr>
          <w:rFonts w:hint="eastAsia" w:ascii="宋体" w:hAnsi="宋体" w:cs="宋体"/>
        </w:rPr>
      </w:pPr>
      <w:r>
        <w:rPr>
          <w:rFonts w:hint="eastAsia" w:ascii="宋体" w:hAnsi="宋体" w:cs="宋体"/>
        </w:rPr>
        <w:t xml:space="preserve"> 我方报价包含履行合同所有相关服务所需的服务费用。</w:t>
      </w:r>
    </w:p>
    <w:p>
      <w:pPr>
        <w:numPr>
          <w:ilvl w:val="0"/>
          <w:numId w:val="47"/>
        </w:numPr>
        <w:tabs>
          <w:tab w:val="left" w:pos="814"/>
        </w:tabs>
        <w:spacing w:line="340" w:lineRule="atLeast"/>
        <w:ind w:left="0" w:firstLine="454"/>
        <w:rPr>
          <w:rFonts w:hint="eastAsia" w:ascii="宋体" w:hAnsi="宋体" w:cs="宋体"/>
        </w:rPr>
      </w:pPr>
      <w:r>
        <w:rPr>
          <w:rFonts w:hint="eastAsia" w:ascii="宋体" w:hAnsi="宋体" w:cs="宋体"/>
        </w:rPr>
        <w:t xml:space="preserve"> 我方报价均包含所有的税费。</w:t>
      </w:r>
    </w:p>
    <w:p>
      <w:pPr>
        <w:numPr>
          <w:ilvl w:val="0"/>
          <w:numId w:val="47"/>
        </w:numPr>
        <w:tabs>
          <w:tab w:val="left" w:pos="814"/>
        </w:tabs>
        <w:spacing w:line="340" w:lineRule="atLeast"/>
        <w:ind w:left="0" w:firstLine="454"/>
        <w:rPr>
          <w:rFonts w:hint="eastAsia" w:ascii="宋体" w:hAnsi="宋体" w:cs="宋体"/>
        </w:rPr>
      </w:pPr>
      <w:r>
        <w:rPr>
          <w:rFonts w:hint="eastAsia" w:ascii="宋体" w:hAnsi="宋体" w:cs="宋体"/>
        </w:rPr>
        <w:t xml:space="preserve"> 我方如实提供的投标文件资料真实可靠，凡存在欺骗、隐瞒等行为的，贵方可取消其中标资格或中止合同的执行，我方对此不会提出疑义；”</w:t>
      </w:r>
    </w:p>
    <w:p>
      <w:pPr>
        <w:spacing w:line="340" w:lineRule="atLeast"/>
        <w:ind w:right="6" w:firstLine="315" w:firstLineChars="150"/>
        <w:rPr>
          <w:rFonts w:hint="eastAsia" w:ascii="宋体" w:hAnsi="宋体" w:cs="宋体"/>
        </w:rPr>
      </w:pPr>
      <w:r>
        <w:rPr>
          <w:rFonts w:hint="eastAsia" w:ascii="宋体" w:hAnsi="宋体" w:cs="宋体"/>
        </w:rPr>
        <w:t>4.3投标文件的有效期：提交投标文件截止日起90天内；如中标，有效期将延至合同终止日为止。</w:t>
      </w:r>
    </w:p>
    <w:p>
      <w:pPr>
        <w:spacing w:line="340" w:lineRule="atLeast"/>
        <w:ind w:right="6" w:firstLine="315" w:firstLineChars="150"/>
        <w:rPr>
          <w:rFonts w:hint="eastAsia" w:ascii="宋体" w:hAnsi="宋体" w:cs="宋体"/>
        </w:rPr>
      </w:pPr>
      <w:r>
        <w:rPr>
          <w:rFonts w:hint="eastAsia" w:ascii="宋体" w:hAnsi="宋体" w:cs="宋体"/>
        </w:rPr>
        <w:t>4.4我方已详细研究了招标文件的所有内容包括修正文件（如果有）和所有已提供的参考资料以及有关附件并完全明白, 我方放弃在此方面提出含糊意见或误解的一切权力。</w:t>
      </w:r>
    </w:p>
    <w:p>
      <w:pPr>
        <w:spacing w:line="340" w:lineRule="atLeast"/>
        <w:ind w:right="6" w:firstLine="315" w:firstLineChars="150"/>
        <w:rPr>
          <w:rFonts w:hint="eastAsia" w:ascii="宋体" w:hAnsi="宋体" w:cs="宋体"/>
        </w:rPr>
      </w:pPr>
      <w:r>
        <w:rPr>
          <w:rFonts w:hint="eastAsia" w:ascii="宋体" w:hAnsi="宋体" w:cs="宋体"/>
        </w:rPr>
        <w:t>4.5我方同意按照贵方提出的要求而提供与投标产品有关的数据或信息。</w:t>
      </w:r>
    </w:p>
    <w:p>
      <w:pPr>
        <w:spacing w:line="340" w:lineRule="atLeast"/>
        <w:ind w:right="6" w:firstLine="315" w:firstLineChars="150"/>
        <w:rPr>
          <w:rFonts w:hint="eastAsia" w:ascii="宋体" w:hAnsi="宋体" w:cs="宋体"/>
        </w:rPr>
      </w:pPr>
      <w:r>
        <w:rPr>
          <w:rFonts w:hint="eastAsia" w:ascii="宋体" w:hAnsi="宋体" w:cs="宋体"/>
        </w:rPr>
        <w:t>4.6我方理解贵方不一定接受最低标价或任何贵方可能收到的投标。</w:t>
      </w:r>
    </w:p>
    <w:p>
      <w:pPr>
        <w:spacing w:line="340" w:lineRule="atLeast"/>
        <w:ind w:right="6" w:firstLine="315" w:firstLineChars="150"/>
        <w:rPr>
          <w:rFonts w:hint="eastAsia" w:ascii="宋体" w:hAnsi="宋体" w:cs="宋体"/>
        </w:rPr>
      </w:pPr>
      <w:r>
        <w:rPr>
          <w:rFonts w:hint="eastAsia" w:ascii="宋体" w:hAnsi="宋体" w:cs="宋体"/>
        </w:rPr>
        <w:t>4.7我方如果中标，将保证履行招标文件以及招标文件修改书（如果有的话）中的全部责任和义务，按质、按量、按期完成《合同》中的全部任务。</w:t>
      </w:r>
    </w:p>
    <w:p>
      <w:pPr>
        <w:numPr>
          <w:ilvl w:val="0"/>
          <w:numId w:val="46"/>
        </w:numPr>
        <w:spacing w:line="340" w:lineRule="atLeast"/>
        <w:ind w:right="6" w:firstLine="315" w:firstLineChars="150"/>
        <w:rPr>
          <w:rFonts w:hint="eastAsia" w:ascii="宋体" w:hAnsi="宋体" w:cs="宋体"/>
          <w:szCs w:val="21"/>
        </w:rPr>
      </w:pPr>
      <w:r>
        <w:rPr>
          <w:rFonts w:hint="eastAsia" w:ascii="宋体" w:hAnsi="宋体" w:cs="宋体"/>
          <w:szCs w:val="21"/>
        </w:rPr>
        <w:t>与本投标有关的一切正式往来信函请寄：</w:t>
      </w:r>
    </w:p>
    <w:p>
      <w:pPr>
        <w:spacing w:line="340" w:lineRule="atLeast"/>
        <w:ind w:left="315" w:leftChars="150"/>
        <w:rPr>
          <w:rFonts w:hint="eastAsia" w:ascii="宋体" w:hAnsi="宋体" w:cs="宋体"/>
          <w:szCs w:val="21"/>
        </w:rPr>
      </w:pPr>
      <w:r>
        <w:rPr>
          <w:rFonts w:hint="eastAsia" w:ascii="宋体" w:hAnsi="宋体" w:cs="宋体"/>
          <w:szCs w:val="21"/>
        </w:rPr>
        <w:t xml:space="preserve">   地址</w:t>
      </w:r>
      <w:r>
        <w:rPr>
          <w:rFonts w:hint="eastAsia" w:ascii="宋体" w:hAnsi="宋体" w:cs="宋体"/>
          <w:szCs w:val="21"/>
          <w:u w:val="single"/>
        </w:rPr>
        <w:t xml:space="preserve">                           </w:t>
      </w:r>
    </w:p>
    <w:p>
      <w:pPr>
        <w:spacing w:line="340" w:lineRule="atLeast"/>
        <w:ind w:left="315" w:leftChars="150"/>
        <w:rPr>
          <w:rFonts w:hint="eastAsia" w:ascii="宋体" w:hAnsi="宋体" w:cs="宋体"/>
          <w:szCs w:val="21"/>
        </w:rPr>
      </w:pPr>
      <w:r>
        <w:rPr>
          <w:rFonts w:hint="eastAsia" w:ascii="宋体" w:hAnsi="宋体" w:cs="宋体"/>
          <w:szCs w:val="21"/>
        </w:rPr>
        <w:t xml:space="preserve">   电话</w:t>
      </w:r>
      <w:r>
        <w:rPr>
          <w:rFonts w:hint="eastAsia" w:ascii="宋体" w:hAnsi="宋体" w:cs="宋体"/>
          <w:szCs w:val="21"/>
          <w:u w:val="single"/>
        </w:rPr>
        <w:t xml:space="preserve">                           </w:t>
      </w:r>
    </w:p>
    <w:p>
      <w:pPr>
        <w:spacing w:line="340" w:lineRule="atLeast"/>
        <w:ind w:firstLine="315"/>
        <w:rPr>
          <w:rFonts w:hint="eastAsia" w:ascii="宋体" w:hAnsi="宋体" w:cs="宋体"/>
          <w:szCs w:val="21"/>
          <w:u w:val="single"/>
        </w:rPr>
      </w:pPr>
      <w:r>
        <w:rPr>
          <w:rFonts w:hint="eastAsia" w:ascii="宋体" w:hAnsi="宋体" w:cs="宋体"/>
          <w:szCs w:val="21"/>
        </w:rPr>
        <w:t xml:space="preserve">   传真</w:t>
      </w:r>
      <w:r>
        <w:rPr>
          <w:rFonts w:hint="eastAsia" w:ascii="宋体" w:hAnsi="宋体" w:cs="宋体"/>
          <w:szCs w:val="21"/>
          <w:u w:val="single"/>
        </w:rPr>
        <w:t xml:space="preserve">                           </w:t>
      </w:r>
    </w:p>
    <w:p>
      <w:pPr>
        <w:spacing w:line="340" w:lineRule="atLeast"/>
        <w:ind w:left="105" w:leftChars="50" w:firstLine="457" w:firstLineChars="218"/>
        <w:rPr>
          <w:rFonts w:hint="eastAsia" w:ascii="宋体" w:hAnsi="宋体" w:cs="宋体"/>
          <w:szCs w:val="21"/>
          <w:u w:val="single"/>
        </w:rPr>
      </w:pPr>
      <w:r>
        <w:rPr>
          <w:rFonts w:hint="eastAsia" w:ascii="宋体" w:hAnsi="宋体" w:cs="宋体"/>
          <w:szCs w:val="21"/>
        </w:rPr>
        <w:t>电子邮件</w:t>
      </w:r>
      <w:r>
        <w:rPr>
          <w:rFonts w:hint="eastAsia" w:ascii="宋体" w:hAnsi="宋体" w:cs="宋体"/>
          <w:szCs w:val="21"/>
          <w:u w:val="single"/>
        </w:rPr>
        <w:t xml:space="preserve">                       </w:t>
      </w:r>
    </w:p>
    <w:p>
      <w:pPr>
        <w:spacing w:line="240" w:lineRule="auto"/>
        <w:ind w:right="-2" w:firstLine="5250" w:firstLineChars="2500"/>
        <w:rPr>
          <w:rFonts w:hint="eastAsia" w:ascii="宋体" w:hAnsi="宋体" w:cs="宋体"/>
        </w:rPr>
      </w:pPr>
      <w:r>
        <w:rPr>
          <w:rFonts w:hint="eastAsia" w:ascii="宋体" w:hAnsi="宋体" w:cs="宋体"/>
        </w:rPr>
        <w:t>投标供应商（公章）：</w:t>
      </w:r>
    </w:p>
    <w:p>
      <w:pPr>
        <w:spacing w:line="24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24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pStyle w:val="66"/>
        <w:rPr>
          <w:rFonts w:hint="eastAsia" w:hAnsi="宋体" w:cs="宋体"/>
        </w:rPr>
      </w:pPr>
    </w:p>
    <w:p>
      <w:pPr>
        <w:pStyle w:val="4"/>
        <w:numPr>
          <w:ilvl w:val="1"/>
          <w:numId w:val="0"/>
        </w:numPr>
        <w:spacing w:line="360" w:lineRule="auto"/>
        <w:jc w:val="center"/>
        <w:rPr>
          <w:rFonts w:hint="eastAsia" w:ascii="宋体" w:hAnsi="宋体" w:eastAsia="宋体" w:cs="宋体"/>
          <w:lang w:val="zh-CN"/>
        </w:rPr>
      </w:pPr>
      <w:bookmarkStart w:id="323" w:name="_Toc13013"/>
      <w:r>
        <w:rPr>
          <w:rFonts w:hint="eastAsia" w:ascii="宋体" w:hAnsi="宋体" w:eastAsia="宋体" w:cs="宋体"/>
        </w:rPr>
        <w:t>附件四-1、法定代表人诚信投标承诺书</w:t>
      </w:r>
      <w:bookmarkEnd w:id="323"/>
    </w:p>
    <w:p>
      <w:pPr>
        <w:spacing w:line="400" w:lineRule="exact"/>
        <w:jc w:val="center"/>
        <w:rPr>
          <w:rFonts w:hint="eastAsia" w:ascii="宋体" w:hAnsi="宋体" w:cs="宋体"/>
          <w:b/>
          <w:sz w:val="36"/>
          <w:szCs w:val="36"/>
        </w:rPr>
      </w:pPr>
    </w:p>
    <w:p>
      <w:pPr>
        <w:spacing w:line="460" w:lineRule="atLeast"/>
        <w:rPr>
          <w:rFonts w:hint="eastAsia" w:ascii="宋体" w:hAnsi="宋体" w:cs="宋体"/>
          <w:sz w:val="22"/>
        </w:rPr>
      </w:pPr>
      <w:r>
        <w:rPr>
          <w:rFonts w:hint="eastAsia" w:ascii="宋体" w:hAnsi="宋体" w:cs="宋体"/>
          <w:sz w:val="22"/>
        </w:rPr>
        <w:t>本人以企业法定代表人的身份郑重承诺：</w:t>
      </w:r>
    </w:p>
    <w:p>
      <w:pPr>
        <w:spacing w:line="460" w:lineRule="atLeast"/>
        <w:ind w:firstLine="440" w:firstLineChars="200"/>
        <w:rPr>
          <w:rFonts w:hint="eastAsia" w:ascii="宋体" w:hAnsi="宋体" w:cs="宋体"/>
          <w:sz w:val="22"/>
        </w:rPr>
      </w:pPr>
      <w:r>
        <w:rPr>
          <w:rFonts w:hint="eastAsia" w:ascii="宋体" w:hAnsi="宋体" w:cs="宋体"/>
          <w:sz w:val="22"/>
        </w:rPr>
        <w:t>将遵循公开、公平、公正和诚信信用的原则参加</w:t>
      </w:r>
      <w:r>
        <w:rPr>
          <w:rFonts w:hint="eastAsia" w:ascii="宋体" w:hAnsi="宋体" w:cs="宋体"/>
          <w:sz w:val="22"/>
          <w:u w:val="single"/>
        </w:rPr>
        <w:t xml:space="preserve">                项目（招标编号：</w:t>
      </w:r>
      <w:r>
        <w:rPr>
          <w:rFonts w:hint="eastAsia" w:ascii="宋体" w:hAnsi="宋体" w:cs="宋体"/>
          <w:sz w:val="22"/>
          <w:u w:val="single"/>
          <w:lang w:eastAsia="zh-CN"/>
        </w:rPr>
        <w:t>DLCG-RA202104005</w:t>
      </w:r>
      <w:r>
        <w:rPr>
          <w:rFonts w:hint="eastAsia" w:ascii="宋体" w:hAnsi="宋体" w:cs="宋体"/>
          <w:sz w:val="22"/>
          <w:u w:val="single"/>
        </w:rPr>
        <w:t>）</w:t>
      </w:r>
      <w:r>
        <w:rPr>
          <w:rFonts w:hint="eastAsia" w:ascii="宋体" w:hAnsi="宋体" w:cs="宋体"/>
          <w:sz w:val="22"/>
        </w:rPr>
        <w:t>的投标；</w:t>
      </w:r>
    </w:p>
    <w:p>
      <w:pPr>
        <w:spacing w:line="460" w:lineRule="atLeast"/>
        <w:ind w:firstLine="440" w:firstLineChars="200"/>
        <w:rPr>
          <w:rFonts w:hint="eastAsia" w:ascii="宋体" w:hAnsi="宋体" w:cs="宋体"/>
          <w:sz w:val="22"/>
          <w:u w:val="single"/>
        </w:rPr>
      </w:pPr>
      <w:r>
        <w:rPr>
          <w:rFonts w:hint="eastAsia" w:ascii="宋体" w:hAnsi="宋体" w:cs="宋体"/>
          <w:sz w:val="22"/>
        </w:rPr>
        <w:t>一、杜绝以收取管理费等形式的一切挂靠、违法转包、分包行为；并选派有丰富经验、无不良行为记录的在项目管理人员、技术人员，严格按采购文件、投标文件及合同等要求保证拟派人员的到岗率。</w:t>
      </w:r>
    </w:p>
    <w:p>
      <w:pPr>
        <w:spacing w:line="460" w:lineRule="atLeast"/>
        <w:ind w:firstLine="440" w:firstLineChars="200"/>
        <w:rPr>
          <w:rFonts w:hint="eastAsia" w:ascii="宋体" w:hAnsi="宋体" w:cs="宋体"/>
          <w:sz w:val="22"/>
        </w:rPr>
      </w:pPr>
      <w:r>
        <w:rPr>
          <w:rFonts w:hint="eastAsia" w:ascii="宋体" w:hAnsi="宋体" w:cs="宋体"/>
          <w:sz w:val="22"/>
        </w:rPr>
        <w:t>二、投标文件所提供的一切材料都是真实、有效、合法的。</w:t>
      </w:r>
    </w:p>
    <w:p>
      <w:pPr>
        <w:spacing w:line="460" w:lineRule="atLeast"/>
        <w:ind w:firstLine="440" w:firstLineChars="200"/>
        <w:rPr>
          <w:rFonts w:hint="eastAsia" w:ascii="宋体" w:hAnsi="宋体" w:cs="宋体"/>
          <w:sz w:val="22"/>
        </w:rPr>
      </w:pPr>
      <w:r>
        <w:rPr>
          <w:rFonts w:hint="eastAsia" w:ascii="宋体" w:hAnsi="宋体" w:cs="宋体"/>
          <w:sz w:val="22"/>
        </w:rPr>
        <w:t>三、不与其他投标供应商相互串通投标报价，不排挤其他投标供应商的公平竞争，不损害采购人或其他投标供应商的合法权益。</w:t>
      </w:r>
    </w:p>
    <w:p>
      <w:pPr>
        <w:spacing w:line="460" w:lineRule="atLeast"/>
        <w:ind w:firstLine="440" w:firstLineChars="200"/>
        <w:rPr>
          <w:rFonts w:hint="eastAsia" w:ascii="宋体" w:hAnsi="宋体" w:cs="宋体"/>
          <w:sz w:val="22"/>
        </w:rPr>
      </w:pPr>
      <w:r>
        <w:rPr>
          <w:rFonts w:hint="eastAsia" w:ascii="宋体" w:hAnsi="宋体" w:cs="宋体"/>
          <w:sz w:val="22"/>
        </w:rPr>
        <w:t>四、不与采购人或招标代理机构串通投标，不损害国家利益，社会公共利益或其他人的合法权益。</w:t>
      </w:r>
    </w:p>
    <w:p>
      <w:pPr>
        <w:spacing w:line="460" w:lineRule="atLeast"/>
        <w:ind w:firstLine="440" w:firstLineChars="200"/>
        <w:rPr>
          <w:rFonts w:hint="eastAsia" w:ascii="宋体" w:hAnsi="宋体" w:cs="宋体"/>
          <w:sz w:val="22"/>
        </w:rPr>
      </w:pPr>
      <w:r>
        <w:rPr>
          <w:rFonts w:hint="eastAsia" w:ascii="宋体" w:hAnsi="宋体" w:cs="宋体"/>
          <w:sz w:val="22"/>
        </w:rPr>
        <w:t>五、不向采购人或者评标委员会成员行贿以牟取中标。</w:t>
      </w:r>
    </w:p>
    <w:p>
      <w:pPr>
        <w:spacing w:line="460" w:lineRule="atLeast"/>
        <w:ind w:firstLine="440" w:firstLineChars="200"/>
        <w:rPr>
          <w:rFonts w:hint="eastAsia" w:ascii="宋体" w:hAnsi="宋体" w:cs="宋体"/>
          <w:sz w:val="22"/>
        </w:rPr>
      </w:pPr>
      <w:r>
        <w:rPr>
          <w:rFonts w:hint="eastAsia" w:ascii="宋体" w:hAnsi="宋体" w:cs="宋体"/>
          <w:sz w:val="22"/>
        </w:rPr>
        <w:t>六、不以其他人名义投标或者以其他方式弄虚作假，骗取中标。</w:t>
      </w:r>
    </w:p>
    <w:p>
      <w:pPr>
        <w:spacing w:line="460" w:lineRule="atLeast"/>
        <w:ind w:firstLine="440" w:firstLineChars="200"/>
        <w:rPr>
          <w:rFonts w:hint="eastAsia" w:ascii="宋体" w:hAnsi="宋体" w:cs="宋体"/>
          <w:sz w:val="22"/>
        </w:rPr>
      </w:pPr>
      <w:r>
        <w:rPr>
          <w:rFonts w:hint="eastAsia" w:ascii="宋体" w:hAnsi="宋体" w:cs="宋体"/>
          <w:sz w:val="22"/>
        </w:rPr>
        <w:t>七、不在开标后进行虚假恶意投诉。</w:t>
      </w:r>
    </w:p>
    <w:p>
      <w:pPr>
        <w:spacing w:line="460" w:lineRule="atLeast"/>
        <w:ind w:firstLine="440" w:firstLineChars="200"/>
        <w:rPr>
          <w:rFonts w:hint="eastAsia" w:ascii="宋体" w:hAnsi="宋体" w:cs="宋体"/>
          <w:sz w:val="22"/>
        </w:rPr>
      </w:pPr>
      <w:r>
        <w:rPr>
          <w:rFonts w:hint="eastAsia" w:ascii="宋体" w:hAnsi="宋体" w:cs="宋体"/>
          <w:sz w:val="22"/>
        </w:rPr>
        <w:t>八、我单位没有被政府机关列入失信被执行人名单、重大税收违法案件当事人名单、政府采购严重违法失信行为记录名单的情形：</w:t>
      </w:r>
    </w:p>
    <w:p>
      <w:pPr>
        <w:spacing w:line="460" w:lineRule="atLeast"/>
        <w:ind w:firstLine="440" w:firstLineChars="200"/>
        <w:rPr>
          <w:rFonts w:hint="eastAsia" w:ascii="宋体" w:hAnsi="宋体" w:cs="宋体"/>
          <w:sz w:val="22"/>
        </w:rPr>
      </w:pPr>
      <w:r>
        <w:rPr>
          <w:rFonts w:hint="eastAsia" w:ascii="宋体" w:hAnsi="宋体" w:cs="宋体"/>
          <w:sz w:val="22"/>
        </w:rPr>
        <w:t xml:space="preserve">九、没有被各地、各级财政部门禁止参加政府采购活动且在限制期限内：    </w:t>
      </w:r>
    </w:p>
    <w:p>
      <w:pPr>
        <w:spacing w:line="460" w:lineRule="atLeast"/>
        <w:ind w:firstLine="440" w:firstLineChars="200"/>
        <w:rPr>
          <w:rFonts w:hint="eastAsia" w:ascii="宋体" w:hAnsi="宋体" w:cs="宋体"/>
          <w:sz w:val="22"/>
        </w:rPr>
      </w:pPr>
      <w:r>
        <w:rPr>
          <w:rFonts w:hint="eastAsia" w:ascii="宋体" w:hAnsi="宋体" w:cs="宋体"/>
          <w:sz w:val="22"/>
        </w:rPr>
        <w:t>本公司若有违反本承诺内容的行为，愿意承担法律责任，包括不限于：愿意接受相关行政主管部门作出的处罚；给采购人造成损失的，依法承担相应的赔偿责任。</w:t>
      </w:r>
    </w:p>
    <w:p>
      <w:pPr>
        <w:spacing w:line="460" w:lineRule="atLeast"/>
        <w:ind w:right="1120" w:firstLine="2970" w:firstLineChars="1350"/>
        <w:rPr>
          <w:rFonts w:hint="eastAsia" w:ascii="宋体" w:hAnsi="宋体" w:cs="宋体"/>
          <w:sz w:val="22"/>
        </w:rPr>
      </w:pPr>
    </w:p>
    <w:p>
      <w:pPr>
        <w:spacing w:line="460" w:lineRule="atLeast"/>
        <w:ind w:right="1120" w:firstLine="2970" w:firstLineChars="1350"/>
        <w:rPr>
          <w:rFonts w:hint="eastAsia" w:ascii="宋体" w:hAnsi="宋体" w:cs="宋体"/>
          <w:sz w:val="22"/>
        </w:rPr>
      </w:pPr>
      <w:r>
        <w:rPr>
          <w:rFonts w:hint="eastAsia" w:ascii="宋体" w:hAnsi="宋体" w:cs="宋体"/>
          <w:sz w:val="22"/>
        </w:rPr>
        <w:t>法定代表人（签字或签章）：</w:t>
      </w:r>
    </w:p>
    <w:p>
      <w:pPr>
        <w:spacing w:line="460" w:lineRule="atLeast"/>
        <w:ind w:right="1120" w:firstLine="2970" w:firstLineChars="1350"/>
        <w:rPr>
          <w:rFonts w:hint="eastAsia" w:ascii="宋体" w:hAnsi="宋体" w:cs="宋体"/>
          <w:sz w:val="22"/>
        </w:rPr>
      </w:pPr>
      <w:r>
        <w:rPr>
          <w:rFonts w:hint="eastAsia" w:ascii="宋体" w:hAnsi="宋体" w:cs="宋体"/>
          <w:sz w:val="22"/>
        </w:rPr>
        <w:t>投标供应商（盖章）</w:t>
      </w:r>
    </w:p>
    <w:p>
      <w:pPr>
        <w:spacing w:line="460" w:lineRule="atLeast"/>
        <w:ind w:right="1120" w:firstLine="2970" w:firstLineChars="1350"/>
        <w:rPr>
          <w:rFonts w:hint="eastAsia" w:ascii="宋体" w:hAnsi="宋体" w:cs="宋体"/>
          <w:sz w:val="22"/>
        </w:rPr>
      </w:pPr>
      <w:r>
        <w:rPr>
          <w:rFonts w:hint="eastAsia" w:ascii="宋体" w:hAnsi="宋体" w:cs="宋体"/>
          <w:sz w:val="22"/>
        </w:rPr>
        <w:t>承诺书签署日期：         年  月  日</w:t>
      </w:r>
    </w:p>
    <w:p>
      <w:pPr>
        <w:spacing w:line="460" w:lineRule="atLeast"/>
        <w:ind w:right="1120" w:firstLine="3403" w:firstLineChars="1547"/>
        <w:jc w:val="center"/>
        <w:rPr>
          <w:rFonts w:hint="eastAsia" w:ascii="宋体" w:hAnsi="宋体" w:cs="宋体"/>
          <w:sz w:val="22"/>
        </w:rPr>
      </w:pPr>
    </w:p>
    <w:p>
      <w:pPr>
        <w:spacing w:line="460" w:lineRule="atLeast"/>
        <w:ind w:right="1120"/>
        <w:jc w:val="both"/>
        <w:rPr>
          <w:rFonts w:hint="eastAsia" w:ascii="宋体" w:hAnsi="宋体" w:cs="宋体"/>
          <w:bCs/>
          <w:sz w:val="22"/>
          <w:u w:val="single"/>
        </w:rPr>
      </w:pPr>
      <w:r>
        <w:rPr>
          <w:rFonts w:hint="eastAsia" w:ascii="宋体" w:hAnsi="宋体" w:cs="宋体"/>
          <w:bCs/>
          <w:sz w:val="22"/>
          <w:u w:val="single"/>
        </w:rPr>
        <w:t>备注：▲投标供应商必须提供本承诺书，不提供按无效投标处理。</w:t>
      </w:r>
    </w:p>
    <w:p>
      <w:pPr>
        <w:pStyle w:val="4"/>
        <w:numPr>
          <w:ilvl w:val="1"/>
          <w:numId w:val="0"/>
        </w:numPr>
        <w:spacing w:line="360" w:lineRule="auto"/>
        <w:jc w:val="center"/>
        <w:rPr>
          <w:rFonts w:hint="eastAsia" w:ascii="宋体" w:hAnsi="宋体" w:eastAsia="宋体" w:cs="宋体"/>
        </w:rPr>
      </w:pPr>
      <w:r>
        <w:rPr>
          <w:rFonts w:hint="eastAsia" w:ascii="宋体" w:hAnsi="宋体" w:eastAsia="宋体" w:cs="宋体"/>
          <w:sz w:val="28"/>
          <w:szCs w:val="36"/>
        </w:rPr>
        <w:br w:type="page"/>
      </w:r>
      <w:bookmarkStart w:id="324" w:name="_Toc26014"/>
      <w:r>
        <w:rPr>
          <w:rFonts w:hint="eastAsia" w:ascii="宋体" w:hAnsi="宋体" w:eastAsia="宋体" w:cs="宋体"/>
        </w:rPr>
        <w:t>附件四-2、</w:t>
      </w:r>
      <w:bookmarkStart w:id="325" w:name="_Toc338075726"/>
      <w:bookmarkStart w:id="326" w:name="_Toc14578"/>
      <w:r>
        <w:rPr>
          <w:rFonts w:hint="eastAsia" w:ascii="宋体" w:hAnsi="宋体" w:eastAsia="宋体" w:cs="宋体"/>
        </w:rPr>
        <w:t>环卫保洁承诺书</w:t>
      </w:r>
      <w:bookmarkEnd w:id="324"/>
      <w:bookmarkEnd w:id="325"/>
      <w:bookmarkEnd w:id="326"/>
    </w:p>
    <w:p>
      <w:pPr>
        <w:spacing w:line="440" w:lineRule="atLeast"/>
        <w:rPr>
          <w:rFonts w:hint="eastAsia" w:ascii="宋体" w:hAnsi="宋体" w:cs="宋体"/>
          <w:b/>
          <w:sz w:val="24"/>
          <w:szCs w:val="24"/>
        </w:rPr>
      </w:pPr>
      <w:bookmarkStart w:id="327" w:name="_附件八___建议与少量偏离表"/>
      <w:bookmarkEnd w:id="327"/>
      <w:r>
        <w:rPr>
          <w:rFonts w:hint="eastAsia" w:ascii="宋体" w:hAnsi="宋体" w:cs="宋体"/>
          <w:b/>
          <w:sz w:val="24"/>
          <w:szCs w:val="24"/>
        </w:rPr>
        <w:t>瑞安市综合行政执法局、瑞安市玉海街道办事处、瑞安市锦湖街道办事处、瑞安市潘岱街道办事处：</w:t>
      </w:r>
    </w:p>
    <w:p>
      <w:pPr>
        <w:spacing w:line="440" w:lineRule="atLeast"/>
        <w:ind w:left="359" w:leftChars="171" w:firstLine="420" w:firstLineChars="200"/>
        <w:rPr>
          <w:rFonts w:hint="eastAsia" w:ascii="宋体" w:hAnsi="宋体" w:cs="宋体"/>
          <w:szCs w:val="21"/>
        </w:rPr>
      </w:pPr>
      <w:r>
        <w:rPr>
          <w:rFonts w:hint="eastAsia" w:ascii="宋体" w:hAnsi="宋体" w:cs="宋体"/>
          <w:szCs w:val="21"/>
        </w:rPr>
        <w:t>我方全面阅读和研究了</w:t>
      </w:r>
      <w:r>
        <w:rPr>
          <w:rFonts w:hint="eastAsia" w:ascii="宋体" w:hAnsi="宋体" w:cs="宋体"/>
          <w:szCs w:val="21"/>
          <w:u w:val="single"/>
        </w:rPr>
        <w:t>服务项目[项目名称：       编号：</w:t>
      </w:r>
      <w:r>
        <w:rPr>
          <w:rFonts w:hint="eastAsia" w:ascii="宋体" w:hAnsi="宋体" w:cs="宋体"/>
          <w:szCs w:val="21"/>
          <w:u w:val="single"/>
          <w:lang w:eastAsia="zh-CN"/>
        </w:rPr>
        <w:t>DLCG-RA202104005</w:t>
      </w:r>
      <w:r>
        <w:rPr>
          <w:rFonts w:hint="eastAsia" w:ascii="宋体" w:hAnsi="宋体" w:cs="宋体"/>
          <w:szCs w:val="21"/>
          <w:u w:val="single"/>
        </w:rPr>
        <w:t xml:space="preserve">       ]</w:t>
      </w:r>
      <w:r>
        <w:rPr>
          <w:rFonts w:hint="eastAsia" w:ascii="宋体" w:hAnsi="宋体" w:cs="宋体"/>
          <w:szCs w:val="21"/>
        </w:rPr>
        <w:t>已充分理解和掌握本次招标的全部有关情况，充分理解</w:t>
      </w:r>
      <w:r>
        <w:rPr>
          <w:rFonts w:hint="eastAsia" w:ascii="宋体" w:hAnsi="宋体" w:cs="宋体"/>
          <w:szCs w:val="21"/>
          <w:u w:val="single"/>
        </w:rPr>
        <w:t>服务项目[项目名称：     编号：</w:t>
      </w:r>
      <w:r>
        <w:rPr>
          <w:rFonts w:hint="eastAsia" w:ascii="宋体" w:hAnsi="宋体" w:cs="宋体"/>
          <w:szCs w:val="21"/>
          <w:u w:val="single"/>
          <w:lang w:eastAsia="zh-CN"/>
        </w:rPr>
        <w:t>DLCG-RA202104005</w:t>
      </w:r>
      <w:r>
        <w:rPr>
          <w:rFonts w:hint="eastAsia" w:ascii="宋体" w:hAnsi="宋体" w:cs="宋体"/>
          <w:szCs w:val="21"/>
          <w:u w:val="single"/>
        </w:rPr>
        <w:t xml:space="preserve"> ]</w:t>
      </w:r>
      <w:r>
        <w:rPr>
          <w:rFonts w:hint="eastAsia" w:ascii="宋体" w:hAnsi="宋体" w:cs="宋体"/>
          <w:szCs w:val="21"/>
        </w:rPr>
        <w:t>的重要性，同意接受采购文件的全部内容和条件，如果我公司中标，承诺如下：</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1、按采购文件要求做好清扫保洁工作。</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2、对员工做好安全教育，消除事故隐患，并承担安全责任及发生的费用。</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3、自行解决员工食宿、机械车辆停车、洗车场地。</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4、在合同期内，同意因市政建设需要征用、临时占用需要调整清扫保洁面积时，采购人可根据占用的时间和面积数，扣除相应的清扫保洁费。</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5、在合同期内，出现新增道路，新增小区或因改造、改建新增清扫保洁面积时，采购人可根据实际情况做出调整，或增加清扫保洁费的决定。</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6、本清扫保洁作业除在招投标文件中列明并经招标单位同意外，同意不得将本项目分包与转包，一经发现立即取消承包资格，并承担由此引起的法律责任及一切经济损失。</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7、按采购文件的要求和承诺配备人员。擅自减少清扫保洁人员的，采购人有权收回缺位人员工资及所有费用并终止采购合同，没收履约保证金，保留向违规供应商进一步索赔的权利，将违规供应商列入不诚信供应商黑名单，三年内不得参加瑞安市区清扫保洁投标活动。</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8、作业机械车辆船只（含增配）弄虚作假没有实际作业的，一经发现，扣除作业机械车辆船只全年清扫费用，并终止采购合同，没收履约保证金，保留向违规供应商进一步索赔的权利，将违规供应商列入不诚信供应商黑名单，三年内不得参加瑞安市区清扫保洁投标活动。</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9、提供用于本项目的机动车辆、船只如出安全事故，则由我公司自行负责处理并承担相应责任和费用，并根据驾驶员责任大小处以500元-2000元的罚款，罚款从承包费中扣除。</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10、本项目专用的机械设备（车辆、船只）建立使用台账，做好使用记录。采购人有权进行检查</w:t>
      </w:r>
    </w:p>
    <w:p>
      <w:pPr>
        <w:keepNext w:val="0"/>
        <w:keepLines w:val="0"/>
        <w:pageBreakBefore w:val="0"/>
        <w:widowControl/>
        <w:kinsoku/>
        <w:wordWrap/>
        <w:overflowPunct/>
        <w:topLinePunct w:val="0"/>
        <w:autoSpaceDE/>
        <w:autoSpaceDN/>
        <w:bidi w:val="0"/>
        <w:adjustRightInd/>
        <w:snapToGrid/>
        <w:spacing w:line="360" w:lineRule="exact"/>
        <w:ind w:left="359" w:leftChars="171" w:firstLine="420" w:firstLineChars="200"/>
        <w:textAlignment w:val="auto"/>
        <w:rPr>
          <w:rFonts w:hint="eastAsia" w:ascii="宋体" w:hAnsi="宋体" w:cs="宋体"/>
          <w:szCs w:val="21"/>
        </w:rPr>
      </w:pPr>
      <w:r>
        <w:rPr>
          <w:rFonts w:hint="eastAsia" w:ascii="宋体" w:hAnsi="宋体" w:cs="宋体"/>
          <w:szCs w:val="21"/>
        </w:rPr>
        <w:t>11、如果我公司不遵守承诺，采购人有权没收履约保证金，并接受政府采购有关法规处罚，我们没有异议。</w:t>
      </w:r>
    </w:p>
    <w:p>
      <w:pPr>
        <w:spacing w:line="276" w:lineRule="auto"/>
        <w:ind w:right="480" w:firstLine="3364" w:firstLineChars="1602"/>
        <w:jc w:val="right"/>
        <w:rPr>
          <w:rFonts w:hint="eastAsia" w:ascii="宋体" w:hAnsi="宋体" w:cs="宋体"/>
          <w:szCs w:val="21"/>
        </w:rPr>
      </w:pPr>
    </w:p>
    <w:p>
      <w:pPr>
        <w:spacing w:line="276" w:lineRule="auto"/>
        <w:ind w:right="480" w:firstLine="3364" w:firstLineChars="1602"/>
        <w:jc w:val="right"/>
        <w:rPr>
          <w:rFonts w:hint="eastAsia" w:ascii="宋体" w:hAnsi="宋体" w:cs="宋体"/>
          <w:szCs w:val="21"/>
        </w:rPr>
      </w:pPr>
      <w:r>
        <w:rPr>
          <w:rFonts w:hint="eastAsia" w:ascii="宋体" w:hAnsi="宋体" w:cs="宋体"/>
          <w:szCs w:val="21"/>
        </w:rPr>
        <w:t>承诺单位（公章）：</w:t>
      </w:r>
    </w:p>
    <w:p>
      <w:pPr>
        <w:spacing w:line="276" w:lineRule="auto"/>
        <w:ind w:right="480" w:firstLine="3332" w:firstLineChars="1587"/>
        <w:jc w:val="right"/>
        <w:rPr>
          <w:rFonts w:hint="eastAsia" w:ascii="宋体" w:hAnsi="宋体" w:cs="宋体"/>
          <w:szCs w:val="21"/>
        </w:rPr>
      </w:pPr>
      <w:r>
        <w:rPr>
          <w:rFonts w:hint="eastAsia" w:ascii="宋体" w:hAnsi="宋体" w:cs="宋体"/>
          <w:szCs w:val="21"/>
        </w:rPr>
        <w:t>法定代表人或授权代表人（签字或盖章）：</w:t>
      </w:r>
    </w:p>
    <w:p>
      <w:pPr>
        <w:spacing w:line="276" w:lineRule="auto"/>
        <w:ind w:right="480" w:firstLine="3990" w:firstLineChars="1900"/>
        <w:jc w:val="right"/>
        <w:rPr>
          <w:rFonts w:hint="eastAsia" w:ascii="宋体" w:hAnsi="宋体" w:cs="宋体"/>
          <w:szCs w:val="21"/>
        </w:rPr>
      </w:pPr>
      <w:r>
        <w:rPr>
          <w:rFonts w:hint="eastAsia" w:ascii="宋体" w:hAnsi="宋体" w:cs="宋体"/>
          <w:szCs w:val="21"/>
        </w:rPr>
        <w:t>年   月   日</w:t>
      </w:r>
    </w:p>
    <w:bookmarkEnd w:id="317"/>
    <w:bookmarkEnd w:id="318"/>
    <w:bookmarkEnd w:id="319"/>
    <w:p>
      <w:pPr>
        <w:pStyle w:val="4"/>
        <w:numPr>
          <w:ilvl w:val="1"/>
          <w:numId w:val="0"/>
        </w:numPr>
        <w:spacing w:line="360" w:lineRule="auto"/>
        <w:jc w:val="center"/>
        <w:rPr>
          <w:rFonts w:hint="eastAsia" w:ascii="宋体" w:hAnsi="宋体" w:eastAsia="宋体" w:cs="宋体"/>
          <w:sz w:val="28"/>
          <w:szCs w:val="36"/>
        </w:rPr>
      </w:pPr>
      <w:bookmarkStart w:id="328" w:name="_Toc30837"/>
      <w:bookmarkStart w:id="329" w:name="_Toc20170"/>
      <w:bookmarkStart w:id="330" w:name="_Toc510077010"/>
      <w:bookmarkStart w:id="331" w:name="_Toc481591102"/>
      <w:bookmarkStart w:id="332" w:name="_Toc394599170"/>
      <w:bookmarkStart w:id="333" w:name="_Toc358022069"/>
      <w:bookmarkStart w:id="334" w:name="_Toc357070149"/>
      <w:bookmarkStart w:id="335" w:name="_Toc441841687"/>
      <w:bookmarkStart w:id="336" w:name="_Toc8939"/>
      <w:bookmarkStart w:id="337" w:name="_Toc364232511"/>
      <w:bookmarkStart w:id="338" w:name="_Toc441841689"/>
      <w:bookmarkStart w:id="339" w:name="_Toc481591104"/>
      <w:r>
        <w:rPr>
          <w:rFonts w:hint="eastAsia" w:ascii="宋体" w:hAnsi="宋体" w:eastAsia="宋体" w:cs="宋体"/>
          <w:sz w:val="28"/>
          <w:szCs w:val="36"/>
        </w:rPr>
        <w:t>附件五  建议与少量偏离表</w:t>
      </w:r>
      <w:bookmarkEnd w:id="328"/>
    </w:p>
    <w:p>
      <w:pPr>
        <w:spacing w:after="156" w:afterLines="50" w:line="400" w:lineRule="atLeast"/>
        <w:jc w:val="center"/>
        <w:rPr>
          <w:rFonts w:hint="eastAsia" w:ascii="宋体" w:hAnsi="宋体" w:cs="宋体"/>
        </w:rPr>
      </w:pPr>
      <w:r>
        <w:rPr>
          <w:rFonts w:hint="eastAsia" w:ascii="宋体" w:hAnsi="宋体" w:cs="宋体"/>
          <w:sz w:val="24"/>
          <w:szCs w:val="22"/>
        </w:rPr>
        <w:t>（商务和技术须分别填写）</w:t>
      </w:r>
    </w:p>
    <w:p>
      <w:pPr>
        <w:spacing w:line="400" w:lineRule="atLeast"/>
        <w:ind w:firstLine="422" w:firstLineChars="200"/>
        <w:rPr>
          <w:rFonts w:hint="eastAsia" w:ascii="宋体" w:hAnsi="宋体" w:cs="宋体"/>
          <w:szCs w:val="21"/>
        </w:rPr>
      </w:pPr>
      <w:r>
        <w:rPr>
          <w:rFonts w:hint="eastAsia" w:ascii="宋体" w:hAnsi="宋体" w:cs="宋体"/>
          <w:b/>
          <w:szCs w:val="21"/>
        </w:rPr>
        <w:t>项目名称：                                     项目编号：</w:t>
      </w:r>
    </w:p>
    <w:tbl>
      <w:tblPr>
        <w:tblStyle w:val="29"/>
        <w:tblW w:w="0" w:type="auto"/>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81"/>
        <w:gridCol w:w="4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93" w:type="dxa"/>
            <w:tcBorders>
              <w:top w:val="single" w:color="auto" w:sz="12" w:space="0"/>
              <w:bottom w:val="single" w:color="auto" w:sz="12" w:space="0"/>
            </w:tcBorders>
            <w:noWrap w:val="0"/>
            <w:vAlign w:val="center"/>
          </w:tcPr>
          <w:p>
            <w:pPr>
              <w:spacing w:line="400" w:lineRule="atLeast"/>
              <w:jc w:val="center"/>
              <w:rPr>
                <w:rFonts w:hint="eastAsia" w:ascii="宋体" w:hAnsi="宋体" w:cs="宋体"/>
                <w:b/>
                <w:bCs/>
              </w:rPr>
            </w:pPr>
            <w:r>
              <w:rPr>
                <w:rFonts w:hint="eastAsia" w:ascii="宋体" w:hAnsi="宋体" w:cs="宋体"/>
                <w:b/>
                <w:bCs/>
              </w:rPr>
              <w:t>序号</w:t>
            </w:r>
          </w:p>
        </w:tc>
        <w:tc>
          <w:tcPr>
            <w:tcW w:w="4181" w:type="dxa"/>
            <w:tcBorders>
              <w:top w:val="single" w:color="auto" w:sz="12" w:space="0"/>
              <w:bottom w:val="single" w:color="auto" w:sz="12" w:space="0"/>
            </w:tcBorders>
            <w:noWrap w:val="0"/>
            <w:vAlign w:val="center"/>
          </w:tcPr>
          <w:p>
            <w:pPr>
              <w:spacing w:line="400" w:lineRule="atLeast"/>
              <w:jc w:val="center"/>
              <w:rPr>
                <w:rFonts w:hint="eastAsia" w:ascii="宋体" w:hAnsi="宋体" w:cs="宋体"/>
                <w:b/>
                <w:bCs/>
              </w:rPr>
            </w:pPr>
            <w:r>
              <w:rPr>
                <w:rFonts w:hint="eastAsia" w:ascii="宋体" w:hAnsi="宋体" w:cs="宋体"/>
                <w:b/>
                <w:bCs/>
              </w:rPr>
              <w:t>招标文件重述</w:t>
            </w:r>
          </w:p>
        </w:tc>
        <w:tc>
          <w:tcPr>
            <w:tcW w:w="4182" w:type="dxa"/>
            <w:tcBorders>
              <w:top w:val="single" w:color="auto" w:sz="12" w:space="0"/>
              <w:bottom w:val="single" w:color="auto" w:sz="12" w:space="0"/>
            </w:tcBorders>
            <w:noWrap w:val="0"/>
            <w:vAlign w:val="center"/>
          </w:tcPr>
          <w:p>
            <w:pPr>
              <w:spacing w:line="400" w:lineRule="atLeast"/>
              <w:jc w:val="center"/>
              <w:rPr>
                <w:rFonts w:hint="eastAsia" w:ascii="宋体" w:hAnsi="宋体" w:cs="宋体"/>
                <w:b/>
                <w:bCs/>
              </w:rPr>
            </w:pPr>
            <w:r>
              <w:rPr>
                <w:rFonts w:hint="eastAsia" w:ascii="宋体" w:hAnsi="宋体" w:cs="宋体"/>
                <w:b/>
                <w:bCs/>
              </w:rPr>
              <w:t>偏离或投标供应商建议（条件）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96" w:hRule="atLeast"/>
        </w:trPr>
        <w:tc>
          <w:tcPr>
            <w:tcW w:w="993" w:type="dxa"/>
            <w:tcBorders>
              <w:top w:val="single" w:color="auto" w:sz="12" w:space="0"/>
            </w:tcBorders>
            <w:noWrap w:val="0"/>
            <w:vAlign w:val="top"/>
          </w:tcPr>
          <w:p>
            <w:pPr>
              <w:spacing w:line="400" w:lineRule="atLeast"/>
              <w:ind w:firstLine="592"/>
              <w:rPr>
                <w:rFonts w:hint="eastAsia" w:ascii="宋体" w:hAnsi="宋体" w:cs="宋体"/>
              </w:rPr>
            </w:pPr>
          </w:p>
        </w:tc>
        <w:tc>
          <w:tcPr>
            <w:tcW w:w="4181" w:type="dxa"/>
            <w:tcBorders>
              <w:top w:val="single" w:color="auto" w:sz="12" w:space="0"/>
            </w:tcBorders>
            <w:noWrap w:val="0"/>
            <w:vAlign w:val="top"/>
          </w:tcPr>
          <w:p>
            <w:pPr>
              <w:spacing w:line="400" w:lineRule="atLeast"/>
              <w:ind w:firstLine="592"/>
              <w:rPr>
                <w:rFonts w:hint="eastAsia" w:ascii="宋体" w:hAnsi="宋体" w:cs="宋体"/>
              </w:rPr>
            </w:pPr>
          </w:p>
        </w:tc>
        <w:tc>
          <w:tcPr>
            <w:tcW w:w="4182" w:type="dxa"/>
            <w:tcBorders>
              <w:top w:val="single" w:color="auto" w:sz="12" w:space="0"/>
            </w:tcBorders>
            <w:noWrap w:val="0"/>
            <w:vAlign w:val="top"/>
          </w:tcPr>
          <w:p>
            <w:pPr>
              <w:spacing w:line="400" w:lineRule="atLeast"/>
              <w:ind w:firstLine="592"/>
              <w:rPr>
                <w:rFonts w:hint="eastAsia" w:ascii="宋体" w:hAnsi="宋体" w:cs="宋体"/>
              </w:rPr>
            </w:pPr>
          </w:p>
        </w:tc>
      </w:tr>
    </w:tbl>
    <w:p>
      <w:pPr>
        <w:pStyle w:val="22"/>
        <w:tabs>
          <w:tab w:val="left" w:pos="945"/>
        </w:tabs>
        <w:spacing w:line="400" w:lineRule="atLeast"/>
        <w:rPr>
          <w:rFonts w:hint="eastAsia" w:cs="宋体"/>
          <w:color w:val="auto"/>
        </w:rPr>
      </w:pPr>
      <w:r>
        <w:rPr>
          <w:rFonts w:hint="eastAsia" w:cs="宋体"/>
          <w:color w:val="auto"/>
        </w:rPr>
        <w:t>注：如不填写，则视为完全响应招标文件的技术及商务要求。</w:t>
      </w:r>
    </w:p>
    <w:p>
      <w:pPr>
        <w:spacing w:line="480" w:lineRule="auto"/>
        <w:ind w:right="-2" w:firstLine="5250" w:firstLineChars="2500"/>
        <w:rPr>
          <w:rFonts w:hint="eastAsia" w:ascii="宋体" w:hAnsi="宋体" w:cs="宋体"/>
        </w:rPr>
      </w:pPr>
      <w:r>
        <w:rPr>
          <w:rFonts w:hint="eastAsia" w:ascii="宋体" w:hAnsi="宋体" w:cs="宋体"/>
        </w:rPr>
        <w:t>投标供应商（公章）：</w:t>
      </w:r>
    </w:p>
    <w:p>
      <w:pPr>
        <w:spacing w:line="48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48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pStyle w:val="4"/>
        <w:numPr>
          <w:ilvl w:val="1"/>
          <w:numId w:val="0"/>
        </w:numPr>
        <w:spacing w:after="0" w:line="360" w:lineRule="auto"/>
        <w:jc w:val="center"/>
        <w:rPr>
          <w:rFonts w:hint="eastAsia" w:ascii="宋体" w:hAnsi="宋体" w:eastAsia="宋体" w:cs="宋体"/>
        </w:rPr>
      </w:pPr>
      <w:bookmarkStart w:id="340" w:name="_Toc5641"/>
      <w:r>
        <w:rPr>
          <w:rFonts w:hint="eastAsia" w:ascii="宋体" w:hAnsi="宋体" w:eastAsia="宋体" w:cs="宋体"/>
        </w:rPr>
        <w:t>附件六   环卫保洁实施方案</w:t>
      </w:r>
      <w:bookmarkEnd w:id="329"/>
      <w:bookmarkEnd w:id="340"/>
    </w:p>
    <w:p>
      <w:pPr>
        <w:spacing w:line="360" w:lineRule="exact"/>
        <w:ind w:firstLine="330" w:firstLineChars="150"/>
        <w:rPr>
          <w:rFonts w:hint="eastAsia" w:ascii="宋体" w:hAnsi="宋体" w:cs="宋体"/>
          <w:sz w:val="22"/>
        </w:rPr>
      </w:pPr>
      <w:r>
        <w:rPr>
          <w:rFonts w:hint="eastAsia" w:ascii="宋体" w:hAnsi="宋体" w:cs="宋体"/>
          <w:sz w:val="22"/>
        </w:rPr>
        <w:t>投标供应商应按照招标要求提交以下投标技术方案（包括但不限于以下各项，关于本项目现场情况可结合现场照片进行表述）：</w:t>
      </w:r>
    </w:p>
    <w:p>
      <w:pPr>
        <w:spacing w:line="360" w:lineRule="exact"/>
        <w:ind w:firstLine="316" w:firstLineChars="150"/>
        <w:rPr>
          <w:rFonts w:hint="eastAsia" w:ascii="宋体" w:hAnsi="宋体" w:cs="宋体"/>
          <w:sz w:val="28"/>
          <w:szCs w:val="28"/>
        </w:rPr>
      </w:pPr>
      <w:r>
        <w:rPr>
          <w:rFonts w:hint="eastAsia" w:ascii="宋体" w:hAnsi="宋体" w:cs="宋体"/>
          <w:b/>
          <w:bCs/>
        </w:rPr>
        <w:t>编制目录及评分索引表，在索引表内注明评标细则项目所在技术商务文件投标文件页码。</w:t>
      </w:r>
    </w:p>
    <w:p>
      <w:pPr>
        <w:numPr>
          <w:ilvl w:val="0"/>
          <w:numId w:val="48"/>
        </w:numPr>
        <w:snapToGrid w:val="0"/>
        <w:spacing w:line="360" w:lineRule="exact"/>
        <w:rPr>
          <w:rFonts w:hint="eastAsia" w:ascii="宋体" w:hAnsi="宋体" w:cs="宋体"/>
          <w:b/>
          <w:szCs w:val="21"/>
        </w:rPr>
      </w:pPr>
      <w:r>
        <w:rPr>
          <w:rFonts w:hint="eastAsia" w:ascii="宋体" w:hAnsi="宋体" w:cs="宋体"/>
          <w:b/>
          <w:szCs w:val="21"/>
        </w:rPr>
        <w:t>对本项目保洁工作的现状调查与问题剖析</w:t>
      </w:r>
    </w:p>
    <w:p>
      <w:pPr>
        <w:spacing w:line="360" w:lineRule="exact"/>
        <w:ind w:left="439" w:leftChars="209" w:firstLine="315" w:firstLineChars="150"/>
        <w:rPr>
          <w:rFonts w:hint="eastAsia" w:ascii="宋体" w:hAnsi="宋体" w:cs="宋体"/>
          <w:szCs w:val="21"/>
        </w:rPr>
      </w:pPr>
      <w:r>
        <w:rPr>
          <w:rFonts w:hint="eastAsia" w:ascii="宋体" w:hAnsi="宋体" w:cs="宋体"/>
          <w:szCs w:val="21"/>
        </w:rPr>
        <w:t>根据投标供应商对项目范围内道路的现状、保洁情况、存在的问题和本项目清扫保洁的重点、难点等问题进行调查剖析，并针对性的提出合理化的设想和建议。</w:t>
      </w:r>
    </w:p>
    <w:p>
      <w:pPr>
        <w:numPr>
          <w:ilvl w:val="0"/>
          <w:numId w:val="48"/>
        </w:numPr>
        <w:snapToGrid w:val="0"/>
        <w:spacing w:line="360" w:lineRule="exact"/>
        <w:rPr>
          <w:rFonts w:hint="eastAsia" w:ascii="宋体" w:hAnsi="宋体" w:cs="宋体"/>
          <w:b/>
          <w:szCs w:val="21"/>
        </w:rPr>
      </w:pPr>
      <w:r>
        <w:rPr>
          <w:rFonts w:hint="eastAsia" w:ascii="宋体" w:hAnsi="宋体" w:cs="宋体"/>
          <w:b/>
          <w:szCs w:val="21"/>
        </w:rPr>
        <w:t>清扫保洁具体实施计划和方案，包括（但不限于）：</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1）道路（含公路、桥梁</w:t>
      </w:r>
      <w:r>
        <w:rPr>
          <w:rFonts w:hint="eastAsia" w:ascii="宋体" w:hAnsi="宋体" w:cs="宋体"/>
          <w:szCs w:val="21"/>
          <w:lang w:eastAsia="zh-CN"/>
        </w:rPr>
        <w:t>、“</w:t>
      </w:r>
      <w:r>
        <w:rPr>
          <w:rFonts w:hint="eastAsia" w:ascii="宋体" w:hAnsi="宋体" w:cs="宋体"/>
          <w:szCs w:val="21"/>
        </w:rPr>
        <w:t>席地而坐</w:t>
      </w:r>
      <w:r>
        <w:rPr>
          <w:rFonts w:hint="eastAsia" w:ascii="宋体" w:hAnsi="宋体" w:cs="宋体"/>
          <w:szCs w:val="21"/>
          <w:lang w:eastAsia="zh-CN"/>
        </w:rPr>
        <w:t>”</w:t>
      </w:r>
      <w:r>
        <w:rPr>
          <w:rFonts w:hint="eastAsia" w:ascii="宋体" w:hAnsi="宋体" w:cs="宋体"/>
          <w:szCs w:val="21"/>
        </w:rPr>
        <w:t>）保洁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2）公园、广场及公共绿地保洁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3）市政设施保洁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4）城市家具保洁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5）堤坝保洁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6）河道保洁</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7）公厕保洁（含除臭设施）</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8）垃圾收集及清运</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9）小广告治理</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10）无主建筑垃圾清运</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11）垃圾分类运输</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12）清扫保洁规范管理措施及保障</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13）安全生产（包括但不限于车辆安全、人员安全、生产安全等）培训计划</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14）安全生产（包括但不限于车辆安全、人员安全、生产安全等）培训内容</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15）与《瑞安市智慧环卫平台》对接承诺及相关措施方案</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16）在中标后与采购人（相应街道）、原承包单位的移交及对接方案</w:t>
      </w:r>
    </w:p>
    <w:p>
      <w:pPr>
        <w:spacing w:line="360" w:lineRule="exact"/>
        <w:ind w:left="439" w:leftChars="209" w:firstLine="422" w:firstLineChars="200"/>
        <w:rPr>
          <w:rFonts w:hint="eastAsia" w:ascii="宋体" w:hAnsi="宋体" w:cs="宋体"/>
          <w:b/>
          <w:szCs w:val="21"/>
        </w:rPr>
      </w:pPr>
      <w:r>
        <w:rPr>
          <w:rFonts w:hint="eastAsia" w:ascii="宋体" w:hAnsi="宋体" w:cs="宋体"/>
          <w:b/>
          <w:szCs w:val="21"/>
        </w:rPr>
        <w:t>17）服务的人员人数、工作排班、时间安排和分工计划，拟投入的管理、作业人员人数、作业车辆、耗材等所投入的数量、概况及力度（</w:t>
      </w:r>
      <w:r>
        <w:rPr>
          <w:rFonts w:hint="eastAsia" w:ascii="宋体" w:hAnsi="宋体" w:cs="宋体"/>
          <w:b/>
          <w:szCs w:val="21"/>
          <w:u w:val="single"/>
        </w:rPr>
        <w:t>供应商可以用表格方式列出投标承诺投入车辆、船只、机械设备等，表格自拟）</w:t>
      </w:r>
      <w:r>
        <w:rPr>
          <w:rFonts w:hint="eastAsia" w:ascii="宋体" w:hAnsi="宋体" w:cs="宋体"/>
          <w:b/>
          <w:szCs w:val="21"/>
        </w:rPr>
        <w:t>。提供每条道路的清扫保洁人员、巡回保洁人员、绿化带保洁人员、果壳箱清洗人员配置清单</w:t>
      </w:r>
    </w:p>
    <w:p>
      <w:pPr>
        <w:numPr>
          <w:ilvl w:val="0"/>
          <w:numId w:val="48"/>
        </w:numPr>
        <w:snapToGrid w:val="0"/>
        <w:spacing w:line="360" w:lineRule="exact"/>
        <w:rPr>
          <w:rFonts w:hint="eastAsia" w:ascii="宋体" w:hAnsi="宋体" w:cs="宋体"/>
          <w:b/>
          <w:szCs w:val="21"/>
        </w:rPr>
      </w:pPr>
      <w:r>
        <w:rPr>
          <w:rFonts w:hint="eastAsia" w:ascii="宋体" w:hAnsi="宋体" w:cs="宋体"/>
          <w:b/>
          <w:szCs w:val="21"/>
        </w:rPr>
        <w:t>应付突发事情的响应及处理方案</w:t>
      </w:r>
    </w:p>
    <w:p>
      <w:pPr>
        <w:numPr>
          <w:ilvl w:val="0"/>
          <w:numId w:val="48"/>
        </w:numPr>
        <w:snapToGrid w:val="0"/>
        <w:spacing w:line="360" w:lineRule="exact"/>
        <w:rPr>
          <w:rFonts w:hint="eastAsia" w:ascii="宋体" w:hAnsi="宋体" w:cs="宋体"/>
          <w:b/>
          <w:szCs w:val="21"/>
        </w:rPr>
      </w:pPr>
      <w:r>
        <w:rPr>
          <w:rFonts w:hint="eastAsia" w:ascii="宋体" w:hAnsi="宋体" w:cs="宋体"/>
          <w:szCs w:val="21"/>
        </w:rPr>
        <w:t>日常管理组织、拟设立的各项管理规章制度及档案资料的建立管理：</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1）日常管理组织、各项公众制度、内部岗位责任制度、管理运作制度、考核制度及标准等，要求符合规范，体现高标准、高档次、科学合理、详细完备；</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2）人员、设施、设备管理服务、业主方反馈资料、行政文件资料等档案的建立与管理</w:t>
      </w:r>
    </w:p>
    <w:p>
      <w:pPr>
        <w:spacing w:line="360" w:lineRule="exact"/>
        <w:ind w:left="439" w:leftChars="209" w:firstLine="420" w:firstLineChars="200"/>
        <w:rPr>
          <w:rFonts w:hint="eastAsia" w:ascii="宋体" w:hAnsi="宋体" w:cs="宋体"/>
          <w:szCs w:val="21"/>
        </w:rPr>
      </w:pPr>
      <w:r>
        <w:rPr>
          <w:rFonts w:hint="eastAsia" w:ascii="宋体" w:hAnsi="宋体" w:cs="宋体"/>
          <w:szCs w:val="21"/>
        </w:rPr>
        <w:t>3）</w:t>
      </w:r>
      <w:r>
        <w:rPr>
          <w:rFonts w:hint="eastAsia" w:ascii="宋体" w:hAnsi="宋体" w:cs="宋体"/>
          <w:szCs w:val="22"/>
        </w:rPr>
        <w:t>除采购人的瑞安市智慧环卫监管平台外，供应商企业内部服务于本项目信息化管理平台的便利性、系统性、先进性</w:t>
      </w:r>
    </w:p>
    <w:p>
      <w:pPr>
        <w:numPr>
          <w:ilvl w:val="0"/>
          <w:numId w:val="48"/>
        </w:numPr>
        <w:snapToGrid w:val="0"/>
        <w:spacing w:line="360" w:lineRule="exact"/>
        <w:rPr>
          <w:rFonts w:hint="eastAsia" w:ascii="宋体" w:hAnsi="宋体" w:cs="宋体"/>
          <w:b/>
          <w:szCs w:val="21"/>
        </w:rPr>
      </w:pPr>
      <w:r>
        <w:rPr>
          <w:rFonts w:hint="eastAsia" w:ascii="宋体" w:hAnsi="宋体" w:cs="宋体"/>
          <w:b/>
          <w:szCs w:val="21"/>
        </w:rPr>
        <w:t>车辆优化作业方案说明</w:t>
      </w:r>
    </w:p>
    <w:p>
      <w:pPr>
        <w:spacing w:line="360" w:lineRule="exact"/>
        <w:ind w:left="439" w:leftChars="209" w:firstLine="420" w:firstLineChars="200"/>
        <w:rPr>
          <w:rFonts w:hint="eastAsia" w:ascii="宋体" w:hAnsi="宋体" w:cs="宋体"/>
        </w:rPr>
      </w:pPr>
      <w:r>
        <w:rPr>
          <w:rFonts w:hint="eastAsia" w:ascii="宋体" w:hAnsi="宋体" w:cs="宋体"/>
          <w:szCs w:val="21"/>
        </w:rPr>
        <w:t>增加道路机扫、清洗、洒水、降尘、垃圾分类运输作业、人员等作业时间和频次</w:t>
      </w:r>
    </w:p>
    <w:p>
      <w:pPr>
        <w:pStyle w:val="4"/>
        <w:jc w:val="center"/>
        <w:rPr>
          <w:rFonts w:hint="eastAsia" w:ascii="宋体" w:hAnsi="宋体" w:eastAsia="宋体" w:cs="宋体"/>
          <w:sz w:val="28"/>
        </w:rPr>
      </w:pPr>
      <w:r>
        <w:rPr>
          <w:rFonts w:hint="eastAsia" w:ascii="宋体" w:hAnsi="宋体" w:eastAsia="宋体" w:cs="宋体"/>
          <w:szCs w:val="21"/>
        </w:rPr>
        <w:br w:type="page"/>
      </w:r>
      <w:bookmarkStart w:id="341" w:name="_Toc29682"/>
      <w:r>
        <w:rPr>
          <w:rFonts w:hint="eastAsia" w:ascii="宋体" w:hAnsi="宋体" w:eastAsia="宋体" w:cs="宋体"/>
          <w:sz w:val="28"/>
        </w:rPr>
        <w:t>附件七  拟投入本项目人员配置明细表</w:t>
      </w:r>
      <w:bookmarkEnd w:id="341"/>
    </w:p>
    <w:p>
      <w:pPr>
        <w:pStyle w:val="17"/>
        <w:spacing w:line="400" w:lineRule="atLeast"/>
        <w:ind w:left="661" w:leftChars="315" w:firstLine="1960" w:firstLineChars="700"/>
        <w:rPr>
          <w:rFonts w:hint="eastAsia" w:ascii="宋体" w:hAnsi="宋体" w:cs="宋体"/>
          <w:sz w:val="28"/>
          <w:szCs w:val="28"/>
        </w:rPr>
      </w:pPr>
      <w:r>
        <w:rPr>
          <w:rFonts w:hint="eastAsia" w:ascii="宋体" w:hAnsi="宋体" w:cs="宋体"/>
          <w:sz w:val="28"/>
          <w:szCs w:val="28"/>
        </w:rPr>
        <w:t>（1）项目负责人简历表</w:t>
      </w:r>
    </w:p>
    <w:p>
      <w:pPr>
        <w:pStyle w:val="17"/>
        <w:spacing w:line="400" w:lineRule="atLeast"/>
        <w:ind w:left="660" w:hanging="660" w:hangingChars="300"/>
        <w:rPr>
          <w:rFonts w:hint="eastAsia" w:ascii="宋体" w:hAnsi="宋体" w:cs="宋体"/>
          <w:sz w:val="22"/>
          <w:u w:val="single"/>
        </w:rPr>
      </w:pPr>
      <w:r>
        <w:rPr>
          <w:rFonts w:hint="eastAsia" w:ascii="宋体" w:hAnsi="宋体" w:cs="宋体"/>
          <w:sz w:val="22"/>
        </w:rPr>
        <w:t>项目名称：                                            招标编号：</w:t>
      </w:r>
    </w:p>
    <w:tbl>
      <w:tblPr>
        <w:tblStyle w:val="2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868"/>
        <w:gridCol w:w="1530"/>
        <w:gridCol w:w="1635"/>
        <w:gridCol w:w="979"/>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167" w:type="dxa"/>
            <w:tcBorders>
              <w:top w:val="single" w:color="auto" w:sz="12" w:space="0"/>
              <w:left w:val="single" w:color="auto" w:sz="12"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姓 名</w:t>
            </w:r>
          </w:p>
        </w:tc>
        <w:tc>
          <w:tcPr>
            <w:tcW w:w="1868" w:type="dxa"/>
            <w:tcBorders>
              <w:top w:val="single" w:color="auto" w:sz="12"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c>
          <w:tcPr>
            <w:tcW w:w="1530" w:type="dxa"/>
            <w:tcBorders>
              <w:top w:val="single" w:color="auto" w:sz="12"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性 别</w:t>
            </w:r>
          </w:p>
        </w:tc>
        <w:tc>
          <w:tcPr>
            <w:tcW w:w="1635" w:type="dxa"/>
            <w:tcBorders>
              <w:top w:val="single" w:color="auto" w:sz="12"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c>
          <w:tcPr>
            <w:tcW w:w="979" w:type="dxa"/>
            <w:tcBorders>
              <w:top w:val="single" w:color="auto" w:sz="12"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年 龄</w:t>
            </w:r>
          </w:p>
        </w:tc>
        <w:tc>
          <w:tcPr>
            <w:tcW w:w="2061" w:type="dxa"/>
            <w:tcBorders>
              <w:top w:val="single" w:color="auto" w:sz="12" w:space="0"/>
              <w:left w:val="single" w:color="auto" w:sz="6" w:space="0"/>
              <w:bottom w:val="single" w:color="auto" w:sz="6" w:space="0"/>
              <w:right w:val="single" w:color="auto" w:sz="12"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167" w:type="dxa"/>
            <w:tcBorders>
              <w:top w:val="single" w:color="auto" w:sz="6" w:space="0"/>
              <w:left w:val="single" w:color="auto" w:sz="12"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学 历</w:t>
            </w:r>
          </w:p>
        </w:tc>
        <w:tc>
          <w:tcPr>
            <w:tcW w:w="1868" w:type="dxa"/>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c>
          <w:tcPr>
            <w:tcW w:w="1530" w:type="dxa"/>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职 称</w:t>
            </w:r>
          </w:p>
        </w:tc>
        <w:tc>
          <w:tcPr>
            <w:tcW w:w="1635" w:type="dxa"/>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c>
          <w:tcPr>
            <w:tcW w:w="979" w:type="dxa"/>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职 务</w:t>
            </w:r>
          </w:p>
        </w:tc>
        <w:tc>
          <w:tcPr>
            <w:tcW w:w="2061" w:type="dxa"/>
            <w:tcBorders>
              <w:top w:val="single" w:color="auto" w:sz="6" w:space="0"/>
              <w:left w:val="single" w:color="auto" w:sz="6" w:space="0"/>
              <w:bottom w:val="single" w:color="auto" w:sz="6" w:space="0"/>
              <w:right w:val="single" w:color="auto" w:sz="12"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167" w:type="dxa"/>
            <w:tcBorders>
              <w:top w:val="single" w:color="auto" w:sz="6" w:space="0"/>
              <w:left w:val="single" w:color="auto" w:sz="12"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联系电话</w:t>
            </w:r>
          </w:p>
        </w:tc>
        <w:tc>
          <w:tcPr>
            <w:tcW w:w="3398" w:type="dxa"/>
            <w:gridSpan w:val="2"/>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pPr>
              <w:pStyle w:val="17"/>
              <w:spacing w:line="400" w:lineRule="atLeast"/>
              <w:ind w:left="661" w:leftChars="315"/>
              <w:rPr>
                <w:rFonts w:hint="eastAsia" w:ascii="宋体" w:hAnsi="宋体" w:cs="宋体"/>
                <w:kern w:val="2"/>
                <w:sz w:val="22"/>
                <w:szCs w:val="22"/>
                <w:lang w:val="en-US" w:eastAsia="zh-CN"/>
              </w:rPr>
            </w:pPr>
            <w:r>
              <w:rPr>
                <w:rFonts w:hint="eastAsia" w:ascii="宋体" w:hAnsi="宋体" w:cs="宋体"/>
                <w:kern w:val="2"/>
                <w:sz w:val="22"/>
                <w:szCs w:val="22"/>
                <w:lang w:val="en-US" w:eastAsia="zh-CN"/>
              </w:rPr>
              <w:t>手 机</w:t>
            </w:r>
          </w:p>
        </w:tc>
        <w:tc>
          <w:tcPr>
            <w:tcW w:w="3040" w:type="dxa"/>
            <w:gridSpan w:val="2"/>
            <w:tcBorders>
              <w:top w:val="single" w:color="auto" w:sz="6" w:space="0"/>
              <w:left w:val="single" w:color="auto" w:sz="6" w:space="0"/>
              <w:bottom w:val="single" w:color="auto" w:sz="6" w:space="0"/>
              <w:right w:val="single" w:color="auto" w:sz="12" w:space="0"/>
            </w:tcBorders>
            <w:noWrap w:val="0"/>
            <w:vAlign w:val="center"/>
          </w:tcPr>
          <w:p>
            <w:pPr>
              <w:pStyle w:val="17"/>
              <w:spacing w:line="400" w:lineRule="atLeast"/>
              <w:ind w:left="660" w:hanging="660" w:hangingChars="300"/>
              <w:rPr>
                <w:rFonts w:hint="eastAsia" w:ascii="宋体" w:hAnsi="宋体" w:cs="宋体"/>
                <w:kern w:val="2"/>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9240" w:type="dxa"/>
            <w:gridSpan w:val="6"/>
            <w:tcBorders>
              <w:top w:val="single" w:color="auto" w:sz="6" w:space="0"/>
              <w:left w:val="single" w:color="auto" w:sz="12" w:space="0"/>
              <w:bottom w:val="single" w:color="auto" w:sz="12" w:space="0"/>
              <w:right w:val="single" w:color="auto" w:sz="12" w:space="0"/>
            </w:tcBorders>
            <w:noWrap w:val="0"/>
            <w:vAlign w:val="top"/>
          </w:tcPr>
          <w:p>
            <w:pPr>
              <w:pStyle w:val="17"/>
              <w:spacing w:line="400" w:lineRule="atLeast"/>
              <w:ind w:left="660" w:hanging="660" w:hangingChars="300"/>
              <w:rPr>
                <w:rFonts w:hint="eastAsia" w:ascii="宋体" w:hAnsi="宋体" w:cs="宋体"/>
                <w:kern w:val="2"/>
                <w:sz w:val="22"/>
                <w:szCs w:val="22"/>
                <w:lang w:val="en-US" w:eastAsia="zh-CN"/>
              </w:rPr>
            </w:pPr>
            <w:r>
              <w:rPr>
                <w:rFonts w:hint="eastAsia" w:ascii="宋体" w:hAnsi="宋体" w:cs="宋体"/>
                <w:kern w:val="2"/>
                <w:sz w:val="22"/>
                <w:szCs w:val="22"/>
                <w:lang w:val="en-US" w:eastAsia="zh-CN"/>
              </w:rPr>
              <w:t>近五年从事相关工作经历及荣誉：</w:t>
            </w:r>
          </w:p>
        </w:tc>
      </w:tr>
    </w:tbl>
    <w:p>
      <w:pPr>
        <w:pStyle w:val="17"/>
        <w:spacing w:line="300" w:lineRule="exact"/>
        <w:ind w:left="660" w:hanging="660" w:hangingChars="300"/>
        <w:rPr>
          <w:rFonts w:hint="eastAsia" w:ascii="宋体" w:hAnsi="宋体" w:cs="宋体"/>
        </w:rPr>
      </w:pPr>
      <w:r>
        <w:rPr>
          <w:rFonts w:hint="eastAsia" w:ascii="宋体" w:hAnsi="宋体" w:cs="宋体"/>
          <w:sz w:val="22"/>
        </w:rPr>
        <w:t>注：1、</w:t>
      </w:r>
      <w:r>
        <w:rPr>
          <w:rFonts w:hint="eastAsia" w:ascii="宋体" w:hAnsi="宋体" w:cs="宋体"/>
        </w:rPr>
        <w:t>本表中项目负责人有资格证书的需随表提交职称、资格证书，类似执业经历需提供合同（合同上不能体现人员姓名的，另提供业主证明，否则不予计分）。证明材料扫描件加盖公章。</w:t>
      </w:r>
    </w:p>
    <w:p>
      <w:pPr>
        <w:pStyle w:val="22"/>
        <w:spacing w:line="300" w:lineRule="exact"/>
        <w:rPr>
          <w:rFonts w:hint="eastAsia" w:cs="宋体"/>
          <w:color w:val="auto"/>
        </w:rPr>
      </w:pPr>
      <w:r>
        <w:rPr>
          <w:rFonts w:hint="eastAsia" w:cs="宋体"/>
          <w:color w:val="auto"/>
        </w:rPr>
        <w:t>2、项目负责人</w:t>
      </w:r>
      <w:r>
        <w:rPr>
          <w:rFonts w:hint="eastAsia" w:cs="宋体"/>
          <w:snapToGrid w:val="0"/>
          <w:color w:val="auto"/>
          <w:szCs w:val="21"/>
          <w:lang w:val="en-US" w:eastAsia="zh-CN"/>
        </w:rPr>
        <w:t>须为公司正式在编人员，提供本单位近期的社保证明</w:t>
      </w:r>
      <w:r>
        <w:rPr>
          <w:rFonts w:hint="eastAsia" w:cs="宋体"/>
          <w:color w:val="auto"/>
        </w:rPr>
        <w:t>（可以由省政务网上打印）</w:t>
      </w:r>
      <w:r>
        <w:rPr>
          <w:rFonts w:hint="eastAsia" w:cs="宋体"/>
          <w:snapToGrid w:val="0"/>
          <w:color w:val="auto"/>
          <w:szCs w:val="21"/>
          <w:lang w:val="en-US" w:eastAsia="zh-CN"/>
        </w:rPr>
        <w:t>或劳务合同或其他相关证明材料</w:t>
      </w:r>
      <w:r>
        <w:rPr>
          <w:rFonts w:hint="eastAsia" w:cs="宋体"/>
          <w:color w:val="auto"/>
        </w:rPr>
        <w:t>。</w:t>
      </w:r>
    </w:p>
    <w:p>
      <w:pPr>
        <w:pStyle w:val="22"/>
        <w:spacing w:line="300" w:lineRule="exact"/>
        <w:rPr>
          <w:rFonts w:hint="eastAsia" w:cs="宋体"/>
          <w:color w:val="auto"/>
          <w:sz w:val="22"/>
        </w:rPr>
      </w:pPr>
      <w:r>
        <w:rPr>
          <w:rFonts w:hint="eastAsia" w:cs="宋体"/>
          <w:color w:val="auto"/>
        </w:rPr>
        <w:t>3、列入本表人员如要更换，需经采购人同意；擅自更换或不到位属违约行为。</w:t>
      </w:r>
    </w:p>
    <w:p>
      <w:pPr>
        <w:ind w:left="4200" w:leftChars="2000"/>
        <w:rPr>
          <w:rFonts w:hint="eastAsia" w:ascii="宋体" w:hAnsi="宋体" w:cs="宋体"/>
          <w:szCs w:val="21"/>
        </w:rPr>
      </w:pPr>
      <w:r>
        <w:rPr>
          <w:rFonts w:hint="eastAsia" w:ascii="宋体" w:hAnsi="宋体" w:cs="宋体"/>
          <w:szCs w:val="21"/>
        </w:rPr>
        <w:t>投标供应商全称（公章）：</w:t>
      </w:r>
    </w:p>
    <w:p>
      <w:pPr>
        <w:ind w:left="4200" w:leftChars="2000"/>
        <w:rPr>
          <w:rFonts w:hint="eastAsia" w:ascii="宋体" w:hAnsi="宋体" w:cs="宋体"/>
          <w:szCs w:val="21"/>
        </w:rPr>
      </w:pPr>
      <w:r>
        <w:rPr>
          <w:rFonts w:hint="eastAsia" w:ascii="宋体" w:hAnsi="宋体" w:cs="宋体"/>
          <w:szCs w:val="21"/>
        </w:rPr>
        <w:t>法定代表人或授权代表（签字或盖章）：</w:t>
      </w:r>
    </w:p>
    <w:p>
      <w:pPr>
        <w:ind w:left="4200" w:leftChars="2000"/>
        <w:rPr>
          <w:rFonts w:hint="eastAsia" w:ascii="宋体" w:hAnsi="宋体" w:cs="宋体"/>
          <w:szCs w:val="21"/>
        </w:rPr>
      </w:pPr>
      <w:r>
        <w:rPr>
          <w:rFonts w:hint="eastAsia" w:ascii="宋体" w:hAnsi="宋体" w:cs="宋体"/>
          <w:szCs w:val="21"/>
        </w:rPr>
        <w:t>日期：</w:t>
      </w:r>
    </w:p>
    <w:p>
      <w:pPr>
        <w:pStyle w:val="84"/>
        <w:rPr>
          <w:rFonts w:hint="eastAsia" w:ascii="宋体" w:hAnsi="宋体" w:eastAsia="宋体" w:cs="宋体"/>
        </w:rPr>
      </w:pPr>
    </w:p>
    <w:p>
      <w:pPr>
        <w:pStyle w:val="17"/>
        <w:spacing w:line="460" w:lineRule="exact"/>
        <w:ind w:left="661" w:leftChars="315" w:firstLine="1960" w:firstLineChars="700"/>
        <w:rPr>
          <w:rFonts w:hint="eastAsia" w:ascii="宋体" w:hAnsi="宋体" w:cs="宋体"/>
          <w:sz w:val="28"/>
          <w:szCs w:val="28"/>
        </w:rPr>
      </w:pPr>
      <w:r>
        <w:rPr>
          <w:rFonts w:hint="eastAsia" w:ascii="宋体" w:hAnsi="宋体" w:cs="宋体"/>
          <w:sz w:val="28"/>
          <w:szCs w:val="28"/>
        </w:rPr>
        <w:t>（2）岗位员工配置计划表</w:t>
      </w: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2"/>
        <w:gridCol w:w="1991"/>
        <w:gridCol w:w="2827"/>
        <w:gridCol w:w="2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1992" w:type="dxa"/>
            <w:noWrap w:val="0"/>
            <w:vAlign w:val="top"/>
          </w:tcPr>
          <w:p>
            <w:pPr>
              <w:spacing w:line="480" w:lineRule="auto"/>
              <w:rPr>
                <w:rFonts w:hint="eastAsia" w:ascii="宋体" w:hAnsi="宋体" w:cs="宋体"/>
                <w:szCs w:val="21"/>
              </w:rPr>
            </w:pPr>
            <w:r>
              <w:rPr>
                <w:rFonts w:hint="eastAsia" w:ascii="宋体" w:hAnsi="宋体" w:cs="宋体"/>
                <w:szCs w:val="21"/>
              </w:rPr>
              <w:t>岗位</w:t>
            </w:r>
          </w:p>
        </w:tc>
        <w:tc>
          <w:tcPr>
            <w:tcW w:w="1991" w:type="dxa"/>
            <w:noWrap w:val="0"/>
            <w:vAlign w:val="top"/>
          </w:tcPr>
          <w:p>
            <w:pPr>
              <w:spacing w:line="480" w:lineRule="auto"/>
              <w:rPr>
                <w:rFonts w:hint="eastAsia" w:ascii="宋体" w:hAnsi="宋体" w:cs="宋体"/>
                <w:szCs w:val="21"/>
              </w:rPr>
            </w:pPr>
            <w:r>
              <w:rPr>
                <w:rFonts w:hint="eastAsia" w:ascii="宋体" w:hAnsi="宋体" w:cs="宋体"/>
                <w:szCs w:val="21"/>
              </w:rPr>
              <w:t>人数</w:t>
            </w:r>
          </w:p>
        </w:tc>
        <w:tc>
          <w:tcPr>
            <w:tcW w:w="2827" w:type="dxa"/>
            <w:noWrap w:val="0"/>
            <w:vAlign w:val="top"/>
          </w:tcPr>
          <w:p>
            <w:pPr>
              <w:spacing w:line="480" w:lineRule="auto"/>
              <w:rPr>
                <w:rFonts w:hint="eastAsia" w:ascii="宋体" w:hAnsi="宋体" w:cs="宋体"/>
                <w:szCs w:val="21"/>
              </w:rPr>
            </w:pPr>
            <w:r>
              <w:rPr>
                <w:rFonts w:hint="eastAsia" w:ascii="宋体" w:hAnsi="宋体" w:cs="宋体"/>
                <w:szCs w:val="21"/>
              </w:rPr>
              <w:t>现 场 承 担 工 作</w:t>
            </w:r>
          </w:p>
        </w:tc>
        <w:tc>
          <w:tcPr>
            <w:tcW w:w="2331" w:type="dxa"/>
            <w:noWrap w:val="0"/>
            <w:vAlign w:val="top"/>
          </w:tcPr>
          <w:p>
            <w:pPr>
              <w:spacing w:line="480" w:lineRule="auto"/>
              <w:rPr>
                <w:rFonts w:hint="eastAsia"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1992" w:type="dxa"/>
            <w:noWrap w:val="0"/>
            <w:vAlign w:val="top"/>
          </w:tcPr>
          <w:p>
            <w:pPr>
              <w:spacing w:line="480" w:lineRule="auto"/>
              <w:rPr>
                <w:rFonts w:hint="eastAsia" w:ascii="宋体" w:hAnsi="宋体" w:cs="宋体"/>
                <w:szCs w:val="21"/>
              </w:rPr>
            </w:pPr>
          </w:p>
        </w:tc>
        <w:tc>
          <w:tcPr>
            <w:tcW w:w="1991" w:type="dxa"/>
            <w:noWrap w:val="0"/>
            <w:vAlign w:val="top"/>
          </w:tcPr>
          <w:p>
            <w:pPr>
              <w:spacing w:line="480" w:lineRule="auto"/>
              <w:rPr>
                <w:rFonts w:hint="eastAsia" w:ascii="宋体" w:hAnsi="宋体" w:cs="宋体"/>
                <w:szCs w:val="21"/>
              </w:rPr>
            </w:pPr>
          </w:p>
        </w:tc>
        <w:tc>
          <w:tcPr>
            <w:tcW w:w="2827" w:type="dxa"/>
            <w:noWrap w:val="0"/>
            <w:vAlign w:val="top"/>
          </w:tcPr>
          <w:p>
            <w:pPr>
              <w:spacing w:line="480" w:lineRule="auto"/>
              <w:rPr>
                <w:rFonts w:hint="eastAsia" w:ascii="宋体" w:hAnsi="宋体" w:cs="宋体"/>
                <w:szCs w:val="21"/>
              </w:rPr>
            </w:pPr>
          </w:p>
        </w:tc>
        <w:tc>
          <w:tcPr>
            <w:tcW w:w="2331" w:type="dxa"/>
            <w:noWrap w:val="0"/>
            <w:vAlign w:val="top"/>
          </w:tcPr>
          <w:p>
            <w:pPr>
              <w:spacing w:line="480" w:lineRule="auto"/>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1992" w:type="dxa"/>
            <w:noWrap w:val="0"/>
            <w:vAlign w:val="top"/>
          </w:tcPr>
          <w:p>
            <w:pPr>
              <w:spacing w:line="480" w:lineRule="auto"/>
              <w:rPr>
                <w:rFonts w:hint="eastAsia" w:ascii="宋体" w:hAnsi="宋体" w:cs="宋体"/>
                <w:szCs w:val="21"/>
              </w:rPr>
            </w:pPr>
          </w:p>
        </w:tc>
        <w:tc>
          <w:tcPr>
            <w:tcW w:w="1991" w:type="dxa"/>
            <w:noWrap w:val="0"/>
            <w:vAlign w:val="top"/>
          </w:tcPr>
          <w:p>
            <w:pPr>
              <w:spacing w:line="480" w:lineRule="auto"/>
              <w:rPr>
                <w:rFonts w:hint="eastAsia" w:ascii="宋体" w:hAnsi="宋体" w:cs="宋体"/>
                <w:szCs w:val="21"/>
              </w:rPr>
            </w:pPr>
          </w:p>
        </w:tc>
        <w:tc>
          <w:tcPr>
            <w:tcW w:w="2827" w:type="dxa"/>
            <w:noWrap w:val="0"/>
            <w:vAlign w:val="top"/>
          </w:tcPr>
          <w:p>
            <w:pPr>
              <w:spacing w:line="480" w:lineRule="auto"/>
              <w:rPr>
                <w:rFonts w:hint="eastAsia" w:ascii="宋体" w:hAnsi="宋体" w:cs="宋体"/>
                <w:szCs w:val="21"/>
              </w:rPr>
            </w:pPr>
          </w:p>
        </w:tc>
        <w:tc>
          <w:tcPr>
            <w:tcW w:w="2331" w:type="dxa"/>
            <w:noWrap w:val="0"/>
            <w:vAlign w:val="top"/>
          </w:tcPr>
          <w:p>
            <w:pPr>
              <w:spacing w:line="480" w:lineRule="auto"/>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1992" w:type="dxa"/>
            <w:noWrap w:val="0"/>
            <w:vAlign w:val="top"/>
          </w:tcPr>
          <w:p>
            <w:pPr>
              <w:spacing w:line="480" w:lineRule="auto"/>
              <w:rPr>
                <w:rFonts w:hint="eastAsia" w:ascii="宋体" w:hAnsi="宋体" w:cs="宋体"/>
                <w:szCs w:val="21"/>
              </w:rPr>
            </w:pPr>
          </w:p>
        </w:tc>
        <w:tc>
          <w:tcPr>
            <w:tcW w:w="1991" w:type="dxa"/>
            <w:noWrap w:val="0"/>
            <w:vAlign w:val="top"/>
          </w:tcPr>
          <w:p>
            <w:pPr>
              <w:spacing w:line="480" w:lineRule="auto"/>
              <w:rPr>
                <w:rFonts w:hint="eastAsia" w:ascii="宋体" w:hAnsi="宋体" w:cs="宋体"/>
                <w:szCs w:val="21"/>
              </w:rPr>
            </w:pPr>
          </w:p>
        </w:tc>
        <w:tc>
          <w:tcPr>
            <w:tcW w:w="2827" w:type="dxa"/>
            <w:noWrap w:val="0"/>
            <w:vAlign w:val="top"/>
          </w:tcPr>
          <w:p>
            <w:pPr>
              <w:spacing w:line="480" w:lineRule="auto"/>
              <w:rPr>
                <w:rFonts w:hint="eastAsia" w:ascii="宋体" w:hAnsi="宋体" w:cs="宋体"/>
                <w:szCs w:val="21"/>
              </w:rPr>
            </w:pPr>
          </w:p>
        </w:tc>
        <w:tc>
          <w:tcPr>
            <w:tcW w:w="2331" w:type="dxa"/>
            <w:noWrap w:val="0"/>
            <w:vAlign w:val="top"/>
          </w:tcPr>
          <w:p>
            <w:pPr>
              <w:spacing w:line="480" w:lineRule="auto"/>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1992" w:type="dxa"/>
            <w:noWrap w:val="0"/>
            <w:vAlign w:val="top"/>
          </w:tcPr>
          <w:p>
            <w:pPr>
              <w:spacing w:line="480" w:lineRule="auto"/>
              <w:rPr>
                <w:rFonts w:hint="eastAsia" w:ascii="宋体" w:hAnsi="宋体" w:cs="宋体"/>
                <w:szCs w:val="21"/>
              </w:rPr>
            </w:pPr>
          </w:p>
        </w:tc>
        <w:tc>
          <w:tcPr>
            <w:tcW w:w="1991" w:type="dxa"/>
            <w:noWrap w:val="0"/>
            <w:vAlign w:val="top"/>
          </w:tcPr>
          <w:p>
            <w:pPr>
              <w:spacing w:line="480" w:lineRule="auto"/>
              <w:rPr>
                <w:rFonts w:hint="eastAsia" w:ascii="宋体" w:hAnsi="宋体" w:cs="宋体"/>
                <w:szCs w:val="21"/>
              </w:rPr>
            </w:pPr>
          </w:p>
        </w:tc>
        <w:tc>
          <w:tcPr>
            <w:tcW w:w="2827" w:type="dxa"/>
            <w:noWrap w:val="0"/>
            <w:vAlign w:val="top"/>
          </w:tcPr>
          <w:p>
            <w:pPr>
              <w:spacing w:line="480" w:lineRule="auto"/>
              <w:rPr>
                <w:rFonts w:hint="eastAsia" w:ascii="宋体" w:hAnsi="宋体" w:cs="宋体"/>
                <w:szCs w:val="21"/>
              </w:rPr>
            </w:pPr>
          </w:p>
        </w:tc>
        <w:tc>
          <w:tcPr>
            <w:tcW w:w="2331" w:type="dxa"/>
            <w:noWrap w:val="0"/>
            <w:vAlign w:val="top"/>
          </w:tcPr>
          <w:p>
            <w:pPr>
              <w:spacing w:line="480" w:lineRule="auto"/>
              <w:rPr>
                <w:rFonts w:hint="eastAsia" w:ascii="宋体" w:hAnsi="宋体" w:cs="宋体"/>
                <w:szCs w:val="21"/>
              </w:rPr>
            </w:pPr>
          </w:p>
        </w:tc>
      </w:tr>
    </w:tbl>
    <w:p>
      <w:pPr>
        <w:pStyle w:val="17"/>
        <w:tabs>
          <w:tab w:val="left" w:pos="0"/>
          <w:tab w:val="left" w:pos="540"/>
        </w:tabs>
        <w:spacing w:line="300" w:lineRule="auto"/>
        <w:rPr>
          <w:rFonts w:hint="eastAsia" w:ascii="宋体" w:hAnsi="宋体" w:cs="宋体"/>
        </w:rPr>
      </w:pPr>
      <w:r>
        <w:rPr>
          <w:rFonts w:hint="eastAsia" w:ascii="宋体" w:hAnsi="宋体" w:cs="宋体"/>
        </w:rPr>
        <w:t>注：1、</w:t>
      </w:r>
      <w:r>
        <w:rPr>
          <w:rFonts w:hint="eastAsia" w:ascii="宋体" w:hAnsi="宋体" w:cs="宋体"/>
          <w:b/>
        </w:rPr>
        <w:t>▲人员总数须与技术商务文件、报价文件人员总数相同。</w:t>
      </w:r>
    </w:p>
    <w:p>
      <w:pPr>
        <w:pStyle w:val="17"/>
        <w:tabs>
          <w:tab w:val="left" w:pos="0"/>
          <w:tab w:val="left" w:pos="540"/>
        </w:tabs>
        <w:spacing w:line="300" w:lineRule="auto"/>
        <w:ind w:firstLine="420" w:firstLineChars="200"/>
        <w:rPr>
          <w:rFonts w:hint="eastAsia" w:ascii="宋体" w:hAnsi="宋体" w:cs="宋体"/>
        </w:rPr>
      </w:pPr>
      <w:r>
        <w:rPr>
          <w:rFonts w:hint="eastAsia" w:ascii="宋体" w:hAnsi="宋体" w:cs="宋体"/>
        </w:rPr>
        <w:t>2、此表仅提供了表格形式，投标供应商可按此表格复制。</w:t>
      </w:r>
    </w:p>
    <w:p>
      <w:pPr>
        <w:spacing w:after="156" w:afterLines="50" w:line="400" w:lineRule="exact"/>
        <w:ind w:left="4200" w:leftChars="2000"/>
        <w:rPr>
          <w:rFonts w:hint="eastAsia" w:ascii="宋体" w:hAnsi="宋体" w:cs="宋体"/>
          <w:szCs w:val="21"/>
        </w:rPr>
      </w:pPr>
      <w:r>
        <w:rPr>
          <w:rFonts w:hint="eastAsia" w:ascii="宋体" w:hAnsi="宋体" w:cs="宋体"/>
          <w:szCs w:val="21"/>
        </w:rPr>
        <w:t>投标供应商全称（公章）：</w:t>
      </w:r>
    </w:p>
    <w:p>
      <w:pPr>
        <w:spacing w:after="156" w:afterLines="50" w:line="400" w:lineRule="exact"/>
        <w:ind w:left="4200" w:leftChars="2000"/>
        <w:rPr>
          <w:rFonts w:hint="eastAsia" w:ascii="宋体" w:hAnsi="宋体" w:cs="宋体"/>
          <w:szCs w:val="21"/>
        </w:rPr>
      </w:pPr>
      <w:r>
        <w:rPr>
          <w:rFonts w:hint="eastAsia" w:ascii="宋体" w:hAnsi="宋体" w:cs="宋体"/>
          <w:szCs w:val="21"/>
        </w:rPr>
        <w:t>法定代表人或授权代表（签字或盖章）：</w:t>
      </w:r>
    </w:p>
    <w:p>
      <w:pPr>
        <w:spacing w:after="156" w:afterLines="50" w:line="400" w:lineRule="exact"/>
        <w:ind w:left="4200" w:leftChars="2000"/>
        <w:rPr>
          <w:rFonts w:hint="eastAsia" w:ascii="宋体" w:hAnsi="宋体" w:cs="宋体"/>
          <w:szCs w:val="21"/>
        </w:rPr>
      </w:pPr>
      <w:r>
        <w:rPr>
          <w:rFonts w:hint="eastAsia" w:ascii="宋体" w:hAnsi="宋体" w:cs="宋体"/>
          <w:szCs w:val="22"/>
        </w:rPr>
        <w:t>日期</w:t>
      </w:r>
      <w:r>
        <w:rPr>
          <w:rFonts w:hint="eastAsia" w:ascii="宋体" w:hAnsi="宋体" w:cs="宋体"/>
          <w:szCs w:val="21"/>
        </w:rPr>
        <w:t>：</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color w:val="auto"/>
          <w:sz w:val="28"/>
          <w:szCs w:val="36"/>
        </w:rPr>
      </w:pPr>
      <w:bookmarkStart w:id="342" w:name="_Toc19323"/>
      <w:bookmarkStart w:id="343" w:name="_Toc18610"/>
      <w:r>
        <w:rPr>
          <w:rFonts w:hint="eastAsia" w:ascii="宋体" w:hAnsi="宋体" w:eastAsia="宋体" w:cs="宋体"/>
          <w:color w:val="auto"/>
          <w:sz w:val="28"/>
          <w:szCs w:val="36"/>
        </w:rPr>
        <w:t>附件八  项目负责人履历情况证明（可选）</w:t>
      </w:r>
      <w:bookmarkEnd w:id="342"/>
      <w:bookmarkEnd w:id="343"/>
    </w:p>
    <w:p>
      <w:pPr>
        <w:spacing w:line="360" w:lineRule="auto"/>
        <w:rPr>
          <w:rFonts w:hint="eastAsia" w:ascii="宋体" w:hAnsi="宋体" w:cs="宋体"/>
          <w:bCs/>
          <w:color w:val="auto"/>
          <w:highlight w:val="none"/>
        </w:rPr>
      </w:pPr>
      <w:r>
        <w:rPr>
          <w:rFonts w:hint="eastAsia" w:ascii="宋体" w:hAnsi="宋体" w:cs="宋体"/>
          <w:bCs/>
          <w:color w:val="auto"/>
          <w:highlight w:val="none"/>
        </w:rPr>
        <w:t>招标采购单位：</w:t>
      </w:r>
    </w:p>
    <w:p>
      <w:pPr>
        <w:pStyle w:val="64"/>
        <w:spacing w:line="360" w:lineRule="auto"/>
        <w:ind w:firstLine="420" w:firstLineChars="200"/>
        <w:rPr>
          <w:rFonts w:hint="eastAsia" w:ascii="宋体" w:hAnsi="宋体" w:cs="宋体"/>
          <w:bCs/>
          <w:color w:val="auto"/>
        </w:rPr>
      </w:pPr>
      <w:r>
        <w:rPr>
          <w:rFonts w:hint="eastAsia" w:ascii="宋体" w:hAnsi="宋体" w:cs="宋体"/>
          <w:bCs/>
          <w:color w:val="auto"/>
          <w:u w:val="single"/>
        </w:rPr>
        <w:t>（投标供应商名称）</w:t>
      </w:r>
      <w:r>
        <w:rPr>
          <w:rFonts w:hint="eastAsia" w:ascii="宋体" w:hAnsi="宋体" w:cs="宋体"/>
          <w:bCs/>
          <w:color w:val="auto"/>
        </w:rPr>
        <w:t>为我单位</w:t>
      </w:r>
      <w:r>
        <w:rPr>
          <w:rFonts w:hint="eastAsia" w:ascii="宋体" w:hAnsi="宋体" w:cs="宋体"/>
          <w:bCs/>
          <w:color w:val="auto"/>
          <w:u w:val="single"/>
        </w:rPr>
        <w:t xml:space="preserve">   （保洁项目名称）   </w:t>
      </w:r>
      <w:r>
        <w:rPr>
          <w:rFonts w:hint="eastAsia" w:ascii="宋体" w:hAnsi="宋体" w:cs="宋体"/>
          <w:bCs/>
          <w:color w:val="auto"/>
        </w:rPr>
        <w:t>服务承包单位，该项目负责人为</w:t>
      </w:r>
      <w:r>
        <w:rPr>
          <w:rFonts w:hint="eastAsia" w:ascii="宋体" w:hAnsi="宋体" w:cs="宋体"/>
          <w:bCs/>
          <w:color w:val="auto"/>
          <w:u w:val="single"/>
        </w:rPr>
        <w:t xml:space="preserve">     （姓名、身份证号）   </w:t>
      </w:r>
      <w:r>
        <w:rPr>
          <w:rFonts w:hint="eastAsia" w:ascii="宋体" w:hAnsi="宋体" w:cs="宋体"/>
          <w:bCs/>
          <w:color w:val="auto"/>
        </w:rPr>
        <w:t>。</w:t>
      </w:r>
    </w:p>
    <w:p>
      <w:pPr>
        <w:pStyle w:val="64"/>
        <w:spacing w:line="360" w:lineRule="auto"/>
        <w:ind w:firstLine="420" w:firstLineChars="200"/>
        <w:rPr>
          <w:rFonts w:hint="eastAsia" w:ascii="宋体" w:hAnsi="宋体" w:cs="宋体"/>
          <w:bCs/>
          <w:color w:val="auto"/>
        </w:rPr>
      </w:pPr>
      <w:r>
        <w:rPr>
          <w:rFonts w:hint="eastAsia" w:ascii="宋体" w:hAnsi="宋体" w:cs="宋体"/>
          <w:bCs/>
          <w:color w:val="auto"/>
        </w:rPr>
        <w:t>特此证明！</w:t>
      </w:r>
    </w:p>
    <w:p>
      <w:pPr>
        <w:pStyle w:val="64"/>
        <w:rPr>
          <w:rFonts w:hint="eastAsia" w:ascii="宋体" w:hAnsi="宋体" w:cs="宋体"/>
          <w:bCs/>
          <w:color w:val="auto"/>
        </w:rPr>
      </w:pPr>
      <w:r>
        <w:rPr>
          <w:rFonts w:hint="eastAsia" w:ascii="宋体" w:hAnsi="宋体" w:cs="宋体"/>
          <w:bCs/>
          <w:color w:val="auto"/>
        </w:rPr>
        <w:t xml:space="preserve">                                              单位名称：</w:t>
      </w:r>
    </w:p>
    <w:p>
      <w:pPr>
        <w:pStyle w:val="64"/>
        <w:rPr>
          <w:rFonts w:hint="eastAsia" w:ascii="宋体" w:hAnsi="宋体" w:cs="宋体"/>
          <w:bCs/>
          <w:color w:val="auto"/>
        </w:rPr>
      </w:pPr>
      <w:r>
        <w:rPr>
          <w:rFonts w:hint="eastAsia" w:ascii="宋体" w:hAnsi="宋体" w:cs="宋体"/>
          <w:bCs/>
          <w:color w:val="auto"/>
        </w:rPr>
        <w:t xml:space="preserve">                                              日期：   </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44" w:name="_Toc29056"/>
      <w:r>
        <w:rPr>
          <w:rFonts w:hint="eastAsia" w:ascii="宋体" w:hAnsi="宋体" w:eastAsia="宋体" w:cs="宋体"/>
          <w:sz w:val="28"/>
          <w:szCs w:val="36"/>
        </w:rPr>
        <w:t>附件九  拟投入设备一览表</w:t>
      </w:r>
      <w:bookmarkEnd w:id="330"/>
      <w:bookmarkEnd w:id="331"/>
      <w:bookmarkEnd w:id="332"/>
      <w:bookmarkEnd w:id="333"/>
      <w:bookmarkEnd w:id="334"/>
      <w:bookmarkEnd w:id="335"/>
      <w:bookmarkEnd w:id="344"/>
    </w:p>
    <w:p>
      <w:pPr>
        <w:spacing w:line="400" w:lineRule="exact"/>
        <w:jc w:val="center"/>
        <w:rPr>
          <w:rFonts w:hint="eastAsia" w:ascii="宋体" w:hAnsi="宋体" w:cs="宋体"/>
          <w:b/>
          <w:sz w:val="28"/>
          <w:szCs w:val="28"/>
        </w:rPr>
      </w:pPr>
      <w:r>
        <w:rPr>
          <w:rFonts w:hint="eastAsia" w:ascii="宋体" w:hAnsi="宋体" w:cs="宋体"/>
          <w:b/>
          <w:sz w:val="28"/>
          <w:szCs w:val="28"/>
        </w:rPr>
        <w:t>（1）进场作业车辆明细表</w:t>
      </w:r>
    </w:p>
    <w:tbl>
      <w:tblPr>
        <w:tblStyle w:val="29"/>
        <w:tblpPr w:leftFromText="180" w:rightFromText="180" w:vertAnchor="text" w:horzAnchor="margin" w:tblpY="5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3"/>
        <w:gridCol w:w="1352"/>
        <w:gridCol w:w="1273"/>
        <w:gridCol w:w="1181"/>
        <w:gridCol w:w="992"/>
        <w:gridCol w:w="1276"/>
        <w:gridCol w:w="851"/>
        <w:gridCol w:w="1134"/>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7" w:hRule="atLeast"/>
        </w:trPr>
        <w:tc>
          <w:tcPr>
            <w:tcW w:w="413" w:type="dxa"/>
            <w:noWrap w:val="0"/>
            <w:vAlign w:val="center"/>
          </w:tcPr>
          <w:p>
            <w:pPr>
              <w:rPr>
                <w:rFonts w:hint="eastAsia" w:ascii="宋体" w:hAnsi="宋体" w:cs="宋体"/>
                <w:b/>
                <w:szCs w:val="21"/>
              </w:rPr>
            </w:pPr>
            <w:r>
              <w:rPr>
                <w:rFonts w:hint="eastAsia" w:ascii="宋体" w:hAnsi="宋体" w:cs="宋体"/>
                <w:b/>
                <w:szCs w:val="21"/>
              </w:rPr>
              <w:t>序号</w:t>
            </w:r>
          </w:p>
        </w:tc>
        <w:tc>
          <w:tcPr>
            <w:tcW w:w="1352" w:type="dxa"/>
            <w:noWrap w:val="0"/>
            <w:vAlign w:val="center"/>
          </w:tcPr>
          <w:p>
            <w:pPr>
              <w:spacing w:line="280" w:lineRule="exact"/>
              <w:rPr>
                <w:rFonts w:hint="eastAsia" w:ascii="宋体" w:hAnsi="宋体" w:cs="宋体"/>
                <w:b/>
                <w:szCs w:val="21"/>
              </w:rPr>
            </w:pPr>
            <w:r>
              <w:rPr>
                <w:rFonts w:hint="eastAsia" w:ascii="宋体" w:hAnsi="宋体" w:cs="宋体"/>
                <w:b/>
                <w:szCs w:val="21"/>
              </w:rPr>
              <w:t>设备名称</w:t>
            </w:r>
          </w:p>
        </w:tc>
        <w:tc>
          <w:tcPr>
            <w:tcW w:w="1273" w:type="dxa"/>
            <w:noWrap w:val="0"/>
            <w:vAlign w:val="center"/>
          </w:tcPr>
          <w:p>
            <w:pPr>
              <w:spacing w:line="280" w:lineRule="exact"/>
              <w:rPr>
                <w:rFonts w:hint="eastAsia" w:ascii="宋体" w:hAnsi="宋体" w:cs="宋体"/>
                <w:b/>
                <w:szCs w:val="21"/>
              </w:rPr>
            </w:pPr>
            <w:r>
              <w:rPr>
                <w:rFonts w:hint="eastAsia" w:ascii="宋体" w:hAnsi="宋体" w:cs="宋体"/>
                <w:b/>
                <w:szCs w:val="21"/>
              </w:rPr>
              <w:t>规格型号</w:t>
            </w:r>
          </w:p>
        </w:tc>
        <w:tc>
          <w:tcPr>
            <w:tcW w:w="1181" w:type="dxa"/>
            <w:noWrap w:val="0"/>
            <w:vAlign w:val="center"/>
          </w:tcPr>
          <w:p>
            <w:pPr>
              <w:spacing w:line="280" w:lineRule="exact"/>
              <w:rPr>
                <w:rFonts w:hint="eastAsia" w:ascii="宋体" w:hAnsi="宋体" w:cs="宋体"/>
                <w:b/>
                <w:szCs w:val="21"/>
              </w:rPr>
            </w:pPr>
            <w:r>
              <w:rPr>
                <w:rFonts w:hint="eastAsia" w:ascii="宋体" w:hAnsi="宋体" w:cs="宋体"/>
                <w:b/>
                <w:szCs w:val="21"/>
              </w:rPr>
              <w:t>品牌/产地</w:t>
            </w:r>
          </w:p>
        </w:tc>
        <w:tc>
          <w:tcPr>
            <w:tcW w:w="992" w:type="dxa"/>
            <w:noWrap w:val="0"/>
            <w:vAlign w:val="center"/>
          </w:tcPr>
          <w:p>
            <w:pPr>
              <w:spacing w:line="280" w:lineRule="exact"/>
              <w:rPr>
                <w:rFonts w:hint="eastAsia" w:ascii="宋体" w:hAnsi="宋体" w:cs="宋体"/>
                <w:b/>
                <w:szCs w:val="21"/>
              </w:rPr>
            </w:pPr>
            <w:r>
              <w:rPr>
                <w:rFonts w:hint="eastAsia" w:ascii="宋体" w:hAnsi="宋体" w:cs="宋体"/>
                <w:b/>
                <w:szCs w:val="21"/>
              </w:rPr>
              <w:t>已使用</w:t>
            </w:r>
          </w:p>
          <w:p>
            <w:pPr>
              <w:spacing w:line="280" w:lineRule="exact"/>
              <w:rPr>
                <w:rFonts w:hint="eastAsia" w:ascii="宋体" w:hAnsi="宋体" w:cs="宋体"/>
                <w:b/>
                <w:szCs w:val="21"/>
              </w:rPr>
            </w:pPr>
            <w:r>
              <w:rPr>
                <w:rFonts w:hint="eastAsia" w:ascii="宋体" w:hAnsi="宋体" w:cs="宋体"/>
                <w:b/>
                <w:szCs w:val="21"/>
              </w:rPr>
              <w:t>年限</w:t>
            </w:r>
          </w:p>
        </w:tc>
        <w:tc>
          <w:tcPr>
            <w:tcW w:w="1276" w:type="dxa"/>
            <w:noWrap w:val="0"/>
            <w:vAlign w:val="top"/>
          </w:tcPr>
          <w:p>
            <w:pPr>
              <w:spacing w:line="280" w:lineRule="exact"/>
              <w:rPr>
                <w:rFonts w:hint="eastAsia" w:ascii="宋体" w:hAnsi="宋体" w:cs="宋体"/>
                <w:b/>
                <w:szCs w:val="21"/>
              </w:rPr>
            </w:pPr>
            <w:r>
              <w:rPr>
                <w:rFonts w:hint="eastAsia" w:ascii="宋体" w:hAnsi="宋体" w:cs="宋体"/>
                <w:b/>
                <w:szCs w:val="21"/>
              </w:rPr>
              <w:t>核定载重量（kg）</w:t>
            </w:r>
          </w:p>
        </w:tc>
        <w:tc>
          <w:tcPr>
            <w:tcW w:w="851" w:type="dxa"/>
            <w:noWrap w:val="0"/>
            <w:vAlign w:val="center"/>
          </w:tcPr>
          <w:p>
            <w:pPr>
              <w:spacing w:line="280" w:lineRule="exact"/>
              <w:rPr>
                <w:rFonts w:hint="eastAsia" w:ascii="宋体" w:hAnsi="宋体" w:cs="宋体"/>
                <w:b/>
                <w:szCs w:val="21"/>
              </w:rPr>
            </w:pPr>
            <w:r>
              <w:rPr>
                <w:rFonts w:hint="eastAsia" w:ascii="宋体" w:hAnsi="宋体" w:cs="宋体"/>
                <w:b/>
                <w:szCs w:val="21"/>
              </w:rPr>
              <w:t>数量（台）</w:t>
            </w:r>
          </w:p>
        </w:tc>
        <w:tc>
          <w:tcPr>
            <w:tcW w:w="1134" w:type="dxa"/>
            <w:noWrap w:val="0"/>
            <w:vAlign w:val="top"/>
          </w:tcPr>
          <w:p>
            <w:pPr>
              <w:spacing w:line="280" w:lineRule="exact"/>
              <w:rPr>
                <w:rFonts w:hint="eastAsia" w:ascii="宋体" w:hAnsi="宋体" w:cs="宋体"/>
                <w:b/>
                <w:szCs w:val="21"/>
              </w:rPr>
            </w:pPr>
            <w:r>
              <w:rPr>
                <w:rFonts w:hint="eastAsia" w:ascii="宋体" w:hAnsi="宋体" w:cs="宋体"/>
                <w:b/>
                <w:szCs w:val="21"/>
              </w:rPr>
              <w:t>价格(元)</w:t>
            </w:r>
          </w:p>
        </w:tc>
        <w:tc>
          <w:tcPr>
            <w:tcW w:w="1275" w:type="dxa"/>
            <w:noWrap w:val="0"/>
            <w:vAlign w:val="center"/>
          </w:tcPr>
          <w:p>
            <w:pPr>
              <w:spacing w:line="280" w:lineRule="exact"/>
              <w:rPr>
                <w:rFonts w:hint="eastAsia" w:ascii="宋体" w:hAnsi="宋体" w:cs="宋体"/>
                <w:b/>
                <w:szCs w:val="21"/>
              </w:rPr>
            </w:pPr>
            <w:r>
              <w:rPr>
                <w:rFonts w:hint="eastAsia" w:ascii="宋体" w:hAnsi="宋体" w:cs="宋体"/>
                <w:b/>
                <w:szCs w:val="21"/>
              </w:rPr>
              <w:t xml:space="preserve">车辆持有形式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1" w:hRule="exact"/>
        </w:trPr>
        <w:tc>
          <w:tcPr>
            <w:tcW w:w="413" w:type="dxa"/>
            <w:noWrap w:val="0"/>
            <w:vAlign w:val="center"/>
          </w:tcPr>
          <w:p>
            <w:pPr>
              <w:spacing w:line="360" w:lineRule="auto"/>
              <w:rPr>
                <w:rFonts w:hint="eastAsia" w:ascii="宋体" w:hAnsi="宋体" w:cs="宋体"/>
                <w:sz w:val="22"/>
              </w:rPr>
            </w:pPr>
          </w:p>
        </w:tc>
        <w:tc>
          <w:tcPr>
            <w:tcW w:w="1352" w:type="dxa"/>
            <w:noWrap w:val="0"/>
            <w:vAlign w:val="center"/>
          </w:tcPr>
          <w:p>
            <w:pPr>
              <w:spacing w:line="360" w:lineRule="auto"/>
              <w:rPr>
                <w:rFonts w:hint="eastAsia" w:ascii="宋体" w:hAnsi="宋体" w:cs="宋体"/>
                <w:b/>
                <w:sz w:val="22"/>
              </w:rPr>
            </w:pPr>
          </w:p>
        </w:tc>
        <w:tc>
          <w:tcPr>
            <w:tcW w:w="1273" w:type="dxa"/>
            <w:noWrap w:val="0"/>
            <w:vAlign w:val="center"/>
          </w:tcPr>
          <w:p>
            <w:pPr>
              <w:spacing w:line="360" w:lineRule="auto"/>
              <w:rPr>
                <w:rFonts w:hint="eastAsia" w:ascii="宋体" w:hAnsi="宋体" w:cs="宋体"/>
                <w:b/>
                <w:sz w:val="22"/>
              </w:rPr>
            </w:pPr>
          </w:p>
        </w:tc>
        <w:tc>
          <w:tcPr>
            <w:tcW w:w="1181" w:type="dxa"/>
            <w:noWrap w:val="0"/>
            <w:vAlign w:val="center"/>
          </w:tcPr>
          <w:p>
            <w:pPr>
              <w:spacing w:line="360" w:lineRule="auto"/>
              <w:rPr>
                <w:rFonts w:hint="eastAsia" w:ascii="宋体" w:hAnsi="宋体" w:cs="宋体"/>
                <w:b/>
                <w:sz w:val="22"/>
              </w:rPr>
            </w:pPr>
          </w:p>
        </w:tc>
        <w:tc>
          <w:tcPr>
            <w:tcW w:w="992" w:type="dxa"/>
            <w:noWrap w:val="0"/>
            <w:vAlign w:val="center"/>
          </w:tcPr>
          <w:p>
            <w:pPr>
              <w:spacing w:line="360" w:lineRule="auto"/>
              <w:rPr>
                <w:rFonts w:hint="eastAsia" w:ascii="宋体" w:hAnsi="宋体" w:cs="宋体"/>
                <w:b/>
                <w:sz w:val="22"/>
              </w:rPr>
            </w:pPr>
          </w:p>
        </w:tc>
        <w:tc>
          <w:tcPr>
            <w:tcW w:w="1276" w:type="dxa"/>
            <w:noWrap w:val="0"/>
            <w:vAlign w:val="center"/>
          </w:tcPr>
          <w:p>
            <w:pPr>
              <w:spacing w:line="360" w:lineRule="auto"/>
              <w:rPr>
                <w:rFonts w:hint="eastAsia" w:ascii="宋体" w:hAnsi="宋体" w:cs="宋体"/>
                <w:b/>
                <w:sz w:val="22"/>
              </w:rPr>
            </w:pPr>
          </w:p>
        </w:tc>
        <w:tc>
          <w:tcPr>
            <w:tcW w:w="851" w:type="dxa"/>
            <w:noWrap w:val="0"/>
            <w:vAlign w:val="center"/>
          </w:tcPr>
          <w:p>
            <w:pPr>
              <w:spacing w:line="360" w:lineRule="auto"/>
              <w:rPr>
                <w:rFonts w:hint="eastAsia" w:ascii="宋体" w:hAnsi="宋体" w:cs="宋体"/>
                <w:b/>
                <w:sz w:val="22"/>
              </w:rPr>
            </w:pPr>
          </w:p>
        </w:tc>
        <w:tc>
          <w:tcPr>
            <w:tcW w:w="1134" w:type="dxa"/>
            <w:noWrap w:val="0"/>
            <w:vAlign w:val="center"/>
          </w:tcPr>
          <w:p>
            <w:pPr>
              <w:spacing w:line="360" w:lineRule="auto"/>
              <w:rPr>
                <w:rFonts w:hint="eastAsia" w:ascii="宋体" w:hAnsi="宋体" w:cs="宋体"/>
                <w:b/>
                <w:sz w:val="22"/>
              </w:rPr>
            </w:pPr>
          </w:p>
        </w:tc>
        <w:tc>
          <w:tcPr>
            <w:tcW w:w="1275" w:type="dxa"/>
            <w:noWrap w:val="0"/>
            <w:vAlign w:val="center"/>
          </w:tcPr>
          <w:p>
            <w:pPr>
              <w:spacing w:line="360" w:lineRule="auto"/>
              <w:rPr>
                <w:rFonts w:hint="eastAsia" w:ascii="宋体" w:hAnsi="宋体" w:cs="宋体"/>
                <w:b/>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1" w:hRule="exact"/>
        </w:trPr>
        <w:tc>
          <w:tcPr>
            <w:tcW w:w="413" w:type="dxa"/>
            <w:noWrap w:val="0"/>
            <w:vAlign w:val="center"/>
          </w:tcPr>
          <w:p>
            <w:pPr>
              <w:spacing w:line="360" w:lineRule="auto"/>
              <w:rPr>
                <w:rFonts w:hint="eastAsia" w:ascii="宋体" w:hAnsi="宋体" w:cs="宋体"/>
                <w:sz w:val="22"/>
              </w:rPr>
            </w:pPr>
          </w:p>
        </w:tc>
        <w:tc>
          <w:tcPr>
            <w:tcW w:w="1352" w:type="dxa"/>
            <w:noWrap w:val="0"/>
            <w:vAlign w:val="center"/>
          </w:tcPr>
          <w:p>
            <w:pPr>
              <w:spacing w:line="360" w:lineRule="auto"/>
              <w:rPr>
                <w:rFonts w:hint="eastAsia" w:ascii="宋体" w:hAnsi="宋体" w:cs="宋体"/>
                <w:b/>
                <w:sz w:val="22"/>
              </w:rPr>
            </w:pPr>
          </w:p>
        </w:tc>
        <w:tc>
          <w:tcPr>
            <w:tcW w:w="1273" w:type="dxa"/>
            <w:noWrap w:val="0"/>
            <w:vAlign w:val="center"/>
          </w:tcPr>
          <w:p>
            <w:pPr>
              <w:spacing w:line="360" w:lineRule="auto"/>
              <w:rPr>
                <w:rFonts w:hint="eastAsia" w:ascii="宋体" w:hAnsi="宋体" w:cs="宋体"/>
                <w:b/>
                <w:sz w:val="22"/>
              </w:rPr>
            </w:pPr>
          </w:p>
        </w:tc>
        <w:tc>
          <w:tcPr>
            <w:tcW w:w="1181" w:type="dxa"/>
            <w:noWrap w:val="0"/>
            <w:vAlign w:val="center"/>
          </w:tcPr>
          <w:p>
            <w:pPr>
              <w:spacing w:line="360" w:lineRule="auto"/>
              <w:rPr>
                <w:rFonts w:hint="eastAsia" w:ascii="宋体" w:hAnsi="宋体" w:cs="宋体"/>
                <w:b/>
                <w:sz w:val="22"/>
              </w:rPr>
            </w:pPr>
          </w:p>
        </w:tc>
        <w:tc>
          <w:tcPr>
            <w:tcW w:w="992" w:type="dxa"/>
            <w:noWrap w:val="0"/>
            <w:vAlign w:val="center"/>
          </w:tcPr>
          <w:p>
            <w:pPr>
              <w:spacing w:line="360" w:lineRule="auto"/>
              <w:rPr>
                <w:rFonts w:hint="eastAsia" w:ascii="宋体" w:hAnsi="宋体" w:cs="宋体"/>
                <w:b/>
                <w:sz w:val="22"/>
              </w:rPr>
            </w:pPr>
          </w:p>
        </w:tc>
        <w:tc>
          <w:tcPr>
            <w:tcW w:w="1276" w:type="dxa"/>
            <w:noWrap w:val="0"/>
            <w:vAlign w:val="center"/>
          </w:tcPr>
          <w:p>
            <w:pPr>
              <w:spacing w:line="360" w:lineRule="auto"/>
              <w:rPr>
                <w:rFonts w:hint="eastAsia" w:ascii="宋体" w:hAnsi="宋体" w:cs="宋体"/>
                <w:b/>
                <w:sz w:val="22"/>
              </w:rPr>
            </w:pPr>
          </w:p>
        </w:tc>
        <w:tc>
          <w:tcPr>
            <w:tcW w:w="851" w:type="dxa"/>
            <w:noWrap w:val="0"/>
            <w:vAlign w:val="center"/>
          </w:tcPr>
          <w:p>
            <w:pPr>
              <w:spacing w:line="360" w:lineRule="auto"/>
              <w:rPr>
                <w:rFonts w:hint="eastAsia" w:ascii="宋体" w:hAnsi="宋体" w:cs="宋体"/>
                <w:b/>
                <w:sz w:val="22"/>
              </w:rPr>
            </w:pPr>
          </w:p>
        </w:tc>
        <w:tc>
          <w:tcPr>
            <w:tcW w:w="1134" w:type="dxa"/>
            <w:noWrap w:val="0"/>
            <w:vAlign w:val="center"/>
          </w:tcPr>
          <w:p>
            <w:pPr>
              <w:spacing w:line="360" w:lineRule="auto"/>
              <w:rPr>
                <w:rFonts w:hint="eastAsia" w:ascii="宋体" w:hAnsi="宋体" w:cs="宋体"/>
                <w:b/>
                <w:sz w:val="22"/>
              </w:rPr>
            </w:pPr>
          </w:p>
        </w:tc>
        <w:tc>
          <w:tcPr>
            <w:tcW w:w="1275" w:type="dxa"/>
            <w:noWrap w:val="0"/>
            <w:vAlign w:val="center"/>
          </w:tcPr>
          <w:p>
            <w:pPr>
              <w:spacing w:line="360" w:lineRule="auto"/>
              <w:rPr>
                <w:rFonts w:hint="eastAsia" w:ascii="宋体" w:hAnsi="宋体" w:cs="宋体"/>
                <w:b/>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1" w:hRule="exact"/>
        </w:trPr>
        <w:tc>
          <w:tcPr>
            <w:tcW w:w="413" w:type="dxa"/>
            <w:noWrap w:val="0"/>
            <w:vAlign w:val="center"/>
          </w:tcPr>
          <w:p>
            <w:pPr>
              <w:spacing w:line="360" w:lineRule="auto"/>
              <w:rPr>
                <w:rFonts w:hint="eastAsia" w:ascii="宋体" w:hAnsi="宋体" w:cs="宋体"/>
                <w:sz w:val="22"/>
              </w:rPr>
            </w:pPr>
          </w:p>
        </w:tc>
        <w:tc>
          <w:tcPr>
            <w:tcW w:w="1352" w:type="dxa"/>
            <w:noWrap w:val="0"/>
            <w:vAlign w:val="center"/>
          </w:tcPr>
          <w:p>
            <w:pPr>
              <w:spacing w:line="360" w:lineRule="auto"/>
              <w:rPr>
                <w:rFonts w:hint="eastAsia" w:ascii="宋体" w:hAnsi="宋体" w:cs="宋体"/>
                <w:b/>
                <w:sz w:val="22"/>
              </w:rPr>
            </w:pPr>
          </w:p>
        </w:tc>
        <w:tc>
          <w:tcPr>
            <w:tcW w:w="1273" w:type="dxa"/>
            <w:noWrap w:val="0"/>
            <w:vAlign w:val="center"/>
          </w:tcPr>
          <w:p>
            <w:pPr>
              <w:spacing w:line="360" w:lineRule="auto"/>
              <w:rPr>
                <w:rFonts w:hint="eastAsia" w:ascii="宋体" w:hAnsi="宋体" w:cs="宋体"/>
                <w:b/>
                <w:sz w:val="22"/>
              </w:rPr>
            </w:pPr>
          </w:p>
        </w:tc>
        <w:tc>
          <w:tcPr>
            <w:tcW w:w="1181" w:type="dxa"/>
            <w:noWrap w:val="0"/>
            <w:vAlign w:val="center"/>
          </w:tcPr>
          <w:p>
            <w:pPr>
              <w:spacing w:line="360" w:lineRule="auto"/>
              <w:rPr>
                <w:rFonts w:hint="eastAsia" w:ascii="宋体" w:hAnsi="宋体" w:cs="宋体"/>
                <w:b/>
                <w:sz w:val="22"/>
              </w:rPr>
            </w:pPr>
          </w:p>
        </w:tc>
        <w:tc>
          <w:tcPr>
            <w:tcW w:w="992" w:type="dxa"/>
            <w:noWrap w:val="0"/>
            <w:vAlign w:val="center"/>
          </w:tcPr>
          <w:p>
            <w:pPr>
              <w:spacing w:line="360" w:lineRule="auto"/>
              <w:rPr>
                <w:rFonts w:hint="eastAsia" w:ascii="宋体" w:hAnsi="宋体" w:cs="宋体"/>
                <w:b/>
                <w:sz w:val="22"/>
              </w:rPr>
            </w:pPr>
          </w:p>
        </w:tc>
        <w:tc>
          <w:tcPr>
            <w:tcW w:w="1276" w:type="dxa"/>
            <w:noWrap w:val="0"/>
            <w:vAlign w:val="center"/>
          </w:tcPr>
          <w:p>
            <w:pPr>
              <w:spacing w:line="360" w:lineRule="auto"/>
              <w:rPr>
                <w:rFonts w:hint="eastAsia" w:ascii="宋体" w:hAnsi="宋体" w:cs="宋体"/>
                <w:b/>
                <w:sz w:val="22"/>
              </w:rPr>
            </w:pPr>
          </w:p>
        </w:tc>
        <w:tc>
          <w:tcPr>
            <w:tcW w:w="851" w:type="dxa"/>
            <w:noWrap w:val="0"/>
            <w:vAlign w:val="center"/>
          </w:tcPr>
          <w:p>
            <w:pPr>
              <w:spacing w:line="360" w:lineRule="auto"/>
              <w:rPr>
                <w:rFonts w:hint="eastAsia" w:ascii="宋体" w:hAnsi="宋体" w:cs="宋体"/>
                <w:b/>
                <w:sz w:val="22"/>
              </w:rPr>
            </w:pPr>
          </w:p>
        </w:tc>
        <w:tc>
          <w:tcPr>
            <w:tcW w:w="1134" w:type="dxa"/>
            <w:noWrap w:val="0"/>
            <w:vAlign w:val="center"/>
          </w:tcPr>
          <w:p>
            <w:pPr>
              <w:spacing w:line="360" w:lineRule="auto"/>
              <w:rPr>
                <w:rFonts w:hint="eastAsia" w:ascii="宋体" w:hAnsi="宋体" w:cs="宋体"/>
                <w:b/>
                <w:sz w:val="22"/>
              </w:rPr>
            </w:pPr>
          </w:p>
        </w:tc>
        <w:tc>
          <w:tcPr>
            <w:tcW w:w="1275" w:type="dxa"/>
            <w:noWrap w:val="0"/>
            <w:vAlign w:val="center"/>
          </w:tcPr>
          <w:p>
            <w:pPr>
              <w:spacing w:line="360" w:lineRule="auto"/>
              <w:rPr>
                <w:rFonts w:hint="eastAsia" w:ascii="宋体" w:hAnsi="宋体" w:cs="宋体"/>
                <w:b/>
                <w:sz w:val="22"/>
              </w:rPr>
            </w:pPr>
          </w:p>
        </w:tc>
      </w:tr>
    </w:tbl>
    <w:p>
      <w:pPr>
        <w:spacing w:line="400" w:lineRule="exact"/>
        <w:rPr>
          <w:rFonts w:hint="eastAsia" w:ascii="宋体" w:hAnsi="宋体" w:cs="宋体"/>
          <w:b/>
          <w:sz w:val="22"/>
          <w:u w:val="single"/>
        </w:rPr>
      </w:pPr>
      <w:r>
        <w:rPr>
          <w:rFonts w:hint="eastAsia" w:ascii="宋体" w:hAnsi="宋体" w:cs="宋体"/>
          <w:b/>
          <w:sz w:val="22"/>
        </w:rPr>
        <w:t>项目名称：                                                      招标编号：</w:t>
      </w:r>
    </w:p>
    <w:p>
      <w:pPr>
        <w:pStyle w:val="17"/>
        <w:spacing w:line="360" w:lineRule="exact"/>
        <w:ind w:left="770" w:hanging="770" w:hangingChars="350"/>
        <w:rPr>
          <w:rFonts w:hint="eastAsia" w:ascii="宋体" w:hAnsi="宋体" w:cs="宋体"/>
        </w:rPr>
      </w:pPr>
      <w:r>
        <w:rPr>
          <w:rFonts w:hint="eastAsia" w:ascii="宋体" w:hAnsi="宋体" w:cs="宋体"/>
          <w:sz w:val="22"/>
        </w:rPr>
        <w:t>注</w:t>
      </w:r>
      <w:r>
        <w:rPr>
          <w:rFonts w:hint="eastAsia" w:ascii="宋体" w:hAnsi="宋体" w:cs="宋体"/>
        </w:rPr>
        <w:t>：1、本表所列为投标人拟投入本项目专用的作业车辆清单。</w:t>
      </w:r>
    </w:p>
    <w:p>
      <w:pPr>
        <w:pStyle w:val="17"/>
        <w:spacing w:line="360" w:lineRule="exact"/>
        <w:ind w:left="752" w:leftChars="208" w:hanging="315" w:hangingChars="150"/>
        <w:rPr>
          <w:rFonts w:hint="eastAsia" w:ascii="宋体" w:hAnsi="宋体" w:cs="宋体"/>
        </w:rPr>
      </w:pPr>
      <w:r>
        <w:rPr>
          <w:rFonts w:hint="eastAsia" w:ascii="宋体" w:hAnsi="宋体" w:cs="宋体"/>
        </w:rPr>
        <w:t>2、本表所列设备价格不计入投标总价，但应在投标价格中考虑车辆的损耗、折旧及有关使用、维修费用。</w:t>
      </w:r>
    </w:p>
    <w:p>
      <w:pPr>
        <w:pStyle w:val="17"/>
        <w:spacing w:line="360" w:lineRule="exact"/>
        <w:ind w:left="647" w:leftChars="208" w:hanging="210" w:hangingChars="100"/>
        <w:rPr>
          <w:rFonts w:hint="eastAsia" w:ascii="宋体" w:hAnsi="宋体" w:cs="宋体"/>
        </w:rPr>
      </w:pPr>
      <w:r>
        <w:rPr>
          <w:rFonts w:hint="eastAsia" w:ascii="宋体" w:hAnsi="宋体" w:cs="宋体"/>
        </w:rPr>
        <w:t>3、表格中必须注明车辆的持有形式（自有已上牌、现已租赁、承诺中标后购买、承诺中标后租赁），并提供以下证明资料：。</w:t>
      </w:r>
    </w:p>
    <w:p>
      <w:pPr>
        <w:pStyle w:val="17"/>
        <w:numPr>
          <w:ilvl w:val="0"/>
          <w:numId w:val="49"/>
        </w:numPr>
        <w:spacing w:line="360" w:lineRule="exact"/>
        <w:rPr>
          <w:rFonts w:hint="eastAsia" w:ascii="宋体" w:hAnsi="宋体" w:cs="宋体"/>
        </w:rPr>
      </w:pPr>
      <w:r>
        <w:rPr>
          <w:rFonts w:hint="eastAsia" w:ascii="宋体" w:hAnsi="宋体" w:cs="宋体"/>
        </w:rPr>
        <w:t>投标供应商自有已上牌(指投标供应商</w:t>
      </w:r>
      <w:r>
        <w:rPr>
          <w:rFonts w:hint="eastAsia" w:ascii="宋体" w:hAnsi="宋体" w:cs="宋体"/>
          <w:color w:val="auto"/>
          <w:highlight w:val="none"/>
        </w:rPr>
        <w:t>自行购置，包括分公司或全资子公司购置)车辆：提供公安部门颁发的行驶证（行驶证带车辆照片）扫描件和车辆彩色照片（注明</w:t>
      </w:r>
      <w:r>
        <w:rPr>
          <w:rFonts w:hint="eastAsia" w:ascii="宋体" w:hAnsi="宋体" w:cs="宋体"/>
        </w:rPr>
        <w:t>车辆种类）；</w:t>
      </w:r>
      <w:r>
        <w:rPr>
          <w:rFonts w:hint="eastAsia" w:ascii="宋体" w:hAnsi="宋体" w:cs="宋体"/>
          <w:b/>
        </w:rPr>
        <w:t>自有已上牌车辆必须为2017年1月1日以来首次上牌车辆；</w:t>
      </w:r>
    </w:p>
    <w:p>
      <w:pPr>
        <w:pStyle w:val="17"/>
        <w:numPr>
          <w:ilvl w:val="0"/>
          <w:numId w:val="49"/>
        </w:numPr>
        <w:spacing w:line="360" w:lineRule="exact"/>
        <w:rPr>
          <w:rFonts w:hint="eastAsia" w:ascii="宋体" w:hAnsi="宋体" w:cs="宋体"/>
        </w:rPr>
      </w:pPr>
      <w:r>
        <w:rPr>
          <w:rFonts w:hint="eastAsia" w:ascii="宋体" w:hAnsi="宋体" w:cs="宋体"/>
        </w:rPr>
        <w:t>现已租赁车辆：提供公安部门颁发的行驶证（行驶证带车辆照片）扫描件、车辆全身彩色照片（注明车辆种类）及对应车辆租赁合同（租赁期覆盖本项目服务期）；现已租赁车辆必须为2019年1月1日以来首次上牌车辆；</w:t>
      </w:r>
    </w:p>
    <w:p>
      <w:pPr>
        <w:pStyle w:val="17"/>
        <w:numPr>
          <w:ilvl w:val="0"/>
          <w:numId w:val="49"/>
        </w:numPr>
        <w:spacing w:line="360" w:lineRule="exact"/>
        <w:rPr>
          <w:rFonts w:hint="eastAsia" w:ascii="宋体" w:hAnsi="宋体" w:cs="宋体"/>
        </w:rPr>
      </w:pPr>
      <w:r>
        <w:rPr>
          <w:rFonts w:hint="eastAsia" w:ascii="宋体" w:hAnsi="宋体" w:cs="宋体"/>
        </w:rPr>
        <w:t>承诺中标后购买或租赁的车辆：提供购买或租赁承诺书（承诺中标后购买及租赁车辆必须为2019年1月1</w:t>
      </w:r>
      <w:r>
        <w:rPr>
          <w:rFonts w:hint="eastAsia" w:ascii="宋体" w:hAnsi="宋体" w:cs="宋体"/>
          <w:b/>
        </w:rPr>
        <w:t>日以来首次上牌车辆）及车辆全身彩色照片（注明车辆种类）；</w:t>
      </w:r>
    </w:p>
    <w:p>
      <w:pPr>
        <w:pStyle w:val="17"/>
        <w:spacing w:line="360" w:lineRule="exact"/>
        <w:ind w:firstLine="525" w:firstLineChars="250"/>
        <w:rPr>
          <w:rFonts w:hint="eastAsia" w:ascii="宋体" w:hAnsi="宋体" w:cs="宋体"/>
        </w:rPr>
      </w:pPr>
      <w:r>
        <w:rPr>
          <w:rFonts w:hint="eastAsia" w:ascii="宋体" w:hAnsi="宋体" w:cs="宋体"/>
        </w:rPr>
        <w:t>4、此表仅提供了表格形式，投标人可按此表格复制。</w:t>
      </w:r>
    </w:p>
    <w:p>
      <w:pPr>
        <w:spacing w:line="480" w:lineRule="auto"/>
        <w:ind w:right="-2" w:firstLine="5250" w:firstLineChars="2500"/>
        <w:rPr>
          <w:rFonts w:hint="eastAsia" w:ascii="宋体" w:hAnsi="宋体" w:cs="宋体"/>
        </w:rPr>
      </w:pPr>
    </w:p>
    <w:p>
      <w:pPr>
        <w:spacing w:line="480" w:lineRule="auto"/>
        <w:ind w:right="-2" w:firstLine="5250" w:firstLineChars="2500"/>
        <w:rPr>
          <w:rFonts w:hint="eastAsia" w:ascii="宋体" w:hAnsi="宋体" w:cs="宋体"/>
        </w:rPr>
      </w:pPr>
    </w:p>
    <w:p>
      <w:pPr>
        <w:spacing w:line="480" w:lineRule="auto"/>
        <w:ind w:right="-2" w:firstLine="5250" w:firstLineChars="2500"/>
        <w:rPr>
          <w:rFonts w:hint="eastAsia" w:ascii="宋体" w:hAnsi="宋体" w:cs="宋体"/>
        </w:rPr>
      </w:pPr>
      <w:r>
        <w:rPr>
          <w:rFonts w:hint="eastAsia" w:ascii="宋体" w:hAnsi="宋体" w:cs="宋体"/>
        </w:rPr>
        <w:t>投标供应商（公章）：</w:t>
      </w:r>
    </w:p>
    <w:p>
      <w:pPr>
        <w:spacing w:line="48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48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spacing w:line="400" w:lineRule="exact"/>
        <w:jc w:val="center"/>
        <w:rPr>
          <w:rFonts w:hint="eastAsia" w:ascii="宋体" w:hAnsi="宋体" w:cs="宋体"/>
          <w:sz w:val="28"/>
        </w:rPr>
      </w:pPr>
      <w:r>
        <w:rPr>
          <w:rFonts w:hint="eastAsia" w:ascii="宋体" w:hAnsi="宋体" w:cs="宋体"/>
          <w:b/>
          <w:sz w:val="28"/>
          <w:szCs w:val="28"/>
        </w:rPr>
        <w:br w:type="page"/>
      </w:r>
      <w:r>
        <w:rPr>
          <w:rFonts w:hint="eastAsia" w:ascii="宋体" w:hAnsi="宋体" w:cs="宋体"/>
          <w:b/>
          <w:sz w:val="28"/>
          <w:szCs w:val="28"/>
        </w:rPr>
        <w:t>（2）进场作业机具、设备明细表</w:t>
      </w:r>
    </w:p>
    <w:p>
      <w:pPr>
        <w:spacing w:line="400" w:lineRule="exact"/>
        <w:rPr>
          <w:rFonts w:hint="eastAsia" w:ascii="宋体" w:hAnsi="宋体" w:cs="宋体"/>
          <w:b/>
          <w:sz w:val="28"/>
          <w:szCs w:val="28"/>
        </w:rPr>
      </w:pPr>
      <w:r>
        <w:rPr>
          <w:rFonts w:hint="eastAsia" w:ascii="宋体" w:hAnsi="宋体" w:cs="宋体"/>
          <w:b/>
          <w:sz w:val="22"/>
        </w:rPr>
        <w:t>项目名称：                                                      招标编号：</w:t>
      </w: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3"/>
        <w:gridCol w:w="1517"/>
        <w:gridCol w:w="1428"/>
        <w:gridCol w:w="1538"/>
        <w:gridCol w:w="1318"/>
        <w:gridCol w:w="878"/>
        <w:gridCol w:w="988"/>
        <w:gridCol w:w="1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6" w:hRule="atLeast"/>
        </w:trPr>
        <w:tc>
          <w:tcPr>
            <w:tcW w:w="463" w:type="dxa"/>
            <w:noWrap w:val="0"/>
            <w:vAlign w:val="center"/>
          </w:tcPr>
          <w:p>
            <w:pPr>
              <w:rPr>
                <w:rFonts w:hint="eastAsia" w:ascii="宋体" w:hAnsi="宋体" w:cs="宋体"/>
                <w:b/>
                <w:szCs w:val="21"/>
              </w:rPr>
            </w:pPr>
            <w:r>
              <w:rPr>
                <w:rFonts w:hint="eastAsia" w:ascii="宋体" w:hAnsi="宋体" w:cs="宋体"/>
                <w:b/>
                <w:szCs w:val="21"/>
              </w:rPr>
              <w:t>序号</w:t>
            </w:r>
          </w:p>
        </w:tc>
        <w:tc>
          <w:tcPr>
            <w:tcW w:w="1517" w:type="dxa"/>
            <w:noWrap w:val="0"/>
            <w:vAlign w:val="center"/>
          </w:tcPr>
          <w:p>
            <w:pPr>
              <w:spacing w:line="280" w:lineRule="exact"/>
              <w:rPr>
                <w:rFonts w:hint="eastAsia" w:ascii="宋体" w:hAnsi="宋体" w:cs="宋体"/>
                <w:b/>
                <w:szCs w:val="21"/>
              </w:rPr>
            </w:pPr>
            <w:r>
              <w:rPr>
                <w:rFonts w:hint="eastAsia" w:ascii="宋体" w:hAnsi="宋体" w:cs="宋体"/>
                <w:b/>
                <w:szCs w:val="21"/>
              </w:rPr>
              <w:t>设备名称</w:t>
            </w:r>
          </w:p>
        </w:tc>
        <w:tc>
          <w:tcPr>
            <w:tcW w:w="1428" w:type="dxa"/>
            <w:noWrap w:val="0"/>
            <w:vAlign w:val="center"/>
          </w:tcPr>
          <w:p>
            <w:pPr>
              <w:spacing w:line="280" w:lineRule="exact"/>
              <w:rPr>
                <w:rFonts w:hint="eastAsia" w:ascii="宋体" w:hAnsi="宋体" w:cs="宋体"/>
                <w:b/>
                <w:szCs w:val="21"/>
              </w:rPr>
            </w:pPr>
            <w:r>
              <w:rPr>
                <w:rFonts w:hint="eastAsia" w:ascii="宋体" w:hAnsi="宋体" w:cs="宋体"/>
                <w:b/>
                <w:szCs w:val="21"/>
              </w:rPr>
              <w:t>规格型号</w:t>
            </w:r>
          </w:p>
        </w:tc>
        <w:tc>
          <w:tcPr>
            <w:tcW w:w="1538" w:type="dxa"/>
            <w:noWrap w:val="0"/>
            <w:vAlign w:val="center"/>
          </w:tcPr>
          <w:p>
            <w:pPr>
              <w:spacing w:line="280" w:lineRule="exact"/>
              <w:rPr>
                <w:rFonts w:hint="eastAsia" w:ascii="宋体" w:hAnsi="宋体" w:cs="宋体"/>
                <w:b/>
                <w:szCs w:val="21"/>
              </w:rPr>
            </w:pPr>
            <w:r>
              <w:rPr>
                <w:rFonts w:hint="eastAsia" w:ascii="宋体" w:hAnsi="宋体" w:cs="宋体"/>
                <w:b/>
                <w:szCs w:val="21"/>
              </w:rPr>
              <w:t>品牌/产地</w:t>
            </w:r>
          </w:p>
        </w:tc>
        <w:tc>
          <w:tcPr>
            <w:tcW w:w="1318" w:type="dxa"/>
            <w:noWrap w:val="0"/>
            <w:vAlign w:val="center"/>
          </w:tcPr>
          <w:p>
            <w:pPr>
              <w:spacing w:line="280" w:lineRule="exact"/>
              <w:rPr>
                <w:rFonts w:hint="eastAsia" w:ascii="宋体" w:hAnsi="宋体" w:cs="宋体"/>
                <w:b/>
                <w:szCs w:val="21"/>
              </w:rPr>
            </w:pPr>
            <w:r>
              <w:rPr>
                <w:rFonts w:hint="eastAsia" w:ascii="宋体" w:hAnsi="宋体" w:cs="宋体"/>
                <w:b/>
                <w:szCs w:val="21"/>
              </w:rPr>
              <w:t>已使用</w:t>
            </w:r>
          </w:p>
          <w:p>
            <w:pPr>
              <w:spacing w:line="280" w:lineRule="exact"/>
              <w:rPr>
                <w:rFonts w:hint="eastAsia" w:ascii="宋体" w:hAnsi="宋体" w:cs="宋体"/>
                <w:b/>
                <w:szCs w:val="21"/>
              </w:rPr>
            </w:pPr>
            <w:r>
              <w:rPr>
                <w:rFonts w:hint="eastAsia" w:ascii="宋体" w:hAnsi="宋体" w:cs="宋体"/>
                <w:b/>
                <w:szCs w:val="21"/>
              </w:rPr>
              <w:t>年限</w:t>
            </w:r>
          </w:p>
        </w:tc>
        <w:tc>
          <w:tcPr>
            <w:tcW w:w="878" w:type="dxa"/>
            <w:noWrap w:val="0"/>
            <w:vAlign w:val="center"/>
          </w:tcPr>
          <w:p>
            <w:pPr>
              <w:spacing w:line="280" w:lineRule="exact"/>
              <w:rPr>
                <w:rFonts w:hint="eastAsia" w:ascii="宋体" w:hAnsi="宋体" w:cs="宋体"/>
                <w:b/>
                <w:szCs w:val="21"/>
              </w:rPr>
            </w:pPr>
            <w:r>
              <w:rPr>
                <w:rFonts w:hint="eastAsia" w:ascii="宋体" w:hAnsi="宋体" w:cs="宋体"/>
                <w:b/>
                <w:szCs w:val="21"/>
              </w:rPr>
              <w:t>数量（台）</w:t>
            </w:r>
          </w:p>
        </w:tc>
        <w:tc>
          <w:tcPr>
            <w:tcW w:w="988" w:type="dxa"/>
            <w:noWrap w:val="0"/>
            <w:vAlign w:val="top"/>
          </w:tcPr>
          <w:p>
            <w:pPr>
              <w:spacing w:line="280" w:lineRule="exact"/>
              <w:rPr>
                <w:rFonts w:hint="eastAsia" w:ascii="宋体" w:hAnsi="宋体" w:cs="宋体"/>
                <w:b/>
                <w:szCs w:val="21"/>
              </w:rPr>
            </w:pPr>
            <w:r>
              <w:rPr>
                <w:rFonts w:hint="eastAsia" w:ascii="宋体" w:hAnsi="宋体" w:cs="宋体"/>
                <w:b/>
                <w:szCs w:val="21"/>
              </w:rPr>
              <w:t>价格(元)</w:t>
            </w:r>
          </w:p>
        </w:tc>
        <w:tc>
          <w:tcPr>
            <w:tcW w:w="1518" w:type="dxa"/>
            <w:noWrap w:val="0"/>
            <w:vAlign w:val="center"/>
          </w:tcPr>
          <w:p>
            <w:pPr>
              <w:spacing w:line="280" w:lineRule="exact"/>
              <w:rPr>
                <w:rFonts w:hint="eastAsia" w:ascii="宋体" w:hAnsi="宋体" w:cs="宋体"/>
                <w:b/>
                <w:szCs w:val="21"/>
              </w:rPr>
            </w:pPr>
            <w:r>
              <w:rPr>
                <w:rFonts w:hint="eastAsia" w:ascii="宋体" w:hAnsi="宋体" w:cs="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9" w:hRule="exact"/>
        </w:trPr>
        <w:tc>
          <w:tcPr>
            <w:tcW w:w="463" w:type="dxa"/>
            <w:noWrap w:val="0"/>
            <w:vAlign w:val="center"/>
          </w:tcPr>
          <w:p>
            <w:pPr>
              <w:spacing w:line="360" w:lineRule="auto"/>
              <w:rPr>
                <w:rFonts w:hint="eastAsia" w:ascii="宋体" w:hAnsi="宋体" w:cs="宋体"/>
                <w:sz w:val="22"/>
              </w:rPr>
            </w:pPr>
          </w:p>
        </w:tc>
        <w:tc>
          <w:tcPr>
            <w:tcW w:w="1517" w:type="dxa"/>
            <w:noWrap w:val="0"/>
            <w:vAlign w:val="center"/>
          </w:tcPr>
          <w:p>
            <w:pPr>
              <w:spacing w:line="360" w:lineRule="auto"/>
              <w:rPr>
                <w:rFonts w:hint="eastAsia" w:ascii="宋体" w:hAnsi="宋体" w:cs="宋体"/>
                <w:b/>
                <w:sz w:val="22"/>
              </w:rPr>
            </w:pPr>
          </w:p>
        </w:tc>
        <w:tc>
          <w:tcPr>
            <w:tcW w:w="1428" w:type="dxa"/>
            <w:noWrap w:val="0"/>
            <w:vAlign w:val="center"/>
          </w:tcPr>
          <w:p>
            <w:pPr>
              <w:spacing w:line="360" w:lineRule="auto"/>
              <w:rPr>
                <w:rFonts w:hint="eastAsia" w:ascii="宋体" w:hAnsi="宋体" w:cs="宋体"/>
                <w:b/>
                <w:sz w:val="22"/>
              </w:rPr>
            </w:pPr>
          </w:p>
        </w:tc>
        <w:tc>
          <w:tcPr>
            <w:tcW w:w="1538" w:type="dxa"/>
            <w:noWrap w:val="0"/>
            <w:vAlign w:val="center"/>
          </w:tcPr>
          <w:p>
            <w:pPr>
              <w:spacing w:line="360" w:lineRule="auto"/>
              <w:rPr>
                <w:rFonts w:hint="eastAsia" w:ascii="宋体" w:hAnsi="宋体" w:cs="宋体"/>
                <w:b/>
                <w:sz w:val="22"/>
              </w:rPr>
            </w:pPr>
          </w:p>
        </w:tc>
        <w:tc>
          <w:tcPr>
            <w:tcW w:w="1318" w:type="dxa"/>
            <w:noWrap w:val="0"/>
            <w:vAlign w:val="center"/>
          </w:tcPr>
          <w:p>
            <w:pPr>
              <w:spacing w:line="360" w:lineRule="auto"/>
              <w:rPr>
                <w:rFonts w:hint="eastAsia" w:ascii="宋体" w:hAnsi="宋体" w:cs="宋体"/>
                <w:b/>
                <w:sz w:val="22"/>
              </w:rPr>
            </w:pPr>
          </w:p>
        </w:tc>
        <w:tc>
          <w:tcPr>
            <w:tcW w:w="878" w:type="dxa"/>
            <w:noWrap w:val="0"/>
            <w:vAlign w:val="center"/>
          </w:tcPr>
          <w:p>
            <w:pPr>
              <w:spacing w:line="360" w:lineRule="auto"/>
              <w:rPr>
                <w:rFonts w:hint="eastAsia" w:ascii="宋体" w:hAnsi="宋体" w:cs="宋体"/>
                <w:b/>
                <w:sz w:val="22"/>
              </w:rPr>
            </w:pPr>
          </w:p>
        </w:tc>
        <w:tc>
          <w:tcPr>
            <w:tcW w:w="988" w:type="dxa"/>
            <w:noWrap w:val="0"/>
            <w:vAlign w:val="center"/>
          </w:tcPr>
          <w:p>
            <w:pPr>
              <w:spacing w:line="360" w:lineRule="auto"/>
              <w:rPr>
                <w:rFonts w:hint="eastAsia" w:ascii="宋体" w:hAnsi="宋体" w:cs="宋体"/>
                <w:b/>
                <w:sz w:val="22"/>
              </w:rPr>
            </w:pPr>
          </w:p>
        </w:tc>
        <w:tc>
          <w:tcPr>
            <w:tcW w:w="1518" w:type="dxa"/>
            <w:noWrap w:val="0"/>
            <w:vAlign w:val="center"/>
          </w:tcPr>
          <w:p>
            <w:pPr>
              <w:spacing w:line="360" w:lineRule="auto"/>
              <w:rPr>
                <w:rFonts w:hint="eastAsia" w:ascii="宋体" w:hAnsi="宋体" w:cs="宋体"/>
                <w:b/>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9" w:hRule="exact"/>
        </w:trPr>
        <w:tc>
          <w:tcPr>
            <w:tcW w:w="463" w:type="dxa"/>
            <w:noWrap w:val="0"/>
            <w:vAlign w:val="center"/>
          </w:tcPr>
          <w:p>
            <w:pPr>
              <w:spacing w:line="360" w:lineRule="auto"/>
              <w:rPr>
                <w:rFonts w:hint="eastAsia" w:ascii="宋体" w:hAnsi="宋体" w:cs="宋体"/>
                <w:sz w:val="22"/>
              </w:rPr>
            </w:pPr>
          </w:p>
        </w:tc>
        <w:tc>
          <w:tcPr>
            <w:tcW w:w="1517" w:type="dxa"/>
            <w:noWrap w:val="0"/>
            <w:vAlign w:val="center"/>
          </w:tcPr>
          <w:p>
            <w:pPr>
              <w:spacing w:line="360" w:lineRule="auto"/>
              <w:rPr>
                <w:rFonts w:hint="eastAsia" w:ascii="宋体" w:hAnsi="宋体" w:cs="宋体"/>
                <w:b/>
                <w:sz w:val="22"/>
              </w:rPr>
            </w:pPr>
          </w:p>
        </w:tc>
        <w:tc>
          <w:tcPr>
            <w:tcW w:w="1428" w:type="dxa"/>
            <w:noWrap w:val="0"/>
            <w:vAlign w:val="center"/>
          </w:tcPr>
          <w:p>
            <w:pPr>
              <w:spacing w:line="360" w:lineRule="auto"/>
              <w:rPr>
                <w:rFonts w:hint="eastAsia" w:ascii="宋体" w:hAnsi="宋体" w:cs="宋体"/>
                <w:b/>
                <w:sz w:val="22"/>
              </w:rPr>
            </w:pPr>
          </w:p>
        </w:tc>
        <w:tc>
          <w:tcPr>
            <w:tcW w:w="1538" w:type="dxa"/>
            <w:noWrap w:val="0"/>
            <w:vAlign w:val="center"/>
          </w:tcPr>
          <w:p>
            <w:pPr>
              <w:spacing w:line="360" w:lineRule="auto"/>
              <w:rPr>
                <w:rFonts w:hint="eastAsia" w:ascii="宋体" w:hAnsi="宋体" w:cs="宋体"/>
                <w:b/>
                <w:sz w:val="22"/>
              </w:rPr>
            </w:pPr>
          </w:p>
        </w:tc>
        <w:tc>
          <w:tcPr>
            <w:tcW w:w="1318" w:type="dxa"/>
            <w:noWrap w:val="0"/>
            <w:vAlign w:val="center"/>
          </w:tcPr>
          <w:p>
            <w:pPr>
              <w:spacing w:line="360" w:lineRule="auto"/>
              <w:rPr>
                <w:rFonts w:hint="eastAsia" w:ascii="宋体" w:hAnsi="宋体" w:cs="宋体"/>
                <w:b/>
                <w:sz w:val="22"/>
              </w:rPr>
            </w:pPr>
          </w:p>
        </w:tc>
        <w:tc>
          <w:tcPr>
            <w:tcW w:w="878" w:type="dxa"/>
            <w:noWrap w:val="0"/>
            <w:vAlign w:val="center"/>
          </w:tcPr>
          <w:p>
            <w:pPr>
              <w:spacing w:line="360" w:lineRule="auto"/>
              <w:rPr>
                <w:rFonts w:hint="eastAsia" w:ascii="宋体" w:hAnsi="宋体" w:cs="宋体"/>
                <w:b/>
                <w:sz w:val="22"/>
              </w:rPr>
            </w:pPr>
          </w:p>
        </w:tc>
        <w:tc>
          <w:tcPr>
            <w:tcW w:w="988" w:type="dxa"/>
            <w:noWrap w:val="0"/>
            <w:vAlign w:val="center"/>
          </w:tcPr>
          <w:p>
            <w:pPr>
              <w:spacing w:line="360" w:lineRule="auto"/>
              <w:rPr>
                <w:rFonts w:hint="eastAsia" w:ascii="宋体" w:hAnsi="宋体" w:cs="宋体"/>
                <w:b/>
                <w:sz w:val="22"/>
              </w:rPr>
            </w:pPr>
          </w:p>
        </w:tc>
        <w:tc>
          <w:tcPr>
            <w:tcW w:w="1518" w:type="dxa"/>
            <w:noWrap w:val="0"/>
            <w:vAlign w:val="center"/>
          </w:tcPr>
          <w:p>
            <w:pPr>
              <w:spacing w:line="360" w:lineRule="auto"/>
              <w:rPr>
                <w:rFonts w:hint="eastAsia" w:ascii="宋体" w:hAnsi="宋体" w:cs="宋体"/>
                <w:b/>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9" w:hRule="exact"/>
        </w:trPr>
        <w:tc>
          <w:tcPr>
            <w:tcW w:w="463" w:type="dxa"/>
            <w:noWrap w:val="0"/>
            <w:vAlign w:val="center"/>
          </w:tcPr>
          <w:p>
            <w:pPr>
              <w:spacing w:line="360" w:lineRule="auto"/>
              <w:rPr>
                <w:rFonts w:hint="eastAsia" w:ascii="宋体" w:hAnsi="宋体" w:cs="宋体"/>
                <w:sz w:val="22"/>
              </w:rPr>
            </w:pPr>
          </w:p>
        </w:tc>
        <w:tc>
          <w:tcPr>
            <w:tcW w:w="1517" w:type="dxa"/>
            <w:noWrap w:val="0"/>
            <w:vAlign w:val="center"/>
          </w:tcPr>
          <w:p>
            <w:pPr>
              <w:spacing w:line="360" w:lineRule="auto"/>
              <w:rPr>
                <w:rFonts w:hint="eastAsia" w:ascii="宋体" w:hAnsi="宋体" w:cs="宋体"/>
                <w:b/>
                <w:sz w:val="22"/>
              </w:rPr>
            </w:pPr>
          </w:p>
        </w:tc>
        <w:tc>
          <w:tcPr>
            <w:tcW w:w="1428" w:type="dxa"/>
            <w:noWrap w:val="0"/>
            <w:vAlign w:val="center"/>
          </w:tcPr>
          <w:p>
            <w:pPr>
              <w:spacing w:line="360" w:lineRule="auto"/>
              <w:rPr>
                <w:rFonts w:hint="eastAsia" w:ascii="宋体" w:hAnsi="宋体" w:cs="宋体"/>
                <w:b/>
                <w:sz w:val="22"/>
              </w:rPr>
            </w:pPr>
          </w:p>
        </w:tc>
        <w:tc>
          <w:tcPr>
            <w:tcW w:w="1538" w:type="dxa"/>
            <w:noWrap w:val="0"/>
            <w:vAlign w:val="center"/>
          </w:tcPr>
          <w:p>
            <w:pPr>
              <w:spacing w:line="360" w:lineRule="auto"/>
              <w:rPr>
                <w:rFonts w:hint="eastAsia" w:ascii="宋体" w:hAnsi="宋体" w:cs="宋体"/>
                <w:b/>
                <w:sz w:val="22"/>
              </w:rPr>
            </w:pPr>
          </w:p>
        </w:tc>
        <w:tc>
          <w:tcPr>
            <w:tcW w:w="1318" w:type="dxa"/>
            <w:noWrap w:val="0"/>
            <w:vAlign w:val="center"/>
          </w:tcPr>
          <w:p>
            <w:pPr>
              <w:spacing w:line="360" w:lineRule="auto"/>
              <w:rPr>
                <w:rFonts w:hint="eastAsia" w:ascii="宋体" w:hAnsi="宋体" w:cs="宋体"/>
                <w:b/>
                <w:sz w:val="22"/>
              </w:rPr>
            </w:pPr>
          </w:p>
        </w:tc>
        <w:tc>
          <w:tcPr>
            <w:tcW w:w="878" w:type="dxa"/>
            <w:noWrap w:val="0"/>
            <w:vAlign w:val="center"/>
          </w:tcPr>
          <w:p>
            <w:pPr>
              <w:spacing w:line="360" w:lineRule="auto"/>
              <w:rPr>
                <w:rFonts w:hint="eastAsia" w:ascii="宋体" w:hAnsi="宋体" w:cs="宋体"/>
                <w:b/>
                <w:sz w:val="22"/>
              </w:rPr>
            </w:pPr>
          </w:p>
        </w:tc>
        <w:tc>
          <w:tcPr>
            <w:tcW w:w="988" w:type="dxa"/>
            <w:noWrap w:val="0"/>
            <w:vAlign w:val="center"/>
          </w:tcPr>
          <w:p>
            <w:pPr>
              <w:spacing w:line="360" w:lineRule="auto"/>
              <w:rPr>
                <w:rFonts w:hint="eastAsia" w:ascii="宋体" w:hAnsi="宋体" w:cs="宋体"/>
                <w:b/>
                <w:sz w:val="22"/>
              </w:rPr>
            </w:pPr>
          </w:p>
        </w:tc>
        <w:tc>
          <w:tcPr>
            <w:tcW w:w="1518" w:type="dxa"/>
            <w:noWrap w:val="0"/>
            <w:vAlign w:val="center"/>
          </w:tcPr>
          <w:p>
            <w:pPr>
              <w:spacing w:line="360" w:lineRule="auto"/>
              <w:rPr>
                <w:rFonts w:hint="eastAsia" w:ascii="宋体" w:hAnsi="宋体" w:cs="宋体"/>
                <w:b/>
                <w:sz w:val="22"/>
              </w:rPr>
            </w:pPr>
          </w:p>
        </w:tc>
      </w:tr>
    </w:tbl>
    <w:p>
      <w:pPr>
        <w:pStyle w:val="17"/>
        <w:spacing w:line="320" w:lineRule="exact"/>
        <w:ind w:left="638" w:leftChars="104" w:hanging="420" w:hangingChars="200"/>
        <w:rPr>
          <w:rFonts w:hint="eastAsia" w:ascii="宋体" w:hAnsi="宋体" w:cs="宋体"/>
        </w:rPr>
      </w:pPr>
      <w:r>
        <w:rPr>
          <w:rFonts w:hint="eastAsia" w:ascii="宋体" w:hAnsi="宋体" w:cs="宋体"/>
        </w:rPr>
        <w:t>注：1、本表所列为投标人拟投入的作业机具、设备清单。</w:t>
      </w:r>
    </w:p>
    <w:p>
      <w:pPr>
        <w:pStyle w:val="17"/>
        <w:spacing w:line="320" w:lineRule="exact"/>
        <w:ind w:left="972" w:leftChars="313" w:hanging="315" w:hangingChars="150"/>
        <w:rPr>
          <w:rFonts w:hint="eastAsia" w:ascii="宋体" w:hAnsi="宋体" w:cs="宋体"/>
        </w:rPr>
      </w:pPr>
      <w:r>
        <w:rPr>
          <w:rFonts w:hint="eastAsia" w:ascii="宋体" w:hAnsi="宋体" w:cs="宋体"/>
        </w:rPr>
        <w:t>2、本表所列设备价格不计入投标总价，但应在投标价格中考虑作业机具、设备的损耗、折旧及有关使用、维修费用。</w:t>
      </w:r>
    </w:p>
    <w:p>
      <w:pPr>
        <w:pStyle w:val="17"/>
        <w:spacing w:line="320" w:lineRule="exact"/>
        <w:ind w:left="657" w:leftChars="313"/>
        <w:rPr>
          <w:rFonts w:hint="eastAsia" w:ascii="宋体" w:hAnsi="宋体" w:cs="宋体"/>
        </w:rPr>
      </w:pPr>
      <w:r>
        <w:rPr>
          <w:rFonts w:hint="eastAsia" w:ascii="宋体" w:hAnsi="宋体" w:cs="宋体"/>
        </w:rPr>
        <w:t>3、此表仅提供了表格形式，投标人可按此表格复制。</w:t>
      </w:r>
    </w:p>
    <w:p>
      <w:pPr>
        <w:spacing w:line="480" w:lineRule="auto"/>
        <w:ind w:right="-2" w:firstLine="5250" w:firstLineChars="2500"/>
        <w:rPr>
          <w:rFonts w:hint="eastAsia" w:ascii="宋体" w:hAnsi="宋体" w:cs="宋体"/>
        </w:rPr>
      </w:pPr>
      <w:r>
        <w:rPr>
          <w:rFonts w:hint="eastAsia" w:ascii="宋体" w:hAnsi="宋体" w:cs="宋体"/>
        </w:rPr>
        <w:t>投标供应商（公章）：</w:t>
      </w:r>
    </w:p>
    <w:p>
      <w:pPr>
        <w:spacing w:line="48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48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spacing w:line="400" w:lineRule="exact"/>
        <w:jc w:val="center"/>
        <w:rPr>
          <w:rFonts w:hint="eastAsia" w:ascii="宋体" w:hAnsi="宋体" w:cs="宋体"/>
          <w:szCs w:val="21"/>
        </w:rPr>
      </w:pPr>
      <w:r>
        <w:rPr>
          <w:rFonts w:hint="eastAsia" w:ascii="宋体" w:hAnsi="宋体" w:cs="宋体"/>
          <w:b/>
          <w:sz w:val="28"/>
          <w:szCs w:val="28"/>
        </w:rPr>
        <w:t>（3）保洁耗材配备明细表</w:t>
      </w:r>
    </w:p>
    <w:tbl>
      <w:tblPr>
        <w:tblStyle w:val="29"/>
        <w:tblpPr w:leftFromText="180" w:rightFromText="180" w:vertAnchor="text" w:horzAnchor="margin" w:tblpY="5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0"/>
        <w:gridCol w:w="1904"/>
        <w:gridCol w:w="1691"/>
        <w:gridCol w:w="1903"/>
        <w:gridCol w:w="787"/>
        <w:gridCol w:w="998"/>
        <w:gridCol w:w="1140"/>
        <w:gridCol w:w="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550" w:type="dxa"/>
            <w:noWrap w:val="0"/>
            <w:vAlign w:val="center"/>
          </w:tcPr>
          <w:p>
            <w:pPr>
              <w:rPr>
                <w:rFonts w:hint="eastAsia" w:ascii="宋体" w:hAnsi="宋体" w:cs="宋体"/>
                <w:b/>
                <w:szCs w:val="21"/>
              </w:rPr>
            </w:pPr>
            <w:r>
              <w:rPr>
                <w:rFonts w:hint="eastAsia" w:ascii="宋体" w:hAnsi="宋体" w:cs="宋体"/>
                <w:b/>
                <w:szCs w:val="21"/>
              </w:rPr>
              <w:t>序号</w:t>
            </w:r>
          </w:p>
        </w:tc>
        <w:tc>
          <w:tcPr>
            <w:tcW w:w="1904" w:type="dxa"/>
            <w:noWrap w:val="0"/>
            <w:vAlign w:val="center"/>
          </w:tcPr>
          <w:p>
            <w:pPr>
              <w:spacing w:line="280" w:lineRule="exact"/>
              <w:rPr>
                <w:rFonts w:hint="eastAsia" w:ascii="宋体" w:hAnsi="宋体" w:cs="宋体"/>
                <w:b/>
                <w:szCs w:val="21"/>
              </w:rPr>
            </w:pPr>
            <w:r>
              <w:rPr>
                <w:rFonts w:hint="eastAsia" w:ascii="宋体" w:hAnsi="宋体" w:cs="宋体"/>
                <w:b/>
                <w:szCs w:val="21"/>
              </w:rPr>
              <w:t>耗材名称</w:t>
            </w:r>
          </w:p>
        </w:tc>
        <w:tc>
          <w:tcPr>
            <w:tcW w:w="1691" w:type="dxa"/>
            <w:noWrap w:val="0"/>
            <w:vAlign w:val="center"/>
          </w:tcPr>
          <w:p>
            <w:pPr>
              <w:spacing w:line="280" w:lineRule="exact"/>
              <w:rPr>
                <w:rFonts w:hint="eastAsia" w:ascii="宋体" w:hAnsi="宋体" w:cs="宋体"/>
                <w:b/>
                <w:szCs w:val="21"/>
              </w:rPr>
            </w:pPr>
            <w:r>
              <w:rPr>
                <w:rFonts w:hint="eastAsia" w:ascii="宋体" w:hAnsi="宋体" w:cs="宋体"/>
                <w:b/>
                <w:szCs w:val="21"/>
              </w:rPr>
              <w:t>规格型号</w:t>
            </w:r>
          </w:p>
        </w:tc>
        <w:tc>
          <w:tcPr>
            <w:tcW w:w="1903" w:type="dxa"/>
            <w:noWrap w:val="0"/>
            <w:vAlign w:val="center"/>
          </w:tcPr>
          <w:p>
            <w:pPr>
              <w:spacing w:line="280" w:lineRule="exact"/>
              <w:rPr>
                <w:rFonts w:hint="eastAsia" w:ascii="宋体" w:hAnsi="宋体" w:cs="宋体"/>
                <w:b/>
                <w:szCs w:val="21"/>
              </w:rPr>
            </w:pPr>
            <w:r>
              <w:rPr>
                <w:rFonts w:hint="eastAsia" w:ascii="宋体" w:hAnsi="宋体" w:cs="宋体"/>
                <w:b/>
                <w:szCs w:val="21"/>
              </w:rPr>
              <w:t>品牌/产地</w:t>
            </w:r>
          </w:p>
        </w:tc>
        <w:tc>
          <w:tcPr>
            <w:tcW w:w="787" w:type="dxa"/>
            <w:noWrap w:val="0"/>
            <w:vAlign w:val="center"/>
          </w:tcPr>
          <w:p>
            <w:pPr>
              <w:spacing w:line="280" w:lineRule="exact"/>
              <w:rPr>
                <w:rFonts w:hint="eastAsia" w:ascii="宋体" w:hAnsi="宋体" w:cs="宋体"/>
                <w:b/>
                <w:szCs w:val="21"/>
              </w:rPr>
            </w:pPr>
            <w:r>
              <w:rPr>
                <w:rFonts w:hint="eastAsia" w:ascii="宋体" w:hAnsi="宋体" w:cs="宋体"/>
                <w:b/>
                <w:szCs w:val="21"/>
              </w:rPr>
              <w:t>数量</w:t>
            </w:r>
          </w:p>
        </w:tc>
        <w:tc>
          <w:tcPr>
            <w:tcW w:w="998" w:type="dxa"/>
            <w:tcBorders>
              <w:right w:val="single" w:color="auto" w:sz="4" w:space="0"/>
            </w:tcBorders>
            <w:noWrap w:val="0"/>
            <w:vAlign w:val="top"/>
          </w:tcPr>
          <w:p>
            <w:pPr>
              <w:spacing w:line="280" w:lineRule="exact"/>
              <w:rPr>
                <w:rFonts w:hint="eastAsia" w:ascii="宋体" w:hAnsi="宋体" w:cs="宋体"/>
                <w:b/>
                <w:szCs w:val="21"/>
              </w:rPr>
            </w:pPr>
            <w:r>
              <w:rPr>
                <w:rFonts w:hint="eastAsia" w:ascii="宋体" w:hAnsi="宋体" w:cs="宋体"/>
                <w:b/>
                <w:szCs w:val="21"/>
              </w:rPr>
              <w:t>单价 (元)</w:t>
            </w:r>
          </w:p>
        </w:tc>
        <w:tc>
          <w:tcPr>
            <w:tcW w:w="1140" w:type="dxa"/>
            <w:tcBorders>
              <w:left w:val="single" w:color="auto" w:sz="4" w:space="0"/>
            </w:tcBorders>
            <w:noWrap w:val="0"/>
            <w:vAlign w:val="top"/>
          </w:tcPr>
          <w:p>
            <w:pPr>
              <w:spacing w:line="280" w:lineRule="exact"/>
              <w:rPr>
                <w:rFonts w:hint="eastAsia" w:ascii="宋体" w:hAnsi="宋体" w:cs="宋体"/>
                <w:b/>
                <w:szCs w:val="21"/>
              </w:rPr>
            </w:pPr>
            <w:r>
              <w:rPr>
                <w:rFonts w:hint="eastAsia" w:ascii="宋体" w:hAnsi="宋体" w:cs="宋体"/>
                <w:b/>
                <w:szCs w:val="21"/>
              </w:rPr>
              <w:t>合价 (元)</w:t>
            </w:r>
          </w:p>
        </w:tc>
        <w:tc>
          <w:tcPr>
            <w:tcW w:w="881" w:type="dxa"/>
            <w:noWrap w:val="0"/>
            <w:vAlign w:val="center"/>
          </w:tcPr>
          <w:p>
            <w:pPr>
              <w:rPr>
                <w:rFonts w:hint="eastAsia" w:ascii="宋体" w:hAnsi="宋体" w:cs="宋体"/>
                <w:b/>
                <w:szCs w:val="21"/>
              </w:rPr>
            </w:pPr>
            <w:r>
              <w:rPr>
                <w:rFonts w:hint="eastAsia" w:ascii="宋体" w:hAnsi="宋体" w:cs="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exact"/>
        </w:trPr>
        <w:tc>
          <w:tcPr>
            <w:tcW w:w="550" w:type="dxa"/>
            <w:noWrap w:val="0"/>
            <w:vAlign w:val="center"/>
          </w:tcPr>
          <w:p>
            <w:pPr>
              <w:spacing w:line="360" w:lineRule="auto"/>
              <w:rPr>
                <w:rFonts w:hint="eastAsia" w:ascii="宋体" w:hAnsi="宋体" w:cs="宋体"/>
                <w:sz w:val="22"/>
              </w:rPr>
            </w:pPr>
          </w:p>
        </w:tc>
        <w:tc>
          <w:tcPr>
            <w:tcW w:w="1904" w:type="dxa"/>
            <w:noWrap w:val="0"/>
            <w:vAlign w:val="center"/>
          </w:tcPr>
          <w:p>
            <w:pPr>
              <w:spacing w:line="360" w:lineRule="auto"/>
              <w:rPr>
                <w:rFonts w:hint="eastAsia" w:ascii="宋体" w:hAnsi="宋体" w:cs="宋体"/>
                <w:b/>
                <w:sz w:val="22"/>
              </w:rPr>
            </w:pPr>
          </w:p>
        </w:tc>
        <w:tc>
          <w:tcPr>
            <w:tcW w:w="1691" w:type="dxa"/>
            <w:noWrap w:val="0"/>
            <w:vAlign w:val="top"/>
          </w:tcPr>
          <w:p>
            <w:pPr>
              <w:spacing w:line="360" w:lineRule="auto"/>
              <w:rPr>
                <w:rFonts w:hint="eastAsia" w:ascii="宋体" w:hAnsi="宋体" w:cs="宋体"/>
                <w:b/>
                <w:sz w:val="22"/>
              </w:rPr>
            </w:pPr>
          </w:p>
        </w:tc>
        <w:tc>
          <w:tcPr>
            <w:tcW w:w="1903" w:type="dxa"/>
            <w:noWrap w:val="0"/>
            <w:vAlign w:val="center"/>
          </w:tcPr>
          <w:p>
            <w:pPr>
              <w:spacing w:line="360" w:lineRule="auto"/>
              <w:rPr>
                <w:rFonts w:hint="eastAsia" w:ascii="宋体" w:hAnsi="宋体" w:cs="宋体"/>
                <w:b/>
                <w:sz w:val="22"/>
              </w:rPr>
            </w:pPr>
          </w:p>
        </w:tc>
        <w:tc>
          <w:tcPr>
            <w:tcW w:w="787" w:type="dxa"/>
            <w:noWrap w:val="0"/>
            <w:vAlign w:val="top"/>
          </w:tcPr>
          <w:p>
            <w:pPr>
              <w:spacing w:line="360" w:lineRule="auto"/>
              <w:rPr>
                <w:rFonts w:hint="eastAsia" w:ascii="宋体" w:hAnsi="宋体" w:cs="宋体"/>
                <w:b/>
                <w:sz w:val="22"/>
              </w:rPr>
            </w:pPr>
          </w:p>
        </w:tc>
        <w:tc>
          <w:tcPr>
            <w:tcW w:w="998" w:type="dxa"/>
            <w:tcBorders>
              <w:right w:val="single" w:color="auto" w:sz="4" w:space="0"/>
            </w:tcBorders>
            <w:noWrap w:val="0"/>
            <w:vAlign w:val="center"/>
          </w:tcPr>
          <w:p>
            <w:pPr>
              <w:spacing w:line="360" w:lineRule="auto"/>
              <w:rPr>
                <w:rFonts w:hint="eastAsia" w:ascii="宋体" w:hAnsi="宋体" w:cs="宋体"/>
                <w:b/>
                <w:sz w:val="22"/>
              </w:rPr>
            </w:pPr>
          </w:p>
        </w:tc>
        <w:tc>
          <w:tcPr>
            <w:tcW w:w="1140" w:type="dxa"/>
            <w:tcBorders>
              <w:left w:val="single" w:color="auto" w:sz="4" w:space="0"/>
            </w:tcBorders>
            <w:noWrap w:val="0"/>
            <w:vAlign w:val="center"/>
          </w:tcPr>
          <w:p>
            <w:pPr>
              <w:spacing w:line="360" w:lineRule="auto"/>
              <w:rPr>
                <w:rFonts w:hint="eastAsia" w:ascii="宋体" w:hAnsi="宋体" w:cs="宋体"/>
                <w:b/>
                <w:sz w:val="22"/>
              </w:rPr>
            </w:pPr>
          </w:p>
        </w:tc>
        <w:tc>
          <w:tcPr>
            <w:tcW w:w="881" w:type="dxa"/>
            <w:noWrap w:val="0"/>
            <w:vAlign w:val="top"/>
          </w:tcPr>
          <w:p>
            <w:pPr>
              <w:rPr>
                <w:rFonts w:hint="eastAsia" w:ascii="宋体" w:hAnsi="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exact"/>
        </w:trPr>
        <w:tc>
          <w:tcPr>
            <w:tcW w:w="550" w:type="dxa"/>
            <w:noWrap w:val="0"/>
            <w:vAlign w:val="center"/>
          </w:tcPr>
          <w:p>
            <w:pPr>
              <w:spacing w:line="360" w:lineRule="auto"/>
              <w:rPr>
                <w:rFonts w:hint="eastAsia" w:ascii="宋体" w:hAnsi="宋体" w:cs="宋体"/>
                <w:sz w:val="22"/>
              </w:rPr>
            </w:pPr>
          </w:p>
        </w:tc>
        <w:tc>
          <w:tcPr>
            <w:tcW w:w="1904" w:type="dxa"/>
            <w:noWrap w:val="0"/>
            <w:vAlign w:val="center"/>
          </w:tcPr>
          <w:p>
            <w:pPr>
              <w:spacing w:line="360" w:lineRule="auto"/>
              <w:rPr>
                <w:rFonts w:hint="eastAsia" w:ascii="宋体" w:hAnsi="宋体" w:cs="宋体"/>
                <w:b/>
                <w:sz w:val="22"/>
              </w:rPr>
            </w:pPr>
          </w:p>
        </w:tc>
        <w:tc>
          <w:tcPr>
            <w:tcW w:w="1691" w:type="dxa"/>
            <w:noWrap w:val="0"/>
            <w:vAlign w:val="top"/>
          </w:tcPr>
          <w:p>
            <w:pPr>
              <w:spacing w:line="360" w:lineRule="auto"/>
              <w:rPr>
                <w:rFonts w:hint="eastAsia" w:ascii="宋体" w:hAnsi="宋体" w:cs="宋体"/>
                <w:b/>
                <w:sz w:val="22"/>
              </w:rPr>
            </w:pPr>
          </w:p>
        </w:tc>
        <w:tc>
          <w:tcPr>
            <w:tcW w:w="1903" w:type="dxa"/>
            <w:noWrap w:val="0"/>
            <w:vAlign w:val="center"/>
          </w:tcPr>
          <w:p>
            <w:pPr>
              <w:spacing w:line="360" w:lineRule="auto"/>
              <w:rPr>
                <w:rFonts w:hint="eastAsia" w:ascii="宋体" w:hAnsi="宋体" w:cs="宋体"/>
                <w:b/>
                <w:sz w:val="22"/>
              </w:rPr>
            </w:pPr>
          </w:p>
        </w:tc>
        <w:tc>
          <w:tcPr>
            <w:tcW w:w="787" w:type="dxa"/>
            <w:noWrap w:val="0"/>
            <w:vAlign w:val="top"/>
          </w:tcPr>
          <w:p>
            <w:pPr>
              <w:spacing w:line="360" w:lineRule="auto"/>
              <w:rPr>
                <w:rFonts w:hint="eastAsia" w:ascii="宋体" w:hAnsi="宋体" w:cs="宋体"/>
                <w:b/>
                <w:sz w:val="22"/>
              </w:rPr>
            </w:pPr>
          </w:p>
        </w:tc>
        <w:tc>
          <w:tcPr>
            <w:tcW w:w="998" w:type="dxa"/>
            <w:tcBorders>
              <w:right w:val="single" w:color="auto" w:sz="4" w:space="0"/>
            </w:tcBorders>
            <w:noWrap w:val="0"/>
            <w:vAlign w:val="center"/>
          </w:tcPr>
          <w:p>
            <w:pPr>
              <w:spacing w:line="360" w:lineRule="auto"/>
              <w:rPr>
                <w:rFonts w:hint="eastAsia" w:ascii="宋体" w:hAnsi="宋体" w:cs="宋体"/>
                <w:b/>
                <w:sz w:val="22"/>
              </w:rPr>
            </w:pPr>
          </w:p>
        </w:tc>
        <w:tc>
          <w:tcPr>
            <w:tcW w:w="1140" w:type="dxa"/>
            <w:tcBorders>
              <w:left w:val="single" w:color="auto" w:sz="4" w:space="0"/>
            </w:tcBorders>
            <w:noWrap w:val="0"/>
            <w:vAlign w:val="center"/>
          </w:tcPr>
          <w:p>
            <w:pPr>
              <w:spacing w:line="360" w:lineRule="auto"/>
              <w:rPr>
                <w:rFonts w:hint="eastAsia" w:ascii="宋体" w:hAnsi="宋体" w:cs="宋体"/>
                <w:b/>
                <w:sz w:val="22"/>
              </w:rPr>
            </w:pPr>
          </w:p>
        </w:tc>
        <w:tc>
          <w:tcPr>
            <w:tcW w:w="881" w:type="dxa"/>
            <w:noWrap w:val="0"/>
            <w:vAlign w:val="top"/>
          </w:tcPr>
          <w:p>
            <w:pPr>
              <w:rPr>
                <w:rFonts w:hint="eastAsia" w:ascii="宋体" w:hAnsi="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exact"/>
        </w:trPr>
        <w:tc>
          <w:tcPr>
            <w:tcW w:w="550" w:type="dxa"/>
            <w:noWrap w:val="0"/>
            <w:vAlign w:val="center"/>
          </w:tcPr>
          <w:p>
            <w:pPr>
              <w:spacing w:line="360" w:lineRule="auto"/>
              <w:rPr>
                <w:rFonts w:hint="eastAsia" w:ascii="宋体" w:hAnsi="宋体" w:cs="宋体"/>
                <w:sz w:val="22"/>
              </w:rPr>
            </w:pPr>
          </w:p>
        </w:tc>
        <w:tc>
          <w:tcPr>
            <w:tcW w:w="1904" w:type="dxa"/>
            <w:noWrap w:val="0"/>
            <w:vAlign w:val="center"/>
          </w:tcPr>
          <w:p>
            <w:pPr>
              <w:spacing w:line="360" w:lineRule="auto"/>
              <w:rPr>
                <w:rFonts w:hint="eastAsia" w:ascii="宋体" w:hAnsi="宋体" w:cs="宋体"/>
                <w:b/>
                <w:sz w:val="22"/>
              </w:rPr>
            </w:pPr>
          </w:p>
        </w:tc>
        <w:tc>
          <w:tcPr>
            <w:tcW w:w="1691" w:type="dxa"/>
            <w:noWrap w:val="0"/>
            <w:vAlign w:val="top"/>
          </w:tcPr>
          <w:p>
            <w:pPr>
              <w:spacing w:line="360" w:lineRule="auto"/>
              <w:rPr>
                <w:rFonts w:hint="eastAsia" w:ascii="宋体" w:hAnsi="宋体" w:cs="宋体"/>
                <w:b/>
                <w:sz w:val="22"/>
              </w:rPr>
            </w:pPr>
          </w:p>
        </w:tc>
        <w:tc>
          <w:tcPr>
            <w:tcW w:w="1903" w:type="dxa"/>
            <w:noWrap w:val="0"/>
            <w:vAlign w:val="center"/>
          </w:tcPr>
          <w:p>
            <w:pPr>
              <w:spacing w:line="360" w:lineRule="auto"/>
              <w:rPr>
                <w:rFonts w:hint="eastAsia" w:ascii="宋体" w:hAnsi="宋体" w:cs="宋体"/>
                <w:b/>
                <w:sz w:val="22"/>
              </w:rPr>
            </w:pPr>
          </w:p>
        </w:tc>
        <w:tc>
          <w:tcPr>
            <w:tcW w:w="787" w:type="dxa"/>
            <w:noWrap w:val="0"/>
            <w:vAlign w:val="top"/>
          </w:tcPr>
          <w:p>
            <w:pPr>
              <w:spacing w:line="360" w:lineRule="auto"/>
              <w:rPr>
                <w:rFonts w:hint="eastAsia" w:ascii="宋体" w:hAnsi="宋体" w:cs="宋体"/>
                <w:b/>
                <w:sz w:val="22"/>
              </w:rPr>
            </w:pPr>
          </w:p>
        </w:tc>
        <w:tc>
          <w:tcPr>
            <w:tcW w:w="998" w:type="dxa"/>
            <w:tcBorders>
              <w:right w:val="single" w:color="auto" w:sz="4" w:space="0"/>
            </w:tcBorders>
            <w:noWrap w:val="0"/>
            <w:vAlign w:val="center"/>
          </w:tcPr>
          <w:p>
            <w:pPr>
              <w:spacing w:line="360" w:lineRule="auto"/>
              <w:rPr>
                <w:rFonts w:hint="eastAsia" w:ascii="宋体" w:hAnsi="宋体" w:cs="宋体"/>
                <w:b/>
                <w:sz w:val="22"/>
              </w:rPr>
            </w:pPr>
          </w:p>
        </w:tc>
        <w:tc>
          <w:tcPr>
            <w:tcW w:w="1140" w:type="dxa"/>
            <w:tcBorders>
              <w:left w:val="single" w:color="auto" w:sz="4" w:space="0"/>
            </w:tcBorders>
            <w:noWrap w:val="0"/>
            <w:vAlign w:val="center"/>
          </w:tcPr>
          <w:p>
            <w:pPr>
              <w:spacing w:line="360" w:lineRule="auto"/>
              <w:rPr>
                <w:rFonts w:hint="eastAsia" w:ascii="宋体" w:hAnsi="宋体" w:cs="宋体"/>
                <w:b/>
                <w:sz w:val="22"/>
              </w:rPr>
            </w:pPr>
          </w:p>
        </w:tc>
        <w:tc>
          <w:tcPr>
            <w:tcW w:w="881" w:type="dxa"/>
            <w:noWrap w:val="0"/>
            <w:vAlign w:val="top"/>
          </w:tcPr>
          <w:p>
            <w:pPr>
              <w:rPr>
                <w:rFonts w:hint="eastAsia" w:ascii="宋体" w:hAnsi="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exact"/>
        </w:trPr>
        <w:tc>
          <w:tcPr>
            <w:tcW w:w="550" w:type="dxa"/>
            <w:noWrap w:val="0"/>
            <w:vAlign w:val="center"/>
          </w:tcPr>
          <w:p>
            <w:pPr>
              <w:spacing w:line="360" w:lineRule="auto"/>
              <w:rPr>
                <w:rFonts w:hint="eastAsia" w:ascii="宋体" w:hAnsi="宋体" w:cs="宋体"/>
                <w:sz w:val="22"/>
              </w:rPr>
            </w:pPr>
          </w:p>
        </w:tc>
        <w:tc>
          <w:tcPr>
            <w:tcW w:w="1904" w:type="dxa"/>
            <w:noWrap w:val="0"/>
            <w:vAlign w:val="center"/>
          </w:tcPr>
          <w:p>
            <w:pPr>
              <w:spacing w:line="360" w:lineRule="auto"/>
              <w:rPr>
                <w:rFonts w:hint="eastAsia" w:ascii="宋体" w:hAnsi="宋体" w:cs="宋体"/>
                <w:b/>
                <w:sz w:val="22"/>
              </w:rPr>
            </w:pPr>
          </w:p>
        </w:tc>
        <w:tc>
          <w:tcPr>
            <w:tcW w:w="1691" w:type="dxa"/>
            <w:noWrap w:val="0"/>
            <w:vAlign w:val="top"/>
          </w:tcPr>
          <w:p>
            <w:pPr>
              <w:spacing w:line="360" w:lineRule="auto"/>
              <w:rPr>
                <w:rFonts w:hint="eastAsia" w:ascii="宋体" w:hAnsi="宋体" w:cs="宋体"/>
                <w:b/>
                <w:sz w:val="22"/>
              </w:rPr>
            </w:pPr>
          </w:p>
        </w:tc>
        <w:tc>
          <w:tcPr>
            <w:tcW w:w="1903" w:type="dxa"/>
            <w:noWrap w:val="0"/>
            <w:vAlign w:val="center"/>
          </w:tcPr>
          <w:p>
            <w:pPr>
              <w:spacing w:line="360" w:lineRule="auto"/>
              <w:rPr>
                <w:rFonts w:hint="eastAsia" w:ascii="宋体" w:hAnsi="宋体" w:cs="宋体"/>
                <w:b/>
                <w:sz w:val="22"/>
              </w:rPr>
            </w:pPr>
          </w:p>
        </w:tc>
        <w:tc>
          <w:tcPr>
            <w:tcW w:w="787" w:type="dxa"/>
            <w:noWrap w:val="0"/>
            <w:vAlign w:val="top"/>
          </w:tcPr>
          <w:p>
            <w:pPr>
              <w:spacing w:line="360" w:lineRule="auto"/>
              <w:rPr>
                <w:rFonts w:hint="eastAsia" w:ascii="宋体" w:hAnsi="宋体" w:cs="宋体"/>
                <w:b/>
                <w:sz w:val="22"/>
              </w:rPr>
            </w:pPr>
          </w:p>
        </w:tc>
        <w:tc>
          <w:tcPr>
            <w:tcW w:w="998" w:type="dxa"/>
            <w:tcBorders>
              <w:right w:val="single" w:color="auto" w:sz="4" w:space="0"/>
            </w:tcBorders>
            <w:noWrap w:val="0"/>
            <w:vAlign w:val="center"/>
          </w:tcPr>
          <w:p>
            <w:pPr>
              <w:spacing w:line="360" w:lineRule="auto"/>
              <w:rPr>
                <w:rFonts w:hint="eastAsia" w:ascii="宋体" w:hAnsi="宋体" w:cs="宋体"/>
                <w:b/>
                <w:sz w:val="22"/>
              </w:rPr>
            </w:pPr>
          </w:p>
        </w:tc>
        <w:tc>
          <w:tcPr>
            <w:tcW w:w="1140" w:type="dxa"/>
            <w:tcBorders>
              <w:left w:val="single" w:color="auto" w:sz="4" w:space="0"/>
            </w:tcBorders>
            <w:noWrap w:val="0"/>
            <w:vAlign w:val="center"/>
          </w:tcPr>
          <w:p>
            <w:pPr>
              <w:spacing w:line="360" w:lineRule="auto"/>
              <w:rPr>
                <w:rFonts w:hint="eastAsia" w:ascii="宋体" w:hAnsi="宋体" w:cs="宋体"/>
                <w:b/>
                <w:sz w:val="22"/>
              </w:rPr>
            </w:pPr>
          </w:p>
        </w:tc>
        <w:tc>
          <w:tcPr>
            <w:tcW w:w="881" w:type="dxa"/>
            <w:noWrap w:val="0"/>
            <w:vAlign w:val="top"/>
          </w:tcPr>
          <w:p>
            <w:pPr>
              <w:rPr>
                <w:rFonts w:hint="eastAsia" w:ascii="宋体" w:hAnsi="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exact"/>
        </w:trPr>
        <w:tc>
          <w:tcPr>
            <w:tcW w:w="550" w:type="dxa"/>
            <w:tcBorders>
              <w:bottom w:val="single" w:color="auto" w:sz="4" w:space="0"/>
            </w:tcBorders>
            <w:noWrap w:val="0"/>
            <w:vAlign w:val="center"/>
          </w:tcPr>
          <w:p>
            <w:pPr>
              <w:spacing w:line="360" w:lineRule="auto"/>
              <w:rPr>
                <w:rFonts w:hint="eastAsia" w:ascii="宋体" w:hAnsi="宋体" w:cs="宋体"/>
                <w:sz w:val="22"/>
              </w:rPr>
            </w:pPr>
          </w:p>
        </w:tc>
        <w:tc>
          <w:tcPr>
            <w:tcW w:w="1904" w:type="dxa"/>
            <w:tcBorders>
              <w:bottom w:val="single" w:color="auto" w:sz="4" w:space="0"/>
            </w:tcBorders>
            <w:noWrap w:val="0"/>
            <w:vAlign w:val="center"/>
          </w:tcPr>
          <w:p>
            <w:pPr>
              <w:spacing w:line="360" w:lineRule="auto"/>
              <w:rPr>
                <w:rFonts w:hint="eastAsia" w:ascii="宋体" w:hAnsi="宋体" w:cs="宋体"/>
                <w:b/>
                <w:sz w:val="22"/>
              </w:rPr>
            </w:pPr>
          </w:p>
        </w:tc>
        <w:tc>
          <w:tcPr>
            <w:tcW w:w="1691" w:type="dxa"/>
            <w:tcBorders>
              <w:bottom w:val="single" w:color="auto" w:sz="4" w:space="0"/>
            </w:tcBorders>
            <w:noWrap w:val="0"/>
            <w:vAlign w:val="top"/>
          </w:tcPr>
          <w:p>
            <w:pPr>
              <w:spacing w:line="360" w:lineRule="auto"/>
              <w:rPr>
                <w:rFonts w:hint="eastAsia" w:ascii="宋体" w:hAnsi="宋体" w:cs="宋体"/>
                <w:b/>
                <w:sz w:val="22"/>
              </w:rPr>
            </w:pPr>
          </w:p>
        </w:tc>
        <w:tc>
          <w:tcPr>
            <w:tcW w:w="1903" w:type="dxa"/>
            <w:tcBorders>
              <w:bottom w:val="single" w:color="auto" w:sz="4" w:space="0"/>
            </w:tcBorders>
            <w:noWrap w:val="0"/>
            <w:vAlign w:val="center"/>
          </w:tcPr>
          <w:p>
            <w:pPr>
              <w:spacing w:line="360" w:lineRule="auto"/>
              <w:rPr>
                <w:rFonts w:hint="eastAsia" w:ascii="宋体" w:hAnsi="宋体" w:cs="宋体"/>
                <w:b/>
                <w:sz w:val="22"/>
              </w:rPr>
            </w:pPr>
          </w:p>
        </w:tc>
        <w:tc>
          <w:tcPr>
            <w:tcW w:w="787" w:type="dxa"/>
            <w:tcBorders>
              <w:bottom w:val="single" w:color="auto" w:sz="4" w:space="0"/>
            </w:tcBorders>
            <w:noWrap w:val="0"/>
            <w:vAlign w:val="top"/>
          </w:tcPr>
          <w:p>
            <w:pPr>
              <w:spacing w:line="360" w:lineRule="auto"/>
              <w:rPr>
                <w:rFonts w:hint="eastAsia" w:ascii="宋体" w:hAnsi="宋体" w:cs="宋体"/>
                <w:b/>
                <w:sz w:val="22"/>
              </w:rPr>
            </w:pPr>
          </w:p>
        </w:tc>
        <w:tc>
          <w:tcPr>
            <w:tcW w:w="998" w:type="dxa"/>
            <w:tcBorders>
              <w:bottom w:val="single" w:color="auto" w:sz="4" w:space="0"/>
              <w:right w:val="single" w:color="auto" w:sz="4" w:space="0"/>
            </w:tcBorders>
            <w:noWrap w:val="0"/>
            <w:vAlign w:val="center"/>
          </w:tcPr>
          <w:p>
            <w:pPr>
              <w:spacing w:line="360" w:lineRule="auto"/>
              <w:rPr>
                <w:rFonts w:hint="eastAsia" w:ascii="宋体" w:hAnsi="宋体" w:cs="宋体"/>
                <w:b/>
                <w:sz w:val="22"/>
              </w:rPr>
            </w:pPr>
          </w:p>
        </w:tc>
        <w:tc>
          <w:tcPr>
            <w:tcW w:w="1140" w:type="dxa"/>
            <w:tcBorders>
              <w:left w:val="single" w:color="auto" w:sz="4" w:space="0"/>
              <w:bottom w:val="single" w:color="auto" w:sz="4" w:space="0"/>
            </w:tcBorders>
            <w:noWrap w:val="0"/>
            <w:vAlign w:val="center"/>
          </w:tcPr>
          <w:p>
            <w:pPr>
              <w:spacing w:line="360" w:lineRule="auto"/>
              <w:rPr>
                <w:rFonts w:hint="eastAsia" w:ascii="宋体" w:hAnsi="宋体" w:cs="宋体"/>
                <w:b/>
                <w:sz w:val="22"/>
              </w:rPr>
            </w:pPr>
          </w:p>
        </w:tc>
        <w:tc>
          <w:tcPr>
            <w:tcW w:w="881" w:type="dxa"/>
            <w:tcBorders>
              <w:bottom w:val="single" w:color="auto" w:sz="4" w:space="0"/>
            </w:tcBorders>
            <w:noWrap w:val="0"/>
            <w:vAlign w:val="top"/>
          </w:tcPr>
          <w:p>
            <w:pPr>
              <w:rPr>
                <w:rFonts w:hint="eastAsia" w:ascii="宋体" w:hAnsi="宋体" w:cs="宋体"/>
                <w:sz w:val="22"/>
              </w:rPr>
            </w:pPr>
          </w:p>
        </w:tc>
      </w:tr>
    </w:tbl>
    <w:p>
      <w:pPr>
        <w:spacing w:line="400" w:lineRule="exact"/>
        <w:rPr>
          <w:rFonts w:hint="eastAsia" w:ascii="宋体" w:hAnsi="宋体" w:cs="宋体"/>
          <w:b/>
          <w:sz w:val="22"/>
          <w:u w:val="single"/>
        </w:rPr>
      </w:pPr>
      <w:r>
        <w:rPr>
          <w:rFonts w:hint="eastAsia" w:ascii="宋体" w:hAnsi="宋体" w:cs="宋体"/>
          <w:b/>
          <w:sz w:val="22"/>
        </w:rPr>
        <w:t>项目名称：                                          招标编号：</w:t>
      </w:r>
    </w:p>
    <w:p>
      <w:pPr>
        <w:pStyle w:val="17"/>
        <w:spacing w:line="320" w:lineRule="exact"/>
        <w:rPr>
          <w:rFonts w:hint="eastAsia" w:ascii="宋体" w:hAnsi="宋体" w:cs="宋体"/>
        </w:rPr>
      </w:pPr>
      <w:r>
        <w:rPr>
          <w:rFonts w:hint="eastAsia" w:ascii="宋体" w:hAnsi="宋体" w:cs="宋体"/>
        </w:rPr>
        <w:t>注：1、本表所列为投标人拟投入的消耗材料清单。</w:t>
      </w:r>
    </w:p>
    <w:p>
      <w:pPr>
        <w:pStyle w:val="17"/>
        <w:spacing w:line="320" w:lineRule="exact"/>
        <w:ind w:left="972" w:leftChars="313" w:hanging="315" w:hangingChars="150"/>
        <w:rPr>
          <w:rFonts w:hint="eastAsia" w:ascii="宋体" w:hAnsi="宋体" w:cs="宋体"/>
        </w:rPr>
      </w:pPr>
      <w:r>
        <w:rPr>
          <w:rFonts w:hint="eastAsia" w:ascii="宋体" w:hAnsi="宋体" w:cs="宋体"/>
        </w:rPr>
        <w:t>2、本表所列耗材价格应计入投标总价。</w:t>
      </w:r>
    </w:p>
    <w:p>
      <w:pPr>
        <w:pStyle w:val="17"/>
        <w:spacing w:line="320" w:lineRule="exact"/>
        <w:ind w:left="657" w:leftChars="313"/>
        <w:rPr>
          <w:rFonts w:hint="eastAsia" w:ascii="宋体" w:hAnsi="宋体" w:cs="宋体"/>
        </w:rPr>
      </w:pPr>
      <w:r>
        <w:rPr>
          <w:rFonts w:hint="eastAsia" w:ascii="宋体" w:hAnsi="宋体" w:cs="宋体"/>
        </w:rPr>
        <w:t>3、此表仅提供了表格形式，投标人可按此表格复制。</w:t>
      </w:r>
    </w:p>
    <w:p>
      <w:pPr>
        <w:pStyle w:val="17"/>
        <w:spacing w:line="360" w:lineRule="exact"/>
        <w:ind w:left="764" w:leftChars="364" w:firstLine="3570" w:firstLineChars="1700"/>
        <w:rPr>
          <w:rFonts w:hint="eastAsia" w:ascii="宋体" w:hAnsi="宋体" w:cs="宋体"/>
        </w:rPr>
      </w:pPr>
    </w:p>
    <w:p>
      <w:pPr>
        <w:spacing w:line="480" w:lineRule="auto"/>
        <w:ind w:right="-2" w:firstLine="5250" w:firstLineChars="2500"/>
        <w:rPr>
          <w:rFonts w:hint="eastAsia" w:ascii="宋体" w:hAnsi="宋体" w:cs="宋体"/>
        </w:rPr>
      </w:pPr>
      <w:r>
        <w:rPr>
          <w:rFonts w:hint="eastAsia" w:ascii="宋体" w:hAnsi="宋体" w:cs="宋体"/>
        </w:rPr>
        <w:t>投标供应商（公章）：</w:t>
      </w:r>
    </w:p>
    <w:p>
      <w:pPr>
        <w:spacing w:line="480" w:lineRule="auto"/>
        <w:ind w:right="-2" w:firstLine="5250" w:firstLineChars="2500"/>
        <w:rPr>
          <w:rFonts w:hint="eastAsia" w:ascii="宋体" w:hAnsi="宋体" w:cs="宋体"/>
        </w:rPr>
      </w:pPr>
      <w:r>
        <w:rPr>
          <w:rFonts w:hint="eastAsia" w:ascii="宋体" w:hAnsi="宋体" w:cs="宋体"/>
        </w:rPr>
        <w:t>法定</w:t>
      </w:r>
      <w:r>
        <w:rPr>
          <w:rFonts w:hint="eastAsia" w:ascii="宋体" w:hAnsi="宋体" w:cs="宋体"/>
          <w:szCs w:val="22"/>
        </w:rPr>
        <w:t>代表人</w:t>
      </w:r>
      <w:r>
        <w:rPr>
          <w:rFonts w:hint="eastAsia" w:ascii="宋体" w:hAnsi="宋体" w:cs="宋体"/>
        </w:rPr>
        <w:t>或授权代表（签字或盖章）：</w:t>
      </w:r>
    </w:p>
    <w:p>
      <w:pPr>
        <w:spacing w:line="480" w:lineRule="auto"/>
        <w:ind w:right="-2" w:firstLine="5250" w:firstLineChars="2500"/>
        <w:rPr>
          <w:rFonts w:hint="eastAsia" w:ascii="宋体" w:hAnsi="宋体" w:cs="宋体"/>
        </w:rPr>
      </w:pPr>
      <w:r>
        <w:rPr>
          <w:rFonts w:hint="eastAsia" w:ascii="宋体" w:hAnsi="宋体" w:cs="宋体"/>
          <w:szCs w:val="22"/>
        </w:rPr>
        <w:t>日期</w:t>
      </w:r>
      <w:r>
        <w:rPr>
          <w:rFonts w:hint="eastAsia" w:ascii="宋体" w:hAnsi="宋体" w:cs="宋体"/>
        </w:rPr>
        <w:t>：</w:t>
      </w:r>
    </w:p>
    <w:p>
      <w:pPr>
        <w:pStyle w:val="64"/>
        <w:rPr>
          <w:rFonts w:hint="eastAsia" w:ascii="宋体" w:hAnsi="宋体" w:cs="宋体"/>
          <w:bCs/>
          <w:color w:val="FF0000"/>
        </w:rPr>
      </w:pPr>
      <w:r>
        <w:rPr>
          <w:rFonts w:hint="eastAsia" w:ascii="宋体" w:hAnsi="宋体" w:cs="宋体"/>
          <w:sz w:val="28"/>
        </w:rPr>
        <w:br w:type="page"/>
      </w:r>
      <w:bookmarkEnd w:id="336"/>
    </w:p>
    <w:p>
      <w:pPr>
        <w:spacing w:line="480" w:lineRule="auto"/>
        <w:jc w:val="center"/>
        <w:outlineLvl w:val="1"/>
        <w:rPr>
          <w:rFonts w:hint="eastAsia" w:ascii="宋体" w:hAnsi="宋体" w:cs="宋体"/>
          <w:b/>
          <w:bCs/>
          <w:sz w:val="28"/>
          <w:szCs w:val="36"/>
        </w:rPr>
      </w:pPr>
      <w:bookmarkStart w:id="345" w:name="_Toc14401"/>
      <w:r>
        <w:rPr>
          <w:rFonts w:hint="eastAsia" w:ascii="宋体" w:hAnsi="宋体" w:cs="宋体"/>
          <w:b/>
          <w:bCs/>
          <w:sz w:val="28"/>
          <w:szCs w:val="36"/>
        </w:rPr>
        <w:t xml:space="preserve">附件十  </w:t>
      </w:r>
      <w:bookmarkEnd w:id="337"/>
      <w:r>
        <w:rPr>
          <w:rFonts w:hint="eastAsia" w:ascii="宋体" w:hAnsi="宋体" w:cs="宋体"/>
          <w:b/>
          <w:bCs/>
          <w:sz w:val="28"/>
          <w:szCs w:val="36"/>
        </w:rPr>
        <w:t>2017年1月1日以来业绩一览表</w:t>
      </w:r>
      <w:bookmarkEnd w:id="338"/>
      <w:bookmarkEnd w:id="339"/>
      <w:bookmarkEnd w:id="345"/>
    </w:p>
    <w:p>
      <w:pPr>
        <w:spacing w:line="400" w:lineRule="atLeast"/>
        <w:rPr>
          <w:rFonts w:hint="eastAsia" w:ascii="宋体" w:hAnsi="宋体" w:cs="宋体"/>
          <w:b/>
          <w:szCs w:val="21"/>
        </w:rPr>
      </w:pPr>
      <w:r>
        <w:rPr>
          <w:rFonts w:hint="eastAsia" w:ascii="宋体" w:hAnsi="宋体" w:cs="宋体"/>
          <w:b/>
          <w:szCs w:val="21"/>
        </w:rPr>
        <w:t xml:space="preserve">项目名称：                                               项目编号： </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995"/>
        <w:gridCol w:w="1995"/>
        <w:gridCol w:w="147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spacing w:line="400" w:lineRule="atLeast"/>
              <w:jc w:val="center"/>
              <w:rPr>
                <w:rFonts w:hint="eastAsia" w:ascii="宋体" w:hAnsi="宋体" w:cs="宋体"/>
                <w:b/>
                <w:bCs/>
                <w:lang w:val="zh-CN"/>
              </w:rPr>
            </w:pPr>
            <w:r>
              <w:rPr>
                <w:rFonts w:hint="eastAsia" w:ascii="宋体" w:hAnsi="宋体" w:cs="宋体"/>
                <w:b/>
                <w:bCs/>
                <w:lang w:val="zh-CN"/>
              </w:rPr>
              <w:t>项目名称</w:t>
            </w:r>
          </w:p>
        </w:tc>
        <w:tc>
          <w:tcPr>
            <w:tcW w:w="1995" w:type="dxa"/>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atLeast"/>
              <w:jc w:val="center"/>
              <w:rPr>
                <w:rFonts w:hint="eastAsia" w:ascii="宋体" w:hAnsi="宋体" w:cs="宋体"/>
                <w:b/>
                <w:bCs/>
                <w:lang w:val="zh-CN"/>
              </w:rPr>
            </w:pPr>
            <w:r>
              <w:rPr>
                <w:rFonts w:hint="eastAsia" w:ascii="宋体" w:hAnsi="宋体" w:cs="宋体"/>
                <w:b/>
                <w:bCs/>
                <w:lang w:val="zh-CN"/>
              </w:rPr>
              <w:t>地址、联系电话</w:t>
            </w:r>
          </w:p>
        </w:tc>
        <w:tc>
          <w:tcPr>
            <w:tcW w:w="1995" w:type="dxa"/>
            <w:tcBorders>
              <w:top w:val="single" w:color="auto" w:sz="12" w:space="0"/>
              <w:left w:val="single" w:color="auto" w:sz="4" w:space="0"/>
              <w:right w:val="single" w:color="auto" w:sz="4" w:space="0"/>
            </w:tcBorders>
            <w:noWrap w:val="0"/>
            <w:vAlign w:val="center"/>
          </w:tcPr>
          <w:p>
            <w:pPr>
              <w:autoSpaceDE w:val="0"/>
              <w:autoSpaceDN w:val="0"/>
              <w:adjustRightInd w:val="0"/>
              <w:spacing w:line="400" w:lineRule="atLeast"/>
              <w:jc w:val="center"/>
              <w:rPr>
                <w:rFonts w:hint="eastAsia" w:ascii="宋体" w:hAnsi="宋体" w:cs="宋体"/>
                <w:b/>
                <w:bCs/>
                <w:lang w:val="zh-CN"/>
              </w:rPr>
            </w:pPr>
            <w:r>
              <w:rPr>
                <w:rFonts w:hint="eastAsia" w:ascii="宋体" w:hAnsi="宋体" w:cs="宋体"/>
                <w:b/>
                <w:bCs/>
                <w:lang w:val="zh-CN"/>
              </w:rPr>
              <w:t>合同签订时间</w:t>
            </w:r>
          </w:p>
        </w:tc>
        <w:tc>
          <w:tcPr>
            <w:tcW w:w="1470" w:type="dxa"/>
            <w:tcBorders>
              <w:top w:val="single" w:color="auto" w:sz="12" w:space="0"/>
              <w:left w:val="single" w:color="auto" w:sz="4" w:space="0"/>
              <w:right w:val="single" w:color="auto" w:sz="4" w:space="0"/>
            </w:tcBorders>
            <w:noWrap w:val="0"/>
            <w:vAlign w:val="center"/>
          </w:tcPr>
          <w:p>
            <w:pPr>
              <w:autoSpaceDE w:val="0"/>
              <w:autoSpaceDN w:val="0"/>
              <w:adjustRightInd w:val="0"/>
              <w:spacing w:line="400" w:lineRule="atLeast"/>
              <w:jc w:val="center"/>
              <w:rPr>
                <w:rFonts w:hint="eastAsia" w:ascii="宋体" w:hAnsi="宋体" w:cs="宋体"/>
                <w:b/>
                <w:bCs/>
                <w:lang w:val="zh-CN"/>
              </w:rPr>
            </w:pPr>
            <w:r>
              <w:rPr>
                <w:rFonts w:hint="eastAsia" w:ascii="宋体" w:hAnsi="宋体" w:cs="宋体"/>
                <w:b/>
                <w:bCs/>
                <w:lang w:val="zh-CN"/>
              </w:rPr>
              <w:t>合同金额</w:t>
            </w:r>
          </w:p>
          <w:p>
            <w:pPr>
              <w:autoSpaceDE w:val="0"/>
              <w:autoSpaceDN w:val="0"/>
              <w:adjustRightInd w:val="0"/>
              <w:spacing w:line="400" w:lineRule="atLeast"/>
              <w:jc w:val="center"/>
              <w:rPr>
                <w:rFonts w:hint="eastAsia" w:ascii="宋体" w:hAnsi="宋体" w:cs="宋体"/>
                <w:bCs/>
                <w:lang w:val="zh-CN"/>
              </w:rPr>
            </w:pPr>
            <w:r>
              <w:rPr>
                <w:rFonts w:hint="eastAsia" w:ascii="宋体" w:hAnsi="宋体" w:cs="宋体"/>
                <w:b/>
                <w:bCs/>
                <w:lang w:val="zh-CN"/>
              </w:rPr>
              <w:t>（万元）</w:t>
            </w:r>
          </w:p>
        </w:tc>
        <w:tc>
          <w:tcPr>
            <w:tcW w:w="1365" w:type="dxa"/>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spacing w:line="400" w:lineRule="atLeast"/>
              <w:jc w:val="center"/>
              <w:rPr>
                <w:rFonts w:hint="eastAsia" w:ascii="宋体" w:hAnsi="宋体" w:cs="宋体"/>
                <w:b/>
                <w:bCs/>
                <w:lang w:val="zh-CN"/>
              </w:rPr>
            </w:pPr>
            <w:r>
              <w:rPr>
                <w:rFonts w:hint="eastAsia" w:ascii="宋体" w:hAnsi="宋体" w:cs="宋体"/>
                <w:b/>
                <w:bCs/>
                <w:lang w:val="zh-CN"/>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30" w:hRule="atLeast"/>
          <w:jc w:val="center"/>
        </w:trPr>
        <w:tc>
          <w:tcPr>
            <w:tcW w:w="1995"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995"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470" w:type="dxa"/>
            <w:tcBorders>
              <w:left w:val="single" w:color="auto" w:sz="4" w:space="0"/>
              <w:right w:val="single" w:color="auto" w:sz="4" w:space="0"/>
            </w:tcBorders>
            <w:noWrap w:val="0"/>
            <w:vAlign w:val="top"/>
          </w:tcPr>
          <w:p>
            <w:pPr>
              <w:autoSpaceDE w:val="0"/>
              <w:autoSpaceDN w:val="0"/>
              <w:adjustRightInd w:val="0"/>
              <w:spacing w:line="400" w:lineRule="atLeast"/>
              <w:rPr>
                <w:rFonts w:hint="eastAsia" w:ascii="宋体" w:hAnsi="宋体" w:cs="宋体"/>
                <w:sz w:val="24"/>
                <w:lang w:val="zh-CN"/>
              </w:rPr>
            </w:pPr>
          </w:p>
        </w:tc>
        <w:tc>
          <w:tcPr>
            <w:tcW w:w="1365"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400" w:lineRule="atLeast"/>
              <w:rPr>
                <w:rFonts w:hint="eastAsia" w:ascii="宋体" w:hAnsi="宋体" w:cs="宋体"/>
                <w:sz w:val="24"/>
                <w:lang w:val="zh-CN"/>
              </w:rPr>
            </w:pPr>
          </w:p>
        </w:tc>
      </w:tr>
    </w:tbl>
    <w:p>
      <w:pPr>
        <w:spacing w:before="156" w:beforeLines="50" w:line="400" w:lineRule="atLeast"/>
        <w:ind w:right="-21" w:rightChars="-10"/>
        <w:rPr>
          <w:rFonts w:hint="eastAsia" w:ascii="宋体" w:hAnsi="宋体" w:cs="宋体"/>
          <w:b/>
        </w:rPr>
      </w:pPr>
      <w:r>
        <w:rPr>
          <w:rFonts w:hint="eastAsia" w:ascii="宋体" w:hAnsi="宋体" w:cs="宋体"/>
          <w:bCs/>
          <w:kern w:val="28"/>
          <w:szCs w:val="22"/>
        </w:rPr>
        <w:t>注：</w:t>
      </w:r>
      <w:r>
        <w:rPr>
          <w:rFonts w:hint="eastAsia" w:ascii="宋体" w:hAnsi="宋体" w:cs="宋体"/>
        </w:rPr>
        <w:t>同类业绩需提供成交通知书和合同扫描件加盖公章，或者提供合同和合同期内任一期发票扫描件加盖公章，业绩认定时间以合同签订时间为准。</w:t>
      </w:r>
    </w:p>
    <w:p>
      <w:pPr>
        <w:spacing w:after="156" w:afterLines="50" w:line="400" w:lineRule="atLeast"/>
        <w:ind w:firstLine="4725" w:firstLineChars="2250"/>
        <w:rPr>
          <w:rFonts w:hint="eastAsia" w:ascii="宋体" w:hAnsi="宋体" w:cs="宋体"/>
          <w:szCs w:val="21"/>
        </w:rPr>
      </w:pPr>
    </w:p>
    <w:p>
      <w:pPr>
        <w:spacing w:line="480" w:lineRule="auto"/>
        <w:ind w:firstLine="4830" w:firstLineChars="2300"/>
        <w:rPr>
          <w:rFonts w:hint="eastAsia" w:ascii="宋体" w:hAnsi="宋体" w:cs="宋体"/>
        </w:rPr>
      </w:pPr>
      <w:r>
        <w:rPr>
          <w:rFonts w:hint="eastAsia" w:ascii="宋体" w:hAnsi="宋体" w:cs="宋体"/>
        </w:rPr>
        <w:t>投标供应商全称（公章）：</w:t>
      </w:r>
    </w:p>
    <w:p>
      <w:pPr>
        <w:spacing w:line="480" w:lineRule="auto"/>
        <w:ind w:firstLine="4830" w:firstLineChars="2300"/>
        <w:rPr>
          <w:rFonts w:hint="eastAsia" w:ascii="宋体" w:hAnsi="宋体" w:cs="宋体"/>
        </w:rPr>
      </w:pPr>
      <w:r>
        <w:rPr>
          <w:rFonts w:hint="eastAsia" w:ascii="宋体" w:hAnsi="宋体" w:cs="宋体"/>
        </w:rPr>
        <w:t>法定代表人或授权代表（签字或盖章）：</w:t>
      </w:r>
    </w:p>
    <w:p>
      <w:pPr>
        <w:spacing w:line="480" w:lineRule="auto"/>
        <w:ind w:firstLine="4830" w:firstLineChars="2300"/>
        <w:rPr>
          <w:rFonts w:hint="eastAsia" w:ascii="宋体" w:hAnsi="宋体" w:cs="宋体"/>
          <w:szCs w:val="21"/>
        </w:rPr>
      </w:pPr>
      <w:r>
        <w:rPr>
          <w:rFonts w:hint="eastAsia" w:ascii="宋体" w:hAnsi="宋体" w:cs="宋体"/>
          <w:szCs w:val="22"/>
        </w:rPr>
        <w:t>日期</w:t>
      </w:r>
      <w:r>
        <w:rPr>
          <w:rFonts w:hint="eastAsia" w:ascii="宋体" w:hAnsi="宋体" w:cs="宋体"/>
          <w:szCs w:val="21"/>
        </w:rPr>
        <w:t>：    年   月    日</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46" w:name="_Toc15742"/>
      <w:r>
        <w:rPr>
          <w:rFonts w:hint="eastAsia" w:ascii="宋体" w:hAnsi="宋体" w:eastAsia="宋体" w:cs="宋体"/>
          <w:sz w:val="28"/>
          <w:szCs w:val="36"/>
        </w:rPr>
        <w:t>附件十一  开标一览表</w:t>
      </w:r>
      <w:bookmarkEnd w:id="346"/>
    </w:p>
    <w:p>
      <w:pPr>
        <w:pStyle w:val="8"/>
        <w:wordWrap w:val="0"/>
        <w:spacing w:line="400" w:lineRule="exact"/>
        <w:ind w:firstLine="0"/>
        <w:jc w:val="both"/>
        <w:rPr>
          <w:rFonts w:hint="eastAsia" w:ascii="宋体" w:hAnsi="宋体" w:cs="宋体"/>
        </w:rPr>
      </w:pPr>
      <w:r>
        <w:rPr>
          <w:rFonts w:hint="eastAsia" w:ascii="宋体" w:hAnsi="宋体" w:cs="宋体"/>
        </w:rPr>
        <w:t>项目名称：                                                      项目编号：</w:t>
      </w:r>
    </w:p>
    <w:tbl>
      <w:tblPr>
        <w:tblStyle w:val="29"/>
        <w:tblW w:w="9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312"/>
        <w:gridCol w:w="1275"/>
        <w:gridCol w:w="3788"/>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5" w:hRule="atLeast"/>
        </w:trPr>
        <w:tc>
          <w:tcPr>
            <w:tcW w:w="1696"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报价项目</w:t>
            </w:r>
          </w:p>
        </w:tc>
        <w:tc>
          <w:tcPr>
            <w:tcW w:w="1312"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服务期限</w:t>
            </w:r>
          </w:p>
        </w:tc>
        <w:tc>
          <w:tcPr>
            <w:tcW w:w="1275"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区域</w:t>
            </w:r>
          </w:p>
        </w:tc>
        <w:tc>
          <w:tcPr>
            <w:tcW w:w="3788"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区域投标总价（三年）</w:t>
            </w:r>
          </w:p>
          <w:p>
            <w:pPr>
              <w:pStyle w:val="17"/>
              <w:spacing w:line="460" w:lineRule="exact"/>
              <w:jc w:val="center"/>
              <w:rPr>
                <w:rFonts w:hint="eastAsia" w:ascii="宋体" w:hAnsi="宋体" w:cs="宋体"/>
                <w:lang w:val="en-US" w:eastAsia="zh-CN"/>
              </w:rPr>
            </w:pPr>
            <w:r>
              <w:rPr>
                <w:rFonts w:hint="eastAsia" w:ascii="宋体" w:hAnsi="宋体" w:cs="宋体"/>
                <w:lang w:val="en-US" w:eastAsia="zh-CN"/>
              </w:rPr>
              <w:t>（人民币元）</w:t>
            </w:r>
          </w:p>
        </w:tc>
        <w:tc>
          <w:tcPr>
            <w:tcW w:w="1857" w:type="dxa"/>
            <w:noWrap w:val="0"/>
            <w:vAlign w:val="center"/>
          </w:tcPr>
          <w:p>
            <w:pPr>
              <w:pStyle w:val="17"/>
              <w:spacing w:line="460" w:lineRule="exact"/>
              <w:jc w:val="center"/>
              <w:rPr>
                <w:rFonts w:hint="eastAsia" w:ascii="宋体" w:hAnsi="宋体" w:cs="宋体"/>
                <w:highlight w:val="none"/>
                <w:lang w:val="en-US" w:eastAsia="zh-CN"/>
              </w:rPr>
            </w:pPr>
            <w:r>
              <w:rPr>
                <w:rFonts w:hint="eastAsia" w:ascii="宋体" w:hAnsi="宋体" w:cs="宋体"/>
                <w:highlight w:val="none"/>
                <w:lang w:val="en-US" w:eastAsia="zh-CN"/>
              </w:rPr>
              <w:t>最高限价（三年）</w:t>
            </w:r>
          </w:p>
          <w:p>
            <w:pPr>
              <w:pStyle w:val="17"/>
              <w:spacing w:line="460" w:lineRule="exact"/>
              <w:jc w:val="center"/>
              <w:rPr>
                <w:rFonts w:hint="eastAsia" w:ascii="宋体" w:hAnsi="宋体" w:cs="宋体"/>
                <w:highlight w:val="none"/>
                <w:lang w:val="en-US" w:eastAsia="zh-CN"/>
              </w:rPr>
            </w:pPr>
            <w:r>
              <w:rPr>
                <w:rFonts w:hint="eastAsia" w:ascii="宋体" w:hAnsi="宋体" w:cs="宋体"/>
                <w:highlight w:val="none"/>
                <w:lang w:val="en-US" w:eastAsia="zh-CN"/>
              </w:rPr>
              <w:t>（人民币元）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96" w:type="dxa"/>
            <w:vMerge w:val="restart"/>
            <w:noWrap w:val="0"/>
            <w:vAlign w:val="center"/>
          </w:tcPr>
          <w:p>
            <w:pPr>
              <w:pStyle w:val="17"/>
              <w:spacing w:line="460" w:lineRule="exact"/>
              <w:jc w:val="center"/>
              <w:rPr>
                <w:rFonts w:hint="eastAsia" w:ascii="宋体" w:hAnsi="宋体" w:cs="宋体"/>
                <w:sz w:val="22"/>
                <w:lang w:val="en-US" w:eastAsia="zh-CN"/>
              </w:rPr>
            </w:pPr>
            <w:r>
              <w:rPr>
                <w:rFonts w:hint="eastAsia" w:ascii="宋体" w:hAnsi="宋体" w:cs="宋体"/>
                <w:sz w:val="22"/>
                <w:lang w:val="en-US" w:eastAsia="zh-CN"/>
              </w:rPr>
              <w:t>瑞安市“一把扫帚”环卫保洁一体化招标（玉海街道、锦湖街道、潘岱街道）</w:t>
            </w:r>
          </w:p>
        </w:tc>
        <w:tc>
          <w:tcPr>
            <w:tcW w:w="1312" w:type="dxa"/>
            <w:vMerge w:val="restart"/>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三年</w:t>
            </w:r>
          </w:p>
        </w:tc>
        <w:tc>
          <w:tcPr>
            <w:tcW w:w="1275"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①玉海街道</w:t>
            </w:r>
          </w:p>
        </w:tc>
        <w:tc>
          <w:tcPr>
            <w:tcW w:w="3788" w:type="dxa"/>
            <w:noWrap w:val="0"/>
            <w:vAlign w:val="center"/>
          </w:tcPr>
          <w:p>
            <w:pPr>
              <w:pStyle w:val="17"/>
              <w:rPr>
                <w:rFonts w:hint="eastAsia" w:ascii="宋体" w:hAnsi="宋体" w:cs="宋体"/>
                <w:lang w:val="en-US" w:eastAsia="zh-CN"/>
              </w:rPr>
            </w:pPr>
            <w:r>
              <w:rPr>
                <w:rFonts w:hint="eastAsia" w:ascii="宋体" w:hAnsi="宋体" w:cs="宋体"/>
                <w:lang w:val="en-US" w:eastAsia="zh-CN"/>
              </w:rPr>
              <w:t>大写：</w:t>
            </w:r>
          </w:p>
          <w:p>
            <w:pPr>
              <w:pStyle w:val="17"/>
              <w:rPr>
                <w:rFonts w:hint="eastAsia" w:ascii="宋体" w:hAnsi="宋体" w:cs="宋体"/>
                <w:lang w:val="en-US" w:eastAsia="zh-CN"/>
              </w:rPr>
            </w:pPr>
            <w:r>
              <w:rPr>
                <w:rFonts w:hint="eastAsia" w:ascii="宋体" w:hAnsi="宋体" w:cs="宋体"/>
                <w:lang w:val="en-US" w:eastAsia="zh-CN"/>
              </w:rPr>
              <w:t>小写：</w:t>
            </w:r>
          </w:p>
        </w:tc>
        <w:tc>
          <w:tcPr>
            <w:tcW w:w="1857" w:type="dxa"/>
            <w:noWrap w:val="0"/>
            <w:vAlign w:val="center"/>
          </w:tcPr>
          <w:p>
            <w:pPr>
              <w:pStyle w:val="17"/>
              <w:spacing w:line="460" w:lineRule="exact"/>
              <w:jc w:val="center"/>
              <w:rPr>
                <w:rFonts w:hint="eastAsia" w:ascii="宋体" w:hAnsi="宋体" w:cs="宋体"/>
                <w:highlight w:val="none"/>
                <w:lang w:val="en-US" w:eastAsia="zh-CN"/>
              </w:rPr>
            </w:pPr>
            <w:r>
              <w:rPr>
                <w:rFonts w:hint="eastAsia" w:ascii="宋体" w:hAnsi="宋体" w:cs="宋体"/>
                <w:highlight w:val="none"/>
                <w:lang w:val="en-US" w:eastAsia="zh-CN"/>
              </w:rPr>
              <w:t>46281624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1696" w:type="dxa"/>
            <w:vMerge w:val="continue"/>
            <w:noWrap w:val="0"/>
            <w:vAlign w:val="center"/>
          </w:tcPr>
          <w:p>
            <w:pPr>
              <w:pStyle w:val="17"/>
              <w:spacing w:line="460" w:lineRule="exact"/>
              <w:jc w:val="center"/>
              <w:rPr>
                <w:rFonts w:hint="eastAsia" w:ascii="宋体" w:hAnsi="宋体" w:cs="宋体"/>
                <w:sz w:val="22"/>
                <w:lang w:val="en-US" w:eastAsia="zh-CN"/>
              </w:rPr>
            </w:pPr>
          </w:p>
        </w:tc>
        <w:tc>
          <w:tcPr>
            <w:tcW w:w="1312" w:type="dxa"/>
            <w:vMerge w:val="continue"/>
            <w:noWrap w:val="0"/>
            <w:vAlign w:val="center"/>
          </w:tcPr>
          <w:p>
            <w:pPr>
              <w:pStyle w:val="17"/>
              <w:spacing w:line="460" w:lineRule="exact"/>
              <w:jc w:val="center"/>
              <w:rPr>
                <w:rFonts w:hint="eastAsia" w:ascii="宋体" w:hAnsi="宋体" w:cs="宋体"/>
                <w:lang w:val="en-US" w:eastAsia="zh-CN"/>
              </w:rPr>
            </w:pPr>
          </w:p>
        </w:tc>
        <w:tc>
          <w:tcPr>
            <w:tcW w:w="1275"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②锦湖街道</w:t>
            </w:r>
          </w:p>
        </w:tc>
        <w:tc>
          <w:tcPr>
            <w:tcW w:w="3788" w:type="dxa"/>
            <w:noWrap w:val="0"/>
            <w:vAlign w:val="center"/>
          </w:tcPr>
          <w:p>
            <w:pPr>
              <w:pStyle w:val="17"/>
              <w:rPr>
                <w:rFonts w:hint="eastAsia" w:ascii="宋体" w:hAnsi="宋体" w:cs="宋体"/>
                <w:lang w:val="en-US" w:eastAsia="zh-CN"/>
              </w:rPr>
            </w:pPr>
            <w:r>
              <w:rPr>
                <w:rFonts w:hint="eastAsia" w:ascii="宋体" w:hAnsi="宋体" w:cs="宋体"/>
                <w:lang w:val="en-US" w:eastAsia="zh-CN"/>
              </w:rPr>
              <w:t>大写：</w:t>
            </w:r>
          </w:p>
          <w:p>
            <w:pPr>
              <w:pStyle w:val="17"/>
              <w:rPr>
                <w:rFonts w:hint="eastAsia" w:ascii="宋体" w:hAnsi="宋体" w:cs="宋体"/>
                <w:lang w:val="en-US" w:eastAsia="zh-CN"/>
              </w:rPr>
            </w:pPr>
            <w:r>
              <w:rPr>
                <w:rFonts w:hint="eastAsia" w:ascii="宋体" w:hAnsi="宋体" w:cs="宋体"/>
                <w:lang w:val="en-US" w:eastAsia="zh-CN"/>
              </w:rPr>
              <w:t>小写：</w:t>
            </w:r>
          </w:p>
        </w:tc>
        <w:tc>
          <w:tcPr>
            <w:tcW w:w="1857" w:type="dxa"/>
            <w:noWrap w:val="0"/>
            <w:vAlign w:val="center"/>
          </w:tcPr>
          <w:p>
            <w:pPr>
              <w:pStyle w:val="17"/>
              <w:spacing w:line="460" w:lineRule="exact"/>
              <w:jc w:val="center"/>
              <w:rPr>
                <w:rFonts w:hint="eastAsia" w:ascii="宋体" w:hAnsi="宋体" w:cs="宋体"/>
                <w:highlight w:val="none"/>
                <w:lang w:val="en-US" w:eastAsia="zh-CN"/>
              </w:rPr>
            </w:pPr>
            <w:r>
              <w:rPr>
                <w:rFonts w:hint="eastAsia" w:ascii="宋体" w:hAnsi="宋体" w:cs="宋体"/>
                <w:highlight w:val="none"/>
                <w:lang w:val="en-US" w:eastAsia="zh-CN"/>
              </w:rPr>
              <w:t>47455020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1696" w:type="dxa"/>
            <w:vMerge w:val="continue"/>
            <w:noWrap w:val="0"/>
            <w:vAlign w:val="center"/>
          </w:tcPr>
          <w:p>
            <w:pPr>
              <w:pStyle w:val="17"/>
              <w:spacing w:line="460" w:lineRule="exact"/>
              <w:jc w:val="center"/>
              <w:rPr>
                <w:rFonts w:hint="eastAsia" w:ascii="宋体" w:hAnsi="宋体" w:cs="宋体"/>
                <w:lang w:val="en-US" w:eastAsia="zh-CN"/>
              </w:rPr>
            </w:pPr>
          </w:p>
        </w:tc>
        <w:tc>
          <w:tcPr>
            <w:tcW w:w="1312" w:type="dxa"/>
            <w:vMerge w:val="continue"/>
            <w:noWrap w:val="0"/>
            <w:vAlign w:val="center"/>
          </w:tcPr>
          <w:p>
            <w:pPr>
              <w:pStyle w:val="17"/>
              <w:spacing w:line="460" w:lineRule="exact"/>
              <w:jc w:val="center"/>
              <w:rPr>
                <w:rFonts w:hint="eastAsia" w:ascii="宋体" w:hAnsi="宋体" w:cs="宋体"/>
                <w:lang w:val="en-US" w:eastAsia="zh-CN"/>
              </w:rPr>
            </w:pPr>
          </w:p>
        </w:tc>
        <w:tc>
          <w:tcPr>
            <w:tcW w:w="1275" w:type="dxa"/>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③潘岱街道</w:t>
            </w:r>
          </w:p>
        </w:tc>
        <w:tc>
          <w:tcPr>
            <w:tcW w:w="3788" w:type="dxa"/>
            <w:noWrap w:val="0"/>
            <w:vAlign w:val="center"/>
          </w:tcPr>
          <w:p>
            <w:pPr>
              <w:pStyle w:val="17"/>
              <w:rPr>
                <w:rFonts w:hint="eastAsia" w:ascii="宋体" w:hAnsi="宋体" w:cs="宋体"/>
                <w:lang w:val="en-US" w:eastAsia="zh-CN"/>
              </w:rPr>
            </w:pPr>
            <w:r>
              <w:rPr>
                <w:rFonts w:hint="eastAsia" w:ascii="宋体" w:hAnsi="宋体" w:cs="宋体"/>
                <w:lang w:val="en-US" w:eastAsia="zh-CN"/>
              </w:rPr>
              <w:t>大写：</w:t>
            </w:r>
          </w:p>
          <w:p>
            <w:pPr>
              <w:pStyle w:val="17"/>
              <w:rPr>
                <w:rFonts w:hint="eastAsia" w:ascii="宋体" w:hAnsi="宋体" w:cs="宋体"/>
                <w:lang w:val="en-US" w:eastAsia="zh-CN"/>
              </w:rPr>
            </w:pPr>
            <w:r>
              <w:rPr>
                <w:rFonts w:hint="eastAsia" w:ascii="宋体" w:hAnsi="宋体" w:cs="宋体"/>
                <w:lang w:val="en-US" w:eastAsia="zh-CN"/>
              </w:rPr>
              <w:t>小写：</w:t>
            </w:r>
          </w:p>
        </w:tc>
        <w:tc>
          <w:tcPr>
            <w:tcW w:w="1857" w:type="dxa"/>
            <w:noWrap w:val="0"/>
            <w:vAlign w:val="center"/>
          </w:tcPr>
          <w:p>
            <w:pPr>
              <w:pStyle w:val="17"/>
              <w:spacing w:line="460" w:lineRule="exact"/>
              <w:jc w:val="center"/>
              <w:rPr>
                <w:rFonts w:hint="eastAsia" w:ascii="宋体" w:hAnsi="宋体" w:cs="宋体"/>
                <w:highlight w:val="none"/>
                <w:lang w:val="en-US" w:eastAsia="zh-CN"/>
              </w:rPr>
            </w:pPr>
            <w:r>
              <w:rPr>
                <w:rFonts w:hint="eastAsia" w:ascii="宋体" w:hAnsi="宋体" w:cs="宋体"/>
                <w:highlight w:val="none"/>
                <w:lang w:val="en-US" w:eastAsia="zh-CN"/>
              </w:rPr>
              <w:t>17885721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trPr>
        <w:tc>
          <w:tcPr>
            <w:tcW w:w="3008" w:type="dxa"/>
            <w:gridSpan w:val="2"/>
            <w:noWrap w:val="0"/>
            <w:vAlign w:val="center"/>
          </w:tcPr>
          <w:p>
            <w:pPr>
              <w:pStyle w:val="17"/>
              <w:spacing w:line="460" w:lineRule="exact"/>
              <w:jc w:val="center"/>
              <w:rPr>
                <w:rFonts w:hint="eastAsia" w:ascii="宋体" w:hAnsi="宋体" w:cs="宋体"/>
                <w:lang w:val="en-US" w:eastAsia="zh-CN"/>
              </w:rPr>
            </w:pPr>
            <w:r>
              <w:rPr>
                <w:rFonts w:hint="eastAsia" w:ascii="宋体" w:hAnsi="宋体" w:cs="宋体"/>
                <w:lang w:val="en-US" w:eastAsia="zh-CN"/>
              </w:rPr>
              <w:t>三年合计投标报价（人民币元）</w:t>
            </w:r>
          </w:p>
          <w:p>
            <w:pPr>
              <w:pStyle w:val="17"/>
              <w:spacing w:line="460" w:lineRule="exact"/>
              <w:jc w:val="center"/>
              <w:rPr>
                <w:rFonts w:hint="eastAsia" w:ascii="宋体" w:hAnsi="宋体" w:cs="宋体"/>
                <w:lang w:val="en-US" w:eastAsia="zh-CN"/>
              </w:rPr>
            </w:pPr>
            <w:r>
              <w:rPr>
                <w:rFonts w:hint="eastAsia" w:ascii="宋体" w:hAnsi="宋体" w:cs="宋体"/>
                <w:lang w:val="en-US" w:eastAsia="zh-CN"/>
              </w:rPr>
              <w:t>（①+②+③）</w:t>
            </w:r>
          </w:p>
        </w:tc>
        <w:tc>
          <w:tcPr>
            <w:tcW w:w="6920" w:type="dxa"/>
            <w:gridSpan w:val="3"/>
            <w:noWrap w:val="0"/>
            <w:vAlign w:val="center"/>
          </w:tcPr>
          <w:p>
            <w:pPr>
              <w:pStyle w:val="17"/>
              <w:spacing w:line="460" w:lineRule="exact"/>
              <w:rPr>
                <w:rFonts w:hint="eastAsia" w:ascii="宋体" w:hAnsi="宋体" w:cs="宋体"/>
                <w:lang w:val="en-US" w:eastAsia="zh-CN"/>
              </w:rPr>
            </w:pPr>
            <w:r>
              <w:rPr>
                <w:rFonts w:hint="eastAsia" w:ascii="宋体" w:hAnsi="宋体" w:cs="宋体"/>
                <w:lang w:val="en-US" w:eastAsia="zh-CN"/>
              </w:rPr>
              <w:t>大写：</w:t>
            </w:r>
          </w:p>
          <w:p>
            <w:pPr>
              <w:pStyle w:val="17"/>
              <w:spacing w:line="460" w:lineRule="exact"/>
              <w:rPr>
                <w:rFonts w:hint="eastAsia" w:ascii="宋体" w:hAnsi="宋体" w:cs="宋体"/>
                <w:lang w:val="en-US" w:eastAsia="zh-CN"/>
              </w:rPr>
            </w:pPr>
            <w:r>
              <w:rPr>
                <w:rFonts w:hint="eastAsia" w:ascii="宋体" w:hAnsi="宋体" w:cs="宋体"/>
                <w:lang w:val="en-US" w:eastAsia="zh-CN"/>
              </w:rPr>
              <w:t>小写：</w:t>
            </w:r>
          </w:p>
        </w:tc>
      </w:tr>
    </w:tbl>
    <w:p>
      <w:pPr>
        <w:spacing w:line="360" w:lineRule="exact"/>
        <w:ind w:firstLine="241" w:firstLineChars="100"/>
        <w:rPr>
          <w:rFonts w:hint="eastAsia" w:ascii="宋体" w:hAnsi="宋体" w:cs="宋体"/>
          <w:sz w:val="24"/>
          <w:szCs w:val="24"/>
        </w:rPr>
      </w:pPr>
      <w:r>
        <w:rPr>
          <w:rFonts w:hint="eastAsia" w:ascii="宋体" w:hAnsi="宋体" w:cs="宋体"/>
          <w:b/>
          <w:bCs/>
          <w:sz w:val="24"/>
          <w:szCs w:val="24"/>
        </w:rPr>
        <w:t>注：</w:t>
      </w:r>
    </w:p>
    <w:p>
      <w:pPr>
        <w:numPr>
          <w:ilvl w:val="0"/>
          <w:numId w:val="50"/>
        </w:numPr>
        <w:spacing w:line="360" w:lineRule="exact"/>
        <w:rPr>
          <w:rFonts w:hint="eastAsia" w:ascii="宋体" w:hAnsi="宋体" w:cs="宋体"/>
        </w:rPr>
      </w:pPr>
      <w:r>
        <w:rPr>
          <w:rFonts w:hint="eastAsia" w:ascii="宋体" w:hAnsi="宋体" w:cs="宋体"/>
        </w:rPr>
        <w:t>本表中投标报价为符合招标文件要求的全部费用。</w:t>
      </w:r>
    </w:p>
    <w:p>
      <w:pPr>
        <w:numPr>
          <w:ilvl w:val="0"/>
          <w:numId w:val="50"/>
        </w:numPr>
        <w:spacing w:line="360" w:lineRule="exact"/>
        <w:rPr>
          <w:rFonts w:hint="eastAsia" w:ascii="宋体" w:hAnsi="宋体" w:cs="宋体"/>
          <w:color w:val="auto"/>
          <w:szCs w:val="21"/>
        </w:rPr>
      </w:pPr>
      <w:r>
        <w:rPr>
          <w:rFonts w:hint="eastAsia" w:ascii="宋体" w:hAnsi="宋体" w:cs="宋体"/>
          <w:b/>
          <w:bCs/>
          <w:szCs w:val="21"/>
        </w:rPr>
        <w:t>▲投标供应商提供的技术商务文件、报价文件标中承诺投入机械车辆、船只、人员须保持一致，如</w:t>
      </w:r>
      <w:r>
        <w:rPr>
          <w:rFonts w:hint="eastAsia" w:ascii="宋体" w:hAnsi="宋体" w:cs="宋体"/>
          <w:b/>
          <w:bCs/>
          <w:color w:val="auto"/>
          <w:szCs w:val="21"/>
        </w:rPr>
        <w:t>不一致经评标委员会判定为重大偏差导致无效投标的，责任自负。</w:t>
      </w:r>
      <w:r>
        <w:rPr>
          <w:rFonts w:hint="eastAsia" w:ascii="宋体" w:hAnsi="宋体" w:cs="宋体"/>
          <w:b/>
          <w:color w:val="auto"/>
          <w:szCs w:val="21"/>
        </w:rPr>
        <w:t>玉海街道、锦湖街道、潘岱街道共用的机械、车辆、船只费用，按各个采购人采购预算的组成比例分担计入投标报价。</w:t>
      </w:r>
    </w:p>
    <w:p>
      <w:pPr>
        <w:numPr>
          <w:ilvl w:val="0"/>
          <w:numId w:val="50"/>
        </w:numPr>
        <w:spacing w:line="360" w:lineRule="exact"/>
        <w:rPr>
          <w:rFonts w:hint="eastAsia" w:ascii="宋体" w:hAnsi="宋体" w:cs="宋体"/>
          <w:szCs w:val="21"/>
        </w:rPr>
      </w:pPr>
      <w:r>
        <w:rPr>
          <w:rFonts w:hint="eastAsia" w:ascii="宋体" w:hAnsi="宋体" w:cs="宋体"/>
          <w:color w:val="auto"/>
          <w:szCs w:val="21"/>
        </w:rPr>
        <w:t>该表中玉海街道的</w:t>
      </w:r>
      <w:r>
        <w:rPr>
          <w:rFonts w:hint="eastAsia" w:ascii="宋体" w:hAnsi="宋体" w:cs="宋体"/>
          <w:szCs w:val="21"/>
        </w:rPr>
        <w:t>“区域投标总价”应与附件十二-1“玉海街道投标分项报价汇总表”中的“三年总价”相一致。</w:t>
      </w:r>
    </w:p>
    <w:p>
      <w:pPr>
        <w:numPr>
          <w:ilvl w:val="0"/>
          <w:numId w:val="50"/>
        </w:numPr>
        <w:spacing w:line="360" w:lineRule="exact"/>
        <w:rPr>
          <w:rFonts w:hint="eastAsia" w:ascii="宋体" w:hAnsi="宋体" w:cs="宋体"/>
        </w:rPr>
      </w:pPr>
      <w:r>
        <w:rPr>
          <w:rFonts w:hint="eastAsia" w:ascii="宋体" w:hAnsi="宋体" w:cs="宋体"/>
          <w:szCs w:val="21"/>
        </w:rPr>
        <w:t>该表中锦湖街道的“区域投标总价”应与附件十二-2“锦湖街道投标分项报价汇总表”中的“三年总价”相一致。</w:t>
      </w:r>
    </w:p>
    <w:p>
      <w:pPr>
        <w:numPr>
          <w:ilvl w:val="0"/>
          <w:numId w:val="50"/>
        </w:numPr>
        <w:spacing w:line="360" w:lineRule="exact"/>
        <w:rPr>
          <w:rFonts w:hint="eastAsia" w:ascii="宋体" w:hAnsi="宋体" w:cs="宋体"/>
        </w:rPr>
      </w:pPr>
      <w:r>
        <w:rPr>
          <w:rFonts w:hint="eastAsia" w:ascii="宋体" w:hAnsi="宋体" w:cs="宋体"/>
          <w:szCs w:val="21"/>
        </w:rPr>
        <w:t>该表中潘岱街道的“区域投标总价”应与附件十二-3“潘岱街道投标分项报价汇总表”中的“三年总价”相一致。</w:t>
      </w:r>
    </w:p>
    <w:p>
      <w:pPr>
        <w:numPr>
          <w:ilvl w:val="0"/>
          <w:numId w:val="50"/>
        </w:numPr>
        <w:spacing w:line="360" w:lineRule="exact"/>
        <w:rPr>
          <w:rFonts w:hint="eastAsia" w:ascii="宋体" w:hAnsi="宋体" w:cs="宋体"/>
          <w:szCs w:val="21"/>
        </w:rPr>
      </w:pPr>
      <w:r>
        <w:rPr>
          <w:rFonts w:hint="eastAsia" w:ascii="宋体" w:hAnsi="宋体" w:cs="宋体"/>
          <w:szCs w:val="21"/>
        </w:rPr>
        <w:t>如投标供应商为小型、微型企业、监狱企业或残疾人福利性单位的（以提供中小企业声明函或残疾人福利性单位声明函为准），其评标价为投标报价给予价格扣除后的价格。</w:t>
      </w:r>
    </w:p>
    <w:p>
      <w:pPr>
        <w:numPr>
          <w:ilvl w:val="0"/>
          <w:numId w:val="50"/>
        </w:numPr>
        <w:spacing w:line="360" w:lineRule="exact"/>
        <w:rPr>
          <w:rFonts w:hint="eastAsia" w:ascii="宋体" w:hAnsi="宋体" w:cs="宋体"/>
          <w:szCs w:val="21"/>
        </w:rPr>
      </w:pPr>
      <w:r>
        <w:rPr>
          <w:rFonts w:hint="eastAsia" w:ascii="宋体" w:hAnsi="宋体" w:cs="宋体"/>
          <w:szCs w:val="21"/>
        </w:rPr>
        <w:t>此表不得自行增减内容，不提供此表的报价，视为没有实质性响应招标文件要求。</w:t>
      </w:r>
    </w:p>
    <w:p>
      <w:pPr>
        <w:rPr>
          <w:rFonts w:hint="eastAsia" w:ascii="宋体" w:hAnsi="宋体" w:cs="宋体"/>
        </w:rPr>
      </w:pPr>
    </w:p>
    <w:p>
      <w:pPr>
        <w:tabs>
          <w:tab w:val="left" w:pos="4635"/>
        </w:tabs>
        <w:spacing w:line="360" w:lineRule="auto"/>
        <w:ind w:left="3826" w:leftChars="1822" w:right="840"/>
        <w:rPr>
          <w:rFonts w:hint="eastAsia" w:ascii="宋体" w:hAnsi="宋体" w:cs="宋体"/>
        </w:rPr>
      </w:pPr>
    </w:p>
    <w:p>
      <w:pPr>
        <w:tabs>
          <w:tab w:val="left" w:pos="4635"/>
        </w:tabs>
        <w:spacing w:line="360" w:lineRule="auto"/>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360" w:lineRule="auto"/>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360" w:lineRule="auto"/>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bookmarkStart w:id="347" w:name="_Toc19337"/>
      <w:bookmarkStart w:id="348" w:name="_Toc18868"/>
      <w:bookmarkStart w:id="349" w:name="_Toc20029"/>
      <w:bookmarkStart w:id="350" w:name="_Toc433808006"/>
      <w:bookmarkStart w:id="351" w:name="_Toc486931334"/>
      <w:bookmarkStart w:id="352" w:name="_Toc499802203"/>
      <w:bookmarkStart w:id="353" w:name="_Toc453158716"/>
      <w:bookmarkStart w:id="354" w:name="_Toc384303168"/>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55" w:name="_Toc21882"/>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 xml:space="preserve">-1  </w:t>
      </w:r>
      <w:bookmarkEnd w:id="347"/>
      <w:r>
        <w:rPr>
          <w:rFonts w:hint="eastAsia" w:ascii="宋体" w:hAnsi="宋体" w:eastAsia="宋体" w:cs="宋体"/>
          <w:sz w:val="28"/>
          <w:szCs w:val="36"/>
        </w:rPr>
        <w:t>玉海街道投标分项报价汇总表</w:t>
      </w:r>
      <w:bookmarkEnd w:id="355"/>
    </w:p>
    <w:p>
      <w:pPr>
        <w:spacing w:line="270" w:lineRule="exact"/>
        <w:rPr>
          <w:rFonts w:hint="eastAsia" w:ascii="宋体" w:hAnsi="宋体" w:cs="宋体"/>
          <w:b/>
          <w:bCs/>
          <w:sz w:val="22"/>
        </w:rPr>
      </w:pPr>
      <w:r>
        <w:rPr>
          <w:rFonts w:hint="eastAsia" w:ascii="宋体" w:hAnsi="宋体" w:cs="宋体"/>
          <w:b/>
          <w:bCs/>
          <w:sz w:val="22"/>
        </w:rPr>
        <w:t xml:space="preserve">项目名称： </w:t>
      </w:r>
      <w:r>
        <w:rPr>
          <w:rFonts w:hint="eastAsia" w:ascii="宋体" w:hAnsi="宋体" w:cs="宋体"/>
          <w:sz w:val="22"/>
        </w:rPr>
        <w:t xml:space="preserve">                  </w:t>
      </w:r>
      <w:r>
        <w:rPr>
          <w:rFonts w:hint="eastAsia" w:ascii="宋体" w:hAnsi="宋体" w:cs="宋体"/>
          <w:b/>
          <w:bCs/>
          <w:sz w:val="22"/>
        </w:rPr>
        <w:t xml:space="preserve">项目编号：              </w:t>
      </w:r>
      <w:r>
        <w:rPr>
          <w:rFonts w:hint="eastAsia" w:ascii="宋体" w:hAnsi="宋体" w:cs="宋体"/>
          <w:szCs w:val="21"/>
        </w:rPr>
        <w:t>【价格单位：元】</w:t>
      </w:r>
      <w:r>
        <w:rPr>
          <w:rFonts w:hint="eastAsia" w:ascii="宋体" w:hAnsi="宋体" w:cs="宋体"/>
          <w:b/>
          <w:bCs/>
          <w:sz w:val="22"/>
        </w:rPr>
        <w:t xml:space="preserve">       </w:t>
      </w:r>
      <w:r>
        <w:rPr>
          <w:rFonts w:hint="eastAsia" w:ascii="宋体" w:hAnsi="宋体" w:cs="宋体"/>
          <w:szCs w:val="21"/>
          <w:u w:val="single"/>
        </w:rPr>
        <w:t>玉海街道</w:t>
      </w:r>
    </w:p>
    <w:tbl>
      <w:tblPr>
        <w:tblStyle w:val="29"/>
        <w:tblW w:w="0" w:type="auto"/>
        <w:jc w:val="center"/>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284"/>
        <w:gridCol w:w="1225"/>
        <w:gridCol w:w="3791"/>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28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225"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pacing w:val="-20"/>
                <w:sz w:val="22"/>
                <w:szCs w:val="22"/>
              </w:rPr>
              <w:t>一年支出</w:t>
            </w:r>
          </w:p>
        </w:tc>
        <w:tc>
          <w:tcPr>
            <w:tcW w:w="3791"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szCs w:val="21"/>
                <w:u w:val="single"/>
              </w:rPr>
            </w:pPr>
            <w:r>
              <w:rPr>
                <w:rFonts w:hint="eastAsia" w:ascii="宋体" w:hAnsi="宋体" w:cs="宋体"/>
                <w:szCs w:val="21"/>
              </w:rPr>
              <w:t>劳动成本</w:t>
            </w:r>
            <w:r>
              <w:rPr>
                <w:rFonts w:hint="eastAsia" w:ascii="宋体"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机械设施（扫地车、冲洗车、洒水车、船只等）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ind w:firstLine="1050" w:firstLineChars="500"/>
              <w:jc w:val="both"/>
              <w:rPr>
                <w:rFonts w:hint="eastAsia" w:ascii="宋体" w:hAnsi="宋体" w:cs="宋体"/>
                <w:szCs w:val="21"/>
              </w:rPr>
            </w:pPr>
            <w:r>
              <w:rPr>
                <w:rFonts w:hint="eastAsia" w:ascii="宋体" w:hAnsi="宋体" w:cs="宋体"/>
                <w:bCs/>
                <w:szCs w:val="21"/>
              </w:rPr>
              <w:t>其他</w:t>
            </w:r>
          </w:p>
        </w:tc>
        <w:tc>
          <w:tcPr>
            <w:tcW w:w="128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22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6" w:space="0"/>
              <w:left w:val="single" w:color="auto" w:sz="18" w:space="0"/>
              <w:bottom w:val="single" w:color="auto" w:sz="6" w:space="0"/>
              <w:right w:val="single" w:color="auto" w:sz="6" w:space="0"/>
            </w:tcBorders>
            <w:noWrap w:val="0"/>
            <w:vAlign w:val="top"/>
          </w:tcPr>
          <w:p>
            <w:pPr>
              <w:spacing w:line="240" w:lineRule="exact"/>
              <w:ind w:firstLine="934" w:firstLineChars="445"/>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left w:val="single" w:color="auto" w:sz="18" w:space="0"/>
              <w:bottom w:val="single" w:color="auto" w:sz="4" w:space="0"/>
              <w:right w:val="single" w:color="auto" w:sz="6" w:space="0"/>
            </w:tcBorders>
            <w:noWrap w:val="0"/>
            <w:vAlign w:val="top"/>
          </w:tcPr>
          <w:p>
            <w:pPr>
              <w:spacing w:line="240" w:lineRule="exact"/>
              <w:rPr>
                <w:rFonts w:hint="eastAsia" w:ascii="宋体" w:hAnsi="宋体" w:cs="宋体"/>
                <w:b/>
                <w:bCs/>
                <w:szCs w:val="21"/>
              </w:rPr>
            </w:pPr>
            <w:r>
              <w:rPr>
                <w:rFonts w:hint="eastAsia" w:ascii="宋体" w:hAnsi="宋体" w:cs="宋体"/>
                <w:b/>
                <w:sz w:val="22"/>
              </w:rPr>
              <w:t>一年</w:t>
            </w:r>
            <w:r>
              <w:rPr>
                <w:rFonts w:hint="eastAsia" w:ascii="宋体" w:hAnsi="宋体" w:cs="宋体"/>
                <w:b/>
                <w:szCs w:val="21"/>
              </w:rPr>
              <w:t>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630" w:firstLineChars="3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4" w:space="0"/>
              <w:left w:val="single" w:color="auto" w:sz="18" w:space="0"/>
              <w:bottom w:val="single" w:color="auto" w:sz="12" w:space="0"/>
              <w:right w:val="single" w:color="auto" w:sz="6" w:space="0"/>
            </w:tcBorders>
            <w:noWrap w:val="0"/>
            <w:vAlign w:val="top"/>
          </w:tcPr>
          <w:p>
            <w:pPr>
              <w:spacing w:line="240" w:lineRule="exact"/>
              <w:rPr>
                <w:rFonts w:hint="eastAsia" w:ascii="宋体" w:hAnsi="宋体" w:cs="宋体"/>
                <w:b/>
                <w:szCs w:val="21"/>
              </w:rPr>
            </w:pPr>
            <w:r>
              <w:rPr>
                <w:rFonts w:hint="eastAsia" w:ascii="宋体" w:hAnsi="宋体" w:cs="宋体"/>
                <w:b/>
                <w:szCs w:val="21"/>
              </w:rPr>
              <w:t>三年总价（</w:t>
            </w:r>
            <w:r>
              <w:rPr>
                <w:rFonts w:hint="eastAsia" w:ascii="宋体" w:hAnsi="宋体" w:cs="宋体"/>
                <w:b/>
                <w:sz w:val="22"/>
              </w:rPr>
              <w:t>一年</w:t>
            </w:r>
            <w:r>
              <w:rPr>
                <w:rFonts w:hint="eastAsia" w:ascii="宋体" w:hAnsi="宋体" w:cs="宋体"/>
                <w:b/>
                <w:szCs w:val="21"/>
              </w:rPr>
              <w:t>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630" w:firstLineChars="3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w:t>
      </w:r>
      <w:r>
        <w:rPr>
          <w:rFonts w:hint="eastAsia" w:ascii="宋体" w:hAnsi="宋体" w:cs="宋体"/>
          <w:spacing w:val="-6"/>
          <w:sz w:val="22"/>
          <w:szCs w:val="22"/>
        </w:rPr>
        <w:t>该表中的“三年总价”应与附件十一“开标一览表”中玉海街道的“区域投标总价”相一致。</w:t>
      </w:r>
    </w:p>
    <w:p>
      <w:pPr>
        <w:spacing w:line="240" w:lineRule="exact"/>
        <w:ind w:left="485" w:leftChars="231"/>
        <w:rPr>
          <w:rFonts w:hint="eastAsia" w:ascii="宋体" w:hAnsi="宋体" w:cs="宋体"/>
          <w:sz w:val="22"/>
          <w:szCs w:val="22"/>
        </w:rPr>
      </w:pPr>
      <w:r>
        <w:rPr>
          <w:rFonts w:hint="eastAsia" w:ascii="宋体" w:hAnsi="宋体" w:cs="宋体"/>
          <w:sz w:val="22"/>
          <w:szCs w:val="22"/>
        </w:rPr>
        <w:t>3.不提供此表的报价，视为没有实质性响应招标文件要求。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4.报价低于本表规定的，视为没有实质性响应招标文件要求。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5.</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sz w:val="22"/>
          <w:szCs w:val="22"/>
        </w:rPr>
      </w:pPr>
      <w:r>
        <w:rPr>
          <w:rFonts w:hint="eastAsia" w:ascii="宋体" w:hAnsi="宋体" w:cs="宋体"/>
          <w:sz w:val="22"/>
        </w:rPr>
        <w:t>6.</w:t>
      </w:r>
      <w:r>
        <w:rPr>
          <w:rFonts w:hint="eastAsia" w:ascii="宋体" w:hAnsi="宋体" w:cs="宋体"/>
          <w:sz w:val="22"/>
          <w:szCs w:val="22"/>
        </w:rPr>
        <w:t>本表中劳动成本（</w:t>
      </w:r>
      <w:r>
        <w:rPr>
          <w:rFonts w:hint="eastAsia" w:ascii="宋体" w:hAnsi="宋体" w:cs="宋体"/>
          <w:sz w:val="22"/>
          <w:szCs w:val="22"/>
          <w:u w:val="single"/>
        </w:rPr>
        <w:t xml:space="preserve">   人）</w:t>
      </w:r>
      <w:r>
        <w:rPr>
          <w:rFonts w:hint="eastAsia" w:ascii="宋体" w:hAnsi="宋体" w:cs="宋体"/>
          <w:sz w:val="22"/>
          <w:szCs w:val="22"/>
        </w:rPr>
        <w:t>与岗位员工配置计划表中对应人数不一致，视为没有实质性响应招标文件要求。</w:t>
      </w: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56" w:name="_Toc14815"/>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-2  锦湖街道投标分项报价汇总表</w:t>
      </w:r>
      <w:bookmarkEnd w:id="356"/>
    </w:p>
    <w:p>
      <w:pPr>
        <w:spacing w:line="270" w:lineRule="exact"/>
        <w:rPr>
          <w:rFonts w:hint="eastAsia" w:ascii="宋体" w:hAnsi="宋体" w:cs="宋体"/>
          <w:b/>
          <w:bCs/>
          <w:sz w:val="22"/>
        </w:rPr>
      </w:pPr>
      <w:r>
        <w:rPr>
          <w:rFonts w:hint="eastAsia" w:ascii="宋体" w:hAnsi="宋体" w:cs="宋体"/>
          <w:b/>
          <w:bCs/>
          <w:sz w:val="22"/>
        </w:rPr>
        <w:t xml:space="preserve">项目名称： </w:t>
      </w:r>
      <w:r>
        <w:rPr>
          <w:rFonts w:hint="eastAsia" w:ascii="宋体" w:hAnsi="宋体" w:cs="宋体"/>
          <w:sz w:val="22"/>
        </w:rPr>
        <w:t xml:space="preserve">                   </w:t>
      </w:r>
      <w:r>
        <w:rPr>
          <w:rFonts w:hint="eastAsia" w:ascii="宋体" w:hAnsi="宋体" w:cs="宋体"/>
          <w:b/>
          <w:bCs/>
          <w:sz w:val="22"/>
        </w:rPr>
        <w:t xml:space="preserve">项目编号：              </w:t>
      </w:r>
      <w:r>
        <w:rPr>
          <w:rFonts w:hint="eastAsia" w:ascii="宋体" w:hAnsi="宋体" w:cs="宋体"/>
          <w:szCs w:val="21"/>
        </w:rPr>
        <w:t>【价格单位：元】</w:t>
      </w:r>
      <w:r>
        <w:rPr>
          <w:rFonts w:hint="eastAsia" w:ascii="宋体" w:hAnsi="宋体" w:cs="宋体"/>
          <w:b/>
          <w:bCs/>
          <w:sz w:val="22"/>
        </w:rPr>
        <w:t xml:space="preserve">      </w:t>
      </w:r>
      <w:r>
        <w:rPr>
          <w:rFonts w:hint="eastAsia" w:ascii="宋体" w:hAnsi="宋体" w:cs="宋体"/>
          <w:szCs w:val="21"/>
          <w:u w:val="single"/>
        </w:rPr>
        <w:t>锦湖街道</w:t>
      </w:r>
    </w:p>
    <w:tbl>
      <w:tblPr>
        <w:tblStyle w:val="29"/>
        <w:tblW w:w="0" w:type="auto"/>
        <w:jc w:val="center"/>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234"/>
        <w:gridCol w:w="1075"/>
        <w:gridCol w:w="3991"/>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23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075"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pacing w:val="-20"/>
                <w:sz w:val="22"/>
                <w:szCs w:val="22"/>
              </w:rPr>
              <w:t>一年支出</w:t>
            </w:r>
          </w:p>
        </w:tc>
        <w:tc>
          <w:tcPr>
            <w:tcW w:w="3991"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劳动成本</w:t>
            </w:r>
          </w:p>
          <w:p>
            <w:pPr>
              <w:pStyle w:val="66"/>
              <w:spacing w:line="240" w:lineRule="exact"/>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 w:val="20"/>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 w:val="20"/>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机械设施（扫地车、冲洗车、洒水车、船只等）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ind w:firstLine="1050" w:firstLineChars="500"/>
              <w:jc w:val="both"/>
              <w:rPr>
                <w:rFonts w:hint="eastAsia" w:ascii="宋体" w:hAnsi="宋体" w:cs="宋体"/>
                <w:szCs w:val="21"/>
              </w:rPr>
            </w:pPr>
            <w:r>
              <w:rPr>
                <w:rFonts w:hint="eastAsia" w:ascii="宋体" w:hAnsi="宋体" w:cs="宋体"/>
                <w:bCs/>
                <w:szCs w:val="21"/>
              </w:rPr>
              <w:t>其他</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6" w:space="0"/>
              <w:left w:val="single" w:color="auto" w:sz="18" w:space="0"/>
              <w:bottom w:val="single" w:color="auto" w:sz="6" w:space="0"/>
              <w:right w:val="single" w:color="auto" w:sz="6" w:space="0"/>
            </w:tcBorders>
            <w:noWrap w:val="0"/>
            <w:vAlign w:val="top"/>
          </w:tcPr>
          <w:p>
            <w:pPr>
              <w:spacing w:line="240" w:lineRule="exact"/>
              <w:ind w:firstLine="934" w:firstLineChars="445"/>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left w:val="single" w:color="auto" w:sz="18" w:space="0"/>
              <w:bottom w:val="single" w:color="auto" w:sz="4" w:space="0"/>
              <w:right w:val="single" w:color="auto" w:sz="6" w:space="0"/>
            </w:tcBorders>
            <w:noWrap w:val="0"/>
            <w:vAlign w:val="top"/>
          </w:tcPr>
          <w:p>
            <w:pPr>
              <w:spacing w:line="240" w:lineRule="exact"/>
              <w:rPr>
                <w:rFonts w:hint="eastAsia" w:ascii="宋体" w:hAnsi="宋体" w:cs="宋体"/>
                <w:b/>
                <w:bCs/>
                <w:szCs w:val="21"/>
              </w:rPr>
            </w:pPr>
            <w:r>
              <w:rPr>
                <w:rFonts w:hint="eastAsia" w:ascii="宋体" w:hAnsi="宋体" w:cs="宋体"/>
                <w:b/>
                <w:sz w:val="22"/>
              </w:rPr>
              <w:t>一年</w:t>
            </w:r>
            <w:r>
              <w:rPr>
                <w:rFonts w:hint="eastAsia" w:ascii="宋体" w:hAnsi="宋体" w:cs="宋体"/>
                <w:b/>
                <w:szCs w:val="21"/>
              </w:rPr>
              <w:t>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630" w:firstLineChars="3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4" w:space="0"/>
              <w:left w:val="single" w:color="auto" w:sz="18" w:space="0"/>
              <w:bottom w:val="single" w:color="auto" w:sz="12" w:space="0"/>
              <w:right w:val="single" w:color="auto" w:sz="6" w:space="0"/>
            </w:tcBorders>
            <w:noWrap w:val="0"/>
            <w:vAlign w:val="top"/>
          </w:tcPr>
          <w:p>
            <w:pPr>
              <w:spacing w:line="240" w:lineRule="exact"/>
              <w:rPr>
                <w:rFonts w:hint="eastAsia" w:ascii="宋体" w:hAnsi="宋体" w:cs="宋体"/>
                <w:b/>
                <w:szCs w:val="21"/>
              </w:rPr>
            </w:pPr>
            <w:r>
              <w:rPr>
                <w:rFonts w:hint="eastAsia" w:ascii="宋体" w:hAnsi="宋体" w:cs="宋体"/>
                <w:b/>
                <w:szCs w:val="21"/>
              </w:rPr>
              <w:t>三年总价（</w:t>
            </w:r>
            <w:r>
              <w:rPr>
                <w:rFonts w:hint="eastAsia" w:ascii="宋体" w:hAnsi="宋体" w:cs="宋体"/>
                <w:b/>
                <w:sz w:val="22"/>
              </w:rPr>
              <w:t>一年</w:t>
            </w:r>
            <w:r>
              <w:rPr>
                <w:rFonts w:hint="eastAsia" w:ascii="宋体" w:hAnsi="宋体" w:cs="宋体"/>
                <w:b/>
                <w:szCs w:val="21"/>
              </w:rPr>
              <w:t>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630" w:firstLineChars="3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w:t>
      </w:r>
      <w:r>
        <w:rPr>
          <w:rFonts w:hint="eastAsia" w:ascii="宋体" w:hAnsi="宋体" w:cs="宋体"/>
          <w:spacing w:val="-6"/>
          <w:sz w:val="22"/>
          <w:szCs w:val="22"/>
        </w:rPr>
        <w:t>该表中的“三年总价”应与附件十一“开标一览表”中锦湖街道的“区域投标总价”相一致。</w:t>
      </w:r>
    </w:p>
    <w:p>
      <w:pPr>
        <w:spacing w:line="240" w:lineRule="exact"/>
        <w:ind w:left="485" w:leftChars="231"/>
        <w:rPr>
          <w:rFonts w:hint="eastAsia" w:ascii="宋体" w:hAnsi="宋体" w:cs="宋体"/>
          <w:sz w:val="22"/>
          <w:szCs w:val="22"/>
        </w:rPr>
      </w:pPr>
      <w:r>
        <w:rPr>
          <w:rFonts w:hint="eastAsia" w:ascii="宋体" w:hAnsi="宋体" w:cs="宋体"/>
          <w:sz w:val="22"/>
          <w:szCs w:val="22"/>
        </w:rPr>
        <w:t>3.不提供此表的报价，视为没有实质性响应招标文件要求。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4.报价低于本表规定的，视为没有实质性响应招标文件要求。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5.</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rPr>
      </w:pPr>
      <w:r>
        <w:rPr>
          <w:rFonts w:hint="eastAsia" w:ascii="宋体" w:hAnsi="宋体" w:cs="宋体"/>
          <w:sz w:val="22"/>
        </w:rPr>
        <w:t>6.</w:t>
      </w:r>
      <w:r>
        <w:rPr>
          <w:rFonts w:hint="eastAsia" w:ascii="宋体" w:hAnsi="宋体" w:cs="宋体"/>
          <w:sz w:val="22"/>
          <w:szCs w:val="22"/>
        </w:rPr>
        <w:t>本表中劳动成本（</w:t>
      </w:r>
      <w:r>
        <w:rPr>
          <w:rFonts w:hint="eastAsia" w:ascii="宋体" w:hAnsi="宋体" w:cs="宋体"/>
          <w:sz w:val="22"/>
          <w:szCs w:val="22"/>
          <w:u w:val="single"/>
        </w:rPr>
        <w:t xml:space="preserve">   人）</w:t>
      </w:r>
      <w:r>
        <w:rPr>
          <w:rFonts w:hint="eastAsia" w:ascii="宋体" w:hAnsi="宋体" w:cs="宋体"/>
          <w:sz w:val="22"/>
          <w:szCs w:val="22"/>
        </w:rPr>
        <w:t>与岗位员工配置计划表中对应人数不一致，视为没有实质性响应招标文件要求。</w:t>
      </w:r>
    </w:p>
    <w:p>
      <w:pPr>
        <w:tabs>
          <w:tab w:val="left" w:pos="4635"/>
        </w:tabs>
        <w:spacing w:line="240" w:lineRule="exact"/>
        <w:ind w:left="3826" w:leftChars="1822" w:right="840"/>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57" w:name="_Toc23890"/>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-3  潘岱街道投标分项报价汇总表</w:t>
      </w:r>
      <w:bookmarkEnd w:id="357"/>
    </w:p>
    <w:p>
      <w:pPr>
        <w:spacing w:line="270" w:lineRule="exact"/>
        <w:rPr>
          <w:rFonts w:hint="eastAsia" w:ascii="宋体" w:hAnsi="宋体" w:cs="宋体"/>
          <w:b/>
          <w:bCs/>
          <w:sz w:val="22"/>
        </w:rPr>
      </w:pPr>
      <w:r>
        <w:rPr>
          <w:rFonts w:hint="eastAsia" w:ascii="宋体" w:hAnsi="宋体" w:cs="宋体"/>
          <w:b/>
          <w:bCs/>
          <w:sz w:val="22"/>
        </w:rPr>
        <w:t xml:space="preserve">项目名称： </w:t>
      </w:r>
      <w:r>
        <w:rPr>
          <w:rFonts w:hint="eastAsia" w:ascii="宋体" w:hAnsi="宋体" w:cs="宋体"/>
          <w:sz w:val="22"/>
        </w:rPr>
        <w:t xml:space="preserve">                   </w:t>
      </w:r>
      <w:r>
        <w:rPr>
          <w:rFonts w:hint="eastAsia" w:ascii="宋体" w:hAnsi="宋体" w:cs="宋体"/>
          <w:b/>
          <w:bCs/>
          <w:sz w:val="22"/>
        </w:rPr>
        <w:t xml:space="preserve">项目编号：              </w:t>
      </w:r>
      <w:r>
        <w:rPr>
          <w:rFonts w:hint="eastAsia" w:ascii="宋体" w:hAnsi="宋体" w:cs="宋体"/>
          <w:szCs w:val="21"/>
        </w:rPr>
        <w:t>【价格单位：元】</w:t>
      </w:r>
      <w:r>
        <w:rPr>
          <w:rFonts w:hint="eastAsia" w:ascii="宋体" w:hAnsi="宋体" w:cs="宋体"/>
          <w:b/>
          <w:bCs/>
          <w:sz w:val="22"/>
        </w:rPr>
        <w:t xml:space="preserve">      </w:t>
      </w:r>
      <w:r>
        <w:rPr>
          <w:rFonts w:hint="eastAsia" w:ascii="宋体" w:hAnsi="宋体" w:cs="宋体"/>
          <w:szCs w:val="21"/>
          <w:u w:val="single"/>
        </w:rPr>
        <w:t>潘岱街道</w:t>
      </w:r>
    </w:p>
    <w:tbl>
      <w:tblPr>
        <w:tblStyle w:val="29"/>
        <w:tblW w:w="0" w:type="auto"/>
        <w:jc w:val="center"/>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234"/>
        <w:gridCol w:w="1075"/>
        <w:gridCol w:w="3991"/>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23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075"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pacing w:val="-20"/>
                <w:sz w:val="22"/>
                <w:szCs w:val="22"/>
              </w:rPr>
              <w:t>一年支出</w:t>
            </w:r>
          </w:p>
        </w:tc>
        <w:tc>
          <w:tcPr>
            <w:tcW w:w="3991"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劳动成本</w:t>
            </w:r>
          </w:p>
          <w:p>
            <w:pPr>
              <w:pStyle w:val="66"/>
              <w:spacing w:line="240" w:lineRule="exact"/>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 w:val="20"/>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 w:val="20"/>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 w:val="20"/>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机械设施（扫地车、冲洗车、洒水车、船只等）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 w:val="20"/>
              </w:rPr>
            </w:pPr>
            <w:r>
              <w:rPr>
                <w:rFonts w:hint="eastAsia" w:ascii="宋体" w:hAnsi="宋体" w:cs="宋体"/>
                <w:sz w:val="20"/>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jc w:val="center"/>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jc w:val="center"/>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ind w:firstLine="1050" w:firstLineChars="500"/>
              <w:jc w:val="both"/>
              <w:rPr>
                <w:rFonts w:hint="eastAsia" w:ascii="宋体" w:hAnsi="宋体" w:cs="宋体"/>
                <w:szCs w:val="21"/>
              </w:rPr>
            </w:pPr>
            <w:r>
              <w:rPr>
                <w:rFonts w:hint="eastAsia" w:ascii="宋体" w:hAnsi="宋体" w:cs="宋体"/>
                <w:bCs/>
                <w:szCs w:val="21"/>
              </w:rPr>
              <w:t>其他</w:t>
            </w:r>
          </w:p>
        </w:tc>
        <w:tc>
          <w:tcPr>
            <w:tcW w:w="123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075"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991"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6" w:space="0"/>
              <w:left w:val="single" w:color="auto" w:sz="18" w:space="0"/>
              <w:bottom w:val="single" w:color="auto" w:sz="6" w:space="0"/>
              <w:right w:val="single" w:color="auto" w:sz="6" w:space="0"/>
            </w:tcBorders>
            <w:noWrap w:val="0"/>
            <w:vAlign w:val="top"/>
          </w:tcPr>
          <w:p>
            <w:pPr>
              <w:spacing w:line="240" w:lineRule="exact"/>
              <w:ind w:firstLine="934" w:firstLineChars="445"/>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left w:val="single" w:color="auto" w:sz="18" w:space="0"/>
              <w:bottom w:val="single" w:color="auto" w:sz="4" w:space="0"/>
              <w:right w:val="single" w:color="auto" w:sz="6" w:space="0"/>
            </w:tcBorders>
            <w:noWrap w:val="0"/>
            <w:vAlign w:val="top"/>
          </w:tcPr>
          <w:p>
            <w:pPr>
              <w:spacing w:line="240" w:lineRule="exact"/>
              <w:rPr>
                <w:rFonts w:hint="eastAsia" w:ascii="宋体" w:hAnsi="宋体" w:cs="宋体"/>
                <w:b/>
                <w:bCs/>
                <w:szCs w:val="21"/>
              </w:rPr>
            </w:pPr>
            <w:r>
              <w:rPr>
                <w:rFonts w:hint="eastAsia" w:ascii="宋体" w:hAnsi="宋体" w:cs="宋体"/>
                <w:b/>
                <w:sz w:val="22"/>
              </w:rPr>
              <w:t>一年</w:t>
            </w:r>
            <w:r>
              <w:rPr>
                <w:rFonts w:hint="eastAsia" w:ascii="宋体" w:hAnsi="宋体" w:cs="宋体"/>
                <w:b/>
                <w:szCs w:val="21"/>
              </w:rPr>
              <w:t>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630" w:firstLineChars="3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jc w:val="center"/>
        </w:trPr>
        <w:tc>
          <w:tcPr>
            <w:tcW w:w="3540" w:type="dxa"/>
            <w:gridSpan w:val="3"/>
            <w:tcBorders>
              <w:top w:val="single" w:color="auto" w:sz="4" w:space="0"/>
              <w:left w:val="single" w:color="auto" w:sz="18" w:space="0"/>
              <w:bottom w:val="single" w:color="auto" w:sz="12" w:space="0"/>
              <w:right w:val="single" w:color="auto" w:sz="6" w:space="0"/>
            </w:tcBorders>
            <w:noWrap w:val="0"/>
            <w:vAlign w:val="top"/>
          </w:tcPr>
          <w:p>
            <w:pPr>
              <w:spacing w:line="240" w:lineRule="exact"/>
              <w:rPr>
                <w:rFonts w:hint="eastAsia" w:ascii="宋体" w:hAnsi="宋体" w:cs="宋体"/>
                <w:b/>
                <w:szCs w:val="21"/>
              </w:rPr>
            </w:pPr>
            <w:r>
              <w:rPr>
                <w:rFonts w:hint="eastAsia" w:ascii="宋体" w:hAnsi="宋体" w:cs="宋体"/>
                <w:b/>
                <w:szCs w:val="21"/>
              </w:rPr>
              <w:t>三年总价（</w:t>
            </w:r>
            <w:r>
              <w:rPr>
                <w:rFonts w:hint="eastAsia" w:ascii="宋体" w:hAnsi="宋体" w:cs="宋体"/>
                <w:b/>
                <w:sz w:val="22"/>
              </w:rPr>
              <w:t>一年</w:t>
            </w:r>
            <w:r>
              <w:rPr>
                <w:rFonts w:hint="eastAsia" w:ascii="宋体" w:hAnsi="宋体" w:cs="宋体"/>
                <w:b/>
                <w:szCs w:val="21"/>
              </w:rPr>
              <w:t>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630" w:firstLineChars="3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w:t>
      </w:r>
      <w:r>
        <w:rPr>
          <w:rFonts w:hint="eastAsia" w:ascii="宋体" w:hAnsi="宋体" w:cs="宋体"/>
          <w:spacing w:val="-6"/>
          <w:sz w:val="22"/>
          <w:szCs w:val="22"/>
        </w:rPr>
        <w:t>该表中的“三年总价”应与附件十一“开标一览表”中</w:t>
      </w:r>
      <w:r>
        <w:rPr>
          <w:rFonts w:hint="eastAsia" w:ascii="宋体" w:hAnsi="宋体" w:cs="宋体"/>
          <w:spacing w:val="-6"/>
          <w:sz w:val="22"/>
          <w:szCs w:val="22"/>
          <w:lang w:val="en-US" w:eastAsia="zh-CN"/>
        </w:rPr>
        <w:t>潘岱</w:t>
      </w:r>
      <w:r>
        <w:rPr>
          <w:rFonts w:hint="eastAsia" w:ascii="宋体" w:hAnsi="宋体" w:cs="宋体"/>
          <w:spacing w:val="-6"/>
          <w:sz w:val="22"/>
          <w:szCs w:val="22"/>
        </w:rPr>
        <w:t>街道的“区域投标总价”相一致。</w:t>
      </w:r>
    </w:p>
    <w:p>
      <w:pPr>
        <w:spacing w:line="240" w:lineRule="exact"/>
        <w:ind w:left="485" w:leftChars="231"/>
        <w:rPr>
          <w:rFonts w:hint="eastAsia" w:ascii="宋体" w:hAnsi="宋体" w:cs="宋体"/>
          <w:sz w:val="22"/>
          <w:szCs w:val="22"/>
        </w:rPr>
      </w:pPr>
      <w:r>
        <w:rPr>
          <w:rFonts w:hint="eastAsia" w:ascii="宋体" w:hAnsi="宋体" w:cs="宋体"/>
          <w:sz w:val="22"/>
          <w:szCs w:val="22"/>
        </w:rPr>
        <w:t>3.不提供此表的报价，视为没有实质性响应招标文件要求。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4.报价低于本表规定的，视为没有实质性响应招标文件要求。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5.</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rPr>
      </w:pPr>
      <w:r>
        <w:rPr>
          <w:rFonts w:hint="eastAsia" w:ascii="宋体" w:hAnsi="宋体" w:cs="宋体"/>
          <w:sz w:val="22"/>
        </w:rPr>
        <w:t>6.</w:t>
      </w:r>
      <w:r>
        <w:rPr>
          <w:rFonts w:hint="eastAsia" w:ascii="宋体" w:hAnsi="宋体" w:cs="宋体"/>
          <w:sz w:val="22"/>
          <w:szCs w:val="22"/>
        </w:rPr>
        <w:t>本表中劳动成本（</w:t>
      </w:r>
      <w:r>
        <w:rPr>
          <w:rFonts w:hint="eastAsia" w:ascii="宋体" w:hAnsi="宋体" w:cs="宋体"/>
          <w:sz w:val="22"/>
          <w:szCs w:val="22"/>
          <w:u w:val="single"/>
        </w:rPr>
        <w:t xml:space="preserve">   人）</w:t>
      </w:r>
      <w:r>
        <w:rPr>
          <w:rFonts w:hint="eastAsia" w:ascii="宋体" w:hAnsi="宋体" w:cs="宋体"/>
          <w:sz w:val="22"/>
          <w:szCs w:val="22"/>
        </w:rPr>
        <w:t>与岗位员工配置计划表中对应人数不一致，视为没有实质性响应招标文件要求。</w:t>
      </w:r>
    </w:p>
    <w:p>
      <w:pPr>
        <w:tabs>
          <w:tab w:val="left" w:pos="4635"/>
        </w:tabs>
        <w:spacing w:line="240" w:lineRule="exact"/>
        <w:ind w:left="3826" w:leftChars="1822" w:right="840"/>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58" w:name="_Toc16385"/>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-4  玉海街道投标分项报价明细表</w:t>
      </w:r>
      <w:bookmarkEnd w:id="358"/>
    </w:p>
    <w:p>
      <w:pPr>
        <w:jc w:val="center"/>
        <w:rPr>
          <w:rFonts w:hint="eastAsia" w:ascii="宋体" w:hAnsi="宋体" w:cs="宋体"/>
          <w:b/>
          <w:bCs/>
          <w:sz w:val="22"/>
        </w:rPr>
      </w:pPr>
      <w:r>
        <w:rPr>
          <w:rFonts w:hint="eastAsia" w:ascii="宋体" w:hAnsi="宋体" w:cs="宋体"/>
          <w:b/>
          <w:bCs/>
          <w:sz w:val="22"/>
          <w:szCs w:val="22"/>
        </w:rPr>
        <w:t>（1）</w:t>
      </w:r>
      <w:r>
        <w:rPr>
          <w:rFonts w:hint="eastAsia" w:ascii="宋体" w:hAnsi="宋体" w:cs="宋体"/>
          <w:b/>
          <w:bCs/>
          <w:spacing w:val="-11"/>
          <w:sz w:val="22"/>
        </w:rPr>
        <w:t>玉海街道道路公路、公园广场绿地、市政设施、城市家具、小广告、垃圾清运等部分明细报价</w:t>
      </w:r>
      <w:r>
        <w:rPr>
          <w:rFonts w:hint="eastAsia" w:ascii="宋体" w:hAnsi="宋体" w:cs="宋体"/>
          <w:b/>
          <w:bCs/>
          <w:sz w:val="22"/>
          <w:szCs w:val="22"/>
        </w:rPr>
        <w:t>表</w:t>
      </w:r>
    </w:p>
    <w:p>
      <w:pPr>
        <w:spacing w:line="24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劳动成本</w:t>
            </w:r>
          </w:p>
          <w:p>
            <w:pPr>
              <w:pStyle w:val="66"/>
              <w:spacing w:line="240" w:lineRule="exact"/>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rPr>
            </w:pPr>
            <w:r>
              <w:rPr>
                <w:rFonts w:hint="eastAsia" w:ascii="宋体" w:hAnsi="宋体" w:cs="宋体"/>
                <w:bCs/>
                <w:szCs w:val="21"/>
              </w:rPr>
              <w:t xml:space="preserve">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Cs w:val="21"/>
        </w:rPr>
      </w:pPr>
      <w:r>
        <w:rPr>
          <w:rFonts w:hint="eastAsia" w:ascii="宋体" w:hAnsi="宋体" w:cs="宋体"/>
          <w:sz w:val="22"/>
          <w:szCs w:val="22"/>
        </w:rPr>
        <w:t>注：</w:t>
      </w:r>
      <w:r>
        <w:rPr>
          <w:rFonts w:hint="eastAsia" w:ascii="宋体" w:hAnsi="宋体" w:cs="宋体"/>
          <w:szCs w:val="21"/>
        </w:rPr>
        <w:t>1.本表所列费用为该分项的全部费用，未列费用均为综合考虑。</w:t>
      </w:r>
    </w:p>
    <w:p>
      <w:pPr>
        <w:spacing w:line="240" w:lineRule="exact"/>
        <w:ind w:left="485" w:leftChars="231"/>
        <w:rPr>
          <w:rFonts w:hint="eastAsia" w:ascii="宋体" w:hAnsi="宋体" w:cs="宋体"/>
          <w:szCs w:val="21"/>
        </w:rPr>
      </w:pPr>
      <w:r>
        <w:rPr>
          <w:rFonts w:hint="eastAsia" w:ascii="宋体" w:hAnsi="宋体" w:cs="宋体"/>
          <w:szCs w:val="21"/>
        </w:rPr>
        <w:t>2.不提供此表的报价，视为没有实质性响应招标文件要求。</w:t>
      </w:r>
    </w:p>
    <w:p>
      <w:pPr>
        <w:spacing w:line="240" w:lineRule="exact"/>
        <w:ind w:left="485" w:leftChars="231"/>
        <w:rPr>
          <w:rFonts w:hint="eastAsia" w:ascii="宋体" w:hAnsi="宋体" w:cs="宋体"/>
          <w:szCs w:val="21"/>
        </w:rPr>
      </w:pPr>
      <w:r>
        <w:rPr>
          <w:rFonts w:hint="eastAsia" w:ascii="宋体" w:hAnsi="宋体" w:cs="宋体"/>
          <w:szCs w:val="21"/>
        </w:rPr>
        <w:t>3.报价低于本表规定的，视为没有实质性响应招标文件要求。</w:t>
      </w:r>
    </w:p>
    <w:p>
      <w:pPr>
        <w:spacing w:line="240" w:lineRule="exact"/>
        <w:ind w:left="485" w:leftChars="231"/>
        <w:rPr>
          <w:rFonts w:hint="eastAsia" w:ascii="宋体" w:hAnsi="宋体" w:cs="宋体"/>
          <w:szCs w:val="21"/>
        </w:rPr>
      </w:pPr>
      <w:r>
        <w:rPr>
          <w:rFonts w:hint="eastAsia" w:ascii="宋体" w:hAnsi="宋体" w:cs="宋体"/>
          <w:szCs w:val="21"/>
        </w:rPr>
        <w:t>4.本表可在不改变格式的情况下根据具体需要自行增减。</w:t>
      </w:r>
    </w:p>
    <w:p>
      <w:pPr>
        <w:spacing w:line="240" w:lineRule="exact"/>
        <w:ind w:left="485" w:leftChars="231"/>
        <w:rPr>
          <w:rFonts w:hint="eastAsia" w:ascii="宋体" w:hAnsi="宋体" w:cs="宋体"/>
          <w:szCs w:val="21"/>
        </w:rPr>
      </w:pPr>
      <w:r>
        <w:rPr>
          <w:rFonts w:hint="eastAsia" w:ascii="宋体" w:hAnsi="宋体" w:cs="宋体"/>
          <w:szCs w:val="21"/>
        </w:rPr>
        <w:t>5.本表中劳动成本（   人）与岗位员工配置计划表中对应人数不一致，视为没有实质性响应招标文件要求。</w:t>
      </w:r>
    </w:p>
    <w:p>
      <w:pPr>
        <w:spacing w:line="240" w:lineRule="exact"/>
        <w:ind w:left="485" w:leftChars="231"/>
        <w:rPr>
          <w:rFonts w:hint="eastAsia" w:ascii="宋体" w:hAnsi="宋体" w:cs="宋体"/>
          <w:szCs w:val="21"/>
        </w:rPr>
      </w:pPr>
      <w:r>
        <w:rPr>
          <w:rFonts w:hint="eastAsia" w:ascii="宋体" w:hAnsi="宋体" w:cs="宋体"/>
          <w:szCs w:val="21"/>
        </w:rPr>
        <w:t>6.附件十二-4中</w:t>
      </w:r>
      <w:r>
        <w:rPr>
          <w:rFonts w:hint="eastAsia" w:ascii="宋体" w:hAnsi="宋体" w:cs="宋体"/>
          <w:szCs w:val="21"/>
          <w:lang w:val="en-US" w:eastAsia="zh-CN"/>
        </w:rPr>
        <w:t>四</w:t>
      </w:r>
      <w:r>
        <w:rPr>
          <w:rFonts w:hint="eastAsia" w:ascii="宋体" w:hAnsi="宋体" w:cs="宋体"/>
          <w:szCs w:val="21"/>
        </w:rPr>
        <w:t>张报价明细表“三年总价（一年总价*3）”之和=附件十二-1中“三年总价（一年总价*3）”</w:t>
      </w: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bookmarkStart w:id="359" w:name="_Toc481591103"/>
      <w:bookmarkStart w:id="360" w:name="_Toc441841688"/>
    </w:p>
    <w:p>
      <w:pPr>
        <w:spacing w:line="260" w:lineRule="exact"/>
        <w:jc w:val="center"/>
        <w:rPr>
          <w:rFonts w:hint="eastAsia" w:ascii="宋体" w:hAnsi="宋体" w:cs="宋体"/>
          <w:b/>
          <w:bCs/>
          <w:sz w:val="22"/>
          <w:szCs w:val="22"/>
        </w:rPr>
      </w:pPr>
      <w:r>
        <w:rPr>
          <w:rFonts w:hint="eastAsia" w:ascii="宋体" w:hAnsi="宋体" w:cs="宋体"/>
        </w:rPr>
        <w:br w:type="page"/>
      </w:r>
      <w:r>
        <w:rPr>
          <w:rFonts w:hint="eastAsia" w:ascii="宋体" w:hAnsi="宋体" w:cs="宋体"/>
          <w:b/>
          <w:bCs/>
          <w:sz w:val="22"/>
          <w:szCs w:val="22"/>
        </w:rPr>
        <w:t>（2）玉海街道河道部分明细报价表</w:t>
      </w:r>
    </w:p>
    <w:p>
      <w:pPr>
        <w:pStyle w:val="84"/>
        <w:rPr>
          <w:rFonts w:hint="eastAsia" w:ascii="宋体" w:hAnsi="宋体" w:eastAsia="宋体" w:cs="宋体"/>
        </w:rPr>
      </w:pPr>
    </w:p>
    <w:p>
      <w:pPr>
        <w:spacing w:line="26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60" w:lineRule="exact"/>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6"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机械设施</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按投入船只等具体数量分列，表格可以延续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6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河道总面积（平方米）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6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rPr>
      </w:pPr>
      <w:r>
        <w:rPr>
          <w:rFonts w:hint="eastAsia" w:ascii="宋体" w:hAnsi="宋体" w:cs="宋体"/>
          <w:szCs w:val="21"/>
        </w:rPr>
        <w:t>6.附件十二-4中</w:t>
      </w:r>
      <w:r>
        <w:rPr>
          <w:rFonts w:hint="eastAsia" w:ascii="宋体" w:hAnsi="宋体" w:cs="宋体"/>
          <w:szCs w:val="21"/>
          <w:lang w:eastAsia="zh-CN"/>
        </w:rPr>
        <w:t>四张报价明细表</w:t>
      </w:r>
      <w:r>
        <w:rPr>
          <w:rFonts w:hint="eastAsia" w:ascii="宋体" w:hAnsi="宋体" w:cs="宋体"/>
          <w:szCs w:val="21"/>
        </w:rPr>
        <w:t>“三年总价（一年总价*3）”之和=附件十二-1中“三年总价（一年总价*3）”</w:t>
      </w:r>
    </w:p>
    <w:p>
      <w:pPr>
        <w:tabs>
          <w:tab w:val="left" w:pos="4635"/>
        </w:tabs>
        <w:spacing w:line="240" w:lineRule="exact"/>
        <w:ind w:left="3826" w:leftChars="1822" w:right="840"/>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spacing w:line="270" w:lineRule="exact"/>
        <w:jc w:val="center"/>
        <w:rPr>
          <w:rFonts w:hint="eastAsia" w:ascii="宋体" w:hAnsi="宋体" w:cs="宋体"/>
          <w:b/>
          <w:bCs/>
          <w:sz w:val="22"/>
          <w:szCs w:val="22"/>
        </w:rPr>
      </w:pPr>
      <w:r>
        <w:rPr>
          <w:rFonts w:hint="eastAsia" w:ascii="宋体" w:hAnsi="宋体" w:cs="宋体"/>
          <w:highlight w:val="yellow"/>
        </w:rPr>
        <w:br w:type="page"/>
      </w:r>
      <w:r>
        <w:rPr>
          <w:rFonts w:hint="eastAsia" w:ascii="宋体" w:hAnsi="宋体" w:cs="宋体"/>
          <w:b/>
          <w:bCs/>
          <w:sz w:val="22"/>
          <w:szCs w:val="22"/>
        </w:rPr>
        <w:t>（3）玉海街道公厕明细报价表</w:t>
      </w:r>
    </w:p>
    <w:p>
      <w:pPr>
        <w:spacing w:line="28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365"/>
        <w:gridCol w:w="3465"/>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pacing w:val="-20"/>
                <w:sz w:val="22"/>
              </w:rPr>
            </w:pPr>
            <w:r>
              <w:rPr>
                <w:rFonts w:hint="eastAsia" w:ascii="宋体" w:hAnsi="宋体" w:cs="宋体"/>
                <w:spacing w:val="-20"/>
                <w:sz w:val="22"/>
              </w:rPr>
              <w:t>月支出</w:t>
            </w:r>
          </w:p>
        </w:tc>
        <w:tc>
          <w:tcPr>
            <w:tcW w:w="1365"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465" w:type="dxa"/>
            <w:tcBorders>
              <w:top w:val="single" w:color="auto" w:sz="18" w:space="0"/>
              <w:left w:val="single" w:color="auto" w:sz="6" w:space="0"/>
              <w:bottom w:val="single" w:color="auto" w:sz="6" w:space="0"/>
              <w:right w:val="single" w:color="auto" w:sz="18" w:space="0"/>
            </w:tcBorders>
            <w:noWrap w:val="0"/>
            <w:vAlign w:val="center"/>
          </w:tcPr>
          <w:p>
            <w:pPr>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3</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ind w:firstLine="934" w:firstLineChars="445"/>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jc w:val="center"/>
              <w:rPr>
                <w:rFonts w:hint="eastAsia" w:ascii="宋体" w:hAnsi="宋体" w:cs="宋体"/>
                <w:b/>
                <w:bCs/>
                <w:szCs w:val="21"/>
              </w:rPr>
            </w:pPr>
            <w:r>
              <w:rPr>
                <w:rFonts w:hint="eastAsia" w:ascii="宋体" w:hAnsi="宋体" w:cs="宋体"/>
                <w:szCs w:val="21"/>
              </w:rPr>
              <w:t>一年总价（</w:t>
            </w:r>
            <w:r>
              <w:rPr>
                <w:rFonts w:hint="eastAsia" w:ascii="宋体" w:hAnsi="宋体" w:cs="宋体"/>
                <w:b/>
                <w:sz w:val="22"/>
              </w:rPr>
              <w:t>按一年</w:t>
            </w:r>
            <w:r>
              <w:rPr>
                <w:rFonts w:hint="eastAsia" w:ascii="宋体" w:hAnsi="宋体" w:cs="宋体"/>
                <w:szCs w:val="21"/>
              </w:rPr>
              <w:t>）</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ind w:firstLine="210" w:firstLineChars="1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总数量</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平均单价（元/每座公厕）</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ind w:firstLine="210" w:firstLineChars="100"/>
              <w:rPr>
                <w:rFonts w:hint="eastAsia" w:ascii="宋体" w:hAnsi="宋体" w:cs="宋体"/>
                <w:bCs/>
                <w:szCs w:val="21"/>
              </w:rPr>
            </w:pPr>
            <w:r>
              <w:rPr>
                <w:rFonts w:hint="eastAsia" w:ascii="宋体" w:hAnsi="宋体" w:cs="宋体"/>
                <w:bCs/>
                <w:szCs w:val="21"/>
              </w:rPr>
              <w:t>大写：</w:t>
            </w:r>
          </w:p>
        </w:tc>
      </w:tr>
    </w:tbl>
    <w:p>
      <w:pPr>
        <w:spacing w:line="27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7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7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7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6.</w:t>
      </w:r>
      <w:r>
        <w:rPr>
          <w:rFonts w:hint="eastAsia" w:ascii="宋体" w:hAnsi="宋体" w:cs="宋体"/>
          <w:szCs w:val="21"/>
        </w:rPr>
        <w:t>附件十二-4中</w:t>
      </w:r>
      <w:r>
        <w:rPr>
          <w:rFonts w:hint="eastAsia" w:ascii="宋体" w:hAnsi="宋体" w:cs="宋体"/>
          <w:szCs w:val="21"/>
          <w:lang w:eastAsia="zh-CN"/>
        </w:rPr>
        <w:t>四张报价明细表</w:t>
      </w:r>
      <w:r>
        <w:rPr>
          <w:rFonts w:hint="eastAsia" w:ascii="宋体" w:hAnsi="宋体" w:cs="宋体"/>
          <w:szCs w:val="21"/>
        </w:rPr>
        <w:t>“三年总价（一年总价*3）”之和=附件十二-1中“三年总价（一年总价*3）”</w:t>
      </w:r>
    </w:p>
    <w:p>
      <w:pPr>
        <w:tabs>
          <w:tab w:val="left" w:pos="4635"/>
        </w:tabs>
        <w:spacing w:line="27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7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tabs>
          <w:tab w:val="left" w:pos="4635"/>
        </w:tabs>
        <w:spacing w:line="240" w:lineRule="exact"/>
        <w:ind w:left="3826" w:leftChars="1822"/>
        <w:rPr>
          <w:rFonts w:hint="eastAsia" w:ascii="宋体" w:hAnsi="宋体" w:cs="宋体"/>
        </w:rPr>
      </w:pPr>
    </w:p>
    <w:p>
      <w:pPr>
        <w:spacing w:line="260" w:lineRule="exact"/>
        <w:jc w:val="center"/>
        <w:rPr>
          <w:rFonts w:hint="eastAsia" w:ascii="宋体" w:hAnsi="宋体" w:cs="宋体"/>
          <w:b/>
          <w:bCs/>
          <w:sz w:val="22"/>
          <w:szCs w:val="22"/>
        </w:rPr>
      </w:pPr>
      <w:r>
        <w:rPr>
          <w:rFonts w:hint="eastAsia"/>
        </w:rPr>
        <w:br w:type="page"/>
      </w:r>
      <w:r>
        <w:rPr>
          <w:rFonts w:hint="eastAsia" w:ascii="宋体" w:hAnsi="宋体" w:cs="宋体"/>
          <w:b/>
          <w:bCs/>
          <w:sz w:val="22"/>
          <w:szCs w:val="22"/>
        </w:rPr>
        <w:t>（</w:t>
      </w:r>
      <w:r>
        <w:rPr>
          <w:rFonts w:hint="eastAsia" w:ascii="宋体" w:hAnsi="宋体" w:cs="宋体"/>
          <w:b/>
          <w:bCs/>
          <w:sz w:val="22"/>
          <w:szCs w:val="22"/>
          <w:lang w:val="en-US" w:eastAsia="zh-CN"/>
        </w:rPr>
        <w:t>4</w:t>
      </w:r>
      <w:r>
        <w:rPr>
          <w:rFonts w:hint="eastAsia" w:ascii="宋体" w:hAnsi="宋体" w:cs="宋体"/>
          <w:b/>
          <w:bCs/>
          <w:sz w:val="22"/>
          <w:szCs w:val="22"/>
        </w:rPr>
        <w:t>）玉海街道</w:t>
      </w:r>
      <w:r>
        <w:rPr>
          <w:rFonts w:hint="eastAsia" w:ascii="宋体" w:hAnsi="宋体" w:cs="宋体"/>
          <w:b/>
          <w:bCs/>
          <w:sz w:val="22"/>
          <w:szCs w:val="22"/>
          <w:lang w:val="en-US" w:eastAsia="zh-CN"/>
        </w:rPr>
        <w:t>堤坝</w:t>
      </w:r>
      <w:r>
        <w:rPr>
          <w:rFonts w:hint="eastAsia" w:ascii="宋体" w:hAnsi="宋体" w:cs="宋体"/>
          <w:b/>
          <w:bCs/>
          <w:sz w:val="22"/>
          <w:szCs w:val="22"/>
        </w:rPr>
        <w:t>部分明细报价表</w:t>
      </w:r>
    </w:p>
    <w:p>
      <w:pPr>
        <w:pStyle w:val="84"/>
        <w:rPr>
          <w:rFonts w:hint="eastAsia" w:ascii="宋体" w:hAnsi="宋体" w:eastAsia="宋体" w:cs="宋体"/>
        </w:rPr>
      </w:pPr>
    </w:p>
    <w:p>
      <w:pPr>
        <w:spacing w:line="26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60" w:lineRule="exact"/>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6"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机械设施</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按投入</w:t>
            </w:r>
            <w:r>
              <w:rPr>
                <w:rFonts w:hint="eastAsia" w:ascii="宋体" w:hAnsi="宋体" w:cs="宋体"/>
                <w:szCs w:val="21"/>
                <w:lang w:val="en-US" w:eastAsia="zh-CN"/>
              </w:rPr>
              <w:t>机械设施</w:t>
            </w:r>
            <w:r>
              <w:rPr>
                <w:rFonts w:hint="eastAsia" w:ascii="宋体" w:hAnsi="宋体" w:cs="宋体"/>
                <w:szCs w:val="21"/>
              </w:rPr>
              <w:t>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6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lang w:val="en-US" w:eastAsia="zh-CN"/>
              </w:rPr>
              <w:t>堤坝</w:t>
            </w:r>
            <w:r>
              <w:rPr>
                <w:rFonts w:hint="eastAsia" w:ascii="宋体" w:hAnsi="宋体" w:cs="宋体"/>
                <w:szCs w:val="21"/>
              </w:rPr>
              <w:t>总</w:t>
            </w:r>
            <w:r>
              <w:rPr>
                <w:rFonts w:hint="eastAsia" w:ascii="宋体" w:hAnsi="宋体" w:cs="宋体"/>
                <w:szCs w:val="21"/>
                <w:lang w:val="en-US" w:eastAsia="zh-CN"/>
              </w:rPr>
              <w:t>长度</w:t>
            </w:r>
            <w:r>
              <w:rPr>
                <w:rFonts w:hint="eastAsia" w:ascii="宋体" w:hAnsi="宋体" w:cs="宋体"/>
                <w:szCs w:val="21"/>
              </w:rPr>
              <w:t>（米）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平均单价（元/米）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6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rPr>
      </w:pPr>
      <w:r>
        <w:rPr>
          <w:rFonts w:hint="eastAsia" w:ascii="宋体" w:hAnsi="宋体" w:cs="宋体"/>
          <w:szCs w:val="21"/>
        </w:rPr>
        <w:t>6.附件十二-4中</w:t>
      </w:r>
      <w:r>
        <w:rPr>
          <w:rFonts w:hint="eastAsia" w:ascii="宋体" w:hAnsi="宋体" w:cs="宋体"/>
          <w:szCs w:val="21"/>
          <w:lang w:eastAsia="zh-CN"/>
        </w:rPr>
        <w:t>四张报价明细表</w:t>
      </w:r>
      <w:r>
        <w:rPr>
          <w:rFonts w:hint="eastAsia" w:ascii="宋体" w:hAnsi="宋体" w:cs="宋体"/>
          <w:szCs w:val="21"/>
        </w:rPr>
        <w:t>“三年总价（一年总价*3）”之和=附件十二-1中“三年总价（一年总价*3）”</w:t>
      </w:r>
    </w:p>
    <w:p>
      <w:pPr>
        <w:tabs>
          <w:tab w:val="left" w:pos="4635"/>
        </w:tabs>
        <w:spacing w:line="240" w:lineRule="exact"/>
        <w:ind w:left="3826" w:leftChars="1822" w:right="840"/>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rPr>
      </w:pPr>
      <w:r>
        <w:rPr>
          <w:rFonts w:hint="eastAsia" w:ascii="宋体" w:hAnsi="宋体" w:cs="宋体"/>
          <w:szCs w:val="22"/>
        </w:rPr>
        <w:t xml:space="preserve">日      </w:t>
      </w:r>
      <w:r>
        <w:rPr>
          <w:rFonts w:hint="eastAsia" w:ascii="宋体" w:hAnsi="宋体" w:cs="宋体"/>
        </w:rPr>
        <w:t>期：</w:t>
      </w:r>
    </w:p>
    <w:bookmarkEnd w:id="359"/>
    <w:bookmarkEnd w:id="360"/>
    <w:p>
      <w:pPr>
        <w:pStyle w:val="4"/>
        <w:keepNext w:val="0"/>
        <w:keepLines w:val="0"/>
        <w:pageBreakBefore/>
        <w:widowControl w:val="0"/>
        <w:adjustRightInd w:val="0"/>
        <w:snapToGrid w:val="0"/>
        <w:spacing w:before="0" w:after="0" w:line="400" w:lineRule="atLeast"/>
        <w:jc w:val="center"/>
        <w:rPr>
          <w:rFonts w:hint="eastAsia" w:ascii="宋体" w:hAnsi="宋体" w:eastAsia="宋体" w:cs="宋体"/>
          <w:sz w:val="28"/>
          <w:szCs w:val="36"/>
        </w:rPr>
      </w:pPr>
      <w:bookmarkStart w:id="361" w:name="_Toc13326"/>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-5  锦湖街道投标分项报价明细表</w:t>
      </w:r>
      <w:bookmarkEnd w:id="361"/>
    </w:p>
    <w:p>
      <w:pPr>
        <w:jc w:val="center"/>
        <w:rPr>
          <w:rFonts w:hint="eastAsia" w:ascii="宋体" w:hAnsi="宋体" w:cs="宋体"/>
          <w:b/>
          <w:bCs/>
          <w:sz w:val="22"/>
        </w:rPr>
      </w:pPr>
      <w:r>
        <w:rPr>
          <w:rFonts w:hint="eastAsia" w:ascii="宋体" w:hAnsi="宋体" w:cs="宋体"/>
          <w:b/>
          <w:bCs/>
          <w:sz w:val="22"/>
          <w:szCs w:val="22"/>
        </w:rPr>
        <w:t>（1）</w:t>
      </w:r>
      <w:r>
        <w:rPr>
          <w:rFonts w:hint="eastAsia" w:ascii="宋体" w:hAnsi="宋体" w:cs="宋体"/>
          <w:b/>
          <w:bCs/>
          <w:spacing w:val="-11"/>
          <w:sz w:val="22"/>
        </w:rPr>
        <w:t>锦湖街道道路公路、公园广场绿地、市政设施、城市家具、小广告、垃圾清运等部分明细报价表</w:t>
      </w:r>
    </w:p>
    <w:p>
      <w:pPr>
        <w:spacing w:line="24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9840" w:type="dxa"/>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劳动成本</w:t>
            </w:r>
          </w:p>
          <w:p>
            <w:pPr>
              <w:pStyle w:val="66"/>
              <w:spacing w:line="240" w:lineRule="exact"/>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highlight w:val="yellow"/>
              </w:rPr>
            </w:pPr>
            <w:r>
              <w:rPr>
                <w:rFonts w:hint="eastAsia" w:ascii="宋体" w:hAnsi="宋体" w:cs="宋体"/>
                <w:szCs w:val="21"/>
              </w:rPr>
              <w:t>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highlight w:val="yellow"/>
              </w:rPr>
            </w:pPr>
            <w:r>
              <w:rPr>
                <w:rFonts w:hint="eastAsia" w:ascii="宋体" w:hAnsi="宋体" w:cs="宋体"/>
                <w:bCs/>
                <w:color w:val="auto"/>
                <w:szCs w:val="21"/>
                <w:highlight w:val="none"/>
              </w:rPr>
              <w:t xml:space="preserve">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6.附件十二-5中</w:t>
      </w:r>
      <w:r>
        <w:rPr>
          <w:rFonts w:hint="eastAsia" w:ascii="宋体" w:hAnsi="宋体" w:cs="宋体"/>
          <w:sz w:val="22"/>
          <w:szCs w:val="22"/>
          <w:lang w:eastAsia="zh-CN"/>
        </w:rPr>
        <w:t>四张报价明细表</w:t>
      </w:r>
      <w:r>
        <w:rPr>
          <w:rFonts w:hint="eastAsia" w:ascii="宋体" w:hAnsi="宋体" w:cs="宋体"/>
          <w:sz w:val="22"/>
          <w:szCs w:val="22"/>
        </w:rPr>
        <w:t>“三年总价（一年总价*3）”之和=附件十二-2中“三年总价（一年总价*3）”</w:t>
      </w:r>
    </w:p>
    <w:p>
      <w:pPr>
        <w:pStyle w:val="64"/>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spacing w:line="260" w:lineRule="exact"/>
        <w:jc w:val="center"/>
        <w:rPr>
          <w:rFonts w:hint="eastAsia" w:ascii="宋体" w:hAnsi="宋体" w:cs="宋体"/>
          <w:b/>
          <w:bCs/>
          <w:sz w:val="22"/>
          <w:szCs w:val="22"/>
        </w:rPr>
      </w:pPr>
      <w:r>
        <w:rPr>
          <w:rFonts w:hint="eastAsia" w:ascii="宋体" w:hAnsi="宋体" w:cs="宋体"/>
          <w:b/>
          <w:bCs/>
          <w:sz w:val="22"/>
          <w:szCs w:val="22"/>
          <w:highlight w:val="yellow"/>
        </w:rPr>
        <w:br w:type="page"/>
      </w:r>
      <w:r>
        <w:rPr>
          <w:rFonts w:hint="eastAsia" w:ascii="宋体" w:hAnsi="宋体" w:cs="宋体"/>
          <w:b/>
          <w:bCs/>
          <w:sz w:val="22"/>
          <w:szCs w:val="22"/>
        </w:rPr>
        <w:t>（2）锦湖街道河道部分明细报价表</w:t>
      </w:r>
    </w:p>
    <w:p>
      <w:pPr>
        <w:spacing w:line="26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60" w:lineRule="exact"/>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6"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机械设施</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按投入船只等具体数量分列，表格可以延续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6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highlight w:val="yellow"/>
              </w:rPr>
            </w:pPr>
            <w:r>
              <w:rPr>
                <w:rFonts w:hint="eastAsia" w:ascii="宋体" w:hAnsi="宋体" w:cs="宋体"/>
                <w:szCs w:val="21"/>
              </w:rPr>
              <w:t>河道总面积（平方米）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highlight w:val="yellow"/>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6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6.附件十二-5中</w:t>
      </w:r>
      <w:r>
        <w:rPr>
          <w:rFonts w:hint="eastAsia" w:ascii="宋体" w:hAnsi="宋体" w:cs="宋体"/>
          <w:sz w:val="22"/>
          <w:szCs w:val="22"/>
          <w:lang w:eastAsia="zh-CN"/>
        </w:rPr>
        <w:t>四张报价明细表</w:t>
      </w:r>
      <w:r>
        <w:rPr>
          <w:rFonts w:hint="eastAsia" w:ascii="宋体" w:hAnsi="宋体" w:cs="宋体"/>
          <w:sz w:val="22"/>
          <w:szCs w:val="22"/>
        </w:rPr>
        <w:t>“三年总价（一年总价*3）”之和=附件十二-2中“三年总价（一年总价*3）”</w:t>
      </w: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tabs>
          <w:tab w:val="left" w:pos="4635"/>
        </w:tabs>
        <w:spacing w:line="240" w:lineRule="exact"/>
        <w:ind w:left="3826" w:leftChars="1822"/>
        <w:rPr>
          <w:rFonts w:hint="eastAsia" w:ascii="宋体" w:hAnsi="宋体" w:cs="宋体"/>
          <w:sz w:val="28"/>
          <w:szCs w:val="36"/>
          <w:highlight w:val="yellow"/>
        </w:rPr>
      </w:pPr>
      <w:r>
        <w:rPr>
          <w:rFonts w:hint="eastAsia" w:ascii="宋体" w:hAnsi="宋体" w:cs="宋体"/>
        </w:rPr>
        <w:br w:type="page"/>
      </w:r>
    </w:p>
    <w:p>
      <w:pPr>
        <w:spacing w:line="270" w:lineRule="exact"/>
        <w:jc w:val="center"/>
        <w:rPr>
          <w:rFonts w:hint="eastAsia" w:ascii="宋体" w:hAnsi="宋体" w:cs="宋体"/>
          <w:b/>
          <w:bCs/>
          <w:sz w:val="22"/>
          <w:szCs w:val="22"/>
        </w:rPr>
      </w:pPr>
      <w:r>
        <w:rPr>
          <w:rFonts w:hint="eastAsia" w:ascii="宋体" w:hAnsi="宋体" w:cs="宋体"/>
          <w:b/>
          <w:bCs/>
          <w:sz w:val="22"/>
          <w:szCs w:val="22"/>
        </w:rPr>
        <w:t>(3)锦湖街道公厕明细报价表</w:t>
      </w:r>
    </w:p>
    <w:p>
      <w:pPr>
        <w:spacing w:line="28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365"/>
        <w:gridCol w:w="3465"/>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pacing w:val="-20"/>
                <w:sz w:val="22"/>
              </w:rPr>
            </w:pPr>
            <w:r>
              <w:rPr>
                <w:rFonts w:hint="eastAsia" w:ascii="宋体" w:hAnsi="宋体" w:cs="宋体"/>
                <w:spacing w:val="-20"/>
                <w:sz w:val="22"/>
              </w:rPr>
              <w:t>月支出</w:t>
            </w:r>
          </w:p>
        </w:tc>
        <w:tc>
          <w:tcPr>
            <w:tcW w:w="1365"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465" w:type="dxa"/>
            <w:tcBorders>
              <w:top w:val="single" w:color="auto" w:sz="18" w:space="0"/>
              <w:left w:val="single" w:color="auto" w:sz="6" w:space="0"/>
              <w:bottom w:val="single" w:color="auto" w:sz="6" w:space="0"/>
              <w:right w:val="single" w:color="auto" w:sz="18" w:space="0"/>
            </w:tcBorders>
            <w:noWrap w:val="0"/>
            <w:vAlign w:val="center"/>
          </w:tcPr>
          <w:p>
            <w:pPr>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3</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ind w:firstLine="934" w:firstLineChars="445"/>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jc w:val="center"/>
              <w:rPr>
                <w:rFonts w:hint="eastAsia" w:ascii="宋体" w:hAnsi="宋体" w:cs="宋体"/>
                <w:b/>
                <w:bCs/>
                <w:szCs w:val="21"/>
              </w:rPr>
            </w:pPr>
            <w:r>
              <w:rPr>
                <w:rFonts w:hint="eastAsia" w:ascii="宋体" w:hAnsi="宋体" w:cs="宋体"/>
                <w:szCs w:val="21"/>
              </w:rPr>
              <w:t>一年总价（</w:t>
            </w:r>
            <w:r>
              <w:rPr>
                <w:rFonts w:hint="eastAsia" w:ascii="宋体" w:hAnsi="宋体" w:cs="宋体"/>
                <w:b/>
                <w:sz w:val="22"/>
              </w:rPr>
              <w:t>按一年</w:t>
            </w:r>
            <w:r>
              <w:rPr>
                <w:rFonts w:hint="eastAsia" w:ascii="宋体" w:hAnsi="宋体" w:cs="宋体"/>
                <w:szCs w:val="21"/>
              </w:rPr>
              <w:t>）</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ind w:firstLine="210" w:firstLineChars="1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highlight w:val="yellow"/>
              </w:rPr>
            </w:pPr>
            <w:r>
              <w:rPr>
                <w:rFonts w:hint="eastAsia" w:ascii="宋体" w:hAnsi="宋体" w:cs="宋体"/>
                <w:szCs w:val="21"/>
              </w:rPr>
              <w:t>总数量</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highlight w:val="yellow"/>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平均单价（元/每座公厕）</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ind w:firstLine="210" w:firstLineChars="100"/>
              <w:rPr>
                <w:rFonts w:hint="eastAsia" w:ascii="宋体" w:hAnsi="宋体" w:cs="宋体"/>
                <w:bCs/>
                <w:szCs w:val="21"/>
              </w:rPr>
            </w:pPr>
            <w:r>
              <w:rPr>
                <w:rFonts w:hint="eastAsia" w:ascii="宋体" w:hAnsi="宋体" w:cs="宋体"/>
                <w:bCs/>
                <w:szCs w:val="21"/>
              </w:rPr>
              <w:t>大写：</w:t>
            </w:r>
          </w:p>
        </w:tc>
      </w:tr>
    </w:tbl>
    <w:p>
      <w:pPr>
        <w:spacing w:line="27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7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7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7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6.附件十二-5中</w:t>
      </w:r>
      <w:r>
        <w:rPr>
          <w:rFonts w:hint="eastAsia" w:ascii="宋体" w:hAnsi="宋体" w:cs="宋体"/>
          <w:sz w:val="22"/>
          <w:szCs w:val="22"/>
          <w:lang w:eastAsia="zh-CN"/>
        </w:rPr>
        <w:t>四张报价明细表</w:t>
      </w:r>
      <w:r>
        <w:rPr>
          <w:rFonts w:hint="eastAsia" w:ascii="宋体" w:hAnsi="宋体" w:cs="宋体"/>
          <w:sz w:val="22"/>
          <w:szCs w:val="22"/>
        </w:rPr>
        <w:t>“三年总价（一年总价*3）”之和=附件十二-2中“三年总价（一年总价*3）”</w:t>
      </w:r>
    </w:p>
    <w:p>
      <w:pPr>
        <w:tabs>
          <w:tab w:val="left" w:pos="4635"/>
        </w:tabs>
        <w:spacing w:line="27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7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7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tabs>
          <w:tab w:val="left" w:pos="4635"/>
        </w:tabs>
        <w:spacing w:line="270" w:lineRule="exact"/>
        <w:ind w:left="3826" w:leftChars="1822"/>
        <w:rPr>
          <w:rFonts w:hint="eastAsia" w:ascii="宋体" w:hAnsi="宋体" w:cs="宋体"/>
        </w:rPr>
      </w:pPr>
      <w:r>
        <w:rPr>
          <w:rFonts w:hint="eastAsia" w:ascii="宋体" w:hAnsi="宋体" w:cs="宋体"/>
        </w:rPr>
        <w:br w:type="page"/>
      </w:r>
    </w:p>
    <w:p>
      <w:pPr>
        <w:spacing w:line="260" w:lineRule="exact"/>
        <w:jc w:val="center"/>
        <w:rPr>
          <w:rFonts w:hint="eastAsia" w:ascii="宋体" w:hAnsi="宋体" w:cs="宋体"/>
          <w:b/>
          <w:bCs/>
          <w:sz w:val="22"/>
          <w:szCs w:val="22"/>
        </w:rPr>
      </w:pPr>
      <w:bookmarkStart w:id="362" w:name="_Toc14854"/>
      <w:r>
        <w:rPr>
          <w:rFonts w:hint="eastAsia" w:ascii="宋体" w:hAnsi="宋体" w:cs="宋体"/>
          <w:b/>
          <w:bCs/>
          <w:sz w:val="22"/>
          <w:szCs w:val="22"/>
        </w:rPr>
        <w:t>（</w:t>
      </w:r>
      <w:r>
        <w:rPr>
          <w:rFonts w:hint="eastAsia" w:ascii="宋体" w:hAnsi="宋体" w:cs="宋体"/>
          <w:b/>
          <w:bCs/>
          <w:sz w:val="22"/>
          <w:szCs w:val="22"/>
          <w:lang w:val="en-US" w:eastAsia="zh-CN"/>
        </w:rPr>
        <w:t>4</w:t>
      </w:r>
      <w:r>
        <w:rPr>
          <w:rFonts w:hint="eastAsia" w:ascii="宋体" w:hAnsi="宋体" w:cs="宋体"/>
          <w:b/>
          <w:bCs/>
          <w:sz w:val="22"/>
          <w:szCs w:val="22"/>
        </w:rPr>
        <w:t>）</w:t>
      </w:r>
      <w:r>
        <w:rPr>
          <w:rFonts w:hint="eastAsia" w:ascii="宋体" w:hAnsi="宋体" w:cs="宋体"/>
          <w:b/>
          <w:bCs/>
          <w:sz w:val="22"/>
          <w:szCs w:val="22"/>
          <w:lang w:val="en-US" w:eastAsia="zh-CN"/>
        </w:rPr>
        <w:t>锦湖</w:t>
      </w:r>
      <w:r>
        <w:rPr>
          <w:rFonts w:hint="eastAsia" w:ascii="宋体" w:hAnsi="宋体" w:cs="宋体"/>
          <w:b/>
          <w:bCs/>
          <w:sz w:val="22"/>
          <w:szCs w:val="22"/>
        </w:rPr>
        <w:t>街道</w:t>
      </w:r>
      <w:r>
        <w:rPr>
          <w:rFonts w:hint="eastAsia" w:ascii="宋体" w:hAnsi="宋体" w:cs="宋体"/>
          <w:b/>
          <w:bCs/>
          <w:sz w:val="22"/>
          <w:szCs w:val="22"/>
          <w:lang w:val="en-US" w:eastAsia="zh-CN"/>
        </w:rPr>
        <w:t>堤坝</w:t>
      </w:r>
      <w:r>
        <w:rPr>
          <w:rFonts w:hint="eastAsia" w:ascii="宋体" w:hAnsi="宋体" w:cs="宋体"/>
          <w:b/>
          <w:bCs/>
          <w:sz w:val="22"/>
          <w:szCs w:val="22"/>
        </w:rPr>
        <w:t>部分明细报价表</w:t>
      </w:r>
    </w:p>
    <w:p>
      <w:pPr>
        <w:pStyle w:val="84"/>
        <w:rPr>
          <w:rFonts w:hint="eastAsia" w:ascii="宋体" w:hAnsi="宋体" w:eastAsia="宋体" w:cs="宋体"/>
        </w:rPr>
      </w:pPr>
    </w:p>
    <w:p>
      <w:pPr>
        <w:spacing w:line="26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60" w:lineRule="exact"/>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法定节假日按全员全年11天计算</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6"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机械设施</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按投入</w:t>
            </w:r>
            <w:r>
              <w:rPr>
                <w:rFonts w:hint="eastAsia" w:ascii="宋体" w:hAnsi="宋体" w:cs="宋体"/>
                <w:szCs w:val="21"/>
                <w:lang w:val="en-US" w:eastAsia="zh-CN"/>
              </w:rPr>
              <w:t>机械设施</w:t>
            </w:r>
            <w:r>
              <w:rPr>
                <w:rFonts w:hint="eastAsia" w:ascii="宋体" w:hAnsi="宋体" w:cs="宋体"/>
                <w:szCs w:val="21"/>
              </w:rPr>
              <w:t>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6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lang w:val="en-US" w:eastAsia="zh-CN"/>
              </w:rPr>
              <w:t>堤坝</w:t>
            </w:r>
            <w:r>
              <w:rPr>
                <w:rFonts w:hint="eastAsia" w:ascii="宋体" w:hAnsi="宋体" w:cs="宋体"/>
                <w:szCs w:val="21"/>
              </w:rPr>
              <w:t>总</w:t>
            </w:r>
            <w:r>
              <w:rPr>
                <w:rFonts w:hint="eastAsia" w:ascii="宋体" w:hAnsi="宋体" w:cs="宋体"/>
                <w:szCs w:val="21"/>
                <w:lang w:val="en-US" w:eastAsia="zh-CN"/>
              </w:rPr>
              <w:t>长度</w:t>
            </w:r>
            <w:r>
              <w:rPr>
                <w:rFonts w:hint="eastAsia" w:ascii="宋体" w:hAnsi="宋体" w:cs="宋体"/>
                <w:szCs w:val="21"/>
              </w:rPr>
              <w:t>（米）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平均单价（元/米）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6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rPr>
      </w:pPr>
      <w:r>
        <w:rPr>
          <w:rFonts w:hint="eastAsia" w:ascii="宋体" w:hAnsi="宋体" w:cs="宋体"/>
          <w:szCs w:val="21"/>
        </w:rPr>
        <w:t>6.附件十二-4中</w:t>
      </w:r>
      <w:r>
        <w:rPr>
          <w:rFonts w:hint="eastAsia" w:ascii="宋体" w:hAnsi="宋体" w:cs="宋体"/>
          <w:szCs w:val="21"/>
          <w:lang w:eastAsia="zh-CN"/>
        </w:rPr>
        <w:t>四张报价明细表</w:t>
      </w:r>
      <w:r>
        <w:rPr>
          <w:rFonts w:hint="eastAsia" w:ascii="宋体" w:hAnsi="宋体" w:cs="宋体"/>
          <w:szCs w:val="21"/>
        </w:rPr>
        <w:t>“三年总价（一年总价*3）”之和=附件十二-1中“三年总价（一年总价*3）”</w:t>
      </w:r>
    </w:p>
    <w:p>
      <w:pPr>
        <w:tabs>
          <w:tab w:val="left" w:pos="4635"/>
        </w:tabs>
        <w:spacing w:line="240" w:lineRule="exact"/>
        <w:ind w:left="3826" w:leftChars="1822" w:right="840"/>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rPr>
      </w:pPr>
      <w:r>
        <w:rPr>
          <w:rFonts w:hint="eastAsia" w:ascii="宋体" w:hAnsi="宋体" w:cs="宋体"/>
          <w:szCs w:val="22"/>
        </w:rPr>
        <w:t xml:space="preserve">日      </w:t>
      </w:r>
      <w:r>
        <w:rPr>
          <w:rFonts w:hint="eastAsia" w:ascii="宋体" w:hAnsi="宋体" w:cs="宋体"/>
        </w:rPr>
        <w:t>期：</w:t>
      </w:r>
    </w:p>
    <w:p>
      <w:pPr>
        <w:pStyle w:val="4"/>
        <w:keepNext w:val="0"/>
        <w:keepLines w:val="0"/>
        <w:pageBreakBefore/>
        <w:widowControl w:val="0"/>
        <w:adjustRightInd w:val="0"/>
        <w:snapToGrid w:val="0"/>
        <w:spacing w:before="0" w:after="0" w:line="400" w:lineRule="atLeast"/>
        <w:jc w:val="center"/>
        <w:rPr>
          <w:rFonts w:hint="eastAsia" w:ascii="宋体" w:hAnsi="宋体" w:eastAsia="宋体" w:cs="宋体"/>
          <w:sz w:val="28"/>
          <w:szCs w:val="36"/>
        </w:rPr>
      </w:pPr>
      <w:r>
        <w:rPr>
          <w:rFonts w:hint="eastAsia" w:ascii="宋体" w:hAnsi="宋体" w:eastAsia="宋体" w:cs="宋体"/>
          <w:sz w:val="28"/>
          <w:szCs w:val="36"/>
        </w:rPr>
        <w:t>附件</w:t>
      </w:r>
      <w:r>
        <w:rPr>
          <w:rFonts w:hint="eastAsia" w:ascii="宋体" w:hAnsi="宋体" w:eastAsia="宋体" w:cs="宋体"/>
          <w:szCs w:val="21"/>
        </w:rPr>
        <w:t>十二</w:t>
      </w:r>
      <w:r>
        <w:rPr>
          <w:rFonts w:hint="eastAsia" w:ascii="宋体" w:hAnsi="宋体" w:eastAsia="宋体" w:cs="宋体"/>
          <w:sz w:val="28"/>
          <w:szCs w:val="36"/>
        </w:rPr>
        <w:t>-6  潘岱街道投标分项报价明细表</w:t>
      </w:r>
      <w:bookmarkEnd w:id="362"/>
    </w:p>
    <w:p>
      <w:pPr>
        <w:jc w:val="center"/>
        <w:rPr>
          <w:rFonts w:hint="eastAsia" w:ascii="宋体" w:hAnsi="宋体" w:cs="宋体"/>
          <w:b/>
          <w:bCs/>
          <w:sz w:val="22"/>
        </w:rPr>
      </w:pPr>
      <w:r>
        <w:rPr>
          <w:rFonts w:hint="eastAsia" w:ascii="宋体" w:hAnsi="宋体" w:cs="宋体"/>
          <w:b/>
          <w:bCs/>
          <w:sz w:val="22"/>
          <w:szCs w:val="22"/>
        </w:rPr>
        <w:t>（1）</w:t>
      </w:r>
      <w:r>
        <w:rPr>
          <w:rFonts w:hint="eastAsia" w:ascii="宋体" w:hAnsi="宋体" w:cs="宋体"/>
          <w:b/>
          <w:bCs/>
          <w:spacing w:val="-11"/>
          <w:sz w:val="22"/>
        </w:rPr>
        <w:t>潘岱街道道路公路、公园广场绿地、市政设施、城市家具、小广告、垃圾清运等部分明细报价表</w:t>
      </w:r>
    </w:p>
    <w:p>
      <w:pPr>
        <w:spacing w:line="24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劳动成本</w:t>
            </w:r>
          </w:p>
          <w:p>
            <w:pPr>
              <w:pStyle w:val="66"/>
              <w:spacing w:line="240" w:lineRule="exact"/>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机械设施（扫地车、冲洗车、洒水车、等）</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按投入机械、车辆、船只等具体数量分列，表格可以延续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4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4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4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4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4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4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4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4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highlight w:val="yellow"/>
              </w:rPr>
            </w:pPr>
            <w:r>
              <w:rPr>
                <w:rFonts w:hint="eastAsia" w:ascii="宋体" w:hAnsi="宋体" w:cs="宋体"/>
                <w:szCs w:val="21"/>
              </w:rPr>
              <w:t>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highlight w:val="yellow"/>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4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4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4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6.附件十二-6中</w:t>
      </w:r>
      <w:r>
        <w:rPr>
          <w:rFonts w:hint="eastAsia" w:ascii="宋体" w:hAnsi="宋体" w:cs="宋体"/>
          <w:sz w:val="22"/>
          <w:szCs w:val="22"/>
          <w:lang w:val="en-US" w:eastAsia="zh-CN"/>
        </w:rPr>
        <w:t>三</w:t>
      </w:r>
      <w:r>
        <w:rPr>
          <w:rFonts w:hint="eastAsia" w:ascii="宋体" w:hAnsi="宋体" w:cs="宋体"/>
          <w:sz w:val="22"/>
          <w:szCs w:val="22"/>
          <w:lang w:eastAsia="zh-CN"/>
        </w:rPr>
        <w:t>张报价明细表</w:t>
      </w:r>
      <w:r>
        <w:rPr>
          <w:rFonts w:hint="eastAsia" w:ascii="宋体" w:hAnsi="宋体" w:cs="宋体"/>
          <w:sz w:val="22"/>
          <w:szCs w:val="22"/>
        </w:rPr>
        <w:t>“三年总价（一年总价*3）”之和=附件十二-3中“三年总价（一年总价*3）”</w:t>
      </w:r>
    </w:p>
    <w:p>
      <w:pPr>
        <w:pStyle w:val="64"/>
        <w:rPr>
          <w:rFonts w:hint="eastAsia" w:ascii="宋体" w:hAnsi="宋体" w:cs="宋体"/>
        </w:rPr>
      </w:pP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spacing w:line="260" w:lineRule="exact"/>
        <w:jc w:val="center"/>
        <w:rPr>
          <w:rFonts w:hint="eastAsia" w:ascii="宋体" w:hAnsi="宋体" w:cs="宋体"/>
          <w:b/>
          <w:bCs/>
          <w:sz w:val="22"/>
          <w:szCs w:val="22"/>
        </w:rPr>
      </w:pPr>
      <w:r>
        <w:rPr>
          <w:rFonts w:hint="eastAsia" w:ascii="宋体" w:hAnsi="宋体" w:cs="宋体"/>
          <w:b/>
          <w:bCs/>
          <w:sz w:val="22"/>
          <w:szCs w:val="22"/>
          <w:highlight w:val="yellow"/>
        </w:rPr>
        <w:br w:type="page"/>
      </w:r>
      <w:r>
        <w:rPr>
          <w:rFonts w:hint="eastAsia" w:ascii="宋体" w:hAnsi="宋体" w:cs="宋体"/>
          <w:b/>
          <w:bCs/>
          <w:sz w:val="22"/>
          <w:szCs w:val="22"/>
        </w:rPr>
        <w:t>（2）</w:t>
      </w:r>
      <w:r>
        <w:rPr>
          <w:rFonts w:hint="eastAsia" w:ascii="宋体" w:hAnsi="宋体" w:cs="宋体"/>
          <w:b/>
          <w:bCs/>
          <w:spacing w:val="-11"/>
          <w:sz w:val="22"/>
        </w:rPr>
        <w:t>潘岱</w:t>
      </w:r>
      <w:r>
        <w:rPr>
          <w:rFonts w:hint="eastAsia" w:ascii="宋体" w:hAnsi="宋体" w:cs="宋体"/>
          <w:b/>
          <w:bCs/>
          <w:sz w:val="22"/>
          <w:szCs w:val="22"/>
        </w:rPr>
        <w:t>街道河道部分明细报价表</w:t>
      </w:r>
    </w:p>
    <w:p>
      <w:pPr>
        <w:spacing w:line="26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124"/>
        <w:gridCol w:w="370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pacing w:val="-20"/>
                <w:sz w:val="22"/>
              </w:rPr>
            </w:pPr>
            <w:r>
              <w:rPr>
                <w:rFonts w:hint="eastAsia" w:ascii="宋体" w:hAnsi="宋体" w:cs="宋体"/>
                <w:spacing w:val="-20"/>
                <w:sz w:val="22"/>
              </w:rPr>
              <w:t>月支出</w:t>
            </w:r>
          </w:p>
        </w:tc>
        <w:tc>
          <w:tcPr>
            <w:tcW w:w="1124" w:type="dxa"/>
            <w:tcBorders>
              <w:top w:val="single" w:color="auto" w:sz="18"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706" w:type="dxa"/>
            <w:tcBorders>
              <w:top w:val="single" w:color="auto" w:sz="18" w:space="0"/>
              <w:left w:val="single" w:color="auto" w:sz="6" w:space="0"/>
              <w:bottom w:val="single" w:color="auto" w:sz="6" w:space="0"/>
              <w:right w:val="single" w:color="auto" w:sz="18"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spacing w:line="260" w:lineRule="exact"/>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6"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3</w:t>
            </w:r>
          </w:p>
        </w:tc>
        <w:tc>
          <w:tcPr>
            <w:tcW w:w="1291" w:type="dxa"/>
            <w:vMerge w:val="restart"/>
            <w:tcBorders>
              <w:top w:val="single" w:color="auto" w:sz="4" w:space="0"/>
              <w:left w:val="single" w:color="auto" w:sz="4" w:space="0"/>
              <w:right w:val="single" w:color="auto" w:sz="4"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机械设施</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折旧费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restart"/>
            <w:tcBorders>
              <w:top w:val="single" w:color="auto" w:sz="6" w:space="0"/>
              <w:left w:val="single" w:color="auto" w:sz="6" w:space="0"/>
              <w:right w:val="single" w:color="auto" w:sz="18" w:space="0"/>
            </w:tcBorders>
            <w:noWrap w:val="0"/>
            <w:vAlign w:val="top"/>
          </w:tcPr>
          <w:p>
            <w:pPr>
              <w:spacing w:line="260" w:lineRule="exact"/>
              <w:rPr>
                <w:rFonts w:hint="eastAsia" w:ascii="宋体" w:hAnsi="宋体" w:cs="宋体"/>
                <w:szCs w:val="21"/>
              </w:rPr>
            </w:pPr>
            <w:r>
              <w:rPr>
                <w:rFonts w:hint="eastAsia" w:ascii="宋体" w:hAnsi="宋体" w:cs="宋体"/>
                <w:szCs w:val="21"/>
              </w:rPr>
              <w:t>按投入船只等具体数量分列，表格可以延续</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保养、修理费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保险费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油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水  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right w:val="single" w:color="auto" w:sz="18" w:space="0"/>
            </w:tcBorders>
            <w:noWrap w:val="0"/>
            <w:vAlign w:val="top"/>
          </w:tcPr>
          <w:p>
            <w:pPr>
              <w:spacing w:line="260" w:lineRule="exact"/>
              <w:rPr>
                <w:rFonts w:hint="eastAsia" w:ascii="宋体" w:hAnsi="宋体" w:cs="宋体"/>
                <w:spacing w:val="-20"/>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283" w:hRule="atLeast"/>
        </w:trPr>
        <w:tc>
          <w:tcPr>
            <w:tcW w:w="732" w:type="dxa"/>
            <w:vMerge w:val="continue"/>
            <w:tcBorders>
              <w:left w:val="single" w:color="auto" w:sz="18" w:space="0"/>
              <w:right w:val="single" w:color="auto" w:sz="4" w:space="0"/>
            </w:tcBorders>
            <w:noWrap w:val="0"/>
            <w:vAlign w:val="center"/>
          </w:tcPr>
          <w:p>
            <w:pPr>
              <w:spacing w:line="260" w:lineRule="exact"/>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spacing w:line="260" w:lineRule="exact"/>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耗  材</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vMerge w:val="continue"/>
            <w:tcBorders>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spacing w:line="260" w:lineRule="exact"/>
              <w:jc w:val="center"/>
              <w:rPr>
                <w:rFonts w:hint="eastAsia" w:ascii="宋体" w:hAnsi="宋体" w:cs="宋体"/>
                <w:bCs/>
                <w:sz w:val="22"/>
              </w:rPr>
            </w:pPr>
            <w:r>
              <w:rPr>
                <w:rFonts w:hint="eastAsia" w:ascii="宋体" w:hAnsi="宋体" w:cs="宋体"/>
                <w:bCs/>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b/>
                <w:bCs/>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spacing w:line="260" w:lineRule="exact"/>
              <w:jc w:val="center"/>
              <w:rPr>
                <w:rFonts w:hint="eastAsia" w:ascii="宋体" w:hAnsi="宋体" w:cs="宋体"/>
                <w:sz w:val="22"/>
              </w:rPr>
            </w:pPr>
            <w:r>
              <w:rPr>
                <w:rFonts w:hint="eastAsia" w:ascii="宋体" w:hAnsi="宋体" w:cs="宋体"/>
                <w:sz w:val="22"/>
              </w:rPr>
              <w:t>7</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zCs w:val="21"/>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spacing w:line="260" w:lineRule="exact"/>
              <w:rPr>
                <w:rFonts w:hint="eastAsia" w:ascii="宋体" w:hAnsi="宋体" w:cs="宋体"/>
                <w:spacing w:val="-20"/>
                <w:szCs w:val="21"/>
              </w:rPr>
            </w:pPr>
          </w:p>
        </w:tc>
        <w:tc>
          <w:tcPr>
            <w:tcW w:w="3706" w:type="dxa"/>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spacing w:line="260" w:lineRule="exact"/>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spacing w:line="260" w:lineRule="exact"/>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b/>
                <w:bCs/>
                <w:szCs w:val="21"/>
              </w:rPr>
            </w:pPr>
            <w:r>
              <w:rPr>
                <w:rFonts w:hint="eastAsia" w:ascii="宋体" w:hAnsi="宋体" w:cs="宋体"/>
                <w:szCs w:val="21"/>
              </w:rPr>
              <w:t>一年总价</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spacing w:line="260" w:lineRule="exact"/>
              <w:ind w:firstLine="420" w:firstLineChars="2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河道总面积（平方米）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r>
              <w:rPr>
                <w:rFonts w:hint="eastAsia" w:ascii="宋体" w:hAnsi="宋体" w:cs="宋体"/>
                <w:bCs/>
                <w:szCs w:val="21"/>
              </w:rPr>
              <w:t xml:space="preserve">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平均单价（元/平方米）</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spacing w:line="260" w:lineRule="exact"/>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spacing w:line="260" w:lineRule="exact"/>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spacing w:line="260" w:lineRule="exact"/>
              <w:ind w:firstLine="420" w:firstLineChars="200"/>
              <w:rPr>
                <w:rFonts w:hint="eastAsia" w:ascii="宋体" w:hAnsi="宋体" w:cs="宋体"/>
                <w:bCs/>
                <w:szCs w:val="21"/>
              </w:rPr>
            </w:pPr>
            <w:r>
              <w:rPr>
                <w:rFonts w:hint="eastAsia" w:ascii="宋体" w:hAnsi="宋体" w:cs="宋体"/>
                <w:bCs/>
                <w:szCs w:val="21"/>
              </w:rPr>
              <w:t>大写：</w:t>
            </w:r>
          </w:p>
        </w:tc>
      </w:tr>
    </w:tbl>
    <w:p>
      <w:pPr>
        <w:spacing w:line="24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4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4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4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40" w:lineRule="exact"/>
        <w:ind w:left="485" w:leftChars="231"/>
        <w:rPr>
          <w:rFonts w:hint="eastAsia" w:ascii="宋体" w:hAnsi="宋体" w:cs="宋体"/>
          <w:sz w:val="22"/>
          <w:szCs w:val="22"/>
        </w:rPr>
      </w:pPr>
      <w:r>
        <w:rPr>
          <w:rFonts w:hint="eastAsia" w:ascii="宋体" w:hAnsi="宋体" w:cs="宋体"/>
          <w:sz w:val="22"/>
          <w:szCs w:val="22"/>
        </w:rPr>
        <w:t>6.附件十二-6中</w:t>
      </w:r>
      <w:r>
        <w:rPr>
          <w:rFonts w:hint="eastAsia" w:ascii="宋体" w:hAnsi="宋体" w:cs="宋体"/>
          <w:sz w:val="22"/>
          <w:szCs w:val="22"/>
          <w:lang w:val="en-US" w:eastAsia="zh-CN"/>
        </w:rPr>
        <w:t>三</w:t>
      </w:r>
      <w:r>
        <w:rPr>
          <w:rFonts w:hint="eastAsia" w:ascii="宋体" w:hAnsi="宋体" w:cs="宋体"/>
          <w:sz w:val="22"/>
          <w:szCs w:val="22"/>
          <w:lang w:eastAsia="zh-CN"/>
        </w:rPr>
        <w:t>张报价明细表</w:t>
      </w:r>
      <w:r>
        <w:rPr>
          <w:rFonts w:hint="eastAsia" w:ascii="宋体" w:hAnsi="宋体" w:cs="宋体"/>
          <w:sz w:val="22"/>
          <w:szCs w:val="22"/>
        </w:rPr>
        <w:t>“三年总价（一年总价*3）”之和=附件十二-3中“三年总价（一年总价*3）”</w:t>
      </w:r>
    </w:p>
    <w:p>
      <w:pPr>
        <w:tabs>
          <w:tab w:val="left" w:pos="4635"/>
        </w:tabs>
        <w:spacing w:line="24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4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4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tabs>
          <w:tab w:val="left" w:pos="4635"/>
        </w:tabs>
        <w:spacing w:line="240" w:lineRule="exact"/>
        <w:ind w:left="3826" w:leftChars="1822"/>
        <w:rPr>
          <w:rFonts w:hint="eastAsia" w:ascii="宋体" w:hAnsi="宋体" w:cs="宋体"/>
          <w:sz w:val="28"/>
          <w:szCs w:val="36"/>
          <w:highlight w:val="yellow"/>
        </w:rPr>
      </w:pPr>
      <w:r>
        <w:rPr>
          <w:rFonts w:hint="eastAsia" w:ascii="宋体" w:hAnsi="宋体" w:cs="宋体"/>
        </w:rPr>
        <w:br w:type="page"/>
      </w:r>
    </w:p>
    <w:p>
      <w:pPr>
        <w:spacing w:line="270" w:lineRule="exact"/>
        <w:jc w:val="center"/>
        <w:rPr>
          <w:rFonts w:hint="eastAsia" w:ascii="宋体" w:hAnsi="宋体" w:cs="宋体"/>
          <w:b/>
          <w:bCs/>
          <w:sz w:val="22"/>
          <w:szCs w:val="22"/>
        </w:rPr>
      </w:pPr>
      <w:r>
        <w:rPr>
          <w:rFonts w:hint="eastAsia" w:ascii="宋体" w:hAnsi="宋体" w:cs="宋体"/>
          <w:b/>
          <w:bCs/>
          <w:sz w:val="22"/>
          <w:szCs w:val="22"/>
        </w:rPr>
        <w:t>(3)</w:t>
      </w:r>
      <w:r>
        <w:rPr>
          <w:rFonts w:hint="eastAsia" w:ascii="宋体" w:hAnsi="宋体" w:cs="宋体"/>
          <w:b/>
          <w:bCs/>
          <w:spacing w:val="-11"/>
          <w:sz w:val="22"/>
        </w:rPr>
        <w:t>潘岱</w:t>
      </w:r>
      <w:r>
        <w:rPr>
          <w:rFonts w:hint="eastAsia" w:ascii="宋体" w:hAnsi="宋体" w:cs="宋体"/>
          <w:b/>
          <w:bCs/>
          <w:sz w:val="22"/>
          <w:szCs w:val="22"/>
        </w:rPr>
        <w:t>街道公厕明细报价表</w:t>
      </w:r>
    </w:p>
    <w:p>
      <w:pPr>
        <w:spacing w:line="280" w:lineRule="exact"/>
        <w:rPr>
          <w:rFonts w:hint="eastAsia" w:ascii="宋体" w:hAnsi="宋体" w:cs="宋体"/>
          <w:szCs w:val="21"/>
        </w:rPr>
      </w:pPr>
      <w:r>
        <w:rPr>
          <w:rFonts w:hint="eastAsia" w:ascii="宋体" w:hAnsi="宋体" w:cs="宋体"/>
          <w:b/>
          <w:szCs w:val="21"/>
        </w:rPr>
        <w:t xml:space="preserve">项目名称：                        项目编号：              </w:t>
      </w:r>
      <w:r>
        <w:rPr>
          <w:rFonts w:hint="eastAsia" w:ascii="宋体" w:hAnsi="宋体" w:cs="宋体"/>
          <w:szCs w:val="21"/>
        </w:rPr>
        <w:t>【价格单位：元】</w:t>
      </w:r>
    </w:p>
    <w:tbl>
      <w:tblPr>
        <w:tblStyle w:val="29"/>
        <w:tblW w:w="0" w:type="auto"/>
        <w:tblInd w:w="-72"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2"/>
        <w:gridCol w:w="1291"/>
        <w:gridCol w:w="1517"/>
        <w:gridCol w:w="1470"/>
        <w:gridCol w:w="1365"/>
        <w:gridCol w:w="3465"/>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2" w:type="dxa"/>
            <w:tcBorders>
              <w:top w:val="single" w:color="auto" w:sz="18" w:space="0"/>
              <w:left w:val="single" w:color="auto" w:sz="18" w:space="0"/>
              <w:bottom w:val="single" w:color="auto" w:sz="6"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序号</w:t>
            </w:r>
          </w:p>
        </w:tc>
        <w:tc>
          <w:tcPr>
            <w:tcW w:w="2808" w:type="dxa"/>
            <w:gridSpan w:val="2"/>
            <w:tcBorders>
              <w:top w:val="single" w:color="auto" w:sz="18" w:space="0"/>
              <w:left w:val="single" w:color="auto" w:sz="4"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sz w:val="22"/>
              </w:rPr>
              <w:t>项目</w:t>
            </w:r>
          </w:p>
        </w:tc>
        <w:tc>
          <w:tcPr>
            <w:tcW w:w="1470"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pacing w:val="-20"/>
                <w:sz w:val="22"/>
              </w:rPr>
            </w:pPr>
            <w:r>
              <w:rPr>
                <w:rFonts w:hint="eastAsia" w:ascii="宋体" w:hAnsi="宋体" w:cs="宋体"/>
                <w:spacing w:val="-20"/>
                <w:sz w:val="22"/>
              </w:rPr>
              <w:t>月支出</w:t>
            </w:r>
          </w:p>
        </w:tc>
        <w:tc>
          <w:tcPr>
            <w:tcW w:w="1365" w:type="dxa"/>
            <w:tcBorders>
              <w:top w:val="single" w:color="auto" w:sz="18" w:space="0"/>
              <w:left w:val="single" w:color="auto" w:sz="6" w:space="0"/>
              <w:bottom w:val="single" w:color="auto" w:sz="6" w:space="0"/>
              <w:right w:val="single" w:color="auto" w:sz="6" w:space="0"/>
            </w:tcBorders>
            <w:noWrap w:val="0"/>
            <w:vAlign w:val="center"/>
          </w:tcPr>
          <w:p>
            <w:pPr>
              <w:jc w:val="center"/>
              <w:rPr>
                <w:rFonts w:hint="eastAsia" w:ascii="宋体" w:hAnsi="宋体" w:cs="宋体"/>
                <w:sz w:val="22"/>
              </w:rPr>
            </w:pPr>
            <w:r>
              <w:rPr>
                <w:rFonts w:hint="eastAsia" w:ascii="宋体" w:hAnsi="宋体" w:cs="宋体"/>
                <w:b/>
                <w:sz w:val="22"/>
              </w:rPr>
              <w:t>一年</w:t>
            </w:r>
            <w:r>
              <w:rPr>
                <w:rFonts w:hint="eastAsia" w:ascii="宋体" w:hAnsi="宋体" w:cs="宋体"/>
                <w:sz w:val="22"/>
              </w:rPr>
              <w:t>支出</w:t>
            </w:r>
          </w:p>
        </w:tc>
        <w:tc>
          <w:tcPr>
            <w:tcW w:w="3465" w:type="dxa"/>
            <w:tcBorders>
              <w:top w:val="single" w:color="auto" w:sz="18" w:space="0"/>
              <w:left w:val="single" w:color="auto" w:sz="6" w:space="0"/>
              <w:bottom w:val="single" w:color="auto" w:sz="6" w:space="0"/>
              <w:right w:val="single" w:color="auto" w:sz="18" w:space="0"/>
            </w:tcBorders>
            <w:noWrap w:val="0"/>
            <w:vAlign w:val="center"/>
          </w:tcPr>
          <w:p>
            <w:pPr>
              <w:jc w:val="center"/>
              <w:rPr>
                <w:rFonts w:hint="eastAsia" w:ascii="宋体" w:hAnsi="宋体" w:cs="宋体"/>
                <w:sz w:val="22"/>
              </w:rPr>
            </w:pPr>
            <w:r>
              <w:rPr>
                <w:rFonts w:hint="eastAsia" w:ascii="宋体" w:hAnsi="宋体" w:cs="宋体"/>
                <w:sz w:val="22"/>
              </w:rPr>
              <w:t>说明</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1</w:t>
            </w:r>
          </w:p>
        </w:tc>
        <w:tc>
          <w:tcPr>
            <w:tcW w:w="1291" w:type="dxa"/>
            <w:vMerge w:val="restart"/>
            <w:tcBorders>
              <w:left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rPr>
              <w:t>劳动成本</w:t>
            </w:r>
          </w:p>
          <w:p>
            <w:pPr>
              <w:pStyle w:val="66"/>
              <w:ind w:left="0" w:firstLine="0"/>
              <w:rPr>
                <w:rFonts w:hint="eastAsia" w:hAnsi="宋体" w:cs="宋体"/>
              </w:rPr>
            </w:pPr>
            <w:r>
              <w:rPr>
                <w:rFonts w:hint="eastAsia" w:hAnsi="宋体" w:cs="宋体"/>
                <w:szCs w:val="21"/>
                <w:u w:val="single"/>
              </w:rPr>
              <w:t>（   人）</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人员工资</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b/>
                <w:szCs w:val="21"/>
                <w:u w:val="single"/>
              </w:rPr>
            </w:pPr>
            <w:r>
              <w:rPr>
                <w:rFonts w:hint="eastAsia" w:ascii="宋体" w:hAnsi="宋体" w:cs="宋体"/>
                <w:b/>
                <w:sz w:val="22"/>
              </w:rPr>
              <w:t>▲</w:t>
            </w:r>
            <w:r>
              <w:rPr>
                <w:rFonts w:hint="eastAsia" w:ascii="宋体" w:hAnsi="宋体" w:cs="宋体"/>
                <w:b/>
                <w:szCs w:val="21"/>
                <w:u w:val="single"/>
              </w:rPr>
              <w:t>月工资收入不低于瑞安市本年最低工资标准120%</w:t>
            </w:r>
          </w:p>
          <w:p>
            <w:pPr>
              <w:spacing w:line="240" w:lineRule="exact"/>
              <w:rPr>
                <w:rFonts w:hint="eastAsia" w:ascii="宋体" w:hAnsi="宋体" w:cs="宋体"/>
                <w:szCs w:val="21"/>
              </w:rPr>
            </w:pPr>
            <w:r>
              <w:rPr>
                <w:rFonts w:hint="eastAsia" w:ascii="宋体" w:hAnsi="宋体" w:cs="宋体"/>
                <w:b/>
                <w:sz w:val="22"/>
              </w:rPr>
              <w:t>▲特殊岗位津贴发放标准按10元/每人/每出勤日</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加班费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szCs w:val="21"/>
              </w:rPr>
              <w:t xml:space="preserve">法定节假日按全员全年11天计算 </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高温费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▲高温补贴共4个月（六、七、八、九共四月，逐月发放，</w:t>
            </w:r>
            <w:r>
              <w:rPr>
                <w:rFonts w:hint="eastAsia" w:ascii="宋体" w:hAnsi="宋体" w:cs="宋体"/>
                <w:b/>
                <w:bCs/>
                <w:szCs w:val="21"/>
              </w:rPr>
              <w:t>一线现场服务人员</w:t>
            </w:r>
            <w:r>
              <w:rPr>
                <w:rFonts w:hint="eastAsia" w:ascii="宋体" w:hAnsi="宋体" w:cs="宋体"/>
                <w:b/>
                <w:sz w:val="22"/>
              </w:rPr>
              <w:t>每人每月不低于300元人民币）按相关规定发放</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各类保险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spacing w:line="240" w:lineRule="exact"/>
              <w:rPr>
                <w:rFonts w:hint="eastAsia" w:ascii="宋体" w:hAnsi="宋体" w:cs="宋体"/>
                <w:szCs w:val="21"/>
              </w:rPr>
            </w:pPr>
            <w:r>
              <w:rPr>
                <w:rFonts w:hint="eastAsia" w:ascii="宋体" w:hAnsi="宋体" w:cs="宋体"/>
                <w:b/>
                <w:sz w:val="22"/>
              </w:rPr>
              <w:t>▲</w:t>
            </w:r>
            <w:r>
              <w:rPr>
                <w:rFonts w:hint="eastAsia" w:ascii="宋体" w:hAnsi="宋体" w:cs="宋体"/>
                <w:b/>
                <w:szCs w:val="21"/>
              </w:rPr>
              <w:t>包括社保、意外保险费，其中一线现场服务人员社保缴纳人数不得低于一线现场服务人员总数的30%</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人员福利</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包括过节费、奖金</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restart"/>
            <w:tcBorders>
              <w:top w:val="single" w:color="auto" w:sz="4" w:space="0"/>
              <w:left w:val="single" w:color="auto" w:sz="18"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2</w:t>
            </w:r>
          </w:p>
        </w:tc>
        <w:tc>
          <w:tcPr>
            <w:tcW w:w="1291"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生产费用</w:t>
            </w: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劳保用品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工作服、雨衣、雨鞋等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生产工具</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三轮车、快速保洁车、管理用车</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耗材用品</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r>
              <w:rPr>
                <w:rFonts w:hint="eastAsia" w:ascii="宋体" w:hAnsi="宋体" w:cs="宋体"/>
                <w:szCs w:val="21"/>
              </w:rPr>
              <w:t>扫帚、畚箕、铁锹等</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修理费用</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68" w:hRule="atLeast"/>
        </w:trPr>
        <w:tc>
          <w:tcPr>
            <w:tcW w:w="732" w:type="dxa"/>
            <w:vMerge w:val="continue"/>
            <w:tcBorders>
              <w:left w:val="single" w:color="auto" w:sz="18" w:space="0"/>
              <w:right w:val="single" w:color="auto" w:sz="4" w:space="0"/>
            </w:tcBorders>
            <w:noWrap w:val="0"/>
            <w:vAlign w:val="center"/>
          </w:tcPr>
          <w:p>
            <w:pPr>
              <w:jc w:val="center"/>
              <w:rPr>
                <w:rFonts w:hint="eastAsia" w:ascii="宋体" w:hAnsi="宋体" w:cs="宋体"/>
                <w:sz w:val="22"/>
              </w:rPr>
            </w:pPr>
          </w:p>
        </w:tc>
        <w:tc>
          <w:tcPr>
            <w:tcW w:w="1291"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1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住房租金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3</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经营管理费</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732" w:type="dxa"/>
            <w:tcBorders>
              <w:top w:val="single" w:color="auto" w:sz="6" w:space="0"/>
              <w:left w:val="single" w:color="auto" w:sz="18" w:space="0"/>
              <w:bottom w:val="single" w:color="auto" w:sz="6" w:space="0"/>
              <w:right w:val="single" w:color="auto" w:sz="4" w:space="0"/>
            </w:tcBorders>
            <w:noWrap w:val="0"/>
            <w:vAlign w:val="center"/>
          </w:tcPr>
          <w:p>
            <w:pPr>
              <w:jc w:val="center"/>
              <w:rPr>
                <w:rFonts w:hint="eastAsia" w:ascii="宋体" w:hAnsi="宋体" w:cs="宋体"/>
                <w:bCs/>
                <w:sz w:val="22"/>
              </w:rPr>
            </w:pPr>
            <w:r>
              <w:rPr>
                <w:rFonts w:hint="eastAsia" w:ascii="宋体" w:hAnsi="宋体" w:cs="宋体"/>
                <w:bCs/>
                <w:sz w:val="22"/>
              </w:rPr>
              <w:t>4</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利润</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b/>
                <w:bCs/>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5</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bCs/>
                <w:szCs w:val="21"/>
              </w:rPr>
            </w:pPr>
            <w:r>
              <w:rPr>
                <w:rFonts w:hint="eastAsia" w:ascii="宋体" w:hAnsi="宋体" w:cs="宋体"/>
                <w:bCs/>
                <w:szCs w:val="21"/>
              </w:rPr>
              <w:t>税金</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331" w:hRule="atLeast"/>
        </w:trPr>
        <w:tc>
          <w:tcPr>
            <w:tcW w:w="732"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宋体" w:hAnsi="宋体" w:cs="宋体"/>
                <w:sz w:val="22"/>
              </w:rPr>
            </w:pPr>
            <w:r>
              <w:rPr>
                <w:rFonts w:hint="eastAsia" w:ascii="宋体" w:hAnsi="宋体" w:cs="宋体"/>
                <w:sz w:val="22"/>
              </w:rPr>
              <w:t>6</w:t>
            </w:r>
          </w:p>
        </w:tc>
        <w:tc>
          <w:tcPr>
            <w:tcW w:w="2808"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宋体" w:hAnsi="宋体" w:cs="宋体"/>
                <w:szCs w:val="21"/>
              </w:rPr>
            </w:pPr>
            <w:r>
              <w:rPr>
                <w:rFonts w:hint="eastAsia" w:ascii="宋体" w:hAnsi="宋体" w:cs="宋体"/>
                <w:bCs/>
                <w:szCs w:val="21"/>
              </w:rPr>
              <w:t>其他</w:t>
            </w:r>
          </w:p>
        </w:tc>
        <w:tc>
          <w:tcPr>
            <w:tcW w:w="1470"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zCs w:val="21"/>
              </w:rPr>
            </w:pPr>
          </w:p>
        </w:tc>
        <w:tc>
          <w:tcPr>
            <w:tcW w:w="1365" w:type="dxa"/>
            <w:tcBorders>
              <w:top w:val="single" w:color="auto" w:sz="6" w:space="0"/>
              <w:left w:val="single" w:color="auto" w:sz="6" w:space="0"/>
              <w:bottom w:val="single" w:color="auto" w:sz="6" w:space="0"/>
              <w:right w:val="single" w:color="auto" w:sz="6" w:space="0"/>
            </w:tcBorders>
            <w:noWrap w:val="0"/>
            <w:vAlign w:val="top"/>
          </w:tcPr>
          <w:p>
            <w:pPr>
              <w:rPr>
                <w:rFonts w:hint="eastAsia" w:ascii="宋体" w:hAnsi="宋体" w:cs="宋体"/>
                <w:spacing w:val="-20"/>
                <w:szCs w:val="21"/>
              </w:rPr>
            </w:pPr>
          </w:p>
        </w:tc>
        <w:tc>
          <w:tcPr>
            <w:tcW w:w="3465" w:type="dxa"/>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6" w:space="0"/>
              <w:left w:val="single" w:color="auto" w:sz="18" w:space="0"/>
              <w:bottom w:val="single" w:color="auto" w:sz="6" w:space="0"/>
              <w:right w:val="single" w:color="auto" w:sz="6" w:space="0"/>
            </w:tcBorders>
            <w:noWrap w:val="0"/>
            <w:vAlign w:val="center"/>
          </w:tcPr>
          <w:p>
            <w:pPr>
              <w:ind w:firstLine="934" w:firstLineChars="445"/>
              <w:jc w:val="center"/>
              <w:rPr>
                <w:rFonts w:hint="eastAsia" w:ascii="宋体" w:hAnsi="宋体" w:cs="宋体"/>
                <w:bCs/>
                <w:szCs w:val="21"/>
              </w:rPr>
            </w:pPr>
            <w:r>
              <w:rPr>
                <w:rFonts w:hint="eastAsia" w:ascii="宋体" w:hAnsi="宋体" w:cs="宋体"/>
                <w:bCs/>
                <w:szCs w:val="21"/>
              </w:rPr>
              <w:t>合   计</w:t>
            </w:r>
          </w:p>
        </w:tc>
        <w:tc>
          <w:tcPr>
            <w:tcW w:w="6300" w:type="dxa"/>
            <w:gridSpan w:val="3"/>
            <w:tcBorders>
              <w:top w:val="single" w:color="auto" w:sz="6" w:space="0"/>
              <w:left w:val="single" w:color="auto" w:sz="6" w:space="0"/>
              <w:bottom w:val="single" w:color="auto" w:sz="6" w:space="0"/>
              <w:right w:val="single" w:color="auto" w:sz="18" w:space="0"/>
            </w:tcBorders>
            <w:noWrap w:val="0"/>
            <w:vAlign w:val="top"/>
          </w:tcPr>
          <w:p>
            <w:pPr>
              <w:rPr>
                <w:rFonts w:hint="eastAsia" w:ascii="宋体" w:hAnsi="宋体" w:cs="宋体"/>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left w:val="single" w:color="auto" w:sz="18" w:space="0"/>
              <w:bottom w:val="single" w:color="auto" w:sz="4" w:space="0"/>
              <w:right w:val="single" w:color="auto" w:sz="6" w:space="0"/>
            </w:tcBorders>
            <w:noWrap w:val="0"/>
            <w:vAlign w:val="center"/>
          </w:tcPr>
          <w:p>
            <w:pPr>
              <w:jc w:val="center"/>
              <w:rPr>
                <w:rFonts w:hint="eastAsia" w:ascii="宋体" w:hAnsi="宋体" w:cs="宋体"/>
                <w:b/>
                <w:bCs/>
                <w:szCs w:val="21"/>
              </w:rPr>
            </w:pPr>
            <w:r>
              <w:rPr>
                <w:rFonts w:hint="eastAsia" w:ascii="宋体" w:hAnsi="宋体" w:cs="宋体"/>
                <w:szCs w:val="21"/>
              </w:rPr>
              <w:t>一年总价（</w:t>
            </w:r>
            <w:r>
              <w:rPr>
                <w:rFonts w:hint="eastAsia" w:ascii="宋体" w:hAnsi="宋体" w:cs="宋体"/>
                <w:b/>
                <w:sz w:val="22"/>
              </w:rPr>
              <w:t>按一年</w:t>
            </w:r>
            <w:r>
              <w:rPr>
                <w:rFonts w:hint="eastAsia" w:ascii="宋体" w:hAnsi="宋体" w:cs="宋体"/>
                <w:szCs w:val="21"/>
              </w:rPr>
              <w:t>）</w:t>
            </w:r>
          </w:p>
        </w:tc>
        <w:tc>
          <w:tcPr>
            <w:tcW w:w="6300" w:type="dxa"/>
            <w:gridSpan w:val="3"/>
            <w:tcBorders>
              <w:top w:val="single" w:color="auto" w:sz="6" w:space="0"/>
              <w:left w:val="single" w:color="auto" w:sz="6" w:space="0"/>
              <w:bottom w:val="single" w:color="auto" w:sz="4" w:space="0"/>
              <w:right w:val="single" w:color="auto" w:sz="18" w:space="0"/>
            </w:tcBorders>
            <w:noWrap w:val="0"/>
            <w:vAlign w:val="top"/>
          </w:tcPr>
          <w:p>
            <w:pPr>
              <w:ind w:firstLine="210" w:firstLineChars="100"/>
              <w:rPr>
                <w:rFonts w:hint="eastAsia" w:ascii="宋体" w:hAnsi="宋体" w:cs="宋体"/>
                <w:szCs w:val="21"/>
              </w:rPr>
            </w:pPr>
            <w:r>
              <w:rPr>
                <w:rFonts w:hint="eastAsia" w:ascii="宋体" w:hAnsi="宋体" w:cs="宋体"/>
                <w:bCs/>
                <w:szCs w:val="21"/>
              </w:rPr>
              <w:t>大写：</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highlight w:val="yellow"/>
              </w:rPr>
            </w:pPr>
            <w:r>
              <w:rPr>
                <w:rFonts w:hint="eastAsia" w:ascii="宋体" w:hAnsi="宋体" w:cs="宋体"/>
                <w:szCs w:val="21"/>
              </w:rPr>
              <w:t>总数量</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highlight w:val="yellow"/>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4"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平均单价（元/每座公厕）</w:t>
            </w:r>
          </w:p>
        </w:tc>
        <w:tc>
          <w:tcPr>
            <w:tcW w:w="6300" w:type="dxa"/>
            <w:gridSpan w:val="3"/>
            <w:tcBorders>
              <w:top w:val="single" w:color="auto" w:sz="4" w:space="0"/>
              <w:left w:val="single" w:color="auto" w:sz="6" w:space="0"/>
              <w:bottom w:val="single" w:color="auto" w:sz="4" w:space="0"/>
              <w:right w:val="single" w:color="auto" w:sz="18" w:space="0"/>
            </w:tcBorders>
            <w:noWrap w:val="0"/>
            <w:vAlign w:val="top"/>
          </w:tcPr>
          <w:p>
            <w:pPr>
              <w:rPr>
                <w:rFonts w:hint="eastAsia" w:ascii="宋体" w:hAnsi="宋体" w:cs="宋体"/>
                <w:bCs/>
                <w:szCs w:val="21"/>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3540" w:type="dxa"/>
            <w:gridSpan w:val="3"/>
            <w:tcBorders>
              <w:top w:val="single" w:color="auto" w:sz="4" w:space="0"/>
              <w:left w:val="single" w:color="auto" w:sz="18" w:space="0"/>
              <w:bottom w:val="single" w:color="auto" w:sz="12" w:space="0"/>
              <w:right w:val="single" w:color="auto" w:sz="6" w:space="0"/>
            </w:tcBorders>
            <w:noWrap w:val="0"/>
            <w:vAlign w:val="center"/>
          </w:tcPr>
          <w:p>
            <w:pPr>
              <w:jc w:val="center"/>
              <w:rPr>
                <w:rFonts w:hint="eastAsia" w:ascii="宋体" w:hAnsi="宋体" w:cs="宋体"/>
                <w:szCs w:val="21"/>
              </w:rPr>
            </w:pPr>
            <w:r>
              <w:rPr>
                <w:rFonts w:hint="eastAsia" w:ascii="宋体" w:hAnsi="宋体" w:cs="宋体"/>
                <w:szCs w:val="21"/>
              </w:rPr>
              <w:t>三年总价（一年总价*3）</w:t>
            </w:r>
          </w:p>
        </w:tc>
        <w:tc>
          <w:tcPr>
            <w:tcW w:w="6300" w:type="dxa"/>
            <w:gridSpan w:val="3"/>
            <w:tcBorders>
              <w:top w:val="single" w:color="auto" w:sz="4" w:space="0"/>
              <w:left w:val="single" w:color="auto" w:sz="6" w:space="0"/>
              <w:bottom w:val="single" w:color="auto" w:sz="12" w:space="0"/>
              <w:right w:val="single" w:color="auto" w:sz="18" w:space="0"/>
            </w:tcBorders>
            <w:noWrap w:val="0"/>
            <w:vAlign w:val="top"/>
          </w:tcPr>
          <w:p>
            <w:pPr>
              <w:ind w:firstLine="210" w:firstLineChars="100"/>
              <w:rPr>
                <w:rFonts w:hint="eastAsia" w:ascii="宋体" w:hAnsi="宋体" w:cs="宋体"/>
                <w:bCs/>
                <w:szCs w:val="21"/>
              </w:rPr>
            </w:pPr>
            <w:r>
              <w:rPr>
                <w:rFonts w:hint="eastAsia" w:ascii="宋体" w:hAnsi="宋体" w:cs="宋体"/>
                <w:bCs/>
                <w:szCs w:val="21"/>
              </w:rPr>
              <w:t>大写：</w:t>
            </w:r>
          </w:p>
        </w:tc>
      </w:tr>
    </w:tbl>
    <w:p>
      <w:pPr>
        <w:spacing w:line="270" w:lineRule="exact"/>
        <w:ind w:left="424" w:leftChars="-1" w:hanging="426" w:hangingChars="194"/>
        <w:rPr>
          <w:rFonts w:hint="eastAsia" w:ascii="宋体" w:hAnsi="宋体" w:cs="宋体"/>
          <w:sz w:val="22"/>
          <w:szCs w:val="22"/>
        </w:rPr>
      </w:pPr>
      <w:r>
        <w:rPr>
          <w:rFonts w:hint="eastAsia" w:ascii="宋体" w:hAnsi="宋体" w:cs="宋体"/>
          <w:sz w:val="22"/>
          <w:szCs w:val="22"/>
        </w:rPr>
        <w:t>注：1.本表所列费用为该分项的全部费用，未列费用均为综合考虑。</w:t>
      </w:r>
    </w:p>
    <w:p>
      <w:pPr>
        <w:spacing w:line="270" w:lineRule="exact"/>
        <w:ind w:left="485" w:leftChars="231"/>
        <w:rPr>
          <w:rFonts w:hint="eastAsia" w:ascii="宋体" w:hAnsi="宋体" w:cs="宋体"/>
          <w:sz w:val="22"/>
          <w:szCs w:val="22"/>
        </w:rPr>
      </w:pPr>
      <w:r>
        <w:rPr>
          <w:rFonts w:hint="eastAsia" w:ascii="宋体" w:hAnsi="宋体" w:cs="宋体"/>
          <w:sz w:val="22"/>
          <w:szCs w:val="22"/>
        </w:rPr>
        <w:t>2.不提供此表的报价，视为没有实质性响应招标文件要求。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3.报价低于本表规定的，视为没有实质性响应招标文件要求。</w:t>
      </w:r>
    </w:p>
    <w:p>
      <w:pPr>
        <w:spacing w:line="270" w:lineRule="exact"/>
        <w:ind w:left="485" w:leftChars="231"/>
        <w:rPr>
          <w:rFonts w:hint="eastAsia" w:ascii="宋体" w:hAnsi="宋体" w:cs="宋体"/>
          <w:sz w:val="22"/>
        </w:rPr>
      </w:pPr>
      <w:r>
        <w:rPr>
          <w:rFonts w:hint="eastAsia" w:ascii="宋体" w:hAnsi="宋体" w:cs="宋体"/>
          <w:sz w:val="22"/>
          <w:szCs w:val="22"/>
        </w:rPr>
        <w:t>4.</w:t>
      </w:r>
      <w:r>
        <w:rPr>
          <w:rFonts w:hint="eastAsia" w:ascii="宋体" w:hAnsi="宋体" w:cs="宋体"/>
          <w:sz w:val="22"/>
        </w:rPr>
        <w:t>本表可在不改变格式的情况下根据具体需要自行增减。</w:t>
      </w:r>
    </w:p>
    <w:p>
      <w:pPr>
        <w:spacing w:line="270" w:lineRule="exact"/>
        <w:ind w:left="485" w:leftChars="231"/>
        <w:rPr>
          <w:rFonts w:hint="eastAsia" w:ascii="宋体" w:hAnsi="宋体" w:cs="宋体"/>
          <w:sz w:val="22"/>
          <w:szCs w:val="22"/>
        </w:rPr>
      </w:pPr>
      <w:r>
        <w:rPr>
          <w:rFonts w:hint="eastAsia" w:ascii="宋体" w:hAnsi="宋体" w:cs="宋体"/>
          <w:sz w:val="22"/>
        </w:rPr>
        <w:t>5.</w:t>
      </w:r>
      <w:r>
        <w:rPr>
          <w:rFonts w:hint="eastAsia" w:ascii="宋体" w:hAnsi="宋体" w:cs="宋体"/>
          <w:sz w:val="22"/>
          <w:szCs w:val="22"/>
        </w:rPr>
        <w:t>本表中劳动成本（   人）与岗位员工配置计划表中对应人数不一致，视为没有实质性响应招标文件要求。</w:t>
      </w:r>
    </w:p>
    <w:p>
      <w:pPr>
        <w:spacing w:line="270" w:lineRule="exact"/>
        <w:ind w:left="485" w:leftChars="231"/>
        <w:rPr>
          <w:rFonts w:hint="eastAsia" w:ascii="宋体" w:hAnsi="宋体" w:cs="宋体"/>
          <w:sz w:val="22"/>
          <w:szCs w:val="22"/>
        </w:rPr>
      </w:pPr>
      <w:r>
        <w:rPr>
          <w:rFonts w:hint="eastAsia" w:ascii="宋体" w:hAnsi="宋体" w:cs="宋体"/>
          <w:sz w:val="22"/>
          <w:szCs w:val="22"/>
        </w:rPr>
        <w:t>6.附件十二-6中</w:t>
      </w:r>
      <w:r>
        <w:rPr>
          <w:rFonts w:hint="eastAsia" w:ascii="宋体" w:hAnsi="宋体" w:cs="宋体"/>
          <w:sz w:val="22"/>
          <w:szCs w:val="22"/>
          <w:lang w:val="en-US" w:eastAsia="zh-CN"/>
        </w:rPr>
        <w:t>三</w:t>
      </w:r>
      <w:r>
        <w:rPr>
          <w:rFonts w:hint="eastAsia" w:ascii="宋体" w:hAnsi="宋体" w:cs="宋体"/>
          <w:sz w:val="22"/>
          <w:szCs w:val="22"/>
          <w:lang w:eastAsia="zh-CN"/>
        </w:rPr>
        <w:t>张报价明细表</w:t>
      </w:r>
      <w:r>
        <w:rPr>
          <w:rFonts w:hint="eastAsia" w:ascii="宋体" w:hAnsi="宋体" w:cs="宋体"/>
          <w:sz w:val="22"/>
          <w:szCs w:val="22"/>
        </w:rPr>
        <w:t>“三年总价（一年总价*3）”之和=附件十二-3中“三年总价（一年总价*3）”</w:t>
      </w:r>
    </w:p>
    <w:p>
      <w:pPr>
        <w:tabs>
          <w:tab w:val="left" w:pos="4635"/>
        </w:tabs>
        <w:spacing w:line="270" w:lineRule="exact"/>
        <w:ind w:left="3826" w:leftChars="1822" w:right="840"/>
        <w:rPr>
          <w:rFonts w:hint="eastAsia" w:ascii="宋体" w:hAnsi="宋体" w:cs="宋体"/>
        </w:rPr>
      </w:pPr>
    </w:p>
    <w:p>
      <w:pPr>
        <w:tabs>
          <w:tab w:val="left" w:pos="4635"/>
        </w:tabs>
        <w:spacing w:line="270" w:lineRule="exact"/>
        <w:ind w:left="3826" w:leftChars="1822" w:right="840"/>
        <w:rPr>
          <w:rFonts w:hint="eastAsia" w:ascii="宋体" w:hAnsi="宋体" w:cs="宋体"/>
        </w:rPr>
      </w:pPr>
      <w:r>
        <w:rPr>
          <w:rFonts w:hint="eastAsia" w:ascii="宋体" w:hAnsi="宋体" w:cs="宋体"/>
        </w:rPr>
        <w:t>投标供应商全称（公章）：</w:t>
      </w:r>
    </w:p>
    <w:p>
      <w:pPr>
        <w:tabs>
          <w:tab w:val="left" w:pos="4635"/>
        </w:tabs>
        <w:spacing w:line="270" w:lineRule="exact"/>
        <w:ind w:left="3826" w:leftChars="1822"/>
        <w:rPr>
          <w:rFonts w:hint="eastAsia" w:ascii="宋体" w:hAnsi="宋体" w:cs="宋体"/>
        </w:rPr>
      </w:pPr>
      <w:r>
        <w:rPr>
          <w:rFonts w:hint="eastAsia" w:ascii="宋体" w:hAnsi="宋体" w:cs="宋体"/>
        </w:rPr>
        <w:t>法定代表人或授权代表（签字或盖章）：</w:t>
      </w:r>
    </w:p>
    <w:p>
      <w:pPr>
        <w:tabs>
          <w:tab w:val="left" w:pos="4635"/>
        </w:tabs>
        <w:spacing w:line="270" w:lineRule="exact"/>
        <w:ind w:left="3826" w:leftChars="1822"/>
        <w:rPr>
          <w:rFonts w:hint="eastAsia" w:ascii="宋体" w:hAnsi="宋体" w:cs="宋体"/>
        </w:rPr>
      </w:pPr>
      <w:r>
        <w:rPr>
          <w:rFonts w:hint="eastAsia" w:ascii="宋体" w:hAnsi="宋体" w:cs="宋体"/>
          <w:szCs w:val="22"/>
        </w:rPr>
        <w:t xml:space="preserve">日      </w:t>
      </w:r>
      <w:r>
        <w:rPr>
          <w:rFonts w:hint="eastAsia" w:ascii="宋体" w:hAnsi="宋体" w:cs="宋体"/>
        </w:rPr>
        <w:t>期：</w:t>
      </w:r>
    </w:p>
    <w:p>
      <w:pPr>
        <w:tabs>
          <w:tab w:val="left" w:pos="4635"/>
        </w:tabs>
        <w:jc w:val="center"/>
        <w:outlineLvl w:val="1"/>
        <w:rPr>
          <w:rFonts w:hint="eastAsia" w:ascii="宋体" w:hAnsi="宋体" w:cs="宋体"/>
          <w:b/>
          <w:bCs/>
          <w:sz w:val="28"/>
          <w:szCs w:val="36"/>
        </w:rPr>
      </w:pPr>
      <w:r>
        <w:rPr>
          <w:rFonts w:hint="eastAsia" w:ascii="宋体" w:hAnsi="宋体" w:cs="宋体"/>
        </w:rPr>
        <w:br w:type="page"/>
      </w:r>
      <w:bookmarkStart w:id="363" w:name="_Toc7793"/>
      <w:r>
        <w:rPr>
          <w:rFonts w:hint="eastAsia" w:ascii="宋体" w:hAnsi="宋体" w:cs="宋体"/>
          <w:b/>
          <w:bCs/>
          <w:sz w:val="28"/>
          <w:szCs w:val="36"/>
        </w:rPr>
        <w:t xml:space="preserve">附件十三  </w:t>
      </w:r>
      <w:bookmarkEnd w:id="348"/>
      <w:bookmarkEnd w:id="349"/>
      <w:r>
        <w:rPr>
          <w:rFonts w:hint="eastAsia" w:ascii="宋体" w:hAnsi="宋体" w:cs="宋体"/>
          <w:b/>
          <w:bCs/>
          <w:sz w:val="28"/>
          <w:szCs w:val="36"/>
        </w:rPr>
        <w:t>中小企业声明函（工程、服务）</w:t>
      </w:r>
      <w:bookmarkEnd w:id="363"/>
    </w:p>
    <w:p>
      <w:pPr>
        <w:spacing w:before="100" w:beforeAutospacing="1" w:after="100" w:afterAutospacing="1" w:line="440" w:lineRule="atLeast"/>
        <w:jc w:val="center"/>
        <w:rPr>
          <w:rFonts w:hint="eastAsia" w:ascii="宋体" w:hAnsi="宋体" w:cs="宋体"/>
          <w:szCs w:val="21"/>
        </w:rPr>
      </w:pPr>
    </w:p>
    <w:p>
      <w:pPr>
        <w:spacing w:line="360" w:lineRule="auto"/>
        <w:ind w:right="6" w:firstLine="420" w:firstLineChars="200"/>
        <w:rPr>
          <w:rFonts w:hint="eastAsia" w:ascii="宋体" w:hAnsi="宋体" w:cs="宋体"/>
          <w:color w:val="000000"/>
        </w:rPr>
      </w:pPr>
      <w:r>
        <w:rPr>
          <w:rFonts w:hint="eastAsia" w:ascii="宋体" w:hAnsi="宋体" w:cs="宋体"/>
          <w:color w:val="000000"/>
        </w:rPr>
        <w:t>本公司（联合体）郑重声明，根据《政府采购促进中小企业发展管理办法》（财库﹝2020﹞46号）的规定，本公司（联合体）参加</w:t>
      </w:r>
      <w:r>
        <w:rPr>
          <w:rFonts w:hint="eastAsia" w:ascii="宋体" w:hAnsi="宋体" w:cs="宋体"/>
          <w:color w:val="000000"/>
          <w:u w:val="single"/>
        </w:rPr>
        <w:t>（单位名称）</w:t>
      </w:r>
      <w:r>
        <w:rPr>
          <w:rFonts w:hint="eastAsia" w:ascii="宋体" w:hAnsi="宋体" w:cs="宋体"/>
          <w:color w:val="000000"/>
        </w:rPr>
        <w:t>的</w:t>
      </w:r>
      <w:r>
        <w:rPr>
          <w:rFonts w:hint="eastAsia" w:ascii="宋体" w:hAnsi="宋体" w:cs="宋体"/>
          <w:color w:val="000000"/>
          <w:u w:val="single"/>
        </w:rPr>
        <w:t>（项目名称）</w:t>
      </w:r>
      <w:r>
        <w:rPr>
          <w:rFonts w:hint="eastAsia" w:ascii="宋体" w:hAnsi="宋体" w:cs="宋体"/>
          <w:color w:val="000000"/>
        </w:rPr>
        <w:t xml:space="preserve">采购活动，服务全部由符合政策要求的中小企业承接。相关企业（含联合体中的中小企业、签订分包意向协议的中小企业） 的具体情况如下： </w:t>
      </w:r>
    </w:p>
    <w:p>
      <w:pPr>
        <w:spacing w:line="360" w:lineRule="auto"/>
        <w:ind w:right="6" w:firstLine="420" w:firstLineChars="200"/>
        <w:rPr>
          <w:rFonts w:hint="eastAsia" w:ascii="宋体" w:hAnsi="宋体" w:cs="宋体"/>
        </w:rPr>
      </w:pPr>
      <w:r>
        <w:rPr>
          <w:rFonts w:hint="eastAsia" w:ascii="宋体" w:hAnsi="宋体" w:cs="宋体"/>
          <w:color w:val="000000"/>
        </w:rPr>
        <w:t>1.</w:t>
      </w:r>
      <w:r>
        <w:rPr>
          <w:rFonts w:hint="eastAsia" w:ascii="宋体" w:hAnsi="宋体" w:cs="宋体"/>
          <w:color w:val="000000"/>
          <w:u w:val="single"/>
        </w:rPr>
        <w:t>（标的名称）</w:t>
      </w:r>
      <w:r>
        <w:rPr>
          <w:rFonts w:hint="eastAsia" w:ascii="宋体" w:hAnsi="宋体" w:cs="宋体"/>
          <w:color w:val="000000"/>
        </w:rPr>
        <w:t>，属于</w:t>
      </w:r>
      <w:r>
        <w:rPr>
          <w:rFonts w:hint="eastAsia" w:ascii="宋体" w:hAnsi="宋体" w:cs="宋体"/>
          <w:color w:val="000000"/>
          <w:u w:val="single"/>
        </w:rPr>
        <w:t>（采购文件中明确的所属行业）</w:t>
      </w:r>
      <w:r>
        <w:rPr>
          <w:rFonts w:hint="eastAsia" w:ascii="宋体" w:hAnsi="宋体" w:cs="宋体"/>
          <w:color w:val="000000"/>
        </w:rPr>
        <w:t>行业；承建（承接）企业为（企业名称），从业人员</w:t>
      </w:r>
      <w:r>
        <w:rPr>
          <w:rFonts w:hint="eastAsia" w:ascii="宋体" w:hAnsi="宋体" w:cs="宋体"/>
          <w:color w:val="000000"/>
          <w:u w:val="single"/>
        </w:rPr>
        <w:t xml:space="preserve">    </w:t>
      </w:r>
      <w:r>
        <w:rPr>
          <w:rFonts w:hint="eastAsia" w:ascii="宋体" w:hAnsi="宋体" w:cs="宋体"/>
          <w:color w:val="000000"/>
        </w:rPr>
        <w:t>人，营业收入为</w:t>
      </w:r>
      <w:r>
        <w:rPr>
          <w:rFonts w:hint="eastAsia" w:ascii="宋体" w:hAnsi="宋体" w:cs="宋体"/>
          <w:color w:val="000000"/>
          <w:u w:val="single"/>
        </w:rPr>
        <w:t xml:space="preserve">    </w:t>
      </w:r>
      <w:r>
        <w:rPr>
          <w:rFonts w:hint="eastAsia" w:ascii="宋体" w:hAnsi="宋体" w:cs="宋体"/>
          <w:color w:val="000000"/>
        </w:rPr>
        <w:t>万元，资产总额为</w:t>
      </w:r>
      <w:r>
        <w:rPr>
          <w:rFonts w:hint="eastAsia" w:ascii="宋体" w:hAnsi="宋体" w:cs="宋体"/>
          <w:color w:val="000000"/>
          <w:u w:val="single"/>
        </w:rPr>
        <w:t xml:space="preserve">     </w:t>
      </w:r>
      <w:r>
        <w:rPr>
          <w:rFonts w:hint="eastAsia" w:ascii="宋体" w:hAnsi="宋体" w:cs="宋体"/>
          <w:color w:val="000000"/>
        </w:rPr>
        <w:t>万</w:t>
      </w:r>
      <w:r>
        <w:rPr>
          <w:rFonts w:hint="eastAsia" w:ascii="宋体" w:hAnsi="宋体" w:cs="宋体"/>
        </w:rPr>
        <w:t>元</w:t>
      </w:r>
      <w:r>
        <w:rPr>
          <w:rFonts w:hint="eastAsia" w:ascii="宋体" w:hAnsi="宋体" w:cs="宋体"/>
          <w:sz w:val="24"/>
          <w:szCs w:val="24"/>
          <w:vertAlign w:val="superscript"/>
        </w:rPr>
        <w:t>1</w:t>
      </w:r>
      <w:r>
        <w:rPr>
          <w:rFonts w:hint="eastAsia" w:ascii="宋体" w:hAnsi="宋体" w:cs="宋体"/>
        </w:rPr>
        <w:t>，属于</w:t>
      </w:r>
      <w:r>
        <w:rPr>
          <w:rFonts w:hint="eastAsia" w:ascii="宋体" w:hAnsi="宋体" w:cs="宋体"/>
          <w:u w:val="single"/>
        </w:rPr>
        <w:t>（中型企业、小型企业、微型企业）</w:t>
      </w:r>
      <w:r>
        <w:rPr>
          <w:rFonts w:hint="eastAsia" w:ascii="宋体" w:hAnsi="宋体" w:cs="宋体"/>
        </w:rPr>
        <w:t xml:space="preserve">； </w:t>
      </w:r>
    </w:p>
    <w:p>
      <w:pPr>
        <w:spacing w:line="360" w:lineRule="auto"/>
        <w:ind w:right="6" w:firstLine="420" w:firstLineChars="200"/>
        <w:rPr>
          <w:rFonts w:hint="eastAsia" w:ascii="宋体" w:hAnsi="宋体" w:cs="宋体"/>
          <w:color w:val="000000"/>
        </w:rPr>
      </w:pPr>
      <w:r>
        <w:rPr>
          <w:rFonts w:hint="eastAsia" w:ascii="宋体" w:hAnsi="宋体" w:cs="宋体"/>
        </w:rPr>
        <w:t>2.</w:t>
      </w:r>
      <w:r>
        <w:rPr>
          <w:rFonts w:hint="eastAsia" w:ascii="宋体" w:hAnsi="宋体" w:cs="宋体"/>
          <w:color w:val="000000"/>
          <w:u w:val="single"/>
        </w:rPr>
        <w:t>（标的名称）</w:t>
      </w:r>
      <w:r>
        <w:rPr>
          <w:rFonts w:hint="eastAsia" w:ascii="宋体" w:hAnsi="宋体" w:cs="宋体"/>
        </w:rPr>
        <w:t>，属于</w:t>
      </w:r>
      <w:r>
        <w:rPr>
          <w:rFonts w:hint="eastAsia" w:ascii="宋体" w:hAnsi="宋体" w:cs="宋体"/>
          <w:color w:val="000000"/>
          <w:u w:val="single"/>
        </w:rPr>
        <w:t>（采购文件中明确的所属行业）</w:t>
      </w:r>
      <w:r>
        <w:rPr>
          <w:rFonts w:hint="eastAsia" w:ascii="宋体" w:hAnsi="宋体" w:cs="宋体"/>
          <w:color w:val="000000"/>
        </w:rPr>
        <w:t>行业</w:t>
      </w:r>
      <w:r>
        <w:rPr>
          <w:rFonts w:hint="eastAsia" w:ascii="宋体" w:hAnsi="宋体" w:cs="宋体"/>
        </w:rPr>
        <w:t>；承建（承接）企业为（企业名称），</w:t>
      </w:r>
      <w:r>
        <w:rPr>
          <w:rFonts w:hint="eastAsia" w:ascii="宋体" w:hAnsi="宋体" w:cs="宋体"/>
          <w:color w:val="000000"/>
        </w:rPr>
        <w:t>从业人员</w:t>
      </w:r>
      <w:r>
        <w:rPr>
          <w:rFonts w:hint="eastAsia" w:ascii="宋体" w:hAnsi="宋体" w:cs="宋体"/>
          <w:color w:val="000000"/>
          <w:u w:val="single"/>
        </w:rPr>
        <w:t xml:space="preserve">    </w:t>
      </w:r>
      <w:r>
        <w:rPr>
          <w:rFonts w:hint="eastAsia" w:ascii="宋体" w:hAnsi="宋体" w:cs="宋体"/>
          <w:color w:val="000000"/>
        </w:rPr>
        <w:t>人，营业收入为</w:t>
      </w:r>
      <w:r>
        <w:rPr>
          <w:rFonts w:hint="eastAsia" w:ascii="宋体" w:hAnsi="宋体" w:cs="宋体"/>
          <w:color w:val="000000"/>
          <w:u w:val="single"/>
        </w:rPr>
        <w:t xml:space="preserve">    </w:t>
      </w:r>
      <w:r>
        <w:rPr>
          <w:rFonts w:hint="eastAsia" w:ascii="宋体" w:hAnsi="宋体" w:cs="宋体"/>
          <w:color w:val="000000"/>
        </w:rPr>
        <w:t>万元，资产总额为</w:t>
      </w:r>
      <w:r>
        <w:rPr>
          <w:rFonts w:hint="eastAsia" w:ascii="宋体" w:hAnsi="宋体" w:cs="宋体"/>
          <w:color w:val="000000"/>
          <w:u w:val="single"/>
        </w:rPr>
        <w:t xml:space="preserve">     </w:t>
      </w:r>
      <w:r>
        <w:rPr>
          <w:rFonts w:hint="eastAsia" w:ascii="宋体" w:hAnsi="宋体" w:cs="宋体"/>
          <w:color w:val="000000"/>
        </w:rPr>
        <w:t>万</w:t>
      </w:r>
      <w:r>
        <w:rPr>
          <w:rFonts w:hint="eastAsia" w:ascii="宋体" w:hAnsi="宋体" w:cs="宋体"/>
        </w:rPr>
        <w:t>元</w:t>
      </w:r>
      <w:r>
        <w:rPr>
          <w:rFonts w:hint="eastAsia" w:ascii="宋体" w:hAnsi="宋体" w:cs="宋体"/>
          <w:sz w:val="24"/>
          <w:szCs w:val="24"/>
          <w:vertAlign w:val="superscript"/>
        </w:rPr>
        <w:t>1</w:t>
      </w:r>
      <w:r>
        <w:rPr>
          <w:rFonts w:hint="eastAsia" w:ascii="宋体" w:hAnsi="宋体" w:cs="宋体"/>
        </w:rPr>
        <w:t>，属于</w:t>
      </w:r>
      <w:r>
        <w:rPr>
          <w:rFonts w:hint="eastAsia" w:ascii="宋体" w:hAnsi="宋体" w:cs="宋体"/>
          <w:u w:val="single"/>
        </w:rPr>
        <w:t>（中型企业、小型企业、微型企业）</w:t>
      </w:r>
      <w:r>
        <w:rPr>
          <w:rFonts w:hint="eastAsia" w:ascii="宋体" w:hAnsi="宋体" w:cs="宋体"/>
        </w:rPr>
        <w:t>；</w:t>
      </w:r>
    </w:p>
    <w:p>
      <w:pPr>
        <w:spacing w:line="360" w:lineRule="auto"/>
        <w:ind w:right="6" w:firstLine="420" w:firstLineChars="200"/>
        <w:rPr>
          <w:rFonts w:hint="eastAsia" w:ascii="宋体" w:hAnsi="宋体" w:cs="宋体"/>
          <w:color w:val="000000"/>
        </w:rPr>
      </w:pPr>
      <w:r>
        <w:rPr>
          <w:rFonts w:hint="eastAsia" w:ascii="宋体" w:hAnsi="宋体" w:cs="宋体"/>
          <w:color w:val="000000"/>
        </w:rPr>
        <w:t xml:space="preserve"> …… </w:t>
      </w:r>
    </w:p>
    <w:p>
      <w:pPr>
        <w:spacing w:line="360" w:lineRule="auto"/>
        <w:ind w:right="6" w:firstLine="420" w:firstLineChars="200"/>
        <w:rPr>
          <w:rFonts w:hint="eastAsia" w:ascii="宋体" w:hAnsi="宋体" w:cs="宋体"/>
          <w:color w:val="000000"/>
        </w:rPr>
      </w:pPr>
      <w:r>
        <w:rPr>
          <w:rFonts w:hint="eastAsia" w:ascii="宋体" w:hAnsi="宋体" w:cs="宋体"/>
          <w:color w:val="000000"/>
        </w:rPr>
        <w:t>以上企业，不属于大企业的分支机构，不存在控股股东为大企业的情形，也不存在与大企业的负责人为同一人的情形。</w:t>
      </w:r>
    </w:p>
    <w:p>
      <w:pPr>
        <w:spacing w:line="360" w:lineRule="auto"/>
        <w:ind w:right="6" w:firstLine="420" w:firstLineChars="200"/>
        <w:rPr>
          <w:rFonts w:hint="eastAsia" w:ascii="宋体" w:hAnsi="宋体" w:cs="宋体"/>
          <w:color w:val="000000"/>
        </w:rPr>
      </w:pPr>
      <w:r>
        <w:rPr>
          <w:rFonts w:hint="eastAsia" w:ascii="宋体" w:hAnsi="宋体" w:cs="宋体"/>
          <w:color w:val="000000"/>
        </w:rPr>
        <w:t xml:space="preserve">本企业对上述声明内容的真实性负责。如有虚假，将依 法承担相应责任。 </w:t>
      </w:r>
    </w:p>
    <w:p>
      <w:pPr>
        <w:pStyle w:val="2"/>
        <w:spacing w:line="480" w:lineRule="auto"/>
        <w:ind w:left="0" w:leftChars="0" w:firstLine="5280" w:firstLineChars="2200"/>
        <w:rPr>
          <w:rFonts w:hint="eastAsia" w:ascii="宋体" w:hAnsi="宋体" w:cs="宋体"/>
          <w:color w:val="FF0000"/>
          <w:sz w:val="24"/>
          <w:szCs w:val="24"/>
        </w:rPr>
      </w:pPr>
    </w:p>
    <w:p>
      <w:pPr>
        <w:spacing w:line="360" w:lineRule="auto"/>
        <w:ind w:right="6" w:firstLine="4830" w:firstLineChars="2300"/>
        <w:rPr>
          <w:rFonts w:hint="eastAsia" w:ascii="宋体" w:hAnsi="宋体" w:cs="宋体"/>
          <w:color w:val="000000"/>
        </w:rPr>
      </w:pPr>
      <w:r>
        <w:rPr>
          <w:rFonts w:hint="eastAsia" w:ascii="宋体" w:hAnsi="宋体" w:cs="宋体"/>
        </w:rPr>
        <w:t>投标供应商全称（公章）：</w:t>
      </w:r>
    </w:p>
    <w:p>
      <w:pPr>
        <w:spacing w:line="360" w:lineRule="auto"/>
        <w:ind w:right="6" w:firstLine="4830" w:firstLineChars="2300"/>
        <w:rPr>
          <w:rFonts w:hint="eastAsia" w:ascii="宋体" w:hAnsi="宋体" w:cs="宋体"/>
          <w:color w:val="000000"/>
        </w:rPr>
      </w:pPr>
      <w:r>
        <w:rPr>
          <w:rFonts w:hint="eastAsia" w:ascii="宋体" w:hAnsi="宋体" w:cs="宋体"/>
          <w:color w:val="000000"/>
        </w:rPr>
        <w:t xml:space="preserve">日期：    年   月    日 </w:t>
      </w:r>
    </w:p>
    <w:p>
      <w:pPr>
        <w:pStyle w:val="2"/>
        <w:ind w:left="0" w:leftChars="0"/>
        <w:rPr>
          <w:rFonts w:hint="eastAsia" w:ascii="宋体" w:hAnsi="宋体" w:cs="宋体"/>
          <w:color w:val="FF0000"/>
          <w:sz w:val="24"/>
          <w:szCs w:val="24"/>
          <w:vertAlign w:val="superscript"/>
        </w:rPr>
      </w:pPr>
    </w:p>
    <w:p>
      <w:pPr>
        <w:pStyle w:val="2"/>
        <w:ind w:left="0" w:leftChars="0"/>
        <w:rPr>
          <w:rFonts w:hint="eastAsia" w:ascii="宋体" w:hAnsi="宋体" w:cs="宋体"/>
          <w:sz w:val="18"/>
          <w:szCs w:val="18"/>
        </w:rPr>
      </w:pPr>
      <w:r>
        <w:rPr>
          <w:rFonts w:hint="eastAsia" w:ascii="宋体" w:hAnsi="宋体" w:cs="宋体"/>
          <w:sz w:val="18"/>
          <w:szCs w:val="18"/>
        </w:rPr>
        <w:t>注：1、从业人员、营业收入、资产总额填报上一年度数据，无上一年度数据的新成立企业可不填报；</w:t>
      </w:r>
    </w:p>
    <w:p>
      <w:pPr>
        <w:pStyle w:val="2"/>
        <w:ind w:left="0" w:leftChars="0"/>
        <w:rPr>
          <w:rFonts w:hint="eastAsia" w:ascii="宋体" w:hAnsi="宋体" w:cs="宋体"/>
          <w:sz w:val="18"/>
          <w:szCs w:val="18"/>
        </w:rPr>
      </w:pPr>
      <w:r>
        <w:rPr>
          <w:rFonts w:hint="eastAsia" w:ascii="宋体" w:hAnsi="宋体" w:cs="宋体"/>
          <w:sz w:val="18"/>
          <w:szCs w:val="18"/>
        </w:rPr>
        <w:t>2、中小微型企业划分标准参照国家统计局关于印发《统计上大中小微型企业划分办法（2017）》的通知；</w:t>
      </w:r>
    </w:p>
    <w:p>
      <w:pPr>
        <w:tabs>
          <w:tab w:val="left" w:pos="420"/>
        </w:tabs>
        <w:spacing w:before="100" w:beforeAutospacing="1" w:after="100" w:afterAutospacing="1" w:line="432" w:lineRule="auto"/>
        <w:rPr>
          <w:rFonts w:hint="eastAsia" w:ascii="宋体" w:hAnsi="宋体" w:cs="宋体"/>
          <w:b/>
          <w:szCs w:val="21"/>
        </w:rPr>
      </w:pPr>
      <w:r>
        <w:rPr>
          <w:rFonts w:hint="eastAsia" w:ascii="宋体" w:hAnsi="宋体" w:cs="宋体"/>
          <w:sz w:val="18"/>
          <w:szCs w:val="18"/>
        </w:rPr>
        <w:t>3、供应商提供声明函内容不实的，属于提供虚假材料谋取中标、成交，依照《中华人民共和国政府采购法》等国家有关规定追究相应责任。</w:t>
      </w:r>
    </w:p>
    <w:bookmarkEnd w:id="350"/>
    <w:bookmarkEnd w:id="351"/>
    <w:bookmarkEnd w:id="352"/>
    <w:bookmarkEnd w:id="353"/>
    <w:bookmarkEnd w:id="354"/>
    <w:p>
      <w:pPr>
        <w:rPr>
          <w:rFonts w:hint="eastAsia" w:ascii="宋体" w:hAnsi="宋体" w:cs="宋体"/>
        </w:rPr>
      </w:pPr>
    </w:p>
    <w:p>
      <w:pPr>
        <w:pStyle w:val="4"/>
        <w:keepNext w:val="0"/>
        <w:keepLines w:val="0"/>
        <w:pageBreakBefore/>
        <w:widowControl w:val="0"/>
        <w:adjustRightInd w:val="0"/>
        <w:snapToGrid w:val="0"/>
        <w:spacing w:before="312" w:beforeLines="100" w:after="312" w:afterLines="100" w:line="400" w:lineRule="atLeast"/>
        <w:jc w:val="center"/>
        <w:rPr>
          <w:rFonts w:hint="eastAsia" w:ascii="宋体" w:hAnsi="宋体" w:eastAsia="宋体" w:cs="宋体"/>
          <w:sz w:val="28"/>
          <w:szCs w:val="36"/>
        </w:rPr>
      </w:pPr>
      <w:bookmarkStart w:id="364" w:name="_Toc30763"/>
      <w:bookmarkStart w:id="365" w:name="_Toc518546796"/>
      <w:bookmarkStart w:id="366" w:name="_Toc11813"/>
      <w:r>
        <w:rPr>
          <w:rFonts w:hint="eastAsia" w:ascii="宋体" w:hAnsi="宋体" w:eastAsia="宋体" w:cs="宋体"/>
          <w:sz w:val="28"/>
          <w:szCs w:val="36"/>
        </w:rPr>
        <w:t>附件</w:t>
      </w:r>
      <w:bookmarkStart w:id="367" w:name="OLE_LINK14"/>
      <w:bookmarkStart w:id="368" w:name="OLE_LINK13"/>
      <w:r>
        <w:rPr>
          <w:rFonts w:hint="eastAsia" w:ascii="宋体" w:hAnsi="宋体" w:eastAsia="宋体" w:cs="宋体"/>
          <w:sz w:val="28"/>
          <w:szCs w:val="36"/>
        </w:rPr>
        <w:t>十四  残疾人福利性单位声明函</w:t>
      </w:r>
      <w:bookmarkEnd w:id="364"/>
      <w:bookmarkEnd w:id="365"/>
      <w:bookmarkEnd w:id="366"/>
    </w:p>
    <w:bookmarkEnd w:id="367"/>
    <w:bookmarkEnd w:id="368"/>
    <w:p>
      <w:pPr>
        <w:spacing w:line="588" w:lineRule="exact"/>
        <w:rPr>
          <w:rFonts w:hint="eastAsia" w:ascii="宋体" w:hAnsi="宋体" w:cs="宋体"/>
          <w:b/>
          <w:spacing w:val="6"/>
          <w:sz w:val="30"/>
          <w:szCs w:val="30"/>
        </w:rPr>
      </w:pPr>
    </w:p>
    <w:p>
      <w:pPr>
        <w:spacing w:line="588" w:lineRule="exact"/>
        <w:ind w:firstLine="420" w:firstLineChars="200"/>
        <w:rPr>
          <w:rFonts w:hint="eastAsia" w:ascii="宋体" w:hAnsi="宋体" w:cs="宋体"/>
        </w:rPr>
      </w:pPr>
      <w:r>
        <w:rPr>
          <w:rFonts w:hint="eastAsia" w:ascii="宋体" w:hAnsi="宋体" w:cs="宋体"/>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hint="eastAsia" w:ascii="宋体" w:hAnsi="宋体" w:cs="宋体"/>
        </w:rPr>
      </w:pPr>
      <w:r>
        <w:rPr>
          <w:rFonts w:hint="eastAsia" w:ascii="宋体" w:hAnsi="宋体" w:cs="宋体"/>
        </w:rPr>
        <w:t>本单位对上述声明的真实性负责。如有虚假，将依法承担相应责任。</w:t>
      </w:r>
    </w:p>
    <w:p>
      <w:pPr>
        <w:spacing w:line="588" w:lineRule="exact"/>
        <w:ind w:firstLine="624" w:firstLineChars="200"/>
        <w:rPr>
          <w:rFonts w:hint="eastAsia" w:ascii="宋体" w:hAnsi="宋体" w:cs="宋体"/>
          <w:spacing w:val="6"/>
          <w:sz w:val="30"/>
          <w:szCs w:val="30"/>
        </w:rPr>
      </w:pPr>
    </w:p>
    <w:p>
      <w:pPr>
        <w:spacing w:line="588" w:lineRule="exact"/>
        <w:ind w:firstLine="624" w:firstLineChars="200"/>
        <w:rPr>
          <w:rFonts w:hint="eastAsia" w:ascii="宋体" w:hAnsi="宋体" w:cs="宋体"/>
          <w:spacing w:val="6"/>
          <w:sz w:val="30"/>
          <w:szCs w:val="30"/>
        </w:rPr>
      </w:pPr>
    </w:p>
    <w:p>
      <w:pPr>
        <w:rPr>
          <w:rFonts w:hint="eastAsia" w:ascii="宋体" w:hAnsi="宋体" w:cs="宋体"/>
        </w:rPr>
      </w:pPr>
      <w:r>
        <w:rPr>
          <w:rFonts w:hint="eastAsia" w:ascii="宋体" w:hAnsi="宋体" w:cs="宋体"/>
          <w:spacing w:val="6"/>
          <w:sz w:val="30"/>
          <w:szCs w:val="30"/>
        </w:rPr>
        <w:t xml:space="preserve">                        </w:t>
      </w:r>
    </w:p>
    <w:p>
      <w:pPr>
        <w:spacing w:line="480" w:lineRule="auto"/>
        <w:ind w:firstLine="4830" w:firstLineChars="2300"/>
        <w:rPr>
          <w:rFonts w:hint="eastAsia" w:ascii="宋体" w:hAnsi="宋体" w:cs="宋体"/>
        </w:rPr>
      </w:pPr>
      <w:r>
        <w:rPr>
          <w:rFonts w:hint="eastAsia" w:ascii="宋体" w:hAnsi="宋体" w:cs="宋体"/>
        </w:rPr>
        <w:t>投标供应商全称（公章）：</w:t>
      </w:r>
    </w:p>
    <w:p>
      <w:pPr>
        <w:spacing w:line="480" w:lineRule="auto"/>
        <w:ind w:firstLine="4830" w:firstLineChars="2300"/>
        <w:rPr>
          <w:rFonts w:hint="eastAsia" w:ascii="宋体" w:hAnsi="宋体" w:cs="宋体"/>
        </w:rPr>
      </w:pPr>
      <w:r>
        <w:rPr>
          <w:rFonts w:hint="eastAsia" w:ascii="宋体" w:hAnsi="宋体" w:cs="宋体"/>
        </w:rPr>
        <w:t>法定代表人或授权代表（签字或盖章）：</w:t>
      </w:r>
    </w:p>
    <w:p>
      <w:pPr>
        <w:spacing w:line="480" w:lineRule="auto"/>
        <w:ind w:firstLine="4830" w:firstLineChars="2300"/>
        <w:rPr>
          <w:rFonts w:hint="eastAsia" w:ascii="宋体" w:hAnsi="宋体" w:cs="宋体"/>
          <w:szCs w:val="21"/>
        </w:rPr>
      </w:pPr>
      <w:r>
        <w:rPr>
          <w:rFonts w:hint="eastAsia" w:ascii="宋体" w:hAnsi="宋体" w:cs="宋体"/>
          <w:szCs w:val="22"/>
        </w:rPr>
        <w:t>日期</w:t>
      </w:r>
      <w:r>
        <w:rPr>
          <w:rFonts w:hint="eastAsia" w:ascii="宋体" w:hAnsi="宋体" w:cs="宋体"/>
          <w:szCs w:val="21"/>
        </w:rPr>
        <w:t>：    年   月    日</w:t>
      </w:r>
    </w:p>
    <w:p>
      <w:pPr>
        <w:rPr>
          <w:rFonts w:hint="eastAsia" w:ascii="宋体" w:hAnsi="宋体" w:cs="宋体"/>
        </w:rPr>
      </w:pPr>
    </w:p>
    <w:p>
      <w:pPr>
        <w:rPr>
          <w:rFonts w:hint="eastAsia" w:ascii="宋体" w:hAnsi="宋体" w:cs="宋体"/>
        </w:rPr>
      </w:pPr>
    </w:p>
    <w:p>
      <w:pPr>
        <w:rPr>
          <w:rFonts w:hint="eastAsia" w:ascii="宋体" w:hAnsi="宋体" w:cs="宋体"/>
        </w:rPr>
      </w:pPr>
    </w:p>
    <w:p>
      <w:pPr>
        <w:numPr>
          <w:ilvl w:val="0"/>
          <w:numId w:val="51"/>
        </w:numPr>
        <w:tabs>
          <w:tab w:val="left" w:pos="420"/>
          <w:tab w:val="clear" w:pos="1244"/>
        </w:tabs>
        <w:spacing w:before="100" w:beforeAutospacing="1" w:after="100" w:afterAutospacing="1" w:line="432" w:lineRule="auto"/>
        <w:ind w:hanging="1244"/>
        <w:rPr>
          <w:rFonts w:hint="eastAsia" w:ascii="宋体" w:hAnsi="宋体" w:cs="宋体"/>
          <w:b/>
          <w:szCs w:val="21"/>
        </w:rPr>
      </w:pPr>
      <w:r>
        <w:rPr>
          <w:rFonts w:hint="eastAsia" w:ascii="宋体" w:hAnsi="宋体" w:cs="宋体"/>
          <w:b/>
          <w:szCs w:val="21"/>
        </w:rPr>
        <w:t>残疾人福利性单位视同小型、微型企业，享受价格扣除。</w:t>
      </w:r>
    </w:p>
    <w:p>
      <w:pPr>
        <w:numPr>
          <w:ilvl w:val="0"/>
          <w:numId w:val="51"/>
        </w:numPr>
        <w:tabs>
          <w:tab w:val="left" w:pos="420"/>
          <w:tab w:val="clear" w:pos="1244"/>
        </w:tabs>
        <w:spacing w:before="100" w:beforeAutospacing="1" w:after="100" w:afterAutospacing="1" w:line="432" w:lineRule="auto"/>
        <w:ind w:hanging="1244"/>
        <w:rPr>
          <w:rFonts w:hint="eastAsia" w:ascii="宋体" w:hAnsi="宋体" w:cs="宋体"/>
          <w:b/>
          <w:szCs w:val="21"/>
        </w:rPr>
      </w:pPr>
      <w:r>
        <w:rPr>
          <w:rFonts w:hint="eastAsia" w:ascii="宋体" w:hAnsi="宋体" w:cs="宋体"/>
          <w:b/>
          <w:szCs w:val="21"/>
        </w:rPr>
        <w:t>残疾人福利性单位属于小型、微型企业的，不重复享受政策。</w:t>
      </w:r>
    </w:p>
    <w:p>
      <w:pPr>
        <w:numPr>
          <w:ilvl w:val="0"/>
          <w:numId w:val="51"/>
        </w:numPr>
        <w:tabs>
          <w:tab w:val="left" w:pos="420"/>
          <w:tab w:val="clear" w:pos="1244"/>
        </w:tabs>
        <w:spacing w:before="100" w:beforeAutospacing="1" w:after="100" w:afterAutospacing="1" w:line="432" w:lineRule="auto"/>
        <w:ind w:hanging="1244"/>
        <w:rPr>
          <w:rFonts w:hint="eastAsia" w:ascii="宋体" w:hAnsi="宋体" w:cs="宋体"/>
          <w:b/>
          <w:szCs w:val="21"/>
        </w:rPr>
      </w:pPr>
      <w:r>
        <w:rPr>
          <w:rFonts w:hint="eastAsia" w:ascii="宋体" w:hAnsi="宋体" w:cs="宋体"/>
          <w:b/>
          <w:szCs w:val="21"/>
        </w:rPr>
        <w:t>如中标人声明为残疾人福利性单位，本声明函将随中标结果同时公告，接受社会监督。</w:t>
      </w:r>
    </w:p>
    <w:p>
      <w:pPr>
        <w:rPr>
          <w:rFonts w:hint="eastAsia" w:ascii="宋体" w:hAnsi="宋体" w:cs="宋体"/>
        </w:rPr>
      </w:pPr>
    </w:p>
    <w:p>
      <w:pPr>
        <w:pStyle w:val="3"/>
        <w:keepNext w:val="0"/>
        <w:keepLines w:val="0"/>
        <w:pageBreakBefore/>
        <w:spacing w:before="624" w:beforeLines="200" w:after="312" w:afterLines="100" w:line="240" w:lineRule="auto"/>
        <w:jc w:val="center"/>
        <w:rPr>
          <w:rFonts w:hint="eastAsia" w:ascii="宋体" w:hAnsi="宋体" w:eastAsia="宋体" w:cs="宋体"/>
          <w:sz w:val="28"/>
          <w:szCs w:val="36"/>
        </w:rPr>
      </w:pPr>
      <w:bookmarkStart w:id="369" w:name="_Toc22589"/>
      <w:r>
        <w:rPr>
          <w:rFonts w:hint="eastAsia" w:ascii="宋体" w:hAnsi="宋体" w:eastAsia="宋体" w:cs="宋体"/>
          <w:sz w:val="28"/>
          <w:szCs w:val="36"/>
        </w:rPr>
        <w:t>第六部分  评标办法</w:t>
      </w:r>
      <w:bookmarkEnd w:id="369"/>
    </w:p>
    <w:p>
      <w:pPr>
        <w:spacing w:line="360" w:lineRule="auto"/>
        <w:ind w:firstLine="420" w:firstLineChars="200"/>
        <w:rPr>
          <w:rFonts w:hint="eastAsia" w:ascii="宋体" w:hAnsi="宋体" w:cs="宋体"/>
          <w:bCs/>
          <w:kern w:val="28"/>
        </w:rPr>
      </w:pPr>
      <w:r>
        <w:rPr>
          <w:rFonts w:hint="eastAsia" w:ascii="宋体" w:hAnsi="宋体" w:cs="宋体"/>
          <w:bCs/>
          <w:kern w:val="28"/>
        </w:rPr>
        <w:t>根据《中华人民共和国政府采购法》和《政府采购货物和服务招标投标管理办法》等相关法规和本项目招标文件，特制定本办法。</w:t>
      </w:r>
    </w:p>
    <w:p>
      <w:pPr>
        <w:spacing w:line="360" w:lineRule="auto"/>
        <w:ind w:firstLine="422" w:firstLineChars="200"/>
        <w:jc w:val="both"/>
        <w:rPr>
          <w:rFonts w:hint="eastAsia" w:ascii="宋体" w:hAnsi="宋体" w:cs="宋体"/>
          <w:b/>
          <w:bCs/>
          <w:kern w:val="28"/>
        </w:rPr>
      </w:pPr>
      <w:r>
        <w:rPr>
          <w:rFonts w:hint="eastAsia" w:ascii="宋体" w:hAnsi="宋体" w:cs="宋体"/>
          <w:b/>
          <w:bCs/>
          <w:kern w:val="28"/>
        </w:rPr>
        <w:t>一、 评标原则</w:t>
      </w:r>
    </w:p>
    <w:p>
      <w:pPr>
        <w:spacing w:line="360" w:lineRule="auto"/>
        <w:ind w:firstLine="420" w:firstLineChars="200"/>
        <w:rPr>
          <w:rFonts w:hint="eastAsia" w:ascii="宋体" w:hAnsi="宋体" w:cs="宋体"/>
          <w:bCs/>
          <w:kern w:val="28"/>
        </w:rPr>
      </w:pPr>
      <w:r>
        <w:rPr>
          <w:rFonts w:hint="eastAsia" w:ascii="宋体" w:hAnsi="宋体" w:cs="宋体"/>
          <w:bCs/>
          <w:kern w:val="28"/>
        </w:rPr>
        <w:t>为最大限度地保护当事人的权益，评标委员会应严格按照招标文件的技术商务要求，对投标文件进行综合分析、对比、评价，编制评标报告。评标人员必须严格遵守保密规定，不得泄漏评标的有关情况，不得索贿受贿，不得接受吃请和礼品，不得参加影响公正评标的有关活动。投标供应商不得以任何方式干扰招投标工作的进行，一经发现其投标文件将被拒绝。对落标单位，评标委员会不作任何落标解释。</w:t>
      </w:r>
    </w:p>
    <w:p>
      <w:pPr>
        <w:spacing w:line="360" w:lineRule="auto"/>
        <w:ind w:firstLine="420" w:firstLineChars="200"/>
        <w:rPr>
          <w:rFonts w:hint="eastAsia" w:ascii="宋体" w:hAnsi="宋体" w:cs="宋体"/>
          <w:bCs/>
          <w:kern w:val="28"/>
        </w:rPr>
      </w:pPr>
      <w:r>
        <w:rPr>
          <w:rFonts w:hint="eastAsia" w:ascii="宋体" w:hAnsi="宋体" w:cs="宋体"/>
          <w:bCs/>
          <w:kern w:val="28"/>
        </w:rPr>
        <w:t>本次评标采取百分制综合评分的方法。评标应遵循公平、公正、科学、择优的原则推荐备选中标供应商。</w:t>
      </w:r>
    </w:p>
    <w:p>
      <w:pPr>
        <w:spacing w:line="360" w:lineRule="auto"/>
        <w:ind w:firstLine="422" w:firstLineChars="200"/>
        <w:jc w:val="both"/>
        <w:rPr>
          <w:rFonts w:hint="eastAsia" w:ascii="宋体" w:hAnsi="宋体" w:cs="宋体"/>
          <w:b/>
          <w:bCs/>
          <w:kern w:val="28"/>
        </w:rPr>
      </w:pPr>
      <w:r>
        <w:rPr>
          <w:rFonts w:hint="eastAsia" w:ascii="宋体" w:hAnsi="宋体" w:cs="宋体"/>
          <w:b/>
          <w:bCs/>
          <w:kern w:val="28"/>
        </w:rPr>
        <w:t>二、评标组织</w:t>
      </w:r>
    </w:p>
    <w:p>
      <w:pPr>
        <w:spacing w:line="360" w:lineRule="auto"/>
        <w:ind w:firstLine="420" w:firstLineChars="200"/>
        <w:rPr>
          <w:rFonts w:hint="eastAsia" w:ascii="宋体" w:hAnsi="宋体" w:cs="宋体"/>
          <w:bCs/>
          <w:kern w:val="28"/>
        </w:rPr>
      </w:pPr>
      <w:r>
        <w:rPr>
          <w:rFonts w:hint="eastAsia" w:ascii="宋体" w:hAnsi="宋体" w:cs="宋体"/>
          <w:bCs/>
          <w:kern w:val="28"/>
        </w:rPr>
        <w:t>评标工作由招标代理机构组建的评标委员会负责，评标过程由有关部门负责指导监督。评标委员会由有关专家组成，成员人数为七人或以上单数，其中技术方面的专家将不少于总数的三分之二。</w:t>
      </w:r>
    </w:p>
    <w:p>
      <w:pPr>
        <w:spacing w:line="360" w:lineRule="auto"/>
        <w:ind w:firstLine="422" w:firstLineChars="200"/>
        <w:jc w:val="both"/>
        <w:rPr>
          <w:rFonts w:hint="eastAsia" w:ascii="宋体" w:hAnsi="宋体" w:cs="宋体"/>
          <w:b/>
          <w:bCs/>
          <w:kern w:val="28"/>
        </w:rPr>
      </w:pPr>
      <w:r>
        <w:rPr>
          <w:rFonts w:hint="eastAsia" w:ascii="宋体" w:hAnsi="宋体" w:cs="宋体"/>
          <w:b/>
          <w:snapToGrid w:val="0"/>
          <w:szCs w:val="21"/>
        </w:rPr>
        <w:t>三、评标程序</w:t>
      </w:r>
    </w:p>
    <w:p>
      <w:pPr>
        <w:spacing w:line="360" w:lineRule="auto"/>
        <w:ind w:firstLine="420" w:firstLineChars="200"/>
        <w:rPr>
          <w:rFonts w:hint="eastAsia" w:ascii="宋体" w:hAnsi="宋体" w:cs="宋体"/>
          <w:bCs/>
          <w:kern w:val="28"/>
        </w:rPr>
      </w:pPr>
      <w:r>
        <w:rPr>
          <w:rFonts w:hint="eastAsia" w:ascii="宋体" w:hAnsi="宋体" w:cs="宋体"/>
          <w:bCs/>
          <w:kern w:val="28"/>
        </w:rPr>
        <w:t>1、投标供应商技术商务评分：由各</w:t>
      </w:r>
      <w:r>
        <w:rPr>
          <w:rFonts w:hint="eastAsia" w:ascii="宋体" w:hAnsi="宋体" w:cs="宋体"/>
        </w:rPr>
        <w:t>评标委员会</w:t>
      </w:r>
      <w:r>
        <w:rPr>
          <w:rFonts w:hint="eastAsia" w:ascii="宋体" w:hAnsi="宋体" w:cs="宋体"/>
          <w:bCs/>
          <w:kern w:val="28"/>
        </w:rPr>
        <w:t>按评标细则，采用记名方式各自评分，此项评分为全部有效评分的算术平均值。如果一份评分表中某一项评分，超过评分细则所规定的分值范围，则该张打分表无效。</w:t>
      </w:r>
    </w:p>
    <w:p>
      <w:pPr>
        <w:spacing w:line="360" w:lineRule="auto"/>
        <w:ind w:firstLine="420" w:firstLineChars="200"/>
        <w:rPr>
          <w:rFonts w:hint="eastAsia" w:ascii="宋体" w:hAnsi="宋体" w:cs="宋体"/>
          <w:bCs/>
          <w:kern w:val="28"/>
        </w:rPr>
      </w:pPr>
      <w:r>
        <w:rPr>
          <w:rFonts w:hint="eastAsia" w:ascii="宋体" w:hAnsi="宋体" w:cs="宋体"/>
          <w:bCs/>
          <w:kern w:val="28"/>
        </w:rPr>
        <w:t>2、报价评分：评分应在报价口径一致的评标价基础上进行。评标价应在最终报价的基础上，按照招标文件约定的因素和方法进行计算。凡属招标文件原因造成报价范围或报价口径不一致的，应予以扣除。但因投标供应商自身失误造成多算，少算或漏算，不得调整。评分由评标委员会对投标文件的商务报价进行仔细查阅、分析与计算，并指定专人复核。</w:t>
      </w:r>
    </w:p>
    <w:p>
      <w:pPr>
        <w:spacing w:line="360" w:lineRule="auto"/>
        <w:ind w:firstLine="420" w:firstLineChars="200"/>
        <w:rPr>
          <w:rFonts w:hint="eastAsia" w:ascii="宋体" w:hAnsi="宋体" w:cs="宋体"/>
          <w:bCs/>
          <w:kern w:val="28"/>
        </w:rPr>
      </w:pPr>
      <w:r>
        <w:rPr>
          <w:rFonts w:hint="eastAsia" w:ascii="宋体" w:hAnsi="宋体" w:cs="宋体"/>
          <w:bCs/>
          <w:kern w:val="28"/>
        </w:rPr>
        <w:t>3、评标委员会应根据评标情况和结果向招标决策组织提交评标报告，</w:t>
      </w:r>
      <w:r>
        <w:rPr>
          <w:rFonts w:hint="eastAsia" w:ascii="宋体" w:hAnsi="宋体" w:cs="宋体"/>
        </w:rPr>
        <w:t>得分相同的，按投标报价由低到高顺序排列。得分且投标报价相同的，按技术指标优劣顺序排列。</w:t>
      </w:r>
    </w:p>
    <w:p>
      <w:pPr>
        <w:spacing w:line="360" w:lineRule="auto"/>
        <w:ind w:firstLine="422" w:firstLineChars="200"/>
        <w:jc w:val="both"/>
        <w:rPr>
          <w:rFonts w:hint="eastAsia" w:ascii="宋体" w:hAnsi="宋体" w:cs="宋体"/>
          <w:b/>
          <w:bCs/>
          <w:kern w:val="28"/>
        </w:rPr>
      </w:pPr>
      <w:r>
        <w:rPr>
          <w:rFonts w:hint="eastAsia" w:ascii="宋体" w:hAnsi="宋体" w:cs="宋体"/>
          <w:b/>
          <w:bCs/>
          <w:kern w:val="28"/>
        </w:rPr>
        <w:t>四、评标办法</w:t>
      </w:r>
    </w:p>
    <w:p>
      <w:pPr>
        <w:spacing w:line="360" w:lineRule="auto"/>
        <w:ind w:left="328" w:leftChars="156" w:firstLine="525" w:firstLineChars="250"/>
        <w:rPr>
          <w:rFonts w:hint="eastAsia" w:ascii="宋体" w:hAnsi="宋体" w:cs="宋体"/>
          <w:bCs/>
          <w:kern w:val="28"/>
          <w:szCs w:val="21"/>
        </w:rPr>
      </w:pPr>
      <w:r>
        <w:rPr>
          <w:rFonts w:hint="eastAsia" w:ascii="宋体" w:hAnsi="宋体" w:cs="宋体"/>
          <w:bCs/>
          <w:kern w:val="28"/>
          <w:szCs w:val="21"/>
        </w:rPr>
        <w:t>1、本评标办法采取综合评分法（百分制法）</w:t>
      </w:r>
      <w:r>
        <w:rPr>
          <w:rFonts w:hint="eastAsia" w:ascii="宋体" w:hAnsi="宋体" w:cs="宋体"/>
          <w:szCs w:val="21"/>
        </w:rPr>
        <w:t>，评标委员会先对技术商务文件评审，然后对技术商务文件符合招标文件要求的投标供应商进入报价文件评审。评标结束后，评标委员会将根据投标供应商的合计得分（技术商务文件和报价文件分开打分，最后二部分得分相加）由高到低确定一个预选中标供应商（得分高者），其余有效投标供应商按得分由高到低依次确定为备选中标供应商，并出具评审报告。合计得分相同的，按投标报价由低到高顺序排列；合计得分且投标报价相同的，则由采购人代表在所有得分均相同者中随机抽取其中一名为名次优先者，依法予以确认为中标供应商。</w:t>
      </w:r>
    </w:p>
    <w:p>
      <w:pPr>
        <w:spacing w:line="360" w:lineRule="auto"/>
        <w:ind w:left="328" w:leftChars="156" w:firstLine="525" w:firstLineChars="250"/>
        <w:rPr>
          <w:rFonts w:hint="eastAsia" w:ascii="宋体" w:hAnsi="宋体" w:cs="宋体"/>
          <w:bCs/>
          <w:kern w:val="28"/>
        </w:rPr>
      </w:pPr>
      <w:r>
        <w:rPr>
          <w:rFonts w:hint="eastAsia" w:ascii="宋体" w:hAnsi="宋体" w:cs="宋体"/>
          <w:bCs/>
          <w:kern w:val="28"/>
        </w:rPr>
        <w:t>2、开标后，采购人或采购代理机构先进行资格性审查，评标委员会再对资格性审查合格的投标供应商进行符合性审查，凡投标供应商资格不符合招标文件要求、投标文件实质性内容和格式严重不符合有关规定或不响应招标文件要求者，经评标委员会和监督单位认定作为无效投标，不再进入后续技术商务及报价评审。</w:t>
      </w:r>
    </w:p>
    <w:p>
      <w:pPr>
        <w:spacing w:line="360" w:lineRule="auto"/>
        <w:ind w:left="328" w:leftChars="156" w:firstLine="525" w:firstLineChars="250"/>
        <w:rPr>
          <w:rFonts w:hint="eastAsia" w:ascii="宋体" w:hAnsi="宋体" w:cs="宋体"/>
          <w:bCs/>
          <w:kern w:val="28"/>
        </w:rPr>
      </w:pPr>
      <w:r>
        <w:rPr>
          <w:rFonts w:hint="eastAsia" w:ascii="宋体" w:hAnsi="宋体" w:cs="宋体"/>
        </w:rPr>
        <w:t>经资格性检查和符合性检查后，开、评标期间出现符合专业条件的投标供应商或者对招标文件作出实质响应的投标供应商（有效投标供应商）不足三家，或投标供应商的报价均</w:t>
      </w:r>
      <w:r>
        <w:rPr>
          <w:rFonts w:hint="eastAsia" w:ascii="宋体" w:hAnsi="宋体" w:cs="宋体"/>
          <w:szCs w:val="21"/>
        </w:rPr>
        <w:t>超过</w:t>
      </w:r>
      <w:r>
        <w:rPr>
          <w:rFonts w:hint="eastAsia" w:ascii="宋体" w:hAnsi="宋体" w:cs="宋体"/>
          <w:bCs/>
          <w:kern w:val="28"/>
        </w:rPr>
        <w:t>服务标准价</w:t>
      </w:r>
      <w:r>
        <w:rPr>
          <w:rFonts w:hint="eastAsia" w:ascii="宋体" w:hAnsi="宋体" w:cs="宋体"/>
        </w:rPr>
        <w:t>，按政府采购法律法规有关规定，依法继续进行或转为其它政府采购方式进行采购，或宣布本次招标失败，重新组织招标</w:t>
      </w:r>
      <w:r>
        <w:rPr>
          <w:rFonts w:hint="eastAsia" w:ascii="宋体" w:hAnsi="宋体" w:cs="宋体"/>
          <w:bCs/>
          <w:kern w:val="28"/>
        </w:rPr>
        <w:t>。</w:t>
      </w:r>
    </w:p>
    <w:p>
      <w:pPr>
        <w:spacing w:line="360" w:lineRule="auto"/>
        <w:ind w:firstLine="482" w:firstLineChars="200"/>
        <w:jc w:val="both"/>
        <w:rPr>
          <w:rFonts w:hint="eastAsia" w:ascii="宋体" w:hAnsi="宋体" w:cs="宋体"/>
          <w:b/>
          <w:bCs/>
          <w:kern w:val="28"/>
          <w:sz w:val="24"/>
          <w:szCs w:val="24"/>
        </w:rPr>
      </w:pPr>
      <w:r>
        <w:rPr>
          <w:rFonts w:hint="eastAsia" w:ascii="宋体" w:hAnsi="宋体" w:cs="宋体"/>
          <w:b/>
          <w:bCs/>
          <w:kern w:val="28"/>
          <w:sz w:val="24"/>
          <w:szCs w:val="24"/>
        </w:rPr>
        <w:t>五、决标办法</w:t>
      </w:r>
    </w:p>
    <w:p>
      <w:pPr>
        <w:spacing w:line="360" w:lineRule="auto"/>
        <w:ind w:firstLine="420" w:firstLineChars="200"/>
        <w:rPr>
          <w:rFonts w:hint="eastAsia" w:ascii="宋体" w:hAnsi="宋体" w:cs="宋体"/>
          <w:bCs/>
          <w:kern w:val="28"/>
        </w:rPr>
      </w:pPr>
      <w:r>
        <w:rPr>
          <w:rFonts w:hint="eastAsia" w:ascii="宋体" w:hAnsi="宋体" w:cs="宋体"/>
          <w:bCs/>
          <w:kern w:val="28"/>
        </w:rPr>
        <w:t>招标代理机构对评标报告充分评议研究后，以技术商务文件和价格文件合计分值的从高到低向采购人推荐排名次序的候选人，并提交书面评标报告。如中标供应商在中标后不履行合同或拒绝已承诺的有关条款，则视为其违约，并从备选的候选人中选择中标供应商。</w:t>
      </w:r>
    </w:p>
    <w:p>
      <w:pPr>
        <w:spacing w:line="360" w:lineRule="auto"/>
        <w:ind w:firstLine="420" w:firstLineChars="200"/>
        <w:rPr>
          <w:rFonts w:hint="eastAsia" w:ascii="宋体" w:hAnsi="宋体" w:cs="宋体"/>
        </w:rPr>
      </w:pPr>
      <w:r>
        <w:rPr>
          <w:rFonts w:hint="eastAsia" w:ascii="宋体" w:hAnsi="宋体" w:cs="宋体"/>
        </w:rPr>
        <w:t>评审中需要供应商对其响应文件作出澄清、说明、补正的，代理机构将统一由“政府采购云平台”发出通知，各供应商在30分钟内通过“政府采购云平台”作出澄清、说明、补正。</w:t>
      </w:r>
    </w:p>
    <w:p>
      <w:pPr>
        <w:numPr>
          <w:ilvl w:val="0"/>
          <w:numId w:val="52"/>
        </w:numPr>
        <w:spacing w:line="360" w:lineRule="auto"/>
        <w:ind w:firstLine="482" w:firstLineChars="200"/>
        <w:jc w:val="both"/>
        <w:rPr>
          <w:rFonts w:hint="eastAsia" w:ascii="宋体" w:hAnsi="宋体" w:cs="宋体"/>
          <w:b/>
          <w:bCs/>
          <w:kern w:val="28"/>
          <w:sz w:val="24"/>
          <w:szCs w:val="24"/>
        </w:rPr>
      </w:pPr>
      <w:r>
        <w:rPr>
          <w:rFonts w:hint="eastAsia" w:ascii="宋体" w:hAnsi="宋体" w:cs="宋体"/>
          <w:b/>
          <w:bCs/>
          <w:kern w:val="28"/>
          <w:sz w:val="24"/>
          <w:szCs w:val="24"/>
        </w:rPr>
        <w:t>评标细则</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793"/>
        <w:gridCol w:w="699"/>
        <w:gridCol w:w="1933"/>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项号</w:t>
            </w:r>
          </w:p>
        </w:tc>
        <w:tc>
          <w:tcPr>
            <w:tcW w:w="1793" w:type="dxa"/>
            <w:noWrap w:val="0"/>
            <w:vAlign w:val="center"/>
          </w:tcPr>
          <w:p>
            <w:pPr>
              <w:spacing w:line="360" w:lineRule="auto"/>
              <w:ind w:right="3"/>
              <w:jc w:val="center"/>
              <w:rPr>
                <w:rFonts w:hint="eastAsia" w:ascii="宋体" w:hAnsi="宋体" w:cs="宋体"/>
                <w:szCs w:val="21"/>
              </w:rPr>
            </w:pPr>
            <w:r>
              <w:rPr>
                <w:rFonts w:hint="eastAsia" w:ascii="宋体" w:hAnsi="宋体" w:cs="宋体"/>
              </w:rPr>
              <w:t>评审类型</w:t>
            </w:r>
          </w:p>
        </w:tc>
        <w:tc>
          <w:tcPr>
            <w:tcW w:w="2632" w:type="dxa"/>
            <w:gridSpan w:val="2"/>
            <w:noWrap w:val="0"/>
            <w:vAlign w:val="center"/>
          </w:tcPr>
          <w:p>
            <w:pPr>
              <w:pStyle w:val="8"/>
              <w:spacing w:line="360" w:lineRule="auto"/>
              <w:ind w:firstLine="0"/>
              <w:jc w:val="center"/>
              <w:rPr>
                <w:rFonts w:hint="eastAsia" w:ascii="宋体" w:hAnsi="宋体" w:cs="宋体"/>
                <w:sz w:val="24"/>
                <w:szCs w:val="24"/>
                <w:lang w:val="en-US" w:eastAsia="zh-CN"/>
              </w:rPr>
            </w:pPr>
            <w:r>
              <w:rPr>
                <w:rFonts w:hint="eastAsia" w:ascii="宋体" w:hAnsi="宋体" w:cs="宋体"/>
                <w:sz w:val="24"/>
                <w:szCs w:val="24"/>
                <w:lang w:val="en-US" w:eastAsia="zh-CN"/>
              </w:rPr>
              <w:t>评审内容</w:t>
            </w:r>
          </w:p>
        </w:tc>
        <w:tc>
          <w:tcPr>
            <w:tcW w:w="4155" w:type="dxa"/>
            <w:noWrap w:val="0"/>
            <w:vAlign w:val="center"/>
          </w:tcPr>
          <w:p>
            <w:pPr>
              <w:pStyle w:val="8"/>
              <w:spacing w:line="360" w:lineRule="auto"/>
              <w:ind w:firstLine="0"/>
              <w:jc w:val="center"/>
              <w:rPr>
                <w:rFonts w:hint="eastAsia" w:ascii="宋体" w:hAnsi="宋体" w:cs="宋体"/>
                <w:sz w:val="24"/>
                <w:szCs w:val="24"/>
                <w:lang w:val="en-US" w:eastAsia="zh-CN"/>
              </w:rPr>
            </w:pPr>
            <w:r>
              <w:rPr>
                <w:rFonts w:hint="eastAsia" w:ascii="宋体" w:hAnsi="宋体" w:cs="宋体"/>
                <w:sz w:val="24"/>
                <w:szCs w:val="24"/>
                <w:lang w:val="en-US" w:eastAsia="zh-CN"/>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6"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1</w:t>
            </w:r>
          </w:p>
        </w:tc>
        <w:tc>
          <w:tcPr>
            <w:tcW w:w="1793" w:type="dxa"/>
            <w:noWrap w:val="0"/>
            <w:vAlign w:val="center"/>
          </w:tcPr>
          <w:p>
            <w:pPr>
              <w:spacing w:line="360" w:lineRule="auto"/>
              <w:ind w:right="3"/>
              <w:jc w:val="center"/>
              <w:rPr>
                <w:rFonts w:hint="eastAsia" w:ascii="宋体" w:hAnsi="宋体" w:cs="宋体"/>
              </w:rPr>
            </w:pPr>
            <w:r>
              <w:rPr>
                <w:rFonts w:hint="eastAsia" w:ascii="宋体" w:hAnsi="宋体" w:cs="宋体"/>
                <w:b/>
                <w:szCs w:val="21"/>
              </w:rPr>
              <w:t>资格</w:t>
            </w:r>
            <w:r>
              <w:rPr>
                <w:rFonts w:hint="eastAsia" w:ascii="宋体" w:hAnsi="宋体" w:cs="宋体"/>
                <w:b/>
                <w:bCs/>
                <w:kern w:val="28"/>
              </w:rPr>
              <w:t>性检查</w:t>
            </w:r>
          </w:p>
        </w:tc>
        <w:tc>
          <w:tcPr>
            <w:tcW w:w="6787" w:type="dxa"/>
            <w:gridSpan w:val="3"/>
            <w:noWrap w:val="0"/>
            <w:vAlign w:val="center"/>
          </w:tcPr>
          <w:p>
            <w:pPr>
              <w:spacing w:line="360" w:lineRule="auto"/>
              <w:ind w:firstLine="420" w:firstLineChars="200"/>
              <w:rPr>
                <w:rFonts w:hint="eastAsia" w:ascii="宋体" w:hAnsi="宋体" w:cs="宋体"/>
                <w:szCs w:val="21"/>
              </w:rPr>
            </w:pPr>
            <w:r>
              <w:rPr>
                <w:rFonts w:hint="eastAsia" w:ascii="宋体" w:hAnsi="宋体" w:cs="宋体"/>
                <w:szCs w:val="21"/>
              </w:rPr>
              <w:t>投标供应商的资格审查（投标供应商必须满足下列资格审查的必要条件，凡不能满足下列必要条件之一的，则否决其磋商响应文件</w:t>
            </w:r>
            <w:r>
              <w:rPr>
                <w:rFonts w:hint="eastAsia" w:ascii="宋体" w:hAnsi="宋体" w:cs="宋体"/>
                <w:bCs/>
                <w:szCs w:val="21"/>
              </w:rPr>
              <w:t>）</w:t>
            </w:r>
            <w:r>
              <w:rPr>
                <w:rFonts w:hint="eastAsia" w:ascii="宋体" w:hAnsi="宋体" w:cs="宋体"/>
                <w:b/>
                <w:bCs/>
                <w:szCs w:val="21"/>
              </w:rPr>
              <w:t>：</w:t>
            </w:r>
          </w:p>
          <w:p>
            <w:pPr>
              <w:numPr>
                <w:ilvl w:val="0"/>
                <w:numId w:val="53"/>
              </w:numPr>
              <w:spacing w:line="360" w:lineRule="auto"/>
              <w:ind w:firstLine="315" w:firstLineChars="150"/>
              <w:rPr>
                <w:rFonts w:hint="eastAsia" w:ascii="宋体" w:hAnsi="宋体" w:cs="宋体"/>
                <w:bCs/>
                <w:szCs w:val="21"/>
              </w:rPr>
            </w:pPr>
            <w:r>
              <w:rPr>
                <w:rFonts w:hint="eastAsia" w:ascii="宋体" w:hAnsi="宋体" w:cs="宋体"/>
                <w:bCs/>
                <w:szCs w:val="21"/>
              </w:rPr>
              <w:t>符合《中华人民共和国政府采购法》第二十二条的要求；</w:t>
            </w:r>
          </w:p>
          <w:p>
            <w:pPr>
              <w:numPr>
                <w:ilvl w:val="0"/>
                <w:numId w:val="53"/>
              </w:numPr>
              <w:spacing w:line="360" w:lineRule="auto"/>
              <w:ind w:firstLine="315" w:firstLineChars="150"/>
              <w:rPr>
                <w:rFonts w:hint="eastAsia" w:ascii="宋体" w:hAnsi="宋体" w:cs="宋体"/>
                <w:bCs/>
                <w:szCs w:val="21"/>
              </w:rPr>
            </w:pPr>
            <w:r>
              <w:rPr>
                <w:rFonts w:hint="eastAsia" w:ascii="宋体" w:hAnsi="宋体" w:cs="宋体"/>
                <w:bCs/>
                <w:szCs w:val="21"/>
              </w:rPr>
              <w:t>未被信用中国网站（www.creditchina.gov.cn）列入失信被执行人、重大税收违法件当事人名单，未被中国政府采购网（www.ccgp.gov.cn）列入政府采购严重违法失信行为记录名单。</w:t>
            </w:r>
          </w:p>
          <w:p>
            <w:pPr>
              <w:pStyle w:val="8"/>
              <w:spacing w:line="360" w:lineRule="auto"/>
              <w:ind w:firstLine="0"/>
              <w:rPr>
                <w:rFonts w:hint="eastAsia" w:ascii="宋体" w:hAnsi="宋体" w:cs="宋体"/>
                <w:szCs w:val="21"/>
                <w:lang w:val="en-US" w:eastAsia="zh-CN"/>
              </w:rPr>
            </w:pPr>
            <w:r>
              <w:rPr>
                <w:rFonts w:hint="eastAsia" w:ascii="宋体" w:hAnsi="宋体" w:cs="宋体"/>
                <w:b/>
                <w:szCs w:val="21"/>
                <w:u w:val="single"/>
                <w:lang w:val="en-US" w:eastAsia="zh-CN"/>
              </w:rPr>
              <w:t>注：如各类证件在年检、升级、变更的，不能提供的，应有相应的主管部门出具的书面材料扫描件加盖单位公章。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646" w:type="dxa"/>
            <w:vMerge w:val="restart"/>
            <w:noWrap w:val="0"/>
            <w:vAlign w:val="center"/>
          </w:tcPr>
          <w:p>
            <w:pPr>
              <w:spacing w:line="360" w:lineRule="auto"/>
              <w:ind w:right="3"/>
              <w:jc w:val="center"/>
              <w:rPr>
                <w:rFonts w:hint="eastAsia" w:ascii="宋体" w:hAnsi="宋体" w:cs="宋体"/>
                <w:spacing w:val="4"/>
                <w:szCs w:val="21"/>
              </w:rPr>
            </w:pPr>
            <w:r>
              <w:rPr>
                <w:rFonts w:hint="eastAsia" w:ascii="宋体" w:hAnsi="宋体" w:cs="宋体"/>
                <w:spacing w:val="4"/>
                <w:szCs w:val="21"/>
              </w:rPr>
              <w:t>2</w:t>
            </w:r>
          </w:p>
        </w:tc>
        <w:tc>
          <w:tcPr>
            <w:tcW w:w="1793" w:type="dxa"/>
            <w:vMerge w:val="restart"/>
            <w:noWrap w:val="0"/>
            <w:vAlign w:val="center"/>
          </w:tcPr>
          <w:p>
            <w:pPr>
              <w:spacing w:line="360" w:lineRule="auto"/>
              <w:ind w:right="3"/>
              <w:jc w:val="center"/>
              <w:rPr>
                <w:rFonts w:hint="eastAsia" w:ascii="宋体" w:hAnsi="宋体" w:cs="宋体"/>
                <w:b/>
                <w:spacing w:val="4"/>
                <w:szCs w:val="21"/>
              </w:rPr>
            </w:pPr>
            <w:r>
              <w:rPr>
                <w:rFonts w:hint="eastAsia" w:ascii="宋体" w:hAnsi="宋体" w:cs="宋体"/>
                <w:b/>
                <w:bCs/>
                <w:kern w:val="28"/>
              </w:rPr>
              <w:t>符合性检查</w:t>
            </w:r>
          </w:p>
        </w:tc>
        <w:tc>
          <w:tcPr>
            <w:tcW w:w="2632" w:type="dxa"/>
            <w:gridSpan w:val="2"/>
            <w:noWrap w:val="0"/>
            <w:vAlign w:val="center"/>
          </w:tcPr>
          <w:p>
            <w:pPr>
              <w:pStyle w:val="8"/>
              <w:spacing w:line="360" w:lineRule="auto"/>
              <w:ind w:firstLine="0"/>
              <w:jc w:val="center"/>
              <w:rPr>
                <w:rFonts w:hint="eastAsia" w:ascii="宋体" w:hAnsi="宋体" w:cs="宋体"/>
                <w:szCs w:val="21"/>
                <w:lang w:val="en-US" w:eastAsia="zh-CN"/>
              </w:rPr>
            </w:pPr>
            <w:r>
              <w:rPr>
                <w:rFonts w:hint="eastAsia" w:ascii="宋体" w:hAnsi="宋体" w:cs="宋体"/>
                <w:szCs w:val="21"/>
                <w:lang w:val="en-US" w:eastAsia="zh-CN"/>
              </w:rPr>
              <w:t>投标供应商名称</w:t>
            </w:r>
          </w:p>
        </w:tc>
        <w:tc>
          <w:tcPr>
            <w:tcW w:w="4155" w:type="dxa"/>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与营业执照（或企业法人营业执照或事业单位法人证书或个体工商户营业执照或自然人身份证明执业许可证等证明文件）一致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646" w:type="dxa"/>
            <w:vMerge w:val="continue"/>
            <w:noWrap w:val="0"/>
            <w:vAlign w:val="center"/>
          </w:tcPr>
          <w:p>
            <w:pPr>
              <w:spacing w:line="360" w:lineRule="auto"/>
              <w:ind w:right="3"/>
              <w:jc w:val="center"/>
              <w:rPr>
                <w:rFonts w:hint="eastAsia" w:ascii="宋体" w:hAnsi="宋体" w:cs="宋体"/>
                <w:szCs w:val="21"/>
              </w:rPr>
            </w:pPr>
          </w:p>
        </w:tc>
        <w:tc>
          <w:tcPr>
            <w:tcW w:w="1793" w:type="dxa"/>
            <w:vMerge w:val="continue"/>
            <w:noWrap w:val="0"/>
            <w:vAlign w:val="center"/>
          </w:tcPr>
          <w:p>
            <w:pPr>
              <w:spacing w:line="360" w:lineRule="auto"/>
              <w:ind w:right="3"/>
              <w:jc w:val="center"/>
              <w:rPr>
                <w:rFonts w:hint="eastAsia" w:ascii="宋体" w:hAnsi="宋体" w:cs="宋体"/>
                <w:szCs w:val="21"/>
              </w:rPr>
            </w:pPr>
          </w:p>
        </w:tc>
        <w:tc>
          <w:tcPr>
            <w:tcW w:w="2632" w:type="dxa"/>
            <w:gridSpan w:val="2"/>
            <w:noWrap w:val="0"/>
            <w:vAlign w:val="center"/>
          </w:tcPr>
          <w:p>
            <w:pPr>
              <w:pStyle w:val="8"/>
              <w:spacing w:line="360" w:lineRule="auto"/>
              <w:ind w:firstLine="0"/>
              <w:jc w:val="center"/>
              <w:rPr>
                <w:rFonts w:hint="eastAsia" w:ascii="宋体" w:hAnsi="宋体" w:cs="宋体"/>
                <w:szCs w:val="21"/>
                <w:lang w:val="en-US" w:eastAsia="zh-CN"/>
              </w:rPr>
            </w:pPr>
            <w:r>
              <w:rPr>
                <w:rFonts w:hint="eastAsia" w:ascii="宋体" w:hAnsi="宋体" w:cs="宋体"/>
                <w:szCs w:val="21"/>
                <w:lang w:val="en-US" w:eastAsia="zh-CN"/>
              </w:rPr>
              <w:t>投标函签字盖章</w:t>
            </w:r>
          </w:p>
        </w:tc>
        <w:tc>
          <w:tcPr>
            <w:tcW w:w="4155" w:type="dxa"/>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有法定代表人（或其委托代理人）签字（或盖章）并加盖单位章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646" w:type="dxa"/>
            <w:vMerge w:val="continue"/>
            <w:noWrap w:val="0"/>
            <w:vAlign w:val="center"/>
          </w:tcPr>
          <w:p>
            <w:pPr>
              <w:spacing w:line="360" w:lineRule="auto"/>
              <w:ind w:right="3"/>
              <w:jc w:val="center"/>
              <w:rPr>
                <w:rFonts w:hint="eastAsia" w:ascii="宋体" w:hAnsi="宋体" w:cs="宋体"/>
                <w:szCs w:val="21"/>
              </w:rPr>
            </w:pPr>
          </w:p>
        </w:tc>
        <w:tc>
          <w:tcPr>
            <w:tcW w:w="1793" w:type="dxa"/>
            <w:vMerge w:val="continue"/>
            <w:noWrap w:val="0"/>
            <w:vAlign w:val="center"/>
          </w:tcPr>
          <w:p>
            <w:pPr>
              <w:spacing w:line="360" w:lineRule="auto"/>
              <w:ind w:right="3"/>
              <w:jc w:val="center"/>
              <w:rPr>
                <w:rFonts w:hint="eastAsia" w:ascii="宋体" w:hAnsi="宋体" w:cs="宋体"/>
                <w:szCs w:val="21"/>
              </w:rPr>
            </w:pPr>
          </w:p>
        </w:tc>
        <w:tc>
          <w:tcPr>
            <w:tcW w:w="2632" w:type="dxa"/>
            <w:gridSpan w:val="2"/>
            <w:noWrap w:val="0"/>
            <w:vAlign w:val="center"/>
          </w:tcPr>
          <w:p>
            <w:pPr>
              <w:pStyle w:val="8"/>
              <w:spacing w:line="360" w:lineRule="auto"/>
              <w:ind w:firstLine="0"/>
              <w:jc w:val="center"/>
              <w:rPr>
                <w:rFonts w:hint="eastAsia" w:ascii="宋体" w:hAnsi="宋体" w:cs="宋体"/>
                <w:szCs w:val="21"/>
                <w:lang w:val="en-US" w:eastAsia="zh-CN"/>
              </w:rPr>
            </w:pPr>
            <w:r>
              <w:rPr>
                <w:rFonts w:hint="eastAsia" w:ascii="宋体" w:hAnsi="宋体" w:cs="宋体"/>
                <w:szCs w:val="21"/>
                <w:lang w:val="en-US" w:eastAsia="zh-CN"/>
              </w:rPr>
              <w:t>投标文件编制</w:t>
            </w:r>
          </w:p>
        </w:tc>
        <w:tc>
          <w:tcPr>
            <w:tcW w:w="4155" w:type="dxa"/>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符合招标文件的编制要求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646" w:type="dxa"/>
            <w:vMerge w:val="continue"/>
            <w:noWrap w:val="0"/>
            <w:vAlign w:val="center"/>
          </w:tcPr>
          <w:p>
            <w:pPr>
              <w:spacing w:line="360" w:lineRule="auto"/>
              <w:ind w:right="3"/>
              <w:jc w:val="center"/>
              <w:rPr>
                <w:rFonts w:hint="eastAsia" w:ascii="宋体" w:hAnsi="宋体" w:cs="宋体"/>
                <w:szCs w:val="21"/>
              </w:rPr>
            </w:pPr>
          </w:p>
        </w:tc>
        <w:tc>
          <w:tcPr>
            <w:tcW w:w="1793" w:type="dxa"/>
            <w:vMerge w:val="continue"/>
            <w:noWrap w:val="0"/>
            <w:vAlign w:val="center"/>
          </w:tcPr>
          <w:p>
            <w:pPr>
              <w:spacing w:line="360" w:lineRule="auto"/>
              <w:ind w:right="3"/>
              <w:jc w:val="center"/>
              <w:rPr>
                <w:rFonts w:hint="eastAsia" w:ascii="宋体" w:hAnsi="宋体" w:cs="宋体"/>
                <w:szCs w:val="21"/>
              </w:rPr>
            </w:pPr>
          </w:p>
        </w:tc>
        <w:tc>
          <w:tcPr>
            <w:tcW w:w="2632" w:type="dxa"/>
            <w:gridSpan w:val="2"/>
            <w:noWrap w:val="0"/>
            <w:vAlign w:val="center"/>
          </w:tcPr>
          <w:p>
            <w:pPr>
              <w:pStyle w:val="8"/>
              <w:spacing w:line="360" w:lineRule="auto"/>
              <w:ind w:firstLine="0"/>
              <w:jc w:val="center"/>
              <w:rPr>
                <w:rFonts w:hint="eastAsia" w:ascii="宋体" w:hAnsi="宋体" w:cs="宋体"/>
                <w:szCs w:val="21"/>
                <w:lang w:val="en-US" w:eastAsia="zh-CN"/>
              </w:rPr>
            </w:pPr>
            <w:r>
              <w:rPr>
                <w:rFonts w:hint="eastAsia" w:ascii="宋体" w:hAnsi="宋体" w:cs="宋体"/>
                <w:szCs w:val="21"/>
                <w:lang w:val="en-US" w:eastAsia="zh-CN"/>
              </w:rPr>
              <w:t>投标有效期</w:t>
            </w:r>
          </w:p>
        </w:tc>
        <w:tc>
          <w:tcPr>
            <w:tcW w:w="4155" w:type="dxa"/>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不少于90天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646" w:type="dxa"/>
            <w:vMerge w:val="continue"/>
            <w:noWrap w:val="0"/>
            <w:vAlign w:val="center"/>
          </w:tcPr>
          <w:p>
            <w:pPr>
              <w:spacing w:line="360" w:lineRule="auto"/>
              <w:ind w:right="3"/>
              <w:jc w:val="center"/>
              <w:rPr>
                <w:rFonts w:hint="eastAsia" w:ascii="宋体" w:hAnsi="宋体" w:cs="宋体"/>
                <w:szCs w:val="21"/>
              </w:rPr>
            </w:pPr>
          </w:p>
        </w:tc>
        <w:tc>
          <w:tcPr>
            <w:tcW w:w="1793" w:type="dxa"/>
            <w:vMerge w:val="continue"/>
            <w:noWrap w:val="0"/>
            <w:vAlign w:val="center"/>
          </w:tcPr>
          <w:p>
            <w:pPr>
              <w:spacing w:line="360" w:lineRule="auto"/>
              <w:ind w:right="3"/>
              <w:jc w:val="center"/>
              <w:rPr>
                <w:rFonts w:hint="eastAsia" w:ascii="宋体" w:hAnsi="宋体" w:cs="宋体"/>
                <w:szCs w:val="21"/>
              </w:rPr>
            </w:pPr>
          </w:p>
        </w:tc>
        <w:tc>
          <w:tcPr>
            <w:tcW w:w="2632" w:type="dxa"/>
            <w:gridSpan w:val="2"/>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实质性响应内容</w:t>
            </w:r>
          </w:p>
        </w:tc>
        <w:tc>
          <w:tcPr>
            <w:tcW w:w="4155" w:type="dxa"/>
            <w:noWrap w:val="0"/>
            <w:vAlign w:val="center"/>
          </w:tcPr>
          <w:p>
            <w:pPr>
              <w:pStyle w:val="8"/>
              <w:ind w:firstLine="0"/>
              <w:jc w:val="center"/>
              <w:rPr>
                <w:rFonts w:hint="eastAsia" w:ascii="宋体" w:hAnsi="宋体" w:cs="宋体"/>
                <w:szCs w:val="21"/>
                <w:lang w:val="en-US" w:eastAsia="zh-CN"/>
              </w:rPr>
            </w:pPr>
            <w:r>
              <w:rPr>
                <w:rFonts w:hint="eastAsia" w:ascii="宋体" w:hAnsi="宋体" w:cs="宋体"/>
                <w:szCs w:val="21"/>
                <w:lang w:val="en-US" w:eastAsia="zh-CN"/>
              </w:rPr>
              <w:t>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3</w:t>
            </w:r>
          </w:p>
        </w:tc>
        <w:tc>
          <w:tcPr>
            <w:tcW w:w="1793" w:type="dxa"/>
            <w:noWrap w:val="0"/>
            <w:vAlign w:val="center"/>
          </w:tcPr>
          <w:p>
            <w:pPr>
              <w:ind w:right="3"/>
              <w:jc w:val="center"/>
              <w:rPr>
                <w:rFonts w:hint="eastAsia" w:ascii="宋体" w:hAnsi="宋体" w:cs="宋体"/>
                <w:b/>
                <w:szCs w:val="21"/>
              </w:rPr>
            </w:pPr>
            <w:r>
              <w:rPr>
                <w:rFonts w:hint="eastAsia" w:ascii="宋体" w:hAnsi="宋体" w:cs="宋体"/>
                <w:b/>
                <w:szCs w:val="21"/>
              </w:rPr>
              <w:t>无效标条款</w:t>
            </w:r>
          </w:p>
        </w:tc>
        <w:tc>
          <w:tcPr>
            <w:tcW w:w="6787" w:type="dxa"/>
            <w:gridSpan w:val="3"/>
            <w:tcBorders>
              <w:top w:val="single" w:color="auto" w:sz="4" w:space="0"/>
            </w:tcBorders>
            <w:noWrap w:val="0"/>
            <w:vAlign w:val="center"/>
          </w:tcPr>
          <w:p>
            <w:pPr>
              <w:numPr>
                <w:ilvl w:val="0"/>
                <w:numId w:val="54"/>
              </w:numPr>
              <w:rPr>
                <w:rFonts w:hint="eastAsia" w:ascii="宋体" w:hAnsi="宋体" w:cs="宋体"/>
                <w:bCs/>
                <w:kern w:val="28"/>
              </w:rPr>
            </w:pPr>
            <w:r>
              <w:rPr>
                <w:rFonts w:hint="eastAsia" w:ascii="宋体" w:hAnsi="宋体" w:cs="宋体"/>
                <w:szCs w:val="21"/>
              </w:rPr>
              <w:t>仅提交备份投标文件的</w:t>
            </w:r>
            <w:r>
              <w:rPr>
                <w:rFonts w:hint="eastAsia" w:ascii="宋体" w:hAnsi="宋体" w:cs="宋体"/>
                <w:bCs/>
                <w:kern w:val="28"/>
              </w:rPr>
              <w:t>；</w:t>
            </w:r>
          </w:p>
          <w:p>
            <w:pPr>
              <w:numPr>
                <w:ilvl w:val="0"/>
                <w:numId w:val="54"/>
              </w:numPr>
              <w:rPr>
                <w:rFonts w:hint="eastAsia" w:ascii="宋体" w:hAnsi="宋体" w:cs="宋体"/>
                <w:bCs/>
                <w:kern w:val="28"/>
              </w:rPr>
            </w:pPr>
            <w:r>
              <w:rPr>
                <w:rFonts w:hint="eastAsia" w:ascii="宋体" w:hAnsi="宋体" w:cs="宋体"/>
                <w:bCs/>
                <w:kern w:val="28"/>
              </w:rPr>
              <w:t>投标文件存在一个或一个以上备选（替代）投标方案的；</w:t>
            </w:r>
          </w:p>
          <w:p>
            <w:pPr>
              <w:numPr>
                <w:ilvl w:val="0"/>
                <w:numId w:val="54"/>
              </w:numPr>
              <w:rPr>
                <w:rFonts w:hint="eastAsia" w:ascii="宋体" w:hAnsi="宋体" w:cs="宋体"/>
                <w:bCs/>
                <w:kern w:val="28"/>
              </w:rPr>
            </w:pPr>
            <w:r>
              <w:rPr>
                <w:rFonts w:hint="eastAsia" w:ascii="宋体" w:hAnsi="宋体" w:cs="宋体"/>
                <w:szCs w:val="21"/>
              </w:rPr>
              <w:t>电子加密投标文件解密失败且未按规定提交备份投标文件的</w:t>
            </w:r>
            <w:r>
              <w:rPr>
                <w:rFonts w:hint="eastAsia" w:ascii="宋体" w:hAnsi="宋体" w:cs="宋体"/>
                <w:bCs/>
                <w:kern w:val="28"/>
              </w:rPr>
              <w:t>；</w:t>
            </w:r>
          </w:p>
          <w:p>
            <w:pPr>
              <w:numPr>
                <w:ilvl w:val="0"/>
                <w:numId w:val="54"/>
              </w:numPr>
              <w:rPr>
                <w:rFonts w:hint="eastAsia" w:ascii="宋体" w:hAnsi="宋体" w:cs="宋体"/>
                <w:bCs/>
                <w:kern w:val="28"/>
              </w:rPr>
            </w:pPr>
            <w:r>
              <w:rPr>
                <w:rFonts w:hint="eastAsia" w:ascii="宋体" w:hAnsi="宋体" w:cs="宋体"/>
                <w:bCs/>
                <w:kern w:val="28"/>
              </w:rPr>
              <w:t>电子投标文件及备份投标文件均解密失败的；</w:t>
            </w:r>
          </w:p>
          <w:p>
            <w:pPr>
              <w:numPr>
                <w:ilvl w:val="0"/>
                <w:numId w:val="54"/>
              </w:numPr>
              <w:rPr>
                <w:rFonts w:hint="eastAsia" w:ascii="宋体" w:hAnsi="宋体" w:cs="宋体"/>
                <w:bCs/>
                <w:kern w:val="28"/>
              </w:rPr>
            </w:pPr>
            <w:r>
              <w:rPr>
                <w:rFonts w:hint="eastAsia" w:ascii="宋体" w:hAnsi="宋体" w:cs="宋体"/>
                <w:b/>
                <w:bCs/>
              </w:rPr>
              <w:t>投标报价不是固定的或超过财政预算价的或超过相对应的最高限价的</w:t>
            </w:r>
            <w:r>
              <w:rPr>
                <w:rFonts w:hint="eastAsia" w:ascii="宋体" w:hAnsi="宋体" w:cs="宋体"/>
                <w:bCs/>
                <w:kern w:val="28"/>
              </w:rPr>
              <w:t>；</w:t>
            </w:r>
          </w:p>
          <w:p>
            <w:pPr>
              <w:numPr>
                <w:ilvl w:val="0"/>
                <w:numId w:val="54"/>
              </w:numPr>
              <w:rPr>
                <w:rFonts w:hint="eastAsia" w:ascii="宋体" w:hAnsi="宋体" w:cs="宋体"/>
                <w:bCs/>
                <w:kern w:val="28"/>
              </w:rPr>
            </w:pPr>
            <w:r>
              <w:rPr>
                <w:rFonts w:hint="eastAsia" w:ascii="宋体" w:hAnsi="宋体" w:cs="宋体"/>
                <w:bCs/>
                <w:kern w:val="28"/>
              </w:rPr>
              <w:t>投标有效期不足的；</w:t>
            </w:r>
          </w:p>
          <w:p>
            <w:pPr>
              <w:numPr>
                <w:ilvl w:val="0"/>
                <w:numId w:val="54"/>
              </w:numPr>
              <w:rPr>
                <w:rFonts w:hint="eastAsia" w:ascii="宋体" w:hAnsi="宋体" w:cs="宋体"/>
                <w:bCs/>
                <w:kern w:val="28"/>
              </w:rPr>
            </w:pPr>
            <w:r>
              <w:rPr>
                <w:rFonts w:hint="eastAsia" w:ascii="宋体" w:hAnsi="宋体" w:cs="宋体"/>
                <w:bCs/>
                <w:kern w:val="28"/>
              </w:rPr>
              <w:t>单价与总价不相符，又不接受评标委员会修正的投标总价或投标明显不合理而投标供应商不能合理说明的；</w:t>
            </w:r>
          </w:p>
          <w:p>
            <w:pPr>
              <w:numPr>
                <w:ilvl w:val="0"/>
                <w:numId w:val="54"/>
              </w:numPr>
              <w:rPr>
                <w:rFonts w:hint="eastAsia" w:ascii="宋体" w:hAnsi="宋体" w:cs="宋体"/>
                <w:bCs/>
                <w:kern w:val="28"/>
              </w:rPr>
            </w:pPr>
            <w:r>
              <w:rPr>
                <w:rFonts w:hint="eastAsia" w:ascii="宋体" w:hAnsi="宋体" w:cs="宋体"/>
                <w:bCs/>
                <w:kern w:val="28"/>
              </w:rPr>
              <w:t>存在串标、抬标或弄虚作假情况的；</w:t>
            </w:r>
          </w:p>
          <w:p>
            <w:pPr>
              <w:numPr>
                <w:ilvl w:val="0"/>
                <w:numId w:val="54"/>
              </w:numPr>
              <w:rPr>
                <w:rFonts w:hint="eastAsia" w:ascii="宋体" w:hAnsi="宋体" w:cs="宋体"/>
                <w:bCs/>
                <w:kern w:val="28"/>
              </w:rPr>
            </w:pPr>
            <w:r>
              <w:rPr>
                <w:rFonts w:hint="eastAsia" w:ascii="宋体" w:hAnsi="宋体" w:cs="宋体"/>
                <w:bCs/>
                <w:kern w:val="28"/>
              </w:rPr>
              <w:t>不具备招标文件中规定资格要求的；</w:t>
            </w:r>
          </w:p>
          <w:p>
            <w:pPr>
              <w:numPr>
                <w:ilvl w:val="0"/>
                <w:numId w:val="54"/>
              </w:numPr>
              <w:rPr>
                <w:rFonts w:hint="eastAsia" w:ascii="宋体" w:hAnsi="宋体" w:cs="宋体"/>
                <w:bCs/>
                <w:kern w:val="28"/>
              </w:rPr>
            </w:pPr>
            <w:r>
              <w:rPr>
                <w:rFonts w:hint="eastAsia" w:ascii="宋体" w:hAnsi="宋体" w:cs="宋体"/>
                <w:bCs/>
                <w:kern w:val="28"/>
              </w:rPr>
              <w:t>未按招标文件要求提供承诺书的；</w:t>
            </w:r>
          </w:p>
          <w:p>
            <w:pPr>
              <w:numPr>
                <w:ilvl w:val="0"/>
                <w:numId w:val="54"/>
              </w:numPr>
              <w:rPr>
                <w:rFonts w:hint="eastAsia" w:ascii="宋体" w:hAnsi="宋体" w:cs="宋体"/>
                <w:bCs/>
                <w:kern w:val="28"/>
              </w:rPr>
            </w:pPr>
            <w:r>
              <w:rPr>
                <w:rFonts w:hint="eastAsia" w:ascii="宋体" w:hAnsi="宋体" w:cs="宋体"/>
                <w:bCs/>
                <w:kern w:val="28"/>
              </w:rPr>
              <w:t>投标文件含有采购人不能接受的附加条件的；</w:t>
            </w:r>
          </w:p>
          <w:p>
            <w:pPr>
              <w:numPr>
                <w:ilvl w:val="0"/>
                <w:numId w:val="54"/>
              </w:numPr>
              <w:rPr>
                <w:rFonts w:hint="eastAsia" w:ascii="宋体" w:hAnsi="宋体" w:cs="宋体"/>
                <w:bCs/>
                <w:kern w:val="28"/>
                <w:szCs w:val="22"/>
              </w:rPr>
            </w:pPr>
            <w:r>
              <w:rPr>
                <w:rFonts w:hint="eastAsia" w:ascii="宋体" w:hAnsi="宋体" w:cs="宋体"/>
                <w:bCs/>
                <w:kern w:val="28"/>
              </w:rPr>
              <w:t>投标人存在不良信用记录的（具体详见投标供应商须知总则第4条）；</w:t>
            </w:r>
          </w:p>
          <w:p>
            <w:pPr>
              <w:numPr>
                <w:ilvl w:val="0"/>
                <w:numId w:val="54"/>
              </w:numPr>
              <w:rPr>
                <w:rFonts w:hint="eastAsia" w:ascii="宋体" w:hAnsi="宋体" w:cs="宋体"/>
                <w:bCs/>
                <w:kern w:val="28"/>
                <w:szCs w:val="22"/>
              </w:rPr>
            </w:pPr>
            <w:r>
              <w:rPr>
                <w:rFonts w:hint="eastAsia" w:ascii="宋体" w:hAnsi="宋体" w:cs="宋体"/>
                <w:bCs/>
                <w:kern w:val="28"/>
                <w:szCs w:val="22"/>
              </w:rPr>
              <w:t>评标委员会认为投标文件未实质性响应招标文件的要求的；</w:t>
            </w:r>
          </w:p>
          <w:p>
            <w:pPr>
              <w:numPr>
                <w:ilvl w:val="0"/>
                <w:numId w:val="54"/>
              </w:numPr>
              <w:rPr>
                <w:rFonts w:hint="eastAsia" w:ascii="宋体" w:hAnsi="宋体" w:cs="宋体"/>
                <w:bCs/>
                <w:kern w:val="28"/>
              </w:rPr>
            </w:pPr>
            <w:r>
              <w:rPr>
                <w:rFonts w:hint="eastAsia" w:ascii="宋体" w:hAnsi="宋体" w:cs="宋体"/>
                <w:bCs/>
                <w:kern w:val="28"/>
              </w:rPr>
              <w:t>授权代表未提供有效法定代表人授权委托书的；</w:t>
            </w:r>
          </w:p>
          <w:p>
            <w:pPr>
              <w:numPr>
                <w:ilvl w:val="0"/>
                <w:numId w:val="54"/>
              </w:numPr>
              <w:rPr>
                <w:rFonts w:hint="eastAsia" w:ascii="宋体" w:hAnsi="宋体" w:cs="宋体"/>
                <w:bCs/>
                <w:kern w:val="28"/>
              </w:rPr>
            </w:pPr>
            <w:r>
              <w:rPr>
                <w:rFonts w:hint="eastAsia" w:ascii="宋体" w:hAnsi="宋体" w:cs="宋体"/>
                <w:bCs/>
                <w:kern w:val="28"/>
              </w:rPr>
              <w:t>投标文件中需签字或盖章的地方未加盖投标供应商单位全称的公章，或使用投标专用章、合同章等类似图章代替，或未经法定代表人或其授权代表签字或盖章；</w:t>
            </w:r>
          </w:p>
          <w:p>
            <w:pPr>
              <w:numPr>
                <w:ilvl w:val="0"/>
                <w:numId w:val="54"/>
              </w:numPr>
              <w:rPr>
                <w:rFonts w:hint="eastAsia" w:ascii="宋体" w:hAnsi="宋体" w:cs="宋体"/>
              </w:rPr>
            </w:pPr>
            <w:r>
              <w:rPr>
                <w:rFonts w:hint="eastAsia" w:ascii="宋体" w:hAnsi="宋体" w:cs="宋体"/>
                <w:bCs/>
                <w:kern w:val="28"/>
              </w:rPr>
              <w:t>不符合法律、法规和</w:t>
            </w:r>
            <w:r>
              <w:rPr>
                <w:rFonts w:hint="eastAsia" w:ascii="宋体" w:hAnsi="宋体" w:cs="宋体"/>
              </w:rPr>
              <w:t>招标文件中规定的其他实质性要求的。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noWrap w:val="0"/>
            <w:vAlign w:val="center"/>
          </w:tcPr>
          <w:p>
            <w:pPr>
              <w:spacing w:line="360" w:lineRule="exact"/>
              <w:ind w:right="3"/>
              <w:jc w:val="center"/>
              <w:rPr>
                <w:rFonts w:hint="eastAsia" w:ascii="宋体" w:hAnsi="宋体" w:cs="宋体"/>
                <w:szCs w:val="21"/>
              </w:rPr>
            </w:pPr>
            <w:r>
              <w:rPr>
                <w:rFonts w:hint="eastAsia" w:ascii="宋体" w:hAnsi="宋体" w:cs="宋体"/>
                <w:szCs w:val="21"/>
              </w:rPr>
              <w:t>4</w:t>
            </w:r>
          </w:p>
        </w:tc>
        <w:tc>
          <w:tcPr>
            <w:tcW w:w="1793" w:type="dxa"/>
            <w:noWrap w:val="0"/>
            <w:vAlign w:val="center"/>
          </w:tcPr>
          <w:p>
            <w:pPr>
              <w:spacing w:line="360" w:lineRule="exact"/>
              <w:ind w:right="6"/>
              <w:jc w:val="center"/>
              <w:rPr>
                <w:rFonts w:hint="eastAsia" w:ascii="宋体" w:hAnsi="宋体" w:cs="宋体"/>
                <w:b/>
                <w:szCs w:val="21"/>
              </w:rPr>
            </w:pPr>
            <w:r>
              <w:rPr>
                <w:rFonts w:hint="eastAsia" w:ascii="宋体" w:hAnsi="宋体" w:cs="宋体"/>
                <w:b/>
                <w:bCs/>
                <w:kern w:val="28"/>
              </w:rPr>
              <w:t>技术商务文件</w:t>
            </w:r>
          </w:p>
        </w:tc>
        <w:tc>
          <w:tcPr>
            <w:tcW w:w="6787" w:type="dxa"/>
            <w:gridSpan w:val="3"/>
            <w:noWrap w:val="0"/>
            <w:vAlign w:val="center"/>
          </w:tcPr>
          <w:p>
            <w:pPr>
              <w:spacing w:line="360" w:lineRule="exact"/>
              <w:ind w:left="315" w:right="6" w:hanging="315" w:hangingChars="150"/>
              <w:jc w:val="center"/>
              <w:rPr>
                <w:rFonts w:hint="eastAsia" w:ascii="宋体" w:hAnsi="宋体" w:cs="宋体"/>
                <w:szCs w:val="21"/>
              </w:rPr>
            </w:pPr>
            <w:r>
              <w:rPr>
                <w:rFonts w:hint="eastAsia" w:ascii="宋体" w:hAnsi="宋体" w:cs="宋体"/>
                <w:bCs/>
                <w:kern w:val="28"/>
              </w:rPr>
              <w:t>合计80分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6" w:type="dxa"/>
            <w:noWrap w:val="0"/>
            <w:vAlign w:val="center"/>
          </w:tcPr>
          <w:p>
            <w:pPr>
              <w:spacing w:line="360" w:lineRule="exact"/>
              <w:jc w:val="center"/>
              <w:rPr>
                <w:rFonts w:hint="eastAsia" w:ascii="宋体" w:hAnsi="宋体" w:cs="宋体"/>
                <w:szCs w:val="21"/>
              </w:rPr>
            </w:pPr>
            <w:r>
              <w:rPr>
                <w:rFonts w:hint="eastAsia" w:ascii="宋体" w:hAnsi="宋体" w:cs="宋体"/>
                <w:szCs w:val="21"/>
              </w:rPr>
              <w:t>序号</w:t>
            </w:r>
          </w:p>
        </w:tc>
        <w:tc>
          <w:tcPr>
            <w:tcW w:w="1793"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评分内容</w:t>
            </w:r>
          </w:p>
        </w:tc>
        <w:tc>
          <w:tcPr>
            <w:tcW w:w="699" w:type="dxa"/>
            <w:noWrap w:val="0"/>
            <w:vAlign w:val="center"/>
          </w:tcPr>
          <w:p>
            <w:pPr>
              <w:spacing w:line="360" w:lineRule="exact"/>
              <w:jc w:val="center"/>
              <w:rPr>
                <w:rFonts w:hint="eastAsia" w:ascii="宋体" w:hAnsi="宋体" w:cs="宋体"/>
                <w:szCs w:val="21"/>
              </w:rPr>
            </w:pPr>
            <w:r>
              <w:rPr>
                <w:rFonts w:hint="eastAsia" w:ascii="宋体" w:hAnsi="宋体" w:cs="宋体"/>
                <w:snapToGrid w:val="0"/>
                <w:szCs w:val="21"/>
              </w:rPr>
              <w:t>分值</w:t>
            </w:r>
          </w:p>
        </w:tc>
        <w:tc>
          <w:tcPr>
            <w:tcW w:w="6088" w:type="dxa"/>
            <w:gridSpan w:val="2"/>
            <w:noWrap w:val="0"/>
            <w:vAlign w:val="center"/>
          </w:tcPr>
          <w:p>
            <w:pPr>
              <w:spacing w:line="360" w:lineRule="exact"/>
              <w:ind w:left="-109" w:leftChars="-52" w:right="-57" w:rightChars="-27"/>
              <w:jc w:val="center"/>
              <w:rPr>
                <w:rFonts w:hint="eastAsia" w:ascii="宋体" w:hAnsi="宋体" w:cs="宋体"/>
                <w:sz w:val="24"/>
                <w:szCs w:val="24"/>
              </w:rPr>
            </w:pPr>
            <w:r>
              <w:rPr>
                <w:rFonts w:hint="eastAsia" w:ascii="宋体" w:hAnsi="宋体" w:cs="宋体"/>
                <w:snapToGrid w:val="0"/>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noWrap w:val="0"/>
            <w:vAlign w:val="center"/>
          </w:tcPr>
          <w:p>
            <w:pPr>
              <w:spacing w:line="360" w:lineRule="exact"/>
              <w:jc w:val="center"/>
              <w:rPr>
                <w:rFonts w:hint="eastAsia" w:ascii="宋体" w:hAnsi="宋体" w:cs="宋体"/>
                <w:szCs w:val="21"/>
              </w:rPr>
            </w:pPr>
            <w:r>
              <w:rPr>
                <w:rFonts w:hint="eastAsia" w:ascii="宋体" w:hAnsi="宋体" w:cs="宋体"/>
                <w:szCs w:val="21"/>
              </w:rPr>
              <w:t>4.1</w:t>
            </w:r>
          </w:p>
        </w:tc>
        <w:tc>
          <w:tcPr>
            <w:tcW w:w="1793"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综合实力</w:t>
            </w:r>
          </w:p>
        </w:tc>
        <w:tc>
          <w:tcPr>
            <w:tcW w:w="699" w:type="dxa"/>
            <w:noWrap w:val="0"/>
            <w:vAlign w:val="center"/>
          </w:tcPr>
          <w:p>
            <w:pPr>
              <w:spacing w:line="360" w:lineRule="exact"/>
              <w:jc w:val="center"/>
              <w:rPr>
                <w:rFonts w:hint="eastAsia" w:ascii="宋体" w:hAnsi="宋体" w:cs="宋体"/>
                <w:snapToGrid w:val="0"/>
                <w:color w:val="auto"/>
                <w:szCs w:val="21"/>
              </w:rPr>
            </w:pPr>
            <w:r>
              <w:rPr>
                <w:rFonts w:hint="eastAsia" w:ascii="宋体" w:hAnsi="宋体" w:cs="宋体"/>
                <w:snapToGrid w:val="0"/>
                <w:color w:val="auto"/>
                <w:szCs w:val="21"/>
              </w:rPr>
              <w:t>3分</w:t>
            </w:r>
          </w:p>
        </w:tc>
        <w:tc>
          <w:tcPr>
            <w:tcW w:w="6088" w:type="dxa"/>
            <w:gridSpan w:val="2"/>
            <w:noWrap w:val="0"/>
            <w:vAlign w:val="center"/>
          </w:tcPr>
          <w:p>
            <w:pPr>
              <w:numPr>
                <w:ilvl w:val="0"/>
                <w:numId w:val="55"/>
              </w:numPr>
              <w:spacing w:line="360" w:lineRule="exact"/>
              <w:jc w:val="both"/>
              <w:rPr>
                <w:rFonts w:hint="eastAsia" w:ascii="宋体" w:hAnsi="宋体" w:cs="宋体"/>
                <w:b/>
                <w:bCs/>
                <w:snapToGrid w:val="0"/>
                <w:color w:val="auto"/>
                <w:szCs w:val="21"/>
              </w:rPr>
            </w:pPr>
            <w:r>
              <w:rPr>
                <w:rFonts w:hint="eastAsia" w:ascii="宋体" w:hAnsi="宋体" w:cs="宋体"/>
                <w:snapToGrid w:val="0"/>
                <w:color w:val="auto"/>
                <w:szCs w:val="21"/>
              </w:rPr>
              <w:t>投标供应商提供2017年1月1日以来由县市级及以上人民政府或县市级人民政府所属的市容环卫主管部门颁发的市容环卫服务方面的荣誉证书或获奖证书，1个得0.5分，最多得1分（客观分）</w:t>
            </w:r>
            <w:r>
              <w:rPr>
                <w:rFonts w:hint="eastAsia" w:ascii="宋体" w:hAnsi="宋体" w:cs="宋体"/>
                <w:b/>
                <w:bCs/>
                <w:snapToGrid w:val="0"/>
                <w:color w:val="auto"/>
                <w:szCs w:val="21"/>
              </w:rPr>
              <w:t>；</w:t>
            </w:r>
          </w:p>
          <w:p>
            <w:pPr>
              <w:numPr>
                <w:ilvl w:val="0"/>
                <w:numId w:val="55"/>
              </w:numPr>
              <w:spacing w:line="360" w:lineRule="exact"/>
              <w:jc w:val="both"/>
              <w:rPr>
                <w:rFonts w:hint="eastAsia" w:ascii="宋体" w:hAnsi="宋体" w:cs="宋体"/>
                <w:snapToGrid w:val="0"/>
                <w:color w:val="auto"/>
                <w:szCs w:val="21"/>
              </w:rPr>
            </w:pPr>
            <w:r>
              <w:rPr>
                <w:rFonts w:hint="eastAsia" w:ascii="宋体" w:hAnsi="宋体" w:cs="宋体"/>
                <w:color w:val="auto"/>
                <w:sz w:val="22"/>
                <w:szCs w:val="22"/>
                <w:lang w:val="zh-CN"/>
              </w:rPr>
              <w:t>根据</w:t>
            </w:r>
            <w:r>
              <w:rPr>
                <w:rFonts w:hint="eastAsia" w:ascii="宋体" w:hAnsi="宋体" w:cs="宋体"/>
                <w:snapToGrid w:val="0"/>
                <w:color w:val="auto"/>
                <w:szCs w:val="21"/>
              </w:rPr>
              <w:t>投标人</w:t>
            </w:r>
            <w:r>
              <w:rPr>
                <w:rFonts w:hint="eastAsia" w:ascii="宋体" w:hAnsi="宋体" w:cs="宋体"/>
                <w:color w:val="auto"/>
                <w:sz w:val="22"/>
                <w:szCs w:val="22"/>
              </w:rPr>
              <w:t>的资信</w:t>
            </w:r>
            <w:r>
              <w:rPr>
                <w:rFonts w:hint="eastAsia" w:ascii="宋体" w:hAnsi="宋体" w:cs="宋体"/>
                <w:color w:val="auto"/>
                <w:szCs w:val="21"/>
              </w:rPr>
              <w:t>、综合服务能力</w:t>
            </w:r>
            <w:r>
              <w:rPr>
                <w:rFonts w:hint="eastAsia" w:ascii="宋体" w:hAnsi="宋体" w:cs="宋体"/>
                <w:color w:val="auto"/>
                <w:szCs w:val="21"/>
                <w:lang w:val="zh-CN"/>
              </w:rPr>
              <w:t>等情况</w:t>
            </w:r>
            <w:r>
              <w:rPr>
                <w:rFonts w:hint="eastAsia" w:ascii="宋体" w:hAnsi="宋体" w:cs="宋体"/>
                <w:color w:val="auto"/>
                <w:szCs w:val="21"/>
              </w:rPr>
              <w:t>（0-2分）</w:t>
            </w:r>
            <w:r>
              <w:rPr>
                <w:rFonts w:hint="eastAsia" w:ascii="宋体" w:hAnsi="宋体" w:cs="宋体"/>
                <w:b/>
                <w:bCs/>
                <w:snapToGrid w:val="0"/>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noWrap w:val="0"/>
            <w:vAlign w:val="center"/>
          </w:tcPr>
          <w:p>
            <w:pPr>
              <w:spacing w:line="360" w:lineRule="exact"/>
              <w:ind w:left="-50"/>
              <w:jc w:val="center"/>
              <w:rPr>
                <w:rFonts w:hint="eastAsia" w:ascii="宋体" w:hAnsi="宋体" w:cs="宋体"/>
                <w:szCs w:val="21"/>
              </w:rPr>
            </w:pPr>
            <w:r>
              <w:rPr>
                <w:rFonts w:hint="eastAsia" w:ascii="宋体" w:hAnsi="宋体" w:cs="宋体"/>
                <w:snapToGrid w:val="0"/>
                <w:szCs w:val="21"/>
              </w:rPr>
              <w:t>4.2</w:t>
            </w:r>
          </w:p>
        </w:tc>
        <w:tc>
          <w:tcPr>
            <w:tcW w:w="1793" w:type="dxa"/>
            <w:noWrap w:val="0"/>
            <w:vAlign w:val="center"/>
          </w:tcPr>
          <w:p>
            <w:pPr>
              <w:jc w:val="center"/>
              <w:rPr>
                <w:rFonts w:hint="eastAsia" w:ascii="宋体" w:hAnsi="宋体" w:cs="宋体"/>
                <w:szCs w:val="21"/>
              </w:rPr>
            </w:pPr>
            <w:r>
              <w:rPr>
                <w:rFonts w:hint="eastAsia" w:ascii="宋体" w:hAnsi="宋体" w:cs="宋体"/>
                <w:szCs w:val="21"/>
              </w:rPr>
              <w:t>对本项目清扫保洁工作的现状调查与问题剖析</w:t>
            </w:r>
          </w:p>
        </w:tc>
        <w:tc>
          <w:tcPr>
            <w:tcW w:w="699" w:type="dxa"/>
            <w:noWrap w:val="0"/>
            <w:vAlign w:val="center"/>
          </w:tcPr>
          <w:p>
            <w:pPr>
              <w:jc w:val="center"/>
              <w:rPr>
                <w:rFonts w:hint="eastAsia" w:ascii="宋体" w:hAnsi="宋体" w:cs="宋体"/>
                <w:szCs w:val="21"/>
              </w:rPr>
            </w:pPr>
            <w:r>
              <w:rPr>
                <w:rFonts w:hint="eastAsia" w:ascii="宋体" w:hAnsi="宋体" w:cs="宋体"/>
                <w:szCs w:val="21"/>
              </w:rPr>
              <w:t>3分</w:t>
            </w:r>
          </w:p>
        </w:tc>
        <w:tc>
          <w:tcPr>
            <w:tcW w:w="6088" w:type="dxa"/>
            <w:gridSpan w:val="2"/>
            <w:noWrap w:val="0"/>
            <w:vAlign w:val="center"/>
          </w:tcPr>
          <w:p>
            <w:pPr>
              <w:rPr>
                <w:rFonts w:hint="eastAsia" w:ascii="宋体" w:hAnsi="宋体" w:cs="宋体"/>
                <w:szCs w:val="21"/>
              </w:rPr>
            </w:pPr>
            <w:r>
              <w:rPr>
                <w:rFonts w:hint="eastAsia" w:ascii="宋体" w:hAnsi="宋体" w:cs="宋体"/>
                <w:szCs w:val="21"/>
              </w:rPr>
              <w:t>根据投标人对项目范围内道路的现状、保洁情况、存在的问题和清扫保洁的难点、要点等问题进行调查剖析，并针对性的提出克服难点和要点技术措施（0-3分）</w:t>
            </w:r>
            <w:r>
              <w:rPr>
                <w:rFonts w:hint="eastAsia" w:ascii="宋体" w:hAnsi="宋体" w:cs="宋体"/>
                <w:b/>
                <w:bCs/>
                <w:snapToGrid w:val="0"/>
                <w:szCs w:val="21"/>
              </w:rPr>
              <w:t>（主观分）</w:t>
            </w:r>
            <w:r>
              <w:rPr>
                <w:rFonts w:hint="eastAsia" w:ascii="宋体" w:hAnsi="宋体" w:cs="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46" w:type="dxa"/>
            <w:vMerge w:val="restart"/>
            <w:noWrap w:val="0"/>
            <w:vAlign w:val="center"/>
          </w:tcPr>
          <w:p>
            <w:pPr>
              <w:spacing w:line="360" w:lineRule="exact"/>
              <w:ind w:left="-50"/>
              <w:jc w:val="center"/>
              <w:rPr>
                <w:rFonts w:hint="eastAsia" w:ascii="宋体" w:hAnsi="宋体" w:cs="宋体"/>
                <w:szCs w:val="21"/>
              </w:rPr>
            </w:pPr>
            <w:r>
              <w:rPr>
                <w:rFonts w:hint="eastAsia" w:ascii="宋体" w:hAnsi="宋体" w:cs="宋体"/>
                <w:snapToGrid w:val="0"/>
                <w:szCs w:val="21"/>
              </w:rPr>
              <w:t>4.3</w:t>
            </w:r>
          </w:p>
        </w:tc>
        <w:tc>
          <w:tcPr>
            <w:tcW w:w="1793" w:type="dxa"/>
            <w:vMerge w:val="restart"/>
            <w:noWrap w:val="0"/>
            <w:vAlign w:val="center"/>
          </w:tcPr>
          <w:p>
            <w:pPr>
              <w:jc w:val="center"/>
              <w:rPr>
                <w:rFonts w:hint="eastAsia" w:ascii="宋体" w:hAnsi="宋体" w:cs="宋体"/>
                <w:szCs w:val="21"/>
              </w:rPr>
            </w:pPr>
            <w:r>
              <w:rPr>
                <w:rFonts w:hint="eastAsia" w:ascii="宋体" w:hAnsi="宋体" w:cs="宋体"/>
                <w:szCs w:val="21"/>
              </w:rPr>
              <w:t>清扫保洁具体实施计划和方案措施，扫保洁服务的工作排班、时间安排和分工计划，拟投入的管理、作业人员、作业设备、作业工具、耗材等所投入的数量、概况及力度.人员配备合理，作业计划、排班详细，可行性强。满足项目要求情况；</w:t>
            </w:r>
          </w:p>
          <w:p>
            <w:pPr>
              <w:jc w:val="center"/>
              <w:rPr>
                <w:rFonts w:hint="eastAsia" w:ascii="宋体" w:hAnsi="宋体" w:cs="宋体"/>
                <w:szCs w:val="21"/>
              </w:rPr>
            </w:pPr>
            <w:r>
              <w:rPr>
                <w:rFonts w:hint="eastAsia" w:ascii="宋体" w:hAnsi="宋体" w:cs="宋体"/>
                <w:b/>
                <w:bCs/>
                <w:snapToGrid w:val="0"/>
                <w:szCs w:val="21"/>
              </w:rPr>
              <w:t>（主观分）</w:t>
            </w:r>
          </w:p>
        </w:tc>
        <w:tc>
          <w:tcPr>
            <w:tcW w:w="699" w:type="dxa"/>
            <w:vMerge w:val="restart"/>
            <w:noWrap w:val="0"/>
            <w:vAlign w:val="center"/>
          </w:tcPr>
          <w:p>
            <w:pPr>
              <w:jc w:val="center"/>
              <w:rPr>
                <w:rFonts w:hint="eastAsia" w:ascii="宋体" w:hAnsi="宋体" w:cs="宋体"/>
                <w:color w:val="FF0000"/>
                <w:szCs w:val="21"/>
              </w:rPr>
            </w:pPr>
            <w:r>
              <w:rPr>
                <w:rFonts w:hint="eastAsia" w:ascii="宋体" w:hAnsi="宋体" w:cs="宋体"/>
                <w:color w:val="auto"/>
                <w:szCs w:val="21"/>
                <w:highlight w:val="none"/>
              </w:rPr>
              <w:t>27分</w:t>
            </w:r>
          </w:p>
        </w:tc>
        <w:tc>
          <w:tcPr>
            <w:tcW w:w="6088" w:type="dxa"/>
            <w:gridSpan w:val="2"/>
            <w:noWrap w:val="0"/>
            <w:vAlign w:val="center"/>
          </w:tcPr>
          <w:p>
            <w:pPr>
              <w:tabs>
                <w:tab w:val="left" w:pos="252"/>
              </w:tabs>
              <w:rPr>
                <w:rFonts w:hint="eastAsia" w:ascii="宋体" w:hAnsi="宋体" w:cs="宋体"/>
                <w:color w:val="auto"/>
              </w:rPr>
            </w:pPr>
            <w:r>
              <w:rPr>
                <w:rFonts w:hint="eastAsia" w:ascii="宋体" w:hAnsi="宋体" w:cs="宋体"/>
                <w:color w:val="auto"/>
              </w:rPr>
              <w:t>道路（含车行道</w:t>
            </w:r>
            <w:r>
              <w:rPr>
                <w:rFonts w:hint="eastAsia" w:ascii="宋体" w:hAnsi="宋体" w:cs="宋体"/>
                <w:color w:val="auto"/>
                <w:lang w:eastAsia="zh-CN"/>
              </w:rPr>
              <w:t>、</w:t>
            </w:r>
            <w:r>
              <w:rPr>
                <w:rFonts w:hint="eastAsia" w:ascii="宋体" w:hAnsi="宋体" w:cs="宋体"/>
                <w:color w:val="auto"/>
              </w:rPr>
              <w:t>人行道</w:t>
            </w:r>
            <w:r>
              <w:rPr>
                <w:rFonts w:hint="eastAsia" w:ascii="宋体" w:hAnsi="宋体" w:cs="宋体"/>
                <w:color w:val="auto"/>
                <w:lang w:val="en-US" w:eastAsia="zh-CN"/>
              </w:rPr>
              <w:t>和</w:t>
            </w:r>
            <w:r>
              <w:rPr>
                <w:rFonts w:hint="eastAsia" w:ascii="宋体" w:hAnsi="宋体" w:cs="宋体"/>
                <w:szCs w:val="21"/>
                <w:lang w:eastAsia="zh-CN"/>
              </w:rPr>
              <w:t>“</w:t>
            </w:r>
            <w:r>
              <w:rPr>
                <w:rFonts w:hint="eastAsia" w:ascii="宋体" w:hAnsi="宋体" w:cs="宋体"/>
                <w:szCs w:val="21"/>
              </w:rPr>
              <w:t>席地而坐</w:t>
            </w:r>
            <w:r>
              <w:rPr>
                <w:rFonts w:hint="eastAsia" w:ascii="宋体" w:hAnsi="宋体" w:cs="宋体"/>
                <w:szCs w:val="21"/>
                <w:lang w:eastAsia="zh-CN"/>
              </w:rPr>
              <w:t>”</w:t>
            </w:r>
            <w:r>
              <w:rPr>
                <w:rFonts w:hint="eastAsia" w:ascii="宋体" w:hAnsi="宋体" w:cs="宋体"/>
                <w:color w:val="auto"/>
              </w:rPr>
              <w:t>）保洁：</w:t>
            </w:r>
          </w:p>
          <w:p>
            <w:pPr>
              <w:pStyle w:val="8"/>
              <w:ind w:firstLine="0"/>
              <w:rPr>
                <w:rFonts w:hint="eastAsia" w:ascii="宋体" w:hAnsi="宋体" w:cs="宋体"/>
                <w:color w:val="auto"/>
                <w:lang w:val="en-US" w:eastAsia="zh-CN"/>
              </w:rPr>
            </w:pPr>
            <w:r>
              <w:rPr>
                <w:rFonts w:hint="eastAsia" w:ascii="宋体" w:hAnsi="宋体" w:cs="宋体"/>
                <w:color w:val="auto"/>
                <w:lang w:val="en-US" w:eastAsia="zh-CN"/>
              </w:rPr>
              <w:t>①集镇区道路保洁：</w:t>
            </w:r>
          </w:p>
          <w:p>
            <w:pPr>
              <w:pStyle w:val="8"/>
              <w:ind w:firstLine="0"/>
              <w:rPr>
                <w:rFonts w:hint="eastAsia" w:ascii="宋体" w:hAnsi="宋体" w:cs="宋体"/>
                <w:color w:val="auto"/>
                <w:lang w:val="en-US" w:eastAsia="zh-CN"/>
              </w:rPr>
            </w:pPr>
            <w:r>
              <w:rPr>
                <w:rFonts w:hint="eastAsia" w:ascii="宋体" w:hAnsi="宋体" w:cs="宋体"/>
                <w:color w:val="auto"/>
                <w:lang w:val="en-US" w:eastAsia="zh-CN"/>
              </w:rPr>
              <w:t>主要道路保洁</w:t>
            </w:r>
            <w:r>
              <w:rPr>
                <w:rFonts w:hint="eastAsia" w:ascii="宋体" w:hAnsi="宋体" w:cs="宋体"/>
                <w:color w:val="auto"/>
                <w:szCs w:val="22"/>
                <w:lang w:val="en-US" w:eastAsia="zh-CN"/>
              </w:rPr>
              <w:t>（0-2分）</w:t>
            </w:r>
            <w:r>
              <w:rPr>
                <w:rFonts w:hint="eastAsia" w:ascii="宋体" w:hAnsi="宋体" w:cs="宋体"/>
                <w:color w:val="auto"/>
                <w:lang w:val="en-US" w:eastAsia="zh-CN"/>
              </w:rPr>
              <w:t>；</w:t>
            </w:r>
          </w:p>
          <w:p>
            <w:pPr>
              <w:pStyle w:val="8"/>
              <w:ind w:firstLine="0"/>
              <w:rPr>
                <w:rFonts w:hint="eastAsia" w:ascii="宋体" w:hAnsi="宋体" w:cs="宋体"/>
                <w:color w:val="auto"/>
                <w:lang w:val="en-US" w:eastAsia="zh-CN"/>
              </w:rPr>
            </w:pPr>
            <w:r>
              <w:rPr>
                <w:rFonts w:hint="eastAsia" w:ascii="宋体" w:hAnsi="宋体" w:cs="宋体"/>
                <w:color w:val="auto"/>
                <w:szCs w:val="22"/>
                <w:lang w:val="en-US" w:eastAsia="zh-CN"/>
              </w:rPr>
              <w:t>背街小巷保洁（0-1分）；</w:t>
            </w:r>
          </w:p>
          <w:p>
            <w:pPr>
              <w:pStyle w:val="8"/>
              <w:ind w:firstLine="0"/>
              <w:rPr>
                <w:rFonts w:hint="eastAsia" w:ascii="宋体" w:hAnsi="宋体" w:cs="宋体"/>
                <w:color w:val="auto"/>
                <w:szCs w:val="22"/>
                <w:lang w:val="en-US" w:eastAsia="zh-CN"/>
              </w:rPr>
            </w:pPr>
            <w:r>
              <w:rPr>
                <w:rFonts w:hint="eastAsia" w:ascii="宋体" w:hAnsi="宋体" w:cs="宋体"/>
                <w:color w:val="auto"/>
                <w:lang w:val="en-US" w:eastAsia="zh-CN"/>
              </w:rPr>
              <w:t>②</w:t>
            </w:r>
            <w:r>
              <w:rPr>
                <w:rFonts w:hint="eastAsia" w:ascii="宋体" w:hAnsi="宋体" w:cs="宋体"/>
                <w:color w:val="auto"/>
                <w:szCs w:val="22"/>
                <w:lang w:val="en-US" w:eastAsia="zh-CN"/>
              </w:rPr>
              <w:t>公路保洁（0-1分）；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公园、广场及公共绿地保洁（0-2分）；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市政设施保洁（0-2分）；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城市家具保洁（0-2分）；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highlight w:val="none"/>
              </w:rPr>
              <w:t>堤坝保洁（0-2分）；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河道保洁（0-2分）；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公厕保洁（含除臭设施）（0-3分）；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垃圾收集及清运（0-1分）；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小广告治理（0-1分）；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无主建筑垃圾清运（0-1分）；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rPr>
                <w:rFonts w:hint="eastAsia" w:ascii="宋体" w:hAnsi="宋体" w:cs="宋体"/>
                <w:color w:val="auto"/>
                <w:szCs w:val="21"/>
              </w:rPr>
            </w:pPr>
            <w:r>
              <w:rPr>
                <w:rFonts w:hint="eastAsia" w:ascii="宋体" w:hAnsi="宋体" w:cs="宋体"/>
                <w:color w:val="auto"/>
                <w:szCs w:val="21"/>
              </w:rPr>
              <w:t>垃圾分类运输（0-1分）；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tabs>
                <w:tab w:val="left" w:pos="252"/>
              </w:tabs>
              <w:ind w:left="15" w:hanging="14" w:hangingChars="7"/>
              <w:rPr>
                <w:rFonts w:hint="eastAsia" w:ascii="宋体" w:hAnsi="宋体" w:cs="宋体"/>
                <w:color w:val="auto"/>
                <w:szCs w:val="21"/>
              </w:rPr>
            </w:pPr>
            <w:r>
              <w:rPr>
                <w:rFonts w:hint="eastAsia" w:ascii="宋体" w:hAnsi="宋体" w:cs="宋体"/>
                <w:color w:val="auto"/>
                <w:szCs w:val="21"/>
              </w:rPr>
              <w:t>清扫保洁规范管理措施及保障（0-1分）；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tabs>
                <w:tab w:val="left" w:pos="252"/>
              </w:tabs>
              <w:ind w:left="15" w:hanging="14" w:hangingChars="7"/>
              <w:rPr>
                <w:rFonts w:hint="eastAsia" w:ascii="宋体" w:hAnsi="宋体" w:cs="宋体"/>
                <w:szCs w:val="21"/>
              </w:rPr>
            </w:pPr>
            <w:r>
              <w:rPr>
                <w:rFonts w:hint="eastAsia" w:ascii="宋体" w:hAnsi="宋体" w:cs="宋体"/>
                <w:szCs w:val="21"/>
              </w:rPr>
              <w:t>安全生产（包括但不限于车辆安全、人员安全、生产安全等）培训计划（0-1分）；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tabs>
                <w:tab w:val="left" w:pos="252"/>
              </w:tabs>
              <w:ind w:left="15" w:hanging="14" w:hangingChars="7"/>
              <w:rPr>
                <w:rFonts w:hint="eastAsia" w:ascii="宋体" w:hAnsi="宋体" w:cs="宋体"/>
                <w:szCs w:val="21"/>
              </w:rPr>
            </w:pPr>
            <w:r>
              <w:rPr>
                <w:rFonts w:hint="eastAsia" w:ascii="宋体" w:hAnsi="宋体" w:cs="宋体"/>
                <w:szCs w:val="21"/>
              </w:rPr>
              <w:t>安全生产（包括但不限于车辆安全、人员安全、生产安全等）培训内容（0-1分）；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tabs>
                <w:tab w:val="left" w:pos="252"/>
              </w:tabs>
              <w:ind w:left="15" w:hanging="14" w:hangingChars="7"/>
              <w:rPr>
                <w:rFonts w:hint="eastAsia" w:ascii="宋体" w:hAnsi="宋体" w:cs="宋体"/>
                <w:szCs w:val="21"/>
              </w:rPr>
            </w:pPr>
            <w:r>
              <w:rPr>
                <w:rFonts w:hint="eastAsia" w:ascii="宋体" w:hAnsi="宋体" w:cs="宋体"/>
                <w:szCs w:val="21"/>
              </w:rPr>
              <w:t>与《瑞安市智慧环卫平台》对接承诺及相关措施方案和配置合理性（0-2分）；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spacing w:line="360" w:lineRule="exact"/>
              <w:jc w:val="center"/>
              <w:rPr>
                <w:rFonts w:hint="eastAsia" w:ascii="宋体" w:hAnsi="宋体" w:cs="宋体"/>
                <w:szCs w:val="21"/>
              </w:rPr>
            </w:pPr>
          </w:p>
        </w:tc>
        <w:tc>
          <w:tcPr>
            <w:tcW w:w="699" w:type="dxa"/>
            <w:vMerge w:val="continue"/>
            <w:noWrap w:val="0"/>
            <w:vAlign w:val="center"/>
          </w:tcPr>
          <w:p>
            <w:pPr>
              <w:spacing w:line="360" w:lineRule="exact"/>
              <w:jc w:val="center"/>
              <w:rPr>
                <w:rFonts w:hint="eastAsia" w:ascii="宋体" w:hAnsi="宋体" w:cs="宋体"/>
                <w:spacing w:val="-2"/>
                <w:szCs w:val="21"/>
              </w:rPr>
            </w:pPr>
          </w:p>
        </w:tc>
        <w:tc>
          <w:tcPr>
            <w:tcW w:w="6088" w:type="dxa"/>
            <w:gridSpan w:val="2"/>
            <w:noWrap w:val="0"/>
            <w:vAlign w:val="center"/>
          </w:tcPr>
          <w:p>
            <w:pPr>
              <w:pStyle w:val="8"/>
              <w:ind w:firstLine="0"/>
              <w:rPr>
                <w:rFonts w:hint="eastAsia" w:ascii="宋体" w:hAnsi="宋体" w:cs="宋体"/>
                <w:lang w:val="en-US" w:eastAsia="zh-CN"/>
              </w:rPr>
            </w:pPr>
            <w:r>
              <w:rPr>
                <w:rFonts w:hint="eastAsia" w:ascii="宋体" w:hAnsi="宋体" w:cs="宋体"/>
                <w:lang w:val="en-US" w:eastAsia="zh-CN"/>
              </w:rPr>
              <w:t>在中标后与采购人（相应街道）、原承包单位的移交及对接方案（0-1分）。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jc w:val="center"/>
        </w:trPr>
        <w:tc>
          <w:tcPr>
            <w:tcW w:w="646"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4.4</w:t>
            </w:r>
          </w:p>
        </w:tc>
        <w:tc>
          <w:tcPr>
            <w:tcW w:w="1793" w:type="dxa"/>
            <w:noWrap w:val="0"/>
            <w:vAlign w:val="center"/>
          </w:tcPr>
          <w:p>
            <w:pPr>
              <w:jc w:val="center"/>
              <w:rPr>
                <w:rFonts w:hint="eastAsia" w:ascii="宋体" w:hAnsi="宋体" w:cs="宋体"/>
                <w:szCs w:val="21"/>
              </w:rPr>
            </w:pPr>
            <w:r>
              <w:rPr>
                <w:rFonts w:hint="eastAsia" w:ascii="宋体" w:hAnsi="宋体" w:cs="宋体"/>
                <w:szCs w:val="21"/>
              </w:rPr>
              <w:t>应付突发事情的响应及处理方案</w:t>
            </w:r>
          </w:p>
        </w:tc>
        <w:tc>
          <w:tcPr>
            <w:tcW w:w="699" w:type="dxa"/>
            <w:noWrap w:val="0"/>
            <w:vAlign w:val="center"/>
          </w:tcPr>
          <w:p>
            <w:pPr>
              <w:jc w:val="center"/>
              <w:rPr>
                <w:rFonts w:hint="eastAsia" w:ascii="宋体" w:hAnsi="宋体" w:cs="宋体"/>
                <w:szCs w:val="21"/>
              </w:rPr>
            </w:pPr>
            <w:r>
              <w:rPr>
                <w:rFonts w:hint="eastAsia" w:ascii="宋体" w:hAnsi="宋体" w:cs="宋体"/>
                <w:szCs w:val="21"/>
              </w:rPr>
              <w:t>3分</w:t>
            </w:r>
          </w:p>
        </w:tc>
        <w:tc>
          <w:tcPr>
            <w:tcW w:w="6088" w:type="dxa"/>
            <w:gridSpan w:val="2"/>
            <w:noWrap w:val="0"/>
            <w:vAlign w:val="center"/>
          </w:tcPr>
          <w:p>
            <w:pPr>
              <w:pStyle w:val="66"/>
              <w:ind w:left="0" w:firstLine="0"/>
              <w:rPr>
                <w:rFonts w:hint="eastAsia" w:hAnsi="宋体" w:cs="宋体"/>
              </w:rPr>
            </w:pPr>
            <w:r>
              <w:rPr>
                <w:rFonts w:hint="eastAsia" w:hAnsi="宋体" w:cs="宋体"/>
              </w:rPr>
              <w:t>应对突发事情（包括但不限于公共卫生突发事件、自然灾害、重大安全事</w:t>
            </w:r>
            <w:r>
              <w:rPr>
                <w:rFonts w:hint="eastAsia" w:hAnsi="宋体" w:cs="宋体"/>
                <w:color w:val="auto"/>
              </w:rPr>
              <w:t>故、突击检查等）的</w:t>
            </w:r>
            <w:r>
              <w:rPr>
                <w:rFonts w:hint="eastAsia" w:hAnsi="宋体" w:cs="宋体"/>
              </w:rPr>
              <w:t>响应及处理方案的科学性、合理性、可操作性及高效性（0-3分）</w:t>
            </w:r>
            <w:r>
              <w:rPr>
                <w:rFonts w:hint="eastAsia" w:hAnsi="宋体" w:cs="宋体"/>
                <w:b w:val="0"/>
                <w:bCs w:val="0"/>
                <w:snapToGrid w:val="0"/>
                <w:szCs w:val="21"/>
              </w:rPr>
              <w:t>（主观分）</w:t>
            </w:r>
            <w:r>
              <w:rPr>
                <w:rFonts w:hint="eastAsia" w:hAnsi="宋体" w:cs="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7" w:hRule="atLeast"/>
          <w:jc w:val="center"/>
        </w:trPr>
        <w:tc>
          <w:tcPr>
            <w:tcW w:w="646"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4.5</w:t>
            </w:r>
          </w:p>
        </w:tc>
        <w:tc>
          <w:tcPr>
            <w:tcW w:w="1793" w:type="dxa"/>
            <w:noWrap w:val="0"/>
            <w:vAlign w:val="center"/>
          </w:tcPr>
          <w:p>
            <w:pPr>
              <w:jc w:val="center"/>
              <w:rPr>
                <w:rFonts w:hint="eastAsia" w:ascii="宋体" w:hAnsi="宋体" w:cs="宋体"/>
              </w:rPr>
            </w:pPr>
            <w:r>
              <w:rPr>
                <w:rFonts w:hint="eastAsia" w:ascii="宋体" w:hAnsi="宋体" w:cs="宋体"/>
              </w:rPr>
              <w:t>日常管理组织、拟设立的各项管理规章制度及档案资料的建立管理</w:t>
            </w:r>
          </w:p>
          <w:p>
            <w:pPr>
              <w:pStyle w:val="8"/>
              <w:rPr>
                <w:rFonts w:hint="eastAsia" w:ascii="宋体" w:hAnsi="宋体" w:cs="宋体"/>
                <w:lang w:val="en-US" w:eastAsia="zh-CN"/>
              </w:rPr>
            </w:pPr>
            <w:r>
              <w:rPr>
                <w:rFonts w:hint="eastAsia" w:ascii="宋体" w:hAnsi="宋体" w:cs="宋体"/>
                <w:b/>
                <w:bCs/>
                <w:snapToGrid w:val="0"/>
                <w:szCs w:val="21"/>
                <w:lang w:val="en-US" w:eastAsia="zh-CN"/>
              </w:rPr>
              <w:t>（主观分）</w:t>
            </w:r>
          </w:p>
        </w:tc>
        <w:tc>
          <w:tcPr>
            <w:tcW w:w="699" w:type="dxa"/>
            <w:noWrap w:val="0"/>
            <w:vAlign w:val="center"/>
          </w:tcPr>
          <w:p>
            <w:pPr>
              <w:jc w:val="center"/>
              <w:rPr>
                <w:rFonts w:hint="eastAsia" w:ascii="宋体" w:hAnsi="宋体" w:cs="宋体"/>
                <w:szCs w:val="21"/>
              </w:rPr>
            </w:pPr>
            <w:r>
              <w:rPr>
                <w:rFonts w:hint="eastAsia" w:ascii="宋体" w:hAnsi="宋体" w:cs="宋体"/>
                <w:szCs w:val="21"/>
                <w:lang w:val="en-US" w:eastAsia="zh-CN"/>
              </w:rPr>
              <w:t>3.7</w:t>
            </w:r>
            <w:r>
              <w:rPr>
                <w:rFonts w:hint="eastAsia" w:ascii="宋体" w:hAnsi="宋体" w:cs="宋体"/>
                <w:szCs w:val="21"/>
              </w:rPr>
              <w:t>分</w:t>
            </w:r>
          </w:p>
        </w:tc>
        <w:tc>
          <w:tcPr>
            <w:tcW w:w="6088" w:type="dxa"/>
            <w:gridSpan w:val="2"/>
            <w:noWrap w:val="0"/>
            <w:vAlign w:val="center"/>
          </w:tcPr>
          <w:p>
            <w:pPr>
              <w:numPr>
                <w:ilvl w:val="0"/>
                <w:numId w:val="56"/>
              </w:numPr>
              <w:rPr>
                <w:rFonts w:hint="eastAsia" w:ascii="宋体" w:hAnsi="宋体" w:cs="宋体"/>
              </w:rPr>
            </w:pPr>
            <w:r>
              <w:rPr>
                <w:rFonts w:hint="eastAsia" w:ascii="宋体" w:hAnsi="宋体" w:cs="宋体"/>
              </w:rPr>
              <w:t>日常管理组织、各项公众制度、内部岗位责任制度、管理运作制度、考核制度及标准等，要求符合规范，体现高标准、高档次、科学合理、详细完备；人员、设施、设备管理服务、业主方反馈资料、行政文件资料等档案的建立与管理（0-</w:t>
            </w:r>
            <w:r>
              <w:rPr>
                <w:rFonts w:hint="eastAsia" w:ascii="宋体" w:hAnsi="宋体" w:cs="宋体"/>
                <w:lang w:val="en-US" w:eastAsia="zh-CN"/>
              </w:rPr>
              <w:t>2.7</w:t>
            </w:r>
            <w:r>
              <w:rPr>
                <w:rFonts w:hint="eastAsia" w:ascii="宋体" w:hAnsi="宋体" w:cs="宋体"/>
              </w:rPr>
              <w:t>分）；</w:t>
            </w:r>
          </w:p>
          <w:p>
            <w:pPr>
              <w:pStyle w:val="65"/>
              <w:numPr>
                <w:ilvl w:val="0"/>
                <w:numId w:val="56"/>
              </w:numPr>
              <w:ind w:firstLine="0" w:firstLineChars="0"/>
              <w:rPr>
                <w:rFonts w:hint="eastAsia"/>
                <w:color w:val="auto"/>
              </w:rPr>
            </w:pPr>
            <w:r>
              <w:rPr>
                <w:rFonts w:hint="eastAsia"/>
                <w:color w:val="auto"/>
                <w:sz w:val="21"/>
                <w:szCs w:val="22"/>
              </w:rPr>
              <w:t>除采购人的瑞安市智慧环卫监管平台外，供应商企业内部服务于本项目信息化管理平台的便利性、系统性、先进性（0-1分）。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4" w:hRule="atLeast"/>
          <w:jc w:val="center"/>
        </w:trPr>
        <w:tc>
          <w:tcPr>
            <w:tcW w:w="646"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4.6</w:t>
            </w:r>
          </w:p>
        </w:tc>
        <w:tc>
          <w:tcPr>
            <w:tcW w:w="1793" w:type="dxa"/>
            <w:noWrap w:val="0"/>
            <w:vAlign w:val="center"/>
          </w:tcPr>
          <w:p>
            <w:pPr>
              <w:rPr>
                <w:rFonts w:hint="eastAsia" w:ascii="宋体" w:hAnsi="宋体" w:cs="宋体"/>
                <w:szCs w:val="21"/>
              </w:rPr>
            </w:pPr>
            <w:r>
              <w:rPr>
                <w:rFonts w:hint="eastAsia" w:ascii="宋体" w:hAnsi="宋体" w:cs="宋体"/>
                <w:szCs w:val="21"/>
              </w:rPr>
              <w:t>项目负责人</w:t>
            </w:r>
          </w:p>
        </w:tc>
        <w:tc>
          <w:tcPr>
            <w:tcW w:w="699" w:type="dxa"/>
            <w:noWrap w:val="0"/>
            <w:vAlign w:val="center"/>
          </w:tcPr>
          <w:p>
            <w:pPr>
              <w:jc w:val="center"/>
              <w:rPr>
                <w:rFonts w:hint="eastAsia" w:ascii="宋体" w:hAnsi="宋体" w:cs="宋体"/>
                <w:color w:val="auto"/>
                <w:szCs w:val="21"/>
              </w:rPr>
            </w:pPr>
            <w:r>
              <w:rPr>
                <w:rFonts w:hint="eastAsia" w:ascii="宋体" w:hAnsi="宋体" w:cs="宋体"/>
                <w:color w:val="auto"/>
                <w:szCs w:val="21"/>
              </w:rPr>
              <w:t>3分</w:t>
            </w:r>
          </w:p>
        </w:tc>
        <w:tc>
          <w:tcPr>
            <w:tcW w:w="6088" w:type="dxa"/>
            <w:gridSpan w:val="2"/>
            <w:noWrap w:val="0"/>
            <w:vAlign w:val="center"/>
          </w:tcPr>
          <w:p>
            <w:pPr>
              <w:numPr>
                <w:ilvl w:val="0"/>
                <w:numId w:val="57"/>
              </w:numPr>
              <w:tabs>
                <w:tab w:val="left" w:pos="252"/>
              </w:tabs>
              <w:rPr>
                <w:rFonts w:hint="eastAsia" w:ascii="宋体" w:hAnsi="宋体" w:cs="宋体"/>
                <w:color w:val="auto"/>
                <w:highlight w:val="none"/>
              </w:rPr>
            </w:pPr>
            <w:r>
              <w:rPr>
                <w:rFonts w:hint="eastAsia" w:ascii="宋体" w:hAnsi="宋体" w:cs="宋体"/>
                <w:color w:val="auto"/>
                <w:highlight w:val="none"/>
              </w:rPr>
              <w:t>根据项目负责人的学历、项目相关荣誉及技能由评标委员会酌情打分（0-1.5</w:t>
            </w:r>
            <w:r>
              <w:rPr>
                <w:rFonts w:hint="eastAsia" w:ascii="宋体" w:hAnsi="宋体" w:cs="宋体"/>
                <w:color w:val="auto"/>
                <w:szCs w:val="21"/>
                <w:highlight w:val="none"/>
              </w:rPr>
              <w:t>分</w:t>
            </w:r>
            <w:r>
              <w:rPr>
                <w:rFonts w:hint="eastAsia" w:ascii="宋体" w:hAnsi="宋体" w:cs="宋体"/>
                <w:color w:val="auto"/>
                <w:highlight w:val="none"/>
              </w:rPr>
              <w:t>）</w:t>
            </w:r>
            <w:r>
              <w:rPr>
                <w:rFonts w:hint="eastAsia" w:ascii="宋体" w:hAnsi="宋体" w:cs="宋体"/>
                <w:b/>
                <w:bCs/>
                <w:snapToGrid w:val="0"/>
                <w:color w:val="auto"/>
                <w:szCs w:val="21"/>
                <w:highlight w:val="none"/>
              </w:rPr>
              <w:t>（主观分）</w:t>
            </w:r>
            <w:r>
              <w:rPr>
                <w:rFonts w:hint="eastAsia" w:ascii="宋体" w:hAnsi="宋体" w:cs="宋体"/>
                <w:snapToGrid w:val="0"/>
                <w:color w:val="auto"/>
                <w:szCs w:val="21"/>
                <w:highlight w:val="none"/>
              </w:rPr>
              <w:t>；以上人员须为公司正式在编人员，提供本单位近期的社保证明或劳务合同或其他相关证明材料。</w:t>
            </w:r>
          </w:p>
          <w:p>
            <w:pPr>
              <w:tabs>
                <w:tab w:val="left" w:pos="252"/>
              </w:tabs>
              <w:rPr>
                <w:rFonts w:hint="eastAsia" w:ascii="宋体" w:hAnsi="宋体" w:cs="宋体"/>
                <w:color w:val="auto"/>
                <w:szCs w:val="21"/>
                <w:highlight w:val="none"/>
              </w:rPr>
            </w:pPr>
            <w:r>
              <w:rPr>
                <w:rFonts w:hint="eastAsia" w:ascii="宋体" w:hAnsi="宋体" w:cs="宋体"/>
                <w:color w:val="auto"/>
                <w:highlight w:val="none"/>
              </w:rPr>
              <w:t>2、项目负责人自2017年1月1日（以合同签订时间为准）以来乡镇、街道及以上的公共道路保洁服务业绩（不包括高速公路、小区和单位内部保洁，也不包含物业服务项目）情况（0-1.5</w:t>
            </w:r>
            <w:r>
              <w:rPr>
                <w:rFonts w:hint="eastAsia" w:ascii="宋体" w:hAnsi="宋体" w:cs="宋体"/>
                <w:color w:val="auto"/>
                <w:szCs w:val="21"/>
                <w:highlight w:val="none"/>
              </w:rPr>
              <w:t>分</w:t>
            </w:r>
            <w:r>
              <w:rPr>
                <w:rFonts w:hint="eastAsia" w:ascii="宋体" w:hAnsi="宋体" w:cs="宋体"/>
                <w:color w:val="auto"/>
                <w:highlight w:val="none"/>
              </w:rPr>
              <w:t>）</w:t>
            </w:r>
            <w:r>
              <w:rPr>
                <w:rFonts w:hint="eastAsia" w:ascii="宋体" w:hAnsi="宋体" w:cs="宋体"/>
                <w:b/>
                <w:bCs/>
                <w:snapToGrid w:val="0"/>
                <w:color w:val="auto"/>
                <w:szCs w:val="21"/>
                <w:highlight w:val="none"/>
              </w:rPr>
              <w:t>（主观分）</w:t>
            </w:r>
            <w:r>
              <w:rPr>
                <w:rFonts w:hint="eastAsia" w:ascii="宋体" w:hAnsi="宋体" w:cs="宋体"/>
                <w:snapToGrid w:val="0"/>
                <w:color w:val="auto"/>
                <w:szCs w:val="21"/>
                <w:highlight w:val="none"/>
              </w:rPr>
              <w:t>。</w:t>
            </w:r>
            <w:r>
              <w:rPr>
                <w:rFonts w:hint="eastAsia" w:ascii="宋体" w:hAnsi="宋体" w:cs="宋体"/>
                <w:color w:val="auto"/>
                <w:highlight w:val="none"/>
              </w:rPr>
              <w:t>须提供合同扫描件加盖公章，如合同中无法体现项目负责人信息的须另提供业主证明（见投标文件格式附件八项目负责人履历情况证明），否则不予计分。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646" w:type="dxa"/>
            <w:vMerge w:val="restart"/>
            <w:noWrap w:val="0"/>
            <w:vAlign w:val="center"/>
          </w:tcPr>
          <w:p>
            <w:pPr>
              <w:spacing w:line="360" w:lineRule="exact"/>
              <w:ind w:left="-50"/>
              <w:jc w:val="center"/>
              <w:rPr>
                <w:rFonts w:hint="eastAsia" w:ascii="宋体" w:hAnsi="宋体" w:cs="宋体"/>
                <w:szCs w:val="21"/>
              </w:rPr>
            </w:pPr>
            <w:r>
              <w:rPr>
                <w:rFonts w:hint="eastAsia" w:ascii="宋体" w:hAnsi="宋体" w:cs="宋体"/>
                <w:snapToGrid w:val="0"/>
                <w:szCs w:val="21"/>
              </w:rPr>
              <w:t>4.7</w:t>
            </w:r>
          </w:p>
          <w:p>
            <w:pPr>
              <w:spacing w:line="360" w:lineRule="exact"/>
              <w:ind w:left="-50"/>
              <w:jc w:val="center"/>
              <w:rPr>
                <w:rFonts w:hint="eastAsia" w:ascii="宋体" w:hAnsi="宋体" w:cs="宋体"/>
                <w:snapToGrid w:val="0"/>
                <w:szCs w:val="21"/>
              </w:rPr>
            </w:pPr>
          </w:p>
        </w:tc>
        <w:tc>
          <w:tcPr>
            <w:tcW w:w="1793" w:type="dxa"/>
            <w:vMerge w:val="restart"/>
            <w:noWrap w:val="0"/>
            <w:vAlign w:val="center"/>
          </w:tcPr>
          <w:p>
            <w:pPr>
              <w:jc w:val="center"/>
              <w:rPr>
                <w:rFonts w:hint="eastAsia" w:ascii="宋体" w:hAnsi="宋体" w:cs="宋体"/>
                <w:szCs w:val="21"/>
              </w:rPr>
            </w:pPr>
            <w:r>
              <w:rPr>
                <w:rFonts w:hint="eastAsia" w:ascii="宋体" w:hAnsi="宋体" w:cs="宋体"/>
                <w:szCs w:val="21"/>
              </w:rPr>
              <w:t>提升技术、服务水平及履约能力评价</w:t>
            </w:r>
          </w:p>
        </w:tc>
        <w:tc>
          <w:tcPr>
            <w:tcW w:w="699" w:type="dxa"/>
            <w:vMerge w:val="restart"/>
            <w:noWrap w:val="0"/>
            <w:vAlign w:val="center"/>
          </w:tcPr>
          <w:p>
            <w:pPr>
              <w:jc w:val="center"/>
              <w:rPr>
                <w:rFonts w:hint="eastAsia" w:ascii="宋体" w:hAnsi="宋体" w:cs="宋体"/>
                <w:color w:val="auto"/>
                <w:szCs w:val="21"/>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6.3</w:t>
            </w:r>
            <w:r>
              <w:rPr>
                <w:rFonts w:hint="eastAsia" w:ascii="宋体" w:hAnsi="宋体" w:cs="宋体"/>
                <w:color w:val="auto"/>
                <w:szCs w:val="21"/>
                <w:highlight w:val="none"/>
              </w:rPr>
              <w:t>分</w:t>
            </w:r>
          </w:p>
        </w:tc>
        <w:tc>
          <w:tcPr>
            <w:tcW w:w="6088" w:type="dxa"/>
            <w:gridSpan w:val="2"/>
            <w:noWrap w:val="0"/>
            <w:vAlign w:val="center"/>
          </w:tcPr>
          <w:p>
            <w:pPr>
              <w:numPr>
                <w:ilvl w:val="0"/>
                <w:numId w:val="58"/>
              </w:numPr>
              <w:spacing w:line="300" w:lineRule="exact"/>
              <w:rPr>
                <w:rFonts w:hint="eastAsia" w:ascii="宋体" w:hAnsi="宋体" w:cs="宋体"/>
                <w:color w:val="auto"/>
              </w:rPr>
            </w:pPr>
            <w:r>
              <w:rPr>
                <w:rFonts w:hint="eastAsia" w:ascii="宋体" w:hAnsi="宋体" w:cs="宋体"/>
                <w:color w:val="auto"/>
              </w:rPr>
              <w:t>供应商投入本项目的车辆进行打分，其中车辆持有形式包括自有已上牌(指投标供应商自行</w:t>
            </w:r>
            <w:r>
              <w:rPr>
                <w:rFonts w:hint="eastAsia" w:ascii="宋体" w:hAnsi="宋体" w:cs="宋体"/>
                <w:color w:val="auto"/>
                <w:highlight w:val="none"/>
              </w:rPr>
              <w:t>购置，包括分公司或全资子公司购置)</w:t>
            </w:r>
            <w:r>
              <w:rPr>
                <w:rFonts w:hint="eastAsia" w:ascii="宋体" w:hAnsi="宋体" w:cs="宋体"/>
                <w:color w:val="auto"/>
              </w:rPr>
              <w:t>和其他方式（包括现已租赁车辆、承诺中标后购买和承诺中标后租赁），具体评分点如下</w:t>
            </w:r>
            <w:r>
              <w:rPr>
                <w:rFonts w:hint="eastAsia" w:ascii="宋体" w:hAnsi="宋体" w:cs="宋体"/>
                <w:snapToGrid w:val="0"/>
                <w:color w:val="auto"/>
                <w:szCs w:val="21"/>
              </w:rPr>
              <w:t>（客观分）</w:t>
            </w:r>
            <w:r>
              <w:rPr>
                <w:rFonts w:hint="eastAsia" w:ascii="宋体" w:hAnsi="宋体" w:cs="宋体"/>
                <w:color w:val="auto"/>
              </w:rPr>
              <w:t>：</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987"/>
              <w:gridCol w:w="871"/>
              <w:gridCol w:w="859"/>
              <w:gridCol w:w="858"/>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vMerge w:val="restart"/>
                  <w:noWrap w:val="0"/>
                  <w:vAlign w:val="center"/>
                </w:tcPr>
                <w:p>
                  <w:pPr>
                    <w:pStyle w:val="75"/>
                    <w:spacing w:line="300" w:lineRule="exact"/>
                    <w:ind w:left="0" w:firstLine="0"/>
                    <w:jc w:val="center"/>
                    <w:rPr>
                      <w:rFonts w:hint="eastAsia" w:hAnsi="宋体" w:cs="宋体"/>
                      <w:color w:val="auto"/>
                    </w:rPr>
                  </w:pPr>
                  <w:r>
                    <w:rPr>
                      <w:rFonts w:hint="eastAsia" w:hAnsi="宋体" w:cs="宋体"/>
                      <w:color w:val="auto"/>
                      <w:szCs w:val="21"/>
                    </w:rPr>
                    <w:t>车型</w:t>
                  </w:r>
                </w:p>
              </w:tc>
              <w:tc>
                <w:tcPr>
                  <w:tcW w:w="842" w:type="pct"/>
                  <w:vMerge w:val="restart"/>
                  <w:noWrap w:val="0"/>
                  <w:vAlign w:val="center"/>
                </w:tcPr>
                <w:p>
                  <w:pPr>
                    <w:pStyle w:val="75"/>
                    <w:spacing w:line="300" w:lineRule="exact"/>
                    <w:ind w:left="0" w:firstLine="0"/>
                    <w:jc w:val="center"/>
                    <w:rPr>
                      <w:rFonts w:hint="eastAsia" w:hAnsi="宋体" w:cs="宋体"/>
                      <w:color w:val="auto"/>
                    </w:rPr>
                  </w:pPr>
                  <w:r>
                    <w:rPr>
                      <w:rFonts w:hint="eastAsia" w:hAnsi="宋体" w:cs="宋体"/>
                      <w:color w:val="auto"/>
                      <w:szCs w:val="21"/>
                    </w:rPr>
                    <w:t>分值</w:t>
                  </w:r>
                </w:p>
              </w:tc>
              <w:tc>
                <w:tcPr>
                  <w:tcW w:w="3030" w:type="pct"/>
                  <w:gridSpan w:val="4"/>
                  <w:noWrap w:val="0"/>
                  <w:vAlign w:val="center"/>
                </w:tcPr>
                <w:p>
                  <w:pPr>
                    <w:pStyle w:val="75"/>
                    <w:spacing w:line="300" w:lineRule="exact"/>
                    <w:ind w:left="0" w:firstLine="0"/>
                    <w:jc w:val="center"/>
                    <w:rPr>
                      <w:rFonts w:hint="eastAsia" w:hAnsi="宋体" w:cs="宋体"/>
                      <w:color w:val="auto"/>
                    </w:rPr>
                  </w:pPr>
                  <w:r>
                    <w:rPr>
                      <w:rFonts w:hint="eastAsia" w:hAnsi="宋体" w:cs="宋体"/>
                      <w:color w:val="auto"/>
                    </w:rPr>
                    <w:t>车辆持有形式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27" w:type="pct"/>
                  <w:vMerge w:val="continue"/>
                  <w:noWrap w:val="0"/>
                  <w:vAlign w:val="center"/>
                </w:tcPr>
                <w:p>
                  <w:pPr>
                    <w:pStyle w:val="75"/>
                    <w:spacing w:line="300" w:lineRule="exact"/>
                    <w:ind w:left="0" w:firstLine="0"/>
                    <w:jc w:val="center"/>
                    <w:rPr>
                      <w:rFonts w:hint="eastAsia" w:hAnsi="宋体" w:cs="宋体"/>
                      <w:color w:val="auto"/>
                    </w:rPr>
                  </w:pPr>
                </w:p>
              </w:tc>
              <w:tc>
                <w:tcPr>
                  <w:tcW w:w="842" w:type="pct"/>
                  <w:vMerge w:val="continue"/>
                  <w:noWrap w:val="0"/>
                  <w:vAlign w:val="center"/>
                </w:tcPr>
                <w:p>
                  <w:pPr>
                    <w:pStyle w:val="75"/>
                    <w:spacing w:line="300" w:lineRule="exact"/>
                    <w:ind w:left="0" w:firstLine="0"/>
                    <w:jc w:val="center"/>
                    <w:rPr>
                      <w:rFonts w:hint="eastAsia" w:hAnsi="宋体" w:cs="宋体"/>
                      <w:color w:val="auto"/>
                    </w:rPr>
                  </w:pPr>
                </w:p>
              </w:tc>
              <w:tc>
                <w:tcPr>
                  <w:tcW w:w="1476" w:type="pct"/>
                  <w:gridSpan w:val="2"/>
                  <w:noWrap w:val="0"/>
                  <w:vAlign w:val="center"/>
                </w:tcPr>
                <w:p>
                  <w:pPr>
                    <w:pStyle w:val="75"/>
                    <w:spacing w:line="300" w:lineRule="exact"/>
                    <w:ind w:left="0" w:firstLine="0"/>
                    <w:jc w:val="center"/>
                    <w:rPr>
                      <w:rFonts w:hint="eastAsia" w:hAnsi="宋体" w:cs="宋体"/>
                      <w:color w:val="auto"/>
                    </w:rPr>
                  </w:pPr>
                  <w:r>
                    <w:rPr>
                      <w:rFonts w:hint="eastAsia" w:hAnsi="宋体" w:cs="宋体"/>
                      <w:color w:val="auto"/>
                    </w:rPr>
                    <w:t>自有已上牌</w:t>
                  </w:r>
                </w:p>
              </w:tc>
              <w:tc>
                <w:tcPr>
                  <w:tcW w:w="1554" w:type="pct"/>
                  <w:gridSpan w:val="2"/>
                  <w:noWrap w:val="0"/>
                  <w:vAlign w:val="center"/>
                </w:tcPr>
                <w:p>
                  <w:pPr>
                    <w:pStyle w:val="75"/>
                    <w:spacing w:line="300" w:lineRule="exact"/>
                    <w:ind w:left="0" w:firstLine="0"/>
                    <w:jc w:val="center"/>
                    <w:rPr>
                      <w:rFonts w:hint="eastAsia" w:hAnsi="宋体" w:cs="宋体"/>
                      <w:color w:val="auto"/>
                    </w:rPr>
                  </w:pPr>
                  <w:r>
                    <w:rPr>
                      <w:rFonts w:hint="eastAsia" w:hAnsi="宋体" w:cs="宋体"/>
                      <w:color w:val="auto"/>
                    </w:rPr>
                    <w:t>其他方式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27" w:type="pct"/>
                  <w:vMerge w:val="continue"/>
                  <w:noWrap w:val="0"/>
                  <w:vAlign w:val="center"/>
                </w:tcPr>
                <w:p>
                  <w:pPr>
                    <w:pStyle w:val="75"/>
                    <w:spacing w:line="300" w:lineRule="exact"/>
                    <w:ind w:left="0" w:firstLine="0"/>
                    <w:jc w:val="center"/>
                    <w:rPr>
                      <w:rFonts w:hint="eastAsia" w:hAnsi="宋体" w:cs="宋体"/>
                      <w:color w:val="auto"/>
                    </w:rPr>
                  </w:pPr>
                </w:p>
              </w:tc>
              <w:tc>
                <w:tcPr>
                  <w:tcW w:w="842" w:type="pct"/>
                  <w:vMerge w:val="continue"/>
                  <w:noWrap w:val="0"/>
                  <w:vAlign w:val="center"/>
                </w:tcPr>
                <w:p>
                  <w:pPr>
                    <w:pStyle w:val="75"/>
                    <w:spacing w:line="300" w:lineRule="exact"/>
                    <w:ind w:left="0" w:firstLine="0"/>
                    <w:jc w:val="center"/>
                    <w:rPr>
                      <w:rFonts w:hint="eastAsia" w:hAnsi="宋体" w:cs="宋体"/>
                      <w:color w:val="auto"/>
                    </w:rPr>
                  </w:pPr>
                </w:p>
              </w:tc>
              <w:tc>
                <w:tcPr>
                  <w:tcW w:w="743" w:type="pct"/>
                  <w:noWrap w:val="0"/>
                  <w:vAlign w:val="center"/>
                </w:tcPr>
                <w:p>
                  <w:pPr>
                    <w:pStyle w:val="75"/>
                    <w:spacing w:line="300" w:lineRule="exact"/>
                    <w:ind w:left="0" w:firstLine="0"/>
                    <w:jc w:val="center"/>
                    <w:rPr>
                      <w:rFonts w:hint="eastAsia" w:hAnsi="宋体" w:cs="宋体"/>
                      <w:color w:val="auto"/>
                      <w:sz w:val="16"/>
                      <w:szCs w:val="15"/>
                    </w:rPr>
                  </w:pPr>
                  <w:r>
                    <w:rPr>
                      <w:rFonts w:hint="eastAsia" w:hAnsi="宋体" w:cs="宋体"/>
                      <w:color w:val="auto"/>
                      <w:sz w:val="16"/>
                      <w:szCs w:val="15"/>
                    </w:rPr>
                    <w:t>每辆得分</w:t>
                  </w:r>
                </w:p>
              </w:tc>
              <w:tc>
                <w:tcPr>
                  <w:tcW w:w="732" w:type="pct"/>
                  <w:noWrap w:val="0"/>
                  <w:vAlign w:val="center"/>
                </w:tcPr>
                <w:p>
                  <w:pPr>
                    <w:pStyle w:val="75"/>
                    <w:spacing w:line="300" w:lineRule="exact"/>
                    <w:ind w:left="0" w:firstLine="0"/>
                    <w:jc w:val="center"/>
                    <w:rPr>
                      <w:rFonts w:hint="eastAsia" w:hAnsi="宋体" w:cs="宋体"/>
                      <w:color w:val="auto"/>
                      <w:sz w:val="16"/>
                      <w:szCs w:val="15"/>
                    </w:rPr>
                  </w:pPr>
                  <w:r>
                    <w:rPr>
                      <w:rFonts w:hint="eastAsia" w:hAnsi="宋体" w:cs="宋体"/>
                      <w:color w:val="auto"/>
                      <w:sz w:val="16"/>
                      <w:szCs w:val="15"/>
                    </w:rPr>
                    <w:t>最高得分</w:t>
                  </w:r>
                </w:p>
              </w:tc>
              <w:tc>
                <w:tcPr>
                  <w:tcW w:w="732" w:type="pct"/>
                  <w:noWrap w:val="0"/>
                  <w:vAlign w:val="center"/>
                </w:tcPr>
                <w:p>
                  <w:pPr>
                    <w:pStyle w:val="75"/>
                    <w:spacing w:line="300" w:lineRule="exact"/>
                    <w:ind w:left="0" w:firstLine="0"/>
                    <w:jc w:val="center"/>
                    <w:rPr>
                      <w:rFonts w:hint="eastAsia" w:hAnsi="宋体" w:cs="宋体"/>
                      <w:color w:val="auto"/>
                      <w:sz w:val="16"/>
                      <w:szCs w:val="15"/>
                    </w:rPr>
                  </w:pPr>
                  <w:r>
                    <w:rPr>
                      <w:rFonts w:hint="eastAsia" w:hAnsi="宋体" w:cs="宋体"/>
                      <w:color w:val="auto"/>
                      <w:sz w:val="16"/>
                      <w:szCs w:val="15"/>
                    </w:rPr>
                    <w:t>每辆得分</w:t>
                  </w:r>
                </w:p>
              </w:tc>
              <w:tc>
                <w:tcPr>
                  <w:tcW w:w="822" w:type="pct"/>
                  <w:noWrap w:val="0"/>
                  <w:vAlign w:val="center"/>
                </w:tcPr>
                <w:p>
                  <w:pPr>
                    <w:pStyle w:val="75"/>
                    <w:spacing w:line="300" w:lineRule="exact"/>
                    <w:ind w:left="0" w:firstLine="0"/>
                    <w:jc w:val="center"/>
                    <w:rPr>
                      <w:rFonts w:hint="eastAsia" w:hAnsi="宋体" w:cs="宋体"/>
                      <w:color w:val="auto"/>
                      <w:sz w:val="16"/>
                      <w:szCs w:val="15"/>
                    </w:rPr>
                  </w:pPr>
                  <w:r>
                    <w:rPr>
                      <w:rFonts w:hint="eastAsia" w:hAnsi="宋体" w:cs="宋体"/>
                      <w:color w:val="auto"/>
                      <w:sz w:val="16"/>
                      <w:szCs w:val="15"/>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重型洗扫一体车(最多3辆）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0-4.5</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4.5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0.75</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中型或中型以上洗扫一体车(最多2辆）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0-1.6</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0.8</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1.6</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重型高压冲洗车(最多3辆）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0-4.5</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4.5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0.75</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重型多功能抑尘车(最多2辆）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0-3.0</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3.0</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0.75</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中型及中型以上洒水车(最多3辆）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0-2.4</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0.8</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2.4</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top"/>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rPr>
                    <w:t>建筑垃圾运输（轻型或轻</w:t>
                  </w:r>
                  <w:r>
                    <w:rPr>
                      <w:rFonts w:hint="eastAsia" w:hAnsi="宋体" w:cs="宋体"/>
                      <w:color w:val="auto"/>
                      <w:sz w:val="18"/>
                      <w:szCs w:val="16"/>
                    </w:rPr>
                    <w:t>型以上</w:t>
                  </w:r>
                  <w:r>
                    <w:rPr>
                      <w:rFonts w:hint="eastAsia" w:hAnsi="宋体" w:cs="宋体"/>
                      <w:color w:val="auto"/>
                      <w:sz w:val="18"/>
                    </w:rPr>
                    <w:t>自卸）车</w:t>
                  </w:r>
                  <w:r>
                    <w:rPr>
                      <w:rFonts w:hint="eastAsia" w:hAnsi="宋体" w:cs="宋体"/>
                      <w:color w:val="auto"/>
                      <w:sz w:val="18"/>
                      <w:szCs w:val="16"/>
                    </w:rPr>
                    <w:t>(最多3辆）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0-1.2</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1.2</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0.2</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127" w:type="pct"/>
                  <w:noWrap w:val="0"/>
                  <w:vAlign w:val="top"/>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rPr>
                    <w:t>重型压缩式垃圾车（无滴漏）</w:t>
                  </w:r>
                  <w:r>
                    <w:rPr>
                      <w:rFonts w:hint="eastAsia" w:hAnsi="宋体" w:cs="宋体"/>
                      <w:color w:val="auto"/>
                      <w:sz w:val="18"/>
                      <w:szCs w:val="16"/>
                    </w:rPr>
                    <w:t>(最多1辆）</w:t>
                  </w:r>
                </w:p>
              </w:tc>
              <w:tc>
                <w:tcPr>
                  <w:tcW w:w="84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0-1.2</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1.2</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1.2</w:t>
                  </w:r>
                </w:p>
              </w:tc>
              <w:tc>
                <w:tcPr>
                  <w:tcW w:w="732" w:type="pct"/>
                  <w:noWrap w:val="0"/>
                  <w:vAlign w:val="center"/>
                </w:tcPr>
                <w:p>
                  <w:pPr>
                    <w:jc w:val="center"/>
                    <w:textAlignment w:val="bottom"/>
                    <w:rPr>
                      <w:rFonts w:hint="default"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0.60</w:t>
                  </w:r>
                </w:p>
              </w:tc>
              <w:tc>
                <w:tcPr>
                  <w:tcW w:w="822" w:type="pct"/>
                  <w:noWrap w:val="0"/>
                  <w:vAlign w:val="center"/>
                </w:tcPr>
                <w:p>
                  <w:pPr>
                    <w:jc w:val="center"/>
                    <w:textAlignment w:val="bottom"/>
                    <w:rPr>
                      <w:rFonts w:hint="default"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cs="宋体"/>
                      <w:color w:val="auto"/>
                      <w:sz w:val="18"/>
                      <w:szCs w:val="16"/>
                    </w:rPr>
                    <w:t>中型</w:t>
                  </w:r>
                  <w:r>
                    <w:rPr>
                      <w:rFonts w:hint="eastAsia" w:hAnsi="宋体" w:cs="宋体"/>
                      <w:color w:val="auto"/>
                      <w:sz w:val="18"/>
                    </w:rPr>
                    <w:t>二分类（易腐、其他）垃圾运输车</w:t>
                  </w:r>
                  <w:r>
                    <w:rPr>
                      <w:rFonts w:hint="eastAsia" w:hAnsi="宋体" w:cs="宋体"/>
                      <w:color w:val="auto"/>
                      <w:sz w:val="18"/>
                      <w:szCs w:val="16"/>
                    </w:rPr>
                    <w:t>(最多5辆）</w:t>
                  </w:r>
                </w:p>
              </w:tc>
              <w:tc>
                <w:tcPr>
                  <w:tcW w:w="842" w:type="pct"/>
                  <w:noWrap w:val="0"/>
                  <w:vAlign w:val="center"/>
                </w:tcPr>
                <w:p>
                  <w:pPr>
                    <w:jc w:val="center"/>
                    <w:textAlignment w:val="bottom"/>
                    <w:rPr>
                      <w:rFonts w:hint="default"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0-3.5</w:t>
                  </w:r>
                </w:p>
              </w:tc>
              <w:tc>
                <w:tcPr>
                  <w:tcW w:w="743"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0.7</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3.5</w:t>
                  </w:r>
                </w:p>
              </w:tc>
              <w:tc>
                <w:tcPr>
                  <w:tcW w:w="73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0.35</w:t>
                  </w:r>
                </w:p>
              </w:tc>
              <w:tc>
                <w:tcPr>
                  <w:tcW w:w="822" w:type="pct"/>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noWrap w:val="0"/>
                  <w:vAlign w:val="center"/>
                </w:tcPr>
                <w:p>
                  <w:pPr>
                    <w:pStyle w:val="75"/>
                    <w:spacing w:line="280" w:lineRule="exact"/>
                    <w:ind w:left="0" w:firstLine="0"/>
                    <w:jc w:val="left"/>
                    <w:rPr>
                      <w:rFonts w:hint="eastAsia" w:hAnsi="宋体" w:cs="宋体"/>
                      <w:color w:val="auto"/>
                      <w:sz w:val="18"/>
                      <w:szCs w:val="16"/>
                    </w:rPr>
                  </w:pPr>
                  <w:r>
                    <w:rPr>
                      <w:rFonts w:hint="eastAsia" w:hAnsi="宋体" w:eastAsia="宋体" w:cs="宋体"/>
                      <w:color w:val="auto"/>
                      <w:sz w:val="18"/>
                    </w:rPr>
                    <w:t>中型压缩式垃圾车（无滴漏）(最多1辆）</w:t>
                  </w:r>
                </w:p>
              </w:tc>
              <w:tc>
                <w:tcPr>
                  <w:tcW w:w="987" w:type="dxa"/>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0-0.8</w:t>
                  </w:r>
                </w:p>
              </w:tc>
              <w:tc>
                <w:tcPr>
                  <w:tcW w:w="871" w:type="dxa"/>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0.8</w:t>
                  </w:r>
                </w:p>
              </w:tc>
              <w:tc>
                <w:tcPr>
                  <w:tcW w:w="859" w:type="dxa"/>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0.8</w:t>
                  </w:r>
                </w:p>
              </w:tc>
              <w:tc>
                <w:tcPr>
                  <w:tcW w:w="858" w:type="dxa"/>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w:t>
                  </w:r>
                </w:p>
              </w:tc>
              <w:tc>
                <w:tcPr>
                  <w:tcW w:w="964" w:type="dxa"/>
                  <w:noWrap w:val="0"/>
                  <w:vAlign w:val="center"/>
                </w:tcPr>
                <w:p>
                  <w:pPr>
                    <w:jc w:val="center"/>
                    <w:textAlignment w:val="bottom"/>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lang w:val="en-US" w:eastAsia="zh-CN" w:bidi="ar"/>
                    </w:rPr>
                    <w:t>0.4</w:t>
                  </w:r>
                </w:p>
              </w:tc>
            </w:tr>
          </w:tbl>
          <w:p>
            <w:pPr>
              <w:spacing w:line="300" w:lineRule="exact"/>
              <w:rPr>
                <w:rFonts w:hint="eastAsia" w:ascii="宋体" w:hAnsi="宋体" w:cs="宋体"/>
                <w:color w:val="auto"/>
                <w:szCs w:val="21"/>
              </w:rPr>
            </w:pPr>
            <w:r>
              <w:rPr>
                <w:rFonts w:hint="eastAsia" w:ascii="宋体" w:hAnsi="宋体" w:cs="宋体"/>
                <w:color w:val="auto"/>
                <w:szCs w:val="21"/>
              </w:rPr>
              <w:t>以上车辆持有形式须分别对应提交如下证明材料：</w:t>
            </w:r>
          </w:p>
          <w:p>
            <w:pPr>
              <w:spacing w:line="240" w:lineRule="exact"/>
              <w:rPr>
                <w:rFonts w:hint="eastAsia" w:ascii="宋体" w:hAnsi="宋体" w:cs="宋体"/>
                <w:color w:val="auto"/>
                <w:szCs w:val="21"/>
              </w:rPr>
            </w:pPr>
            <w:r>
              <w:rPr>
                <w:rFonts w:hint="eastAsia" w:ascii="宋体" w:hAnsi="宋体" w:cs="宋体"/>
                <w:color w:val="auto"/>
                <w:szCs w:val="21"/>
              </w:rPr>
              <w:t>A、自有已上牌车辆：以提供公安部门颁发的行驶证（行驶证带车辆照片）扫描件、车辆全身彩色照片（注明车辆种类）为准；自有已上牌车辆必须为2017年1月1日以来首次上牌车辆；</w:t>
            </w:r>
          </w:p>
          <w:p>
            <w:pPr>
              <w:spacing w:line="240" w:lineRule="exact"/>
              <w:rPr>
                <w:rFonts w:hint="eastAsia" w:ascii="宋体" w:hAnsi="宋体" w:cs="宋体"/>
                <w:color w:val="auto"/>
                <w:szCs w:val="21"/>
              </w:rPr>
            </w:pPr>
            <w:r>
              <w:rPr>
                <w:rFonts w:hint="eastAsia" w:ascii="宋体" w:hAnsi="宋体" w:cs="宋体"/>
                <w:color w:val="auto"/>
                <w:szCs w:val="21"/>
              </w:rPr>
              <w:t>B、现已租赁车辆：以提供公安部门颁发的行驶证（行驶证带车辆照片）扫描件、车辆全身彩色照片（注明车辆种类）及对应车辆租赁合同（租赁期覆盖本项目服务期）为准；现已租赁车辆必须为2019年1月1日以来首次上牌车辆；</w:t>
            </w:r>
          </w:p>
          <w:p>
            <w:pPr>
              <w:spacing w:line="300" w:lineRule="exact"/>
              <w:rPr>
                <w:rFonts w:hint="eastAsia" w:ascii="宋体" w:hAnsi="宋体" w:cs="宋体"/>
                <w:color w:val="auto"/>
                <w:szCs w:val="21"/>
              </w:rPr>
            </w:pPr>
            <w:r>
              <w:rPr>
                <w:rFonts w:hint="eastAsia" w:ascii="宋体" w:hAnsi="宋体" w:cs="宋体"/>
                <w:color w:val="auto"/>
                <w:szCs w:val="21"/>
              </w:rPr>
              <w:t>C、承诺中标后购买或租赁的车辆：</w:t>
            </w:r>
          </w:p>
          <w:p>
            <w:pPr>
              <w:spacing w:line="300" w:lineRule="exact"/>
              <w:rPr>
                <w:rFonts w:hint="eastAsia" w:ascii="宋体" w:hAnsi="宋体" w:cs="宋体"/>
                <w:color w:val="auto"/>
                <w:szCs w:val="21"/>
              </w:rPr>
            </w:pPr>
            <w:r>
              <w:rPr>
                <w:rFonts w:hint="eastAsia" w:ascii="宋体" w:hAnsi="宋体" w:cs="宋体"/>
                <w:color w:val="auto"/>
                <w:szCs w:val="21"/>
              </w:rPr>
              <w:t>在投标文件中须提供购买或租赁承诺书（承诺中标后购买及租赁车辆必须为2019年1月1日以来首次上牌车辆）及车辆全身彩色照片（注明车辆种类）为准；</w:t>
            </w:r>
          </w:p>
          <w:p>
            <w:pPr>
              <w:pStyle w:val="75"/>
              <w:spacing w:line="300" w:lineRule="exact"/>
              <w:ind w:left="0" w:firstLine="0"/>
              <w:rPr>
                <w:rFonts w:hint="eastAsia" w:hAnsi="宋体" w:cs="宋体"/>
                <w:color w:val="auto"/>
                <w:szCs w:val="21"/>
              </w:rPr>
            </w:pPr>
            <w:r>
              <w:rPr>
                <w:rFonts w:hint="eastAsia" w:hAnsi="宋体" w:cs="宋体"/>
                <w:color w:val="auto"/>
                <w:szCs w:val="21"/>
              </w:rPr>
              <w:t>供应商投标资料提供不全导致无法得分的，责任自负。</w:t>
            </w:r>
          </w:p>
          <w:p>
            <w:pPr>
              <w:pStyle w:val="75"/>
              <w:spacing w:line="300" w:lineRule="exact"/>
              <w:ind w:left="0" w:firstLine="0"/>
              <w:rPr>
                <w:rFonts w:hint="eastAsia" w:hAnsi="宋体" w:cs="宋体"/>
                <w:b/>
                <w:color w:val="auto"/>
                <w:szCs w:val="21"/>
              </w:rPr>
            </w:pPr>
            <w:r>
              <w:rPr>
                <w:rFonts w:hint="eastAsia" w:hAnsi="宋体" w:cs="宋体"/>
                <w:b/>
                <w:color w:val="auto"/>
                <w:szCs w:val="21"/>
              </w:rPr>
              <w:t>注：</w:t>
            </w:r>
            <w:r>
              <w:rPr>
                <w:rFonts w:hint="eastAsia" w:hAnsi="宋体" w:cs="宋体"/>
                <w:color w:val="auto"/>
                <w:szCs w:val="21"/>
              </w:rPr>
              <w:t>超过上表中各种车型数量最高要求的，超出部分不予计分</w:t>
            </w:r>
            <w:r>
              <w:rPr>
                <w:rFonts w:hint="eastAsia" w:hAnsi="宋体" w:cs="宋体"/>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vMerge w:val="continue"/>
            <w:noWrap w:val="0"/>
            <w:vAlign w:val="center"/>
          </w:tcPr>
          <w:p>
            <w:pPr>
              <w:pStyle w:val="75"/>
              <w:spacing w:line="300" w:lineRule="exact"/>
              <w:ind w:left="0" w:firstLine="0"/>
              <w:rPr>
                <w:rFonts w:hint="eastAsia" w:hAnsi="宋体" w:cs="宋体"/>
              </w:rPr>
            </w:pPr>
          </w:p>
        </w:tc>
        <w:tc>
          <w:tcPr>
            <w:tcW w:w="1793" w:type="dxa"/>
            <w:vMerge w:val="continue"/>
            <w:noWrap w:val="0"/>
            <w:vAlign w:val="center"/>
          </w:tcPr>
          <w:p>
            <w:pPr>
              <w:pStyle w:val="75"/>
              <w:spacing w:line="300" w:lineRule="exact"/>
              <w:ind w:left="0" w:firstLine="0"/>
              <w:rPr>
                <w:rFonts w:hint="eastAsia" w:hAnsi="宋体" w:cs="宋体"/>
              </w:rPr>
            </w:pPr>
          </w:p>
        </w:tc>
        <w:tc>
          <w:tcPr>
            <w:tcW w:w="699" w:type="dxa"/>
            <w:vMerge w:val="continue"/>
            <w:noWrap w:val="0"/>
            <w:vAlign w:val="center"/>
          </w:tcPr>
          <w:p>
            <w:pPr>
              <w:pStyle w:val="75"/>
              <w:spacing w:line="300" w:lineRule="exact"/>
              <w:ind w:left="0" w:firstLine="0"/>
              <w:rPr>
                <w:rFonts w:hint="eastAsia" w:hAnsi="宋体" w:cs="宋体"/>
              </w:rPr>
            </w:pPr>
          </w:p>
        </w:tc>
        <w:tc>
          <w:tcPr>
            <w:tcW w:w="6088" w:type="dxa"/>
            <w:gridSpan w:val="2"/>
            <w:noWrap w:val="0"/>
            <w:vAlign w:val="center"/>
          </w:tcPr>
          <w:p>
            <w:pPr>
              <w:spacing w:line="300" w:lineRule="exact"/>
              <w:rPr>
                <w:rFonts w:hint="eastAsia" w:ascii="宋体" w:hAnsi="宋体" w:cs="宋体"/>
                <w:b/>
                <w:szCs w:val="21"/>
              </w:rPr>
            </w:pPr>
            <w:r>
              <w:rPr>
                <w:rFonts w:hint="eastAsia" w:ascii="宋体" w:hAnsi="宋体" w:cs="宋体"/>
              </w:rPr>
              <w:t>2、供应商投入本项目的</w:t>
            </w:r>
            <w:r>
              <w:rPr>
                <w:rFonts w:hint="eastAsia" w:ascii="宋体" w:hAnsi="宋体" w:cs="宋体"/>
                <w:szCs w:val="22"/>
              </w:rPr>
              <w:t>所有现已自有装载机（轮式铲车）一辆得0.3分，最多得0.6分，提供发票扫描件及设备照片；如为现已租赁车辆（或承诺中标后购买或租赁）的，1辆得0.15分，最多得0.3分，提供租赁期覆盖本项目服务期租赁合同及设备照片（或中标后购买承诺书或中标后租赁承诺书）。本小项最高得0.6分（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vMerge w:val="continue"/>
            <w:noWrap w:val="0"/>
            <w:vAlign w:val="center"/>
          </w:tcPr>
          <w:p>
            <w:pPr>
              <w:pStyle w:val="75"/>
              <w:spacing w:line="300" w:lineRule="exact"/>
              <w:ind w:left="0" w:firstLine="0"/>
              <w:rPr>
                <w:rFonts w:hint="eastAsia" w:hAnsi="宋体" w:cs="宋体"/>
              </w:rPr>
            </w:pPr>
          </w:p>
        </w:tc>
        <w:tc>
          <w:tcPr>
            <w:tcW w:w="1793" w:type="dxa"/>
            <w:vMerge w:val="continue"/>
            <w:noWrap w:val="0"/>
            <w:vAlign w:val="center"/>
          </w:tcPr>
          <w:p>
            <w:pPr>
              <w:pStyle w:val="75"/>
              <w:spacing w:line="300" w:lineRule="exact"/>
              <w:ind w:left="0" w:firstLine="0"/>
              <w:rPr>
                <w:rFonts w:hint="eastAsia" w:hAnsi="宋体" w:cs="宋体"/>
              </w:rPr>
            </w:pPr>
          </w:p>
        </w:tc>
        <w:tc>
          <w:tcPr>
            <w:tcW w:w="699" w:type="dxa"/>
            <w:vMerge w:val="continue"/>
            <w:noWrap w:val="0"/>
            <w:vAlign w:val="center"/>
          </w:tcPr>
          <w:p>
            <w:pPr>
              <w:pStyle w:val="75"/>
              <w:spacing w:line="300" w:lineRule="exact"/>
              <w:ind w:left="0" w:firstLine="0"/>
              <w:rPr>
                <w:rFonts w:hint="eastAsia" w:hAnsi="宋体" w:cs="宋体"/>
              </w:rPr>
            </w:pPr>
          </w:p>
        </w:tc>
        <w:tc>
          <w:tcPr>
            <w:tcW w:w="6088" w:type="dxa"/>
            <w:gridSpan w:val="2"/>
            <w:noWrap w:val="0"/>
            <w:vAlign w:val="center"/>
          </w:tcPr>
          <w:p>
            <w:pPr>
              <w:spacing w:line="300" w:lineRule="exact"/>
              <w:rPr>
                <w:rFonts w:hint="eastAsia" w:ascii="宋体" w:hAnsi="宋体" w:cs="宋体"/>
                <w:color w:val="auto"/>
              </w:rPr>
            </w:pPr>
            <w:r>
              <w:rPr>
                <w:rFonts w:hint="eastAsia" w:ascii="宋体" w:hAnsi="宋体" w:cs="宋体"/>
                <w:color w:val="auto"/>
              </w:rPr>
              <w:t>3、供应商投入本项目的小型冲洗车满足采购文件第三部分“本项目要求机械车辆、船只投入的最低要求”外，增配一辆现已自有小型冲洗车得0.2分，最多得1分，提供发票扫描件及设备照片；增配小型冲洗车如为现已租赁车辆（或承诺中标后购买或租赁）的，1辆得0.1分，最多得0.5分，提供租赁期覆盖本项目服务期租赁合同及设备照片（或中标后购买承诺书或中标后租赁承诺书）。本小项最高得1分（客观分）。</w:t>
            </w:r>
          </w:p>
          <w:p>
            <w:pPr>
              <w:pStyle w:val="64"/>
              <w:rPr>
                <w:rFonts w:hint="eastAsia" w:ascii="宋体" w:hAnsi="宋体" w:cs="宋体"/>
                <w:color w:val="auto"/>
                <w:szCs w:val="21"/>
              </w:rPr>
            </w:pPr>
            <w:r>
              <w:rPr>
                <w:rFonts w:hint="eastAsia" w:ascii="宋体" w:hAnsi="宋体" w:cs="宋体"/>
                <w:color w:val="auto"/>
              </w:rPr>
              <w:t>注：供应商投入本项目的所有小型冲洗车持有形式如有“现已自有”的，应当按照先满足采购文件第三部分“本项目要求机械车辆、船只投入的最低要求，再满足增配要求的原则来配置及得分。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7" w:hRule="atLeast"/>
          <w:jc w:val="center"/>
        </w:trPr>
        <w:tc>
          <w:tcPr>
            <w:tcW w:w="646" w:type="dxa"/>
            <w:vMerge w:val="continue"/>
            <w:noWrap w:val="0"/>
            <w:vAlign w:val="center"/>
          </w:tcPr>
          <w:p>
            <w:pPr>
              <w:spacing w:line="360" w:lineRule="exact"/>
              <w:ind w:left="-50"/>
              <w:jc w:val="center"/>
              <w:rPr>
                <w:rFonts w:hint="eastAsia" w:ascii="宋体" w:hAnsi="宋体" w:cs="宋体"/>
                <w:snapToGrid w:val="0"/>
                <w:szCs w:val="21"/>
              </w:rPr>
            </w:pPr>
          </w:p>
        </w:tc>
        <w:tc>
          <w:tcPr>
            <w:tcW w:w="1793" w:type="dxa"/>
            <w:vMerge w:val="continue"/>
            <w:noWrap w:val="0"/>
            <w:vAlign w:val="center"/>
          </w:tcPr>
          <w:p>
            <w:pPr>
              <w:jc w:val="center"/>
              <w:rPr>
                <w:rFonts w:hint="eastAsia" w:ascii="宋体" w:hAnsi="宋体" w:cs="宋体"/>
                <w:szCs w:val="21"/>
              </w:rPr>
            </w:pPr>
          </w:p>
        </w:tc>
        <w:tc>
          <w:tcPr>
            <w:tcW w:w="699" w:type="dxa"/>
            <w:vMerge w:val="continue"/>
            <w:noWrap w:val="0"/>
            <w:vAlign w:val="center"/>
          </w:tcPr>
          <w:p>
            <w:pPr>
              <w:jc w:val="center"/>
              <w:rPr>
                <w:rFonts w:hint="eastAsia" w:ascii="宋体" w:hAnsi="宋体" w:cs="宋体"/>
                <w:szCs w:val="21"/>
              </w:rPr>
            </w:pPr>
          </w:p>
        </w:tc>
        <w:tc>
          <w:tcPr>
            <w:tcW w:w="6088" w:type="dxa"/>
            <w:gridSpan w:val="2"/>
            <w:noWrap w:val="0"/>
            <w:vAlign w:val="center"/>
          </w:tcPr>
          <w:p>
            <w:pPr>
              <w:pStyle w:val="75"/>
              <w:spacing w:line="300" w:lineRule="exact"/>
              <w:ind w:left="0" w:firstLine="0"/>
              <w:rPr>
                <w:rFonts w:hint="eastAsia" w:hAnsi="宋体" w:cs="宋体"/>
                <w:b/>
                <w:color w:val="auto"/>
                <w:szCs w:val="21"/>
              </w:rPr>
            </w:pPr>
            <w:r>
              <w:rPr>
                <w:rFonts w:hint="eastAsia" w:hAnsi="宋体" w:cs="宋体"/>
                <w:color w:val="auto"/>
                <w:szCs w:val="21"/>
              </w:rPr>
              <w:t>4、针对以上1-3点车辆中满足采购文件第三部分“本项目要求机械车辆、船只投入的最低要求”外增配的车辆，提供增配车辆优化作业方案说明，方案中必须说明在满足“道路（含公路）保洁等级要求”基础上增加道路机扫、洒水、冲洗、降尘等作业时间和频次。根据方案的具体性、合理性和可操作性（0-2分）</w:t>
            </w:r>
            <w:r>
              <w:rPr>
                <w:rFonts w:hint="eastAsia" w:hAnsi="宋体" w:cs="宋体"/>
                <w:snapToGrid w:val="0"/>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jc w:val="center"/>
        </w:trPr>
        <w:tc>
          <w:tcPr>
            <w:tcW w:w="646" w:type="dxa"/>
            <w:vMerge w:val="restart"/>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4.8</w:t>
            </w:r>
          </w:p>
        </w:tc>
        <w:tc>
          <w:tcPr>
            <w:tcW w:w="1793" w:type="dxa"/>
            <w:vMerge w:val="restart"/>
            <w:noWrap w:val="0"/>
            <w:vAlign w:val="center"/>
          </w:tcPr>
          <w:p>
            <w:pPr>
              <w:rPr>
                <w:rFonts w:hint="eastAsia" w:ascii="宋体" w:hAnsi="宋体" w:cs="宋体"/>
                <w:strike/>
                <w:szCs w:val="21"/>
              </w:rPr>
            </w:pPr>
            <w:r>
              <w:rPr>
                <w:rFonts w:hint="eastAsia" w:ascii="宋体" w:hAnsi="宋体" w:cs="宋体"/>
                <w:szCs w:val="21"/>
              </w:rPr>
              <w:t>投标车辆综合评价</w:t>
            </w:r>
          </w:p>
        </w:tc>
        <w:tc>
          <w:tcPr>
            <w:tcW w:w="699" w:type="dxa"/>
            <w:vMerge w:val="restart"/>
            <w:noWrap w:val="0"/>
            <w:vAlign w:val="center"/>
          </w:tcPr>
          <w:p>
            <w:pPr>
              <w:jc w:val="center"/>
              <w:rPr>
                <w:rFonts w:hint="eastAsia" w:ascii="宋体" w:hAnsi="宋体" w:cs="宋体"/>
                <w:strike/>
                <w:szCs w:val="21"/>
              </w:rPr>
            </w:pPr>
            <w:r>
              <w:rPr>
                <w:rFonts w:hint="eastAsia" w:ascii="宋体" w:hAnsi="宋体" w:cs="宋体"/>
                <w:szCs w:val="21"/>
              </w:rPr>
              <w:t>5分</w:t>
            </w:r>
          </w:p>
        </w:tc>
        <w:tc>
          <w:tcPr>
            <w:tcW w:w="6088" w:type="dxa"/>
            <w:gridSpan w:val="2"/>
            <w:noWrap w:val="0"/>
            <w:vAlign w:val="center"/>
          </w:tcPr>
          <w:p>
            <w:pPr>
              <w:spacing w:line="240" w:lineRule="exact"/>
              <w:rPr>
                <w:rFonts w:hint="eastAsia" w:ascii="宋体" w:hAnsi="宋体" w:cs="宋体"/>
                <w:color w:val="auto"/>
              </w:rPr>
            </w:pPr>
            <w:r>
              <w:rPr>
                <w:rFonts w:hint="eastAsia" w:ascii="宋体" w:hAnsi="宋体" w:cs="宋体"/>
              </w:rPr>
              <w:t>1、供</w:t>
            </w:r>
            <w:r>
              <w:rPr>
                <w:rFonts w:hint="eastAsia" w:ascii="宋体" w:hAnsi="宋体" w:eastAsia="宋体" w:cs="宋体"/>
                <w:color w:val="auto"/>
              </w:rPr>
              <w:t>应商投入本项目的所有新能源车[含</w:t>
            </w:r>
            <w:r>
              <w:rPr>
                <w:rFonts w:hint="eastAsia" w:ascii="宋体" w:hAnsi="宋体" w:eastAsia="宋体" w:cs="宋体"/>
                <w:color w:val="auto"/>
                <w:u w:val="none"/>
              </w:rPr>
              <w:t>混合动力电动汽车</w:t>
            </w:r>
            <w:r>
              <w:rPr>
                <w:rFonts w:hint="eastAsia" w:ascii="宋体" w:hAnsi="宋体" w:eastAsia="宋体" w:cs="宋体"/>
                <w:color w:val="auto"/>
              </w:rPr>
              <w:t>(HEV)、</w:t>
            </w:r>
            <w:r>
              <w:rPr>
                <w:rFonts w:hint="eastAsia" w:ascii="宋体" w:hAnsi="宋体" w:eastAsia="宋体" w:cs="宋体"/>
                <w:color w:val="auto"/>
                <w:u w:val="none"/>
              </w:rPr>
              <w:t>纯电动汽车</w:t>
            </w:r>
            <w:r>
              <w:rPr>
                <w:rFonts w:hint="eastAsia" w:ascii="宋体" w:hAnsi="宋体" w:eastAsia="宋体" w:cs="宋体"/>
                <w:color w:val="auto"/>
              </w:rPr>
              <w:t>(BEV，包括</w:t>
            </w:r>
            <w:r>
              <w:rPr>
                <w:rFonts w:hint="eastAsia" w:ascii="宋体" w:hAnsi="宋体" w:eastAsia="宋体" w:cs="宋体"/>
                <w:color w:val="auto"/>
                <w:u w:val="none"/>
              </w:rPr>
              <w:t>太阳能汽车</w:t>
            </w:r>
            <w:r>
              <w:rPr>
                <w:rFonts w:hint="eastAsia" w:ascii="宋体" w:hAnsi="宋体" w:eastAsia="宋体" w:cs="宋体"/>
                <w:color w:val="auto"/>
              </w:rPr>
              <w:t>)、</w:t>
            </w:r>
            <w:r>
              <w:rPr>
                <w:rFonts w:hint="eastAsia" w:ascii="宋体" w:hAnsi="宋体" w:eastAsia="宋体" w:cs="宋体"/>
                <w:color w:val="auto"/>
                <w:u w:val="none"/>
              </w:rPr>
              <w:t>燃料电池电动汽车</w:t>
            </w:r>
            <w:r>
              <w:rPr>
                <w:rFonts w:hint="eastAsia" w:ascii="宋体" w:hAnsi="宋体" w:eastAsia="宋体" w:cs="宋体"/>
                <w:color w:val="auto"/>
              </w:rPr>
              <w:t>(FCEV)、其他新能源(如超级电容器、飞轮等高效储能器)汽车等]进行打分，其中车辆持有形式包括自有已上牌(指投标供应商自行购置，包括分公司或全资子公司购置)和其他方式（包括现已租赁车辆、承诺中标后购买和承</w:t>
            </w:r>
            <w:r>
              <w:rPr>
                <w:rFonts w:hint="eastAsia" w:ascii="宋体" w:hAnsi="宋体" w:cs="宋体"/>
                <w:color w:val="auto"/>
              </w:rPr>
              <w:t>诺中标后租赁），</w:t>
            </w:r>
            <w:r>
              <w:rPr>
                <w:rFonts w:hint="eastAsia" w:ascii="宋体" w:hAnsi="宋体" w:cs="宋体"/>
                <w:b/>
                <w:bCs/>
                <w:color w:val="auto"/>
              </w:rPr>
              <w:t>本小项最高得2分：</w:t>
            </w:r>
            <w:r>
              <w:rPr>
                <w:rFonts w:hint="eastAsia" w:ascii="宋体" w:hAnsi="宋体" w:cs="宋体"/>
                <w:b/>
                <w:bCs/>
                <w:snapToGrid w:val="0"/>
                <w:color w:val="auto"/>
                <w:szCs w:val="21"/>
              </w:rPr>
              <w:t>（客观分）</w:t>
            </w:r>
          </w:p>
          <w:p>
            <w:pPr>
              <w:spacing w:line="240" w:lineRule="exact"/>
              <w:rPr>
                <w:rFonts w:hint="eastAsia" w:ascii="宋体" w:hAnsi="宋体" w:cs="宋体"/>
              </w:rPr>
            </w:pPr>
            <w:r>
              <w:rPr>
                <w:rFonts w:hint="eastAsia" w:ascii="宋体" w:hAnsi="宋体" w:cs="宋体"/>
                <w:color w:val="auto"/>
              </w:rPr>
              <w:t>①每具有1辆自有已上牌重型新能源车加2分，最高2分；如为其他方式的加1.0分，最</w:t>
            </w:r>
            <w:r>
              <w:rPr>
                <w:rFonts w:hint="eastAsia" w:ascii="宋体" w:hAnsi="宋体" w:cs="宋体"/>
              </w:rPr>
              <w:t>高1分；</w:t>
            </w:r>
          </w:p>
          <w:p>
            <w:pPr>
              <w:spacing w:line="240" w:lineRule="exact"/>
              <w:rPr>
                <w:rFonts w:hint="eastAsia" w:ascii="宋体" w:hAnsi="宋体" w:cs="宋体"/>
              </w:rPr>
            </w:pPr>
            <w:r>
              <w:rPr>
                <w:rFonts w:hint="eastAsia" w:ascii="宋体" w:hAnsi="宋体" w:cs="宋体"/>
              </w:rPr>
              <w:t>②每具有1辆自有已上牌中型新能源车加1分，最高2分；如为其他方式的加0.5分，最高1分；</w:t>
            </w:r>
          </w:p>
          <w:p>
            <w:pPr>
              <w:spacing w:line="300" w:lineRule="exact"/>
              <w:rPr>
                <w:rFonts w:hint="eastAsia" w:ascii="宋体" w:hAnsi="宋体" w:cs="宋体"/>
              </w:rPr>
            </w:pPr>
            <w:r>
              <w:rPr>
                <w:rFonts w:hint="eastAsia" w:ascii="宋体" w:hAnsi="宋体" w:cs="宋体"/>
              </w:rPr>
              <w:t>③每具有1辆自有已上牌轻型新能源车加0.5分，最高2分；如为其他方式的加0.25分，最高1分。</w:t>
            </w:r>
          </w:p>
          <w:p>
            <w:pPr>
              <w:pStyle w:val="84"/>
              <w:rPr>
                <w:rFonts w:hint="eastAsia" w:ascii="宋体" w:hAnsi="宋体" w:eastAsia="宋体" w:cs="宋体"/>
              </w:rPr>
            </w:pPr>
          </w:p>
          <w:p>
            <w:pPr>
              <w:spacing w:line="300" w:lineRule="exact"/>
              <w:rPr>
                <w:rFonts w:hint="eastAsia" w:ascii="宋体" w:hAnsi="宋体" w:cs="宋体"/>
                <w:bCs/>
              </w:rPr>
            </w:pPr>
            <w:r>
              <w:rPr>
                <w:rFonts w:hint="eastAsia" w:ascii="宋体" w:hAnsi="宋体" w:cs="宋体"/>
                <w:bCs/>
                <w:szCs w:val="21"/>
              </w:rPr>
              <w:t>以上车辆持有形式须分别对应提交如下证明材料：</w:t>
            </w:r>
          </w:p>
          <w:p>
            <w:pPr>
              <w:spacing w:line="240" w:lineRule="exact"/>
              <w:rPr>
                <w:rFonts w:hint="eastAsia" w:ascii="宋体" w:hAnsi="宋体" w:cs="宋体"/>
                <w:bCs/>
                <w:szCs w:val="21"/>
              </w:rPr>
            </w:pPr>
            <w:r>
              <w:rPr>
                <w:rFonts w:hint="eastAsia" w:ascii="宋体" w:hAnsi="宋体" w:cs="宋体"/>
                <w:bCs/>
                <w:szCs w:val="21"/>
              </w:rPr>
              <w:t>A、自有已上牌车辆：以提供公安部门颁发的行驶证（行驶证带车辆照片）扫描件、车辆全身彩色照片（注明车辆种类）为准；自有已上牌车辆必须为2017年1月1日以来首次上牌车辆；</w:t>
            </w:r>
          </w:p>
          <w:p>
            <w:pPr>
              <w:spacing w:line="240" w:lineRule="exact"/>
              <w:rPr>
                <w:rFonts w:hint="eastAsia" w:ascii="宋体" w:hAnsi="宋体" w:cs="宋体"/>
                <w:bCs/>
                <w:szCs w:val="21"/>
              </w:rPr>
            </w:pPr>
            <w:r>
              <w:rPr>
                <w:rFonts w:hint="eastAsia" w:ascii="宋体" w:hAnsi="宋体" w:cs="宋体"/>
                <w:bCs/>
                <w:szCs w:val="21"/>
              </w:rPr>
              <w:t>B、现已租赁车辆：以提供公安部门颁发的行驶证（行驶证带车辆照片）扫描件、车辆全身彩色照片（注明车辆种类）及对应车辆租赁合同（租赁期覆盖本项目服务期）为准；现已租赁车辆必须为2019年1月1日以来首次上牌车辆；</w:t>
            </w:r>
          </w:p>
          <w:p>
            <w:pPr>
              <w:spacing w:line="300" w:lineRule="exact"/>
              <w:rPr>
                <w:rFonts w:hint="eastAsia" w:ascii="宋体" w:hAnsi="宋体" w:cs="宋体"/>
                <w:bCs/>
                <w:szCs w:val="21"/>
              </w:rPr>
            </w:pPr>
            <w:r>
              <w:rPr>
                <w:rFonts w:hint="eastAsia" w:ascii="宋体" w:hAnsi="宋体" w:cs="宋体"/>
                <w:bCs/>
                <w:szCs w:val="21"/>
              </w:rPr>
              <w:t>C、承诺中标后购买或租赁的车辆：</w:t>
            </w:r>
          </w:p>
          <w:p>
            <w:pPr>
              <w:spacing w:line="300" w:lineRule="exact"/>
              <w:rPr>
                <w:rFonts w:hint="eastAsia" w:ascii="宋体" w:hAnsi="宋体" w:cs="宋体"/>
                <w:bCs/>
                <w:szCs w:val="21"/>
              </w:rPr>
            </w:pPr>
            <w:r>
              <w:rPr>
                <w:rFonts w:hint="eastAsia" w:ascii="宋体" w:hAnsi="宋体" w:cs="宋体"/>
                <w:bCs/>
                <w:szCs w:val="21"/>
              </w:rPr>
              <w:t>在投标文件中须提供购买或租赁承诺书（承诺中标后购买及租赁车辆必须为2019年1月1日以来首次上牌车辆）及车辆全身彩色照片（注明车辆种类）为准。</w:t>
            </w:r>
          </w:p>
          <w:p>
            <w:pPr>
              <w:spacing w:line="300" w:lineRule="exact"/>
              <w:rPr>
                <w:rFonts w:hint="eastAsia" w:ascii="宋体" w:hAnsi="宋体" w:cs="宋体"/>
                <w:b/>
                <w:szCs w:val="21"/>
              </w:rPr>
            </w:pPr>
            <w:r>
              <w:rPr>
                <w:rFonts w:hint="eastAsia" w:ascii="宋体" w:hAnsi="宋体" w:cs="宋体"/>
                <w:bCs/>
                <w:szCs w:val="21"/>
              </w:rPr>
              <w:t>供应商投标资料提供不全导致无法得分的，责任自负。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6" w:type="dxa"/>
            <w:vMerge w:val="continue"/>
            <w:noWrap w:val="0"/>
            <w:vAlign w:val="center"/>
          </w:tcPr>
          <w:p>
            <w:pPr>
              <w:spacing w:line="300" w:lineRule="exact"/>
              <w:rPr>
                <w:rFonts w:hint="eastAsia" w:ascii="宋体" w:hAnsi="宋体" w:cs="宋体"/>
              </w:rPr>
            </w:pPr>
          </w:p>
        </w:tc>
        <w:tc>
          <w:tcPr>
            <w:tcW w:w="1793" w:type="dxa"/>
            <w:vMerge w:val="continue"/>
            <w:noWrap w:val="0"/>
            <w:vAlign w:val="center"/>
          </w:tcPr>
          <w:p>
            <w:pPr>
              <w:spacing w:line="300" w:lineRule="exact"/>
              <w:rPr>
                <w:rFonts w:hint="eastAsia" w:ascii="宋体" w:hAnsi="宋体" w:cs="宋体"/>
              </w:rPr>
            </w:pPr>
          </w:p>
        </w:tc>
        <w:tc>
          <w:tcPr>
            <w:tcW w:w="699" w:type="dxa"/>
            <w:vMerge w:val="continue"/>
            <w:noWrap w:val="0"/>
            <w:vAlign w:val="center"/>
          </w:tcPr>
          <w:p>
            <w:pPr>
              <w:spacing w:line="300" w:lineRule="exact"/>
              <w:rPr>
                <w:rFonts w:hint="eastAsia" w:ascii="宋体" w:hAnsi="宋体" w:cs="宋体"/>
              </w:rPr>
            </w:pPr>
          </w:p>
        </w:tc>
        <w:tc>
          <w:tcPr>
            <w:tcW w:w="6088" w:type="dxa"/>
            <w:gridSpan w:val="2"/>
            <w:noWrap w:val="0"/>
            <w:vAlign w:val="center"/>
          </w:tcPr>
          <w:p>
            <w:pPr>
              <w:spacing w:line="300" w:lineRule="exact"/>
              <w:rPr>
                <w:rFonts w:hint="eastAsia" w:ascii="宋体" w:hAnsi="宋体" w:cs="宋体"/>
              </w:rPr>
            </w:pPr>
            <w:r>
              <w:rPr>
                <w:rFonts w:hint="eastAsia" w:ascii="宋体" w:hAnsi="宋体" w:cs="宋体"/>
              </w:rPr>
              <w:t>2.根据供应商投标文件中投入的重型、中型、轻型车辆性能、参数等情况（0-3分）</w:t>
            </w:r>
            <w:r>
              <w:rPr>
                <w:rFonts w:hint="eastAsia" w:ascii="宋体" w:hAnsi="宋体" w:cs="宋体"/>
                <w:b/>
                <w:bCs/>
                <w:snapToGrid w:val="0"/>
                <w:szCs w:val="21"/>
              </w:rPr>
              <w:t>（主观分）</w:t>
            </w:r>
            <w:r>
              <w:rPr>
                <w:rFonts w:hint="eastAsia" w:ascii="宋体" w:hAnsi="宋体" w:cs="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6"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4.9</w:t>
            </w:r>
          </w:p>
        </w:tc>
        <w:tc>
          <w:tcPr>
            <w:tcW w:w="1793" w:type="dxa"/>
            <w:noWrap w:val="0"/>
            <w:vAlign w:val="center"/>
          </w:tcPr>
          <w:p>
            <w:pPr>
              <w:rPr>
                <w:rFonts w:hint="eastAsia" w:ascii="宋体" w:hAnsi="宋体" w:cs="宋体"/>
                <w:szCs w:val="21"/>
              </w:rPr>
            </w:pPr>
            <w:r>
              <w:rPr>
                <w:rFonts w:hint="eastAsia" w:ascii="宋体" w:hAnsi="宋体" w:cs="宋体"/>
                <w:szCs w:val="21"/>
              </w:rPr>
              <w:t>投入本项目小型车辆及其他配套设施综合评价</w:t>
            </w:r>
          </w:p>
        </w:tc>
        <w:tc>
          <w:tcPr>
            <w:tcW w:w="699" w:type="dxa"/>
            <w:noWrap w:val="0"/>
            <w:vAlign w:val="center"/>
          </w:tcPr>
          <w:p>
            <w:pPr>
              <w:jc w:val="center"/>
              <w:rPr>
                <w:rFonts w:hint="eastAsia" w:ascii="宋体" w:hAnsi="宋体" w:cs="宋体"/>
                <w:szCs w:val="21"/>
              </w:rPr>
            </w:pPr>
            <w:r>
              <w:rPr>
                <w:rFonts w:hint="eastAsia" w:ascii="宋体" w:hAnsi="宋体" w:cs="宋体"/>
                <w:szCs w:val="21"/>
              </w:rPr>
              <w:t>2分</w:t>
            </w:r>
          </w:p>
        </w:tc>
        <w:tc>
          <w:tcPr>
            <w:tcW w:w="6088" w:type="dxa"/>
            <w:gridSpan w:val="2"/>
            <w:noWrap w:val="0"/>
            <w:vAlign w:val="center"/>
          </w:tcPr>
          <w:p>
            <w:pPr>
              <w:rPr>
                <w:rFonts w:hint="eastAsia" w:ascii="宋体" w:hAnsi="宋体" w:cs="宋体"/>
                <w:szCs w:val="21"/>
              </w:rPr>
            </w:pPr>
            <w:r>
              <w:rPr>
                <w:rFonts w:hint="eastAsia" w:ascii="宋体" w:hAnsi="宋体" w:cs="宋体"/>
                <w:szCs w:val="21"/>
              </w:rPr>
              <w:t>小型冲洗车、小型高</w:t>
            </w:r>
            <w:r>
              <w:rPr>
                <w:rFonts w:hint="eastAsia" w:ascii="宋体" w:hAnsi="宋体" w:cs="宋体"/>
                <w:color w:val="auto"/>
                <w:szCs w:val="21"/>
              </w:rPr>
              <w:t>温高压冲洗车（油污清洗车）、小型多功能清扫车、垃圾分类上门收集车（四分类）、有害垃圾运输车、垃圾桶自装卸式垃圾运输车</w:t>
            </w:r>
            <w:r>
              <w:rPr>
                <w:rFonts w:hint="eastAsia" w:ascii="宋体" w:hAnsi="宋体" w:cs="宋体"/>
                <w:szCs w:val="21"/>
              </w:rPr>
              <w:t>、人员清扫保洁车（密闭式）（提供产品彩色图片、产地、功能说明）（0-2分）</w:t>
            </w:r>
            <w:r>
              <w:rPr>
                <w:rFonts w:hint="eastAsia" w:ascii="宋体" w:hAnsi="宋体" w:cs="宋体"/>
                <w:b/>
                <w:bCs/>
                <w:snapToGrid w:val="0"/>
                <w:szCs w:val="21"/>
              </w:rPr>
              <w:t>（主观分）</w:t>
            </w:r>
            <w:r>
              <w:rPr>
                <w:rFonts w:hint="eastAsia" w:ascii="宋体" w:hAnsi="宋体" w:cs="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7" w:hRule="atLeast"/>
          <w:jc w:val="center"/>
        </w:trPr>
        <w:tc>
          <w:tcPr>
            <w:tcW w:w="646" w:type="dxa"/>
            <w:noWrap w:val="0"/>
            <w:vAlign w:val="center"/>
          </w:tcPr>
          <w:p>
            <w:pPr>
              <w:spacing w:line="360" w:lineRule="exact"/>
              <w:ind w:left="-50"/>
              <w:jc w:val="center"/>
              <w:rPr>
                <w:rFonts w:hint="eastAsia" w:ascii="宋体" w:hAnsi="宋体" w:cs="宋体"/>
                <w:snapToGrid w:val="0"/>
                <w:szCs w:val="21"/>
              </w:rPr>
            </w:pPr>
            <w:r>
              <w:rPr>
                <w:rFonts w:hint="eastAsia" w:ascii="宋体" w:hAnsi="宋体" w:cs="宋体"/>
                <w:snapToGrid w:val="0"/>
                <w:szCs w:val="21"/>
              </w:rPr>
              <w:t>4.10</w:t>
            </w:r>
          </w:p>
        </w:tc>
        <w:tc>
          <w:tcPr>
            <w:tcW w:w="1793" w:type="dxa"/>
            <w:noWrap w:val="0"/>
            <w:vAlign w:val="center"/>
          </w:tcPr>
          <w:p>
            <w:pPr>
              <w:jc w:val="center"/>
              <w:rPr>
                <w:rFonts w:hint="eastAsia" w:ascii="宋体" w:hAnsi="宋体" w:cs="宋体"/>
                <w:szCs w:val="21"/>
              </w:rPr>
            </w:pPr>
            <w:r>
              <w:rPr>
                <w:rFonts w:hint="eastAsia" w:ascii="宋体" w:hAnsi="宋体" w:cs="宋体"/>
                <w:szCs w:val="21"/>
              </w:rPr>
              <w:t>业务经验情况</w:t>
            </w:r>
          </w:p>
        </w:tc>
        <w:tc>
          <w:tcPr>
            <w:tcW w:w="699" w:type="dxa"/>
            <w:noWrap w:val="0"/>
            <w:vAlign w:val="center"/>
          </w:tcPr>
          <w:p>
            <w:pPr>
              <w:jc w:val="center"/>
              <w:rPr>
                <w:rFonts w:hint="eastAsia" w:ascii="宋体" w:hAnsi="宋体" w:cs="宋体"/>
                <w:szCs w:val="21"/>
              </w:rPr>
            </w:pPr>
            <w:r>
              <w:rPr>
                <w:rFonts w:hint="eastAsia" w:ascii="宋体" w:hAnsi="宋体" w:cs="宋体"/>
                <w:szCs w:val="21"/>
              </w:rPr>
              <w:t>4分</w:t>
            </w:r>
          </w:p>
        </w:tc>
        <w:tc>
          <w:tcPr>
            <w:tcW w:w="6088" w:type="dxa"/>
            <w:gridSpan w:val="2"/>
            <w:noWrap w:val="0"/>
            <w:vAlign w:val="center"/>
          </w:tcPr>
          <w:p>
            <w:pPr>
              <w:pStyle w:val="84"/>
              <w:rPr>
                <w:rFonts w:hint="eastAsia" w:ascii="宋体" w:hAnsi="宋体" w:eastAsia="宋体" w:cs="宋体"/>
              </w:rPr>
            </w:pPr>
            <w:r>
              <w:rPr>
                <w:rFonts w:hint="eastAsia" w:ascii="宋体" w:hAnsi="宋体" w:eastAsia="宋体" w:cs="宋体"/>
                <w:kern w:val="0"/>
                <w:sz w:val="21"/>
                <w:szCs w:val="21"/>
              </w:rPr>
              <w:t>根据供应商2017年1月1日（以合同签订时间为准）以来乡镇、街道及以上的公共道路保洁服务业绩（不包括高速公路、小区和单位内部保洁，也不包含物业服务项目）情况，每个得1分；最多得4分。需提供成交通知书和合同扫描件加盖公章，或者提供合同和合同期内任一期发票扫描件加盖公章</w:t>
            </w:r>
            <w:r>
              <w:rPr>
                <w:rFonts w:hint="eastAsia" w:ascii="宋体" w:hAnsi="宋体" w:eastAsia="宋体" w:cs="宋体"/>
                <w:b/>
                <w:bCs/>
                <w:kern w:val="0"/>
                <w:sz w:val="21"/>
                <w:szCs w:val="21"/>
              </w:rPr>
              <w:t>（客观分）</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646" w:type="dxa"/>
            <w:noWrap w:val="0"/>
            <w:vAlign w:val="center"/>
          </w:tcPr>
          <w:p>
            <w:pPr>
              <w:spacing w:line="360" w:lineRule="auto"/>
              <w:ind w:right="3"/>
              <w:jc w:val="center"/>
              <w:rPr>
                <w:rFonts w:hint="eastAsia" w:ascii="宋体" w:hAnsi="宋体" w:cs="宋体"/>
                <w:snapToGrid w:val="0"/>
                <w:szCs w:val="21"/>
              </w:rPr>
            </w:pPr>
            <w:r>
              <w:rPr>
                <w:rFonts w:hint="eastAsia" w:ascii="宋体" w:hAnsi="宋体" w:cs="宋体"/>
                <w:szCs w:val="21"/>
              </w:rPr>
              <w:t>5</w:t>
            </w:r>
          </w:p>
        </w:tc>
        <w:tc>
          <w:tcPr>
            <w:tcW w:w="1793" w:type="dxa"/>
            <w:noWrap w:val="0"/>
            <w:vAlign w:val="center"/>
          </w:tcPr>
          <w:p>
            <w:pPr>
              <w:spacing w:line="360" w:lineRule="auto"/>
              <w:ind w:right="6"/>
              <w:jc w:val="center"/>
              <w:rPr>
                <w:rFonts w:hint="eastAsia" w:ascii="宋体" w:hAnsi="宋体" w:cs="宋体"/>
                <w:szCs w:val="21"/>
              </w:rPr>
            </w:pPr>
            <w:r>
              <w:rPr>
                <w:rFonts w:hint="eastAsia" w:ascii="宋体" w:hAnsi="宋体" w:cs="宋体"/>
                <w:b/>
                <w:bCs/>
                <w:kern w:val="28"/>
              </w:rPr>
              <w:t>报价文件</w:t>
            </w:r>
          </w:p>
        </w:tc>
        <w:tc>
          <w:tcPr>
            <w:tcW w:w="6787" w:type="dxa"/>
            <w:gridSpan w:val="3"/>
            <w:noWrap w:val="0"/>
            <w:vAlign w:val="center"/>
          </w:tcPr>
          <w:p>
            <w:pPr>
              <w:spacing w:line="360" w:lineRule="auto"/>
              <w:jc w:val="center"/>
              <w:rPr>
                <w:rFonts w:hint="eastAsia" w:ascii="宋体" w:hAnsi="宋体" w:cs="宋体"/>
                <w:szCs w:val="21"/>
              </w:rPr>
            </w:pPr>
            <w:r>
              <w:rPr>
                <w:rFonts w:hint="eastAsia" w:ascii="宋体" w:hAnsi="宋体" w:cs="宋体"/>
                <w:bCs/>
                <w:kern w:val="28"/>
              </w:rPr>
              <w:t>合计20分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5.1</w:t>
            </w:r>
          </w:p>
        </w:tc>
        <w:tc>
          <w:tcPr>
            <w:tcW w:w="8580" w:type="dxa"/>
            <w:gridSpan w:val="4"/>
            <w:noWrap w:val="0"/>
            <w:vAlign w:val="center"/>
          </w:tcPr>
          <w:p>
            <w:pPr>
              <w:snapToGrid w:val="0"/>
              <w:spacing w:before="156" w:beforeLines="50" w:line="360" w:lineRule="auto"/>
              <w:rPr>
                <w:rFonts w:hint="eastAsia" w:ascii="宋体" w:hAnsi="宋体" w:cs="宋体"/>
                <w:b/>
                <w:snapToGrid w:val="0"/>
              </w:rPr>
            </w:pPr>
            <w:r>
              <w:rPr>
                <w:rFonts w:hint="eastAsia" w:ascii="宋体" w:hAnsi="宋体" w:cs="宋体"/>
                <w:b/>
              </w:rPr>
              <w:t>报价的初评</w:t>
            </w:r>
          </w:p>
          <w:p>
            <w:pPr>
              <w:spacing w:line="360" w:lineRule="auto"/>
              <w:rPr>
                <w:rFonts w:hint="eastAsia" w:ascii="宋体" w:hAnsi="宋体" w:cs="宋体"/>
                <w:snapToGrid w:val="0"/>
              </w:rPr>
            </w:pPr>
            <w:r>
              <w:rPr>
                <w:rFonts w:hint="eastAsia" w:ascii="宋体" w:hAnsi="宋体" w:cs="宋体"/>
                <w:snapToGrid w:val="0"/>
              </w:rPr>
              <w:t>报价文件开标后评标专家组成员对各投标单位的商务标进行审查。</w:t>
            </w:r>
          </w:p>
          <w:p>
            <w:pPr>
              <w:numPr>
                <w:ilvl w:val="0"/>
                <w:numId w:val="59"/>
              </w:numPr>
              <w:tabs>
                <w:tab w:val="left" w:pos="420"/>
                <w:tab w:val="left" w:pos="1134"/>
                <w:tab w:val="clear" w:pos="360"/>
              </w:tabs>
              <w:spacing w:line="360" w:lineRule="auto"/>
              <w:ind w:left="134" w:firstLine="575"/>
              <w:rPr>
                <w:rFonts w:hint="eastAsia" w:ascii="宋体" w:hAnsi="宋体" w:cs="宋体"/>
                <w:snapToGrid w:val="0"/>
              </w:rPr>
            </w:pPr>
            <w:r>
              <w:rPr>
                <w:rFonts w:hint="eastAsia" w:ascii="宋体" w:hAnsi="宋体" w:cs="宋体"/>
                <w:snapToGrid w:val="0"/>
              </w:rPr>
              <w:t>报价书中有无差错(遗漏或多计)或存在严重不平衡报价；</w:t>
            </w:r>
          </w:p>
          <w:p>
            <w:pPr>
              <w:numPr>
                <w:ilvl w:val="0"/>
                <w:numId w:val="59"/>
              </w:numPr>
              <w:tabs>
                <w:tab w:val="left" w:pos="420"/>
                <w:tab w:val="left" w:pos="1134"/>
                <w:tab w:val="clear" w:pos="360"/>
              </w:tabs>
              <w:spacing w:line="360" w:lineRule="auto"/>
              <w:ind w:left="134" w:firstLine="575"/>
              <w:rPr>
                <w:rFonts w:hint="eastAsia" w:ascii="宋体" w:hAnsi="宋体" w:cs="宋体"/>
                <w:snapToGrid w:val="0"/>
              </w:rPr>
            </w:pPr>
            <w:r>
              <w:rPr>
                <w:rFonts w:hint="eastAsia" w:ascii="宋体" w:hAnsi="宋体" w:cs="宋体"/>
                <w:snapToGrid w:val="0"/>
              </w:rPr>
              <w:t>付款方式和进度是否响应招标要求；</w:t>
            </w:r>
          </w:p>
          <w:p>
            <w:pPr>
              <w:numPr>
                <w:ilvl w:val="0"/>
                <w:numId w:val="59"/>
              </w:numPr>
              <w:tabs>
                <w:tab w:val="left" w:pos="420"/>
                <w:tab w:val="left" w:pos="1134"/>
                <w:tab w:val="clear" w:pos="360"/>
              </w:tabs>
              <w:spacing w:line="360" w:lineRule="auto"/>
              <w:ind w:left="134" w:firstLine="575"/>
              <w:rPr>
                <w:rFonts w:hint="eastAsia" w:ascii="宋体" w:hAnsi="宋体" w:cs="宋体"/>
                <w:snapToGrid w:val="0"/>
              </w:rPr>
            </w:pPr>
            <w:r>
              <w:rPr>
                <w:rFonts w:hint="eastAsia" w:ascii="宋体" w:hAnsi="宋体" w:cs="宋体"/>
                <w:snapToGrid w:val="0"/>
              </w:rPr>
              <w:t>是否提出与招标文件中的合同条款相悖的要求，如：重新划分风险，增加业主责任范围，减少投标供应商义务，或提出不同的验收和计量办法不同的纠纷和质量事故处理办法，或对合同条款有重要保留等；工期(交货期)、质量目标是否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5"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5.2</w:t>
            </w:r>
          </w:p>
        </w:tc>
        <w:tc>
          <w:tcPr>
            <w:tcW w:w="8580" w:type="dxa"/>
            <w:gridSpan w:val="4"/>
            <w:noWrap w:val="0"/>
            <w:vAlign w:val="center"/>
          </w:tcPr>
          <w:p>
            <w:pPr>
              <w:snapToGrid w:val="0"/>
              <w:spacing w:before="156" w:beforeLines="50"/>
              <w:rPr>
                <w:rFonts w:hint="eastAsia" w:ascii="宋体" w:hAnsi="宋体" w:cs="宋体"/>
                <w:b/>
              </w:rPr>
            </w:pPr>
            <w:r>
              <w:rPr>
                <w:rFonts w:hint="eastAsia" w:ascii="宋体" w:hAnsi="宋体" w:cs="宋体"/>
                <w:b/>
              </w:rPr>
              <w:t>评标价的确定：</w:t>
            </w:r>
          </w:p>
          <w:p>
            <w:pPr>
              <w:rPr>
                <w:rFonts w:hint="eastAsia" w:ascii="宋体" w:hAnsi="宋体" w:cs="宋体"/>
                <w:snapToGrid w:val="0"/>
              </w:rPr>
            </w:pPr>
            <w:r>
              <w:rPr>
                <w:rFonts w:hint="eastAsia" w:ascii="宋体" w:hAnsi="宋体" w:cs="宋体"/>
                <w:snapToGrid w:val="0"/>
              </w:rPr>
              <w:t>初审时发现价格计算有误，将按下述原则修正：</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开标时投标文件中开标一览表（报价表）内容与投标文件中相应内容不一致的，以开标一览表（报价表）为准。</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大写金额和小写金额不一致的，以大写金额为准；</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单价金额小数点或者百分比有明显错位的，以开标一览表的总价为准，并修正单价；</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总价金额与按单价汇总金额不一致的，以单价金额计算结果为准。</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如以文字表示的数据与数字表示的有差别，以文字为准修正数字。</w:t>
            </w:r>
          </w:p>
          <w:p>
            <w:pPr>
              <w:widowControl w:val="0"/>
              <w:numPr>
                <w:ilvl w:val="0"/>
                <w:numId w:val="60"/>
              </w:numPr>
              <w:snapToGrid w:val="0"/>
              <w:ind w:left="-18" w:firstLine="284"/>
              <w:jc w:val="both"/>
              <w:rPr>
                <w:rFonts w:hint="eastAsia" w:ascii="宋体" w:hAnsi="宋体" w:cs="宋体"/>
              </w:rPr>
            </w:pPr>
            <w:r>
              <w:rPr>
                <w:rFonts w:hint="eastAsia" w:ascii="宋体" w:hAnsi="宋体" w:cs="宋体"/>
                <w:u w:val="wave"/>
              </w:rPr>
              <w:t>▲如投标供应商缺漏项价格比例达到投标报价的5%（含）以上时，属于商务重大偏离，评标委员会将对其投标按无效标处理。</w:t>
            </w:r>
          </w:p>
          <w:p>
            <w:pPr>
              <w:widowControl w:val="0"/>
              <w:numPr>
                <w:ilvl w:val="0"/>
                <w:numId w:val="60"/>
              </w:numPr>
              <w:snapToGrid w:val="0"/>
              <w:ind w:left="-18" w:firstLine="284"/>
              <w:jc w:val="both"/>
              <w:rPr>
                <w:rFonts w:hint="eastAsia" w:ascii="宋体" w:hAnsi="宋体" w:cs="宋体"/>
              </w:rPr>
            </w:pPr>
            <w:r>
              <w:rPr>
                <w:rFonts w:hint="eastAsia" w:ascii="宋体" w:hAnsi="宋体" w:cs="宋体"/>
              </w:rPr>
              <w:t>如投标供应商的投标文件前后矛盾，评委会将作出不利于投标供应商的修正。</w:t>
            </w:r>
          </w:p>
          <w:p>
            <w:pPr>
              <w:tabs>
                <w:tab w:val="left" w:pos="426"/>
                <w:tab w:val="left" w:pos="993"/>
              </w:tabs>
              <w:snapToGrid w:val="0"/>
              <w:rPr>
                <w:rFonts w:hint="eastAsia" w:ascii="宋体" w:hAnsi="宋体" w:cs="宋体"/>
              </w:rPr>
            </w:pPr>
            <w:r>
              <w:rPr>
                <w:rFonts w:hint="eastAsia" w:ascii="宋体" w:hAnsi="宋体" w:cs="宋体"/>
              </w:rPr>
              <w:t xml:space="preserve"> 注（1）~（4）同时出现两种以上不一致的，按照前款规定的顺序修正。修正后的报价按照相关法律规定经投标供应商确认后产生约束力，投标供应商不确认的，其投标无效。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5.3</w:t>
            </w:r>
          </w:p>
        </w:tc>
        <w:tc>
          <w:tcPr>
            <w:tcW w:w="8580" w:type="dxa"/>
            <w:gridSpan w:val="4"/>
            <w:noWrap w:val="0"/>
            <w:vAlign w:val="center"/>
          </w:tcPr>
          <w:p>
            <w:pPr>
              <w:snapToGrid w:val="0"/>
              <w:spacing w:before="156" w:beforeLines="50"/>
              <w:rPr>
                <w:rFonts w:hint="eastAsia" w:ascii="宋体" w:hAnsi="宋体" w:cs="宋体"/>
                <w:b/>
              </w:rPr>
            </w:pPr>
            <w:r>
              <w:rPr>
                <w:rFonts w:hint="eastAsia" w:ascii="宋体" w:hAnsi="宋体" w:cs="宋体"/>
                <w:b/>
              </w:rPr>
              <w:t>合同价的确定：</w:t>
            </w:r>
          </w:p>
          <w:p>
            <w:pPr>
              <w:rPr>
                <w:rFonts w:hint="eastAsia" w:ascii="宋体" w:hAnsi="宋体" w:cs="宋体"/>
              </w:rPr>
            </w:pPr>
            <w:r>
              <w:rPr>
                <w:rFonts w:hint="eastAsia" w:ascii="宋体" w:hAnsi="宋体" w:cs="宋体"/>
              </w:rPr>
              <w:t>1、投标文件任何有缺漏项报价的，包括漏项产生的费用，如果中标，将以不利于投标供应商利益调整合同价格。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5" w:hRule="atLeast"/>
          <w:jc w:val="center"/>
        </w:trPr>
        <w:tc>
          <w:tcPr>
            <w:tcW w:w="646" w:type="dxa"/>
            <w:noWrap w:val="0"/>
            <w:vAlign w:val="center"/>
          </w:tcPr>
          <w:p>
            <w:pPr>
              <w:spacing w:line="360" w:lineRule="auto"/>
              <w:ind w:right="3"/>
              <w:jc w:val="center"/>
              <w:rPr>
                <w:rFonts w:hint="eastAsia" w:ascii="宋体" w:hAnsi="宋体" w:cs="宋体"/>
                <w:szCs w:val="21"/>
              </w:rPr>
            </w:pPr>
            <w:r>
              <w:rPr>
                <w:rFonts w:hint="eastAsia" w:ascii="宋体" w:hAnsi="宋体" w:cs="宋体"/>
                <w:szCs w:val="21"/>
              </w:rPr>
              <w:t>5.4</w:t>
            </w:r>
          </w:p>
        </w:tc>
        <w:tc>
          <w:tcPr>
            <w:tcW w:w="8580" w:type="dxa"/>
            <w:gridSpan w:val="4"/>
            <w:noWrap w:val="0"/>
            <w:vAlign w:val="center"/>
          </w:tcPr>
          <w:p>
            <w:pPr>
              <w:tabs>
                <w:tab w:val="left" w:pos="982"/>
              </w:tabs>
              <w:snapToGrid w:val="0"/>
              <w:spacing w:line="340" w:lineRule="exact"/>
              <w:rPr>
                <w:rFonts w:hint="eastAsia" w:ascii="宋体" w:hAnsi="宋体" w:cs="宋体"/>
                <w:snapToGrid w:val="0"/>
              </w:rPr>
            </w:pPr>
            <w:r>
              <w:rPr>
                <w:rFonts w:hint="eastAsia" w:ascii="宋体" w:hAnsi="宋体" w:cs="宋体"/>
                <w:snapToGrid w:val="0"/>
              </w:rPr>
              <w:t xml:space="preserve">报价得分： </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资格及符合性审查通过并且技术商务合格的投标单位参加报价评分。</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进入商务报价程序的全部有效投标供应商中的最低的评标价为评标基准价, 其价格分合计为满分20分，其他供应商的价格分按照下列公式计算：</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评标价＝三年合计投标报价；</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供应商报价得分=评标基准价/评标价×20%×100；</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商务报价得分计算保留小数2位，第三位四舍五入。</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1、依据《政府采购促进中小企业发展管理办法》（财库〔2020〕46号）文件及《财政部、司法部关于政府采购支持监狱企业发展有关问题的通知》（财库〔2014〕68号）文件，对于未预留份额专门面向中小企业采购的采购项目，以及预留份额项目中的非预留部分采购包，对小微企业报价给予 6% 的扣除，用扣除后的价格参加评审。</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2．监狱企业、残疾人福利性单位视同小型、微型企业，享受价格扣除。</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3．残疾人福利性单位属于小型、微型企业的，不重复享受政策。</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4．中小企业：是指在中华人民共和国境内依法设立，投标文件中提供中小企业声明函且符合《政府采购促进中小企业发展管理办法》（财库〔2020〕46号）规定的要求并符合国家统计局印发的《统计上大中小微型企业划分办法（2017）》规定的中小企业划分标准确定的中型企业、小型企业和微型企业，但与大企业的负责人为同一人，或者与大企业存在直接控股、管理关系的除外。符合中小企业划分标准的个体工商户，在政府采购活动中视同中小企业；</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5．残疾人福利性单位是指磋商响应文件中提供残疾人福利性单位声明函且符合《财政部 民政部 中国残疾人联合会关于促进残疾人就业政府采购政策的通知》（财库〔2017〕141号）的规定。</w:t>
            </w:r>
          </w:p>
          <w:p>
            <w:pPr>
              <w:tabs>
                <w:tab w:val="left" w:pos="982"/>
              </w:tabs>
              <w:snapToGrid w:val="0"/>
              <w:spacing w:line="340" w:lineRule="exact"/>
              <w:rPr>
                <w:rFonts w:hint="eastAsia" w:ascii="宋体" w:hAnsi="宋体" w:cs="宋体"/>
                <w:snapToGrid w:val="0"/>
              </w:rPr>
            </w:pPr>
            <w:r>
              <w:rPr>
                <w:rFonts w:hint="eastAsia" w:ascii="宋体" w:hAnsi="宋体" w:cs="宋体"/>
                <w:snapToGrid w:val="0"/>
              </w:rPr>
              <w:t>6．监狱企业参加政府采购活动时，应当提供由省级以上监狱管理局、戒毒管理局（含新疆生产建设兵团）出具的属于监狱企业的证明文件。</w:t>
            </w:r>
          </w:p>
        </w:tc>
      </w:tr>
    </w:tbl>
    <w:p>
      <w:pPr>
        <w:pStyle w:val="23"/>
        <w:spacing w:before="156" w:beforeLines="50" w:line="360" w:lineRule="auto"/>
        <w:ind w:left="315" w:leftChars="0" w:hanging="315" w:hangingChars="150"/>
        <w:rPr>
          <w:rFonts w:hint="eastAsia" w:ascii="宋体" w:hAnsi="宋体" w:cs="宋体"/>
          <w:bCs/>
        </w:rPr>
      </w:pPr>
      <w:r>
        <w:rPr>
          <w:rFonts w:hint="eastAsia" w:ascii="宋体" w:hAnsi="宋体" w:cs="宋体"/>
          <w:kern w:val="28"/>
        </w:rPr>
        <w:t xml:space="preserve">   </w:t>
      </w:r>
      <w:r>
        <w:rPr>
          <w:rFonts w:hint="eastAsia" w:ascii="宋体" w:hAnsi="宋体" w:cs="宋体"/>
          <w:b/>
          <w:bCs/>
          <w:sz w:val="24"/>
        </w:rPr>
        <w:t>七、投标供应商义务</w:t>
      </w:r>
    </w:p>
    <w:p>
      <w:pPr>
        <w:snapToGrid w:val="0"/>
        <w:spacing w:line="360" w:lineRule="auto"/>
        <w:ind w:left="680" w:leftChars="324" w:firstLine="420" w:firstLineChars="200"/>
        <w:rPr>
          <w:rFonts w:hint="eastAsia" w:ascii="宋体" w:hAnsi="宋体" w:cs="宋体"/>
          <w:b/>
          <w:bCs/>
          <w:snapToGrid w:val="0"/>
          <w:szCs w:val="21"/>
        </w:rPr>
      </w:pPr>
      <w:r>
        <w:rPr>
          <w:rFonts w:hint="eastAsia" w:ascii="宋体" w:hAnsi="宋体" w:cs="宋体"/>
          <w:szCs w:val="21"/>
        </w:rPr>
        <w:t>投标供应商应随时随地答复评标委员会的询标，解答包括有关的商务、技术问题等。评标结束，所有评标资料存瑞安市公共资源交易中心备查。</w:t>
      </w:r>
    </w:p>
    <w:p>
      <w:pPr>
        <w:spacing w:line="360" w:lineRule="auto"/>
        <w:jc w:val="both"/>
        <w:rPr>
          <w:rFonts w:hint="eastAsia" w:ascii="宋体" w:hAnsi="宋体" w:cs="宋体"/>
          <w:b/>
          <w:bCs/>
          <w:kern w:val="28"/>
          <w:sz w:val="24"/>
          <w:szCs w:val="24"/>
        </w:rPr>
      </w:pPr>
      <w:r>
        <w:rPr>
          <w:rFonts w:hint="eastAsia" w:ascii="宋体" w:hAnsi="宋体" w:cs="宋体"/>
          <w:b/>
          <w:bCs/>
          <w:snapToGrid w:val="0"/>
          <w:szCs w:val="21"/>
        </w:rPr>
        <w:t>未尽事宜按有关法律法规规定执行。</w:t>
      </w:r>
    </w:p>
    <w:p>
      <w:pPr>
        <w:spacing w:line="360" w:lineRule="auto"/>
        <w:jc w:val="both"/>
        <w:rPr>
          <w:rFonts w:hint="eastAsia" w:ascii="宋体" w:hAnsi="宋体" w:cs="宋体"/>
          <w:b/>
          <w:bCs/>
          <w:kern w:val="28"/>
          <w:sz w:val="24"/>
          <w:szCs w:val="24"/>
        </w:rPr>
      </w:pPr>
    </w:p>
    <w:p>
      <w:pPr>
        <w:pStyle w:val="80"/>
        <w:snapToGrid w:val="0"/>
        <w:spacing w:before="156" w:beforeLines="50" w:after="156" w:afterLines="50" w:line="500" w:lineRule="exact"/>
        <w:ind w:firstLine="640"/>
        <w:rPr>
          <w:rFonts w:hAnsi="宋体" w:cs="宋体"/>
          <w:sz w:val="24"/>
          <w:szCs w:val="24"/>
        </w:rPr>
      </w:pPr>
      <w:r>
        <w:rPr>
          <w:rFonts w:hAnsi="宋体" w:cs="宋体"/>
          <w:szCs w:val="21"/>
        </w:rPr>
        <w:br w:type="page"/>
      </w:r>
      <w:r>
        <w:rPr>
          <w:rFonts w:hAnsi="宋体" w:cs="宋体"/>
          <w:sz w:val="24"/>
          <w:szCs w:val="24"/>
        </w:rPr>
        <w:t>附表</w:t>
      </w:r>
    </w:p>
    <w:p>
      <w:pPr>
        <w:pStyle w:val="80"/>
        <w:snapToGrid w:val="0"/>
        <w:spacing w:before="156" w:beforeLines="50" w:after="156" w:afterLines="50" w:line="500" w:lineRule="exact"/>
        <w:ind w:firstLine="640"/>
        <w:jc w:val="center"/>
        <w:rPr>
          <w:rFonts w:hAnsi="宋体" w:cs="宋体"/>
          <w:kern w:val="0"/>
          <w:szCs w:val="21"/>
          <w:u w:val="single"/>
        </w:rPr>
      </w:pPr>
      <w:r>
        <w:rPr>
          <w:rFonts w:hAnsi="宋体" w:cs="宋体"/>
          <w:b/>
          <w:bCs/>
          <w:sz w:val="32"/>
          <w:szCs w:val="32"/>
        </w:rPr>
        <w:t>政府采购活动现场确认声明书</w:t>
      </w:r>
    </w:p>
    <w:p>
      <w:pPr>
        <w:pStyle w:val="80"/>
        <w:snapToGrid w:val="0"/>
        <w:spacing w:line="400" w:lineRule="exact"/>
        <w:rPr>
          <w:rFonts w:hAnsi="宋体" w:cs="宋体"/>
          <w:b/>
          <w:szCs w:val="21"/>
        </w:rPr>
      </w:pPr>
      <w:r>
        <w:rPr>
          <w:rFonts w:hAnsi="宋体" w:cs="宋体"/>
          <w:kern w:val="0"/>
          <w:szCs w:val="21"/>
          <w:u w:val="single"/>
        </w:rPr>
        <w:t>浙江鼎力工程项目管理有限公司</w:t>
      </w:r>
      <w:r>
        <w:rPr>
          <w:rFonts w:hAnsi="宋体" w:cs="宋体"/>
          <w:kern w:val="0"/>
          <w:szCs w:val="21"/>
        </w:rPr>
        <w:t>：</w:t>
      </w:r>
    </w:p>
    <w:p>
      <w:pPr>
        <w:pStyle w:val="80"/>
        <w:snapToGrid w:val="0"/>
        <w:spacing w:line="400" w:lineRule="exact"/>
        <w:ind w:left="19" w:leftChars="9" w:firstLine="415" w:firstLineChars="187"/>
        <w:rPr>
          <w:rFonts w:hAnsi="宋体" w:cs="宋体"/>
          <w:spacing w:val="6"/>
          <w:szCs w:val="21"/>
        </w:rPr>
      </w:pPr>
      <w:r>
        <w:rPr>
          <w:rFonts w:hAnsi="宋体" w:cs="宋体"/>
          <w:spacing w:val="6"/>
          <w:szCs w:val="21"/>
        </w:rPr>
        <w:t>本人</w:t>
      </w:r>
      <w:r>
        <w:rPr>
          <w:rFonts w:hAnsi="宋体" w:cs="宋体"/>
          <w:spacing w:val="6"/>
          <w:szCs w:val="21"/>
          <w:u w:val="single"/>
        </w:rPr>
        <w:t xml:space="preserve">           </w:t>
      </w:r>
      <w:r>
        <w:rPr>
          <w:rFonts w:hAnsi="宋体" w:cs="宋体"/>
          <w:spacing w:val="6"/>
          <w:szCs w:val="21"/>
        </w:rPr>
        <w:t>（授权代表姓名），经由</w:t>
      </w:r>
      <w:r>
        <w:rPr>
          <w:rFonts w:hAnsi="宋体" w:cs="宋体"/>
          <w:spacing w:val="6"/>
          <w:szCs w:val="21"/>
          <w:u w:val="single"/>
        </w:rPr>
        <w:t xml:space="preserve">                              （单位）</w:t>
      </w:r>
      <w:r>
        <w:rPr>
          <w:rFonts w:hAnsi="宋体" w:cs="宋体"/>
          <w:spacing w:val="6"/>
          <w:szCs w:val="21"/>
        </w:rPr>
        <w:t>负责人</w:t>
      </w:r>
      <w:r>
        <w:rPr>
          <w:rFonts w:hAnsi="宋体" w:cs="宋体"/>
          <w:spacing w:val="6"/>
          <w:szCs w:val="21"/>
          <w:u w:val="single"/>
        </w:rPr>
        <w:t xml:space="preserve">          </w:t>
      </w:r>
      <w:r>
        <w:rPr>
          <w:rFonts w:hAnsi="宋体" w:cs="宋体"/>
          <w:spacing w:val="6"/>
          <w:szCs w:val="21"/>
        </w:rPr>
        <w:t>（法定代表人）合法授权参加</w:t>
      </w:r>
      <w:r>
        <w:rPr>
          <w:rFonts w:hAnsi="宋体" w:cs="宋体"/>
          <w:spacing w:val="6"/>
          <w:szCs w:val="21"/>
          <w:u w:val="single"/>
        </w:rPr>
        <w:t xml:space="preserve">          </w:t>
      </w:r>
      <w:r>
        <w:rPr>
          <w:rFonts w:hAnsi="宋体" w:cs="宋体"/>
          <w:spacing w:val="6"/>
          <w:szCs w:val="21"/>
        </w:rPr>
        <w:t>（编号：</w:t>
      </w:r>
      <w:r>
        <w:rPr>
          <w:rFonts w:hAnsi="宋体" w:cs="宋体"/>
          <w:spacing w:val="6"/>
          <w:szCs w:val="21"/>
          <w:u w:val="single"/>
        </w:rPr>
        <w:t xml:space="preserve">      </w:t>
      </w:r>
      <w:r>
        <w:rPr>
          <w:rFonts w:hAnsi="宋体" w:cs="宋体"/>
          <w:spacing w:val="6"/>
          <w:szCs w:val="21"/>
        </w:rPr>
        <w:t xml:space="preserve">）政府采购活动，经与本单位法人代表（负责人）联系确认，现就有关公平竞争事项郑重声明如下： </w:t>
      </w:r>
    </w:p>
    <w:p>
      <w:pPr>
        <w:pStyle w:val="79"/>
        <w:widowControl/>
        <w:numPr>
          <w:ilvl w:val="0"/>
          <w:numId w:val="61"/>
        </w:numPr>
        <w:snapToGrid w:val="0"/>
        <w:spacing w:line="400" w:lineRule="exact"/>
        <w:ind w:firstLine="396" w:firstLineChars="189"/>
        <w:rPr>
          <w:rFonts w:ascii="宋体" w:hAnsi="宋体" w:cs="宋体"/>
          <w:kern w:val="0"/>
          <w:szCs w:val="21"/>
        </w:rPr>
      </w:pPr>
      <w:r>
        <w:rPr>
          <w:rFonts w:ascii="宋体" w:hAnsi="宋体" w:cs="宋体"/>
          <w:kern w:val="0"/>
          <w:szCs w:val="21"/>
        </w:rPr>
        <w:t xml:space="preserve">本单位与采购人之间 □不存在利害关系 </w:t>
      </w:r>
      <w:r>
        <w:rPr>
          <w:rFonts w:ascii="宋体" w:hAnsi="宋体" w:cs="宋体"/>
          <w:kern w:val="0"/>
          <w:szCs w:val="21"/>
        </w:rPr>
        <w:sym w:font="Wingdings 2" w:char="00A3"/>
      </w:r>
      <w:r>
        <w:rPr>
          <w:rFonts w:ascii="宋体" w:hAnsi="宋体" w:cs="宋体"/>
          <w:kern w:val="0"/>
          <w:szCs w:val="21"/>
        </w:rPr>
        <w:t>存在下列利害关系</w:t>
      </w:r>
      <w:r>
        <w:rPr>
          <w:rFonts w:ascii="宋体" w:hAnsi="宋体" w:cs="宋体"/>
          <w:kern w:val="0"/>
          <w:szCs w:val="21"/>
          <w:u w:val="single"/>
        </w:rPr>
        <w:t xml:space="preserve">           </w:t>
      </w:r>
      <w:r>
        <w:rPr>
          <w:rFonts w:ascii="宋体" w:hAnsi="宋体" w:cs="宋体"/>
          <w:kern w:val="0"/>
          <w:szCs w:val="21"/>
        </w:rPr>
        <w:t>：</w:t>
      </w:r>
    </w:p>
    <w:p>
      <w:pPr>
        <w:pStyle w:val="79"/>
        <w:widowControl/>
        <w:snapToGrid w:val="0"/>
        <w:spacing w:line="400" w:lineRule="exact"/>
        <w:rPr>
          <w:rFonts w:ascii="宋体" w:hAnsi="宋体" w:cs="宋体"/>
          <w:kern w:val="0"/>
          <w:szCs w:val="21"/>
        </w:rPr>
      </w:pPr>
      <w:r>
        <w:rPr>
          <w:rFonts w:ascii="宋体" w:hAnsi="宋体" w:cs="宋体"/>
          <w:kern w:val="0"/>
          <w:szCs w:val="21"/>
        </w:rPr>
        <w:t xml:space="preserve">  A.投资关系    B.行政隶属关系    C.业务指导关系</w:t>
      </w:r>
    </w:p>
    <w:p>
      <w:pPr>
        <w:pStyle w:val="79"/>
        <w:widowControl/>
        <w:snapToGrid w:val="0"/>
        <w:spacing w:line="400" w:lineRule="exact"/>
        <w:rPr>
          <w:rFonts w:ascii="宋体" w:hAnsi="宋体" w:cs="宋体"/>
          <w:kern w:val="0"/>
          <w:szCs w:val="21"/>
        </w:rPr>
      </w:pPr>
      <w:r>
        <w:rPr>
          <w:rFonts w:ascii="宋体" w:hAnsi="宋体" w:cs="宋体"/>
          <w:kern w:val="0"/>
          <w:szCs w:val="21"/>
        </w:rPr>
        <w:t xml:space="preserve">  D.其他可能</w:t>
      </w:r>
      <w:r>
        <w:rPr>
          <w:rFonts w:ascii="宋体" w:hAnsi="宋体" w:cs="宋体"/>
          <w:szCs w:val="21"/>
        </w:rPr>
        <w:t>影响采购公正的</w:t>
      </w:r>
      <w:r>
        <w:rPr>
          <w:rFonts w:ascii="宋体" w:hAnsi="宋体" w:cs="宋体"/>
          <w:kern w:val="0"/>
          <w:szCs w:val="21"/>
        </w:rPr>
        <w:t>利害关系</w:t>
      </w:r>
      <w:r>
        <w:rPr>
          <w:rFonts w:ascii="宋体" w:hAnsi="宋体" w:cs="宋体"/>
          <w:kern w:val="0"/>
          <w:szCs w:val="21"/>
          <w:u w:val="single"/>
        </w:rPr>
        <w:t xml:space="preserve">（如有，请如实说明）                 </w:t>
      </w:r>
      <w:r>
        <w:rPr>
          <w:rFonts w:ascii="宋体" w:hAnsi="宋体" w:cs="宋体"/>
          <w:kern w:val="0"/>
          <w:szCs w:val="21"/>
        </w:rPr>
        <w:t>。</w:t>
      </w:r>
    </w:p>
    <w:p>
      <w:pPr>
        <w:pStyle w:val="79"/>
        <w:widowControl/>
        <w:snapToGrid w:val="0"/>
        <w:spacing w:line="400" w:lineRule="exact"/>
        <w:rPr>
          <w:rFonts w:ascii="宋体" w:hAnsi="宋体" w:cs="宋体"/>
          <w:kern w:val="0"/>
          <w:szCs w:val="21"/>
        </w:rPr>
      </w:pPr>
      <w:r>
        <w:rPr>
          <w:rFonts w:ascii="宋体" w:hAnsi="宋体" w:cs="宋体"/>
          <w:spacing w:val="6"/>
          <w:szCs w:val="21"/>
        </w:rPr>
        <w:t xml:space="preserve">   二、</w:t>
      </w:r>
      <w:r>
        <w:rPr>
          <w:rFonts w:ascii="宋体" w:hAnsi="宋体" w:cs="宋体"/>
          <w:kern w:val="0"/>
          <w:szCs w:val="21"/>
        </w:rPr>
        <w:t>现已清楚知道参加本项目采购活动的其他所有供应商名称，本单位 □与其他所有供应商之间均不存在利害关系 □与</w:t>
      </w:r>
      <w:r>
        <w:rPr>
          <w:rFonts w:ascii="宋体" w:hAnsi="宋体" w:cs="宋体"/>
          <w:kern w:val="0"/>
          <w:szCs w:val="21"/>
          <w:u w:val="single"/>
        </w:rPr>
        <w:t xml:space="preserve">           （供应商名称）</w:t>
      </w:r>
      <w:r>
        <w:rPr>
          <w:rFonts w:ascii="宋体" w:hAnsi="宋体" w:cs="宋体"/>
          <w:kern w:val="0"/>
          <w:szCs w:val="21"/>
        </w:rPr>
        <w:t>之间存在下列利害关系</w:t>
      </w:r>
      <w:r>
        <w:rPr>
          <w:rFonts w:ascii="宋体" w:hAnsi="宋体" w:cs="宋体"/>
          <w:kern w:val="0"/>
          <w:szCs w:val="21"/>
          <w:u w:val="single"/>
        </w:rPr>
        <w:t xml:space="preserve">          </w:t>
      </w:r>
      <w:r>
        <w:rPr>
          <w:rFonts w:ascii="宋体" w:hAnsi="宋体" w:cs="宋体"/>
          <w:kern w:val="0"/>
          <w:szCs w:val="21"/>
        </w:rPr>
        <w:t>：</w:t>
      </w:r>
    </w:p>
    <w:p>
      <w:pPr>
        <w:pStyle w:val="80"/>
        <w:snapToGrid w:val="0"/>
        <w:spacing w:line="400" w:lineRule="exact"/>
        <w:rPr>
          <w:rFonts w:hAnsi="宋体" w:cs="宋体"/>
          <w:kern w:val="0"/>
          <w:szCs w:val="21"/>
        </w:rPr>
      </w:pPr>
      <w:r>
        <w:rPr>
          <w:rFonts w:hAnsi="宋体" w:cs="宋体"/>
          <w:kern w:val="0"/>
          <w:szCs w:val="21"/>
        </w:rPr>
        <w:t xml:space="preserve">  A.法定代表人或负责人或实际控制人是同一人</w:t>
      </w:r>
    </w:p>
    <w:p>
      <w:pPr>
        <w:pStyle w:val="80"/>
        <w:snapToGrid w:val="0"/>
        <w:spacing w:line="400" w:lineRule="exact"/>
        <w:rPr>
          <w:rFonts w:hAnsi="宋体" w:cs="宋体"/>
          <w:spacing w:val="6"/>
          <w:szCs w:val="21"/>
        </w:rPr>
      </w:pPr>
      <w:r>
        <w:rPr>
          <w:rFonts w:hAnsi="宋体" w:cs="宋体"/>
          <w:kern w:val="0"/>
          <w:szCs w:val="21"/>
        </w:rPr>
        <w:t xml:space="preserve">  B.法定代表人或负责人或实际控制人是夫妻关系</w:t>
      </w:r>
    </w:p>
    <w:p>
      <w:pPr>
        <w:pStyle w:val="80"/>
        <w:snapToGrid w:val="0"/>
        <w:spacing w:line="400" w:lineRule="exact"/>
        <w:rPr>
          <w:rFonts w:hAnsi="宋体" w:cs="宋体"/>
          <w:spacing w:val="6"/>
          <w:szCs w:val="21"/>
        </w:rPr>
      </w:pPr>
      <w:r>
        <w:rPr>
          <w:rFonts w:hAnsi="宋体" w:cs="宋体"/>
          <w:kern w:val="0"/>
          <w:szCs w:val="21"/>
        </w:rPr>
        <w:t xml:space="preserve">  C.法定代表人或负责人或实际控制人是直系血亲关系</w:t>
      </w:r>
    </w:p>
    <w:p>
      <w:pPr>
        <w:pStyle w:val="80"/>
        <w:snapToGrid w:val="0"/>
        <w:spacing w:line="400" w:lineRule="exact"/>
        <w:rPr>
          <w:rFonts w:hAnsi="宋体" w:cs="宋体"/>
          <w:spacing w:val="6"/>
          <w:szCs w:val="21"/>
        </w:rPr>
      </w:pPr>
      <w:r>
        <w:rPr>
          <w:rFonts w:hAnsi="宋体" w:cs="宋体"/>
          <w:kern w:val="0"/>
          <w:szCs w:val="21"/>
        </w:rPr>
        <w:t xml:space="preserve">  D.法定代表人或负责人或实际控制人存在三代以内旁系血亲关系</w:t>
      </w:r>
    </w:p>
    <w:p>
      <w:pPr>
        <w:pStyle w:val="80"/>
        <w:snapToGrid w:val="0"/>
        <w:spacing w:line="400" w:lineRule="exact"/>
        <w:rPr>
          <w:rFonts w:hAnsi="宋体" w:cs="宋体"/>
          <w:kern w:val="0"/>
          <w:szCs w:val="21"/>
        </w:rPr>
      </w:pPr>
      <w:r>
        <w:rPr>
          <w:rFonts w:hAnsi="宋体" w:cs="宋体"/>
          <w:kern w:val="0"/>
          <w:szCs w:val="21"/>
        </w:rPr>
        <w:t xml:space="preserve">  E.法定代表人或负责人或实际控制人存在近姻亲关系</w:t>
      </w:r>
    </w:p>
    <w:p>
      <w:pPr>
        <w:pStyle w:val="80"/>
        <w:snapToGrid w:val="0"/>
        <w:spacing w:line="400" w:lineRule="exact"/>
        <w:rPr>
          <w:rFonts w:hAnsi="宋体" w:cs="宋体"/>
          <w:kern w:val="0"/>
          <w:szCs w:val="21"/>
        </w:rPr>
      </w:pPr>
      <w:r>
        <w:rPr>
          <w:rFonts w:hAnsi="宋体" w:cs="宋体"/>
          <w:kern w:val="0"/>
          <w:szCs w:val="21"/>
        </w:rPr>
        <w:t xml:space="preserve">  F.法定代表人或负责人或实际控制人存在股份控制或实际控制关系</w:t>
      </w:r>
    </w:p>
    <w:p>
      <w:pPr>
        <w:pStyle w:val="80"/>
        <w:snapToGrid w:val="0"/>
        <w:spacing w:line="400" w:lineRule="exact"/>
        <w:rPr>
          <w:rFonts w:hAnsi="宋体" w:cs="宋体"/>
          <w:kern w:val="0"/>
          <w:szCs w:val="21"/>
        </w:rPr>
      </w:pPr>
      <w:r>
        <w:rPr>
          <w:rFonts w:hAnsi="宋体" w:cs="宋体"/>
          <w:kern w:val="0"/>
          <w:szCs w:val="21"/>
        </w:rPr>
        <w:t xml:space="preserve">  G.存在共同直接或间接投资设立子公司、联营企业和合营企业情况</w:t>
      </w:r>
    </w:p>
    <w:p>
      <w:pPr>
        <w:pStyle w:val="80"/>
        <w:snapToGrid w:val="0"/>
        <w:spacing w:line="400" w:lineRule="exact"/>
        <w:rPr>
          <w:rFonts w:hAnsi="宋体" w:cs="宋体"/>
          <w:szCs w:val="21"/>
        </w:rPr>
      </w:pPr>
      <w:r>
        <w:rPr>
          <w:rFonts w:hAnsi="宋体" w:cs="宋体"/>
          <w:kern w:val="0"/>
          <w:szCs w:val="21"/>
        </w:rPr>
        <w:t xml:space="preserve">  H.存在分级代理或代销关系、同一生产制造商关系、</w:t>
      </w:r>
      <w:r>
        <w:rPr>
          <w:rFonts w:hAnsi="宋体" w:cs="宋体"/>
          <w:szCs w:val="21"/>
        </w:rPr>
        <w:t>管理关系、重要业务（占主营业务收入50%以上）或重要财务往来关系（如融资）等其他实质性控制关系</w:t>
      </w:r>
    </w:p>
    <w:p>
      <w:pPr>
        <w:pStyle w:val="80"/>
        <w:snapToGrid w:val="0"/>
        <w:spacing w:line="400" w:lineRule="exact"/>
        <w:rPr>
          <w:rFonts w:hAnsi="宋体" w:cs="宋体"/>
          <w:spacing w:val="6"/>
          <w:szCs w:val="21"/>
        </w:rPr>
      </w:pPr>
      <w:r>
        <w:rPr>
          <w:rFonts w:hAnsi="宋体" w:cs="宋体"/>
          <w:szCs w:val="21"/>
        </w:rPr>
        <w:t xml:space="preserve">    I</w:t>
      </w:r>
      <w:r>
        <w:rPr>
          <w:rFonts w:hAnsi="宋体" w:cs="宋体"/>
          <w:kern w:val="0"/>
          <w:szCs w:val="21"/>
        </w:rPr>
        <w:t>.</w:t>
      </w:r>
      <w:r>
        <w:rPr>
          <w:rFonts w:hAnsi="宋体" w:cs="宋体"/>
          <w:szCs w:val="21"/>
        </w:rPr>
        <w:t>其他利害关系情况</w:t>
      </w:r>
      <w:r>
        <w:rPr>
          <w:rFonts w:hAnsi="宋体" w:cs="宋体"/>
          <w:szCs w:val="21"/>
          <w:u w:val="single"/>
        </w:rPr>
        <w:t xml:space="preserve">                              </w:t>
      </w:r>
      <w:r>
        <w:rPr>
          <w:rFonts w:hAnsi="宋体" w:cs="宋体"/>
          <w:kern w:val="0"/>
          <w:szCs w:val="21"/>
        </w:rPr>
        <w:t>。</w:t>
      </w:r>
    </w:p>
    <w:p>
      <w:pPr>
        <w:pStyle w:val="79"/>
        <w:widowControl/>
        <w:numPr>
          <w:ilvl w:val="0"/>
          <w:numId w:val="62"/>
        </w:numPr>
        <w:snapToGrid w:val="0"/>
        <w:spacing w:line="400" w:lineRule="exact"/>
        <w:ind w:firstLine="396" w:firstLineChars="189"/>
        <w:rPr>
          <w:rFonts w:ascii="宋体" w:hAnsi="宋体" w:cs="宋体"/>
          <w:kern w:val="0"/>
          <w:szCs w:val="21"/>
        </w:rPr>
      </w:pPr>
      <w:r>
        <w:rPr>
          <w:rFonts w:ascii="宋体" w:hAnsi="宋体" w:cs="宋体"/>
          <w:szCs w:val="21"/>
        </w:rPr>
        <w:t>现已清楚知道并</w:t>
      </w:r>
      <w:r>
        <w:rPr>
          <w:rFonts w:ascii="宋体" w:hAnsi="宋体" w:cs="宋体"/>
          <w:kern w:val="0"/>
          <w:szCs w:val="21"/>
        </w:rPr>
        <w:t>严格遵守政府采购法律法规和现场纪律。</w:t>
      </w:r>
    </w:p>
    <w:p>
      <w:pPr>
        <w:pStyle w:val="79"/>
        <w:widowControl/>
        <w:numPr>
          <w:ilvl w:val="0"/>
          <w:numId w:val="62"/>
        </w:numPr>
        <w:snapToGrid w:val="0"/>
        <w:spacing w:line="400" w:lineRule="exact"/>
        <w:ind w:firstLine="396" w:firstLineChars="189"/>
        <w:rPr>
          <w:rFonts w:ascii="宋体" w:hAnsi="宋体" w:cs="宋体"/>
          <w:szCs w:val="21"/>
        </w:rPr>
      </w:pPr>
      <w:r>
        <w:rPr>
          <w:rFonts w:ascii="宋体" w:hAnsi="宋体" w:cs="宋体"/>
          <w:kern w:val="0"/>
          <w:szCs w:val="21"/>
        </w:rPr>
        <w:t>我发现</w:t>
      </w:r>
      <w:r>
        <w:rPr>
          <w:rFonts w:ascii="宋体" w:hAnsi="宋体" w:cs="宋体"/>
          <w:kern w:val="0"/>
          <w:szCs w:val="21"/>
          <w:u w:val="single"/>
        </w:rPr>
        <w:t xml:space="preserve">                    </w:t>
      </w:r>
      <w:r>
        <w:rPr>
          <w:rFonts w:ascii="宋体" w:hAnsi="宋体" w:cs="宋体"/>
          <w:kern w:val="0"/>
          <w:szCs w:val="21"/>
        </w:rPr>
        <w:t>供应商之间存在或可能存在上述第二条第</w:t>
      </w:r>
      <w:r>
        <w:rPr>
          <w:rFonts w:ascii="宋体" w:hAnsi="宋体" w:cs="宋体"/>
          <w:kern w:val="0"/>
          <w:szCs w:val="21"/>
          <w:u w:val="single"/>
        </w:rPr>
        <w:t xml:space="preserve">        </w:t>
      </w:r>
      <w:r>
        <w:rPr>
          <w:rFonts w:ascii="宋体" w:hAnsi="宋体" w:cs="宋体"/>
          <w:kern w:val="0"/>
          <w:szCs w:val="21"/>
        </w:rPr>
        <w:t>项利害关系</w:t>
      </w:r>
      <w:r>
        <w:rPr>
          <w:rFonts w:ascii="宋体" w:hAnsi="宋体" w:cs="宋体"/>
          <w:szCs w:val="21"/>
        </w:rPr>
        <w:t xml:space="preserve">                         </w:t>
      </w:r>
    </w:p>
    <w:p>
      <w:pPr>
        <w:pStyle w:val="80"/>
        <w:snapToGrid w:val="0"/>
        <w:spacing w:line="400" w:lineRule="exact"/>
        <w:ind w:firstLine="4410" w:firstLineChars="2100"/>
        <w:rPr>
          <w:rFonts w:hAnsi="宋体" w:cs="宋体"/>
          <w:szCs w:val="21"/>
        </w:rPr>
      </w:pPr>
    </w:p>
    <w:p>
      <w:pPr>
        <w:pStyle w:val="80"/>
        <w:snapToGrid w:val="0"/>
        <w:spacing w:line="400" w:lineRule="exact"/>
        <w:ind w:firstLine="4410" w:firstLineChars="2100"/>
        <w:rPr>
          <w:rFonts w:hAnsi="宋体" w:cs="宋体"/>
          <w:szCs w:val="21"/>
        </w:rPr>
      </w:pPr>
      <w:r>
        <w:rPr>
          <w:rFonts w:hAnsi="宋体" w:cs="宋体"/>
          <w:szCs w:val="21"/>
        </w:rPr>
        <w:t>供应商代表签名：</w:t>
      </w:r>
    </w:p>
    <w:p>
      <w:pPr>
        <w:pStyle w:val="80"/>
        <w:snapToGrid w:val="0"/>
        <w:spacing w:line="400" w:lineRule="exact"/>
        <w:ind w:firstLine="4410" w:firstLineChars="2100"/>
        <w:rPr>
          <w:rFonts w:hAnsi="宋体" w:cs="宋体"/>
          <w:szCs w:val="21"/>
        </w:rPr>
      </w:pPr>
      <w:r>
        <w:rPr>
          <w:rFonts w:hAnsi="宋体" w:cs="宋体"/>
          <w:szCs w:val="21"/>
        </w:rPr>
        <w:t>2021年   月   日</w:t>
      </w:r>
    </w:p>
    <w:p>
      <w:pPr>
        <w:pStyle w:val="2"/>
        <w:spacing w:line="400" w:lineRule="exact"/>
        <w:ind w:left="0" w:leftChars="0"/>
        <w:rPr>
          <w:rFonts w:hint="eastAsia" w:ascii="宋体" w:hAnsi="宋体" w:cs="宋体"/>
          <w:b/>
          <w:bCs/>
          <w:szCs w:val="21"/>
        </w:rPr>
      </w:pPr>
    </w:p>
    <w:p>
      <w:pPr>
        <w:spacing w:line="400" w:lineRule="exact"/>
        <w:ind w:firstLine="422" w:firstLineChars="200"/>
        <w:rPr>
          <w:rFonts w:hint="eastAsia" w:ascii="宋体" w:hAnsi="宋体" w:cs="宋体"/>
        </w:rPr>
      </w:pPr>
      <w:r>
        <w:rPr>
          <w:rFonts w:hint="eastAsia" w:ascii="宋体" w:hAnsi="宋体" w:cs="宋体"/>
          <w:b/>
          <w:bCs/>
          <w:szCs w:val="21"/>
        </w:rPr>
        <w:t>注：响应文件解密结束后，各供应商签署《政府采购活动现场确认声明书》，并在规定时间内通过邮件形式发送至采购代理机构邮箱：</w:t>
      </w:r>
      <w:r>
        <w:rPr>
          <w:rFonts w:hint="eastAsia" w:ascii="宋体" w:hAnsi="宋体" w:cs="宋体"/>
          <w:b/>
          <w:bCs/>
          <w:szCs w:val="21"/>
        </w:rPr>
        <w:fldChar w:fldCharType="begin"/>
      </w:r>
      <w:r>
        <w:rPr>
          <w:rFonts w:hint="eastAsia" w:ascii="宋体" w:hAnsi="宋体" w:cs="宋体"/>
          <w:b/>
          <w:bCs/>
          <w:szCs w:val="21"/>
        </w:rPr>
        <w:instrText xml:space="preserve"> HYPERLINK "mailto:815743236@qq.com" </w:instrText>
      </w:r>
      <w:r>
        <w:rPr>
          <w:rFonts w:hint="eastAsia" w:ascii="宋体" w:hAnsi="宋体" w:cs="宋体"/>
          <w:b/>
          <w:bCs/>
          <w:szCs w:val="21"/>
        </w:rPr>
        <w:fldChar w:fldCharType="separate"/>
      </w:r>
      <w:r>
        <w:rPr>
          <w:rFonts w:hint="eastAsia" w:ascii="宋体" w:hAnsi="宋体" w:cs="宋体"/>
          <w:b/>
          <w:bCs/>
          <w:szCs w:val="21"/>
        </w:rPr>
        <w:t>420206010@qq.com</w:t>
      </w:r>
      <w:r>
        <w:rPr>
          <w:rFonts w:hint="eastAsia" w:ascii="宋体" w:hAnsi="宋体" w:cs="宋体"/>
          <w:b/>
          <w:bCs/>
          <w:szCs w:val="21"/>
        </w:rPr>
        <w:fldChar w:fldCharType="end"/>
      </w:r>
      <w:r>
        <w:rPr>
          <w:rFonts w:hint="eastAsia" w:ascii="宋体" w:hAnsi="宋体" w:cs="宋体"/>
          <w:b/>
          <w:bCs/>
          <w:szCs w:val="21"/>
        </w:rPr>
        <w:t>。</w:t>
      </w:r>
    </w:p>
    <w:p>
      <w:pPr>
        <w:rPr>
          <w:rFonts w:hint="eastAsia" w:ascii="宋体" w:hAnsi="宋体" w:cs="宋体"/>
        </w:rPr>
      </w:pPr>
    </w:p>
    <w:p>
      <w:pPr>
        <w:pStyle w:val="2"/>
        <w:rPr>
          <w:rFonts w:hint="eastAsia" w:ascii="宋体" w:hAnsi="宋体" w:cs="宋体"/>
        </w:rPr>
        <w:sectPr>
          <w:footerReference r:id="rId10" w:type="default"/>
          <w:footerReference r:id="rId11" w:type="even"/>
          <w:pgSz w:w="11906" w:h="16838"/>
          <w:pgMar w:top="1588" w:right="1418" w:bottom="1134" w:left="1418" w:header="680" w:footer="992" w:gutter="0"/>
          <w:cols w:space="720" w:num="1"/>
          <w:docGrid w:type="lines" w:linePitch="312" w:charSpace="0"/>
        </w:sectPr>
      </w:pPr>
    </w:p>
    <w:p>
      <w:pPr>
        <w:tabs>
          <w:tab w:val="left" w:pos="3835"/>
        </w:tabs>
        <w:outlineLvl w:val="0"/>
        <w:rPr>
          <w:rFonts w:hint="eastAsia" w:ascii="宋体" w:hAnsi="宋体" w:cs="宋体"/>
          <w:b/>
          <w:sz w:val="22"/>
        </w:rPr>
      </w:pPr>
      <w:bookmarkStart w:id="370" w:name="_Toc10679"/>
      <w:r>
        <w:rPr>
          <w:rFonts w:hint="eastAsia" w:ascii="宋体" w:hAnsi="宋体" w:cs="宋体"/>
          <w:b/>
          <w:sz w:val="22"/>
        </w:rPr>
        <w:t>附件1-《玉海街道环卫保洁作业量清单》</w:t>
      </w:r>
      <w:bookmarkEnd w:id="370"/>
    </w:p>
    <w:p>
      <w:pPr>
        <w:keepNext w:val="0"/>
        <w:keepLines w:val="0"/>
        <w:pageBreakBefore w:val="0"/>
        <w:widowControl/>
        <w:numPr>
          <w:ilvl w:val="0"/>
          <w:numId w:val="63"/>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玉海街道道路</w:t>
      </w:r>
      <w:r>
        <w:rPr>
          <w:rFonts w:hint="eastAsia" w:ascii="宋体" w:hAnsi="宋体" w:eastAsia="宋体" w:cs="宋体"/>
          <w:b/>
          <w:bCs/>
          <w:color w:val="auto"/>
          <w:sz w:val="22"/>
          <w:szCs w:val="22"/>
          <w:highlight w:val="none"/>
        </w:rPr>
        <w:t>环卫作业清单</w:t>
      </w:r>
    </w:p>
    <w:tbl>
      <w:tblPr>
        <w:tblStyle w:val="29"/>
        <w:tblW w:w="4996" w:type="pct"/>
        <w:tblInd w:w="0" w:type="dxa"/>
        <w:tblLayout w:type="fixed"/>
        <w:tblCellMar>
          <w:top w:w="0" w:type="dxa"/>
          <w:left w:w="108" w:type="dxa"/>
          <w:bottom w:w="0" w:type="dxa"/>
          <w:right w:w="108" w:type="dxa"/>
        </w:tblCellMar>
      </w:tblPr>
      <w:tblGrid>
        <w:gridCol w:w="576"/>
        <w:gridCol w:w="1170"/>
        <w:gridCol w:w="1952"/>
        <w:gridCol w:w="1443"/>
        <w:gridCol w:w="1402"/>
        <w:gridCol w:w="1117"/>
        <w:gridCol w:w="1304"/>
        <w:gridCol w:w="1184"/>
        <w:gridCol w:w="4174"/>
      </w:tblGrid>
      <w:tr>
        <w:tblPrEx>
          <w:tblCellMar>
            <w:top w:w="0" w:type="dxa"/>
            <w:left w:w="108" w:type="dxa"/>
            <w:bottom w:w="0" w:type="dxa"/>
            <w:right w:w="108" w:type="dxa"/>
          </w:tblCellMar>
        </w:tblPrEx>
        <w:trPr>
          <w:trHeight w:val="627" w:hRule="atLeast"/>
          <w:tblHeader/>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社区、村名称</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道路名称</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道路级别</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长（m）</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宽（m）</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面积（㎡）</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绿化面积（㎡）</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起止</w:t>
            </w:r>
          </w:p>
        </w:tc>
      </w:tr>
      <w:tr>
        <w:tblPrEx>
          <w:tblCellMar>
            <w:top w:w="0" w:type="dxa"/>
            <w:left w:w="108" w:type="dxa"/>
            <w:bottom w:w="0" w:type="dxa"/>
            <w:right w:w="108" w:type="dxa"/>
          </w:tblCellMar>
        </w:tblPrEx>
        <w:trPr>
          <w:trHeight w:val="364"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1610.75</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虹桥北路至商城大道</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40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滨江大道</w:t>
            </w:r>
          </w:p>
        </w:tc>
        <w:tc>
          <w:tcPr>
            <w:tcW w:w="503"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宋体"/>
                <w:lang w:val="en-US" w:eastAsia="zh-CN"/>
              </w:rPr>
            </w:pPr>
            <w:r>
              <w:rPr>
                <w:rFonts w:hint="eastAsia" w:ascii="宋体" w:hAnsi="宋体" w:eastAsia="宋体" w:cs="宋体"/>
                <w:kern w:val="0"/>
                <w:sz w:val="24"/>
                <w:szCs w:val="24"/>
              </w:rPr>
              <w:t>一级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45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134000</w:t>
            </w:r>
          </w:p>
        </w:tc>
        <w:tc>
          <w:tcPr>
            <w:tcW w:w="413"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35000</w:t>
            </w: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rPr>
              <w:t>拱瑞山路至沿江西路与瑞湖路交叉口</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其中</w:t>
            </w:r>
            <w:r>
              <w:rPr>
                <w:rFonts w:hint="eastAsia" w:ascii="宋体" w:hAnsi="宋体" w:cs="宋体"/>
                <w:b/>
                <w:bCs w:val="0"/>
                <w:color w:val="auto"/>
                <w:szCs w:val="21"/>
                <w:highlight w:val="none"/>
                <w:lang w:val="en-US" w:eastAsia="zh-CN"/>
              </w:rPr>
              <w:t>飞云江大桥至解放南路达到</w:t>
            </w:r>
            <w:r>
              <w:rPr>
                <w:rFonts w:hint="eastAsia" w:ascii="宋体" w:hAnsi="宋体" w:eastAsia="宋体" w:cs="宋体"/>
                <w:b/>
                <w:bCs w:val="0"/>
                <w:color w:val="auto"/>
                <w:kern w:val="0"/>
                <w:sz w:val="24"/>
                <w:szCs w:val="24"/>
                <w:highlight w:val="none"/>
                <w:lang w:eastAsia="zh-CN"/>
              </w:rPr>
              <w:t>“</w:t>
            </w:r>
            <w:r>
              <w:rPr>
                <w:rFonts w:hint="eastAsia" w:ascii="宋体" w:hAnsi="宋体" w:eastAsia="宋体" w:cs="宋体"/>
                <w:b/>
                <w:bCs w:val="0"/>
                <w:color w:val="auto"/>
                <w:kern w:val="0"/>
                <w:sz w:val="24"/>
                <w:szCs w:val="24"/>
                <w:highlight w:val="none"/>
                <w:lang w:val="en-US" w:eastAsia="zh-CN"/>
              </w:rPr>
              <w:t>席地而坐</w:t>
            </w:r>
            <w:r>
              <w:rPr>
                <w:rFonts w:hint="eastAsia" w:ascii="宋体" w:hAnsi="宋体" w:eastAsia="宋体" w:cs="宋体"/>
                <w:b/>
                <w:bCs w:val="0"/>
                <w:color w:val="auto"/>
                <w:kern w:val="0"/>
                <w:sz w:val="24"/>
                <w:szCs w:val="24"/>
                <w:highlight w:val="none"/>
                <w:lang w:eastAsia="zh-CN"/>
              </w:rPr>
              <w:t>”</w:t>
            </w:r>
            <w:r>
              <w:rPr>
                <w:rFonts w:hint="eastAsia" w:ascii="宋体" w:hAnsi="宋体" w:eastAsia="宋体" w:cs="宋体"/>
                <w:b/>
                <w:bCs w:val="0"/>
                <w:color w:val="auto"/>
                <w:kern w:val="0"/>
                <w:sz w:val="24"/>
                <w:szCs w:val="24"/>
                <w:highlight w:val="none"/>
                <w:lang w:val="en-US" w:eastAsia="zh-CN"/>
              </w:rPr>
              <w:t>保洁标准。</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45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70200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1597</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滨江大道至瑞湖路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飞云江大桥姐妹桥</w:t>
            </w:r>
            <w:r>
              <w:rPr>
                <w:rFonts w:hint="eastAsia" w:ascii="宋体" w:hAnsi="宋体" w:eastAsia="宋体" w:cs="宋体"/>
                <w:kern w:val="0"/>
                <w:sz w:val="24"/>
                <w:szCs w:val="24"/>
                <w:lang w:val="en-US" w:eastAsia="zh-CN"/>
              </w:rPr>
              <w:t>东</w:t>
            </w:r>
            <w:r>
              <w:rPr>
                <w:rFonts w:hint="eastAsia" w:ascii="宋体" w:hAnsi="宋体" w:eastAsia="宋体" w:cs="宋体"/>
                <w:kern w:val="0"/>
                <w:sz w:val="24"/>
                <w:szCs w:val="24"/>
              </w:rPr>
              <w:t>首</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5444</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虹桥北路十一号地块</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2728</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1794" w:type="pct"/>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一级道路合计</w:t>
            </w: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8450</w:t>
            </w: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234600</w:t>
            </w:r>
          </w:p>
        </w:tc>
        <w:tc>
          <w:tcPr>
            <w:tcW w:w="41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46379.75</w:t>
            </w:r>
          </w:p>
        </w:tc>
        <w:tc>
          <w:tcPr>
            <w:tcW w:w="145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40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沿江东路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31920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虹桥路口至商城桥</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1254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南门段拓宽</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邮电南延伸段</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沿江东路至滨江大道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虹桥路后街</w:t>
            </w: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200+200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北至东小街，南至所坦街</w:t>
            </w:r>
          </w:p>
        </w:tc>
      </w:tr>
      <w:tr>
        <w:tblPrEx>
          <w:tblCellMar>
            <w:top w:w="0" w:type="dxa"/>
            <w:left w:w="108" w:type="dxa"/>
            <w:bottom w:w="0" w:type="dxa"/>
            <w:right w:w="108" w:type="dxa"/>
          </w:tblCellMar>
        </w:tblPrEx>
        <w:trPr>
          <w:trHeight w:val="499" w:hRule="atLeast"/>
        </w:trPr>
        <w:tc>
          <w:tcPr>
            <w:tcW w:w="1794" w:type="pct"/>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二级道路合计</w:t>
            </w: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1707</w:t>
            </w: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41104</w:t>
            </w:r>
          </w:p>
        </w:tc>
        <w:tc>
          <w:tcPr>
            <w:tcW w:w="41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0</w:t>
            </w:r>
          </w:p>
        </w:tc>
        <w:tc>
          <w:tcPr>
            <w:tcW w:w="145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商城西路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商城大道至滨江大道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商城南路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商城西路至瑞祥大道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解放路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虹桥路至商城大道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松桥北路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7906.45</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万松路至瑞湖路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广场路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720</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万松路至解放路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玉海广场边</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广场边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瑞湖路至万松路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青松路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虹桥北路至松桥北路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广场路延伸段</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解放中路至龙首桥街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沿江西路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935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12155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小码道至高速桥下</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40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飞云西路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解放南路至小码道</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1239</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南门渡口南门大厦后门拓宽</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解放路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26640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290</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南门渡口至虹桥路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仓前街</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解放路至万松西路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望欣路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东至104国道，西至长春路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泥城路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南至小东门街，北至丰湖街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龙首桥路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东至桥上，西至虹桥路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景江路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景滨路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南至滨江大道，北至商城大道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望滨路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南至滨江大道，北至商城大道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后垟中路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485</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6305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南至万松路，至瑞湖路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中银公寓至滨江垃圾中转站</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纳福广场</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1870</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东塔广场</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1445</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边防***对面绿地</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3521.6</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虹桥北路河边景观带</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8696.9</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滨江大道三期玉海段</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8042.94</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Cs w:val="21"/>
              </w:rPr>
            </w:pPr>
            <w:r>
              <w:rPr>
                <w:rFonts w:hint="eastAsia" w:ascii="宋体" w:hAnsi="宋体" w:eastAsia="宋体" w:cs="宋体"/>
                <w:b w:val="0"/>
                <w:bCs w:val="0"/>
                <w:kern w:val="0"/>
                <w:szCs w:val="21"/>
              </w:rPr>
              <w:t>商城北路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宋体"/>
                <w:b w:val="0"/>
                <w:bCs w:val="0"/>
                <w:kern w:val="0"/>
                <w:szCs w:val="21"/>
              </w:rPr>
            </w:pPr>
            <w:r>
              <w:rPr>
                <w:rFonts w:ascii="Times New Roman" w:hAnsi="Times New Roman" w:eastAsia="宋体"/>
                <w:b w:val="0"/>
                <w:bCs w:val="0"/>
                <w:kern w:val="0"/>
                <w:szCs w:val="21"/>
              </w:rPr>
              <w:t>601.41</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宋体"/>
                <w:b w:val="0"/>
                <w:bCs w:val="0"/>
                <w:kern w:val="0"/>
                <w:szCs w:val="21"/>
              </w:rPr>
            </w:pPr>
            <w:r>
              <w:rPr>
                <w:rFonts w:ascii="Times New Roman" w:hAnsi="Times New Roman" w:eastAsia="宋体"/>
                <w:b w:val="0"/>
                <w:bCs w:val="0"/>
                <w:kern w:val="0"/>
                <w:szCs w:val="21"/>
              </w:rPr>
              <w:t>7818.33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Cs w:val="21"/>
              </w:rPr>
            </w:pPr>
            <w:r>
              <w:rPr>
                <w:rFonts w:hint="eastAsia" w:ascii="宋体" w:hAnsi="宋体" w:eastAsia="宋体" w:cs="宋体"/>
                <w:b w:val="0"/>
                <w:bCs w:val="0"/>
                <w:kern w:val="0"/>
                <w:szCs w:val="21"/>
              </w:rPr>
              <w:t>商城中路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宋体"/>
                <w:b w:val="0"/>
                <w:bCs w:val="0"/>
                <w:kern w:val="0"/>
                <w:szCs w:val="21"/>
              </w:rPr>
            </w:pPr>
            <w:r>
              <w:rPr>
                <w:rFonts w:ascii="Times New Roman" w:hAnsi="Times New Roman" w:eastAsia="宋体"/>
                <w:b w:val="0"/>
                <w:bCs w:val="0"/>
                <w:kern w:val="0"/>
                <w:szCs w:val="21"/>
              </w:rPr>
              <w:t>415.41</w:t>
            </w: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宋体"/>
                <w:b w:val="0"/>
                <w:bCs w:val="0"/>
                <w:kern w:val="0"/>
                <w:szCs w:val="21"/>
              </w:rPr>
            </w:pPr>
            <w:r>
              <w:rPr>
                <w:rFonts w:ascii="Times New Roman" w:hAnsi="Times New Roman" w:eastAsia="宋体"/>
                <w:b w:val="0"/>
                <w:bCs w:val="0"/>
                <w:kern w:val="0"/>
                <w:szCs w:val="21"/>
              </w:rPr>
              <w:t>4984.92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505"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玉海卫生院北首</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邮电南路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438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32</w:t>
            </w: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14016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沿江东路至解放路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邮电北路</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412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32</w:t>
            </w: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13184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万松西路至解放路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忠义街</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三级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500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r>
              <w:rPr>
                <w:rFonts w:hint="eastAsia" w:ascii="宋体" w:hAnsi="宋体" w:eastAsia="宋体" w:cs="宋体"/>
                <w:b w:val="0"/>
                <w:bCs w:val="0"/>
                <w:kern w:val="0"/>
                <w:sz w:val="24"/>
                <w:szCs w:val="24"/>
              </w:rPr>
              <w:t>6500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val="0"/>
                <w:bCs w:val="0"/>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bCs/>
                <w:kern w:val="0"/>
                <w:sz w:val="24"/>
                <w:szCs w:val="24"/>
                <w:lang w:eastAsia="zh-CN"/>
              </w:rPr>
            </w:pPr>
            <w:r>
              <w:rPr>
                <w:rFonts w:hint="eastAsia" w:ascii="宋体" w:hAnsi="宋体" w:eastAsia="宋体" w:cs="宋体"/>
                <w:b w:val="0"/>
                <w:bCs w:val="0"/>
                <w:kern w:val="0"/>
                <w:sz w:val="24"/>
                <w:szCs w:val="24"/>
              </w:rPr>
              <w:t>虹桥北路至邮电北路</w:t>
            </w:r>
            <w:r>
              <w:rPr>
                <w:rFonts w:hint="eastAsia" w:ascii="宋体" w:hAnsi="宋体" w:eastAsia="宋体" w:cs="宋体"/>
                <w:b w:val="0"/>
                <w:bCs w:val="0"/>
                <w:kern w:val="0"/>
                <w:sz w:val="24"/>
                <w:szCs w:val="24"/>
                <w:lang w:eastAsia="zh-CN"/>
              </w:rPr>
              <w:t>，</w:t>
            </w:r>
            <w:r>
              <w:rPr>
                <w:rFonts w:hint="eastAsia" w:ascii="宋体" w:hAnsi="宋体" w:cs="宋体"/>
                <w:b/>
                <w:bCs w:val="0"/>
                <w:color w:val="auto"/>
                <w:szCs w:val="21"/>
                <w:highlight w:val="none"/>
                <w:lang w:val="en-US" w:eastAsia="zh-CN"/>
              </w:rPr>
              <w:t>达到</w:t>
            </w:r>
            <w:r>
              <w:rPr>
                <w:rFonts w:hint="eastAsia" w:ascii="宋体" w:hAnsi="宋体" w:eastAsia="宋体" w:cs="宋体"/>
                <w:b/>
                <w:bCs w:val="0"/>
                <w:color w:val="auto"/>
                <w:kern w:val="0"/>
                <w:sz w:val="24"/>
                <w:szCs w:val="24"/>
                <w:highlight w:val="none"/>
                <w:lang w:eastAsia="zh-CN"/>
              </w:rPr>
              <w:t>“</w:t>
            </w:r>
            <w:r>
              <w:rPr>
                <w:rFonts w:hint="eastAsia" w:ascii="宋体" w:hAnsi="宋体" w:eastAsia="宋体" w:cs="宋体"/>
                <w:b/>
                <w:bCs w:val="0"/>
                <w:color w:val="auto"/>
                <w:kern w:val="0"/>
                <w:sz w:val="24"/>
                <w:szCs w:val="24"/>
                <w:highlight w:val="none"/>
                <w:lang w:val="en-US" w:eastAsia="zh-CN"/>
              </w:rPr>
              <w:t>席地而坐</w:t>
            </w:r>
            <w:r>
              <w:rPr>
                <w:rFonts w:hint="eastAsia" w:ascii="宋体" w:hAnsi="宋体" w:eastAsia="宋体" w:cs="宋体"/>
                <w:b/>
                <w:bCs w:val="0"/>
                <w:color w:val="auto"/>
                <w:kern w:val="0"/>
                <w:sz w:val="24"/>
                <w:szCs w:val="24"/>
                <w:highlight w:val="none"/>
                <w:lang w:eastAsia="zh-CN"/>
              </w:rPr>
              <w:t>”</w:t>
            </w:r>
            <w:r>
              <w:rPr>
                <w:rFonts w:hint="eastAsia" w:ascii="宋体" w:hAnsi="宋体" w:eastAsia="宋体" w:cs="宋体"/>
                <w:b/>
                <w:bCs w:val="0"/>
                <w:color w:val="auto"/>
                <w:kern w:val="0"/>
                <w:sz w:val="24"/>
                <w:szCs w:val="24"/>
                <w:highlight w:val="none"/>
                <w:lang w:val="en-US" w:eastAsia="zh-CN"/>
              </w:rPr>
              <w:t>保洁标准。</w:t>
            </w:r>
          </w:p>
        </w:tc>
      </w:tr>
      <w:tr>
        <w:tblPrEx>
          <w:tblCellMar>
            <w:top w:w="0" w:type="dxa"/>
            <w:left w:w="108" w:type="dxa"/>
            <w:bottom w:w="0" w:type="dxa"/>
            <w:right w:w="108" w:type="dxa"/>
          </w:tblCellMar>
        </w:tblPrEx>
        <w:trPr>
          <w:trHeight w:val="600" w:hRule="atLeast"/>
        </w:trPr>
        <w:tc>
          <w:tcPr>
            <w:tcW w:w="1794" w:type="pct"/>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三级道路合计</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12666.82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220046 </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32492.89</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A</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硐桥社区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22727.3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366</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东至瑞建组团门口（小东门7号）西至小东门桥</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棉织宿舍庭院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面粉厂宿舍庭院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泥城路西首</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边防宿舍庭院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309.6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泥城路48号廊道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泥城路工商宿舍庭院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泥城路工商宿舍廊道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司法、检查、法院等宿舍路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泥城路公安宿舍庭院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东郊巷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东至三圣门，西至泥城路</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水厂宿舍庭院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泥城路东首，东郊巷北首</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泥城路东首，东郊巷北首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合成氨宿舍庭院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泥城路东首，东郊巷北首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合成氨宿舍边路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泥城路东首，东郊巷北首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带式巷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带式巷1号庭院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带式巷5号庭院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带式巷6号庭院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带式巷24号庭院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玉树巷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玉树巷一号庭院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玉树巷5号庭院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玉树巷6号庭院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玉树巷24号庭院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泥城路8号庭院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丰湖街90号边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东至商城大道，西至泥城路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清宁巷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丰湖街以南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清宁巷12号庭院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丰湖街69号庭院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丰湖街70号边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丰湖街65号庭院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望妻桥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东至新东海，北至丰湖街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望妻桥1号庭院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望妻桥东首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双桥巷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船坦巷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南至商城大道，北至丰湖街</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南至商城大道，北至丰湖街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船坦巷7号庭院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丰湖街11号庭院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西洋浃</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南起商城大道，北至丰湖街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西洋浃工商宿舍庭院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西洋浃西首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丰湖街18号庭院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体委宿舍边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天城小区7幢北首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天城小区2、3、4、5、6幢和7幢东首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3240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望江菜场西首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泥城街55号南首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泥城以西、面粉厂宿舍以北</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丰收巷商城大道205号前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北至丰湖街，西至带式巷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船坦巷8号西首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丰湖街34号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船坦巷5号对面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丰湖街15号南首小巷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天城小区1幢东首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天城小区1幢和2幢之间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泥城路东首，望江菜场西首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天城小区3幢和4幢之间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泥城路东首，望江菜场西首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龙首桥组团1幢南首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bottom"/>
          </w:tcPr>
          <w:p>
            <w:pPr>
              <w:widowControl/>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泥城路西侧新建路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酒厂宿舍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塘河路和商城大道交叉口</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B</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东门社区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31604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725</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解放中路(东小街)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东至广福巷，西至虹桥路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六百巷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南至龙首桥，北至解放路</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虹桥路后街与四百巷小东门交叉路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南至小东门街，北至四百想</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四百巷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东龙首桥9幢，西至虹桥南路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四百巷北路横</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东龙首桥9幢西至虹桥南路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二弄与四百巷横路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南至小东门街，北至四百巷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东至桥上，西至虹桥路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小东门街东首横巷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小东门南首，南城路北首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小东门桥边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小东门南首，南城路北首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两面河桥(莲湖桥)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南至沿江东路，北至小东门街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桥至较场宫</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南至沿河东路，西至小东门街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南城路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东至河边，西至虹桥路</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虹桥东街和虹桥后街之间8条小巷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b/>
                <w:bCs/>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虹桥东街和虹桥南路之间6条小巷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沿江东路18号北首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北至河边，南至沿江东路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沿江东路14号北首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北至河边，南至沿江东路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沿江东路8号北首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北至河边，南至沿江东路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沿江东路8号后面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河边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沿江东路3号北首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北至河边，南至沿江东路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沿江东路3号北首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北至河边，南至沿江东路</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小东门街（虹桥南路15幢和17幢之间（包括花坛）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东至小东门老街，西至虹桥南路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虹桥花园6幢东首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河边东至莲花桥</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虹桥花园2幢和3幢之间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西至虹桥南路，南至沿江东路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虹桥花园3幢和4幢之间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西至虹桥南路，南至沿江东路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虹桥花园4幢和5幢之间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西至虹桥南路，南至沿江东路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虹桥花园6幢和7幢之间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东至河边，南南至沿江东路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虹桥花园7幢和8幢之间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虹桥花园5幢和8幢之间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北至城南路，南至沿江东路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虹桥花园5幢和4幢之间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南北方向</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虹桥南路17幢1-10单元西首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西至虹桥南路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虹桥东街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北至东小街，南至虹桥南路17幢小东门街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龙首桥组团5幢内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虹桥后街西首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龙首桥组团9幢内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虹桥后街西首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龙首桥组团5幢和9幢之间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东至河边，西至虹桥后街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龙首桥组团3幢和7幢之间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东至河边，西至虹桥后街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龙首桥组团3幢内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河边西首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龙首桥组团7幢内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河边西首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龙首桥组团3幢和7幢河边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河边西首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龙首桥组团3幢、5幢、7幢、9幢之间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龙首桥路南首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C</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望江社区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9556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望江15、10、5幢前路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东至望滨路，望欣路，至商城西路，南至商城中路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望江14、9、4幢前路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望江13、8、3幢前路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1396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望江停车场边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东至望滨路，望欣路，至商城西路，南至商城中路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望江1、2、7、6中间路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望江11、12幢中间边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望江12幢-1至12幢-2间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望江6、7、8、9、10幢前路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望江13、14、15幢前路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望江4幢至老人活动室间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东至望滨路，望欣路，至商城西路，南至商城中路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望江3幢至社区办公楼间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曾联松广场</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D</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景江新村</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9756.84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景江新村1幢 南北朝向（原滨江菜场）含花坛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162.5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12.7</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2063.75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景江新村5幢南北朝向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1030.4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景江新村5幢南北朝向花坛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206.64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景江新村15幢与14幢间东西朝向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景江新村15幢与14幢间东西朝向花坛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景江新村14幢与13幢间东西朝向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景江新村14幢与13幢间东西朝向花坛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景江新村14幢前花坛南北朝向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景江新村13幢前花坛南北朝向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景江新村12幢与13幢间东西朝向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景江新村12幢与13幢间东西朝向花坛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景江新村12、13幢前南北朝向花坛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景江新村12幢与8幢间东西朝向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景江新村12幢与8幢间东西朝向花坛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景江新村12、8幢前花坛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景江新村11幢边外围靠望欣路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130.65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景江新村5幢旁 南北朝向（滨江中学围墙外）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景江新村10幢9幢间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395.1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景江新村10幢9幢间花坛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9.9</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景江新村9幢、8幢间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457.8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景江新村9幢、8幢间花坛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景江新村老人之家旁</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167.4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景江新村10幢旁三角形花坛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nil"/>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224.43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景江新村6幢旁（含花坛）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景江新村6幢、5幢间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215.4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景江新村6幢、5幢间花坛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景江新村5幢旁</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景江新村5幢旁花坛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98.55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景江新村5幢旁南边（含花坛）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景江新村1幢东边（后面）（含花坛）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331.82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景江新村8幢、6幢间（含花坛）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642.6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E</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大桥新村</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14701.65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大桥新村7幢、9幢之间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大桥新村7幢、5幢间含花坛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大桥新村4幢和5、7幢间（小太阳幼儿园后）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大桥中路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大桥新村3幢、6幢间（含花坛）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大桥新村4幢和3幢、6幢间（小太阳幼儿园前）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大桥新村8幢和6幢之间（含花坛）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大桥新村1幢内（含花坛）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大桥新村1幢、2幢间（含花坛）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1237.15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大桥新村2幢内（含花坛）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F</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滨江新村</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15692.75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滨江新村11幢、7幢间东西朝向（含花坛）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1488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滨江新村6幢、7幢间南北朝向（含花坛）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滨江新村5幢、10幢间东西朝向（含花坛）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117.9</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754.56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滨江新村4幢、5幢间南北朝向（含花坛）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1926.65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滨江新村8幢、9幢间南北朝向（含花坛）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1896.4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滨江新村3幢北边东西朝向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107.02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滨江新村7幢、8幢间南北朝向（含花坛）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169</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2670.2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滨江新村12幢、8幢间东西朝向（含花坛）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547.52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滨江新村12幢、12—1幢间南北朝向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w:t>
            </w:r>
          </w:p>
        </w:tc>
        <w:tc>
          <w:tcPr>
            <w:tcW w:w="408" w:type="pct"/>
            <w:tcBorders>
              <w:top w:val="single" w:color="auto" w:sz="4" w:space="0"/>
              <w:left w:val="nil"/>
              <w:bottom w:val="single" w:color="auto" w:sz="4" w:space="0"/>
              <w:right w:val="nil"/>
            </w:tcBorders>
            <w:noWrap/>
            <w:vAlign w:val="bottom"/>
          </w:tcPr>
          <w:p>
            <w:pPr>
              <w:widowControl/>
              <w:jc w:val="left"/>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沁园春步行街（含花坛）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199</w:t>
            </w:r>
          </w:p>
        </w:tc>
        <w:tc>
          <w:tcPr>
            <w:tcW w:w="408" w:type="pct"/>
            <w:tcBorders>
              <w:top w:val="single" w:color="auto" w:sz="4" w:space="0"/>
              <w:left w:val="nil"/>
              <w:bottom w:val="single" w:color="auto" w:sz="4" w:space="0"/>
              <w:right w:val="nil"/>
            </w:tcBorders>
            <w:noWrap/>
            <w:vAlign w:val="bottom"/>
          </w:tcPr>
          <w:p>
            <w:pPr>
              <w:widowControl/>
              <w:jc w:val="left"/>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西江月步行街（含花坛）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滨江大道小区广场</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G</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后垟村</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35807.5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后垟东路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东至周松路，西后垟中路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后垟东路一弄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后垟东路二弄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东至后垟菜市场，南至万松路，西至虹桥北路，北至瑞湖路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边路2号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边路3号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边路4号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边路6号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东至后垟菜市场，南至万松路，西至虹桥北路，北至瑞湖路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边路8号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其它边路面积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H</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后垟社区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5004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531.3</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周松路71弄师范宿舍坦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交通和检察宿舍中间路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交通宿舍西边首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检察院宿舍后面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计经委周松69号前面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周松69号后面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周松67号后面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周松69号前面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周松路65号后面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65号和63号旁边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65号和64号之间坦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63号前面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59号旁边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周松路41号邮电门口</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周松路42号邮电后面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周松路25弄1幢医院前面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周松路25弄2幢民政前面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周松路25弄2幢民政后面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周松路25弄3幢工会前面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周松路25弄3幢工会后面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周松路25弄4幢印刷前面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周松路25弄4幢工会后面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和后垟村交界处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周松路21号计生委宿舍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周松路21号周围小巷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周松路13号党校宿舍门口路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周松路13号党校宿舍坦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周松路13号党校宿舍后面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周松路3号医院宿舍前面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周松路3号医院宿舍后面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周松路3号医院宿舍坦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I</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滨江社区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40376.8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3294</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渔业公社花坛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长春路东首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东至华滨路西至中银大厦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清洁工宿舍边首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清洁工宿舍后首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纸品厂宿舍边首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纸品厂宿舍前后首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望东路15号四周面积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729.6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华滨路西首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滨江小学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华滨路西首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高坦街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华滨路西首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华滨路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北至沿江东路，南至望欣路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华新与镇幼之间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1573.8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东至商城西路，西至华滨路</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3、4、5、6、20幢与9、8、7、19幢之间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东至商城西路，南至镇幼儿园，西至华滨路，北至沿江东路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华新19、7幢与18幢之间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华新9幢与13、10幢之间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华新18幢、花坛13、10幢与17、21、14、11幢之间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华新17幢与16幢之间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华新14幢与15幢之间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华新11幢与12幢之间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16.17幢与21幢之间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14、15幢与21幢之间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凉亭、花坛之间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华新1、2幢前面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华新1、2幢后面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东至商城西路，南至镇幼儿园，西至华滨路，北至沿江东路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华新12幢前面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华新15幢前面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华新16幢前面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10、11、12与13、14、15幢之间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东至商城西路，南至镇幼儿园，西至华滨路，北至沿江东路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华新7幢与8幢之间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华新7幢健康点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华新3幢与4幢花坛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东至商城西路，南至镇幼儿园，西至华滨路，北至沿江东路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华新4幢与5幢花坛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华新5幢与6幢花坛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华新6幢与20幢花坛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19、8幢与18幢花坛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望江新村16幢前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南至望欣路，东至望滨路，西至商城西路，北至商城中路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望江新村16幢边首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望江新村17幢前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望江新村17幢后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望江17幢与滨江15幢之间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望江17幢与商城西路之间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望江18幢前面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望江18幢后面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望江18幢与滨江19幢之间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滨江新村28幢西首（包括花坛）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南至望欣路，东至望滨路，西至商城西路，北至商城中路</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滨江新村1、7、9、11幢北首和华侨新村之间（包括花坛）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滨江新村2、8、12、18幢北首和1、7、11幢之间（包括花坛）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滨江新村3、6、13、19、23幢和望江20、14、18、16幢之间（包括花坛）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长春花园3幢西首（包括花坛）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东至长春花园，西至长春路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长春花园东首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南至滨江大厦北至滨江中装站</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华滨路花坛东首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自来水公司南首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长虹路5幢东</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北至沿江东路南至16幢变压器</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滨江新村30幢西首（包括花坛）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南至滨江后面，北至华侨新村</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滨江新村26幢和30幢之间（包括花坛）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滨江新村27幢西首（包括花坛）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滨江新村28幢西首（包括花坛）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滨江新村15北首和14、20幢之间（包括花坛）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滨江新村20幢和14幢之间（包括花坛）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滨江新村13幢和19幢之间（包括花坛）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滨江新村12幢和18幢之间（包括花坛）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滨江新村11幢和17幢之间（包括花坛）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滨江新村16幢东首（包括花坛）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滨江新村11幢和7幢之间（包括花坛）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滨江新村1幢和7幢之间（包括花坛）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滨江新村8幢和12幢之间（包括花坛）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滨江新村8幢和2幢之间（包括花坛）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滨江新村3、6、13、19、24幢和2、8、12、18、22幢之间（包括花坛）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滨江新村23幢和19幢之间（包括花坛）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滨江新村19幢和13幢之间（包括花坛）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滨江新村13幢和16幢之间（包括花坛）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滨江新村3幢和6幢之间（包括花坛）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中银大厦东首（包括花坛）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南至望东路至6幢北首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长虹路6幢和14幢之间（包括花坛）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西至中银大厦东至16幢后首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长虹路16幢和8幢之间（包括花坛）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长虹路16幢和8幢之间幢东首（包括花坛）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南至望东路北至18幢</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长虹路6、16幢和8、14幢之间（包括花坛）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南至望东路北至18幢后首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长虹路6、8幢和3幢之间（包括花坛）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长春路红绿灯路口东首，3幢南首</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长虹路7幢南首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东至滨江中学</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沿江东路3幢东首和长虹路7幢之间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东至华宾路西至7幢尾</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沿江东路3幢东首和长虹路1、9幢之间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北至沿江东路南至滨江中学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长虹路9号南首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东至华宾路西至9幢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J</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县前社区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32208.6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1600</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广场1幢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东至河边西至广场路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广场2—3幢（2条）</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东至河边西至广场路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广场4幢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东至河边西至广场路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广场4-5幢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东至河边西至广场路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广场5幢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东至河边西至广场路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广场路6幢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广场路西边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瑞安大厦西首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瑞安大厦南首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东至广场路，西至虹桥路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瑞安大厦小区3条巷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广场路以西</w:t>
            </w:r>
          </w:p>
        </w:tc>
      </w:tr>
      <w:tr>
        <w:tblPrEx>
          <w:tblCellMar>
            <w:top w:w="0" w:type="dxa"/>
            <w:left w:w="108" w:type="dxa"/>
            <w:bottom w:w="0" w:type="dxa"/>
            <w:right w:w="108" w:type="dxa"/>
          </w:tblCellMar>
        </w:tblPrEx>
        <w:trPr>
          <w:trHeight w:val="600"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瑞安大厦南首商业内街114以南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广场路后街河边绿化带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太平石6-7号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太平石14-17号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文物馆</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东至湖滨公园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衙后巷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134.4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南至实验小学,北至西西里</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公安局宿舍2条</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东至道县前,北至太平石</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道院前32号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道院前40号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人武部门口</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劳动巷东首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劳动巷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北至公园路,南至解放中路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城中巷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北至公园路,南至道县前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北至公园路,南至道县前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北至公园路,南至道县前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太平石18号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太平石3号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太平石横</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太平石横13-1号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太平石南首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公园路一弄5</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公园路横</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实验小学和玉海楼之间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东至虹桥南路，西至道县前街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实验小学和海华大厦之间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北至道县前街，南至解放路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老人武部内道坦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北至公安局宿舍，南至海华大厦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道院前31号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海华大厦北首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东至实验小学，西至劳动巷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皇都大厦北首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东至虹桥路，北至实验小学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钻石楼1-6单元</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北至湖滨公园，南至皇都大厦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皇都大厦西首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北至实验小学，南至解放路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翡翠楼和玛瑙楼之间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东至皇都大厦，西至海华大厦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玛瑙楼和珍珠楼之间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东至皇都大厦，西至海华大厦</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海华大厦南首小广场</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北至海华大厦，南至解放路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2"/>
              </w:rPr>
            </w:pPr>
            <w:r>
              <w:rPr>
                <w:rFonts w:hint="eastAsia" w:ascii="宋体" w:hAnsi="宋体" w:eastAsia="宋体" w:cs="宋体"/>
                <w:kern w:val="0"/>
                <w:sz w:val="22"/>
              </w:rPr>
              <w:t>海华大厦1幢和小广场之间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北至海华大厦，南至解放路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海华大厦1幢和2幢之间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东至海华大厦，西至劳动巷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海华大厦2幢和3幢之间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r>
              <w:rPr>
                <w:rFonts w:hint="eastAsia" w:ascii="宋体" w:hAnsi="宋体" w:eastAsia="宋体" w:cs="宋体"/>
                <w:kern w:val="0"/>
                <w:sz w:val="28"/>
                <w:szCs w:val="28"/>
              </w:rPr>
              <w:t>东至海华大厦，西至劳动巷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皇都大厦南首绿化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海华大厦绿化带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海华小区绿化带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8"/>
                <w:szCs w:val="28"/>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K</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凤山社区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22480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1453.75</w:t>
            </w: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凤山北路大路(直)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北至瑞湖路，南至万松路，西至松桥北路，东至瑞湖路大转盘</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凤山北路4幢前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凤山北路4幢后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凤山北路8幢前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凤山北路8幢后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凤山北路8-9幢边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凤山北路9-10幢边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凤山北路10幢后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凤山北路9-10幢之间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凤山北路12幢前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凤山北路13幢后14幢前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凤山北路14幢与28幢直路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凤山北路14幢前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凤山北路15-16幢后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凤山北路17幢后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北至瑞湖路，南至万松路，西至松桥北路，东至瑞湖路大转盘</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凤山北路18-19幢边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凤山北路19-20幢边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120×11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凤山北路20、22、23幢后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凤山北路24、25、26幢后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凤山北路27幢前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凤山北路27幢后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凤山北路30-32幢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凤山北路32-34幢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凤山北路28幢后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凤山北路28-31幢后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凤山北路30-32幢前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凤山北路34幢边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凤山北路34幢后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瑞湖路后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青松小区协警大路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南至青松路北至瑞湖路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青松二弄2幢-4幢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青松二弄2幢后3幢前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南至青松路北至瑞湖路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青松二弄3幢至4幢边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东至松桥北路，南至青松路，北至瑞湖路，西至周松路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青松二弄3幢后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青松二弄5幢后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青松二弄6幢至7幢之间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东至松桥北路，南至青松路，北至瑞湖路，西至周松路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青松二弄6幢后8幢前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青松二弄8幢后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建行宿舍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建行宿舍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公安宿舍（三幢）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万松路84号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万松路北边，周松路西边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人民机械厂职工宿舍北首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凤山小区内</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农械厂职工宿舍北首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凤山小区内</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渡口职工宿舍南首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凤山小区内</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渡口职工宿舍东首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凤山小区内</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万松路4弄东首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万松路2弄东首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万松路2弄北首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南至万松路，北加州阳光建康城</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松湖大厦院内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50×7</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万松路8号新华书店东首和北首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万松路五洲宾馆门口</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电信局后面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东至风山小区，西至松桥西路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凤山北路西首花坛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凤山29幢边花坛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凤山28幢4单元前花坛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凤山14幢前花坛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凤山华侨饭店后面的花坛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凤山22幢和24幢之间花坛（2个）</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万松六弄6幢周边花坛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万松六弄花坛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万松六弄15幢前花坛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万松六弄7幢前花坛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青松二弄花坛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建材宿舍院内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周松路76号院内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凤山北路14幢至28幢直路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1600</w:t>
            </w:r>
          </w:p>
        </w:tc>
        <w:tc>
          <w:tcPr>
            <w:tcW w:w="413"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L</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万松社区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8790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办事处巷弄一工商银行</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南至万松路北至青松路东至松桥北路西至周松路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工商银行与供销宿舍之间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供销宿舍后面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万松6弄直路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6弄3幢后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6弄4幢-5幢之间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6弄7幢后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6弄9幢前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南至万松路北至青松路东至松桥北路西至周松路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6弄9幢后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6弄10幢前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6弄10幢后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南至万松路北至青松路东至松桥北路西至周松路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6弄11幢-12幢边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6弄13幢-14幢后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6弄11幢后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6弄11幢-12幢之间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6弄13幢-14幢之间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兴业路面（半）</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青松路31号-57号后面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青松路万紫千红后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周松路4幢后边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6弄15幢前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6弄15幢后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建材宿舍院内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45×6</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兴业路面（半）</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南至万松路北至青松路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青松路2弄1幢院内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青松路2号东首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兴业C幢北首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30×8</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松桥北路的西首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兴业C幢和B幢之间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35×13</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松桥北路的西首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兴业A幢和B幢之间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35×20</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松桥北路的西首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M</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 东丰社区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26763.6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涌泉巷整条路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南至解放东路北至万松路</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涌泉巷15号边庭院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15×4+70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涌泉巷24号庭院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121×3+87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东至涌泉路西至菜巷正街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42×2.3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96.6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东至涌泉路西至菜巷正街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东至涌泉路西至菜巷正街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菜巷四弄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东至涌泉路西至菜巷正街</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科技大楼后边图书馆边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菜巷路正街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南至解放路东路北至科技大楼后边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菜巷46号院入内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100×8.5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菜巷38号院入内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安雅托老所巷、院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30×2.5+30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菜巷45号院内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童宅巷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南至解放东路北至城东市场路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柳宅巷、坦、院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100×2+200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同上</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新桐巷、坦、院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同上</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桐桥庙边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东安寺内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涨落桥9-19号横巷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东新巷10号至解东130号后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涌泉巷22号边巷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菜巷26号边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解放东路220号院内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菜巷44号边后小巷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20×3+10×1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菜巷正街东首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塑料厂院内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中国人民银行边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桥边西路8、10号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人寿保险公司院内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万松加油站及路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80×6+400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印刷厂宿舍内前、后路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城区宿舍、棉百宿舍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百好厂宿舍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万松路东首松桥南路西首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涌泉巷三弄路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涌泉巷三弄13、14、15、16、17、18号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涌泉巷三弄19、20、21、22、23、24、26号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万松综合大楼西边路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规划局后坦院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涨落桥9号至18号巷弄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解东9号边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万松综合大楼坦、院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科技大楼内坦院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金宅巷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南至解放东路北至城东市场路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吴宅巷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南至解放东路北至城东市场路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东新巷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南至解放东路北至城东市场</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酒厂宿舍前后坦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商城大道西首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解东84号边弄巷至凤山巷三中对面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南至解放东路西至安阳三中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解东98号边弄巷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解东130号弄巷内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解东152号坦院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解东225号边弄巷、坦院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解放东路南边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解东203号边弄巷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解东171号边弄巷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解东159号边弄巷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涨落桥至久泰桥河边路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解东189号边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解东131号边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解东117号边弄巷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解东113号巷院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解东109号边弄巷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北至解放路南至湖边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解东92号边弄巷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解东170号边弄巷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柳宅巷至吴宅巷横巷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38号落桥至东新巷横巷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万松路9号百货纺织品宿舍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凤山巷16号坦院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凤山巷整条路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南至解放东路北至万松路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凤山巷二弄四弄路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凤山巷东首，商城大道西首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凤山巷1、3、5弄路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三中宿舍、凤山巷14号前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南至商城大道西至凤山巷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万松路一弄路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万松路一弄教委宿舍后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聚乐堡前路及边、后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凤山巷57号、9号、59号坦院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万松路一弄1号内坦院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万松路南首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菜巷38号院对面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西至河边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涌泉巷2弄路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凤山巷3弄1号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东西走向</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康馨托老所院内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解放东路114号北首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 xml:space="preserve"> 40×1.5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N</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东勇村委员会</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7715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城东市场路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200×6+230×7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西至涌泉路东至凤山巷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松桥西路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南至解放东路北至万松路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南至解放东路北至万松路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松桥西路一弄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瑞湖路南首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青松路新族网吧后面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松桥路开心99后面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青松路北首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瑞湖路131号后面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瑞湖路南首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瑞湖路声海琴行后面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东至周松北路西至瑞湖路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涨落桥至松桥路两侧</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松桥路东首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解放东路301号对面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南至解放东路，北至城东市场</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涌泉巷1弄路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160×2.5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南至城东菜市场西至涌泉巷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城东市场路1弄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南北走向</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O</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殿巷社区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8336.8</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解放中路六弄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解放中路七弄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解放中路八弄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群英巷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北至第一巷,南至解放路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镇宁巷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东至群英巷,南至解放路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25×3.5+60×6+960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东至仓前街,西至登高巷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东至仓前街,西至登高巷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东至解放中路,西至西山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登高巷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80.4×5.5+72×4.5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766.2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东至康乐街,西至西山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西山坝</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东至邮电北路,西至西山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第一巷15号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第一巷四弄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第一巷五弄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85×1.6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北至第二巷,南至第一巷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东至邮电北路,西至仓前街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东至邮电北路,西至仓前街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北至第三巷,南至第二巷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北至第三巷,南至第二巷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85×2.2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187</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北至第三巷,南至第二巷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第二巷后弄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广播局宿舍后面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第一巷39号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第一巷40号对面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第一巷北首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第二巷57号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25×1＋8×3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第二巷西首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老市委宿舍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10.4×7＋28×2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第三巷60号南首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第三巷南首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仓前街53号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仓前街19号至康乐街3号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仓前街62号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5×10+2×10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西门街43号边(小弄)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南至沿江西路，北至飞云西前街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西门街4弄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西门街5弄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红旗巷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南至仓前街北至西门街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P</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 虹南社区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33737.7</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52×4.1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横塘桥2号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23×7.6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南至飞云东路菜场口 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东至文会里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18×4.9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东至文会里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42×8.7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东至横塘桥 西至水心街老人活动中心</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38×4.1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155.8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东至文会里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76×2.7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东至文会里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45×2.4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东至文会里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范大桥小巷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 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南堤街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 xml:space="preserve">东至南堤街47号 西至水心街 </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南堤街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132×14.6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1927.2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 西至南堤街47号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南堤街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45×4.1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东至会文里西至水心街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所坦街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62×4.2+110×7.8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1118.4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105×2.4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东至虹桥后街 西至草堂巷30号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45×7.4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南至南堤街 北至学校操场</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45×10+4×4.1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466.4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南至南堤街 北至草堂巷30号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60×4.3+20×2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草堂巷西侧</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28×6+45×4.7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东至虹桥路后街西至沙坦街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草堂巷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126×7.2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东至虹桥路后街西至沙坦街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鸡肫巷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南至申明亭，北至范大街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许宅巷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105×2.3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水心街1幢门口</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30×2.8+20×2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36×2.4+217.6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63×3.3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207.9</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南至水心街42号，北至申明亭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深明亭巷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深明亭巷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418×2.5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会文里</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220×3.5+125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895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南至南堤街，北至范大桥</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18×2.4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南至蓬下菜场北至水心街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70×2.3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南至蓬下菜场北至水心街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南至蓬下菜场北至水心街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南至蓬下菜场北至水心街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东至二运宿舍西至邮电南路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52×3.2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166.4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东至二运宿舍西至邮电南路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南至蓬下菜场北至水心</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城南巷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78×2.7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东至二运宿舍西至邮电南路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坦前巷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17.5×5.4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0"/>
                <w:szCs w:val="20"/>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南至后坦桥北至南堤街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坦前巷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50×2.6+30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0"/>
                <w:szCs w:val="20"/>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南至后坦桥北至南堤街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三百巷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0"/>
                <w:szCs w:val="20"/>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南飞云东路北至三百巷1号宿舍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三百巷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40×2+20×2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南三百巷1号宿舍北至</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三百巷1号宿舍内</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二百巷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130×2.1+132+77.5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南城路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4770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虹桥南路16幢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53.2×14.2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虹桥南路16幢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16.8×16.5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277.2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虹桥南路6幢-14幢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148.5×7.6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1128.6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南至飞云东路，北至南堤街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永新街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78×3.5+50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飞云东路三弄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78×2.1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163.8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121×4.8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580.8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东至后坦路，西至菜场口</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345×3.8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1311</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东较场巷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后坦桥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东至虹桥南路后街，西至飞云东路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云江东街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社区边小弄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南至沿江东街，北至飞云东路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飞云东路189边小弄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南至沿江东街，北至飞云东路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明心巷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欧安沿江东路139-143号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东至虹桥路，西至欧安3号楼</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虹桥南路16幢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45×15＋15×15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南提街东首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南城路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虹桥路西街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南至欧安，北至浦后社区</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2"/>
              </w:rPr>
            </w:pPr>
            <w:r>
              <w:rPr>
                <w:rFonts w:hint="eastAsia" w:ascii="宋体" w:hAnsi="宋体" w:eastAsia="宋体" w:cs="宋体"/>
                <w:kern w:val="0"/>
                <w:sz w:val="22"/>
              </w:rPr>
              <w:t>南至沿江东路，           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飞云东街146号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南至飞云东街，           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0"/>
                <w:szCs w:val="20"/>
              </w:rPr>
            </w:pPr>
            <w:r>
              <w:rPr>
                <w:rFonts w:hint="eastAsia" w:ascii="宋体" w:hAnsi="宋体" w:eastAsia="宋体" w:cs="宋体"/>
                <w:kern w:val="0"/>
                <w:sz w:val="20"/>
                <w:szCs w:val="20"/>
              </w:rPr>
              <w:t>糖烟酒公司宿舍（三佰巷5号）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52×10.5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东至三佰巷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水心街横塘桥2号3幢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横塘桥2号南首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许宅巷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50×2.5＋30×2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南至水心街，北至申明亭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水心街1弄和水心街2弄之间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文心巷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水心街北首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欧安4号楼</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102×6＋41×6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858</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北至沿江东路42号，           南至沿江东路14幢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欧安3号楼</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116×3＋26×7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南至沿江东路14幢，            北至沿江东路18幢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欧安2号楼</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116×3＋26×7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南至沿江东路16幢19号，       北至沿江东路18幢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欧安1号楼</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116×3＋26×7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南至沿江东路18幢，           北至云江东路20幢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欧安3号楼和4号楼之间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欧安2号楼和3号楼之间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欧安1号楼和2号楼之间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沿江东路北首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欧安5号楼</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53×4.5＋53×4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南至沿江东路，北至后坦街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Q</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沙堤社区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11795.85</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道院前53号—55号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东至城中巷，北至公园路，南至县前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道院前55号—57号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东至城中巷，北至公园路，南至县前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道院前48号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东至城中巷，北至公园路，南至县前</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柳池巷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东至劳动巷，西至大沙巷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新民北路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东至劳动巷，西至大沙堤</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解中1弄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南至解放中路，北至大沙巷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新民巷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东至劳动巷，西至大沙堤</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解中186-188</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南至解放中路，北至大沙巷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九个湾</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东至小沙巷，西至邮电北路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敢心桥</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东至小沙巷，西至邮电北路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小沙巷59号对面小巷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东至大沙巷，西至小沙巷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小沙巷35号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东至大沙巷，西至小沙巷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清水巷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清洁巷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方宅巷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公园路四弄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公园路南首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小沙巷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北至公园路，南至解放中路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330×5+124.5×15.3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3554.85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北至公园路，南至解放中路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横巷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北至公园路，南至解放中路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大沙堤4弄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大沙堤5弄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大沙堤6弄7弄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大沙堤8弄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大沙堤9弄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大沙堤10弄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大沙堤东首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解中186号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菜市场</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南至解放中路，北至公园路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道院前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东至城中巷，南至大沙堤</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九曲弄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273</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东至大沙堤，西至小沙巷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柳池巷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东至劳动巷，西至大沙堤</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新民巷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Times New Roman" w:hAnsi="Times New Roman" w:eastAsia="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东至劳动巷，西至大沙堤</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R</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云江社区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21559</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云江西街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东至南门头，西至小码道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东至小码道，西至西门</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同利埠</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同利埠</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飞云西街东首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小码道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南至飞云江，北至飞云西路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飞云西前街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40×8+59×5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东至沿江西路，西至竹排头</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西前街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南至飞云西前街，北至飞云西路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沙城头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游竹巷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南至沿江西路，北至飞云西路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游竹巷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南至沿江西路，北至飞云西路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水井巷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飞云西路4弄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35×1.5+5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飞云西路5弄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飞云西路6弄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飞云西路7弄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飞云西路8弄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飞云西路9弄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飞云西路10弄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飞云西路11弄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云江西街40号边弄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沿江西路22号前</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南至西山二巷，北至山洞</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东至解放南路，西至西山巷13号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西山二巷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解放东路西首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西山三巷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南至西山二巷，北至西山巷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解放南路至红十字体检</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东至解放南路，西至体检中心</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周大林道坦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陈建仁道坦周围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赵永边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西山露天锻炼场所</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西山电影院边</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西山老年大通道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西山巷西首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西山老年大通道坦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电影院南首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电影院坦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32×22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电影院南首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三港殿边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卖票房边至西山脚</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东至解放南路西至西山电影院</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飞云西路6幢后首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西山二巷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南体检中心，北第三巷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西山环山小巷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解放南路2幢和3幢之间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34×6.5+18×8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解放南路3幢和4幢之间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解放南路4幢和商会大厦，飞云西路4幢之间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60×20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S</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沿江社区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27567.65</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2174</w:t>
            </w: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沿江新村1幢西首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266</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北至沿江东路，南至玉海***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逸景湾至外滩佳园</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170×30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南至滨江大道，北至沿江东路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新湖大厦北首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100×11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滨江大道北首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外滩佳园至安华苑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东至外滩佳园，西至安华苑</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安华苑至瑞华苑</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200×18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南至滨江大道，北至沿江东路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华昌大厦至逸景湾</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300×30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北至沿江东路，南至滨江大道</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逸景湾东首和北首</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滨江大道北首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虹桥南路22幢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103.5×6.3+12×18+32×7.3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1101.65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沿江西路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776</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东海商住广场</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300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777</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社区楼下</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40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778</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沿江社区宣传栏旁</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200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779</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外滩佳园与安华苑之间</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300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780</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外滩佳园之间</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300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781</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玉海***小广场</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300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782</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逸景湾小路</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240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783</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逸景湾与外滩佳园之间</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250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784</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外滩佳园与两千六之间</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154</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785</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华昌旗杆下</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10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786</w:t>
            </w:r>
          </w:p>
        </w:tc>
        <w:tc>
          <w:tcPr>
            <w:tcW w:w="408"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明珠大门口花坛</w:t>
            </w:r>
          </w:p>
        </w:tc>
        <w:tc>
          <w:tcPr>
            <w:tcW w:w="503"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r>
              <w:rPr>
                <w:rFonts w:ascii="Arial" w:hAnsi="Arial" w:eastAsia="宋体" w:cs="Arial"/>
                <w:kern w:val="0"/>
                <w:szCs w:val="21"/>
              </w:rPr>
              <w:t>80</w:t>
            </w:r>
          </w:p>
        </w:tc>
        <w:tc>
          <w:tcPr>
            <w:tcW w:w="1457"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bottom"/>
          </w:tcPr>
          <w:p>
            <w:pPr>
              <w:widowControl/>
              <w:jc w:val="center"/>
              <w:outlineLvl w:val="0"/>
              <w:rPr>
                <w:rFonts w:ascii="宋体" w:hAnsi="宋体" w:eastAsia="宋体" w:cs="宋体"/>
                <w:kern w:val="0"/>
                <w:szCs w:val="21"/>
              </w:rPr>
            </w:pPr>
            <w:r>
              <w:rPr>
                <w:rFonts w:hint="eastAsia" w:ascii="宋体" w:hAnsi="宋体" w:eastAsia="宋体" w:cs="宋体"/>
                <w:kern w:val="0"/>
                <w:szCs w:val="21"/>
              </w:rPr>
              <w:t>卫生院旁小道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2000</w:t>
            </w:r>
          </w:p>
        </w:tc>
        <w:tc>
          <w:tcPr>
            <w:tcW w:w="413" w:type="pct"/>
            <w:tcBorders>
              <w:top w:val="single" w:color="auto" w:sz="4" w:space="0"/>
              <w:left w:val="nil"/>
              <w:bottom w:val="single" w:color="auto" w:sz="4" w:space="0"/>
              <w:right w:val="single" w:color="auto" w:sz="4" w:space="0"/>
            </w:tcBorders>
            <w:noWrap w:val="0"/>
            <w:vAlign w:val="bottom"/>
          </w:tcPr>
          <w:p>
            <w:pPr>
              <w:widowControl/>
              <w:jc w:val="center"/>
              <w:outlineLvl w:val="0"/>
              <w:rPr>
                <w:rFonts w:ascii="Arial" w:hAnsi="Arial" w:eastAsia="宋体" w:cs="Arial"/>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卫生院左首到玉海***路段</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T</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南门社区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19977.2</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飞云东路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188×10+100×16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3480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东至邮电南路，西至解放东路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打绳巷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东至邮电南路，西至解放南路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市心街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东至邮电南路，西至解放南路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绳心巷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130×7.5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北至市心街，南至飞云东路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解放南路7号后</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南至解放南路，西至新兴街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256×10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北至解放路，南至马道街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新兴街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307×13.6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4175.2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东至邮电南路，西至解放路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康宁巷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北至市心街，南至打绳巷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康宁巷3幢与5幢后面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36×18+22×4.5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747</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西至安居街东到竹巷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康宁巷1-2平台</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13" w:type="pct"/>
            <w:tcBorders>
              <w:top w:val="single" w:color="auto" w:sz="4" w:space="0"/>
              <w:left w:val="nil"/>
              <w:bottom w:val="single" w:color="auto" w:sz="4" w:space="0"/>
              <w:right w:val="single" w:color="auto" w:sz="4" w:space="0"/>
            </w:tcBorders>
            <w:noWrap/>
            <w:vAlign w:val="bottom"/>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东至解放南路，北至康宁巷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安居街18幢和22幢之间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东至打绳巷，西至马道街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安居街14幢和16幢之间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北至市心街，南至打绳巷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安居街10幢和12幢之间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北至市心街，南至打绳巷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安居街6幢和8幢之间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50×13+20×5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西至新兴街，南至市心街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安居街2幢和4幢之间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东至安居街，西至解放路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安居街5幢和7幢之间</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U</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南门三期农贸市场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4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安居街1-3幢平台</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413" w:type="pct"/>
            <w:tcBorders>
              <w:top w:val="single" w:color="auto" w:sz="4" w:space="0"/>
              <w:left w:val="nil"/>
              <w:bottom w:val="single" w:color="auto" w:sz="4" w:space="0"/>
              <w:right w:val="single" w:color="auto" w:sz="4" w:space="0"/>
            </w:tcBorders>
            <w:noWrap/>
            <w:vAlign w:val="bottom"/>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东至康宁巷，北至安居街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V</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xml:space="preserve">浦后社区 </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20700.8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虹桥路花坛</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16.5×21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虹桥路间隔2条</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东小街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40×8+128×6.6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1164.8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东至虹桥路，南至新街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367.5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北至解放中路，南至范大桥</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马房巷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北至东小街，南至屏星街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汇东巷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105×2.5+80×2.4+85×4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北至西小街，南至一小</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屏星街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东至虹桥路，西至新街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会文里</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30×10+20×4+20×2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北至新街，南至水心街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所坦街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东至虹桥路，西至东小街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范大桥街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东至会文里，西至邮电南路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浦中巷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北至浦后街，南至会文里</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浦后街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北至解放路，西至邮电南路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浦后街一弄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南至解放中路，北至浦后街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浦后街二弄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南至解放中路，北至浦后街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解放中路后街间隔</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820</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解放中路间隔8个</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821</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西小街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305×6.5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东至新街，西至邮电南路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西小街小巷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20×2（条）×1.5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西小街南首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823</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西小街小巷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西小街南首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824</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所坦街路口至棉织路口</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Cs w:val="21"/>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825</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棉织路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100×2（条）×9</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b/>
                <w:bCs/>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826</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棉织路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30×10×2（条）</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827</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东小街二弄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35×1.7</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828</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东小街第2弄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31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829</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虹桥路西街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北至东小街</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830</w:t>
            </w:r>
          </w:p>
        </w:tc>
        <w:tc>
          <w:tcPr>
            <w:tcW w:w="40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虹桥南路2幢后街30号和2幢32号之间</w:t>
            </w:r>
          </w:p>
        </w:tc>
        <w:tc>
          <w:tcPr>
            <w:tcW w:w="503" w:type="pct"/>
            <w:vMerge w:val="restar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东至虹桥西街，</w:t>
            </w:r>
          </w:p>
        </w:tc>
      </w:tr>
      <w:tr>
        <w:tblPrEx>
          <w:tblCellMar>
            <w:top w:w="0" w:type="dxa"/>
            <w:left w:w="108" w:type="dxa"/>
            <w:bottom w:w="0" w:type="dxa"/>
            <w:right w:w="108" w:type="dxa"/>
          </w:tblCellMar>
        </w:tblPrEx>
        <w:trPr>
          <w:trHeight w:val="282"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vMerge w:val="continue"/>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8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西至后街</w:t>
            </w:r>
          </w:p>
        </w:tc>
      </w:tr>
      <w:tr>
        <w:tblPrEx>
          <w:tblCellMar>
            <w:top w:w="0" w:type="dxa"/>
            <w:left w:w="108" w:type="dxa"/>
            <w:bottom w:w="0" w:type="dxa"/>
            <w:right w:w="108" w:type="dxa"/>
          </w:tblCellMar>
        </w:tblPrEx>
        <w:trPr>
          <w:trHeight w:val="499" w:hRule="atLeast"/>
        </w:trPr>
        <w:tc>
          <w:tcPr>
            <w:tcW w:w="20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831</w:t>
            </w:r>
          </w:p>
        </w:tc>
        <w:tc>
          <w:tcPr>
            <w:tcW w:w="40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虹桥南路4幢后街18号和20号之间</w:t>
            </w:r>
          </w:p>
        </w:tc>
        <w:tc>
          <w:tcPr>
            <w:tcW w:w="503" w:type="pct"/>
            <w:vMerge w:val="restar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东至虹桥西街，</w:t>
            </w:r>
          </w:p>
        </w:tc>
      </w:tr>
      <w:tr>
        <w:tblPrEx>
          <w:tblCellMar>
            <w:top w:w="0" w:type="dxa"/>
            <w:left w:w="108" w:type="dxa"/>
            <w:bottom w:w="0" w:type="dxa"/>
            <w:right w:w="108" w:type="dxa"/>
          </w:tblCellMar>
        </w:tblPrEx>
        <w:trPr>
          <w:trHeight w:val="499" w:hRule="atLeast"/>
        </w:trPr>
        <w:tc>
          <w:tcPr>
            <w:tcW w:w="2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503" w:type="pct"/>
            <w:vMerge w:val="continue"/>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48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西至后街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832</w:t>
            </w:r>
          </w:p>
        </w:tc>
        <w:tc>
          <w:tcPr>
            <w:tcW w:w="408" w:type="pct"/>
            <w:tcBorders>
              <w:top w:val="single" w:color="auto" w:sz="4" w:space="0"/>
              <w:left w:val="nil"/>
              <w:bottom w:val="single" w:color="auto" w:sz="4" w:space="0"/>
              <w:right w:val="nil"/>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原汇头街</w:t>
            </w:r>
          </w:p>
        </w:tc>
        <w:tc>
          <w:tcPr>
            <w:tcW w:w="50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范大桥至西小街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W</w:t>
            </w:r>
          </w:p>
        </w:tc>
        <w:tc>
          <w:tcPr>
            <w:tcW w:w="408" w:type="pct"/>
            <w:tcBorders>
              <w:top w:val="single" w:color="auto" w:sz="4" w:space="0"/>
              <w:left w:val="nil"/>
              <w:bottom w:val="single" w:color="auto" w:sz="4" w:space="0"/>
              <w:right w:val="nil"/>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西门河头社区</w:t>
            </w:r>
          </w:p>
        </w:tc>
        <w:tc>
          <w:tcPr>
            <w:tcW w:w="6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50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47155.63</w:t>
            </w:r>
          </w:p>
        </w:tc>
        <w:tc>
          <w:tcPr>
            <w:tcW w:w="41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飞云西路4幢一单元北侧空场地（停车）</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解放南路4幢2单元</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解放南路2幢楼下西侧</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解放南路3幢</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30×8</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200×6+50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东至飞云西路11弄，西至西门街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飞云西路11弄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南至飞云西路，北至西山</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839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西河路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南至西门街，北至飞云西路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车水巷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50×10+70</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南至十庙路，北至西宫2弄</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飞云西前街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东至沿河西路，西至西河路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842</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西前街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东至飞云西路，西至飞云西前街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竹木街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南至竹排头，北至飞云西路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竹木街1弄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竹木街24号北首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竹木街2弄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东至竹木街，西至栏巷</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栏巷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南至十庙巷，北至飞云西前街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长巷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南至沿江西路，北至竹木街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1500</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南至仓前街，北至飞云西前街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西门街28号边(小弄)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w:t>
            </w:r>
          </w:p>
        </w:tc>
        <w:tc>
          <w:tcPr>
            <w:tcW w:w="41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南至沿江西路，北至飞云西前街</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西门街1弄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西门街2弄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32.4</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852</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西门街3弄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西门街北首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853</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仓前街4弄</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854</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西中巷1-31号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655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堂横巷1-37号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50×6</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东至竹木街，西至堂横巷幼儿园</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仓前街83-179号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300×5</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8"/>
                <w:szCs w:val="28"/>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西河路28号边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东至，飞云前街，西至飞云西路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西中巷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636</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东至仓前街号，西至飞云西路</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859</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竹木街58号坦道</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17×14</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860</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苍前街151-1号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仓前街西首</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861</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西门菜市场周边</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78.5×22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1727</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862</w:t>
            </w:r>
          </w:p>
        </w:tc>
        <w:tc>
          <w:tcPr>
            <w:tcW w:w="408" w:type="pct"/>
            <w:tcBorders>
              <w:top w:val="single" w:color="auto" w:sz="4" w:space="0"/>
              <w:left w:val="nil"/>
              <w:bottom w:val="single" w:color="auto" w:sz="4" w:space="0"/>
              <w:right w:val="single" w:color="auto" w:sz="4" w:space="0"/>
            </w:tcBorders>
            <w:noWrap/>
            <w:vAlign w:val="bottom"/>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登高巷</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863</w:t>
            </w:r>
          </w:p>
        </w:tc>
        <w:tc>
          <w:tcPr>
            <w:tcW w:w="408" w:type="pct"/>
            <w:tcBorders>
              <w:top w:val="single" w:color="auto" w:sz="4" w:space="0"/>
              <w:left w:val="nil"/>
              <w:bottom w:val="single" w:color="auto" w:sz="4" w:space="0"/>
              <w:right w:val="single" w:color="auto" w:sz="4" w:space="0"/>
            </w:tcBorders>
            <w:noWrap/>
            <w:vAlign w:val="bottom"/>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康乐街</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50×4</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864</w:t>
            </w:r>
          </w:p>
        </w:tc>
        <w:tc>
          <w:tcPr>
            <w:tcW w:w="408" w:type="pct"/>
            <w:tcBorders>
              <w:top w:val="single" w:color="auto" w:sz="4" w:space="0"/>
              <w:left w:val="nil"/>
              <w:bottom w:val="single" w:color="auto" w:sz="4" w:space="0"/>
              <w:right w:val="single" w:color="auto" w:sz="4" w:space="0"/>
            </w:tcBorders>
            <w:noWrap/>
            <w:vAlign w:val="bottom"/>
          </w:tcPr>
          <w:p>
            <w:pPr>
              <w:widowControl/>
              <w:jc w:val="left"/>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沿江西路30号-162</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1000×15</w:t>
            </w:r>
          </w:p>
        </w:tc>
        <w:tc>
          <w:tcPr>
            <w:tcW w:w="389"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原物资局到百好厂桥头</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865</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50×12</w:t>
            </w: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866</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商城北路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7818.33</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新增</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867</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商城中路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4984.92</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新增</w:t>
            </w:r>
          </w:p>
        </w:tc>
      </w:tr>
      <w:tr>
        <w:tblPrEx>
          <w:tblCellMar>
            <w:top w:w="0" w:type="dxa"/>
            <w:left w:w="108" w:type="dxa"/>
            <w:bottom w:w="0" w:type="dxa"/>
            <w:right w:w="108" w:type="dxa"/>
          </w:tblCellMar>
        </w:tblPrEx>
        <w:trPr>
          <w:trHeight w:val="499" w:hRule="atLeast"/>
        </w:trPr>
        <w:tc>
          <w:tcPr>
            <w:tcW w:w="201" w:type="pct"/>
            <w:tcBorders>
              <w:top w:val="single" w:color="auto" w:sz="4" w:space="0"/>
              <w:left w:val="single" w:color="auto" w:sz="4" w:space="0"/>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868</w:t>
            </w:r>
          </w:p>
        </w:tc>
        <w:tc>
          <w:tcPr>
            <w:tcW w:w="408"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681"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商城布市和停车场之间的道路</w:t>
            </w:r>
          </w:p>
        </w:tc>
        <w:tc>
          <w:tcPr>
            <w:tcW w:w="503"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4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389"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p>
        </w:tc>
        <w:tc>
          <w:tcPr>
            <w:tcW w:w="455"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2731.98</w:t>
            </w:r>
          </w:p>
        </w:tc>
        <w:tc>
          <w:tcPr>
            <w:tcW w:w="413" w:type="pct"/>
            <w:tcBorders>
              <w:top w:val="single" w:color="auto" w:sz="4" w:space="0"/>
              <w:left w:val="nil"/>
              <w:bottom w:val="single" w:color="auto" w:sz="4" w:space="0"/>
              <w:right w:val="single" w:color="auto" w:sz="4" w:space="0"/>
            </w:tcBorders>
            <w:noWrap w:val="0"/>
            <w:vAlign w:val="center"/>
          </w:tcPr>
          <w:p>
            <w:pPr>
              <w:widowControl/>
              <w:jc w:val="center"/>
              <w:outlineLvl w:val="0"/>
              <w:rPr>
                <w:rFonts w:ascii="宋体" w:hAnsi="宋体" w:eastAsia="宋体" w:cs="宋体"/>
                <w:kern w:val="0"/>
                <w:sz w:val="24"/>
                <w:szCs w:val="24"/>
              </w:rPr>
            </w:pPr>
          </w:p>
        </w:tc>
        <w:tc>
          <w:tcPr>
            <w:tcW w:w="1457" w:type="pct"/>
            <w:tcBorders>
              <w:top w:val="single" w:color="auto" w:sz="4" w:space="0"/>
              <w:left w:val="nil"/>
              <w:bottom w:val="single" w:color="auto" w:sz="4" w:space="0"/>
              <w:right w:val="single" w:color="auto" w:sz="4" w:space="0"/>
            </w:tcBorders>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新增</w:t>
            </w:r>
          </w:p>
        </w:tc>
      </w:tr>
      <w:tr>
        <w:tblPrEx>
          <w:tblCellMar>
            <w:top w:w="0" w:type="dxa"/>
            <w:left w:w="108" w:type="dxa"/>
            <w:bottom w:w="0" w:type="dxa"/>
            <w:right w:w="108" w:type="dxa"/>
          </w:tblCellMar>
        </w:tblPrEx>
        <w:trPr>
          <w:trHeight w:val="600" w:hRule="atLeast"/>
        </w:trPr>
        <w:tc>
          <w:tcPr>
            <w:tcW w:w="2284" w:type="pct"/>
            <w:gridSpan w:val="5"/>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四级道路合计</w:t>
            </w:r>
          </w:p>
        </w:tc>
        <w:tc>
          <w:tcPr>
            <w:tcW w:w="38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45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474334.67</w:t>
            </w:r>
          </w:p>
        </w:tc>
        <w:tc>
          <w:tcPr>
            <w:tcW w:w="4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10144.05</w:t>
            </w:r>
          </w:p>
        </w:tc>
        <w:tc>
          <w:tcPr>
            <w:tcW w:w="145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kern w:val="0"/>
                <w:sz w:val="24"/>
                <w:szCs w:val="24"/>
              </w:rPr>
            </w:pPr>
          </w:p>
        </w:tc>
      </w:tr>
    </w:tbl>
    <w:p>
      <w:pPr>
        <w:keepNext w:val="0"/>
        <w:keepLines w:val="0"/>
        <w:pageBreakBefore w:val="0"/>
        <w:widowControl/>
        <w:numPr>
          <w:ilvl w:val="0"/>
          <w:numId w:val="63"/>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玉海街道堤坝</w:t>
      </w:r>
      <w:r>
        <w:rPr>
          <w:rFonts w:hint="eastAsia" w:ascii="宋体" w:hAnsi="宋体" w:eastAsia="宋体" w:cs="宋体"/>
          <w:b/>
          <w:bCs/>
          <w:color w:val="auto"/>
          <w:sz w:val="22"/>
          <w:szCs w:val="22"/>
          <w:highlight w:val="none"/>
        </w:rPr>
        <w:t>环卫作业清单</w:t>
      </w:r>
    </w:p>
    <w:tbl>
      <w:tblPr>
        <w:tblStyle w:val="29"/>
        <w:tblW w:w="4999" w:type="pct"/>
        <w:tblInd w:w="0" w:type="dxa"/>
        <w:tblLayout w:type="autofit"/>
        <w:tblCellMar>
          <w:top w:w="0" w:type="dxa"/>
          <w:left w:w="108" w:type="dxa"/>
          <w:bottom w:w="0" w:type="dxa"/>
          <w:right w:w="108" w:type="dxa"/>
        </w:tblCellMar>
      </w:tblPr>
      <w:tblGrid>
        <w:gridCol w:w="1393"/>
        <w:gridCol w:w="5143"/>
        <w:gridCol w:w="3896"/>
        <w:gridCol w:w="3897"/>
      </w:tblGrid>
      <w:tr>
        <w:tblPrEx>
          <w:tblCellMar>
            <w:top w:w="0" w:type="dxa"/>
            <w:left w:w="108" w:type="dxa"/>
            <w:bottom w:w="0" w:type="dxa"/>
            <w:right w:w="108" w:type="dxa"/>
          </w:tblCellMar>
        </w:tblPrEx>
        <w:trPr>
          <w:trHeight w:val="499" w:hRule="atLeast"/>
        </w:trPr>
        <w:tc>
          <w:tcPr>
            <w:tcW w:w="48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17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堤坝名称</w:t>
            </w:r>
          </w:p>
        </w:tc>
        <w:tc>
          <w:tcPr>
            <w:tcW w:w="135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长（m）</w:t>
            </w:r>
          </w:p>
        </w:tc>
        <w:tc>
          <w:tcPr>
            <w:tcW w:w="135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tblPrEx>
          <w:tblCellMar>
            <w:top w:w="0" w:type="dxa"/>
            <w:left w:w="108" w:type="dxa"/>
            <w:bottom w:w="0" w:type="dxa"/>
            <w:right w:w="108" w:type="dxa"/>
          </w:tblCellMar>
        </w:tblPrEx>
        <w:trPr>
          <w:trHeight w:val="312" w:hRule="atLeast"/>
        </w:trPr>
        <w:tc>
          <w:tcPr>
            <w:tcW w:w="48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79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5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5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4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玉海街道堤坝</w:t>
            </w:r>
          </w:p>
        </w:tc>
        <w:tc>
          <w:tcPr>
            <w:tcW w:w="1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3800</w:t>
            </w:r>
          </w:p>
        </w:tc>
        <w:tc>
          <w:tcPr>
            <w:tcW w:w="1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bl>
    <w:p>
      <w:pPr>
        <w:keepNext w:val="0"/>
        <w:keepLines w:val="0"/>
        <w:pageBreakBefore w:val="0"/>
        <w:widowControl/>
        <w:numPr>
          <w:ilvl w:val="0"/>
          <w:numId w:val="63"/>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玉海街道公园广场</w:t>
      </w:r>
      <w:r>
        <w:rPr>
          <w:rFonts w:hint="eastAsia" w:ascii="宋体" w:hAnsi="宋体" w:eastAsia="宋体" w:cs="宋体"/>
          <w:b/>
          <w:bCs/>
          <w:color w:val="auto"/>
          <w:sz w:val="22"/>
          <w:szCs w:val="22"/>
          <w:highlight w:val="none"/>
        </w:rPr>
        <w:t>环卫作业清单</w:t>
      </w:r>
    </w:p>
    <w:tbl>
      <w:tblPr>
        <w:tblStyle w:val="29"/>
        <w:tblW w:w="4996"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77"/>
        <w:gridCol w:w="3501"/>
        <w:gridCol w:w="3283"/>
        <w:gridCol w:w="3283"/>
        <w:gridCol w:w="307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411" w:type="pct"/>
            <w:vMerge w:val="restart"/>
            <w:tcBorders>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1221" w:type="pct"/>
            <w:vMerge w:val="restart"/>
            <w:tcBorders>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公园广场名称</w:t>
            </w:r>
          </w:p>
        </w:tc>
        <w:tc>
          <w:tcPr>
            <w:tcW w:w="1146" w:type="pct"/>
            <w:vMerge w:val="restart"/>
            <w:tcBorders>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道路面积（㎡）</w:t>
            </w:r>
          </w:p>
        </w:tc>
        <w:tc>
          <w:tcPr>
            <w:tcW w:w="1146" w:type="pct"/>
            <w:vMerge w:val="restart"/>
            <w:tcBorders>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绿化面积（㎡）</w:t>
            </w:r>
          </w:p>
        </w:tc>
        <w:tc>
          <w:tcPr>
            <w:tcW w:w="1074" w:type="pct"/>
            <w:vMerge w:val="restart"/>
            <w:tcBorders>
              <w:left w:val="single" w:color="auto" w:sz="4" w:space="0"/>
              <w:bottom w:val="single" w:color="000000"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atLeast"/>
        </w:trPr>
        <w:tc>
          <w:tcPr>
            <w:tcW w:w="411" w:type="pct"/>
            <w:vMerge w:val="continue"/>
            <w:tcBorders>
              <w:top w:val="nil"/>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221" w:type="pct"/>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146" w:type="pct"/>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146" w:type="pct"/>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074" w:type="pct"/>
            <w:vMerge w:val="continue"/>
            <w:tcBorders>
              <w:top w:val="nil"/>
              <w:left w:val="single" w:color="auto" w:sz="4" w:space="0"/>
              <w:bottom w:val="single" w:color="000000" w:sz="4" w:space="0"/>
            </w:tcBorders>
            <w:noWrap w:val="0"/>
            <w:vAlign w:val="center"/>
          </w:tcPr>
          <w:p>
            <w:pPr>
              <w:widowControl/>
              <w:jc w:val="left"/>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411" w:type="pct"/>
            <w:tcBorders>
              <w:top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21"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玉海广场</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5567</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4962</w:t>
            </w:r>
          </w:p>
        </w:tc>
        <w:tc>
          <w:tcPr>
            <w:tcW w:w="1074" w:type="pct"/>
            <w:tcBorders>
              <w:top w:val="nil"/>
              <w:left w:val="nil"/>
              <w:bottom w:val="single" w:color="auto" w:sz="4" w:space="0"/>
            </w:tcBorders>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411" w:type="pct"/>
            <w:tcBorders>
              <w:top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21"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湖滨公园</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1932</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2453</w:t>
            </w:r>
          </w:p>
        </w:tc>
        <w:tc>
          <w:tcPr>
            <w:tcW w:w="1074" w:type="pct"/>
            <w:tcBorders>
              <w:top w:val="nil"/>
              <w:left w:val="nil"/>
              <w:bottom w:val="single" w:color="auto" w:sz="4" w:space="0"/>
            </w:tcBorders>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411" w:type="pct"/>
            <w:tcBorders>
              <w:top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21"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西山公园</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8454.05</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16276</w:t>
            </w:r>
          </w:p>
        </w:tc>
        <w:tc>
          <w:tcPr>
            <w:tcW w:w="1074" w:type="pct"/>
            <w:tcBorders>
              <w:top w:val="nil"/>
              <w:left w:val="nil"/>
              <w:bottom w:val="single" w:color="auto" w:sz="4" w:space="0"/>
            </w:tcBorders>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411" w:type="pct"/>
            <w:tcBorders>
              <w:top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21"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景观堤坝</w:t>
            </w:r>
          </w:p>
        </w:tc>
        <w:tc>
          <w:tcPr>
            <w:tcW w:w="1146" w:type="pct"/>
            <w:tcBorders>
              <w:top w:val="single" w:color="000000" w:sz="8" w:space="0"/>
              <w:left w:val="nil"/>
              <w:bottom w:val="single" w:color="000000" w:sz="8" w:space="0"/>
              <w:right w:val="single" w:color="000000" w:sz="8" w:space="0"/>
            </w:tcBorders>
            <w:noWrap w:val="0"/>
            <w:vAlign w:val="bottom"/>
          </w:tcPr>
          <w:p>
            <w:pPr>
              <w:widowControl/>
              <w:jc w:val="center"/>
              <w:rPr>
                <w:rFonts w:ascii="Times New Roman" w:hAnsi="Times New Roman" w:eastAsia="宋体"/>
                <w:kern w:val="0"/>
                <w:szCs w:val="21"/>
              </w:rPr>
            </w:pPr>
          </w:p>
        </w:tc>
        <w:tc>
          <w:tcPr>
            <w:tcW w:w="1146" w:type="pct"/>
            <w:tcBorders>
              <w:top w:val="single" w:color="000000" w:sz="8" w:space="0"/>
              <w:left w:val="nil"/>
              <w:bottom w:val="single" w:color="000000" w:sz="8" w:space="0"/>
              <w:right w:val="single" w:color="000000" w:sz="8" w:space="0"/>
            </w:tcBorders>
            <w:noWrap w:val="0"/>
            <w:vAlign w:val="bottom"/>
          </w:tcPr>
          <w:p>
            <w:pPr>
              <w:widowControl/>
              <w:jc w:val="center"/>
              <w:rPr>
                <w:rFonts w:ascii="Times New Roman" w:hAnsi="Times New Roman" w:eastAsia="宋体"/>
                <w:kern w:val="0"/>
                <w:szCs w:val="21"/>
              </w:rPr>
            </w:pPr>
            <w:r>
              <w:rPr>
                <w:rFonts w:ascii="Times New Roman" w:hAnsi="Times New Roman" w:eastAsia="宋体"/>
                <w:kern w:val="0"/>
                <w:szCs w:val="21"/>
              </w:rPr>
              <w:t>14873.15</w:t>
            </w:r>
          </w:p>
        </w:tc>
        <w:tc>
          <w:tcPr>
            <w:tcW w:w="1074" w:type="pct"/>
            <w:tcBorders>
              <w:top w:val="nil"/>
              <w:left w:val="single" w:color="auto" w:sz="4" w:space="0"/>
              <w:bottom w:val="single" w:color="auto" w:sz="4" w:space="0"/>
            </w:tcBorders>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trPr>
        <w:tc>
          <w:tcPr>
            <w:tcW w:w="1633" w:type="pct"/>
            <w:gridSpan w:val="2"/>
            <w:tcBorders>
              <w:top w:val="nil"/>
              <w:bottom w:val="single" w:color="auto" w:sz="4" w:space="0"/>
              <w:right w:val="single" w:color="auto" w:sz="4"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小计</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b/>
                <w:bCs/>
                <w:kern w:val="0"/>
                <w:sz w:val="24"/>
                <w:szCs w:val="24"/>
              </w:rPr>
              <w:t>15953.05</w:t>
            </w:r>
          </w:p>
        </w:tc>
        <w:tc>
          <w:tcPr>
            <w:tcW w:w="1146" w:type="pct"/>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b/>
                <w:bCs/>
                <w:kern w:val="0"/>
                <w:sz w:val="24"/>
                <w:szCs w:val="24"/>
              </w:rPr>
              <w:t>38564.15</w:t>
            </w:r>
          </w:p>
        </w:tc>
        <w:tc>
          <w:tcPr>
            <w:tcW w:w="1074" w:type="pct"/>
            <w:tcBorders>
              <w:top w:val="nil"/>
              <w:left w:val="nil"/>
              <w:bottom w:val="single" w:color="auto" w:sz="4" w:space="0"/>
            </w:tcBorders>
            <w:noWrap/>
            <w:vAlign w:val="center"/>
          </w:tcPr>
          <w:p>
            <w:pPr>
              <w:widowControl/>
              <w:jc w:val="center"/>
              <w:rPr>
                <w:rFonts w:ascii="宋体" w:hAnsi="宋体" w:eastAsia="宋体" w:cs="宋体"/>
                <w:kern w:val="0"/>
                <w:sz w:val="24"/>
                <w:szCs w:val="24"/>
              </w:rPr>
            </w:pPr>
          </w:p>
        </w:tc>
      </w:tr>
    </w:tbl>
    <w:p>
      <w:pPr>
        <w:keepNext w:val="0"/>
        <w:keepLines w:val="0"/>
        <w:pageBreakBefore w:val="0"/>
        <w:widowControl/>
        <w:numPr>
          <w:ilvl w:val="0"/>
          <w:numId w:val="63"/>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玉海街道河道</w:t>
      </w:r>
      <w:r>
        <w:rPr>
          <w:rFonts w:hint="eastAsia" w:ascii="宋体" w:hAnsi="宋体" w:eastAsia="宋体" w:cs="宋体"/>
          <w:b/>
          <w:bCs/>
          <w:color w:val="auto"/>
          <w:sz w:val="22"/>
          <w:szCs w:val="22"/>
          <w:highlight w:val="none"/>
        </w:rPr>
        <w:t>环卫作业清单</w:t>
      </w:r>
    </w:p>
    <w:tbl>
      <w:tblPr>
        <w:tblStyle w:val="29"/>
        <w:tblW w:w="14320" w:type="dxa"/>
        <w:tblInd w:w="93" w:type="dxa"/>
        <w:tblLayout w:type="autofit"/>
        <w:tblCellMar>
          <w:top w:w="0" w:type="dxa"/>
          <w:left w:w="108" w:type="dxa"/>
          <w:bottom w:w="0" w:type="dxa"/>
          <w:right w:w="108" w:type="dxa"/>
        </w:tblCellMar>
      </w:tblPr>
      <w:tblGrid>
        <w:gridCol w:w="680"/>
        <w:gridCol w:w="1320"/>
        <w:gridCol w:w="3000"/>
        <w:gridCol w:w="1280"/>
        <w:gridCol w:w="2480"/>
        <w:gridCol w:w="2480"/>
        <w:gridCol w:w="3080"/>
      </w:tblGrid>
      <w:tr>
        <w:tblPrEx>
          <w:tblCellMar>
            <w:top w:w="0" w:type="dxa"/>
            <w:left w:w="108" w:type="dxa"/>
            <w:bottom w:w="0" w:type="dxa"/>
            <w:right w:w="108" w:type="dxa"/>
          </w:tblCellMar>
        </w:tblPrEx>
        <w:trPr>
          <w:trHeight w:val="499" w:hRule="atLeast"/>
        </w:trPr>
        <w:tc>
          <w:tcPr>
            <w:tcW w:w="6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132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社区、村名称</w:t>
            </w:r>
          </w:p>
        </w:tc>
        <w:tc>
          <w:tcPr>
            <w:tcW w:w="300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河道名称</w:t>
            </w:r>
          </w:p>
        </w:tc>
        <w:tc>
          <w:tcPr>
            <w:tcW w:w="12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河道级别</w:t>
            </w:r>
          </w:p>
        </w:tc>
        <w:tc>
          <w:tcPr>
            <w:tcW w:w="24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长×宽（m）</w:t>
            </w:r>
          </w:p>
        </w:tc>
        <w:tc>
          <w:tcPr>
            <w:tcW w:w="24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面积（㎡）</w:t>
            </w:r>
          </w:p>
        </w:tc>
        <w:tc>
          <w:tcPr>
            <w:tcW w:w="30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起止</w:t>
            </w:r>
          </w:p>
        </w:tc>
      </w:tr>
      <w:tr>
        <w:tblPrEx>
          <w:tblCellMar>
            <w:top w:w="0" w:type="dxa"/>
            <w:left w:w="108" w:type="dxa"/>
            <w:bottom w:w="0" w:type="dxa"/>
            <w:right w:w="108" w:type="dxa"/>
          </w:tblCellMar>
        </w:tblPrEx>
        <w:trPr>
          <w:trHeight w:val="499" w:hRule="atLeast"/>
        </w:trPr>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32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30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12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24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24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c>
          <w:tcPr>
            <w:tcW w:w="3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68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32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00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丰湖河</w:t>
            </w:r>
          </w:p>
        </w:tc>
        <w:tc>
          <w:tcPr>
            <w:tcW w:w="128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二级</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650×（7~10）</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5850</w:t>
            </w:r>
          </w:p>
        </w:tc>
        <w:tc>
          <w:tcPr>
            <w:tcW w:w="30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68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32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00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松涌河</w:t>
            </w:r>
          </w:p>
        </w:tc>
        <w:tc>
          <w:tcPr>
            <w:tcW w:w="12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二级</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281×（4~7）</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1319</w:t>
            </w:r>
          </w:p>
        </w:tc>
        <w:tc>
          <w:tcPr>
            <w:tcW w:w="30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68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32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00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东濠河</w:t>
            </w:r>
          </w:p>
        </w:tc>
        <w:tc>
          <w:tcPr>
            <w:tcW w:w="12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二级</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850×（10~16）</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11912</w:t>
            </w:r>
          </w:p>
        </w:tc>
        <w:tc>
          <w:tcPr>
            <w:tcW w:w="3080" w:type="dxa"/>
            <w:tcBorders>
              <w:top w:val="nil"/>
              <w:left w:val="nil"/>
              <w:bottom w:val="nil"/>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68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32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00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两面河（商城河、山前河）</w:t>
            </w:r>
          </w:p>
        </w:tc>
        <w:tc>
          <w:tcPr>
            <w:tcW w:w="12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二级</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997×（11~16）</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14896</w:t>
            </w:r>
          </w:p>
        </w:tc>
        <w:tc>
          <w:tcPr>
            <w:tcW w:w="308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r>
      <w:tr>
        <w:tblPrEx>
          <w:tblCellMar>
            <w:top w:w="0" w:type="dxa"/>
            <w:left w:w="108" w:type="dxa"/>
            <w:bottom w:w="0" w:type="dxa"/>
            <w:right w:w="108" w:type="dxa"/>
          </w:tblCellMar>
        </w:tblPrEx>
        <w:trPr>
          <w:trHeight w:val="499" w:hRule="atLeast"/>
        </w:trPr>
        <w:tc>
          <w:tcPr>
            <w:tcW w:w="68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32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p>
        </w:tc>
        <w:tc>
          <w:tcPr>
            <w:tcW w:w="300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北濠河</w:t>
            </w:r>
          </w:p>
        </w:tc>
        <w:tc>
          <w:tcPr>
            <w:tcW w:w="12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二级</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950×（12~35）</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16660</w:t>
            </w:r>
          </w:p>
        </w:tc>
        <w:tc>
          <w:tcPr>
            <w:tcW w:w="3080"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河滨公园至玉海中学</w:t>
            </w:r>
          </w:p>
        </w:tc>
      </w:tr>
      <w:tr>
        <w:tblPrEx>
          <w:tblCellMar>
            <w:top w:w="0" w:type="dxa"/>
            <w:left w:w="108" w:type="dxa"/>
            <w:bottom w:w="0" w:type="dxa"/>
            <w:right w:w="108" w:type="dxa"/>
          </w:tblCellMar>
        </w:tblPrEx>
        <w:trPr>
          <w:trHeight w:val="600" w:hRule="atLeast"/>
        </w:trPr>
        <w:tc>
          <w:tcPr>
            <w:tcW w:w="8760" w:type="dxa"/>
            <w:gridSpan w:val="5"/>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合计</w:t>
            </w:r>
          </w:p>
        </w:tc>
        <w:tc>
          <w:tcPr>
            <w:tcW w:w="24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50637</w:t>
            </w:r>
          </w:p>
        </w:tc>
        <w:tc>
          <w:tcPr>
            <w:tcW w:w="3080"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4"/>
                <w:szCs w:val="24"/>
              </w:rPr>
            </w:pPr>
          </w:p>
        </w:tc>
      </w:tr>
    </w:tbl>
    <w:p>
      <w:pPr>
        <w:keepNext w:val="0"/>
        <w:keepLines w:val="0"/>
        <w:pageBreakBefore w:val="0"/>
        <w:widowControl/>
        <w:numPr>
          <w:ilvl w:val="0"/>
          <w:numId w:val="63"/>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玉海街道公厕</w:t>
      </w:r>
      <w:r>
        <w:rPr>
          <w:rFonts w:hint="eastAsia" w:ascii="宋体" w:hAnsi="宋体" w:eastAsia="宋体" w:cs="宋体"/>
          <w:b/>
          <w:bCs/>
          <w:color w:val="auto"/>
          <w:sz w:val="22"/>
          <w:szCs w:val="22"/>
          <w:highlight w:val="none"/>
          <w:lang w:eastAsia="zh-CN"/>
        </w:rPr>
        <w:t>环卫作业清单</w:t>
      </w:r>
    </w:p>
    <w:tbl>
      <w:tblPr>
        <w:tblStyle w:val="29"/>
        <w:tblW w:w="4997" w:type="pct"/>
        <w:tblInd w:w="0" w:type="dxa"/>
        <w:tblLayout w:type="autofit"/>
        <w:tblCellMar>
          <w:top w:w="0" w:type="dxa"/>
          <w:left w:w="108" w:type="dxa"/>
          <w:bottom w:w="0" w:type="dxa"/>
          <w:right w:w="108" w:type="dxa"/>
        </w:tblCellMar>
      </w:tblPr>
      <w:tblGrid>
        <w:gridCol w:w="662"/>
        <w:gridCol w:w="1622"/>
        <w:gridCol w:w="2448"/>
        <w:gridCol w:w="1255"/>
        <w:gridCol w:w="2858"/>
        <w:gridCol w:w="2442"/>
        <w:gridCol w:w="3036"/>
      </w:tblGrid>
      <w:tr>
        <w:tblPrEx>
          <w:tblCellMar>
            <w:top w:w="0" w:type="dxa"/>
            <w:left w:w="108" w:type="dxa"/>
            <w:bottom w:w="0" w:type="dxa"/>
            <w:right w:w="108" w:type="dxa"/>
          </w:tblCellMar>
        </w:tblPrEx>
        <w:trPr>
          <w:trHeight w:val="499" w:hRule="atLeast"/>
        </w:trPr>
        <w:tc>
          <w:tcPr>
            <w:tcW w:w="2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6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社区、村名称</w:t>
            </w:r>
          </w:p>
        </w:tc>
        <w:tc>
          <w:tcPr>
            <w:tcW w:w="85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公厕名称</w:t>
            </w:r>
          </w:p>
        </w:tc>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公厕类别</w:t>
            </w:r>
          </w:p>
        </w:tc>
        <w:tc>
          <w:tcPr>
            <w:tcW w:w="99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具体位置</w:t>
            </w:r>
          </w:p>
        </w:tc>
        <w:tc>
          <w:tcPr>
            <w:tcW w:w="8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坑位（个）</w:t>
            </w:r>
          </w:p>
        </w:tc>
        <w:tc>
          <w:tcPr>
            <w:tcW w:w="105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r>
      <w:tr>
        <w:tblPrEx>
          <w:tblCellMar>
            <w:top w:w="0" w:type="dxa"/>
            <w:left w:w="108" w:type="dxa"/>
            <w:bottom w:w="0" w:type="dxa"/>
            <w:right w:w="108" w:type="dxa"/>
          </w:tblCellMar>
        </w:tblPrEx>
        <w:trPr>
          <w:trHeight w:val="312" w:hRule="atLeast"/>
        </w:trPr>
        <w:tc>
          <w:tcPr>
            <w:tcW w:w="23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56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99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05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虹桥路湖滨公园边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后垟公厕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青松路大榕树边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虹桥北路公厕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虹桥北路东方明珠对面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58.6</w:t>
            </w: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外滩喷泉边公厕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滨江大道喷泉广场边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邮电南路公厕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水心家园小区物业管理处</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1059"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忠义街公厕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忠义街</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1059"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西山公园公厕</w:t>
            </w:r>
          </w:p>
        </w:tc>
        <w:tc>
          <w:tcPr>
            <w:tcW w:w="438"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一类</w:t>
            </w:r>
          </w:p>
        </w:tc>
        <w:tc>
          <w:tcPr>
            <w:tcW w:w="997"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西山公园</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1059"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78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第二巷公厕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仓前街第二巷第二小学对面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沿江西路(航管所)公厕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沿江西路(航管所边)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登高巷公厕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登高巷剧院边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虹桥路F5公厕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虹桥路后街龙首桥西首</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南堤街公厕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南堤街红星粮站东侧</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第一巷中段</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玉海商住公厕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玉海商住中心内</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劳动巷公厕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劳动巷</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高永公厕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飞云东路205号</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涨落桥公厕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解放东路涨落桥</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小东门公厕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小东门</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西山老年宫(生态)</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西山老年宫边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解放中路公厕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解放中路大沙堤对面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南门渡口公厕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大马道公交总站对面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万松路公厕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万松路加油站边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长春路公厕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玉海街道卫生院北后首</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小沙巷公厕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小沙巷公厕</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滨江中转站公厕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滨江中转站对面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华昌大厦公厕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滨江大道华昌大厦对面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外滩曾联松公厕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滨江大道曾联松广场边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40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外滩大桥东公厕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滨江大道飞云江大桥东侧</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景观堤坝公厕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滨江大道三期</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50</w:t>
            </w:r>
          </w:p>
        </w:tc>
      </w:tr>
      <w:tr>
        <w:tblPrEx>
          <w:tblCellMar>
            <w:top w:w="0" w:type="dxa"/>
            <w:left w:w="108" w:type="dxa"/>
            <w:bottom w:w="0" w:type="dxa"/>
            <w:right w:w="108" w:type="dxa"/>
          </w:tblCellMar>
        </w:tblPrEx>
        <w:trPr>
          <w:trHeight w:val="420" w:hRule="atLeast"/>
        </w:trPr>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大桥新村公厕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望江社区居委会前</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13</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60</w:t>
            </w:r>
          </w:p>
        </w:tc>
      </w:tr>
    </w:tbl>
    <w:p>
      <w:pPr>
        <w:pStyle w:val="2"/>
        <w:rPr>
          <w:rFonts w:hint="eastAsia"/>
        </w:rPr>
      </w:pPr>
    </w:p>
    <w:p>
      <w:pPr>
        <w:outlineLvl w:val="0"/>
        <w:rPr>
          <w:rFonts w:hint="eastAsia" w:ascii="宋体" w:hAnsi="宋体" w:cs="宋体"/>
          <w:b/>
          <w:sz w:val="22"/>
          <w:szCs w:val="22"/>
        </w:rPr>
      </w:pPr>
      <w:bookmarkStart w:id="371" w:name="_Toc29670"/>
      <w:r>
        <w:rPr>
          <w:rFonts w:hint="eastAsia" w:ascii="宋体" w:hAnsi="宋体" w:cs="宋体"/>
          <w:b/>
          <w:sz w:val="22"/>
          <w:szCs w:val="22"/>
        </w:rPr>
        <w:br w:type="page"/>
      </w:r>
      <w:r>
        <w:rPr>
          <w:rFonts w:hint="eastAsia" w:ascii="宋体" w:hAnsi="宋体" w:cs="宋体"/>
          <w:b/>
          <w:sz w:val="22"/>
          <w:szCs w:val="22"/>
        </w:rPr>
        <w:t>附件2-《锦湖街道环卫保洁作业量清单》</w:t>
      </w:r>
      <w:bookmarkEnd w:id="371"/>
    </w:p>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bookmarkStart w:id="372" w:name="_Toc24178"/>
      <w:r>
        <w:rPr>
          <w:rFonts w:hint="eastAsia" w:ascii="宋体" w:hAnsi="宋体" w:eastAsia="宋体" w:cs="宋体"/>
          <w:b/>
          <w:bCs/>
          <w:color w:val="auto"/>
          <w:sz w:val="22"/>
          <w:szCs w:val="22"/>
          <w:highlight w:val="none"/>
          <w:lang w:val="en-US" w:eastAsia="zh-CN"/>
        </w:rPr>
        <w:t>锦湖街道道路</w:t>
      </w:r>
      <w:r>
        <w:rPr>
          <w:rFonts w:hint="eastAsia" w:ascii="宋体" w:hAnsi="宋体" w:eastAsia="宋体" w:cs="宋体"/>
          <w:b/>
          <w:bCs/>
          <w:color w:val="auto"/>
          <w:sz w:val="22"/>
          <w:szCs w:val="22"/>
          <w:highlight w:val="none"/>
        </w:rPr>
        <w:t>环卫作业清单</w:t>
      </w:r>
    </w:p>
    <w:tbl>
      <w:tblPr>
        <w:tblStyle w:val="29"/>
        <w:tblW w:w="1442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26"/>
        <w:gridCol w:w="2500"/>
        <w:gridCol w:w="844"/>
        <w:gridCol w:w="1553"/>
        <w:gridCol w:w="1676"/>
        <w:gridCol w:w="2193"/>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1326"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社区、村名称</w:t>
            </w: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道路名称</w:t>
            </w:r>
          </w:p>
        </w:tc>
        <w:tc>
          <w:tcPr>
            <w:tcW w:w="844"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道路级别</w:t>
            </w:r>
          </w:p>
        </w:tc>
        <w:tc>
          <w:tcPr>
            <w:tcW w:w="155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长×宽（m）</w:t>
            </w:r>
          </w:p>
        </w:tc>
        <w:tc>
          <w:tcPr>
            <w:tcW w:w="1676"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面积（㎡）</w:t>
            </w:r>
          </w:p>
        </w:tc>
        <w:tc>
          <w:tcPr>
            <w:tcW w:w="219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绿化面积（㎡）</w:t>
            </w:r>
          </w:p>
        </w:tc>
        <w:tc>
          <w:tcPr>
            <w:tcW w:w="3747" w:type="dxa"/>
            <w:vMerge w:val="restart"/>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起止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trPr>
        <w:tc>
          <w:tcPr>
            <w:tcW w:w="583" w:type="dxa"/>
            <w:vMerge w:val="continue"/>
            <w:noWrap w:val="0"/>
            <w:vAlign w:val="center"/>
          </w:tcPr>
          <w:p>
            <w:pPr>
              <w:widowControl/>
              <w:jc w:val="left"/>
              <w:rPr>
                <w:rFonts w:ascii="宋体" w:hAnsi="宋体" w:eastAsia="宋体" w:cs="宋体"/>
                <w:kern w:val="0"/>
                <w:sz w:val="24"/>
                <w:szCs w:val="24"/>
              </w:rPr>
            </w:pPr>
          </w:p>
        </w:tc>
        <w:tc>
          <w:tcPr>
            <w:tcW w:w="1326" w:type="dxa"/>
            <w:vMerge w:val="continue"/>
            <w:noWrap w:val="0"/>
            <w:vAlign w:val="center"/>
          </w:tcPr>
          <w:p>
            <w:pPr>
              <w:widowControl/>
              <w:jc w:val="left"/>
              <w:rPr>
                <w:rFonts w:ascii="宋体" w:hAnsi="宋体" w:eastAsia="宋体" w:cs="宋体"/>
                <w:kern w:val="0"/>
                <w:sz w:val="24"/>
                <w:szCs w:val="24"/>
              </w:rPr>
            </w:pPr>
          </w:p>
        </w:tc>
        <w:tc>
          <w:tcPr>
            <w:tcW w:w="2500" w:type="dxa"/>
            <w:vMerge w:val="continue"/>
            <w:noWrap w:val="0"/>
            <w:vAlign w:val="center"/>
          </w:tcPr>
          <w:p>
            <w:pPr>
              <w:widowControl/>
              <w:jc w:val="left"/>
              <w:rPr>
                <w:rFonts w:ascii="宋体" w:hAnsi="宋体" w:eastAsia="宋体" w:cs="宋体"/>
                <w:kern w:val="0"/>
                <w:sz w:val="24"/>
                <w:szCs w:val="24"/>
              </w:rPr>
            </w:pPr>
          </w:p>
        </w:tc>
        <w:tc>
          <w:tcPr>
            <w:tcW w:w="844" w:type="dxa"/>
            <w:vMerge w:val="continue"/>
            <w:noWrap w:val="0"/>
            <w:vAlign w:val="center"/>
          </w:tcPr>
          <w:p>
            <w:pPr>
              <w:widowControl/>
              <w:jc w:val="left"/>
              <w:rPr>
                <w:rFonts w:ascii="宋体" w:hAnsi="宋体" w:eastAsia="宋体" w:cs="宋体"/>
                <w:kern w:val="0"/>
                <w:sz w:val="24"/>
                <w:szCs w:val="24"/>
              </w:rPr>
            </w:pPr>
          </w:p>
        </w:tc>
        <w:tc>
          <w:tcPr>
            <w:tcW w:w="1553" w:type="dxa"/>
            <w:vMerge w:val="continue"/>
            <w:noWrap w:val="0"/>
            <w:vAlign w:val="center"/>
          </w:tcPr>
          <w:p>
            <w:pPr>
              <w:widowControl/>
              <w:jc w:val="left"/>
              <w:rPr>
                <w:rFonts w:ascii="宋体" w:hAnsi="宋体" w:eastAsia="宋体" w:cs="宋体"/>
                <w:kern w:val="0"/>
                <w:sz w:val="24"/>
                <w:szCs w:val="24"/>
              </w:rPr>
            </w:pPr>
          </w:p>
        </w:tc>
        <w:tc>
          <w:tcPr>
            <w:tcW w:w="1676" w:type="dxa"/>
            <w:vMerge w:val="continue"/>
            <w:noWrap w:val="0"/>
            <w:vAlign w:val="center"/>
          </w:tcPr>
          <w:p>
            <w:pPr>
              <w:widowControl/>
              <w:jc w:val="left"/>
              <w:rPr>
                <w:rFonts w:ascii="宋体" w:hAnsi="宋体" w:eastAsia="宋体" w:cs="宋体"/>
                <w:kern w:val="0"/>
                <w:sz w:val="24"/>
                <w:szCs w:val="24"/>
              </w:rPr>
            </w:pPr>
          </w:p>
        </w:tc>
        <w:tc>
          <w:tcPr>
            <w:tcW w:w="2193" w:type="dxa"/>
            <w:vMerge w:val="continue"/>
            <w:noWrap w:val="0"/>
            <w:vAlign w:val="center"/>
          </w:tcPr>
          <w:p>
            <w:pPr>
              <w:widowControl/>
              <w:jc w:val="left"/>
              <w:rPr>
                <w:rFonts w:ascii="宋体" w:hAnsi="宋体" w:eastAsia="宋体" w:cs="宋体"/>
                <w:kern w:val="0"/>
                <w:sz w:val="24"/>
                <w:szCs w:val="24"/>
              </w:rPr>
            </w:pPr>
          </w:p>
        </w:tc>
        <w:tc>
          <w:tcPr>
            <w:tcW w:w="3747" w:type="dxa"/>
            <w:vMerge w:val="continue"/>
            <w:noWrap w:val="0"/>
            <w:vAlign w:val="center"/>
          </w:tcPr>
          <w:p>
            <w:pPr>
              <w:widowControl/>
              <w:jc w:val="left"/>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1450x38</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55100</w:t>
            </w:r>
          </w:p>
        </w:tc>
        <w:tc>
          <w:tcPr>
            <w:tcW w:w="219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14400</w:t>
            </w: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高速出口至瑞湖路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一级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3320x36</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119520</w:t>
            </w:r>
          </w:p>
        </w:tc>
        <w:tc>
          <w:tcPr>
            <w:tcW w:w="219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4098.55</w:t>
            </w: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交通大厦至高速桥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53" w:type="dxa"/>
            <w:gridSpan w:val="4"/>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一级道路合计</w:t>
            </w:r>
          </w:p>
        </w:tc>
        <w:tc>
          <w:tcPr>
            <w:tcW w:w="1553"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4770</w:t>
            </w: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174620</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18498.55</w:t>
            </w:r>
          </w:p>
        </w:tc>
        <w:tc>
          <w:tcPr>
            <w:tcW w:w="3747" w:type="dxa"/>
            <w:noWrap/>
            <w:vAlign w:val="center"/>
          </w:tcPr>
          <w:p>
            <w:pPr>
              <w:widowControl/>
              <w:jc w:val="center"/>
              <w:rPr>
                <w:rFonts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1148x24</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27552</w:t>
            </w:r>
          </w:p>
        </w:tc>
        <w:tc>
          <w:tcPr>
            <w:tcW w:w="219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7635.97</w:t>
            </w: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虹桥北路至西宫路口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邮电北路延伸段</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500x26</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13000</w:t>
            </w:r>
          </w:p>
        </w:tc>
        <w:tc>
          <w:tcPr>
            <w:tcW w:w="2193" w:type="dxa"/>
            <w:noWrap/>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瑞湖路至万松西路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405×37</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14985</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1001</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周松北路至虹桥北路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周松北路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600*18</w:t>
            </w:r>
          </w:p>
        </w:tc>
        <w:tc>
          <w:tcPr>
            <w:tcW w:w="1676" w:type="dxa"/>
            <w:noWrap/>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10800</w:t>
            </w:r>
          </w:p>
        </w:tc>
        <w:tc>
          <w:tcPr>
            <w:tcW w:w="2193" w:type="dxa"/>
            <w:noWrap/>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周松北路万松隧道-高速出口路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周松北路公园</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160*75</w:t>
            </w:r>
          </w:p>
        </w:tc>
        <w:tc>
          <w:tcPr>
            <w:tcW w:w="1676" w:type="dxa"/>
            <w:noWrap/>
            <w:vAlign w:val="center"/>
          </w:tcPr>
          <w:p>
            <w:pPr>
              <w:widowControl/>
              <w:jc w:val="center"/>
              <w:rPr>
                <w:rFonts w:ascii="宋体" w:hAnsi="宋体" w:eastAsia="宋体" w:cs="宋体"/>
                <w:bCs/>
                <w:kern w:val="0"/>
                <w:sz w:val="24"/>
                <w:szCs w:val="24"/>
              </w:rPr>
            </w:pP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12000</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虹北二期至瑞枫线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滨江大道三期</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599.33*33</w:t>
            </w:r>
          </w:p>
        </w:tc>
        <w:tc>
          <w:tcPr>
            <w:tcW w:w="1676"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19710</w:t>
            </w:r>
          </w:p>
        </w:tc>
        <w:tc>
          <w:tcPr>
            <w:tcW w:w="219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3635</w:t>
            </w:r>
          </w:p>
        </w:tc>
        <w:tc>
          <w:tcPr>
            <w:tcW w:w="3747"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南门大厦至飞云大桥下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滨江大道四期</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2404*33</w:t>
            </w:r>
          </w:p>
        </w:tc>
        <w:tc>
          <w:tcPr>
            <w:tcW w:w="1676"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79332</w:t>
            </w:r>
          </w:p>
        </w:tc>
        <w:tc>
          <w:tcPr>
            <w:tcW w:w="219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10395</w:t>
            </w:r>
          </w:p>
        </w:tc>
        <w:tc>
          <w:tcPr>
            <w:tcW w:w="3747"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高架桥下至白象交界处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外滩堤坝</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二级</w:t>
            </w:r>
          </w:p>
        </w:tc>
        <w:tc>
          <w:tcPr>
            <w:tcW w:w="155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2200*5.35</w:t>
            </w:r>
          </w:p>
        </w:tc>
        <w:tc>
          <w:tcPr>
            <w:tcW w:w="1676" w:type="dxa"/>
            <w:noWrap/>
            <w:vAlign w:val="center"/>
          </w:tcPr>
          <w:p>
            <w:pPr>
              <w:widowControl/>
              <w:jc w:val="center"/>
              <w:rPr>
                <w:rFonts w:ascii="宋体" w:hAnsi="宋体" w:eastAsia="宋体" w:cs="宋体"/>
                <w:kern w:val="0"/>
                <w:sz w:val="24"/>
                <w:szCs w:val="24"/>
              </w:rPr>
            </w:pPr>
          </w:p>
        </w:tc>
        <w:tc>
          <w:tcPr>
            <w:tcW w:w="2193"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11770</w:t>
            </w:r>
          </w:p>
        </w:tc>
        <w:tc>
          <w:tcPr>
            <w:tcW w:w="3747" w:type="dxa"/>
            <w:noWrap w:val="0"/>
            <w:vAlign w:val="center"/>
          </w:tcPr>
          <w:p>
            <w:pPr>
              <w:widowControl/>
              <w:jc w:val="center"/>
              <w:rPr>
                <w:rFonts w:ascii="宋体" w:hAnsi="宋体" w:eastAsia="宋体" w:cs="宋体"/>
                <w:bCs/>
                <w:kern w:val="0"/>
                <w:sz w:val="24"/>
                <w:szCs w:val="24"/>
              </w:rPr>
            </w:pPr>
            <w:r>
              <w:rPr>
                <w:rFonts w:hint="eastAsia" w:ascii="宋体" w:hAnsi="宋体" w:eastAsia="宋体" w:cs="宋体"/>
                <w:bCs/>
                <w:kern w:val="0"/>
                <w:sz w:val="24"/>
                <w:szCs w:val="24"/>
              </w:rPr>
              <w:t>高架桥下至白象交界处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环城河绿地</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p>
        </w:tc>
        <w:tc>
          <w:tcPr>
            <w:tcW w:w="2193" w:type="dxa"/>
            <w:noWrap/>
            <w:vAlign w:val="center"/>
          </w:tcPr>
          <w:p>
            <w:pPr>
              <w:widowControl/>
              <w:jc w:val="center"/>
              <w:rPr>
                <w:rFonts w:ascii="Arial" w:hAnsi="Arial" w:eastAsia="宋体" w:cs="Arial"/>
                <w:kern w:val="0"/>
                <w:sz w:val="24"/>
                <w:szCs w:val="24"/>
              </w:rPr>
            </w:pPr>
            <w:r>
              <w:rPr>
                <w:rFonts w:ascii="Arial" w:hAnsi="Arial" w:eastAsia="宋体" w:cs="Arial"/>
                <w:kern w:val="0"/>
                <w:sz w:val="24"/>
                <w:szCs w:val="24"/>
              </w:rPr>
              <w:t>11458</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西门三角地</w:t>
            </w: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p>
        </w:tc>
        <w:tc>
          <w:tcPr>
            <w:tcW w:w="2193" w:type="dxa"/>
            <w:noWrap/>
            <w:vAlign w:val="center"/>
          </w:tcPr>
          <w:p>
            <w:pPr>
              <w:widowControl/>
              <w:jc w:val="center"/>
              <w:rPr>
                <w:rFonts w:ascii="Arial" w:hAnsi="Arial" w:eastAsia="宋体" w:cs="Arial"/>
                <w:kern w:val="0"/>
                <w:sz w:val="24"/>
                <w:szCs w:val="24"/>
              </w:rPr>
            </w:pPr>
            <w:r>
              <w:rPr>
                <w:rFonts w:ascii="Arial" w:hAnsi="Arial" w:eastAsia="宋体" w:cs="Arial"/>
                <w:kern w:val="0"/>
                <w:sz w:val="24"/>
                <w:szCs w:val="24"/>
              </w:rPr>
              <w:t>863</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53" w:type="dxa"/>
            <w:gridSpan w:val="4"/>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二级道路合计</w:t>
            </w:r>
          </w:p>
        </w:tc>
        <w:tc>
          <w:tcPr>
            <w:tcW w:w="1553"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8016.33</w:t>
            </w: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165379</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58757.97</w:t>
            </w:r>
          </w:p>
        </w:tc>
        <w:tc>
          <w:tcPr>
            <w:tcW w:w="3747" w:type="dxa"/>
            <w:noWrap/>
            <w:vAlign w:val="center"/>
          </w:tcPr>
          <w:p>
            <w:pPr>
              <w:widowControl/>
              <w:jc w:val="center"/>
              <w:rPr>
                <w:rFonts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w:t>
            </w:r>
          </w:p>
        </w:tc>
        <w:tc>
          <w:tcPr>
            <w:tcW w:w="844"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400x15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vMerge w:val="continue"/>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200×7</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锦湖菜场南北两侧旧村改造拓宽延伸段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260x24</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6240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后垟河路</w:t>
            </w:r>
          </w:p>
        </w:tc>
        <w:tc>
          <w:tcPr>
            <w:tcW w:w="844"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400x11</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4400</w:t>
            </w:r>
          </w:p>
        </w:tc>
        <w:tc>
          <w:tcPr>
            <w:tcW w:w="219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2985.78</w:t>
            </w: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vMerge w:val="continue"/>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40×22</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880</w:t>
            </w:r>
          </w:p>
        </w:tc>
        <w:tc>
          <w:tcPr>
            <w:tcW w:w="2193" w:type="dxa"/>
            <w:vMerge w:val="continue"/>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青松桥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沿江西路</w:t>
            </w:r>
          </w:p>
        </w:tc>
        <w:tc>
          <w:tcPr>
            <w:tcW w:w="844"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18×1500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27000</w:t>
            </w:r>
          </w:p>
        </w:tc>
        <w:tc>
          <w:tcPr>
            <w:tcW w:w="2193" w:type="dxa"/>
            <w:noWrap w:val="0"/>
            <w:vAlign w:val="center"/>
          </w:tcPr>
          <w:p>
            <w:pPr>
              <w:widowControl/>
              <w:jc w:val="center"/>
              <w:rPr>
                <w:rFonts w:ascii="宋体" w:hAnsi="宋体" w:eastAsia="宋体" w:cs="宋体"/>
                <w:b/>
                <w:bCs/>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高速桥至双山隧道口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1000x16</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福泉西路</w:t>
            </w:r>
          </w:p>
        </w:tc>
        <w:tc>
          <w:tcPr>
            <w:tcW w:w="844"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400x28</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11200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锦湖北路至瑞中后门桥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vMerge w:val="continue"/>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100x40</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continue"/>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1000x15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瑞湖路至西岙工业区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1250x24</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瑞湖路至河埭桥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瑞立路南-北</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250×20.6      132.8×10.6     128×14.8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8452.08</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第一桥路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240×24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5760</w:t>
            </w:r>
          </w:p>
        </w:tc>
        <w:tc>
          <w:tcPr>
            <w:tcW w:w="219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1337</w:t>
            </w: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西至锦湖北路,东至虹桥北路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150×13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1950</w:t>
            </w:r>
          </w:p>
        </w:tc>
        <w:tc>
          <w:tcPr>
            <w:tcW w:w="2193" w:type="dxa"/>
            <w:vMerge w:val="continue"/>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南至第一桥路,北至锦湖小学路口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酿周路</w:t>
            </w:r>
          </w:p>
        </w:tc>
        <w:tc>
          <w:tcPr>
            <w:tcW w:w="844"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16.5×350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5775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东至虹桥北路，西至锦湖北路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锦桥西路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环城河至锦湖路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体育路（体育中路）</w:t>
            </w:r>
          </w:p>
        </w:tc>
        <w:tc>
          <w:tcPr>
            <w:tcW w:w="844"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35×500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周松中路至虹桥北路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后垟河路</w:t>
            </w:r>
          </w:p>
        </w:tc>
        <w:tc>
          <w:tcPr>
            <w:tcW w:w="844" w:type="dxa"/>
            <w:vMerge w:val="continue"/>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瑞湖路以北段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虹锦路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后垟河路至锦湖路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锦周路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后垟河路至锦湖路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虹锦西路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锦湖路至环城河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万瑞路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3240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福泉桥至锦湖北桥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新居路边</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p>
        </w:tc>
        <w:tc>
          <w:tcPr>
            <w:tcW w:w="2193" w:type="dxa"/>
            <w:noWrap w:val="0"/>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600</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西岙桥头</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p>
        </w:tc>
        <w:tc>
          <w:tcPr>
            <w:tcW w:w="2193" w:type="dxa"/>
            <w:noWrap w:val="0"/>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500</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806" w:type="dxa"/>
            <w:gridSpan w:val="5"/>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三级道路合计</w:t>
            </w: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180347.08</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5422.78</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愚溪路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9×2000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国宏市政桥边至愚溪高速桥下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河埭桥路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6×4000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联星工业区门口至游泳池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小巷等11条</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11条×100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锦湖北路至西首河边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内外厂路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高速桥边至外厂村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外厂路一巷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高速公路至瑞枫公路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外厂路二巷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高速公路至瑞枫公路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外厂路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高速公路桥至瑞枫路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间距及屋前后</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6.5×210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1365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五星路1巷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五星路2巷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3.5×250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875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五星路3巷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五星路4巷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五星路5巷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沙河大道至瑞立路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横巷9条等</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3×60×9</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1620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五星路至花园西路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前后院坦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信心路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12×250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信心后路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愚溪路至虹桥北路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信心5条小巷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3×100×5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锦湖北路至新苗幼儿园边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间距及院坦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西岙路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瑞枫路至山边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西岙西路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瑞枫路至山边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西岙东路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公交终点站至瑞枫路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横河路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外厂公交站头至西岙公交终点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间距及院坦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胜利路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6.5×130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845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虹桥北路至新苗幼儿园北首路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花周路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14×140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1960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虹桥北路至牛伏岭工业区边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胜利后路(幢)</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4.5×170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765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河隶桥路至虹桥北路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信心路二幢</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锦湖北路至新苗幼儿园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间距及前后坦院</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同心路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8×250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村办公楼至沙河大道桥头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同心一巷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沙河大道至村办公楼前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同心西路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沙河大道至村办公楼前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同心东路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沙河大道至村办公楼前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同心路二巷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沙河大道至村办公楼前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朱坑头至高建桥</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7.5×150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1125</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375</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沙河大道桥边至外厂村边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间距及道院</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百好厂对面路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厂大门口至农资仓库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第一山路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瑞枫路至同心村办公楼边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信星路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300×7</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牛伏岭村路-虹桥北路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天河路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250×9</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瑞枫路至集云山边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天河路一巷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7×155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沙河大道至五星村为界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天河路二巷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6×155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930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沙河大道至五星村为界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铁桥巷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6×56</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沙河大道至五星村为界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秀才巷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沙河大道至五星村为界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天河西岙东路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5×115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西岙村至天河村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朱坑路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南-北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朱坑外路及便道</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锦湖北路至东首四边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永泰巷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3×135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胜丰巷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3×148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444</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沿河巷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3×147</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441</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天河巷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630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双山巷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3×450+6×50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油库路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4.5×450+7.3×100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2755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庙前路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4×284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1136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间距及江边</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庙厂西路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锦湖北路大房巷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5×120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锦湖路至腾退房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大房巷小路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锦湖路至腾退房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锦湖北路中花巷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780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锦湖北路至环城河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锦湖北路一桥巷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锦湖路至腾退房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锦湖北路上山房巷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锦湖路至腾退房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沙城河西直河路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3×190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福泉桥边至瑞湖路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第一桥村工业区</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厂内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锦桥东路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环城河至虹桥北路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其它道路（小巷）间距</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龙星路1巷-11巷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共11条小巷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520×11</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5720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直路3条</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220×4×3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2640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间距等</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5个×100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2个×70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三星路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6.1×130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793</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三星路1巷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8×130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1040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三星路2巷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9×130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1170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三星路3巷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9×130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1170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直巷三条</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80×4×3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960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锦源北路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愚溪工业区大门口至北边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锦源南路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4×100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愚溪工业区大门口至沙河大道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三星老工业区</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沙河大道至东首河边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间距、前后道坦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4×1000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牛伏岭村路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10×350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虹桥花苑30幢北首至瑞枫公路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东洋工业区</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7×800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周松北路至虹桥北路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牛伏岭工业区</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10×600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6000</w:t>
            </w:r>
          </w:p>
        </w:tc>
        <w:tc>
          <w:tcPr>
            <w:tcW w:w="2193" w:type="dxa"/>
            <w:noWrap/>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牛伏岭花坛叉口至虹桥花苑30幢北首东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东洋山小巷3条及间距</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体育小区后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龙池</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瑞枫路至山边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龙池后路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瑞枫路桥边至山边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花滨路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瑞湖路至花滨小区1幢9号前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花滨路  河边</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8×200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瑞湖路至宝宝幼儿园止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花园桥路至高压厂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110×8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880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游泳池南门至万松西路南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60×12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720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游泳池门口东首至旗杆东路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花园桥路至万瑞路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150×6</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实验中学河南首桥至万瑞路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花园新村</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交警队后门至沙河大道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花园新村前后道路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300×12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环城河至沙河大道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村综合大楼后路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200×12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沙河大道至城西垃圾场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瓦窑二路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花滨河边路至瓦窑二路桥边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西雅路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瓦窑路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瑞湖路-花坛一周南首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西雅路间距及道坦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二号路1-3弄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800×4×4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12800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1弄 南-北 1-3弄 东-西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长春巷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8×200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锦湖路至后垟河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8×200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长春巷东首至后垟河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徐宅巷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锦湖路至环城河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城北西路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5×400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2000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万松西路至瑞湖路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锦湖路1-8弄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5000</w:t>
            </w:r>
          </w:p>
        </w:tc>
        <w:tc>
          <w:tcPr>
            <w:tcW w:w="2193" w:type="dxa"/>
            <w:noWrap/>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锦湖路东首3条：锦湖路至腾退房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西首5条：锦湖路至环城河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康乐路1弄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3.1×60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康乐路2弄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6.7×18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康乐路3弄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康乐路3弄边</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8×32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游泳池东门口至康乐东路12号前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游泳池东门口</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9.4×93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874.2</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花园西路至康乐东路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康乐东路5弄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5.9×10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59</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旗杆东路5弄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5.8×29+3×40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288.2</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旗杆东路6弄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4.8×55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264</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机械厂宿舍1幢至旗杆东路4弄8号间</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6.4×60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384</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5.9×150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885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实验中学西首桥边至万松西路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康乐东路4弄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7×99</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693</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4.7×260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1222</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276.1</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花园桥至实验中学桥头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旗杆东路3弄9号边</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3.3×16</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52.8</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旗杆东路2弄8号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2.2×12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26.4</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旗杆东路2弄8号对面</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2.7×12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32.4</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旗杆东路1弄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6.5×28+3×20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242</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康乐东路1弄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6×43+3×13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297</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康乐东路2弄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4.7×40+27×2+5×30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392</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康乐东路3弄</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5×40+27×2+5×25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379</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游泳池东首门口至旗杆东路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机械厂宿舍1-2幢间</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9.3×30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279</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康乐东路至游泳池东首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万瑞路边小区</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15.5×60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930</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85</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万瑞路至锦湖大厦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气象组团2幢北首</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4.6×98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450.8</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127.4</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邮电北路至万瑞路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气象南北</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4.2×49</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205.8</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17.64</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邮电北路至万瑞路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气象东西</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37.6</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25.62</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气象C气象B间东首</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4.7×48</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225.6</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42.25</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气象A气象C间</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12×72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864</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221.75</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气象B幢南北</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3.7×98+3×6</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380.6</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康乐东路北首河边机关幼儿园</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269</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1037.4</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西宫路口东首路（万松西-花园西）</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26×80－2×60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1960</w:t>
            </w:r>
          </w:p>
        </w:tc>
        <w:tc>
          <w:tcPr>
            <w:tcW w:w="219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万松西-花园西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万瑞路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13.5×80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万松西路至气象组团前围墙边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旗杆东路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10.5×150</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1575</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康乐东路至万瑞路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新建巷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85×4.5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382.5</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沿江西路267号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沿江西路67号</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60×3.5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西宫路4弄</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42×2.5</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105</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西祖宫南首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175</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西宫路2弄</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120×3</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176</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环城西路</w:t>
            </w:r>
          </w:p>
        </w:tc>
        <w:tc>
          <w:tcPr>
            <w:tcW w:w="844" w:type="dxa"/>
            <w:noWrap/>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45×2</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周岙小区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Times New Roman" w:hAnsi="Times New Roman" w:eastAsia="宋体"/>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15985.02</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5428.46</w:t>
            </w:r>
          </w:p>
        </w:tc>
        <w:tc>
          <w:tcPr>
            <w:tcW w:w="3747" w:type="dxa"/>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周松中路5巷15号南首</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10.1×21.2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214.12</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周松中路3巷16号北东-西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25×9.7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242.5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周松中路5巷18号北东-西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周松路7巷15号至16号南东-西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76×10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周岙小区21幢西首-19幢西首南-北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115×10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周松路27幢北东-西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110×15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1650</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60×5=300</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周岙小区27幢南首</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13.6×25.5+8.9×50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791.8</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4.1×20=82</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周岙小区37幢西首南-北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18.3×11+38.4×6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431.7</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周岙小区37幢南首东-西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75.8×15+16×6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1233</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59.7×61=3641.7</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周岙小区35幢西首南-北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9×119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1071</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周岙小区29幢南首东-西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75×7.4+7×75</w:t>
            </w:r>
          </w:p>
        </w:tc>
        <w:tc>
          <w:tcPr>
            <w:tcW w:w="1676"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1080</w:t>
            </w:r>
          </w:p>
        </w:tc>
        <w:tc>
          <w:tcPr>
            <w:tcW w:w="219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46.2×8.8=406.56</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25幢周围</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continue"/>
            <w:noWrap w:val="0"/>
            <w:vAlign w:val="center"/>
          </w:tcPr>
          <w:p>
            <w:pPr>
              <w:widowControl/>
              <w:jc w:val="center"/>
              <w:rPr>
                <w:rFonts w:ascii="宋体" w:hAnsi="宋体" w:eastAsia="宋体" w:cs="宋体"/>
                <w:kern w:val="0"/>
                <w:sz w:val="24"/>
                <w:szCs w:val="24"/>
              </w:rPr>
            </w:pPr>
          </w:p>
        </w:tc>
        <w:tc>
          <w:tcPr>
            <w:tcW w:w="1676" w:type="dxa"/>
            <w:vMerge w:val="continue"/>
            <w:noWrap w:val="0"/>
            <w:vAlign w:val="center"/>
          </w:tcPr>
          <w:p>
            <w:pPr>
              <w:widowControl/>
              <w:jc w:val="center"/>
              <w:rPr>
                <w:rFonts w:ascii="宋体" w:hAnsi="宋体" w:eastAsia="宋体" w:cs="宋体"/>
                <w:kern w:val="0"/>
                <w:sz w:val="24"/>
                <w:szCs w:val="24"/>
              </w:rPr>
            </w:pPr>
          </w:p>
        </w:tc>
        <w:tc>
          <w:tcPr>
            <w:tcW w:w="2193" w:type="dxa"/>
            <w:vMerge w:val="continue"/>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周岙小区25幢南首东-西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（5.3+7）×60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738</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60×3=180</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周岙小区11幢西首南-北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97.6×7.8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761.28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周岙小区11幢南首东-西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112×11.7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1310.4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周岙小区15幢东首南-北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19×6.9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131.1</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19×1=19</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周松中路1巷16号东首南-北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87.3×6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523.8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周岙小区11幢北首东-西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7×23+23×5.6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289.8</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4.3×20=86</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周岙小区13幢北首东-西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（5.2+5.5）×26.6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284.62</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4.3×20=86</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周岙小区15幢北首东-西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23×10.3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236.9</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周岙小区19幢南首东-西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31×17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527</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周松中路3巷17号南首东-西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周松中路3巷18号南首东-西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8.8×22.5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周岙小区19幢北首东-西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周岙小区23幢东首南-北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p>
        </w:tc>
        <w:tc>
          <w:tcPr>
            <w:tcW w:w="1676" w:type="dxa"/>
            <w:noWrap w:val="0"/>
            <w:vAlign w:val="center"/>
          </w:tcPr>
          <w:p>
            <w:pPr>
              <w:widowControl/>
              <w:jc w:val="center"/>
              <w:outlineLvl w:val="0"/>
              <w:rPr>
                <w:rFonts w:ascii="宋体" w:hAnsi="宋体" w:eastAsia="宋体" w:cs="宋体"/>
                <w:kern w:val="0"/>
                <w:sz w:val="24"/>
                <w:szCs w:val="24"/>
              </w:rPr>
            </w:pP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（34×29）/2=493</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周岙小区17幢12号-周松路小广场</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81×13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1053</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十中后面东-西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150×3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周松中路7巷15号南首东-西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周松中路27幢东首</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p>
        </w:tc>
        <w:tc>
          <w:tcPr>
            <w:tcW w:w="1676" w:type="dxa"/>
            <w:noWrap w:val="0"/>
            <w:vAlign w:val="center"/>
          </w:tcPr>
          <w:p>
            <w:pPr>
              <w:widowControl/>
              <w:jc w:val="center"/>
              <w:outlineLvl w:val="0"/>
              <w:rPr>
                <w:rFonts w:ascii="宋体" w:hAnsi="宋体" w:eastAsia="宋体" w:cs="宋体"/>
                <w:kern w:val="0"/>
                <w:sz w:val="24"/>
                <w:szCs w:val="24"/>
              </w:rPr>
            </w:pP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（12.2×22）/2=134.2</w:t>
            </w:r>
          </w:p>
        </w:tc>
        <w:tc>
          <w:tcPr>
            <w:tcW w:w="3747" w:type="dxa"/>
            <w:noWrap w:val="0"/>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虹桥新村锦桥小区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b/>
                <w:bCs/>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6605.17</w:t>
            </w:r>
          </w:p>
        </w:tc>
        <w:tc>
          <w:tcPr>
            <w:tcW w:w="2193"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1566</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虹桥新村锦桥小区4幢东-西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42×11.5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483</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虹桥新村锦桥小区3幢东-西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42×5.5=231</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虹桥新村锦桥小区2号楼北东-西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28×5=140</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虹桥新村锦桥小区3幢北东-西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28×4.3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120.4</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7×28=196</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虹桥新村锦桥小区锦湖路二十五弄4幢北东-西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13.8×28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386.4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虹桥新村锦桥小区锦湖路二十五弄5幢后南-北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55.6×12.8 91×9.2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1548.88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虹桥新村锦桥小区锦湖路二十五弄2幢南东-西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13.3×13.3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176.89</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虹桥新村锦桥小区锦湖路5号楼东南-北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146×9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虹桥新村锦桥小区锦湖路5号楼北东-西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164</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8×41=328</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虹桥新村锦桥小区锦湖路6号楼北东-西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164</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8×41=328</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虹桥新村锦桥小区锦湖路7号楼北东-西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5.2×41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213.2</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7×41=287</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虹桥新村锦桥小区锦湖路8号楼北东-西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7×4=28</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虹桥新村锦桥小区锦湖路9号楼东-西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5×41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205</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7×4=28</w:t>
            </w: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spacing w:val="-6"/>
                <w:kern w:val="0"/>
                <w:sz w:val="24"/>
                <w:szCs w:val="24"/>
              </w:rPr>
              <w:t>虹桥新村锦桥小区锦湖河边路10号楼西南-北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7.8×158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1232.4</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220</w:t>
            </w: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瓦窑村西雅小区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b/>
                <w:bCs/>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6926.91</w:t>
            </w:r>
          </w:p>
        </w:tc>
        <w:tc>
          <w:tcPr>
            <w:tcW w:w="2193" w:type="dxa"/>
            <w:noWrap w:val="0"/>
            <w:vAlign w:val="center"/>
          </w:tcPr>
          <w:p>
            <w:pPr>
              <w:widowControl/>
              <w:jc w:val="center"/>
              <w:rPr>
                <w:rFonts w:ascii="宋体" w:hAnsi="宋体" w:eastAsia="宋体" w:cs="宋体"/>
                <w:b/>
                <w:bCs/>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西雅小区瑞湖路-河边屋后门（南-北）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59.5×18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1071</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西雅小区河边东至西-河边路（西雅路）</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48.5×11.9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577.15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西雅小区河边路东-西（办公楼后面）</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8.8×108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950.4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西雅小区西雅路11幢-西雅路7幢（南北）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78×8.8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686.4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西雅小区西雅路11幢前东-西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34.3×10.7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367.01</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西雅小区西雅路9幢前东-西、包括违章</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47.8×12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573.6</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spacing w:val="-17"/>
                <w:kern w:val="0"/>
                <w:sz w:val="24"/>
                <w:szCs w:val="24"/>
              </w:rPr>
              <w:t>西雅1幢-3幢之间东-西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57×10.2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581.4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西雅小区西雅路2幢-办公楼南北东-西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55.5×14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777</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西雅小区西雅路瓦窑村办公楼变电箱-公厕周边</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16.9×16.5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278.85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西雅小区西雅路2幢-河边东首路</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48×10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西雅小区1幢-3幢之间 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10.2×57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584.1</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spacing w:val="-11"/>
                <w:kern w:val="0"/>
                <w:sz w:val="24"/>
                <w:szCs w:val="24"/>
              </w:rPr>
              <w:t>五星村福泉西路三巷</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b/>
                <w:bCs/>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1437.6</w:t>
            </w:r>
          </w:p>
        </w:tc>
        <w:tc>
          <w:tcPr>
            <w:tcW w:w="2193" w:type="dxa"/>
            <w:noWrap w:val="0"/>
            <w:vAlign w:val="center"/>
          </w:tcPr>
          <w:p>
            <w:pPr>
              <w:widowControl/>
              <w:jc w:val="center"/>
              <w:rPr>
                <w:rFonts w:ascii="宋体" w:hAnsi="宋体" w:eastAsia="宋体" w:cs="宋体"/>
                <w:b/>
                <w:bCs/>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福泉西路三巷北东-西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福泉西路三巷中东-西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93×5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spacing w:val="-17"/>
                <w:kern w:val="0"/>
                <w:sz w:val="24"/>
                <w:szCs w:val="24"/>
              </w:rPr>
            </w:pPr>
            <w:r>
              <w:rPr>
                <w:rFonts w:hint="eastAsia" w:ascii="宋体" w:hAnsi="宋体" w:eastAsia="宋体" w:cs="宋体"/>
                <w:spacing w:val="-17"/>
                <w:kern w:val="0"/>
                <w:sz w:val="24"/>
                <w:szCs w:val="24"/>
              </w:rPr>
              <w:t>福泉西路三巷南</w:t>
            </w:r>
            <w:r>
              <w:rPr>
                <w:rFonts w:hint="eastAsia" w:ascii="宋体" w:hAnsi="宋体" w:eastAsia="宋体" w:cs="宋体"/>
                <w:spacing w:val="-17"/>
                <w:kern w:val="0"/>
                <w:sz w:val="24"/>
                <w:szCs w:val="24"/>
                <w:vertAlign w:val="subscript"/>
              </w:rPr>
              <w:t>1</w:t>
            </w:r>
            <w:r>
              <w:rPr>
                <w:rFonts w:hint="eastAsia" w:ascii="宋体" w:hAnsi="宋体" w:eastAsia="宋体" w:cs="宋体"/>
                <w:spacing w:val="-17"/>
                <w:kern w:val="0"/>
                <w:sz w:val="24"/>
                <w:szCs w:val="24"/>
              </w:rPr>
              <w:t>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52×4.4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228.8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spacing w:val="-17"/>
                <w:kern w:val="0"/>
                <w:sz w:val="24"/>
                <w:szCs w:val="24"/>
              </w:rPr>
            </w:pPr>
            <w:r>
              <w:rPr>
                <w:rFonts w:hint="eastAsia" w:ascii="宋体" w:hAnsi="宋体" w:eastAsia="宋体" w:cs="宋体"/>
                <w:spacing w:val="-17"/>
                <w:kern w:val="0"/>
                <w:sz w:val="24"/>
                <w:szCs w:val="24"/>
              </w:rPr>
              <w:t>福泉西路三巷南</w:t>
            </w:r>
            <w:r>
              <w:rPr>
                <w:rFonts w:hint="eastAsia" w:ascii="宋体" w:hAnsi="宋体" w:eastAsia="宋体" w:cs="宋体"/>
                <w:spacing w:val="-17"/>
                <w:kern w:val="0"/>
                <w:sz w:val="24"/>
                <w:szCs w:val="24"/>
                <w:vertAlign w:val="subscript"/>
              </w:rPr>
              <w:t>2</w:t>
            </w:r>
            <w:r>
              <w:rPr>
                <w:rFonts w:hint="eastAsia" w:ascii="宋体" w:hAnsi="宋体" w:eastAsia="宋体" w:cs="宋体"/>
                <w:spacing w:val="-17"/>
                <w:kern w:val="0"/>
                <w:sz w:val="24"/>
                <w:szCs w:val="24"/>
              </w:rPr>
              <w:t>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41×6.8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278.8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腾退房</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b/>
                <w:bCs/>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3512</w:t>
            </w:r>
          </w:p>
        </w:tc>
        <w:tc>
          <w:tcPr>
            <w:tcW w:w="2193" w:type="dxa"/>
            <w:noWrap w:val="0"/>
            <w:vAlign w:val="center"/>
          </w:tcPr>
          <w:p>
            <w:pPr>
              <w:widowControl/>
              <w:jc w:val="center"/>
              <w:rPr>
                <w:rFonts w:ascii="宋体" w:hAnsi="宋体" w:eastAsia="宋体" w:cs="宋体"/>
                <w:b/>
                <w:bCs/>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腾退房清波路南-北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157×16  100×10</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3512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新瑞中后门</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b/>
                <w:bCs/>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1055</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1000</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新瑞中后门环城河边</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211×5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1055</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1000</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牛伏岭</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789</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牛伏岭7幢一单元北首-门口</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牛伏岭周松北路6弄小区内（包括周围）</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621</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红旗实验小学</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2530</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红旗实验小学对面路（南）包括间距花园路-瓦窑一路</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restart"/>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115×15</w:t>
            </w:r>
          </w:p>
        </w:tc>
        <w:tc>
          <w:tcPr>
            <w:tcW w:w="1676" w:type="dxa"/>
            <w:vMerge w:val="restart"/>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1725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continue"/>
            <w:noWrap w:val="0"/>
            <w:vAlign w:val="center"/>
          </w:tcPr>
          <w:p>
            <w:pPr>
              <w:widowControl/>
              <w:jc w:val="center"/>
              <w:rPr>
                <w:rFonts w:ascii="宋体" w:hAnsi="宋体" w:eastAsia="宋体" w:cs="宋体"/>
                <w:kern w:val="0"/>
                <w:sz w:val="24"/>
                <w:szCs w:val="24"/>
              </w:rPr>
            </w:pPr>
          </w:p>
        </w:tc>
        <w:tc>
          <w:tcPr>
            <w:tcW w:w="1676" w:type="dxa"/>
            <w:vMerge w:val="continue"/>
            <w:noWrap w:val="0"/>
            <w:vAlign w:val="center"/>
          </w:tcPr>
          <w:p>
            <w:pPr>
              <w:widowControl/>
              <w:jc w:val="center"/>
              <w:rPr>
                <w:rFonts w:ascii="宋体" w:hAnsi="宋体" w:eastAsia="宋体" w:cs="宋体"/>
                <w:kern w:val="0"/>
                <w:sz w:val="24"/>
                <w:szCs w:val="24"/>
              </w:rPr>
            </w:pP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红旗实验小学对面路（北）包括间距花园路-瓦窑一路</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restart"/>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115×7</w:t>
            </w:r>
          </w:p>
        </w:tc>
        <w:tc>
          <w:tcPr>
            <w:tcW w:w="1676" w:type="dxa"/>
            <w:vMerge w:val="restart"/>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continue"/>
            <w:noWrap w:val="0"/>
            <w:vAlign w:val="center"/>
          </w:tcPr>
          <w:p>
            <w:pPr>
              <w:widowControl/>
              <w:jc w:val="center"/>
              <w:rPr>
                <w:rFonts w:ascii="宋体" w:hAnsi="宋体" w:eastAsia="宋体" w:cs="宋体"/>
                <w:kern w:val="0"/>
                <w:sz w:val="24"/>
                <w:szCs w:val="24"/>
              </w:rPr>
            </w:pPr>
          </w:p>
        </w:tc>
        <w:tc>
          <w:tcPr>
            <w:tcW w:w="1676" w:type="dxa"/>
            <w:vMerge w:val="continue"/>
            <w:noWrap w:val="0"/>
            <w:vAlign w:val="center"/>
          </w:tcPr>
          <w:p>
            <w:pPr>
              <w:widowControl/>
              <w:jc w:val="center"/>
              <w:rPr>
                <w:rFonts w:ascii="宋体" w:hAnsi="宋体" w:eastAsia="宋体" w:cs="宋体"/>
                <w:kern w:val="0"/>
                <w:sz w:val="24"/>
                <w:szCs w:val="24"/>
              </w:rPr>
            </w:pP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锦湖小区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6310.7</w:t>
            </w:r>
          </w:p>
        </w:tc>
        <w:tc>
          <w:tcPr>
            <w:tcW w:w="2193"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1750.6</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锦周路锦湖小区四弄1幢西、4幢南-北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43×9.3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399.9</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锦周路三1幢至锦湖小区4幢南-北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111×11.4</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1265.4</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锦周路5弄4幢北东-西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75×12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405</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锦周路5弄4幢南东-西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75×9</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675</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锦周路5弄3幢北东-西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75×12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565</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锦周路4弄2幢东-6弄2幢西（包括周边）</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45×13.3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598.5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锦周路4弄2幢东-西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45×9</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电视台宿舍路一单元3号南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35×5.6</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锦周路锦湖小区1幢北东-西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8.6×35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锦周路锦湖小区2幢北东-西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10.5×33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346.5</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206.4</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锦周路锦湖小区3幢北东-西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9.8×33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323.4</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175.2</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253</w:t>
            </w: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康乐小区中间路</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b/>
                <w:bCs/>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1960</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1430</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康乐小区中间路万松西宫路口东首路</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80×26-60×2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1960</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3390-1960=1430</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255</w:t>
            </w: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新瑞中对面花滨小区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1562.9</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花滨路6幢后北首东-西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300×3.3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99</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花滨路5幢后北首东-西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103.8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花滨路6幢前北首东-西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11×3.5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花滨路5幢前东-西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45×10.3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463.5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花滨路3幢后东-西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34×8.8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299.2</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花滨路4幢前东-西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花滨路2幢南首东-西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花滨路1幢后东-西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32.7×7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228.9</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康乐小区</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2645.53</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71.2</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康乐小区4幢一单元前东-西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25.5×6.8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173.4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康乐小区4幢四单元南-北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{（6.8+16.7）×（43.5+50）}/2-3.5×8+4.8×9</w:t>
            </w:r>
          </w:p>
        </w:tc>
        <w:tc>
          <w:tcPr>
            <w:tcW w:w="1676"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1113.83</w:t>
            </w:r>
          </w:p>
        </w:tc>
        <w:tc>
          <w:tcPr>
            <w:tcW w:w="2193" w:type="dxa"/>
            <w:vMerge w:val="restart"/>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3.5×8+4.8×9=71.2</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vMerge w:val="continue"/>
            <w:noWrap w:val="0"/>
            <w:vAlign w:val="center"/>
          </w:tcPr>
          <w:p>
            <w:pPr>
              <w:widowControl/>
              <w:jc w:val="center"/>
              <w:rPr>
                <w:rFonts w:ascii="宋体" w:hAnsi="宋体" w:eastAsia="宋体" w:cs="宋体"/>
                <w:kern w:val="0"/>
                <w:sz w:val="24"/>
                <w:szCs w:val="24"/>
              </w:rPr>
            </w:pPr>
          </w:p>
        </w:tc>
        <w:tc>
          <w:tcPr>
            <w:tcW w:w="1676" w:type="dxa"/>
            <w:vMerge w:val="continue"/>
            <w:noWrap w:val="0"/>
            <w:vAlign w:val="center"/>
          </w:tcPr>
          <w:p>
            <w:pPr>
              <w:widowControl/>
              <w:jc w:val="center"/>
              <w:rPr>
                <w:rFonts w:ascii="宋体" w:hAnsi="宋体" w:eastAsia="宋体" w:cs="宋体"/>
                <w:kern w:val="0"/>
                <w:sz w:val="24"/>
                <w:szCs w:val="24"/>
              </w:rPr>
            </w:pPr>
          </w:p>
        </w:tc>
        <w:tc>
          <w:tcPr>
            <w:tcW w:w="2193" w:type="dxa"/>
            <w:vMerge w:val="continue"/>
            <w:noWrap w:val="0"/>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康乐小区5幢花园路中间路东-西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5.0×28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康乐小区8幢西南-北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57.4×7</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401.8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康乐小区10幢南东-西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52×5.4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康乐小区10幢北东-西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43×5.4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232.2</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康乐小区9幢北东-西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34.6×7.5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259.5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康乐小区8幢北东-西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清波花苑</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10195.4</w:t>
            </w:r>
          </w:p>
        </w:tc>
        <w:tc>
          <w:tcPr>
            <w:tcW w:w="2193"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879</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7</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r>
              <w:rPr>
                <w:rFonts w:ascii="Times New Roman" w:hAnsi="Times New Roman" w:eastAsia="宋体"/>
                <w:kern w:val="0"/>
                <w:sz w:val="24"/>
                <w:szCs w:val="24"/>
              </w:rPr>
              <w:t>7.1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312.4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7</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r>
              <w:rPr>
                <w:rFonts w:ascii="Times New Roman" w:hAnsi="Times New Roman" w:eastAsia="宋体"/>
                <w:kern w:val="0"/>
                <w:sz w:val="24"/>
                <w:szCs w:val="24"/>
              </w:rPr>
              <w:t>11</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495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11</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12</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46×13.3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611.8</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8</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46×11.2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515.2</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9</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46×9</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9</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46×14.5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667</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10</w:t>
            </w:r>
            <w:r>
              <w:rPr>
                <w:rFonts w:hint="eastAsia" w:ascii="宋体" w:hAnsi="宋体" w:eastAsia="宋体" w:cs="宋体"/>
                <w:kern w:val="0"/>
                <w:sz w:val="24"/>
                <w:szCs w:val="24"/>
              </w:rPr>
              <w:t>幢北首东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45×6</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6</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r>
              <w:rPr>
                <w:rFonts w:ascii="Arial" w:hAnsi="Arial" w:eastAsia="宋体" w:cs="Arial"/>
                <w:kern w:val="0"/>
                <w:sz w:val="24"/>
                <w:szCs w:val="24"/>
              </w:rPr>
              <w:t>×15.2-43.8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625</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5</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44×17-43.8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704.2</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4</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44×16-43.8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660.2</w:t>
            </w:r>
          </w:p>
        </w:tc>
        <w:tc>
          <w:tcPr>
            <w:tcW w:w="219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3</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64.5×16.5-43.8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1020.5</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2</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64×16.5-43.8</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1012.2</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43.8</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1</w:t>
            </w:r>
            <w:r>
              <w:rPr>
                <w:rFonts w:hint="eastAsia" w:ascii="宋体" w:hAnsi="宋体" w:eastAsia="宋体" w:cs="宋体"/>
                <w:kern w:val="0"/>
                <w:sz w:val="24"/>
                <w:szCs w:val="24"/>
              </w:rPr>
              <w:t>幢南首东</w:t>
            </w:r>
            <w:r>
              <w:rPr>
                <w:rFonts w:ascii="Times New Roman" w:hAnsi="Times New Roman" w:eastAsia="宋体"/>
                <w:kern w:val="0"/>
                <w:sz w:val="24"/>
                <w:szCs w:val="24"/>
              </w:rPr>
              <w:t>-</w:t>
            </w:r>
            <w:r>
              <w:rPr>
                <w:rFonts w:hint="eastAsia" w:ascii="宋体" w:hAnsi="宋体" w:eastAsia="宋体" w:cs="宋体"/>
                <w:kern w:val="0"/>
                <w:sz w:val="24"/>
                <w:szCs w:val="24"/>
              </w:rPr>
              <w:t>西</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39.5×13</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513.5</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7</w:t>
            </w:r>
            <w:r>
              <w:rPr>
                <w:rFonts w:hint="eastAsia" w:ascii="宋体" w:hAnsi="宋体" w:eastAsia="宋体" w:cs="宋体"/>
                <w:kern w:val="0"/>
                <w:sz w:val="24"/>
                <w:szCs w:val="24"/>
              </w:rPr>
              <w:t>幢、</w:t>
            </w:r>
            <w:r>
              <w:rPr>
                <w:rFonts w:ascii="Times New Roman" w:hAnsi="Times New Roman" w:eastAsia="宋体"/>
                <w:kern w:val="0"/>
                <w:sz w:val="24"/>
                <w:szCs w:val="24"/>
              </w:rPr>
              <w:t>11</w:t>
            </w:r>
            <w:r>
              <w:rPr>
                <w:rFonts w:hint="eastAsia" w:ascii="宋体" w:hAnsi="宋体" w:eastAsia="宋体" w:cs="宋体"/>
                <w:kern w:val="0"/>
                <w:sz w:val="24"/>
                <w:szCs w:val="24"/>
              </w:rPr>
              <w:t>幢、</w:t>
            </w:r>
            <w:r>
              <w:rPr>
                <w:rFonts w:ascii="Times New Roman" w:hAnsi="Times New Roman" w:eastAsia="宋体"/>
                <w:kern w:val="0"/>
                <w:sz w:val="24"/>
                <w:szCs w:val="24"/>
              </w:rPr>
              <w:t>12</w:t>
            </w:r>
            <w:r>
              <w:rPr>
                <w:rFonts w:hint="eastAsia" w:ascii="宋体" w:hAnsi="宋体" w:eastAsia="宋体" w:cs="宋体"/>
                <w:kern w:val="0"/>
                <w:sz w:val="24"/>
                <w:szCs w:val="24"/>
              </w:rPr>
              <w:t>幢、</w:t>
            </w:r>
            <w:r>
              <w:rPr>
                <w:rFonts w:ascii="Times New Roman" w:hAnsi="Times New Roman" w:eastAsia="宋体"/>
                <w:kern w:val="0"/>
                <w:sz w:val="24"/>
                <w:szCs w:val="24"/>
              </w:rPr>
              <w:t>8</w:t>
            </w:r>
            <w:r>
              <w:rPr>
                <w:rFonts w:hint="eastAsia" w:ascii="宋体" w:hAnsi="宋体" w:eastAsia="宋体" w:cs="宋体"/>
                <w:kern w:val="0"/>
                <w:sz w:val="24"/>
                <w:szCs w:val="24"/>
              </w:rPr>
              <w:t>幢西首南</w:t>
            </w:r>
            <w:r>
              <w:rPr>
                <w:rFonts w:ascii="Times New Roman" w:hAnsi="Times New Roman" w:eastAsia="宋体"/>
                <w:kern w:val="0"/>
                <w:sz w:val="24"/>
                <w:szCs w:val="24"/>
              </w:rPr>
              <w:t>-</w:t>
            </w:r>
            <w:r>
              <w:rPr>
                <w:rFonts w:hint="eastAsia" w:ascii="宋体" w:hAnsi="宋体" w:eastAsia="宋体" w:cs="宋体"/>
                <w:kern w:val="0"/>
                <w:sz w:val="24"/>
                <w:szCs w:val="24"/>
              </w:rPr>
              <w:t>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100×9.5</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950</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清波花苑</w:t>
            </w:r>
            <w:r>
              <w:rPr>
                <w:rFonts w:ascii="Times New Roman" w:hAnsi="Times New Roman" w:eastAsia="宋体"/>
                <w:kern w:val="0"/>
                <w:sz w:val="24"/>
                <w:szCs w:val="24"/>
              </w:rPr>
              <w:t>9</w:t>
            </w:r>
            <w:r>
              <w:rPr>
                <w:rFonts w:hint="eastAsia" w:ascii="宋体" w:hAnsi="宋体" w:eastAsia="宋体" w:cs="宋体"/>
                <w:kern w:val="0"/>
                <w:sz w:val="24"/>
                <w:szCs w:val="24"/>
              </w:rPr>
              <w:t>幢、</w:t>
            </w:r>
            <w:r>
              <w:rPr>
                <w:rFonts w:ascii="Times New Roman" w:hAnsi="Times New Roman" w:eastAsia="宋体"/>
                <w:kern w:val="0"/>
                <w:sz w:val="24"/>
                <w:szCs w:val="24"/>
              </w:rPr>
              <w:t>10</w:t>
            </w:r>
            <w:r>
              <w:rPr>
                <w:rFonts w:hint="eastAsia" w:ascii="宋体" w:hAnsi="宋体" w:eastAsia="宋体" w:cs="宋体"/>
                <w:kern w:val="0"/>
                <w:sz w:val="24"/>
                <w:szCs w:val="24"/>
              </w:rPr>
              <w:t>幢西首南</w:t>
            </w:r>
            <w:r>
              <w:rPr>
                <w:rFonts w:ascii="Times New Roman" w:hAnsi="Times New Roman" w:eastAsia="宋体"/>
                <w:kern w:val="0"/>
                <w:sz w:val="24"/>
                <w:szCs w:val="24"/>
              </w:rPr>
              <w:t>-</w:t>
            </w:r>
            <w:r>
              <w:rPr>
                <w:rFonts w:hint="eastAsia" w:ascii="宋体" w:hAnsi="宋体" w:eastAsia="宋体" w:cs="宋体"/>
                <w:kern w:val="0"/>
                <w:sz w:val="24"/>
                <w:szCs w:val="24"/>
              </w:rPr>
              <w:t>北</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84.5×12</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1010.4</w:t>
            </w:r>
          </w:p>
        </w:tc>
        <w:tc>
          <w:tcPr>
            <w:tcW w:w="2193" w:type="dxa"/>
            <w:noWrap w:val="0"/>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沙河新村</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0"/>
            <w:vAlign w:val="center"/>
          </w:tcPr>
          <w:p>
            <w:pPr>
              <w:widowControl/>
              <w:jc w:val="center"/>
              <w:rPr>
                <w:rFonts w:ascii="宋体" w:hAnsi="宋体" w:eastAsia="宋体" w:cs="宋体"/>
                <w:kern w:val="0"/>
                <w:sz w:val="24"/>
                <w:szCs w:val="24"/>
              </w:rPr>
            </w:pP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17694.8</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2370.575</w:t>
            </w: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沙河新村</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22200</w:t>
            </w:r>
            <w:r>
              <w:rPr>
                <w:rFonts w:hint="eastAsia" w:ascii="宋体" w:hAnsi="宋体" w:eastAsia="宋体" w:cs="宋体"/>
                <w:b/>
                <w:bCs/>
                <w:kern w:val="0"/>
                <w:sz w:val="24"/>
                <w:szCs w:val="24"/>
              </w:rPr>
              <w:t>－</w:t>
            </w:r>
            <w:r>
              <w:rPr>
                <w:rFonts w:ascii="Times New Roman" w:hAnsi="Times New Roman" w:eastAsia="宋体"/>
                <w:kern w:val="0"/>
                <w:sz w:val="24"/>
                <w:szCs w:val="24"/>
              </w:rPr>
              <w:t>2134.63</w:t>
            </w:r>
            <w:r>
              <w:rPr>
                <w:rFonts w:hint="eastAsia" w:ascii="宋体" w:hAnsi="宋体" w:eastAsia="宋体" w:cs="宋体"/>
                <w:kern w:val="0"/>
                <w:sz w:val="24"/>
                <w:szCs w:val="24"/>
              </w:rPr>
              <w:t>(违章)</w:t>
            </w:r>
            <w:r>
              <w:rPr>
                <w:rFonts w:hint="eastAsia" w:ascii="宋体" w:hAnsi="宋体" w:eastAsia="宋体" w:cs="宋体"/>
                <w:b/>
                <w:bCs/>
                <w:kern w:val="0"/>
                <w:sz w:val="24"/>
                <w:szCs w:val="24"/>
              </w:rPr>
              <w:t>－</w:t>
            </w:r>
            <w:r>
              <w:rPr>
                <w:rFonts w:hint="eastAsia" w:ascii="宋体" w:hAnsi="宋体" w:eastAsia="宋体" w:cs="宋体"/>
                <w:kern w:val="0"/>
                <w:sz w:val="24"/>
                <w:szCs w:val="24"/>
              </w:rPr>
              <w:t>2370.575(绿地)</w:t>
            </w:r>
          </w:p>
        </w:tc>
        <w:tc>
          <w:tcPr>
            <w:tcW w:w="1676"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17694.8</w:t>
            </w:r>
          </w:p>
        </w:tc>
        <w:tc>
          <w:tcPr>
            <w:tcW w:w="219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2370.575</w:t>
            </w: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城北菜场南侧路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250×10</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锦湖路至虹锦路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291</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锦冠大厦南侧</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190×19</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3610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锦湖路至邮电北路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292</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远东宿舍</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60×50</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293</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体育小区西首路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325.5×13</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4231.5</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福泉东路至体育东路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294</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瑞锦花苑北至东边路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250×15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3750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295</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瑞锦花苑北至南首路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150×12</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1800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瑞锦花苑南首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150×4</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continue"/>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296</w:t>
            </w:r>
          </w:p>
        </w:tc>
        <w:tc>
          <w:tcPr>
            <w:tcW w:w="1326" w:type="dxa"/>
            <w:vMerge w:val="restart"/>
            <w:noWrap w:val="0"/>
            <w:vAlign w:val="center"/>
          </w:tcPr>
          <w:p>
            <w:pPr>
              <w:widowControl/>
              <w:jc w:val="center"/>
              <w:rPr>
                <w:rFonts w:ascii="宋体" w:hAnsi="宋体" w:eastAsia="宋体" w:cs="宋体"/>
                <w:kern w:val="0"/>
                <w:sz w:val="24"/>
                <w:szCs w:val="24"/>
              </w:rPr>
            </w:pPr>
          </w:p>
        </w:tc>
        <w:tc>
          <w:tcPr>
            <w:tcW w:w="2500"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瑞锦花苑西首沿河路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160×5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restart"/>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沿江西路至瑞枫线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vMerge w:val="continue"/>
            <w:noWrap w:val="0"/>
            <w:vAlign w:val="center"/>
          </w:tcPr>
          <w:p>
            <w:pPr>
              <w:widowControl/>
              <w:jc w:val="center"/>
              <w:rPr>
                <w:rFonts w:ascii="宋体" w:hAnsi="宋体" w:eastAsia="宋体" w:cs="宋体"/>
                <w:kern w:val="0"/>
                <w:sz w:val="24"/>
                <w:szCs w:val="24"/>
              </w:rPr>
            </w:pPr>
          </w:p>
        </w:tc>
        <w:tc>
          <w:tcPr>
            <w:tcW w:w="1326" w:type="dxa"/>
            <w:vMerge w:val="continue"/>
            <w:noWrap w:val="0"/>
            <w:vAlign w:val="center"/>
          </w:tcPr>
          <w:p>
            <w:pPr>
              <w:widowControl/>
              <w:jc w:val="center"/>
              <w:rPr>
                <w:rFonts w:ascii="宋体" w:hAnsi="宋体" w:eastAsia="宋体" w:cs="宋体"/>
                <w:kern w:val="0"/>
                <w:sz w:val="24"/>
                <w:szCs w:val="24"/>
              </w:rPr>
            </w:pPr>
          </w:p>
        </w:tc>
        <w:tc>
          <w:tcPr>
            <w:tcW w:w="2500" w:type="dxa"/>
            <w:vMerge w:val="continue"/>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270×5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1350</w:t>
            </w:r>
          </w:p>
        </w:tc>
        <w:tc>
          <w:tcPr>
            <w:tcW w:w="2193" w:type="dxa"/>
            <w:noWrap w:val="0"/>
            <w:vAlign w:val="center"/>
          </w:tcPr>
          <w:p>
            <w:pPr>
              <w:widowControl/>
              <w:jc w:val="center"/>
              <w:rPr>
                <w:rFonts w:ascii="宋体" w:hAnsi="宋体" w:eastAsia="宋体" w:cs="宋体"/>
                <w:kern w:val="0"/>
                <w:sz w:val="24"/>
                <w:szCs w:val="24"/>
              </w:rPr>
            </w:pPr>
          </w:p>
        </w:tc>
        <w:tc>
          <w:tcPr>
            <w:tcW w:w="3747" w:type="dxa"/>
            <w:vMerge w:val="continue"/>
            <w:noWrap w:val="0"/>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297</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瑞锦花苑边上山路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130×5</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瑞锦花苑东北角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298</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小横山教堂边路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150×6</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900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山边小路至瑞锦花苑环路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299</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小横山教堂边坦</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60×21</w:t>
            </w:r>
          </w:p>
        </w:tc>
        <w:tc>
          <w:tcPr>
            <w:tcW w:w="1676"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1260</w:t>
            </w:r>
          </w:p>
        </w:tc>
        <w:tc>
          <w:tcPr>
            <w:tcW w:w="2193" w:type="dxa"/>
            <w:noWrap w:val="0"/>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小横山教堂至瑞锦花苑环路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83"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300</w:t>
            </w:r>
          </w:p>
        </w:tc>
        <w:tc>
          <w:tcPr>
            <w:tcW w:w="1326" w:type="dxa"/>
            <w:noWrap w:val="0"/>
            <w:vAlign w:val="center"/>
          </w:tcPr>
          <w:p>
            <w:pPr>
              <w:widowControl/>
              <w:jc w:val="center"/>
              <w:rPr>
                <w:rFonts w:ascii="宋体" w:hAnsi="宋体" w:eastAsia="宋体" w:cs="宋体"/>
                <w:kern w:val="0"/>
                <w:sz w:val="24"/>
                <w:szCs w:val="24"/>
              </w:rPr>
            </w:pPr>
          </w:p>
        </w:tc>
        <w:tc>
          <w:tcPr>
            <w:tcW w:w="2500"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无名路</w:t>
            </w:r>
          </w:p>
        </w:tc>
        <w:tc>
          <w:tcPr>
            <w:tcW w:w="844"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65×4</w:t>
            </w:r>
          </w:p>
        </w:tc>
        <w:tc>
          <w:tcPr>
            <w:tcW w:w="1676"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260</w:t>
            </w:r>
          </w:p>
        </w:tc>
        <w:tc>
          <w:tcPr>
            <w:tcW w:w="2193" w:type="dxa"/>
            <w:noWrap/>
            <w:vAlign w:val="center"/>
          </w:tcPr>
          <w:p>
            <w:pPr>
              <w:widowControl/>
              <w:jc w:val="center"/>
              <w:rPr>
                <w:rFonts w:ascii="宋体" w:hAnsi="宋体" w:eastAsia="宋体" w:cs="宋体"/>
                <w:kern w:val="0"/>
                <w:sz w:val="24"/>
                <w:szCs w:val="24"/>
              </w:rPr>
            </w:pPr>
          </w:p>
        </w:tc>
        <w:tc>
          <w:tcPr>
            <w:tcW w:w="3747" w:type="dxa"/>
            <w:noWrap w:val="0"/>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虹北锦园东门口和虹北花苑西门交叉路口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rPr>
                <w:rFonts w:ascii="宋体" w:hAnsi="宋体" w:eastAsia="宋体" w:cs="宋体"/>
                <w:kern w:val="0"/>
                <w:sz w:val="24"/>
                <w:szCs w:val="24"/>
              </w:rPr>
            </w:pPr>
          </w:p>
        </w:tc>
        <w:tc>
          <w:tcPr>
            <w:tcW w:w="132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礁石进星村</w:t>
            </w:r>
          </w:p>
        </w:tc>
        <w:tc>
          <w:tcPr>
            <w:tcW w:w="2500" w:type="dxa"/>
            <w:noWrap w:val="0"/>
            <w:vAlign w:val="center"/>
          </w:tcPr>
          <w:p>
            <w:pPr>
              <w:widowControl/>
              <w:jc w:val="center"/>
              <w:rPr>
                <w:rFonts w:ascii="宋体" w:hAnsi="宋体" w:eastAsia="宋体" w:cs="宋体"/>
                <w:kern w:val="0"/>
                <w:sz w:val="24"/>
                <w:szCs w:val="24"/>
              </w:rPr>
            </w:pPr>
          </w:p>
        </w:tc>
        <w:tc>
          <w:tcPr>
            <w:tcW w:w="844" w:type="dxa"/>
            <w:noWrap w:val="0"/>
            <w:vAlign w:val="center"/>
          </w:tcPr>
          <w:p>
            <w:pPr>
              <w:widowControl/>
              <w:jc w:val="center"/>
              <w:rPr>
                <w:rFonts w:ascii="宋体" w:hAnsi="宋体" w:eastAsia="宋体" w:cs="宋体"/>
                <w:kern w:val="0"/>
                <w:sz w:val="24"/>
                <w:szCs w:val="24"/>
              </w:rPr>
            </w:pPr>
          </w:p>
        </w:tc>
        <w:tc>
          <w:tcPr>
            <w:tcW w:w="1553" w:type="dxa"/>
            <w:noWrap/>
            <w:vAlign w:val="center"/>
          </w:tcPr>
          <w:p>
            <w:pPr>
              <w:widowControl/>
              <w:jc w:val="center"/>
              <w:rPr>
                <w:rFonts w:ascii="宋体" w:hAnsi="宋体" w:eastAsia="宋体" w:cs="宋体"/>
                <w:kern w:val="0"/>
                <w:sz w:val="24"/>
                <w:szCs w:val="24"/>
              </w:rPr>
            </w:pPr>
          </w:p>
        </w:tc>
        <w:tc>
          <w:tcPr>
            <w:tcW w:w="1676" w:type="dxa"/>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49333.58</w:t>
            </w:r>
          </w:p>
        </w:tc>
        <w:tc>
          <w:tcPr>
            <w:tcW w:w="2193" w:type="dxa"/>
            <w:noWrap/>
            <w:vAlign w:val="center"/>
          </w:tcPr>
          <w:p>
            <w:pPr>
              <w:widowControl/>
              <w:jc w:val="center"/>
              <w:rPr>
                <w:rFonts w:ascii="宋体" w:hAnsi="宋体" w:eastAsia="宋体" w:cs="宋体"/>
                <w:kern w:val="0"/>
                <w:sz w:val="24"/>
                <w:szCs w:val="24"/>
              </w:rPr>
            </w:pPr>
          </w:p>
        </w:tc>
        <w:tc>
          <w:tcPr>
            <w:tcW w:w="3747" w:type="dxa"/>
            <w:noWrap/>
            <w:vAlign w:val="center"/>
          </w:tcPr>
          <w:p>
            <w:pPr>
              <w:widowControl/>
              <w:jc w:val="center"/>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11.4×8</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91.2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33.5×4.3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144.05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11.5×11.5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132.25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36×5.9</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212.4</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29.6×3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88.8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55×2.6</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143</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20×2.6</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11×7.2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5.6×7</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28.5×5.1</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145.35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35×3.9</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136.5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48×3.2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153.6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98×4.5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441</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20.6×10.2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210.12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30×3+26×4</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194</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56×3.8</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212.8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115×5.2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598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18</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176×4.5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19</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152×2.5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252×3.2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806.4</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122×3.5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427</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139.6×5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698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23</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114×3.5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399</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105×3</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30×1.2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26</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32×3.8</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27</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3.4×42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142.8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28</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56.5×4.5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254.25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29</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149.8×4.2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629.16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206×3.5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721</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31</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142×5.6</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795.2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32</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229×2.5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572.5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80×2.5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200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122×2.5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305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36</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101×2.5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252.5</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37</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60×3.5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210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38</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140×2.5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350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339</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39</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40×4</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160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340</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40</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43×2</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86</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341</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41</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102×5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510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342</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42</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安固棚</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343</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43</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工业区</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13170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344</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44</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小广场</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600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345</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办事处对面</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450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346</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46</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小区</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12173.68</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347</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47</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530×9+16×195</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7890</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3"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348</w:t>
            </w:r>
          </w:p>
        </w:tc>
        <w:tc>
          <w:tcPr>
            <w:tcW w:w="1326" w:type="dxa"/>
            <w:noWrap w:val="0"/>
            <w:vAlign w:val="center"/>
          </w:tcPr>
          <w:p>
            <w:pPr>
              <w:widowControl/>
              <w:jc w:val="center"/>
              <w:outlineLvl w:val="0"/>
              <w:rPr>
                <w:rFonts w:ascii="宋体" w:hAnsi="宋体" w:eastAsia="宋体" w:cs="宋体"/>
                <w:kern w:val="0"/>
                <w:sz w:val="24"/>
                <w:szCs w:val="24"/>
              </w:rPr>
            </w:pPr>
          </w:p>
        </w:tc>
        <w:tc>
          <w:tcPr>
            <w:tcW w:w="2500"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48</w:t>
            </w:r>
          </w:p>
        </w:tc>
        <w:tc>
          <w:tcPr>
            <w:tcW w:w="844" w:type="dxa"/>
            <w:noWrap w:val="0"/>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四级</w:t>
            </w:r>
          </w:p>
        </w:tc>
        <w:tc>
          <w:tcPr>
            <w:tcW w:w="1553"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瑞枫线沿江西路小区</w:t>
            </w:r>
          </w:p>
        </w:tc>
        <w:tc>
          <w:tcPr>
            <w:tcW w:w="1676" w:type="dxa"/>
            <w:noWrap/>
            <w:vAlign w:val="center"/>
          </w:tcPr>
          <w:p>
            <w:pPr>
              <w:widowControl/>
              <w:jc w:val="center"/>
              <w:outlineLvl w:val="0"/>
              <w:rPr>
                <w:rFonts w:ascii="宋体" w:hAnsi="宋体" w:eastAsia="宋体" w:cs="宋体"/>
                <w:kern w:val="0"/>
                <w:sz w:val="24"/>
                <w:szCs w:val="24"/>
              </w:rPr>
            </w:pPr>
            <w:r>
              <w:rPr>
                <w:rFonts w:hint="eastAsia" w:ascii="宋体" w:hAnsi="宋体" w:eastAsia="宋体" w:cs="宋体"/>
                <w:kern w:val="0"/>
                <w:sz w:val="24"/>
                <w:szCs w:val="24"/>
              </w:rPr>
              <w:t>2443.02</w:t>
            </w:r>
          </w:p>
        </w:tc>
        <w:tc>
          <w:tcPr>
            <w:tcW w:w="2193" w:type="dxa"/>
            <w:noWrap/>
            <w:vAlign w:val="center"/>
          </w:tcPr>
          <w:p>
            <w:pPr>
              <w:widowControl/>
              <w:jc w:val="center"/>
              <w:outlineLvl w:val="0"/>
              <w:rPr>
                <w:rFonts w:ascii="宋体" w:hAnsi="宋体" w:eastAsia="宋体" w:cs="宋体"/>
                <w:kern w:val="0"/>
                <w:sz w:val="24"/>
                <w:szCs w:val="24"/>
              </w:rPr>
            </w:pPr>
          </w:p>
        </w:tc>
        <w:tc>
          <w:tcPr>
            <w:tcW w:w="3747" w:type="dxa"/>
            <w:noWrap/>
            <w:vAlign w:val="center"/>
          </w:tcPr>
          <w:p>
            <w:pPr>
              <w:widowControl/>
              <w:jc w:val="center"/>
              <w:outlineLvl w:val="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806" w:type="dxa"/>
            <w:gridSpan w:val="5"/>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四级道路合计</w:t>
            </w:r>
          </w:p>
        </w:tc>
        <w:tc>
          <w:tcPr>
            <w:tcW w:w="1676"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372430.61</w:t>
            </w:r>
          </w:p>
        </w:tc>
        <w:tc>
          <w:tcPr>
            <w:tcW w:w="2193" w:type="dxa"/>
            <w:noWrap w:val="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16823.995</w:t>
            </w:r>
          </w:p>
        </w:tc>
        <w:tc>
          <w:tcPr>
            <w:tcW w:w="3747" w:type="dxa"/>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389254.605</w:t>
            </w:r>
          </w:p>
        </w:tc>
      </w:tr>
    </w:tbl>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锦湖街道公园广场</w:t>
      </w:r>
      <w:r>
        <w:rPr>
          <w:rFonts w:hint="eastAsia" w:ascii="宋体" w:hAnsi="宋体" w:eastAsia="宋体" w:cs="宋体"/>
          <w:b/>
          <w:bCs/>
          <w:color w:val="auto"/>
          <w:sz w:val="22"/>
          <w:szCs w:val="22"/>
          <w:highlight w:val="none"/>
        </w:rPr>
        <w:t>环卫作业清单</w:t>
      </w:r>
    </w:p>
    <w:tbl>
      <w:tblPr>
        <w:tblStyle w:val="29"/>
        <w:tblW w:w="4998" w:type="pct"/>
        <w:tblInd w:w="0" w:type="dxa"/>
        <w:tblLayout w:type="autofit"/>
        <w:tblCellMar>
          <w:top w:w="0" w:type="dxa"/>
          <w:left w:w="108" w:type="dxa"/>
          <w:bottom w:w="0" w:type="dxa"/>
          <w:right w:w="108" w:type="dxa"/>
        </w:tblCellMar>
      </w:tblPr>
      <w:tblGrid>
        <w:gridCol w:w="1180"/>
        <w:gridCol w:w="3497"/>
        <w:gridCol w:w="3285"/>
        <w:gridCol w:w="3285"/>
        <w:gridCol w:w="3079"/>
      </w:tblGrid>
      <w:tr>
        <w:tblPrEx>
          <w:tblCellMar>
            <w:top w:w="0" w:type="dxa"/>
            <w:left w:w="108" w:type="dxa"/>
            <w:bottom w:w="0" w:type="dxa"/>
            <w:right w:w="108" w:type="dxa"/>
          </w:tblCellMar>
        </w:tblPrEx>
        <w:trPr>
          <w:trHeight w:val="499" w:hRule="atLeast"/>
        </w:trPr>
        <w:tc>
          <w:tcPr>
            <w:tcW w:w="4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2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公园广场名称</w:t>
            </w:r>
          </w:p>
        </w:tc>
        <w:tc>
          <w:tcPr>
            <w:tcW w:w="11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道路面积（㎡）</w:t>
            </w:r>
          </w:p>
        </w:tc>
        <w:tc>
          <w:tcPr>
            <w:tcW w:w="11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绿化面积（㎡）</w:t>
            </w:r>
          </w:p>
        </w:tc>
        <w:tc>
          <w:tcPr>
            <w:tcW w:w="107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499" w:hRule="atLeast"/>
        </w:trPr>
        <w:tc>
          <w:tcPr>
            <w:tcW w:w="41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22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14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14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074"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412"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20"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周松北路公园</w:t>
            </w:r>
          </w:p>
        </w:tc>
        <w:tc>
          <w:tcPr>
            <w:tcW w:w="1146"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1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w:t>
            </w:r>
          </w:p>
        </w:tc>
        <w:tc>
          <w:tcPr>
            <w:tcW w:w="1074"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412"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20"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集云山公园南入口</w:t>
            </w:r>
          </w:p>
        </w:tc>
        <w:tc>
          <w:tcPr>
            <w:tcW w:w="1146"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3022</w:t>
            </w:r>
          </w:p>
        </w:tc>
        <w:tc>
          <w:tcPr>
            <w:tcW w:w="11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13465</w:t>
            </w:r>
          </w:p>
        </w:tc>
        <w:tc>
          <w:tcPr>
            <w:tcW w:w="1074"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28" w:hRule="atLeast"/>
        </w:trPr>
        <w:tc>
          <w:tcPr>
            <w:tcW w:w="412"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20"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高速出口景观提升工程一期</w:t>
            </w:r>
          </w:p>
        </w:tc>
        <w:tc>
          <w:tcPr>
            <w:tcW w:w="1146"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146"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9000</w:t>
            </w:r>
          </w:p>
        </w:tc>
        <w:tc>
          <w:tcPr>
            <w:tcW w:w="1074"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99" w:hRule="atLeast"/>
        </w:trPr>
        <w:tc>
          <w:tcPr>
            <w:tcW w:w="412"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20"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万松山隧道西</w:t>
            </w:r>
          </w:p>
        </w:tc>
        <w:tc>
          <w:tcPr>
            <w:tcW w:w="1146"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146"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7650</w:t>
            </w:r>
          </w:p>
        </w:tc>
        <w:tc>
          <w:tcPr>
            <w:tcW w:w="1074"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25" w:hRule="atLeast"/>
        </w:trPr>
        <w:tc>
          <w:tcPr>
            <w:tcW w:w="1632" w:type="pct"/>
            <w:gridSpan w:val="2"/>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1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3022</w:t>
            </w:r>
          </w:p>
        </w:tc>
        <w:tc>
          <w:tcPr>
            <w:tcW w:w="11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42115</w:t>
            </w:r>
          </w:p>
        </w:tc>
        <w:tc>
          <w:tcPr>
            <w:tcW w:w="107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bl>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锦湖街道河道</w:t>
      </w:r>
      <w:r>
        <w:rPr>
          <w:rFonts w:hint="eastAsia" w:ascii="宋体" w:hAnsi="宋体" w:eastAsia="宋体" w:cs="宋体"/>
          <w:b/>
          <w:bCs/>
          <w:color w:val="auto"/>
          <w:sz w:val="22"/>
          <w:szCs w:val="22"/>
          <w:highlight w:val="none"/>
        </w:rPr>
        <w:t>环卫作业清单</w:t>
      </w:r>
    </w:p>
    <w:tbl>
      <w:tblPr>
        <w:tblStyle w:val="29"/>
        <w:tblW w:w="4997" w:type="pct"/>
        <w:tblInd w:w="0" w:type="dxa"/>
        <w:tblLayout w:type="autofit"/>
        <w:tblCellMar>
          <w:top w:w="0" w:type="dxa"/>
          <w:left w:w="108" w:type="dxa"/>
          <w:bottom w:w="0" w:type="dxa"/>
          <w:right w:w="108" w:type="dxa"/>
        </w:tblCellMar>
      </w:tblPr>
      <w:tblGrid>
        <w:gridCol w:w="671"/>
        <w:gridCol w:w="1874"/>
        <w:gridCol w:w="2473"/>
        <w:gridCol w:w="1272"/>
        <w:gridCol w:w="2485"/>
        <w:gridCol w:w="2473"/>
        <w:gridCol w:w="3075"/>
      </w:tblGrid>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社区、村名称</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河道名称</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河道级别</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长×宽（m）</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起止</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西门河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500×25</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市区交警中队至西门红旗闸门</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1300×（6~30）</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35800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瓦窑桥至花园新村</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FF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西横河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650×（13~16）</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瓦窑桥至西河小区</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西直河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1450×（14~18）</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万松西路工商银行至河棣桥</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高岗横河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850×（8~10）</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后垟河支流文化新村段</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牛伏岭河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500×（10~23）</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后垟河支流牛伏岭村段</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周岙河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700×（9~22）</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后垟河支流体育馆段</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后垟河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1300×（20~28）</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河滨公园至虹北锦园</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龙池河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900×（5~12）</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107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虹北锦园至龙池</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进星河双山段</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1800×（4~6）</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出江水闸至小横山界</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进星河村内段</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1200×（5~10）</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岙底至江北水厂</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FF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愚溪河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1100×（10~20）</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仰头坑至瑞枫路桥下</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朱坑脚河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700×（4~6）</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朱坑山脚至环城河</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西岙河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1700×（6~20）</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瑞枫线至高速便道</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界河头河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530×（4~8）</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3180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西岙办公楼至环城河</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小横山直河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350×（8~12）</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小横山至新瑞湖路</w:t>
            </w:r>
          </w:p>
        </w:tc>
      </w:tr>
      <w:tr>
        <w:tblPrEx>
          <w:tblCellMar>
            <w:top w:w="0" w:type="dxa"/>
            <w:left w:w="108" w:type="dxa"/>
            <w:bottom w:w="0" w:type="dxa"/>
            <w:right w:w="108" w:type="dxa"/>
          </w:tblCellMar>
        </w:tblPrEx>
        <w:trPr>
          <w:trHeight w:val="499" w:hRule="atLeast"/>
        </w:trPr>
        <w:tc>
          <w:tcPr>
            <w:tcW w:w="2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横河</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86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620×（6~10）</w:t>
            </w:r>
          </w:p>
        </w:tc>
        <w:tc>
          <w:tcPr>
            <w:tcW w:w="8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4960</w:t>
            </w:r>
          </w:p>
        </w:tc>
        <w:tc>
          <w:tcPr>
            <w:tcW w:w="107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进星界至环城河</w:t>
            </w:r>
          </w:p>
        </w:tc>
      </w:tr>
      <w:tr>
        <w:tblPrEx>
          <w:tblCellMar>
            <w:top w:w="0" w:type="dxa"/>
            <w:left w:w="108" w:type="dxa"/>
            <w:bottom w:w="0" w:type="dxa"/>
            <w:right w:w="108" w:type="dxa"/>
          </w:tblCellMar>
        </w:tblPrEx>
        <w:trPr>
          <w:trHeight w:val="600" w:hRule="atLeast"/>
        </w:trPr>
        <w:tc>
          <w:tcPr>
            <w:tcW w:w="306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225040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r>
    </w:tbl>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锦湖街道堤坝</w:t>
      </w:r>
      <w:r>
        <w:rPr>
          <w:rFonts w:hint="eastAsia" w:ascii="宋体" w:hAnsi="宋体" w:eastAsia="宋体" w:cs="宋体"/>
          <w:b/>
          <w:bCs/>
          <w:color w:val="auto"/>
          <w:sz w:val="22"/>
          <w:szCs w:val="22"/>
          <w:highlight w:val="none"/>
        </w:rPr>
        <w:t>环卫作业清单</w:t>
      </w:r>
    </w:p>
    <w:tbl>
      <w:tblPr>
        <w:tblStyle w:val="29"/>
        <w:tblW w:w="4999" w:type="pct"/>
        <w:tblInd w:w="0" w:type="dxa"/>
        <w:tblLayout w:type="autofit"/>
        <w:tblCellMar>
          <w:top w:w="0" w:type="dxa"/>
          <w:left w:w="108" w:type="dxa"/>
          <w:bottom w:w="0" w:type="dxa"/>
          <w:right w:w="108" w:type="dxa"/>
        </w:tblCellMar>
      </w:tblPr>
      <w:tblGrid>
        <w:gridCol w:w="1393"/>
        <w:gridCol w:w="5143"/>
        <w:gridCol w:w="3896"/>
        <w:gridCol w:w="3897"/>
      </w:tblGrid>
      <w:tr>
        <w:tblPrEx>
          <w:tblCellMar>
            <w:top w:w="0" w:type="dxa"/>
            <w:left w:w="108" w:type="dxa"/>
            <w:bottom w:w="0" w:type="dxa"/>
            <w:right w:w="108" w:type="dxa"/>
          </w:tblCellMar>
        </w:tblPrEx>
        <w:trPr>
          <w:trHeight w:val="499" w:hRule="atLeast"/>
        </w:trPr>
        <w:tc>
          <w:tcPr>
            <w:tcW w:w="48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17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堤坝名称</w:t>
            </w:r>
          </w:p>
        </w:tc>
        <w:tc>
          <w:tcPr>
            <w:tcW w:w="135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长（m）</w:t>
            </w:r>
          </w:p>
        </w:tc>
        <w:tc>
          <w:tcPr>
            <w:tcW w:w="135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tblPrEx>
          <w:tblCellMar>
            <w:top w:w="0" w:type="dxa"/>
            <w:left w:w="108" w:type="dxa"/>
            <w:bottom w:w="0" w:type="dxa"/>
            <w:right w:w="108" w:type="dxa"/>
          </w:tblCellMar>
        </w:tblPrEx>
        <w:trPr>
          <w:trHeight w:val="312" w:hRule="atLeast"/>
        </w:trPr>
        <w:tc>
          <w:tcPr>
            <w:tcW w:w="48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79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5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5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4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锦湖街道堤坝</w:t>
            </w:r>
          </w:p>
        </w:tc>
        <w:tc>
          <w:tcPr>
            <w:tcW w:w="1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2600</w:t>
            </w:r>
          </w:p>
        </w:tc>
        <w:tc>
          <w:tcPr>
            <w:tcW w:w="1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bl>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锦湖街道</w:t>
      </w:r>
      <w:r>
        <w:rPr>
          <w:rFonts w:hint="eastAsia" w:ascii="宋体" w:hAnsi="宋体" w:eastAsia="宋体" w:cs="宋体"/>
          <w:b/>
          <w:bCs/>
          <w:color w:val="auto"/>
          <w:sz w:val="22"/>
          <w:szCs w:val="22"/>
          <w:highlight w:val="none"/>
        </w:rPr>
        <w:t>公路环卫作业清单</w:t>
      </w:r>
    </w:p>
    <w:tbl>
      <w:tblPr>
        <w:tblStyle w:val="29"/>
        <w:tblW w:w="4998" w:type="pct"/>
        <w:tblInd w:w="0" w:type="dxa"/>
        <w:tblLayout w:type="autofit"/>
        <w:tblCellMar>
          <w:top w:w="0" w:type="dxa"/>
          <w:left w:w="108" w:type="dxa"/>
          <w:bottom w:w="0" w:type="dxa"/>
          <w:right w:w="108" w:type="dxa"/>
        </w:tblCellMar>
      </w:tblPr>
      <w:tblGrid>
        <w:gridCol w:w="857"/>
        <w:gridCol w:w="3154"/>
        <w:gridCol w:w="1623"/>
        <w:gridCol w:w="2388"/>
        <w:gridCol w:w="2388"/>
        <w:gridCol w:w="3916"/>
      </w:tblGrid>
      <w:tr>
        <w:tblPrEx>
          <w:tblCellMar>
            <w:top w:w="0" w:type="dxa"/>
            <w:left w:w="108" w:type="dxa"/>
            <w:bottom w:w="0" w:type="dxa"/>
            <w:right w:w="108" w:type="dxa"/>
          </w:tblCellMar>
        </w:tblPrEx>
        <w:trPr>
          <w:trHeight w:val="499" w:hRule="atLeast"/>
        </w:trPr>
        <w:tc>
          <w:tcPr>
            <w:tcW w:w="29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110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道路名称</w:t>
            </w:r>
          </w:p>
        </w:tc>
        <w:tc>
          <w:tcPr>
            <w:tcW w:w="56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公路级别</w:t>
            </w:r>
          </w:p>
        </w:tc>
        <w:tc>
          <w:tcPr>
            <w:tcW w:w="8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长×宽（m）</w:t>
            </w:r>
          </w:p>
        </w:tc>
        <w:tc>
          <w:tcPr>
            <w:tcW w:w="8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面积（㎡）</w:t>
            </w:r>
          </w:p>
        </w:tc>
        <w:tc>
          <w:tcPr>
            <w:tcW w:w="136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起止</w:t>
            </w:r>
          </w:p>
        </w:tc>
      </w:tr>
      <w:tr>
        <w:tblPrEx>
          <w:tblCellMar>
            <w:top w:w="0" w:type="dxa"/>
            <w:left w:w="108" w:type="dxa"/>
            <w:bottom w:w="0" w:type="dxa"/>
            <w:right w:w="108" w:type="dxa"/>
          </w:tblCellMar>
        </w:tblPrEx>
        <w:trPr>
          <w:trHeight w:val="499" w:hRule="atLeast"/>
        </w:trPr>
        <w:tc>
          <w:tcPr>
            <w:tcW w:w="29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10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36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1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瑞枫公路</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一级</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5250×40.31</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211645</w:t>
            </w:r>
          </w:p>
        </w:tc>
        <w:tc>
          <w:tcPr>
            <w:tcW w:w="13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1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飞云江五桥</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一级</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903×44.78</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40435</w:t>
            </w:r>
          </w:p>
        </w:tc>
        <w:tc>
          <w:tcPr>
            <w:tcW w:w="136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bl>
    <w:p>
      <w:pPr>
        <w:keepNext w:val="0"/>
        <w:keepLines w:val="0"/>
        <w:pageBreakBefore w:val="0"/>
        <w:widowControl/>
        <w:numPr>
          <w:ilvl w:val="0"/>
          <w:numId w:val="64"/>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锦湖街道公厕</w:t>
      </w:r>
      <w:r>
        <w:rPr>
          <w:rFonts w:hint="eastAsia" w:ascii="宋体" w:hAnsi="宋体" w:eastAsia="宋体" w:cs="宋体"/>
          <w:b/>
          <w:bCs/>
          <w:color w:val="auto"/>
          <w:sz w:val="22"/>
          <w:szCs w:val="22"/>
          <w:highlight w:val="none"/>
          <w:lang w:eastAsia="zh-CN"/>
        </w:rPr>
        <w:t>环卫作业清单</w:t>
      </w:r>
    </w:p>
    <w:tbl>
      <w:tblPr>
        <w:tblStyle w:val="29"/>
        <w:tblW w:w="4998" w:type="pct"/>
        <w:tblInd w:w="0" w:type="dxa"/>
        <w:tblLayout w:type="autofit"/>
        <w:tblCellMar>
          <w:top w:w="0" w:type="dxa"/>
          <w:left w:w="108" w:type="dxa"/>
          <w:bottom w:w="0" w:type="dxa"/>
          <w:right w:w="108" w:type="dxa"/>
        </w:tblCellMar>
      </w:tblPr>
      <w:tblGrid>
        <w:gridCol w:w="668"/>
        <w:gridCol w:w="1850"/>
        <w:gridCol w:w="2458"/>
        <w:gridCol w:w="1256"/>
        <w:gridCol w:w="2618"/>
        <w:gridCol w:w="2444"/>
        <w:gridCol w:w="3032"/>
      </w:tblGrid>
      <w:tr>
        <w:tblPrEx>
          <w:tblCellMar>
            <w:top w:w="0" w:type="dxa"/>
            <w:left w:w="108" w:type="dxa"/>
            <w:bottom w:w="0" w:type="dxa"/>
            <w:right w:w="108" w:type="dxa"/>
          </w:tblCellMar>
        </w:tblPrEx>
        <w:trPr>
          <w:trHeight w:val="499"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64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社区、村名称</w:t>
            </w:r>
          </w:p>
        </w:tc>
        <w:tc>
          <w:tcPr>
            <w:tcW w:w="8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公厕名称</w:t>
            </w:r>
          </w:p>
        </w:tc>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公厕类别</w:t>
            </w:r>
          </w:p>
        </w:tc>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具体位置</w:t>
            </w:r>
          </w:p>
        </w:tc>
        <w:tc>
          <w:tcPr>
            <w:tcW w:w="8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坑位（个）</w:t>
            </w:r>
          </w:p>
        </w:tc>
        <w:tc>
          <w:tcPr>
            <w:tcW w:w="10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面积（㎡）</w:t>
            </w:r>
          </w:p>
        </w:tc>
      </w:tr>
      <w:tr>
        <w:tblPrEx>
          <w:tblCellMar>
            <w:top w:w="0" w:type="dxa"/>
            <w:left w:w="108" w:type="dxa"/>
            <w:bottom w:w="0" w:type="dxa"/>
            <w:right w:w="108" w:type="dxa"/>
          </w:tblCellMar>
        </w:tblPrEx>
        <w:trPr>
          <w:trHeight w:val="499"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64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5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05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万松西路公厕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万松西路邮电路交叉口</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锦湖路公厕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锦湖路城北菜场对面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85</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礁石新桥头公厕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礁石路新桥旁</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礁石路老人亭后</w:t>
            </w:r>
          </w:p>
        </w:tc>
        <w:tc>
          <w:tcPr>
            <w:tcW w:w="852"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礁石2号公厕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礁石路岙底</w:t>
            </w:r>
          </w:p>
        </w:tc>
        <w:tc>
          <w:tcPr>
            <w:tcW w:w="852"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礁石3号公厕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山田</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双山公厕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双山路7号旁</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41㎡</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双山巷公厕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双山巷</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进星村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菜市场公厕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菜市场旁</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龙星村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龙星公厕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龙星路三巷东首河边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7个</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瓦窑村</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西雅公厕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西雅小区</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西门村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康乐公厕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康乐路</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小横山</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小横山公厕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村菜场旁</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联星村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河埭桥公厕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河埭桥</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联星村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愚溪公厕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愚溪工业区</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联星村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工业区公厕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河埭桥工业区</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周岙村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周岙村公厕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少艺校后面</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桃源社区</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花园公厕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桃源社区办公楼后河边</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6个</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城西社区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康乐公厕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康乐路康乐小区内</w:t>
            </w:r>
          </w:p>
        </w:tc>
        <w:tc>
          <w:tcPr>
            <w:tcW w:w="852"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057"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虹北社区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牛伏岭公厕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牛伏岭村厂前路边</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瑞湖社区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第一桥公厕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锦湖中学对面</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85.72</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城西社区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小横山公厕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小横山村</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城西社区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西门生态公厕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西门二手车市场             对面西雅小区内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0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84</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虹北社区</w:t>
            </w: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体育馆公厕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体育馆东面</w:t>
            </w:r>
          </w:p>
        </w:tc>
        <w:tc>
          <w:tcPr>
            <w:tcW w:w="8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05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虹北社区</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廉建公厕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周松北路公园内</w:t>
            </w:r>
          </w:p>
        </w:tc>
        <w:tc>
          <w:tcPr>
            <w:tcW w:w="852" w:type="pct"/>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外滩</w:t>
            </w:r>
            <w:r>
              <w:rPr>
                <w:rStyle w:val="95"/>
                <w:rFonts w:eastAsia="宋体"/>
                <w:color w:val="auto"/>
                <w:lang w:val="en-US" w:eastAsia="zh-CN" w:bidi="ar"/>
              </w:rPr>
              <w:t>堤坝公厕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auto" w:sz="4" w:space="0"/>
            </w:tcBorders>
            <w:noWrap/>
            <w:vAlign w:val="center"/>
          </w:tcPr>
          <w:p>
            <w:pPr>
              <w:jc w:val="center"/>
              <w:rPr>
                <w:rFonts w:hint="eastAsia" w:ascii="宋体" w:hAnsi="宋体" w:eastAsia="宋体" w:cs="宋体"/>
                <w:i w:val="0"/>
                <w:iCs w:val="0"/>
                <w:color w:val="auto"/>
                <w:sz w:val="24"/>
                <w:szCs w:val="24"/>
                <w:u w:val="none"/>
              </w:rPr>
            </w:pPr>
          </w:p>
        </w:tc>
        <w:tc>
          <w:tcPr>
            <w:tcW w:w="852"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auto"/>
                <w:sz w:val="24"/>
                <w:szCs w:val="24"/>
                <w:u w:val="none"/>
              </w:rPr>
            </w:pPr>
          </w:p>
        </w:tc>
        <w:tc>
          <w:tcPr>
            <w:tcW w:w="1057" w:type="pct"/>
            <w:tcBorders>
              <w:top w:val="single" w:color="000000" w:sz="4" w:space="0"/>
              <w:left w:val="single" w:color="auto"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第一桥村</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工业区公厕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二类</w:t>
            </w:r>
          </w:p>
        </w:tc>
        <w:tc>
          <w:tcPr>
            <w:tcW w:w="913"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锦湖北路157号工业区</w:t>
            </w:r>
          </w:p>
        </w:tc>
        <w:tc>
          <w:tcPr>
            <w:tcW w:w="852"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auto"/>
                <w:sz w:val="24"/>
                <w:szCs w:val="24"/>
                <w:u w:val="none"/>
              </w:rPr>
            </w:pPr>
          </w:p>
        </w:tc>
        <w:tc>
          <w:tcPr>
            <w:tcW w:w="1057"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r>
      <w:tr>
        <w:tblPrEx>
          <w:tblCellMar>
            <w:top w:w="0" w:type="dxa"/>
            <w:left w:w="108" w:type="dxa"/>
            <w:bottom w:w="0" w:type="dxa"/>
            <w:right w:w="108" w:type="dxa"/>
          </w:tblCellMar>
        </w:tblPrEx>
        <w:trPr>
          <w:trHeight w:val="499" w:hRule="atLeast"/>
        </w:trPr>
        <w:tc>
          <w:tcPr>
            <w:tcW w:w="2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28</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集云山公园公厕</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二类</w:t>
            </w:r>
          </w:p>
        </w:tc>
        <w:tc>
          <w:tcPr>
            <w:tcW w:w="913"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集云山公园南入口</w:t>
            </w:r>
          </w:p>
        </w:tc>
        <w:tc>
          <w:tcPr>
            <w:tcW w:w="852"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auto"/>
                <w:sz w:val="24"/>
                <w:szCs w:val="24"/>
                <w:u w:val="none"/>
              </w:rPr>
            </w:pPr>
          </w:p>
        </w:tc>
        <w:tc>
          <w:tcPr>
            <w:tcW w:w="1057"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r>
    </w:tbl>
    <w:p>
      <w:pPr>
        <w:outlineLvl w:val="0"/>
        <w:rPr>
          <w:rFonts w:hint="eastAsia" w:ascii="宋体" w:hAnsi="宋体" w:cs="宋体"/>
          <w:b/>
          <w:sz w:val="22"/>
          <w:szCs w:val="22"/>
        </w:rPr>
      </w:pPr>
      <w:r>
        <w:rPr>
          <w:rFonts w:hint="eastAsia" w:ascii="宋体" w:hAnsi="宋体" w:cs="宋体"/>
          <w:b/>
          <w:sz w:val="22"/>
          <w:szCs w:val="22"/>
        </w:rPr>
        <w:br w:type="page"/>
      </w:r>
      <w:r>
        <w:rPr>
          <w:rFonts w:hint="eastAsia" w:ascii="宋体" w:hAnsi="宋体" w:cs="宋体"/>
          <w:b/>
          <w:sz w:val="22"/>
          <w:szCs w:val="22"/>
        </w:rPr>
        <w:t>附件3-《潘岱街道环卫保洁作业量清单》</w:t>
      </w:r>
      <w:bookmarkEnd w:id="372"/>
    </w:p>
    <w:p>
      <w:pPr>
        <w:keepNext w:val="0"/>
        <w:keepLines w:val="0"/>
        <w:pageBreakBefore w:val="0"/>
        <w:widowControl/>
        <w:numPr>
          <w:ilvl w:val="0"/>
          <w:numId w:val="65"/>
        </w:numPr>
        <w:tabs>
          <w:tab w:val="left" w:pos="3835"/>
        </w:tabs>
        <w:kinsoku/>
        <w:wordWrap/>
        <w:overflowPunct/>
        <w:topLinePunct w:val="0"/>
        <w:autoSpaceDE/>
        <w:autoSpaceDN/>
        <w:bidi w:val="0"/>
        <w:adjustRightInd/>
        <w:snapToGrid/>
        <w:textAlignment w:val="auto"/>
        <w:outlineLvl w:val="2"/>
        <w:rPr>
          <w:rFonts w:hint="eastAsia" w:ascii="宋体" w:hAnsi="宋体" w:eastAsia="宋体" w:cs="宋体"/>
          <w:b/>
          <w:bCs/>
          <w:color w:val="auto"/>
          <w:sz w:val="22"/>
          <w:szCs w:val="22"/>
          <w:highlight w:val="none"/>
        </w:rPr>
      </w:pPr>
      <w:bookmarkStart w:id="373" w:name="_Toc9688"/>
      <w:bookmarkStart w:id="374" w:name="_Toc11362"/>
      <w:bookmarkStart w:id="375" w:name="_Toc7249"/>
      <w:r>
        <w:rPr>
          <w:rFonts w:hint="eastAsia" w:ascii="宋体" w:hAnsi="宋体" w:cs="宋体"/>
          <w:b/>
          <w:sz w:val="22"/>
          <w:szCs w:val="22"/>
        </w:rPr>
        <w:t>潘岱街道</w:t>
      </w:r>
      <w:r>
        <w:rPr>
          <w:rFonts w:hint="eastAsia" w:ascii="宋体" w:hAnsi="宋体" w:eastAsia="宋体" w:cs="宋体"/>
          <w:b/>
          <w:bCs/>
          <w:color w:val="auto"/>
          <w:sz w:val="22"/>
          <w:szCs w:val="22"/>
          <w:highlight w:val="none"/>
        </w:rPr>
        <w:t>集镇道路环卫作业清单</w:t>
      </w:r>
      <w:bookmarkEnd w:id="373"/>
      <w:bookmarkEnd w:id="374"/>
      <w:bookmarkEnd w:id="375"/>
    </w:p>
    <w:tbl>
      <w:tblPr>
        <w:tblStyle w:val="29"/>
        <w:tblW w:w="4998" w:type="pct"/>
        <w:tblInd w:w="0" w:type="dxa"/>
        <w:tblLayout w:type="autofit"/>
        <w:tblCellMar>
          <w:top w:w="0" w:type="dxa"/>
          <w:left w:w="108" w:type="dxa"/>
          <w:bottom w:w="0" w:type="dxa"/>
          <w:right w:w="108" w:type="dxa"/>
        </w:tblCellMar>
      </w:tblPr>
      <w:tblGrid>
        <w:gridCol w:w="977"/>
        <w:gridCol w:w="3161"/>
        <w:gridCol w:w="1444"/>
        <w:gridCol w:w="1863"/>
        <w:gridCol w:w="1616"/>
        <w:gridCol w:w="2164"/>
        <w:gridCol w:w="3101"/>
      </w:tblGrid>
      <w:tr>
        <w:tblPrEx>
          <w:tblCellMar>
            <w:top w:w="0" w:type="dxa"/>
            <w:left w:w="108" w:type="dxa"/>
            <w:bottom w:w="0" w:type="dxa"/>
            <w:right w:w="108" w:type="dxa"/>
          </w:tblCellMar>
        </w:tblPrEx>
        <w:trPr>
          <w:trHeight w:val="499" w:hRule="atLeast"/>
        </w:trPr>
        <w:tc>
          <w:tcPr>
            <w:tcW w:w="3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10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道路名称</w:t>
            </w:r>
          </w:p>
        </w:tc>
        <w:tc>
          <w:tcPr>
            <w:tcW w:w="50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道路等级</w:t>
            </w:r>
          </w:p>
        </w:tc>
        <w:tc>
          <w:tcPr>
            <w:tcW w:w="1969"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校对数据</w:t>
            </w:r>
          </w:p>
        </w:tc>
        <w:tc>
          <w:tcPr>
            <w:tcW w:w="108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499" w:hRule="atLeast"/>
        </w:trPr>
        <w:tc>
          <w:tcPr>
            <w:tcW w:w="34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110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50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6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长（m）</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宽（m）</w:t>
            </w:r>
          </w:p>
        </w:tc>
        <w:tc>
          <w:tcPr>
            <w:tcW w:w="7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面积（㎡）</w:t>
            </w:r>
          </w:p>
        </w:tc>
        <w:tc>
          <w:tcPr>
            <w:tcW w:w="108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348"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前进路</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1210.98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9.55 </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11567.84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谭团路瑞枫线</w:t>
            </w:r>
          </w:p>
        </w:tc>
      </w:tr>
      <w:tr>
        <w:tblPrEx>
          <w:tblCellMar>
            <w:top w:w="0" w:type="dxa"/>
            <w:left w:w="108" w:type="dxa"/>
            <w:bottom w:w="0" w:type="dxa"/>
            <w:right w:w="108" w:type="dxa"/>
          </w:tblCellMar>
        </w:tblPrEx>
        <w:trPr>
          <w:trHeight w:val="364"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60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11567.84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317"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蛇河带路</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652.62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7.30 </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4762.12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瑞枫线至前进路</w:t>
            </w:r>
          </w:p>
        </w:tc>
      </w:tr>
      <w:tr>
        <w:tblPrEx>
          <w:tblCellMar>
            <w:top w:w="0" w:type="dxa"/>
            <w:left w:w="108" w:type="dxa"/>
            <w:bottom w:w="0" w:type="dxa"/>
            <w:right w:w="108" w:type="dxa"/>
          </w:tblCellMar>
        </w:tblPrEx>
        <w:trPr>
          <w:trHeight w:val="380"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谭团路潘岱段</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879.81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8.56 </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7534.65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前进路至瑞枫线</w:t>
            </w:r>
          </w:p>
        </w:tc>
      </w:tr>
      <w:tr>
        <w:tblPrEx>
          <w:tblCellMar>
            <w:top w:w="0" w:type="dxa"/>
            <w:left w:w="108" w:type="dxa"/>
            <w:bottom w:w="0" w:type="dxa"/>
            <w:right w:w="108" w:type="dxa"/>
          </w:tblCellMar>
        </w:tblPrEx>
        <w:trPr>
          <w:trHeight w:val="317"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康庄大道</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303.72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7.89 </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2395.44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瑞枫线-前垟村</w:t>
            </w:r>
          </w:p>
        </w:tc>
      </w:tr>
      <w:tr>
        <w:tblPrEx>
          <w:tblCellMar>
            <w:top w:w="0" w:type="dxa"/>
            <w:left w:w="108" w:type="dxa"/>
            <w:bottom w:w="0" w:type="dxa"/>
            <w:right w:w="108" w:type="dxa"/>
          </w:tblCellMar>
        </w:tblPrEx>
        <w:trPr>
          <w:trHeight w:val="348"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后岸中心路</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239.98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8.10 </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1943.71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谭团路-前岸村</w:t>
            </w:r>
          </w:p>
        </w:tc>
      </w:tr>
      <w:tr>
        <w:tblPrEx>
          <w:tblCellMar>
            <w:top w:w="0" w:type="dxa"/>
            <w:left w:w="108" w:type="dxa"/>
            <w:bottom w:w="0" w:type="dxa"/>
            <w:right w:w="108" w:type="dxa"/>
          </w:tblCellMar>
        </w:tblPrEx>
        <w:trPr>
          <w:trHeight w:val="28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前岸市场停车场</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望山路</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5400</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殡仪馆停车场</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2"/>
                <w:szCs w:val="22"/>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2"/>
                <w:szCs w:val="22"/>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4"/>
                <w:szCs w:val="24"/>
                <w:u w:val="none"/>
              </w:rPr>
            </w:pPr>
          </w:p>
        </w:tc>
      </w:tr>
      <w:tr>
        <w:tblPrEx>
          <w:tblCellMar>
            <w:top w:w="0" w:type="dxa"/>
            <w:left w:w="108" w:type="dxa"/>
            <w:bottom w:w="0" w:type="dxa"/>
            <w:right w:w="108" w:type="dxa"/>
          </w:tblCellMar>
        </w:tblPrEx>
        <w:trPr>
          <w:trHeight w:val="499"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c>
          <w:tcPr>
            <w:tcW w:w="160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小计</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 xml:space="preserve">3176.14 </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2"/>
                <w:szCs w:val="22"/>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 xml:space="preserve">25035.93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4"/>
                <w:szCs w:val="24"/>
                <w:u w:val="none"/>
              </w:rPr>
            </w:pPr>
          </w:p>
        </w:tc>
      </w:tr>
      <w:tr>
        <w:tblPrEx>
          <w:tblCellMar>
            <w:top w:w="0" w:type="dxa"/>
            <w:left w:w="108" w:type="dxa"/>
            <w:bottom w:w="0" w:type="dxa"/>
            <w:right w:w="108" w:type="dxa"/>
          </w:tblCellMar>
        </w:tblPrEx>
        <w:trPr>
          <w:trHeight w:val="364"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潘岱地块1</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13359.40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前垟村</w:t>
            </w:r>
          </w:p>
        </w:tc>
      </w:tr>
      <w:tr>
        <w:tblPrEx>
          <w:tblCellMar>
            <w:top w:w="0" w:type="dxa"/>
            <w:left w:w="108" w:type="dxa"/>
            <w:bottom w:w="0" w:type="dxa"/>
            <w:right w:w="108" w:type="dxa"/>
          </w:tblCellMar>
        </w:tblPrEx>
        <w:trPr>
          <w:trHeight w:val="348"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潘岱地块2</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8356.50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前岸村</w:t>
            </w:r>
          </w:p>
        </w:tc>
      </w:tr>
      <w:tr>
        <w:tblPrEx>
          <w:tblCellMar>
            <w:top w:w="0" w:type="dxa"/>
            <w:left w:w="108" w:type="dxa"/>
            <w:bottom w:w="0" w:type="dxa"/>
            <w:right w:w="108" w:type="dxa"/>
          </w:tblCellMar>
        </w:tblPrEx>
        <w:trPr>
          <w:trHeight w:val="436"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潘岱地块3</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13950.89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后岸村-前岸村</w:t>
            </w:r>
          </w:p>
        </w:tc>
      </w:tr>
      <w:tr>
        <w:tblPrEx>
          <w:tblCellMar>
            <w:top w:w="0" w:type="dxa"/>
            <w:left w:w="108" w:type="dxa"/>
            <w:bottom w:w="0" w:type="dxa"/>
            <w:right w:w="108" w:type="dxa"/>
          </w:tblCellMar>
        </w:tblPrEx>
        <w:trPr>
          <w:trHeight w:val="46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潘岱地块4</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1049.11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后岸村</w:t>
            </w:r>
          </w:p>
        </w:tc>
      </w:tr>
      <w:tr>
        <w:tblPrEx>
          <w:tblCellMar>
            <w:top w:w="0" w:type="dxa"/>
            <w:left w:w="108" w:type="dxa"/>
            <w:bottom w:w="0" w:type="dxa"/>
            <w:right w:w="108" w:type="dxa"/>
          </w:tblCellMar>
        </w:tblPrEx>
        <w:trPr>
          <w:trHeight w:val="499"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潘岱地块5</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930.54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前岸村</w:t>
            </w:r>
          </w:p>
        </w:tc>
      </w:tr>
      <w:tr>
        <w:tblPrEx>
          <w:tblCellMar>
            <w:top w:w="0" w:type="dxa"/>
            <w:left w:w="108" w:type="dxa"/>
            <w:bottom w:w="0" w:type="dxa"/>
            <w:right w:w="108" w:type="dxa"/>
          </w:tblCellMar>
        </w:tblPrEx>
        <w:trPr>
          <w:trHeight w:val="499"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潘岱地块6</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1974.86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前垟村</w:t>
            </w:r>
          </w:p>
        </w:tc>
      </w:tr>
      <w:tr>
        <w:tblPrEx>
          <w:tblCellMar>
            <w:top w:w="0" w:type="dxa"/>
            <w:left w:w="108" w:type="dxa"/>
            <w:bottom w:w="0" w:type="dxa"/>
            <w:right w:w="108" w:type="dxa"/>
          </w:tblCellMar>
        </w:tblPrEx>
        <w:trPr>
          <w:trHeight w:val="28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潘岱地块7</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2847.77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后岸村</w:t>
            </w:r>
          </w:p>
        </w:tc>
      </w:tr>
      <w:tr>
        <w:tblPrEx>
          <w:tblCellMar>
            <w:top w:w="0" w:type="dxa"/>
            <w:left w:w="108" w:type="dxa"/>
            <w:bottom w:w="0" w:type="dxa"/>
            <w:right w:w="108" w:type="dxa"/>
          </w:tblCellMar>
        </w:tblPrEx>
        <w:trPr>
          <w:trHeight w:val="285" w:hRule="atLeast"/>
        </w:trPr>
        <w:tc>
          <w:tcPr>
            <w:tcW w:w="3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潘岱地块8</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6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3416.64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后岸村</w:t>
            </w:r>
          </w:p>
        </w:tc>
      </w:tr>
      <w:tr>
        <w:tblPrEx>
          <w:tblCellMar>
            <w:top w:w="0" w:type="dxa"/>
            <w:left w:w="108" w:type="dxa"/>
            <w:bottom w:w="0" w:type="dxa"/>
            <w:right w:w="108" w:type="dxa"/>
          </w:tblCellMar>
        </w:tblPrEx>
        <w:trPr>
          <w:trHeight w:val="285" w:hRule="atLeast"/>
        </w:trPr>
        <w:tc>
          <w:tcPr>
            <w:tcW w:w="34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0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老寺前村</w:t>
            </w:r>
          </w:p>
        </w:tc>
        <w:tc>
          <w:tcPr>
            <w:tcW w:w="50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2250.00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34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10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0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2100.00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FF0000"/>
                <w:sz w:val="24"/>
                <w:szCs w:val="24"/>
                <w:u w:val="none"/>
              </w:rPr>
            </w:pPr>
          </w:p>
        </w:tc>
      </w:tr>
      <w:tr>
        <w:tblPrEx>
          <w:tblCellMar>
            <w:top w:w="0" w:type="dxa"/>
            <w:left w:w="108" w:type="dxa"/>
            <w:bottom w:w="0" w:type="dxa"/>
            <w:right w:w="108" w:type="dxa"/>
          </w:tblCellMar>
        </w:tblPrEx>
        <w:trPr>
          <w:trHeight w:val="285" w:hRule="atLeast"/>
        </w:trPr>
        <w:tc>
          <w:tcPr>
            <w:tcW w:w="34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10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0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6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1440.00 </w:t>
            </w:r>
          </w:p>
        </w:tc>
        <w:tc>
          <w:tcPr>
            <w:tcW w:w="108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FF0000"/>
                <w:sz w:val="24"/>
                <w:szCs w:val="24"/>
                <w:u w:val="none"/>
              </w:rPr>
            </w:pPr>
          </w:p>
        </w:tc>
      </w:tr>
      <w:tr>
        <w:tblPrEx>
          <w:tblCellMar>
            <w:top w:w="0" w:type="dxa"/>
            <w:left w:w="108" w:type="dxa"/>
            <w:bottom w:w="0" w:type="dxa"/>
            <w:right w:w="108" w:type="dxa"/>
          </w:tblCellMar>
        </w:tblPrEx>
        <w:trPr>
          <w:trHeight w:val="500" w:hRule="atLeast"/>
        </w:trPr>
        <w:tc>
          <w:tcPr>
            <w:tcW w:w="341"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4"/>
                <w:szCs w:val="24"/>
                <w:u w:val="none"/>
              </w:rPr>
            </w:pPr>
          </w:p>
        </w:tc>
        <w:tc>
          <w:tcPr>
            <w:tcW w:w="1607" w:type="pct"/>
            <w:gridSpan w:val="2"/>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650"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840</w:t>
            </w:r>
          </w:p>
        </w:tc>
        <w:tc>
          <w:tcPr>
            <w:tcW w:w="564"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4"/>
                <w:szCs w:val="24"/>
                <w:u w:val="none"/>
              </w:rPr>
            </w:pPr>
          </w:p>
        </w:tc>
        <w:tc>
          <w:tcPr>
            <w:tcW w:w="753"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51675.72 </w:t>
            </w:r>
          </w:p>
        </w:tc>
        <w:tc>
          <w:tcPr>
            <w:tcW w:w="1082" w:type="pct"/>
            <w:tcBorders>
              <w:top w:val="nil"/>
              <w:left w:val="single" w:color="000000" w:sz="4" w:space="0"/>
              <w:bottom w:val="single" w:color="000000" w:sz="4" w:space="0"/>
              <w:right w:val="nil"/>
            </w:tcBorders>
            <w:noWrap/>
            <w:vAlign w:val="center"/>
          </w:tcPr>
          <w:p>
            <w:pPr>
              <w:jc w:val="center"/>
              <w:rPr>
                <w:rFonts w:hint="eastAsia" w:ascii="宋体" w:hAnsi="宋体" w:eastAsia="宋体" w:cs="宋体"/>
                <w:b/>
                <w:bCs/>
                <w:i w:val="0"/>
                <w:iCs w:val="0"/>
                <w:color w:val="000000"/>
                <w:sz w:val="24"/>
                <w:szCs w:val="24"/>
                <w:u w:val="none"/>
              </w:rPr>
            </w:pPr>
          </w:p>
        </w:tc>
      </w:tr>
    </w:tbl>
    <w:p>
      <w:pPr>
        <w:keepNext w:val="0"/>
        <w:keepLines w:val="0"/>
        <w:pageBreakBefore w:val="0"/>
        <w:widowControl/>
        <w:numPr>
          <w:ilvl w:val="0"/>
          <w:numId w:val="65"/>
        </w:numPr>
        <w:tabs>
          <w:tab w:val="left" w:pos="3835"/>
        </w:tabs>
        <w:kinsoku/>
        <w:wordWrap/>
        <w:overflowPunct/>
        <w:topLinePunct w:val="0"/>
        <w:autoSpaceDE/>
        <w:autoSpaceDN/>
        <w:bidi w:val="0"/>
        <w:adjustRightInd/>
        <w:snapToGrid/>
        <w:textAlignment w:val="auto"/>
        <w:outlineLvl w:val="2"/>
        <w:rPr>
          <w:rFonts w:hint="eastAsia"/>
        </w:rPr>
      </w:pPr>
      <w:bookmarkStart w:id="376" w:name="_Toc10673"/>
      <w:bookmarkStart w:id="377" w:name="_Toc884"/>
      <w:bookmarkStart w:id="378" w:name="_Toc32760"/>
      <w:bookmarkStart w:id="379" w:name="_Toc7351"/>
      <w:bookmarkStart w:id="380" w:name="_Toc14729"/>
      <w:bookmarkStart w:id="381" w:name="_Toc4419"/>
      <w:r>
        <w:rPr>
          <w:rFonts w:hint="eastAsia" w:ascii="宋体" w:hAnsi="宋体" w:eastAsia="宋体" w:cs="宋体"/>
          <w:b/>
          <w:bCs/>
          <w:color w:val="auto"/>
          <w:sz w:val="22"/>
          <w:szCs w:val="22"/>
          <w:highlight w:val="none"/>
          <w:lang w:val="en-US" w:eastAsia="zh-CN"/>
        </w:rPr>
        <w:t>潘岱街道</w:t>
      </w:r>
      <w:r>
        <w:rPr>
          <w:rFonts w:hint="eastAsia" w:ascii="宋体" w:hAnsi="宋体" w:eastAsia="宋体" w:cs="宋体"/>
          <w:b/>
          <w:bCs/>
          <w:color w:val="auto"/>
          <w:sz w:val="22"/>
          <w:szCs w:val="22"/>
          <w:highlight w:val="none"/>
        </w:rPr>
        <w:t>公路环卫作业清单</w:t>
      </w:r>
      <w:bookmarkEnd w:id="376"/>
      <w:bookmarkEnd w:id="377"/>
      <w:bookmarkEnd w:id="378"/>
    </w:p>
    <w:tbl>
      <w:tblPr>
        <w:tblStyle w:val="29"/>
        <w:tblW w:w="4997" w:type="pct"/>
        <w:tblInd w:w="0" w:type="dxa"/>
        <w:tblLayout w:type="autofit"/>
        <w:tblCellMar>
          <w:top w:w="0" w:type="dxa"/>
          <w:left w:w="108" w:type="dxa"/>
          <w:bottom w:w="0" w:type="dxa"/>
          <w:right w:w="108" w:type="dxa"/>
        </w:tblCellMar>
      </w:tblPr>
      <w:tblGrid>
        <w:gridCol w:w="1676"/>
        <w:gridCol w:w="1717"/>
        <w:gridCol w:w="1682"/>
        <w:gridCol w:w="2020"/>
        <w:gridCol w:w="1697"/>
        <w:gridCol w:w="2496"/>
        <w:gridCol w:w="3035"/>
      </w:tblGrid>
      <w:tr>
        <w:tblPrEx>
          <w:tblCellMar>
            <w:top w:w="0" w:type="dxa"/>
            <w:left w:w="108" w:type="dxa"/>
            <w:bottom w:w="0" w:type="dxa"/>
            <w:right w:w="108" w:type="dxa"/>
          </w:tblCellMar>
        </w:tblPrEx>
        <w:trPr>
          <w:trHeight w:val="285" w:hRule="atLeast"/>
        </w:trPr>
        <w:tc>
          <w:tcPr>
            <w:tcW w:w="58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9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道路名称</w:t>
            </w:r>
          </w:p>
        </w:tc>
        <w:tc>
          <w:tcPr>
            <w:tcW w:w="587"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道路等级</w:t>
            </w:r>
          </w:p>
        </w:tc>
        <w:tc>
          <w:tcPr>
            <w:tcW w:w="2168" w:type="pct"/>
            <w:gridSpan w:val="3"/>
            <w:tcBorders>
              <w:top w:val="single" w:color="000000" w:sz="4" w:space="0"/>
              <w:left w:val="single" w:color="000000" w:sz="4" w:space="0"/>
              <w:bottom w:val="single" w:color="000000" w:sz="4" w:space="0"/>
              <w:right w:val="nil"/>
            </w:tcBorders>
            <w:noWrap/>
            <w:vAlign w:val="center"/>
          </w:tcPr>
          <w:p>
            <w:pPr>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校对数据</w:t>
            </w:r>
          </w:p>
        </w:tc>
        <w:tc>
          <w:tcPr>
            <w:tcW w:w="10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285" w:hRule="atLeast"/>
        </w:trPr>
        <w:tc>
          <w:tcPr>
            <w:tcW w:w="58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59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587"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705"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长（m）</w:t>
            </w:r>
          </w:p>
        </w:tc>
        <w:tc>
          <w:tcPr>
            <w:tcW w:w="592"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宽（m）</w:t>
            </w:r>
          </w:p>
        </w:tc>
        <w:tc>
          <w:tcPr>
            <w:tcW w:w="870"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面积（㎡）</w:t>
            </w:r>
          </w:p>
        </w:tc>
        <w:tc>
          <w:tcPr>
            <w:tcW w:w="1059"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40"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新瑞枫线</w:t>
            </w:r>
          </w:p>
        </w:tc>
        <w:tc>
          <w:tcPr>
            <w:tcW w:w="5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c>
          <w:tcPr>
            <w:tcW w:w="7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7016.25 </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28.31 </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198625.82 </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白象村-砚下村</w:t>
            </w:r>
          </w:p>
        </w:tc>
      </w:tr>
      <w:tr>
        <w:tblPrEx>
          <w:tblCellMar>
            <w:top w:w="0" w:type="dxa"/>
            <w:left w:w="108" w:type="dxa"/>
            <w:bottom w:w="0" w:type="dxa"/>
            <w:right w:w="108" w:type="dxa"/>
          </w:tblCellMar>
        </w:tblPrEx>
        <w:trPr>
          <w:trHeight w:val="440"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9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老瑞枫线</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723.72 </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4.98 </w:t>
            </w:r>
          </w:p>
        </w:tc>
        <w:tc>
          <w:tcPr>
            <w:tcW w:w="870"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3601.52 </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前垟村至白象村</w:t>
            </w:r>
          </w:p>
        </w:tc>
      </w:tr>
    </w:tbl>
    <w:p>
      <w:pPr>
        <w:keepNext w:val="0"/>
        <w:keepLines w:val="0"/>
        <w:pageBreakBefore w:val="0"/>
        <w:widowControl/>
        <w:numPr>
          <w:ilvl w:val="0"/>
          <w:numId w:val="65"/>
        </w:numPr>
        <w:tabs>
          <w:tab w:val="left" w:pos="3835"/>
        </w:tabs>
        <w:kinsoku/>
        <w:wordWrap/>
        <w:overflowPunct/>
        <w:topLinePunct w:val="0"/>
        <w:autoSpaceDE/>
        <w:autoSpaceDN/>
        <w:bidi w:val="0"/>
        <w:adjustRightInd/>
        <w:snapToGrid/>
        <w:textAlignment w:val="auto"/>
        <w:outlineLvl w:val="2"/>
        <w:rPr>
          <w:rFonts w:hint="eastAsia" w:ascii="宋体" w:hAnsi="宋体" w:cs="宋体"/>
          <w:highlight w:val="none"/>
        </w:rPr>
      </w:pPr>
      <w:r>
        <w:rPr>
          <w:rFonts w:hint="eastAsia" w:ascii="宋体" w:hAnsi="宋体" w:eastAsia="宋体" w:cs="宋体"/>
          <w:b/>
          <w:bCs/>
          <w:color w:val="auto"/>
          <w:sz w:val="22"/>
          <w:szCs w:val="22"/>
          <w:highlight w:val="none"/>
          <w:lang w:val="en-US" w:eastAsia="zh-CN"/>
        </w:rPr>
        <w:t>潘岱街道</w:t>
      </w:r>
      <w:r>
        <w:rPr>
          <w:rFonts w:hint="eastAsia" w:ascii="宋体" w:hAnsi="宋体" w:eastAsia="宋体" w:cs="宋体"/>
          <w:b/>
          <w:bCs/>
          <w:color w:val="auto"/>
          <w:sz w:val="22"/>
          <w:szCs w:val="22"/>
          <w:highlight w:val="none"/>
          <w:lang w:eastAsia="zh-CN"/>
        </w:rPr>
        <w:t>二类村道路环卫作业清单</w:t>
      </w:r>
      <w:bookmarkEnd w:id="379"/>
      <w:bookmarkEnd w:id="380"/>
      <w:bookmarkEnd w:id="381"/>
    </w:p>
    <w:tbl>
      <w:tblPr>
        <w:tblStyle w:val="29"/>
        <w:tblW w:w="4998" w:type="pct"/>
        <w:tblInd w:w="0" w:type="dxa"/>
        <w:tblLayout w:type="autofit"/>
        <w:tblCellMar>
          <w:top w:w="0" w:type="dxa"/>
          <w:left w:w="108" w:type="dxa"/>
          <w:bottom w:w="0" w:type="dxa"/>
          <w:right w:w="108" w:type="dxa"/>
        </w:tblCellMar>
      </w:tblPr>
      <w:tblGrid>
        <w:gridCol w:w="857"/>
        <w:gridCol w:w="2834"/>
        <w:gridCol w:w="1582"/>
        <w:gridCol w:w="2109"/>
        <w:gridCol w:w="1582"/>
        <w:gridCol w:w="2330"/>
        <w:gridCol w:w="3032"/>
      </w:tblGrid>
      <w:tr>
        <w:tblPrEx>
          <w:tblCellMar>
            <w:top w:w="0" w:type="dxa"/>
            <w:left w:w="108" w:type="dxa"/>
            <w:bottom w:w="0" w:type="dxa"/>
            <w:right w:w="108" w:type="dxa"/>
          </w:tblCellMar>
        </w:tblPrEx>
        <w:trPr>
          <w:trHeight w:val="285" w:hRule="atLeast"/>
        </w:trPr>
        <w:tc>
          <w:tcPr>
            <w:tcW w:w="29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98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道路名称</w:t>
            </w:r>
          </w:p>
        </w:tc>
        <w:tc>
          <w:tcPr>
            <w:tcW w:w="552"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道路等级</w:t>
            </w:r>
          </w:p>
        </w:tc>
        <w:tc>
          <w:tcPr>
            <w:tcW w:w="210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校对数据</w:t>
            </w:r>
          </w:p>
        </w:tc>
        <w:tc>
          <w:tcPr>
            <w:tcW w:w="10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285" w:hRule="atLeast"/>
        </w:trPr>
        <w:tc>
          <w:tcPr>
            <w:tcW w:w="29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98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552"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b/>
                <w:bCs/>
                <w:i w:val="0"/>
                <w:iCs w:val="0"/>
                <w:color w:val="000000"/>
                <w:sz w:val="24"/>
                <w:szCs w:val="24"/>
                <w:u w:val="none"/>
              </w:rPr>
            </w:pPr>
          </w:p>
        </w:tc>
        <w:tc>
          <w:tcPr>
            <w:tcW w:w="736"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长（m）</w:t>
            </w:r>
          </w:p>
        </w:tc>
        <w:tc>
          <w:tcPr>
            <w:tcW w:w="552"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宽（m）</w:t>
            </w:r>
          </w:p>
        </w:tc>
        <w:tc>
          <w:tcPr>
            <w:tcW w:w="8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面积（㎡）</w:t>
            </w:r>
          </w:p>
        </w:tc>
        <w:tc>
          <w:tcPr>
            <w:tcW w:w="10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芦浦路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699.42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8.22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5749.23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瑞枫线-芦浦村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曹岙线</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1786.10 </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9.65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17235.87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瑞枫线-曹岙村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林岙线</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954.25 </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7.51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7166.42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瑞枫线-林岙村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谢岙底路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1092.18 </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7.82 </w:t>
            </w:r>
          </w:p>
        </w:tc>
        <w:tc>
          <w:tcPr>
            <w:tcW w:w="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8536.47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瑞枫线-谢岙底村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谢岙河沿路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785.91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5.79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4554.18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瑞枫线-谢岙村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长山路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2083.82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8.56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17837.50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瑞枫线-长山村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砚下路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722.89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10.93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7900.55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瑞枫线-砚下村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盖竹路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887.27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8.54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7574.69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瑞枫线-盖竹村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山梧路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3532.01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7.29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25748.35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老瑞枫线-梧岙村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寺前路</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559.34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7.20 </w:t>
            </w: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4027.25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山南村-寺前村</w:t>
            </w: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4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13103.19 </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106330.51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芦浦村地块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15510.28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曹岙村地块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8547.75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林岙村地块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31580.46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谢岙底村地块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8660.66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谢岙河沿村地块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5864.97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长山村地块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17499.63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砚下村地块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27219.71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盖竹村地块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13641.55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寺前村地块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3189.25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山南村地块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14149.15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上溪村地块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15573.37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新星村地块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5590.89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梧岙村地块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8827.01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江边村地块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3451.92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瑞湾村地块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6588.48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下湾村地块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23718.71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白莲村地块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25040.17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9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白象村地块</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11404.61 </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4"/>
                <w:szCs w:val="24"/>
                <w:u w:val="none"/>
              </w:rPr>
            </w:pPr>
          </w:p>
        </w:tc>
        <w:tc>
          <w:tcPr>
            <w:tcW w:w="154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736"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4"/>
                <w:szCs w:val="24"/>
                <w:u w:val="none"/>
              </w:rPr>
            </w:pPr>
          </w:p>
        </w:tc>
        <w:tc>
          <w:tcPr>
            <w:tcW w:w="552"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246058.58</w:t>
            </w:r>
          </w:p>
        </w:tc>
        <w:tc>
          <w:tcPr>
            <w:tcW w:w="1058"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4"/>
                <w:szCs w:val="24"/>
                <w:u w:val="none"/>
              </w:rPr>
            </w:pPr>
          </w:p>
        </w:tc>
      </w:tr>
    </w:tbl>
    <w:p>
      <w:pPr>
        <w:keepNext w:val="0"/>
        <w:keepLines w:val="0"/>
        <w:pageBreakBefore w:val="0"/>
        <w:widowControl/>
        <w:numPr>
          <w:ilvl w:val="0"/>
          <w:numId w:val="65"/>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潘岱街道</w:t>
      </w:r>
      <w:r>
        <w:rPr>
          <w:rFonts w:hint="eastAsia" w:ascii="宋体" w:hAnsi="宋体" w:eastAsia="宋体" w:cs="宋体"/>
          <w:b/>
          <w:bCs/>
          <w:color w:val="auto"/>
          <w:sz w:val="22"/>
          <w:szCs w:val="22"/>
          <w:highlight w:val="none"/>
          <w:lang w:eastAsia="zh-CN"/>
        </w:rPr>
        <w:t>河道环卫作业清单</w:t>
      </w:r>
    </w:p>
    <w:tbl>
      <w:tblPr>
        <w:tblStyle w:val="29"/>
        <w:tblW w:w="4998" w:type="pct"/>
        <w:tblInd w:w="0" w:type="dxa"/>
        <w:tblLayout w:type="autofit"/>
        <w:tblCellMar>
          <w:top w:w="0" w:type="dxa"/>
          <w:left w:w="108" w:type="dxa"/>
          <w:bottom w:w="0" w:type="dxa"/>
          <w:right w:w="108" w:type="dxa"/>
        </w:tblCellMar>
      </w:tblPr>
      <w:tblGrid>
        <w:gridCol w:w="1536"/>
        <w:gridCol w:w="2371"/>
        <w:gridCol w:w="1628"/>
        <w:gridCol w:w="1594"/>
        <w:gridCol w:w="1901"/>
        <w:gridCol w:w="2030"/>
        <w:gridCol w:w="3266"/>
      </w:tblGrid>
      <w:tr>
        <w:tblPrEx>
          <w:tblCellMar>
            <w:top w:w="0" w:type="dxa"/>
            <w:left w:w="108" w:type="dxa"/>
            <w:bottom w:w="0" w:type="dxa"/>
            <w:right w:w="108" w:type="dxa"/>
          </w:tblCellMar>
        </w:tblPrEx>
        <w:trPr>
          <w:trHeight w:val="285" w:hRule="atLeast"/>
        </w:trPr>
        <w:tc>
          <w:tcPr>
            <w:tcW w:w="53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8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社区、村名称</w:t>
            </w:r>
          </w:p>
        </w:tc>
        <w:tc>
          <w:tcPr>
            <w:tcW w:w="56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河道名称</w:t>
            </w:r>
          </w:p>
        </w:tc>
        <w:tc>
          <w:tcPr>
            <w:tcW w:w="5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河道级别</w:t>
            </w:r>
          </w:p>
        </w:tc>
        <w:tc>
          <w:tcPr>
            <w:tcW w:w="66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长×宽（m）</w:t>
            </w:r>
          </w:p>
        </w:tc>
        <w:tc>
          <w:tcPr>
            <w:tcW w:w="70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面积（㎡）</w:t>
            </w:r>
          </w:p>
        </w:tc>
        <w:tc>
          <w:tcPr>
            <w:tcW w:w="113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tblPrEx>
          <w:tblCellMar>
            <w:top w:w="0" w:type="dxa"/>
            <w:left w:w="108" w:type="dxa"/>
            <w:bottom w:w="0" w:type="dxa"/>
            <w:right w:w="108" w:type="dxa"/>
          </w:tblCellMar>
        </w:tblPrEx>
        <w:trPr>
          <w:trHeight w:val="285" w:hRule="atLeast"/>
        </w:trPr>
        <w:tc>
          <w:tcPr>
            <w:tcW w:w="53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70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11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白象村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白象内河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60X15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白莲村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白莲内河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白莲溪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350X2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余坑溪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180X3</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540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水河坑</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190X3</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570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环山河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莲花池</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瑞湾村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瑞湾溪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580X5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2900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后半垟河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260X3</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下湾村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老瑞枫线河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170X4</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下湾内河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720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江边宅村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江边宅内河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340X10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3400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谢岙村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谢岙河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667.7x8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5341.7</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3600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谢岙底新村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标准厂房东首横河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220X2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河沿路</w:t>
            </w:r>
            <w:r>
              <w:rPr>
                <w:rStyle w:val="93"/>
                <w:rFonts w:eastAsia="宋体"/>
                <w:color w:val="auto"/>
                <w:lang w:val="en-US" w:eastAsia="zh-CN" w:bidi="ar"/>
              </w:rPr>
              <w:t>-73819</w:t>
            </w:r>
            <w:r>
              <w:rPr>
                <w:rStyle w:val="94"/>
                <w:color w:val="auto"/>
                <w:lang w:val="en-US" w:eastAsia="zh-CN" w:bidi="ar"/>
              </w:rPr>
              <w:t>部队路</w:t>
            </w:r>
          </w:p>
        </w:tc>
      </w:tr>
      <w:tr>
        <w:tblPrEx>
          <w:tblCellMar>
            <w:top w:w="0" w:type="dxa"/>
            <w:left w:w="108" w:type="dxa"/>
            <w:bottom w:w="0" w:type="dxa"/>
            <w:right w:w="108" w:type="dxa"/>
          </w:tblCellMar>
        </w:tblPrEx>
        <w:trPr>
          <w:trHeight w:val="31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黄垟河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老瑞枫线</w:t>
            </w:r>
            <w:r>
              <w:rPr>
                <w:rStyle w:val="93"/>
                <w:rFonts w:eastAsia="宋体"/>
                <w:color w:val="auto"/>
                <w:lang w:val="en-US" w:eastAsia="zh-CN" w:bidi="ar"/>
              </w:rPr>
              <w:t>-</w:t>
            </w:r>
            <w:r>
              <w:rPr>
                <w:rStyle w:val="94"/>
                <w:color w:val="auto"/>
                <w:lang w:val="en-US" w:eastAsia="zh-CN" w:bidi="ar"/>
              </w:rPr>
              <w:t>老黄垟亭</w:t>
            </w: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曹岙村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曹岙溪河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6240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村间小溪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300X4</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160X2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林岙村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新桥儿河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610X8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林岙河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580X8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4640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林岙横河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170X4</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林岙溪河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890X6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5340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芦浦村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芦浦长河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1544.7x10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15447</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沙河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700X9</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6300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芦浦水库出水道</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300X2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前垟沿河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2220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28</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前垟直河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300X15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29</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前垟横河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490X5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2450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前岸村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蛇河带河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1139.9x15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17099.7</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横河东</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135X15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2025</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横河北</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200X5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34</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后岸村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谭团河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967.1x7</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6770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倒林河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1312.9x12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15755</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36</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小岙河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九个湾河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100X2</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盖竹村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盖竹溪河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500X5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39</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盖竹内河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409.53x10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4095.3</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山南村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山南河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230X15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3450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山南村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山南溪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260X3</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43</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上溪村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上溪河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650X10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6500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仙人桥溪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420X2.5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1050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梧岙村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梧岙溪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280X6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1680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砚下村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沿岙河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100X6</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47</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砚下溪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590X10</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5900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570"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寺前路</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寺前老村溪</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640X4</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2560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49</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新星村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新星溪河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300X3</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长山村</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长山河道</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2400X8</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19200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28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长山内河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1600X4</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6400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r>
        <w:tblPrEx>
          <w:tblCellMar>
            <w:top w:w="0" w:type="dxa"/>
            <w:left w:w="108" w:type="dxa"/>
            <w:bottom w:w="0" w:type="dxa"/>
            <w:right w:w="108" w:type="dxa"/>
          </w:tblCellMar>
        </w:tblPrEx>
        <w:trPr>
          <w:trHeight w:val="315" w:hRule="atLeast"/>
        </w:trPr>
        <w:tc>
          <w:tcPr>
            <w:tcW w:w="5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52</w:t>
            </w:r>
          </w:p>
        </w:tc>
        <w:tc>
          <w:tcPr>
            <w:tcW w:w="82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潘岱长河</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三级</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9150X5</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45750</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绿化</w:t>
            </w:r>
            <w:r>
              <w:rPr>
                <w:rStyle w:val="93"/>
                <w:rFonts w:eastAsia="宋体"/>
                <w:color w:val="auto"/>
                <w:lang w:val="en-US" w:eastAsia="zh-CN" w:bidi="ar"/>
              </w:rPr>
              <w:t>9150</w:t>
            </w:r>
            <w:r>
              <w:rPr>
                <w:rStyle w:val="94"/>
                <w:color w:val="auto"/>
                <w:lang w:val="en-US" w:eastAsia="zh-CN" w:bidi="ar"/>
              </w:rPr>
              <w:t>㎡</w:t>
            </w:r>
          </w:p>
        </w:tc>
      </w:tr>
      <w:tr>
        <w:tblPrEx>
          <w:tblCellMar>
            <w:top w:w="0" w:type="dxa"/>
            <w:left w:w="108" w:type="dxa"/>
            <w:bottom w:w="0" w:type="dxa"/>
            <w:right w:w="108" w:type="dxa"/>
          </w:tblCellMar>
        </w:tblPrEx>
        <w:trPr>
          <w:trHeight w:val="285" w:hRule="atLeast"/>
        </w:trPr>
        <w:tc>
          <w:tcPr>
            <w:tcW w:w="1931" w:type="pct"/>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24"/>
                <w:szCs w:val="24"/>
                <w:u w:val="none"/>
              </w:rPr>
            </w:pP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237583.7</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u w:val="none"/>
              </w:rPr>
            </w:pPr>
          </w:p>
        </w:tc>
      </w:tr>
    </w:tbl>
    <w:p>
      <w:pPr>
        <w:keepNext w:val="0"/>
        <w:keepLines w:val="0"/>
        <w:pageBreakBefore w:val="0"/>
        <w:widowControl/>
        <w:numPr>
          <w:ilvl w:val="0"/>
          <w:numId w:val="65"/>
        </w:numPr>
        <w:tabs>
          <w:tab w:val="left" w:pos="3835"/>
        </w:tabs>
        <w:kinsoku/>
        <w:wordWrap/>
        <w:overflowPunct/>
        <w:topLinePunct w:val="0"/>
        <w:autoSpaceDE/>
        <w:autoSpaceDN/>
        <w:bidi w:val="0"/>
        <w:adjustRightInd/>
        <w:snapToGrid/>
        <w:textAlignment w:val="auto"/>
        <w:outlineLvl w:val="2"/>
        <w:rPr>
          <w:rFonts w:hint="eastAsia"/>
        </w:rPr>
      </w:pPr>
      <w:r>
        <w:rPr>
          <w:rFonts w:hint="eastAsia" w:ascii="宋体" w:hAnsi="宋体" w:eastAsia="宋体" w:cs="宋体"/>
          <w:b/>
          <w:bCs/>
          <w:color w:val="auto"/>
          <w:sz w:val="22"/>
          <w:szCs w:val="22"/>
          <w:highlight w:val="none"/>
          <w:lang w:val="en-US" w:eastAsia="zh-CN"/>
        </w:rPr>
        <w:t>潘岱街道公厕</w:t>
      </w:r>
      <w:r>
        <w:rPr>
          <w:rFonts w:hint="eastAsia" w:ascii="宋体" w:hAnsi="宋体" w:eastAsia="宋体" w:cs="宋体"/>
          <w:b/>
          <w:bCs/>
          <w:color w:val="auto"/>
          <w:sz w:val="22"/>
          <w:szCs w:val="22"/>
          <w:highlight w:val="none"/>
          <w:lang w:eastAsia="zh-CN"/>
        </w:rPr>
        <w:t>环卫作业清单</w:t>
      </w:r>
    </w:p>
    <w:tbl>
      <w:tblPr>
        <w:tblStyle w:val="29"/>
        <w:tblW w:w="4998" w:type="pct"/>
        <w:tblInd w:w="0" w:type="dxa"/>
        <w:tblLayout w:type="autofit"/>
        <w:tblCellMar>
          <w:top w:w="0" w:type="dxa"/>
          <w:left w:w="108" w:type="dxa"/>
          <w:bottom w:w="0" w:type="dxa"/>
          <w:right w:w="108" w:type="dxa"/>
        </w:tblCellMar>
      </w:tblPr>
      <w:tblGrid>
        <w:gridCol w:w="949"/>
        <w:gridCol w:w="4820"/>
        <w:gridCol w:w="2609"/>
        <w:gridCol w:w="1872"/>
        <w:gridCol w:w="4076"/>
      </w:tblGrid>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社区、村名称</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公厕名称</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公厕类别</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具体位置</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桃花源社区/谢岙底村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谢岙底公厕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老瑞枫线公路边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江都社区/前岸村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前岸菜市场</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江都社区/后岸村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殡仪馆停车场</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仲容社区/砚下村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砚下公厕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益智幼儿园对面</w:t>
            </w:r>
          </w:p>
        </w:tc>
      </w:tr>
      <w:tr>
        <w:tblPrEx>
          <w:tblCellMar>
            <w:top w:w="0" w:type="dxa"/>
            <w:left w:w="108" w:type="dxa"/>
            <w:bottom w:w="0" w:type="dxa"/>
            <w:right w:w="108" w:type="dxa"/>
          </w:tblCellMar>
        </w:tblPrEx>
        <w:trPr>
          <w:trHeight w:val="30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北首社区/白象村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白象公厕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瑞枫线公路边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北首社区/白莲村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白莲公厕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白莲莲中西路</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北首社区/白莲村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白莲公厕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白莲瑞枫公路边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北首社区/下湾村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下湾公厕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老瑞枫线公路边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北首社区/瑞湾村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瑞湾公厕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瑞枫公路边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桃花源社区/谢岙村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谢岙村榕树边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桃花源社区/林岙村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林岙村榕树边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桃花源社区/芦浦村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芦浦公厕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芦浦文化礼堂边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江都社区/前垟村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前垟公厕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前进路水闸边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江都社区/前垟村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前垟公厕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前垟瑞枫公路边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江都社区/前岸村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前岸蛇河带路</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江都社区/后岸村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文化礼堂对面</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江都社区/后岸村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谭团路</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集善社区/山南村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山南公厕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山南村村中央</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681" w:type="pct"/>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集善社区/上溪村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移民点公厕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移民村口</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仲容社区/梧岙村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梧岙公厕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梧岙水库边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仲容社区/砚下村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砚下公厕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西洋河边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仲容社区/寺前村村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寺前公厕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老瑞枫线边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仲容社区/长山村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长山公厕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长山村</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江都社区/盖竹村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盖竹公厕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盖竹村口</w:t>
            </w:r>
          </w:p>
        </w:tc>
      </w:tr>
      <w:tr>
        <w:tblPrEx>
          <w:tblCellMar>
            <w:top w:w="0" w:type="dxa"/>
            <w:left w:w="108" w:type="dxa"/>
            <w:bottom w:w="0" w:type="dxa"/>
            <w:right w:w="108" w:type="dxa"/>
          </w:tblCellMar>
        </w:tblPrEx>
        <w:trPr>
          <w:trHeight w:val="30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北首社区/下湾村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下湾公厕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瑞枫公路边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北首社区/江边宅村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江边宅公厕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瑞枫公路边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桃花源社区/谢岙村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谢岙村口</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桃花源社区/林岙村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白云寺路口</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桃花源社区/芦浦村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芦浦公厕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芦浦公墓边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桃花源社区/曹岙村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曹岙公厕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曹岙村路口</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江都社区/前垟村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前垟公厕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前垟直河边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江都社区/后岸村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后岸公厕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后岸到林桥边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681" w:type="pct"/>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集善社区/上溪村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上溪公厕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上溪办公楼前对面</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681" w:type="pct"/>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集善社区/上溪村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上溪公厕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下尾溪边</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仲容社区/寺前村村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寺前公厕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寺前老村</w:t>
            </w:r>
          </w:p>
        </w:tc>
      </w:tr>
      <w:tr>
        <w:tblPrEx>
          <w:tblCellMar>
            <w:top w:w="0" w:type="dxa"/>
            <w:left w:w="108" w:type="dxa"/>
            <w:bottom w:w="0" w:type="dxa"/>
            <w:right w:w="108" w:type="dxa"/>
          </w:tblCellMar>
        </w:tblPrEx>
        <w:trPr>
          <w:trHeight w:val="34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6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江都社区/盖竹村</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盖竹公厕</w:t>
            </w:r>
          </w:p>
        </w:tc>
        <w:tc>
          <w:tcPr>
            <w:tcW w:w="65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w:t>
            </w:r>
          </w:p>
        </w:tc>
        <w:tc>
          <w:tcPr>
            <w:tcW w:w="14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村办公楼边</w:t>
            </w:r>
          </w:p>
        </w:tc>
      </w:tr>
    </w:tbl>
    <w:p>
      <w:pPr>
        <w:pStyle w:val="2"/>
        <w:rPr>
          <w:rFonts w:hint="eastAsia"/>
        </w:rPr>
      </w:pPr>
    </w:p>
    <w:sectPr>
      <w:headerReference r:id="rId12" w:type="default"/>
      <w:footerReference r:id="rId14" w:type="default"/>
      <w:headerReference r:id="rId13" w:type="even"/>
      <w:footerReference r:id="rId15" w:type="even"/>
      <w:pgSz w:w="16838" w:h="11906" w:orient="landscape"/>
      <w:pgMar w:top="1418" w:right="1588" w:bottom="1418" w:left="1134" w:header="680"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80E0000" w:usb2="00000010" w:usb3="00000000" w:csb0="00040000" w:csb1="00000000"/>
  </w:font>
  <w:font w:name="Arial Unicode MS">
    <w:altName w:val="宋体"/>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E00006FF" w:usb1="420024FF" w:usb2="02000000" w:usb3="00000000" w:csb0="2000019F" w:csb1="00000000"/>
  </w:font>
  <w:font w:name="???|CS?o¡À?">
    <w:altName w:val="MS PGothic"/>
    <w:panose1 w:val="00000000000000000000"/>
    <w:charset w:val="80"/>
    <w:family w:val="modern"/>
    <w:pitch w:val="default"/>
    <w:sig w:usb0="00000000" w:usb1="00000000" w:usb2="00000010" w:usb3="00000000" w:csb0="0002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行楷简体">
    <w:altName w:val="微软雅黑"/>
    <w:panose1 w:val="02010601030101010101"/>
    <w:charset w:val="86"/>
    <w:family w:val="auto"/>
    <w:pitch w:val="default"/>
    <w:sig w:usb0="00000001" w:usb1="080E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I</w:t>
                          </w:r>
                          <w:r>
                            <w:rPr>
                              <w:rFonts w:hint="eastAsia"/>
                            </w:rPr>
                            <w:fldChar w:fldCharType="end"/>
                          </w:r>
                        </w:p>
                      </w:txbxContent>
                    </wps:txbx>
                    <wps:bodyPr wrap="none" lIns="0" tIns="0" rIns="0" bIns="0" upright="0">
                      <a:spAutoFit/>
                    </wps:bodyPr>
                  </wps:wsp>
                </a:graphicData>
              </a:graphic>
            </wp:anchor>
          </w:drawing>
        </mc:Choice>
        <mc:Fallback>
          <w:pict>
            <v:shape id="文本框 41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7S52lswBAACdAwAADgAAAGRycy9lMm9Eb2MueG1srVNLjtswDN0X6B0E 7SdyMkURGHEGLYIpChRtgekcQJHlWIB+EJXYuUB7g6666b7nyjlKyXYyn80sZiNTJPXI90ivbnqj yUEGUM5WdD4rKJFWuFrZXUXvf9xeLSmByG3NtbOyokcJ9Gb99s2q86VcuNbpWgaCIBbKzle0jdGX jIFopeEwc15aDDYuGB7xGnasDrxDdKPZoijes86F2gcnJAB6N0OQjojhJYCuaZSQGyf2Rto4oAap eURK0CoPdJ27bRop4remARmJrigyjfnEImhv08nWK17uAvetEmML/CUtPOFkuLJY9Ay14ZGTfVDP oIwSwYFr4kw4wwYiWRFkMS+eaHPXci8zF5Qa/Fl0eD1Y8fXwPRBVV3RxTYnlBid++v3r9Off6e9P 8m4+zxJ1HkrMvPOYG/uPrsfFSdIlP6AzMe+bYNIXORGMo8DHs8Cyj0SkR8vFcllgSGBsuiAOuzz3 AeIn6QxJRkUDTjALyw9fIA6pU0qqZt2t0jpPUdtHDsRMHnbpMVmx3/Zj41tXH5FPh8OvqMVdp0R/ tqht2pPJCJOxnYy9D2rX5kVK9cB/2EdsIveWKgywY2GcWmY3blhai4f3nHX5q9b/AV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DtLnaWzAEAAJ0DAAAOAAAAAAAAAAEAIAAAAB4BAABkcnMvZTJv RG9jLnhtbFBLBQYAAAAABgAGAFkBAABcBQ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I</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Style w:val="33"/>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4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62</w:t>
                          </w:r>
                          <w:r>
                            <w:rPr>
                              <w:rFonts w:hint="eastAsia"/>
                            </w:rPr>
                            <w:fldChar w:fldCharType="end"/>
                          </w:r>
                        </w:p>
                      </w:txbxContent>
                    </wps:txbx>
                    <wps:bodyPr wrap="none" lIns="0" tIns="0" rIns="0" bIns="0" upright="0">
                      <a:spAutoFit/>
                    </wps:bodyPr>
                  </wps:wsp>
                </a:graphicData>
              </a:graphic>
            </wp:anchor>
          </w:drawing>
        </mc:Choice>
        <mc:Fallback>
          <w:pict>
            <v:shape id="文本框 41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H52+eswBAACdAwAADgAAAGRycy9lMm9Eb2MueG1srVNLbtswEN0XyB0I 7mNKRlAYguWghZEiQNAWSHsAmqIsAvyBQ1vyBdobdNVN9z2Xz9EhJTlpusmiG2o4M3wz781ofTsY TY4ygHK2puWioERa4Rpl9zX9+uXuekUJRG4brp2VNT1JoLebqzfr3ldy6TqnGxkIglioel/TLkZf MQaik4bDwnlpMdi6YHjEa9izJvAe0Y1my6J4y3oXGh+ckADo3Y5BOiGG1wC6tlVCbp04GGnjiBqk 5hEpQac80E3utm2liJ/aFmQkuqbINOYTi6C9SyfbrHm1D9x3Skwt8Ne08IKT4cpi0QvUlkdODkH9 A2WUCA5cGxfCGTYSyYogi7J4oc1jx73MXFBq8BfR4f/Bio/Hz4GopqbLG0osNzjx84/v55+/z7++ kZuyLJNEvYcKMx895sbhvRtwcWY/oDMxH9pg0hc5EYyjwKeLwHKIRKRHq+VqVWBIYGy+ID57eu4D xA/SGZKMmgacYBaWHx8gjqlzSqpm3Z3SOk9R278ciJk8LPU+9pisOOyGidDONSfk0+Pwa2px1ynR 9xa1TXsyG2E2drNx8EHtu7xIqR74d4eITeTeUoURdiqMU8vspg1La/H8nrOe/qrNH1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Afnb56zAEAAJ0DAAAOAAAAAAAAAAEAIAAAAB4BAABkcnMvZTJv RG9jLnhtbFBLBQYAAAAABgAGAFkBAABcBQ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62</w:t>
                    </w:r>
                    <w:r>
                      <w:rPr>
                        <w:rFonts w:hint="eastAsia"/>
                      </w:rPr>
                      <w:fldChar w:fldCharType="end"/>
                    </w:r>
                  </w:p>
                </w:txbxContent>
              </v:textbox>
            </v:shape>
          </w:pict>
        </mc:Fallback>
      </mc:AlternateContent>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rPr>
        <w:rFonts w:ascii="楷体_GB2312" w:eastAsia="楷体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41605" cy="39243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41605" cy="392430"/>
                      </a:xfrm>
                      <a:prstGeom prst="rect">
                        <a:avLst/>
                      </a:prstGeom>
                      <a:noFill/>
                      <a:ln>
                        <a:noFill/>
                      </a:ln>
                      <a:effectLst/>
                    </wps:spPr>
                    <wps:txbx>
                      <w:txbxContent>
                        <w:p>
                          <w:pPr>
                            <w:pStyle w:val="20"/>
                          </w:pPr>
                          <w:r>
                            <w:fldChar w:fldCharType="begin"/>
                          </w:r>
                          <w:r>
                            <w:instrText xml:space="preserve"> PAGE  \* MERGEFORMAT </w:instrText>
                          </w:r>
                          <w:r>
                            <w:fldChar w:fldCharType="separate"/>
                          </w:r>
                          <w:r>
                            <w:rPr>
                              <w:lang/>
                            </w:rPr>
                            <w:t>63</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30.9pt;width:11.15pt;mso-position-horizontal:center;mso-position-horizontal-relative:margin;mso-wrap-style:none;z-index:251660288;mso-width-relative:page;mso-height-relative:page;" filled="f" stroked="f" coordsize="21600,21600" o:gfxdata="UEsDBAoAAAAAAIdO4kAAAAAAAAAAAAAAAAAEAAAAZHJzL1BLAwQUAAAACACHTuJATAOrC9EAAAAD AQAADwAAAGRycy9kb3ducmV2LnhtbE2PQUvEMBCF74L/IYzgzU1bYS3dpntY8OLNVQRvs81sU0wm Jcl2239v9KKXgcd7vPdNu1+cFTOFOHpWUG4KEMS91yMPCt7fnh9qEDEha7SeScFKEfbd7U2LjfZX fqX5mAaRSzg2qMCkNDVSxt6Qw7jxE3H2zj44TFmGQeqA11zurKyKYisdjpwXDE50MNR/HS9OwdPy 4WmKdKDP89wHM661fVmVur8rix2IREv6C8MPfkaHLjOd/IV1FFZBfiT93uxV1SOIk4JtWYPsWvmf vfsGUEsDBBQAAAAIAIdO4kCWSUIf1QEAAKYDAAAOAAAAZHJzL2Uyb0RvYy54bWytU82O0zAQviPx DpbvNEl3WUHUdAWqFiEhQFp4ANexG0v+k8dt0heAN+DEhTvP1efYsZN02d3LHrg44/H4m+/7PFld D0aTgwignG1otSgpEZa7VtldQ79/u3n1hhKIzLZMOysaehRAr9cvX6x6X4ul65xuRSAIYqHufUO7 GH1dFMA7YRgsnBcWD6ULhkXchl3RBtYjutHFsiyvit6F1gfHBQBmN+MhnRDDcwCdlIqLjeN7I2wc UYPQLKIk6JQHus5spRQ8fpESRCS6oag05hWbYLxNa7FesXoXmO8Unyiw51B4pMkwZbHpGWrDIiP7 oJ5AGcWDAyfjgjtTjEKyI6iiKh95c9sxL7IWtBr82XT4f7D88+FrIKpt6LKixDKDL3769fP0++/p zw9SJX96DzWW3XosjMN7N+DUzHnAZJI9yGDSFwURPEd3j2d3xRAJT5cuq6vyNSUcjy7eLi8vsvvF /WUfIH4QzpAUNDTg42VP2eETRCSCpXNJ6mXdjdI6P6C2DxJYOGZEnoDpdtIx8k1RHLbDJG7r2iNq 63EKGmpx6CnRHy2anAZmDsIcbOdg74PadUi0yizBv9tHpJSZpg4jLNJOG3y+LGAatTQf/+5z1f3v tb4D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TAOrC9EAAAADAQAADwAAAAAAAAABACAAAAAiAAAA ZHJzL2Rvd25yZXYueG1sUEsBAhQAFAAAAAgAh07iQJZJQh/VAQAApgMAAA4AAAAAAAAAAQAgAAAA IAEAAGRycy9lMm9Eb2MueG1sUEsFBgAAAAAGAAYAWQEAAGcFAAAAAA== ">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rPr>
                        <w:lang/>
                      </w:rPr>
                      <w:t>63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1</w:t>
    </w:r>
    <w:r>
      <w:fldChar w:fldCharType="end"/>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4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85</w:t>
                          </w:r>
                          <w:r>
                            <w:rPr>
                              <w:rFonts w:hint="eastAsia"/>
                            </w:rPr>
                            <w:fldChar w:fldCharType="end"/>
                          </w:r>
                        </w:p>
                      </w:txbxContent>
                    </wps:txbx>
                    <wps:bodyPr wrap="none" lIns="0" tIns="0" rIns="0" bIns="0" upright="0">
                      <a:spAutoFit/>
                    </wps:bodyPr>
                  </wps:wsp>
                </a:graphicData>
              </a:graphic>
            </wp:anchor>
          </w:drawing>
        </mc:Choice>
        <mc:Fallback>
          <w:pict>
            <v:shape id="文本框 41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BhOJIcwBAACdAwAADgAAAGRycy9lMm9Eb2MueG1srVPNjtMwEL4j8Q6W 79RptYIqaroCVYuQECAtPIDr2I0l/8njNukLwBtw4sKd5+pzMHaSLiyXPXBxxjPjb+b7ZrK5Hawh JxlBe9fQ5aKiRDrhW+0ODf3y+e7FmhJI3LXceCcbepZAb7fPn236UMuV77xpZSQI4qDuQ0O7lELN GIhOWg4LH6TDoPLR8oTXeGBt5D2iW8NWVfWS9T62IXohAdC7G4N0QoxPAfRKaSF3XhytdGlEjdLw hJSg0wHotnSrlBTpo1IgEzENRaapnFgE7X0+2XbD60PkodNiaoE/pYVHnCzXDoteoXY8cXKM+h8o q0X04FVaCG/ZSKQogiyW1SNt7jseZOGCUkO4ig7/D1Z8OH2KRLcNXb2ixHGLE798/3b58evy8yu5 WS5vskR9gBoz7wPmpuGNH3BxZj+gMzMfVLT5i5wIxlHg81VgOSQi8qP1ar2uMCQwNl8Qnz08DxHS W+ktyUZDI06wCMtP7yGNqXNKrub8nTamTNG4vxyImT0s9z72mK007IeJ0N63Z+TT4/Ab6nDXKTHv HGqb92Q24mzsZ+MYoj50ZZFyPQivjwmbKL3lCiPsVBinVthNG5bX4s97yXr4q7a/AV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AGE4khzAEAAJ0DAAAOAAAAAAAAAAEAIAAAAB4BAABkcnMvZTJv RG9jLnhtbFBLBQYAAAAABgAGAFkBAABcBQ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85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Style w:val="33"/>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4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86</w:t>
                          </w:r>
                          <w:r>
                            <w:rPr>
                              <w:rFonts w:hint="eastAsia"/>
                            </w:rPr>
                            <w:fldChar w:fldCharType="end"/>
                          </w:r>
                        </w:p>
                      </w:txbxContent>
                    </wps:txbx>
                    <wps:bodyPr wrap="none" lIns="0" tIns="0" rIns="0" bIns="0" upright="0">
                      <a:spAutoFit/>
                    </wps:bodyPr>
                  </wps:wsp>
                </a:graphicData>
              </a:graphic>
            </wp:anchor>
          </w:drawing>
        </mc:Choice>
        <mc:Fallback>
          <w:pict>
            <v:shape id="文本框 411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a/VUo8sBAACdAwAADgAAAGRycy9lMm9Eb2MueG1srVPNjtMwEL4j8Q6W 79RpBaiKmq5A1SIkBEjLPoDr2I0l/8njNukLwBtw4sKd5+pzMHaSLiyXPXBxxjPjb+b7ZrK5Gawh JxlBe9fQ5aKiRDrhW+0ODb3/cvtiTQkk7lpuvJMNPUugN9vnzzZ9qOXKd960MhIEcVD3oaFdSqFm DEQnLYeFD9JhUPloecJrPLA28h7RrWGrqnrNeh/bEL2QAOjdjUE6IcanAHqltJA7L45WujSiRml4 QkrQ6QB0W7pVSor0SSmQiZiGItNUTiyC9j6fbLvh9SHy0GkxtcCf0sIjTpZrh0WvUDueODlG/Q+U 1SJ68CothLdsJFIUQRbL6pE2dx0PsnBBqSFcRYf/Bys+nj5HotuGrnDujluc+OX7t8uPX5efX8nL 5fJVlqgPUGPmXcDcNLz1Ay7O7Ad0ZuaDijZ/kRPBOAp8vgosh0REfrRerdcVhgTG5gvis4fnIUJ6 J70l2WhoxAkWYfnpA6QxdU7J1Zy/1caUKRr3lwMxs4fl3sces5WG/TAR2vv2jHx6HH5DHe46Jea9 Q23znsxGnI39bBxD1IeuLFKuB+HNMWETpbdcYYSdCuPUCrtpw/Ja/HkvWQ9/1fY3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Gv1VKPLAQAAnQMAAA4AAAAAAAAAAQAgAAAAHgEAAGRycy9lMm9E b2MueG1sUEsFBgAAAAAGAAYAWQEAAFsFA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86</w:t>
                    </w:r>
                    <w:r>
                      <w:rPr>
                        <w:rFonts w:hint="eastAsia"/>
                      </w:rPr>
                      <w:fldChar w:fldCharType="end"/>
                    </w:r>
                  </w:p>
                </w:txbxContent>
              </v:textbox>
            </v:shape>
          </w:pict>
        </mc:Fallback>
      </mc:AlternateContent>
    </w:r>
  </w:p>
  <w:p>
    <w:pPr>
      <w:pStyle w:val="2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4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125</w:t>
                          </w:r>
                          <w:r>
                            <w:rPr>
                              <w:rFonts w:hint="eastAsia"/>
                            </w:rPr>
                            <w:fldChar w:fldCharType="end"/>
                          </w:r>
                        </w:p>
                      </w:txbxContent>
                    </wps:txbx>
                    <wps:bodyPr wrap="none" lIns="0" tIns="0" rIns="0" bIns="0" upright="0">
                      <a:spAutoFit/>
                    </wps:bodyPr>
                  </wps:wsp>
                </a:graphicData>
              </a:graphic>
            </wp:anchor>
          </w:drawing>
        </mc:Choice>
        <mc:Fallback>
          <w:pict>
            <v:shape id="文本框 41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1xqD+swBAACdAwAADgAAAGRycy9lMm9Eb2MueG1srVPNjtMwEL4j7TtY vm+dRguqoqYrULUrJARIyz6A6ziNJf/J4zbpC8AbcOLCnefqczB2ki4slz1wccYz42/m+2ayvh2M JkcZQDlb0+WioERa4Rpl9zV9/HJ3vaIEIrcN187Kmp4k0NvN1at17ytZus7pRgaCIBaq3te0i9FX jIHopOGwcF5aDLYuGB7xGvasCbxHdKNZWRRvWO9C44MTEgC92zFIJ8TwEkDXtkrIrRMHI20cUYPU PCIl6JQHusndtq0U8VPbgoxE1xSZxnxiEbR36WSbNa/2gftOiakF/pIWnnEyXFkseoHa8sjJIah/ oIwSwYFr40I4w0YiWRFksSyeafPQcS8zF5Qa/EV0+H+w4uPxcyCqqWn5mhLLDU78/P3b+cev88+v 5Ga5LJNEvYcKMx885sbhnRtwcWY/oDMxH9pg0hc5EYyjwKeLwHKIRKRHq3K1KjAkMDZfEJ89PfcB 4r10hiSjpgEnmIXlxw8Qx9Q5JVWz7k5pnaeo7V8OxEwelnofe0xWHHbDRGjnmhPy6XH4NbW465To 9xa1TXsyG2E2drNx8EHtu7xIqR74t4eITeTeUoURdiqMU8vspg1La/HnPWc9/VWb31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DXGoP6zAEAAJ0DAAAOAAAAAAAAAAEAIAAAAB4BAABkcnMvZTJv RG9jLnhtbFBLBQYAAAAABgAGAFkBAABcBQ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125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Style w:val="33"/>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110</w:t>
                          </w:r>
                          <w:r>
                            <w:rPr>
                              <w:rFonts w:hint="eastAsia"/>
                            </w:rPr>
                            <w:fldChar w:fldCharType="end"/>
                          </w:r>
                        </w:p>
                      </w:txbxContent>
                    </wps:txbx>
                    <wps:bodyPr wrap="none" lIns="0" tIns="0" rIns="0" bIns="0" upright="0">
                      <a:spAutoFit/>
                    </wps:bodyPr>
                  </wps:wsp>
                </a:graphicData>
              </a:graphic>
            </wp:anchor>
          </w:drawing>
        </mc:Choice>
        <mc:Fallback>
          <w:pict>
            <v:shape id="文本框 411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yoD5zMwBAACdAwAADgAAAGRycy9lMm9Eb2MueG1srVPNjtMwEL4j8Q6W 79RpQasqaroCVYuQECAtPIDr2I0l/8njNukLwBtw4sKd5+pzMHaSLiyXPXBxxjPjb+b7ZrK5Hawh JxlBe9fQ5aKiRDrhW+0ODf3y+e7FmhJI3LXceCcbepZAb7fPn236UMuV77xpZSQI4qDuQ0O7lELN GIhOWg4LH6TDoPLR8oTXeGBt5D2iW8NWVXXDeh/bEL2QAOjdjUE6IcanAHqltJA7L45WujSiRml4 QkrQ6QB0W7pVSor0USmQiZiGItNUTiyC9j6fbLvh9SHy0GkxtcCf0sIjTpZrh0WvUDueODlG/Q+U 1SJ68CothLdsJFIUQRbL6pE29x0PsnBBqSFcRYf/Bys+nD5FotuGrm4ocdzixC/fv11+/Lr8/Epe LZcvs0R9gBoz7wPmpuGNH3BxZj+gMzMfVLT5i5wIxlHg81VgOSQi8qP1ar2uMCQwNl8Qnz08DxHS W+ktyUZDI06wCMtP7yGNqXNKrub8nTamTNG4vxyImT0s9z72mK007IeJ0N63Z+TT4/Ab6nDXKTHv HGqb92Q24mzsZ+MYoj50ZZFyPQivjwmbKL3lCiPsVBinVthNG5bX4s97yXr4q7a/AV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DKgPnMzAEAAJ0DAAAOAAAAAAAAAAEAIAAAAB4BAABkcnMvZTJv RG9jLnhtbFBLBQYAAAAABgAGAFkBAABcBQAAAAA= ">
              <v:fill on="f" focussize="0,0"/>
              <v:stroke on="f"/>
              <v:imagedata o:title=""/>
              <o:lock v:ext="edit" aspectratio="f"/>
              <v:textbox inset="0mm,0mm,0mm,0mm" style="mso-fit-shape-to-text:t;">
                <w:txbxContent>
                  <w:p>
                    <w:pPr>
                      <w:pStyle w:val="20"/>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110</w:t>
                    </w:r>
                    <w:r>
                      <w:rPr>
                        <w:rFonts w:hint="eastAsia"/>
                      </w:rPr>
                      <w:fldChar w:fldCharType="end"/>
                    </w:r>
                  </w:p>
                </w:txbxContent>
              </v:textbox>
            </v:shape>
          </w:pict>
        </mc:Fallback>
      </mc:AlternateContent>
    </w:r>
  </w:p>
  <w:p>
    <w:pPr>
      <w:pStyle w:val="2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13" w:type="dxa"/>
        <w:bottom w:w="0" w:type="dxa"/>
        <w:right w:w="113" w:type="dxa"/>
      </w:tblCellMar>
    </w:tblPr>
    <w:tblGrid>
      <w:gridCol w:w="4426"/>
      <w:gridCol w:w="4612"/>
    </w:tblGrid>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13" w:type="dxa"/>
          <w:bottom w:w="0" w:type="dxa"/>
          <w:right w:w="113" w:type="dxa"/>
        </w:tblCellMar>
      </w:tblPrEx>
      <w:trPr>
        <w:wBefore w:w="0" w:type="dxa"/>
        <w:trHeight w:val="427" w:hRule="atLeast"/>
      </w:trPr>
      <w:tc>
        <w:tcPr>
          <w:tcW w:w="4426" w:type="dxa"/>
          <w:noWrap w:val="0"/>
          <w:tcMar>
            <w:left w:w="0" w:type="dxa"/>
            <w:right w:w="0" w:type="dxa"/>
          </w:tcMar>
          <w:vAlign w:val="center"/>
        </w:tcPr>
        <w:p>
          <w:pPr>
            <w:jc w:val="both"/>
            <w:rPr>
              <w:rFonts w:ascii="???|CS?o¡À?" w:eastAsia="???|CS?o¡À?"/>
              <w:b/>
              <w:sz w:val="24"/>
              <w:szCs w:val="24"/>
            </w:rPr>
          </w:pPr>
          <w:r>
            <w:rPr>
              <w:rFonts w:hint="eastAsia" w:ascii="???|CS?o¡À?" w:eastAsia="???|CS?o¡À?"/>
              <w:b/>
              <w:sz w:val="24"/>
              <w:szCs w:val="24"/>
            </w:rPr>
            <w:t>瑞安市政府采购文件</w:t>
          </w:r>
        </w:p>
      </w:tc>
      <w:tc>
        <w:tcPr>
          <w:tcW w:w="4612" w:type="dxa"/>
          <w:noWrap w:val="0"/>
          <w:vAlign w:val="center"/>
        </w:tcPr>
        <w:p>
          <w:pPr>
            <w:ind w:right="-2"/>
            <w:jc w:val="right"/>
            <w:rPr>
              <w:rFonts w:ascii="仿宋_GB2312" w:hAnsi="仿宋_GB2312"/>
              <w:szCs w:val="21"/>
            </w:rPr>
          </w:pPr>
        </w:p>
      </w:tc>
    </w:tr>
  </w:tbl>
  <w:p>
    <w:pPr>
      <w:tabs>
        <w:tab w:val="left" w:pos="8685"/>
      </w:tabs>
      <w:rPr>
        <w:rFonts w:ascii="仿宋_GB2312" w:hAnsi="仿宋_GB2312"/>
        <w:sz w:val="2"/>
        <w:szCs w:val="2"/>
      </w:rPr>
    </w:pPr>
    <w:r>
      <w:rPr>
        <w:rFonts w:ascii="仿宋_GB2312" w:hAnsi="仿宋_GB2312"/>
        <w:sz w:val="2"/>
        <w:szCs w:val="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13" w:type="dxa"/>
        <w:bottom w:w="0" w:type="dxa"/>
        <w:right w:w="113" w:type="dxa"/>
      </w:tblCellMar>
    </w:tblPr>
    <w:tblGrid>
      <w:gridCol w:w="4426"/>
      <w:gridCol w:w="4612"/>
    </w:tblGrid>
    <w:tr>
      <w:tblPrEx>
        <w:tblBorders>
          <w:top w:val="none" w:color="auto" w:sz="0" w:space="0"/>
          <w:left w:val="none" w:color="auto" w:sz="0" w:space="0"/>
          <w:bottom w:val="single" w:color="000000" w:sz="4" w:space="0"/>
          <w:right w:val="none" w:color="auto" w:sz="0" w:space="0"/>
          <w:insideH w:val="single" w:color="000000" w:sz="4" w:space="0"/>
          <w:insideV w:val="none" w:color="auto" w:sz="0" w:space="0"/>
        </w:tblBorders>
        <w:tblCellMar>
          <w:top w:w="0" w:type="dxa"/>
          <w:left w:w="113" w:type="dxa"/>
          <w:bottom w:w="0" w:type="dxa"/>
          <w:right w:w="113" w:type="dxa"/>
        </w:tblCellMar>
      </w:tblPrEx>
      <w:trPr>
        <w:wBefore w:w="0" w:type="dxa"/>
        <w:trHeight w:val="427" w:hRule="atLeast"/>
      </w:trPr>
      <w:tc>
        <w:tcPr>
          <w:tcW w:w="4426" w:type="dxa"/>
          <w:noWrap w:val="0"/>
          <w:tcMar>
            <w:left w:w="0" w:type="dxa"/>
            <w:right w:w="0" w:type="dxa"/>
          </w:tcMar>
          <w:vAlign w:val="center"/>
        </w:tcPr>
        <w:p>
          <w:pPr>
            <w:jc w:val="both"/>
            <w:rPr>
              <w:rFonts w:ascii="仿宋_GB2312" w:hAnsi="仿宋_GB2312"/>
              <w:szCs w:val="21"/>
            </w:rPr>
          </w:pPr>
        </w:p>
      </w:tc>
      <w:tc>
        <w:tcPr>
          <w:tcW w:w="4612" w:type="dxa"/>
          <w:noWrap w:val="0"/>
          <w:vAlign w:val="center"/>
        </w:tcPr>
        <w:p>
          <w:pPr>
            <w:ind w:right="-2"/>
            <w:jc w:val="right"/>
            <w:rPr>
              <w:rFonts w:ascii="???|CS?o¡À?" w:eastAsia="???|CS?o¡À?"/>
              <w:b/>
              <w:sz w:val="24"/>
              <w:szCs w:val="24"/>
            </w:rPr>
          </w:pPr>
          <w:r>
            <w:rPr>
              <w:rFonts w:hint="eastAsia" w:ascii="???|CS?o¡À?" w:eastAsia="???|CS?o¡À?"/>
              <w:b/>
              <w:sz w:val="24"/>
              <w:szCs w:val="24"/>
            </w:rPr>
            <w:t>瑞安市政府采购文件</w:t>
          </w:r>
        </w:p>
      </w:tc>
    </w:tr>
  </w:tbl>
  <w:p>
    <w:pPr>
      <w:rPr>
        <w:sz w:val="2"/>
        <w:szCs w:val="2"/>
      </w:rPr>
    </w:pPr>
  </w:p>
  <w:p>
    <w:pPr>
      <w:rPr>
        <w:rFonts w:ascii="仿宋_GB2312" w:hAnsi="仿宋_GB2312"/>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13" w:type="dxa"/>
        <w:bottom w:w="0" w:type="dxa"/>
        <w:right w:w="113" w:type="dxa"/>
      </w:tblCellMar>
    </w:tblPr>
    <w:tblGrid>
      <w:gridCol w:w="4426"/>
      <w:gridCol w:w="4612"/>
    </w:tblGrid>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13" w:type="dxa"/>
          <w:bottom w:w="0" w:type="dxa"/>
          <w:right w:w="113" w:type="dxa"/>
        </w:tblCellMar>
      </w:tblPrEx>
      <w:trPr>
        <w:trHeight w:val="427" w:hRule="atLeast"/>
      </w:trPr>
      <w:tc>
        <w:tcPr>
          <w:tcW w:w="4426" w:type="dxa"/>
          <w:noWrap w:val="0"/>
          <w:tcMar>
            <w:left w:w="0" w:type="dxa"/>
            <w:right w:w="0" w:type="dxa"/>
          </w:tcMar>
          <w:vAlign w:val="center"/>
        </w:tcPr>
        <w:p>
          <w:pPr>
            <w:jc w:val="both"/>
            <w:rPr>
              <w:rFonts w:ascii="???|CS?o¡À?" w:eastAsia="???|CS?o¡À?"/>
              <w:b/>
              <w:sz w:val="24"/>
              <w:szCs w:val="24"/>
            </w:rPr>
          </w:pPr>
          <w:r>
            <w:rPr>
              <w:rFonts w:hint="eastAsia" w:ascii="???|CS?o¡À?" w:eastAsia="???|CS?o¡À?"/>
              <w:b/>
              <w:sz w:val="24"/>
              <w:szCs w:val="24"/>
            </w:rPr>
            <w:t>瑞安市政府采购文件</w:t>
          </w:r>
        </w:p>
      </w:tc>
      <w:tc>
        <w:tcPr>
          <w:tcW w:w="4612" w:type="dxa"/>
          <w:noWrap w:val="0"/>
          <w:vAlign w:val="center"/>
        </w:tcPr>
        <w:p>
          <w:pPr>
            <w:ind w:right="-2"/>
            <w:jc w:val="right"/>
            <w:rPr>
              <w:rFonts w:ascii="仿宋_GB2312" w:hAnsi="仿宋_GB2312"/>
              <w:szCs w:val="21"/>
            </w:rPr>
          </w:pPr>
          <w:r>
            <w:rPr>
              <w:rFonts w:hint="eastAsia" w:ascii="仿宋_GB2312" w:hAnsi="仿宋_GB2312"/>
              <w:szCs w:val="21"/>
            </w:rPr>
            <w:t>第</w:t>
          </w:r>
          <w:r>
            <w:rPr>
              <w:rFonts w:ascii="仿宋_GB2312" w:hAnsi="仿宋_GB2312"/>
              <w:szCs w:val="21"/>
            </w:rPr>
            <w:fldChar w:fldCharType="begin"/>
          </w:r>
          <w:r>
            <w:rPr>
              <w:rFonts w:ascii="仿宋_GB2312" w:hAnsi="仿宋_GB2312"/>
              <w:szCs w:val="21"/>
            </w:rPr>
            <w:instrText xml:space="preserve"> PAGE   \* MERGEFORMAT </w:instrText>
          </w:r>
          <w:r>
            <w:rPr>
              <w:rFonts w:ascii="仿宋_GB2312" w:hAnsi="仿宋_GB2312"/>
              <w:szCs w:val="21"/>
            </w:rPr>
            <w:fldChar w:fldCharType="separate"/>
          </w:r>
          <w:r>
            <w:rPr>
              <w:rFonts w:ascii="仿宋_GB2312" w:hAnsi="仿宋_GB2312"/>
              <w:szCs w:val="21"/>
              <w:lang/>
            </w:rPr>
            <w:t>1</w:t>
          </w:r>
          <w:r>
            <w:rPr>
              <w:rFonts w:ascii="仿宋_GB2312" w:hAnsi="仿宋_GB2312"/>
              <w:szCs w:val="21"/>
            </w:rPr>
            <w:fldChar w:fldCharType="end"/>
          </w:r>
          <w:r>
            <w:rPr>
              <w:rFonts w:hint="eastAsia" w:ascii="仿宋_GB2312" w:hAnsi="仿宋_GB2312"/>
              <w:szCs w:val="21"/>
            </w:rPr>
            <w:t>页</w:t>
          </w:r>
        </w:p>
      </w:tc>
    </w:tr>
  </w:tbl>
  <w:p>
    <w:pPr>
      <w:pStyle w:val="21"/>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13" w:type="dxa"/>
        <w:bottom w:w="0" w:type="dxa"/>
        <w:right w:w="113" w:type="dxa"/>
      </w:tblCellMar>
    </w:tblPr>
    <w:tblGrid>
      <w:gridCol w:w="6904"/>
      <w:gridCol w:w="7195"/>
    </w:tblGrid>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13" w:type="dxa"/>
          <w:bottom w:w="0" w:type="dxa"/>
          <w:right w:w="113" w:type="dxa"/>
        </w:tblCellMar>
      </w:tblPrEx>
      <w:trPr>
        <w:trHeight w:val="451" w:hRule="atLeast"/>
      </w:trPr>
      <w:tc>
        <w:tcPr>
          <w:tcW w:w="6904" w:type="dxa"/>
          <w:noWrap w:val="0"/>
          <w:tcMar>
            <w:left w:w="0" w:type="dxa"/>
            <w:right w:w="0" w:type="dxa"/>
          </w:tcMar>
          <w:vAlign w:val="center"/>
        </w:tcPr>
        <w:p>
          <w:pPr>
            <w:jc w:val="both"/>
            <w:rPr>
              <w:rFonts w:ascii="???|CS?o¡À?" w:eastAsia="???|CS?o¡À?"/>
              <w:b/>
              <w:sz w:val="24"/>
              <w:szCs w:val="24"/>
            </w:rPr>
          </w:pPr>
          <w:r>
            <w:rPr>
              <w:rFonts w:hint="eastAsia" w:ascii="???|CS?o¡À?" w:eastAsia="???|CS?o¡À?"/>
              <w:b/>
              <w:sz w:val="24"/>
              <w:szCs w:val="24"/>
            </w:rPr>
            <w:t>瑞安市政府采购文件</w:t>
          </w:r>
        </w:p>
      </w:tc>
      <w:tc>
        <w:tcPr>
          <w:tcW w:w="7195" w:type="dxa"/>
          <w:noWrap w:val="0"/>
          <w:vAlign w:val="center"/>
        </w:tcPr>
        <w:p>
          <w:pPr>
            <w:ind w:right="-2"/>
            <w:jc w:val="right"/>
            <w:rPr>
              <w:rFonts w:ascii="仿宋_GB2312" w:hAnsi="仿宋_GB2312"/>
              <w:szCs w:val="21"/>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right="-2"/>
                                  <w:jc w:val="right"/>
                                </w:pPr>
                                <w:r>
                                  <w:rPr>
                                    <w:rFonts w:hint="eastAsia" w:ascii="仿宋_GB2312" w:hAnsi="仿宋_GB2312"/>
                                    <w:szCs w:val="21"/>
                                  </w:rPr>
                                  <w:t>第</w:t>
                                </w:r>
                                <w:r>
                                  <w:rPr>
                                    <w:rFonts w:ascii="仿宋_GB2312" w:hAnsi="仿宋_GB2312"/>
                                    <w:szCs w:val="21"/>
                                  </w:rPr>
                                  <w:fldChar w:fldCharType="begin"/>
                                </w:r>
                                <w:r>
                                  <w:rPr>
                                    <w:rFonts w:ascii="仿宋_GB2312" w:hAnsi="仿宋_GB2312"/>
                                    <w:szCs w:val="21"/>
                                  </w:rPr>
                                  <w:instrText xml:space="preserve"> PAGE   \* MERGEFORMAT </w:instrText>
                                </w:r>
                                <w:r>
                                  <w:rPr>
                                    <w:rFonts w:ascii="仿宋_GB2312" w:hAnsi="仿宋_GB2312"/>
                                    <w:szCs w:val="21"/>
                                  </w:rPr>
                                  <w:fldChar w:fldCharType="separate"/>
                                </w:r>
                                <w:r>
                                  <w:rPr>
                                    <w:rFonts w:ascii="仿宋_GB2312" w:hAnsi="仿宋_GB2312"/>
                                    <w:szCs w:val="21"/>
                                    <w:lang/>
                                  </w:rPr>
                                  <w:t>125</w:t>
                                </w:r>
                                <w:r>
                                  <w:rPr>
                                    <w:rFonts w:ascii="仿宋_GB2312" w:hAnsi="仿宋_GB2312"/>
                                    <w:szCs w:val="21"/>
                                  </w:rPr>
                                  <w:fldChar w:fldCharType="end"/>
                                </w:r>
                                <w:r>
                                  <w:rPr>
                                    <w:rFonts w:hint="eastAsia" w:ascii="仿宋_GB2312" w:hAnsi="仿宋_GB2312"/>
                                    <w:szCs w:val="21"/>
                                  </w:rPr>
                                  <w:t>页</w:t>
                                </w:r>
                              </w:p>
                            </w:txbxContent>
                          </wps:txbx>
                          <wps:bodyPr wrap="none" lIns="0" tIns="0" rIns="0" bIns="0" upright="0">
                            <a:spAutoFit/>
                          </wps:bodyPr>
                        </wps:wsp>
                      </a:graphicData>
                    </a:graphic>
                  </wp:anchor>
                </w:drawing>
              </mc:Choice>
              <mc:Fallback>
                <w:pict>
                  <v:shape id="文本框 410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JoYOocsBAACdAwAADgAAAGRycy9lMm9Eb2MueG1srVPNjtMwEL4j8Q6W 79RptUJV1HQFqhYhIUBaeADXsRtL/pPHbdIXgDfgxIU7z9XnYOwk3WW57IGLM54ZfzPfN5PN7WAN OckI2ruGLhcVJdIJ32p3aOjXL3ev1pRA4q7lxjvZ0LMEert9+WLTh1qufOdNKyNBEAd1HxrapRRq xkB00nJY+CAdBpWPlie8xgNrI+8R3Rq2qqrXrPexDdELCYDe3RikE2J8DqBXSgu58+JopUsjapSG J6QEnQ5At6VbpaRIn5QCmYhpKDJN5cQiaO/zybYbXh8iD50WUwv8OS084WS5dlj0CrXjiZNj1P9A WS2iB6/SQnjLRiJFEWSxrJ5oc9/xIAsXlBrCVXT4f7Di4+lzJLpt6AolcdzixC8/vl9+/r78+kZu ltVNlqgPUGPmfcDcNLz1Ay7O7Ad0ZuaDijZ/kRPBOKKdrwLLIRGRH61X63WFIYGx+YL47OF5iJDe SW9JNhoacYJFWH76AGlMnVNyNefvtDFlisb95UDM7GG597HHbKVhP0yE9r49I58eh99Qh7tOiXnv UFvsL81GnI39bBxD1IeuLFKuB+HNMWETpbdcYYSdCuPUCrtpw/JaPL6XrIe/avsH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CaGDqHLAQAAnQMAAA4AAAAAAAAAAQAgAAAAHgEAAGRycy9lMm9E b2MueG1sUEsFBgAAAAAGAAYAWQEAAFsFAAAAAA== ">
                    <v:fill on="f" focussize="0,0"/>
                    <v:stroke on="f"/>
                    <v:imagedata o:title=""/>
                    <o:lock v:ext="edit" aspectratio="f"/>
                    <v:textbox inset="0mm,0mm,0mm,0mm" style="mso-fit-shape-to-text:t;">
                      <w:txbxContent>
                        <w:p>
                          <w:pPr>
                            <w:ind w:right="-2"/>
                            <w:jc w:val="right"/>
                          </w:pPr>
                          <w:r>
                            <w:rPr>
                              <w:rFonts w:hint="eastAsia" w:ascii="仿宋_GB2312" w:hAnsi="仿宋_GB2312"/>
                              <w:szCs w:val="21"/>
                            </w:rPr>
                            <w:t>第</w:t>
                          </w:r>
                          <w:r>
                            <w:rPr>
                              <w:rFonts w:ascii="仿宋_GB2312" w:hAnsi="仿宋_GB2312"/>
                              <w:szCs w:val="21"/>
                            </w:rPr>
                            <w:fldChar w:fldCharType="begin"/>
                          </w:r>
                          <w:r>
                            <w:rPr>
                              <w:rFonts w:ascii="仿宋_GB2312" w:hAnsi="仿宋_GB2312"/>
                              <w:szCs w:val="21"/>
                            </w:rPr>
                            <w:instrText xml:space="preserve"> PAGE   \* MERGEFORMAT </w:instrText>
                          </w:r>
                          <w:r>
                            <w:rPr>
                              <w:rFonts w:ascii="仿宋_GB2312" w:hAnsi="仿宋_GB2312"/>
                              <w:szCs w:val="21"/>
                            </w:rPr>
                            <w:fldChar w:fldCharType="separate"/>
                          </w:r>
                          <w:r>
                            <w:rPr>
                              <w:rFonts w:ascii="仿宋_GB2312" w:hAnsi="仿宋_GB2312"/>
                              <w:szCs w:val="21"/>
                              <w:lang/>
                            </w:rPr>
                            <w:t>125</w:t>
                          </w:r>
                          <w:r>
                            <w:rPr>
                              <w:rFonts w:ascii="仿宋_GB2312" w:hAnsi="仿宋_GB2312"/>
                              <w:szCs w:val="21"/>
                            </w:rPr>
                            <w:fldChar w:fldCharType="end"/>
                          </w:r>
                          <w:r>
                            <w:rPr>
                              <w:rFonts w:hint="eastAsia" w:ascii="仿宋_GB2312" w:hAnsi="仿宋_GB2312"/>
                              <w:szCs w:val="21"/>
                            </w:rPr>
                            <w:t>页</w:t>
                          </w:r>
                        </w:p>
                      </w:txbxContent>
                    </v:textbox>
                  </v:shape>
                </w:pict>
              </mc:Fallback>
            </mc:AlternateContent>
          </w:r>
        </w:p>
      </w:tc>
    </w:tr>
  </w:tbl>
  <w:p>
    <w:pPr>
      <w:tabs>
        <w:tab w:val="left" w:pos="8685"/>
      </w:tabs>
      <w:rPr>
        <w:rFonts w:ascii="仿宋_GB2312" w:hAnsi="仿宋_GB2312"/>
        <w:sz w:val="2"/>
        <w:szCs w:val="2"/>
      </w:rPr>
    </w:pPr>
    <w:r>
      <w:rPr>
        <w:rFonts w:ascii="仿宋_GB2312" w:hAnsi="仿宋_GB2312"/>
        <w:sz w:val="2"/>
        <w:szCs w:val="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13" w:type="dxa"/>
        <w:bottom w:w="0" w:type="dxa"/>
        <w:right w:w="113" w:type="dxa"/>
      </w:tblCellMar>
    </w:tblPr>
    <w:tblGrid>
      <w:gridCol w:w="6895"/>
      <w:gridCol w:w="7184"/>
    </w:tblGrid>
    <w:tr>
      <w:tblPrEx>
        <w:tblBorders>
          <w:top w:val="none" w:color="auto" w:sz="0" w:space="0"/>
          <w:left w:val="none" w:color="auto" w:sz="0" w:space="0"/>
          <w:bottom w:val="single" w:color="000000" w:sz="4" w:space="0"/>
          <w:right w:val="none" w:color="auto" w:sz="0" w:space="0"/>
          <w:insideH w:val="single" w:color="000000" w:sz="4" w:space="0"/>
          <w:insideV w:val="none" w:color="auto" w:sz="0" w:space="0"/>
        </w:tblBorders>
        <w:tblCellMar>
          <w:top w:w="0" w:type="dxa"/>
          <w:left w:w="113" w:type="dxa"/>
          <w:bottom w:w="0" w:type="dxa"/>
          <w:right w:w="113" w:type="dxa"/>
        </w:tblCellMar>
      </w:tblPrEx>
      <w:trPr>
        <w:trHeight w:val="423" w:hRule="atLeast"/>
      </w:trPr>
      <w:tc>
        <w:tcPr>
          <w:tcW w:w="6895" w:type="dxa"/>
          <w:noWrap w:val="0"/>
          <w:tcMar>
            <w:left w:w="0" w:type="dxa"/>
            <w:right w:w="0" w:type="dxa"/>
          </w:tcMar>
          <w:vAlign w:val="center"/>
        </w:tcPr>
        <w:p>
          <w:pPr>
            <w:jc w:val="both"/>
            <w:rPr>
              <w:rFonts w:ascii="仿宋_GB2312" w:hAnsi="仿宋_GB2312"/>
              <w:szCs w:val="21"/>
            </w:rPr>
          </w:pPr>
          <w:r>
            <mc:AlternateContent>
              <mc:Choice Requires="wps">
                <w:drawing>
                  <wp:anchor distT="0" distB="0" distL="114300" distR="114300" simplePos="0" relativeHeight="251661312" behindDoc="0" locked="0" layoutInCell="1" allowOverlap="1">
                    <wp:simplePos x="0" y="0"/>
                    <wp:positionH relativeFrom="margin">
                      <wp:posOffset>67310</wp:posOffset>
                    </wp:positionH>
                    <wp:positionV relativeFrom="paragraph">
                      <wp:posOffset>51435</wp:posOffset>
                    </wp:positionV>
                    <wp:extent cx="1828800" cy="1828800"/>
                    <wp:effectExtent l="0" t="0" r="0" b="0"/>
                    <wp:wrapNone/>
                    <wp:docPr id="22" name="文本框 4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
                                  <w:rPr>
                                    <w:rFonts w:hint="eastAsia" w:ascii="仿宋_GB2312" w:hAnsi="仿宋_GB2312"/>
                                    <w:szCs w:val="21"/>
                                  </w:rPr>
                                  <w:t>第</w:t>
                                </w:r>
                                <w:r>
                                  <w:rPr>
                                    <w:rFonts w:ascii="仿宋_GB2312" w:hAnsi="仿宋_GB2312"/>
                                    <w:szCs w:val="21"/>
                                  </w:rPr>
                                  <w:fldChar w:fldCharType="begin"/>
                                </w:r>
                                <w:r>
                                  <w:rPr>
                                    <w:rFonts w:ascii="仿宋_GB2312" w:hAnsi="仿宋_GB2312"/>
                                    <w:szCs w:val="21"/>
                                  </w:rPr>
                                  <w:instrText xml:space="preserve"> PAGE   \* MERGEFORMAT </w:instrText>
                                </w:r>
                                <w:r>
                                  <w:rPr>
                                    <w:rFonts w:ascii="仿宋_GB2312" w:hAnsi="仿宋_GB2312"/>
                                    <w:szCs w:val="21"/>
                                  </w:rPr>
                                  <w:fldChar w:fldCharType="separate"/>
                                </w:r>
                                <w:r>
                                  <w:rPr>
                                    <w:rFonts w:ascii="仿宋_GB2312" w:hAnsi="仿宋_GB2312"/>
                                    <w:szCs w:val="21"/>
                                  </w:rPr>
                                  <w:t>48</w:t>
                                </w:r>
                                <w:r>
                                  <w:rPr>
                                    <w:rFonts w:ascii="仿宋_GB2312" w:hAnsi="仿宋_GB2312"/>
                                    <w:szCs w:val="21"/>
                                  </w:rPr>
                                  <w:fldChar w:fldCharType="end"/>
                                </w:r>
                                <w:r>
                                  <w:rPr>
                                    <w:rFonts w:hint="eastAsia" w:ascii="仿宋_GB2312" w:hAnsi="仿宋_GB2312"/>
                                    <w:szCs w:val="21"/>
                                  </w:rPr>
                                  <w:t>页</w:t>
                                </w:r>
                              </w:p>
                            </w:txbxContent>
                          </wps:txbx>
                          <wps:bodyPr wrap="none" lIns="0" tIns="0" rIns="0" bIns="0" upright="0">
                            <a:spAutoFit/>
                          </wps:bodyPr>
                        </wps:wsp>
                      </a:graphicData>
                    </a:graphic>
                  </wp:anchor>
                </w:drawing>
              </mc:Choice>
              <mc:Fallback>
                <w:pict>
                  <v:shape id="文本框 4105" o:spid="_x0000_s1026" o:spt="202" type="#_x0000_t202" style="position:absolute;left:0pt;margin-left:5.3pt;margin-top:4.05pt;height:144pt;width:144pt;mso-position-horizontal-relative:margin;mso-wrap-style:none;z-index:251661312;mso-width-relative:page;mso-height-relative:page;" filled="f" stroked="f" coordsize="21600,21600" o:gfxdata="UEsDBAoAAAAAAIdO4kAAAAAAAAAAAAAAAAAEAAAAZHJzL1BLAwQUAAAACACHTuJAYU2g7tIAAAAI AQAADwAAAGRycy9kb3ducmV2LnhtbE2PMU/DMBCFdyT+g3VIbNRJh5CGOB0qsbBREBKbG1/jCPsc 2W6a/HuuE2z36T29e6/dL96JGWMaAykoNwUIpD6YkQYFnx+vTzWIlDUZ7QKhghUT7Lv7u1Y3Jlzp HedjHgSHUGq0Apvz1EiZeotep02YkFg7h+h1ZoyDNFFfOdw7uS2KSno9En+wesKDxf7nePEKnpev gFPCA36f5z7aca3d26rU40NZvIDIuOQ/M9zqc3XouNMpXMgk4ZiLip0K6hIEy9tdzXy6HVUJsmvl /wHdL1BLAwQUAAAACACHTuJA8FS8OswBAACdAwAADgAAAGRycy9lMm9Eb2MueG1srVPNjtMwEL4j 7TtYvm+dRguqoqYrULUrJARIyz6A6ziNJf/J4zbpC8AbcOLCnefqczB2ki4slz1wccYz42/m+2ay vh2MJkcZQDlb0+WioERa4Rpl9zV9/HJ3vaIEIrcN187Kmp4k0NvN1at17ytZus7pRgaCIBaq3te0 i9FXjIHopOGwcF5aDLYuGB7xGvasCbxHdKNZWRRvWO9C44MTEgC92zFIJ8TwEkDXtkrIrRMHI20c UYPUPCIl6JQHusndtq0U8VPbgoxE1xSZxnxiEbR36WSbNa/2gftOiakF/pIWnnEyXFkseoHa8sjJ Iah/oIwSwYFr40I4w0YiWRFksSyeafPQcS8zF5Qa/EV0+H+w4uPxcyCqqWlZUmK5wYmfv387//h1 /vmV3CyL10mi3kOFmQ8ec+Pwzg24OLMf0JmYD20w6YucCMZR4NNFYDlEItKjVblaFRgSGJsviM+e nvsA8V46Q5JR04ATzMLy4weIY+qckqpZd6e0zlPU9i8HYiYPS72PPSYrDrthIrRzzQn59Dj8mlrc dUr0e4vapj2ZjTAbu9k4+KD2XV6kVA/820PEJnJvqcIIOxXGqWV204altfjznrOe/qrNb1BLAwQK AAAAAACHTuJAAAAAAAAAAAAAAAAABgAAAF9yZWxzL1BLAwQUAAAACACHTuJAihRmPNEAAACUAQAA CwAAAF9yZWxzLy5yZWxzpZDBasMwDIbvg72D0X1xmsMYo04vo9Br6R7A2IpjGltGMtn69vMOg2X0 tqN+oe8T//7wmRa1IkukbGDX9aAwO/IxBwPvl+PTCyipNnu7UEYDNxQ4jI8P+zMutrYjmWMR1ShZ DMy1lletxc2YrHRUMLfNRJxsbSMHXay72oB66Ptnzb8ZMG6Y6uQN8MkPoC630sx/2Ck6JqGpdo6S pmmK7h5VB7Zlju7INuEbuUazHLAa8CwaB2pZ134EfV+/+6fe00c+47rVfoeM649Xb7ocvwBQSwME FAAAAAgAh07iQH7m5SD3AAAA4QEAABMAAABbQ29udGVudF9UeXBlc10ueG1slZFBTsMwEEX3SNzB 8hYlTrtACCXpgrRLQKgcYGRPEotkbHlMaG+Pk7YbRJFY2jP/vye73BzGQUwY2Dqq5CovpEDSzljq Kvm+32UPUnAEMjA4wkoekeWmvr0p90ePLFKauJJ9jP5RKdY9jsC580hp0rowQkzH0CkP+gM6VOui uFfaUUSKWZw7ZF022MLnEMX2kK5PJgEHluLptDizKgneD1ZDTKZqIvODkp0JeUouO9xbz3dJQ6pf CfPkOuCce0lPE6xB8QohPsOYNJQJrIz7ooBT/nfJbDly5trWasybwE2KveF0sbrWjmvXOP3f8u2S unSr5YPqb1BLAQIUABQAAAAIAIdO4kB+5uUg9wAAAOEBAAATAAAAAAAAAAEAIAAAADcEAABbQ29u dGVudF9UeXBlc10ueG1sUEsBAhQACgAAAAAAh07iQAAAAAAAAAAAAAAAAAYAAAAAAAAAAAAQAAAA GQMAAF9yZWxzL1BLAQIUABQAAAAIAIdO4kCKFGY80QAAAJQBAAALAAAAAAAAAAEAIAAAAD0DAABf cmVscy8ucmVsc1BLAQIUAAoAAAAAAIdO4kAAAAAAAAAAAAAAAAAEAAAAAAAAAAAAEAAAAAAAAABk cnMvUEsBAhQAFAAAAAgAh07iQGFNoO7SAAAACAEAAA8AAAAAAAAAAQAgAAAAIgAAAGRycy9kb3du cmV2LnhtbFBLAQIUABQAAAAIAIdO4kDwVLw6zAEAAJ0DAAAOAAAAAAAAAAEAIAAAACEBAABkcnMv ZTJvRG9jLnhtbFBLBQYAAAAABgAGAFkBAABfBQAAAAA= ">
                    <v:fill on="f" focussize="0,0"/>
                    <v:stroke on="f"/>
                    <v:imagedata o:title=""/>
                    <o:lock v:ext="edit" aspectratio="f"/>
                    <v:textbox inset="0mm,0mm,0mm,0mm" style="mso-fit-shape-to-text:t;">
                      <w:txbxContent>
                        <w:p>
                          <w:r>
                            <w:rPr>
                              <w:rFonts w:hint="eastAsia" w:ascii="仿宋_GB2312" w:hAnsi="仿宋_GB2312"/>
                              <w:szCs w:val="21"/>
                            </w:rPr>
                            <w:t>第</w:t>
                          </w:r>
                          <w:r>
                            <w:rPr>
                              <w:rFonts w:ascii="仿宋_GB2312" w:hAnsi="仿宋_GB2312"/>
                              <w:szCs w:val="21"/>
                            </w:rPr>
                            <w:fldChar w:fldCharType="begin"/>
                          </w:r>
                          <w:r>
                            <w:rPr>
                              <w:rFonts w:ascii="仿宋_GB2312" w:hAnsi="仿宋_GB2312"/>
                              <w:szCs w:val="21"/>
                            </w:rPr>
                            <w:instrText xml:space="preserve"> PAGE   \* MERGEFORMAT </w:instrText>
                          </w:r>
                          <w:r>
                            <w:rPr>
                              <w:rFonts w:ascii="仿宋_GB2312" w:hAnsi="仿宋_GB2312"/>
                              <w:szCs w:val="21"/>
                            </w:rPr>
                            <w:fldChar w:fldCharType="separate"/>
                          </w:r>
                          <w:r>
                            <w:rPr>
                              <w:rFonts w:ascii="仿宋_GB2312" w:hAnsi="仿宋_GB2312"/>
                              <w:szCs w:val="21"/>
                            </w:rPr>
                            <w:t>48</w:t>
                          </w:r>
                          <w:r>
                            <w:rPr>
                              <w:rFonts w:ascii="仿宋_GB2312" w:hAnsi="仿宋_GB2312"/>
                              <w:szCs w:val="21"/>
                            </w:rPr>
                            <w:fldChar w:fldCharType="end"/>
                          </w:r>
                          <w:r>
                            <w:rPr>
                              <w:rFonts w:hint="eastAsia" w:ascii="仿宋_GB2312" w:hAnsi="仿宋_GB2312"/>
                              <w:szCs w:val="21"/>
                            </w:rPr>
                            <w:t>页</w:t>
                          </w:r>
                        </w:p>
                      </w:txbxContent>
                    </v:textbox>
                  </v:shape>
                </w:pict>
              </mc:Fallback>
            </mc:AlternateContent>
          </w:r>
        </w:p>
      </w:tc>
      <w:tc>
        <w:tcPr>
          <w:tcW w:w="7184" w:type="dxa"/>
          <w:noWrap w:val="0"/>
          <w:vAlign w:val="center"/>
        </w:tcPr>
        <w:p>
          <w:pPr>
            <w:ind w:right="-2"/>
            <w:jc w:val="right"/>
            <w:rPr>
              <w:rFonts w:ascii="???|CS?o¡À?" w:eastAsia="???|CS?o¡À?"/>
              <w:b/>
              <w:sz w:val="24"/>
              <w:szCs w:val="24"/>
            </w:rPr>
          </w:pPr>
          <w:r>
            <w:rPr>
              <w:rFonts w:hint="eastAsia" w:ascii="???|CS?o¡À?" w:eastAsia="???|CS?o¡À?"/>
              <w:b/>
              <w:sz w:val="24"/>
              <w:szCs w:val="24"/>
            </w:rPr>
            <w:t>瑞安市政府采购文件</w:t>
          </w:r>
        </w:p>
      </w:tc>
    </w:tr>
  </w:tbl>
  <w:p>
    <w:pPr>
      <w:rPr>
        <w:sz w:val="2"/>
        <w:szCs w:val="2"/>
      </w:rPr>
    </w:pPr>
  </w:p>
  <w:p>
    <w:pPr>
      <w:rPr>
        <w:rFonts w:ascii="仿宋_GB2312" w:hAnsi="仿宋_GB2312"/>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81DB3"/>
    <w:multiLevelType w:val="singleLevel"/>
    <w:tmpl w:val="85F81DB3"/>
    <w:lvl w:ilvl="0" w:tentative="0">
      <w:start w:val="1"/>
      <w:numFmt w:val="bullet"/>
      <w:lvlText w:val=""/>
      <w:lvlJc w:val="left"/>
      <w:pPr>
        <w:ind w:left="420" w:hanging="420"/>
      </w:pPr>
      <w:rPr>
        <w:rFonts w:hint="default" w:ascii="Wingdings" w:hAnsi="Wingdings"/>
      </w:rPr>
    </w:lvl>
  </w:abstractNum>
  <w:abstractNum w:abstractNumId="1">
    <w:nsid w:val="948D5DB0"/>
    <w:multiLevelType w:val="singleLevel"/>
    <w:tmpl w:val="948D5DB0"/>
    <w:lvl w:ilvl="0" w:tentative="0">
      <w:start w:val="1"/>
      <w:numFmt w:val="decimal"/>
      <w:suff w:val="nothing"/>
      <w:lvlText w:val="%1、"/>
      <w:lvlJc w:val="left"/>
    </w:lvl>
  </w:abstractNum>
  <w:abstractNum w:abstractNumId="2">
    <w:nsid w:val="9B8CA61C"/>
    <w:multiLevelType w:val="singleLevel"/>
    <w:tmpl w:val="9B8CA61C"/>
    <w:lvl w:ilvl="0" w:tentative="0">
      <w:start w:val="1"/>
      <w:numFmt w:val="decimal"/>
      <w:suff w:val="nothing"/>
      <w:lvlText w:val="（%1）"/>
      <w:lvlJc w:val="left"/>
    </w:lvl>
  </w:abstractNum>
  <w:abstractNum w:abstractNumId="3">
    <w:nsid w:val="AB7549A6"/>
    <w:multiLevelType w:val="singleLevel"/>
    <w:tmpl w:val="AB7549A6"/>
    <w:lvl w:ilvl="0" w:tentative="0">
      <w:start w:val="1"/>
      <w:numFmt w:val="decimal"/>
      <w:suff w:val="nothing"/>
      <w:lvlText w:val="%1、"/>
      <w:lvlJc w:val="left"/>
    </w:lvl>
  </w:abstractNum>
  <w:abstractNum w:abstractNumId="4">
    <w:nsid w:val="BB6E0F0A"/>
    <w:multiLevelType w:val="singleLevel"/>
    <w:tmpl w:val="BB6E0F0A"/>
    <w:lvl w:ilvl="0" w:tentative="0">
      <w:start w:val="1"/>
      <w:numFmt w:val="decimal"/>
      <w:suff w:val="nothing"/>
      <w:lvlText w:val="（%1）"/>
      <w:lvlJc w:val="left"/>
    </w:lvl>
  </w:abstractNum>
  <w:abstractNum w:abstractNumId="5">
    <w:nsid w:val="BDB0E50D"/>
    <w:multiLevelType w:val="singleLevel"/>
    <w:tmpl w:val="BDB0E50D"/>
    <w:lvl w:ilvl="0" w:tentative="0">
      <w:start w:val="3"/>
      <w:numFmt w:val="decimal"/>
      <w:lvlText w:val="%1."/>
      <w:lvlJc w:val="left"/>
      <w:pPr>
        <w:tabs>
          <w:tab w:val="left" w:pos="312"/>
        </w:tabs>
      </w:pPr>
    </w:lvl>
  </w:abstractNum>
  <w:abstractNum w:abstractNumId="6">
    <w:nsid w:val="CDA9D966"/>
    <w:multiLevelType w:val="singleLevel"/>
    <w:tmpl w:val="CDA9D966"/>
    <w:lvl w:ilvl="0" w:tentative="0">
      <w:start w:val="1"/>
      <w:numFmt w:val="decimal"/>
      <w:suff w:val="nothing"/>
      <w:lvlText w:val="%1、"/>
      <w:lvlJc w:val="left"/>
    </w:lvl>
  </w:abstractNum>
  <w:abstractNum w:abstractNumId="7">
    <w:nsid w:val="D0C748BF"/>
    <w:multiLevelType w:val="singleLevel"/>
    <w:tmpl w:val="D0C748BF"/>
    <w:lvl w:ilvl="0" w:tentative="0">
      <w:start w:val="1"/>
      <w:numFmt w:val="decimal"/>
      <w:suff w:val="nothing"/>
      <w:lvlText w:val="%1．"/>
      <w:lvlJc w:val="left"/>
      <w:pPr>
        <w:ind w:left="0" w:firstLine="400"/>
      </w:pPr>
      <w:rPr>
        <w:rFonts w:hint="default" w:ascii="宋体" w:hAnsi="宋体" w:eastAsia="宋体"/>
        <w:b w:val="0"/>
      </w:rPr>
    </w:lvl>
  </w:abstractNum>
  <w:abstractNum w:abstractNumId="8">
    <w:nsid w:val="D9BB0673"/>
    <w:multiLevelType w:val="singleLevel"/>
    <w:tmpl w:val="D9BB0673"/>
    <w:lvl w:ilvl="0" w:tentative="0">
      <w:start w:val="1"/>
      <w:numFmt w:val="bullet"/>
      <w:lvlText w:val=""/>
      <w:lvlJc w:val="left"/>
      <w:pPr>
        <w:ind w:left="420" w:hanging="420"/>
      </w:pPr>
      <w:rPr>
        <w:rFonts w:hint="default" w:ascii="Wingdings" w:hAnsi="Wingdings"/>
      </w:rPr>
    </w:lvl>
  </w:abstractNum>
  <w:abstractNum w:abstractNumId="9">
    <w:nsid w:val="DBCC77A0"/>
    <w:multiLevelType w:val="singleLevel"/>
    <w:tmpl w:val="DBCC77A0"/>
    <w:lvl w:ilvl="0" w:tentative="0">
      <w:start w:val="1"/>
      <w:numFmt w:val="decimal"/>
      <w:suff w:val="nothing"/>
      <w:lvlText w:val="（%1）"/>
      <w:lvlJc w:val="left"/>
    </w:lvl>
  </w:abstractNum>
  <w:abstractNum w:abstractNumId="10">
    <w:nsid w:val="E4D456AF"/>
    <w:multiLevelType w:val="singleLevel"/>
    <w:tmpl w:val="E4D456AF"/>
    <w:lvl w:ilvl="0" w:tentative="0">
      <w:start w:val="1"/>
      <w:numFmt w:val="chineseCounting"/>
      <w:suff w:val="nothing"/>
      <w:lvlText w:val="（%1）"/>
      <w:lvlJc w:val="left"/>
      <w:rPr>
        <w:rFonts w:hint="eastAsia"/>
      </w:rPr>
    </w:lvl>
  </w:abstractNum>
  <w:abstractNum w:abstractNumId="11">
    <w:nsid w:val="00000006"/>
    <w:multiLevelType w:val="multilevel"/>
    <w:tmpl w:val="00000006"/>
    <w:lvl w:ilvl="0" w:tentative="0">
      <w:start w:val="1"/>
      <w:numFmt w:val="bullet"/>
      <w:lvlText w:val=""/>
      <w:lvlJc w:val="left"/>
      <w:pPr>
        <w:tabs>
          <w:tab w:val="left" w:pos="1140"/>
        </w:tabs>
        <w:ind w:left="1140" w:hanging="420"/>
      </w:pPr>
      <w:rPr>
        <w:rFonts w:hint="default" w:ascii="Wingdings" w:hAnsi="Wingdings"/>
      </w:rPr>
    </w:lvl>
    <w:lvl w:ilvl="1" w:tentative="0">
      <w:start w:val="1"/>
      <w:numFmt w:val="decimal"/>
      <w:lvlText w:val="%2）"/>
      <w:lvlJc w:val="left"/>
      <w:pPr>
        <w:tabs>
          <w:tab w:val="left" w:pos="360"/>
        </w:tabs>
        <w:ind w:left="360" w:hanging="360"/>
      </w:pPr>
      <w:rPr>
        <w:rFonts w:hint="eastAsia"/>
      </w:rPr>
    </w:lvl>
    <w:lvl w:ilvl="2" w:tentative="0">
      <w:start w:val="1"/>
      <w:numFmt w:val="decimalEnclosedCircle"/>
      <w:lvlText w:val="%3"/>
      <w:lvlJc w:val="left"/>
      <w:pPr>
        <w:tabs>
          <w:tab w:val="left" w:pos="780"/>
        </w:tabs>
        <w:ind w:left="780" w:hanging="360"/>
      </w:pPr>
      <w:rPr>
        <w:rFonts w:hint="eastAsia"/>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decimal"/>
      <w:lvlText w:val="%5)"/>
      <w:lvlJc w:val="left"/>
      <w:pPr>
        <w:tabs>
          <w:tab w:val="left" w:pos="1680"/>
        </w:tabs>
        <w:ind w:left="1680" w:hanging="420"/>
      </w:pPr>
    </w:lvl>
    <w:lvl w:ilvl="5" w:tentative="0">
      <w:start w:val="2"/>
      <w:numFmt w:val="decimal"/>
      <w:lvlText w:val="%6、"/>
      <w:lvlJc w:val="left"/>
      <w:pPr>
        <w:tabs>
          <w:tab w:val="left" w:pos="2040"/>
        </w:tabs>
        <w:ind w:left="2040" w:hanging="360"/>
      </w:pPr>
      <w:rPr>
        <w:rFonts w:hint="eastAsia"/>
      </w:r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2">
    <w:nsid w:val="00000019"/>
    <w:multiLevelType w:val="multilevel"/>
    <w:tmpl w:val="0000001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F"/>
    <w:multiLevelType w:val="singleLevel"/>
    <w:tmpl w:val="0000001F"/>
    <w:lvl w:ilvl="0" w:tentative="0">
      <w:start w:val="1"/>
      <w:numFmt w:val="decimal"/>
      <w:lvlText w:val="%1)"/>
      <w:lvlJc w:val="left"/>
      <w:pPr>
        <w:tabs>
          <w:tab w:val="left" w:pos="1276"/>
        </w:tabs>
        <w:ind w:left="1276" w:hanging="425"/>
      </w:pPr>
    </w:lvl>
  </w:abstractNum>
  <w:abstractNum w:abstractNumId="14">
    <w:nsid w:val="04AD0168"/>
    <w:multiLevelType w:val="singleLevel"/>
    <w:tmpl w:val="04AD0168"/>
    <w:lvl w:ilvl="0" w:tentative="0">
      <w:start w:val="1"/>
      <w:numFmt w:val="decimal"/>
      <w:suff w:val="nothing"/>
      <w:lvlText w:val="%1、"/>
      <w:lvlJc w:val="left"/>
    </w:lvl>
  </w:abstractNum>
  <w:abstractNum w:abstractNumId="15">
    <w:nsid w:val="070E3F52"/>
    <w:multiLevelType w:val="singleLevel"/>
    <w:tmpl w:val="070E3F52"/>
    <w:lvl w:ilvl="0" w:tentative="0">
      <w:start w:val="1"/>
      <w:numFmt w:val="decimal"/>
      <w:suff w:val="nothing"/>
      <w:lvlText w:val="%1、"/>
      <w:lvlJc w:val="left"/>
    </w:lvl>
  </w:abstractNum>
  <w:abstractNum w:abstractNumId="16">
    <w:nsid w:val="0963483A"/>
    <w:multiLevelType w:val="multilevel"/>
    <w:tmpl w:val="0963483A"/>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7">
    <w:nsid w:val="10E75CEE"/>
    <w:multiLevelType w:val="singleLevel"/>
    <w:tmpl w:val="10E75CEE"/>
    <w:lvl w:ilvl="0" w:tentative="0">
      <w:start w:val="1"/>
      <w:numFmt w:val="chineseCounting"/>
      <w:suff w:val="nothing"/>
      <w:lvlText w:val="%1、"/>
      <w:lvlJc w:val="left"/>
      <w:rPr>
        <w:rFonts w:hint="eastAsia"/>
      </w:rPr>
    </w:lvl>
  </w:abstractNum>
  <w:abstractNum w:abstractNumId="18">
    <w:nsid w:val="14C15FC2"/>
    <w:multiLevelType w:val="multilevel"/>
    <w:tmpl w:val="14C15FC2"/>
    <w:lvl w:ilvl="0" w:tentative="0">
      <w:start w:val="1"/>
      <w:numFmt w:val="japaneseCounting"/>
      <w:lvlText w:val="%1、"/>
      <w:lvlJc w:val="left"/>
      <w:pPr>
        <w:ind w:left="480" w:hanging="48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9">
    <w:nsid w:val="15B3391D"/>
    <w:multiLevelType w:val="multilevel"/>
    <w:tmpl w:val="15B3391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0">
    <w:nsid w:val="16BC8CB8"/>
    <w:multiLevelType w:val="singleLevel"/>
    <w:tmpl w:val="16BC8CB8"/>
    <w:lvl w:ilvl="0" w:tentative="0">
      <w:start w:val="1"/>
      <w:numFmt w:val="decimal"/>
      <w:suff w:val="nothing"/>
      <w:lvlText w:val="（%1）"/>
      <w:lvlJc w:val="left"/>
    </w:lvl>
  </w:abstractNum>
  <w:abstractNum w:abstractNumId="21">
    <w:nsid w:val="18356976"/>
    <w:multiLevelType w:val="multilevel"/>
    <w:tmpl w:val="18356976"/>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2">
    <w:nsid w:val="1CC8D83F"/>
    <w:multiLevelType w:val="singleLevel"/>
    <w:tmpl w:val="1CC8D83F"/>
    <w:lvl w:ilvl="0" w:tentative="0">
      <w:start w:val="1"/>
      <w:numFmt w:val="decimal"/>
      <w:suff w:val="nothing"/>
      <w:lvlText w:val="%1、"/>
      <w:lvlJc w:val="left"/>
    </w:lvl>
  </w:abstractNum>
  <w:abstractNum w:abstractNumId="23">
    <w:nsid w:val="1F3FB859"/>
    <w:multiLevelType w:val="singleLevel"/>
    <w:tmpl w:val="1F3FB859"/>
    <w:lvl w:ilvl="0" w:tentative="0">
      <w:start w:val="1"/>
      <w:numFmt w:val="decimal"/>
      <w:suff w:val="nothing"/>
      <w:lvlText w:val="（%1）"/>
      <w:lvlJc w:val="left"/>
    </w:lvl>
  </w:abstractNum>
  <w:abstractNum w:abstractNumId="24">
    <w:nsid w:val="231802CB"/>
    <w:multiLevelType w:val="multilevel"/>
    <w:tmpl w:val="231802CB"/>
    <w:lvl w:ilvl="0" w:tentative="0">
      <w:start w:val="1"/>
      <w:numFmt w:val="decimal"/>
      <w:lvlText w:val="（%1）"/>
      <w:lvlJc w:val="left"/>
      <w:pPr>
        <w:ind w:left="840" w:hanging="420"/>
      </w:pPr>
      <w:rPr>
        <w:rFonts w:hint="eastAsia"/>
        <w:color w:val="auto"/>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23954EED"/>
    <w:multiLevelType w:val="multilevel"/>
    <w:tmpl w:val="23954EED"/>
    <w:lvl w:ilvl="0" w:tentative="0">
      <w:start w:val="1"/>
      <w:numFmt w:val="bullet"/>
      <w:lvlText w:val=""/>
      <w:lvlJc w:val="left"/>
      <w:pPr>
        <w:tabs>
          <w:tab w:val="left" w:pos="1080"/>
        </w:tabs>
        <w:ind w:left="1080" w:hanging="420"/>
      </w:pPr>
      <w:rPr>
        <w:rFonts w:hint="default" w:ascii="Wingdings" w:hAnsi="Wingdings"/>
      </w:rPr>
    </w:lvl>
    <w:lvl w:ilvl="1" w:tentative="0">
      <w:start w:val="1"/>
      <w:numFmt w:val="bullet"/>
      <w:lvlText w:val=""/>
      <w:lvlJc w:val="left"/>
      <w:pPr>
        <w:tabs>
          <w:tab w:val="left" w:pos="1500"/>
        </w:tabs>
        <w:ind w:left="1500" w:hanging="420"/>
      </w:pPr>
      <w:rPr>
        <w:rFonts w:hint="default" w:ascii="Wingdings" w:hAnsi="Wingdings"/>
      </w:rPr>
    </w:lvl>
    <w:lvl w:ilvl="2" w:tentative="0">
      <w:start w:val="1"/>
      <w:numFmt w:val="bullet"/>
      <w:lvlText w:val=""/>
      <w:lvlJc w:val="left"/>
      <w:pPr>
        <w:tabs>
          <w:tab w:val="left" w:pos="1920"/>
        </w:tabs>
        <w:ind w:left="1920" w:hanging="420"/>
      </w:pPr>
      <w:rPr>
        <w:rFonts w:hint="default" w:ascii="Wingdings" w:hAnsi="Wingdings"/>
      </w:rPr>
    </w:lvl>
    <w:lvl w:ilvl="3" w:tentative="0">
      <w:start w:val="1"/>
      <w:numFmt w:val="bullet"/>
      <w:lvlText w:val=""/>
      <w:lvlJc w:val="left"/>
      <w:pPr>
        <w:tabs>
          <w:tab w:val="left" w:pos="2340"/>
        </w:tabs>
        <w:ind w:left="2340" w:hanging="420"/>
      </w:pPr>
      <w:rPr>
        <w:rFonts w:hint="default" w:ascii="Wingdings" w:hAnsi="Wingdings"/>
      </w:rPr>
    </w:lvl>
    <w:lvl w:ilvl="4" w:tentative="0">
      <w:start w:val="1"/>
      <w:numFmt w:val="bullet"/>
      <w:lvlText w:val=""/>
      <w:lvlJc w:val="left"/>
      <w:pPr>
        <w:tabs>
          <w:tab w:val="left" w:pos="2760"/>
        </w:tabs>
        <w:ind w:left="2760" w:hanging="420"/>
      </w:pPr>
      <w:rPr>
        <w:rFonts w:hint="default" w:ascii="Wingdings" w:hAnsi="Wingdings"/>
      </w:rPr>
    </w:lvl>
    <w:lvl w:ilvl="5" w:tentative="0">
      <w:start w:val="1"/>
      <w:numFmt w:val="bullet"/>
      <w:lvlText w:val=""/>
      <w:lvlJc w:val="left"/>
      <w:pPr>
        <w:tabs>
          <w:tab w:val="left" w:pos="3180"/>
        </w:tabs>
        <w:ind w:left="3180" w:hanging="420"/>
      </w:pPr>
      <w:rPr>
        <w:rFonts w:hint="default" w:ascii="Wingdings" w:hAnsi="Wingdings"/>
      </w:rPr>
    </w:lvl>
    <w:lvl w:ilvl="6" w:tentative="0">
      <w:start w:val="1"/>
      <w:numFmt w:val="bullet"/>
      <w:lvlText w:val=""/>
      <w:lvlJc w:val="left"/>
      <w:pPr>
        <w:tabs>
          <w:tab w:val="left" w:pos="3600"/>
        </w:tabs>
        <w:ind w:left="3600" w:hanging="420"/>
      </w:pPr>
      <w:rPr>
        <w:rFonts w:hint="default" w:ascii="Wingdings" w:hAnsi="Wingdings"/>
      </w:rPr>
    </w:lvl>
    <w:lvl w:ilvl="7" w:tentative="0">
      <w:start w:val="1"/>
      <w:numFmt w:val="bullet"/>
      <w:lvlText w:val=""/>
      <w:lvlJc w:val="left"/>
      <w:pPr>
        <w:tabs>
          <w:tab w:val="left" w:pos="4020"/>
        </w:tabs>
        <w:ind w:left="4020" w:hanging="420"/>
      </w:pPr>
      <w:rPr>
        <w:rFonts w:hint="default" w:ascii="Wingdings" w:hAnsi="Wingdings"/>
      </w:rPr>
    </w:lvl>
    <w:lvl w:ilvl="8" w:tentative="0">
      <w:start w:val="1"/>
      <w:numFmt w:val="bullet"/>
      <w:lvlText w:val=""/>
      <w:lvlJc w:val="left"/>
      <w:pPr>
        <w:tabs>
          <w:tab w:val="left" w:pos="4440"/>
        </w:tabs>
        <w:ind w:left="4440" w:hanging="420"/>
      </w:pPr>
      <w:rPr>
        <w:rFonts w:hint="default" w:ascii="Wingdings" w:hAnsi="Wingdings"/>
      </w:rPr>
    </w:lvl>
  </w:abstractNum>
  <w:abstractNum w:abstractNumId="26">
    <w:nsid w:val="2605F7DC"/>
    <w:multiLevelType w:val="singleLevel"/>
    <w:tmpl w:val="2605F7DC"/>
    <w:lvl w:ilvl="0" w:tentative="0">
      <w:start w:val="1"/>
      <w:numFmt w:val="decimal"/>
      <w:suff w:val="nothing"/>
      <w:lvlText w:val="%1、"/>
      <w:lvlJc w:val="left"/>
      <w:pPr>
        <w:ind w:left="100"/>
      </w:pPr>
    </w:lvl>
  </w:abstractNum>
  <w:abstractNum w:abstractNumId="27">
    <w:nsid w:val="28FB69AC"/>
    <w:multiLevelType w:val="multilevel"/>
    <w:tmpl w:val="28FB69AC"/>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8">
    <w:nsid w:val="2A00B5E0"/>
    <w:multiLevelType w:val="singleLevel"/>
    <w:tmpl w:val="2A00B5E0"/>
    <w:lvl w:ilvl="0" w:tentative="0">
      <w:start w:val="2"/>
      <w:numFmt w:val="decimal"/>
      <w:suff w:val="space"/>
      <w:lvlText w:val="%1）"/>
      <w:lvlJc w:val="left"/>
    </w:lvl>
  </w:abstractNum>
  <w:abstractNum w:abstractNumId="29">
    <w:nsid w:val="2A344D01"/>
    <w:multiLevelType w:val="multilevel"/>
    <w:tmpl w:val="2A344D01"/>
    <w:lvl w:ilvl="0" w:tentative="0">
      <w:start w:val="1"/>
      <w:numFmt w:val="bullet"/>
      <w:lvlText w:val=""/>
      <w:lvlJc w:val="left"/>
      <w:pPr>
        <w:ind w:left="950" w:hanging="420"/>
      </w:pPr>
      <w:rPr>
        <w:rFonts w:hint="default" w:ascii="Wingdings" w:hAnsi="Wingdings"/>
      </w:rPr>
    </w:lvl>
    <w:lvl w:ilvl="1" w:tentative="0">
      <w:start w:val="1"/>
      <w:numFmt w:val="bullet"/>
      <w:lvlText w:val=""/>
      <w:lvlJc w:val="left"/>
      <w:pPr>
        <w:ind w:left="1370" w:hanging="420"/>
      </w:pPr>
      <w:rPr>
        <w:rFonts w:hint="default" w:ascii="Wingdings" w:hAnsi="Wingdings"/>
      </w:rPr>
    </w:lvl>
    <w:lvl w:ilvl="2" w:tentative="0">
      <w:start w:val="1"/>
      <w:numFmt w:val="bullet"/>
      <w:lvlText w:val=""/>
      <w:lvlJc w:val="left"/>
      <w:pPr>
        <w:ind w:left="1790" w:hanging="420"/>
      </w:pPr>
      <w:rPr>
        <w:rFonts w:hint="default" w:ascii="Wingdings" w:hAnsi="Wingdings"/>
      </w:rPr>
    </w:lvl>
    <w:lvl w:ilvl="3" w:tentative="0">
      <w:start w:val="1"/>
      <w:numFmt w:val="bullet"/>
      <w:lvlText w:val=""/>
      <w:lvlJc w:val="left"/>
      <w:pPr>
        <w:ind w:left="2210" w:hanging="420"/>
      </w:pPr>
      <w:rPr>
        <w:rFonts w:hint="default" w:ascii="Wingdings" w:hAnsi="Wingdings"/>
      </w:rPr>
    </w:lvl>
    <w:lvl w:ilvl="4" w:tentative="0">
      <w:start w:val="1"/>
      <w:numFmt w:val="bullet"/>
      <w:lvlText w:val=""/>
      <w:lvlJc w:val="left"/>
      <w:pPr>
        <w:ind w:left="2630" w:hanging="420"/>
      </w:pPr>
      <w:rPr>
        <w:rFonts w:hint="default" w:ascii="Wingdings" w:hAnsi="Wingdings"/>
      </w:rPr>
    </w:lvl>
    <w:lvl w:ilvl="5" w:tentative="0">
      <w:start w:val="1"/>
      <w:numFmt w:val="bullet"/>
      <w:lvlText w:val=""/>
      <w:lvlJc w:val="left"/>
      <w:pPr>
        <w:ind w:left="3050" w:hanging="420"/>
      </w:pPr>
      <w:rPr>
        <w:rFonts w:hint="default" w:ascii="Wingdings" w:hAnsi="Wingdings"/>
      </w:rPr>
    </w:lvl>
    <w:lvl w:ilvl="6" w:tentative="0">
      <w:start w:val="1"/>
      <w:numFmt w:val="bullet"/>
      <w:lvlText w:val=""/>
      <w:lvlJc w:val="left"/>
      <w:pPr>
        <w:ind w:left="3470" w:hanging="420"/>
      </w:pPr>
      <w:rPr>
        <w:rFonts w:hint="default" w:ascii="Wingdings" w:hAnsi="Wingdings"/>
      </w:rPr>
    </w:lvl>
    <w:lvl w:ilvl="7" w:tentative="0">
      <w:start w:val="1"/>
      <w:numFmt w:val="bullet"/>
      <w:lvlText w:val=""/>
      <w:lvlJc w:val="left"/>
      <w:pPr>
        <w:ind w:left="3890" w:hanging="420"/>
      </w:pPr>
      <w:rPr>
        <w:rFonts w:hint="default" w:ascii="Wingdings" w:hAnsi="Wingdings"/>
      </w:rPr>
    </w:lvl>
    <w:lvl w:ilvl="8" w:tentative="0">
      <w:start w:val="1"/>
      <w:numFmt w:val="bullet"/>
      <w:lvlText w:val=""/>
      <w:lvlJc w:val="left"/>
      <w:pPr>
        <w:ind w:left="4310" w:hanging="420"/>
      </w:pPr>
      <w:rPr>
        <w:rFonts w:hint="default" w:ascii="Wingdings" w:hAnsi="Wingdings"/>
      </w:rPr>
    </w:lvl>
  </w:abstractNum>
  <w:abstractNum w:abstractNumId="30">
    <w:nsid w:val="2A3DADD9"/>
    <w:multiLevelType w:val="singleLevel"/>
    <w:tmpl w:val="2A3DADD9"/>
    <w:lvl w:ilvl="0" w:tentative="0">
      <w:start w:val="1"/>
      <w:numFmt w:val="bullet"/>
      <w:lvlText w:val=""/>
      <w:lvlJc w:val="left"/>
      <w:pPr>
        <w:ind w:left="420" w:hanging="420"/>
      </w:pPr>
      <w:rPr>
        <w:rFonts w:hint="default" w:ascii="Wingdings" w:hAnsi="Wingdings"/>
      </w:rPr>
    </w:lvl>
  </w:abstractNum>
  <w:abstractNum w:abstractNumId="31">
    <w:nsid w:val="2EDFA550"/>
    <w:multiLevelType w:val="singleLevel"/>
    <w:tmpl w:val="2EDFA550"/>
    <w:lvl w:ilvl="0" w:tentative="0">
      <w:start w:val="1"/>
      <w:numFmt w:val="chineseCounting"/>
      <w:suff w:val="nothing"/>
      <w:lvlText w:val="%1、"/>
      <w:lvlJc w:val="left"/>
      <w:rPr>
        <w:rFonts w:hint="eastAsia"/>
      </w:rPr>
    </w:lvl>
  </w:abstractNum>
  <w:abstractNum w:abstractNumId="32">
    <w:nsid w:val="30A84985"/>
    <w:multiLevelType w:val="multilevel"/>
    <w:tmpl w:val="30A84985"/>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317A5701"/>
    <w:multiLevelType w:val="multilevel"/>
    <w:tmpl w:val="317A5701"/>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4">
    <w:nsid w:val="319BD734"/>
    <w:multiLevelType w:val="singleLevel"/>
    <w:tmpl w:val="319BD734"/>
    <w:lvl w:ilvl="0" w:tentative="0">
      <w:start w:val="6"/>
      <w:numFmt w:val="chineseCounting"/>
      <w:suff w:val="nothing"/>
      <w:lvlText w:val="%1、"/>
      <w:lvlJc w:val="left"/>
      <w:rPr>
        <w:rFonts w:hint="eastAsia"/>
      </w:rPr>
    </w:lvl>
  </w:abstractNum>
  <w:abstractNum w:abstractNumId="35">
    <w:nsid w:val="31F23FB4"/>
    <w:multiLevelType w:val="multilevel"/>
    <w:tmpl w:val="31F23FB4"/>
    <w:lvl w:ilvl="0" w:tentative="0">
      <w:start w:val="1"/>
      <w:numFmt w:val="decimal"/>
      <w:lvlText w:val="%1."/>
      <w:lvlJc w:val="left"/>
      <w:pPr>
        <w:tabs>
          <w:tab w:val="left" w:pos="851"/>
        </w:tabs>
        <w:ind w:left="851" w:hanging="851"/>
      </w:pPr>
      <w:rPr>
        <w:rFonts w:hint="default" w:ascii="Arial Unicode MS" w:hAnsi="Arial Unicode MS" w:eastAsia="仿宋_GB2312"/>
        <w:b/>
        <w:i w:val="0"/>
        <w:sz w:val="24"/>
      </w:rPr>
    </w:lvl>
    <w:lvl w:ilvl="1" w:tentative="0">
      <w:start w:val="1"/>
      <w:numFmt w:val="decimal"/>
      <w:lvlText w:val="%1.%2"/>
      <w:lvlJc w:val="left"/>
      <w:pPr>
        <w:tabs>
          <w:tab w:val="left" w:pos="851"/>
        </w:tabs>
        <w:ind w:left="851" w:hanging="851"/>
      </w:pPr>
      <w:rPr>
        <w:rFonts w:hint="default" w:ascii="Arial Unicode MS" w:hAnsi="Arial Unicode MS" w:eastAsia="仿宋_GB2312"/>
        <w:b w:val="0"/>
        <w:i w:val="0"/>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108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36">
    <w:nsid w:val="34EE5343"/>
    <w:multiLevelType w:val="multilevel"/>
    <w:tmpl w:val="34EE53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590227A"/>
    <w:multiLevelType w:val="multilevel"/>
    <w:tmpl w:val="3590227A"/>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38">
    <w:nsid w:val="3E3A07A7"/>
    <w:multiLevelType w:val="multilevel"/>
    <w:tmpl w:val="3E3A07A7"/>
    <w:lvl w:ilvl="0" w:tentative="0">
      <w:start w:val="1"/>
      <w:numFmt w:val="decimal"/>
      <w:lvlText w:val="（%1）"/>
      <w:lvlJc w:val="left"/>
      <w:pPr>
        <w:ind w:left="1980" w:hanging="720"/>
      </w:pPr>
      <w:rPr>
        <w:rFonts w:hint="default" w:cs="Cambria"/>
        <w:color w:val="auto"/>
        <w:sz w:val="21"/>
      </w:rPr>
    </w:lvl>
    <w:lvl w:ilvl="1" w:tentative="0">
      <w:start w:val="1"/>
      <w:numFmt w:val="decimalEnclosedCircle"/>
      <w:lvlText w:val="%2"/>
      <w:lvlJc w:val="left"/>
      <w:pPr>
        <w:tabs>
          <w:tab w:val="left" w:pos="1620"/>
        </w:tabs>
        <w:ind w:left="1620" w:hanging="360"/>
      </w:pPr>
      <w:rPr>
        <w:rFonts w:hint="default"/>
      </w:rPr>
    </w:lvl>
    <w:lvl w:ilvl="2" w:tentative="0">
      <w:start w:val="1"/>
      <w:numFmt w:val="bullet"/>
      <w:lvlText w:val=""/>
      <w:lvlJc w:val="left"/>
      <w:pPr>
        <w:tabs>
          <w:tab w:val="left" w:pos="2100"/>
        </w:tabs>
        <w:ind w:left="2100" w:hanging="420"/>
      </w:pPr>
      <w:rPr>
        <w:rFonts w:hint="default" w:ascii="???|CS?o¡À?" w:hAnsi="???|CS?o¡À?"/>
        <w:color w:val="auto"/>
        <w:sz w:val="21"/>
      </w:r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3E52BB66"/>
    <w:multiLevelType w:val="singleLevel"/>
    <w:tmpl w:val="3E52BB66"/>
    <w:lvl w:ilvl="0" w:tentative="0">
      <w:start w:val="1"/>
      <w:numFmt w:val="chineseCounting"/>
      <w:suff w:val="nothing"/>
      <w:lvlText w:val="%1、"/>
      <w:lvlJc w:val="left"/>
      <w:rPr>
        <w:rFonts w:hint="eastAsia"/>
      </w:rPr>
    </w:lvl>
  </w:abstractNum>
  <w:abstractNum w:abstractNumId="40">
    <w:nsid w:val="3F0CCFB0"/>
    <w:multiLevelType w:val="singleLevel"/>
    <w:tmpl w:val="3F0CCFB0"/>
    <w:lvl w:ilvl="0" w:tentative="0">
      <w:start w:val="1"/>
      <w:numFmt w:val="chineseCounting"/>
      <w:suff w:val="nothing"/>
      <w:lvlText w:val="%1、"/>
      <w:lvlJc w:val="left"/>
      <w:rPr>
        <w:rFonts w:hint="eastAsia"/>
      </w:rPr>
    </w:lvl>
  </w:abstractNum>
  <w:abstractNum w:abstractNumId="41">
    <w:nsid w:val="43B0FC75"/>
    <w:multiLevelType w:val="singleLevel"/>
    <w:tmpl w:val="43B0FC75"/>
    <w:lvl w:ilvl="0" w:tentative="0">
      <w:start w:val="1"/>
      <w:numFmt w:val="decimal"/>
      <w:lvlText w:val="%1."/>
      <w:lvlJc w:val="left"/>
      <w:pPr>
        <w:tabs>
          <w:tab w:val="left" w:pos="312"/>
        </w:tabs>
      </w:pPr>
    </w:lvl>
  </w:abstractNum>
  <w:abstractNum w:abstractNumId="42">
    <w:nsid w:val="43B60F99"/>
    <w:multiLevelType w:val="singleLevel"/>
    <w:tmpl w:val="43B60F99"/>
    <w:lvl w:ilvl="0" w:tentative="0">
      <w:start w:val="4"/>
      <w:numFmt w:val="chineseCounting"/>
      <w:suff w:val="nothing"/>
      <w:lvlText w:val="（%1）"/>
      <w:lvlJc w:val="left"/>
      <w:rPr>
        <w:rFonts w:hint="eastAsia"/>
      </w:rPr>
    </w:lvl>
  </w:abstractNum>
  <w:abstractNum w:abstractNumId="43">
    <w:nsid w:val="46BA0977"/>
    <w:multiLevelType w:val="multilevel"/>
    <w:tmpl w:val="46BA0977"/>
    <w:lvl w:ilvl="0" w:tentative="0">
      <w:start w:val="1"/>
      <w:numFmt w:val="bullet"/>
      <w:lvlText w:val=""/>
      <w:lvlJc w:val="left"/>
      <w:pPr>
        <w:tabs>
          <w:tab w:val="left" w:pos="1140"/>
        </w:tabs>
        <w:ind w:left="1140" w:hanging="420"/>
      </w:pPr>
      <w:rPr>
        <w:rFonts w:hint="default" w:ascii="Wingdings" w:hAnsi="Wingdings"/>
      </w:rPr>
    </w:lvl>
    <w:lvl w:ilvl="1" w:tentative="0">
      <w:start w:val="1"/>
      <w:numFmt w:val="decimal"/>
      <w:lvlText w:val="%2）"/>
      <w:lvlJc w:val="left"/>
      <w:pPr>
        <w:tabs>
          <w:tab w:val="left" w:pos="360"/>
        </w:tabs>
        <w:ind w:left="360" w:hanging="360"/>
      </w:pPr>
      <w:rPr>
        <w:rFonts w:hint="eastAsia"/>
      </w:rPr>
    </w:lvl>
    <w:lvl w:ilvl="2" w:tentative="0">
      <w:start w:val="1"/>
      <w:numFmt w:val="decimalEnclosedCircle"/>
      <w:lvlText w:val="%3"/>
      <w:lvlJc w:val="left"/>
      <w:pPr>
        <w:tabs>
          <w:tab w:val="left" w:pos="780"/>
        </w:tabs>
        <w:ind w:left="780" w:hanging="360"/>
      </w:pPr>
      <w:rPr>
        <w:rFonts w:hint="eastAsia"/>
      </w:rPr>
    </w:lvl>
    <w:lvl w:ilvl="3" w:tentative="0">
      <w:start w:val="1"/>
      <w:numFmt w:val="bullet"/>
      <w:lvlText w:val=""/>
      <w:lvlJc w:val="left"/>
      <w:pPr>
        <w:tabs>
          <w:tab w:val="left" w:pos="1260"/>
        </w:tabs>
        <w:ind w:left="1260" w:hanging="420"/>
      </w:pPr>
      <w:rPr>
        <w:rFonts w:hint="default" w:ascii="???|CS?o¡À?" w:hAnsi="???|CS?o¡À?"/>
      </w:rPr>
    </w:lvl>
    <w:lvl w:ilvl="4" w:tentative="0">
      <w:start w:val="1"/>
      <w:numFmt w:val="decimal"/>
      <w:lvlText w:val="%5)"/>
      <w:lvlJc w:val="left"/>
      <w:pPr>
        <w:tabs>
          <w:tab w:val="left" w:pos="1680"/>
        </w:tabs>
        <w:ind w:left="1680" w:hanging="420"/>
      </w:pPr>
    </w:lvl>
    <w:lvl w:ilvl="5" w:tentative="0">
      <w:start w:val="2"/>
      <w:numFmt w:val="decimal"/>
      <w:lvlText w:val="%6、"/>
      <w:lvlJc w:val="left"/>
      <w:pPr>
        <w:tabs>
          <w:tab w:val="left" w:pos="2040"/>
        </w:tabs>
        <w:ind w:left="2040" w:hanging="360"/>
      </w:pPr>
      <w:rPr>
        <w:rFonts w:hint="eastAsia"/>
      </w:r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44">
    <w:nsid w:val="48496449"/>
    <w:multiLevelType w:val="multilevel"/>
    <w:tmpl w:val="48496449"/>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5">
    <w:nsid w:val="48D54FA0"/>
    <w:multiLevelType w:val="multilevel"/>
    <w:tmpl w:val="48D54FA0"/>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6">
    <w:nsid w:val="52DBFE4C"/>
    <w:multiLevelType w:val="singleLevel"/>
    <w:tmpl w:val="52DBFE4C"/>
    <w:lvl w:ilvl="0" w:tentative="0">
      <w:start w:val="1"/>
      <w:numFmt w:val="decimal"/>
      <w:suff w:val="nothing"/>
      <w:lvlText w:val="（%1）"/>
      <w:lvlJc w:val="left"/>
    </w:lvl>
  </w:abstractNum>
  <w:abstractNum w:abstractNumId="47">
    <w:nsid w:val="54F403B5"/>
    <w:multiLevelType w:val="singleLevel"/>
    <w:tmpl w:val="54F403B5"/>
    <w:lvl w:ilvl="0" w:tentative="0">
      <w:start w:val="1"/>
      <w:numFmt w:val="chineseCounting"/>
      <w:suff w:val="nothing"/>
      <w:lvlText w:val="%1、"/>
      <w:lvlJc w:val="left"/>
    </w:lvl>
  </w:abstractNum>
  <w:abstractNum w:abstractNumId="48">
    <w:nsid w:val="557FD3DA"/>
    <w:multiLevelType w:val="singleLevel"/>
    <w:tmpl w:val="557FD3DA"/>
    <w:lvl w:ilvl="0" w:tentative="0">
      <w:start w:val="3"/>
      <w:numFmt w:val="chineseCounting"/>
      <w:suff w:val="nothing"/>
      <w:lvlText w:val="%1、"/>
      <w:lvlJc w:val="left"/>
    </w:lvl>
  </w:abstractNum>
  <w:abstractNum w:abstractNumId="49">
    <w:nsid w:val="5783773D"/>
    <w:multiLevelType w:val="multilevel"/>
    <w:tmpl w:val="5783773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0">
    <w:nsid w:val="58CC7A2B"/>
    <w:multiLevelType w:val="singleLevel"/>
    <w:tmpl w:val="58CC7A2B"/>
    <w:lvl w:ilvl="0" w:tentative="0">
      <w:start w:val="1"/>
      <w:numFmt w:val="decimal"/>
      <w:suff w:val="nothing"/>
      <w:lvlText w:val="%1、"/>
      <w:lvlJc w:val="left"/>
    </w:lvl>
  </w:abstractNum>
  <w:abstractNum w:abstractNumId="51">
    <w:nsid w:val="5A1350F3"/>
    <w:multiLevelType w:val="multilevel"/>
    <w:tmpl w:val="5A1350F3"/>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2">
    <w:nsid w:val="5AAA87A8"/>
    <w:multiLevelType w:val="singleLevel"/>
    <w:tmpl w:val="5AAA87A8"/>
    <w:lvl w:ilvl="0" w:tentative="0">
      <w:start w:val="1"/>
      <w:numFmt w:val="decimal"/>
      <w:lvlText w:val="%1)"/>
      <w:lvlJc w:val="left"/>
      <w:pPr>
        <w:ind w:left="425" w:hanging="425"/>
      </w:pPr>
      <w:rPr>
        <w:rFonts w:hint="default"/>
      </w:rPr>
    </w:lvl>
  </w:abstractNum>
  <w:abstractNum w:abstractNumId="53">
    <w:nsid w:val="5AF79DA0"/>
    <w:multiLevelType w:val="singleLevel"/>
    <w:tmpl w:val="5AF79DA0"/>
    <w:lvl w:ilvl="0" w:tentative="0">
      <w:start w:val="1"/>
      <w:numFmt w:val="decimal"/>
      <w:suff w:val="nothing"/>
      <w:lvlText w:val="%1、"/>
      <w:lvlJc w:val="left"/>
    </w:lvl>
  </w:abstractNum>
  <w:abstractNum w:abstractNumId="54">
    <w:nsid w:val="5E570786"/>
    <w:multiLevelType w:val="multilevel"/>
    <w:tmpl w:val="5E57078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04A48BA"/>
    <w:multiLevelType w:val="multilevel"/>
    <w:tmpl w:val="604A48BA"/>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6">
    <w:nsid w:val="612C0E64"/>
    <w:multiLevelType w:val="multilevel"/>
    <w:tmpl w:val="612C0E64"/>
    <w:lvl w:ilvl="0" w:tentative="0">
      <w:start w:val="1"/>
      <w:numFmt w:val="decimal"/>
      <w:lvlText w:val="%1."/>
      <w:lvlJc w:val="left"/>
      <w:pPr>
        <w:tabs>
          <w:tab w:val="left" w:pos="1244"/>
        </w:tabs>
        <w:ind w:left="1244" w:hanging="420"/>
      </w:pPr>
      <w:rPr>
        <w:rFonts w:hint="eastAsia"/>
      </w:r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57">
    <w:nsid w:val="64358D93"/>
    <w:multiLevelType w:val="singleLevel"/>
    <w:tmpl w:val="64358D93"/>
    <w:lvl w:ilvl="0" w:tentative="0">
      <w:start w:val="1"/>
      <w:numFmt w:val="decimal"/>
      <w:suff w:val="nothing"/>
      <w:lvlText w:val="%1、"/>
      <w:lvlJc w:val="left"/>
    </w:lvl>
  </w:abstractNum>
  <w:abstractNum w:abstractNumId="58">
    <w:nsid w:val="6BA44C00"/>
    <w:multiLevelType w:val="multilevel"/>
    <w:tmpl w:val="6BA44C00"/>
    <w:lvl w:ilvl="0" w:tentative="0">
      <w:start w:val="1"/>
      <w:numFmt w:val="decimal"/>
      <w:lvlText w:val="%1"/>
      <w:lvlJc w:val="left"/>
      <w:pPr>
        <w:ind w:left="1095"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6DC6077C"/>
    <w:multiLevelType w:val="multilevel"/>
    <w:tmpl w:val="6DC6077C"/>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0">
    <w:nsid w:val="6FF73901"/>
    <w:multiLevelType w:val="multilevel"/>
    <w:tmpl w:val="6FF73901"/>
    <w:lvl w:ilvl="0" w:tentative="0">
      <w:start w:val="1"/>
      <w:numFmt w:val="decimal"/>
      <w:lvlText w:val="%1."/>
      <w:lvlJc w:val="left"/>
      <w:pPr>
        <w:tabs>
          <w:tab w:val="left" w:pos="1200"/>
        </w:tabs>
        <w:ind w:left="1200" w:hanging="420"/>
      </w:pPr>
      <w:rPr>
        <w:rFonts w:hint="eastAsia"/>
      </w:rPr>
    </w:lvl>
    <w:lvl w:ilvl="1" w:tentative="0">
      <w:start w:val="1"/>
      <w:numFmt w:val="bullet"/>
      <w:lvlText w:val=""/>
      <w:lvlJc w:val="left"/>
      <w:pPr>
        <w:tabs>
          <w:tab w:val="left" w:pos="1620"/>
        </w:tabs>
        <w:ind w:left="1620" w:hanging="420"/>
      </w:pPr>
      <w:rPr>
        <w:rFonts w:hint="default" w:ascii="???|CS?o¡À?" w:hAnsi="???|CS?o¡À?"/>
      </w:rPr>
    </w:lvl>
    <w:lvl w:ilvl="2" w:tentative="0">
      <w:start w:val="1"/>
      <w:numFmt w:val="bullet"/>
      <w:lvlText w:val=""/>
      <w:lvlJc w:val="left"/>
      <w:pPr>
        <w:tabs>
          <w:tab w:val="left" w:pos="2040"/>
        </w:tabs>
        <w:ind w:left="2040" w:hanging="420"/>
      </w:pPr>
      <w:rPr>
        <w:rFonts w:hint="default" w:ascii="???|CS?o¡À?" w:hAnsi="???|CS?o¡À?"/>
      </w:rPr>
    </w:lvl>
    <w:lvl w:ilvl="3" w:tentative="0">
      <w:start w:val="1"/>
      <w:numFmt w:val="bullet"/>
      <w:lvlText w:val=""/>
      <w:lvlJc w:val="left"/>
      <w:pPr>
        <w:tabs>
          <w:tab w:val="left" w:pos="2460"/>
        </w:tabs>
        <w:ind w:left="2460" w:hanging="420"/>
      </w:pPr>
      <w:rPr>
        <w:rFonts w:hint="default" w:ascii="???|CS?o¡À?" w:hAnsi="???|CS?o¡À?"/>
      </w:rPr>
    </w:lvl>
    <w:lvl w:ilvl="4" w:tentative="0">
      <w:start w:val="1"/>
      <w:numFmt w:val="bullet"/>
      <w:lvlText w:val=""/>
      <w:lvlJc w:val="left"/>
      <w:pPr>
        <w:tabs>
          <w:tab w:val="left" w:pos="2880"/>
        </w:tabs>
        <w:ind w:left="2880" w:hanging="420"/>
      </w:pPr>
      <w:rPr>
        <w:rFonts w:hint="default" w:ascii="???|CS?o¡À?" w:hAnsi="???|CS?o¡À?"/>
      </w:rPr>
    </w:lvl>
    <w:lvl w:ilvl="5" w:tentative="0">
      <w:start w:val="1"/>
      <w:numFmt w:val="bullet"/>
      <w:lvlText w:val=""/>
      <w:lvlJc w:val="left"/>
      <w:pPr>
        <w:tabs>
          <w:tab w:val="left" w:pos="3300"/>
        </w:tabs>
        <w:ind w:left="3300" w:hanging="420"/>
      </w:pPr>
      <w:rPr>
        <w:rFonts w:hint="default" w:ascii="???|CS?o¡À?" w:hAnsi="???|CS?o¡À?"/>
      </w:rPr>
    </w:lvl>
    <w:lvl w:ilvl="6" w:tentative="0">
      <w:start w:val="1"/>
      <w:numFmt w:val="bullet"/>
      <w:lvlText w:val=""/>
      <w:lvlJc w:val="left"/>
      <w:pPr>
        <w:tabs>
          <w:tab w:val="left" w:pos="3720"/>
        </w:tabs>
        <w:ind w:left="3720" w:hanging="420"/>
      </w:pPr>
      <w:rPr>
        <w:rFonts w:hint="default" w:ascii="???|CS?o¡À?" w:hAnsi="???|CS?o¡À?"/>
      </w:rPr>
    </w:lvl>
    <w:lvl w:ilvl="7" w:tentative="0">
      <w:start w:val="1"/>
      <w:numFmt w:val="bullet"/>
      <w:lvlText w:val=""/>
      <w:lvlJc w:val="left"/>
      <w:pPr>
        <w:tabs>
          <w:tab w:val="left" w:pos="4140"/>
        </w:tabs>
        <w:ind w:left="4140" w:hanging="420"/>
      </w:pPr>
      <w:rPr>
        <w:rFonts w:hint="default" w:ascii="???|CS?o¡À?" w:hAnsi="???|CS?o¡À?"/>
      </w:rPr>
    </w:lvl>
    <w:lvl w:ilvl="8" w:tentative="0">
      <w:start w:val="1"/>
      <w:numFmt w:val="bullet"/>
      <w:lvlText w:val=""/>
      <w:lvlJc w:val="left"/>
      <w:pPr>
        <w:tabs>
          <w:tab w:val="left" w:pos="4560"/>
        </w:tabs>
        <w:ind w:left="4560" w:hanging="420"/>
      </w:pPr>
      <w:rPr>
        <w:rFonts w:hint="default" w:ascii="???|CS?o¡À?" w:hAnsi="???|CS?o¡À?"/>
      </w:rPr>
    </w:lvl>
  </w:abstractNum>
  <w:abstractNum w:abstractNumId="61">
    <w:nsid w:val="729C1192"/>
    <w:multiLevelType w:val="multilevel"/>
    <w:tmpl w:val="729C1192"/>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2">
    <w:nsid w:val="72F33232"/>
    <w:multiLevelType w:val="multilevel"/>
    <w:tmpl w:val="72F33232"/>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3">
    <w:nsid w:val="7560482B"/>
    <w:multiLevelType w:val="multilevel"/>
    <w:tmpl w:val="7560482B"/>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4">
    <w:nsid w:val="7ADE72B9"/>
    <w:multiLevelType w:val="multilevel"/>
    <w:tmpl w:val="7ADE72B9"/>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37"/>
  </w:num>
  <w:num w:numId="2">
    <w:abstractNumId w:val="7"/>
  </w:num>
  <w:num w:numId="3">
    <w:abstractNumId w:val="1"/>
  </w:num>
  <w:num w:numId="4">
    <w:abstractNumId w:val="14"/>
  </w:num>
  <w:num w:numId="5">
    <w:abstractNumId w:val="22"/>
  </w:num>
  <w:num w:numId="6">
    <w:abstractNumId w:val="53"/>
  </w:num>
  <w:num w:numId="7">
    <w:abstractNumId w:val="0"/>
  </w:num>
  <w:num w:numId="8">
    <w:abstractNumId w:val="15"/>
  </w:num>
  <w:num w:numId="9">
    <w:abstractNumId w:val="2"/>
  </w:num>
  <w:num w:numId="10">
    <w:abstractNumId w:val="35"/>
  </w:num>
  <w:num w:numId="11">
    <w:abstractNumId w:val="17"/>
  </w:num>
  <w:num w:numId="12">
    <w:abstractNumId w:val="20"/>
  </w:num>
  <w:num w:numId="13">
    <w:abstractNumId w:val="9"/>
  </w:num>
  <w:num w:numId="14">
    <w:abstractNumId w:val="30"/>
  </w:num>
  <w:num w:numId="15">
    <w:abstractNumId w:val="46"/>
  </w:num>
  <w:num w:numId="16">
    <w:abstractNumId w:val="38"/>
  </w:num>
  <w:num w:numId="17">
    <w:abstractNumId w:val="43"/>
  </w:num>
  <w:num w:numId="18">
    <w:abstractNumId w:val="13"/>
  </w:num>
  <w:num w:numId="19">
    <w:abstractNumId w:val="28"/>
  </w:num>
  <w:num w:numId="20">
    <w:abstractNumId w:val="23"/>
  </w:num>
  <w:num w:numId="21">
    <w:abstractNumId w:val="26"/>
  </w:num>
  <w:num w:numId="22">
    <w:abstractNumId w:val="54"/>
  </w:num>
  <w:num w:numId="23">
    <w:abstractNumId w:val="36"/>
  </w:num>
  <w:num w:numId="24">
    <w:abstractNumId w:val="8"/>
  </w:num>
  <w:num w:numId="25">
    <w:abstractNumId w:val="10"/>
  </w:num>
  <w:num w:numId="26">
    <w:abstractNumId w:val="29"/>
  </w:num>
  <w:num w:numId="27">
    <w:abstractNumId w:val="42"/>
  </w:num>
  <w:num w:numId="28">
    <w:abstractNumId w:val="5"/>
  </w:num>
  <w:num w:numId="29">
    <w:abstractNumId w:val="18"/>
  </w:num>
  <w:num w:numId="30">
    <w:abstractNumId w:val="45"/>
  </w:num>
  <w:num w:numId="31">
    <w:abstractNumId w:val="27"/>
  </w:num>
  <w:num w:numId="32">
    <w:abstractNumId w:val="64"/>
  </w:num>
  <w:num w:numId="33">
    <w:abstractNumId w:val="49"/>
  </w:num>
  <w:num w:numId="34">
    <w:abstractNumId w:val="51"/>
  </w:num>
  <w:num w:numId="35">
    <w:abstractNumId w:val="61"/>
  </w:num>
  <w:num w:numId="36">
    <w:abstractNumId w:val="44"/>
  </w:num>
  <w:num w:numId="37">
    <w:abstractNumId w:val="21"/>
  </w:num>
  <w:num w:numId="38">
    <w:abstractNumId w:val="62"/>
  </w:num>
  <w:num w:numId="39">
    <w:abstractNumId w:val="55"/>
  </w:num>
  <w:num w:numId="40">
    <w:abstractNumId w:val="33"/>
  </w:num>
  <w:num w:numId="41">
    <w:abstractNumId w:val="16"/>
  </w:num>
  <w:num w:numId="42">
    <w:abstractNumId w:val="19"/>
  </w:num>
  <w:num w:numId="43">
    <w:abstractNumId w:val="63"/>
  </w:num>
  <w:num w:numId="44">
    <w:abstractNumId w:val="59"/>
  </w:num>
  <w:num w:numId="45">
    <w:abstractNumId w:val="32"/>
  </w:num>
  <w:num w:numId="46">
    <w:abstractNumId w:val="41"/>
  </w:num>
  <w:num w:numId="47">
    <w:abstractNumId w:val="11"/>
    <w:lvlOverride w:ilvl="0">
      <w:startOverride w:val="1"/>
    </w:lvlOverride>
  </w:num>
  <w:num w:numId="48">
    <w:abstractNumId w:val="58"/>
  </w:num>
  <w:num w:numId="49">
    <w:abstractNumId w:val="25"/>
  </w:num>
  <w:num w:numId="50">
    <w:abstractNumId w:val="60"/>
  </w:num>
  <w:num w:numId="51">
    <w:abstractNumId w:val="56"/>
  </w:num>
  <w:num w:numId="52">
    <w:abstractNumId w:val="34"/>
  </w:num>
  <w:num w:numId="53">
    <w:abstractNumId w:val="4"/>
  </w:num>
  <w:num w:numId="54">
    <w:abstractNumId w:val="52"/>
  </w:num>
  <w:num w:numId="55">
    <w:abstractNumId w:val="3"/>
  </w:num>
  <w:num w:numId="56">
    <w:abstractNumId w:val="57"/>
  </w:num>
  <w:num w:numId="57">
    <w:abstractNumId w:val="50"/>
  </w:num>
  <w:num w:numId="58">
    <w:abstractNumId w:val="6"/>
  </w:num>
  <w:num w:numId="59">
    <w:abstractNumId w:val="12"/>
  </w:num>
  <w:num w:numId="60">
    <w:abstractNumId w:val="24"/>
  </w:num>
  <w:num w:numId="61">
    <w:abstractNumId w:val="47"/>
  </w:num>
  <w:num w:numId="62">
    <w:abstractNumId w:val="48"/>
  </w:num>
  <w:num w:numId="63">
    <w:abstractNumId w:val="40"/>
  </w:num>
  <w:num w:numId="64">
    <w:abstractNumId w:val="31"/>
  </w:num>
  <w:num w:numId="6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A9C"/>
    <w:rsid w:val="00000DAA"/>
    <w:rsid w:val="0000486A"/>
    <w:rsid w:val="000048E4"/>
    <w:rsid w:val="0001085B"/>
    <w:rsid w:val="00012F1C"/>
    <w:rsid w:val="00013429"/>
    <w:rsid w:val="000137DB"/>
    <w:rsid w:val="00014D58"/>
    <w:rsid w:val="00014FF8"/>
    <w:rsid w:val="00015FEF"/>
    <w:rsid w:val="00017885"/>
    <w:rsid w:val="00021A37"/>
    <w:rsid w:val="0002241A"/>
    <w:rsid w:val="00022A1F"/>
    <w:rsid w:val="00023740"/>
    <w:rsid w:val="000260B9"/>
    <w:rsid w:val="0002663D"/>
    <w:rsid w:val="00027D4A"/>
    <w:rsid w:val="00030848"/>
    <w:rsid w:val="00031118"/>
    <w:rsid w:val="00032766"/>
    <w:rsid w:val="00033530"/>
    <w:rsid w:val="000338D7"/>
    <w:rsid w:val="0004117D"/>
    <w:rsid w:val="0004118C"/>
    <w:rsid w:val="0004123B"/>
    <w:rsid w:val="00041A9D"/>
    <w:rsid w:val="00041B4F"/>
    <w:rsid w:val="00041BAF"/>
    <w:rsid w:val="000427B1"/>
    <w:rsid w:val="00043217"/>
    <w:rsid w:val="000450C1"/>
    <w:rsid w:val="00046ED9"/>
    <w:rsid w:val="00050744"/>
    <w:rsid w:val="00051095"/>
    <w:rsid w:val="00051EE8"/>
    <w:rsid w:val="00052591"/>
    <w:rsid w:val="00053284"/>
    <w:rsid w:val="000545F5"/>
    <w:rsid w:val="000560C6"/>
    <w:rsid w:val="00056E08"/>
    <w:rsid w:val="00056E44"/>
    <w:rsid w:val="000577DD"/>
    <w:rsid w:val="0006023C"/>
    <w:rsid w:val="00060481"/>
    <w:rsid w:val="000612DF"/>
    <w:rsid w:val="00062711"/>
    <w:rsid w:val="00062D0F"/>
    <w:rsid w:val="00064F4D"/>
    <w:rsid w:val="00065D53"/>
    <w:rsid w:val="000675CA"/>
    <w:rsid w:val="00070DD5"/>
    <w:rsid w:val="00071473"/>
    <w:rsid w:val="000767C3"/>
    <w:rsid w:val="00076BCB"/>
    <w:rsid w:val="00076FA6"/>
    <w:rsid w:val="000804B8"/>
    <w:rsid w:val="000808C9"/>
    <w:rsid w:val="0008148B"/>
    <w:rsid w:val="00083DCA"/>
    <w:rsid w:val="000861CF"/>
    <w:rsid w:val="00086A31"/>
    <w:rsid w:val="00087D23"/>
    <w:rsid w:val="00090E0F"/>
    <w:rsid w:val="00093913"/>
    <w:rsid w:val="00093B9F"/>
    <w:rsid w:val="00094217"/>
    <w:rsid w:val="00095355"/>
    <w:rsid w:val="000958C5"/>
    <w:rsid w:val="000962C7"/>
    <w:rsid w:val="0009721E"/>
    <w:rsid w:val="000973FB"/>
    <w:rsid w:val="00097854"/>
    <w:rsid w:val="00097C60"/>
    <w:rsid w:val="000A42C1"/>
    <w:rsid w:val="000A46E4"/>
    <w:rsid w:val="000A4A36"/>
    <w:rsid w:val="000A5AEE"/>
    <w:rsid w:val="000A7138"/>
    <w:rsid w:val="000A7A36"/>
    <w:rsid w:val="000B1065"/>
    <w:rsid w:val="000B3712"/>
    <w:rsid w:val="000B39D7"/>
    <w:rsid w:val="000B5F99"/>
    <w:rsid w:val="000B6976"/>
    <w:rsid w:val="000B74B4"/>
    <w:rsid w:val="000B7C90"/>
    <w:rsid w:val="000B7D3F"/>
    <w:rsid w:val="000C1BEE"/>
    <w:rsid w:val="000C32E8"/>
    <w:rsid w:val="000C33A8"/>
    <w:rsid w:val="000C4CD7"/>
    <w:rsid w:val="000C612C"/>
    <w:rsid w:val="000C6A2D"/>
    <w:rsid w:val="000C6B6D"/>
    <w:rsid w:val="000C7DEE"/>
    <w:rsid w:val="000D037C"/>
    <w:rsid w:val="000D3DEC"/>
    <w:rsid w:val="000D450D"/>
    <w:rsid w:val="000D579E"/>
    <w:rsid w:val="000D582F"/>
    <w:rsid w:val="000D61E8"/>
    <w:rsid w:val="000E247F"/>
    <w:rsid w:val="000E3359"/>
    <w:rsid w:val="000E38DD"/>
    <w:rsid w:val="000E4C75"/>
    <w:rsid w:val="000E608D"/>
    <w:rsid w:val="000F1B26"/>
    <w:rsid w:val="000F4985"/>
    <w:rsid w:val="000F541C"/>
    <w:rsid w:val="000F59D2"/>
    <w:rsid w:val="000F632C"/>
    <w:rsid w:val="000F63A0"/>
    <w:rsid w:val="0010293C"/>
    <w:rsid w:val="00102A33"/>
    <w:rsid w:val="00102B6C"/>
    <w:rsid w:val="00103747"/>
    <w:rsid w:val="0010447F"/>
    <w:rsid w:val="00105897"/>
    <w:rsid w:val="0011525C"/>
    <w:rsid w:val="00116BC8"/>
    <w:rsid w:val="001201CA"/>
    <w:rsid w:val="00120362"/>
    <w:rsid w:val="0012080D"/>
    <w:rsid w:val="001215C2"/>
    <w:rsid w:val="0012292D"/>
    <w:rsid w:val="0012325E"/>
    <w:rsid w:val="001256B4"/>
    <w:rsid w:val="001265DE"/>
    <w:rsid w:val="00126666"/>
    <w:rsid w:val="00126B58"/>
    <w:rsid w:val="00126C04"/>
    <w:rsid w:val="00130369"/>
    <w:rsid w:val="0013166E"/>
    <w:rsid w:val="00132251"/>
    <w:rsid w:val="00133A64"/>
    <w:rsid w:val="001357A7"/>
    <w:rsid w:val="00140AB4"/>
    <w:rsid w:val="00141F67"/>
    <w:rsid w:val="00145406"/>
    <w:rsid w:val="00145C51"/>
    <w:rsid w:val="00147083"/>
    <w:rsid w:val="001519D9"/>
    <w:rsid w:val="00152D93"/>
    <w:rsid w:val="00153AD6"/>
    <w:rsid w:val="00154490"/>
    <w:rsid w:val="00155DEF"/>
    <w:rsid w:val="00156204"/>
    <w:rsid w:val="00157AED"/>
    <w:rsid w:val="00157B36"/>
    <w:rsid w:val="00160171"/>
    <w:rsid w:val="00160398"/>
    <w:rsid w:val="001613BB"/>
    <w:rsid w:val="00161BBD"/>
    <w:rsid w:val="00161EF8"/>
    <w:rsid w:val="00162DE8"/>
    <w:rsid w:val="00163304"/>
    <w:rsid w:val="00166C2C"/>
    <w:rsid w:val="001670FA"/>
    <w:rsid w:val="0017169A"/>
    <w:rsid w:val="001739B2"/>
    <w:rsid w:val="00173DD0"/>
    <w:rsid w:val="00174A9C"/>
    <w:rsid w:val="001767CA"/>
    <w:rsid w:val="00182E99"/>
    <w:rsid w:val="00183BD4"/>
    <w:rsid w:val="00184BB3"/>
    <w:rsid w:val="00185608"/>
    <w:rsid w:val="00186A8A"/>
    <w:rsid w:val="001920B3"/>
    <w:rsid w:val="00194AB9"/>
    <w:rsid w:val="00195576"/>
    <w:rsid w:val="001A067F"/>
    <w:rsid w:val="001A1200"/>
    <w:rsid w:val="001A20B1"/>
    <w:rsid w:val="001A232E"/>
    <w:rsid w:val="001A3FB2"/>
    <w:rsid w:val="001A4BD0"/>
    <w:rsid w:val="001A621B"/>
    <w:rsid w:val="001A64F8"/>
    <w:rsid w:val="001B284D"/>
    <w:rsid w:val="001B3E6D"/>
    <w:rsid w:val="001B59BB"/>
    <w:rsid w:val="001B6711"/>
    <w:rsid w:val="001B67D7"/>
    <w:rsid w:val="001B74D2"/>
    <w:rsid w:val="001B7EC3"/>
    <w:rsid w:val="001C2288"/>
    <w:rsid w:val="001C2DB9"/>
    <w:rsid w:val="001C5337"/>
    <w:rsid w:val="001C6274"/>
    <w:rsid w:val="001D0615"/>
    <w:rsid w:val="001D3977"/>
    <w:rsid w:val="001D52D0"/>
    <w:rsid w:val="001D566A"/>
    <w:rsid w:val="001D792F"/>
    <w:rsid w:val="001E1DBA"/>
    <w:rsid w:val="001E3B08"/>
    <w:rsid w:val="001E77E6"/>
    <w:rsid w:val="001F20E0"/>
    <w:rsid w:val="001F29C0"/>
    <w:rsid w:val="001F2E96"/>
    <w:rsid w:val="001F2F40"/>
    <w:rsid w:val="001F3704"/>
    <w:rsid w:val="001F3A8C"/>
    <w:rsid w:val="001F3B6F"/>
    <w:rsid w:val="001F4B32"/>
    <w:rsid w:val="001F58BA"/>
    <w:rsid w:val="001F7EA8"/>
    <w:rsid w:val="0020134E"/>
    <w:rsid w:val="0020278A"/>
    <w:rsid w:val="00202A73"/>
    <w:rsid w:val="00206622"/>
    <w:rsid w:val="00206782"/>
    <w:rsid w:val="0020734B"/>
    <w:rsid w:val="002073EC"/>
    <w:rsid w:val="00207838"/>
    <w:rsid w:val="00207C1E"/>
    <w:rsid w:val="00207F2A"/>
    <w:rsid w:val="00210F4B"/>
    <w:rsid w:val="00211351"/>
    <w:rsid w:val="002126F1"/>
    <w:rsid w:val="0021417F"/>
    <w:rsid w:val="0021516F"/>
    <w:rsid w:val="002156BA"/>
    <w:rsid w:val="00216265"/>
    <w:rsid w:val="002202FE"/>
    <w:rsid w:val="00221FFB"/>
    <w:rsid w:val="00222D7D"/>
    <w:rsid w:val="00223BFB"/>
    <w:rsid w:val="0022496F"/>
    <w:rsid w:val="002274A7"/>
    <w:rsid w:val="00230163"/>
    <w:rsid w:val="002325D3"/>
    <w:rsid w:val="002327ED"/>
    <w:rsid w:val="00233464"/>
    <w:rsid w:val="00233771"/>
    <w:rsid w:val="00234CCC"/>
    <w:rsid w:val="0023542F"/>
    <w:rsid w:val="002415DC"/>
    <w:rsid w:val="0024187C"/>
    <w:rsid w:val="00241921"/>
    <w:rsid w:val="00244D34"/>
    <w:rsid w:val="00245D02"/>
    <w:rsid w:val="00246667"/>
    <w:rsid w:val="00246F37"/>
    <w:rsid w:val="00247907"/>
    <w:rsid w:val="00247F81"/>
    <w:rsid w:val="00247FB9"/>
    <w:rsid w:val="00250028"/>
    <w:rsid w:val="002503F8"/>
    <w:rsid w:val="00252AB6"/>
    <w:rsid w:val="0025342D"/>
    <w:rsid w:val="0025612E"/>
    <w:rsid w:val="002572B7"/>
    <w:rsid w:val="00257B15"/>
    <w:rsid w:val="00260DFC"/>
    <w:rsid w:val="002629D7"/>
    <w:rsid w:val="002645BE"/>
    <w:rsid w:val="002645FE"/>
    <w:rsid w:val="00265811"/>
    <w:rsid w:val="00265D60"/>
    <w:rsid w:val="0026654E"/>
    <w:rsid w:val="00267318"/>
    <w:rsid w:val="00267D77"/>
    <w:rsid w:val="00270AF4"/>
    <w:rsid w:val="002710D5"/>
    <w:rsid w:val="002712BA"/>
    <w:rsid w:val="0027135F"/>
    <w:rsid w:val="00272023"/>
    <w:rsid w:val="00272222"/>
    <w:rsid w:val="0027250E"/>
    <w:rsid w:val="00274289"/>
    <w:rsid w:val="00274D63"/>
    <w:rsid w:val="00274E76"/>
    <w:rsid w:val="00276703"/>
    <w:rsid w:val="00282C16"/>
    <w:rsid w:val="002845E7"/>
    <w:rsid w:val="002871D9"/>
    <w:rsid w:val="00292543"/>
    <w:rsid w:val="002933A6"/>
    <w:rsid w:val="00293F45"/>
    <w:rsid w:val="002942A8"/>
    <w:rsid w:val="0029656D"/>
    <w:rsid w:val="00297EDA"/>
    <w:rsid w:val="002A28B2"/>
    <w:rsid w:val="002A29A6"/>
    <w:rsid w:val="002A33E8"/>
    <w:rsid w:val="002A437A"/>
    <w:rsid w:val="002A4430"/>
    <w:rsid w:val="002A45BC"/>
    <w:rsid w:val="002A64D7"/>
    <w:rsid w:val="002A6FE6"/>
    <w:rsid w:val="002A7E2D"/>
    <w:rsid w:val="002B1948"/>
    <w:rsid w:val="002B1968"/>
    <w:rsid w:val="002B3B66"/>
    <w:rsid w:val="002B634E"/>
    <w:rsid w:val="002B6C4A"/>
    <w:rsid w:val="002B6D08"/>
    <w:rsid w:val="002B760F"/>
    <w:rsid w:val="002C0B67"/>
    <w:rsid w:val="002C0D2E"/>
    <w:rsid w:val="002C2DF3"/>
    <w:rsid w:val="002C3279"/>
    <w:rsid w:val="002C3744"/>
    <w:rsid w:val="002C3CB6"/>
    <w:rsid w:val="002C4EFA"/>
    <w:rsid w:val="002C6846"/>
    <w:rsid w:val="002C6FC7"/>
    <w:rsid w:val="002C7403"/>
    <w:rsid w:val="002D17E2"/>
    <w:rsid w:val="002D45B8"/>
    <w:rsid w:val="002D58FF"/>
    <w:rsid w:val="002D7079"/>
    <w:rsid w:val="002D7688"/>
    <w:rsid w:val="002E3E4F"/>
    <w:rsid w:val="002E48D7"/>
    <w:rsid w:val="002E75FC"/>
    <w:rsid w:val="002F03AC"/>
    <w:rsid w:val="002F0502"/>
    <w:rsid w:val="002F367A"/>
    <w:rsid w:val="002F3B95"/>
    <w:rsid w:val="002F3BC6"/>
    <w:rsid w:val="002F3E97"/>
    <w:rsid w:val="002F6545"/>
    <w:rsid w:val="002F7684"/>
    <w:rsid w:val="002F7A6B"/>
    <w:rsid w:val="0030028D"/>
    <w:rsid w:val="0030190B"/>
    <w:rsid w:val="00304071"/>
    <w:rsid w:val="00304090"/>
    <w:rsid w:val="0030657B"/>
    <w:rsid w:val="0030676E"/>
    <w:rsid w:val="003071DB"/>
    <w:rsid w:val="00307705"/>
    <w:rsid w:val="003077F4"/>
    <w:rsid w:val="003078D3"/>
    <w:rsid w:val="003119D6"/>
    <w:rsid w:val="00312256"/>
    <w:rsid w:val="003132DB"/>
    <w:rsid w:val="00315A9F"/>
    <w:rsid w:val="00316A08"/>
    <w:rsid w:val="00316BAE"/>
    <w:rsid w:val="0031765A"/>
    <w:rsid w:val="00317726"/>
    <w:rsid w:val="00317988"/>
    <w:rsid w:val="00317D42"/>
    <w:rsid w:val="00317D6B"/>
    <w:rsid w:val="0032015C"/>
    <w:rsid w:val="00320252"/>
    <w:rsid w:val="00320BEF"/>
    <w:rsid w:val="00321A8F"/>
    <w:rsid w:val="00321C54"/>
    <w:rsid w:val="00322535"/>
    <w:rsid w:val="003243CE"/>
    <w:rsid w:val="003254EB"/>
    <w:rsid w:val="00325FB1"/>
    <w:rsid w:val="00327603"/>
    <w:rsid w:val="003302D4"/>
    <w:rsid w:val="003310D1"/>
    <w:rsid w:val="00331AE9"/>
    <w:rsid w:val="003334EC"/>
    <w:rsid w:val="00333746"/>
    <w:rsid w:val="003344AA"/>
    <w:rsid w:val="00334ECE"/>
    <w:rsid w:val="00335508"/>
    <w:rsid w:val="003358E2"/>
    <w:rsid w:val="00335E9C"/>
    <w:rsid w:val="003438E1"/>
    <w:rsid w:val="00344430"/>
    <w:rsid w:val="00345096"/>
    <w:rsid w:val="00345E75"/>
    <w:rsid w:val="00346243"/>
    <w:rsid w:val="00346B25"/>
    <w:rsid w:val="00346CAB"/>
    <w:rsid w:val="00347831"/>
    <w:rsid w:val="00352490"/>
    <w:rsid w:val="003525B4"/>
    <w:rsid w:val="00352C96"/>
    <w:rsid w:val="0035796A"/>
    <w:rsid w:val="00360377"/>
    <w:rsid w:val="003614FB"/>
    <w:rsid w:val="0036155D"/>
    <w:rsid w:val="00365A9E"/>
    <w:rsid w:val="00366215"/>
    <w:rsid w:val="003675DD"/>
    <w:rsid w:val="0037024A"/>
    <w:rsid w:val="00372E9A"/>
    <w:rsid w:val="00373801"/>
    <w:rsid w:val="0037673C"/>
    <w:rsid w:val="0037778C"/>
    <w:rsid w:val="00380423"/>
    <w:rsid w:val="00381896"/>
    <w:rsid w:val="00381995"/>
    <w:rsid w:val="00382FD4"/>
    <w:rsid w:val="00384D86"/>
    <w:rsid w:val="0038658C"/>
    <w:rsid w:val="0039056D"/>
    <w:rsid w:val="003905D5"/>
    <w:rsid w:val="00391367"/>
    <w:rsid w:val="00393C4F"/>
    <w:rsid w:val="00394F00"/>
    <w:rsid w:val="00394F21"/>
    <w:rsid w:val="00396AB1"/>
    <w:rsid w:val="0039762D"/>
    <w:rsid w:val="003A189F"/>
    <w:rsid w:val="003A1D4C"/>
    <w:rsid w:val="003A2D13"/>
    <w:rsid w:val="003A4671"/>
    <w:rsid w:val="003A4708"/>
    <w:rsid w:val="003A6D85"/>
    <w:rsid w:val="003A7C99"/>
    <w:rsid w:val="003B1A44"/>
    <w:rsid w:val="003B279D"/>
    <w:rsid w:val="003B2D54"/>
    <w:rsid w:val="003B4E0A"/>
    <w:rsid w:val="003B6154"/>
    <w:rsid w:val="003C0F35"/>
    <w:rsid w:val="003C447E"/>
    <w:rsid w:val="003C6D07"/>
    <w:rsid w:val="003C70CA"/>
    <w:rsid w:val="003C719C"/>
    <w:rsid w:val="003C7C6F"/>
    <w:rsid w:val="003D0CAC"/>
    <w:rsid w:val="003D1296"/>
    <w:rsid w:val="003D244C"/>
    <w:rsid w:val="003D46F2"/>
    <w:rsid w:val="003D64B4"/>
    <w:rsid w:val="003D6AE2"/>
    <w:rsid w:val="003D6C76"/>
    <w:rsid w:val="003D6DE1"/>
    <w:rsid w:val="003E1643"/>
    <w:rsid w:val="003E267E"/>
    <w:rsid w:val="003E2AC9"/>
    <w:rsid w:val="003E2B9A"/>
    <w:rsid w:val="003E2C43"/>
    <w:rsid w:val="003E4502"/>
    <w:rsid w:val="003E75A7"/>
    <w:rsid w:val="003E7D0B"/>
    <w:rsid w:val="003F0C87"/>
    <w:rsid w:val="003F348B"/>
    <w:rsid w:val="003F367E"/>
    <w:rsid w:val="003F42A3"/>
    <w:rsid w:val="003F7C7A"/>
    <w:rsid w:val="00403014"/>
    <w:rsid w:val="00403B08"/>
    <w:rsid w:val="00407B09"/>
    <w:rsid w:val="004105C3"/>
    <w:rsid w:val="004108C4"/>
    <w:rsid w:val="0041272A"/>
    <w:rsid w:val="004130BA"/>
    <w:rsid w:val="00415102"/>
    <w:rsid w:val="00416107"/>
    <w:rsid w:val="004167DD"/>
    <w:rsid w:val="00417861"/>
    <w:rsid w:val="00421071"/>
    <w:rsid w:val="0042399C"/>
    <w:rsid w:val="00425BB6"/>
    <w:rsid w:val="0042740C"/>
    <w:rsid w:val="0042748E"/>
    <w:rsid w:val="00430C7E"/>
    <w:rsid w:val="00431164"/>
    <w:rsid w:val="0043176C"/>
    <w:rsid w:val="00431C6B"/>
    <w:rsid w:val="00436BAA"/>
    <w:rsid w:val="00440DD8"/>
    <w:rsid w:val="0044254A"/>
    <w:rsid w:val="00442EE8"/>
    <w:rsid w:val="00443D7A"/>
    <w:rsid w:val="00443E72"/>
    <w:rsid w:val="00444591"/>
    <w:rsid w:val="00445B4E"/>
    <w:rsid w:val="0044789F"/>
    <w:rsid w:val="00450464"/>
    <w:rsid w:val="0045078A"/>
    <w:rsid w:val="00450C62"/>
    <w:rsid w:val="0045593D"/>
    <w:rsid w:val="00455C82"/>
    <w:rsid w:val="0045642B"/>
    <w:rsid w:val="004727B5"/>
    <w:rsid w:val="0047439D"/>
    <w:rsid w:val="00474DC1"/>
    <w:rsid w:val="00477E6E"/>
    <w:rsid w:val="00481E43"/>
    <w:rsid w:val="004829DD"/>
    <w:rsid w:val="00483CB2"/>
    <w:rsid w:val="00484755"/>
    <w:rsid w:val="004848C8"/>
    <w:rsid w:val="00485595"/>
    <w:rsid w:val="004858C1"/>
    <w:rsid w:val="00485B0B"/>
    <w:rsid w:val="00486241"/>
    <w:rsid w:val="0048643A"/>
    <w:rsid w:val="00486756"/>
    <w:rsid w:val="00491561"/>
    <w:rsid w:val="004917BF"/>
    <w:rsid w:val="00491818"/>
    <w:rsid w:val="004922BB"/>
    <w:rsid w:val="004924DB"/>
    <w:rsid w:val="00494A97"/>
    <w:rsid w:val="00495AAB"/>
    <w:rsid w:val="0049772A"/>
    <w:rsid w:val="004A0717"/>
    <w:rsid w:val="004A1173"/>
    <w:rsid w:val="004A1C0F"/>
    <w:rsid w:val="004A3D47"/>
    <w:rsid w:val="004A6404"/>
    <w:rsid w:val="004A65C7"/>
    <w:rsid w:val="004A6C6C"/>
    <w:rsid w:val="004A79C0"/>
    <w:rsid w:val="004B1A0B"/>
    <w:rsid w:val="004B297A"/>
    <w:rsid w:val="004B38FB"/>
    <w:rsid w:val="004B41EE"/>
    <w:rsid w:val="004C1DDA"/>
    <w:rsid w:val="004C2112"/>
    <w:rsid w:val="004C2B68"/>
    <w:rsid w:val="004C2C57"/>
    <w:rsid w:val="004C3C18"/>
    <w:rsid w:val="004C4AE6"/>
    <w:rsid w:val="004C6AAB"/>
    <w:rsid w:val="004C6ADC"/>
    <w:rsid w:val="004D0238"/>
    <w:rsid w:val="004D3384"/>
    <w:rsid w:val="004D38F0"/>
    <w:rsid w:val="004D3904"/>
    <w:rsid w:val="004D42B2"/>
    <w:rsid w:val="004D499C"/>
    <w:rsid w:val="004D5086"/>
    <w:rsid w:val="004D61EA"/>
    <w:rsid w:val="004D64D0"/>
    <w:rsid w:val="004D6994"/>
    <w:rsid w:val="004D783B"/>
    <w:rsid w:val="004E1451"/>
    <w:rsid w:val="004E1C6F"/>
    <w:rsid w:val="004E21C8"/>
    <w:rsid w:val="004E2245"/>
    <w:rsid w:val="004E3EB7"/>
    <w:rsid w:val="004E5141"/>
    <w:rsid w:val="004E5ABD"/>
    <w:rsid w:val="004E78E1"/>
    <w:rsid w:val="004F1936"/>
    <w:rsid w:val="004F2F00"/>
    <w:rsid w:val="004F2F1E"/>
    <w:rsid w:val="004F4BB8"/>
    <w:rsid w:val="004F5158"/>
    <w:rsid w:val="004F5A51"/>
    <w:rsid w:val="004F5FF3"/>
    <w:rsid w:val="004F6F77"/>
    <w:rsid w:val="00500849"/>
    <w:rsid w:val="00503E15"/>
    <w:rsid w:val="0050488A"/>
    <w:rsid w:val="00506D12"/>
    <w:rsid w:val="00507009"/>
    <w:rsid w:val="0051640D"/>
    <w:rsid w:val="005167D2"/>
    <w:rsid w:val="005168FB"/>
    <w:rsid w:val="0051788E"/>
    <w:rsid w:val="00520EF7"/>
    <w:rsid w:val="005242C7"/>
    <w:rsid w:val="005249B4"/>
    <w:rsid w:val="00527C8E"/>
    <w:rsid w:val="005327E8"/>
    <w:rsid w:val="005339A6"/>
    <w:rsid w:val="00533EB5"/>
    <w:rsid w:val="00535DF3"/>
    <w:rsid w:val="00537AD4"/>
    <w:rsid w:val="00537CD5"/>
    <w:rsid w:val="0054197C"/>
    <w:rsid w:val="005420E6"/>
    <w:rsid w:val="00543B9F"/>
    <w:rsid w:val="00544E0F"/>
    <w:rsid w:val="00547813"/>
    <w:rsid w:val="00547C3C"/>
    <w:rsid w:val="00547FCE"/>
    <w:rsid w:val="00550234"/>
    <w:rsid w:val="00550715"/>
    <w:rsid w:val="00551261"/>
    <w:rsid w:val="00553A3B"/>
    <w:rsid w:val="00554A6C"/>
    <w:rsid w:val="005578D1"/>
    <w:rsid w:val="0056004E"/>
    <w:rsid w:val="0056062F"/>
    <w:rsid w:val="005607AB"/>
    <w:rsid w:val="005617BB"/>
    <w:rsid w:val="005621C9"/>
    <w:rsid w:val="00562434"/>
    <w:rsid w:val="00562F13"/>
    <w:rsid w:val="00563A2A"/>
    <w:rsid w:val="00564CB6"/>
    <w:rsid w:val="005650C3"/>
    <w:rsid w:val="00566099"/>
    <w:rsid w:val="00567B2B"/>
    <w:rsid w:val="00567C25"/>
    <w:rsid w:val="0057179E"/>
    <w:rsid w:val="00571FAA"/>
    <w:rsid w:val="0057402C"/>
    <w:rsid w:val="005757AE"/>
    <w:rsid w:val="00575888"/>
    <w:rsid w:val="005801D1"/>
    <w:rsid w:val="00582564"/>
    <w:rsid w:val="005826C6"/>
    <w:rsid w:val="00582A43"/>
    <w:rsid w:val="00582CB3"/>
    <w:rsid w:val="00583DC1"/>
    <w:rsid w:val="005867B0"/>
    <w:rsid w:val="005874A2"/>
    <w:rsid w:val="00590D9A"/>
    <w:rsid w:val="0059215A"/>
    <w:rsid w:val="00592A30"/>
    <w:rsid w:val="005934E5"/>
    <w:rsid w:val="00593F4A"/>
    <w:rsid w:val="00595AA2"/>
    <w:rsid w:val="005A030D"/>
    <w:rsid w:val="005A4A15"/>
    <w:rsid w:val="005A4B5D"/>
    <w:rsid w:val="005A5E43"/>
    <w:rsid w:val="005A5ED9"/>
    <w:rsid w:val="005B03F1"/>
    <w:rsid w:val="005B16BB"/>
    <w:rsid w:val="005B25B7"/>
    <w:rsid w:val="005B3499"/>
    <w:rsid w:val="005B41A6"/>
    <w:rsid w:val="005B5664"/>
    <w:rsid w:val="005B7B7B"/>
    <w:rsid w:val="005B7E3A"/>
    <w:rsid w:val="005B7E94"/>
    <w:rsid w:val="005C0D88"/>
    <w:rsid w:val="005C236F"/>
    <w:rsid w:val="005C30C9"/>
    <w:rsid w:val="005C3744"/>
    <w:rsid w:val="005C4DDF"/>
    <w:rsid w:val="005C4F84"/>
    <w:rsid w:val="005C71FF"/>
    <w:rsid w:val="005C74F9"/>
    <w:rsid w:val="005D4F46"/>
    <w:rsid w:val="005E0A80"/>
    <w:rsid w:val="005E3546"/>
    <w:rsid w:val="005E35C4"/>
    <w:rsid w:val="005E4A4D"/>
    <w:rsid w:val="005F041D"/>
    <w:rsid w:val="005F0559"/>
    <w:rsid w:val="005F2738"/>
    <w:rsid w:val="005F30F2"/>
    <w:rsid w:val="005F3F5B"/>
    <w:rsid w:val="005F43DC"/>
    <w:rsid w:val="005F5817"/>
    <w:rsid w:val="005F5E07"/>
    <w:rsid w:val="00603A2F"/>
    <w:rsid w:val="00607C1A"/>
    <w:rsid w:val="006122A0"/>
    <w:rsid w:val="006132B3"/>
    <w:rsid w:val="006151CF"/>
    <w:rsid w:val="00615B85"/>
    <w:rsid w:val="00617268"/>
    <w:rsid w:val="00620371"/>
    <w:rsid w:val="00620F08"/>
    <w:rsid w:val="00621A21"/>
    <w:rsid w:val="00622140"/>
    <w:rsid w:val="00622829"/>
    <w:rsid w:val="0062335B"/>
    <w:rsid w:val="00623AF8"/>
    <w:rsid w:val="00623D74"/>
    <w:rsid w:val="00625749"/>
    <w:rsid w:val="00625B04"/>
    <w:rsid w:val="00626F92"/>
    <w:rsid w:val="00627270"/>
    <w:rsid w:val="0062751E"/>
    <w:rsid w:val="00632B4B"/>
    <w:rsid w:val="00634059"/>
    <w:rsid w:val="00635D41"/>
    <w:rsid w:val="0064312A"/>
    <w:rsid w:val="00644BB2"/>
    <w:rsid w:val="00644C54"/>
    <w:rsid w:val="00646CD1"/>
    <w:rsid w:val="00646F97"/>
    <w:rsid w:val="006523E9"/>
    <w:rsid w:val="00653BBF"/>
    <w:rsid w:val="006542D6"/>
    <w:rsid w:val="0065499E"/>
    <w:rsid w:val="00656000"/>
    <w:rsid w:val="00657D82"/>
    <w:rsid w:val="00660A15"/>
    <w:rsid w:val="00660AD3"/>
    <w:rsid w:val="00662320"/>
    <w:rsid w:val="00662B32"/>
    <w:rsid w:val="00662B61"/>
    <w:rsid w:val="00664DDB"/>
    <w:rsid w:val="006664D4"/>
    <w:rsid w:val="0066665C"/>
    <w:rsid w:val="006672C5"/>
    <w:rsid w:val="00667446"/>
    <w:rsid w:val="00670050"/>
    <w:rsid w:val="0067014A"/>
    <w:rsid w:val="00670E46"/>
    <w:rsid w:val="0067745D"/>
    <w:rsid w:val="006777AE"/>
    <w:rsid w:val="00681573"/>
    <w:rsid w:val="006834BA"/>
    <w:rsid w:val="00683BD5"/>
    <w:rsid w:val="00685D34"/>
    <w:rsid w:val="00686D9C"/>
    <w:rsid w:val="006914D4"/>
    <w:rsid w:val="00691A2C"/>
    <w:rsid w:val="00692AF7"/>
    <w:rsid w:val="00692B87"/>
    <w:rsid w:val="00693223"/>
    <w:rsid w:val="00694EDB"/>
    <w:rsid w:val="00694F73"/>
    <w:rsid w:val="00695997"/>
    <w:rsid w:val="006A00A5"/>
    <w:rsid w:val="006A4ED8"/>
    <w:rsid w:val="006B0818"/>
    <w:rsid w:val="006B0DCF"/>
    <w:rsid w:val="006B1028"/>
    <w:rsid w:val="006B5969"/>
    <w:rsid w:val="006B6056"/>
    <w:rsid w:val="006B6293"/>
    <w:rsid w:val="006B6F63"/>
    <w:rsid w:val="006B71E6"/>
    <w:rsid w:val="006B7784"/>
    <w:rsid w:val="006C1D0B"/>
    <w:rsid w:val="006C3C6C"/>
    <w:rsid w:val="006C4006"/>
    <w:rsid w:val="006C4807"/>
    <w:rsid w:val="006C5469"/>
    <w:rsid w:val="006C5D37"/>
    <w:rsid w:val="006D12C3"/>
    <w:rsid w:val="006D22D6"/>
    <w:rsid w:val="006D33B8"/>
    <w:rsid w:val="006D4011"/>
    <w:rsid w:val="006D42EF"/>
    <w:rsid w:val="006D4486"/>
    <w:rsid w:val="006D4F92"/>
    <w:rsid w:val="006D6580"/>
    <w:rsid w:val="006E1183"/>
    <w:rsid w:val="006E1E08"/>
    <w:rsid w:val="006E2963"/>
    <w:rsid w:val="006E4BFB"/>
    <w:rsid w:val="006E4CB5"/>
    <w:rsid w:val="006E51C9"/>
    <w:rsid w:val="006E5A26"/>
    <w:rsid w:val="006E5F74"/>
    <w:rsid w:val="006E647A"/>
    <w:rsid w:val="006E6C03"/>
    <w:rsid w:val="006F06E2"/>
    <w:rsid w:val="006F1302"/>
    <w:rsid w:val="006F2198"/>
    <w:rsid w:val="006F319F"/>
    <w:rsid w:val="006F3352"/>
    <w:rsid w:val="006F3C67"/>
    <w:rsid w:val="006F7BB7"/>
    <w:rsid w:val="006F7FA2"/>
    <w:rsid w:val="00700297"/>
    <w:rsid w:val="00700B27"/>
    <w:rsid w:val="007029BA"/>
    <w:rsid w:val="00702B7C"/>
    <w:rsid w:val="00703054"/>
    <w:rsid w:val="007036DF"/>
    <w:rsid w:val="00706244"/>
    <w:rsid w:val="00706625"/>
    <w:rsid w:val="00710110"/>
    <w:rsid w:val="00712FF2"/>
    <w:rsid w:val="007136B0"/>
    <w:rsid w:val="00713C9A"/>
    <w:rsid w:val="00714A6C"/>
    <w:rsid w:val="00715733"/>
    <w:rsid w:val="007167B9"/>
    <w:rsid w:val="00717E9F"/>
    <w:rsid w:val="00722582"/>
    <w:rsid w:val="00723C26"/>
    <w:rsid w:val="007241E5"/>
    <w:rsid w:val="00725FA6"/>
    <w:rsid w:val="00726A87"/>
    <w:rsid w:val="00730918"/>
    <w:rsid w:val="00730B39"/>
    <w:rsid w:val="007337EE"/>
    <w:rsid w:val="00734515"/>
    <w:rsid w:val="00735911"/>
    <w:rsid w:val="00735E27"/>
    <w:rsid w:val="00740921"/>
    <w:rsid w:val="00744DD6"/>
    <w:rsid w:val="00745563"/>
    <w:rsid w:val="00753EEF"/>
    <w:rsid w:val="00755639"/>
    <w:rsid w:val="00756CD3"/>
    <w:rsid w:val="00757C6C"/>
    <w:rsid w:val="00760625"/>
    <w:rsid w:val="00761373"/>
    <w:rsid w:val="00762909"/>
    <w:rsid w:val="00763AA1"/>
    <w:rsid w:val="00764718"/>
    <w:rsid w:val="0076690B"/>
    <w:rsid w:val="00767513"/>
    <w:rsid w:val="007737CF"/>
    <w:rsid w:val="0077482E"/>
    <w:rsid w:val="00775069"/>
    <w:rsid w:val="0077577A"/>
    <w:rsid w:val="00775DB6"/>
    <w:rsid w:val="007770B2"/>
    <w:rsid w:val="00781EFB"/>
    <w:rsid w:val="00782CAA"/>
    <w:rsid w:val="00782D9E"/>
    <w:rsid w:val="00782FFB"/>
    <w:rsid w:val="00784EF4"/>
    <w:rsid w:val="007864B6"/>
    <w:rsid w:val="00786E80"/>
    <w:rsid w:val="007873DB"/>
    <w:rsid w:val="007874C9"/>
    <w:rsid w:val="00791F4B"/>
    <w:rsid w:val="007952B0"/>
    <w:rsid w:val="00795679"/>
    <w:rsid w:val="007959A7"/>
    <w:rsid w:val="00795FC0"/>
    <w:rsid w:val="0079731C"/>
    <w:rsid w:val="00797333"/>
    <w:rsid w:val="00797616"/>
    <w:rsid w:val="007A041A"/>
    <w:rsid w:val="007A0C00"/>
    <w:rsid w:val="007A1315"/>
    <w:rsid w:val="007A1B6D"/>
    <w:rsid w:val="007A1CC0"/>
    <w:rsid w:val="007A1FB6"/>
    <w:rsid w:val="007A2547"/>
    <w:rsid w:val="007A36E8"/>
    <w:rsid w:val="007A3DD4"/>
    <w:rsid w:val="007A3F65"/>
    <w:rsid w:val="007A5E23"/>
    <w:rsid w:val="007A6D5C"/>
    <w:rsid w:val="007A7D9D"/>
    <w:rsid w:val="007A7E62"/>
    <w:rsid w:val="007B160F"/>
    <w:rsid w:val="007B24B1"/>
    <w:rsid w:val="007B6F07"/>
    <w:rsid w:val="007B6F97"/>
    <w:rsid w:val="007B6FEF"/>
    <w:rsid w:val="007B736C"/>
    <w:rsid w:val="007C0A1E"/>
    <w:rsid w:val="007C0F67"/>
    <w:rsid w:val="007C14E6"/>
    <w:rsid w:val="007C26DB"/>
    <w:rsid w:val="007C37B2"/>
    <w:rsid w:val="007C687E"/>
    <w:rsid w:val="007C7A77"/>
    <w:rsid w:val="007C7F20"/>
    <w:rsid w:val="007D5D58"/>
    <w:rsid w:val="007D6123"/>
    <w:rsid w:val="007D630D"/>
    <w:rsid w:val="007D7599"/>
    <w:rsid w:val="007E20E6"/>
    <w:rsid w:val="007E2109"/>
    <w:rsid w:val="007E2458"/>
    <w:rsid w:val="007E2B9D"/>
    <w:rsid w:val="007E3DB7"/>
    <w:rsid w:val="007E4813"/>
    <w:rsid w:val="007E5191"/>
    <w:rsid w:val="007E66AE"/>
    <w:rsid w:val="007E7FEE"/>
    <w:rsid w:val="007F0F2C"/>
    <w:rsid w:val="007F1048"/>
    <w:rsid w:val="007F3B9F"/>
    <w:rsid w:val="007F4816"/>
    <w:rsid w:val="007F488E"/>
    <w:rsid w:val="007F4DC6"/>
    <w:rsid w:val="007F539C"/>
    <w:rsid w:val="007F72E1"/>
    <w:rsid w:val="00800965"/>
    <w:rsid w:val="00802938"/>
    <w:rsid w:val="0080661F"/>
    <w:rsid w:val="00810606"/>
    <w:rsid w:val="008114F5"/>
    <w:rsid w:val="0082012A"/>
    <w:rsid w:val="00820B3E"/>
    <w:rsid w:val="00821962"/>
    <w:rsid w:val="00825981"/>
    <w:rsid w:val="00826723"/>
    <w:rsid w:val="008268B2"/>
    <w:rsid w:val="008272A3"/>
    <w:rsid w:val="008274F6"/>
    <w:rsid w:val="00834448"/>
    <w:rsid w:val="00834725"/>
    <w:rsid w:val="00834C89"/>
    <w:rsid w:val="00834E7A"/>
    <w:rsid w:val="00836600"/>
    <w:rsid w:val="00841198"/>
    <w:rsid w:val="00845D70"/>
    <w:rsid w:val="008471BD"/>
    <w:rsid w:val="0085028D"/>
    <w:rsid w:val="00851CB7"/>
    <w:rsid w:val="00852566"/>
    <w:rsid w:val="00852BC9"/>
    <w:rsid w:val="00852BF0"/>
    <w:rsid w:val="00853DD2"/>
    <w:rsid w:val="008552F7"/>
    <w:rsid w:val="00855707"/>
    <w:rsid w:val="00855716"/>
    <w:rsid w:val="00855AC0"/>
    <w:rsid w:val="008564D4"/>
    <w:rsid w:val="00856CF3"/>
    <w:rsid w:val="00856DF0"/>
    <w:rsid w:val="0085768E"/>
    <w:rsid w:val="00860F50"/>
    <w:rsid w:val="008652AC"/>
    <w:rsid w:val="008658E1"/>
    <w:rsid w:val="00866D24"/>
    <w:rsid w:val="00867659"/>
    <w:rsid w:val="00870A2E"/>
    <w:rsid w:val="0087168E"/>
    <w:rsid w:val="00872610"/>
    <w:rsid w:val="00874E2C"/>
    <w:rsid w:val="00875181"/>
    <w:rsid w:val="00876763"/>
    <w:rsid w:val="0087691D"/>
    <w:rsid w:val="00883025"/>
    <w:rsid w:val="0088361A"/>
    <w:rsid w:val="008836D7"/>
    <w:rsid w:val="008851E1"/>
    <w:rsid w:val="00887863"/>
    <w:rsid w:val="008906AE"/>
    <w:rsid w:val="008907AA"/>
    <w:rsid w:val="00890DF3"/>
    <w:rsid w:val="0089292A"/>
    <w:rsid w:val="00892EC1"/>
    <w:rsid w:val="00895046"/>
    <w:rsid w:val="0089673E"/>
    <w:rsid w:val="00896E5B"/>
    <w:rsid w:val="00897274"/>
    <w:rsid w:val="008A0258"/>
    <w:rsid w:val="008A0B50"/>
    <w:rsid w:val="008A4A65"/>
    <w:rsid w:val="008A4EDE"/>
    <w:rsid w:val="008A58CF"/>
    <w:rsid w:val="008A624C"/>
    <w:rsid w:val="008A67CD"/>
    <w:rsid w:val="008A76AC"/>
    <w:rsid w:val="008B0052"/>
    <w:rsid w:val="008B01F5"/>
    <w:rsid w:val="008B56B6"/>
    <w:rsid w:val="008B70D5"/>
    <w:rsid w:val="008B7145"/>
    <w:rsid w:val="008B7396"/>
    <w:rsid w:val="008C003F"/>
    <w:rsid w:val="008C07F1"/>
    <w:rsid w:val="008C2688"/>
    <w:rsid w:val="008C573C"/>
    <w:rsid w:val="008D1090"/>
    <w:rsid w:val="008D11BA"/>
    <w:rsid w:val="008D190E"/>
    <w:rsid w:val="008D1B70"/>
    <w:rsid w:val="008D3507"/>
    <w:rsid w:val="008D4BED"/>
    <w:rsid w:val="008D6256"/>
    <w:rsid w:val="008D62C3"/>
    <w:rsid w:val="008D745F"/>
    <w:rsid w:val="008D757D"/>
    <w:rsid w:val="008E14FB"/>
    <w:rsid w:val="008E2603"/>
    <w:rsid w:val="008E27BA"/>
    <w:rsid w:val="008E3081"/>
    <w:rsid w:val="008E3E18"/>
    <w:rsid w:val="008E7665"/>
    <w:rsid w:val="008F36E7"/>
    <w:rsid w:val="008F37BF"/>
    <w:rsid w:val="008F4081"/>
    <w:rsid w:val="008F47DA"/>
    <w:rsid w:val="008F4F83"/>
    <w:rsid w:val="008F5B08"/>
    <w:rsid w:val="008F60B1"/>
    <w:rsid w:val="008F6E85"/>
    <w:rsid w:val="008F6FEB"/>
    <w:rsid w:val="008F741A"/>
    <w:rsid w:val="009041C0"/>
    <w:rsid w:val="009045E7"/>
    <w:rsid w:val="00904D71"/>
    <w:rsid w:val="0090693F"/>
    <w:rsid w:val="00907409"/>
    <w:rsid w:val="00907D96"/>
    <w:rsid w:val="0091029F"/>
    <w:rsid w:val="009121A4"/>
    <w:rsid w:val="009123BF"/>
    <w:rsid w:val="0091574D"/>
    <w:rsid w:val="00916871"/>
    <w:rsid w:val="00920BD4"/>
    <w:rsid w:val="00921A53"/>
    <w:rsid w:val="009234F4"/>
    <w:rsid w:val="00924F0A"/>
    <w:rsid w:val="00926171"/>
    <w:rsid w:val="00930592"/>
    <w:rsid w:val="00930D94"/>
    <w:rsid w:val="00933F96"/>
    <w:rsid w:val="009360BF"/>
    <w:rsid w:val="00936734"/>
    <w:rsid w:val="00942E3D"/>
    <w:rsid w:val="0094371E"/>
    <w:rsid w:val="0094452F"/>
    <w:rsid w:val="00944CC6"/>
    <w:rsid w:val="00945354"/>
    <w:rsid w:val="00950617"/>
    <w:rsid w:val="009519AF"/>
    <w:rsid w:val="00955D7D"/>
    <w:rsid w:val="00956F1D"/>
    <w:rsid w:val="009610BE"/>
    <w:rsid w:val="0096298F"/>
    <w:rsid w:val="00963CE7"/>
    <w:rsid w:val="00964893"/>
    <w:rsid w:val="00966E3F"/>
    <w:rsid w:val="00970582"/>
    <w:rsid w:val="00970767"/>
    <w:rsid w:val="00970BB0"/>
    <w:rsid w:val="00970ECC"/>
    <w:rsid w:val="00970F96"/>
    <w:rsid w:val="00971CEB"/>
    <w:rsid w:val="009720EF"/>
    <w:rsid w:val="009721E5"/>
    <w:rsid w:val="0097255A"/>
    <w:rsid w:val="00972C96"/>
    <w:rsid w:val="0097561C"/>
    <w:rsid w:val="00975FF5"/>
    <w:rsid w:val="00980EFC"/>
    <w:rsid w:val="009813B6"/>
    <w:rsid w:val="0098212F"/>
    <w:rsid w:val="009846D4"/>
    <w:rsid w:val="00986101"/>
    <w:rsid w:val="00986820"/>
    <w:rsid w:val="0099035A"/>
    <w:rsid w:val="00990B20"/>
    <w:rsid w:val="009937C5"/>
    <w:rsid w:val="0099385D"/>
    <w:rsid w:val="00996176"/>
    <w:rsid w:val="00997428"/>
    <w:rsid w:val="009A0D62"/>
    <w:rsid w:val="009A1D0A"/>
    <w:rsid w:val="009A2F41"/>
    <w:rsid w:val="009A3813"/>
    <w:rsid w:val="009A393C"/>
    <w:rsid w:val="009A46B9"/>
    <w:rsid w:val="009A557F"/>
    <w:rsid w:val="009A6474"/>
    <w:rsid w:val="009A65C3"/>
    <w:rsid w:val="009A6CD3"/>
    <w:rsid w:val="009B136B"/>
    <w:rsid w:val="009B1C32"/>
    <w:rsid w:val="009B240E"/>
    <w:rsid w:val="009B3B59"/>
    <w:rsid w:val="009B4236"/>
    <w:rsid w:val="009B5C64"/>
    <w:rsid w:val="009B5D0D"/>
    <w:rsid w:val="009B65BB"/>
    <w:rsid w:val="009B6B60"/>
    <w:rsid w:val="009B71D0"/>
    <w:rsid w:val="009B775A"/>
    <w:rsid w:val="009C3C5A"/>
    <w:rsid w:val="009C43B1"/>
    <w:rsid w:val="009C7256"/>
    <w:rsid w:val="009D21B9"/>
    <w:rsid w:val="009D2D01"/>
    <w:rsid w:val="009D4606"/>
    <w:rsid w:val="009D4CB1"/>
    <w:rsid w:val="009D60C9"/>
    <w:rsid w:val="009D612C"/>
    <w:rsid w:val="009D7C0A"/>
    <w:rsid w:val="009E0766"/>
    <w:rsid w:val="009E1CFC"/>
    <w:rsid w:val="009E6D5F"/>
    <w:rsid w:val="009F0EF4"/>
    <w:rsid w:val="009F329C"/>
    <w:rsid w:val="009F4CDC"/>
    <w:rsid w:val="009F523A"/>
    <w:rsid w:val="009F5464"/>
    <w:rsid w:val="009F5618"/>
    <w:rsid w:val="009F5E78"/>
    <w:rsid w:val="00A00E92"/>
    <w:rsid w:val="00A0269C"/>
    <w:rsid w:val="00A0395E"/>
    <w:rsid w:val="00A06FB6"/>
    <w:rsid w:val="00A07CE8"/>
    <w:rsid w:val="00A1093D"/>
    <w:rsid w:val="00A11C6F"/>
    <w:rsid w:val="00A13AFF"/>
    <w:rsid w:val="00A15391"/>
    <w:rsid w:val="00A16243"/>
    <w:rsid w:val="00A176E1"/>
    <w:rsid w:val="00A17CD0"/>
    <w:rsid w:val="00A2056B"/>
    <w:rsid w:val="00A2170B"/>
    <w:rsid w:val="00A22013"/>
    <w:rsid w:val="00A24331"/>
    <w:rsid w:val="00A251CD"/>
    <w:rsid w:val="00A272B6"/>
    <w:rsid w:val="00A278D3"/>
    <w:rsid w:val="00A30B94"/>
    <w:rsid w:val="00A312F3"/>
    <w:rsid w:val="00A339E3"/>
    <w:rsid w:val="00A35AE5"/>
    <w:rsid w:val="00A36870"/>
    <w:rsid w:val="00A377CA"/>
    <w:rsid w:val="00A37860"/>
    <w:rsid w:val="00A413A2"/>
    <w:rsid w:val="00A425BD"/>
    <w:rsid w:val="00A426BA"/>
    <w:rsid w:val="00A429DC"/>
    <w:rsid w:val="00A4403C"/>
    <w:rsid w:val="00A45031"/>
    <w:rsid w:val="00A452C9"/>
    <w:rsid w:val="00A45913"/>
    <w:rsid w:val="00A46C7F"/>
    <w:rsid w:val="00A47BB7"/>
    <w:rsid w:val="00A52CE4"/>
    <w:rsid w:val="00A5419F"/>
    <w:rsid w:val="00A57F65"/>
    <w:rsid w:val="00A609FC"/>
    <w:rsid w:val="00A60C6D"/>
    <w:rsid w:val="00A60FB0"/>
    <w:rsid w:val="00A623F2"/>
    <w:rsid w:val="00A62EC7"/>
    <w:rsid w:val="00A633D8"/>
    <w:rsid w:val="00A6443A"/>
    <w:rsid w:val="00A64829"/>
    <w:rsid w:val="00A664BD"/>
    <w:rsid w:val="00A6654B"/>
    <w:rsid w:val="00A734FC"/>
    <w:rsid w:val="00A73665"/>
    <w:rsid w:val="00A750BD"/>
    <w:rsid w:val="00A757F6"/>
    <w:rsid w:val="00A7595F"/>
    <w:rsid w:val="00A75DC6"/>
    <w:rsid w:val="00A76F7D"/>
    <w:rsid w:val="00A80883"/>
    <w:rsid w:val="00A80E62"/>
    <w:rsid w:val="00A81725"/>
    <w:rsid w:val="00A828EB"/>
    <w:rsid w:val="00A8438E"/>
    <w:rsid w:val="00A8506D"/>
    <w:rsid w:val="00A90457"/>
    <w:rsid w:val="00A93335"/>
    <w:rsid w:val="00A95A8C"/>
    <w:rsid w:val="00A97352"/>
    <w:rsid w:val="00AA1B08"/>
    <w:rsid w:val="00AA1F70"/>
    <w:rsid w:val="00AA25FB"/>
    <w:rsid w:val="00AA31CE"/>
    <w:rsid w:val="00AA3C88"/>
    <w:rsid w:val="00AA4461"/>
    <w:rsid w:val="00AA4D8B"/>
    <w:rsid w:val="00AA5C43"/>
    <w:rsid w:val="00AB1244"/>
    <w:rsid w:val="00AB2A44"/>
    <w:rsid w:val="00AB3060"/>
    <w:rsid w:val="00AB4681"/>
    <w:rsid w:val="00AB6C43"/>
    <w:rsid w:val="00AB7527"/>
    <w:rsid w:val="00AC1CA7"/>
    <w:rsid w:val="00AC4463"/>
    <w:rsid w:val="00AC5BE2"/>
    <w:rsid w:val="00AC64B5"/>
    <w:rsid w:val="00AC66AF"/>
    <w:rsid w:val="00AC6DAA"/>
    <w:rsid w:val="00AC736D"/>
    <w:rsid w:val="00AD0485"/>
    <w:rsid w:val="00AD123F"/>
    <w:rsid w:val="00AD28D5"/>
    <w:rsid w:val="00AD3256"/>
    <w:rsid w:val="00AE21CE"/>
    <w:rsid w:val="00AE2F0D"/>
    <w:rsid w:val="00AE3421"/>
    <w:rsid w:val="00AE3CA9"/>
    <w:rsid w:val="00AE4C5C"/>
    <w:rsid w:val="00AE64EF"/>
    <w:rsid w:val="00AE79BF"/>
    <w:rsid w:val="00AF01D3"/>
    <w:rsid w:val="00AF0461"/>
    <w:rsid w:val="00AF083D"/>
    <w:rsid w:val="00AF5880"/>
    <w:rsid w:val="00B00809"/>
    <w:rsid w:val="00B02EEF"/>
    <w:rsid w:val="00B031EC"/>
    <w:rsid w:val="00B03A15"/>
    <w:rsid w:val="00B04EA4"/>
    <w:rsid w:val="00B05B99"/>
    <w:rsid w:val="00B066F6"/>
    <w:rsid w:val="00B13873"/>
    <w:rsid w:val="00B15A3D"/>
    <w:rsid w:val="00B15E94"/>
    <w:rsid w:val="00B162D3"/>
    <w:rsid w:val="00B1774E"/>
    <w:rsid w:val="00B20D48"/>
    <w:rsid w:val="00B21AB1"/>
    <w:rsid w:val="00B24411"/>
    <w:rsid w:val="00B24939"/>
    <w:rsid w:val="00B277FB"/>
    <w:rsid w:val="00B2781D"/>
    <w:rsid w:val="00B27D24"/>
    <w:rsid w:val="00B27EC8"/>
    <w:rsid w:val="00B30550"/>
    <w:rsid w:val="00B335D4"/>
    <w:rsid w:val="00B337D3"/>
    <w:rsid w:val="00B33AD9"/>
    <w:rsid w:val="00B33C23"/>
    <w:rsid w:val="00B341AF"/>
    <w:rsid w:val="00B3686B"/>
    <w:rsid w:val="00B41A6C"/>
    <w:rsid w:val="00B4288E"/>
    <w:rsid w:val="00B42DC8"/>
    <w:rsid w:val="00B43DAF"/>
    <w:rsid w:val="00B467E1"/>
    <w:rsid w:val="00B46FEC"/>
    <w:rsid w:val="00B4740D"/>
    <w:rsid w:val="00B475E6"/>
    <w:rsid w:val="00B47D20"/>
    <w:rsid w:val="00B47E45"/>
    <w:rsid w:val="00B53778"/>
    <w:rsid w:val="00B53DB6"/>
    <w:rsid w:val="00B550EB"/>
    <w:rsid w:val="00B55394"/>
    <w:rsid w:val="00B5696D"/>
    <w:rsid w:val="00B570A8"/>
    <w:rsid w:val="00B63459"/>
    <w:rsid w:val="00B636F0"/>
    <w:rsid w:val="00B63F8C"/>
    <w:rsid w:val="00B64C41"/>
    <w:rsid w:val="00B65EBB"/>
    <w:rsid w:val="00B67995"/>
    <w:rsid w:val="00B70118"/>
    <w:rsid w:val="00B71D6F"/>
    <w:rsid w:val="00B72576"/>
    <w:rsid w:val="00B769A7"/>
    <w:rsid w:val="00B81186"/>
    <w:rsid w:val="00B818FE"/>
    <w:rsid w:val="00B82045"/>
    <w:rsid w:val="00B82CF1"/>
    <w:rsid w:val="00B82E94"/>
    <w:rsid w:val="00B8318E"/>
    <w:rsid w:val="00B83349"/>
    <w:rsid w:val="00B83AFE"/>
    <w:rsid w:val="00B83D82"/>
    <w:rsid w:val="00B84B40"/>
    <w:rsid w:val="00B858F5"/>
    <w:rsid w:val="00B86390"/>
    <w:rsid w:val="00B868BF"/>
    <w:rsid w:val="00B90544"/>
    <w:rsid w:val="00B96AE1"/>
    <w:rsid w:val="00B97439"/>
    <w:rsid w:val="00BA12D6"/>
    <w:rsid w:val="00BA2768"/>
    <w:rsid w:val="00BA316A"/>
    <w:rsid w:val="00BA3247"/>
    <w:rsid w:val="00BA4290"/>
    <w:rsid w:val="00BA43D5"/>
    <w:rsid w:val="00BA6AC3"/>
    <w:rsid w:val="00BA6FEC"/>
    <w:rsid w:val="00BA73E0"/>
    <w:rsid w:val="00BA7D58"/>
    <w:rsid w:val="00BB0511"/>
    <w:rsid w:val="00BB3CF6"/>
    <w:rsid w:val="00BB4182"/>
    <w:rsid w:val="00BC13CF"/>
    <w:rsid w:val="00BC316C"/>
    <w:rsid w:val="00BC31E1"/>
    <w:rsid w:val="00BD21BD"/>
    <w:rsid w:val="00BD4A73"/>
    <w:rsid w:val="00BD5A6E"/>
    <w:rsid w:val="00BE0FBF"/>
    <w:rsid w:val="00BE152E"/>
    <w:rsid w:val="00BE1B77"/>
    <w:rsid w:val="00BE2B66"/>
    <w:rsid w:val="00BE2EB0"/>
    <w:rsid w:val="00BE38F9"/>
    <w:rsid w:val="00BE5269"/>
    <w:rsid w:val="00BE6479"/>
    <w:rsid w:val="00BF051B"/>
    <w:rsid w:val="00BF08F5"/>
    <w:rsid w:val="00BF2020"/>
    <w:rsid w:val="00BF422E"/>
    <w:rsid w:val="00BF51D3"/>
    <w:rsid w:val="00BF555F"/>
    <w:rsid w:val="00BF5E04"/>
    <w:rsid w:val="00BF624F"/>
    <w:rsid w:val="00C02288"/>
    <w:rsid w:val="00C02F48"/>
    <w:rsid w:val="00C03BD1"/>
    <w:rsid w:val="00C0488B"/>
    <w:rsid w:val="00C10185"/>
    <w:rsid w:val="00C11005"/>
    <w:rsid w:val="00C12C70"/>
    <w:rsid w:val="00C12F39"/>
    <w:rsid w:val="00C14A3B"/>
    <w:rsid w:val="00C16517"/>
    <w:rsid w:val="00C17C44"/>
    <w:rsid w:val="00C20CA9"/>
    <w:rsid w:val="00C231AA"/>
    <w:rsid w:val="00C25B0C"/>
    <w:rsid w:val="00C2601A"/>
    <w:rsid w:val="00C26561"/>
    <w:rsid w:val="00C2688E"/>
    <w:rsid w:val="00C27572"/>
    <w:rsid w:val="00C31A2A"/>
    <w:rsid w:val="00C31BCE"/>
    <w:rsid w:val="00C31F20"/>
    <w:rsid w:val="00C31F32"/>
    <w:rsid w:val="00C33923"/>
    <w:rsid w:val="00C34017"/>
    <w:rsid w:val="00C34AFE"/>
    <w:rsid w:val="00C35340"/>
    <w:rsid w:val="00C3574E"/>
    <w:rsid w:val="00C35867"/>
    <w:rsid w:val="00C364D7"/>
    <w:rsid w:val="00C42BFF"/>
    <w:rsid w:val="00C43362"/>
    <w:rsid w:val="00C434AA"/>
    <w:rsid w:val="00C43D17"/>
    <w:rsid w:val="00C441DC"/>
    <w:rsid w:val="00C443E7"/>
    <w:rsid w:val="00C45431"/>
    <w:rsid w:val="00C4763A"/>
    <w:rsid w:val="00C50F69"/>
    <w:rsid w:val="00C51AB6"/>
    <w:rsid w:val="00C5372A"/>
    <w:rsid w:val="00C54CEB"/>
    <w:rsid w:val="00C55218"/>
    <w:rsid w:val="00C556C3"/>
    <w:rsid w:val="00C55DD5"/>
    <w:rsid w:val="00C57169"/>
    <w:rsid w:val="00C57B52"/>
    <w:rsid w:val="00C62249"/>
    <w:rsid w:val="00C6422A"/>
    <w:rsid w:val="00C64E45"/>
    <w:rsid w:val="00C6508A"/>
    <w:rsid w:val="00C65E87"/>
    <w:rsid w:val="00C65EFF"/>
    <w:rsid w:val="00C66483"/>
    <w:rsid w:val="00C669EB"/>
    <w:rsid w:val="00C70765"/>
    <w:rsid w:val="00C70BA7"/>
    <w:rsid w:val="00C70C50"/>
    <w:rsid w:val="00C71D34"/>
    <w:rsid w:val="00C729C3"/>
    <w:rsid w:val="00C734F6"/>
    <w:rsid w:val="00C74474"/>
    <w:rsid w:val="00C76C4C"/>
    <w:rsid w:val="00C815DF"/>
    <w:rsid w:val="00C82F13"/>
    <w:rsid w:val="00C8319F"/>
    <w:rsid w:val="00C83A85"/>
    <w:rsid w:val="00C85804"/>
    <w:rsid w:val="00C86EA3"/>
    <w:rsid w:val="00C90CAB"/>
    <w:rsid w:val="00C90F60"/>
    <w:rsid w:val="00C92BC4"/>
    <w:rsid w:val="00C95231"/>
    <w:rsid w:val="00C96359"/>
    <w:rsid w:val="00CA09A4"/>
    <w:rsid w:val="00CA0DAE"/>
    <w:rsid w:val="00CA1911"/>
    <w:rsid w:val="00CA2DF2"/>
    <w:rsid w:val="00CB0131"/>
    <w:rsid w:val="00CB1B56"/>
    <w:rsid w:val="00CB4B84"/>
    <w:rsid w:val="00CB6585"/>
    <w:rsid w:val="00CB72DA"/>
    <w:rsid w:val="00CB7CFA"/>
    <w:rsid w:val="00CC4C01"/>
    <w:rsid w:val="00CC5000"/>
    <w:rsid w:val="00CC7C52"/>
    <w:rsid w:val="00CD0D83"/>
    <w:rsid w:val="00CD1FE4"/>
    <w:rsid w:val="00CD37B3"/>
    <w:rsid w:val="00CD67EE"/>
    <w:rsid w:val="00CE1063"/>
    <w:rsid w:val="00CE17FC"/>
    <w:rsid w:val="00CE18A2"/>
    <w:rsid w:val="00CE2A4E"/>
    <w:rsid w:val="00CE3E4D"/>
    <w:rsid w:val="00CE41D5"/>
    <w:rsid w:val="00CE7C70"/>
    <w:rsid w:val="00CF3797"/>
    <w:rsid w:val="00CF4777"/>
    <w:rsid w:val="00CF746A"/>
    <w:rsid w:val="00CF79F4"/>
    <w:rsid w:val="00D008E0"/>
    <w:rsid w:val="00D00F7F"/>
    <w:rsid w:val="00D035D8"/>
    <w:rsid w:val="00D03ADF"/>
    <w:rsid w:val="00D03B58"/>
    <w:rsid w:val="00D063CD"/>
    <w:rsid w:val="00D06A1B"/>
    <w:rsid w:val="00D07263"/>
    <w:rsid w:val="00D10829"/>
    <w:rsid w:val="00D116AF"/>
    <w:rsid w:val="00D1205A"/>
    <w:rsid w:val="00D13716"/>
    <w:rsid w:val="00D1506A"/>
    <w:rsid w:val="00D15E48"/>
    <w:rsid w:val="00D16C05"/>
    <w:rsid w:val="00D2090E"/>
    <w:rsid w:val="00D223BD"/>
    <w:rsid w:val="00D2244C"/>
    <w:rsid w:val="00D23D54"/>
    <w:rsid w:val="00D23F45"/>
    <w:rsid w:val="00D23F7B"/>
    <w:rsid w:val="00D2444C"/>
    <w:rsid w:val="00D24952"/>
    <w:rsid w:val="00D25C8F"/>
    <w:rsid w:val="00D265C7"/>
    <w:rsid w:val="00D269AD"/>
    <w:rsid w:val="00D3029C"/>
    <w:rsid w:val="00D307E4"/>
    <w:rsid w:val="00D30884"/>
    <w:rsid w:val="00D30A05"/>
    <w:rsid w:val="00D30B34"/>
    <w:rsid w:val="00D3212F"/>
    <w:rsid w:val="00D323C7"/>
    <w:rsid w:val="00D325EA"/>
    <w:rsid w:val="00D332E4"/>
    <w:rsid w:val="00D3332E"/>
    <w:rsid w:val="00D35219"/>
    <w:rsid w:val="00D35EEE"/>
    <w:rsid w:val="00D37106"/>
    <w:rsid w:val="00D37825"/>
    <w:rsid w:val="00D40091"/>
    <w:rsid w:val="00D402D9"/>
    <w:rsid w:val="00D4158A"/>
    <w:rsid w:val="00D44BDA"/>
    <w:rsid w:val="00D4550E"/>
    <w:rsid w:val="00D45FD3"/>
    <w:rsid w:val="00D47C06"/>
    <w:rsid w:val="00D47CF8"/>
    <w:rsid w:val="00D521B2"/>
    <w:rsid w:val="00D5541E"/>
    <w:rsid w:val="00D619A5"/>
    <w:rsid w:val="00D6346A"/>
    <w:rsid w:val="00D640B9"/>
    <w:rsid w:val="00D70861"/>
    <w:rsid w:val="00D76A35"/>
    <w:rsid w:val="00D829D5"/>
    <w:rsid w:val="00D8416F"/>
    <w:rsid w:val="00D845BF"/>
    <w:rsid w:val="00D84867"/>
    <w:rsid w:val="00D85DE3"/>
    <w:rsid w:val="00D862AC"/>
    <w:rsid w:val="00D86625"/>
    <w:rsid w:val="00D86A18"/>
    <w:rsid w:val="00D90B46"/>
    <w:rsid w:val="00D93440"/>
    <w:rsid w:val="00D93531"/>
    <w:rsid w:val="00D93BDD"/>
    <w:rsid w:val="00D971AC"/>
    <w:rsid w:val="00D97ADC"/>
    <w:rsid w:val="00D97F5E"/>
    <w:rsid w:val="00DA0E3A"/>
    <w:rsid w:val="00DA1F2A"/>
    <w:rsid w:val="00DA532B"/>
    <w:rsid w:val="00DA5F00"/>
    <w:rsid w:val="00DA64E2"/>
    <w:rsid w:val="00DA6891"/>
    <w:rsid w:val="00DA70A3"/>
    <w:rsid w:val="00DA740E"/>
    <w:rsid w:val="00DA7FC0"/>
    <w:rsid w:val="00DB352A"/>
    <w:rsid w:val="00DB391D"/>
    <w:rsid w:val="00DB4243"/>
    <w:rsid w:val="00DB4D2B"/>
    <w:rsid w:val="00DB4DC5"/>
    <w:rsid w:val="00DB56D1"/>
    <w:rsid w:val="00DB7AD1"/>
    <w:rsid w:val="00DC4D60"/>
    <w:rsid w:val="00DD0345"/>
    <w:rsid w:val="00DD04A4"/>
    <w:rsid w:val="00DD0586"/>
    <w:rsid w:val="00DD080D"/>
    <w:rsid w:val="00DD177E"/>
    <w:rsid w:val="00DD540F"/>
    <w:rsid w:val="00DD56DE"/>
    <w:rsid w:val="00DD56EB"/>
    <w:rsid w:val="00DD59AC"/>
    <w:rsid w:val="00DD5CEF"/>
    <w:rsid w:val="00DD7D86"/>
    <w:rsid w:val="00DE0092"/>
    <w:rsid w:val="00DE03A3"/>
    <w:rsid w:val="00DE0A3B"/>
    <w:rsid w:val="00DE16B9"/>
    <w:rsid w:val="00DE1C85"/>
    <w:rsid w:val="00DE2A71"/>
    <w:rsid w:val="00DE593F"/>
    <w:rsid w:val="00DE6250"/>
    <w:rsid w:val="00DE6692"/>
    <w:rsid w:val="00DF0FC4"/>
    <w:rsid w:val="00DF23A9"/>
    <w:rsid w:val="00DF2D3E"/>
    <w:rsid w:val="00DF35B5"/>
    <w:rsid w:val="00DF500A"/>
    <w:rsid w:val="00DF56F5"/>
    <w:rsid w:val="00DF7113"/>
    <w:rsid w:val="00E010D5"/>
    <w:rsid w:val="00E01717"/>
    <w:rsid w:val="00E02131"/>
    <w:rsid w:val="00E039C5"/>
    <w:rsid w:val="00E046A4"/>
    <w:rsid w:val="00E05AEC"/>
    <w:rsid w:val="00E064C1"/>
    <w:rsid w:val="00E07C6D"/>
    <w:rsid w:val="00E11AB0"/>
    <w:rsid w:val="00E125DB"/>
    <w:rsid w:val="00E12927"/>
    <w:rsid w:val="00E12E19"/>
    <w:rsid w:val="00E137EE"/>
    <w:rsid w:val="00E137F1"/>
    <w:rsid w:val="00E14E4A"/>
    <w:rsid w:val="00E14ECE"/>
    <w:rsid w:val="00E161F3"/>
    <w:rsid w:val="00E16310"/>
    <w:rsid w:val="00E17F2D"/>
    <w:rsid w:val="00E205FB"/>
    <w:rsid w:val="00E20FCF"/>
    <w:rsid w:val="00E22F84"/>
    <w:rsid w:val="00E2395D"/>
    <w:rsid w:val="00E32557"/>
    <w:rsid w:val="00E32A59"/>
    <w:rsid w:val="00E332BA"/>
    <w:rsid w:val="00E3722E"/>
    <w:rsid w:val="00E37F21"/>
    <w:rsid w:val="00E412F3"/>
    <w:rsid w:val="00E42167"/>
    <w:rsid w:val="00E54617"/>
    <w:rsid w:val="00E55BB9"/>
    <w:rsid w:val="00E57E31"/>
    <w:rsid w:val="00E61E6E"/>
    <w:rsid w:val="00E627E0"/>
    <w:rsid w:val="00E6362B"/>
    <w:rsid w:val="00E645DE"/>
    <w:rsid w:val="00E663D5"/>
    <w:rsid w:val="00E71E8F"/>
    <w:rsid w:val="00E71EBC"/>
    <w:rsid w:val="00E73780"/>
    <w:rsid w:val="00E73890"/>
    <w:rsid w:val="00E73DD8"/>
    <w:rsid w:val="00E744C1"/>
    <w:rsid w:val="00E77730"/>
    <w:rsid w:val="00E80B25"/>
    <w:rsid w:val="00E81B06"/>
    <w:rsid w:val="00E84DC4"/>
    <w:rsid w:val="00E90042"/>
    <w:rsid w:val="00E904C5"/>
    <w:rsid w:val="00E922A6"/>
    <w:rsid w:val="00E92A75"/>
    <w:rsid w:val="00E93929"/>
    <w:rsid w:val="00E95BEF"/>
    <w:rsid w:val="00E96D73"/>
    <w:rsid w:val="00E97B4C"/>
    <w:rsid w:val="00EA08DF"/>
    <w:rsid w:val="00EA23BF"/>
    <w:rsid w:val="00EA3429"/>
    <w:rsid w:val="00EA5471"/>
    <w:rsid w:val="00EA6E3C"/>
    <w:rsid w:val="00EB2957"/>
    <w:rsid w:val="00EB3479"/>
    <w:rsid w:val="00EB5CC9"/>
    <w:rsid w:val="00EB5FA6"/>
    <w:rsid w:val="00EB6CE6"/>
    <w:rsid w:val="00EB7DD0"/>
    <w:rsid w:val="00EC02BB"/>
    <w:rsid w:val="00EC2A80"/>
    <w:rsid w:val="00EC56EE"/>
    <w:rsid w:val="00EC5A6E"/>
    <w:rsid w:val="00EC7EA6"/>
    <w:rsid w:val="00ED224F"/>
    <w:rsid w:val="00ED307C"/>
    <w:rsid w:val="00ED4168"/>
    <w:rsid w:val="00ED551D"/>
    <w:rsid w:val="00ED6718"/>
    <w:rsid w:val="00ED7A15"/>
    <w:rsid w:val="00ED7BED"/>
    <w:rsid w:val="00EE1828"/>
    <w:rsid w:val="00EE4DF1"/>
    <w:rsid w:val="00EE5821"/>
    <w:rsid w:val="00EF33E7"/>
    <w:rsid w:val="00EF3A77"/>
    <w:rsid w:val="00EF3D67"/>
    <w:rsid w:val="00EF4DE5"/>
    <w:rsid w:val="00EF515D"/>
    <w:rsid w:val="00EF5856"/>
    <w:rsid w:val="00EF5A17"/>
    <w:rsid w:val="00EF5A5B"/>
    <w:rsid w:val="00EF5B55"/>
    <w:rsid w:val="00EF6702"/>
    <w:rsid w:val="00EF7F90"/>
    <w:rsid w:val="00F00B8B"/>
    <w:rsid w:val="00F02058"/>
    <w:rsid w:val="00F02352"/>
    <w:rsid w:val="00F0367E"/>
    <w:rsid w:val="00F03933"/>
    <w:rsid w:val="00F05B6B"/>
    <w:rsid w:val="00F075D8"/>
    <w:rsid w:val="00F139C3"/>
    <w:rsid w:val="00F14F03"/>
    <w:rsid w:val="00F15AFC"/>
    <w:rsid w:val="00F15B59"/>
    <w:rsid w:val="00F166B5"/>
    <w:rsid w:val="00F17F53"/>
    <w:rsid w:val="00F20DD6"/>
    <w:rsid w:val="00F2319A"/>
    <w:rsid w:val="00F24AEE"/>
    <w:rsid w:val="00F2504C"/>
    <w:rsid w:val="00F27AC2"/>
    <w:rsid w:val="00F3164E"/>
    <w:rsid w:val="00F3175B"/>
    <w:rsid w:val="00F33C0F"/>
    <w:rsid w:val="00F34E1D"/>
    <w:rsid w:val="00F37362"/>
    <w:rsid w:val="00F424D3"/>
    <w:rsid w:val="00F4261A"/>
    <w:rsid w:val="00F427A1"/>
    <w:rsid w:val="00F427E7"/>
    <w:rsid w:val="00F428BE"/>
    <w:rsid w:val="00F43894"/>
    <w:rsid w:val="00F455B3"/>
    <w:rsid w:val="00F46666"/>
    <w:rsid w:val="00F47F90"/>
    <w:rsid w:val="00F508C9"/>
    <w:rsid w:val="00F50C6A"/>
    <w:rsid w:val="00F5445C"/>
    <w:rsid w:val="00F57896"/>
    <w:rsid w:val="00F62F31"/>
    <w:rsid w:val="00F62F7B"/>
    <w:rsid w:val="00F64AF3"/>
    <w:rsid w:val="00F657E5"/>
    <w:rsid w:val="00F66D3D"/>
    <w:rsid w:val="00F678D0"/>
    <w:rsid w:val="00F67BCA"/>
    <w:rsid w:val="00F71032"/>
    <w:rsid w:val="00F724DA"/>
    <w:rsid w:val="00F72B6E"/>
    <w:rsid w:val="00F72E55"/>
    <w:rsid w:val="00F742F4"/>
    <w:rsid w:val="00F743C1"/>
    <w:rsid w:val="00F749FB"/>
    <w:rsid w:val="00F77130"/>
    <w:rsid w:val="00F77459"/>
    <w:rsid w:val="00F775A6"/>
    <w:rsid w:val="00F77800"/>
    <w:rsid w:val="00F801F7"/>
    <w:rsid w:val="00F80298"/>
    <w:rsid w:val="00F87BE4"/>
    <w:rsid w:val="00F92144"/>
    <w:rsid w:val="00F92AD4"/>
    <w:rsid w:val="00F9416E"/>
    <w:rsid w:val="00F9424C"/>
    <w:rsid w:val="00F94FBC"/>
    <w:rsid w:val="00F96664"/>
    <w:rsid w:val="00F9779D"/>
    <w:rsid w:val="00FA09C1"/>
    <w:rsid w:val="00FA165A"/>
    <w:rsid w:val="00FA62C7"/>
    <w:rsid w:val="00FB10C8"/>
    <w:rsid w:val="00FB20CD"/>
    <w:rsid w:val="00FB2821"/>
    <w:rsid w:val="00FB292F"/>
    <w:rsid w:val="00FB3267"/>
    <w:rsid w:val="00FB3A10"/>
    <w:rsid w:val="00FB3BDC"/>
    <w:rsid w:val="00FB5269"/>
    <w:rsid w:val="00FB756E"/>
    <w:rsid w:val="00FC065E"/>
    <w:rsid w:val="00FC2C21"/>
    <w:rsid w:val="00FC3186"/>
    <w:rsid w:val="00FC3A2F"/>
    <w:rsid w:val="00FC45CF"/>
    <w:rsid w:val="00FC48E7"/>
    <w:rsid w:val="00FD0FE3"/>
    <w:rsid w:val="00FD1405"/>
    <w:rsid w:val="00FD1A55"/>
    <w:rsid w:val="00FD215F"/>
    <w:rsid w:val="00FD4025"/>
    <w:rsid w:val="00FD4D84"/>
    <w:rsid w:val="00FE0727"/>
    <w:rsid w:val="00FE1BC0"/>
    <w:rsid w:val="00FE22B0"/>
    <w:rsid w:val="00FE2ADF"/>
    <w:rsid w:val="00FE42AF"/>
    <w:rsid w:val="00FE57ED"/>
    <w:rsid w:val="00FE6A69"/>
    <w:rsid w:val="00FF06E7"/>
    <w:rsid w:val="00FF123E"/>
    <w:rsid w:val="00FF1FB6"/>
    <w:rsid w:val="00FF22A8"/>
    <w:rsid w:val="00FF2C03"/>
    <w:rsid w:val="00FF2E8A"/>
    <w:rsid w:val="00FF3E57"/>
    <w:rsid w:val="00FF46E5"/>
    <w:rsid w:val="00FF5DDF"/>
    <w:rsid w:val="00FF71F5"/>
    <w:rsid w:val="01003D16"/>
    <w:rsid w:val="010169FB"/>
    <w:rsid w:val="01085D82"/>
    <w:rsid w:val="010F3E0C"/>
    <w:rsid w:val="016041D7"/>
    <w:rsid w:val="01695D1C"/>
    <w:rsid w:val="016E4974"/>
    <w:rsid w:val="01750FFD"/>
    <w:rsid w:val="01A01BAB"/>
    <w:rsid w:val="01A04C2D"/>
    <w:rsid w:val="01A539A2"/>
    <w:rsid w:val="01AE1CFB"/>
    <w:rsid w:val="01B82D37"/>
    <w:rsid w:val="01BB28F9"/>
    <w:rsid w:val="01C30061"/>
    <w:rsid w:val="01CC709B"/>
    <w:rsid w:val="01D15BCA"/>
    <w:rsid w:val="01D86443"/>
    <w:rsid w:val="01FB3E34"/>
    <w:rsid w:val="02106E13"/>
    <w:rsid w:val="02186305"/>
    <w:rsid w:val="021C6D70"/>
    <w:rsid w:val="023B4DCB"/>
    <w:rsid w:val="023F258C"/>
    <w:rsid w:val="024C283A"/>
    <w:rsid w:val="025306EC"/>
    <w:rsid w:val="02537476"/>
    <w:rsid w:val="025B095B"/>
    <w:rsid w:val="026D31D5"/>
    <w:rsid w:val="028843E4"/>
    <w:rsid w:val="028C2984"/>
    <w:rsid w:val="02C11D5A"/>
    <w:rsid w:val="02D15EE2"/>
    <w:rsid w:val="02E127A0"/>
    <w:rsid w:val="02E95AA8"/>
    <w:rsid w:val="02EC26E0"/>
    <w:rsid w:val="02FC7884"/>
    <w:rsid w:val="02FD53C2"/>
    <w:rsid w:val="02FF5E4A"/>
    <w:rsid w:val="031A376A"/>
    <w:rsid w:val="03295244"/>
    <w:rsid w:val="033006D1"/>
    <w:rsid w:val="03443BD6"/>
    <w:rsid w:val="0356032F"/>
    <w:rsid w:val="035F09AD"/>
    <w:rsid w:val="037A7A52"/>
    <w:rsid w:val="038A16BF"/>
    <w:rsid w:val="038B78B5"/>
    <w:rsid w:val="03B434B1"/>
    <w:rsid w:val="03C03CBC"/>
    <w:rsid w:val="03D753C5"/>
    <w:rsid w:val="03F10F29"/>
    <w:rsid w:val="040F157D"/>
    <w:rsid w:val="04102D7B"/>
    <w:rsid w:val="043101D0"/>
    <w:rsid w:val="044F44B3"/>
    <w:rsid w:val="04517A33"/>
    <w:rsid w:val="046A2314"/>
    <w:rsid w:val="048C32A7"/>
    <w:rsid w:val="049B38A7"/>
    <w:rsid w:val="04AC3335"/>
    <w:rsid w:val="04B06414"/>
    <w:rsid w:val="04B91719"/>
    <w:rsid w:val="04BC242E"/>
    <w:rsid w:val="04C8535E"/>
    <w:rsid w:val="04D43F3A"/>
    <w:rsid w:val="04DA2331"/>
    <w:rsid w:val="04DE0465"/>
    <w:rsid w:val="04E66B3E"/>
    <w:rsid w:val="04FA5BAD"/>
    <w:rsid w:val="05003F85"/>
    <w:rsid w:val="05137947"/>
    <w:rsid w:val="05415A97"/>
    <w:rsid w:val="05446D5C"/>
    <w:rsid w:val="05571FD7"/>
    <w:rsid w:val="056037D1"/>
    <w:rsid w:val="057E0328"/>
    <w:rsid w:val="05803821"/>
    <w:rsid w:val="058F2216"/>
    <w:rsid w:val="059D577E"/>
    <w:rsid w:val="05C972B7"/>
    <w:rsid w:val="05D6145E"/>
    <w:rsid w:val="05E37505"/>
    <w:rsid w:val="05EB5D81"/>
    <w:rsid w:val="060A2F3B"/>
    <w:rsid w:val="06382BB5"/>
    <w:rsid w:val="064615C5"/>
    <w:rsid w:val="064B6385"/>
    <w:rsid w:val="06503B51"/>
    <w:rsid w:val="06520BED"/>
    <w:rsid w:val="066A0E15"/>
    <w:rsid w:val="066C4B4A"/>
    <w:rsid w:val="066E4363"/>
    <w:rsid w:val="06735AC5"/>
    <w:rsid w:val="06772523"/>
    <w:rsid w:val="068208BE"/>
    <w:rsid w:val="068656AC"/>
    <w:rsid w:val="068E35EF"/>
    <w:rsid w:val="06942687"/>
    <w:rsid w:val="06A02A43"/>
    <w:rsid w:val="06B22192"/>
    <w:rsid w:val="06B3726A"/>
    <w:rsid w:val="06B904F6"/>
    <w:rsid w:val="06BC29D1"/>
    <w:rsid w:val="06CF1C07"/>
    <w:rsid w:val="06D85097"/>
    <w:rsid w:val="06DC4E2E"/>
    <w:rsid w:val="06DC77A5"/>
    <w:rsid w:val="06E0058C"/>
    <w:rsid w:val="06F24981"/>
    <w:rsid w:val="070118F0"/>
    <w:rsid w:val="070850FD"/>
    <w:rsid w:val="070E4E65"/>
    <w:rsid w:val="07106479"/>
    <w:rsid w:val="07144F1F"/>
    <w:rsid w:val="071875D5"/>
    <w:rsid w:val="071E63BE"/>
    <w:rsid w:val="074D55D4"/>
    <w:rsid w:val="077705DB"/>
    <w:rsid w:val="077C1580"/>
    <w:rsid w:val="077D11C2"/>
    <w:rsid w:val="078333A8"/>
    <w:rsid w:val="078E1640"/>
    <w:rsid w:val="07B217D9"/>
    <w:rsid w:val="07CA3E0F"/>
    <w:rsid w:val="07DE3939"/>
    <w:rsid w:val="07E31CA1"/>
    <w:rsid w:val="07E51BE6"/>
    <w:rsid w:val="07F65A5C"/>
    <w:rsid w:val="080277D8"/>
    <w:rsid w:val="0807033A"/>
    <w:rsid w:val="08270C11"/>
    <w:rsid w:val="083E37FC"/>
    <w:rsid w:val="083E6D81"/>
    <w:rsid w:val="084E3006"/>
    <w:rsid w:val="08581E5D"/>
    <w:rsid w:val="08583977"/>
    <w:rsid w:val="08634C0A"/>
    <w:rsid w:val="086717D2"/>
    <w:rsid w:val="08815279"/>
    <w:rsid w:val="08B334CC"/>
    <w:rsid w:val="08B96C73"/>
    <w:rsid w:val="08D2219F"/>
    <w:rsid w:val="08DA6F7A"/>
    <w:rsid w:val="08F53089"/>
    <w:rsid w:val="08F75143"/>
    <w:rsid w:val="09125D05"/>
    <w:rsid w:val="09141235"/>
    <w:rsid w:val="092502C5"/>
    <w:rsid w:val="0929112C"/>
    <w:rsid w:val="092A1D52"/>
    <w:rsid w:val="092E626B"/>
    <w:rsid w:val="09306EF7"/>
    <w:rsid w:val="09481A23"/>
    <w:rsid w:val="096249E7"/>
    <w:rsid w:val="09662A39"/>
    <w:rsid w:val="09702F6B"/>
    <w:rsid w:val="0978434C"/>
    <w:rsid w:val="09822D04"/>
    <w:rsid w:val="09842B6A"/>
    <w:rsid w:val="098A3A4C"/>
    <w:rsid w:val="098B1145"/>
    <w:rsid w:val="098C4A46"/>
    <w:rsid w:val="099F0800"/>
    <w:rsid w:val="09C572A2"/>
    <w:rsid w:val="09DF68E9"/>
    <w:rsid w:val="09E055E2"/>
    <w:rsid w:val="09ED223E"/>
    <w:rsid w:val="09FA1857"/>
    <w:rsid w:val="09FA4348"/>
    <w:rsid w:val="09FC75AD"/>
    <w:rsid w:val="0A0C6121"/>
    <w:rsid w:val="0A2F64C6"/>
    <w:rsid w:val="0A5530C0"/>
    <w:rsid w:val="0A5641A7"/>
    <w:rsid w:val="0A6012FB"/>
    <w:rsid w:val="0A923070"/>
    <w:rsid w:val="0A9F2C39"/>
    <w:rsid w:val="0A9F3D88"/>
    <w:rsid w:val="0AB03240"/>
    <w:rsid w:val="0AB32B0A"/>
    <w:rsid w:val="0AB51C01"/>
    <w:rsid w:val="0AB6232E"/>
    <w:rsid w:val="0ABD3672"/>
    <w:rsid w:val="0AC40759"/>
    <w:rsid w:val="0AC55AC8"/>
    <w:rsid w:val="0AC63ABA"/>
    <w:rsid w:val="0ACB35EB"/>
    <w:rsid w:val="0AD00111"/>
    <w:rsid w:val="0AD22DF4"/>
    <w:rsid w:val="0AD37CAF"/>
    <w:rsid w:val="0AD77279"/>
    <w:rsid w:val="0AE12124"/>
    <w:rsid w:val="0AE46465"/>
    <w:rsid w:val="0AFB29AA"/>
    <w:rsid w:val="0B010B0D"/>
    <w:rsid w:val="0B082DF2"/>
    <w:rsid w:val="0B0C7344"/>
    <w:rsid w:val="0B116558"/>
    <w:rsid w:val="0B29260E"/>
    <w:rsid w:val="0B2E0D62"/>
    <w:rsid w:val="0B2F3972"/>
    <w:rsid w:val="0B500A8F"/>
    <w:rsid w:val="0B6661BA"/>
    <w:rsid w:val="0B6963CF"/>
    <w:rsid w:val="0B6F2F8D"/>
    <w:rsid w:val="0B731D06"/>
    <w:rsid w:val="0B977B0B"/>
    <w:rsid w:val="0B981F09"/>
    <w:rsid w:val="0BA12525"/>
    <w:rsid w:val="0BA96F23"/>
    <w:rsid w:val="0BBC2C63"/>
    <w:rsid w:val="0BE77EEE"/>
    <w:rsid w:val="0BEE6BBA"/>
    <w:rsid w:val="0BFF7B84"/>
    <w:rsid w:val="0C0F414D"/>
    <w:rsid w:val="0C115839"/>
    <w:rsid w:val="0C236115"/>
    <w:rsid w:val="0C345D79"/>
    <w:rsid w:val="0C486155"/>
    <w:rsid w:val="0C4B0BF1"/>
    <w:rsid w:val="0C620053"/>
    <w:rsid w:val="0C651AC0"/>
    <w:rsid w:val="0C6B768B"/>
    <w:rsid w:val="0C7A0C71"/>
    <w:rsid w:val="0C946842"/>
    <w:rsid w:val="0C9C306B"/>
    <w:rsid w:val="0CA22334"/>
    <w:rsid w:val="0CA628E4"/>
    <w:rsid w:val="0CAF1F38"/>
    <w:rsid w:val="0CB371C0"/>
    <w:rsid w:val="0CC93AB4"/>
    <w:rsid w:val="0CE61F74"/>
    <w:rsid w:val="0CE65B1F"/>
    <w:rsid w:val="0CED684F"/>
    <w:rsid w:val="0CED7088"/>
    <w:rsid w:val="0CF16235"/>
    <w:rsid w:val="0CFE2DCB"/>
    <w:rsid w:val="0D034F3C"/>
    <w:rsid w:val="0D121541"/>
    <w:rsid w:val="0D1852C3"/>
    <w:rsid w:val="0D1B1021"/>
    <w:rsid w:val="0D1B63E1"/>
    <w:rsid w:val="0D32530F"/>
    <w:rsid w:val="0D474CCE"/>
    <w:rsid w:val="0D4D7251"/>
    <w:rsid w:val="0D5A7246"/>
    <w:rsid w:val="0D6B457F"/>
    <w:rsid w:val="0D747AD5"/>
    <w:rsid w:val="0D84739A"/>
    <w:rsid w:val="0D8C4CB1"/>
    <w:rsid w:val="0D9E6644"/>
    <w:rsid w:val="0DA02A33"/>
    <w:rsid w:val="0DA950A7"/>
    <w:rsid w:val="0DB550FC"/>
    <w:rsid w:val="0DC124B5"/>
    <w:rsid w:val="0DC17530"/>
    <w:rsid w:val="0DC76D3D"/>
    <w:rsid w:val="0DCA43A3"/>
    <w:rsid w:val="0DDC5834"/>
    <w:rsid w:val="0DE52C5A"/>
    <w:rsid w:val="0DEC6338"/>
    <w:rsid w:val="0DEF7A92"/>
    <w:rsid w:val="0DF06D18"/>
    <w:rsid w:val="0DF87904"/>
    <w:rsid w:val="0E0A63E1"/>
    <w:rsid w:val="0E1202BD"/>
    <w:rsid w:val="0E1328DC"/>
    <w:rsid w:val="0E1B1668"/>
    <w:rsid w:val="0E270BA4"/>
    <w:rsid w:val="0E2D05EE"/>
    <w:rsid w:val="0E4A7310"/>
    <w:rsid w:val="0E573FA9"/>
    <w:rsid w:val="0E5C63DA"/>
    <w:rsid w:val="0E65256B"/>
    <w:rsid w:val="0E706257"/>
    <w:rsid w:val="0E836D45"/>
    <w:rsid w:val="0E8778F9"/>
    <w:rsid w:val="0E942360"/>
    <w:rsid w:val="0E9E3B58"/>
    <w:rsid w:val="0EA3348C"/>
    <w:rsid w:val="0EA34EF2"/>
    <w:rsid w:val="0EB3306F"/>
    <w:rsid w:val="0EBB033F"/>
    <w:rsid w:val="0ED1173E"/>
    <w:rsid w:val="0ED3343E"/>
    <w:rsid w:val="0ED761C9"/>
    <w:rsid w:val="0EDB6AFF"/>
    <w:rsid w:val="0EE206DA"/>
    <w:rsid w:val="0EE23D05"/>
    <w:rsid w:val="0EF062C4"/>
    <w:rsid w:val="0EF46A52"/>
    <w:rsid w:val="0EF5370A"/>
    <w:rsid w:val="0F1F6C08"/>
    <w:rsid w:val="0F21019B"/>
    <w:rsid w:val="0F2A2033"/>
    <w:rsid w:val="0F307035"/>
    <w:rsid w:val="0F3229CE"/>
    <w:rsid w:val="0F393A41"/>
    <w:rsid w:val="0F4571E2"/>
    <w:rsid w:val="0F503210"/>
    <w:rsid w:val="0F520BF9"/>
    <w:rsid w:val="0F6A635C"/>
    <w:rsid w:val="0F7B7C2C"/>
    <w:rsid w:val="0F841208"/>
    <w:rsid w:val="0F841E0A"/>
    <w:rsid w:val="0F9339A0"/>
    <w:rsid w:val="0F941C1C"/>
    <w:rsid w:val="0F980F08"/>
    <w:rsid w:val="0FA754C8"/>
    <w:rsid w:val="0FC16329"/>
    <w:rsid w:val="0FC5399D"/>
    <w:rsid w:val="0FE81235"/>
    <w:rsid w:val="0FED3764"/>
    <w:rsid w:val="0FF83DB7"/>
    <w:rsid w:val="10057DC3"/>
    <w:rsid w:val="100A0CEF"/>
    <w:rsid w:val="102670B2"/>
    <w:rsid w:val="10276E7D"/>
    <w:rsid w:val="10393701"/>
    <w:rsid w:val="103B3B95"/>
    <w:rsid w:val="103E7F45"/>
    <w:rsid w:val="103F327B"/>
    <w:rsid w:val="107623A0"/>
    <w:rsid w:val="109A7154"/>
    <w:rsid w:val="10B7367D"/>
    <w:rsid w:val="10BA5096"/>
    <w:rsid w:val="10BC000B"/>
    <w:rsid w:val="10C75779"/>
    <w:rsid w:val="10C9415B"/>
    <w:rsid w:val="10D40BD2"/>
    <w:rsid w:val="11017989"/>
    <w:rsid w:val="110231AB"/>
    <w:rsid w:val="11081DED"/>
    <w:rsid w:val="1109792B"/>
    <w:rsid w:val="11234242"/>
    <w:rsid w:val="112B34E6"/>
    <w:rsid w:val="112B4222"/>
    <w:rsid w:val="112C0A57"/>
    <w:rsid w:val="112D0124"/>
    <w:rsid w:val="11483DF7"/>
    <w:rsid w:val="11557473"/>
    <w:rsid w:val="11704569"/>
    <w:rsid w:val="117E27C6"/>
    <w:rsid w:val="119138E6"/>
    <w:rsid w:val="11985A62"/>
    <w:rsid w:val="11991D89"/>
    <w:rsid w:val="119F7AE5"/>
    <w:rsid w:val="11B10C27"/>
    <w:rsid w:val="11B61C1A"/>
    <w:rsid w:val="11C26F6C"/>
    <w:rsid w:val="11C616AA"/>
    <w:rsid w:val="11E97FA9"/>
    <w:rsid w:val="120077AB"/>
    <w:rsid w:val="12025713"/>
    <w:rsid w:val="120A179C"/>
    <w:rsid w:val="120B0D7A"/>
    <w:rsid w:val="120E5A5E"/>
    <w:rsid w:val="122E13FE"/>
    <w:rsid w:val="124E7E4B"/>
    <w:rsid w:val="1254777C"/>
    <w:rsid w:val="12566BED"/>
    <w:rsid w:val="12670253"/>
    <w:rsid w:val="126F0B09"/>
    <w:rsid w:val="12854E83"/>
    <w:rsid w:val="12863AB1"/>
    <w:rsid w:val="12897B35"/>
    <w:rsid w:val="12980E73"/>
    <w:rsid w:val="12CB3194"/>
    <w:rsid w:val="12D37692"/>
    <w:rsid w:val="12D71AD1"/>
    <w:rsid w:val="12E1427B"/>
    <w:rsid w:val="12E17BC5"/>
    <w:rsid w:val="12EB35E6"/>
    <w:rsid w:val="12FF34CC"/>
    <w:rsid w:val="130003B4"/>
    <w:rsid w:val="13020104"/>
    <w:rsid w:val="130855A2"/>
    <w:rsid w:val="13150BB7"/>
    <w:rsid w:val="131A75E1"/>
    <w:rsid w:val="13237B74"/>
    <w:rsid w:val="132C2B4E"/>
    <w:rsid w:val="133068F0"/>
    <w:rsid w:val="13400E64"/>
    <w:rsid w:val="134D0474"/>
    <w:rsid w:val="13650224"/>
    <w:rsid w:val="136D6ECB"/>
    <w:rsid w:val="136F3F7F"/>
    <w:rsid w:val="13735762"/>
    <w:rsid w:val="13823808"/>
    <w:rsid w:val="13BE0C6E"/>
    <w:rsid w:val="13D330E3"/>
    <w:rsid w:val="13DA6F6D"/>
    <w:rsid w:val="13E548AB"/>
    <w:rsid w:val="13E7766A"/>
    <w:rsid w:val="13E974F9"/>
    <w:rsid w:val="140675B9"/>
    <w:rsid w:val="142119E4"/>
    <w:rsid w:val="14212042"/>
    <w:rsid w:val="142A5E13"/>
    <w:rsid w:val="145057C1"/>
    <w:rsid w:val="145C079A"/>
    <w:rsid w:val="145F00E3"/>
    <w:rsid w:val="146732F1"/>
    <w:rsid w:val="146D0C32"/>
    <w:rsid w:val="14700F2F"/>
    <w:rsid w:val="147A20D5"/>
    <w:rsid w:val="147D0316"/>
    <w:rsid w:val="14996BE4"/>
    <w:rsid w:val="14B75EBB"/>
    <w:rsid w:val="14C20772"/>
    <w:rsid w:val="14CB6606"/>
    <w:rsid w:val="14D50C9F"/>
    <w:rsid w:val="14DA43FB"/>
    <w:rsid w:val="14E50BB2"/>
    <w:rsid w:val="14F209DC"/>
    <w:rsid w:val="14FA7F9C"/>
    <w:rsid w:val="15080E82"/>
    <w:rsid w:val="15085D52"/>
    <w:rsid w:val="15273A33"/>
    <w:rsid w:val="152A55D4"/>
    <w:rsid w:val="153115E2"/>
    <w:rsid w:val="15331F3F"/>
    <w:rsid w:val="15332FB2"/>
    <w:rsid w:val="15377A0D"/>
    <w:rsid w:val="15554C21"/>
    <w:rsid w:val="156976AD"/>
    <w:rsid w:val="1577582B"/>
    <w:rsid w:val="157E75BE"/>
    <w:rsid w:val="15893547"/>
    <w:rsid w:val="159826B2"/>
    <w:rsid w:val="15A120E5"/>
    <w:rsid w:val="15A66E5B"/>
    <w:rsid w:val="15C15D67"/>
    <w:rsid w:val="15D0437B"/>
    <w:rsid w:val="15DA4D95"/>
    <w:rsid w:val="15DB7976"/>
    <w:rsid w:val="15DE0801"/>
    <w:rsid w:val="15E46E67"/>
    <w:rsid w:val="15E56819"/>
    <w:rsid w:val="15F6158A"/>
    <w:rsid w:val="16063714"/>
    <w:rsid w:val="1610308F"/>
    <w:rsid w:val="161A6535"/>
    <w:rsid w:val="162D49D4"/>
    <w:rsid w:val="1633538E"/>
    <w:rsid w:val="16481307"/>
    <w:rsid w:val="165411A6"/>
    <w:rsid w:val="165D64A4"/>
    <w:rsid w:val="166B05CE"/>
    <w:rsid w:val="16806E20"/>
    <w:rsid w:val="168C7CF8"/>
    <w:rsid w:val="168E1D77"/>
    <w:rsid w:val="16A92032"/>
    <w:rsid w:val="16AC6138"/>
    <w:rsid w:val="16AD5DEF"/>
    <w:rsid w:val="16BE3018"/>
    <w:rsid w:val="16D36224"/>
    <w:rsid w:val="16DA3C5F"/>
    <w:rsid w:val="16DD0EFF"/>
    <w:rsid w:val="16E02F09"/>
    <w:rsid w:val="16E067B0"/>
    <w:rsid w:val="16E25476"/>
    <w:rsid w:val="16E767C7"/>
    <w:rsid w:val="16EA4FC2"/>
    <w:rsid w:val="16EB6A36"/>
    <w:rsid w:val="16ED3DAA"/>
    <w:rsid w:val="16F2646C"/>
    <w:rsid w:val="171115E6"/>
    <w:rsid w:val="1713660F"/>
    <w:rsid w:val="171815FA"/>
    <w:rsid w:val="171B5AF2"/>
    <w:rsid w:val="171D62C7"/>
    <w:rsid w:val="172D7ECA"/>
    <w:rsid w:val="173119CF"/>
    <w:rsid w:val="1749625D"/>
    <w:rsid w:val="174A1EED"/>
    <w:rsid w:val="174A58C0"/>
    <w:rsid w:val="17674A39"/>
    <w:rsid w:val="178C6EA3"/>
    <w:rsid w:val="179F51E2"/>
    <w:rsid w:val="17A62FBC"/>
    <w:rsid w:val="17A64409"/>
    <w:rsid w:val="17B16853"/>
    <w:rsid w:val="17B9411F"/>
    <w:rsid w:val="17C83F5A"/>
    <w:rsid w:val="17D67547"/>
    <w:rsid w:val="17F04A56"/>
    <w:rsid w:val="18023D1B"/>
    <w:rsid w:val="181935C6"/>
    <w:rsid w:val="181B55E7"/>
    <w:rsid w:val="182F79EE"/>
    <w:rsid w:val="18407719"/>
    <w:rsid w:val="184719C1"/>
    <w:rsid w:val="185B4A82"/>
    <w:rsid w:val="185F64C8"/>
    <w:rsid w:val="18851698"/>
    <w:rsid w:val="188E6C2A"/>
    <w:rsid w:val="18A80228"/>
    <w:rsid w:val="18A942A7"/>
    <w:rsid w:val="18BA2D37"/>
    <w:rsid w:val="18BA2D50"/>
    <w:rsid w:val="18BF0F00"/>
    <w:rsid w:val="18D13D26"/>
    <w:rsid w:val="18FC15E6"/>
    <w:rsid w:val="190E77B3"/>
    <w:rsid w:val="191A0B81"/>
    <w:rsid w:val="191D48EB"/>
    <w:rsid w:val="19230722"/>
    <w:rsid w:val="193471F2"/>
    <w:rsid w:val="1944409B"/>
    <w:rsid w:val="19512F34"/>
    <w:rsid w:val="19630116"/>
    <w:rsid w:val="196C5C8B"/>
    <w:rsid w:val="197D1091"/>
    <w:rsid w:val="198F3883"/>
    <w:rsid w:val="19955ACF"/>
    <w:rsid w:val="19A46075"/>
    <w:rsid w:val="19AE16CD"/>
    <w:rsid w:val="19B10B14"/>
    <w:rsid w:val="19B26D19"/>
    <w:rsid w:val="19C27764"/>
    <w:rsid w:val="19C97AC3"/>
    <w:rsid w:val="19DA49E2"/>
    <w:rsid w:val="19FD77CF"/>
    <w:rsid w:val="1A190B49"/>
    <w:rsid w:val="1A1E5D3E"/>
    <w:rsid w:val="1A2022A8"/>
    <w:rsid w:val="1A3403AF"/>
    <w:rsid w:val="1A364A57"/>
    <w:rsid w:val="1A4A5ECA"/>
    <w:rsid w:val="1A4D2930"/>
    <w:rsid w:val="1A5F078D"/>
    <w:rsid w:val="1A661ED1"/>
    <w:rsid w:val="1A6A7D27"/>
    <w:rsid w:val="1A863F19"/>
    <w:rsid w:val="1A8E2B1D"/>
    <w:rsid w:val="1AA912DE"/>
    <w:rsid w:val="1AEC6834"/>
    <w:rsid w:val="1AF66A45"/>
    <w:rsid w:val="1B4023D9"/>
    <w:rsid w:val="1B4A0D73"/>
    <w:rsid w:val="1B515736"/>
    <w:rsid w:val="1B57155D"/>
    <w:rsid w:val="1B597D08"/>
    <w:rsid w:val="1B715EF7"/>
    <w:rsid w:val="1B7C542C"/>
    <w:rsid w:val="1B8415F3"/>
    <w:rsid w:val="1B886B21"/>
    <w:rsid w:val="1B892337"/>
    <w:rsid w:val="1B8C7F7D"/>
    <w:rsid w:val="1B926244"/>
    <w:rsid w:val="1B994995"/>
    <w:rsid w:val="1BBE1B97"/>
    <w:rsid w:val="1BC63E98"/>
    <w:rsid w:val="1BD80DB3"/>
    <w:rsid w:val="1BE10935"/>
    <w:rsid w:val="1BE24A87"/>
    <w:rsid w:val="1BEA59B8"/>
    <w:rsid w:val="1BEA7D74"/>
    <w:rsid w:val="1BF5263B"/>
    <w:rsid w:val="1BFD31C9"/>
    <w:rsid w:val="1C023F63"/>
    <w:rsid w:val="1C0F0914"/>
    <w:rsid w:val="1C15626E"/>
    <w:rsid w:val="1C214068"/>
    <w:rsid w:val="1C305E8F"/>
    <w:rsid w:val="1C5E2A3C"/>
    <w:rsid w:val="1C6B1FA8"/>
    <w:rsid w:val="1C6C5D7C"/>
    <w:rsid w:val="1C847A3F"/>
    <w:rsid w:val="1C8A4B89"/>
    <w:rsid w:val="1C9E275A"/>
    <w:rsid w:val="1CA644A8"/>
    <w:rsid w:val="1CAA7661"/>
    <w:rsid w:val="1CD915C9"/>
    <w:rsid w:val="1CDD275B"/>
    <w:rsid w:val="1D0369CB"/>
    <w:rsid w:val="1D0A4FE7"/>
    <w:rsid w:val="1D240FDC"/>
    <w:rsid w:val="1D351BD2"/>
    <w:rsid w:val="1D3550F4"/>
    <w:rsid w:val="1D3D0E51"/>
    <w:rsid w:val="1D6A3F44"/>
    <w:rsid w:val="1D733281"/>
    <w:rsid w:val="1D77733A"/>
    <w:rsid w:val="1D812389"/>
    <w:rsid w:val="1D884524"/>
    <w:rsid w:val="1D886357"/>
    <w:rsid w:val="1D8A28C9"/>
    <w:rsid w:val="1D8B0071"/>
    <w:rsid w:val="1D9E0960"/>
    <w:rsid w:val="1DAA16CB"/>
    <w:rsid w:val="1DB25955"/>
    <w:rsid w:val="1DCC29E3"/>
    <w:rsid w:val="1DD26DEA"/>
    <w:rsid w:val="1DD76033"/>
    <w:rsid w:val="1DDB61D3"/>
    <w:rsid w:val="1DDD1AEA"/>
    <w:rsid w:val="1DE60A81"/>
    <w:rsid w:val="1DF050E1"/>
    <w:rsid w:val="1DF42395"/>
    <w:rsid w:val="1E055555"/>
    <w:rsid w:val="1E2026CF"/>
    <w:rsid w:val="1E40374A"/>
    <w:rsid w:val="1E516CCA"/>
    <w:rsid w:val="1E6D19EF"/>
    <w:rsid w:val="1E721C0A"/>
    <w:rsid w:val="1E7228A9"/>
    <w:rsid w:val="1E82624E"/>
    <w:rsid w:val="1E8726C5"/>
    <w:rsid w:val="1EA11B82"/>
    <w:rsid w:val="1EB43446"/>
    <w:rsid w:val="1EBF1498"/>
    <w:rsid w:val="1EED44C2"/>
    <w:rsid w:val="1EF123BF"/>
    <w:rsid w:val="1EF2638A"/>
    <w:rsid w:val="1EFD3FD9"/>
    <w:rsid w:val="1F026E22"/>
    <w:rsid w:val="1F05188D"/>
    <w:rsid w:val="1F112C11"/>
    <w:rsid w:val="1F1A07DE"/>
    <w:rsid w:val="1F1A6F16"/>
    <w:rsid w:val="1F1E212C"/>
    <w:rsid w:val="1F1F3EBE"/>
    <w:rsid w:val="1F3E53FE"/>
    <w:rsid w:val="1F471A01"/>
    <w:rsid w:val="1F5A673B"/>
    <w:rsid w:val="1F5E3A05"/>
    <w:rsid w:val="1F5F67B0"/>
    <w:rsid w:val="1F6E58E5"/>
    <w:rsid w:val="1F6F0260"/>
    <w:rsid w:val="1F872F4E"/>
    <w:rsid w:val="1F8B5A38"/>
    <w:rsid w:val="1F9A16A4"/>
    <w:rsid w:val="1FC063E7"/>
    <w:rsid w:val="1FD75691"/>
    <w:rsid w:val="1FEB18E5"/>
    <w:rsid w:val="1FEC790C"/>
    <w:rsid w:val="200F4757"/>
    <w:rsid w:val="20214D2D"/>
    <w:rsid w:val="202A5C5E"/>
    <w:rsid w:val="20350E10"/>
    <w:rsid w:val="203B17FA"/>
    <w:rsid w:val="204E2437"/>
    <w:rsid w:val="20685328"/>
    <w:rsid w:val="206D36CF"/>
    <w:rsid w:val="20733BCA"/>
    <w:rsid w:val="20733DC7"/>
    <w:rsid w:val="209C12D7"/>
    <w:rsid w:val="209F6530"/>
    <w:rsid w:val="20AB034B"/>
    <w:rsid w:val="20B66772"/>
    <w:rsid w:val="20B717B9"/>
    <w:rsid w:val="20B90AE0"/>
    <w:rsid w:val="20B90CD8"/>
    <w:rsid w:val="20BA3A35"/>
    <w:rsid w:val="20BC187D"/>
    <w:rsid w:val="20CD73C4"/>
    <w:rsid w:val="20CE17DD"/>
    <w:rsid w:val="20D51A4E"/>
    <w:rsid w:val="20DD00CE"/>
    <w:rsid w:val="20EA699F"/>
    <w:rsid w:val="20ED6E9F"/>
    <w:rsid w:val="210D5AA0"/>
    <w:rsid w:val="210F3F12"/>
    <w:rsid w:val="21175055"/>
    <w:rsid w:val="21392B6A"/>
    <w:rsid w:val="215A388A"/>
    <w:rsid w:val="21734B17"/>
    <w:rsid w:val="217440D0"/>
    <w:rsid w:val="217D6F90"/>
    <w:rsid w:val="218D783E"/>
    <w:rsid w:val="21995DFB"/>
    <w:rsid w:val="219D24EB"/>
    <w:rsid w:val="21A40E8B"/>
    <w:rsid w:val="21AA0945"/>
    <w:rsid w:val="21AE7121"/>
    <w:rsid w:val="21D16C3A"/>
    <w:rsid w:val="21D73CA7"/>
    <w:rsid w:val="21D85F6C"/>
    <w:rsid w:val="21E72138"/>
    <w:rsid w:val="22021FAC"/>
    <w:rsid w:val="22113D1E"/>
    <w:rsid w:val="22140071"/>
    <w:rsid w:val="222B2132"/>
    <w:rsid w:val="223854F6"/>
    <w:rsid w:val="22425AD4"/>
    <w:rsid w:val="22493FC3"/>
    <w:rsid w:val="225E623F"/>
    <w:rsid w:val="22646E20"/>
    <w:rsid w:val="227D02F2"/>
    <w:rsid w:val="22810F41"/>
    <w:rsid w:val="22976572"/>
    <w:rsid w:val="22AB0A08"/>
    <w:rsid w:val="22B94C21"/>
    <w:rsid w:val="22BA1EBC"/>
    <w:rsid w:val="22C549E4"/>
    <w:rsid w:val="22CD7EA5"/>
    <w:rsid w:val="22D22627"/>
    <w:rsid w:val="22E8629E"/>
    <w:rsid w:val="22FD4652"/>
    <w:rsid w:val="23005F81"/>
    <w:rsid w:val="23027175"/>
    <w:rsid w:val="231F0A66"/>
    <w:rsid w:val="23285467"/>
    <w:rsid w:val="232876F5"/>
    <w:rsid w:val="232A2391"/>
    <w:rsid w:val="233909B0"/>
    <w:rsid w:val="233D0B4F"/>
    <w:rsid w:val="23446B7A"/>
    <w:rsid w:val="2356583D"/>
    <w:rsid w:val="236D7FF2"/>
    <w:rsid w:val="236E08E1"/>
    <w:rsid w:val="236E263D"/>
    <w:rsid w:val="23752549"/>
    <w:rsid w:val="2378048F"/>
    <w:rsid w:val="2378368C"/>
    <w:rsid w:val="23AE07A8"/>
    <w:rsid w:val="23B636A8"/>
    <w:rsid w:val="23BB79E1"/>
    <w:rsid w:val="23CE53BC"/>
    <w:rsid w:val="23D55798"/>
    <w:rsid w:val="23F95E44"/>
    <w:rsid w:val="23FB1BD7"/>
    <w:rsid w:val="240532A9"/>
    <w:rsid w:val="240D7F48"/>
    <w:rsid w:val="24162458"/>
    <w:rsid w:val="24207A92"/>
    <w:rsid w:val="242C26D2"/>
    <w:rsid w:val="24316408"/>
    <w:rsid w:val="24343274"/>
    <w:rsid w:val="243D3CDD"/>
    <w:rsid w:val="244276BA"/>
    <w:rsid w:val="244B5301"/>
    <w:rsid w:val="244C7747"/>
    <w:rsid w:val="24577A2B"/>
    <w:rsid w:val="245B3D95"/>
    <w:rsid w:val="245E0B19"/>
    <w:rsid w:val="2469146A"/>
    <w:rsid w:val="24903488"/>
    <w:rsid w:val="249076A4"/>
    <w:rsid w:val="24935F4E"/>
    <w:rsid w:val="249C694C"/>
    <w:rsid w:val="24A85F57"/>
    <w:rsid w:val="24A95CE5"/>
    <w:rsid w:val="24AB7CFB"/>
    <w:rsid w:val="24CD332D"/>
    <w:rsid w:val="25062BD5"/>
    <w:rsid w:val="2516013E"/>
    <w:rsid w:val="251B3AB5"/>
    <w:rsid w:val="251C6DDD"/>
    <w:rsid w:val="252D496B"/>
    <w:rsid w:val="253454B8"/>
    <w:rsid w:val="253E0087"/>
    <w:rsid w:val="255D1D9F"/>
    <w:rsid w:val="256706B9"/>
    <w:rsid w:val="25672519"/>
    <w:rsid w:val="25697435"/>
    <w:rsid w:val="25710121"/>
    <w:rsid w:val="25A6027E"/>
    <w:rsid w:val="25BA580E"/>
    <w:rsid w:val="25C43E6F"/>
    <w:rsid w:val="25C75EB7"/>
    <w:rsid w:val="25CD300C"/>
    <w:rsid w:val="25D23A21"/>
    <w:rsid w:val="25D66FC0"/>
    <w:rsid w:val="25DD694C"/>
    <w:rsid w:val="25F71B5A"/>
    <w:rsid w:val="25F82C0D"/>
    <w:rsid w:val="26060EB0"/>
    <w:rsid w:val="2618304C"/>
    <w:rsid w:val="261A2E32"/>
    <w:rsid w:val="261A550E"/>
    <w:rsid w:val="262D74F3"/>
    <w:rsid w:val="263045C5"/>
    <w:rsid w:val="26425145"/>
    <w:rsid w:val="264267B8"/>
    <w:rsid w:val="26480B86"/>
    <w:rsid w:val="264C3C1C"/>
    <w:rsid w:val="265050CD"/>
    <w:rsid w:val="26570633"/>
    <w:rsid w:val="265C257B"/>
    <w:rsid w:val="26616B14"/>
    <w:rsid w:val="2667768F"/>
    <w:rsid w:val="266D303D"/>
    <w:rsid w:val="26796572"/>
    <w:rsid w:val="26821EEE"/>
    <w:rsid w:val="2699591A"/>
    <w:rsid w:val="269F0E90"/>
    <w:rsid w:val="26B55998"/>
    <w:rsid w:val="26D02A83"/>
    <w:rsid w:val="26D444F1"/>
    <w:rsid w:val="26EF4B0A"/>
    <w:rsid w:val="27055423"/>
    <w:rsid w:val="27185728"/>
    <w:rsid w:val="27277503"/>
    <w:rsid w:val="272A2C5A"/>
    <w:rsid w:val="276254F5"/>
    <w:rsid w:val="2763284D"/>
    <w:rsid w:val="276F07EA"/>
    <w:rsid w:val="27851BC8"/>
    <w:rsid w:val="2797306D"/>
    <w:rsid w:val="27A032CA"/>
    <w:rsid w:val="27B25D88"/>
    <w:rsid w:val="27D70402"/>
    <w:rsid w:val="27E446C5"/>
    <w:rsid w:val="27F674D1"/>
    <w:rsid w:val="28060267"/>
    <w:rsid w:val="283E4256"/>
    <w:rsid w:val="28426BA4"/>
    <w:rsid w:val="285120E6"/>
    <w:rsid w:val="285A3342"/>
    <w:rsid w:val="28721C01"/>
    <w:rsid w:val="28865735"/>
    <w:rsid w:val="288763B5"/>
    <w:rsid w:val="289B5930"/>
    <w:rsid w:val="28A23C5F"/>
    <w:rsid w:val="28B27CF9"/>
    <w:rsid w:val="28B53A20"/>
    <w:rsid w:val="28B6127E"/>
    <w:rsid w:val="28B87832"/>
    <w:rsid w:val="28C22918"/>
    <w:rsid w:val="28C70376"/>
    <w:rsid w:val="28D56122"/>
    <w:rsid w:val="28E37CE2"/>
    <w:rsid w:val="28FF0AB7"/>
    <w:rsid w:val="2903666D"/>
    <w:rsid w:val="29174137"/>
    <w:rsid w:val="29307884"/>
    <w:rsid w:val="293F0749"/>
    <w:rsid w:val="296377A9"/>
    <w:rsid w:val="29641FB8"/>
    <w:rsid w:val="297973EA"/>
    <w:rsid w:val="298F507F"/>
    <w:rsid w:val="299023B2"/>
    <w:rsid w:val="299B6BC6"/>
    <w:rsid w:val="29A13422"/>
    <w:rsid w:val="29B6762F"/>
    <w:rsid w:val="29DA7B75"/>
    <w:rsid w:val="29E35A12"/>
    <w:rsid w:val="29E522C4"/>
    <w:rsid w:val="29E61918"/>
    <w:rsid w:val="29E734B7"/>
    <w:rsid w:val="29E8116C"/>
    <w:rsid w:val="29E94404"/>
    <w:rsid w:val="29EA2604"/>
    <w:rsid w:val="29EB6033"/>
    <w:rsid w:val="29EE25D5"/>
    <w:rsid w:val="2A092CF6"/>
    <w:rsid w:val="2A194276"/>
    <w:rsid w:val="2A1B26A8"/>
    <w:rsid w:val="2A2322B7"/>
    <w:rsid w:val="2A2436E0"/>
    <w:rsid w:val="2A3727A0"/>
    <w:rsid w:val="2A3923FC"/>
    <w:rsid w:val="2A430294"/>
    <w:rsid w:val="2A452333"/>
    <w:rsid w:val="2A4A7B4A"/>
    <w:rsid w:val="2A4D0ACB"/>
    <w:rsid w:val="2A5A1C02"/>
    <w:rsid w:val="2A6244AB"/>
    <w:rsid w:val="2A625F76"/>
    <w:rsid w:val="2A7F6BF7"/>
    <w:rsid w:val="2A8246FE"/>
    <w:rsid w:val="2A967681"/>
    <w:rsid w:val="2A9A3389"/>
    <w:rsid w:val="2AF36D7F"/>
    <w:rsid w:val="2B021CDA"/>
    <w:rsid w:val="2B03195A"/>
    <w:rsid w:val="2B221086"/>
    <w:rsid w:val="2B2C5890"/>
    <w:rsid w:val="2B4636BD"/>
    <w:rsid w:val="2B4716DF"/>
    <w:rsid w:val="2B4E1AEA"/>
    <w:rsid w:val="2B500228"/>
    <w:rsid w:val="2B576CCD"/>
    <w:rsid w:val="2B5D7A42"/>
    <w:rsid w:val="2B5F0A68"/>
    <w:rsid w:val="2B6278AA"/>
    <w:rsid w:val="2B6A2E8E"/>
    <w:rsid w:val="2B914771"/>
    <w:rsid w:val="2BB76A93"/>
    <w:rsid w:val="2BBA70FC"/>
    <w:rsid w:val="2BBE25A5"/>
    <w:rsid w:val="2BC963D9"/>
    <w:rsid w:val="2BE13968"/>
    <w:rsid w:val="2BEB086C"/>
    <w:rsid w:val="2BFA7089"/>
    <w:rsid w:val="2C0A4219"/>
    <w:rsid w:val="2C10147A"/>
    <w:rsid w:val="2C1B004E"/>
    <w:rsid w:val="2C1B1504"/>
    <w:rsid w:val="2C254F07"/>
    <w:rsid w:val="2C5A037D"/>
    <w:rsid w:val="2C6A223B"/>
    <w:rsid w:val="2C6A3836"/>
    <w:rsid w:val="2C964C07"/>
    <w:rsid w:val="2C9E1459"/>
    <w:rsid w:val="2CA44CF4"/>
    <w:rsid w:val="2CB34A94"/>
    <w:rsid w:val="2CB7383F"/>
    <w:rsid w:val="2CCB1EA0"/>
    <w:rsid w:val="2CCB5EBD"/>
    <w:rsid w:val="2CCD3D0B"/>
    <w:rsid w:val="2CCE4F59"/>
    <w:rsid w:val="2CDD2AC9"/>
    <w:rsid w:val="2CEB3B4B"/>
    <w:rsid w:val="2D02713A"/>
    <w:rsid w:val="2D0D4720"/>
    <w:rsid w:val="2D101D8A"/>
    <w:rsid w:val="2D104D67"/>
    <w:rsid w:val="2D2F68F1"/>
    <w:rsid w:val="2D45045D"/>
    <w:rsid w:val="2D52150B"/>
    <w:rsid w:val="2D5F25EB"/>
    <w:rsid w:val="2D6B535A"/>
    <w:rsid w:val="2D9F024B"/>
    <w:rsid w:val="2DB202A2"/>
    <w:rsid w:val="2DBE2F1E"/>
    <w:rsid w:val="2DC31F05"/>
    <w:rsid w:val="2DC87C40"/>
    <w:rsid w:val="2DFF42A9"/>
    <w:rsid w:val="2E003B1F"/>
    <w:rsid w:val="2E05217C"/>
    <w:rsid w:val="2E0B7E92"/>
    <w:rsid w:val="2E0C46B9"/>
    <w:rsid w:val="2E1434DA"/>
    <w:rsid w:val="2E2E3F04"/>
    <w:rsid w:val="2E6068B8"/>
    <w:rsid w:val="2E616F91"/>
    <w:rsid w:val="2E632DAB"/>
    <w:rsid w:val="2E674449"/>
    <w:rsid w:val="2E6D4DD4"/>
    <w:rsid w:val="2E7A6552"/>
    <w:rsid w:val="2E7B4067"/>
    <w:rsid w:val="2E83515E"/>
    <w:rsid w:val="2E885BD5"/>
    <w:rsid w:val="2E903729"/>
    <w:rsid w:val="2E921D27"/>
    <w:rsid w:val="2E9B164E"/>
    <w:rsid w:val="2EA04296"/>
    <w:rsid w:val="2EB42D5E"/>
    <w:rsid w:val="2EB939E3"/>
    <w:rsid w:val="2EFB3E9C"/>
    <w:rsid w:val="2F0E4915"/>
    <w:rsid w:val="2F1F0594"/>
    <w:rsid w:val="2F213A00"/>
    <w:rsid w:val="2F361100"/>
    <w:rsid w:val="2F400A07"/>
    <w:rsid w:val="2F4D6F14"/>
    <w:rsid w:val="2F582D9E"/>
    <w:rsid w:val="2F65677A"/>
    <w:rsid w:val="2F71453E"/>
    <w:rsid w:val="2F7B22CC"/>
    <w:rsid w:val="2F954C97"/>
    <w:rsid w:val="2F9E7AEF"/>
    <w:rsid w:val="2FC63CE7"/>
    <w:rsid w:val="2FD3327B"/>
    <w:rsid w:val="2FDA045D"/>
    <w:rsid w:val="2FEC13BA"/>
    <w:rsid w:val="2FF2597F"/>
    <w:rsid w:val="2FF40E9D"/>
    <w:rsid w:val="2FF465F2"/>
    <w:rsid w:val="30084E3F"/>
    <w:rsid w:val="300C1DFF"/>
    <w:rsid w:val="300F76A4"/>
    <w:rsid w:val="30132397"/>
    <w:rsid w:val="3037497B"/>
    <w:rsid w:val="303F3CEF"/>
    <w:rsid w:val="30456D20"/>
    <w:rsid w:val="30483530"/>
    <w:rsid w:val="304D5D0A"/>
    <w:rsid w:val="305658D4"/>
    <w:rsid w:val="30570CA5"/>
    <w:rsid w:val="30596463"/>
    <w:rsid w:val="306020EB"/>
    <w:rsid w:val="309A6C17"/>
    <w:rsid w:val="30A034A1"/>
    <w:rsid w:val="30A323C9"/>
    <w:rsid w:val="30B27732"/>
    <w:rsid w:val="30CE1CE3"/>
    <w:rsid w:val="30D16578"/>
    <w:rsid w:val="30EB04D6"/>
    <w:rsid w:val="310053B6"/>
    <w:rsid w:val="31156C4B"/>
    <w:rsid w:val="312316DA"/>
    <w:rsid w:val="312944A3"/>
    <w:rsid w:val="3129739B"/>
    <w:rsid w:val="313465FC"/>
    <w:rsid w:val="31356495"/>
    <w:rsid w:val="31383A4C"/>
    <w:rsid w:val="314F1C03"/>
    <w:rsid w:val="31604C10"/>
    <w:rsid w:val="31637A2F"/>
    <w:rsid w:val="31662ED9"/>
    <w:rsid w:val="317075DA"/>
    <w:rsid w:val="317C6097"/>
    <w:rsid w:val="317C647F"/>
    <w:rsid w:val="31810E56"/>
    <w:rsid w:val="31903C11"/>
    <w:rsid w:val="31963556"/>
    <w:rsid w:val="31981F4D"/>
    <w:rsid w:val="31A025D8"/>
    <w:rsid w:val="31B31859"/>
    <w:rsid w:val="31BD79A2"/>
    <w:rsid w:val="31C57958"/>
    <w:rsid w:val="31DC2E94"/>
    <w:rsid w:val="31DE0079"/>
    <w:rsid w:val="31E323B9"/>
    <w:rsid w:val="31E37FE6"/>
    <w:rsid w:val="31EA28E1"/>
    <w:rsid w:val="31EB042E"/>
    <w:rsid w:val="31EB3300"/>
    <w:rsid w:val="31EE69DC"/>
    <w:rsid w:val="31F05EE3"/>
    <w:rsid w:val="31F47B55"/>
    <w:rsid w:val="321E570F"/>
    <w:rsid w:val="32200D97"/>
    <w:rsid w:val="322D09A2"/>
    <w:rsid w:val="32380EC9"/>
    <w:rsid w:val="32462013"/>
    <w:rsid w:val="32481D3D"/>
    <w:rsid w:val="32511AA8"/>
    <w:rsid w:val="325309F6"/>
    <w:rsid w:val="325827F3"/>
    <w:rsid w:val="325F5780"/>
    <w:rsid w:val="32680E84"/>
    <w:rsid w:val="327C6916"/>
    <w:rsid w:val="32855542"/>
    <w:rsid w:val="32982983"/>
    <w:rsid w:val="329E1172"/>
    <w:rsid w:val="32A9249B"/>
    <w:rsid w:val="32B01BF8"/>
    <w:rsid w:val="32C03906"/>
    <w:rsid w:val="32CB099A"/>
    <w:rsid w:val="32D86FA9"/>
    <w:rsid w:val="32DB20AA"/>
    <w:rsid w:val="32F21514"/>
    <w:rsid w:val="32F871E5"/>
    <w:rsid w:val="33015019"/>
    <w:rsid w:val="3303037C"/>
    <w:rsid w:val="330868FF"/>
    <w:rsid w:val="331311A9"/>
    <w:rsid w:val="33231301"/>
    <w:rsid w:val="3329379D"/>
    <w:rsid w:val="33390134"/>
    <w:rsid w:val="333B4BAD"/>
    <w:rsid w:val="33416722"/>
    <w:rsid w:val="334B7737"/>
    <w:rsid w:val="3353635E"/>
    <w:rsid w:val="33556023"/>
    <w:rsid w:val="33576BAD"/>
    <w:rsid w:val="335E0FC1"/>
    <w:rsid w:val="33627676"/>
    <w:rsid w:val="336C2BD3"/>
    <w:rsid w:val="338202B3"/>
    <w:rsid w:val="338A6B1D"/>
    <w:rsid w:val="338F1A9B"/>
    <w:rsid w:val="339779D6"/>
    <w:rsid w:val="339F39CB"/>
    <w:rsid w:val="33A43194"/>
    <w:rsid w:val="33AF44EC"/>
    <w:rsid w:val="33B14911"/>
    <w:rsid w:val="33B41F1E"/>
    <w:rsid w:val="33B60B7C"/>
    <w:rsid w:val="33C063CA"/>
    <w:rsid w:val="33C37ED2"/>
    <w:rsid w:val="33D175A9"/>
    <w:rsid w:val="33D232D3"/>
    <w:rsid w:val="33E2058E"/>
    <w:rsid w:val="33E60DE4"/>
    <w:rsid w:val="33E9507B"/>
    <w:rsid w:val="33EA51B9"/>
    <w:rsid w:val="340D7927"/>
    <w:rsid w:val="341712B2"/>
    <w:rsid w:val="341C081B"/>
    <w:rsid w:val="341D47A3"/>
    <w:rsid w:val="342021BD"/>
    <w:rsid w:val="34384886"/>
    <w:rsid w:val="3439424C"/>
    <w:rsid w:val="34480E0A"/>
    <w:rsid w:val="345251AA"/>
    <w:rsid w:val="34610871"/>
    <w:rsid w:val="34752930"/>
    <w:rsid w:val="347F32BB"/>
    <w:rsid w:val="34854E2D"/>
    <w:rsid w:val="349A0996"/>
    <w:rsid w:val="34AD0046"/>
    <w:rsid w:val="34AF1BC7"/>
    <w:rsid w:val="34B60A8D"/>
    <w:rsid w:val="34BB4C30"/>
    <w:rsid w:val="34BE17A0"/>
    <w:rsid w:val="34C8443D"/>
    <w:rsid w:val="34DA1213"/>
    <w:rsid w:val="34DE0B09"/>
    <w:rsid w:val="34F15FD7"/>
    <w:rsid w:val="34F634AC"/>
    <w:rsid w:val="34F63D5C"/>
    <w:rsid w:val="350F27DE"/>
    <w:rsid w:val="35495F19"/>
    <w:rsid w:val="354D6617"/>
    <w:rsid w:val="355F1512"/>
    <w:rsid w:val="358027D9"/>
    <w:rsid w:val="358558B6"/>
    <w:rsid w:val="35915D1A"/>
    <w:rsid w:val="359861A3"/>
    <w:rsid w:val="359A298F"/>
    <w:rsid w:val="35A441D0"/>
    <w:rsid w:val="35BA68BE"/>
    <w:rsid w:val="35C62952"/>
    <w:rsid w:val="35D7428D"/>
    <w:rsid w:val="35E40383"/>
    <w:rsid w:val="35E8374E"/>
    <w:rsid w:val="35F45350"/>
    <w:rsid w:val="36044FC5"/>
    <w:rsid w:val="36072917"/>
    <w:rsid w:val="360A7B51"/>
    <w:rsid w:val="360E7D70"/>
    <w:rsid w:val="361420BE"/>
    <w:rsid w:val="36205737"/>
    <w:rsid w:val="362B7BF6"/>
    <w:rsid w:val="362C5747"/>
    <w:rsid w:val="36407E95"/>
    <w:rsid w:val="365D215B"/>
    <w:rsid w:val="3664323D"/>
    <w:rsid w:val="367E5492"/>
    <w:rsid w:val="36881F42"/>
    <w:rsid w:val="368D1DC7"/>
    <w:rsid w:val="369620A5"/>
    <w:rsid w:val="36B13A02"/>
    <w:rsid w:val="36C37977"/>
    <w:rsid w:val="36C55119"/>
    <w:rsid w:val="36EE0B88"/>
    <w:rsid w:val="36EE6CE5"/>
    <w:rsid w:val="36F04327"/>
    <w:rsid w:val="36F7133C"/>
    <w:rsid w:val="36FF540B"/>
    <w:rsid w:val="37110610"/>
    <w:rsid w:val="372A4ED9"/>
    <w:rsid w:val="37366894"/>
    <w:rsid w:val="374A3479"/>
    <w:rsid w:val="374B3676"/>
    <w:rsid w:val="37625946"/>
    <w:rsid w:val="376B43D8"/>
    <w:rsid w:val="376F416F"/>
    <w:rsid w:val="37767388"/>
    <w:rsid w:val="37A61894"/>
    <w:rsid w:val="37A76028"/>
    <w:rsid w:val="37B452D7"/>
    <w:rsid w:val="37BC7416"/>
    <w:rsid w:val="37C95005"/>
    <w:rsid w:val="37CB49B1"/>
    <w:rsid w:val="37CE5E7E"/>
    <w:rsid w:val="37E17844"/>
    <w:rsid w:val="37E743E6"/>
    <w:rsid w:val="37EF6ED7"/>
    <w:rsid w:val="38035164"/>
    <w:rsid w:val="380A109A"/>
    <w:rsid w:val="380C7EB8"/>
    <w:rsid w:val="381C2ECD"/>
    <w:rsid w:val="38286396"/>
    <w:rsid w:val="382864C0"/>
    <w:rsid w:val="382F1650"/>
    <w:rsid w:val="38300415"/>
    <w:rsid w:val="384701CC"/>
    <w:rsid w:val="384B66A7"/>
    <w:rsid w:val="386F03B4"/>
    <w:rsid w:val="387D4A49"/>
    <w:rsid w:val="387E755C"/>
    <w:rsid w:val="388724F1"/>
    <w:rsid w:val="388D4255"/>
    <w:rsid w:val="38907EAF"/>
    <w:rsid w:val="389C031D"/>
    <w:rsid w:val="38A427F3"/>
    <w:rsid w:val="38A8578B"/>
    <w:rsid w:val="38C91DDB"/>
    <w:rsid w:val="38D34E3F"/>
    <w:rsid w:val="38D410BA"/>
    <w:rsid w:val="38DA6F5A"/>
    <w:rsid w:val="38DC635B"/>
    <w:rsid w:val="38DE3BAD"/>
    <w:rsid w:val="38F8645C"/>
    <w:rsid w:val="39134281"/>
    <w:rsid w:val="39172E0C"/>
    <w:rsid w:val="39283EC6"/>
    <w:rsid w:val="392A4CE8"/>
    <w:rsid w:val="39341872"/>
    <w:rsid w:val="393538C3"/>
    <w:rsid w:val="39383A42"/>
    <w:rsid w:val="393B2A4F"/>
    <w:rsid w:val="393C136A"/>
    <w:rsid w:val="393D5AA2"/>
    <w:rsid w:val="39465E29"/>
    <w:rsid w:val="394A1FE1"/>
    <w:rsid w:val="395C723C"/>
    <w:rsid w:val="3961753B"/>
    <w:rsid w:val="397A5D9D"/>
    <w:rsid w:val="39845B82"/>
    <w:rsid w:val="39891395"/>
    <w:rsid w:val="39905A84"/>
    <w:rsid w:val="39A05D3D"/>
    <w:rsid w:val="39A7064F"/>
    <w:rsid w:val="39AA26B9"/>
    <w:rsid w:val="39BF316C"/>
    <w:rsid w:val="39C73D6F"/>
    <w:rsid w:val="39CE5EB4"/>
    <w:rsid w:val="39F32C7A"/>
    <w:rsid w:val="39F93B9F"/>
    <w:rsid w:val="39FD2EF0"/>
    <w:rsid w:val="3A00341D"/>
    <w:rsid w:val="3A0B5B53"/>
    <w:rsid w:val="3A1250B3"/>
    <w:rsid w:val="3A1F4351"/>
    <w:rsid w:val="3A330B17"/>
    <w:rsid w:val="3A3A555F"/>
    <w:rsid w:val="3A484F7A"/>
    <w:rsid w:val="3A4E78F5"/>
    <w:rsid w:val="3A533AF3"/>
    <w:rsid w:val="3A545921"/>
    <w:rsid w:val="3A56560F"/>
    <w:rsid w:val="3A5B5188"/>
    <w:rsid w:val="3A5C28ED"/>
    <w:rsid w:val="3A6C2998"/>
    <w:rsid w:val="3A71244C"/>
    <w:rsid w:val="3A76458F"/>
    <w:rsid w:val="3A891814"/>
    <w:rsid w:val="3AA20AD2"/>
    <w:rsid w:val="3AA57A6C"/>
    <w:rsid w:val="3AAE7BBD"/>
    <w:rsid w:val="3AAF1717"/>
    <w:rsid w:val="3AB46836"/>
    <w:rsid w:val="3AB60A15"/>
    <w:rsid w:val="3AC03C3C"/>
    <w:rsid w:val="3AD90D44"/>
    <w:rsid w:val="3AFC244B"/>
    <w:rsid w:val="3B00629F"/>
    <w:rsid w:val="3B0113CD"/>
    <w:rsid w:val="3B021102"/>
    <w:rsid w:val="3B220B3D"/>
    <w:rsid w:val="3B275FFF"/>
    <w:rsid w:val="3B351401"/>
    <w:rsid w:val="3B3A5659"/>
    <w:rsid w:val="3B3B5970"/>
    <w:rsid w:val="3B62526C"/>
    <w:rsid w:val="3B73014F"/>
    <w:rsid w:val="3B7477B0"/>
    <w:rsid w:val="3B7D4F7B"/>
    <w:rsid w:val="3B7E45D4"/>
    <w:rsid w:val="3B8665FF"/>
    <w:rsid w:val="3B9771D4"/>
    <w:rsid w:val="3BB77B04"/>
    <w:rsid w:val="3BBA3BC1"/>
    <w:rsid w:val="3BBB47DA"/>
    <w:rsid w:val="3BCE1415"/>
    <w:rsid w:val="3BCE4188"/>
    <w:rsid w:val="3BD6248E"/>
    <w:rsid w:val="3BD96D39"/>
    <w:rsid w:val="3BE36648"/>
    <w:rsid w:val="3BF04C11"/>
    <w:rsid w:val="3C0E6FA2"/>
    <w:rsid w:val="3C147898"/>
    <w:rsid w:val="3C177E5C"/>
    <w:rsid w:val="3C1E2266"/>
    <w:rsid w:val="3C2118F9"/>
    <w:rsid w:val="3C215C1C"/>
    <w:rsid w:val="3C3451C5"/>
    <w:rsid w:val="3C390753"/>
    <w:rsid w:val="3C4C4DC6"/>
    <w:rsid w:val="3C5070AE"/>
    <w:rsid w:val="3C5D51CB"/>
    <w:rsid w:val="3C6B1D40"/>
    <w:rsid w:val="3C6C1415"/>
    <w:rsid w:val="3C8E35AA"/>
    <w:rsid w:val="3C8F4AA7"/>
    <w:rsid w:val="3C900B33"/>
    <w:rsid w:val="3C98239C"/>
    <w:rsid w:val="3CA51514"/>
    <w:rsid w:val="3CB3654E"/>
    <w:rsid w:val="3CB86AA8"/>
    <w:rsid w:val="3CC56F6E"/>
    <w:rsid w:val="3CFD31E5"/>
    <w:rsid w:val="3D010316"/>
    <w:rsid w:val="3D054116"/>
    <w:rsid w:val="3D106B90"/>
    <w:rsid w:val="3D1470AD"/>
    <w:rsid w:val="3D1B5F2D"/>
    <w:rsid w:val="3D1F2BD9"/>
    <w:rsid w:val="3D2C6FEF"/>
    <w:rsid w:val="3D4F6FC9"/>
    <w:rsid w:val="3D5B0024"/>
    <w:rsid w:val="3D5E7BCB"/>
    <w:rsid w:val="3D882EF6"/>
    <w:rsid w:val="3D96201C"/>
    <w:rsid w:val="3D985899"/>
    <w:rsid w:val="3DA95AFE"/>
    <w:rsid w:val="3DBD04D4"/>
    <w:rsid w:val="3DC40470"/>
    <w:rsid w:val="3DCA5FB2"/>
    <w:rsid w:val="3DDE276F"/>
    <w:rsid w:val="3DE05B0D"/>
    <w:rsid w:val="3DE95B86"/>
    <w:rsid w:val="3DEA3E7C"/>
    <w:rsid w:val="3DEC602A"/>
    <w:rsid w:val="3DF054FD"/>
    <w:rsid w:val="3DF2418E"/>
    <w:rsid w:val="3DFA1560"/>
    <w:rsid w:val="3E06491D"/>
    <w:rsid w:val="3E075A97"/>
    <w:rsid w:val="3E0B50EE"/>
    <w:rsid w:val="3E0F571A"/>
    <w:rsid w:val="3E2D5BBF"/>
    <w:rsid w:val="3E2E19BC"/>
    <w:rsid w:val="3E2E7476"/>
    <w:rsid w:val="3E3571C1"/>
    <w:rsid w:val="3E6E3349"/>
    <w:rsid w:val="3E88552D"/>
    <w:rsid w:val="3E9A3831"/>
    <w:rsid w:val="3EBD2902"/>
    <w:rsid w:val="3EC85B0E"/>
    <w:rsid w:val="3ECD5D7D"/>
    <w:rsid w:val="3EEE551C"/>
    <w:rsid w:val="3EEF7488"/>
    <w:rsid w:val="3EF76563"/>
    <w:rsid w:val="3EF812EF"/>
    <w:rsid w:val="3EFF4284"/>
    <w:rsid w:val="3F0A7077"/>
    <w:rsid w:val="3F1F3571"/>
    <w:rsid w:val="3F3A639B"/>
    <w:rsid w:val="3F3B41D0"/>
    <w:rsid w:val="3F4363F6"/>
    <w:rsid w:val="3F4C0738"/>
    <w:rsid w:val="3F4D150D"/>
    <w:rsid w:val="3F5326EB"/>
    <w:rsid w:val="3F570A21"/>
    <w:rsid w:val="3F59357D"/>
    <w:rsid w:val="3F5B3B04"/>
    <w:rsid w:val="3F68032E"/>
    <w:rsid w:val="3F684F78"/>
    <w:rsid w:val="3F6F778B"/>
    <w:rsid w:val="3F7809BA"/>
    <w:rsid w:val="3F8B6AA6"/>
    <w:rsid w:val="3F9125D9"/>
    <w:rsid w:val="3F950609"/>
    <w:rsid w:val="3F985A54"/>
    <w:rsid w:val="3F9E5860"/>
    <w:rsid w:val="3FA33513"/>
    <w:rsid w:val="3FC12B5D"/>
    <w:rsid w:val="3FC45EA5"/>
    <w:rsid w:val="3FDD6BB3"/>
    <w:rsid w:val="3FE15D68"/>
    <w:rsid w:val="3FE20608"/>
    <w:rsid w:val="3FF11E0E"/>
    <w:rsid w:val="3FF95AA4"/>
    <w:rsid w:val="40032837"/>
    <w:rsid w:val="400F182A"/>
    <w:rsid w:val="401235FF"/>
    <w:rsid w:val="4026778B"/>
    <w:rsid w:val="402A1D29"/>
    <w:rsid w:val="402E0C77"/>
    <w:rsid w:val="402F6655"/>
    <w:rsid w:val="40327C26"/>
    <w:rsid w:val="403343F0"/>
    <w:rsid w:val="4036280D"/>
    <w:rsid w:val="40496EB4"/>
    <w:rsid w:val="405F550A"/>
    <w:rsid w:val="407206DC"/>
    <w:rsid w:val="40756814"/>
    <w:rsid w:val="407A1996"/>
    <w:rsid w:val="40891882"/>
    <w:rsid w:val="40974913"/>
    <w:rsid w:val="40A50F2C"/>
    <w:rsid w:val="40AC7541"/>
    <w:rsid w:val="40C87F81"/>
    <w:rsid w:val="40CA7E9F"/>
    <w:rsid w:val="40F55966"/>
    <w:rsid w:val="40FB798E"/>
    <w:rsid w:val="41066DE1"/>
    <w:rsid w:val="41295CAA"/>
    <w:rsid w:val="412E7B85"/>
    <w:rsid w:val="412F7C0F"/>
    <w:rsid w:val="41487610"/>
    <w:rsid w:val="414903A4"/>
    <w:rsid w:val="414A5F9C"/>
    <w:rsid w:val="414B0799"/>
    <w:rsid w:val="415269D6"/>
    <w:rsid w:val="415E2C9A"/>
    <w:rsid w:val="41625154"/>
    <w:rsid w:val="416812CE"/>
    <w:rsid w:val="41755AC0"/>
    <w:rsid w:val="417F5C62"/>
    <w:rsid w:val="41800BA5"/>
    <w:rsid w:val="41812FBC"/>
    <w:rsid w:val="418E6FA7"/>
    <w:rsid w:val="4196458B"/>
    <w:rsid w:val="41B331A1"/>
    <w:rsid w:val="41B361EE"/>
    <w:rsid w:val="41B63396"/>
    <w:rsid w:val="41C233E3"/>
    <w:rsid w:val="41C42728"/>
    <w:rsid w:val="41C67572"/>
    <w:rsid w:val="41F35795"/>
    <w:rsid w:val="41F40A61"/>
    <w:rsid w:val="41F5448B"/>
    <w:rsid w:val="41F60721"/>
    <w:rsid w:val="41F93A35"/>
    <w:rsid w:val="41FA17A2"/>
    <w:rsid w:val="41FB383F"/>
    <w:rsid w:val="420279B1"/>
    <w:rsid w:val="42063D93"/>
    <w:rsid w:val="423C34F2"/>
    <w:rsid w:val="42400140"/>
    <w:rsid w:val="42561674"/>
    <w:rsid w:val="42641F78"/>
    <w:rsid w:val="426E0E2F"/>
    <w:rsid w:val="42735F45"/>
    <w:rsid w:val="428413CF"/>
    <w:rsid w:val="4284215B"/>
    <w:rsid w:val="42915817"/>
    <w:rsid w:val="42AB1DA4"/>
    <w:rsid w:val="42D239C9"/>
    <w:rsid w:val="42E55CF4"/>
    <w:rsid w:val="42FC292C"/>
    <w:rsid w:val="42FE6A56"/>
    <w:rsid w:val="43035972"/>
    <w:rsid w:val="430745DB"/>
    <w:rsid w:val="4315448A"/>
    <w:rsid w:val="432B438C"/>
    <w:rsid w:val="43411226"/>
    <w:rsid w:val="434642BE"/>
    <w:rsid w:val="43477948"/>
    <w:rsid w:val="434D2A2C"/>
    <w:rsid w:val="43546D00"/>
    <w:rsid w:val="43560D7A"/>
    <w:rsid w:val="43592E2C"/>
    <w:rsid w:val="43751A4D"/>
    <w:rsid w:val="437B0C65"/>
    <w:rsid w:val="43AE4401"/>
    <w:rsid w:val="43B14980"/>
    <w:rsid w:val="43B4701E"/>
    <w:rsid w:val="43D42885"/>
    <w:rsid w:val="43DC055F"/>
    <w:rsid w:val="43E62D26"/>
    <w:rsid w:val="43F10A50"/>
    <w:rsid w:val="44085A2D"/>
    <w:rsid w:val="44313CAD"/>
    <w:rsid w:val="44314E9B"/>
    <w:rsid w:val="443428C6"/>
    <w:rsid w:val="444627F3"/>
    <w:rsid w:val="444C0FED"/>
    <w:rsid w:val="44502397"/>
    <w:rsid w:val="445B3616"/>
    <w:rsid w:val="448275E3"/>
    <w:rsid w:val="44A909FB"/>
    <w:rsid w:val="44C34864"/>
    <w:rsid w:val="44D73F0A"/>
    <w:rsid w:val="44EA3C52"/>
    <w:rsid w:val="44EB4BB3"/>
    <w:rsid w:val="450F7002"/>
    <w:rsid w:val="45355D98"/>
    <w:rsid w:val="45435E28"/>
    <w:rsid w:val="454A13BD"/>
    <w:rsid w:val="45563A58"/>
    <w:rsid w:val="455C2CEB"/>
    <w:rsid w:val="456B34A1"/>
    <w:rsid w:val="457F2E39"/>
    <w:rsid w:val="45812EC7"/>
    <w:rsid w:val="45993D3C"/>
    <w:rsid w:val="459B5AA7"/>
    <w:rsid w:val="45A60E36"/>
    <w:rsid w:val="45AB6CC9"/>
    <w:rsid w:val="45AD47DC"/>
    <w:rsid w:val="45AD74C9"/>
    <w:rsid w:val="45B251D6"/>
    <w:rsid w:val="45B26A6F"/>
    <w:rsid w:val="45BC2725"/>
    <w:rsid w:val="45C209E5"/>
    <w:rsid w:val="45C3524E"/>
    <w:rsid w:val="45EA2EB1"/>
    <w:rsid w:val="45F3270F"/>
    <w:rsid w:val="45F6726F"/>
    <w:rsid w:val="46036AA3"/>
    <w:rsid w:val="460E510A"/>
    <w:rsid w:val="461804BF"/>
    <w:rsid w:val="462A6E9E"/>
    <w:rsid w:val="462C1B10"/>
    <w:rsid w:val="463048DB"/>
    <w:rsid w:val="463476AE"/>
    <w:rsid w:val="46376275"/>
    <w:rsid w:val="46613B74"/>
    <w:rsid w:val="467256BD"/>
    <w:rsid w:val="4676443A"/>
    <w:rsid w:val="467809A9"/>
    <w:rsid w:val="46976762"/>
    <w:rsid w:val="46B43194"/>
    <w:rsid w:val="46D37D6C"/>
    <w:rsid w:val="46E51DF5"/>
    <w:rsid w:val="46F148F7"/>
    <w:rsid w:val="46F466CC"/>
    <w:rsid w:val="46F71ECF"/>
    <w:rsid w:val="47412DA6"/>
    <w:rsid w:val="476640D4"/>
    <w:rsid w:val="476D1159"/>
    <w:rsid w:val="47721002"/>
    <w:rsid w:val="477D3E23"/>
    <w:rsid w:val="478019FB"/>
    <w:rsid w:val="47871B77"/>
    <w:rsid w:val="47883E83"/>
    <w:rsid w:val="478B59F8"/>
    <w:rsid w:val="479113F1"/>
    <w:rsid w:val="479977A8"/>
    <w:rsid w:val="479A0F46"/>
    <w:rsid w:val="47AB2AEE"/>
    <w:rsid w:val="47B74942"/>
    <w:rsid w:val="47B93006"/>
    <w:rsid w:val="47C76334"/>
    <w:rsid w:val="47EA3FFE"/>
    <w:rsid w:val="48011216"/>
    <w:rsid w:val="48201E75"/>
    <w:rsid w:val="483B6608"/>
    <w:rsid w:val="484A568E"/>
    <w:rsid w:val="486E377C"/>
    <w:rsid w:val="48791396"/>
    <w:rsid w:val="488A58FC"/>
    <w:rsid w:val="489837F0"/>
    <w:rsid w:val="48B61D73"/>
    <w:rsid w:val="48BA1445"/>
    <w:rsid w:val="48C04E2D"/>
    <w:rsid w:val="48C71D07"/>
    <w:rsid w:val="48E55DC3"/>
    <w:rsid w:val="48E9295A"/>
    <w:rsid w:val="48EC2424"/>
    <w:rsid w:val="48EE45FC"/>
    <w:rsid w:val="48F5483B"/>
    <w:rsid w:val="49426583"/>
    <w:rsid w:val="49562D43"/>
    <w:rsid w:val="495C2747"/>
    <w:rsid w:val="496063B4"/>
    <w:rsid w:val="49734125"/>
    <w:rsid w:val="498E55F2"/>
    <w:rsid w:val="4995440A"/>
    <w:rsid w:val="499B2892"/>
    <w:rsid w:val="499C1085"/>
    <w:rsid w:val="499F45A0"/>
    <w:rsid w:val="49B449EE"/>
    <w:rsid w:val="49EB5CB4"/>
    <w:rsid w:val="4A264208"/>
    <w:rsid w:val="4A2B6BA9"/>
    <w:rsid w:val="4A2D02EC"/>
    <w:rsid w:val="4A311D99"/>
    <w:rsid w:val="4A373B42"/>
    <w:rsid w:val="4A3C54BD"/>
    <w:rsid w:val="4A410E3D"/>
    <w:rsid w:val="4A6C301E"/>
    <w:rsid w:val="4AB86CAD"/>
    <w:rsid w:val="4AC905B3"/>
    <w:rsid w:val="4ACF5F5F"/>
    <w:rsid w:val="4AD3435E"/>
    <w:rsid w:val="4AF536DD"/>
    <w:rsid w:val="4AF91768"/>
    <w:rsid w:val="4B053F0F"/>
    <w:rsid w:val="4B077F4B"/>
    <w:rsid w:val="4B0B4DD1"/>
    <w:rsid w:val="4B1647F1"/>
    <w:rsid w:val="4B184721"/>
    <w:rsid w:val="4B21060D"/>
    <w:rsid w:val="4B277444"/>
    <w:rsid w:val="4B2801B4"/>
    <w:rsid w:val="4B3C6D39"/>
    <w:rsid w:val="4B441B76"/>
    <w:rsid w:val="4B447C2A"/>
    <w:rsid w:val="4B4A30AB"/>
    <w:rsid w:val="4BA271B3"/>
    <w:rsid w:val="4BBD38F8"/>
    <w:rsid w:val="4BBE4ED7"/>
    <w:rsid w:val="4BD53B97"/>
    <w:rsid w:val="4C05621A"/>
    <w:rsid w:val="4C075274"/>
    <w:rsid w:val="4C1E20C7"/>
    <w:rsid w:val="4C240D8A"/>
    <w:rsid w:val="4C353E66"/>
    <w:rsid w:val="4C383358"/>
    <w:rsid w:val="4C4C634F"/>
    <w:rsid w:val="4C5425DB"/>
    <w:rsid w:val="4C5B62D6"/>
    <w:rsid w:val="4C8912A3"/>
    <w:rsid w:val="4C962714"/>
    <w:rsid w:val="4CA13F37"/>
    <w:rsid w:val="4CAD34D8"/>
    <w:rsid w:val="4CB91DB0"/>
    <w:rsid w:val="4CDA0E1C"/>
    <w:rsid w:val="4CDB1C40"/>
    <w:rsid w:val="4CED5202"/>
    <w:rsid w:val="4CEE14E8"/>
    <w:rsid w:val="4CF5346D"/>
    <w:rsid w:val="4D1D70F3"/>
    <w:rsid w:val="4D2B3972"/>
    <w:rsid w:val="4D2C5F1D"/>
    <w:rsid w:val="4D3B2E58"/>
    <w:rsid w:val="4D6942E7"/>
    <w:rsid w:val="4D8355E8"/>
    <w:rsid w:val="4D8D0E6A"/>
    <w:rsid w:val="4D935CFB"/>
    <w:rsid w:val="4D9F649C"/>
    <w:rsid w:val="4DA92B72"/>
    <w:rsid w:val="4DAE240E"/>
    <w:rsid w:val="4DB67B96"/>
    <w:rsid w:val="4DBA72F6"/>
    <w:rsid w:val="4DC52BC6"/>
    <w:rsid w:val="4DD739A3"/>
    <w:rsid w:val="4DE60E99"/>
    <w:rsid w:val="4DF611AC"/>
    <w:rsid w:val="4E04615C"/>
    <w:rsid w:val="4E0D2F02"/>
    <w:rsid w:val="4E0D5088"/>
    <w:rsid w:val="4E1A4159"/>
    <w:rsid w:val="4E2A493C"/>
    <w:rsid w:val="4E2B6B65"/>
    <w:rsid w:val="4E2B7433"/>
    <w:rsid w:val="4E377E9F"/>
    <w:rsid w:val="4E450375"/>
    <w:rsid w:val="4E456867"/>
    <w:rsid w:val="4E4933EC"/>
    <w:rsid w:val="4E53262A"/>
    <w:rsid w:val="4E5D5B4D"/>
    <w:rsid w:val="4E6064C6"/>
    <w:rsid w:val="4E627031"/>
    <w:rsid w:val="4E7B74BE"/>
    <w:rsid w:val="4E7D57E3"/>
    <w:rsid w:val="4E8F0306"/>
    <w:rsid w:val="4E977700"/>
    <w:rsid w:val="4E9D1A7D"/>
    <w:rsid w:val="4EAD56CC"/>
    <w:rsid w:val="4EAF44A2"/>
    <w:rsid w:val="4EB5536B"/>
    <w:rsid w:val="4ED00266"/>
    <w:rsid w:val="4ED41CF7"/>
    <w:rsid w:val="4EF62260"/>
    <w:rsid w:val="4EFC2FC9"/>
    <w:rsid w:val="4F103C5A"/>
    <w:rsid w:val="4F447B99"/>
    <w:rsid w:val="4F4A3FE4"/>
    <w:rsid w:val="4F5F28F5"/>
    <w:rsid w:val="4F833E03"/>
    <w:rsid w:val="4FA251C3"/>
    <w:rsid w:val="4FA5454B"/>
    <w:rsid w:val="4FC277BC"/>
    <w:rsid w:val="4FC27BBF"/>
    <w:rsid w:val="4FE47750"/>
    <w:rsid w:val="4FF13D33"/>
    <w:rsid w:val="501C6D2E"/>
    <w:rsid w:val="5033265B"/>
    <w:rsid w:val="503B1C09"/>
    <w:rsid w:val="50452D91"/>
    <w:rsid w:val="50543792"/>
    <w:rsid w:val="50642D36"/>
    <w:rsid w:val="5067312A"/>
    <w:rsid w:val="507244C1"/>
    <w:rsid w:val="50762D94"/>
    <w:rsid w:val="507E7BDA"/>
    <w:rsid w:val="5080569D"/>
    <w:rsid w:val="50846A31"/>
    <w:rsid w:val="508A0CF1"/>
    <w:rsid w:val="50A52F1A"/>
    <w:rsid w:val="50A6780B"/>
    <w:rsid w:val="50AA3315"/>
    <w:rsid w:val="50B7576D"/>
    <w:rsid w:val="50BE6798"/>
    <w:rsid w:val="50D80BC5"/>
    <w:rsid w:val="50F15A76"/>
    <w:rsid w:val="511E28A8"/>
    <w:rsid w:val="513C0D93"/>
    <w:rsid w:val="514B09F3"/>
    <w:rsid w:val="514C2D51"/>
    <w:rsid w:val="51664FDE"/>
    <w:rsid w:val="51685942"/>
    <w:rsid w:val="519158BA"/>
    <w:rsid w:val="51927513"/>
    <w:rsid w:val="5195711B"/>
    <w:rsid w:val="51AD71DC"/>
    <w:rsid w:val="51B36436"/>
    <w:rsid w:val="51BA371D"/>
    <w:rsid w:val="51BB2D30"/>
    <w:rsid w:val="51C172B6"/>
    <w:rsid w:val="51DA5792"/>
    <w:rsid w:val="51E17F01"/>
    <w:rsid w:val="51E20D6B"/>
    <w:rsid w:val="51E33E4B"/>
    <w:rsid w:val="51E37EF5"/>
    <w:rsid w:val="520A11AC"/>
    <w:rsid w:val="52387F54"/>
    <w:rsid w:val="52562E47"/>
    <w:rsid w:val="525A461C"/>
    <w:rsid w:val="5262695B"/>
    <w:rsid w:val="52631E3B"/>
    <w:rsid w:val="5265452C"/>
    <w:rsid w:val="52854B76"/>
    <w:rsid w:val="52954116"/>
    <w:rsid w:val="52987B3B"/>
    <w:rsid w:val="52A37F48"/>
    <w:rsid w:val="52A51DEE"/>
    <w:rsid w:val="52AC7D36"/>
    <w:rsid w:val="52B51315"/>
    <w:rsid w:val="52C8694F"/>
    <w:rsid w:val="52D252B2"/>
    <w:rsid w:val="52DA4E58"/>
    <w:rsid w:val="52EA5761"/>
    <w:rsid w:val="52EE5B57"/>
    <w:rsid w:val="53102EC6"/>
    <w:rsid w:val="53236099"/>
    <w:rsid w:val="53326200"/>
    <w:rsid w:val="53715059"/>
    <w:rsid w:val="53720972"/>
    <w:rsid w:val="537A7BB0"/>
    <w:rsid w:val="53997E1D"/>
    <w:rsid w:val="53A13FA8"/>
    <w:rsid w:val="53CB4CBF"/>
    <w:rsid w:val="53D9354B"/>
    <w:rsid w:val="53EE1F62"/>
    <w:rsid w:val="5428687C"/>
    <w:rsid w:val="54296A3E"/>
    <w:rsid w:val="542E2CD9"/>
    <w:rsid w:val="542F04E2"/>
    <w:rsid w:val="54314E4F"/>
    <w:rsid w:val="543D5D31"/>
    <w:rsid w:val="543E201A"/>
    <w:rsid w:val="544A5FE6"/>
    <w:rsid w:val="544F474E"/>
    <w:rsid w:val="54517133"/>
    <w:rsid w:val="54552579"/>
    <w:rsid w:val="54645C16"/>
    <w:rsid w:val="547B286B"/>
    <w:rsid w:val="548315E3"/>
    <w:rsid w:val="548A2538"/>
    <w:rsid w:val="548F6AF0"/>
    <w:rsid w:val="549D6B72"/>
    <w:rsid w:val="54A36871"/>
    <w:rsid w:val="54B414AF"/>
    <w:rsid w:val="54BF284D"/>
    <w:rsid w:val="54C8599B"/>
    <w:rsid w:val="54EC47C0"/>
    <w:rsid w:val="55056424"/>
    <w:rsid w:val="550D783A"/>
    <w:rsid w:val="550E004A"/>
    <w:rsid w:val="550F190B"/>
    <w:rsid w:val="5514716C"/>
    <w:rsid w:val="55186CF0"/>
    <w:rsid w:val="551F7957"/>
    <w:rsid w:val="552928DB"/>
    <w:rsid w:val="552D5D6B"/>
    <w:rsid w:val="552E79F2"/>
    <w:rsid w:val="55375C3D"/>
    <w:rsid w:val="553E6CA4"/>
    <w:rsid w:val="55415ED4"/>
    <w:rsid w:val="554A5D9A"/>
    <w:rsid w:val="55526C43"/>
    <w:rsid w:val="555C527E"/>
    <w:rsid w:val="55613594"/>
    <w:rsid w:val="55653A5B"/>
    <w:rsid w:val="557F4BDB"/>
    <w:rsid w:val="55966B5F"/>
    <w:rsid w:val="559B716C"/>
    <w:rsid w:val="55AC79C9"/>
    <w:rsid w:val="55B664D9"/>
    <w:rsid w:val="55C022A2"/>
    <w:rsid w:val="55CD7353"/>
    <w:rsid w:val="55E7764E"/>
    <w:rsid w:val="55EA2122"/>
    <w:rsid w:val="55F832E3"/>
    <w:rsid w:val="55F92067"/>
    <w:rsid w:val="55F94962"/>
    <w:rsid w:val="55FD396D"/>
    <w:rsid w:val="56066F4D"/>
    <w:rsid w:val="561D10C0"/>
    <w:rsid w:val="561D575E"/>
    <w:rsid w:val="562D468A"/>
    <w:rsid w:val="56390C7F"/>
    <w:rsid w:val="564027CA"/>
    <w:rsid w:val="564F0AA1"/>
    <w:rsid w:val="565572EA"/>
    <w:rsid w:val="565A4C6D"/>
    <w:rsid w:val="56844F9A"/>
    <w:rsid w:val="568839F7"/>
    <w:rsid w:val="568D0707"/>
    <w:rsid w:val="56914D5C"/>
    <w:rsid w:val="56927C52"/>
    <w:rsid w:val="56932250"/>
    <w:rsid w:val="56942A6B"/>
    <w:rsid w:val="56A62566"/>
    <w:rsid w:val="56C70945"/>
    <w:rsid w:val="56CA5270"/>
    <w:rsid w:val="56CE5F85"/>
    <w:rsid w:val="56D560B7"/>
    <w:rsid w:val="56DD0B67"/>
    <w:rsid w:val="56DE7C23"/>
    <w:rsid w:val="56E03D09"/>
    <w:rsid w:val="56E72D86"/>
    <w:rsid w:val="56ED45F2"/>
    <w:rsid w:val="56F9752E"/>
    <w:rsid w:val="57074F3F"/>
    <w:rsid w:val="5720043B"/>
    <w:rsid w:val="5722791C"/>
    <w:rsid w:val="573F1847"/>
    <w:rsid w:val="57461A28"/>
    <w:rsid w:val="574F65B2"/>
    <w:rsid w:val="57600C41"/>
    <w:rsid w:val="576E22AB"/>
    <w:rsid w:val="57832EB7"/>
    <w:rsid w:val="57857C22"/>
    <w:rsid w:val="579F55F4"/>
    <w:rsid w:val="57AA253A"/>
    <w:rsid w:val="57AE76D8"/>
    <w:rsid w:val="57B16C23"/>
    <w:rsid w:val="57B4326C"/>
    <w:rsid w:val="57B97813"/>
    <w:rsid w:val="57E01B90"/>
    <w:rsid w:val="57ED2C1E"/>
    <w:rsid w:val="57FF0468"/>
    <w:rsid w:val="580333EA"/>
    <w:rsid w:val="580D0DFE"/>
    <w:rsid w:val="581346BD"/>
    <w:rsid w:val="58190D0E"/>
    <w:rsid w:val="581D3988"/>
    <w:rsid w:val="58261F35"/>
    <w:rsid w:val="58266584"/>
    <w:rsid w:val="583B6885"/>
    <w:rsid w:val="583B7EB2"/>
    <w:rsid w:val="583D50BF"/>
    <w:rsid w:val="58430D62"/>
    <w:rsid w:val="5851520E"/>
    <w:rsid w:val="586603E6"/>
    <w:rsid w:val="588F19E3"/>
    <w:rsid w:val="58A0098E"/>
    <w:rsid w:val="58A10486"/>
    <w:rsid w:val="58BC6274"/>
    <w:rsid w:val="58C03A8A"/>
    <w:rsid w:val="58DE1D62"/>
    <w:rsid w:val="58E40CFA"/>
    <w:rsid w:val="58EF7483"/>
    <w:rsid w:val="590E5750"/>
    <w:rsid w:val="59102F2F"/>
    <w:rsid w:val="59120C42"/>
    <w:rsid w:val="59297912"/>
    <w:rsid w:val="593764B5"/>
    <w:rsid w:val="59552851"/>
    <w:rsid w:val="59594A51"/>
    <w:rsid w:val="595A5E82"/>
    <w:rsid w:val="59704F52"/>
    <w:rsid w:val="59725560"/>
    <w:rsid w:val="597C76D5"/>
    <w:rsid w:val="59944F42"/>
    <w:rsid w:val="59A3408F"/>
    <w:rsid w:val="59B511EA"/>
    <w:rsid w:val="59C020FD"/>
    <w:rsid w:val="59C246B4"/>
    <w:rsid w:val="59EC36FA"/>
    <w:rsid w:val="59F50261"/>
    <w:rsid w:val="59FD75ED"/>
    <w:rsid w:val="5A0A5BEC"/>
    <w:rsid w:val="5A0C2945"/>
    <w:rsid w:val="5A1577FA"/>
    <w:rsid w:val="5A2B0251"/>
    <w:rsid w:val="5A4868CD"/>
    <w:rsid w:val="5A52693F"/>
    <w:rsid w:val="5A5344D4"/>
    <w:rsid w:val="5A6A5705"/>
    <w:rsid w:val="5A6E0987"/>
    <w:rsid w:val="5A724BCC"/>
    <w:rsid w:val="5A7B5ACB"/>
    <w:rsid w:val="5A7D0178"/>
    <w:rsid w:val="5A7D6A1D"/>
    <w:rsid w:val="5A7F3793"/>
    <w:rsid w:val="5A894799"/>
    <w:rsid w:val="5A9B1297"/>
    <w:rsid w:val="5A9C17F0"/>
    <w:rsid w:val="5ABC000E"/>
    <w:rsid w:val="5ABF5C00"/>
    <w:rsid w:val="5AC209FC"/>
    <w:rsid w:val="5ACD6952"/>
    <w:rsid w:val="5ADA6451"/>
    <w:rsid w:val="5ADC0BE8"/>
    <w:rsid w:val="5ADD4750"/>
    <w:rsid w:val="5AE94AFB"/>
    <w:rsid w:val="5AF15F09"/>
    <w:rsid w:val="5B005B74"/>
    <w:rsid w:val="5B0810A7"/>
    <w:rsid w:val="5B357E06"/>
    <w:rsid w:val="5B425F03"/>
    <w:rsid w:val="5B573995"/>
    <w:rsid w:val="5B5B2556"/>
    <w:rsid w:val="5B656EE4"/>
    <w:rsid w:val="5B796A78"/>
    <w:rsid w:val="5B8179A8"/>
    <w:rsid w:val="5B9245E0"/>
    <w:rsid w:val="5B97693F"/>
    <w:rsid w:val="5BA90BE3"/>
    <w:rsid w:val="5BB35A1A"/>
    <w:rsid w:val="5BC00F5D"/>
    <w:rsid w:val="5BC90E30"/>
    <w:rsid w:val="5BCD0025"/>
    <w:rsid w:val="5BD70FBC"/>
    <w:rsid w:val="5BE11C55"/>
    <w:rsid w:val="5BF117B2"/>
    <w:rsid w:val="5BF35137"/>
    <w:rsid w:val="5C207862"/>
    <w:rsid w:val="5C2320FC"/>
    <w:rsid w:val="5C360CB5"/>
    <w:rsid w:val="5C4569C9"/>
    <w:rsid w:val="5C460207"/>
    <w:rsid w:val="5C554A97"/>
    <w:rsid w:val="5C654D04"/>
    <w:rsid w:val="5C6B4C40"/>
    <w:rsid w:val="5C705368"/>
    <w:rsid w:val="5C831227"/>
    <w:rsid w:val="5C8377F4"/>
    <w:rsid w:val="5C8526DC"/>
    <w:rsid w:val="5C8721F9"/>
    <w:rsid w:val="5C900891"/>
    <w:rsid w:val="5C975BDD"/>
    <w:rsid w:val="5CC73557"/>
    <w:rsid w:val="5CD126B7"/>
    <w:rsid w:val="5CD455E9"/>
    <w:rsid w:val="5D1060E5"/>
    <w:rsid w:val="5D3B7CCA"/>
    <w:rsid w:val="5D521F2F"/>
    <w:rsid w:val="5D79478C"/>
    <w:rsid w:val="5D7C036D"/>
    <w:rsid w:val="5D983449"/>
    <w:rsid w:val="5DA66329"/>
    <w:rsid w:val="5DC2258E"/>
    <w:rsid w:val="5DC775EA"/>
    <w:rsid w:val="5DCE462D"/>
    <w:rsid w:val="5DD13EAE"/>
    <w:rsid w:val="5DD55D8C"/>
    <w:rsid w:val="5DDE58CE"/>
    <w:rsid w:val="5DF3724F"/>
    <w:rsid w:val="5E124900"/>
    <w:rsid w:val="5E124AB0"/>
    <w:rsid w:val="5E6D33D8"/>
    <w:rsid w:val="5E777B17"/>
    <w:rsid w:val="5E901382"/>
    <w:rsid w:val="5E941B91"/>
    <w:rsid w:val="5E993023"/>
    <w:rsid w:val="5E9F3BA0"/>
    <w:rsid w:val="5EAD0280"/>
    <w:rsid w:val="5EBB5D99"/>
    <w:rsid w:val="5EBE4F46"/>
    <w:rsid w:val="5ED30197"/>
    <w:rsid w:val="5EE021A2"/>
    <w:rsid w:val="5EF6421F"/>
    <w:rsid w:val="5F066418"/>
    <w:rsid w:val="5F153D28"/>
    <w:rsid w:val="5F241678"/>
    <w:rsid w:val="5F2556DF"/>
    <w:rsid w:val="5F2A2E9D"/>
    <w:rsid w:val="5F2F715C"/>
    <w:rsid w:val="5F311061"/>
    <w:rsid w:val="5F3F1E5C"/>
    <w:rsid w:val="5F8C3725"/>
    <w:rsid w:val="5F930DF8"/>
    <w:rsid w:val="5F9B38DC"/>
    <w:rsid w:val="5FB35804"/>
    <w:rsid w:val="5FD51752"/>
    <w:rsid w:val="5FE233DC"/>
    <w:rsid w:val="600932FA"/>
    <w:rsid w:val="601F150D"/>
    <w:rsid w:val="60287A70"/>
    <w:rsid w:val="603A3822"/>
    <w:rsid w:val="60461C2A"/>
    <w:rsid w:val="604B5A2A"/>
    <w:rsid w:val="604C579F"/>
    <w:rsid w:val="60710A0E"/>
    <w:rsid w:val="6074269E"/>
    <w:rsid w:val="607B357E"/>
    <w:rsid w:val="609431A8"/>
    <w:rsid w:val="60951CBB"/>
    <w:rsid w:val="60954711"/>
    <w:rsid w:val="60A25C79"/>
    <w:rsid w:val="60A573D8"/>
    <w:rsid w:val="60A76203"/>
    <w:rsid w:val="60A9581B"/>
    <w:rsid w:val="60AA46A3"/>
    <w:rsid w:val="60AA4E11"/>
    <w:rsid w:val="60B414D7"/>
    <w:rsid w:val="60B562B6"/>
    <w:rsid w:val="60F33723"/>
    <w:rsid w:val="60F34817"/>
    <w:rsid w:val="60F60353"/>
    <w:rsid w:val="60FF7BAB"/>
    <w:rsid w:val="61060550"/>
    <w:rsid w:val="611E554C"/>
    <w:rsid w:val="61255BA4"/>
    <w:rsid w:val="61313143"/>
    <w:rsid w:val="61454E08"/>
    <w:rsid w:val="61504FEF"/>
    <w:rsid w:val="61690271"/>
    <w:rsid w:val="61761871"/>
    <w:rsid w:val="61815839"/>
    <w:rsid w:val="61A65345"/>
    <w:rsid w:val="61A9792A"/>
    <w:rsid w:val="61B8236A"/>
    <w:rsid w:val="61B92F4C"/>
    <w:rsid w:val="61C475D3"/>
    <w:rsid w:val="61ED3549"/>
    <w:rsid w:val="61FF7218"/>
    <w:rsid w:val="620331B7"/>
    <w:rsid w:val="62215511"/>
    <w:rsid w:val="6222311C"/>
    <w:rsid w:val="622F0524"/>
    <w:rsid w:val="623F7EAD"/>
    <w:rsid w:val="62401501"/>
    <w:rsid w:val="62494161"/>
    <w:rsid w:val="624C40F2"/>
    <w:rsid w:val="624F6898"/>
    <w:rsid w:val="62561A48"/>
    <w:rsid w:val="625F3DB0"/>
    <w:rsid w:val="62707F99"/>
    <w:rsid w:val="6271177A"/>
    <w:rsid w:val="6274202D"/>
    <w:rsid w:val="62773640"/>
    <w:rsid w:val="62887916"/>
    <w:rsid w:val="62C7389A"/>
    <w:rsid w:val="62CD743A"/>
    <w:rsid w:val="62CE2C05"/>
    <w:rsid w:val="62D06FE5"/>
    <w:rsid w:val="63215398"/>
    <w:rsid w:val="632E2CBC"/>
    <w:rsid w:val="63352F61"/>
    <w:rsid w:val="633604D1"/>
    <w:rsid w:val="633B2011"/>
    <w:rsid w:val="63416F62"/>
    <w:rsid w:val="63457566"/>
    <w:rsid w:val="634F621B"/>
    <w:rsid w:val="63680861"/>
    <w:rsid w:val="63AD691D"/>
    <w:rsid w:val="63CC05DC"/>
    <w:rsid w:val="63CC24A9"/>
    <w:rsid w:val="63CD406D"/>
    <w:rsid w:val="63D4381D"/>
    <w:rsid w:val="63D925FD"/>
    <w:rsid w:val="63DB23DD"/>
    <w:rsid w:val="63F92D24"/>
    <w:rsid w:val="63FF03B0"/>
    <w:rsid w:val="640D530F"/>
    <w:rsid w:val="640F59E4"/>
    <w:rsid w:val="641566A5"/>
    <w:rsid w:val="64171BC2"/>
    <w:rsid w:val="6420320F"/>
    <w:rsid w:val="642457B4"/>
    <w:rsid w:val="64432611"/>
    <w:rsid w:val="644A064C"/>
    <w:rsid w:val="64563BE5"/>
    <w:rsid w:val="646D10F9"/>
    <w:rsid w:val="647C4EEE"/>
    <w:rsid w:val="647F7064"/>
    <w:rsid w:val="64807AB2"/>
    <w:rsid w:val="6483722B"/>
    <w:rsid w:val="648D36EC"/>
    <w:rsid w:val="648F6BE3"/>
    <w:rsid w:val="649C1E7D"/>
    <w:rsid w:val="64AC47FB"/>
    <w:rsid w:val="64AD145C"/>
    <w:rsid w:val="64C07721"/>
    <w:rsid w:val="64F718B5"/>
    <w:rsid w:val="64FE5EAF"/>
    <w:rsid w:val="65047411"/>
    <w:rsid w:val="65146AE9"/>
    <w:rsid w:val="6517339D"/>
    <w:rsid w:val="652046C8"/>
    <w:rsid w:val="652B3BD4"/>
    <w:rsid w:val="653D5FA8"/>
    <w:rsid w:val="65590414"/>
    <w:rsid w:val="65685542"/>
    <w:rsid w:val="65693709"/>
    <w:rsid w:val="657732B0"/>
    <w:rsid w:val="657B59CB"/>
    <w:rsid w:val="65806356"/>
    <w:rsid w:val="658E0EDF"/>
    <w:rsid w:val="65A362EC"/>
    <w:rsid w:val="65A7180E"/>
    <w:rsid w:val="65BA231D"/>
    <w:rsid w:val="65BB4AF6"/>
    <w:rsid w:val="65C70092"/>
    <w:rsid w:val="65DC3EC5"/>
    <w:rsid w:val="65E84937"/>
    <w:rsid w:val="65F15133"/>
    <w:rsid w:val="65FF49B2"/>
    <w:rsid w:val="66164B13"/>
    <w:rsid w:val="662E1790"/>
    <w:rsid w:val="6631123A"/>
    <w:rsid w:val="663924A8"/>
    <w:rsid w:val="664053B3"/>
    <w:rsid w:val="66460609"/>
    <w:rsid w:val="664D3D3F"/>
    <w:rsid w:val="6662239F"/>
    <w:rsid w:val="666502AC"/>
    <w:rsid w:val="666C0879"/>
    <w:rsid w:val="66760C48"/>
    <w:rsid w:val="66804DA1"/>
    <w:rsid w:val="66852B4D"/>
    <w:rsid w:val="66881928"/>
    <w:rsid w:val="668B22CD"/>
    <w:rsid w:val="669A02FD"/>
    <w:rsid w:val="669B248F"/>
    <w:rsid w:val="66C862D2"/>
    <w:rsid w:val="66D7471D"/>
    <w:rsid w:val="66DD5128"/>
    <w:rsid w:val="66EC22E9"/>
    <w:rsid w:val="66FC2446"/>
    <w:rsid w:val="67060AC4"/>
    <w:rsid w:val="670C4C25"/>
    <w:rsid w:val="67116FD5"/>
    <w:rsid w:val="6717660C"/>
    <w:rsid w:val="67181B17"/>
    <w:rsid w:val="671836BE"/>
    <w:rsid w:val="673D07B7"/>
    <w:rsid w:val="673F31A1"/>
    <w:rsid w:val="67461C73"/>
    <w:rsid w:val="674A6512"/>
    <w:rsid w:val="674C39CD"/>
    <w:rsid w:val="67542FA1"/>
    <w:rsid w:val="676618DD"/>
    <w:rsid w:val="677740C4"/>
    <w:rsid w:val="677815A5"/>
    <w:rsid w:val="67784994"/>
    <w:rsid w:val="677C7DC1"/>
    <w:rsid w:val="67897652"/>
    <w:rsid w:val="67970C86"/>
    <w:rsid w:val="67A13649"/>
    <w:rsid w:val="67A733B9"/>
    <w:rsid w:val="67B87747"/>
    <w:rsid w:val="67DE6616"/>
    <w:rsid w:val="67EA66BF"/>
    <w:rsid w:val="67EE6587"/>
    <w:rsid w:val="680E224B"/>
    <w:rsid w:val="681F34D1"/>
    <w:rsid w:val="68386B80"/>
    <w:rsid w:val="68462EF4"/>
    <w:rsid w:val="68471BAF"/>
    <w:rsid w:val="6851189A"/>
    <w:rsid w:val="685528E2"/>
    <w:rsid w:val="685C18AD"/>
    <w:rsid w:val="686A591D"/>
    <w:rsid w:val="68737DF4"/>
    <w:rsid w:val="687B322C"/>
    <w:rsid w:val="688146CC"/>
    <w:rsid w:val="68924A1B"/>
    <w:rsid w:val="68947DA8"/>
    <w:rsid w:val="689E23CB"/>
    <w:rsid w:val="68B43F18"/>
    <w:rsid w:val="68D84EDA"/>
    <w:rsid w:val="68F03C65"/>
    <w:rsid w:val="68F70F08"/>
    <w:rsid w:val="690013FC"/>
    <w:rsid w:val="691B3378"/>
    <w:rsid w:val="692C4753"/>
    <w:rsid w:val="694333C3"/>
    <w:rsid w:val="694D2031"/>
    <w:rsid w:val="69575319"/>
    <w:rsid w:val="698A1170"/>
    <w:rsid w:val="698E208C"/>
    <w:rsid w:val="699376A7"/>
    <w:rsid w:val="69A12877"/>
    <w:rsid w:val="69B87296"/>
    <w:rsid w:val="69DE6F7B"/>
    <w:rsid w:val="69E257CC"/>
    <w:rsid w:val="69E70480"/>
    <w:rsid w:val="69EB154F"/>
    <w:rsid w:val="69F54233"/>
    <w:rsid w:val="6A1972C0"/>
    <w:rsid w:val="6A200811"/>
    <w:rsid w:val="6A6E3EFA"/>
    <w:rsid w:val="6A733B3B"/>
    <w:rsid w:val="6A761D35"/>
    <w:rsid w:val="6A790F0F"/>
    <w:rsid w:val="6A7936F7"/>
    <w:rsid w:val="6A8969AC"/>
    <w:rsid w:val="6A8A03E7"/>
    <w:rsid w:val="6A921858"/>
    <w:rsid w:val="6AAC2D51"/>
    <w:rsid w:val="6AAD0CBA"/>
    <w:rsid w:val="6AAD1664"/>
    <w:rsid w:val="6AC43375"/>
    <w:rsid w:val="6AC92278"/>
    <w:rsid w:val="6ACC2422"/>
    <w:rsid w:val="6AEB225F"/>
    <w:rsid w:val="6AF03296"/>
    <w:rsid w:val="6AFC609D"/>
    <w:rsid w:val="6B0E52F2"/>
    <w:rsid w:val="6B1C664C"/>
    <w:rsid w:val="6B265F8F"/>
    <w:rsid w:val="6B2F647D"/>
    <w:rsid w:val="6B32312C"/>
    <w:rsid w:val="6B334A3A"/>
    <w:rsid w:val="6B401A0F"/>
    <w:rsid w:val="6B6362AC"/>
    <w:rsid w:val="6B6566EF"/>
    <w:rsid w:val="6B8034A7"/>
    <w:rsid w:val="6B8C2910"/>
    <w:rsid w:val="6B9E2D56"/>
    <w:rsid w:val="6BA33DBC"/>
    <w:rsid w:val="6BA607B8"/>
    <w:rsid w:val="6BBD6579"/>
    <w:rsid w:val="6BBF2D37"/>
    <w:rsid w:val="6BCD3DF1"/>
    <w:rsid w:val="6BCE00BD"/>
    <w:rsid w:val="6BFC5E76"/>
    <w:rsid w:val="6BFE3EF7"/>
    <w:rsid w:val="6BFF7F66"/>
    <w:rsid w:val="6C0A3AEE"/>
    <w:rsid w:val="6C28740C"/>
    <w:rsid w:val="6C2F57E9"/>
    <w:rsid w:val="6C4403D7"/>
    <w:rsid w:val="6C5E27EB"/>
    <w:rsid w:val="6C623CA1"/>
    <w:rsid w:val="6C641961"/>
    <w:rsid w:val="6C7D0DE5"/>
    <w:rsid w:val="6CA25B40"/>
    <w:rsid w:val="6CA970AE"/>
    <w:rsid w:val="6CAE0AE5"/>
    <w:rsid w:val="6CC553D7"/>
    <w:rsid w:val="6CC77B08"/>
    <w:rsid w:val="6CD0724C"/>
    <w:rsid w:val="6CD524EA"/>
    <w:rsid w:val="6CDC259E"/>
    <w:rsid w:val="6CF9455A"/>
    <w:rsid w:val="6D1242E0"/>
    <w:rsid w:val="6D1D1BF0"/>
    <w:rsid w:val="6D2B2C61"/>
    <w:rsid w:val="6D3E24C7"/>
    <w:rsid w:val="6D605382"/>
    <w:rsid w:val="6D735411"/>
    <w:rsid w:val="6D786243"/>
    <w:rsid w:val="6D7B19CA"/>
    <w:rsid w:val="6D7C2DF5"/>
    <w:rsid w:val="6D83012B"/>
    <w:rsid w:val="6D89594F"/>
    <w:rsid w:val="6D977399"/>
    <w:rsid w:val="6D9E3F2C"/>
    <w:rsid w:val="6DA8390D"/>
    <w:rsid w:val="6DAB352F"/>
    <w:rsid w:val="6DCE13A9"/>
    <w:rsid w:val="6DEE04DB"/>
    <w:rsid w:val="6DEE09E0"/>
    <w:rsid w:val="6E124A42"/>
    <w:rsid w:val="6E1A58FF"/>
    <w:rsid w:val="6E1B50A8"/>
    <w:rsid w:val="6E235BCD"/>
    <w:rsid w:val="6E2736EF"/>
    <w:rsid w:val="6E2F3854"/>
    <w:rsid w:val="6E303931"/>
    <w:rsid w:val="6E315356"/>
    <w:rsid w:val="6E3817FE"/>
    <w:rsid w:val="6E40741E"/>
    <w:rsid w:val="6E47658E"/>
    <w:rsid w:val="6E533EC0"/>
    <w:rsid w:val="6E580081"/>
    <w:rsid w:val="6E5A397F"/>
    <w:rsid w:val="6E6226C4"/>
    <w:rsid w:val="6E6524F9"/>
    <w:rsid w:val="6E7C5420"/>
    <w:rsid w:val="6E8B5D81"/>
    <w:rsid w:val="6E9F1A64"/>
    <w:rsid w:val="6EA56634"/>
    <w:rsid w:val="6EA92B0D"/>
    <w:rsid w:val="6EAE53FA"/>
    <w:rsid w:val="6ECD1C48"/>
    <w:rsid w:val="6ECF14B9"/>
    <w:rsid w:val="6ED76D06"/>
    <w:rsid w:val="6EE24208"/>
    <w:rsid w:val="6EEA47A0"/>
    <w:rsid w:val="6F113E94"/>
    <w:rsid w:val="6F1F2E5E"/>
    <w:rsid w:val="6F202F04"/>
    <w:rsid w:val="6F217EFE"/>
    <w:rsid w:val="6F2C2B73"/>
    <w:rsid w:val="6F3745B8"/>
    <w:rsid w:val="6F5D3D71"/>
    <w:rsid w:val="6F6954C9"/>
    <w:rsid w:val="6F6E2BBD"/>
    <w:rsid w:val="6F756A71"/>
    <w:rsid w:val="6F7F29D8"/>
    <w:rsid w:val="6F96029E"/>
    <w:rsid w:val="6FB24AB7"/>
    <w:rsid w:val="6FC114E8"/>
    <w:rsid w:val="6FCC2D9B"/>
    <w:rsid w:val="6FD42990"/>
    <w:rsid w:val="6FDB437B"/>
    <w:rsid w:val="6FE0671B"/>
    <w:rsid w:val="6FE119F9"/>
    <w:rsid w:val="6FE61483"/>
    <w:rsid w:val="6FF6786E"/>
    <w:rsid w:val="6FF851DF"/>
    <w:rsid w:val="70026008"/>
    <w:rsid w:val="700E18DE"/>
    <w:rsid w:val="70116993"/>
    <w:rsid w:val="701422DF"/>
    <w:rsid w:val="70183456"/>
    <w:rsid w:val="70252F9D"/>
    <w:rsid w:val="702F3571"/>
    <w:rsid w:val="7032463C"/>
    <w:rsid w:val="70455486"/>
    <w:rsid w:val="70470D1E"/>
    <w:rsid w:val="704F6651"/>
    <w:rsid w:val="70537C5E"/>
    <w:rsid w:val="70616C6B"/>
    <w:rsid w:val="70690A82"/>
    <w:rsid w:val="70762EB9"/>
    <w:rsid w:val="708709DB"/>
    <w:rsid w:val="70992994"/>
    <w:rsid w:val="709B514B"/>
    <w:rsid w:val="70A472A3"/>
    <w:rsid w:val="70A64D46"/>
    <w:rsid w:val="70A80283"/>
    <w:rsid w:val="70C403BF"/>
    <w:rsid w:val="70C82A86"/>
    <w:rsid w:val="70D22F90"/>
    <w:rsid w:val="70D856E6"/>
    <w:rsid w:val="70E1358C"/>
    <w:rsid w:val="70E166CB"/>
    <w:rsid w:val="70E6335B"/>
    <w:rsid w:val="70E97DB6"/>
    <w:rsid w:val="70EB06FB"/>
    <w:rsid w:val="710B3CDE"/>
    <w:rsid w:val="710E05AD"/>
    <w:rsid w:val="711D58D9"/>
    <w:rsid w:val="71201508"/>
    <w:rsid w:val="71263134"/>
    <w:rsid w:val="712D7C3D"/>
    <w:rsid w:val="713E184B"/>
    <w:rsid w:val="71427D9A"/>
    <w:rsid w:val="71581C34"/>
    <w:rsid w:val="716B17D4"/>
    <w:rsid w:val="71716A2B"/>
    <w:rsid w:val="71926201"/>
    <w:rsid w:val="71936C30"/>
    <w:rsid w:val="71A85C42"/>
    <w:rsid w:val="71B221E6"/>
    <w:rsid w:val="71BC22E5"/>
    <w:rsid w:val="71D10C0A"/>
    <w:rsid w:val="71DF0808"/>
    <w:rsid w:val="71EB5EE9"/>
    <w:rsid w:val="71FA3AA8"/>
    <w:rsid w:val="72054740"/>
    <w:rsid w:val="720F099A"/>
    <w:rsid w:val="72192B41"/>
    <w:rsid w:val="721F0D87"/>
    <w:rsid w:val="7223262A"/>
    <w:rsid w:val="72246A0D"/>
    <w:rsid w:val="722E7BC8"/>
    <w:rsid w:val="72363179"/>
    <w:rsid w:val="72422FF5"/>
    <w:rsid w:val="72440E40"/>
    <w:rsid w:val="725B774B"/>
    <w:rsid w:val="725D4ABF"/>
    <w:rsid w:val="72614E76"/>
    <w:rsid w:val="727905E7"/>
    <w:rsid w:val="72A47A39"/>
    <w:rsid w:val="72A81441"/>
    <w:rsid w:val="72BE3F14"/>
    <w:rsid w:val="72C476A7"/>
    <w:rsid w:val="72D8021E"/>
    <w:rsid w:val="731B1F92"/>
    <w:rsid w:val="73247184"/>
    <w:rsid w:val="732E3BEC"/>
    <w:rsid w:val="733E3D73"/>
    <w:rsid w:val="733F4FF1"/>
    <w:rsid w:val="73434E90"/>
    <w:rsid w:val="734765BD"/>
    <w:rsid w:val="73503C37"/>
    <w:rsid w:val="73662C78"/>
    <w:rsid w:val="73703F6B"/>
    <w:rsid w:val="73731CAD"/>
    <w:rsid w:val="738845FB"/>
    <w:rsid w:val="738B7CBB"/>
    <w:rsid w:val="738C30D5"/>
    <w:rsid w:val="738C6EF6"/>
    <w:rsid w:val="739F79B3"/>
    <w:rsid w:val="73AE6F66"/>
    <w:rsid w:val="73C63B85"/>
    <w:rsid w:val="73D13B67"/>
    <w:rsid w:val="73D30AFF"/>
    <w:rsid w:val="73EF0540"/>
    <w:rsid w:val="73F16A7C"/>
    <w:rsid w:val="74086C3B"/>
    <w:rsid w:val="740872DF"/>
    <w:rsid w:val="740B5686"/>
    <w:rsid w:val="740F66FB"/>
    <w:rsid w:val="74265802"/>
    <w:rsid w:val="74373EAE"/>
    <w:rsid w:val="743A1553"/>
    <w:rsid w:val="746412EA"/>
    <w:rsid w:val="746E04C0"/>
    <w:rsid w:val="74783E58"/>
    <w:rsid w:val="747E049D"/>
    <w:rsid w:val="74893241"/>
    <w:rsid w:val="748C4982"/>
    <w:rsid w:val="74BA68B9"/>
    <w:rsid w:val="74C46FBF"/>
    <w:rsid w:val="74C818D5"/>
    <w:rsid w:val="74C867E6"/>
    <w:rsid w:val="74D14EC0"/>
    <w:rsid w:val="74D6282C"/>
    <w:rsid w:val="74D77A7C"/>
    <w:rsid w:val="74E77A11"/>
    <w:rsid w:val="75085045"/>
    <w:rsid w:val="75097BF7"/>
    <w:rsid w:val="750B250E"/>
    <w:rsid w:val="750C2A3F"/>
    <w:rsid w:val="750C6906"/>
    <w:rsid w:val="750E1554"/>
    <w:rsid w:val="751B290D"/>
    <w:rsid w:val="75213F40"/>
    <w:rsid w:val="75314C45"/>
    <w:rsid w:val="7557334B"/>
    <w:rsid w:val="75597E43"/>
    <w:rsid w:val="75691E95"/>
    <w:rsid w:val="756B20D6"/>
    <w:rsid w:val="75800791"/>
    <w:rsid w:val="758B6612"/>
    <w:rsid w:val="759208B5"/>
    <w:rsid w:val="75996DE6"/>
    <w:rsid w:val="75A5759E"/>
    <w:rsid w:val="75AB3B17"/>
    <w:rsid w:val="75C43625"/>
    <w:rsid w:val="75C77C85"/>
    <w:rsid w:val="75C80B76"/>
    <w:rsid w:val="75D64191"/>
    <w:rsid w:val="75DD10E3"/>
    <w:rsid w:val="75EA7841"/>
    <w:rsid w:val="75EB6A83"/>
    <w:rsid w:val="762215A5"/>
    <w:rsid w:val="762478A1"/>
    <w:rsid w:val="763A6CCF"/>
    <w:rsid w:val="764017A0"/>
    <w:rsid w:val="76405038"/>
    <w:rsid w:val="76604DE6"/>
    <w:rsid w:val="766977A8"/>
    <w:rsid w:val="76730E00"/>
    <w:rsid w:val="76732838"/>
    <w:rsid w:val="76886832"/>
    <w:rsid w:val="768A3055"/>
    <w:rsid w:val="76916A18"/>
    <w:rsid w:val="769636F9"/>
    <w:rsid w:val="76977805"/>
    <w:rsid w:val="76A31221"/>
    <w:rsid w:val="76A97999"/>
    <w:rsid w:val="76AA701C"/>
    <w:rsid w:val="76AE667F"/>
    <w:rsid w:val="76BC04EA"/>
    <w:rsid w:val="76DA4FCD"/>
    <w:rsid w:val="76EF4D7F"/>
    <w:rsid w:val="76F4425D"/>
    <w:rsid w:val="76F91577"/>
    <w:rsid w:val="7709164E"/>
    <w:rsid w:val="77137CBE"/>
    <w:rsid w:val="77194042"/>
    <w:rsid w:val="771E0990"/>
    <w:rsid w:val="77390A30"/>
    <w:rsid w:val="774D1D28"/>
    <w:rsid w:val="77501D48"/>
    <w:rsid w:val="778657B3"/>
    <w:rsid w:val="779049CD"/>
    <w:rsid w:val="779377B2"/>
    <w:rsid w:val="77B03F4A"/>
    <w:rsid w:val="77B26CAD"/>
    <w:rsid w:val="77C86EAF"/>
    <w:rsid w:val="77CF6E48"/>
    <w:rsid w:val="77D941C1"/>
    <w:rsid w:val="77EE09A9"/>
    <w:rsid w:val="77F717B5"/>
    <w:rsid w:val="77F7423F"/>
    <w:rsid w:val="780302C6"/>
    <w:rsid w:val="7810156E"/>
    <w:rsid w:val="78125C0A"/>
    <w:rsid w:val="781C3DD7"/>
    <w:rsid w:val="783336C9"/>
    <w:rsid w:val="784742FF"/>
    <w:rsid w:val="78547538"/>
    <w:rsid w:val="78562677"/>
    <w:rsid w:val="78585AD0"/>
    <w:rsid w:val="786917A6"/>
    <w:rsid w:val="786C64AC"/>
    <w:rsid w:val="7890645A"/>
    <w:rsid w:val="789949D0"/>
    <w:rsid w:val="789C7B37"/>
    <w:rsid w:val="78A63D06"/>
    <w:rsid w:val="78A646D4"/>
    <w:rsid w:val="78A73461"/>
    <w:rsid w:val="78B3282C"/>
    <w:rsid w:val="78CB2B42"/>
    <w:rsid w:val="79045816"/>
    <w:rsid w:val="790C473B"/>
    <w:rsid w:val="79232BA8"/>
    <w:rsid w:val="79391A2A"/>
    <w:rsid w:val="79532DA3"/>
    <w:rsid w:val="7953532B"/>
    <w:rsid w:val="796348FF"/>
    <w:rsid w:val="79636EB2"/>
    <w:rsid w:val="79642593"/>
    <w:rsid w:val="79763A3C"/>
    <w:rsid w:val="797E3EAB"/>
    <w:rsid w:val="798F2918"/>
    <w:rsid w:val="79A36A24"/>
    <w:rsid w:val="79B0773C"/>
    <w:rsid w:val="79B37901"/>
    <w:rsid w:val="79B50475"/>
    <w:rsid w:val="79F612E3"/>
    <w:rsid w:val="79FF568E"/>
    <w:rsid w:val="7A093A9D"/>
    <w:rsid w:val="7A114A60"/>
    <w:rsid w:val="7A236968"/>
    <w:rsid w:val="7A310EB0"/>
    <w:rsid w:val="7A320BC3"/>
    <w:rsid w:val="7A3347C1"/>
    <w:rsid w:val="7A4E6BEF"/>
    <w:rsid w:val="7A567EFA"/>
    <w:rsid w:val="7A6E1162"/>
    <w:rsid w:val="7A6F2A64"/>
    <w:rsid w:val="7A78140E"/>
    <w:rsid w:val="7A821B85"/>
    <w:rsid w:val="7A904AFD"/>
    <w:rsid w:val="7AA733FA"/>
    <w:rsid w:val="7AA92E6A"/>
    <w:rsid w:val="7AAD28D7"/>
    <w:rsid w:val="7ABC7272"/>
    <w:rsid w:val="7AC6154B"/>
    <w:rsid w:val="7ACC513B"/>
    <w:rsid w:val="7ADD78E6"/>
    <w:rsid w:val="7AFA14F2"/>
    <w:rsid w:val="7AFB7269"/>
    <w:rsid w:val="7B000C38"/>
    <w:rsid w:val="7B0A2C02"/>
    <w:rsid w:val="7B0D6866"/>
    <w:rsid w:val="7B0E4269"/>
    <w:rsid w:val="7B151B94"/>
    <w:rsid w:val="7B1A1FE9"/>
    <w:rsid w:val="7B3060B9"/>
    <w:rsid w:val="7B340EFD"/>
    <w:rsid w:val="7B363855"/>
    <w:rsid w:val="7B4A21D3"/>
    <w:rsid w:val="7B5750BF"/>
    <w:rsid w:val="7B582989"/>
    <w:rsid w:val="7B5B2AEA"/>
    <w:rsid w:val="7B630909"/>
    <w:rsid w:val="7B67457A"/>
    <w:rsid w:val="7B6F0A58"/>
    <w:rsid w:val="7B742052"/>
    <w:rsid w:val="7B841699"/>
    <w:rsid w:val="7B8E0EAF"/>
    <w:rsid w:val="7B9C0371"/>
    <w:rsid w:val="7B9C7377"/>
    <w:rsid w:val="7BA31687"/>
    <w:rsid w:val="7BA571A2"/>
    <w:rsid w:val="7BB646B3"/>
    <w:rsid w:val="7BD46D64"/>
    <w:rsid w:val="7BD96BDD"/>
    <w:rsid w:val="7C013340"/>
    <w:rsid w:val="7C291B7C"/>
    <w:rsid w:val="7C4256C0"/>
    <w:rsid w:val="7C471BF1"/>
    <w:rsid w:val="7C4B4897"/>
    <w:rsid w:val="7C4F5216"/>
    <w:rsid w:val="7C8F064E"/>
    <w:rsid w:val="7C9020A9"/>
    <w:rsid w:val="7C963F05"/>
    <w:rsid w:val="7C9B5A92"/>
    <w:rsid w:val="7C9E13BC"/>
    <w:rsid w:val="7CA24EE7"/>
    <w:rsid w:val="7CB53545"/>
    <w:rsid w:val="7CB847F7"/>
    <w:rsid w:val="7CC16BE5"/>
    <w:rsid w:val="7CD43C94"/>
    <w:rsid w:val="7CD71FED"/>
    <w:rsid w:val="7CEA55FC"/>
    <w:rsid w:val="7CF55F58"/>
    <w:rsid w:val="7D0F541B"/>
    <w:rsid w:val="7D207954"/>
    <w:rsid w:val="7D2156F4"/>
    <w:rsid w:val="7D227243"/>
    <w:rsid w:val="7D3A0A57"/>
    <w:rsid w:val="7D3D2BE8"/>
    <w:rsid w:val="7D3F5C61"/>
    <w:rsid w:val="7D787648"/>
    <w:rsid w:val="7D7D226F"/>
    <w:rsid w:val="7D916C4E"/>
    <w:rsid w:val="7D9A3A11"/>
    <w:rsid w:val="7DA47038"/>
    <w:rsid w:val="7DAD185B"/>
    <w:rsid w:val="7DB451D3"/>
    <w:rsid w:val="7DB72A78"/>
    <w:rsid w:val="7DB82C92"/>
    <w:rsid w:val="7DC72D69"/>
    <w:rsid w:val="7DC97FB0"/>
    <w:rsid w:val="7DD14BB3"/>
    <w:rsid w:val="7DD1664D"/>
    <w:rsid w:val="7DE43341"/>
    <w:rsid w:val="7DEF20F9"/>
    <w:rsid w:val="7E0C57DE"/>
    <w:rsid w:val="7E0F321E"/>
    <w:rsid w:val="7E2D1572"/>
    <w:rsid w:val="7E3240D1"/>
    <w:rsid w:val="7E413CFD"/>
    <w:rsid w:val="7E454036"/>
    <w:rsid w:val="7E4E67BD"/>
    <w:rsid w:val="7E644061"/>
    <w:rsid w:val="7E6E06DB"/>
    <w:rsid w:val="7E6E5E2A"/>
    <w:rsid w:val="7E702170"/>
    <w:rsid w:val="7E703FFA"/>
    <w:rsid w:val="7E736655"/>
    <w:rsid w:val="7E7634F8"/>
    <w:rsid w:val="7E7D41BF"/>
    <w:rsid w:val="7E8A57EE"/>
    <w:rsid w:val="7E986203"/>
    <w:rsid w:val="7E9C1C64"/>
    <w:rsid w:val="7EA0316D"/>
    <w:rsid w:val="7EA23760"/>
    <w:rsid w:val="7EA538E2"/>
    <w:rsid w:val="7EC016DD"/>
    <w:rsid w:val="7EDA4191"/>
    <w:rsid w:val="7EDC246E"/>
    <w:rsid w:val="7EDE1FF5"/>
    <w:rsid w:val="7EEB2D8C"/>
    <w:rsid w:val="7EF22099"/>
    <w:rsid w:val="7EF40A1A"/>
    <w:rsid w:val="7F0A1C3D"/>
    <w:rsid w:val="7F3D3AD3"/>
    <w:rsid w:val="7F4746E7"/>
    <w:rsid w:val="7F4B3557"/>
    <w:rsid w:val="7F6C09C2"/>
    <w:rsid w:val="7F7B0402"/>
    <w:rsid w:val="7F9634A8"/>
    <w:rsid w:val="7FA10642"/>
    <w:rsid w:val="7FB3325E"/>
    <w:rsid w:val="7FB3784A"/>
    <w:rsid w:val="7FBA7283"/>
    <w:rsid w:val="7FC306E0"/>
    <w:rsid w:val="7FCA30DE"/>
    <w:rsid w:val="7FD327FB"/>
    <w:rsid w:val="7FE01C4C"/>
    <w:rsid w:val="7FE366E6"/>
    <w:rsid w:val="7FE40694"/>
    <w:rsid w:val="7FEB0353"/>
    <w:rsid w:val="7FF24594"/>
    <w:rsid w:val="7FF91E06"/>
    <w:rsid w:val="7FFA37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nhideWhenUsed="0" w:uiPriority="0" w:name="annotation text"/>
    <w:lsdException w:uiPriority="99" w:semiHidden="0" w:name="header"/>
    <w:lsdException w:unhideWhenUsed="0" w:uiPriority="0"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semiHidden="0" w:name="Default Paragraph Font"/>
    <w:lsdException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iPriority="99"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mbria" w:hAnsi="Cambria"/>
      <w:sz w:val="21"/>
      <w:lang w:val="en-US" w:eastAsia="zh-CN" w:bidi="ar-SA"/>
    </w:rPr>
  </w:style>
  <w:style w:type="paragraph" w:styleId="3">
    <w:name w:val="heading 1"/>
    <w:basedOn w:val="1"/>
    <w:next w:val="1"/>
    <w:link w:val="39"/>
    <w:qFormat/>
    <w:uiPriority w:val="0"/>
    <w:pPr>
      <w:keepNext/>
      <w:keepLines/>
      <w:widowControl w:val="0"/>
      <w:tabs>
        <w:tab w:val="left" w:pos="840"/>
      </w:tabs>
      <w:adjustRightInd w:val="0"/>
      <w:snapToGrid w:val="0"/>
      <w:spacing w:line="360" w:lineRule="auto"/>
      <w:jc w:val="both"/>
      <w:outlineLvl w:val="0"/>
    </w:pPr>
    <w:rPr>
      <w:rFonts w:ascii="仿宋_GB2312" w:eastAsia="仿宋_GB2312"/>
      <w:b/>
      <w:kern w:val="44"/>
      <w:sz w:val="24"/>
    </w:rPr>
  </w:style>
  <w:style w:type="paragraph" w:styleId="4">
    <w:name w:val="heading 2"/>
    <w:basedOn w:val="1"/>
    <w:next w:val="1"/>
    <w:link w:val="40"/>
    <w:qFormat/>
    <w:uiPriority w:val="9"/>
    <w:pPr>
      <w:keepNext/>
      <w:keepLines/>
      <w:tabs>
        <w:tab w:val="left" w:pos="840"/>
      </w:tabs>
      <w:spacing w:before="260" w:after="260" w:line="416" w:lineRule="auto"/>
      <w:outlineLvl w:val="1"/>
    </w:pPr>
    <w:rPr>
      <w:rFonts w:ascii="Arial Unicode MS" w:hAnsi="Arial Unicode MS" w:eastAsia="仿宋_GB2312"/>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Unicode MS" w:hAnsi="Arial Unicode MS" w:eastAsia="Cambria Math"/>
      <w:b/>
      <w:bCs/>
      <w:sz w:val="28"/>
      <w:szCs w:val="28"/>
    </w:rPr>
  </w:style>
  <w:style w:type="paragraph" w:styleId="7">
    <w:name w:val="heading 6"/>
    <w:basedOn w:val="1"/>
    <w:next w:val="8"/>
    <w:qFormat/>
    <w:uiPriority w:val="0"/>
    <w:pPr>
      <w:keepNext/>
      <w:keepLines/>
      <w:widowControl w:val="0"/>
      <w:numPr>
        <w:ilvl w:val="5"/>
        <w:numId w:val="1"/>
      </w:numPr>
      <w:spacing w:before="240" w:after="64" w:line="320" w:lineRule="auto"/>
      <w:outlineLvl w:val="5"/>
    </w:pPr>
    <w:rPr>
      <w:rFonts w:ascii="Arial Unicode MS" w:hAnsi="Arial Unicode MS" w:eastAsia="Cambria Math"/>
      <w:b/>
      <w:bCs/>
      <w:spacing w:val="6"/>
      <w:kern w:val="2"/>
      <w:sz w:val="24"/>
      <w:szCs w:val="24"/>
    </w:rPr>
  </w:style>
  <w:style w:type="paragraph" w:styleId="9">
    <w:name w:val="heading 7"/>
    <w:basedOn w:val="1"/>
    <w:next w:val="8"/>
    <w:qFormat/>
    <w:uiPriority w:val="0"/>
    <w:pPr>
      <w:keepNext/>
      <w:keepLines/>
      <w:widowControl w:val="0"/>
      <w:numPr>
        <w:ilvl w:val="6"/>
        <w:numId w:val="1"/>
      </w:numPr>
      <w:spacing w:before="240" w:after="64" w:line="320" w:lineRule="auto"/>
      <w:outlineLvl w:val="6"/>
    </w:pPr>
    <w:rPr>
      <w:b/>
      <w:bCs/>
      <w:spacing w:val="6"/>
      <w:kern w:val="2"/>
      <w:sz w:val="24"/>
      <w:szCs w:val="24"/>
    </w:rPr>
  </w:style>
  <w:style w:type="paragraph" w:styleId="10">
    <w:name w:val="heading 8"/>
    <w:basedOn w:val="1"/>
    <w:next w:val="8"/>
    <w:qFormat/>
    <w:uiPriority w:val="0"/>
    <w:pPr>
      <w:keepNext/>
      <w:keepLines/>
      <w:widowControl w:val="0"/>
      <w:numPr>
        <w:ilvl w:val="7"/>
        <w:numId w:val="1"/>
      </w:numPr>
      <w:spacing w:before="240" w:after="64" w:line="320" w:lineRule="auto"/>
      <w:outlineLvl w:val="7"/>
    </w:pPr>
    <w:rPr>
      <w:rFonts w:ascii="Arial Unicode MS" w:hAnsi="Arial Unicode MS" w:eastAsia="Cambria Math"/>
      <w:spacing w:val="6"/>
      <w:kern w:val="2"/>
      <w:sz w:val="24"/>
      <w:szCs w:val="24"/>
    </w:rPr>
  </w:style>
  <w:style w:type="paragraph" w:styleId="11">
    <w:name w:val="heading 9"/>
    <w:basedOn w:val="1"/>
    <w:next w:val="8"/>
    <w:qFormat/>
    <w:uiPriority w:val="0"/>
    <w:pPr>
      <w:keepNext/>
      <w:keepLines/>
      <w:widowControl w:val="0"/>
      <w:numPr>
        <w:ilvl w:val="8"/>
        <w:numId w:val="1"/>
      </w:numPr>
      <w:spacing w:before="240" w:after="64" w:line="320" w:lineRule="auto"/>
      <w:outlineLvl w:val="8"/>
    </w:pPr>
    <w:rPr>
      <w:rFonts w:ascii="Arial Unicode MS" w:hAnsi="Arial Unicode MS" w:eastAsia="Cambria Math"/>
      <w:spacing w:val="6"/>
      <w:kern w:val="2"/>
      <w:sz w:val="24"/>
      <w:szCs w:val="24"/>
    </w:rPr>
  </w:style>
  <w:style w:type="character" w:default="1" w:styleId="31">
    <w:name w:val="Default Paragraph Font"/>
    <w:unhideWhenUsed/>
    <w:uiPriority w:val="1"/>
    <w:rPr>
      <w:szCs w:val="20"/>
    </w:rPr>
  </w:style>
  <w:style w:type="table" w:default="1" w:styleId="29">
    <w:name w:val="Normal Table"/>
    <w:unhideWhenUsed/>
    <w:qFormat/>
    <w:uiPriority w:val="99"/>
    <w:tblPr>
      <w:tblStyle w:val="29"/>
      <w:tblCellMar>
        <w:top w:w="0" w:type="dxa"/>
        <w:left w:w="108" w:type="dxa"/>
        <w:bottom w:w="0" w:type="dxa"/>
        <w:right w:w="108" w:type="dxa"/>
      </w:tblCellMar>
    </w:tblPr>
  </w:style>
  <w:style w:type="paragraph" w:styleId="2">
    <w:name w:val="Body Text Indent"/>
    <w:basedOn w:val="1"/>
    <w:unhideWhenUsed/>
    <w:uiPriority w:val="99"/>
    <w:pPr>
      <w:spacing w:after="120"/>
      <w:ind w:left="420" w:leftChars="200"/>
    </w:pPr>
  </w:style>
  <w:style w:type="paragraph" w:styleId="8">
    <w:name w:val="Normal Indent"/>
    <w:basedOn w:val="1"/>
    <w:link w:val="41"/>
    <w:uiPriority w:val="0"/>
    <w:pPr>
      <w:ind w:firstLine="420"/>
    </w:pPr>
  </w:style>
  <w:style w:type="paragraph" w:styleId="12">
    <w:name w:val="Document Map"/>
    <w:basedOn w:val="1"/>
    <w:link w:val="42"/>
    <w:unhideWhenUsed/>
    <w:uiPriority w:val="99"/>
    <w:rPr>
      <w:rFonts w:ascii="仿宋_GB2312"/>
      <w:sz w:val="18"/>
      <w:szCs w:val="18"/>
    </w:rPr>
  </w:style>
  <w:style w:type="paragraph" w:styleId="13">
    <w:name w:val="annotation text"/>
    <w:basedOn w:val="1"/>
    <w:semiHidden/>
    <w:uiPriority w:val="0"/>
  </w:style>
  <w:style w:type="paragraph" w:styleId="14">
    <w:name w:val="Body Text"/>
    <w:basedOn w:val="1"/>
    <w:next w:val="15"/>
    <w:link w:val="43"/>
    <w:uiPriority w:val="0"/>
    <w:pPr>
      <w:widowControl w:val="0"/>
      <w:spacing w:line="360" w:lineRule="auto"/>
      <w:jc w:val="both"/>
    </w:pPr>
    <w:rPr>
      <w:rFonts w:ascii="???|CS?o¡À?" w:eastAsia="???|CS?o¡À?"/>
      <w:kern w:val="2"/>
      <w:sz w:val="32"/>
    </w:rPr>
  </w:style>
  <w:style w:type="paragraph" w:styleId="15">
    <w:name w:val="Body Text First Indent"/>
    <w:basedOn w:val="14"/>
    <w:next w:val="1"/>
    <w:uiPriority w:val="0"/>
    <w:pPr>
      <w:widowControl/>
      <w:spacing w:after="120" w:line="240" w:lineRule="auto"/>
      <w:ind w:firstLine="420" w:firstLineChars="100"/>
      <w:jc w:val="left"/>
    </w:pPr>
    <w:rPr>
      <w:rFonts w:ascii="Cambria" w:eastAsia="仿宋_GB2312"/>
      <w:kern w:val="0"/>
      <w:sz w:val="21"/>
    </w:rPr>
  </w:style>
  <w:style w:type="paragraph" w:styleId="16">
    <w:name w:val="toc 3"/>
    <w:basedOn w:val="1"/>
    <w:next w:val="1"/>
    <w:unhideWhenUsed/>
    <w:uiPriority w:val="39"/>
    <w:pPr>
      <w:ind w:left="840" w:leftChars="400"/>
    </w:pPr>
  </w:style>
  <w:style w:type="paragraph" w:styleId="17">
    <w:name w:val="Plain Text"/>
    <w:basedOn w:val="1"/>
    <w:link w:val="44"/>
    <w:uiPriority w:val="0"/>
    <w:pPr>
      <w:overflowPunct w:val="0"/>
      <w:autoSpaceDE w:val="0"/>
      <w:autoSpaceDN w:val="0"/>
      <w:adjustRightInd w:val="0"/>
      <w:textAlignment w:val="baseline"/>
    </w:pPr>
    <w:rPr>
      <w:rFonts w:ascii="仿宋_GB2312" w:hAnsi="Wingdings"/>
      <w:szCs w:val="21"/>
    </w:rPr>
  </w:style>
  <w:style w:type="paragraph" w:styleId="18">
    <w:name w:val="Date"/>
    <w:basedOn w:val="1"/>
    <w:next w:val="1"/>
    <w:uiPriority w:val="0"/>
    <w:pPr>
      <w:widowControl w:val="0"/>
      <w:ind w:left="100" w:leftChars="2500"/>
      <w:jc w:val="both"/>
    </w:pPr>
    <w:rPr>
      <w:kern w:val="2"/>
      <w:sz w:val="24"/>
      <w:szCs w:val="24"/>
    </w:rPr>
  </w:style>
  <w:style w:type="paragraph" w:styleId="19">
    <w:name w:val="Balloon Text"/>
    <w:basedOn w:val="1"/>
    <w:link w:val="45"/>
    <w:unhideWhenUsed/>
    <w:uiPriority w:val="99"/>
    <w:rPr>
      <w:sz w:val="18"/>
      <w:szCs w:val="18"/>
    </w:rPr>
  </w:style>
  <w:style w:type="paragraph" w:styleId="20">
    <w:name w:val="footer"/>
    <w:basedOn w:val="1"/>
    <w:link w:val="46"/>
    <w:uiPriority w:val="0"/>
    <w:pPr>
      <w:tabs>
        <w:tab w:val="center" w:pos="4153"/>
        <w:tab w:val="right" w:pos="8306"/>
      </w:tabs>
      <w:snapToGrid w:val="0"/>
    </w:pPr>
    <w:rPr>
      <w:rFonts w:eastAsia="仿宋_GB2312"/>
      <w:sz w:val="18"/>
    </w:rPr>
  </w:style>
  <w:style w:type="paragraph" w:styleId="21">
    <w:name w:val="header"/>
    <w:basedOn w:val="1"/>
    <w:link w:val="47"/>
    <w:unhideWhenUsed/>
    <w:uiPriority w:val="99"/>
    <w:pPr>
      <w:pBdr>
        <w:bottom w:val="single" w:color="auto" w:sz="6" w:space="1"/>
      </w:pBdr>
      <w:tabs>
        <w:tab w:val="center" w:pos="4153"/>
        <w:tab w:val="right" w:pos="8306"/>
      </w:tabs>
      <w:snapToGrid w:val="0"/>
      <w:jc w:val="center"/>
    </w:pPr>
    <w:rPr>
      <w:rFonts w:eastAsia="仿宋_GB2312"/>
      <w:sz w:val="18"/>
      <w:szCs w:val="18"/>
    </w:rPr>
  </w:style>
  <w:style w:type="paragraph" w:styleId="22">
    <w:name w:val="toc 1"/>
    <w:basedOn w:val="1"/>
    <w:next w:val="1"/>
    <w:uiPriority w:val="39"/>
    <w:pPr>
      <w:tabs>
        <w:tab w:val="right" w:leader="middleDot" w:pos="8948"/>
      </w:tabs>
      <w:spacing w:before="120" w:after="120" w:line="400" w:lineRule="exact"/>
      <w:ind w:firstLine="525" w:firstLineChars="250"/>
    </w:pPr>
    <w:rPr>
      <w:rFonts w:ascii="宋体" w:hAnsi="宋体" w:eastAsia="宋体" w:cs="Arial"/>
      <w:bCs/>
      <w:caps/>
      <w:color w:val="000000"/>
      <w:lang/>
    </w:rPr>
  </w:style>
  <w:style w:type="paragraph" w:styleId="23">
    <w:name w:val="table of figures"/>
    <w:basedOn w:val="1"/>
    <w:next w:val="1"/>
    <w:semiHidden/>
    <w:uiPriority w:val="0"/>
    <w:pPr>
      <w:ind w:left="840" w:leftChars="200" w:hanging="420" w:hangingChars="200"/>
    </w:pPr>
  </w:style>
  <w:style w:type="paragraph" w:styleId="24">
    <w:name w:val="toc 2"/>
    <w:basedOn w:val="1"/>
    <w:next w:val="1"/>
    <w:uiPriority w:val="39"/>
    <w:pPr>
      <w:tabs>
        <w:tab w:val="right" w:leader="middleDot" w:pos="8948"/>
      </w:tabs>
      <w:spacing w:before="60" w:after="60"/>
      <w:ind w:left="210"/>
    </w:pPr>
    <w:rPr>
      <w:smallCaps/>
    </w:rPr>
  </w:style>
  <w:style w:type="paragraph" w:styleId="25">
    <w:name w:val="Body Text 2"/>
    <w:basedOn w:val="1"/>
    <w:uiPriority w:val="0"/>
    <w:pPr>
      <w:spacing w:after="120" w:line="480" w:lineRule="auto"/>
    </w:pPr>
  </w:style>
  <w:style w:type="paragraph" w:styleId="26">
    <w:name w:val="Normal (Web)"/>
    <w:basedOn w:val="1"/>
    <w:uiPriority w:val="0"/>
    <w:pPr>
      <w:spacing w:before="100" w:beforeAutospacing="1" w:after="100" w:afterAutospacing="1"/>
    </w:pPr>
    <w:rPr>
      <w:rFonts w:cs="仿宋_GB2312"/>
      <w:sz w:val="24"/>
      <w:szCs w:val="24"/>
    </w:rPr>
  </w:style>
  <w:style w:type="paragraph" w:styleId="27">
    <w:name w:val="Title"/>
    <w:basedOn w:val="1"/>
    <w:qFormat/>
    <w:uiPriority w:val="99"/>
    <w:pPr>
      <w:spacing w:before="240" w:after="60"/>
      <w:jc w:val="center"/>
      <w:outlineLvl w:val="0"/>
    </w:pPr>
    <w:rPr>
      <w:rFonts w:ascii="Arial" w:hAnsi="Arial"/>
      <w:sz w:val="32"/>
      <w:szCs w:val="32"/>
    </w:rPr>
  </w:style>
  <w:style w:type="paragraph" w:styleId="28">
    <w:name w:val="annotation subject"/>
    <w:basedOn w:val="13"/>
    <w:next w:val="13"/>
    <w:semiHidden/>
    <w:uiPriority w:val="0"/>
    <w:rPr>
      <w:b/>
      <w:bCs/>
    </w:rPr>
  </w:style>
  <w:style w:type="table" w:styleId="30">
    <w:name w:val="Table Grid"/>
    <w:basedOn w:val="29"/>
    <w:uiPriority w:val="59"/>
    <w:tblPr>
      <w:tblStyle w:val="29"/>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0"/>
    <w:rPr>
      <w:b/>
      <w:bCs/>
    </w:rPr>
  </w:style>
  <w:style w:type="character" w:styleId="33">
    <w:name w:val="page number"/>
    <w:basedOn w:val="31"/>
    <w:uiPriority w:val="0"/>
  </w:style>
  <w:style w:type="character" w:styleId="34">
    <w:name w:val="FollowedHyperlink"/>
    <w:basedOn w:val="31"/>
    <w:unhideWhenUsed/>
    <w:uiPriority w:val="99"/>
    <w:rPr>
      <w:color w:val="800080"/>
      <w:u w:val="none"/>
    </w:rPr>
  </w:style>
  <w:style w:type="character" w:styleId="35">
    <w:name w:val="Emphasis"/>
    <w:basedOn w:val="31"/>
    <w:qFormat/>
    <w:uiPriority w:val="20"/>
  </w:style>
  <w:style w:type="character" w:styleId="36">
    <w:name w:val="Hyperlink"/>
    <w:basedOn w:val="31"/>
    <w:uiPriority w:val="99"/>
    <w:rPr>
      <w:color w:val="0000FF"/>
      <w:u w:val="none"/>
    </w:rPr>
  </w:style>
  <w:style w:type="character" w:styleId="37">
    <w:name w:val="annotation reference"/>
    <w:semiHidden/>
    <w:uiPriority w:val="0"/>
    <w:rPr>
      <w:sz w:val="21"/>
      <w:szCs w:val="21"/>
    </w:rPr>
  </w:style>
  <w:style w:type="character" w:styleId="38">
    <w:name w:val="HTML Cite"/>
    <w:basedOn w:val="31"/>
    <w:unhideWhenUsed/>
    <w:uiPriority w:val="99"/>
    <w:rPr>
      <w:color w:val="008000"/>
    </w:rPr>
  </w:style>
  <w:style w:type="character" w:customStyle="1" w:styleId="39">
    <w:name w:val="标题 1 Char"/>
    <w:link w:val="3"/>
    <w:uiPriority w:val="0"/>
    <w:rPr>
      <w:rFonts w:ascii="仿宋_GB2312" w:hAnsi="Cambria" w:eastAsia="仿宋_GB2312" w:cs="Cambria"/>
      <w:b/>
      <w:kern w:val="44"/>
      <w:sz w:val="24"/>
      <w:szCs w:val="20"/>
    </w:rPr>
  </w:style>
  <w:style w:type="character" w:customStyle="1" w:styleId="40">
    <w:name w:val="标题 2 Char"/>
    <w:link w:val="4"/>
    <w:semiHidden/>
    <w:uiPriority w:val="9"/>
    <w:rPr>
      <w:rFonts w:ascii="Arial Unicode MS" w:hAnsi="Arial Unicode MS" w:eastAsia="仿宋_GB2312" w:cs="Cambria"/>
      <w:b/>
      <w:bCs/>
      <w:sz w:val="32"/>
      <w:szCs w:val="32"/>
    </w:rPr>
  </w:style>
  <w:style w:type="character" w:customStyle="1" w:styleId="41">
    <w:name w:val="正文缩进 Char"/>
    <w:link w:val="8"/>
    <w:uiPriority w:val="0"/>
    <w:rPr>
      <w:rFonts w:ascii="Cambria" w:hAnsi="Cambria"/>
      <w:sz w:val="21"/>
    </w:rPr>
  </w:style>
  <w:style w:type="character" w:customStyle="1" w:styleId="42">
    <w:name w:val="文档结构图 Char"/>
    <w:link w:val="12"/>
    <w:semiHidden/>
    <w:uiPriority w:val="99"/>
    <w:rPr>
      <w:rFonts w:ascii="仿宋_GB2312" w:hAnsi="Cambria"/>
      <w:sz w:val="18"/>
      <w:szCs w:val="18"/>
    </w:rPr>
  </w:style>
  <w:style w:type="character" w:customStyle="1" w:styleId="43">
    <w:name w:val="正文文本 Char"/>
    <w:link w:val="14"/>
    <w:uiPriority w:val="0"/>
    <w:rPr>
      <w:rFonts w:ascii="???|CS?o¡À?" w:hAnsi="Cambria" w:eastAsia="???|CS?o¡À?"/>
      <w:kern w:val="2"/>
      <w:sz w:val="32"/>
    </w:rPr>
  </w:style>
  <w:style w:type="character" w:customStyle="1" w:styleId="44">
    <w:name w:val="纯文本 Char"/>
    <w:link w:val="17"/>
    <w:locked/>
    <w:uiPriority w:val="0"/>
    <w:rPr>
      <w:rFonts w:ascii="仿宋_GB2312" w:hAnsi="Wingdings"/>
      <w:sz w:val="21"/>
      <w:szCs w:val="21"/>
    </w:rPr>
  </w:style>
  <w:style w:type="character" w:customStyle="1" w:styleId="45">
    <w:name w:val="批注框文本 Char"/>
    <w:link w:val="19"/>
    <w:semiHidden/>
    <w:uiPriority w:val="99"/>
    <w:rPr>
      <w:rFonts w:ascii="Cambria" w:hAnsi="Cambria"/>
      <w:sz w:val="18"/>
      <w:szCs w:val="18"/>
    </w:rPr>
  </w:style>
  <w:style w:type="character" w:customStyle="1" w:styleId="46">
    <w:name w:val="页脚 Char"/>
    <w:link w:val="20"/>
    <w:uiPriority w:val="0"/>
    <w:rPr>
      <w:rFonts w:ascii="Cambria" w:hAnsi="Cambria" w:eastAsia="仿宋_GB2312" w:cs="Cambria"/>
      <w:kern w:val="0"/>
      <w:sz w:val="18"/>
      <w:szCs w:val="20"/>
    </w:rPr>
  </w:style>
  <w:style w:type="character" w:customStyle="1" w:styleId="47">
    <w:name w:val="页眉 Char"/>
    <w:link w:val="21"/>
    <w:uiPriority w:val="99"/>
    <w:rPr>
      <w:rFonts w:ascii="Cambria" w:hAnsi="Cambria" w:eastAsia="仿宋_GB2312" w:cs="Cambria"/>
      <w:kern w:val="0"/>
      <w:sz w:val="18"/>
      <w:szCs w:val="18"/>
    </w:rPr>
  </w:style>
  <w:style w:type="character" w:customStyle="1" w:styleId="48">
    <w:name w:val="段 Char"/>
    <w:link w:val="49"/>
    <w:uiPriority w:val="0"/>
    <w:rPr>
      <w:rFonts w:ascii="仿宋_GB2312" w:hAnsi="Cambria"/>
      <w:sz w:val="21"/>
      <w:lang w:val="en-US" w:eastAsia="zh-CN" w:bidi="ar-SA"/>
    </w:rPr>
  </w:style>
  <w:style w:type="paragraph" w:customStyle="1" w:styleId="49">
    <w:name w:val="段"/>
    <w:link w:val="48"/>
    <w:uiPriority w:val="0"/>
    <w:pPr>
      <w:ind w:firstLine="200" w:firstLineChars="200"/>
      <w:jc w:val="both"/>
    </w:pPr>
    <w:rPr>
      <w:rFonts w:ascii="仿宋_GB2312" w:hAnsi="Cambria"/>
      <w:sz w:val="21"/>
      <w:lang w:val="en-US" w:eastAsia="zh-CN" w:bidi="ar-SA"/>
    </w:rPr>
  </w:style>
  <w:style w:type="character" w:customStyle="1" w:styleId="50">
    <w:name w:val="apple-style-span"/>
    <w:basedOn w:val="31"/>
    <w:uiPriority w:val="0"/>
  </w:style>
  <w:style w:type="character" w:customStyle="1" w:styleId="51">
    <w:name w:val="c-icon27"/>
    <w:basedOn w:val="31"/>
    <w:uiPriority w:val="0"/>
  </w:style>
  <w:style w:type="character" w:customStyle="1" w:styleId="52">
    <w:name w:val="hover26"/>
    <w:basedOn w:val="31"/>
    <w:uiPriority w:val="0"/>
    <w:rPr>
      <w:color w:val="315EFB"/>
    </w:rPr>
  </w:style>
  <w:style w:type="character" w:customStyle="1" w:styleId="53">
    <w:name w:val="c-icon28"/>
    <w:basedOn w:val="31"/>
    <w:uiPriority w:val="0"/>
  </w:style>
  <w:style w:type="character" w:customStyle="1" w:styleId="54">
    <w:name w:val=" Char Char6"/>
    <w:uiPriority w:val="0"/>
    <w:rPr>
      <w:rFonts w:ascii="仿宋_GB2312" w:eastAsia="仿宋_GB2312"/>
      <w:b/>
      <w:kern w:val="44"/>
      <w:sz w:val="24"/>
      <w:lang w:val="en-US" w:eastAsia="zh-CN" w:bidi="ar-SA"/>
    </w:rPr>
  </w:style>
  <w:style w:type="character" w:customStyle="1" w:styleId="55">
    <w:name w:val="c-icon"/>
    <w:basedOn w:val="31"/>
    <w:uiPriority w:val="0"/>
  </w:style>
  <w:style w:type="character" w:customStyle="1" w:styleId="56">
    <w:name w:val="hover23"/>
    <w:basedOn w:val="31"/>
    <w:uiPriority w:val="0"/>
    <w:rPr>
      <w:color w:val="315EFB"/>
    </w:rPr>
  </w:style>
  <w:style w:type="character" w:customStyle="1" w:styleId="57">
    <w:name w:val="hover25"/>
    <w:basedOn w:val="31"/>
    <w:uiPriority w:val="0"/>
    <w:rPr>
      <w:color w:val="315EFB"/>
    </w:rPr>
  </w:style>
  <w:style w:type="character" w:customStyle="1" w:styleId="58">
    <w:name w:val="op-map-singlepoint-info-right1"/>
    <w:basedOn w:val="31"/>
    <w:uiPriority w:val="0"/>
  </w:style>
  <w:style w:type="character" w:customStyle="1" w:styleId="59">
    <w:name w:val="hover24"/>
    <w:basedOn w:val="31"/>
    <w:uiPriority w:val="0"/>
  </w:style>
  <w:style w:type="character" w:customStyle="1" w:styleId="60">
    <w:name w:val="c-icon30"/>
    <w:basedOn w:val="31"/>
    <w:uiPriority w:val="0"/>
  </w:style>
  <w:style w:type="character" w:customStyle="1" w:styleId="61">
    <w:name w:val="c-icon26"/>
    <w:basedOn w:val="31"/>
    <w:uiPriority w:val="0"/>
  </w:style>
  <w:style w:type="paragraph" w:customStyle="1" w:styleId="62">
    <w:name w:val="正文2"/>
    <w:basedOn w:val="1"/>
    <w:uiPriority w:val="0"/>
    <w:pPr>
      <w:widowControl w:val="0"/>
      <w:spacing w:before="156" w:line="360" w:lineRule="auto"/>
      <w:ind w:firstLine="510" w:firstLineChars="200"/>
      <w:jc w:val="both"/>
    </w:pPr>
    <w:rPr>
      <w:sz w:val="24"/>
    </w:rPr>
  </w:style>
  <w:style w:type="paragraph" w:customStyle="1" w:styleId="63">
    <w:name w:val="表内文字"/>
    <w:basedOn w:val="1"/>
    <w:uiPriority w:val="0"/>
    <w:pPr>
      <w:widowControl w:val="0"/>
      <w:spacing w:line="240" w:lineRule="atLeast"/>
      <w:jc w:val="center"/>
    </w:pPr>
    <w:rPr>
      <w:rFonts w:ascii="Arial" w:hAnsi="Arial" w:cs="Arial"/>
      <w:b/>
      <w:bCs/>
      <w:kern w:val="2"/>
      <w:szCs w:val="24"/>
    </w:rPr>
  </w:style>
  <w:style w:type="paragraph" w:customStyle="1" w:styleId="64">
    <w:name w:val="表格文字"/>
    <w:basedOn w:val="1"/>
    <w:next w:val="14"/>
    <w:qFormat/>
    <w:uiPriority w:val="0"/>
    <w:pPr>
      <w:adjustRightInd w:val="0"/>
      <w:spacing w:line="420" w:lineRule="atLeast"/>
      <w:textAlignment w:val="baseline"/>
    </w:pPr>
    <w:rPr>
      <w:szCs w:val="24"/>
    </w:rPr>
  </w:style>
  <w:style w:type="paragraph" w:customStyle="1" w:styleId="65">
    <w:name w:val="样式 首行缩进:  2 字符"/>
    <w:basedOn w:val="1"/>
    <w:qFormat/>
    <w:uiPriority w:val="0"/>
    <w:pPr>
      <w:spacing w:line="360" w:lineRule="auto"/>
      <w:ind w:firstLine="480" w:firstLineChars="200"/>
    </w:pPr>
    <w:rPr>
      <w:rFonts w:ascii="宋体" w:hAnsi="宋体" w:cs="宋体"/>
      <w:color w:val="000000"/>
      <w:sz w:val="24"/>
    </w:rPr>
  </w:style>
  <w:style w:type="paragraph" w:customStyle="1" w:styleId="66">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67">
    <w:name w:val=" Char Char Char Char Char Char Char Char Char Char Char Char Char Char Char Char Char Char Char"/>
    <w:basedOn w:val="1"/>
    <w:uiPriority w:val="0"/>
    <w:pPr>
      <w:widowControl w:val="0"/>
      <w:jc w:val="both"/>
    </w:pPr>
    <w:rPr>
      <w:rFonts w:ascii="Courier New" w:eastAsia="Courier New"/>
      <w:b/>
      <w:kern w:val="2"/>
      <w:sz w:val="32"/>
      <w:szCs w:val="32"/>
    </w:rPr>
  </w:style>
  <w:style w:type="paragraph" w:customStyle="1" w:styleId="68">
    <w:name w:val=" Char Char Char Char Char Char Char"/>
    <w:basedOn w:val="1"/>
    <w:uiPriority w:val="0"/>
    <w:pPr>
      <w:widowControl w:val="0"/>
      <w:jc w:val="both"/>
    </w:pPr>
    <w:rPr>
      <w:rFonts w:ascii="Courier New" w:eastAsia="Courier New"/>
      <w:b/>
      <w:kern w:val="2"/>
      <w:sz w:val="32"/>
      <w:szCs w:val="32"/>
    </w:rPr>
  </w:style>
  <w:style w:type="paragraph" w:customStyle="1" w:styleId="69">
    <w:name w:val="中等深浅网格 1 - 强调文字颜色 21"/>
    <w:basedOn w:val="1"/>
    <w:qFormat/>
    <w:uiPriority w:val="34"/>
    <w:pPr>
      <w:ind w:firstLine="420" w:firstLineChars="200"/>
    </w:pPr>
  </w:style>
  <w:style w:type="paragraph" w:customStyle="1" w:styleId="70">
    <w:name w:val="正文－恩普"/>
    <w:basedOn w:val="8"/>
    <w:uiPriority w:val="0"/>
    <w:pPr>
      <w:framePr w:wrap="around" w:vAnchor="text" w:hAnchor="text" w:y="1"/>
      <w:widowControl w:val="0"/>
      <w:spacing w:line="360" w:lineRule="auto"/>
      <w:ind w:firstLine="200" w:firstLineChars="200"/>
      <w:jc w:val="both"/>
    </w:pPr>
    <w:rPr>
      <w:kern w:val="2"/>
      <w:sz w:val="24"/>
      <w:szCs w:val="24"/>
    </w:rPr>
  </w:style>
  <w:style w:type="paragraph" w:customStyle="1" w:styleId="71">
    <w:name w:val=" Char Char1 Char Char Char Char Char Char Char Char Char Char"/>
    <w:basedOn w:val="1"/>
    <w:uiPriority w:val="0"/>
    <w:pPr>
      <w:widowControl w:val="0"/>
      <w:tabs>
        <w:tab w:val="left" w:pos="360"/>
      </w:tabs>
      <w:ind w:firstLine="420" w:firstLineChars="150"/>
      <w:jc w:val="both"/>
    </w:pPr>
    <w:rPr>
      <w:rFonts w:ascii="Arial Unicode MS" w:hAnsi="Arial Unicode MS" w:cs="Arial Unicode MS"/>
      <w:kern w:val="2"/>
      <w:sz w:val="20"/>
    </w:rPr>
  </w:style>
  <w:style w:type="paragraph" w:customStyle="1" w:styleId="72">
    <w:name w:val="reader-word-layer reader-word-s1-12"/>
    <w:basedOn w:val="1"/>
    <w:qFormat/>
    <w:uiPriority w:val="0"/>
    <w:pPr>
      <w:widowControl/>
      <w:spacing w:before="100" w:beforeAutospacing="1" w:after="100" w:afterAutospacing="1"/>
    </w:pPr>
    <w:rPr>
      <w:rFonts w:ascii="宋体" w:hAnsi="宋体" w:eastAsia="宋体" w:cs="宋体"/>
      <w:color w:val="auto"/>
      <w:lang w:val="en-US" w:bidi="ar-SA"/>
    </w:rPr>
  </w:style>
  <w:style w:type="paragraph" w:customStyle="1" w:styleId="73">
    <w:name w:val="xl35"/>
    <w:basedOn w:val="1"/>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仿宋_GB2312" w:hAnsi="仿宋_GB2312" w:eastAsia="仿宋_GB2312"/>
      <w:sz w:val="24"/>
      <w:szCs w:val="24"/>
    </w:rPr>
  </w:style>
  <w:style w:type="paragraph" w:styleId="74">
    <w:name w:val="List Paragraph"/>
    <w:basedOn w:val="1"/>
    <w:qFormat/>
    <w:uiPriority w:val="0"/>
    <w:pPr>
      <w:ind w:firstLine="420" w:firstLineChars="200"/>
    </w:pPr>
  </w:style>
  <w:style w:type="paragraph" w:customStyle="1" w:styleId="75">
    <w:name w:val="正文1"/>
    <w:basedOn w:val="1"/>
    <w:qFormat/>
    <w:uiPriority w:val="0"/>
    <w:pPr>
      <w:widowControl w:val="0"/>
      <w:adjustRightInd w:val="0"/>
      <w:spacing w:line="318" w:lineRule="atLeast"/>
      <w:ind w:left="369" w:firstLine="369"/>
      <w:jc w:val="both"/>
      <w:textAlignment w:val="baseline"/>
    </w:pPr>
    <w:rPr>
      <w:rFonts w:ascii="宋体"/>
    </w:rPr>
  </w:style>
  <w:style w:type="paragraph" w:customStyle="1" w:styleId="76">
    <w:name w:val="正文文字表格居中"/>
    <w:basedOn w:val="1"/>
    <w:next w:val="25"/>
    <w:uiPriority w:val="0"/>
    <w:pPr>
      <w:widowControl w:val="0"/>
      <w:spacing w:line="400" w:lineRule="exact"/>
      <w:jc w:val="center"/>
    </w:pPr>
    <w:rPr>
      <w:b/>
      <w:bCs/>
      <w:kern w:val="2"/>
      <w:sz w:val="24"/>
      <w:szCs w:val="24"/>
    </w:rPr>
  </w:style>
  <w:style w:type="paragraph" w:customStyle="1" w:styleId="77">
    <w:name w:val="p0"/>
    <w:basedOn w:val="1"/>
    <w:uiPriority w:val="0"/>
    <w:rPr>
      <w:rFonts w:hint="eastAsia" w:ascii="方正行楷简体" w:hAnsi="方正行楷简体"/>
      <w:sz w:val="20"/>
    </w:rPr>
  </w:style>
  <w:style w:type="paragraph" w:customStyle="1" w:styleId="78">
    <w:name w:val="默认段落字体 Para Char Char Char Char"/>
    <w:basedOn w:val="1"/>
    <w:uiPriority w:val="0"/>
    <w:pPr>
      <w:widowControl w:val="0"/>
      <w:adjustRightInd w:val="0"/>
      <w:spacing w:line="360" w:lineRule="auto"/>
      <w:jc w:val="both"/>
    </w:pPr>
    <w:rPr>
      <w:sz w:val="24"/>
    </w:rPr>
  </w:style>
  <w:style w:type="paragraph" w:customStyle="1" w:styleId="79">
    <w:name w:val="Normal"/>
    <w:qFormat/>
    <w:uiPriority w:val="0"/>
    <w:pPr>
      <w:widowControl w:val="0"/>
      <w:jc w:val="both"/>
    </w:pPr>
    <w:rPr>
      <w:rFonts w:hint="eastAsia"/>
      <w:kern w:val="2"/>
      <w:sz w:val="21"/>
      <w:lang w:val="en-US" w:eastAsia="zh-CN" w:bidi="ar-SA"/>
    </w:rPr>
  </w:style>
  <w:style w:type="paragraph" w:customStyle="1" w:styleId="80">
    <w:name w:val="Plain Text"/>
    <w:basedOn w:val="79"/>
    <w:qFormat/>
    <w:uiPriority w:val="0"/>
    <w:pPr>
      <w:widowControl/>
      <w:jc w:val="left"/>
    </w:pPr>
    <w:rPr>
      <w:rFonts w:ascii="宋体" w:hAnsi="Courier New"/>
    </w:rPr>
  </w:style>
  <w:style w:type="paragraph" w:customStyle="1" w:styleId="81">
    <w:name w:val=" Char Char Char Char Char Char Char Char Char Char Char Char Char Char Char Char"/>
    <w:basedOn w:val="1"/>
    <w:qFormat/>
    <w:uiPriority w:val="0"/>
    <w:pPr>
      <w:tabs>
        <w:tab w:val="left" w:pos="360"/>
      </w:tabs>
    </w:pPr>
    <w:rPr>
      <w:szCs w:val="20"/>
    </w:rPr>
  </w:style>
  <w:style w:type="paragraph" w:customStyle="1" w:styleId="82">
    <w:name w:val="Default"/>
    <w:qFormat/>
    <w:uiPriority w:val="0"/>
    <w:pPr>
      <w:widowControl w:val="0"/>
      <w:autoSpaceDE w:val="0"/>
      <w:autoSpaceDN w:val="0"/>
      <w:adjustRightInd w:val="0"/>
    </w:pPr>
    <w:rPr>
      <w:rFonts w:ascii="宋体" w:hAnsi="宋体" w:cs="宋体"/>
      <w:color w:val="000000"/>
      <w:sz w:val="24"/>
      <w:szCs w:val="24"/>
      <w:lang w:val="en-US" w:eastAsia="zh-CN" w:bidi="ar-SA"/>
    </w:rPr>
  </w:style>
  <w:style w:type="paragraph" w:customStyle="1" w:styleId="83">
    <w:name w:val="_Style 1"/>
    <w:basedOn w:val="1"/>
    <w:qFormat/>
    <w:uiPriority w:val="0"/>
    <w:pPr>
      <w:ind w:firstLine="420" w:firstLineChars="200"/>
    </w:pPr>
  </w:style>
  <w:style w:type="paragraph" w:customStyle="1" w:styleId="84">
    <w:name w:val="无间距1"/>
    <w:qFormat/>
    <w:uiPriority w:val="0"/>
    <w:pPr>
      <w:widowControl w:val="0"/>
      <w:jc w:val="both"/>
    </w:pPr>
    <w:rPr>
      <w:rFonts w:ascii="Calibri" w:hAnsi="Calibri" w:eastAsia="微软雅黑 Light"/>
      <w:kern w:val="2"/>
      <w:sz w:val="24"/>
      <w:szCs w:val="22"/>
      <w:lang w:val="en-US" w:eastAsia="zh-CN" w:bidi="ar-SA"/>
    </w:rPr>
  </w:style>
  <w:style w:type="paragraph" w:customStyle="1" w:styleId="85">
    <w:name w:val="正文格式"/>
    <w:basedOn w:val="1"/>
    <w:uiPriority w:val="0"/>
    <w:pPr>
      <w:widowControl w:val="0"/>
      <w:spacing w:before="120" w:after="120" w:line="360" w:lineRule="auto"/>
      <w:ind w:firstLine="482"/>
    </w:pPr>
    <w:rPr>
      <w:kern w:val="2"/>
      <w:sz w:val="24"/>
    </w:rPr>
  </w:style>
  <w:style w:type="paragraph" w:customStyle="1" w:styleId="86">
    <w:name w:val="List Paragraph"/>
    <w:basedOn w:val="1"/>
    <w:qFormat/>
    <w:uiPriority w:val="99"/>
    <w:pPr>
      <w:ind w:firstLine="420" w:firstLineChars="200"/>
    </w:pPr>
  </w:style>
  <w:style w:type="paragraph" w:customStyle="1" w:styleId="87">
    <w:name w:val="正文_13"/>
    <w:qFormat/>
    <w:uiPriority w:val="0"/>
    <w:pPr>
      <w:widowControl w:val="0"/>
      <w:jc w:val="both"/>
    </w:pPr>
    <w:rPr>
      <w:kern w:val="2"/>
      <w:sz w:val="21"/>
      <w:szCs w:val="24"/>
      <w:lang w:val="en-US" w:eastAsia="zh-CN" w:bidi="ar-SA"/>
    </w:rPr>
  </w:style>
  <w:style w:type="paragraph" w:customStyle="1" w:styleId="88">
    <w:name w:val="Char Char Char"/>
    <w:basedOn w:val="1"/>
    <w:uiPriority w:val="0"/>
    <w:pPr>
      <w:widowControl w:val="0"/>
      <w:jc w:val="both"/>
    </w:pPr>
    <w:rPr>
      <w:kern w:val="2"/>
    </w:rPr>
  </w:style>
  <w:style w:type="paragraph" w:customStyle="1" w:styleId="89">
    <w:name w:val="xl55"/>
    <w:basedOn w:val="1"/>
    <w:uiPriority w:val="0"/>
    <w:pPr>
      <w:spacing w:before="100" w:beforeAutospacing="1" w:after="100" w:afterAutospacing="1"/>
      <w:jc w:val="center"/>
      <w:textAlignment w:val="center"/>
    </w:pPr>
    <w:rPr>
      <w:rFonts w:ascii="仿宋_GB2312" w:hAnsi="仿宋_GB2312"/>
      <w:sz w:val="24"/>
      <w:szCs w:val="24"/>
    </w:rPr>
  </w:style>
  <w:style w:type="paragraph" w:customStyle="1" w:styleId="90">
    <w:name w:val="Table Paragraph"/>
    <w:basedOn w:val="1"/>
    <w:qFormat/>
    <w:uiPriority w:val="1"/>
    <w:pPr>
      <w:jc w:val="center"/>
    </w:pPr>
    <w:rPr>
      <w:rFonts w:ascii="仿宋" w:hAnsi="仿宋" w:eastAsia="仿宋" w:cs="仿宋"/>
      <w:lang w:val="zh-CN" w:eastAsia="zh-CN" w:bidi="zh-CN"/>
    </w:rPr>
  </w:style>
  <w:style w:type="paragraph" w:customStyle="1" w:styleId="91">
    <w:name w:val="Body text|1"/>
    <w:basedOn w:val="1"/>
    <w:qFormat/>
    <w:uiPriority w:val="0"/>
    <w:pPr>
      <w:widowControl w:val="0"/>
      <w:shd w:val="clear" w:color="auto" w:fill="auto"/>
      <w:spacing w:line="312" w:lineRule="auto"/>
      <w:ind w:firstLine="400"/>
    </w:pPr>
    <w:rPr>
      <w:rFonts w:ascii="宋体" w:hAnsi="宋体" w:eastAsia="宋体" w:cs="宋体"/>
      <w:sz w:val="28"/>
      <w:szCs w:val="28"/>
      <w:u w:val="none"/>
      <w:shd w:val="clear" w:color="auto" w:fill="auto"/>
      <w:lang w:val="zh-TW" w:eastAsia="zh-TW" w:bidi="zh-TW"/>
    </w:rPr>
  </w:style>
  <w:style w:type="table" w:customStyle="1" w:styleId="92">
    <w:name w:val="网格型1"/>
    <w:basedOn w:val="29"/>
    <w:uiPriority w:val="0"/>
    <w:pPr>
      <w:widowControl w:val="0"/>
      <w:jc w:val="both"/>
    </w:pPr>
    <w:rPr>
      <w:rFonts w:ascii="Cambria" w:hAnsi="Cambria"/>
    </w:rPr>
    <w:tblPr>
      <w:tblStyle w:val="2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font41"/>
    <w:basedOn w:val="31"/>
    <w:uiPriority w:val="0"/>
    <w:rPr>
      <w:rFonts w:ascii="Calibri" w:hAnsi="Calibri" w:cs="Calibri"/>
      <w:color w:val="000000"/>
      <w:sz w:val="24"/>
      <w:szCs w:val="24"/>
      <w:u w:val="none"/>
    </w:rPr>
  </w:style>
  <w:style w:type="character" w:customStyle="1" w:styleId="94">
    <w:name w:val="font11"/>
    <w:basedOn w:val="31"/>
    <w:uiPriority w:val="0"/>
    <w:rPr>
      <w:rFonts w:hint="eastAsia" w:ascii="宋体" w:hAnsi="宋体" w:eastAsia="宋体" w:cs="宋体"/>
      <w:color w:val="000000"/>
      <w:sz w:val="24"/>
      <w:szCs w:val="24"/>
      <w:u w:val="none"/>
    </w:rPr>
  </w:style>
  <w:style w:type="character" w:customStyle="1" w:styleId="95">
    <w:name w:val="font61"/>
    <w:basedOn w:val="31"/>
    <w:uiPriority w:val="0"/>
    <w:rPr>
      <w:rFonts w:hint="default" w:ascii="Times New Roman" w:hAnsi="Times New Roman" w:cs="Times New Roman"/>
      <w:color w:val="000000"/>
      <w:sz w:val="21"/>
      <w:szCs w:val="21"/>
      <w:u w:val="none"/>
    </w:rPr>
  </w:style>
  <w:style w:type="paragraph" w:customStyle="1" w:styleId="96">
    <w:name w:val="Body Text First Indent1"/>
    <w:basedOn w:val="14"/>
    <w:qFormat/>
    <w:uiPriority w:val="0"/>
    <w:pPr>
      <w:spacing w:after="0" w:line="500" w:lineRule="exact"/>
      <w:ind w:firstLine="420"/>
    </w:pPr>
    <w:rPr>
      <w:rFonts w:ascii="仿宋_GB2312" w:hAnsi="Calibri" w:eastAsia="仿宋_GB2312"/>
      <w:kern w:val="2"/>
      <w:sz w:val="28"/>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footer6.xml" Type="http://schemas.openxmlformats.org/officeDocument/2006/relationships/footer"/><Relationship Id="rId12" Target="header4.xml" Type="http://schemas.openxmlformats.org/officeDocument/2006/relationships/header"/><Relationship Id="rId13" Target="header5.xml" Type="http://schemas.openxmlformats.org/officeDocument/2006/relationships/header"/><Relationship Id="rId14" Target="footer7.xml" Type="http://schemas.openxmlformats.org/officeDocument/2006/relationships/footer"/><Relationship Id="rId15" Target="footer8.xml" Type="http://schemas.openxmlformats.org/officeDocument/2006/relationships/footer"/><Relationship Id="rId16" Target="theme/theme1.xml" Type="http://schemas.openxmlformats.org/officeDocument/2006/relationships/theme"/><Relationship Id="rId17" Target="media/image1.jpe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settings.xml" Type="http://schemas.openxmlformats.org/officeDocument/2006/relationships/settings"/><Relationship Id="rId20" Target="media/image4.jpeg" Type="http://schemas.openxmlformats.org/officeDocument/2006/relationships/image"/><Relationship Id="rId21" Target="media/image5.png" Type="http://schemas.openxmlformats.org/officeDocument/2006/relationships/image"/><Relationship Id="rId22" Target="media/image6.png" Type="http://schemas.openxmlformats.org/officeDocument/2006/relationships/image"/><Relationship Id="rId23" Target="media/image7.png" Type="http://schemas.openxmlformats.org/officeDocument/2006/relationships/image"/><Relationship Id="rId24" Target="media/image8.png" Type="http://schemas.openxmlformats.org/officeDocument/2006/relationships/image"/><Relationship Id="rId25" Target="media/image9.png" Type="http://schemas.openxmlformats.org/officeDocument/2006/relationships/image"/><Relationship Id="rId26" Target="media/image10.jpeg" Type="http://schemas.openxmlformats.org/officeDocument/2006/relationships/image"/><Relationship Id="rId27" Target="media/image11.png" Type="http://schemas.openxmlformats.org/officeDocument/2006/relationships/image"/><Relationship Id="rId28" Target="media/image12.png" Type="http://schemas.openxmlformats.org/officeDocument/2006/relationships/image"/><Relationship Id="rId29" Target="media/image13.png" Type="http://schemas.openxmlformats.org/officeDocument/2006/relationships/image"/><Relationship Id="rId3" Target="header1.xml" Type="http://schemas.openxmlformats.org/officeDocument/2006/relationships/header"/><Relationship Id="rId30" Target="media/image14.jpeg" Type="http://schemas.openxmlformats.org/officeDocument/2006/relationships/image"/><Relationship Id="rId31" Target="media/image15.png" Type="http://schemas.openxmlformats.org/officeDocument/2006/relationships/image"/><Relationship Id="rId32" Target="media/image16.png" Type="http://schemas.openxmlformats.org/officeDocument/2006/relationships/image"/><Relationship Id="rId33" Target="media/image17.png" Type="http://schemas.openxmlformats.org/officeDocument/2006/relationships/image"/><Relationship Id="rId34" Target="embeddings/oleObject1.bin" Type="http://schemas.openxmlformats.org/officeDocument/2006/relationships/oleObject"/><Relationship Id="rId35" Target="media/image18.wmf" Type="http://schemas.openxmlformats.org/officeDocument/2006/relationships/image"/><Relationship Id="rId36" Target="embeddings/oleObject2.bin" Type="http://schemas.openxmlformats.org/officeDocument/2006/relationships/oleObject"/><Relationship Id="rId37" Target="../customXml/item1.xml" Type="http://schemas.openxmlformats.org/officeDocument/2006/relationships/customXml"/><Relationship Id="rId38" Target="numbering.xml" Type="http://schemas.openxmlformats.org/officeDocument/2006/relationships/numbering"/><Relationship Id="rId39" Target="fontTable.xml" Type="http://schemas.openxmlformats.org/officeDocument/2006/relationships/fontTable"/><Relationship Id="rId4" Target="header2.xml" Type="http://schemas.openxmlformats.org/officeDocument/2006/relationships/header"/><Relationship Id="rId5" Target="header3.xml" Type="http://schemas.openxmlformats.org/officeDocument/2006/relationships/header"/><Relationship Id="rId6" Target="footer1.xml" Type="http://schemas.openxmlformats.org/officeDocument/2006/relationships/footer"/><Relationship Id="rId7" Target="footer2.xml" Type="http://schemas.openxmlformats.org/officeDocument/2006/relationships/footer"/><Relationship Id="rId8" Target="footer3.xml" Type="http://schemas.openxmlformats.org/officeDocument/2006/relationships/footer"/><Relationship Id="rId9" Target="footer4.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129</Pages>
  <Words>16824</Words>
  <Characters>95902</Characters>
  <Lines>799</Lines>
  <Paragraphs>225</Paragraphs>
  <TotalTime>43</TotalTime>
  <ScaleCrop>false</ScaleCrop>
  <LinksUpToDate>false</LinksUpToDate>
  <CharactersWithSpaces>112501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2020-07-02T06:39:00Z</dcterms:created>
  <dc:creator>ccl</dc:creator>
  <cp:lastModifiedBy>WPS_1701756769</cp:lastModifiedBy>
  <cp:lastPrinted>2021-03-23T13:37:00Z</cp:lastPrinted>
  <dcterms:modified xsi:type="dcterms:W3CDTF">2024-02-22T02:44:54Z</dcterms:modified>
  <cp:revision>2</cp:revision>
  <dc:title>瑞安市公共资源交易中心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项目编号">
    <vt:lpwstr>AAAAA</vt:lpwstr>
  </property>
  <property fmtid="{D5CDD505-2E9C-101B-9397-08002B2CF9AE}" pid="3" name="KSOProductBuildVer">
    <vt:lpwstr>2052-12.1.0.16388</vt:lpwstr>
  </property>
  <property fmtid="{D5CDD505-2E9C-101B-9397-08002B2CF9AE}" pid="4" name="ICV">
    <vt:lpwstr>121B732994A745319275DAEA62C667EB_13</vt:lpwstr>
  </property>
</Properties>
</file>