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6"/>
          <w:szCs w:val="36"/>
        </w:rPr>
      </w:pPr>
      <w:r>
        <w:rPr>
          <w:sz w:val="36"/>
          <w:szCs w:val="36"/>
        </w:rPr>
        <w:t xml:space="preserve">  </w:t>
      </w:r>
      <w:r>
        <w:rPr>
          <w:rFonts w:hint="eastAsia"/>
          <w:sz w:val="36"/>
          <w:szCs w:val="36"/>
        </w:rPr>
        <w:t xml:space="preserve"> </w:t>
      </w:r>
    </w:p>
    <w:p>
      <w:pPr>
        <w:pStyle w:val="2"/>
        <w:spacing w:line="360" w:lineRule="auto"/>
        <w:ind w:firstLine="0" w:firstLineChars="0"/>
        <w:jc w:val="center"/>
        <w:outlineLvl w:val="0"/>
        <w:rPr>
          <w:rFonts w:ascii="方正仿宋_GB2312" w:hAnsi="方正仿宋_GB2312" w:eastAsia="方正仿宋_GB2312" w:cs="方正仿宋_GB2312"/>
          <w:b/>
          <w:snapToGrid w:val="0"/>
          <w:sz w:val="36"/>
          <w:szCs w:val="36"/>
        </w:rPr>
      </w:pPr>
      <w:bookmarkStart w:id="0" w:name="_Toc10320"/>
      <w:bookmarkStart w:id="1" w:name="_Toc16409"/>
      <w:r>
        <w:rPr>
          <w:rFonts w:hint="eastAsia" w:ascii="方正仿宋_GB2312" w:hAnsi="方正仿宋_GB2312" w:eastAsia="方正仿宋_GB2312" w:cs="方正仿宋_GB2312"/>
          <w:b/>
          <w:snapToGrid w:val="0"/>
          <w:sz w:val="36"/>
          <w:szCs w:val="36"/>
        </w:rPr>
        <w:t>湖州市医疗保障局疾病相关分组（DRGS）结合点数法医保支付专业化服务项目</w:t>
      </w:r>
      <w:bookmarkEnd w:id="0"/>
      <w:bookmarkEnd w:id="1"/>
    </w:p>
    <w:p>
      <w:pPr>
        <w:pStyle w:val="2"/>
        <w:spacing w:line="360" w:lineRule="auto"/>
        <w:ind w:firstLine="0" w:firstLineChars="0"/>
        <w:jc w:val="center"/>
        <w:rPr>
          <w:rFonts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Cs/>
          <w:snapToGrid w:val="0"/>
          <w:sz w:val="30"/>
          <w:szCs w:val="30"/>
        </w:rPr>
        <w:t>（财政审批编号：</w:t>
      </w:r>
      <w:r>
        <w:rPr>
          <w:rFonts w:hint="eastAsia" w:ascii="方正仿宋_GB2312" w:hAnsi="方正仿宋_GB2312" w:eastAsia="方正仿宋_GB2312" w:cs="方正仿宋_GB2312"/>
          <w:bCs/>
          <w:i w:val="0"/>
          <w:iCs w:val="0"/>
          <w:caps w:val="0"/>
          <w:snapToGrid w:val="0"/>
          <w:spacing w:val="0"/>
          <w:sz w:val="30"/>
          <w:szCs w:val="30"/>
          <w:u w:val="none"/>
        </w:rPr>
        <w:fldChar w:fldCharType="begin"/>
      </w:r>
      <w:r>
        <w:rPr>
          <w:rFonts w:hint="eastAsia" w:ascii="方正仿宋_GB2312" w:hAnsi="方正仿宋_GB2312" w:eastAsia="方正仿宋_GB2312" w:cs="方正仿宋_GB2312"/>
          <w:bCs/>
          <w:i w:val="0"/>
          <w:iCs w:val="0"/>
          <w:caps w:val="0"/>
          <w:snapToGrid w:val="0"/>
          <w:spacing w:val="0"/>
          <w:sz w:val="30"/>
          <w:szCs w:val="30"/>
          <w:u w:val="none"/>
        </w:rPr>
        <w:instrText xml:space="preserve"> HYPERLINK "https://pay.zcygov.cn/purchaseplan_front/" \l "/plan/list/view?id=1000000000013147157&amp;_app_=zcy.procurement" \t "https://www.zcygov.cn/project-center/_procurement_/purchasePlans/_blank" </w:instrText>
      </w:r>
      <w:r>
        <w:rPr>
          <w:rFonts w:hint="eastAsia" w:ascii="方正仿宋_GB2312" w:hAnsi="方正仿宋_GB2312" w:eastAsia="方正仿宋_GB2312" w:cs="方正仿宋_GB2312"/>
          <w:bCs/>
          <w:i w:val="0"/>
          <w:iCs w:val="0"/>
          <w:caps w:val="0"/>
          <w:snapToGrid w:val="0"/>
          <w:spacing w:val="0"/>
          <w:sz w:val="30"/>
          <w:szCs w:val="30"/>
          <w:u w:val="none"/>
        </w:rPr>
        <w:fldChar w:fldCharType="separate"/>
      </w:r>
      <w:r>
        <w:rPr>
          <w:rFonts w:hint="eastAsia" w:ascii="方正仿宋_GB2312" w:hAnsi="方正仿宋_GB2312" w:eastAsia="方正仿宋_GB2312" w:cs="方正仿宋_GB2312"/>
          <w:bCs/>
          <w:i w:val="0"/>
          <w:iCs w:val="0"/>
          <w:caps w:val="0"/>
          <w:snapToGrid w:val="0"/>
          <w:spacing w:val="0"/>
          <w:sz w:val="30"/>
          <w:szCs w:val="30"/>
          <w:u w:val="none"/>
        </w:rPr>
        <w:t>临[2024]141号</w:t>
      </w:r>
      <w:r>
        <w:rPr>
          <w:rFonts w:hint="eastAsia" w:ascii="方正仿宋_GB2312" w:hAnsi="方正仿宋_GB2312" w:eastAsia="方正仿宋_GB2312" w:cs="方正仿宋_GB2312"/>
          <w:bCs/>
          <w:i w:val="0"/>
          <w:iCs w:val="0"/>
          <w:caps w:val="0"/>
          <w:snapToGrid w:val="0"/>
          <w:spacing w:val="0"/>
          <w:sz w:val="30"/>
          <w:szCs w:val="30"/>
          <w:u w:val="none"/>
        </w:rPr>
        <w:fldChar w:fldCharType="end"/>
      </w:r>
      <w:r>
        <w:rPr>
          <w:rFonts w:hint="eastAsia" w:ascii="方正仿宋_GB2312" w:hAnsi="方正仿宋_GB2312" w:eastAsia="方正仿宋_GB2312" w:cs="方正仿宋_GB2312"/>
          <w:bCs/>
          <w:i w:val="0"/>
          <w:iCs w:val="0"/>
          <w:caps w:val="0"/>
          <w:snapToGrid w:val="0"/>
          <w:spacing w:val="0"/>
          <w:sz w:val="30"/>
          <w:szCs w:val="30"/>
          <w:u w:val="none"/>
          <w:lang w:eastAsia="zh-CN"/>
        </w:rPr>
        <w:t>、</w:t>
      </w:r>
      <w:r>
        <w:rPr>
          <w:rFonts w:hint="eastAsia" w:ascii="方正仿宋_GB2312" w:hAnsi="方正仿宋_GB2312" w:eastAsia="方正仿宋_GB2312" w:cs="方正仿宋_GB2312"/>
          <w:bCs/>
          <w:i w:val="0"/>
          <w:iCs w:val="0"/>
          <w:caps w:val="0"/>
          <w:snapToGrid w:val="0"/>
          <w:spacing w:val="0"/>
          <w:sz w:val="30"/>
          <w:szCs w:val="30"/>
          <w:u w:val="none"/>
        </w:rPr>
        <w:fldChar w:fldCharType="begin"/>
      </w:r>
      <w:r>
        <w:rPr>
          <w:rFonts w:hint="eastAsia" w:ascii="方正仿宋_GB2312" w:hAnsi="方正仿宋_GB2312" w:eastAsia="方正仿宋_GB2312" w:cs="方正仿宋_GB2312"/>
          <w:bCs/>
          <w:i w:val="0"/>
          <w:iCs w:val="0"/>
          <w:caps w:val="0"/>
          <w:snapToGrid w:val="0"/>
          <w:spacing w:val="0"/>
          <w:sz w:val="30"/>
          <w:szCs w:val="30"/>
          <w:u w:val="none"/>
        </w:rPr>
        <w:instrText xml:space="preserve"> HYPERLINK "https://pay.zcygov.cn/purchaseplan_front/" \l "/plan/list/view?id=1000000000013147623&amp;_app_=zcy.procurement" \t "https://www.zcygov.cn/project-center/_procurement_/purchasePlans/_blank" </w:instrText>
      </w:r>
      <w:r>
        <w:rPr>
          <w:rFonts w:hint="eastAsia" w:ascii="方正仿宋_GB2312" w:hAnsi="方正仿宋_GB2312" w:eastAsia="方正仿宋_GB2312" w:cs="方正仿宋_GB2312"/>
          <w:bCs/>
          <w:i w:val="0"/>
          <w:iCs w:val="0"/>
          <w:caps w:val="0"/>
          <w:snapToGrid w:val="0"/>
          <w:spacing w:val="0"/>
          <w:sz w:val="30"/>
          <w:szCs w:val="30"/>
          <w:u w:val="none"/>
        </w:rPr>
        <w:fldChar w:fldCharType="separate"/>
      </w:r>
      <w:r>
        <w:rPr>
          <w:rFonts w:hint="eastAsia" w:ascii="方正仿宋_GB2312" w:hAnsi="方正仿宋_GB2312" w:eastAsia="方正仿宋_GB2312" w:cs="方正仿宋_GB2312"/>
          <w:bCs/>
          <w:i w:val="0"/>
          <w:iCs w:val="0"/>
          <w:caps w:val="0"/>
          <w:snapToGrid w:val="0"/>
          <w:spacing w:val="0"/>
          <w:sz w:val="30"/>
          <w:szCs w:val="30"/>
          <w:u w:val="none"/>
        </w:rPr>
        <w:t>临[2024]193号</w:t>
      </w:r>
      <w:r>
        <w:rPr>
          <w:rFonts w:hint="eastAsia" w:ascii="方正仿宋_GB2312" w:hAnsi="方正仿宋_GB2312" w:eastAsia="方正仿宋_GB2312" w:cs="方正仿宋_GB2312"/>
          <w:bCs/>
          <w:i w:val="0"/>
          <w:iCs w:val="0"/>
          <w:caps w:val="0"/>
          <w:snapToGrid w:val="0"/>
          <w:spacing w:val="0"/>
          <w:sz w:val="30"/>
          <w:szCs w:val="30"/>
          <w:u w:val="none"/>
        </w:rPr>
        <w:fldChar w:fldCharType="end"/>
      </w:r>
      <w:r>
        <w:rPr>
          <w:rFonts w:hint="eastAsia" w:ascii="方正仿宋_GB2312" w:hAnsi="方正仿宋_GB2312" w:eastAsia="方正仿宋_GB2312" w:cs="方正仿宋_GB2312"/>
          <w:bCs/>
          <w:i w:val="0"/>
          <w:iCs w:val="0"/>
          <w:caps w:val="0"/>
          <w:snapToGrid w:val="0"/>
          <w:spacing w:val="0"/>
          <w:sz w:val="30"/>
          <w:szCs w:val="30"/>
          <w:u w:val="none"/>
          <w:lang w:eastAsia="zh-CN"/>
        </w:rPr>
        <w:t>、</w:t>
      </w:r>
      <w:r>
        <w:rPr>
          <w:rFonts w:hint="eastAsia" w:ascii="方正仿宋_GB2312" w:hAnsi="方正仿宋_GB2312" w:eastAsia="方正仿宋_GB2312" w:cs="方正仿宋_GB2312"/>
          <w:bCs/>
          <w:i w:val="0"/>
          <w:iCs w:val="0"/>
          <w:caps w:val="0"/>
          <w:snapToGrid w:val="0"/>
          <w:spacing w:val="0"/>
          <w:sz w:val="30"/>
          <w:szCs w:val="30"/>
          <w:u w:val="none"/>
        </w:rPr>
        <w:fldChar w:fldCharType="begin"/>
      </w:r>
      <w:r>
        <w:rPr>
          <w:rFonts w:hint="eastAsia" w:ascii="方正仿宋_GB2312" w:hAnsi="方正仿宋_GB2312" w:eastAsia="方正仿宋_GB2312" w:cs="方正仿宋_GB2312"/>
          <w:bCs/>
          <w:i w:val="0"/>
          <w:iCs w:val="0"/>
          <w:caps w:val="0"/>
          <w:snapToGrid w:val="0"/>
          <w:spacing w:val="0"/>
          <w:sz w:val="30"/>
          <w:szCs w:val="30"/>
          <w:u w:val="none"/>
        </w:rPr>
        <w:instrText xml:space="preserve"> HYPERLINK "https://pay.zcygov.cn/purchaseplan_front/" \l "/plan/list/view?id=1000000000013148529&amp;_app_=zcy.procurement" \t "https://www.zcygov.cn/project-center/_procurement_/purchasePlans/_blank" </w:instrText>
      </w:r>
      <w:r>
        <w:rPr>
          <w:rFonts w:hint="eastAsia" w:ascii="方正仿宋_GB2312" w:hAnsi="方正仿宋_GB2312" w:eastAsia="方正仿宋_GB2312" w:cs="方正仿宋_GB2312"/>
          <w:bCs/>
          <w:i w:val="0"/>
          <w:iCs w:val="0"/>
          <w:caps w:val="0"/>
          <w:snapToGrid w:val="0"/>
          <w:spacing w:val="0"/>
          <w:sz w:val="30"/>
          <w:szCs w:val="30"/>
          <w:u w:val="none"/>
        </w:rPr>
        <w:fldChar w:fldCharType="separate"/>
      </w:r>
      <w:r>
        <w:rPr>
          <w:rFonts w:hint="eastAsia" w:ascii="方正仿宋_GB2312" w:hAnsi="方正仿宋_GB2312" w:eastAsia="方正仿宋_GB2312" w:cs="方正仿宋_GB2312"/>
          <w:bCs/>
          <w:i w:val="0"/>
          <w:iCs w:val="0"/>
          <w:caps w:val="0"/>
          <w:snapToGrid w:val="0"/>
          <w:spacing w:val="0"/>
          <w:sz w:val="30"/>
          <w:szCs w:val="30"/>
          <w:u w:val="none"/>
        </w:rPr>
        <w:t>临[2024]197号</w:t>
      </w:r>
      <w:r>
        <w:rPr>
          <w:rFonts w:hint="eastAsia" w:ascii="方正仿宋_GB2312" w:hAnsi="方正仿宋_GB2312" w:eastAsia="方正仿宋_GB2312" w:cs="方正仿宋_GB2312"/>
          <w:bCs/>
          <w:i w:val="0"/>
          <w:iCs w:val="0"/>
          <w:caps w:val="0"/>
          <w:snapToGrid w:val="0"/>
          <w:spacing w:val="0"/>
          <w:sz w:val="30"/>
          <w:szCs w:val="30"/>
          <w:u w:val="none"/>
        </w:rPr>
        <w:fldChar w:fldCharType="end"/>
      </w:r>
      <w:r>
        <w:rPr>
          <w:rFonts w:hint="eastAsia" w:ascii="方正仿宋_GB2312" w:hAnsi="方正仿宋_GB2312" w:eastAsia="方正仿宋_GB2312" w:cs="方正仿宋_GB2312"/>
          <w:bCs/>
          <w:i w:val="0"/>
          <w:iCs w:val="0"/>
          <w:caps w:val="0"/>
          <w:snapToGrid w:val="0"/>
          <w:spacing w:val="0"/>
          <w:sz w:val="30"/>
          <w:szCs w:val="30"/>
          <w:u w:val="none"/>
          <w:lang w:eastAsia="zh-CN"/>
        </w:rPr>
        <w:t>、</w:t>
      </w:r>
      <w:r>
        <w:rPr>
          <w:rFonts w:hint="eastAsia" w:ascii="方正仿宋_GB2312" w:hAnsi="方正仿宋_GB2312" w:eastAsia="方正仿宋_GB2312" w:cs="方正仿宋_GB2312"/>
          <w:bCs/>
          <w:i w:val="0"/>
          <w:iCs w:val="0"/>
          <w:caps w:val="0"/>
          <w:snapToGrid w:val="0"/>
          <w:spacing w:val="0"/>
          <w:sz w:val="30"/>
          <w:szCs w:val="30"/>
          <w:u w:val="none"/>
        </w:rPr>
        <w:fldChar w:fldCharType="begin"/>
      </w:r>
      <w:r>
        <w:rPr>
          <w:rFonts w:hint="eastAsia" w:ascii="方正仿宋_GB2312" w:hAnsi="方正仿宋_GB2312" w:eastAsia="方正仿宋_GB2312" w:cs="方正仿宋_GB2312"/>
          <w:bCs/>
          <w:i w:val="0"/>
          <w:iCs w:val="0"/>
          <w:caps w:val="0"/>
          <w:snapToGrid w:val="0"/>
          <w:spacing w:val="0"/>
          <w:sz w:val="30"/>
          <w:szCs w:val="30"/>
          <w:u w:val="none"/>
        </w:rPr>
        <w:instrText xml:space="preserve"> HYPERLINK "https://pay.zcygov.cn/purchaseplan_front/" \l "/plan/list/view?id=1000000000013164719&amp;_app_=zcy.procurement" \t "https://www.zcygov.cn/project-center/_procurement_/purchasePlans/_blank" </w:instrText>
      </w:r>
      <w:r>
        <w:rPr>
          <w:rFonts w:hint="eastAsia" w:ascii="方正仿宋_GB2312" w:hAnsi="方正仿宋_GB2312" w:eastAsia="方正仿宋_GB2312" w:cs="方正仿宋_GB2312"/>
          <w:bCs/>
          <w:i w:val="0"/>
          <w:iCs w:val="0"/>
          <w:caps w:val="0"/>
          <w:snapToGrid w:val="0"/>
          <w:spacing w:val="0"/>
          <w:sz w:val="30"/>
          <w:szCs w:val="30"/>
          <w:u w:val="none"/>
        </w:rPr>
        <w:fldChar w:fldCharType="separate"/>
      </w:r>
      <w:r>
        <w:rPr>
          <w:rFonts w:hint="eastAsia" w:ascii="方正仿宋_GB2312" w:hAnsi="方正仿宋_GB2312" w:eastAsia="方正仿宋_GB2312" w:cs="方正仿宋_GB2312"/>
          <w:bCs/>
          <w:i w:val="0"/>
          <w:iCs w:val="0"/>
          <w:caps w:val="0"/>
          <w:snapToGrid w:val="0"/>
          <w:spacing w:val="0"/>
          <w:sz w:val="30"/>
          <w:szCs w:val="30"/>
          <w:u w:val="none"/>
        </w:rPr>
        <w:t>临[2024]211号</w:t>
      </w:r>
      <w:r>
        <w:rPr>
          <w:rFonts w:hint="eastAsia" w:ascii="方正仿宋_GB2312" w:hAnsi="方正仿宋_GB2312" w:eastAsia="方正仿宋_GB2312" w:cs="方正仿宋_GB2312"/>
          <w:bCs/>
          <w:i w:val="0"/>
          <w:iCs w:val="0"/>
          <w:caps w:val="0"/>
          <w:snapToGrid w:val="0"/>
          <w:spacing w:val="0"/>
          <w:sz w:val="30"/>
          <w:szCs w:val="30"/>
          <w:u w:val="none"/>
        </w:rPr>
        <w:fldChar w:fldCharType="end"/>
      </w:r>
      <w:r>
        <w:rPr>
          <w:rFonts w:hint="eastAsia" w:ascii="方正仿宋_GB2312" w:hAnsi="方正仿宋_GB2312" w:eastAsia="方正仿宋_GB2312" w:cs="方正仿宋_GB2312"/>
          <w:bCs/>
          <w:i w:val="0"/>
          <w:iCs w:val="0"/>
          <w:caps w:val="0"/>
          <w:snapToGrid w:val="0"/>
          <w:spacing w:val="0"/>
          <w:sz w:val="30"/>
          <w:szCs w:val="30"/>
          <w:u w:val="none"/>
          <w:lang w:eastAsia="zh-CN"/>
        </w:rPr>
        <w:t>、</w:t>
      </w:r>
      <w:r>
        <w:rPr>
          <w:rFonts w:hint="eastAsia" w:ascii="方正仿宋_GB2312" w:hAnsi="方正仿宋_GB2312" w:eastAsia="方正仿宋_GB2312" w:cs="方正仿宋_GB2312"/>
          <w:bCs/>
          <w:i w:val="0"/>
          <w:iCs w:val="0"/>
          <w:caps w:val="0"/>
          <w:snapToGrid w:val="0"/>
          <w:spacing w:val="0"/>
          <w:sz w:val="30"/>
          <w:szCs w:val="30"/>
          <w:u w:val="none"/>
        </w:rPr>
        <w:fldChar w:fldCharType="begin"/>
      </w:r>
      <w:r>
        <w:rPr>
          <w:rFonts w:hint="eastAsia" w:ascii="方正仿宋_GB2312" w:hAnsi="方正仿宋_GB2312" w:eastAsia="方正仿宋_GB2312" w:cs="方正仿宋_GB2312"/>
          <w:bCs/>
          <w:i w:val="0"/>
          <w:iCs w:val="0"/>
          <w:caps w:val="0"/>
          <w:snapToGrid w:val="0"/>
          <w:spacing w:val="0"/>
          <w:sz w:val="30"/>
          <w:szCs w:val="30"/>
          <w:u w:val="none"/>
        </w:rPr>
        <w:instrText xml:space="preserve"> HYPERLINK "https://pay.zcygov.cn/purchaseplan_front/" \l "/plan/list/view?id=1000000000013169759&amp;_app_=zcy.procurement" \t "https://www.zcygov.cn/project-center/_procurement_/purchasePlans/_blank" </w:instrText>
      </w:r>
      <w:r>
        <w:rPr>
          <w:rFonts w:hint="eastAsia" w:ascii="方正仿宋_GB2312" w:hAnsi="方正仿宋_GB2312" w:eastAsia="方正仿宋_GB2312" w:cs="方正仿宋_GB2312"/>
          <w:bCs/>
          <w:i w:val="0"/>
          <w:iCs w:val="0"/>
          <w:caps w:val="0"/>
          <w:snapToGrid w:val="0"/>
          <w:spacing w:val="0"/>
          <w:sz w:val="30"/>
          <w:szCs w:val="30"/>
          <w:u w:val="none"/>
        </w:rPr>
        <w:fldChar w:fldCharType="separate"/>
      </w:r>
      <w:r>
        <w:rPr>
          <w:rFonts w:hint="eastAsia" w:ascii="方正仿宋_GB2312" w:hAnsi="方正仿宋_GB2312" w:eastAsia="方正仿宋_GB2312" w:cs="方正仿宋_GB2312"/>
          <w:bCs/>
          <w:i w:val="0"/>
          <w:iCs w:val="0"/>
          <w:caps w:val="0"/>
          <w:snapToGrid w:val="0"/>
          <w:spacing w:val="0"/>
          <w:sz w:val="30"/>
          <w:szCs w:val="30"/>
          <w:u w:val="none"/>
        </w:rPr>
        <w:t>临[2024]25号</w:t>
      </w:r>
      <w:r>
        <w:rPr>
          <w:rFonts w:hint="eastAsia" w:ascii="方正仿宋_GB2312" w:hAnsi="方正仿宋_GB2312" w:eastAsia="方正仿宋_GB2312" w:cs="方正仿宋_GB2312"/>
          <w:bCs/>
          <w:i w:val="0"/>
          <w:iCs w:val="0"/>
          <w:caps w:val="0"/>
          <w:snapToGrid w:val="0"/>
          <w:spacing w:val="0"/>
          <w:sz w:val="30"/>
          <w:szCs w:val="30"/>
          <w:u w:val="none"/>
        </w:rPr>
        <w:fldChar w:fldCharType="end"/>
      </w:r>
      <w:r>
        <w:rPr>
          <w:rFonts w:hint="eastAsia" w:ascii="方正仿宋_GB2312" w:hAnsi="方正仿宋_GB2312" w:eastAsia="方正仿宋_GB2312" w:cs="方正仿宋_GB2312"/>
          <w:bCs/>
          <w:i w:val="0"/>
          <w:iCs w:val="0"/>
          <w:caps w:val="0"/>
          <w:snapToGrid w:val="0"/>
          <w:spacing w:val="0"/>
          <w:sz w:val="30"/>
          <w:szCs w:val="30"/>
          <w:u w:val="none"/>
          <w:lang w:eastAsia="zh-CN"/>
        </w:rPr>
        <w:t>、</w:t>
      </w:r>
      <w:r>
        <w:rPr>
          <w:rFonts w:hint="eastAsia" w:ascii="方正仿宋_GB2312" w:hAnsi="方正仿宋_GB2312" w:eastAsia="方正仿宋_GB2312" w:cs="方正仿宋_GB2312"/>
          <w:bCs/>
          <w:i w:val="0"/>
          <w:iCs w:val="0"/>
          <w:caps w:val="0"/>
          <w:snapToGrid w:val="0"/>
          <w:spacing w:val="0"/>
          <w:sz w:val="30"/>
          <w:szCs w:val="30"/>
          <w:u w:val="none"/>
        </w:rPr>
        <w:fldChar w:fldCharType="begin"/>
      </w:r>
      <w:r>
        <w:rPr>
          <w:rFonts w:hint="eastAsia" w:ascii="方正仿宋_GB2312" w:hAnsi="方正仿宋_GB2312" w:eastAsia="方正仿宋_GB2312" w:cs="方正仿宋_GB2312"/>
          <w:bCs/>
          <w:i w:val="0"/>
          <w:iCs w:val="0"/>
          <w:caps w:val="0"/>
          <w:snapToGrid w:val="0"/>
          <w:spacing w:val="0"/>
          <w:sz w:val="30"/>
          <w:szCs w:val="30"/>
          <w:u w:val="none"/>
        </w:rPr>
        <w:instrText xml:space="preserve"> HYPERLINK "https://pay.zcygov.cn/purchaseplan_front/" \l "/plan/list/view?id=1000000000013143270&amp;_app_=zcy.procurement" \t "https://www.zcygov.cn/project-center/_procurement_/purchasePlans/_blank" </w:instrText>
      </w:r>
      <w:r>
        <w:rPr>
          <w:rFonts w:hint="eastAsia" w:ascii="方正仿宋_GB2312" w:hAnsi="方正仿宋_GB2312" w:eastAsia="方正仿宋_GB2312" w:cs="方正仿宋_GB2312"/>
          <w:bCs/>
          <w:i w:val="0"/>
          <w:iCs w:val="0"/>
          <w:caps w:val="0"/>
          <w:snapToGrid w:val="0"/>
          <w:spacing w:val="0"/>
          <w:sz w:val="30"/>
          <w:szCs w:val="30"/>
          <w:u w:val="none"/>
        </w:rPr>
        <w:fldChar w:fldCharType="separate"/>
      </w:r>
      <w:r>
        <w:rPr>
          <w:rFonts w:hint="eastAsia" w:ascii="方正仿宋_GB2312" w:hAnsi="方正仿宋_GB2312" w:eastAsia="方正仿宋_GB2312" w:cs="方正仿宋_GB2312"/>
          <w:bCs/>
          <w:i w:val="0"/>
          <w:iCs w:val="0"/>
          <w:caps w:val="0"/>
          <w:snapToGrid w:val="0"/>
          <w:spacing w:val="0"/>
          <w:sz w:val="30"/>
          <w:szCs w:val="30"/>
          <w:u w:val="none"/>
        </w:rPr>
        <w:t>[2024]14号</w:t>
      </w:r>
      <w:r>
        <w:rPr>
          <w:rFonts w:hint="eastAsia" w:ascii="方正仿宋_GB2312" w:hAnsi="方正仿宋_GB2312" w:eastAsia="方正仿宋_GB2312" w:cs="方正仿宋_GB2312"/>
          <w:bCs/>
          <w:i w:val="0"/>
          <w:iCs w:val="0"/>
          <w:caps w:val="0"/>
          <w:snapToGrid w:val="0"/>
          <w:spacing w:val="0"/>
          <w:sz w:val="30"/>
          <w:szCs w:val="30"/>
          <w:u w:val="none"/>
        </w:rPr>
        <w:fldChar w:fldCharType="end"/>
      </w:r>
      <w:r>
        <w:rPr>
          <w:rFonts w:hint="eastAsia" w:ascii="方正仿宋_GB2312" w:hAnsi="方正仿宋_GB2312" w:eastAsia="方正仿宋_GB2312" w:cs="方正仿宋_GB2312"/>
          <w:bCs/>
          <w:i w:val="0"/>
          <w:iCs w:val="0"/>
          <w:caps w:val="0"/>
          <w:snapToGrid w:val="0"/>
          <w:spacing w:val="0"/>
          <w:sz w:val="30"/>
          <w:szCs w:val="30"/>
          <w:u w:val="none"/>
          <w:lang w:eastAsia="zh-CN"/>
        </w:rPr>
        <w:t>、</w:t>
      </w:r>
      <w:r>
        <w:rPr>
          <w:rFonts w:hint="eastAsia" w:ascii="方正仿宋_GB2312" w:hAnsi="方正仿宋_GB2312" w:eastAsia="方正仿宋_GB2312" w:cs="方正仿宋_GB2312"/>
          <w:bCs/>
          <w:i w:val="0"/>
          <w:iCs w:val="0"/>
          <w:caps w:val="0"/>
          <w:snapToGrid w:val="0"/>
          <w:spacing w:val="0"/>
          <w:sz w:val="30"/>
          <w:szCs w:val="30"/>
          <w:u w:val="none"/>
        </w:rPr>
        <w:fldChar w:fldCharType="begin"/>
      </w:r>
      <w:r>
        <w:rPr>
          <w:rFonts w:hint="eastAsia" w:ascii="方正仿宋_GB2312" w:hAnsi="方正仿宋_GB2312" w:eastAsia="方正仿宋_GB2312" w:cs="方正仿宋_GB2312"/>
          <w:bCs/>
          <w:i w:val="0"/>
          <w:iCs w:val="0"/>
          <w:caps w:val="0"/>
          <w:snapToGrid w:val="0"/>
          <w:spacing w:val="0"/>
          <w:sz w:val="30"/>
          <w:szCs w:val="30"/>
          <w:u w:val="none"/>
        </w:rPr>
        <w:instrText xml:space="preserve"> HYPERLINK "https://pay.zcygov.cn/purchaseplan_front/" \l "/plan/list/view?id=1000000000013169182&amp;_app_=zcy.procurement" \t "https://www.zcygov.cn/project-center/_procurement_/purchasePlans/_blank" </w:instrText>
      </w:r>
      <w:r>
        <w:rPr>
          <w:rFonts w:hint="eastAsia" w:ascii="方正仿宋_GB2312" w:hAnsi="方正仿宋_GB2312" w:eastAsia="方正仿宋_GB2312" w:cs="方正仿宋_GB2312"/>
          <w:bCs/>
          <w:i w:val="0"/>
          <w:iCs w:val="0"/>
          <w:caps w:val="0"/>
          <w:snapToGrid w:val="0"/>
          <w:spacing w:val="0"/>
          <w:sz w:val="30"/>
          <w:szCs w:val="30"/>
          <w:u w:val="none"/>
        </w:rPr>
        <w:fldChar w:fldCharType="separate"/>
      </w:r>
      <w:r>
        <w:rPr>
          <w:rFonts w:hint="eastAsia" w:ascii="方正仿宋_GB2312" w:hAnsi="方正仿宋_GB2312" w:eastAsia="方正仿宋_GB2312" w:cs="方正仿宋_GB2312"/>
          <w:bCs/>
          <w:i w:val="0"/>
          <w:iCs w:val="0"/>
          <w:caps w:val="0"/>
          <w:snapToGrid w:val="0"/>
          <w:spacing w:val="0"/>
          <w:sz w:val="30"/>
          <w:szCs w:val="30"/>
          <w:u w:val="none"/>
        </w:rPr>
        <w:t>临[2024]86号</w:t>
      </w:r>
      <w:r>
        <w:rPr>
          <w:rFonts w:hint="eastAsia" w:ascii="方正仿宋_GB2312" w:hAnsi="方正仿宋_GB2312" w:eastAsia="方正仿宋_GB2312" w:cs="方正仿宋_GB2312"/>
          <w:bCs/>
          <w:i w:val="0"/>
          <w:iCs w:val="0"/>
          <w:caps w:val="0"/>
          <w:snapToGrid w:val="0"/>
          <w:spacing w:val="0"/>
          <w:sz w:val="30"/>
          <w:szCs w:val="30"/>
          <w:u w:val="none"/>
        </w:rPr>
        <w:fldChar w:fldCharType="end"/>
      </w:r>
      <w:r>
        <w:rPr>
          <w:rFonts w:hint="eastAsia" w:ascii="方正仿宋_GB2312" w:hAnsi="方正仿宋_GB2312" w:eastAsia="方正仿宋_GB2312" w:cs="方正仿宋_GB2312"/>
          <w:bCs/>
          <w:snapToGrid w:val="0"/>
          <w:sz w:val="30"/>
          <w:szCs w:val="30"/>
        </w:rPr>
        <w:t>）</w:t>
      </w:r>
    </w:p>
    <w:p>
      <w:pPr>
        <w:pStyle w:val="2"/>
        <w:spacing w:line="360" w:lineRule="auto"/>
        <w:ind w:firstLine="0" w:firstLineChars="0"/>
        <w:rPr>
          <w:rFonts w:ascii="方正仿宋_GB2312" w:hAnsi="方正仿宋_GB2312" w:eastAsia="方正仿宋_GB2312" w:cs="方正仿宋_GB2312"/>
        </w:rPr>
      </w:pPr>
    </w:p>
    <w:p>
      <w:pPr>
        <w:spacing w:line="360" w:lineRule="auto"/>
        <w:rPr>
          <w:rFonts w:ascii="方正仿宋_GB2312" w:hAnsi="方正仿宋_GB2312" w:eastAsia="方正仿宋_GB2312" w:cs="方正仿宋_GB2312"/>
        </w:rPr>
      </w:pPr>
    </w:p>
    <w:p>
      <w:pPr>
        <w:adjustRightInd w:val="0"/>
        <w:snapToGrid w:val="0"/>
        <w:spacing w:line="360" w:lineRule="auto"/>
        <w:jc w:val="center"/>
        <w:rPr>
          <w:rFonts w:ascii="方正仿宋_GB2312" w:hAnsi="方正仿宋_GB2312" w:eastAsia="方正仿宋_GB2312" w:cs="方正仿宋_GB2312"/>
          <w:b/>
          <w:bCs/>
          <w:snapToGrid w:val="0"/>
          <w:sz w:val="72"/>
          <w:szCs w:val="72"/>
        </w:rPr>
      </w:pPr>
      <w:r>
        <w:rPr>
          <w:rFonts w:hint="eastAsia" w:ascii="方正仿宋_GB2312" w:hAnsi="方正仿宋_GB2312" w:eastAsia="方正仿宋_GB2312" w:cs="方正仿宋_GB2312"/>
          <w:b/>
          <w:bCs/>
          <w:snapToGrid w:val="0"/>
          <w:sz w:val="72"/>
          <w:szCs w:val="72"/>
        </w:rPr>
        <w:t>采购文件</w:t>
      </w:r>
    </w:p>
    <w:p>
      <w:pPr>
        <w:adjustRightInd w:val="0"/>
        <w:snapToGrid w:val="0"/>
        <w:spacing w:line="360" w:lineRule="auto"/>
        <w:jc w:val="center"/>
        <w:rPr>
          <w:rFonts w:ascii="方正仿宋_GB2312" w:hAnsi="方正仿宋_GB2312" w:eastAsia="方正仿宋_GB2312" w:cs="方正仿宋_GB2312"/>
          <w:bCs/>
          <w:snapToGrid w:val="0"/>
          <w:sz w:val="30"/>
          <w:szCs w:val="30"/>
          <w:highlight w:val="yellow"/>
        </w:rPr>
      </w:pPr>
      <w:r>
        <w:rPr>
          <w:rFonts w:hint="eastAsia" w:ascii="方正仿宋_GB2312" w:hAnsi="方正仿宋_GB2312" w:eastAsia="方正仿宋_GB2312" w:cs="方正仿宋_GB2312"/>
          <w:bCs/>
          <w:snapToGrid w:val="0"/>
          <w:sz w:val="36"/>
          <w:szCs w:val="36"/>
        </w:rPr>
        <w:t xml:space="preserve">（全流程电子）    </w:t>
      </w:r>
      <w:r>
        <w:rPr>
          <w:rFonts w:hint="eastAsia" w:ascii="方正仿宋_GB2312" w:hAnsi="方正仿宋_GB2312" w:eastAsia="方正仿宋_GB2312" w:cs="方正仿宋_GB2312"/>
          <w:bCs/>
          <w:snapToGrid w:val="0"/>
          <w:sz w:val="30"/>
          <w:szCs w:val="30"/>
        </w:rPr>
        <w:t xml:space="preserve"> </w:t>
      </w:r>
    </w:p>
    <w:p>
      <w:pPr>
        <w:pStyle w:val="240"/>
        <w:spacing w:line="360" w:lineRule="auto"/>
        <w:rPr>
          <w:rFonts w:ascii="方正仿宋_GB2312" w:hAnsi="方正仿宋_GB2312" w:eastAsia="方正仿宋_GB2312" w:cs="方正仿宋_GB2312"/>
        </w:rPr>
      </w:pPr>
    </w:p>
    <w:p>
      <w:pPr>
        <w:adjustRightInd w:val="0"/>
        <w:snapToGrid w:val="0"/>
        <w:spacing w:line="360" w:lineRule="auto"/>
        <w:jc w:val="center"/>
        <w:rPr>
          <w:rFonts w:ascii="方正仿宋_GB2312" w:hAnsi="方正仿宋_GB2312" w:eastAsia="方正仿宋_GB2312" w:cs="方正仿宋_GB2312"/>
          <w:bCs/>
          <w:snapToGrid w:val="0"/>
          <w:sz w:val="30"/>
          <w:szCs w:val="30"/>
        </w:rPr>
      </w:pPr>
    </w:p>
    <w:p>
      <w:pPr>
        <w:adjustRightInd w:val="0"/>
        <w:snapToGrid w:val="0"/>
        <w:spacing w:line="360" w:lineRule="auto"/>
        <w:jc w:val="center"/>
        <w:rPr>
          <w:rFonts w:ascii="方正仿宋_GB2312" w:hAnsi="方正仿宋_GB2312" w:eastAsia="方正仿宋_GB2312" w:cs="方正仿宋_GB2312"/>
          <w:bCs/>
          <w:snapToGrid w:val="0"/>
          <w:sz w:val="30"/>
          <w:szCs w:val="30"/>
        </w:rPr>
      </w:pPr>
    </w:p>
    <w:p>
      <w:pPr>
        <w:adjustRightInd w:val="0"/>
        <w:snapToGrid w:val="0"/>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bCs/>
          <w:snapToGrid w:val="0"/>
          <w:sz w:val="30"/>
          <w:szCs w:val="30"/>
        </w:rPr>
        <w:t xml:space="preserve">     </w:t>
      </w:r>
    </w:p>
    <w:p>
      <w:pPr>
        <w:adjustRightInd w:val="0"/>
        <w:snapToGrid w:val="0"/>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bCs/>
          <w:snapToGrid w:val="0"/>
          <w:sz w:val="30"/>
          <w:szCs w:val="30"/>
        </w:rPr>
        <w:t>项目编号：</w:t>
      </w:r>
      <w:r>
        <w:rPr>
          <w:rFonts w:hint="eastAsia" w:ascii="方正仿宋_GB2312" w:hAnsi="方正仿宋_GB2312" w:eastAsia="方正仿宋_GB2312" w:cs="方正仿宋_GB2312"/>
          <w:bCs/>
          <w:snapToGrid w:val="0"/>
          <w:sz w:val="30"/>
          <w:szCs w:val="30"/>
          <w:u w:val="single"/>
          <w:lang w:eastAsia="zh-CN"/>
        </w:rPr>
        <w:t>建湖【2024】采003号</w:t>
      </w:r>
    </w:p>
    <w:p>
      <w:pPr>
        <w:adjustRightInd w:val="0"/>
        <w:snapToGrid w:val="0"/>
        <w:spacing w:line="360" w:lineRule="auto"/>
        <w:jc w:val="left"/>
        <w:rPr>
          <w:rFonts w:ascii="方正仿宋_GB2312" w:hAnsi="方正仿宋_GB2312" w:eastAsia="方正仿宋_GB2312" w:cs="方正仿宋_GB2312"/>
          <w:bCs/>
          <w:snapToGrid w:val="0"/>
          <w:sz w:val="30"/>
          <w:szCs w:val="30"/>
          <w:u w:val="single"/>
        </w:rPr>
      </w:pPr>
      <w:r>
        <w:rPr>
          <w:rFonts w:hint="eastAsia" w:ascii="方正仿宋_GB2312" w:hAnsi="方正仿宋_GB2312" w:eastAsia="方正仿宋_GB2312" w:cs="方正仿宋_GB2312"/>
          <w:bCs/>
          <w:snapToGrid w:val="0"/>
          <w:sz w:val="30"/>
          <w:szCs w:val="30"/>
        </w:rPr>
        <w:t>项目名称：</w:t>
      </w:r>
      <w:r>
        <w:rPr>
          <w:rFonts w:hint="eastAsia" w:ascii="方正仿宋_GB2312" w:hAnsi="方正仿宋_GB2312" w:eastAsia="方正仿宋_GB2312" w:cs="方正仿宋_GB2312"/>
          <w:bCs/>
          <w:snapToGrid w:val="0"/>
          <w:sz w:val="30"/>
          <w:szCs w:val="30"/>
          <w:u w:val="single"/>
        </w:rPr>
        <w:t>湖州市医疗保障局疾病相关分组（DRGS）结合点数法医保支付专业化服务项目</w:t>
      </w:r>
    </w:p>
    <w:p>
      <w:pPr>
        <w:adjustRightInd w:val="0"/>
        <w:snapToGrid w:val="0"/>
        <w:spacing w:line="360" w:lineRule="auto"/>
        <w:jc w:val="left"/>
        <w:rPr>
          <w:rFonts w:ascii="方正仿宋_GB2312" w:hAnsi="方正仿宋_GB2312" w:eastAsia="方正仿宋_GB2312" w:cs="方正仿宋_GB2312"/>
          <w:bCs/>
          <w:snapToGrid w:val="0"/>
          <w:sz w:val="30"/>
          <w:szCs w:val="30"/>
          <w:u w:val="single"/>
        </w:rPr>
      </w:pPr>
      <w:r>
        <w:rPr>
          <w:rFonts w:hint="eastAsia" w:ascii="方正仿宋_GB2312" w:hAnsi="方正仿宋_GB2312" w:eastAsia="方正仿宋_GB2312" w:cs="方正仿宋_GB2312"/>
          <w:bCs/>
          <w:snapToGrid w:val="0"/>
          <w:spacing w:val="60"/>
          <w:sz w:val="30"/>
          <w:szCs w:val="30"/>
        </w:rPr>
        <w:t>采购人</w:t>
      </w:r>
      <w:r>
        <w:rPr>
          <w:rFonts w:hint="eastAsia" w:ascii="方正仿宋_GB2312" w:hAnsi="方正仿宋_GB2312" w:eastAsia="方正仿宋_GB2312" w:cs="方正仿宋_GB2312"/>
          <w:bCs/>
          <w:snapToGrid w:val="0"/>
          <w:sz w:val="30"/>
          <w:szCs w:val="30"/>
        </w:rPr>
        <w:t>：</w:t>
      </w:r>
      <w:r>
        <w:rPr>
          <w:rFonts w:hint="eastAsia" w:ascii="方正仿宋_GB2312" w:hAnsi="方正仿宋_GB2312" w:eastAsia="方正仿宋_GB2312" w:cs="方正仿宋_GB2312"/>
          <w:bCs/>
          <w:snapToGrid w:val="0"/>
          <w:sz w:val="30"/>
          <w:szCs w:val="30"/>
          <w:u w:val="single"/>
        </w:rPr>
        <w:t>湖州市医疗保障局      （盖章）</w:t>
      </w:r>
    </w:p>
    <w:p>
      <w:pPr>
        <w:adjustRightInd w:val="0"/>
        <w:snapToGrid w:val="0"/>
        <w:spacing w:line="360" w:lineRule="auto"/>
        <w:ind w:right="281" w:rightChars="134"/>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Cs/>
          <w:snapToGrid w:val="0"/>
          <w:sz w:val="30"/>
          <w:szCs w:val="30"/>
        </w:rPr>
        <w:t>采购代理机构：</w:t>
      </w:r>
      <w:r>
        <w:rPr>
          <w:rFonts w:hint="eastAsia" w:ascii="方正仿宋_GB2312" w:hAnsi="方正仿宋_GB2312" w:eastAsia="方正仿宋_GB2312" w:cs="方正仿宋_GB2312"/>
          <w:bCs/>
          <w:snapToGrid w:val="0"/>
          <w:sz w:val="30"/>
          <w:szCs w:val="30"/>
          <w:u w:val="single"/>
        </w:rPr>
        <w:t>建正工程咨询有限公司     （盖章）</w:t>
      </w:r>
    </w:p>
    <w:p>
      <w:pPr>
        <w:adjustRightInd w:val="0"/>
        <w:snapToGrid w:val="0"/>
        <w:spacing w:line="360" w:lineRule="auto"/>
        <w:ind w:right="281" w:rightChars="134"/>
        <w:jc w:val="center"/>
        <w:rPr>
          <w:rFonts w:ascii="方正仿宋_GB2312" w:hAnsi="方正仿宋_GB2312" w:eastAsia="方正仿宋_GB2312" w:cs="方正仿宋_GB2312"/>
          <w:b/>
          <w:bCs/>
          <w:sz w:val="30"/>
          <w:szCs w:val="30"/>
        </w:rPr>
      </w:pPr>
    </w:p>
    <w:p>
      <w:pPr>
        <w:adjustRightInd w:val="0"/>
        <w:snapToGrid w:val="0"/>
        <w:spacing w:line="360" w:lineRule="auto"/>
        <w:ind w:right="281" w:rightChars="134"/>
        <w:jc w:val="center"/>
        <w:rPr>
          <w:rFonts w:ascii="方正仿宋_GB2312" w:hAnsi="方正仿宋_GB2312" w:eastAsia="方正仿宋_GB2312" w:cs="方正仿宋_GB2312"/>
        </w:rPr>
        <w:sectPr>
          <w:headerReference r:id="rId3" w:type="default"/>
          <w:footerReference r:id="rId4" w:type="default"/>
          <w:pgSz w:w="11906" w:h="16838"/>
          <w:pgMar w:top="1417" w:right="1519" w:bottom="1417" w:left="1531" w:header="850" w:footer="907" w:gutter="0"/>
          <w:cols w:space="720" w:num="1"/>
          <w:docGrid w:linePitch="312" w:charSpace="0"/>
        </w:sectPr>
      </w:pPr>
      <w:r>
        <w:rPr>
          <w:rFonts w:hint="eastAsia" w:ascii="方正仿宋_GB2312" w:hAnsi="方正仿宋_GB2312" w:eastAsia="方正仿宋_GB2312" w:cs="方正仿宋_GB2312"/>
          <w:b/>
          <w:bCs/>
          <w:sz w:val="30"/>
          <w:szCs w:val="30"/>
        </w:rPr>
        <w:t>日期：</w:t>
      </w:r>
      <w:r>
        <w:rPr>
          <w:rFonts w:hint="eastAsia" w:ascii="方正仿宋_GB2312" w:hAnsi="方正仿宋_GB2312" w:eastAsia="方正仿宋_GB2312" w:cs="方正仿宋_GB2312"/>
          <w:b/>
          <w:bCs/>
          <w:sz w:val="30"/>
          <w:szCs w:val="30"/>
          <w:u w:val="single"/>
        </w:rPr>
        <w:t xml:space="preserve"> 202</w:t>
      </w:r>
      <w:r>
        <w:rPr>
          <w:rFonts w:hint="eastAsia" w:ascii="方正仿宋_GB2312" w:hAnsi="方正仿宋_GB2312" w:eastAsia="方正仿宋_GB2312" w:cs="方正仿宋_GB2312"/>
          <w:b/>
          <w:bCs/>
          <w:sz w:val="30"/>
          <w:szCs w:val="30"/>
          <w:u w:val="single"/>
          <w:lang w:val="en-US" w:eastAsia="zh-CN"/>
        </w:rPr>
        <w:t>4</w:t>
      </w:r>
      <w:r>
        <w:rPr>
          <w:rFonts w:hint="eastAsia" w:ascii="方正仿宋_GB2312" w:hAnsi="方正仿宋_GB2312" w:eastAsia="方正仿宋_GB2312" w:cs="方正仿宋_GB2312"/>
          <w:b/>
          <w:bCs/>
          <w:sz w:val="30"/>
          <w:szCs w:val="30"/>
          <w:u w:val="single"/>
        </w:rPr>
        <w:t>年</w:t>
      </w:r>
      <w:r>
        <w:rPr>
          <w:rFonts w:hint="eastAsia" w:ascii="方正仿宋_GB2312" w:hAnsi="方正仿宋_GB2312" w:eastAsia="方正仿宋_GB2312" w:cs="方正仿宋_GB2312"/>
          <w:b/>
          <w:bCs/>
          <w:sz w:val="30"/>
          <w:szCs w:val="30"/>
          <w:u w:val="single"/>
          <w:lang w:val="en-US" w:eastAsia="zh-CN"/>
        </w:rPr>
        <w:t>2</w:t>
      </w:r>
      <w:r>
        <w:rPr>
          <w:rFonts w:hint="eastAsia" w:ascii="方正仿宋_GB2312" w:hAnsi="方正仿宋_GB2312" w:eastAsia="方正仿宋_GB2312" w:cs="方正仿宋_GB2312"/>
          <w:b/>
          <w:bCs/>
          <w:sz w:val="30"/>
          <w:szCs w:val="30"/>
          <w:u w:val="single"/>
        </w:rPr>
        <w:t>月</w:t>
      </w:r>
    </w:p>
    <w:p>
      <w:pPr>
        <w:snapToGrid w:val="0"/>
        <w:spacing w:before="120" w:after="120" w:line="360" w:lineRule="auto"/>
        <w:jc w:val="center"/>
        <w:rPr>
          <w:rFonts w:hint="eastAsia" w:ascii="方正仿宋_GB2312" w:hAnsi="方正仿宋_GB2312" w:eastAsia="方正仿宋_GB2312" w:cs="方正仿宋_GB2312"/>
          <w:sz w:val="44"/>
        </w:rPr>
      </w:pPr>
    </w:p>
    <w:p>
      <w:pPr>
        <w:snapToGrid w:val="0"/>
        <w:spacing w:before="120" w:after="120" w:line="360" w:lineRule="auto"/>
        <w:jc w:val="center"/>
        <w:rPr>
          <w:rFonts w:hint="eastAsia" w:ascii="方正仿宋_GB2312" w:hAnsi="方正仿宋_GB2312" w:eastAsia="方正仿宋_GB2312" w:cs="方正仿宋_GB2312"/>
          <w:sz w:val="44"/>
          <w:lang w:eastAsia="zh-CN"/>
        </w:rPr>
      </w:pPr>
      <w:r>
        <w:rPr>
          <w:rFonts w:hint="eastAsia" w:ascii="方正仿宋_GB2312" w:hAnsi="方正仿宋_GB2312" w:eastAsia="方正仿宋_GB2312" w:cs="方正仿宋_GB2312"/>
          <w:sz w:val="44"/>
        </w:rPr>
        <w:t>目    录</w:t>
      </w:r>
    </w:p>
    <w:sdt>
      <w:sdtPr>
        <w:rPr>
          <w:rFonts w:ascii="宋体" w:hAnsi="宋体" w:eastAsia="宋体" w:cs="Times New Roman"/>
          <w:kern w:val="2"/>
          <w:sz w:val="21"/>
          <w:szCs w:val="24"/>
          <w:lang w:val="en-US" w:eastAsia="zh-CN" w:bidi="ar-SA"/>
        </w:rPr>
        <w:id w:val="147456798"/>
        <w15:color w:val="DBDBDB"/>
        <w:docPartObj>
          <w:docPartGallery w:val="Table of Contents"/>
          <w:docPartUnique/>
        </w:docPartObj>
      </w:sdtPr>
      <w:sdtEndPr>
        <w:rPr>
          <w:rFonts w:hint="eastAsia" w:ascii="方正仿宋_GB2312" w:hAnsi="方正仿宋_GB2312" w:eastAsia="方正仿宋_GB2312" w:cs="方正仿宋_GB2312"/>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66"/>
            <w:tabs>
              <w:tab w:val="right" w:leader="dot" w:pos="8958"/>
            </w:tabs>
            <w:spacing w:line="360" w:lineRule="auto"/>
            <w:rPr>
              <w:rFonts w:hint="eastAsia" w:ascii="方正仿宋_GB2312" w:hAnsi="方正仿宋_GB2312" w:eastAsia="方正仿宋_GB2312" w:cs="方正仿宋_GB2312"/>
              <w:sz w:val="28"/>
              <w:szCs w:val="28"/>
            </w:rPr>
          </w:pPr>
        </w:p>
        <w:p>
          <w:pPr>
            <w:pStyle w:val="266"/>
            <w:tabs>
              <w:tab w:val="right" w:leader="dot" w:pos="8958"/>
            </w:tabs>
            <w:spacing w:line="360" w:lineRule="auto"/>
            <w:rPr>
              <w:rFonts w:hint="eastAsia" w:ascii="方正仿宋_GB2312" w:hAnsi="方正仿宋_GB2312" w:eastAsia="方正仿宋_GB2312" w:cs="方正仿宋_GB2312"/>
              <w:sz w:val="28"/>
              <w:szCs w:val="28"/>
            </w:rPr>
          </w:pPr>
        </w:p>
        <w:p>
          <w:pPr>
            <w:pStyle w:val="266"/>
            <w:tabs>
              <w:tab w:val="right" w:leader="dot" w:pos="895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TOC \o "1-1" \h \u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_Toc30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第一章  公开采购公告</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pPr>
            <w:pStyle w:val="266"/>
            <w:tabs>
              <w:tab w:val="right" w:leader="dot" w:pos="895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_Toc29640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第二章  采购需求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_Toc29640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7</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pPr>
            <w:pStyle w:val="266"/>
            <w:tabs>
              <w:tab w:val="right" w:leader="dot" w:pos="895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_Toc706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第三章  投标供应商须知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_Toc706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pPr>
            <w:pStyle w:val="266"/>
            <w:tabs>
              <w:tab w:val="right" w:leader="dot" w:pos="895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_Toc13457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第四章  评标办法和评分标准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_Toc13457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42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pPr>
            <w:pStyle w:val="266"/>
            <w:tabs>
              <w:tab w:val="right" w:leader="dot" w:pos="895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_Toc28463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第五章 合同主要条款</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_Toc28463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50</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pPr>
            <w:pStyle w:val="266"/>
            <w:tabs>
              <w:tab w:val="right" w:leader="dot" w:pos="895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_Toc24264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第六章  投标文件格式</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_Toc24264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56</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end"/>
          </w:r>
        </w:p>
      </w:sdtContent>
    </w:sdt>
    <w:p>
      <w:pPr>
        <w:rPr>
          <w:rFonts w:ascii="方正仿宋_GB2312" w:hAnsi="方正仿宋_GB2312" w:eastAsia="方正仿宋_GB2312" w:cs="方正仿宋_GB2312"/>
          <w:sz w:val="36"/>
          <w:szCs w:val="36"/>
        </w:rPr>
      </w:pPr>
      <w:bookmarkStart w:id="2" w:name="_Toc245801481"/>
      <w:r>
        <w:rPr>
          <w:rFonts w:hint="eastAsia" w:ascii="方正仿宋_GB2312" w:hAnsi="方正仿宋_GB2312" w:eastAsia="方正仿宋_GB2312" w:cs="方正仿宋_GB2312"/>
          <w:sz w:val="36"/>
          <w:szCs w:val="36"/>
        </w:rPr>
        <w:br w:type="page"/>
      </w:r>
    </w:p>
    <w:p>
      <w:pPr>
        <w:pStyle w:val="5"/>
        <w:spacing w:before="0" w:after="0" w:line="360" w:lineRule="auto"/>
        <w:jc w:val="center"/>
        <w:rPr>
          <w:rFonts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 xml:space="preserve">    </w:t>
      </w:r>
      <w:bookmarkStart w:id="3" w:name="_Toc24311"/>
      <w:bookmarkStart w:id="4" w:name="_Toc30"/>
      <w:r>
        <w:rPr>
          <w:rFonts w:hint="eastAsia" w:ascii="方正仿宋_GB2312" w:hAnsi="方正仿宋_GB2312" w:eastAsia="方正仿宋_GB2312" w:cs="方正仿宋_GB2312"/>
          <w:sz w:val="36"/>
          <w:szCs w:val="36"/>
        </w:rPr>
        <w:t xml:space="preserve">第一章  </w:t>
      </w:r>
      <w:bookmarkEnd w:id="2"/>
      <w:r>
        <w:rPr>
          <w:rFonts w:hint="eastAsia" w:ascii="方正仿宋_GB2312" w:hAnsi="方正仿宋_GB2312" w:eastAsia="方正仿宋_GB2312" w:cs="方正仿宋_GB2312"/>
          <w:sz w:val="36"/>
          <w:szCs w:val="36"/>
        </w:rPr>
        <w:t>公开采购公告</w:t>
      </w:r>
      <w:bookmarkEnd w:id="3"/>
      <w:bookmarkEnd w:id="4"/>
    </w:p>
    <w:p>
      <w:pPr>
        <w:pStyle w:val="243"/>
        <w:spacing w:after="120" w:line="360" w:lineRule="auto"/>
        <w:ind w:firstLine="480"/>
        <w:rPr>
          <w:rFonts w:ascii="方正仿宋_GB2312" w:hAnsi="方正仿宋_GB2312" w:eastAsia="方正仿宋_GB2312" w:cs="方正仿宋_GB2312"/>
          <w:szCs w:val="24"/>
        </w:rPr>
      </w:pPr>
      <w:bookmarkStart w:id="5" w:name="_Toc245801485"/>
      <w:r>
        <w:rPr>
          <w:rFonts w:hint="eastAsia" w:ascii="方正仿宋_GB2312" w:hAnsi="方正仿宋_GB2312" w:eastAsia="方正仿宋_GB2312" w:cs="方正仿宋_GB2312"/>
          <w:szCs w:val="24"/>
        </w:rPr>
        <w:t>根据《中华人民共和国政府采购法》《政府采购货物和服务采购投标管理办法》等规定，经财政局批准（编号：</w:t>
      </w:r>
      <w:r>
        <w:rPr>
          <w:rFonts w:hint="eastAsia" w:ascii="方正仿宋_GB2312" w:hAnsi="方正仿宋_GB2312" w:eastAsia="方正仿宋_GB2312" w:cs="方正仿宋_GB2312"/>
          <w:szCs w:val="24"/>
        </w:rPr>
        <w:fldChar w:fldCharType="begin"/>
      </w:r>
      <w:r>
        <w:rPr>
          <w:rFonts w:hint="eastAsia" w:ascii="方正仿宋_GB2312" w:hAnsi="方正仿宋_GB2312" w:eastAsia="方正仿宋_GB2312" w:cs="方正仿宋_GB2312"/>
          <w:szCs w:val="24"/>
        </w:rPr>
        <w:instrText xml:space="preserve"> HYPERLINK "https://pay.zcygov.cn/purchaseplan_front/" \l "/plan/list/view?id=1000000000013147157&amp;_app_=zcy.procurement" \t "https://www.zcygov.cn/project-center/_procurement_/purchasePlans/_blank" </w:instrText>
      </w:r>
      <w:r>
        <w:rPr>
          <w:rFonts w:hint="eastAsia" w:ascii="方正仿宋_GB2312" w:hAnsi="方正仿宋_GB2312" w:eastAsia="方正仿宋_GB2312" w:cs="方正仿宋_GB2312"/>
          <w:szCs w:val="24"/>
        </w:rPr>
        <w:fldChar w:fldCharType="separate"/>
      </w:r>
      <w:r>
        <w:rPr>
          <w:rFonts w:hint="eastAsia" w:ascii="方正仿宋_GB2312" w:hAnsi="方正仿宋_GB2312" w:eastAsia="方正仿宋_GB2312" w:cs="方正仿宋_GB2312"/>
          <w:szCs w:val="24"/>
        </w:rPr>
        <w:t>临[2024]141号</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rPr>
        <w:fldChar w:fldCharType="begin"/>
      </w:r>
      <w:r>
        <w:rPr>
          <w:rFonts w:hint="eastAsia" w:ascii="方正仿宋_GB2312" w:hAnsi="方正仿宋_GB2312" w:eastAsia="方正仿宋_GB2312" w:cs="方正仿宋_GB2312"/>
          <w:szCs w:val="24"/>
        </w:rPr>
        <w:instrText xml:space="preserve"> HYPERLINK "https://pay.zcygov.cn/purchaseplan_front/" \l "/plan/list/view?id=1000000000013147623&amp;_app_=zcy.procurement" \t "https://www.zcygov.cn/project-center/_procurement_/purchasePlans/_blank" </w:instrText>
      </w:r>
      <w:r>
        <w:rPr>
          <w:rFonts w:hint="eastAsia" w:ascii="方正仿宋_GB2312" w:hAnsi="方正仿宋_GB2312" w:eastAsia="方正仿宋_GB2312" w:cs="方正仿宋_GB2312"/>
          <w:szCs w:val="24"/>
        </w:rPr>
        <w:fldChar w:fldCharType="separate"/>
      </w:r>
      <w:r>
        <w:rPr>
          <w:rFonts w:hint="eastAsia" w:ascii="方正仿宋_GB2312" w:hAnsi="方正仿宋_GB2312" w:eastAsia="方正仿宋_GB2312" w:cs="方正仿宋_GB2312"/>
          <w:szCs w:val="24"/>
        </w:rPr>
        <w:t>临[2024]193号</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rPr>
        <w:fldChar w:fldCharType="begin"/>
      </w:r>
      <w:r>
        <w:rPr>
          <w:rFonts w:hint="eastAsia" w:ascii="方正仿宋_GB2312" w:hAnsi="方正仿宋_GB2312" w:eastAsia="方正仿宋_GB2312" w:cs="方正仿宋_GB2312"/>
          <w:szCs w:val="24"/>
        </w:rPr>
        <w:instrText xml:space="preserve"> HYPERLINK "https://pay.zcygov.cn/purchaseplan_front/" \l "/plan/list/view?id=1000000000013148529&amp;_app_=zcy.procurement" \t "https://www.zcygov.cn/project-center/_procurement_/purchasePlans/_blank" </w:instrText>
      </w:r>
      <w:r>
        <w:rPr>
          <w:rFonts w:hint="eastAsia" w:ascii="方正仿宋_GB2312" w:hAnsi="方正仿宋_GB2312" w:eastAsia="方正仿宋_GB2312" w:cs="方正仿宋_GB2312"/>
          <w:szCs w:val="24"/>
        </w:rPr>
        <w:fldChar w:fldCharType="separate"/>
      </w:r>
      <w:r>
        <w:rPr>
          <w:rFonts w:hint="eastAsia" w:ascii="方正仿宋_GB2312" w:hAnsi="方正仿宋_GB2312" w:eastAsia="方正仿宋_GB2312" w:cs="方正仿宋_GB2312"/>
          <w:szCs w:val="24"/>
        </w:rPr>
        <w:t>临[2024]197号</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rPr>
        <w:fldChar w:fldCharType="begin"/>
      </w:r>
      <w:r>
        <w:rPr>
          <w:rFonts w:hint="eastAsia" w:ascii="方正仿宋_GB2312" w:hAnsi="方正仿宋_GB2312" w:eastAsia="方正仿宋_GB2312" w:cs="方正仿宋_GB2312"/>
          <w:szCs w:val="24"/>
        </w:rPr>
        <w:instrText xml:space="preserve"> HYPERLINK "https://pay.zcygov.cn/purchaseplan_front/" \l "/plan/list/view?id=1000000000013164719&amp;_app_=zcy.procurement" \t "https://www.zcygov.cn/project-center/_procurement_/purchasePlans/_blank" </w:instrText>
      </w:r>
      <w:r>
        <w:rPr>
          <w:rFonts w:hint="eastAsia" w:ascii="方正仿宋_GB2312" w:hAnsi="方正仿宋_GB2312" w:eastAsia="方正仿宋_GB2312" w:cs="方正仿宋_GB2312"/>
          <w:szCs w:val="24"/>
        </w:rPr>
        <w:fldChar w:fldCharType="separate"/>
      </w:r>
      <w:r>
        <w:rPr>
          <w:rFonts w:hint="eastAsia" w:ascii="方正仿宋_GB2312" w:hAnsi="方正仿宋_GB2312" w:eastAsia="方正仿宋_GB2312" w:cs="方正仿宋_GB2312"/>
          <w:szCs w:val="24"/>
        </w:rPr>
        <w:t>临[2024]211号</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rPr>
        <w:fldChar w:fldCharType="begin"/>
      </w:r>
      <w:r>
        <w:rPr>
          <w:rFonts w:hint="eastAsia" w:ascii="方正仿宋_GB2312" w:hAnsi="方正仿宋_GB2312" w:eastAsia="方正仿宋_GB2312" w:cs="方正仿宋_GB2312"/>
          <w:szCs w:val="24"/>
        </w:rPr>
        <w:instrText xml:space="preserve"> HYPERLINK "https://pay.zcygov.cn/purchaseplan_front/" \l "/plan/list/view?id=1000000000013169759&amp;_app_=zcy.procurement" \t "https://www.zcygov.cn/project-center/_procurement_/purchasePlans/_blank" </w:instrText>
      </w:r>
      <w:r>
        <w:rPr>
          <w:rFonts w:hint="eastAsia" w:ascii="方正仿宋_GB2312" w:hAnsi="方正仿宋_GB2312" w:eastAsia="方正仿宋_GB2312" w:cs="方正仿宋_GB2312"/>
          <w:szCs w:val="24"/>
        </w:rPr>
        <w:fldChar w:fldCharType="separate"/>
      </w:r>
      <w:r>
        <w:rPr>
          <w:rFonts w:hint="eastAsia" w:ascii="方正仿宋_GB2312" w:hAnsi="方正仿宋_GB2312" w:eastAsia="方正仿宋_GB2312" w:cs="方正仿宋_GB2312"/>
          <w:szCs w:val="24"/>
        </w:rPr>
        <w:t>临[2024]25号</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rPr>
        <w:fldChar w:fldCharType="begin"/>
      </w:r>
      <w:r>
        <w:rPr>
          <w:rFonts w:hint="eastAsia" w:ascii="方正仿宋_GB2312" w:hAnsi="方正仿宋_GB2312" w:eastAsia="方正仿宋_GB2312" w:cs="方正仿宋_GB2312"/>
          <w:szCs w:val="24"/>
        </w:rPr>
        <w:instrText xml:space="preserve"> HYPERLINK "https://pay.zcygov.cn/purchaseplan_front/" \l "/plan/list/view?id=1000000000013143270&amp;_app_=zcy.procurement" \t "https://www.zcygov.cn/project-center/_procurement_/purchasePlans/_blank" </w:instrText>
      </w:r>
      <w:r>
        <w:rPr>
          <w:rFonts w:hint="eastAsia" w:ascii="方正仿宋_GB2312" w:hAnsi="方正仿宋_GB2312" w:eastAsia="方正仿宋_GB2312" w:cs="方正仿宋_GB2312"/>
          <w:szCs w:val="24"/>
        </w:rPr>
        <w:fldChar w:fldCharType="separate"/>
      </w:r>
      <w:r>
        <w:rPr>
          <w:rFonts w:hint="eastAsia" w:ascii="方正仿宋_GB2312" w:hAnsi="方正仿宋_GB2312" w:eastAsia="方正仿宋_GB2312" w:cs="方正仿宋_GB2312"/>
          <w:szCs w:val="24"/>
        </w:rPr>
        <w:t>[2024]14号</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rPr>
        <w:fldChar w:fldCharType="begin"/>
      </w:r>
      <w:r>
        <w:rPr>
          <w:rFonts w:hint="eastAsia" w:ascii="方正仿宋_GB2312" w:hAnsi="方正仿宋_GB2312" w:eastAsia="方正仿宋_GB2312" w:cs="方正仿宋_GB2312"/>
          <w:szCs w:val="24"/>
        </w:rPr>
        <w:instrText xml:space="preserve"> HYPERLINK "https://pay.zcygov.cn/purchaseplan_front/" \l "/plan/list/view?id=1000000000013169182&amp;_app_=zcy.procurement" \t "https://www.zcygov.cn/project-center/_procurement_/purchasePlans/_blank" </w:instrText>
      </w:r>
      <w:r>
        <w:rPr>
          <w:rFonts w:hint="eastAsia" w:ascii="方正仿宋_GB2312" w:hAnsi="方正仿宋_GB2312" w:eastAsia="方正仿宋_GB2312" w:cs="方正仿宋_GB2312"/>
          <w:szCs w:val="24"/>
        </w:rPr>
        <w:fldChar w:fldCharType="separate"/>
      </w:r>
      <w:r>
        <w:rPr>
          <w:rFonts w:hint="eastAsia" w:ascii="方正仿宋_GB2312" w:hAnsi="方正仿宋_GB2312" w:eastAsia="方正仿宋_GB2312" w:cs="方正仿宋_GB2312"/>
          <w:szCs w:val="24"/>
        </w:rPr>
        <w:t>临[2024]86号</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rPr>
        <w:t>），</w:t>
      </w:r>
      <w:r>
        <w:rPr>
          <w:rFonts w:hint="eastAsia" w:ascii="方正仿宋_GB2312" w:hAnsi="方正仿宋_GB2312" w:eastAsia="方正仿宋_GB2312" w:cs="方正仿宋_GB2312"/>
          <w:szCs w:val="24"/>
          <w:u w:val="single"/>
        </w:rPr>
        <w:t>建正工程咨询有限公司</w:t>
      </w:r>
      <w:r>
        <w:rPr>
          <w:rFonts w:hint="eastAsia" w:ascii="方正仿宋_GB2312" w:hAnsi="方正仿宋_GB2312" w:eastAsia="方正仿宋_GB2312" w:cs="方正仿宋_GB2312"/>
          <w:szCs w:val="24"/>
        </w:rPr>
        <w:t>受</w:t>
      </w:r>
      <w:r>
        <w:rPr>
          <w:rFonts w:hint="eastAsia" w:ascii="方正仿宋_GB2312" w:hAnsi="方正仿宋_GB2312" w:eastAsia="方正仿宋_GB2312" w:cs="方正仿宋_GB2312"/>
          <w:szCs w:val="24"/>
          <w:u w:val="single"/>
        </w:rPr>
        <w:t>湖州市医疗保障局</w:t>
      </w:r>
      <w:r>
        <w:rPr>
          <w:rFonts w:hint="eastAsia" w:ascii="方正仿宋_GB2312" w:hAnsi="方正仿宋_GB2312" w:eastAsia="方正仿宋_GB2312" w:cs="方正仿宋_GB2312"/>
          <w:szCs w:val="24"/>
        </w:rPr>
        <w:t>委托，现就</w:t>
      </w:r>
      <w:r>
        <w:rPr>
          <w:rFonts w:hint="eastAsia" w:ascii="方正仿宋_GB2312" w:hAnsi="方正仿宋_GB2312" w:eastAsia="方正仿宋_GB2312" w:cs="方正仿宋_GB2312"/>
          <w:szCs w:val="24"/>
          <w:u w:val="single"/>
        </w:rPr>
        <w:t>湖州市医疗保障局疾病相关分组（DRGS）结合点数法医保支付专业化服务项目</w:t>
      </w:r>
      <w:r>
        <w:rPr>
          <w:rFonts w:hint="eastAsia" w:ascii="方正仿宋_GB2312" w:hAnsi="方正仿宋_GB2312" w:eastAsia="方正仿宋_GB2312" w:cs="方正仿宋_GB2312"/>
          <w:szCs w:val="24"/>
        </w:rPr>
        <w:t>进行公开招标采购。欢迎国内符合资格要求的供应商前来投标。</w:t>
      </w:r>
    </w:p>
    <w:p>
      <w:pPr>
        <w:pStyle w:val="243"/>
        <w:spacing w:after="120" w:line="360" w:lineRule="auto"/>
        <w:ind w:firstLine="480"/>
        <w:rPr>
          <w:rFonts w:hint="eastAsia" w:ascii="方正仿宋_GB2312" w:hAnsi="方正仿宋_GB2312" w:eastAsia="方正仿宋_GB2312" w:cs="方正仿宋_GB2312"/>
          <w:szCs w:val="24"/>
          <w:lang w:eastAsia="zh-CN"/>
        </w:rPr>
      </w:pPr>
      <w:r>
        <w:rPr>
          <w:rFonts w:hint="eastAsia" w:ascii="方正仿宋_GB2312" w:hAnsi="方正仿宋_GB2312" w:eastAsia="方正仿宋_GB2312" w:cs="方正仿宋_GB2312"/>
          <w:szCs w:val="24"/>
        </w:rPr>
        <w:t>一、</w:t>
      </w:r>
      <w:r>
        <w:rPr>
          <w:rFonts w:hint="eastAsia" w:ascii="方正仿宋_GB2312" w:hAnsi="方正仿宋_GB2312" w:eastAsia="方正仿宋_GB2312" w:cs="方正仿宋_GB2312"/>
          <w:b/>
          <w:bCs/>
          <w:szCs w:val="24"/>
        </w:rPr>
        <w:t>项目编号</w:t>
      </w:r>
      <w:r>
        <w:rPr>
          <w:rFonts w:hint="eastAsia" w:ascii="方正仿宋_GB2312" w:hAnsi="方正仿宋_GB2312" w:eastAsia="方正仿宋_GB2312" w:cs="方正仿宋_GB2312"/>
          <w:b/>
          <w:szCs w:val="24"/>
        </w:rPr>
        <w:t>：</w:t>
      </w:r>
      <w:r>
        <w:rPr>
          <w:rFonts w:hint="eastAsia" w:ascii="方正仿宋_GB2312" w:hAnsi="方正仿宋_GB2312" w:eastAsia="方正仿宋_GB2312" w:cs="方正仿宋_GB2312"/>
          <w:szCs w:val="24"/>
          <w:lang w:eastAsia="zh-CN"/>
        </w:rPr>
        <w:t>建湖【2024】采003号</w:t>
      </w:r>
    </w:p>
    <w:p>
      <w:pPr>
        <w:pStyle w:val="243"/>
        <w:spacing w:after="120" w:line="360" w:lineRule="auto"/>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二、</w:t>
      </w:r>
      <w:r>
        <w:rPr>
          <w:rFonts w:hint="eastAsia" w:ascii="方正仿宋_GB2312" w:hAnsi="方正仿宋_GB2312" w:eastAsia="方正仿宋_GB2312" w:cs="方正仿宋_GB2312"/>
          <w:b/>
          <w:szCs w:val="24"/>
        </w:rPr>
        <w:t>采购组织类型：</w:t>
      </w:r>
      <w:r>
        <w:rPr>
          <w:rFonts w:hint="eastAsia" w:ascii="方正仿宋_GB2312" w:hAnsi="方正仿宋_GB2312" w:eastAsia="方正仿宋_GB2312" w:cs="方正仿宋_GB2312"/>
          <w:szCs w:val="24"/>
        </w:rPr>
        <w:t>分散采购－委托中介</w:t>
      </w:r>
    </w:p>
    <w:p>
      <w:pPr>
        <w:pStyle w:val="243"/>
        <w:spacing w:after="120" w:line="360" w:lineRule="auto"/>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三、采购方式：</w:t>
      </w:r>
      <w:r>
        <w:rPr>
          <w:rFonts w:hint="eastAsia" w:ascii="方正仿宋_GB2312" w:hAnsi="方正仿宋_GB2312" w:eastAsia="方正仿宋_GB2312" w:cs="方正仿宋_GB2312"/>
          <w:szCs w:val="24"/>
        </w:rPr>
        <w:t>公开采购</w:t>
      </w:r>
    </w:p>
    <w:p>
      <w:pPr>
        <w:snapToGrid w:val="0"/>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四、</w:t>
      </w:r>
      <w:r>
        <w:rPr>
          <w:rFonts w:hint="eastAsia" w:ascii="方正仿宋_GB2312" w:hAnsi="方正仿宋_GB2312" w:eastAsia="方正仿宋_GB2312" w:cs="方正仿宋_GB2312"/>
          <w:b/>
          <w:bCs/>
          <w:sz w:val="24"/>
        </w:rPr>
        <w:t>采购内容及预算：</w:t>
      </w:r>
    </w:p>
    <w:tbl>
      <w:tblPr>
        <w:tblStyle w:val="6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849"/>
        <w:gridCol w:w="1596"/>
        <w:gridCol w:w="161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84" w:type="pct"/>
            <w:vAlign w:val="center"/>
          </w:tcPr>
          <w:p>
            <w:pPr>
              <w:snapToGrid w:val="0"/>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序号</w:t>
            </w:r>
          </w:p>
        </w:tc>
        <w:tc>
          <w:tcPr>
            <w:tcW w:w="2098" w:type="pct"/>
            <w:vAlign w:val="center"/>
          </w:tcPr>
          <w:p>
            <w:pPr>
              <w:snapToGrid w:val="0"/>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采购内容</w:t>
            </w:r>
          </w:p>
        </w:tc>
        <w:tc>
          <w:tcPr>
            <w:tcW w:w="870" w:type="pct"/>
            <w:vAlign w:val="center"/>
          </w:tcPr>
          <w:p>
            <w:pPr>
              <w:snapToGrid w:val="0"/>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rPr>
              <w:t>技术要求</w:t>
            </w:r>
          </w:p>
        </w:tc>
        <w:tc>
          <w:tcPr>
            <w:tcW w:w="882" w:type="pct"/>
            <w:vAlign w:val="center"/>
          </w:tcPr>
          <w:p>
            <w:pPr>
              <w:snapToGrid w:val="0"/>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预算金额</w:t>
            </w:r>
          </w:p>
        </w:tc>
        <w:tc>
          <w:tcPr>
            <w:tcW w:w="763" w:type="pct"/>
            <w:vAlign w:val="center"/>
          </w:tcPr>
          <w:p>
            <w:pPr>
              <w:snapToGrid w:val="0"/>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84" w:type="pct"/>
            <w:vAlign w:val="center"/>
          </w:tcPr>
          <w:p>
            <w:pPr>
              <w:snapToGrid w:val="0"/>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p>
        </w:tc>
        <w:tc>
          <w:tcPr>
            <w:tcW w:w="2098" w:type="pct"/>
            <w:vAlign w:val="center"/>
          </w:tcPr>
          <w:p>
            <w:pPr>
              <w:snapToGrid w:val="0"/>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湖州市医疗保障局疾病相关分组（DRGS）结合点数法医保支付专业化服务项目</w:t>
            </w:r>
          </w:p>
        </w:tc>
        <w:tc>
          <w:tcPr>
            <w:tcW w:w="870" w:type="pct"/>
            <w:vAlign w:val="center"/>
          </w:tcPr>
          <w:p>
            <w:pPr>
              <w:snapToGrid w:val="0"/>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详见采购需求</w:t>
            </w:r>
          </w:p>
        </w:tc>
        <w:tc>
          <w:tcPr>
            <w:tcW w:w="882" w:type="pct"/>
            <w:vAlign w:val="center"/>
          </w:tcPr>
          <w:p>
            <w:pPr>
              <w:snapToGrid w:val="0"/>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lang w:val="en-US" w:eastAsia="zh-CN"/>
              </w:rPr>
              <w:t>645.01</w:t>
            </w:r>
            <w:r>
              <w:rPr>
                <w:rFonts w:hint="eastAsia" w:ascii="方正仿宋_GB2312" w:hAnsi="方正仿宋_GB2312" w:eastAsia="方正仿宋_GB2312" w:cs="方正仿宋_GB2312"/>
                <w:bCs/>
                <w:sz w:val="24"/>
              </w:rPr>
              <w:t>万元</w:t>
            </w:r>
          </w:p>
        </w:tc>
        <w:tc>
          <w:tcPr>
            <w:tcW w:w="763" w:type="pct"/>
            <w:vAlign w:val="center"/>
          </w:tcPr>
          <w:p>
            <w:pPr>
              <w:snapToGrid w:val="0"/>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三年</w:t>
            </w:r>
          </w:p>
        </w:tc>
      </w:tr>
    </w:tbl>
    <w:p>
      <w:pPr>
        <w:snapToGrid w:val="0"/>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sz w:val="24"/>
        </w:rPr>
        <w:t>五</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bCs/>
          <w:sz w:val="24"/>
        </w:rPr>
        <w:t>合格投标供应商的资格要求：</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2.本项目接受联合体投标。</w:t>
      </w:r>
    </w:p>
    <w:p>
      <w:pPr>
        <w:snapToGrid w:val="0"/>
        <w:spacing w:line="360" w:lineRule="auto"/>
        <w:ind w:firstLine="482"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bCs/>
          <w:sz w:val="24"/>
        </w:rPr>
        <w:t>六、报名及采购文件的获取</w:t>
      </w:r>
      <w:r>
        <w:rPr>
          <w:rFonts w:hint="eastAsia" w:ascii="方正仿宋_GB2312" w:hAnsi="方正仿宋_GB2312" w:eastAsia="方正仿宋_GB2312" w:cs="方正仿宋_GB2312"/>
          <w:sz w:val="24"/>
        </w:rPr>
        <w:t>：</w:t>
      </w:r>
    </w:p>
    <w:p>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1.获取文件时间：公告发布时间至投标截止时间止（潜在供应商获取采购文件前应当在电子交易平台上注册账号并登录，截止时间后不再接受潜在供应商报名及获取采购文件）。</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2.本项目采购文件实行网上获取，</w:t>
      </w:r>
      <w:r>
        <w:rPr>
          <w:rFonts w:hint="eastAsia" w:ascii="方正仿宋_GB2312" w:hAnsi="方正仿宋_GB2312" w:eastAsia="方正仿宋_GB2312" w:cs="方正仿宋_GB2312"/>
          <w:b/>
          <w:bCs/>
          <w:kern w:val="0"/>
          <w:sz w:val="24"/>
        </w:rPr>
        <w:t>不收取工本费</w:t>
      </w:r>
      <w:r>
        <w:rPr>
          <w:rFonts w:hint="eastAsia" w:ascii="方正仿宋_GB2312" w:hAnsi="方正仿宋_GB2312" w:eastAsia="方正仿宋_GB2312" w:cs="方正仿宋_GB2312"/>
          <w:bCs/>
          <w:kern w:val="0"/>
          <w:sz w:val="24"/>
        </w:rPr>
        <w:t>。</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pPr>
        <w:snapToGrid w:val="0"/>
        <w:spacing w:before="60" w:after="60" w:line="360" w:lineRule="auto"/>
        <w:ind w:right="60"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4.未注册供应商可登录浙江政府采购网（http://zfcg.czt.zj.gov.cn/）查看公告附件或在湖州市公共资源交易信息网（</w:t>
      </w:r>
      <w:r>
        <w:rPr>
          <w:rFonts w:hint="eastAsia" w:ascii="方正仿宋_GB2312" w:hAnsi="方正仿宋_GB2312" w:eastAsia="方正仿宋_GB2312" w:cs="方正仿宋_GB2312"/>
          <w:kern w:val="0"/>
          <w:sz w:val="24"/>
        </w:rPr>
        <w:t>http://ggzyjy.huzhou.gov.cn/</w:t>
      </w:r>
      <w:r>
        <w:rPr>
          <w:rFonts w:hint="eastAsia" w:ascii="方正仿宋_GB2312" w:hAnsi="方正仿宋_GB2312" w:eastAsia="方正仿宋_GB2312" w:cs="方正仿宋_GB2312"/>
          <w:sz w:val="24"/>
        </w:rPr>
        <w:t>)“政府采购”--“分散采购”版块公告附件下载。招标公告附件内的采购文件仅供阅览使用，供应商只有在“政府采购云平台”完成获取采购文件申请并下载了采购文件后才视作依法获取采购文件（供应商获取采购文件时间以供应商完成获取采购文件申请后下载采购文件的时间为准）。请供应商按上述要求获取采购文件，如未在“政采云”系统内完成相关流程，引起的投标无效责任自负。</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5.免费注册网址：浙江政府采购网（供应商注册页面）：https:// middle.zcygov.cn/ settle-front/#/registry“政采云”，</w:t>
      </w:r>
      <w:r>
        <w:rPr>
          <w:rFonts w:hint="eastAsia" w:ascii="方正仿宋_GB2312" w:hAnsi="方正仿宋_GB2312" w:eastAsia="方正仿宋_GB2312" w:cs="方正仿宋_GB2312"/>
          <w:bCs/>
          <w:sz w:val="24"/>
        </w:rPr>
        <w:t xml:space="preserve"> </w:t>
      </w:r>
      <w:r>
        <w:rPr>
          <w:rFonts w:hint="eastAsia" w:ascii="方正仿宋_GB2312" w:hAnsi="方正仿宋_GB2312" w:eastAsia="方正仿宋_GB2312" w:cs="方正仿宋_GB2312"/>
          <w:sz w:val="24"/>
        </w:rPr>
        <w:t>如遇平台技术问题咨询电话：400-881-7190。</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已经注册成功的供应商无需重复注册。</w:t>
      </w:r>
    </w:p>
    <w:p>
      <w:pPr>
        <w:snapToGrid w:val="0"/>
        <w:spacing w:before="60" w:after="60" w:line="360" w:lineRule="auto"/>
        <w:ind w:right="60" w:firstLine="482" w:firstLineChars="200"/>
        <w:rPr>
          <w:rFonts w:ascii="方正仿宋_GB2312" w:hAnsi="方正仿宋_GB2312" w:eastAsia="方正仿宋_GB2312" w:cs="方正仿宋_GB2312"/>
          <w:b/>
          <w:bCs/>
          <w:sz w:val="24"/>
        </w:rPr>
      </w:pPr>
      <w:bookmarkStart w:id="6" w:name="_Toc7807"/>
      <w:r>
        <w:rPr>
          <w:rFonts w:hint="eastAsia" w:ascii="方正仿宋_GB2312" w:hAnsi="方正仿宋_GB2312" w:eastAsia="方正仿宋_GB2312" w:cs="方正仿宋_GB2312"/>
          <w:b/>
          <w:bCs/>
          <w:sz w:val="24"/>
        </w:rPr>
        <w:t>七、</w:t>
      </w:r>
      <w:bookmarkStart w:id="7" w:name="_Toc3484"/>
      <w:bookmarkStart w:id="8" w:name="_Toc140"/>
      <w:r>
        <w:rPr>
          <w:rFonts w:hint="eastAsia" w:ascii="方正仿宋_GB2312" w:hAnsi="方正仿宋_GB2312" w:eastAsia="方正仿宋_GB2312" w:cs="方正仿宋_GB2312"/>
          <w:b/>
          <w:bCs/>
          <w:sz w:val="24"/>
        </w:rPr>
        <w:t>投标截止时间和投标文件递交地点：</w:t>
      </w:r>
      <w:bookmarkEnd w:id="6"/>
      <w:bookmarkEnd w:id="7"/>
      <w:bookmarkEnd w:id="8"/>
    </w:p>
    <w:p>
      <w:pPr>
        <w:snapToGrid w:val="0"/>
        <w:spacing w:before="60" w:after="60" w:line="360" w:lineRule="auto"/>
        <w:ind w:right="60"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1.投标截止时间：202</w:t>
      </w:r>
      <w:r>
        <w:rPr>
          <w:rFonts w:hint="eastAsia" w:ascii="方正仿宋_GB2312" w:hAnsi="方正仿宋_GB2312" w:eastAsia="方正仿宋_GB2312" w:cs="方正仿宋_GB2312"/>
          <w:b/>
          <w:bCs/>
          <w:sz w:val="24"/>
          <w:lang w:val="en-US" w:eastAsia="zh-CN"/>
        </w:rPr>
        <w:t>4</w:t>
      </w:r>
      <w:r>
        <w:rPr>
          <w:rFonts w:hint="eastAsia" w:ascii="方正仿宋_GB2312" w:hAnsi="方正仿宋_GB2312" w:eastAsia="方正仿宋_GB2312" w:cs="方正仿宋_GB2312"/>
          <w:b/>
          <w:bCs/>
          <w:sz w:val="24"/>
        </w:rPr>
        <w:t xml:space="preserve">年 </w:t>
      </w:r>
      <w:r>
        <w:rPr>
          <w:rFonts w:hint="eastAsia" w:ascii="方正仿宋_GB2312" w:hAnsi="方正仿宋_GB2312" w:eastAsia="方正仿宋_GB2312" w:cs="方正仿宋_GB2312"/>
          <w:b/>
          <w:bCs/>
          <w:sz w:val="24"/>
          <w:lang w:val="en-US" w:eastAsia="zh-CN"/>
        </w:rPr>
        <w:t>3</w:t>
      </w:r>
      <w:r>
        <w:rPr>
          <w:rFonts w:hint="eastAsia" w:ascii="方正仿宋_GB2312" w:hAnsi="方正仿宋_GB2312" w:eastAsia="方正仿宋_GB2312" w:cs="方正仿宋_GB2312"/>
          <w:b/>
          <w:bCs/>
          <w:sz w:val="24"/>
        </w:rPr>
        <w:t xml:space="preserve"> 月 </w:t>
      </w:r>
      <w:r>
        <w:rPr>
          <w:rFonts w:hint="eastAsia" w:ascii="方正仿宋_GB2312" w:hAnsi="方正仿宋_GB2312" w:eastAsia="方正仿宋_GB2312" w:cs="方正仿宋_GB2312"/>
          <w:b/>
          <w:bCs/>
          <w:sz w:val="24"/>
          <w:lang w:val="en-US" w:eastAsia="zh-CN"/>
        </w:rPr>
        <w:t>4</w:t>
      </w:r>
      <w:r>
        <w:rPr>
          <w:rFonts w:hint="eastAsia" w:ascii="方正仿宋_GB2312" w:hAnsi="方正仿宋_GB2312" w:eastAsia="方正仿宋_GB2312" w:cs="方正仿宋_GB2312"/>
          <w:b/>
          <w:bCs/>
          <w:sz w:val="24"/>
        </w:rPr>
        <w:t xml:space="preserve"> 日 </w:t>
      </w:r>
      <w:r>
        <w:rPr>
          <w:rFonts w:hint="eastAsia" w:ascii="方正仿宋_GB2312" w:hAnsi="方正仿宋_GB2312" w:eastAsia="方正仿宋_GB2312" w:cs="方正仿宋_GB2312"/>
          <w:b/>
          <w:bCs/>
          <w:sz w:val="24"/>
          <w:lang w:val="en-US" w:eastAsia="zh-CN"/>
        </w:rPr>
        <w:t>14</w:t>
      </w:r>
      <w:r>
        <w:rPr>
          <w:rFonts w:hint="eastAsia" w:ascii="方正仿宋_GB2312" w:hAnsi="方正仿宋_GB2312" w:eastAsia="方正仿宋_GB2312" w:cs="方正仿宋_GB2312"/>
          <w:b/>
          <w:bCs/>
          <w:sz w:val="24"/>
        </w:rPr>
        <w:t xml:space="preserve"> 时00整。</w:t>
      </w:r>
    </w:p>
    <w:p>
      <w:pPr>
        <w:snapToGrid w:val="0"/>
        <w:spacing w:before="60" w:after="60" w:line="360" w:lineRule="auto"/>
        <w:ind w:right="60" w:firstLine="482" w:firstLineChars="200"/>
        <w:rPr>
          <w:rFonts w:ascii="方正仿宋_GB2312" w:hAnsi="方正仿宋_GB2312" w:eastAsia="方正仿宋_GB2312" w:cs="方正仿宋_GB2312"/>
          <w:b/>
          <w:bCs/>
          <w:sz w:val="24"/>
        </w:rPr>
      </w:pPr>
      <w:bookmarkStart w:id="9" w:name="_Toc9522"/>
      <w:r>
        <w:rPr>
          <w:rFonts w:hint="eastAsia" w:ascii="方正仿宋_GB2312" w:hAnsi="方正仿宋_GB2312" w:eastAsia="方正仿宋_GB2312" w:cs="方正仿宋_GB2312"/>
          <w:b/>
          <w:bCs/>
          <w:sz w:val="24"/>
        </w:rPr>
        <w:t>2.投标文件递交地点：本项目通过“政府采购云平台（www.zcygov.cn）”实行在线投标响应（电子投标）。</w:t>
      </w:r>
      <w:bookmarkEnd w:id="9"/>
      <w:r>
        <w:rPr>
          <w:rFonts w:hint="eastAsia" w:ascii="方正仿宋_GB2312" w:hAnsi="方正仿宋_GB2312" w:eastAsia="方正仿宋_GB2312" w:cs="方正仿宋_GB2312"/>
          <w:b/>
          <w:bCs/>
          <w:sz w:val="24"/>
        </w:rPr>
        <w:t xml:space="preserve"> </w:t>
      </w:r>
    </w:p>
    <w:p>
      <w:pPr>
        <w:snapToGrid w:val="0"/>
        <w:spacing w:before="60" w:after="60" w:line="360" w:lineRule="auto"/>
        <w:ind w:right="60"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3.投标供应商应当在投标截止时间前，将生成的文件格式“.jmbs”的“电子加密投标文件”上传递交至“政府采购云平台”实行在线投标响应。投标截止时间以后上传递交的投标文件将被“政府采购云平台”拒收。</w:t>
      </w:r>
    </w:p>
    <w:p>
      <w:pPr>
        <w:snapToGrid w:val="0"/>
        <w:spacing w:before="60" w:after="60" w:line="360" w:lineRule="auto"/>
        <w:ind w:right="60" w:firstLine="482" w:firstLineChars="200"/>
        <w:rPr>
          <w:rFonts w:ascii="方正仿宋_GB2312" w:hAnsi="方正仿宋_GB2312" w:eastAsia="方正仿宋_GB2312" w:cs="方正仿宋_GB2312"/>
          <w:b/>
          <w:bCs/>
          <w:sz w:val="24"/>
        </w:rPr>
      </w:pPr>
      <w:bookmarkStart w:id="10" w:name="_Toc25948"/>
      <w:bookmarkStart w:id="11" w:name="_Toc9815"/>
      <w:bookmarkStart w:id="12" w:name="_Toc1896"/>
      <w:r>
        <w:rPr>
          <w:rFonts w:hint="eastAsia" w:ascii="方正仿宋_GB2312" w:hAnsi="方正仿宋_GB2312" w:eastAsia="方正仿宋_GB2312" w:cs="方正仿宋_GB2312"/>
          <w:b/>
          <w:bCs/>
          <w:sz w:val="24"/>
        </w:rPr>
        <w:t>八、开标时间及地点：</w:t>
      </w:r>
      <w:bookmarkEnd w:id="10"/>
      <w:bookmarkEnd w:id="11"/>
      <w:bookmarkEnd w:id="12"/>
    </w:p>
    <w:p>
      <w:pPr>
        <w:snapToGrid w:val="0"/>
        <w:spacing w:before="60" w:after="60" w:line="360" w:lineRule="auto"/>
        <w:ind w:right="60"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开标时间：202</w:t>
      </w:r>
      <w:r>
        <w:rPr>
          <w:rFonts w:hint="eastAsia" w:ascii="方正仿宋_GB2312" w:hAnsi="方正仿宋_GB2312" w:eastAsia="方正仿宋_GB2312" w:cs="方正仿宋_GB2312"/>
          <w:b/>
          <w:bCs/>
          <w:sz w:val="24"/>
          <w:lang w:val="en-US" w:eastAsia="zh-CN"/>
        </w:rPr>
        <w:t>4</w:t>
      </w:r>
      <w:r>
        <w:rPr>
          <w:rFonts w:hint="eastAsia" w:ascii="方正仿宋_GB2312" w:hAnsi="方正仿宋_GB2312" w:eastAsia="方正仿宋_GB2312" w:cs="方正仿宋_GB2312"/>
          <w:b/>
          <w:bCs/>
          <w:sz w:val="24"/>
        </w:rPr>
        <w:t xml:space="preserve">年  </w:t>
      </w:r>
      <w:r>
        <w:rPr>
          <w:rFonts w:hint="eastAsia" w:ascii="方正仿宋_GB2312" w:hAnsi="方正仿宋_GB2312" w:eastAsia="方正仿宋_GB2312" w:cs="方正仿宋_GB2312"/>
          <w:b/>
          <w:bCs/>
          <w:sz w:val="24"/>
          <w:lang w:val="en-US" w:eastAsia="zh-CN"/>
        </w:rPr>
        <w:t>3</w:t>
      </w:r>
      <w:r>
        <w:rPr>
          <w:rFonts w:hint="eastAsia" w:ascii="方正仿宋_GB2312" w:hAnsi="方正仿宋_GB2312" w:eastAsia="方正仿宋_GB2312" w:cs="方正仿宋_GB2312"/>
          <w:b/>
          <w:bCs/>
          <w:sz w:val="24"/>
        </w:rPr>
        <w:t xml:space="preserve"> 月 </w:t>
      </w:r>
      <w:r>
        <w:rPr>
          <w:rFonts w:hint="eastAsia" w:ascii="方正仿宋_GB2312" w:hAnsi="方正仿宋_GB2312" w:eastAsia="方正仿宋_GB2312" w:cs="方正仿宋_GB2312"/>
          <w:b/>
          <w:bCs/>
          <w:sz w:val="24"/>
          <w:lang w:val="en-US" w:eastAsia="zh-CN"/>
        </w:rPr>
        <w:t>4</w:t>
      </w:r>
      <w:r>
        <w:rPr>
          <w:rFonts w:hint="eastAsia" w:ascii="方正仿宋_GB2312" w:hAnsi="方正仿宋_GB2312" w:eastAsia="方正仿宋_GB2312" w:cs="方正仿宋_GB2312"/>
          <w:b/>
          <w:bCs/>
          <w:sz w:val="24"/>
        </w:rPr>
        <w:t xml:space="preserve"> 日 </w:t>
      </w:r>
      <w:r>
        <w:rPr>
          <w:rFonts w:hint="eastAsia" w:ascii="方正仿宋_GB2312" w:hAnsi="方正仿宋_GB2312" w:eastAsia="方正仿宋_GB2312" w:cs="方正仿宋_GB2312"/>
          <w:b/>
          <w:bCs/>
          <w:sz w:val="24"/>
          <w:lang w:val="en-US" w:eastAsia="zh-CN"/>
        </w:rPr>
        <w:t>14</w:t>
      </w:r>
      <w:r>
        <w:rPr>
          <w:rFonts w:hint="eastAsia" w:ascii="方正仿宋_GB2312" w:hAnsi="方正仿宋_GB2312" w:eastAsia="方正仿宋_GB2312" w:cs="方正仿宋_GB2312"/>
          <w:b/>
          <w:bCs/>
          <w:sz w:val="24"/>
        </w:rPr>
        <w:t xml:space="preserve"> 时00整。</w:t>
      </w:r>
    </w:p>
    <w:p>
      <w:pPr>
        <w:snapToGrid w:val="0"/>
        <w:spacing w:before="60" w:after="60" w:line="360" w:lineRule="auto"/>
        <w:ind w:right="60" w:firstLine="482" w:firstLineChars="200"/>
        <w:rPr>
          <w:rFonts w:ascii="方正仿宋_GB2312" w:hAnsi="方正仿宋_GB2312" w:eastAsia="方正仿宋_GB2312" w:cs="方正仿宋_GB2312"/>
          <w:b/>
          <w:bCs/>
          <w:sz w:val="24"/>
        </w:rPr>
      </w:pPr>
      <w:bookmarkStart w:id="13" w:name="_Toc10651"/>
      <w:r>
        <w:rPr>
          <w:rFonts w:hint="eastAsia" w:ascii="方正仿宋_GB2312" w:hAnsi="方正仿宋_GB2312" w:eastAsia="方正仿宋_GB2312" w:cs="方正仿宋_GB2312"/>
          <w:b/>
          <w:bCs/>
          <w:sz w:val="24"/>
        </w:rPr>
        <w:t xml:space="preserve">开标地点：本项目采用不见面开标方式，采购代理机构在湖州市公共资源交易中心 2 号楼二楼 </w:t>
      </w:r>
      <w:r>
        <w:rPr>
          <w:rFonts w:hint="eastAsia" w:ascii="方正仿宋_GB2312" w:hAnsi="方正仿宋_GB2312" w:eastAsia="方正仿宋_GB2312" w:cs="方正仿宋_GB2312"/>
          <w:b/>
          <w:bCs/>
          <w:sz w:val="24"/>
          <w:lang w:val="en-US" w:eastAsia="zh-CN"/>
        </w:rPr>
        <w:t>262</w:t>
      </w:r>
      <w:r>
        <w:rPr>
          <w:rFonts w:hint="eastAsia" w:ascii="方正仿宋_GB2312" w:hAnsi="方正仿宋_GB2312" w:eastAsia="方正仿宋_GB2312" w:cs="方正仿宋_GB2312"/>
          <w:b/>
          <w:bCs/>
          <w:sz w:val="24"/>
        </w:rPr>
        <w:t>开标室（湖州市仁皇山片区金盖山路 66 号2号楼）对本项目进行开标。投标供应商应在投标截止时间前委派投标代表（法定代表人或授权委托人）登入“政府采购云平台（www.zcygov.cn）”在线参与开标，并CA锁在线解密投标文件等完成相关工作 。</w:t>
      </w:r>
      <w:bookmarkEnd w:id="13"/>
    </w:p>
    <w:p>
      <w:pPr>
        <w:snapToGrid w:val="0"/>
        <w:spacing w:line="360" w:lineRule="auto"/>
        <w:ind w:firstLine="482" w:firstLineChars="200"/>
        <w:rPr>
          <w:rFonts w:ascii="方正仿宋_GB2312" w:hAnsi="方正仿宋_GB2312" w:eastAsia="方正仿宋_GB2312" w:cs="方正仿宋_GB2312"/>
          <w:b/>
          <w:bCs/>
          <w:sz w:val="24"/>
        </w:rPr>
      </w:pPr>
      <w:bookmarkStart w:id="14" w:name="_Toc31794"/>
      <w:r>
        <w:rPr>
          <w:rFonts w:hint="eastAsia" w:ascii="方正仿宋_GB2312" w:hAnsi="方正仿宋_GB2312" w:eastAsia="方正仿宋_GB2312" w:cs="方正仿宋_GB2312"/>
          <w:b/>
          <w:bCs/>
          <w:sz w:val="24"/>
        </w:rPr>
        <w:t>九、在线投标响应（电子投标）说明</w:t>
      </w:r>
      <w:bookmarkEnd w:id="14"/>
      <w:r>
        <w:rPr>
          <w:rFonts w:hint="eastAsia" w:ascii="方正仿宋_GB2312" w:hAnsi="方正仿宋_GB2312" w:eastAsia="方正仿宋_GB2312" w:cs="方正仿宋_GB2312"/>
          <w:b/>
          <w:bCs/>
          <w:sz w:val="24"/>
        </w:rPr>
        <w:t>：</w:t>
      </w:r>
    </w:p>
    <w:p>
      <w:pPr>
        <w:snapToGrid w:val="0"/>
        <w:spacing w:line="360" w:lineRule="auto"/>
        <w:ind w:firstLine="480" w:firstLineChars="200"/>
        <w:rPr>
          <w:rFonts w:ascii="方正仿宋_GB2312" w:hAnsi="方正仿宋_GB2312" w:eastAsia="方正仿宋_GB2312" w:cs="方正仿宋_GB2312"/>
          <w:sz w:val="24"/>
        </w:rPr>
      </w:pPr>
      <w:bookmarkStart w:id="15" w:name="_Toc4490"/>
      <w:bookmarkStart w:id="16" w:name="_Toc32145"/>
      <w:r>
        <w:rPr>
          <w:rFonts w:hint="eastAsia" w:ascii="方正仿宋_GB2312" w:hAnsi="方正仿宋_GB2312" w:eastAsia="方正仿宋_GB2312" w:cs="方正仿宋_GB2312"/>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fldChar w:fldCharType="begin"/>
      </w:r>
      <w:r>
        <w:instrText xml:space="preserve"> HYPERLINK "https://help.zcygov.cn/web/site_2/2018/12-28/2573.html" </w:instrText>
      </w:r>
      <w:r>
        <w:fldChar w:fldCharType="separate"/>
      </w:r>
      <w:r>
        <w:rPr>
          <w:rFonts w:hint="eastAsia" w:ascii="方正仿宋_GB2312" w:hAnsi="方正仿宋_GB2312" w:eastAsia="方正仿宋_GB2312" w:cs="方正仿宋_GB2312"/>
          <w:sz w:val="24"/>
        </w:rPr>
        <w:t>https://help.zcygov.cn/web/site_2/2018/12-28/2573.html</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w:t>
      </w:r>
    </w:p>
    <w:p>
      <w:pPr>
        <w:spacing w:line="360" w:lineRule="auto"/>
        <w:ind w:firstLine="480"/>
        <w:outlineLvl w:val="0"/>
        <w:rPr>
          <w:rFonts w:ascii="方正仿宋_GB2312" w:hAnsi="方正仿宋_GB2312" w:eastAsia="方正仿宋_GB2312" w:cs="方正仿宋_GB2312"/>
          <w:sz w:val="24"/>
        </w:rPr>
      </w:pPr>
      <w:bookmarkStart w:id="17" w:name="_Toc8878"/>
      <w:bookmarkStart w:id="18" w:name="_Toc10604"/>
      <w:bookmarkStart w:id="19" w:name="_Toc29299"/>
      <w:bookmarkStart w:id="20" w:name="_Toc19397"/>
      <w:bookmarkStart w:id="21" w:name="_Toc22941"/>
      <w:r>
        <w:rPr>
          <w:rFonts w:hint="eastAsia" w:ascii="方正仿宋_GB2312" w:hAnsi="方正仿宋_GB2312" w:eastAsia="方正仿宋_GB2312" w:cs="方正仿宋_GB2312"/>
          <w:sz w:val="24"/>
        </w:rPr>
        <w:t>2.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方正仿宋_GB2312" w:hAnsi="方正仿宋_GB2312" w:eastAsia="方正仿宋_GB2312" w:cs="方正仿宋_GB2312"/>
          <w:sz w:val="24"/>
        </w:rPr>
        <w:t>CA驱动和申领流程</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”进行查阅。</w:t>
      </w:r>
      <w:bookmarkEnd w:id="17"/>
      <w:bookmarkEnd w:id="18"/>
      <w:bookmarkEnd w:id="19"/>
      <w:bookmarkEnd w:id="20"/>
      <w:bookmarkEnd w:id="21"/>
    </w:p>
    <w:p>
      <w:pPr>
        <w:spacing w:line="360" w:lineRule="auto"/>
        <w:ind w:firstLine="470" w:firstLineChars="196"/>
        <w:outlineLvl w:val="0"/>
        <w:rPr>
          <w:rFonts w:ascii="方正仿宋_GB2312" w:hAnsi="方正仿宋_GB2312" w:eastAsia="方正仿宋_GB2312" w:cs="方正仿宋_GB2312"/>
          <w:kern w:val="0"/>
          <w:sz w:val="24"/>
        </w:rPr>
      </w:pPr>
      <w:bookmarkStart w:id="22" w:name="_Toc21557"/>
      <w:bookmarkStart w:id="23" w:name="_Toc9636"/>
      <w:bookmarkStart w:id="24" w:name="_Toc29999"/>
      <w:bookmarkStart w:id="25" w:name="_Toc16347"/>
      <w:bookmarkStart w:id="26" w:name="_Toc30924"/>
      <w:r>
        <w:rPr>
          <w:rFonts w:hint="eastAsia" w:ascii="方正仿宋_GB2312" w:hAnsi="方正仿宋_GB2312" w:eastAsia="方正仿宋_GB2312" w:cs="方正仿宋_GB2312"/>
          <w:kern w:val="0"/>
          <w:sz w:val="24"/>
        </w:rPr>
        <w:t>3.投标文件递交方式：</w:t>
      </w:r>
      <w:bookmarkEnd w:id="22"/>
      <w:bookmarkEnd w:id="23"/>
      <w:bookmarkEnd w:id="24"/>
      <w:bookmarkEnd w:id="25"/>
      <w:bookmarkEnd w:id="26"/>
    </w:p>
    <w:p>
      <w:pPr>
        <w:spacing w:line="360" w:lineRule="auto"/>
        <w:ind w:firstLine="470" w:firstLineChars="196"/>
        <w:outlineLvl w:val="0"/>
        <w:rPr>
          <w:rFonts w:ascii="方正仿宋_GB2312" w:hAnsi="方正仿宋_GB2312" w:eastAsia="方正仿宋_GB2312" w:cs="方正仿宋_GB2312"/>
          <w:kern w:val="0"/>
          <w:sz w:val="24"/>
        </w:rPr>
      </w:pPr>
      <w:bookmarkStart w:id="27" w:name="_Toc6349"/>
      <w:bookmarkStart w:id="28" w:name="_Toc26157"/>
      <w:bookmarkStart w:id="29" w:name="_Toc10296"/>
      <w:bookmarkStart w:id="30" w:name="_Toc17680"/>
      <w:bookmarkStart w:id="31" w:name="_Toc15181"/>
      <w:r>
        <w:rPr>
          <w:rFonts w:hint="eastAsia" w:ascii="方正仿宋_GB2312" w:hAnsi="方正仿宋_GB2312" w:eastAsia="方正仿宋_GB2312" w:cs="方正仿宋_GB2312"/>
          <w:kern w:val="0"/>
          <w:sz w:val="24"/>
        </w:rPr>
        <w:t>（1）按政采云平台项目采购－电子交易操作指南及本采购文件要求制作、加密并递交。投标供应商应于</w:t>
      </w:r>
      <w:r>
        <w:rPr>
          <w:rFonts w:hint="eastAsia" w:ascii="方正仿宋_GB2312" w:hAnsi="方正仿宋_GB2312" w:eastAsia="方正仿宋_GB2312" w:cs="方正仿宋_GB2312"/>
          <w:b/>
          <w:bCs/>
          <w:kern w:val="0"/>
          <w:sz w:val="24"/>
        </w:rPr>
        <w:t xml:space="preserve"> </w:t>
      </w:r>
      <w:r>
        <w:rPr>
          <w:rFonts w:hint="eastAsia" w:ascii="方正仿宋_GB2312" w:hAnsi="方正仿宋_GB2312" w:eastAsia="方正仿宋_GB2312" w:cs="方正仿宋_GB2312"/>
          <w:b/>
          <w:bCs/>
          <w:sz w:val="24"/>
        </w:rPr>
        <w:t>202</w:t>
      </w:r>
      <w:r>
        <w:rPr>
          <w:rFonts w:hint="eastAsia" w:ascii="方正仿宋_GB2312" w:hAnsi="方正仿宋_GB2312" w:eastAsia="方正仿宋_GB2312" w:cs="方正仿宋_GB2312"/>
          <w:b/>
          <w:bCs/>
          <w:sz w:val="24"/>
          <w:lang w:val="en-US" w:eastAsia="zh-CN"/>
        </w:rPr>
        <w:t>4</w:t>
      </w:r>
      <w:r>
        <w:rPr>
          <w:rFonts w:hint="eastAsia" w:ascii="方正仿宋_GB2312" w:hAnsi="方正仿宋_GB2312" w:eastAsia="方正仿宋_GB2312" w:cs="方正仿宋_GB2312"/>
          <w:b/>
          <w:bCs/>
          <w:sz w:val="24"/>
        </w:rPr>
        <w:t xml:space="preserve">年 </w:t>
      </w:r>
      <w:r>
        <w:rPr>
          <w:rFonts w:hint="eastAsia" w:ascii="方正仿宋_GB2312" w:hAnsi="方正仿宋_GB2312" w:eastAsia="方正仿宋_GB2312" w:cs="方正仿宋_GB2312"/>
          <w:b/>
          <w:bCs/>
          <w:sz w:val="24"/>
          <w:lang w:val="en-US" w:eastAsia="zh-CN"/>
        </w:rPr>
        <w:t>3</w:t>
      </w:r>
      <w:r>
        <w:rPr>
          <w:rFonts w:hint="eastAsia" w:ascii="方正仿宋_GB2312" w:hAnsi="方正仿宋_GB2312" w:eastAsia="方正仿宋_GB2312" w:cs="方正仿宋_GB2312"/>
          <w:b/>
          <w:bCs/>
          <w:sz w:val="24"/>
        </w:rPr>
        <w:t xml:space="preserve"> 月</w:t>
      </w:r>
      <w:r>
        <w:rPr>
          <w:rFonts w:hint="eastAsia" w:ascii="方正仿宋_GB2312" w:hAnsi="方正仿宋_GB2312" w:eastAsia="方正仿宋_GB2312" w:cs="方正仿宋_GB2312"/>
          <w:b/>
          <w:bCs/>
          <w:sz w:val="24"/>
          <w:lang w:val="en-US" w:eastAsia="zh-CN"/>
        </w:rPr>
        <w:t xml:space="preserve"> 4</w:t>
      </w:r>
      <w:r>
        <w:rPr>
          <w:rFonts w:hint="eastAsia" w:ascii="方正仿宋_GB2312" w:hAnsi="方正仿宋_GB2312" w:eastAsia="方正仿宋_GB2312" w:cs="方正仿宋_GB2312"/>
          <w:b/>
          <w:bCs/>
          <w:sz w:val="24"/>
        </w:rPr>
        <w:t xml:space="preserve"> 日14时00</w:t>
      </w:r>
      <w:r>
        <w:rPr>
          <w:rFonts w:hint="eastAsia" w:ascii="方正仿宋_GB2312" w:hAnsi="方正仿宋_GB2312" w:eastAsia="方正仿宋_GB2312" w:cs="方正仿宋_GB2312"/>
          <w:b/>
          <w:bCs/>
          <w:kern w:val="0"/>
          <w:sz w:val="24"/>
        </w:rPr>
        <w:t>前</w:t>
      </w:r>
      <w:r>
        <w:rPr>
          <w:rFonts w:hint="eastAsia" w:ascii="方正仿宋_GB2312" w:hAnsi="方正仿宋_GB2312" w:eastAsia="方正仿宋_GB2312" w:cs="方正仿宋_GB2312"/>
          <w:kern w:val="0"/>
          <w:sz w:val="24"/>
        </w:rPr>
        <w:t>将生成的“电子加密投标文件”上传递交至“政府采购云平台”。开标截止时间以后上传递交的投标文件将被“政府采购云平台”拒收。</w:t>
      </w:r>
      <w:bookmarkEnd w:id="27"/>
      <w:bookmarkEnd w:id="28"/>
      <w:bookmarkEnd w:id="29"/>
      <w:bookmarkEnd w:id="30"/>
      <w:bookmarkEnd w:id="31"/>
    </w:p>
    <w:p>
      <w:pPr>
        <w:widowControl/>
        <w:spacing w:line="360" w:lineRule="auto"/>
        <w:ind w:left="44" w:leftChars="21" w:right="60" w:firstLine="480" w:firstLineChars="200"/>
        <w:jc w:val="left"/>
        <w:rPr>
          <w:rFonts w:ascii="方正仿宋_GB2312" w:hAnsi="方正仿宋_GB2312" w:eastAsia="方正仿宋_GB2312" w:cs="方正仿宋_GB2312"/>
          <w:kern w:val="0"/>
          <w:sz w:val="24"/>
        </w:rPr>
      </w:pPr>
      <w:bookmarkStart w:id="32" w:name="_Toc3250"/>
      <w:bookmarkStart w:id="33" w:name="_Toc20595"/>
      <w:bookmarkStart w:id="34" w:name="_Toc17677"/>
      <w:r>
        <w:rPr>
          <w:rFonts w:hint="eastAsia" w:ascii="方正仿宋_GB2312" w:hAnsi="方正仿宋_GB2312" w:eastAsia="方正仿宋_GB2312" w:cs="方正仿宋_GB2312"/>
          <w:kern w:val="0"/>
          <w:sz w:val="24"/>
        </w:rPr>
        <w:t>（2）投标供应商在“政府采购云平台”完成“电子加密投标文件”的上传递交后，还可以邮寄形式在开标截止时间之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w:t>
      </w:r>
    </w:p>
    <w:p>
      <w:pPr>
        <w:widowControl/>
        <w:tabs>
          <w:tab w:val="left" w:pos="418"/>
        </w:tabs>
        <w:spacing w:line="360" w:lineRule="auto"/>
        <w:ind w:left="44" w:leftChars="21" w:right="60"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以邮寄形式递交的投标供应商应确保在开标截止时间之前送达（以收件人实际签收时间为准，收件人签收后将予以确认）。</w:t>
      </w:r>
      <w:bookmarkEnd w:id="32"/>
      <w:bookmarkEnd w:id="33"/>
      <w:bookmarkEnd w:id="34"/>
      <w:r>
        <w:rPr>
          <w:rFonts w:hint="eastAsia" w:ascii="方正仿宋_GB2312" w:hAnsi="方正仿宋_GB2312" w:eastAsia="方正仿宋_GB2312" w:cs="方正仿宋_GB2312"/>
          <w:kern w:val="0"/>
          <w:sz w:val="24"/>
        </w:rPr>
        <w:t>递交地址：建正工程咨询有限公司 （湖州市腊山路298号天蓝大厦12楼1207室），联系人：徐玉妹，电话：13567285674。逾期送达不予受理。</w:t>
      </w:r>
    </w:p>
    <w:p>
      <w:pPr>
        <w:spacing w:line="360" w:lineRule="auto"/>
        <w:ind w:firstLine="480" w:firstLineChars="200"/>
        <w:outlineLvl w:val="0"/>
        <w:rPr>
          <w:rFonts w:ascii="方正仿宋_GB2312" w:hAnsi="方正仿宋_GB2312" w:eastAsia="方正仿宋_GB2312" w:cs="方正仿宋_GB2312"/>
          <w:b/>
          <w:bCs/>
          <w:kern w:val="0"/>
          <w:sz w:val="24"/>
        </w:rPr>
      </w:pPr>
      <w:bookmarkStart w:id="35" w:name="_Toc27706"/>
      <w:bookmarkStart w:id="36" w:name="_Toc20123"/>
      <w:bookmarkStart w:id="37" w:name="_Toc4957"/>
      <w:bookmarkStart w:id="38" w:name="_Toc23564"/>
      <w:bookmarkStart w:id="39" w:name="_Toc31352"/>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b/>
          <w:bCs/>
          <w:kern w:val="0"/>
          <w:sz w:val="24"/>
        </w:rPr>
        <w:t>CA 锁解密时间为开标当日</w:t>
      </w:r>
      <w:r>
        <w:rPr>
          <w:rFonts w:hint="eastAsia" w:ascii="方正仿宋_GB2312" w:hAnsi="方正仿宋_GB2312" w:eastAsia="方正仿宋_GB2312" w:cs="方正仿宋_GB2312"/>
          <w:b/>
          <w:bCs/>
          <w:color w:val="FF0000"/>
          <w:kern w:val="0"/>
          <w:sz w:val="24"/>
        </w:rPr>
        <w:t>14:00</w:t>
      </w:r>
      <w:r>
        <w:rPr>
          <w:rFonts w:hint="eastAsia" w:ascii="方正仿宋_GB2312" w:hAnsi="方正仿宋_GB2312" w:eastAsia="方正仿宋_GB2312" w:cs="方正仿宋_GB2312"/>
          <w:b/>
          <w:bCs/>
          <w:color w:val="FF0000"/>
          <w:sz w:val="24"/>
        </w:rPr>
        <w:t>至14:30</w:t>
      </w:r>
      <w:r>
        <w:rPr>
          <w:rFonts w:hint="eastAsia" w:ascii="方正仿宋_GB2312" w:hAnsi="方正仿宋_GB2312" w:eastAsia="方正仿宋_GB2312" w:cs="方正仿宋_GB2312"/>
          <w:color w:val="FF0000"/>
        </w:rPr>
        <w:t>。</w:t>
      </w:r>
      <w:r>
        <w:rPr>
          <w:rFonts w:hint="eastAsia" w:ascii="方正仿宋_GB2312" w:hAnsi="方正仿宋_GB2312" w:eastAsia="方正仿宋_GB2312" w:cs="方正仿宋_GB2312"/>
          <w:kern w:val="0"/>
          <w:sz w:val="24"/>
        </w:rPr>
        <w:t>通过“政府采购云平台”上传递交的“电子加密投标文件”无法按时解密，投标供应商按时递交了“备份投标文件”的，以“备份投标文件”为依据，否则视为投标文件撤回。通过“政府采购云平台”上传递交的“电子加密投标文件”已按时解密的，“备份投标文件”自动失效。</w:t>
      </w:r>
      <w:r>
        <w:rPr>
          <w:rFonts w:hint="eastAsia" w:ascii="方正仿宋_GB2312" w:hAnsi="方正仿宋_GB2312" w:eastAsia="方正仿宋_GB2312" w:cs="方正仿宋_GB2312"/>
          <w:b/>
          <w:kern w:val="0"/>
          <w:sz w:val="24"/>
        </w:rPr>
        <w:t>供应商仅提交“备份投标文件”的，投标无效。</w:t>
      </w:r>
      <w:bookmarkEnd w:id="35"/>
      <w:bookmarkEnd w:id="36"/>
      <w:bookmarkEnd w:id="37"/>
      <w:bookmarkEnd w:id="38"/>
      <w:bookmarkEnd w:id="39"/>
    </w:p>
    <w:p>
      <w:pPr>
        <w:snapToGrid w:val="0"/>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bCs/>
          <w:kern w:val="0"/>
          <w:sz w:val="24"/>
        </w:rPr>
        <w:t>注：1）供应商应权衡利弊考虑是否提供数据电子备份投标文件（U盘），采购人及采购代理机构不做强制性要求，若因解密原因需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投标文件中关于数据电子备份投标文件（U盘）的要求及内容不再适用。</w:t>
      </w:r>
    </w:p>
    <w:p>
      <w:pPr>
        <w:snapToGrid w:val="0"/>
        <w:spacing w:line="360" w:lineRule="auto"/>
        <w:ind w:firstLine="472" w:firstLineChars="196"/>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十、发布招标公告的媒体为：</w:t>
      </w:r>
    </w:p>
    <w:p>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浙江政府采购网 （https://zfcg.czt.zj.gov.cn/）；</w:t>
      </w:r>
    </w:p>
    <w:p>
      <w:pPr>
        <w:snapToGrid w:val="0"/>
        <w:spacing w:line="360" w:lineRule="auto"/>
        <w:ind w:firstLine="480" w:firstLineChars="200"/>
        <w:rPr>
          <w:rFonts w:ascii="方正仿宋_GB2312" w:hAnsi="方正仿宋_GB2312" w:eastAsia="方正仿宋_GB2312" w:cs="方正仿宋_GB2312"/>
          <w:kern w:val="0"/>
          <w:sz w:val="24"/>
        </w:rPr>
      </w:pPr>
      <w:bookmarkStart w:id="40" w:name="_Toc20946"/>
      <w:r>
        <w:rPr>
          <w:rFonts w:hint="eastAsia" w:ascii="方正仿宋_GB2312" w:hAnsi="方正仿宋_GB2312" w:eastAsia="方正仿宋_GB2312" w:cs="方正仿宋_GB2312"/>
          <w:kern w:val="0"/>
          <w:sz w:val="24"/>
        </w:rPr>
        <w:t>湖州市公共资源交易信息网（http://ggzyjy.huzhou.gov.cn/）；</w:t>
      </w:r>
      <w:bookmarkEnd w:id="40"/>
    </w:p>
    <w:bookmarkEnd w:id="15"/>
    <w:bookmarkEnd w:id="16"/>
    <w:p>
      <w:pPr>
        <w:snapToGrid w:val="0"/>
        <w:spacing w:line="360" w:lineRule="auto"/>
        <w:ind w:firstLine="482" w:firstLineChars="200"/>
        <w:rPr>
          <w:rFonts w:ascii="方正仿宋_GB2312" w:hAnsi="方正仿宋_GB2312" w:eastAsia="方正仿宋_GB2312" w:cs="方正仿宋_GB2312"/>
          <w:b/>
          <w:bCs/>
          <w:kern w:val="0"/>
          <w:sz w:val="24"/>
        </w:rPr>
      </w:pPr>
      <w:bookmarkStart w:id="41" w:name="_Toc29494"/>
      <w:r>
        <w:rPr>
          <w:rFonts w:hint="eastAsia" w:ascii="方正仿宋_GB2312" w:hAnsi="方正仿宋_GB2312" w:eastAsia="方正仿宋_GB2312" w:cs="方正仿宋_GB2312"/>
          <w:b/>
          <w:bCs/>
          <w:kern w:val="0"/>
          <w:sz w:val="24"/>
        </w:rPr>
        <w:t>十一、其他事项：</w:t>
      </w:r>
      <w:bookmarkEnd w:id="41"/>
    </w:p>
    <w:p>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1.本项目为电子招标项目，实行网上招投标，应按照本采购文件</w:t>
      </w:r>
      <w:r>
        <w:rPr>
          <w:rFonts w:hint="eastAsia" w:ascii="方正仿宋_GB2312" w:hAnsi="方正仿宋_GB2312" w:eastAsia="方正仿宋_GB2312" w:cs="方正仿宋_GB2312"/>
          <w:kern w:val="0"/>
          <w:sz w:val="24"/>
          <w:lang w:bidi="ar"/>
        </w:rPr>
        <w:t>及政采云平台的要求编制、加密并要求投标供应商通过政采云系统在线投标响应，投</w:t>
      </w:r>
      <w:r>
        <w:rPr>
          <w:rFonts w:hint="eastAsia" w:ascii="方正仿宋_GB2312" w:hAnsi="方正仿宋_GB2312" w:eastAsia="方正仿宋_GB2312" w:cs="方正仿宋_GB2312"/>
          <w:kern w:val="0"/>
          <w:sz w:val="24"/>
        </w:rPr>
        <w:t>标截止时间前须完成电子投标文件的上传。</w:t>
      </w:r>
      <w:r>
        <w:rPr>
          <w:rFonts w:hint="eastAsia" w:ascii="方正仿宋_GB2312" w:hAnsi="方正仿宋_GB2312" w:eastAsia="方正仿宋_GB2312" w:cs="方正仿宋_GB2312"/>
          <w:kern w:val="0"/>
          <w:sz w:val="24"/>
          <w:lang w:bidi="ar"/>
        </w:rPr>
        <w:t>投标供应商的法定代表人或其授权代表不需要参加现场投标和开标。</w:t>
      </w:r>
      <w:r>
        <w:rPr>
          <w:rFonts w:hint="eastAsia" w:ascii="方正仿宋_GB2312" w:hAnsi="方正仿宋_GB2312" w:eastAsia="方正仿宋_GB2312" w:cs="方正仿宋_GB2312"/>
          <w:b/>
          <w:kern w:val="0"/>
          <w:sz w:val="24"/>
        </w:rPr>
        <w:t>投标供应商在使用系统进行投标的过程中遇到涉及平台使用的任何问题，可致电政采云平台技术支持热线咨询，联系方式：400-881-7190。</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2.投标供应商对采购文件有异议的，供应商须在法定质疑期内一次性提出针对同一采购程序环节的质疑。应当以书面（含传真）形式向采购代理机构一次性提出，采购人将在规定的时间内统一进行澄清和修改，并书面（含传真）通知所有认购采购文件的投标供应商。投标供应商未按规定要求提出的，则视同认可采购文件，但法律法规及规范性文件有明确规定的除外。</w:t>
      </w:r>
    </w:p>
    <w:p>
      <w:pPr>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color w:val="000000"/>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4.参与政府采购项目的注册投标供应商，需登录浙江政府采购云平台（http://www.zcygov.cn）进行网上报名；尚未注册的投标供应商应当先在浙江政府采购云平台上申请注册，注册终审通过后再进行网上报名。</w:t>
      </w:r>
    </w:p>
    <w:p>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hint="eastAsia" w:ascii="方正仿宋_GB2312" w:hAnsi="方正仿宋_GB2312" w:eastAsia="方正仿宋_GB2312" w:cs="方正仿宋_GB2312"/>
          <w:b w:val="0"/>
          <w:bCs w:val="0"/>
          <w:kern w:val="0"/>
          <w:sz w:val="24"/>
        </w:rPr>
      </w:pPr>
      <w:r>
        <w:rPr>
          <w:rFonts w:hint="eastAsia" w:ascii="方正仿宋_GB2312" w:hAnsi="方正仿宋_GB2312" w:eastAsia="方正仿宋_GB2312" w:cs="方正仿宋_GB2312"/>
          <w:b w:val="0"/>
          <w:bCs w:val="0"/>
          <w:kern w:val="0"/>
          <w:sz w:val="24"/>
        </w:rPr>
        <w:t>6.本项目是否专门面向中小企业采购：否</w:t>
      </w:r>
    </w:p>
    <w:p>
      <w:pPr>
        <w:snapToGrid w:val="0"/>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十二、业务咨询</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采购人：湖州市医疗保障局</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联系人：孙先生                联系电话：0572-2320022  </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地址：浙江省湖州市吴兴区青太路1456号</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采购代理机构：建正工程咨询有限公司</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联系人：徐玉妹              联系电话：0572-2121029</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质疑函接收人：丁伟成</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联系电话：0572-2121225</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地址：湖州市腊山路298号天蓝大厦12楼</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政府采购行政监管及投诉受理部门：湖州市财政局政府采购监管处        </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联系人：程先生              联系电话：0572-2150216</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地址：湖州市龙王山路518号   </w:t>
      </w:r>
    </w:p>
    <w:p>
      <w:pPr>
        <w:pStyle w:val="5"/>
        <w:spacing w:before="0" w:after="0" w:line="360" w:lineRule="auto"/>
        <w:jc w:val="center"/>
        <w:rPr>
          <w:rFonts w:ascii="方正仿宋_GB2312" w:hAnsi="方正仿宋_GB2312" w:eastAsia="方正仿宋_GB2312" w:cs="方正仿宋_GB2312"/>
          <w:sz w:val="36"/>
          <w:szCs w:val="36"/>
        </w:rPr>
      </w:pPr>
      <w:bookmarkStart w:id="42" w:name="_Toc23319"/>
      <w:bookmarkStart w:id="43" w:name="_Toc29640"/>
      <w:r>
        <w:rPr>
          <w:rFonts w:hint="eastAsia" w:ascii="方正仿宋_GB2312" w:hAnsi="方正仿宋_GB2312" w:eastAsia="方正仿宋_GB2312" w:cs="方正仿宋_GB2312"/>
          <w:sz w:val="36"/>
          <w:szCs w:val="36"/>
        </w:rPr>
        <w:t>第二章  采购需求</w:t>
      </w:r>
      <w:bookmarkEnd w:id="42"/>
      <w:bookmarkEnd w:id="43"/>
    </w:p>
    <w:p>
      <w:pPr>
        <w:autoSpaceDE w:val="0"/>
        <w:autoSpaceDN w:val="0"/>
        <w:adjustRightInd w:val="0"/>
        <w:snapToGrid w:val="0"/>
        <w:spacing w:before="24" w:beforeLines="10" w:line="360" w:lineRule="auto"/>
        <w:ind w:firstLine="482" w:firstLineChars="200"/>
        <w:textAlignment w:val="bottom"/>
        <w:rPr>
          <w:rFonts w:hint="eastAsia" w:ascii="方正仿宋_GB2312" w:hAnsi="方正仿宋_GB2312" w:eastAsia="方正仿宋_GB2312" w:cs="方正仿宋_GB2312"/>
          <w:b/>
          <w:kern w:val="44"/>
          <w:sz w:val="24"/>
          <w:lang w:eastAsia="zh-CN"/>
        </w:rPr>
      </w:pPr>
      <w:r>
        <w:rPr>
          <w:rFonts w:hint="eastAsia" w:ascii="方正仿宋_GB2312" w:hAnsi="方正仿宋_GB2312" w:eastAsia="方正仿宋_GB2312" w:cs="方正仿宋_GB2312"/>
          <w:b/>
          <w:sz w:val="24"/>
        </w:rPr>
        <w:t>项目编号：</w:t>
      </w:r>
      <w:r>
        <w:rPr>
          <w:rFonts w:hint="eastAsia" w:ascii="方正仿宋_GB2312" w:hAnsi="方正仿宋_GB2312" w:eastAsia="方正仿宋_GB2312" w:cs="方正仿宋_GB2312"/>
          <w:b/>
          <w:sz w:val="24"/>
          <w:lang w:eastAsia="zh-CN"/>
        </w:rPr>
        <w:t>建湖【2024】采003号</w:t>
      </w:r>
    </w:p>
    <w:p>
      <w:pPr>
        <w:autoSpaceDE w:val="0"/>
        <w:autoSpaceDN w:val="0"/>
        <w:adjustRightInd w:val="0"/>
        <w:snapToGrid w:val="0"/>
        <w:spacing w:before="24" w:beforeLines="10" w:line="360" w:lineRule="auto"/>
        <w:ind w:firstLine="482" w:firstLineChars="200"/>
        <w:textAlignment w:val="bottom"/>
        <w:rPr>
          <w:rFonts w:ascii="方正仿宋_GB2312" w:hAnsi="方正仿宋_GB2312" w:eastAsia="方正仿宋_GB2312" w:cs="方正仿宋_GB2312"/>
          <w:b/>
          <w:w w:val="95"/>
          <w:sz w:val="24"/>
        </w:rPr>
      </w:pPr>
      <w:r>
        <w:rPr>
          <w:rFonts w:hint="eastAsia" w:ascii="方正仿宋_GB2312" w:hAnsi="方正仿宋_GB2312" w:eastAsia="方正仿宋_GB2312" w:cs="方正仿宋_GB2312"/>
          <w:b/>
          <w:kern w:val="44"/>
          <w:sz w:val="24"/>
        </w:rPr>
        <w:t>项目名称：</w:t>
      </w:r>
      <w:r>
        <w:rPr>
          <w:rFonts w:hint="eastAsia" w:ascii="方正仿宋_GB2312" w:hAnsi="方正仿宋_GB2312" w:eastAsia="方正仿宋_GB2312" w:cs="方正仿宋_GB2312"/>
          <w:b/>
          <w:w w:val="95"/>
          <w:sz w:val="24"/>
        </w:rPr>
        <w:t>湖州市医疗保障局疾病相关分组（DRGS）结合点数法医保支付专业化服务项目</w:t>
      </w:r>
    </w:p>
    <w:p>
      <w:pPr>
        <w:autoSpaceDE w:val="0"/>
        <w:autoSpaceDN w:val="0"/>
        <w:adjustRightInd w:val="0"/>
        <w:snapToGrid w:val="0"/>
        <w:spacing w:before="24" w:beforeLines="10" w:line="360" w:lineRule="auto"/>
        <w:ind w:firstLine="482" w:firstLineChars="200"/>
        <w:textAlignment w:val="bottom"/>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采购预算：</w:t>
      </w:r>
      <w:r>
        <w:rPr>
          <w:rFonts w:hint="eastAsia" w:ascii="方正仿宋_GB2312" w:hAnsi="方正仿宋_GB2312" w:eastAsia="方正仿宋_GB2312" w:cs="方正仿宋_GB2312"/>
          <w:b/>
          <w:sz w:val="24"/>
          <w:lang w:val="en-US" w:eastAsia="zh-CN"/>
        </w:rPr>
        <w:t>645.01</w:t>
      </w:r>
      <w:r>
        <w:rPr>
          <w:rFonts w:hint="eastAsia" w:ascii="方正仿宋_GB2312" w:hAnsi="方正仿宋_GB2312" w:eastAsia="方正仿宋_GB2312" w:cs="方正仿宋_GB2312"/>
          <w:b/>
          <w:sz w:val="24"/>
        </w:rPr>
        <w:t>万元</w:t>
      </w:r>
    </w:p>
    <w:p>
      <w:pPr>
        <w:autoSpaceDE w:val="0"/>
        <w:autoSpaceDN w:val="0"/>
        <w:adjustRightInd w:val="0"/>
        <w:snapToGrid w:val="0"/>
        <w:spacing w:before="24" w:beforeLines="10" w:line="360" w:lineRule="auto"/>
        <w:ind w:firstLine="482" w:firstLineChars="200"/>
        <w:textAlignment w:val="bottom"/>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分地区分年度服务费预算</w:t>
      </w:r>
    </w:p>
    <w:p>
      <w:pPr>
        <w:autoSpaceDE w:val="0"/>
        <w:autoSpaceDN w:val="0"/>
        <w:adjustRightInd w:val="0"/>
        <w:snapToGrid w:val="0"/>
        <w:spacing w:before="24" w:beforeLines="10" w:line="360" w:lineRule="auto"/>
        <w:ind w:firstLine="482" w:firstLineChars="200"/>
        <w:textAlignment w:val="bottom"/>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服务预算总额为</w:t>
      </w:r>
      <w:r>
        <w:rPr>
          <w:rFonts w:hint="eastAsia" w:ascii="方正仿宋_GB2312" w:hAnsi="方正仿宋_GB2312" w:eastAsia="方正仿宋_GB2312" w:cs="方正仿宋_GB2312"/>
          <w:b/>
          <w:sz w:val="24"/>
          <w:lang w:val="en-US" w:eastAsia="zh-CN"/>
        </w:rPr>
        <w:t>645.01</w:t>
      </w:r>
      <w:r>
        <w:rPr>
          <w:rFonts w:hint="eastAsia" w:ascii="方正仿宋_GB2312" w:hAnsi="方正仿宋_GB2312" w:eastAsia="方正仿宋_GB2312" w:cs="方正仿宋_GB2312"/>
          <w:b/>
          <w:sz w:val="24"/>
        </w:rPr>
        <w:t>万元。具体为：其中市本级</w:t>
      </w:r>
      <w:r>
        <w:rPr>
          <w:rFonts w:hint="eastAsia" w:ascii="方正仿宋_GB2312" w:hAnsi="方正仿宋_GB2312" w:eastAsia="方正仿宋_GB2312" w:cs="方正仿宋_GB2312"/>
          <w:b/>
          <w:sz w:val="24"/>
          <w:lang w:val="en-US" w:eastAsia="zh-CN"/>
        </w:rPr>
        <w:t>113.26</w:t>
      </w:r>
      <w:r>
        <w:rPr>
          <w:rFonts w:hint="eastAsia" w:ascii="方正仿宋_GB2312" w:hAnsi="方正仿宋_GB2312" w:eastAsia="方正仿宋_GB2312" w:cs="方正仿宋_GB2312"/>
          <w:b/>
          <w:sz w:val="24"/>
        </w:rPr>
        <w:t>万元</w:t>
      </w:r>
      <w:r>
        <w:rPr>
          <w:rFonts w:hint="eastAsia" w:ascii="方正仿宋_GB2312" w:hAnsi="方正仿宋_GB2312" w:eastAsia="方正仿宋_GB2312" w:cs="方正仿宋_GB2312"/>
          <w:b/>
          <w:sz w:val="24"/>
          <w:lang w:eastAsia="zh-CN"/>
        </w:rPr>
        <w:t>，</w:t>
      </w:r>
      <w:r>
        <w:rPr>
          <w:rFonts w:hint="eastAsia" w:ascii="方正仿宋_GB2312" w:hAnsi="方正仿宋_GB2312" w:eastAsia="方正仿宋_GB2312" w:cs="方正仿宋_GB2312"/>
          <w:b/>
          <w:sz w:val="24"/>
        </w:rPr>
        <w:t>长兴县</w:t>
      </w:r>
      <w:r>
        <w:rPr>
          <w:rFonts w:hint="eastAsia" w:ascii="方正仿宋_GB2312" w:hAnsi="方正仿宋_GB2312" w:eastAsia="方正仿宋_GB2312" w:cs="方正仿宋_GB2312"/>
          <w:b/>
          <w:sz w:val="24"/>
          <w:lang w:val="en-US" w:eastAsia="zh-CN"/>
        </w:rPr>
        <w:t>151.81</w:t>
      </w:r>
      <w:r>
        <w:rPr>
          <w:rFonts w:hint="eastAsia" w:ascii="方正仿宋_GB2312" w:hAnsi="方正仿宋_GB2312" w:eastAsia="方正仿宋_GB2312" w:cs="方正仿宋_GB2312"/>
          <w:b/>
          <w:sz w:val="24"/>
        </w:rPr>
        <w:t>万元</w:t>
      </w:r>
      <w:r>
        <w:rPr>
          <w:rFonts w:hint="eastAsia" w:ascii="方正仿宋_GB2312" w:hAnsi="方正仿宋_GB2312" w:eastAsia="方正仿宋_GB2312" w:cs="方正仿宋_GB2312"/>
          <w:b/>
          <w:sz w:val="24"/>
          <w:lang w:eastAsia="zh-CN"/>
        </w:rPr>
        <w:t>，</w:t>
      </w:r>
      <w:r>
        <w:rPr>
          <w:rFonts w:hint="eastAsia" w:ascii="方正仿宋_GB2312" w:hAnsi="方正仿宋_GB2312" w:eastAsia="方正仿宋_GB2312" w:cs="方正仿宋_GB2312"/>
          <w:b/>
          <w:sz w:val="24"/>
        </w:rPr>
        <w:t>安吉县120.63万元，德清县112.41万元，南浔区</w:t>
      </w:r>
      <w:r>
        <w:rPr>
          <w:rFonts w:hint="eastAsia" w:ascii="方正仿宋_GB2312" w:hAnsi="方正仿宋_GB2312" w:eastAsia="方正仿宋_GB2312" w:cs="方正仿宋_GB2312"/>
          <w:b/>
          <w:i w:val="0"/>
          <w:iCs w:val="0"/>
          <w:caps w:val="0"/>
          <w:color w:val="auto"/>
          <w:spacing w:val="0"/>
          <w:sz w:val="24"/>
          <w:szCs w:val="24"/>
        </w:rPr>
        <w:t>74.69</w:t>
      </w:r>
      <w:r>
        <w:rPr>
          <w:rFonts w:hint="eastAsia" w:ascii="方正仿宋_GB2312" w:hAnsi="方正仿宋_GB2312" w:eastAsia="方正仿宋_GB2312" w:cs="方正仿宋_GB2312"/>
          <w:b/>
          <w:sz w:val="24"/>
        </w:rPr>
        <w:t>万元，吴兴区</w:t>
      </w:r>
      <w:r>
        <w:rPr>
          <w:rFonts w:hint="eastAsia" w:ascii="方正仿宋_GB2312" w:hAnsi="方正仿宋_GB2312" w:eastAsia="方正仿宋_GB2312" w:cs="方正仿宋_GB2312"/>
          <w:b/>
          <w:sz w:val="24"/>
          <w:lang w:val="en-US" w:eastAsia="zh-CN"/>
        </w:rPr>
        <w:t>72.21</w:t>
      </w:r>
      <w:r>
        <w:rPr>
          <w:rFonts w:hint="eastAsia" w:ascii="方正仿宋_GB2312" w:hAnsi="方正仿宋_GB2312" w:eastAsia="方正仿宋_GB2312" w:cs="方正仿宋_GB2312"/>
          <w:b/>
          <w:sz w:val="24"/>
        </w:rPr>
        <w:t xml:space="preserve">万元。 </w:t>
      </w:r>
    </w:p>
    <w:p>
      <w:pPr>
        <w:pStyle w:val="6"/>
        <w:rPr>
          <w:rFonts w:ascii="方正仿宋_GB2312" w:hAnsi="方正仿宋_GB2312"/>
        </w:rPr>
      </w:pPr>
      <w:r>
        <w:rPr>
          <w:rFonts w:hint="eastAsia" w:ascii="方正仿宋_GB2312" w:hAnsi="方正仿宋_GB2312"/>
        </w:rPr>
        <w:t>一、</w:t>
      </w:r>
      <w:bookmarkStart w:id="44" w:name="_Toc128873813"/>
      <w:r>
        <w:rPr>
          <w:rFonts w:hint="eastAsia" w:ascii="方正仿宋_GB2312" w:hAnsi="方正仿宋_GB2312"/>
        </w:rPr>
        <w:t>项目概述</w:t>
      </w:r>
    </w:p>
    <w:p>
      <w:pPr>
        <w:pStyle w:val="56"/>
        <w:shd w:val="clear" w:color="auto" w:fill="FFFFFF"/>
        <w:spacing w:before="0" w:beforeAutospacing="0" w:after="0" w:afterAutospacing="0" w:line="560" w:lineRule="exact"/>
        <w:ind w:firstLine="420"/>
        <w:rPr>
          <w:rFonts w:ascii="方正仿宋_GB2312" w:hAnsi="方正仿宋_GB2312" w:eastAsia="方正仿宋_GB2312" w:cs="方正仿宋_GB2312"/>
          <w:kern w:val="2"/>
        </w:rPr>
      </w:pPr>
      <w:r>
        <w:rPr>
          <w:rFonts w:ascii="方正仿宋_GB2312" w:hAnsi="方正仿宋_GB2312" w:eastAsia="方正仿宋_GB2312" w:cs="方正仿宋_GB2312"/>
          <w:kern w:val="2"/>
        </w:rPr>
        <w:t>2017年6月20日国务院办公厅印发的《关于进一步深化基本医疗保险支付方式改革的指导意见》（国办发〔2017〕55号）</w:t>
      </w:r>
      <w:r>
        <w:rPr>
          <w:rFonts w:hint="eastAsia" w:ascii="方正仿宋_GB2312" w:hAnsi="方正仿宋_GB2312" w:eastAsia="方正仿宋_GB2312" w:cs="方正仿宋_GB2312"/>
          <w:kern w:val="2"/>
        </w:rPr>
        <w:t>和《</w:t>
      </w:r>
      <w:r>
        <w:rPr>
          <w:rStyle w:val="65"/>
          <w:rFonts w:hint="eastAsia" w:ascii="方正仿宋_GB2312" w:hAnsi="方正仿宋_GB2312" w:eastAsia="方正仿宋_GB2312" w:cs="方正仿宋_GB2312"/>
          <w:b w:val="0"/>
          <w:bCs w:val="0"/>
          <w:kern w:val="2"/>
        </w:rPr>
        <w:t>国家医疗保障局关于印发</w:t>
      </w:r>
      <w:r>
        <w:rPr>
          <w:rStyle w:val="65"/>
          <w:rFonts w:ascii="方正仿宋_GB2312" w:hAnsi="方正仿宋_GB2312" w:eastAsia="方正仿宋_GB2312" w:cs="方正仿宋_GB2312"/>
          <w:b w:val="0"/>
          <w:bCs w:val="0"/>
          <w:kern w:val="2"/>
        </w:rPr>
        <w:t>DRG/DIP</w:t>
      </w:r>
      <w:r>
        <w:rPr>
          <w:rStyle w:val="65"/>
          <w:rFonts w:hint="eastAsia" w:ascii="方正仿宋_GB2312" w:hAnsi="方正仿宋_GB2312" w:eastAsia="方正仿宋_GB2312" w:cs="方正仿宋_GB2312"/>
          <w:b w:val="0"/>
          <w:bCs w:val="0"/>
          <w:kern w:val="2"/>
          <w:lang w:eastAsia="zh-CN"/>
        </w:rPr>
        <w:t>支付</w:t>
      </w:r>
      <w:r>
        <w:rPr>
          <w:rFonts w:hint="eastAsia" w:ascii="方正仿宋_GB2312" w:hAnsi="方正仿宋_GB2312" w:eastAsia="方正仿宋_GB2312" w:cs="方正仿宋_GB2312"/>
          <w:kern w:val="2"/>
        </w:rPr>
        <w:t>方</w:t>
      </w:r>
      <w:r>
        <w:rPr>
          <w:rStyle w:val="65"/>
          <w:rFonts w:hint="eastAsia" w:ascii="方正仿宋_GB2312" w:hAnsi="方正仿宋_GB2312" w:eastAsia="方正仿宋_GB2312" w:cs="方正仿宋_GB2312"/>
          <w:b w:val="0"/>
          <w:bCs w:val="0"/>
          <w:kern w:val="2"/>
        </w:rPr>
        <w:t>式改革三年行动计划的通知</w:t>
      </w:r>
      <w:r>
        <w:rPr>
          <w:rFonts w:hint="eastAsia" w:ascii="方正仿宋_GB2312" w:hAnsi="方正仿宋_GB2312" w:eastAsia="方正仿宋_GB2312" w:cs="方正仿宋_GB2312"/>
          <w:kern w:val="2"/>
        </w:rPr>
        <w:t>》文件中要求</w:t>
      </w:r>
      <w:r>
        <w:rPr>
          <w:rFonts w:hint="eastAsia" w:ascii="方正仿宋_GB2312" w:hAnsi="方正仿宋_GB2312" w:eastAsia="方正仿宋_GB2312" w:cs="方正仿宋_GB2312"/>
        </w:rPr>
        <w:t>加快提升医保精细化管理水平，逐步将疾病诊断相关分组用于实际付费并扩大应用范围，同时医保支付要引入“点数法”，在确定的区域医保预算下，不再过度控制单家医院的医保额度，而是通过医院接诊量的变化计算点数来调控。另外，国家卫健委、财政部、发改委等多个部门均出台了相关文件，</w:t>
      </w:r>
      <w:r>
        <w:rPr>
          <w:rFonts w:hint="default" w:ascii="方正仿宋_GB2312" w:hAnsi="方正仿宋_GB2312" w:eastAsia="方正仿宋_GB2312" w:cs="方正仿宋_GB2312"/>
          <w:kern w:val="2"/>
        </w:rPr>
        <w:t>要求各地加强医保支付方式改革，探索符合地方实际的付费方式。</w:t>
      </w:r>
    </w:p>
    <w:p>
      <w:pPr>
        <w:pStyle w:val="56"/>
        <w:shd w:val="clear" w:color="auto" w:fill="FFFFFF"/>
        <w:spacing w:line="560" w:lineRule="exact"/>
        <w:ind w:firstLine="420"/>
        <w:rPr>
          <w:rFonts w:ascii="方正仿宋_GB2312" w:hAnsi="方正仿宋_GB2312" w:eastAsia="方正仿宋_GB2312" w:cs="方正仿宋_GB2312"/>
          <w:sz w:val="24"/>
        </w:rPr>
      </w:pPr>
      <w:r>
        <w:rPr>
          <w:rFonts w:hint="default" w:ascii="方正仿宋_GB2312" w:hAnsi="方正仿宋_GB2312" w:eastAsia="方正仿宋_GB2312" w:cs="方正仿宋_GB2312"/>
          <w:kern w:val="2"/>
          <w:sz w:val="24"/>
        </w:rPr>
        <w:t>湖州市医疗保障局发布了《湖州市基本医疗保险住院费用实施总额预算管理下按疾病诊断相关分组（DRGs）点数付费办法细则》（湖医保联发〔2019〕14号）、《湖州市基本医疗保险住院费用DRGs点数法付费相关政策》（湖医保联发〔2022〕2 号），要求在“以收定</w:t>
      </w:r>
      <w:r>
        <w:rPr>
          <w:rFonts w:hint="eastAsia" w:ascii="方正仿宋_GB2312" w:hAnsi="方正仿宋_GB2312" w:eastAsia="方正仿宋_GB2312" w:cs="方正仿宋_GB2312"/>
          <w:sz w:val="24"/>
        </w:rPr>
        <w:t>支、收支平衡、略有结余”的总额预算和“结余留用、超支分担”的责任共担机制下，湖州市实施统一分组、统一病组点数、统一同一机构差异系数下的DRG点数法付费方式改革，加强对相关政策落实情况和政策运行情况进行分析，加强针对DRG点数法付费诊疗行为监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本项目提供的服务，实现以DRG支付方式为主的多元复合支付方式在我市切实落地，成为医保基金治理、医疗机构管理的新基建；培养一批医保支付方式管理业务骨干，形成医保基金大数据监管决策、疾病分组精准付费、绩效考评指标量化、精细化治理的专业团队；建成一整套功能健全、全面闭环的DRG付费核心业务管理服务和持续优化机制；扎实达成国家医疗保障局三年行动方案目标，实现统筹区、医疗机构、DRG付费、基金监管、绩效考评、省统一DRG经办六项覆盖达标。</w:t>
      </w:r>
    </w:p>
    <w:p>
      <w:pPr>
        <w:pStyle w:val="6"/>
        <w:rPr>
          <w:rFonts w:ascii="方正仿宋_GB2312" w:hAnsi="方正仿宋_GB2312"/>
        </w:rPr>
      </w:pPr>
      <w:r>
        <w:rPr>
          <w:rFonts w:hint="eastAsia" w:ascii="方正仿宋_GB2312" w:hAnsi="方正仿宋_GB2312"/>
        </w:rPr>
        <w:t>二、项目目标</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基于国家局CHS-DRG分组技术规范和省级ZJ-DRG分组方案的支付方式改革要求，项目主要目标是通过引入专业化的服务，实现数据规范、精准付费、持续精进、监管完备为支付方式改革提供强有力的技术支撑，构建符合湖州市基本医疗保险基金现状及未来管理需要的整体化、专业化、智能化和精细化管理服务体系。激励医院加强医疗质量管理和引导医院主动控制成本，减少诱导性医疗费用消费，提高医保基金的使用效率，降低患者的医疗负担，促进医疗卫生事业可持续发展，实现医、保、患三方共赢。</w:t>
      </w:r>
    </w:p>
    <w:p>
      <w:pPr>
        <w:pStyle w:val="6"/>
        <w:rPr>
          <w:rFonts w:ascii="方正仿宋_GB2312" w:hAnsi="方正仿宋_GB2312"/>
        </w:rPr>
      </w:pPr>
      <w:r>
        <w:rPr>
          <w:rFonts w:hint="eastAsia" w:ascii="方正仿宋_GB2312" w:hAnsi="方正仿宋_GB2312"/>
        </w:rPr>
        <w:t>三、技术及服务要求</w:t>
      </w:r>
    </w:p>
    <w:p>
      <w:pPr>
        <w:pStyle w:val="7"/>
      </w:pPr>
      <w:r>
        <w:rPr>
          <w:rFonts w:hint="eastAsia"/>
        </w:rPr>
        <w:t>（一）提供历年基础数据标化服务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sz w:val="24"/>
          <w:lang w:eastAsia="zh-CN"/>
        </w:rPr>
        <w:t>协</w:t>
      </w:r>
      <w:r>
        <w:rPr>
          <w:rFonts w:hint="eastAsia" w:ascii="方正仿宋_GB2312" w:hAnsi="方正仿宋_GB2312" w:eastAsia="方正仿宋_GB2312" w:cs="方正仿宋_GB2312"/>
          <w:sz w:val="24"/>
        </w:rPr>
        <w:t>助医疗保障局开展历史结算清单、历史就诊数据和住院费用结算明细数据的收集；确保历史结算清单等数据与医保结算数据的匹配度和准确性。</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2、确保历史数据的可用性，包括</w:t>
      </w:r>
      <w:r>
        <w:rPr>
          <w:rFonts w:hint="eastAsia" w:ascii="方正仿宋_GB2312" w:hAnsi="方正仿宋_GB2312" w:eastAsia="方正仿宋_GB2312" w:cs="方正仿宋_GB2312"/>
          <w:color w:val="000000"/>
          <w:sz w:val="24"/>
        </w:rPr>
        <w:t>医疗保障基金结算清单</w:t>
      </w:r>
      <w:r>
        <w:rPr>
          <w:rFonts w:hint="eastAsia" w:ascii="方正仿宋_GB2312" w:hAnsi="方正仿宋_GB2312" w:eastAsia="方正仿宋_GB2312" w:cs="方正仿宋_GB2312"/>
          <w:sz w:val="24"/>
        </w:rPr>
        <w:t>质量、编码质量，保证数据分析模型的建立符合本地实际情况。</w:t>
      </w:r>
    </w:p>
    <w:p>
      <w:pPr>
        <w:pStyle w:val="7"/>
      </w:pPr>
      <w:r>
        <w:rPr>
          <w:rFonts w:hint="eastAsia"/>
        </w:rPr>
        <w:t>（二）提供医疗保障基金结算清单规范服务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根据《医疗保障基金结算清单填报规范》、《疾病诊断标准字典》和《手术与操作标准字典》，配合医疗保障局指导医疗机构开展医疗保障基金结算清单填报、质控等工作；负责本年度医疗机构上传医疗保障基金结算清单信息的审核和编码质量的控制；保证医疗机构上传信息符合省医保数据规范要求。</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2、建立长效医疗保障基金结算清单评估机制及定期督导检查制度：定期定量出具医疗保障基金结算清单填报质量分析报告。</w:t>
      </w:r>
    </w:p>
    <w:p>
      <w:pPr>
        <w:pStyle w:val="7"/>
      </w:pPr>
      <w:r>
        <w:rPr>
          <w:rFonts w:hint="eastAsia"/>
        </w:rPr>
        <w:t>（三）提供动态DRG付费标准调整服务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1、根据付费实际运行情况或医疗机构反映情况等，定期对各个病组和医疗机构付费系数合理性进行监测，并制定动态调整方案。（包括基准点数、差异系数、病组稳定性、倍率判定等）。</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2、根据历史费用数据计算DRG病组点数，并依托DRG病组医疗资源消耗提供病组点数合理化调整和优化的方案。</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3、DRG付费过程中，动态监控医保基金、医院运营及患者负担情况，为支付标准调整提供实际依据，并实现医疗服务价格与DRG付费标准的联动。</w:t>
      </w:r>
    </w:p>
    <w:p>
      <w:pPr>
        <w:pStyle w:val="7"/>
      </w:pPr>
      <w:r>
        <w:rPr>
          <w:rFonts w:hint="eastAsia"/>
        </w:rPr>
        <w:t>（四）提供DRG付费结算服务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1、根据浙江省医疗保障部门确定的分组标准，提供疾病分组、公示反馈、结算拨付等日常服务工作；配合医保做好费用结算和拨付工作。</w:t>
      </w:r>
    </w:p>
    <w:p>
      <w:pPr>
        <w:spacing w:line="360" w:lineRule="auto"/>
        <w:ind w:firstLine="480" w:firstLineChars="200"/>
        <w:rPr>
          <w:rFonts w:ascii="方正仿宋_GB2312" w:hAnsi="方正仿宋_GB2312" w:eastAsia="方正仿宋_GB2312" w:cs="方正仿宋_GB2312"/>
          <w:sz w:val="24"/>
        </w:rPr>
      </w:pPr>
      <w:r>
        <w:rPr>
          <w:rFonts w:ascii="方正仿宋_GB2312" w:hAnsi="方正仿宋_GB2312" w:eastAsia="方正仿宋_GB2312" w:cs="方正仿宋_GB2312"/>
          <w:sz w:val="24"/>
        </w:rPr>
        <w:t>2</w:t>
      </w:r>
      <w:r>
        <w:rPr>
          <w:rFonts w:hint="eastAsia" w:ascii="方正仿宋_GB2312" w:hAnsi="方正仿宋_GB2312" w:eastAsia="方正仿宋_GB2312" w:cs="方正仿宋_GB2312"/>
          <w:sz w:val="24"/>
        </w:rPr>
        <w:t>、提供对本年度住院结算病例的模拟测算，针对医疗机构进行DRG付费和按项目付费之间存在的差异、不同医疗机构之间存在的支付差异等进行分析，分析维度包括</w:t>
      </w:r>
      <w:r>
        <w:rPr>
          <w:rFonts w:hint="eastAsia" w:ascii="方正仿宋_GB2312" w:hAnsi="方正仿宋_GB2312" w:eastAsia="方正仿宋_GB2312" w:cs="方正仿宋_GB2312"/>
          <w:sz w:val="24"/>
          <w:lang w:eastAsia="zh-CN"/>
        </w:rPr>
        <w:t>但不限于</w:t>
      </w:r>
      <w:r>
        <w:rPr>
          <w:rFonts w:hint="eastAsia" w:ascii="方正仿宋_GB2312" w:hAnsi="方正仿宋_GB2312" w:eastAsia="方正仿宋_GB2312" w:cs="方正仿宋_GB2312"/>
          <w:sz w:val="24"/>
        </w:rPr>
        <w:t>单个医院、等级医院的费用构成和整体基金运行情况</w:t>
      </w:r>
      <w:r>
        <w:rPr>
          <w:rFonts w:hint="eastAsia" w:ascii="方正仿宋_GB2312" w:hAnsi="方正仿宋_GB2312" w:eastAsia="方正仿宋_GB2312" w:cs="方正仿宋_GB2312"/>
          <w:sz w:val="24"/>
          <w:lang w:eastAsia="zh-CN"/>
        </w:rPr>
        <w:t>等</w:t>
      </w:r>
      <w:r>
        <w:rPr>
          <w:rFonts w:hint="eastAsia" w:ascii="方正仿宋_GB2312" w:hAnsi="方正仿宋_GB2312" w:eastAsia="方正仿宋_GB2312" w:cs="方正仿宋_GB2312"/>
          <w:sz w:val="24"/>
        </w:rPr>
        <w:t>并形成模拟决策分析报告。</w:t>
      </w:r>
    </w:p>
    <w:p>
      <w:pPr>
        <w:spacing w:line="360" w:lineRule="auto"/>
        <w:ind w:firstLine="480" w:firstLineChars="200"/>
        <w:rPr>
          <w:rFonts w:ascii="方正仿宋_GB2312" w:hAnsi="方正仿宋_GB2312" w:eastAsia="方正仿宋_GB2312" w:cs="方正仿宋_GB2312"/>
          <w:sz w:val="24"/>
        </w:rPr>
      </w:pPr>
      <w:r>
        <w:rPr>
          <w:rFonts w:ascii="方正仿宋_GB2312" w:hAnsi="方正仿宋_GB2312" w:eastAsia="方正仿宋_GB2312" w:cs="方正仿宋_GB2312"/>
          <w:sz w:val="24"/>
        </w:rPr>
        <w:t>3</w:t>
      </w:r>
      <w:r>
        <w:rPr>
          <w:rFonts w:hint="eastAsia" w:ascii="方正仿宋_GB2312" w:hAnsi="方正仿宋_GB2312" w:eastAsia="方正仿宋_GB2312" w:cs="方正仿宋_GB2312"/>
          <w:sz w:val="24"/>
        </w:rPr>
        <w:t>、根据月度预付政策实现医疗机构月度基金预拨付，针对每月住院结算病例进行审核，运用人工和计算机的数据分析手段对分组结果进行筛查。对费用异常病例进行人工病历审查，从临床专业角度得出该病历费用、分组是否合理的建议，便于医保部门作出合理支付的决策。提供医疗费用审核规则，并不断完善。</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4、根据全年总额预算、住院基金支出、项目结算、按DRG分组付费、点数、点值、重点病组、医疗机构盈亏等数据情况，实现DRG付费清结算，并形成统筹区运行清结算总结</w:t>
      </w:r>
      <w:r>
        <w:rPr>
          <w:rFonts w:hint="eastAsia" w:ascii="方正仿宋_GB2312" w:hAnsi="方正仿宋_GB2312" w:eastAsia="方正仿宋_GB2312" w:cs="方正仿宋_GB2312"/>
          <w:sz w:val="24"/>
          <w:lang w:eastAsia="zh-CN"/>
        </w:rPr>
        <w:t>分析报告</w:t>
      </w:r>
      <w:r>
        <w:rPr>
          <w:rFonts w:hint="eastAsia" w:ascii="方正仿宋_GB2312" w:hAnsi="方正仿宋_GB2312" w:eastAsia="方正仿宋_GB2312" w:cs="方正仿宋_GB2312"/>
          <w:sz w:val="24"/>
        </w:rPr>
        <w:t>。</w:t>
      </w:r>
    </w:p>
    <w:p>
      <w:pPr>
        <w:spacing w:line="360" w:lineRule="auto"/>
        <w:ind w:firstLine="480" w:firstLineChars="200"/>
        <w:rPr>
          <w:rFonts w:ascii="方正仿宋_GB2312" w:hAnsi="方正仿宋_GB2312" w:eastAsia="方正仿宋_GB2312" w:cs="方正仿宋_GB2312"/>
          <w:sz w:val="24"/>
        </w:rPr>
      </w:pPr>
      <w:r>
        <w:rPr>
          <w:rFonts w:ascii="方正仿宋_GB2312" w:hAnsi="方正仿宋_GB2312" w:eastAsia="方正仿宋_GB2312" w:cs="方正仿宋_GB2312"/>
          <w:sz w:val="24"/>
        </w:rPr>
        <w:t>5</w:t>
      </w:r>
      <w:r>
        <w:rPr>
          <w:rFonts w:hint="eastAsia" w:ascii="方正仿宋_GB2312" w:hAnsi="方正仿宋_GB2312" w:eastAsia="方正仿宋_GB2312" w:cs="方正仿宋_GB2312"/>
          <w:sz w:val="24"/>
        </w:rPr>
        <w:t>、依据月度与年度清算方案，出具月度、年度结算分析报告。配合医疗保障局完成特病单议病例不合理费用的初审、复审工作，形成特病单议情况分析报告，配合医疗保障局完成特病单议病例专家评审工作。</w:t>
      </w:r>
    </w:p>
    <w:p>
      <w:pPr>
        <w:pStyle w:val="7"/>
      </w:pPr>
      <w:r>
        <w:rPr>
          <w:rFonts w:hint="eastAsia"/>
        </w:rPr>
        <w:t>（五）提供大数据统计与分析服务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1、按月对分组结果的准确性、合理性进行分析、筛查、对费用可能存在异常的病例进行统计，辅助医疗保障局进行筛查工作。</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2、对区域医疗机构的医疗质量、医疗行为、服务量的变化情况，以及参保人的负担情况等方面</w:t>
      </w:r>
      <w:r>
        <w:rPr>
          <w:rFonts w:hint="eastAsia" w:ascii="方正仿宋_GB2312" w:hAnsi="方正仿宋_GB2312" w:eastAsia="方正仿宋_GB2312" w:cs="方正仿宋_GB2312"/>
          <w:sz w:val="24"/>
          <w:lang w:eastAsia="zh-CN"/>
        </w:rPr>
        <w:t>构建</w:t>
      </w:r>
      <w:r>
        <w:rPr>
          <w:rFonts w:hint="eastAsia" w:ascii="方正仿宋_GB2312" w:hAnsi="方正仿宋_GB2312" w:eastAsia="方正仿宋_GB2312" w:cs="方正仿宋_GB2312"/>
          <w:sz w:val="24"/>
        </w:rPr>
        <w:t>指标</w:t>
      </w:r>
      <w:r>
        <w:rPr>
          <w:rFonts w:hint="eastAsia" w:ascii="方正仿宋_GB2312" w:hAnsi="方正仿宋_GB2312" w:eastAsia="方正仿宋_GB2312" w:cs="方正仿宋_GB2312"/>
          <w:sz w:val="24"/>
          <w:lang w:eastAsia="zh-CN"/>
        </w:rPr>
        <w:t>体系</w:t>
      </w:r>
      <w:r>
        <w:rPr>
          <w:rFonts w:hint="eastAsia" w:ascii="方正仿宋_GB2312" w:hAnsi="方正仿宋_GB2312" w:eastAsia="方正仿宋_GB2312" w:cs="方正仿宋_GB2312"/>
          <w:sz w:val="24"/>
        </w:rPr>
        <w:t>进行分析，并给出相应分析结论。</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3、建立针对医疗费用、医疗效率等维度的管理指标，提供通过大数据分析合理引导医疗机构提升效率、优化成本，在支付方式改革的作用下推动优质诊疗、合理诊疗的服务。</w:t>
      </w:r>
    </w:p>
    <w:p>
      <w:pPr>
        <w:pStyle w:val="7"/>
      </w:pPr>
      <w:r>
        <w:rPr>
          <w:rFonts w:hint="eastAsia"/>
        </w:rPr>
        <w:t>（六）提供绩效考核评价服务</w:t>
      </w:r>
    </w:p>
    <w:p>
      <w:pPr>
        <w:spacing w:line="360" w:lineRule="auto"/>
        <w:ind w:firstLine="480" w:firstLineChars="200"/>
        <w:rPr>
          <w:rFonts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全面展现评价统筹区内各个医疗机构的整体情况。主要包括医疗服务能力、医疗服务效率、医疗服务费用、医疗服务质效等方面。</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1、医疗服务能力评价：</w:t>
      </w:r>
      <w:r>
        <w:rPr>
          <w:rFonts w:hint="eastAsia" w:ascii="方正仿宋_GB2312" w:hAnsi="方正仿宋_GB2312" w:eastAsia="方正仿宋_GB2312" w:cs="方正仿宋_GB2312"/>
          <w:sz w:val="24"/>
        </w:rPr>
        <w:t>基于DRG组数、入组率、CMI指标、总权重、转诊率指标，综合分析区域和医院的服务产出能力和上下转诊能力；通过全市疾病分组情况对DRG和ADRG缺失专业给予政策性调整和学科建设支持。</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2、医疗服务效率评价：</w:t>
      </w:r>
      <w:r>
        <w:rPr>
          <w:rFonts w:hint="eastAsia" w:ascii="方正仿宋_GB2312" w:hAnsi="方正仿宋_GB2312" w:eastAsia="方正仿宋_GB2312" w:cs="方正仿宋_GB2312"/>
          <w:sz w:val="24"/>
        </w:rPr>
        <w:t>基于时间消耗指数、费用消耗指数、平均住院日、人次人头比、二次入院等指标，对全市医疗机构的医疗资源消耗、重复住院等情况进行重点考核。</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3、医疗服务费用评价：</w:t>
      </w:r>
      <w:r>
        <w:rPr>
          <w:rFonts w:hint="eastAsia" w:ascii="方正仿宋_GB2312" w:hAnsi="方正仿宋_GB2312" w:eastAsia="方正仿宋_GB2312" w:cs="方正仿宋_GB2312"/>
          <w:sz w:val="24"/>
        </w:rPr>
        <w:t>基于例均费用指标、费用结构、医疗服务收入占比、药占比、耗占比、项目结算、个人负担、DRG付费标准等指标，综合分析区域和医院的例均费用变化状况进行综合考评。</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4、医疗服务质效评价：</w:t>
      </w:r>
      <w:r>
        <w:rPr>
          <w:rFonts w:hint="eastAsia" w:ascii="方正仿宋_GB2312" w:hAnsi="方正仿宋_GB2312" w:eastAsia="方正仿宋_GB2312" w:cs="方正仿宋_GB2312"/>
          <w:sz w:val="24"/>
        </w:rPr>
        <w:t>对实行按DRG付费的医院患者住院费用支出进行分析，评价支付方式改革带来的实际效果，对医保基金结算清单质量、医保报销比例、按DRG付费的病组范围、支付标准的调整提供数据依据，保证患者权益。</w:t>
      </w:r>
    </w:p>
    <w:p>
      <w:pPr>
        <w:pStyle w:val="7"/>
      </w:pPr>
      <w:r>
        <w:rPr>
          <w:rFonts w:hint="eastAsia"/>
        </w:rPr>
        <w:t>（七）提供基于DRG的监管服务</w:t>
      </w:r>
    </w:p>
    <w:p>
      <w:pPr>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DRG分组的基础上，依托大数据技术，利用诊疗路径分析、违规行为画像、智识库对比还原、违规风险分级等模型，在智识库基础上对本地历史就诊病历的海量、全过程的医疗服务数据进行二次分析、挖掘、训练，从而</w:t>
      </w:r>
      <w:r>
        <w:rPr>
          <w:rFonts w:hint="eastAsia" w:ascii="方正仿宋_GB2312" w:hAnsi="方正仿宋_GB2312" w:eastAsia="方正仿宋_GB2312" w:cs="方正仿宋_GB2312"/>
          <w:color w:val="000000"/>
          <w:sz w:val="24"/>
          <w:lang w:eastAsia="zh-CN"/>
        </w:rPr>
        <w:t>协</w:t>
      </w:r>
      <w:r>
        <w:rPr>
          <w:rFonts w:hint="eastAsia" w:ascii="方正仿宋_GB2312" w:hAnsi="方正仿宋_GB2312" w:eastAsia="方正仿宋_GB2312" w:cs="方正仿宋_GB2312"/>
          <w:color w:val="000000"/>
          <w:sz w:val="24"/>
        </w:rPr>
        <w:t>助医保管理部门不断提升诊疗路径精准度及覆盖面，完善优化智库规则，促进基金监管提质增效。</w:t>
      </w:r>
    </w:p>
    <w:p>
      <w:pPr>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建立数据挖掘模型：基于对疾病历史就诊数据的大数据分析，根据疾病群落划分挖掘出诊疗路径，同时根据监管条例提出的分级分类管理的策略，挖掘异常医疗行为疑点病例。数据挖掘模型包括诊疗路径分析模型、违规行为画像模型、智识库对比还原模型以及违规风险分级模型。</w:t>
      </w:r>
    </w:p>
    <w:p>
      <w:pPr>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建立疑点违规模型：按照基金监管条例和地方协议要求，深入分析理解，发现隐藏在数据背后的不合法、不合规、不合理的医疗违规行为，研发对不同类型医疗机构、不同监管对象、不同支付方式下的低标入院、分解住院、过度诊疗、费用转嫁、低码高靠、降低服务质量、重症推诿等疑点画像。具体包括低码高靠画像、过度诊疗画像、服务不足画像、异常住院画像、费用转嫁画像。</w:t>
      </w:r>
    </w:p>
    <w:p>
      <w:pPr>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3、建立日常行为监管机制：运用大数据计算，对出院病例对ICD编码合理性、医疗服务充分性、付费合理性进行审核。以此来避免高编码、服务不足、分解住院、降低入出院标准等违规行为。</w:t>
      </w:r>
    </w:p>
    <w:p>
      <w:pPr>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提供医保辅助决策支撑：通过与智识库标准横向、纵向对比同一病组在治疗方式选择上的差异，反哺入组合理性、支付标准合理性及时发现医疗行为异化，对于扶持疑难、危重、中医、高新诊疗技术开展给予数据支撑和政策支持。</w:t>
      </w:r>
    </w:p>
    <w:p>
      <w:pPr>
        <w:pStyle w:val="7"/>
      </w:pPr>
      <w:r>
        <w:rPr>
          <w:rFonts w:hint="eastAsia"/>
        </w:rPr>
        <w:t>（八）提供本地化专家服务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1、辅助建立本地化专家评审团队，对分组方案和支付标准提出优化的建议，辅助标准合理性</w:t>
      </w:r>
      <w:r>
        <w:rPr>
          <w:rFonts w:hint="eastAsia" w:ascii="方正仿宋_GB2312" w:hAnsi="方正仿宋_GB2312" w:eastAsia="方正仿宋_GB2312" w:cs="方正仿宋_GB2312"/>
          <w:sz w:val="24"/>
          <w:lang w:eastAsia="zh-CN"/>
        </w:rPr>
        <w:t>地</w:t>
      </w:r>
      <w:r>
        <w:rPr>
          <w:rFonts w:hint="eastAsia" w:ascii="方正仿宋_GB2312" w:hAnsi="方正仿宋_GB2312" w:eastAsia="方正仿宋_GB2312" w:cs="方正仿宋_GB2312"/>
          <w:sz w:val="24"/>
        </w:rPr>
        <w:t>不断提升。</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2、按照国家医疗保障局医疗保障标准，对湖州市医疗保障局相关业务单位、医疗机构进行ICD-10和ICD-9-CM-3两大编码体系的培训，统一诊断名称书写规范、统一编码扩展规则，统一主要诊断选择规则。</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3、定期组织医疗机构进行医疗保障基金结算清单各数据项填写规范性等内容的培训，提升全市数据质量水平。</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4、辅助组织本地专家团队对违规病例、高编码、不合理诊疗、不合理用药、分解住院、不合理入院等问题进行交叉检查和特病单议。</w:t>
      </w:r>
    </w:p>
    <w:p>
      <w:pPr>
        <w:pStyle w:val="7"/>
      </w:pPr>
      <w:r>
        <w:rPr>
          <w:rFonts w:hint="eastAsia"/>
        </w:rPr>
        <w:t>（九）提供与浙江省智慧医保平台的对接服务</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1、配合完成浙江省智慧医保平台的DRG测试服务，按照省级DRG数据标准统一、业务流程统一的原则，将湖州市全套DRG总额预算、分组、支付标准、计算规则移植到省DRG基版平台，做好数据质控和验证；</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配合完成DRG平台业务功能的配置测试主要包括：DRG预算管理、DRG地方支付方案维护、DRG医疗机构月度结算、DRG医疗机构费用清算、DRG医疗机构考核管理、医疗保障基金结算清单质控、医疗机构付费配置业务应用，同时对湖州市医疗保障局相关业务处室提供培训服务。</w:t>
      </w:r>
      <w:bookmarkEnd w:id="44"/>
    </w:p>
    <w:p>
      <w:pPr>
        <w:pStyle w:val="7"/>
        <w:spacing w:line="360" w:lineRule="auto"/>
        <w:ind w:firstLine="562" w:firstLineChars="200"/>
        <w:rPr>
          <w:rFonts w:hint="default" w:ascii="Times New Roman" w:hAnsi="Times New Roman" w:eastAsia="方正仿宋_GB2312" w:cs="Times New Roman"/>
          <w:sz w:val="28"/>
          <w:lang w:val="en" w:eastAsia="zh-CN"/>
        </w:rPr>
      </w:pPr>
      <w:r>
        <w:rPr>
          <w:rFonts w:hint="eastAsia" w:ascii="Times New Roman" w:hAnsi="Times New Roman" w:eastAsia="方正仿宋_GB2312" w:cs="Times New Roman"/>
          <w:sz w:val="28"/>
          <w:lang w:eastAsia="zh-CN"/>
        </w:rPr>
        <w:t>（十）其他</w:t>
      </w:r>
      <w:r>
        <w:rPr>
          <w:rFonts w:hint="eastAsia" w:cs="Times New Roman"/>
          <w:sz w:val="28"/>
          <w:lang w:eastAsia="zh-CN"/>
        </w:rPr>
        <w:t>需求</w:t>
      </w:r>
    </w:p>
    <w:p>
      <w:pPr>
        <w:spacing w:line="360" w:lineRule="auto"/>
        <w:ind w:firstLine="480" w:firstLineChars="200"/>
        <w:rPr>
          <w:rFonts w:hint="default" w:ascii="方正仿宋_GB2312" w:hAnsi="方正仿宋_GB2312" w:eastAsia="方正仿宋_GB2312" w:cs="方正仿宋_GB2312"/>
          <w:sz w:val="24"/>
          <w:lang w:val="en" w:eastAsia="zh-CN"/>
        </w:rPr>
      </w:pPr>
      <w:r>
        <w:rPr>
          <w:rFonts w:hint="eastAsia" w:ascii="方正仿宋_GB2312" w:hAnsi="方正仿宋_GB2312" w:eastAsia="方正仿宋_GB2312" w:cs="方正仿宋_GB2312"/>
          <w:sz w:val="24"/>
          <w:lang w:eastAsia="zh-CN"/>
        </w:rPr>
        <w:t>投标供应商需配合完成采购人根据上级决策部署和本地工作实际临时性增加的基于按疾病诊断分组（</w:t>
      </w:r>
      <w:r>
        <w:rPr>
          <w:rFonts w:hint="default" w:ascii="方正仿宋_GB2312" w:hAnsi="方正仿宋_GB2312" w:eastAsia="方正仿宋_GB2312" w:cs="方正仿宋_GB2312"/>
          <w:sz w:val="24"/>
          <w:lang w:val="en" w:eastAsia="zh-CN"/>
        </w:rPr>
        <w:t>DRG)</w:t>
      </w:r>
      <w:r>
        <w:rPr>
          <w:rFonts w:hint="eastAsia" w:ascii="方正仿宋_GB2312" w:hAnsi="方正仿宋_GB2312" w:eastAsia="方正仿宋_GB2312" w:cs="方正仿宋_GB2312"/>
          <w:sz w:val="24"/>
          <w:lang w:val="en" w:eastAsia="zh-CN"/>
        </w:rPr>
        <w:t>结合点数法付费的其他相关工作。</w:t>
      </w:r>
    </w:p>
    <w:p>
      <w:pPr>
        <w:pStyle w:val="6"/>
        <w:rPr>
          <w:rFonts w:ascii="方正仿宋_GB2312" w:hAnsi="方正仿宋_GB2312"/>
        </w:rPr>
      </w:pPr>
      <w:r>
        <w:rPr>
          <w:rFonts w:hint="eastAsia" w:ascii="方正仿宋_GB2312" w:hAnsi="方正仿宋_GB2312"/>
        </w:rPr>
        <w:t>四、服务要求</w:t>
      </w:r>
    </w:p>
    <w:p>
      <w:pPr>
        <w:pStyle w:val="7"/>
      </w:pPr>
      <w:r>
        <w:rPr>
          <w:rFonts w:hint="eastAsia"/>
        </w:rPr>
        <w:t>（一）服务周期及要求</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本项目服务周期</w:t>
      </w:r>
      <w:r>
        <w:rPr>
          <w:rFonts w:ascii="方正仿宋_GB2312" w:hAnsi="方正仿宋_GB2312" w:eastAsia="方正仿宋_GB2312" w:cs="方正仿宋_GB2312"/>
          <w:sz w:val="24"/>
        </w:rPr>
        <w:t>3年</w:t>
      </w:r>
      <w:r>
        <w:rPr>
          <w:rFonts w:hint="eastAsia" w:ascii="方正仿宋_GB2312" w:hAnsi="方正仿宋_GB2312" w:eastAsia="方正仿宋_GB2312" w:cs="方正仿宋_GB2312"/>
          <w:sz w:val="24"/>
          <w:lang w:eastAsia="zh-CN"/>
        </w:rPr>
        <w:t>，服务合同一年一签</w:t>
      </w:r>
      <w:r>
        <w:rPr>
          <w:rFonts w:hint="eastAsia" w:ascii="方正仿宋_GB2312" w:hAnsi="方正仿宋_GB2312" w:eastAsia="方正仿宋_GB2312" w:cs="方正仿宋_GB2312"/>
          <w:sz w:val="24"/>
        </w:rPr>
        <w:t>。</w:t>
      </w:r>
    </w:p>
    <w:p>
      <w:pPr>
        <w:pStyle w:val="7"/>
      </w:pPr>
      <w:bookmarkStart w:id="45" w:name="_Toc44244567"/>
      <w:r>
        <w:rPr>
          <w:rFonts w:hint="eastAsia"/>
        </w:rPr>
        <w:t>（二）服务人员要求</w:t>
      </w:r>
      <w:bookmarkEnd w:id="45"/>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本项目专业服务人员要求条件：</w:t>
      </w:r>
    </w:p>
    <w:p>
      <w:pPr>
        <w:widowControl/>
        <w:spacing w:line="360" w:lineRule="auto"/>
        <w:ind w:firstLine="480" w:firstLineChars="200"/>
        <w:jc w:val="left"/>
        <w:rPr>
          <w:rFonts w:ascii="方正仿宋_GB2312" w:hAnsi="方正仿宋_GB2312" w:eastAsia="方正仿宋_GB2312" w:cs="方正仿宋_GB2312"/>
          <w:sz w:val="24"/>
        </w:rPr>
      </w:pPr>
      <w:r>
        <w:rPr>
          <w:rFonts w:ascii="方正仿宋_GB2312" w:hAnsi="方正仿宋_GB2312" w:eastAsia="方正仿宋_GB2312" w:cs="方正仿宋_GB2312"/>
          <w:sz w:val="24"/>
        </w:rPr>
        <w:t>1</w:t>
      </w:r>
      <w:r>
        <w:rPr>
          <w:rFonts w:hint="eastAsia" w:ascii="方正仿宋_GB2312" w:hAnsi="方正仿宋_GB2312" w:eastAsia="方正仿宋_GB2312" w:cs="方正仿宋_GB2312"/>
          <w:sz w:val="24"/>
        </w:rPr>
        <w:t>、中标方应为本项目提供的服务人员不少于</w:t>
      </w:r>
      <w:r>
        <w:rPr>
          <w:rFonts w:ascii="方正仿宋_GB2312" w:hAnsi="方正仿宋_GB2312" w:eastAsia="方正仿宋_GB2312" w:cs="方正仿宋_GB2312"/>
          <w:sz w:val="24"/>
        </w:rPr>
        <w:t>5</w:t>
      </w:r>
      <w:r>
        <w:rPr>
          <w:rFonts w:hint="eastAsia" w:ascii="方正仿宋_GB2312" w:hAnsi="方正仿宋_GB2312" w:eastAsia="方正仿宋_GB2312" w:cs="方正仿宋_GB2312"/>
          <w:sz w:val="24"/>
        </w:rPr>
        <w:t>人（全日制本科及以上学历）的长期驻场人员，专业包括：临床医学、药学、统计学、计算机类等相关专业，在本项目服务周期内须根据采购方要求提供驻场服务，服从采购方安排。项目组成人员要求具有医保DRG项目建设及服务经验。（提供服务人员名单、学历证书及</w:t>
      </w:r>
      <w:r>
        <w:rPr>
          <w:rFonts w:hint="eastAsia" w:ascii="方正仿宋_GB2312" w:hAnsi="方正仿宋_GB2312" w:eastAsia="方正仿宋_GB2312" w:cs="方正仿宋_GB2312"/>
          <w:sz w:val="24"/>
          <w:lang w:eastAsia="zh-CN"/>
        </w:rPr>
        <w:t>投标供应商</w:t>
      </w:r>
      <w:r>
        <w:rPr>
          <w:rFonts w:hint="eastAsia" w:ascii="方正仿宋_GB2312" w:hAnsi="方正仿宋_GB2312" w:eastAsia="方正仿宋_GB2312" w:cs="方正仿宋_GB2312"/>
          <w:sz w:val="24"/>
        </w:rPr>
        <w:t>为其缴纳的社保证明，不提供则作无效标处理）</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除长期驻场人员外，中标方还需提供短期驻场及远程服务专业人员在基金模型搭建、基金决算、病案数据挖掘分析、培训工作、系统开发、病例审查、临床知识库维护、指标规则库维护、疾病分组专业解答等工作中给予日常专业支持。该类服务人员需配备不少于1</w:t>
      </w:r>
      <w:r>
        <w:rPr>
          <w:rFonts w:ascii="方正仿宋_GB2312" w:hAnsi="方正仿宋_GB2312" w:eastAsia="方正仿宋_GB2312" w:cs="方正仿宋_GB2312"/>
          <w:sz w:val="24"/>
        </w:rPr>
        <w:t>4</w:t>
      </w:r>
      <w:r>
        <w:rPr>
          <w:rFonts w:hint="eastAsia" w:ascii="方正仿宋_GB2312" w:hAnsi="方正仿宋_GB2312" w:eastAsia="方正仿宋_GB2312" w:cs="方正仿宋_GB2312"/>
          <w:sz w:val="24"/>
        </w:rPr>
        <w:t>名临床医学、药学（中药学）</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病案学（含病案信息技术）专家团体。</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长期驻场服务人员与短期驻场及远程专业团队成员不得重复。提供在本次公开招标公告之日前，</w:t>
      </w:r>
      <w:r>
        <w:rPr>
          <w:rFonts w:hint="eastAsia" w:ascii="方正仿宋_GB2312" w:hAnsi="方正仿宋_GB2312" w:eastAsia="方正仿宋_GB2312" w:cs="方正仿宋_GB2312"/>
          <w:sz w:val="24"/>
          <w:lang w:eastAsia="zh-CN"/>
        </w:rPr>
        <w:t>投标供应商</w:t>
      </w:r>
      <w:r>
        <w:rPr>
          <w:rFonts w:hint="eastAsia" w:ascii="方正仿宋_GB2312" w:hAnsi="方正仿宋_GB2312" w:eastAsia="方正仿宋_GB2312" w:cs="方正仿宋_GB2312"/>
          <w:sz w:val="24"/>
        </w:rPr>
        <w:t>与聘用人员签署的有效期内聘用协议，以及专家的专业技术资格证书原件扫描件。</w:t>
      </w:r>
    </w:p>
    <w:p>
      <w:pPr>
        <w:widowControl/>
        <w:spacing w:line="360" w:lineRule="auto"/>
        <w:ind w:firstLine="480" w:firstLineChars="200"/>
        <w:jc w:val="left"/>
        <w:rPr>
          <w:rFonts w:ascii="方正仿宋_GB2312" w:hAnsi="方正仿宋_GB2312" w:eastAsia="方正仿宋_GB2312" w:cs="方正仿宋_GB2312"/>
          <w:sz w:val="24"/>
        </w:rPr>
      </w:pPr>
      <w:r>
        <w:rPr>
          <w:rFonts w:ascii="方正仿宋_GB2312" w:hAnsi="方正仿宋_GB2312" w:eastAsia="方正仿宋_GB2312" w:cs="方正仿宋_GB2312"/>
          <w:sz w:val="24"/>
        </w:rPr>
        <w:t>3、</w:t>
      </w:r>
      <w:r>
        <w:rPr>
          <w:rFonts w:hint="eastAsia" w:ascii="方正仿宋_GB2312" w:hAnsi="方正仿宋_GB2312" w:eastAsia="方正仿宋_GB2312" w:cs="方正仿宋_GB2312"/>
          <w:sz w:val="24"/>
          <w:lang w:eastAsia="zh-CN"/>
        </w:rPr>
        <w:t>合同签订后的６个月内</w:t>
      </w:r>
      <w:r>
        <w:rPr>
          <w:rFonts w:hint="eastAsia" w:ascii="方正仿宋_GB2312" w:hAnsi="方正仿宋_GB2312" w:eastAsia="方正仿宋_GB2312" w:cs="方正仿宋_GB2312"/>
          <w:sz w:val="24"/>
        </w:rPr>
        <w:t>，额外增加</w:t>
      </w:r>
      <w:r>
        <w:rPr>
          <w:rFonts w:ascii="方正仿宋_GB2312" w:hAnsi="方正仿宋_GB2312" w:eastAsia="方正仿宋_GB2312" w:cs="方正仿宋_GB2312"/>
          <w:sz w:val="24"/>
        </w:rPr>
        <w:t>3个驻场人员（驻场人员合计不少于8人），分别对口3个县提供服务。</w:t>
      </w:r>
      <w:bookmarkStart w:id="46" w:name="_Toc44244569"/>
    </w:p>
    <w:p>
      <w:pPr>
        <w:pStyle w:val="7"/>
        <w:numPr>
          <w:ilvl w:val="0"/>
          <w:numId w:val="3"/>
        </w:numPr>
        <w:rPr>
          <w:rFonts w:hint="eastAsia"/>
        </w:rPr>
      </w:pPr>
      <w:r>
        <w:rPr>
          <w:rFonts w:hint="eastAsia"/>
        </w:rPr>
        <w:t>安全要求</w:t>
      </w:r>
    </w:p>
    <w:p>
      <w:pPr>
        <w:pStyle w:val="7"/>
        <w:numPr>
          <w:ilvl w:val="0"/>
          <w:numId w:val="0"/>
        </w:numPr>
        <w:ind w:firstLine="482" w:firstLineChars="20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w:t>
      </w:r>
      <w:r>
        <w:rPr>
          <w:rFonts w:hint="eastAsia" w:ascii="方正仿宋_GB2312" w:hAnsi="方正仿宋_GB2312" w:cs="方正仿宋_GB2312"/>
          <w:sz w:val="24"/>
          <w:lang w:eastAsia="zh-CN"/>
        </w:rPr>
        <w:t>投标供应商</w:t>
      </w:r>
      <w:r>
        <w:rPr>
          <w:rFonts w:hint="eastAsia" w:ascii="方正仿宋_GB2312" w:hAnsi="方正仿宋_GB2312" w:eastAsia="方正仿宋_GB2312" w:cs="方正仿宋_GB2312"/>
          <w:sz w:val="24"/>
        </w:rPr>
        <w:t>必须具备良好的履约能力，自2023年1月1日以来，未在浙江省医保领域发生过</w:t>
      </w:r>
      <w:r>
        <w:rPr>
          <w:rFonts w:hint="eastAsia" w:ascii="方正仿宋_GB2312" w:hAnsi="方正仿宋_GB2312" w:cs="方正仿宋_GB2312"/>
          <w:sz w:val="24"/>
          <w:lang w:val="en-US" w:eastAsia="zh-CN"/>
        </w:rPr>
        <w:t>数据丢失、损毁以及造成“智慧医保”信息系统功能受损等</w:t>
      </w:r>
      <w:r>
        <w:rPr>
          <w:rFonts w:hint="eastAsia" w:ascii="方正仿宋_GB2312" w:hAnsi="方正仿宋_GB2312" w:eastAsia="方正仿宋_GB2312" w:cs="方正仿宋_GB2312"/>
          <w:sz w:val="24"/>
        </w:rPr>
        <w:t>重大信息安全事件并造成不良影响的。</w:t>
      </w:r>
    </w:p>
    <w:p>
      <w:pPr>
        <w:pStyle w:val="7"/>
        <w:numPr>
          <w:ilvl w:val="0"/>
          <w:numId w:val="0"/>
        </w:numPr>
        <w:ind w:firstLine="482"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▲自2023年1月1日以来，</w:t>
      </w:r>
      <w:r>
        <w:rPr>
          <w:rFonts w:hint="eastAsia" w:ascii="方正仿宋_GB2312" w:hAnsi="方正仿宋_GB2312" w:cs="方正仿宋_GB2312"/>
          <w:sz w:val="24"/>
          <w:lang w:eastAsia="zh-CN"/>
        </w:rPr>
        <w:t>投标供应商</w:t>
      </w:r>
      <w:r>
        <w:rPr>
          <w:rFonts w:hint="eastAsia" w:ascii="方正仿宋_GB2312" w:hAnsi="方正仿宋_GB2312" w:eastAsia="方正仿宋_GB2312" w:cs="方正仿宋_GB2312"/>
          <w:sz w:val="24"/>
        </w:rPr>
        <w:t>（含联合体）及其关联企业（包括但不限于其子公司、控股公司）未向湖州市定点医疗机构提供与DRG支付方式改革相关的结算清算、审核监测及分组预测、决策分析等专业化服务。</w:t>
      </w:r>
    </w:p>
    <w:p>
      <w:pPr>
        <w:pStyle w:val="7"/>
      </w:pPr>
      <w:r>
        <w:rPr>
          <w:rFonts w:hint="eastAsia"/>
        </w:rPr>
        <w:t>（四）合作过程的知识产权</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基于湖州市数据本地化应用所产生的相应成果，如需申报有关知识产权的应为双方共有；中标人若要向外推广使用湖州特有或独有的应用方案，应同时告知采购人同意。</w:t>
      </w:r>
    </w:p>
    <w:p>
      <w:pPr>
        <w:pStyle w:val="7"/>
      </w:pPr>
      <w:r>
        <w:rPr>
          <w:rFonts w:hint="eastAsia"/>
        </w:rPr>
        <w:t>（五）保密要求</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中标方必须承诺对采购方的所有医保系统的内部业务数据进行严格保密。</w:t>
      </w:r>
      <w:r>
        <w:rPr>
          <w:rFonts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z w:val="24"/>
        </w:rPr>
        <w:t>未经采购方授权，中标方严禁将采购方的数据以任何形式向外透露。严禁未经授权进行数据恢复或转入操作，防止数据被非法拷贝或毁坏，数据的备份、恢复、转出、转入的权限都应严格控制。</w:t>
      </w:r>
    </w:p>
    <w:p>
      <w:pPr>
        <w:pStyle w:val="7"/>
      </w:pPr>
      <w:r>
        <w:rPr>
          <w:rFonts w:hint="eastAsia"/>
        </w:rPr>
        <w:t>（六）合同到期后的衔接工作</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CN"/>
        </w:rPr>
        <w:t>投标供应商</w:t>
      </w:r>
      <w:r>
        <w:rPr>
          <w:rFonts w:hint="eastAsia" w:ascii="方正仿宋_GB2312" w:hAnsi="方正仿宋_GB2312" w:eastAsia="方正仿宋_GB2312" w:cs="方正仿宋_GB2312"/>
          <w:sz w:val="24"/>
        </w:rPr>
        <w:t>应承诺：本项目</w:t>
      </w:r>
      <w:r>
        <w:rPr>
          <w:rFonts w:ascii="方正仿宋_GB2312" w:hAnsi="方正仿宋_GB2312" w:eastAsia="方正仿宋_GB2312" w:cs="方正仿宋_GB2312"/>
          <w:sz w:val="24"/>
        </w:rPr>
        <w:t>3年服务期满或后续新的采购周期开始后，若采购人未与</w:t>
      </w:r>
      <w:r>
        <w:rPr>
          <w:rFonts w:hint="eastAsia" w:ascii="方正仿宋_GB2312" w:hAnsi="方正仿宋_GB2312" w:eastAsia="方正仿宋_GB2312" w:cs="方正仿宋_GB2312"/>
          <w:sz w:val="24"/>
          <w:lang w:eastAsia="zh-CN"/>
        </w:rPr>
        <w:t>投标供应商</w:t>
      </w:r>
      <w:r>
        <w:rPr>
          <w:rFonts w:ascii="方正仿宋_GB2312" w:hAnsi="方正仿宋_GB2312" w:eastAsia="方正仿宋_GB2312" w:cs="方正仿宋_GB2312"/>
          <w:sz w:val="24"/>
        </w:rPr>
        <w:t>续签服务合同，</w:t>
      </w:r>
      <w:r>
        <w:rPr>
          <w:rFonts w:hint="eastAsia" w:ascii="方正仿宋_GB2312" w:hAnsi="方正仿宋_GB2312" w:eastAsia="方正仿宋_GB2312" w:cs="方正仿宋_GB2312"/>
          <w:sz w:val="24"/>
          <w:lang w:eastAsia="zh-CN"/>
        </w:rPr>
        <w:t>投标供应商</w:t>
      </w:r>
      <w:r>
        <w:rPr>
          <w:rFonts w:ascii="方正仿宋_GB2312" w:hAnsi="方正仿宋_GB2312" w:eastAsia="方正仿宋_GB2312" w:cs="方正仿宋_GB2312"/>
          <w:sz w:val="24"/>
        </w:rPr>
        <w:t>将妥善做好与后续服务单位的移交工作，移交内容包括但不限于历史数据、项目资料、接口标准等，确保本服务项目的平稳交接；同时在过渡期内做好相关资料、信息的技术协助工作。</w:t>
      </w:r>
    </w:p>
    <w:p>
      <w:pPr>
        <w:pStyle w:val="6"/>
        <w:rPr>
          <w:rFonts w:ascii="方正仿宋_GB2312" w:hAnsi="方正仿宋_GB2312"/>
        </w:rPr>
      </w:pPr>
      <w:r>
        <w:rPr>
          <w:rFonts w:hint="eastAsia" w:ascii="方正仿宋_GB2312" w:hAnsi="方正仿宋_GB2312"/>
        </w:rPr>
        <w:t>五、培训要求</w:t>
      </w:r>
    </w:p>
    <w:p>
      <w:pPr>
        <w:pStyle w:val="7"/>
      </w:pPr>
      <w:r>
        <w:rPr>
          <w:rFonts w:hint="eastAsia"/>
        </w:rPr>
        <w:t>（一）对医保经办人员的培训</w:t>
      </w:r>
    </w:p>
    <w:p>
      <w:pPr>
        <w:widowControl/>
        <w:spacing w:line="360" w:lineRule="auto"/>
        <w:ind w:firstLine="480" w:firstLineChars="200"/>
        <w:jc w:val="left"/>
        <w:rPr>
          <w:rFonts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rPr>
        <w:t>根据各级人员的业务特点和工作角色分工，并结合实际工作，对医保经办人员的培训分为两个层次：</w:t>
      </w:r>
    </w:p>
    <w:p>
      <w:pPr>
        <w:widowControl/>
        <w:spacing w:line="360" w:lineRule="auto"/>
        <w:ind w:firstLine="480" w:firstLineChars="200"/>
        <w:jc w:val="left"/>
        <w:rPr>
          <w:rFonts w:ascii="方正仿宋_GB2312" w:hAnsi="方正仿宋_GB2312" w:eastAsia="方正仿宋_GB2312" w:cs="方正仿宋_GB2312"/>
          <w:sz w:val="24"/>
          <w:lang w:val="zh-CN"/>
        </w:rPr>
      </w:pPr>
      <w:r>
        <w:rPr>
          <w:rFonts w:ascii="方正仿宋_GB2312" w:hAnsi="方正仿宋_GB2312" w:eastAsia="方正仿宋_GB2312" w:cs="方正仿宋_GB2312"/>
          <w:sz w:val="24"/>
        </w:rPr>
        <w:t>1、对医保的行政部门培训的主要目的是使有关行政部门领导对DRG业务及相关国家政策有一定的了解，同时能够进行决策、指挥工作。</w:t>
      </w:r>
    </w:p>
    <w:p>
      <w:pPr>
        <w:widowControl/>
        <w:spacing w:line="360" w:lineRule="auto"/>
        <w:ind w:firstLine="480" w:firstLineChars="200"/>
        <w:jc w:val="left"/>
        <w:rPr>
          <w:rFonts w:ascii="方正仿宋_GB2312" w:hAnsi="方正仿宋_GB2312" w:eastAsia="方正仿宋_GB2312" w:cs="方正仿宋_GB2312"/>
          <w:sz w:val="24"/>
          <w:lang w:val="zh-CN"/>
        </w:rPr>
      </w:pPr>
      <w:r>
        <w:rPr>
          <w:rFonts w:ascii="方正仿宋_GB2312" w:hAnsi="方正仿宋_GB2312" w:eastAsia="方正仿宋_GB2312" w:cs="方正仿宋_GB2312"/>
          <w:sz w:val="24"/>
        </w:rPr>
        <w:t>2、对医保业务经办人员的培训，主要使他们在各业务环境下能够很好地完成相应的业务工作，提高工作效率，提高信息的准确性和全面性。</w:t>
      </w:r>
    </w:p>
    <w:p>
      <w:pPr>
        <w:pStyle w:val="7"/>
      </w:pPr>
      <w:r>
        <w:rPr>
          <w:rFonts w:hint="eastAsia"/>
        </w:rPr>
        <w:t>（二）对定点医疗机构相关人员的培训</w:t>
      </w:r>
    </w:p>
    <w:p>
      <w:pPr>
        <w:widowControl/>
        <w:spacing w:line="360" w:lineRule="auto"/>
        <w:ind w:firstLine="480" w:firstLineChars="200"/>
        <w:jc w:val="left"/>
        <w:rPr>
          <w:rFonts w:ascii="方正仿宋_GB2312" w:hAnsi="方正仿宋_GB2312" w:eastAsia="方正仿宋_GB2312" w:cs="方正仿宋_GB2312"/>
          <w:sz w:val="24"/>
          <w:lang w:val="zh-CN"/>
        </w:rPr>
      </w:pPr>
      <w:r>
        <w:rPr>
          <w:rFonts w:ascii="方正仿宋_GB2312" w:hAnsi="方正仿宋_GB2312" w:eastAsia="方正仿宋_GB2312" w:cs="方正仿宋_GB2312"/>
          <w:sz w:val="24"/>
        </w:rPr>
        <w:t>1、对定点医疗机构的临床医生、病案编码人员的培训</w:t>
      </w:r>
    </w:p>
    <w:p>
      <w:pPr>
        <w:widowControl/>
        <w:spacing w:line="360" w:lineRule="auto"/>
        <w:ind w:firstLine="480" w:firstLineChars="200"/>
        <w:jc w:val="left"/>
        <w:rPr>
          <w:rFonts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rPr>
        <w:t>对医疗机构的临床医生、病案编码人员，针对病案填写规范、病案、医保结算清单质控等相关共性问题进行培训。</w:t>
      </w:r>
      <w:r>
        <w:rPr>
          <w:rFonts w:ascii="方正仿宋_GB2312" w:hAnsi="方正仿宋_GB2312" w:eastAsia="方正仿宋_GB2312" w:cs="方正仿宋_GB2312"/>
          <w:sz w:val="24"/>
        </w:rPr>
        <w:t xml:space="preserve"> </w:t>
      </w:r>
    </w:p>
    <w:p>
      <w:pPr>
        <w:widowControl/>
        <w:spacing w:line="360" w:lineRule="auto"/>
        <w:ind w:firstLine="480" w:firstLineChars="200"/>
        <w:jc w:val="left"/>
        <w:rPr>
          <w:rFonts w:ascii="方正仿宋_GB2312" w:hAnsi="方正仿宋_GB2312" w:eastAsia="方正仿宋_GB2312" w:cs="方正仿宋_GB2312"/>
          <w:sz w:val="24"/>
          <w:lang w:val="zh-CN"/>
        </w:rPr>
      </w:pPr>
      <w:r>
        <w:rPr>
          <w:rFonts w:ascii="方正仿宋_GB2312" w:hAnsi="方正仿宋_GB2312" w:eastAsia="方正仿宋_GB2312" w:cs="方正仿宋_GB2312"/>
          <w:sz w:val="24"/>
        </w:rPr>
        <w:t>2、对定点医疗机构负责人及医保部门工作人员的培训</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提供医保</w:t>
      </w:r>
      <w:r>
        <w:rPr>
          <w:rFonts w:ascii="方正仿宋_GB2312" w:hAnsi="方正仿宋_GB2312" w:eastAsia="方正仿宋_GB2312" w:cs="方正仿宋_GB2312"/>
          <w:sz w:val="24"/>
        </w:rPr>
        <w:t>DRG绩效评价、DRG主要的业务知识及改革政策进行培训。</w:t>
      </w:r>
      <w:bookmarkEnd w:id="46"/>
    </w:p>
    <w:p>
      <w:pPr>
        <w:pStyle w:val="6"/>
        <w:rPr>
          <w:rFonts w:ascii="方正仿宋_GB2312" w:hAnsi="方正仿宋_GB2312"/>
        </w:rPr>
      </w:pPr>
      <w:r>
        <w:rPr>
          <w:rFonts w:hint="eastAsia" w:ascii="方正仿宋_GB2312" w:hAnsi="方正仿宋_GB2312"/>
        </w:rPr>
        <w:t>六、信息资源及服务成果的所有权</w:t>
      </w:r>
    </w:p>
    <w:p>
      <w:pPr>
        <w:widowControl/>
        <w:spacing w:line="360" w:lineRule="auto"/>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sz w:val="24"/>
        </w:rPr>
        <w:t>投标供应商</w:t>
      </w:r>
      <w:r>
        <w:rPr>
          <w:rFonts w:hint="eastAsia" w:ascii="方正仿宋_GB2312" w:hAnsi="方正仿宋_GB2312" w:eastAsia="方正仿宋_GB2312" w:cs="方正仿宋_GB2312"/>
          <w:color w:val="000000"/>
          <w:sz w:val="24"/>
        </w:rPr>
        <w:t>在履行本服务项目过程中，产生的所有数据和服务成果所有权归采购人所有，所有</w:t>
      </w:r>
      <w:r>
        <w:rPr>
          <w:rFonts w:hint="eastAsia" w:ascii="方正仿宋_GB2312" w:hAnsi="方正仿宋_GB2312" w:eastAsia="方正仿宋_GB2312" w:cs="方正仿宋_GB2312"/>
          <w:sz w:val="24"/>
        </w:rPr>
        <w:t>投标供应商</w:t>
      </w:r>
      <w:r>
        <w:rPr>
          <w:rFonts w:hint="eastAsia" w:ascii="方正仿宋_GB2312" w:hAnsi="方正仿宋_GB2312" w:eastAsia="方正仿宋_GB2312" w:cs="方正仿宋_GB2312"/>
          <w:color w:val="000000"/>
          <w:sz w:val="24"/>
        </w:rPr>
        <w:t>使用自备的信息系统为采购方提供本项目服务过程中产生的所有信息资源及服务成果，包括但不限于医疗机构数据、参保人数据、医保机构数据、</w:t>
      </w:r>
      <w:r>
        <w:rPr>
          <w:rFonts w:ascii="方正仿宋_GB2312" w:hAnsi="方正仿宋_GB2312" w:eastAsia="方正仿宋_GB2312" w:cs="方正仿宋_GB2312"/>
          <w:color w:val="000000"/>
          <w:sz w:val="24"/>
        </w:rPr>
        <w:t>DRGs分组数据、病案数据、统计分析数据等信息资源，及服务过程中产生的各类数据模型、服务报表、报告等服务成果的所有权均属于采购人所有，所有数据应存储在采购人指定的存储设备或云平台，</w:t>
      </w:r>
      <w:r>
        <w:rPr>
          <w:rFonts w:hint="eastAsia" w:ascii="方正仿宋_GB2312" w:hAnsi="方正仿宋_GB2312" w:eastAsia="方正仿宋_GB2312" w:cs="方正仿宋_GB2312"/>
          <w:sz w:val="24"/>
        </w:rPr>
        <w:t>投标供应商</w:t>
      </w:r>
      <w:r>
        <w:rPr>
          <w:rFonts w:hint="eastAsia" w:ascii="方正仿宋_GB2312" w:hAnsi="方正仿宋_GB2312" w:eastAsia="方正仿宋_GB2312" w:cs="方正仿宋_GB2312"/>
          <w:color w:val="000000"/>
          <w:sz w:val="24"/>
        </w:rPr>
        <w:t>应妥善使用、保管这些信息资源和服务成果，确保这些信息资源及服务成果的完整性、准确性和可移交性。</w:t>
      </w:r>
    </w:p>
    <w:p>
      <w:pPr>
        <w:pStyle w:val="6"/>
        <w:numPr>
          <w:ilvl w:val="0"/>
          <w:numId w:val="4"/>
        </w:numPr>
        <w:rPr>
          <w:rFonts w:hint="eastAsia" w:ascii="方正仿宋_GB2312" w:hAnsi="方正仿宋_GB2312" w:eastAsia="方正仿宋_GB2312" w:cs="Times New Roman"/>
          <w:b/>
          <w:bCs w:val="0"/>
          <w:sz w:val="30"/>
          <w:szCs w:val="20"/>
        </w:rPr>
      </w:pPr>
      <w:r>
        <w:rPr>
          <w:rFonts w:hint="eastAsia" w:ascii="方正仿宋_GB2312" w:hAnsi="方正仿宋_GB2312" w:eastAsia="方正仿宋_GB2312" w:cs="Times New Roman"/>
          <w:b/>
          <w:bCs w:val="0"/>
          <w:sz w:val="30"/>
          <w:szCs w:val="20"/>
        </w:rPr>
        <w:t>考核及验收要求</w:t>
      </w:r>
    </w:p>
    <w:p>
      <w:pPr>
        <w:pStyle w:val="6"/>
        <w:numPr>
          <w:ilvl w:val="-1"/>
          <w:numId w:val="0"/>
        </w:numPr>
        <w:ind w:firstLine="0" w:firstLineChars="0"/>
        <w:rPr>
          <w:rFonts w:ascii="仿宋" w:hAnsi="仿宋" w:eastAsia="仿宋" w:cs="仿宋"/>
          <w:sz w:val="24"/>
          <w:szCs w:val="24"/>
        </w:rPr>
      </w:pPr>
      <w:r>
        <w:rPr>
          <w:rFonts w:hint="eastAsia" w:ascii="仿宋" w:hAnsi="仿宋" w:eastAsia="仿宋" w:cs="仿宋"/>
          <w:sz w:val="24"/>
          <w:szCs w:val="24"/>
        </w:rPr>
        <w:t>甲方将按下表内容对乙方服务情况进行考核，考核结果将作为验收依据之一。</w:t>
      </w:r>
    </w:p>
    <w:tbl>
      <w:tblPr>
        <w:tblStyle w:val="61"/>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112"/>
        <w:gridCol w:w="1560"/>
        <w:gridCol w:w="1125"/>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sz w:val="24"/>
                <w:szCs w:val="24"/>
              </w:rPr>
            </w:pPr>
            <w:r>
              <w:rPr>
                <w:rFonts w:hint="eastAsia" w:ascii="仿宋" w:hAnsi="仿宋" w:eastAsia="仿宋" w:cs="仿宋"/>
                <w:sz w:val="24"/>
                <w:szCs w:val="24"/>
              </w:rPr>
              <w:t>考核项</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sz w:val="24"/>
                <w:szCs w:val="24"/>
              </w:rPr>
            </w:pPr>
            <w:r>
              <w:rPr>
                <w:rFonts w:hint="eastAsia" w:ascii="仿宋" w:hAnsi="仿宋" w:eastAsia="仿宋" w:cs="仿宋"/>
                <w:sz w:val="24"/>
                <w:szCs w:val="24"/>
              </w:rPr>
              <w:t>考核指标</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考核</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sz w:val="24"/>
                <w:szCs w:val="24"/>
              </w:rPr>
            </w:pPr>
            <w:r>
              <w:rPr>
                <w:rFonts w:hint="eastAsia" w:ascii="仿宋" w:hAnsi="仿宋" w:eastAsia="仿宋" w:cs="仿宋"/>
                <w:sz w:val="24"/>
                <w:szCs w:val="24"/>
              </w:rPr>
              <w:t>分数</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sz w:val="24"/>
                <w:szCs w:val="24"/>
              </w:rPr>
            </w:pPr>
            <w:r>
              <w:rPr>
                <w:rFonts w:hint="eastAsia" w:ascii="仿宋" w:hAnsi="仿宋" w:eastAsia="仿宋" w:cs="仿宋"/>
                <w:sz w:val="24"/>
                <w:szCs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1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服务团队（</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w:t>
            </w:r>
          </w:p>
        </w:tc>
        <w:tc>
          <w:tcPr>
            <w:tcW w:w="15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长期驻场人数情况</w:t>
            </w:r>
          </w:p>
        </w:tc>
        <w:tc>
          <w:tcPr>
            <w:tcW w:w="1125" w:type="dxa"/>
            <w:noWrap w:val="0"/>
            <w:vAlign w:val="center"/>
          </w:tcPr>
          <w:p>
            <w:pPr>
              <w:spacing w:line="6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驻场人数未达到数量要求的，每少1人扣1分，扣完为止。</w:t>
            </w:r>
            <w:r>
              <w:rPr>
                <w:rFonts w:hint="eastAsia" w:ascii="仿宋" w:hAnsi="仿宋" w:eastAsia="仿宋" w:cs="仿宋"/>
                <w:color w:val="auto"/>
                <w:sz w:val="24"/>
                <w:szCs w:val="24"/>
                <w:lang w:val="en-US" w:eastAsia="zh-CN"/>
              </w:rPr>
              <w:t>保持驻场人员稳定，每年超过200个工作日在湖州驻场的为固定人员，固定人员人数未达到总数80%的，每少1人扣1分。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112" w:type="dxa"/>
            <w:vMerge w:val="continue"/>
            <w:noWrap w:val="0"/>
            <w:vAlign w:val="center"/>
          </w:tcPr>
          <w:p>
            <w:pPr>
              <w:spacing w:line="600" w:lineRule="exact"/>
              <w:jc w:val="center"/>
              <w:rPr>
                <w:rFonts w:ascii="仿宋" w:hAnsi="仿宋" w:eastAsia="仿宋" w:cs="仿宋"/>
                <w:color w:val="auto"/>
                <w:sz w:val="24"/>
                <w:szCs w:val="24"/>
              </w:rPr>
            </w:pPr>
          </w:p>
        </w:tc>
        <w:tc>
          <w:tcPr>
            <w:tcW w:w="1560" w:type="dxa"/>
            <w:vMerge w:val="continue"/>
            <w:noWrap w:val="0"/>
            <w:vAlign w:val="center"/>
          </w:tcPr>
          <w:p>
            <w:pPr>
              <w:spacing w:line="600" w:lineRule="exact"/>
              <w:jc w:val="center"/>
              <w:rPr>
                <w:rFonts w:ascii="仿宋" w:hAnsi="仿宋" w:eastAsia="仿宋" w:cs="仿宋"/>
                <w:color w:val="auto"/>
                <w:sz w:val="24"/>
                <w:szCs w:val="24"/>
              </w:rPr>
            </w:pPr>
          </w:p>
        </w:tc>
        <w:tc>
          <w:tcPr>
            <w:tcW w:w="1125"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驻场人员资质未达到招投标要求的，每少1人扣1分，扣完为止。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112" w:type="dxa"/>
            <w:vMerge w:val="continue"/>
            <w:noWrap w:val="0"/>
            <w:vAlign w:val="center"/>
          </w:tcPr>
          <w:p>
            <w:pPr>
              <w:spacing w:line="600" w:lineRule="exact"/>
              <w:jc w:val="center"/>
              <w:rPr>
                <w:rFonts w:ascii="仿宋" w:hAnsi="仿宋" w:eastAsia="仿宋" w:cs="仿宋"/>
                <w:color w:val="auto"/>
                <w:sz w:val="24"/>
                <w:szCs w:val="24"/>
              </w:rPr>
            </w:pPr>
          </w:p>
        </w:tc>
        <w:tc>
          <w:tcPr>
            <w:tcW w:w="1560" w:type="dxa"/>
            <w:vMerge w:val="continue"/>
            <w:noWrap w:val="0"/>
            <w:vAlign w:val="center"/>
          </w:tcPr>
          <w:p>
            <w:pPr>
              <w:spacing w:line="600" w:lineRule="exact"/>
              <w:jc w:val="center"/>
              <w:rPr>
                <w:rFonts w:ascii="仿宋" w:hAnsi="仿宋" w:eastAsia="仿宋" w:cs="仿宋"/>
                <w:color w:val="auto"/>
                <w:sz w:val="24"/>
                <w:szCs w:val="24"/>
              </w:rPr>
            </w:pPr>
          </w:p>
        </w:tc>
        <w:tc>
          <w:tcPr>
            <w:tcW w:w="1125"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驻场人员未按要求签到打卡的，每出现1人次扣0.5分，扣完为止。</w:t>
            </w:r>
            <w:r>
              <w:rPr>
                <w:rFonts w:hint="eastAsia" w:ascii="仿宋" w:hAnsi="仿宋" w:eastAsia="仿宋" w:cs="仿宋"/>
                <w:color w:val="auto"/>
                <w:sz w:val="24"/>
                <w:szCs w:val="24"/>
                <w:lang w:eastAsia="zh-CN"/>
              </w:rPr>
              <w:t>未经甲方同意请假离场的，</w:t>
            </w:r>
            <w:r>
              <w:rPr>
                <w:rFonts w:hint="eastAsia" w:ascii="仿宋" w:hAnsi="仿宋" w:eastAsia="仿宋" w:cs="仿宋"/>
                <w:color w:val="auto"/>
                <w:sz w:val="24"/>
                <w:szCs w:val="24"/>
              </w:rPr>
              <w:t>每出现1人次扣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1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方案执行情况（7</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DRG支付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服务情况</w:t>
            </w:r>
          </w:p>
        </w:tc>
        <w:tc>
          <w:tcPr>
            <w:tcW w:w="1125" w:type="dxa"/>
            <w:noWrap w:val="0"/>
            <w:vAlign w:val="center"/>
          </w:tcPr>
          <w:p>
            <w:pPr>
              <w:spacing w:line="6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1.协助做好基金运行和预算分析工作，根据业务需求出具分析报告；根据业务需求做好DRG付费运行结果评估，出具评估报告</w:t>
            </w:r>
            <w:r>
              <w:rPr>
                <w:rFonts w:hint="eastAsia" w:ascii="仿宋" w:hAnsi="仿宋" w:eastAsia="仿宋" w:cs="仿宋"/>
                <w:color w:val="auto"/>
                <w:sz w:val="24"/>
                <w:szCs w:val="24"/>
                <w:lang w:eastAsia="zh-CN"/>
              </w:rPr>
              <w:t>；定期出具医疗保障基金结算清单填报质量分析报告</w:t>
            </w:r>
            <w:r>
              <w:rPr>
                <w:rFonts w:hint="eastAsia" w:ascii="仿宋" w:hAnsi="仿宋" w:eastAsia="仿宋" w:cs="仿宋"/>
                <w:color w:val="auto"/>
                <w:sz w:val="24"/>
                <w:szCs w:val="24"/>
              </w:rPr>
              <w:t>（5分）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2.协助做好月度DRG数据分组、分组调整审核、结算清单重传审核等月度结算工作（5分）；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3.协助制定年度DRG清算工作方案，做好基准点数、差异系数、床日支付限额等核心指标的测算</w:t>
            </w:r>
            <w:r>
              <w:rPr>
                <w:rFonts w:hint="eastAsia" w:ascii="仿宋" w:hAnsi="仿宋" w:eastAsia="仿宋" w:cs="仿宋"/>
                <w:color w:val="auto"/>
                <w:sz w:val="24"/>
                <w:szCs w:val="24"/>
                <w:lang w:eastAsia="zh-CN"/>
              </w:rPr>
              <w:t>，制定动态调整方案，每年在省考核任务期限内完成</w:t>
            </w:r>
            <w:r>
              <w:rPr>
                <w:rFonts w:hint="eastAsia" w:ascii="仿宋" w:hAnsi="仿宋" w:eastAsia="仿宋" w:cs="仿宋"/>
                <w:color w:val="auto"/>
                <w:sz w:val="24"/>
                <w:szCs w:val="24"/>
              </w:rPr>
              <w:t>清算（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4.协助做好DRG绩效</w:t>
            </w:r>
            <w:r>
              <w:rPr>
                <w:rFonts w:hint="eastAsia" w:ascii="仿宋" w:hAnsi="仿宋" w:eastAsia="仿宋" w:cs="仿宋"/>
                <w:color w:val="auto"/>
                <w:sz w:val="24"/>
                <w:szCs w:val="24"/>
                <w:lang w:eastAsia="zh-CN"/>
              </w:rPr>
              <w:t>考核</w:t>
            </w:r>
            <w:r>
              <w:rPr>
                <w:rFonts w:hint="eastAsia" w:ascii="仿宋" w:hAnsi="仿宋" w:eastAsia="仿宋" w:cs="仿宋"/>
                <w:color w:val="auto"/>
                <w:sz w:val="24"/>
                <w:szCs w:val="24"/>
              </w:rPr>
              <w:t>评价工作，若评价指标有误并造成影响的，该项不得分（5分）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5.年度清算完成后出具DRG清算报告，若清算结果有误并造成影响的，该项不得分（5分）。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112" w:type="dxa"/>
            <w:vMerge w:val="continue"/>
            <w:noWrap w:val="0"/>
            <w:vAlign w:val="center"/>
          </w:tcPr>
          <w:p>
            <w:pPr>
              <w:spacing w:line="600" w:lineRule="exact"/>
              <w:jc w:val="center"/>
              <w:rPr>
                <w:rFonts w:ascii="仿宋" w:hAnsi="仿宋" w:eastAsia="仿宋" w:cs="仿宋"/>
                <w:color w:val="auto"/>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DRG审核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服务情况</w:t>
            </w:r>
          </w:p>
        </w:tc>
        <w:tc>
          <w:tcPr>
            <w:tcW w:w="1125"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1.协助做好新技术、中医、床日</w:t>
            </w:r>
            <w:r>
              <w:rPr>
                <w:rFonts w:hint="eastAsia" w:ascii="仿宋" w:hAnsi="仿宋" w:eastAsia="仿宋" w:cs="仿宋"/>
                <w:color w:val="auto"/>
                <w:sz w:val="24"/>
                <w:szCs w:val="24"/>
                <w:lang w:eastAsia="zh-CN"/>
              </w:rPr>
              <w:t>、日间手术等</w:t>
            </w:r>
            <w:r>
              <w:rPr>
                <w:rFonts w:hint="eastAsia" w:ascii="仿宋" w:hAnsi="仿宋" w:eastAsia="仿宋" w:cs="仿宋"/>
                <w:color w:val="auto"/>
                <w:sz w:val="24"/>
                <w:szCs w:val="24"/>
              </w:rPr>
              <w:t>病例的审核、反馈、汇总、</w:t>
            </w:r>
            <w:r>
              <w:rPr>
                <w:rFonts w:hint="eastAsia" w:ascii="仿宋" w:hAnsi="仿宋" w:eastAsia="仿宋" w:cs="仿宋"/>
                <w:color w:val="auto"/>
                <w:sz w:val="24"/>
                <w:szCs w:val="24"/>
                <w:lang w:eastAsia="zh-CN"/>
              </w:rPr>
              <w:t>点数调整</w:t>
            </w:r>
            <w:r>
              <w:rPr>
                <w:rFonts w:hint="eastAsia" w:ascii="仿宋" w:hAnsi="仿宋" w:eastAsia="仿宋" w:cs="仿宋"/>
                <w:color w:val="auto"/>
                <w:sz w:val="24"/>
                <w:szCs w:val="24"/>
              </w:rPr>
              <w:t>等工作（5分）；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2.协助建立完善审核规则体系，做好DRG病例审核管理，大数据筛查疑似违规病例和分析审核工作（5分）；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3.协助做好DRG病案交叉检查，按要求抽取一定比例的病案，提供病案核查分析，汇总形成工作报告（5分）；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4.协助做好特病单议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15日内再入院</w:t>
            </w:r>
            <w:r>
              <w:rPr>
                <w:rFonts w:hint="eastAsia" w:ascii="仿宋" w:hAnsi="仿宋" w:eastAsia="仿宋" w:cs="仿宋"/>
                <w:color w:val="auto"/>
                <w:sz w:val="24"/>
                <w:szCs w:val="24"/>
              </w:rPr>
              <w:t>的申报、审核，组织现场评审会议，汇总形成报告工作（5分）。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112" w:type="dxa"/>
            <w:vMerge w:val="continue"/>
            <w:noWrap w:val="0"/>
            <w:vAlign w:val="center"/>
          </w:tcPr>
          <w:p>
            <w:pPr>
              <w:spacing w:line="600" w:lineRule="exact"/>
              <w:jc w:val="center"/>
              <w:rPr>
                <w:rFonts w:ascii="仿宋" w:hAnsi="仿宋" w:eastAsia="仿宋" w:cs="仿宋"/>
                <w:color w:val="auto"/>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DRG监管</w:t>
            </w:r>
            <w:r>
              <w:rPr>
                <w:rFonts w:hint="eastAsia" w:ascii="仿宋" w:hAnsi="仿宋" w:eastAsia="仿宋" w:cs="仿宋"/>
                <w:color w:val="auto"/>
                <w:sz w:val="24"/>
                <w:szCs w:val="24"/>
              </w:rPr>
              <w:t>服务情况</w:t>
            </w:r>
          </w:p>
        </w:tc>
        <w:tc>
          <w:tcPr>
            <w:tcW w:w="1125"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1.做好DRG</w:t>
            </w:r>
            <w:r>
              <w:rPr>
                <w:rFonts w:hint="eastAsia" w:ascii="仿宋" w:hAnsi="仿宋" w:eastAsia="仿宋" w:cs="仿宋"/>
                <w:color w:val="auto"/>
                <w:sz w:val="24"/>
                <w:szCs w:val="24"/>
                <w:lang w:eastAsia="zh-CN"/>
              </w:rPr>
              <w:t>疑点违规</w:t>
            </w:r>
            <w:r>
              <w:rPr>
                <w:rFonts w:hint="eastAsia" w:ascii="仿宋" w:hAnsi="仿宋" w:eastAsia="仿宋" w:cs="仿宋"/>
                <w:color w:val="auto"/>
                <w:sz w:val="24"/>
                <w:szCs w:val="24"/>
              </w:rPr>
              <w:t>分析，开展费用结构分析、服务能力分析等工作，出具</w:t>
            </w:r>
            <w:r>
              <w:rPr>
                <w:rFonts w:hint="eastAsia" w:ascii="仿宋" w:hAnsi="仿宋" w:eastAsia="仿宋" w:cs="仿宋"/>
                <w:color w:val="auto"/>
                <w:sz w:val="24"/>
                <w:szCs w:val="24"/>
                <w:lang w:eastAsia="zh-CN"/>
              </w:rPr>
              <w:t>疑点画像与辅助决策</w:t>
            </w:r>
            <w:r>
              <w:rPr>
                <w:rFonts w:hint="eastAsia" w:ascii="仿宋" w:hAnsi="仿宋" w:eastAsia="仿宋" w:cs="仿宋"/>
                <w:color w:val="auto"/>
                <w:sz w:val="24"/>
                <w:szCs w:val="24"/>
              </w:rPr>
              <w:t>专项分析报告（5分）；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2.做好DRG</w:t>
            </w:r>
            <w:r>
              <w:rPr>
                <w:rFonts w:hint="eastAsia" w:ascii="仿宋" w:hAnsi="仿宋" w:eastAsia="仿宋" w:cs="仿宋"/>
                <w:color w:val="auto"/>
                <w:sz w:val="24"/>
                <w:szCs w:val="24"/>
                <w:lang w:eastAsia="zh-CN"/>
              </w:rPr>
              <w:t>日常行为监管</w:t>
            </w:r>
            <w:r>
              <w:rPr>
                <w:rFonts w:hint="eastAsia" w:ascii="仿宋" w:hAnsi="仿宋" w:eastAsia="仿宋" w:cs="仿宋"/>
                <w:color w:val="auto"/>
                <w:sz w:val="24"/>
                <w:szCs w:val="24"/>
              </w:rPr>
              <w:t>,对医疗机构的异化行为进行事前、事中的预警提醒（5分）。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1112" w:type="dxa"/>
            <w:vMerge w:val="continue"/>
            <w:noWrap w:val="0"/>
            <w:vAlign w:val="center"/>
          </w:tcPr>
          <w:p>
            <w:pPr>
              <w:spacing w:line="600" w:lineRule="exact"/>
              <w:jc w:val="center"/>
              <w:rPr>
                <w:rFonts w:ascii="仿宋" w:hAnsi="仿宋" w:eastAsia="仿宋" w:cs="仿宋"/>
                <w:color w:val="auto"/>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培训咨询服务情况</w:t>
            </w:r>
          </w:p>
        </w:tc>
        <w:tc>
          <w:tcPr>
            <w:tcW w:w="1125"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组织</w:t>
            </w:r>
            <w:r>
              <w:rPr>
                <w:rFonts w:hint="eastAsia" w:ascii="仿宋" w:hAnsi="仿宋" w:eastAsia="仿宋" w:cs="仿宋"/>
                <w:color w:val="auto"/>
                <w:sz w:val="24"/>
                <w:szCs w:val="24"/>
              </w:rPr>
              <w:t>开展DRG付费相关的政策解读、业务培训和业务讨论等工作，每年不少于2场，</w:t>
            </w:r>
            <w:r>
              <w:rPr>
                <w:rFonts w:hint="eastAsia" w:ascii="仿宋" w:hAnsi="仿宋" w:eastAsia="仿宋" w:cs="仿宋"/>
                <w:color w:val="auto"/>
                <w:sz w:val="24"/>
                <w:szCs w:val="24"/>
                <w:lang w:eastAsia="zh-CN"/>
              </w:rPr>
              <w:t>每少</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场扣</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rPr>
              <w:t>提供必要的培训支持（5分）；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2.协助医保部门为医疗机构提供咨询服务，定期对医疗机构提出的问题和意见进行梳理和分析，形成分析报告（5分）。</w:t>
            </w:r>
            <w:r>
              <w:rPr>
                <w:rFonts w:hint="eastAsia" w:ascii="仿宋" w:hAnsi="仿宋" w:eastAsia="仿宋" w:cs="仿宋"/>
                <w:color w:val="auto"/>
                <w:sz w:val="24"/>
                <w:szCs w:val="24"/>
                <w:lang w:val="en-US" w:eastAsia="zh-CN"/>
              </w:rPr>
              <w:t>因服务不到位造成</w:t>
            </w:r>
            <w:r>
              <w:rPr>
                <w:rFonts w:hint="eastAsia" w:ascii="仿宋" w:hAnsi="仿宋" w:eastAsia="仿宋" w:cs="仿宋"/>
                <w:color w:val="auto"/>
                <w:sz w:val="24"/>
                <w:szCs w:val="24"/>
                <w:lang w:eastAsia="zh-CN"/>
              </w:rPr>
              <w:t>医疗机构投诉的，经查实一次扣</w:t>
            </w:r>
            <w:r>
              <w:rPr>
                <w:rFonts w:hint="eastAsia" w:ascii="仿宋" w:hAnsi="仿宋" w:eastAsia="仿宋" w:cs="仿宋"/>
                <w:color w:val="auto"/>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11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指定性工作完成情况（1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成果物完成情况</w:t>
            </w:r>
          </w:p>
        </w:tc>
        <w:tc>
          <w:tcPr>
            <w:tcW w:w="1125" w:type="dxa"/>
            <w:noWrap w:val="0"/>
            <w:vAlign w:val="center"/>
          </w:tcPr>
          <w:p>
            <w:pPr>
              <w:spacing w:line="6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每少1份成果物报告扣1分，扣完为止。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11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完成及时性及质量</w:t>
            </w:r>
          </w:p>
        </w:tc>
        <w:tc>
          <w:tcPr>
            <w:tcW w:w="1125" w:type="dxa"/>
            <w:noWrap w:val="0"/>
            <w:vAlign w:val="center"/>
          </w:tcPr>
          <w:p>
            <w:pPr>
              <w:spacing w:line="6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未按要求时限完成或完成质量较差的,每发生1次扣2分。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56"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11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奖励激励</w:t>
            </w:r>
          </w:p>
        </w:tc>
        <w:tc>
          <w:tcPr>
            <w:tcW w:w="1125" w:type="dxa"/>
            <w:noWrap w:val="0"/>
            <w:vAlign w:val="center"/>
          </w:tcPr>
          <w:p>
            <w:pPr>
              <w:spacing w:line="600" w:lineRule="exact"/>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45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得到上级部门肯定的，每次加2分。</w:t>
            </w:r>
          </w:p>
        </w:tc>
      </w:tr>
    </w:tbl>
    <w:p>
      <w:pPr>
        <w:widowControl/>
        <w:spacing w:beforeLines="0" w:afterLines="0" w:line="360" w:lineRule="auto"/>
        <w:ind w:firstLine="480" w:firstLineChars="200"/>
        <w:jc w:val="left"/>
        <w:rPr>
          <w:rFonts w:ascii="仿宋" w:hAnsi="仿宋" w:eastAsia="仿宋" w:cs="仿宋"/>
          <w:color w:val="auto"/>
          <w:sz w:val="24"/>
          <w:szCs w:val="24"/>
          <w:lang w:bidi="ar"/>
        </w:rPr>
      </w:pPr>
      <w:r>
        <w:rPr>
          <w:rFonts w:hint="eastAsia" w:ascii="仿宋" w:hAnsi="仿宋" w:eastAsia="仿宋" w:cs="仿宋"/>
          <w:color w:val="auto"/>
          <w:sz w:val="24"/>
          <w:szCs w:val="24"/>
          <w:lang w:bidi="ar"/>
        </w:rPr>
        <w:t>备注：1.根据本项目招标文件要求及合同相关条款，按下述各项内容进行年度验收考核：</w:t>
      </w:r>
    </w:p>
    <w:p>
      <w:pPr>
        <w:widowControl/>
        <w:spacing w:beforeLines="0" w:afterLines="0" w:line="360" w:lineRule="auto"/>
        <w:ind w:firstLine="480" w:firstLineChars="200"/>
        <w:jc w:val="left"/>
        <w:rPr>
          <w:rFonts w:ascii="仿宋" w:hAnsi="仿宋" w:eastAsia="仿宋" w:cs="仿宋"/>
          <w:color w:val="auto"/>
          <w:sz w:val="24"/>
          <w:szCs w:val="24"/>
          <w:lang w:bidi="ar"/>
        </w:rPr>
      </w:pPr>
      <w:r>
        <w:rPr>
          <w:rFonts w:hint="eastAsia" w:ascii="仿宋" w:hAnsi="仿宋" w:eastAsia="仿宋" w:cs="仿宋"/>
          <w:color w:val="auto"/>
          <w:sz w:val="24"/>
          <w:szCs w:val="24"/>
          <w:lang w:bidi="ar"/>
        </w:rPr>
        <w:t>优秀：9</w:t>
      </w:r>
      <w:r>
        <w:rPr>
          <w:rFonts w:hint="eastAsia" w:ascii="仿宋" w:hAnsi="仿宋" w:eastAsia="仿宋" w:cs="仿宋"/>
          <w:color w:val="auto"/>
          <w:sz w:val="24"/>
          <w:szCs w:val="24"/>
          <w:lang w:val="en-US" w:eastAsia="zh-CN" w:bidi="ar"/>
        </w:rPr>
        <w:t>5</w:t>
      </w:r>
      <w:r>
        <w:rPr>
          <w:rFonts w:hint="eastAsia" w:ascii="仿宋" w:hAnsi="仿宋" w:eastAsia="仿宋" w:cs="仿宋"/>
          <w:color w:val="auto"/>
          <w:sz w:val="24"/>
          <w:szCs w:val="24"/>
          <w:lang w:bidi="ar"/>
        </w:rPr>
        <w:t>（含）—100分，支付当年度合同余款的100%；</w:t>
      </w:r>
    </w:p>
    <w:p>
      <w:pPr>
        <w:widowControl/>
        <w:spacing w:beforeLines="0" w:afterLines="0" w:line="360" w:lineRule="auto"/>
        <w:ind w:firstLine="480" w:firstLineChars="200"/>
        <w:jc w:val="left"/>
        <w:rPr>
          <w:rFonts w:ascii="仿宋" w:hAnsi="仿宋" w:eastAsia="仿宋" w:cs="仿宋"/>
          <w:color w:val="auto"/>
          <w:sz w:val="24"/>
          <w:szCs w:val="24"/>
          <w:lang w:bidi="ar"/>
        </w:rPr>
      </w:pPr>
      <w:r>
        <w:rPr>
          <w:rFonts w:hint="eastAsia" w:ascii="仿宋" w:hAnsi="仿宋" w:eastAsia="仿宋" w:cs="仿宋"/>
          <w:color w:val="auto"/>
          <w:sz w:val="24"/>
          <w:szCs w:val="24"/>
          <w:lang w:bidi="ar"/>
        </w:rPr>
        <w:t>良好：8</w:t>
      </w:r>
      <w:r>
        <w:rPr>
          <w:rFonts w:hint="eastAsia" w:ascii="仿宋" w:hAnsi="仿宋" w:eastAsia="仿宋" w:cs="仿宋"/>
          <w:color w:val="auto"/>
          <w:sz w:val="24"/>
          <w:szCs w:val="24"/>
          <w:lang w:val="en-US" w:eastAsia="zh-CN" w:bidi="ar"/>
        </w:rPr>
        <w:t>5</w:t>
      </w:r>
      <w:r>
        <w:rPr>
          <w:rFonts w:hint="eastAsia" w:ascii="仿宋" w:hAnsi="仿宋" w:eastAsia="仿宋" w:cs="仿宋"/>
          <w:color w:val="auto"/>
          <w:sz w:val="24"/>
          <w:szCs w:val="24"/>
          <w:lang w:bidi="ar"/>
        </w:rPr>
        <w:t>（含）—9</w:t>
      </w:r>
      <w:r>
        <w:rPr>
          <w:rFonts w:hint="eastAsia" w:ascii="仿宋" w:hAnsi="仿宋" w:eastAsia="仿宋" w:cs="仿宋"/>
          <w:color w:val="auto"/>
          <w:sz w:val="24"/>
          <w:szCs w:val="24"/>
          <w:lang w:val="en-US" w:eastAsia="zh-CN" w:bidi="ar"/>
        </w:rPr>
        <w:t>5</w:t>
      </w:r>
      <w:r>
        <w:rPr>
          <w:rFonts w:hint="eastAsia" w:ascii="仿宋" w:hAnsi="仿宋" w:eastAsia="仿宋" w:cs="仿宋"/>
          <w:color w:val="auto"/>
          <w:sz w:val="24"/>
          <w:szCs w:val="24"/>
          <w:lang w:bidi="ar"/>
        </w:rPr>
        <w:t>（不含）分，支付当年度合同余款的</w:t>
      </w:r>
      <w:r>
        <w:rPr>
          <w:rFonts w:hint="eastAsia" w:ascii="仿宋" w:hAnsi="仿宋" w:eastAsia="仿宋" w:cs="仿宋"/>
          <w:color w:val="auto"/>
          <w:sz w:val="24"/>
          <w:szCs w:val="24"/>
          <w:lang w:val="en-US" w:eastAsia="zh-CN" w:bidi="ar"/>
        </w:rPr>
        <w:t>90</w:t>
      </w:r>
      <w:r>
        <w:rPr>
          <w:rFonts w:hint="eastAsia" w:ascii="仿宋" w:hAnsi="仿宋" w:eastAsia="仿宋" w:cs="仿宋"/>
          <w:color w:val="auto"/>
          <w:sz w:val="24"/>
          <w:szCs w:val="24"/>
          <w:lang w:bidi="ar"/>
        </w:rPr>
        <w:t>%；</w:t>
      </w:r>
    </w:p>
    <w:p>
      <w:pPr>
        <w:widowControl/>
        <w:spacing w:beforeLines="0" w:afterLines="0" w:line="360" w:lineRule="auto"/>
        <w:ind w:firstLine="480" w:firstLineChars="200"/>
        <w:jc w:val="left"/>
        <w:rPr>
          <w:rFonts w:ascii="仿宋" w:hAnsi="仿宋" w:eastAsia="仿宋" w:cs="仿宋"/>
          <w:color w:val="auto"/>
          <w:sz w:val="24"/>
          <w:szCs w:val="24"/>
          <w:lang w:bidi="ar"/>
        </w:rPr>
      </w:pPr>
      <w:r>
        <w:rPr>
          <w:rFonts w:hint="eastAsia" w:ascii="仿宋" w:hAnsi="仿宋" w:eastAsia="仿宋" w:cs="仿宋"/>
          <w:color w:val="auto"/>
          <w:sz w:val="24"/>
          <w:szCs w:val="24"/>
          <w:lang w:bidi="ar"/>
        </w:rPr>
        <w:t>合格：7</w:t>
      </w:r>
      <w:r>
        <w:rPr>
          <w:rFonts w:hint="eastAsia" w:ascii="仿宋" w:hAnsi="仿宋" w:eastAsia="仿宋" w:cs="仿宋"/>
          <w:color w:val="auto"/>
          <w:sz w:val="24"/>
          <w:szCs w:val="24"/>
          <w:lang w:val="en-US" w:eastAsia="zh-CN" w:bidi="ar"/>
        </w:rPr>
        <w:t>5</w:t>
      </w:r>
      <w:r>
        <w:rPr>
          <w:rFonts w:hint="eastAsia" w:ascii="仿宋" w:hAnsi="仿宋" w:eastAsia="仿宋" w:cs="仿宋"/>
          <w:color w:val="auto"/>
          <w:sz w:val="24"/>
          <w:szCs w:val="24"/>
          <w:lang w:bidi="ar"/>
        </w:rPr>
        <w:t>（含）—8</w:t>
      </w:r>
      <w:r>
        <w:rPr>
          <w:rFonts w:hint="eastAsia" w:ascii="仿宋" w:hAnsi="仿宋" w:eastAsia="仿宋" w:cs="仿宋"/>
          <w:color w:val="auto"/>
          <w:sz w:val="24"/>
          <w:szCs w:val="24"/>
          <w:lang w:val="en-US" w:eastAsia="zh-CN" w:bidi="ar"/>
        </w:rPr>
        <w:t>5</w:t>
      </w:r>
      <w:r>
        <w:rPr>
          <w:rFonts w:hint="eastAsia" w:ascii="仿宋" w:hAnsi="仿宋" w:eastAsia="仿宋" w:cs="仿宋"/>
          <w:color w:val="auto"/>
          <w:sz w:val="24"/>
          <w:szCs w:val="24"/>
          <w:lang w:bidi="ar"/>
        </w:rPr>
        <w:t>（不含）分，支付当年度合同余款的</w:t>
      </w:r>
      <w:r>
        <w:rPr>
          <w:rFonts w:hint="eastAsia" w:ascii="仿宋" w:hAnsi="仿宋" w:eastAsia="仿宋" w:cs="仿宋"/>
          <w:color w:val="auto"/>
          <w:sz w:val="24"/>
          <w:szCs w:val="24"/>
          <w:lang w:val="en-US" w:eastAsia="zh-CN" w:bidi="ar"/>
        </w:rPr>
        <w:t>75</w:t>
      </w:r>
      <w:r>
        <w:rPr>
          <w:rFonts w:hint="eastAsia" w:ascii="仿宋" w:hAnsi="仿宋" w:eastAsia="仿宋" w:cs="仿宋"/>
          <w:color w:val="auto"/>
          <w:sz w:val="24"/>
          <w:szCs w:val="24"/>
          <w:lang w:bidi="ar"/>
        </w:rPr>
        <w:t>%；</w:t>
      </w:r>
    </w:p>
    <w:p>
      <w:pPr>
        <w:widowControl/>
        <w:spacing w:beforeLines="0" w:afterLines="0" w:line="360" w:lineRule="auto"/>
        <w:ind w:firstLine="480" w:firstLineChars="200"/>
        <w:jc w:val="left"/>
        <w:rPr>
          <w:rFonts w:hint="eastAsia" w:ascii="仿宋" w:hAnsi="仿宋" w:eastAsia="仿宋" w:cs="仿宋"/>
          <w:color w:val="000000"/>
          <w:sz w:val="24"/>
          <w:szCs w:val="24"/>
          <w:lang w:eastAsia="zh-CN" w:bidi="ar"/>
        </w:rPr>
      </w:pPr>
      <w:r>
        <w:rPr>
          <w:rFonts w:hint="eastAsia" w:ascii="仿宋" w:hAnsi="仿宋" w:eastAsia="仿宋" w:cs="仿宋"/>
          <w:color w:val="auto"/>
          <w:sz w:val="24"/>
          <w:szCs w:val="24"/>
          <w:lang w:bidi="ar"/>
        </w:rPr>
        <w:t>不合格：</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bidi="ar"/>
        </w:rPr>
        <w:t>0分以下需进行整改，</w:t>
      </w:r>
      <w:r>
        <w:rPr>
          <w:rFonts w:hint="eastAsia" w:ascii="仿宋" w:hAnsi="仿宋" w:eastAsia="仿宋" w:cs="仿宋"/>
          <w:color w:val="auto"/>
          <w:sz w:val="24"/>
          <w:szCs w:val="24"/>
          <w:lang w:val="en-US" w:eastAsia="zh-CN" w:bidi="ar"/>
        </w:rPr>
        <w:t>30个工作日内</w:t>
      </w:r>
      <w:r>
        <w:rPr>
          <w:rFonts w:hint="eastAsia" w:ascii="仿宋" w:hAnsi="仿宋" w:eastAsia="仿宋" w:cs="仿宋"/>
          <w:color w:val="auto"/>
          <w:sz w:val="24"/>
          <w:szCs w:val="24"/>
          <w:lang w:bidi="ar"/>
        </w:rPr>
        <w:t>经整改合格后支付当年合同余款的</w:t>
      </w:r>
      <w:r>
        <w:rPr>
          <w:rFonts w:hint="eastAsia" w:ascii="仿宋" w:hAnsi="仿宋" w:eastAsia="仿宋" w:cs="仿宋"/>
          <w:color w:val="auto"/>
          <w:sz w:val="24"/>
          <w:szCs w:val="24"/>
          <w:lang w:val="en-US" w:eastAsia="zh-CN" w:bidi="ar"/>
        </w:rPr>
        <w:t>50</w:t>
      </w:r>
      <w:r>
        <w:rPr>
          <w:rFonts w:hint="eastAsia" w:ascii="仿宋" w:hAnsi="仿宋" w:eastAsia="仿宋" w:cs="仿宋"/>
          <w:color w:val="auto"/>
          <w:sz w:val="24"/>
          <w:szCs w:val="24"/>
          <w:lang w:bidi="ar"/>
        </w:rPr>
        <w:t>%。</w:t>
      </w:r>
      <w:r>
        <w:rPr>
          <w:rFonts w:hint="eastAsia" w:ascii="仿宋" w:hAnsi="仿宋" w:eastAsia="仿宋" w:cs="仿宋"/>
          <w:color w:val="auto"/>
          <w:sz w:val="24"/>
          <w:szCs w:val="24"/>
          <w:lang w:val="en-US" w:eastAsia="zh-CN" w:bidi="ar"/>
        </w:rPr>
        <w:t>乙方超过约定日期30个工作日未</w:t>
      </w:r>
      <w:r>
        <w:rPr>
          <w:rFonts w:hint="eastAsia" w:ascii="仿宋" w:hAnsi="仿宋" w:eastAsia="仿宋" w:cs="仿宋"/>
          <w:color w:val="auto"/>
          <w:sz w:val="24"/>
          <w:szCs w:val="24"/>
          <w:lang w:bidi="ar"/>
        </w:rPr>
        <w:t>整改合格</w:t>
      </w:r>
      <w:r>
        <w:rPr>
          <w:rFonts w:hint="eastAsia" w:ascii="仿宋" w:hAnsi="仿宋" w:eastAsia="仿宋" w:cs="仿宋"/>
          <w:color w:val="auto"/>
          <w:sz w:val="24"/>
          <w:szCs w:val="24"/>
          <w:lang w:eastAsia="zh-CN" w:bidi="ar"/>
        </w:rPr>
        <w:t>或拒绝整改的，甲方可单方面解除合同。</w:t>
      </w:r>
    </w:p>
    <w:p>
      <w:pPr>
        <w:numPr>
          <w:ilvl w:val="0"/>
          <w:numId w:val="5"/>
        </w:numPr>
        <w:spacing w:beforeLines="0" w:afterLines="0" w:line="360" w:lineRule="auto"/>
        <w:ind w:firstLine="480" w:firstLineChars="200"/>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eastAsia="zh-CN" w:bidi="ar"/>
        </w:rPr>
        <w:t>采购人</w:t>
      </w:r>
      <w:r>
        <w:rPr>
          <w:rFonts w:hint="eastAsia" w:ascii="仿宋" w:hAnsi="仿宋" w:eastAsia="仿宋" w:cs="仿宋"/>
          <w:color w:val="000000"/>
          <w:sz w:val="24"/>
          <w:szCs w:val="24"/>
          <w:lang w:bidi="ar"/>
        </w:rPr>
        <w:t>可以根据实际运行情况，</w:t>
      </w:r>
      <w:r>
        <w:rPr>
          <w:rFonts w:hint="eastAsia" w:ascii="仿宋" w:hAnsi="仿宋" w:eastAsia="仿宋" w:cs="仿宋"/>
          <w:color w:val="000000"/>
          <w:sz w:val="24"/>
          <w:szCs w:val="24"/>
          <w:lang w:eastAsia="zh-CN" w:bidi="ar"/>
        </w:rPr>
        <w:t>在未超出招标文件中服务需求范围的前提下</w:t>
      </w:r>
      <w:r>
        <w:rPr>
          <w:rFonts w:hint="eastAsia" w:ascii="仿宋" w:hAnsi="仿宋" w:eastAsia="仿宋" w:cs="仿宋"/>
          <w:color w:val="000000"/>
          <w:sz w:val="24"/>
          <w:szCs w:val="24"/>
          <w:lang w:bidi="ar"/>
        </w:rPr>
        <w:t>，变更或增加相关考核内容。</w:t>
      </w:r>
    </w:p>
    <w:p>
      <w:pPr>
        <w:pStyle w:val="6"/>
        <w:numPr>
          <w:ilvl w:val="0"/>
          <w:numId w:val="0"/>
        </w:numPr>
        <w:tabs>
          <w:tab w:val="left" w:pos="2813"/>
        </w:tabs>
        <w:rPr>
          <w:rFonts w:ascii="方正仿宋_GB2312" w:hAnsi="方正仿宋_GB2312" w:cs="方正仿宋_GB2312"/>
          <w:sz w:val="24"/>
        </w:rPr>
      </w:pPr>
      <w:r>
        <w:rPr>
          <w:rFonts w:hint="eastAsia" w:ascii="方正仿宋_GB2312" w:hAnsi="方正仿宋_GB2312"/>
          <w:lang w:eastAsia="zh-CN"/>
        </w:rPr>
        <w:t>八、</w:t>
      </w:r>
      <w:r>
        <w:rPr>
          <w:rFonts w:hint="eastAsia" w:ascii="方正仿宋_GB2312" w:hAnsi="方正仿宋_GB2312"/>
        </w:rPr>
        <w:t>商务要求</w:t>
      </w:r>
      <w:r>
        <w:rPr>
          <w:rFonts w:ascii="方正仿宋_GB2312" w:hAnsi="方正仿宋_GB2312"/>
        </w:rPr>
        <w:tab/>
      </w:r>
    </w:p>
    <w:p>
      <w:pPr>
        <w:widowControl/>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1、报价基本要求：报价中必须包括2024年1月- 2026年12月湖州市</w:t>
      </w:r>
      <w:bookmarkStart w:id="47" w:name="_Hlk152752623"/>
      <w:r>
        <w:rPr>
          <w:rFonts w:hint="eastAsia" w:ascii="方正仿宋_GB2312" w:hAnsi="方正仿宋_GB2312" w:eastAsia="方正仿宋_GB2312" w:cs="方正仿宋_GB2312"/>
          <w:b/>
          <w:bCs/>
          <w:sz w:val="24"/>
        </w:rPr>
        <w:t>医疗保障局</w:t>
      </w:r>
      <w:bookmarkEnd w:id="47"/>
      <w:r>
        <w:rPr>
          <w:rFonts w:hint="eastAsia" w:ascii="方正仿宋_GB2312" w:hAnsi="方正仿宋_GB2312" w:eastAsia="方正仿宋_GB2312" w:cs="方正仿宋_GB2312"/>
          <w:b/>
          <w:bCs/>
          <w:sz w:val="24"/>
        </w:rPr>
        <w:t>疾病相关分组（DRGS）结合点数法医保支付专业化服务项目所需的一切费用，包括但不限于综合服务费（含人力成本）、与采购人业务系统对接费用、特病单议现场会专家费、培训费（行业专家的住宿费用、交通费用以及劳务费用等）、全额含税发票、合同实施过程中的应预见和不可预见费用等，采购人不再为此次采购支付任何其他费用。若产生验收费用由中标人支付。</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2、付款方式：</w:t>
      </w:r>
    </w:p>
    <w:p>
      <w:pPr>
        <w:spacing w:line="360" w:lineRule="auto"/>
        <w:ind w:firstLine="480" w:firstLineChars="200"/>
        <w:jc w:val="left"/>
        <w:rPr>
          <w:rFonts w:hint="eastAsia" w:ascii="方正仿宋_GB2312" w:hAnsi="方正仿宋_GB2312" w:eastAsia="方正仿宋_GB2312" w:cs="方正仿宋_GB2312"/>
          <w:kern w:val="2"/>
          <w:sz w:val="24"/>
          <w:lang w:eastAsia="zh-CN"/>
        </w:rPr>
      </w:pPr>
      <w:r>
        <w:rPr>
          <w:rFonts w:hint="eastAsia" w:ascii="方正仿宋_GB2312" w:hAnsi="方正仿宋_GB2312" w:eastAsia="方正仿宋_GB2312" w:cs="方正仿宋_GB2312"/>
          <w:kern w:val="2"/>
          <w:sz w:val="24"/>
          <w:lang w:val="en-US" w:eastAsia="zh-CN"/>
        </w:rPr>
        <w:t>1）</w:t>
      </w:r>
      <w:r>
        <w:rPr>
          <w:rFonts w:hint="eastAsia" w:ascii="方正仿宋_GB2312" w:hAnsi="方正仿宋_GB2312" w:eastAsia="方正仿宋_GB2312" w:cs="方正仿宋_GB2312"/>
          <w:kern w:val="2"/>
          <w:sz w:val="24"/>
        </w:rPr>
        <w:t>签订成交合同后，甲方将在财政预算批复资金到位后，按年服务费的</w:t>
      </w:r>
      <w:r>
        <w:rPr>
          <w:rFonts w:hint="eastAsia" w:ascii="方正仿宋_GB2312" w:hAnsi="方正仿宋_GB2312" w:eastAsia="方正仿宋_GB2312" w:cs="方正仿宋_GB2312"/>
          <w:kern w:val="2"/>
          <w:sz w:val="24"/>
          <w:lang w:val="en-US" w:eastAsia="zh-CN"/>
        </w:rPr>
        <w:t>4</w:t>
      </w:r>
      <w:r>
        <w:rPr>
          <w:rFonts w:hint="eastAsia" w:ascii="方正仿宋_GB2312" w:hAnsi="方正仿宋_GB2312" w:eastAsia="方正仿宋_GB2312" w:cs="方正仿宋_GB2312"/>
          <w:kern w:val="2"/>
          <w:sz w:val="24"/>
        </w:rPr>
        <w:t>0%支付</w:t>
      </w:r>
      <w:r>
        <w:rPr>
          <w:rFonts w:hint="eastAsia" w:ascii="方正仿宋_GB2312" w:hAnsi="方正仿宋_GB2312" w:eastAsia="方正仿宋_GB2312" w:cs="方正仿宋_GB2312"/>
          <w:kern w:val="2"/>
          <w:sz w:val="24"/>
          <w:lang w:eastAsia="zh-CN"/>
        </w:rPr>
        <w:t>当年度预付款</w:t>
      </w:r>
      <w:r>
        <w:rPr>
          <w:rFonts w:hint="eastAsia" w:ascii="方正仿宋_GB2312" w:hAnsi="方正仿宋_GB2312" w:eastAsia="方正仿宋_GB2312" w:cs="方正仿宋_GB2312"/>
          <w:kern w:val="2"/>
          <w:sz w:val="24"/>
        </w:rPr>
        <w:t>；</w:t>
      </w:r>
    </w:p>
    <w:p>
      <w:pPr>
        <w:spacing w:line="360" w:lineRule="auto"/>
        <w:ind w:firstLine="480" w:firstLineChars="200"/>
        <w:jc w:val="left"/>
        <w:rPr>
          <w:rFonts w:hint="eastAsia" w:ascii="方正仿宋_GB2312" w:hAnsi="方正仿宋_GB2312" w:eastAsia="方正仿宋_GB2312" w:cs="方正仿宋_GB2312"/>
          <w:kern w:val="2"/>
          <w:sz w:val="24"/>
          <w:u w:val="none"/>
          <w:lang w:eastAsia="zh-CN"/>
        </w:rPr>
      </w:pPr>
      <w:r>
        <w:rPr>
          <w:rFonts w:hint="eastAsia" w:ascii="方正仿宋_GB2312" w:hAnsi="方正仿宋_GB2312" w:eastAsia="方正仿宋_GB2312" w:cs="方正仿宋_GB2312"/>
          <w:kern w:val="2"/>
          <w:sz w:val="24"/>
          <w:u w:val="none"/>
          <w:lang w:val="en-US" w:eastAsia="zh-CN"/>
        </w:rPr>
        <w:t>2）</w:t>
      </w:r>
      <w:r>
        <w:rPr>
          <w:rFonts w:hint="eastAsia" w:ascii="方正仿宋_GB2312" w:hAnsi="方正仿宋_GB2312" w:eastAsia="方正仿宋_GB2312" w:cs="方正仿宋_GB2312"/>
          <w:kern w:val="2"/>
          <w:sz w:val="24"/>
          <w:u w:val="none"/>
        </w:rPr>
        <w:t>按甲方所确定的</w:t>
      </w:r>
      <w:r>
        <w:rPr>
          <w:rFonts w:hint="eastAsia" w:ascii="方正仿宋_GB2312" w:hAnsi="方正仿宋_GB2312" w:eastAsia="方正仿宋_GB2312" w:cs="方正仿宋_GB2312"/>
          <w:kern w:val="2"/>
          <w:sz w:val="24"/>
          <w:u w:val="none"/>
          <w:lang w:eastAsia="zh-CN"/>
        </w:rPr>
        <w:t>服务需求</w:t>
      </w:r>
      <w:r>
        <w:rPr>
          <w:rFonts w:hint="eastAsia" w:ascii="方正仿宋_GB2312" w:hAnsi="方正仿宋_GB2312" w:eastAsia="方正仿宋_GB2312" w:cs="方正仿宋_GB2312"/>
          <w:kern w:val="2"/>
          <w:sz w:val="24"/>
          <w:u w:val="none"/>
        </w:rPr>
        <w:t>正式且平稳运行服务3个月后，甲方将支付年服务费</w:t>
      </w:r>
      <w:r>
        <w:rPr>
          <w:rFonts w:hint="eastAsia" w:ascii="方正仿宋_GB2312" w:hAnsi="方正仿宋_GB2312" w:eastAsia="方正仿宋_GB2312" w:cs="方正仿宋_GB2312"/>
          <w:kern w:val="2"/>
          <w:sz w:val="24"/>
          <w:u w:val="none"/>
          <w:lang w:val="en-US" w:eastAsia="zh-CN"/>
        </w:rPr>
        <w:t>5</w:t>
      </w:r>
      <w:r>
        <w:rPr>
          <w:rFonts w:hint="eastAsia" w:ascii="方正仿宋_GB2312" w:hAnsi="方正仿宋_GB2312" w:eastAsia="方正仿宋_GB2312" w:cs="方正仿宋_GB2312"/>
          <w:kern w:val="2"/>
          <w:sz w:val="24"/>
          <w:u w:val="none"/>
        </w:rPr>
        <w:t>0% 的款项</w:t>
      </w:r>
      <w:r>
        <w:rPr>
          <w:rFonts w:hint="eastAsia" w:ascii="方正仿宋_GB2312" w:hAnsi="方正仿宋_GB2312" w:eastAsia="方正仿宋_GB2312" w:cs="方正仿宋_GB2312"/>
          <w:kern w:val="2"/>
          <w:sz w:val="24"/>
          <w:u w:val="none"/>
          <w:lang w:eastAsia="zh-CN"/>
        </w:rPr>
        <w:t>；</w:t>
      </w:r>
    </w:p>
    <w:p>
      <w:pPr>
        <w:widowControl/>
        <w:spacing w:line="360" w:lineRule="auto"/>
        <w:ind w:firstLine="480" w:firstLineChars="200"/>
        <w:jc w:val="left"/>
        <w:rPr>
          <w:rFonts w:hint="eastAsia" w:ascii="方正仿宋_GB2312" w:hAnsi="方正仿宋_GB2312" w:eastAsia="方正仿宋_GB2312" w:cs="方正仿宋_GB2312"/>
          <w:kern w:val="2"/>
          <w:sz w:val="24"/>
          <w:u w:val="none"/>
        </w:rPr>
      </w:pPr>
      <w:r>
        <w:rPr>
          <w:rFonts w:hint="eastAsia" w:ascii="方正仿宋_GB2312" w:hAnsi="方正仿宋_GB2312" w:eastAsia="方正仿宋_GB2312" w:cs="方正仿宋_GB2312"/>
          <w:kern w:val="2"/>
          <w:sz w:val="24"/>
          <w:u w:val="none"/>
          <w:lang w:val="en-US" w:eastAsia="zh-CN"/>
        </w:rPr>
        <w:t>3）</w:t>
      </w:r>
      <w:r>
        <w:rPr>
          <w:rFonts w:hint="eastAsia" w:ascii="方正仿宋_GB2312" w:hAnsi="方正仿宋_GB2312" w:eastAsia="方正仿宋_GB2312" w:cs="方正仿宋_GB2312"/>
          <w:kern w:val="2"/>
          <w:sz w:val="24"/>
          <w:u w:val="none"/>
        </w:rPr>
        <w:t>按项目要求持续运行服务满一整年，且完成第一个完整年度基金决算1个月后，且无重大问题发生，服务和建设内容各方面均达到合同要求，所出具的年度基金决算报告经双方验收合格后的十个工作日内，甲方根据年度考核结果，确定当年度服务费总额，并支付当年度剩余服务费用。</w:t>
      </w:r>
    </w:p>
    <w:p>
      <w:pPr>
        <w:widowControl/>
        <w:spacing w:line="360" w:lineRule="auto"/>
        <w:ind w:firstLine="480" w:firstLineChars="200"/>
        <w:jc w:val="left"/>
        <w:rPr>
          <w:rFonts w:hint="eastAsia" w:ascii="方正仿宋_GB2312" w:hAnsi="方正仿宋_GB2312" w:eastAsia="方正仿宋_GB2312" w:cs="方正仿宋_GB2312"/>
          <w:kern w:val="2"/>
          <w:sz w:val="24"/>
          <w:lang w:eastAsia="zh-CN"/>
        </w:rPr>
      </w:pPr>
      <w:r>
        <w:rPr>
          <w:rFonts w:hint="eastAsia" w:ascii="方正仿宋_GB2312" w:hAnsi="方正仿宋_GB2312" w:eastAsia="方正仿宋_GB2312" w:cs="方正仿宋_GB2312"/>
          <w:kern w:val="2"/>
          <w:sz w:val="24"/>
          <w:u w:val="none"/>
          <w:lang w:val="en-US" w:eastAsia="zh-CN"/>
        </w:rPr>
        <w:t>4</w:t>
      </w:r>
      <w:r>
        <w:rPr>
          <w:rFonts w:hint="eastAsia" w:ascii="方正仿宋_GB2312" w:hAnsi="方正仿宋_GB2312" w:eastAsia="方正仿宋_GB2312" w:cs="方正仿宋_GB2312"/>
          <w:kern w:val="2"/>
          <w:sz w:val="24"/>
          <w:u w:val="none"/>
          <w:lang w:eastAsia="zh-CN"/>
        </w:rPr>
        <w:t>）后续新一年度合同签订后，采购人在</w:t>
      </w:r>
      <w:r>
        <w:rPr>
          <w:rFonts w:hint="eastAsia" w:ascii="方正仿宋_GB2312" w:hAnsi="方正仿宋_GB2312" w:eastAsia="方正仿宋_GB2312" w:cs="方正仿宋_GB2312"/>
          <w:kern w:val="2"/>
          <w:sz w:val="24"/>
          <w:u w:val="none"/>
        </w:rPr>
        <w:t>财政预算批复资金到位后，按年服务费的</w:t>
      </w:r>
      <w:r>
        <w:rPr>
          <w:rFonts w:hint="eastAsia" w:ascii="方正仿宋_GB2312" w:hAnsi="方正仿宋_GB2312" w:eastAsia="方正仿宋_GB2312" w:cs="方正仿宋_GB2312"/>
          <w:kern w:val="2"/>
          <w:sz w:val="24"/>
          <w:u w:val="none"/>
          <w:lang w:val="en-US" w:eastAsia="zh-CN"/>
        </w:rPr>
        <w:t>4</w:t>
      </w:r>
      <w:r>
        <w:rPr>
          <w:rFonts w:hint="eastAsia" w:ascii="方正仿宋_GB2312" w:hAnsi="方正仿宋_GB2312" w:eastAsia="方正仿宋_GB2312" w:cs="方正仿宋_GB2312"/>
          <w:kern w:val="2"/>
          <w:sz w:val="24"/>
          <w:u w:val="none"/>
        </w:rPr>
        <w:t>0%支付</w:t>
      </w:r>
      <w:r>
        <w:rPr>
          <w:rFonts w:hint="eastAsia" w:ascii="方正仿宋_GB2312" w:hAnsi="方正仿宋_GB2312" w:eastAsia="方正仿宋_GB2312" w:cs="方正仿宋_GB2312"/>
          <w:kern w:val="2"/>
          <w:sz w:val="24"/>
          <w:u w:val="none"/>
          <w:lang w:eastAsia="zh-CN"/>
        </w:rPr>
        <w:t>当年度预付款，按照项目服务需求运行</w:t>
      </w:r>
      <w:r>
        <w:rPr>
          <w:rFonts w:hint="eastAsia" w:ascii="方正仿宋_GB2312" w:hAnsi="方正仿宋_GB2312" w:eastAsia="方正仿宋_GB2312" w:cs="方正仿宋_GB2312"/>
          <w:kern w:val="2"/>
          <w:sz w:val="24"/>
          <w:u w:val="none"/>
          <w:lang w:val="en-US" w:eastAsia="zh-CN"/>
        </w:rPr>
        <w:t>6</w:t>
      </w:r>
      <w:r>
        <w:rPr>
          <w:rFonts w:hint="eastAsia" w:ascii="方正仿宋_GB2312" w:hAnsi="方正仿宋_GB2312" w:eastAsia="方正仿宋_GB2312" w:cs="方正仿宋_GB2312"/>
          <w:kern w:val="2"/>
          <w:sz w:val="24"/>
          <w:u w:val="none"/>
          <w:lang w:eastAsia="zh-CN"/>
        </w:rPr>
        <w:t>个月后支付年服务费的</w:t>
      </w:r>
      <w:r>
        <w:rPr>
          <w:rFonts w:hint="eastAsia" w:ascii="方正仿宋_GB2312" w:hAnsi="方正仿宋_GB2312" w:eastAsia="方正仿宋_GB2312" w:cs="方正仿宋_GB2312"/>
          <w:kern w:val="2"/>
          <w:sz w:val="24"/>
          <w:u w:val="none"/>
          <w:lang w:val="en-US" w:eastAsia="zh-CN"/>
        </w:rPr>
        <w:t>50％，剩余费用参照前款约定支付。</w:t>
      </w:r>
    </w:p>
    <w:p>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注：1）中标供应商在接到采购人通知后的七个工作日内将增值税发票送达采购人，采购人在收到中标供应商发票后于七个工作日内以转账的方式支付给中标供应商；</w:t>
      </w:r>
    </w:p>
    <w:p>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2）税费：本服务执行中相关的一切税费均由中标供应商负担；</w:t>
      </w:r>
    </w:p>
    <w:p>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3）若中标供应商明确表示无需预付款或者主动要求降低预付款比例的，采购人可不适用前述规定。</w:t>
      </w:r>
    </w:p>
    <w:p>
      <w:pPr>
        <w:spacing w:line="360" w:lineRule="auto"/>
        <w:outlineLvl w:val="1"/>
        <w:rPr>
          <w:rFonts w:hint="eastAsia" w:ascii="方正仿宋_GB2312" w:hAnsi="方正仿宋_GB2312" w:eastAsia="方正仿宋_GB2312" w:cs="方正仿宋_GB2312"/>
          <w:b/>
          <w:bCs/>
          <w:kern w:val="0"/>
          <w:sz w:val="24"/>
        </w:rPr>
      </w:pPr>
    </w:p>
    <w:p>
      <w:pPr>
        <w:spacing w:line="360" w:lineRule="auto"/>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注：扶持政策说明：</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1.本项目采购标的对应的中小企业划分标准所属行业为软件和信息技术服务行业。</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2.依据《政府采购促进中小企业发展管理办法》（财库【2020】46号）规定享受扶持政策获得政府采购合同的，小微企业不得将合同分包给大中型企业，中型企业不得将合同分包给大型企业。</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4.符合中小企业划分标准的个体工商户，在政府采购活动中视同中小企业。</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5.在政府采购活动中，供应商提供的货物、工程或者服务符合下列情形的，享受本办法规定的中小企业扶持政策：</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6.在货物采购项目中，货物由中小企业制造，即货物由中小企业生产且使用该中小企业商号或者注册商标；</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1）在工程采购项目中，工程由中小企业承建，即工程施工单位为中小企业；</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2）在服务采购项目中，服务由中小企业承接，即提供服务的人员为中小企业依照《中华人民共和国劳动合同法》订立劳动合同的从业人员。</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3）在货物采购项目中，供应商提供的货物既有中小企业制造货物，也有大型企业制造货物的，不享受本办法规定的中小企业扶持政策。</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7.以联合体形式参加政府采购活动，联合体各方均为中小企业的，联合体视同中小企业。其中，联合体各方均为小微企业的，联合体视同小微企业。</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8.监狱企业参加政府采购提供《监狱企业声明函》（见附件）及其相关的充分的证明材料的，视为小型、微型企业，享受小微企业政策扶持；监狱企业属于小型、微型企业的，不重复享受政策。</w:t>
      </w:r>
    </w:p>
    <w:p>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9.残疾人福利性单位参加政府采购提供《残疾人福利性单位声明函》（格式见附件），视为小型、微型企业，享受小微企业政策扶持；残疾人福利性单位属于小型、微型企业的，不重复享受政策。</w:t>
      </w:r>
    </w:p>
    <w:p>
      <w:pPr>
        <w:spacing w:line="360" w:lineRule="auto"/>
        <w:ind w:firstLine="482" w:firstLineChars="200"/>
        <w:outlineLvl w:val="1"/>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kern w:val="0"/>
          <w:sz w:val="24"/>
        </w:rPr>
        <w:t>10.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widowControl/>
        <w:jc w:val="left"/>
        <w:rPr>
          <w:sz w:val="24"/>
        </w:rPr>
      </w:pPr>
      <w:r>
        <w:rPr>
          <w:sz w:val="24"/>
        </w:rPr>
        <w:br w:type="page"/>
      </w:r>
    </w:p>
    <w:p>
      <w:pPr>
        <w:pStyle w:val="5"/>
        <w:spacing w:before="0" w:after="0" w:line="360" w:lineRule="auto"/>
        <w:jc w:val="center"/>
        <w:rPr>
          <w:rFonts w:ascii="方正仿宋_GB2312" w:hAnsi="方正仿宋_GB2312" w:eastAsia="方正仿宋_GB2312" w:cs="方正仿宋_GB2312"/>
          <w:sz w:val="36"/>
          <w:szCs w:val="36"/>
        </w:rPr>
      </w:pPr>
      <w:bookmarkStart w:id="48" w:name="_Toc1861"/>
      <w:bookmarkStart w:id="49" w:name="_Toc706"/>
      <w:r>
        <w:rPr>
          <w:rFonts w:hint="eastAsia" w:ascii="方正仿宋_GB2312" w:hAnsi="方正仿宋_GB2312" w:eastAsia="方正仿宋_GB2312" w:cs="方正仿宋_GB2312"/>
          <w:sz w:val="36"/>
          <w:szCs w:val="36"/>
        </w:rPr>
        <w:t>第三章  投标供应商须知</w:t>
      </w:r>
      <w:bookmarkEnd w:id="5"/>
      <w:bookmarkEnd w:id="48"/>
      <w:bookmarkEnd w:id="49"/>
    </w:p>
    <w:p>
      <w:pPr>
        <w:pStyle w:val="6"/>
        <w:jc w:val="center"/>
      </w:pPr>
      <w:r>
        <w:rPr>
          <w:rFonts w:hint="eastAsia"/>
        </w:rPr>
        <w:t>前附表</w:t>
      </w:r>
    </w:p>
    <w:tbl>
      <w:tblPr>
        <w:tblStyle w:val="6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项目名称：</w:t>
            </w:r>
            <w:r>
              <w:rPr>
                <w:rFonts w:hint="eastAsia" w:ascii="方正仿宋_GB2312" w:hAnsi="方正仿宋_GB2312" w:eastAsia="方正仿宋_GB2312" w:cs="方正仿宋_GB2312"/>
                <w:sz w:val="24"/>
              </w:rPr>
              <w:t>湖州市医疗保障局疾病相关分组（DRGS）结合点数法医保支付专业化服务项目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采购内容：</w:t>
            </w:r>
            <w:r>
              <w:rPr>
                <w:rFonts w:hint="eastAsia" w:ascii="方正仿宋_GB2312" w:hAnsi="方正仿宋_GB2312" w:eastAsia="方正仿宋_GB2312" w:cs="方正仿宋_GB2312"/>
                <w:sz w:val="24"/>
              </w:rPr>
              <w:t>见采购文件第二章。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方正仿宋_GB2312" w:hAnsi="方正仿宋_GB2312" w:eastAsia="方正仿宋_GB2312" w:cs="方正仿宋_GB2312"/>
                <w:sz w:val="24"/>
                <w:lang w:val="en-US"/>
              </w:rPr>
            </w:pPr>
            <w:r>
              <w:rPr>
                <w:rFonts w:hint="eastAsia" w:ascii="方正仿宋_GB2312" w:hAnsi="方正仿宋_GB2312" w:eastAsia="方正仿宋_GB2312" w:cs="方正仿宋_GB2312"/>
                <w:b/>
                <w:bCs/>
                <w:sz w:val="24"/>
              </w:rPr>
              <w:t>采购预算：</w:t>
            </w:r>
            <w:r>
              <w:rPr>
                <w:rFonts w:hint="eastAsia" w:ascii="方正仿宋_GB2312" w:hAnsi="方正仿宋_GB2312" w:eastAsia="方正仿宋_GB2312" w:cs="方正仿宋_GB2312"/>
                <w:b w:val="0"/>
                <w:bCs w:val="0"/>
                <w:sz w:val="24"/>
                <w:lang w:val="en-US" w:eastAsia="zh-CN"/>
              </w:rPr>
              <w:t>645.01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b/>
                <w:bCs/>
                <w:sz w:val="24"/>
              </w:rPr>
              <w:t>投标报价及费用：</w:t>
            </w:r>
            <w:r>
              <w:rPr>
                <w:rFonts w:hint="eastAsia" w:ascii="方正仿宋_GB2312" w:hAnsi="方正仿宋_GB2312" w:eastAsia="方正仿宋_GB2312" w:cs="方正仿宋_GB2312"/>
                <w:sz w:val="24"/>
              </w:rPr>
              <w:t>1.本项目投标应以人民币报价；2.不论投标结果如何，投标供应商均应自行承担所有与投标有关的全部费用；3.本项目采购代理服务费按</w:t>
            </w:r>
            <w:r>
              <w:rPr>
                <w:rFonts w:hint="eastAsia" w:ascii="方正仿宋_GB2312" w:hAnsi="方正仿宋_GB2312" w:eastAsia="方正仿宋_GB2312" w:cs="方正仿宋_GB2312"/>
                <w:sz w:val="24"/>
                <w:lang w:eastAsia="zh-CN"/>
              </w:rPr>
              <w:t>53525</w:t>
            </w:r>
            <w:r>
              <w:rPr>
                <w:rFonts w:hint="eastAsia" w:ascii="方正仿宋_GB2312" w:hAnsi="方正仿宋_GB2312" w:eastAsia="方正仿宋_GB2312" w:cs="方正仿宋_GB2312"/>
                <w:sz w:val="24"/>
              </w:rPr>
              <w:t>元整收取，由中标供应商全额支付</w:t>
            </w:r>
            <w:r>
              <w:rPr>
                <w:rFonts w:hint="eastAsia" w:ascii="方正仿宋_GB2312" w:hAnsi="方正仿宋_GB2312" w:eastAsia="方正仿宋_GB2312" w:cs="方正仿宋_GB2312"/>
                <w:color w:val="000000"/>
                <w:sz w:val="24"/>
              </w:rPr>
              <w:t>，投标供应商应自行考虑列入投标报价。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b/>
                <w:bCs/>
                <w:sz w:val="24"/>
              </w:rPr>
              <w:t>答疑与澄清：</w:t>
            </w:r>
            <w:r>
              <w:rPr>
                <w:rFonts w:hint="eastAsia" w:ascii="方正仿宋_GB2312" w:hAnsi="方正仿宋_GB2312" w:eastAsia="方正仿宋_GB2312" w:cs="方正仿宋_GB2312"/>
                <w:sz w:val="24"/>
              </w:rPr>
              <w:t>供货商如认为采购文件表述不清晰、存在歧视性或者其他违法内容的，可以在 202</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 xml:space="preserve">年  </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 xml:space="preserve"> 月  </w:t>
            </w:r>
            <w:r>
              <w:rPr>
                <w:rFonts w:hint="eastAsia" w:ascii="方正仿宋_GB2312" w:hAnsi="方正仿宋_GB2312" w:eastAsia="方正仿宋_GB2312" w:cs="方正仿宋_GB2312"/>
                <w:sz w:val="24"/>
                <w:lang w:val="en-US" w:eastAsia="zh-CN"/>
              </w:rPr>
              <w:t>26</w:t>
            </w:r>
            <w:r>
              <w:rPr>
                <w:rFonts w:hint="eastAsia" w:ascii="方正仿宋_GB2312" w:hAnsi="方正仿宋_GB2312" w:eastAsia="方正仿宋_GB2312" w:cs="方正仿宋_GB2312"/>
                <w:sz w:val="24"/>
              </w:rPr>
              <w:t xml:space="preserve"> 日16:30 时 前以书面（含传真）向采购人、采购代理机构提出质疑，根据《中华人民共和国财政部令第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采购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1.投标文件组成：</w:t>
            </w:r>
            <w:r>
              <w:rPr>
                <w:rFonts w:hint="eastAsia" w:ascii="方正仿宋_GB2312" w:hAnsi="方正仿宋_GB2312" w:eastAsia="方正仿宋_GB2312" w:cs="方正仿宋_GB2312"/>
                <w:sz w:val="24"/>
              </w:rPr>
              <w:t>《资格文件》《技术商务资信及其他文件》《报价文件》三部分组成。</w:t>
            </w:r>
          </w:p>
          <w:p>
            <w:pPr>
              <w:snapToGrid w:val="0"/>
              <w:spacing w:line="360" w:lineRule="auto"/>
              <w:ind w:firstLine="0" w:firstLineChars="0"/>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rPr>
              <w:t>2.投标文件编制：</w:t>
            </w:r>
            <w:r>
              <w:rPr>
                <w:rFonts w:hint="eastAsia" w:ascii="方正仿宋_GB2312" w:hAnsi="方正仿宋_GB2312" w:eastAsia="方正仿宋_GB2312" w:cs="方正仿宋_GB2312"/>
                <w:sz w:val="24"/>
              </w:rPr>
              <w:t>投标供应商应先安装“政采云电子交易客户端”，并按照本采购文件和“政府采购云平台”的要求，通过“政采云电子交易客户端”编制并加密投标文件。</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（1）“电子加密投标文件”是指通过“政采云电子交易客户端”完成投标文件编制后生成并加密的数据电文形式的投标文件。</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（2）“备份投标文件”是指与“电子加密投标文件”同时生成的数据电文形式的电子文件（备份标书），其他方式编制的备份投标文件视为无效备份投标文件。</w:t>
            </w:r>
          </w:p>
          <w:p>
            <w:pPr>
              <w:snapToGrid w:val="0"/>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4.投标文件份数：</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（1）“电子加密投标文件”：在线上传递交一份。</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（2）“备份投标文件”：如果投标供应商在“政府采购云平台”完成的“电子加密投标文件”出现故障后，如供应商提交了符合条件的备份投标文件的，可以在30分钟内上传数据电文形式的“备份投标文件”。</w:t>
            </w:r>
          </w:p>
          <w:p>
            <w:pPr>
              <w:snapToGrid w:val="0"/>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5.投标文件的上传和递交：</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（1）“电子加密投标文件”的上传、递交：</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a.投标供应商应在投标截止时间前将“电子加密投标文件”成功上传递交至“政府采购云平台”，否则投标无效。</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b.“电子加密投标文件”成功上传递交后，投标供应商可自行打印投标文件接收回执。</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（2）“备份投标文件”的上传、递交：</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a.如果投标供应商在“政府采购云平台”完成的“电子加密投标文件”出现故障（</w:t>
            </w:r>
            <w:r>
              <w:rPr>
                <w:rFonts w:hint="eastAsia" w:ascii="方正仿宋_GB2312" w:hAnsi="方正仿宋_GB2312" w:eastAsia="方正仿宋_GB2312" w:cs="方正仿宋_GB2312"/>
                <w:kern w:val="0"/>
                <w:sz w:val="24"/>
              </w:rPr>
              <w:t>遗失CA或其他原因</w:t>
            </w:r>
            <w:r>
              <w:rPr>
                <w:rFonts w:hint="eastAsia" w:ascii="方正仿宋_GB2312" w:hAnsi="方正仿宋_GB2312" w:eastAsia="方正仿宋_GB2312" w:cs="方正仿宋_GB2312"/>
                <w:sz w:val="24"/>
              </w:rPr>
              <w:t>）后，须在30分钟内上传数据电文形式的“备份投标文件”；</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snapToGrid w:val="0"/>
              <w:spacing w:line="360" w:lineRule="auto"/>
              <w:ind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（3）所有投标文件逾期解密的视作无效标。</w:t>
            </w:r>
          </w:p>
          <w:p>
            <w:pPr>
              <w:snapToGrid w:val="0"/>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6.电子加密投标文件的解密和异常情况处理：</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（1）开标后，采购代理机构将向各投标供应商发出“电子加密投标文件”的解密通知，各投标供应商代表应当在接到解密通知后30分钟内自行完成“电子加密投标文件”的在线解密。</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（2）通过“政府采购云平台”成功上传“电子加密投标文件”的投标供应商，</w:t>
            </w:r>
            <w:r>
              <w:rPr>
                <w:rFonts w:hint="eastAsia" w:ascii="方正仿宋_GB2312" w:hAnsi="方正仿宋_GB2312" w:eastAsia="方正仿宋_GB2312" w:cs="方正仿宋_GB2312"/>
                <w:kern w:val="0"/>
                <w:sz w:val="24"/>
              </w:rPr>
              <w:t>因遗失CA或其他原因，导致无法解密“电子加密投标文件”的，由代理机构通过政采云电子交易平台【异常处理】端口上传、解密按规定递交的</w:t>
            </w:r>
            <w:r>
              <w:rPr>
                <w:rFonts w:hint="eastAsia" w:ascii="方正仿宋_GB2312" w:hAnsi="方正仿宋_GB2312" w:eastAsia="方正仿宋_GB2312" w:cs="方正仿宋_GB2312"/>
                <w:sz w:val="24"/>
              </w:rPr>
              <w:t>备份投标文件。</w:t>
            </w:r>
          </w:p>
          <w:p>
            <w:pPr>
              <w:autoSpaceDE w:val="0"/>
              <w:autoSpaceDN w:val="0"/>
              <w:snapToGrid w:val="0"/>
              <w:spacing w:line="360" w:lineRule="auto"/>
              <w:ind w:firstLine="480" w:firstLineChars="200"/>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（3）投标供应商在规定的时间内无法完成投标文件解密的，视为自动放弃本项目的投标。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投标截止时间：</w:t>
            </w:r>
            <w:r>
              <w:rPr>
                <w:rFonts w:hint="eastAsia" w:ascii="方正仿宋_GB2312" w:hAnsi="方正仿宋_GB2312" w:eastAsia="方正仿宋_GB2312" w:cs="方正仿宋_GB2312"/>
                <w:sz w:val="24"/>
                <w:u w:val="single"/>
              </w:rPr>
              <w:t>详见招标公告</w:t>
            </w:r>
            <w:r>
              <w:rPr>
                <w:rFonts w:hint="eastAsia" w:ascii="方正仿宋_GB2312" w:hAnsi="方正仿宋_GB2312" w:eastAsia="方正仿宋_GB2312" w:cs="方正仿宋_GB2312"/>
                <w:sz w:val="24"/>
              </w:rPr>
              <w:t>；</w:t>
            </w:r>
          </w:p>
          <w:p>
            <w:pPr>
              <w:autoSpaceDE w:val="0"/>
              <w:autoSpaceDN w:val="0"/>
              <w:snapToGrid w:val="0"/>
              <w:spacing w:line="360" w:lineRule="auto"/>
              <w:textAlignment w:val="bottom"/>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投标文件递交地点：</w:t>
            </w:r>
            <w:r>
              <w:rPr>
                <w:rFonts w:hint="eastAsia" w:ascii="方正仿宋_GB2312" w:hAnsi="方正仿宋_GB2312" w:eastAsia="方正仿宋_GB2312" w:cs="方正仿宋_GB2312"/>
                <w:sz w:val="24"/>
                <w:u w:val="single"/>
              </w:rPr>
              <w:t>详见招标公告</w:t>
            </w:r>
            <w:r>
              <w:rPr>
                <w:rFonts w:hint="eastAsia" w:ascii="方正仿宋_GB2312" w:hAnsi="方正仿宋_GB2312" w:eastAsia="方正仿宋_GB2312" w:cs="方正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8</w:t>
            </w:r>
          </w:p>
        </w:tc>
        <w:tc>
          <w:tcPr>
            <w:tcW w:w="8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开标时间：</w:t>
            </w:r>
            <w:r>
              <w:rPr>
                <w:rFonts w:hint="eastAsia" w:ascii="方正仿宋_GB2312" w:hAnsi="方正仿宋_GB2312" w:eastAsia="方正仿宋_GB2312" w:cs="方正仿宋_GB2312"/>
                <w:sz w:val="24"/>
                <w:u w:val="single"/>
              </w:rPr>
              <w:t>详见招标公告</w:t>
            </w:r>
            <w:r>
              <w:rPr>
                <w:rFonts w:hint="eastAsia" w:ascii="方正仿宋_GB2312" w:hAnsi="方正仿宋_GB2312" w:eastAsia="方正仿宋_GB2312" w:cs="方正仿宋_GB2312"/>
                <w:sz w:val="24"/>
              </w:rPr>
              <w:t>；</w:t>
            </w:r>
          </w:p>
          <w:p>
            <w:pPr>
              <w:autoSpaceDE w:val="0"/>
              <w:autoSpaceDN w:val="0"/>
              <w:adjustRightInd w:val="0"/>
              <w:spacing w:line="360" w:lineRule="auto"/>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地点：</w:t>
            </w:r>
            <w:r>
              <w:rPr>
                <w:rFonts w:hint="eastAsia" w:ascii="方正仿宋_GB2312" w:hAnsi="方正仿宋_GB2312" w:eastAsia="方正仿宋_GB2312" w:cs="方正仿宋_GB2312"/>
                <w:sz w:val="24"/>
                <w:u w:val="singl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9</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评标办法及评分标准：</w:t>
            </w:r>
            <w:r>
              <w:rPr>
                <w:rFonts w:hint="eastAsia" w:ascii="方正仿宋_GB2312" w:hAnsi="方正仿宋_GB2312" w:eastAsia="方正仿宋_GB2312" w:cs="方正仿宋_GB2312"/>
                <w:sz w:val="24"/>
              </w:rPr>
              <w:t>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中标结果公告：</w:t>
            </w:r>
            <w:r>
              <w:rPr>
                <w:rFonts w:hint="eastAsia" w:ascii="方正仿宋_GB2312" w:hAnsi="方正仿宋_GB2312" w:eastAsia="方正仿宋_GB2312" w:cs="方正仿宋_GB2312"/>
                <w:sz w:val="24"/>
              </w:rPr>
              <w:t>采购人依法确定中标供应商后2个工作日内发布，并公示1个工作日，中标结果公告公示于：</w:t>
            </w:r>
          </w:p>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浙江政府采购网 （</w:t>
            </w:r>
            <w:r>
              <w:rPr>
                <w:rFonts w:hint="eastAsia" w:ascii="方正仿宋_GB2312" w:hAnsi="方正仿宋_GB2312" w:eastAsia="方正仿宋_GB2312" w:cs="方正仿宋_GB2312"/>
                <w:color w:val="333333"/>
                <w:sz w:val="24"/>
              </w:rPr>
              <w:t>http://zfcg.czt.zj.gov.cn/）</w:t>
            </w:r>
          </w:p>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湖州市公共资源交易信息网</w:t>
            </w:r>
            <w:r>
              <w:rPr>
                <w:rFonts w:hint="eastAsia" w:ascii="方正仿宋_GB2312" w:hAnsi="方正仿宋_GB2312" w:eastAsia="方正仿宋_GB2312" w:cs="方正仿宋_GB2312"/>
                <w:color w:val="000000"/>
                <w:sz w:val="24"/>
                <w:lang w:bidi="ar"/>
              </w:rPr>
              <w:t>（</w:t>
            </w:r>
            <w:r>
              <w:rPr>
                <w:rFonts w:hint="eastAsia" w:ascii="方正仿宋_GB2312" w:hAnsi="方正仿宋_GB2312" w:eastAsia="方正仿宋_GB2312" w:cs="方正仿宋_GB2312"/>
                <w:kern w:val="0"/>
                <w:sz w:val="24"/>
              </w:rPr>
              <w:t>http://ggzyjy.huzhou.gov.cn/</w:t>
            </w:r>
            <w:r>
              <w:rPr>
                <w:rFonts w:hint="eastAsia" w:ascii="方正仿宋_GB2312" w:hAnsi="方正仿宋_GB2312" w:eastAsia="方正仿宋_GB2312" w:cs="方正仿宋_GB2312"/>
                <w:color w:val="000000"/>
                <w:sz w:val="24"/>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履约保证金：</w:t>
            </w:r>
            <w:r>
              <w:rPr>
                <w:rFonts w:hint="eastAsia" w:ascii="方正仿宋_GB2312" w:hAnsi="方正仿宋_GB2312" w:eastAsia="方正仿宋_GB2312" w:cs="方正仿宋_GB2312"/>
                <w:sz w:val="24"/>
              </w:rPr>
              <w:t>中标人在合同签订前向采购人交纳履约保证金（伍万元整）。中标人按服务内容履约，完成第一年的基金决算1个月后，无重大问题发生，服务和建设内容各方面均达到合同要求，所出具的年度基金决算报告经双方验收合格后的十个工作日内，采购人退还履约保证金。（缴纳形式为支票、汇票、本票，或银行、保险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签订合同时间：</w:t>
            </w:r>
            <w:r>
              <w:rPr>
                <w:rFonts w:hint="eastAsia" w:ascii="方正仿宋_GB2312" w:hAnsi="方正仿宋_GB2312" w:eastAsia="方正仿宋_GB2312" w:cs="方正仿宋_GB2312"/>
                <w:sz w:val="24"/>
              </w:rPr>
              <w:t>中标通知书发出后30个工作日内。</w:t>
            </w:r>
          </w:p>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合同签订后由中标投标供应商向招标代理机构提供已签订的合同书面文件1份，电子扫描件一份用于合同备案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投标文件有效期：</w:t>
            </w:r>
            <w:r>
              <w:rPr>
                <w:rFonts w:hint="eastAsia" w:ascii="方正仿宋_GB2312" w:hAnsi="方正仿宋_GB2312" w:eastAsia="方正仿宋_GB2312" w:cs="方正仿宋_GB2312"/>
                <w:sz w:val="24"/>
                <w:u w:val="single"/>
              </w:rPr>
              <w:t>60</w:t>
            </w:r>
            <w:r>
              <w:rPr>
                <w:rFonts w:hint="eastAsia" w:ascii="方正仿宋_GB2312" w:hAnsi="方正仿宋_GB2312" w:eastAsia="方正仿宋_GB2312" w:cs="方正仿宋_GB2312"/>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在确定中标供应商后，签订合同前，中标供应商须提供2份完整的纸质投标文件给采购人，纸质投标文件须与电子投标文件格式及内容一致。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w:t>
            </w:r>
          </w:p>
        </w:tc>
        <w:tc>
          <w:tcPr>
            <w:tcW w:w="858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解释：</w:t>
            </w:r>
            <w:r>
              <w:rPr>
                <w:rFonts w:hint="eastAsia" w:ascii="方正仿宋_GB2312" w:hAnsi="方正仿宋_GB2312" w:eastAsia="方正仿宋_GB2312" w:cs="方正仿宋_GB2312"/>
                <w:sz w:val="24"/>
              </w:rPr>
              <w:t>本采购文件的解释权属于采购人。</w:t>
            </w:r>
          </w:p>
        </w:tc>
      </w:tr>
    </w:tbl>
    <w:p>
      <w:pPr>
        <w:pStyle w:val="6"/>
      </w:pPr>
      <w:r>
        <w:rPr>
          <w:rFonts w:hint="eastAsia"/>
        </w:rPr>
        <w:br w:type="page"/>
      </w:r>
      <w:bookmarkStart w:id="50" w:name="_Toc245801500"/>
      <w:bookmarkStart w:id="51" w:name="_Toc50524658"/>
      <w:r>
        <w:rPr>
          <w:rFonts w:hint="eastAsia"/>
        </w:rPr>
        <w:t>一、总则</w:t>
      </w:r>
    </w:p>
    <w:p>
      <w:pPr>
        <w:snapToGrid w:val="0"/>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 适用范围</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本采购文件适用于</w:t>
      </w:r>
      <w:r>
        <w:rPr>
          <w:rFonts w:hint="eastAsia" w:ascii="方正仿宋_GB2312" w:hAnsi="方正仿宋_GB2312" w:eastAsia="方正仿宋_GB2312" w:cs="方正仿宋_GB2312"/>
          <w:sz w:val="24"/>
          <w:u w:val="single"/>
        </w:rPr>
        <w:t>湖州市医疗保障局疾病相关分组（DRGS）结合点数法医保支付专业化服务项目</w:t>
      </w:r>
      <w:r>
        <w:rPr>
          <w:rFonts w:hint="eastAsia" w:ascii="方正仿宋_GB2312" w:hAnsi="方正仿宋_GB2312" w:eastAsia="方正仿宋_GB2312" w:cs="方正仿宋_GB2312"/>
          <w:sz w:val="24"/>
        </w:rPr>
        <w:t>的采购、投标、评标、定标、合同履约、付款等行为（法律法规另有规定的，从其规定）。</w:t>
      </w:r>
    </w:p>
    <w:p>
      <w:pPr>
        <w:snapToGrid w:val="0"/>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（二）定义</w:t>
      </w:r>
    </w:p>
    <w:p>
      <w:pPr>
        <w:pStyle w:val="33"/>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rPr>
        <w:t>1.“采购人”系指湖州市医疗保障局。</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2.“投标供应商”系指提交投标文件的单位或个人。</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3.“采购代理机构”系指建正工程咨询有限公司。</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4.“项目”系指投标供应商按采购文件规定向采购人提供的产品和服务。</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5.“书面形式”包括信函、传真、电报等。</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6.“▲”系指实质性要求条款。</w:t>
      </w:r>
    </w:p>
    <w:p>
      <w:pPr>
        <w:widowControl/>
        <w:snapToGrid w:val="0"/>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（三）采购方式</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本次采购采用公开招标方式进行。</w:t>
      </w:r>
    </w:p>
    <w:p>
      <w:pPr>
        <w:widowControl/>
        <w:snapToGrid w:val="0"/>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（四）投标费用</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1.不论投标结果如何，投标供应商均应自行承担所有与投标有关的全部费用（采购文件有相反规定除外）。</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2.本项目采购代理服务费按</w:t>
      </w:r>
      <w:r>
        <w:rPr>
          <w:rFonts w:hint="eastAsia" w:ascii="方正仿宋_GB2312" w:hAnsi="方正仿宋_GB2312" w:eastAsia="方正仿宋_GB2312" w:cs="方正仿宋_GB2312"/>
          <w:sz w:val="24"/>
          <w:lang w:eastAsia="zh-CN"/>
        </w:rPr>
        <w:t>53525</w:t>
      </w:r>
      <w:r>
        <w:rPr>
          <w:rFonts w:hint="eastAsia" w:ascii="方正仿宋_GB2312" w:hAnsi="方正仿宋_GB2312" w:eastAsia="方正仿宋_GB2312" w:cs="方正仿宋_GB2312"/>
          <w:sz w:val="24"/>
        </w:rPr>
        <w:t>元整收</w:t>
      </w:r>
      <w:r>
        <w:rPr>
          <w:rFonts w:hint="eastAsia" w:ascii="方正仿宋_GB2312" w:hAnsi="方正仿宋_GB2312" w:eastAsia="方正仿宋_GB2312" w:cs="方正仿宋_GB2312"/>
          <w:color w:val="000000"/>
          <w:sz w:val="24"/>
        </w:rPr>
        <w:t>取，由中标供应商全额支付，投标供应商应自行考虑列入投标报价。</w:t>
      </w:r>
    </w:p>
    <w:p>
      <w:pPr>
        <w:widowControl/>
        <w:snapToGrid w:val="0"/>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（五）联合体投标</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本项目接受联合体投标。</w:t>
      </w:r>
    </w:p>
    <w:p>
      <w:pPr>
        <w:widowControl/>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1.本项目接受联合体投标，联合体组成单位总数不超过2家。联合体成员之间不得存在直接控股、管理关系。 </w:t>
      </w:r>
    </w:p>
    <w:p>
      <w:pPr>
        <w:widowControl/>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2.以联合体形式参加投标的，联合体各方均应当符合《政府采购法》第二十二条第一款规定的条件；根据本项目的特殊要求规定</w:t>
      </w:r>
      <w:r>
        <w:rPr>
          <w:rFonts w:hint="eastAsia" w:ascii="方正仿宋_GB2312" w:hAnsi="方正仿宋_GB2312" w:eastAsia="方正仿宋_GB2312" w:cs="方正仿宋_GB2312"/>
          <w:sz w:val="24"/>
          <w:lang w:eastAsia="zh-CN"/>
        </w:rPr>
        <w:t>投标供应商</w:t>
      </w:r>
      <w:r>
        <w:rPr>
          <w:rFonts w:hint="eastAsia" w:ascii="方正仿宋_GB2312" w:hAnsi="方正仿宋_GB2312" w:eastAsia="方正仿宋_GB2312" w:cs="方正仿宋_GB2312"/>
          <w:sz w:val="24"/>
        </w:rPr>
        <w:t xml:space="preserve">特定条件的，联合体各方中至少应当有一方符合。 </w:t>
      </w:r>
    </w:p>
    <w:p>
      <w:pPr>
        <w:widowControl/>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联合体各方之间应当签订联合协议，明确联合体牵头人，并约定联合体各方应当承担的工作和相应的责任，以及联合体中各企业所承担工作的合同份额占到合同总金额的百分比，然后，将联合协议连同投标文件一并提交。联合体中有同类资质的投标供应商按照联合体分工承担相同工作的，应当按照资质等级较低的投标供应商确定资质等级。联合体各方签订联合体协议后，不得再以自己的名义单独在同一项目中参与投标，也不得组成新的联合体参加同一项目投标。联合体各方在同一采购项目中以自己名义单独投标或者参加其他联合体共同投标的，相关投标均无效。 </w:t>
      </w:r>
    </w:p>
    <w:p>
      <w:pPr>
        <w:widowControl/>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4.联合体各方应当共同与采购人签订采购合同，就采购合同约定的事项对采购人承担连带责任。 </w:t>
      </w:r>
    </w:p>
    <w:p>
      <w:pPr>
        <w:widowControl/>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5.以联合体形式参加政府采购活动，联合体各方均为中小企业的，联合体视同中小企业。其中，联合体各方均为小微企业的，联合体视同小微企业。</w:t>
      </w:r>
    </w:p>
    <w:p>
      <w:pPr>
        <w:snapToGrid w:val="0"/>
        <w:spacing w:line="360" w:lineRule="auto"/>
        <w:ind w:firstLine="472" w:firstLineChars="196"/>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（六）转包与分包</w:t>
      </w:r>
    </w:p>
    <w:p>
      <w:pPr>
        <w:snapToGrid w:val="0"/>
        <w:spacing w:line="360" w:lineRule="auto"/>
        <w:ind w:firstLine="470" w:firstLineChars="19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本项目不允许转包</w:t>
      </w:r>
      <w:r>
        <w:rPr>
          <w:rFonts w:hint="eastAsia" w:ascii="方正仿宋_GB2312" w:hAnsi="方正仿宋_GB2312" w:eastAsia="方正仿宋_GB2312" w:cs="方正仿宋_GB2312"/>
          <w:sz w:val="24"/>
          <w:lang w:eastAsia="zh-CN"/>
        </w:rPr>
        <w:t>，允许</w:t>
      </w:r>
      <w:r>
        <w:rPr>
          <w:rFonts w:hint="eastAsia" w:ascii="方正仿宋_GB2312" w:hAnsi="方正仿宋_GB2312" w:eastAsia="方正仿宋_GB2312" w:cs="方正仿宋_GB2312"/>
          <w:sz w:val="24"/>
        </w:rPr>
        <w:t>分包。</w:t>
      </w:r>
    </w:p>
    <w:p>
      <w:pPr>
        <w:snapToGrid w:val="0"/>
        <w:spacing w:line="360" w:lineRule="auto"/>
        <w:ind w:firstLine="472" w:firstLineChars="196"/>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（七）特别说明：</w:t>
      </w:r>
    </w:p>
    <w:p>
      <w:pPr>
        <w:pStyle w:val="33"/>
        <w:snapToGrid w:val="0"/>
        <w:spacing w:line="360" w:lineRule="auto"/>
        <w:ind w:left="2" w:leftChars="1"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多家供应商参加投标，如其中两家或两家以上供应商的法定代表人为同一人或相互之间存在投资关系且达到控股的，同时提供的是同一品牌产品的，应当按一个供应商认定。评审时，取综合评分最高一家为有效供应商；当报价相同时，则以技术标最优一家为有效供应商；均相同时，由评标委员会集体决定。</w:t>
      </w:r>
    </w:p>
    <w:p>
      <w:pPr>
        <w:pStyle w:val="33"/>
        <w:snapToGrid w:val="0"/>
        <w:spacing w:line="360" w:lineRule="auto"/>
        <w:ind w:firstLine="470" w:firstLineChars="196"/>
        <w:outlineLvl w:val="1"/>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▲2.投标供应商投标所使用的资格、信誉、荣誉、业绩与企业认证必须为本公司所拥有。</w:t>
      </w:r>
    </w:p>
    <w:p>
      <w:pPr>
        <w:pStyle w:val="33"/>
        <w:snapToGrid w:val="0"/>
        <w:spacing w:line="360" w:lineRule="auto"/>
        <w:ind w:firstLine="470" w:firstLineChars="196"/>
        <w:outlineLvl w:val="1"/>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▲3.投标供应商应仔细阅读采购文件的所有内容，按照采购文件的要求提交投标文件，并对所提供的全部资料的真实性承担法律责任。</w:t>
      </w:r>
    </w:p>
    <w:p>
      <w:pPr>
        <w:pStyle w:val="33"/>
        <w:snapToGrid w:val="0"/>
        <w:spacing w:line="360" w:lineRule="auto"/>
        <w:ind w:firstLine="470" w:firstLineChars="196"/>
        <w:outlineLvl w:val="1"/>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投标供应商在投标活动中提供任何虚假材料，其投标无效，并报监管部门查处；中标后发现的，中标供应商须依照《中华人民共和国消费者权益保护法》之规定双倍赔偿采购人，且民事赔偿并不免除违法投标供应商的行政与刑事责任。</w:t>
      </w:r>
    </w:p>
    <w:p>
      <w:pPr>
        <w:pStyle w:val="33"/>
        <w:snapToGrid w:val="0"/>
        <w:spacing w:line="360" w:lineRule="auto"/>
        <w:ind w:firstLine="470" w:firstLineChars="196"/>
        <w:outlineLvl w:val="1"/>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5.本次采购采取开标后资格审查，采购代理机构不保证所有报名的投标供应商都符合投标供应商资格要求。</w:t>
      </w:r>
    </w:p>
    <w:p>
      <w:pPr>
        <w:widowControl/>
        <w:snapToGrid w:val="0"/>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（八）质疑和投诉</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供应商认为采购文件、采购过程或中标结果使自己的合法权益受到损害的，应当在知道或者应知其权益受到损害之日起七个工作日内，以书面形式向采购人提出质疑。投标供应商对采购人的质疑答复不满意或者采购人未在规定时间内作出答复的，可以在答复期满后十五个工作日内向同级采购监管部门投诉。</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2.提出质疑的投标供应商（以下简称质疑投标供应商）应当是参与所质疑项目采购活动的投标供应商。</w:t>
      </w:r>
    </w:p>
    <w:p>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潜在投标供应商已依法获取其可质疑的采购文件的，可以对该文件提出质疑。对采购文件提出质疑的，应当在获取采购文件或者采购文件公告期限届满之日起7个工作日内提出。</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3.供应商提出质疑应当提交质疑函和必要的证明材料。质疑函应当包括下列内容：</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1）供应商的姓名或者名称、地址、邮编、联系人及联系电话；</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2）质疑项目的名称、编号；</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3）具体、明确的质疑事项和与质疑事项相关的请求；</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4）事实依据；</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5）必要的法律依据；</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6）提出质疑的日期。</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rPr>
        <w:t>投标供应商为自然人的，应当由本人签字；投标供应商为法人或者其他组织的，应当由法定代表人、主要负责人，或者其授权代表签字或者盖章，并加盖公章。</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4.</w:t>
      </w:r>
      <w:r>
        <w:rPr>
          <w:rFonts w:hint="eastAsia" w:ascii="方正仿宋_GB2312" w:hAnsi="方正仿宋_GB2312" w:eastAsia="方正仿宋_GB2312" w:cs="方正仿宋_GB2312"/>
          <w:sz w:val="24"/>
        </w:rPr>
        <w:t>采购人、采购代理机构不得拒收质疑投标供应商在法定质疑期内发出的质疑函，应当在收到质疑函后7个工作日内作出答复，并以书面形式通知质疑投标供应商和其他有关投标供应商。</w:t>
      </w:r>
    </w:p>
    <w:p>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5.投标供应商对评审过程、中标或者成交结果提出质疑的，采购人、采购代理机构可以组织原评标委员会、竞争性谈判小组、询价小组或者竞争性评标委员会协助答复质疑。</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6.投诉人提起投诉应当符合下列条件：</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1）提起投诉前已依法进行质疑；</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2）投诉书内容符合本办法的规定；</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3）在投诉有效期限内提起投诉；</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4）同一投诉事项未经财政部门投诉处理；</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5）财政部规定的其他条件。</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7.投诉人投诉时，应当提交投诉书和必要的证明材料，并按照被投诉采购人、采购代理机构和与投诉事项有关的供应商数量提供投诉书的副本。投诉书应当包括下列内容：</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1）投诉人和被投诉人的姓名或者名称、通讯地址、邮编、联系人及联系电话；</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2）质疑和质疑答复情况说明及相关证明材料；</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3）具体、明确的投诉事项和与投诉事项相关的投诉请求；</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4）事实依据；</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5）法律依据；</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6）提起投诉的日期。</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质疑供应商对采购人、采购代理机构的答复不满意，或者采购人、采购代理机构未在规定时间内作出答复的，可以在答复期满后15个工作日内向本办法第六条规定的财政部门提起投诉。</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33"/>
        <w:snapToGrid w:val="0"/>
        <w:spacing w:line="360" w:lineRule="auto"/>
        <w:ind w:firstLine="480" w:firstLineChars="200"/>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8.质疑函模板参照浙江政府采购网下载专区下载。</w:t>
      </w:r>
    </w:p>
    <w:p>
      <w:pPr>
        <w:pStyle w:val="6"/>
        <w:jc w:val="center"/>
      </w:pPr>
      <w:r>
        <w:rPr>
          <w:rFonts w:hint="eastAsia"/>
        </w:rPr>
        <w:t>二、采购文件</w:t>
      </w:r>
    </w:p>
    <w:p>
      <w:pPr>
        <w:snapToGrid w:val="0"/>
        <w:spacing w:line="360" w:lineRule="auto"/>
        <w:ind w:firstLine="472" w:firstLineChars="196"/>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（一）采购文件的构成。本采购文件由以下部分组成：</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1.公开采购公告</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2.采购需求</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3.投标供应商须知</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4.评标办法和细则</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5.采购合同范本</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6.相关文件格式</w:t>
      </w:r>
    </w:p>
    <w:p>
      <w:pPr>
        <w:pStyle w:val="33"/>
        <w:snapToGrid w:val="0"/>
        <w:spacing w:line="360" w:lineRule="auto"/>
        <w:ind w:firstLine="48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7.本项目采购文件的澄清、答复、修改、补充的内容</w:t>
      </w:r>
    </w:p>
    <w:p>
      <w:pPr>
        <w:snapToGrid w:val="0"/>
        <w:spacing w:line="360" w:lineRule="auto"/>
        <w:ind w:firstLine="472" w:firstLineChars="196"/>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（二）投标供应商的风险</w:t>
      </w:r>
    </w:p>
    <w:p>
      <w:pPr>
        <w:pStyle w:val="47"/>
        <w:spacing w:after="0" w:line="360" w:lineRule="auto"/>
        <w:ind w:left="0" w:leftChars="0"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投标供应商没有按照采购文件要求提供全部资料，或者投标供应商没有对采购文件在各方面作出实质性响应是投标供应商的风险，并可能导致其投标被拒绝。</w:t>
      </w:r>
    </w:p>
    <w:p>
      <w:pPr>
        <w:pStyle w:val="16"/>
        <w:widowControl w:val="0"/>
        <w:numPr>
          <w:ilvl w:val="0"/>
          <w:numId w:val="0"/>
        </w:numPr>
        <w:snapToGrid w:val="0"/>
        <w:spacing w:after="0" w:afterLines="0" w:line="360" w:lineRule="auto"/>
        <w:ind w:firstLine="472" w:firstLineChars="196"/>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 xml:space="preserve">（三）采购文件的澄清与修改 </w:t>
      </w:r>
    </w:p>
    <w:p>
      <w:pPr>
        <w:spacing w:line="360" w:lineRule="auto"/>
        <w:ind w:firstLine="470" w:firstLineChars="19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1.供应商对采购文件有异议的，应当在202</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 xml:space="preserve">年 </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 xml:space="preserve"> 月 </w:t>
      </w:r>
      <w:r>
        <w:rPr>
          <w:rFonts w:hint="eastAsia" w:ascii="方正仿宋_GB2312" w:hAnsi="方正仿宋_GB2312" w:eastAsia="方正仿宋_GB2312" w:cs="方正仿宋_GB2312"/>
          <w:sz w:val="24"/>
          <w:lang w:val="en-US" w:eastAsia="zh-CN"/>
        </w:rPr>
        <w:t>26</w:t>
      </w:r>
      <w:bookmarkStart w:id="70" w:name="_GoBack"/>
      <w:bookmarkEnd w:id="70"/>
      <w:r>
        <w:rPr>
          <w:rFonts w:hint="eastAsia" w:ascii="方正仿宋_GB2312" w:hAnsi="方正仿宋_GB2312" w:eastAsia="方正仿宋_GB2312" w:cs="方正仿宋_GB2312"/>
          <w:sz w:val="24"/>
        </w:rPr>
        <w:t xml:space="preserve"> 日16:30前以书面（含传真）形式向采购代理机构一次性提出，采购单位将在规定的时间内统一进行澄清和修改，并书面（含传真）通知所有认购采购文件的供应商。供应商未按规定要求提出的，则视同认可采购文件，但法律法规及规范性文件有明确规定的除外。采购代理机构对已发出的采购文件进行必要澄清、答复、修改或补充的，应当在采购文件要求提交投标文件截止时间15日前；采购代理机构对已发出的采购文件进行必要澄清、答复、修改或补充时间距离提交投标文件截止时间不足15日时，投标截止时间将顺延至少15日，并在浙江政府采购网上发布更正公告，同时以书面形式通知所有采购文件收受人。</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2.采购人必须以书面形式答复投标供应商要求澄清的问题，并将不包含问题来源的答复书面通知所有购买采购文件的投标供应商；除书面答复以外的其他澄清方式及澄清内容均无效。</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3.采购文件澄清、答复、修改、补充的内容为采购文件的组成部分。当采购文件与采购文件的答复、澄清、修改、补充通知就同一内容的表述不一致时，以最后发出的书面文件为准。</w:t>
      </w:r>
    </w:p>
    <w:p>
      <w:pPr>
        <w:pStyle w:val="33"/>
        <w:snapToGrid w:val="0"/>
        <w:spacing w:line="360" w:lineRule="auto"/>
        <w:ind w:firstLine="480" w:firstLineChars="2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4.采购文件的澄清、答复、修改或补充都应该通过代理机构以法定形式发布，采购人非通过代理机构，不得擅自澄清、答复、修改或补充采购文件。</w:t>
      </w:r>
    </w:p>
    <w:p>
      <w:pPr>
        <w:pStyle w:val="6"/>
        <w:jc w:val="center"/>
      </w:pPr>
      <w:r>
        <w:rPr>
          <w:rFonts w:hint="eastAsia"/>
        </w:rPr>
        <w:t>三、投标文件的编制要求</w:t>
      </w:r>
    </w:p>
    <w:p>
      <w:pPr>
        <w:pStyle w:val="33"/>
        <w:snapToGrid w:val="0"/>
        <w:spacing w:line="360" w:lineRule="auto"/>
        <w:ind w:firstLine="482" w:firstLineChars="2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（一）投标文件的形式和效力：</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1.投标文件的形式</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（1）电子投标文件：按政采云平台项目采购－电子交易操作指南及本采购文件要求制作、加密并递交，供应商电子交易操作指南详见网址：</w:t>
      </w:r>
    </w:p>
    <w:p>
      <w:pPr>
        <w:pStyle w:val="33"/>
        <w:snapToGrid w:val="0"/>
        <w:spacing w:line="360" w:lineRule="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https://help.zcygov.cn/web/site_2/2018/12-28/2573.html）。</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（2）备份投标文件（U 盘）：以 U 盘形式提供的数据电子备份投标文件格式及内容须与政采云平台项目采购－电子交易操作指南中制作、加密并递交的电子投标文件格式及内容一致。</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2.投标文件的效力</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方正仿宋_GB2312" w:hAnsi="方正仿宋_GB2312" w:eastAsia="方正仿宋_GB2312" w:cs="方正仿宋_GB2312"/>
          <w:b/>
          <w:kern w:val="0"/>
          <w:sz w:val="24"/>
        </w:rPr>
        <w:t>供应商仅提交</w:t>
      </w:r>
      <w:r>
        <w:rPr>
          <w:rFonts w:hint="eastAsia" w:ascii="方正仿宋_GB2312" w:hAnsi="方正仿宋_GB2312" w:eastAsia="方正仿宋_GB2312" w:cs="方正仿宋_GB2312"/>
          <w:b/>
          <w:kern w:val="0"/>
          <w:sz w:val="24"/>
          <w:szCs w:val="24"/>
        </w:rPr>
        <w:t>“备份投标文件”</w:t>
      </w:r>
      <w:r>
        <w:rPr>
          <w:rFonts w:hint="eastAsia" w:ascii="方正仿宋_GB2312" w:hAnsi="方正仿宋_GB2312" w:eastAsia="方正仿宋_GB2312" w:cs="方正仿宋_GB2312"/>
          <w:b/>
          <w:kern w:val="0"/>
          <w:sz w:val="24"/>
        </w:rPr>
        <w:t>的，投标无效。</w:t>
      </w:r>
    </w:p>
    <w:p>
      <w:pPr>
        <w:pStyle w:val="33"/>
        <w:snapToGrid w:val="0"/>
        <w:spacing w:line="360" w:lineRule="auto"/>
        <w:ind w:firstLine="482" w:firstLineChars="2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（二）投标文件的组成（如无格式、格式自拟）</w:t>
      </w:r>
    </w:p>
    <w:p>
      <w:pPr>
        <w:pStyle w:val="33"/>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投标文件由《资格文件》《技术、商务、资信及其他文件》和《报价文件》组成，其中电子投标文件中所须加盖公章部分均采用 CA 签章。</w:t>
      </w:r>
    </w:p>
    <w:p>
      <w:pPr>
        <w:pStyle w:val="33"/>
        <w:snapToGrid w:val="0"/>
        <w:spacing w:line="360" w:lineRule="auto"/>
        <w:ind w:firstLine="482" w:firstLineChars="2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1.资格文件：应包括以下内容（均需加盖公章）</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（1）有效的营业执照、税务登记证、组织机构代码证或“三证合一”的营业执照或“五证合一”的营业执照（或事业单位法人证书）；</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（2）法定代表人身份证明书或其授权代理人的授权委托书及身份证明；</w:t>
      </w:r>
    </w:p>
    <w:p>
      <w:pPr>
        <w:widowControl/>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（3）授权代理人提供近三个月中任意一个月的社保证明；</w:t>
      </w:r>
    </w:p>
    <w:p>
      <w:pPr>
        <w:widowControl/>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（4）投标供应商最近三个月依法缴纳税收和社保费的证明[税费凭证，或者依法缴纳税费或依法免缴税费的证明]；</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（5）提供自招标公告发布之日起至投标截止日前任意时间的“信用中国”网站（www.creditchina.gov.cn）、中国政府采购网（www.ccgp.gov.cn）供应商信用查询网页截图（二者缺一不可）；</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（6）信用承诺书 （格式见附件）；</w:t>
      </w:r>
    </w:p>
    <w:p>
      <w:pPr>
        <w:snapToGrid w:val="0"/>
        <w:spacing w:line="360" w:lineRule="auto"/>
        <w:ind w:firstLine="480" w:firstLineChars="200"/>
        <w:jc w:val="left"/>
        <w:rPr>
          <w:rFonts w:hint="eastAsia" w:ascii="方正仿宋_GB2312" w:hAnsi="方正仿宋_GB2312" w:eastAsia="方正仿宋_GB2312" w:cs="方正仿宋_GB2312"/>
          <w:b w:val="0"/>
          <w:sz w:val="24"/>
        </w:rPr>
      </w:pPr>
      <w:r>
        <w:rPr>
          <w:rFonts w:hint="eastAsia" w:ascii="方正仿宋_GB2312" w:hAnsi="方正仿宋_GB2312" w:eastAsia="方正仿宋_GB2312" w:cs="方正仿宋_GB2312"/>
          <w:b w:val="0"/>
          <w:sz w:val="24"/>
        </w:rPr>
        <w:t>（</w:t>
      </w:r>
      <w:r>
        <w:rPr>
          <w:rFonts w:hint="eastAsia" w:ascii="方正仿宋_GB2312" w:hAnsi="方正仿宋_GB2312" w:eastAsia="方正仿宋_GB2312" w:cs="方正仿宋_GB2312"/>
          <w:b w:val="0"/>
          <w:sz w:val="24"/>
          <w:lang w:eastAsia="zh-CN"/>
        </w:rPr>
        <w:t>7</w:t>
      </w:r>
      <w:r>
        <w:rPr>
          <w:rFonts w:hint="eastAsia" w:ascii="方正仿宋_GB2312" w:hAnsi="方正仿宋_GB2312" w:eastAsia="方正仿宋_GB2312" w:cs="方正仿宋_GB2312"/>
          <w:b w:val="0"/>
          <w:sz w:val="24"/>
        </w:rPr>
        <w:t>）联合体协议（格式自拟）（如有）。</w:t>
      </w:r>
    </w:p>
    <w:p>
      <w:pPr>
        <w:snapToGrid w:val="0"/>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2.技术文件</w:t>
      </w:r>
    </w:p>
    <w:p>
      <w:pPr>
        <w:spacing w:line="360" w:lineRule="auto"/>
        <w:ind w:firstLine="480"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（1）评分索引表（格式见附件，主要用于评审委员会对应评分内容，包括商务部分、技术部分）</w:t>
      </w:r>
      <w:r>
        <w:rPr>
          <w:rFonts w:hint="eastAsia" w:ascii="方正仿宋_GB2312" w:hAnsi="方正仿宋_GB2312" w:eastAsia="方正仿宋_GB2312" w:cs="方正仿宋_GB2312"/>
          <w:bCs/>
          <w:sz w:val="24"/>
        </w:rPr>
        <w:t>；</w:t>
      </w:r>
    </w:p>
    <w:p>
      <w:pPr>
        <w:widowControl/>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r>
        <w:rPr>
          <w:rFonts w:hint="eastAsia" w:ascii="方正仿宋_GB2312" w:hAnsi="方正仿宋_GB2312" w:eastAsia="方正仿宋_GB2312" w:cs="方正仿宋_GB2312"/>
          <w:color w:val="000000"/>
          <w:sz w:val="24"/>
        </w:rPr>
        <w:t>服务方案；</w:t>
      </w:r>
    </w:p>
    <w:p>
      <w:pPr>
        <w:widowControl/>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color w:val="000000"/>
          <w:sz w:val="24"/>
        </w:rPr>
        <w:t>实施方案；</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（4）项目实施人员；</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（5）安全要求承诺书（格式自拟）；</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（6）供应商认为需要的其他文件资料</w:t>
      </w:r>
      <w:r>
        <w:rPr>
          <w:rFonts w:hint="eastAsia" w:ascii="方正仿宋_GB2312" w:hAnsi="方正仿宋_GB2312" w:eastAsia="方正仿宋_GB2312" w:cs="方正仿宋_GB2312"/>
          <w:sz w:val="24"/>
        </w:rPr>
        <w:t>。</w:t>
      </w:r>
    </w:p>
    <w:p>
      <w:pPr>
        <w:spacing w:line="360" w:lineRule="auto"/>
        <w:ind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sz w:val="24"/>
        </w:rPr>
        <w:t>3.</w:t>
      </w:r>
      <w:r>
        <w:rPr>
          <w:rFonts w:hint="eastAsia" w:ascii="方正仿宋_GB2312" w:hAnsi="方正仿宋_GB2312" w:eastAsia="方正仿宋_GB2312" w:cs="方正仿宋_GB2312"/>
          <w:b/>
          <w:bCs/>
          <w:sz w:val="24"/>
        </w:rPr>
        <w:t>商务、资信及其他文件</w:t>
      </w:r>
    </w:p>
    <w:p>
      <w:pPr>
        <w:snapToGrid w:val="0"/>
        <w:spacing w:line="360" w:lineRule="auto"/>
        <w:ind w:firstLine="468" w:firstLineChars="195"/>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（1）投标声明书（格式见附件）；</w:t>
      </w:r>
    </w:p>
    <w:p>
      <w:pPr>
        <w:snapToGrid w:val="0"/>
        <w:spacing w:line="360" w:lineRule="auto"/>
        <w:ind w:firstLine="468" w:firstLineChars="195"/>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（2）供应商情况介绍；</w:t>
      </w:r>
    </w:p>
    <w:p>
      <w:pPr>
        <w:snapToGrid w:val="0"/>
        <w:spacing w:line="360" w:lineRule="auto"/>
        <w:ind w:firstLine="468" w:firstLineChars="195"/>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（3）商务响应表（格式见附件）；</w:t>
      </w:r>
    </w:p>
    <w:p>
      <w:pPr>
        <w:snapToGrid w:val="0"/>
        <w:spacing w:line="360" w:lineRule="auto"/>
        <w:ind w:firstLine="468" w:firstLineChars="195"/>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（4）服务承诺；</w:t>
      </w:r>
    </w:p>
    <w:p>
      <w:pPr>
        <w:snapToGrid w:val="0"/>
        <w:spacing w:line="360" w:lineRule="auto"/>
        <w:ind w:firstLine="468" w:firstLineChars="195"/>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（5）企业业绩；</w:t>
      </w:r>
    </w:p>
    <w:p>
      <w:pPr>
        <w:spacing w:line="360" w:lineRule="auto"/>
        <w:ind w:firstLine="468" w:firstLineChars="195"/>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（6）企业认证；</w:t>
      </w:r>
    </w:p>
    <w:p>
      <w:pPr>
        <w:spacing w:line="360" w:lineRule="auto"/>
        <w:ind w:firstLine="468" w:firstLineChars="195"/>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（7）企业实力。</w:t>
      </w:r>
    </w:p>
    <w:p>
      <w:pPr>
        <w:pStyle w:val="3"/>
        <w:spacing w:line="360" w:lineRule="auto"/>
        <w:ind w:firstLine="482" w:firstLineChars="20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5.报价文件</w:t>
      </w:r>
    </w:p>
    <w:p>
      <w:pPr>
        <w:tabs>
          <w:tab w:val="left" w:pos="720"/>
        </w:tabs>
        <w:spacing w:line="360" w:lineRule="auto"/>
        <w:ind w:left="-2" w:leftChars="-1" w:firstLine="410" w:firstLineChars="17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（1）投标函；</w:t>
      </w:r>
    </w:p>
    <w:p>
      <w:pPr>
        <w:tabs>
          <w:tab w:val="left" w:pos="720"/>
        </w:tabs>
        <w:spacing w:line="360" w:lineRule="auto"/>
        <w:ind w:left="-2" w:leftChars="-1" w:firstLine="410" w:firstLineChars="17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（2）开标一览表（格式见附件）；</w:t>
      </w:r>
    </w:p>
    <w:p>
      <w:pPr>
        <w:tabs>
          <w:tab w:val="left" w:pos="720"/>
        </w:tabs>
        <w:spacing w:line="360" w:lineRule="auto"/>
        <w:ind w:left="-2" w:leftChars="-1" w:firstLine="410" w:firstLineChars="17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（3）报价明细表（格式见附件）；</w:t>
      </w:r>
    </w:p>
    <w:p>
      <w:pPr>
        <w:tabs>
          <w:tab w:val="left" w:pos="720"/>
        </w:tabs>
        <w:spacing w:line="360" w:lineRule="auto"/>
        <w:ind w:left="-2" w:leftChars="-1" w:firstLine="410" w:firstLineChars="17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（4）代理服务费承诺函（格式见附件）；</w:t>
      </w:r>
    </w:p>
    <w:p>
      <w:pPr>
        <w:tabs>
          <w:tab w:val="left" w:pos="720"/>
        </w:tabs>
        <w:spacing w:line="360" w:lineRule="auto"/>
        <w:ind w:left="-2" w:leftChars="-1" w:firstLine="410" w:firstLineChars="171"/>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（5）政策分相关证明资料：</w:t>
      </w:r>
    </w:p>
    <w:p>
      <w:pPr>
        <w:tabs>
          <w:tab w:val="left" w:pos="720"/>
        </w:tabs>
        <w:spacing w:line="360" w:lineRule="auto"/>
        <w:ind w:left="-2" w:leftChars="-1" w:firstLine="410" w:firstLineChars="171"/>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5.1小微企业声明函（若有，格式见附件）；</w:t>
      </w:r>
    </w:p>
    <w:p>
      <w:pPr>
        <w:tabs>
          <w:tab w:val="left" w:pos="720"/>
        </w:tabs>
        <w:spacing w:line="360" w:lineRule="auto"/>
        <w:ind w:left="-2" w:leftChars="-1" w:firstLine="410" w:firstLineChars="171"/>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5.2残疾人福利企业声明函（若有，格式见附件）；</w:t>
      </w:r>
    </w:p>
    <w:p>
      <w:pPr>
        <w:tabs>
          <w:tab w:val="left" w:pos="720"/>
        </w:tabs>
        <w:spacing w:line="360" w:lineRule="auto"/>
        <w:ind w:left="-2" w:leftChars="-1" w:firstLine="410" w:firstLineChars="171"/>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5.3监狱企业声明函（若有，格式见附件）。</w:t>
      </w:r>
    </w:p>
    <w:p>
      <w:pPr>
        <w:widowControl/>
        <w:snapToGrid w:val="0"/>
        <w:spacing w:line="360" w:lineRule="auto"/>
        <w:ind w:firstLine="602" w:firstLineChars="2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注：以上投标文件组成内容中的复印件均须加盖供应商公章（或 CA 电子签章）。</w:t>
      </w:r>
    </w:p>
    <w:p>
      <w:pPr>
        <w:pStyle w:val="53"/>
        <w:spacing w:line="360" w:lineRule="auto"/>
        <w:ind w:firstLine="480"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注：（1）投标文件中已提供格式的，投标供应商在编制投标文件时必须按采购文件格式要求进行签字或盖章，否则视作提供相关内容无效。（2）除报价文件外，其余文件中不得出现本项目投标报价，如因投标供应商原因提前泄露投标报价，是投标供应商的责任。</w:t>
      </w:r>
    </w:p>
    <w:p>
      <w:pPr>
        <w:snapToGrid w:val="0"/>
        <w:spacing w:line="360" w:lineRule="auto"/>
        <w:ind w:firstLine="480"/>
        <w:rPr>
          <w:rFonts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sz w:val="24"/>
        </w:rPr>
        <w:t>（三）投标文件的语言及计量</w:t>
      </w:r>
    </w:p>
    <w:p>
      <w:pPr>
        <w:snapToGrid w:val="0"/>
        <w:spacing w:line="360" w:lineRule="auto"/>
        <w:ind w:firstLine="480"/>
        <w:rPr>
          <w:rFonts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sz w:val="24"/>
        </w:rPr>
        <w:t>▲1.投标文件以及投标供应商与采购人就有关投标事宜的所有来往函电，均应以中文汉语书写。除签名、盖章、专用名称等特殊情形外，以中文汉语以外的文字表述的投标文件视同未提供。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80"/>
        <w:rPr>
          <w:rFonts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sz w:val="24"/>
        </w:rPr>
        <w:t>▲2.投标计量单位，采购文件已有明确规定的，使用采购文件规定的计量单位；采购文件没有规定的，应采用中华人民共和国法定计量单位（货币单位：人民币元），否则视同未响应。</w:t>
      </w:r>
    </w:p>
    <w:p>
      <w:pPr>
        <w:snapToGrid w:val="0"/>
        <w:spacing w:line="360" w:lineRule="auto"/>
        <w:ind w:firstLine="480"/>
        <w:rPr>
          <w:rFonts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（四）投标报价：</w:t>
      </w:r>
    </w:p>
    <w:p>
      <w:pPr>
        <w:snapToGrid w:val="0"/>
        <w:spacing w:line="360" w:lineRule="auto"/>
        <w:ind w:firstLine="480"/>
        <w:rPr>
          <w:rFonts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sz w:val="24"/>
        </w:rPr>
        <w:t>1.投标报价应按采购文件中相关附表格式填写。</w:t>
      </w:r>
      <w:r>
        <w:rPr>
          <w:rFonts w:hint="eastAsia" w:ascii="方正仿宋_GB2312" w:hAnsi="方正仿宋_GB2312" w:eastAsia="方正仿宋_GB2312" w:cs="方正仿宋_GB2312"/>
          <w:color w:val="000000"/>
          <w:sz w:val="24"/>
        </w:rPr>
        <w:t>所有报价均应使用人民币（元）表示；</w:t>
      </w:r>
    </w:p>
    <w:p>
      <w:pPr>
        <w:snapToGrid w:val="0"/>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2.投标报价是履行合同的最终价格，应包括本项目的附件、服务费、人工费、技术支持、配合验收检测费用、培训、交通、食宿、差旅、保险、利润、税金、招标代理费等完成本项目的所有费用。</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u w:val="single"/>
        </w:rPr>
        <w:t>投标供应商对在合同执行中，除上述费用及采购文件规定的由中标供应商负责的工作范围以外需要采购人协调或提供便利的工作应当在报价文件中说明。</w:t>
      </w:r>
    </w:p>
    <w:p>
      <w:pPr>
        <w:snapToGrid w:val="0"/>
        <w:spacing w:line="360" w:lineRule="auto"/>
        <w:ind w:firstLine="48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sz w:val="24"/>
        </w:rPr>
        <w:t>3.投标文件只允许有一个报价，有选择的或有条件的报价将不予接受。</w:t>
      </w:r>
    </w:p>
    <w:p>
      <w:pPr>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4.投标</w:t>
      </w:r>
      <w:r>
        <w:rPr>
          <w:rFonts w:hint="eastAsia" w:ascii="方正仿宋_GB2312" w:hAnsi="方正仿宋_GB2312" w:eastAsia="方正仿宋_GB2312" w:cs="方正仿宋_GB2312"/>
          <w:bCs/>
          <w:sz w:val="24"/>
        </w:rPr>
        <w:t>供应商要按采购项目内容、数量及服务要求，就投标事项按格式要求规范填写，并由法定代表人或授权代理人签署，未经采购人书面同意，</w:t>
      </w:r>
      <w:r>
        <w:rPr>
          <w:rFonts w:hint="eastAsia" w:ascii="方正仿宋_GB2312" w:hAnsi="方正仿宋_GB2312" w:eastAsia="方正仿宋_GB2312" w:cs="方正仿宋_GB2312"/>
          <w:sz w:val="24"/>
        </w:rPr>
        <w:t>不得随意更改项目名称、计量单位，否则有可能被视为无效投标；</w:t>
      </w:r>
    </w:p>
    <w:p>
      <w:pPr>
        <w:snapToGrid w:val="0"/>
        <w:spacing w:line="360" w:lineRule="auto"/>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5.投标供应商的最终报价由投标供应商自担全部风险责任，中标后不得以任何理由调整报价或追加任何费用；</w:t>
      </w:r>
    </w:p>
    <w:p>
      <w:pPr>
        <w:snapToGrid w:val="0"/>
        <w:spacing w:line="360" w:lineRule="auto"/>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6.投标供应商所有优惠条件和优惠费用不得降低和影响本采购项目质量；</w:t>
      </w:r>
    </w:p>
    <w:p>
      <w:pPr>
        <w:snapToGrid w:val="0"/>
        <w:spacing w:line="360" w:lineRule="auto"/>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7.报价如单价与总价不符时，以单价为准；大写与小写不符时以大写为准；</w:t>
      </w:r>
    </w:p>
    <w:p>
      <w:pPr>
        <w:snapToGrid w:val="0"/>
        <w:spacing w:line="360" w:lineRule="auto"/>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8.投标供应商对采购文件中有关投标报价的全部内容应仔细确认，若有个别异议，应在开标前提出修改意见，否则视同全部确认；</w:t>
      </w:r>
    </w:p>
    <w:p>
      <w:pPr>
        <w:spacing w:line="360" w:lineRule="auto"/>
        <w:ind w:firstLine="480"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sz w:val="24"/>
        </w:rPr>
        <w:t>9.投标供应商在填报投标项目报价明细表时必须按照采购需求清单内容逐项报价，不得随意更改序号、货物名称、单位、数量。否则作无效标处理；</w:t>
      </w:r>
    </w:p>
    <w:p>
      <w:pPr>
        <w:pStyle w:val="16"/>
        <w:widowControl w:val="0"/>
        <w:numPr>
          <w:ilvl w:val="0"/>
          <w:numId w:val="0"/>
        </w:numPr>
        <w:snapToGrid w:val="0"/>
        <w:spacing w:after="0" w:afterLines="0" w:line="360" w:lineRule="auto"/>
        <w:ind w:firstLine="472" w:firstLineChars="196"/>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（五）投标文件的有效期</w:t>
      </w:r>
    </w:p>
    <w:p>
      <w:pPr>
        <w:pStyle w:val="16"/>
        <w:widowControl w:val="0"/>
        <w:numPr>
          <w:ilvl w:val="0"/>
          <w:numId w:val="0"/>
        </w:numPr>
        <w:snapToGrid w:val="0"/>
        <w:spacing w:after="0" w:afterLines="0" w:line="360" w:lineRule="auto"/>
        <w:ind w:left="279" w:leftChars="133" w:firstLine="120" w:firstLineChars="5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▲1.自投标截止日起60天投标文件应保持有效。有效期不足的投标文件将被拒绝。</w:t>
      </w:r>
    </w:p>
    <w:p>
      <w:pPr>
        <w:pStyle w:val="16"/>
        <w:widowControl w:val="0"/>
        <w:numPr>
          <w:ilvl w:val="0"/>
          <w:numId w:val="0"/>
        </w:numPr>
        <w:snapToGrid w:val="0"/>
        <w:spacing w:after="0" w:afterLines="0" w:line="360" w:lineRule="auto"/>
        <w:ind w:firstLine="480" w:firstLineChars="20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2.在特殊情况下，采购人可与投标供应商协商延长投标书的有效期，这种要求和答复均以书面形式进行。</w:t>
      </w:r>
    </w:p>
    <w:p>
      <w:pPr>
        <w:pStyle w:val="16"/>
        <w:widowControl w:val="0"/>
        <w:numPr>
          <w:ilvl w:val="0"/>
          <w:numId w:val="0"/>
        </w:numPr>
        <w:snapToGrid w:val="0"/>
        <w:spacing w:after="0" w:afterLines="0" w:line="360" w:lineRule="auto"/>
        <w:ind w:firstLine="480" w:firstLineChars="20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 xml:space="preserve">3.投标供应商可拒绝接受延期要求。 </w:t>
      </w:r>
    </w:p>
    <w:p>
      <w:pPr>
        <w:pStyle w:val="16"/>
        <w:widowControl w:val="0"/>
        <w:numPr>
          <w:ilvl w:val="0"/>
          <w:numId w:val="0"/>
        </w:numPr>
        <w:snapToGrid w:val="0"/>
        <w:spacing w:after="0" w:afterLines="0" w:line="360" w:lineRule="auto"/>
        <w:ind w:firstLine="480" w:firstLineChars="20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4.中标供应商的投标文件自开标之日起至合同履行完毕止均应保持有效。</w:t>
      </w:r>
    </w:p>
    <w:p>
      <w:pPr>
        <w:snapToGrid w:val="0"/>
        <w:spacing w:line="360" w:lineRule="auto"/>
        <w:ind w:firstLine="472" w:firstLineChars="196"/>
        <w:jc w:val="left"/>
        <w:outlineLvl w:val="0"/>
        <w:rPr>
          <w:rFonts w:ascii="方正仿宋_GB2312" w:hAnsi="方正仿宋_GB2312" w:eastAsia="方正仿宋_GB2312" w:cs="方正仿宋_GB2312"/>
          <w:b/>
          <w:sz w:val="24"/>
        </w:rPr>
      </w:pPr>
      <w:bookmarkStart w:id="52" w:name="_Toc19604"/>
      <w:bookmarkStart w:id="53" w:name="_Toc24413"/>
      <w:r>
        <w:rPr>
          <w:rFonts w:hint="eastAsia" w:ascii="方正仿宋_GB2312" w:hAnsi="方正仿宋_GB2312" w:eastAsia="方正仿宋_GB2312" w:cs="方正仿宋_GB2312"/>
          <w:b/>
          <w:sz w:val="24"/>
        </w:rPr>
        <w:t>（六）投标文件的签署和份数</w:t>
      </w:r>
      <w:bookmarkEnd w:id="52"/>
      <w:bookmarkEnd w:id="53"/>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本项目通过“政府采购云平台（www.zcygov.cn）”实行在线投标（电子投标）。供应商应通过“政采云电子交易客户端”，并按照本采购文件和“政府采购云平台”的要求编制并加密投标文件。</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1.投标供应商应当按照本章节 “投标文件组成”规定的内容及顺序在“政采云电子交易客户端”编制投标文件。其中《资格文件》和《技术、商务、资信及其他文件》中不得出现本项目投标报价，如因供应商原因提前泄露投标报价，是供应商的责任。</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3.《投标文件》内容不完整、编排混乱导致《投标文件》被误读、漏读或者查找不到相关内容的，是投标供应商的责任。</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4.投标供应商没有按照本章节 “投标文件组成”要求提供全部资料，或者没有仔细阅读采购文件，或者没有对采购文件在各方面的要求</w:t>
      </w:r>
      <w:r>
        <w:rPr>
          <w:rFonts w:hint="eastAsia" w:ascii="方正仿宋_GB2312" w:hAnsi="方正仿宋_GB2312" w:eastAsia="方正仿宋_GB2312" w:cs="方正仿宋_GB2312"/>
          <w:sz w:val="24"/>
          <w:lang w:eastAsia="zh-CN"/>
        </w:rPr>
        <w:t>做出</w:t>
      </w:r>
      <w:r>
        <w:rPr>
          <w:rFonts w:hint="eastAsia" w:ascii="方正仿宋_GB2312" w:hAnsi="方正仿宋_GB2312" w:eastAsia="方正仿宋_GB2312" w:cs="方正仿宋_GB2312"/>
          <w:sz w:val="24"/>
        </w:rPr>
        <w:t>实质性响应是投标供应商的风险，由此造成的一切后果由投标供应商自行承担。</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5.其他：投标文件需按采购文件要求的格式填写并签字（或盖章）。</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6.投标文件的形式：见《前附表》；</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（1）“电子加密投标文件”：“电子加密投标文件”是指通过“政采云电子交易客户端”完成投标文件编制后生成并加密的数据电文形式的投标文件。</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（2）“备份投标文件”：“备份投标文件”是指与“电子加密投标文件”同时生成的数据电文形式的电子文件（备份标书），其他方式编制的“备份投标文件”视为无效的“备份投标文件”。</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7.投标文件的份数：见《前附表》。</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8.投标文件的上传和递交：见《前附表》。</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9.“电子加密投标文件”解密和异常情况处理：见《前附表》。</w:t>
      </w:r>
    </w:p>
    <w:p>
      <w:pPr>
        <w:snapToGrid w:val="0"/>
        <w:spacing w:line="360" w:lineRule="auto"/>
        <w:ind w:firstLine="354" w:firstLineChars="147"/>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（七）投标文件的包装、递交、修改和撤回</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供应商应当在投标截止时间前完成电子投标文件的传输递交，并可以补充、修改或者撤回电子投标文件。补充或者修改电子投标文件的，应当先行撤回原文件，补充、修改后重新传输递交，投标截止时间止未完成传输的，视为撤回投标文件。投标截止时间后送达的投标文件，将被政采云平台拒收，作无效标处理。</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2.投标供应商如需递交“备份投标文件”，应在投标截止时间前将“备份投标文件”递交至：建正工程咨询有限公司（湖州市腊山路298号天蓝大厦12楼1207室），联系人：徐玉妹，电话：13567285674。</w:t>
      </w:r>
    </w:p>
    <w:p>
      <w:pPr>
        <w:shd w:val="clear" w:color="auto" w:fill="FFFFFF"/>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份投标文件”包括《资格文件》《技术、商务、资信及其他文件》及《报价文件》各一份。“备份投标文件”的包装封面上应注明供应商名称、供应商地址、投标文件名称、投标项目名称、标项及项目编号，并加盖供应商公章。未按规定密封、包装或标记的，由此造成“备份投标文件”被误投或提前拆封的风险由投标供应商承担。</w:t>
      </w:r>
    </w:p>
    <w:p>
      <w:pPr>
        <w:shd w:val="clear" w:color="auto" w:fill="FFFFFF"/>
        <w:snapToGrid w:val="0"/>
        <w:spacing w:line="360" w:lineRule="auto"/>
        <w:ind w:firstLine="480"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（八）投标无效的情形</w:t>
      </w:r>
    </w:p>
    <w:p>
      <w:pPr>
        <w:snapToGrid w:val="0"/>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实质上没有响应采购文件要求的投标将被视为无效投标。投标供应商不得通过修正或撤销不合要求的偏离或保留从而使其投标成为实质上响应的投标，但经评标委员会认定属于投标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82"/>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bCs/>
          <w:sz w:val="24"/>
        </w:rPr>
        <w:t>1.</w:t>
      </w:r>
      <w:r>
        <w:rPr>
          <w:rFonts w:hint="eastAsia" w:ascii="方正仿宋_GB2312" w:hAnsi="方正仿宋_GB2312" w:eastAsia="方正仿宋_GB2312" w:cs="方正仿宋_GB2312"/>
          <w:b/>
          <w:sz w:val="24"/>
        </w:rPr>
        <w:t>在“技术、商务、资信及其他文件”开标前，采购人或采购代理机构对投标供应商的资格进行审查，如发现下列情形之一的，投标文件将被视为无效，不再进行下一步评审：</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（1）未提供有效的营业执照、税务登记证、组织机构代码证或“三证合一”的营业执照或“五证合一”的营业执照的（或事业单位法人证书）的  ；</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（2）未提供法定代表人身份证明书或其授权代理人的授权委托书及身份证明的 ；</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（3）未提供授权代理人提供近三个月中任意一个月的社保证明；</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（4）未提供投标供应商最近三个月依法缴纳税收和社保费的证明；</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（5）未提供自招标公告发布之日起至投标截止日前任意时间的“信用中国”网站（www.creditchina.gov.cn）、中国政府采购网（www.ccgp.gov.cn）供应商信用查询网页截图的；</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（6）被“信用中国”（www.creditchina.gov.cn）、中国政府采购网（www.ccgp.gov.cn）列入失信被执行人、重大税收违法案件当事人名单、政府采购严重违法失信行为记录名单的；</w:t>
      </w:r>
    </w:p>
    <w:p>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（7）未提供信用承诺书的；</w:t>
      </w:r>
    </w:p>
    <w:p>
      <w:pPr>
        <w:snapToGrid w:val="0"/>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（8）联合体投标的，未提供联合体协议的。</w:t>
      </w:r>
    </w:p>
    <w:p>
      <w:pPr>
        <w:snapToGrid w:val="0"/>
        <w:spacing w:line="360" w:lineRule="auto"/>
        <w:ind w:firstLine="48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2.在符合性审查和商务评审时，如发现下列情形之一的，投标文件将被视为无效：</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（1）投标文件未按采购文件要求签署、盖章的；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（2）《资格文件》或《技术、商务、资信及其他文件》中出现报价的；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（3）未在浙江政府采购网（政采云平台）完成本项目网上报名的；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（4）资格证明文件不全的，或者不符合采购文件标明的资格要求的；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（5）投标文件无法定代表人签字，或未提供法定代表人授权委托书、投标声明书或者填写项目不齐全的；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（6）在投标截止时间以后传送的电子投标文件的；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（7）投标文件格式不规范、项目不齐全或者内容虚假的；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（8）投标文件的实质性内容未使用中文表述、意思表述不明确、前后矛盾或者使用计量单位不符合采购文件要求的（经评标委员会认定并允许其当场更正的笔误除外）</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（9）投标有效期、服务期、质保期等商务条款不能满足采购文件要求的；</w:t>
      </w:r>
    </w:p>
    <w:p>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（10）未实质性响应采购文件要求或者投标文件有采购方不能接受的附加条件的；</w:t>
      </w:r>
    </w:p>
    <w:p>
      <w:pPr>
        <w:snapToGrid w:val="0"/>
        <w:spacing w:line="360" w:lineRule="auto"/>
        <w:ind w:left="479" w:leftChars="228"/>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3.在技术评审时，如发现下列情形之一的，投标文件将被视为无效：</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（1）未提供或未如实提供投标货物的技术参数，或者投标文件标明的响应或偏离与事实不符或虚假投标的；</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（2）明显不符合采购文件要求的参数标准</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（3）投标技术方案不明确，存在一个或一个以上备选（替代）方案的；</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（4）与其他参加本次投标供应商的投标文件（技术文件）的文字表述内容相同连续20行以上或者差错相同2处以上的；</w:t>
      </w:r>
    </w:p>
    <w:p>
      <w:pPr>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4.在报价评审时，如发现下列情形之一的，投标文件将被视为无效：</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（1）未采用人民币报价或者未按照采购文件标明的币种报价的；</w:t>
      </w:r>
    </w:p>
    <w:p>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（2）报价超出采购预算的，采购人不能支付的；</w:t>
      </w:r>
    </w:p>
    <w:p>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bCs/>
          <w:sz w:val="24"/>
        </w:rPr>
        <w:t>投标报价具有选择性，或者开标价格与投标文件承诺的优惠（折扣）价格不一致的</w:t>
      </w:r>
      <w:r>
        <w:rPr>
          <w:rFonts w:hint="eastAsia" w:ascii="方正仿宋_GB2312" w:hAnsi="方正仿宋_GB2312" w:eastAsia="方正仿宋_GB2312" w:cs="方正仿宋_GB2312"/>
          <w:sz w:val="24"/>
        </w:rPr>
        <w:t xml:space="preserve">；  </w:t>
      </w:r>
    </w:p>
    <w:p>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r>
        <w:rPr>
          <w:rFonts w:hint="eastAsia" w:ascii="方正仿宋_GB2312" w:hAnsi="方正仿宋_GB2312" w:eastAsia="方正仿宋_GB2312" w:cs="方正仿宋_GB2312"/>
          <w:bCs/>
          <w:sz w:val="24"/>
        </w:rPr>
        <w:t>报价明细缺项漏项的；</w:t>
      </w:r>
    </w:p>
    <w:p>
      <w:pPr>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（5）投标供应商的报价明显低于其他通过符合性审查投标供应商的报价，有可能影响产品质量或者不能诚信履约的，未能按要求提供书面说明或者提交相关证明材料，不能证明其报价合理性的。</w:t>
      </w:r>
      <w:r>
        <w:rPr>
          <w:rFonts w:hint="eastAsia" w:ascii="方正仿宋_GB2312" w:hAnsi="方正仿宋_GB2312" w:eastAsia="方正仿宋_GB2312" w:cs="方正仿宋_GB2312"/>
          <w:sz w:val="24"/>
        </w:rPr>
        <w:t xml:space="preserve">    </w:t>
      </w:r>
    </w:p>
    <w:p>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5.被拒绝的投标文件为无效。</w:t>
      </w:r>
    </w:p>
    <w:p>
      <w:pPr>
        <w:spacing w:line="360" w:lineRule="auto"/>
        <w:ind w:firstLine="482" w:firstLineChars="200"/>
        <w:jc w:val="center"/>
        <w:rPr>
          <w:rFonts w:hAnsi="宋体"/>
          <w:b/>
          <w:sz w:val="24"/>
        </w:rPr>
      </w:pPr>
    </w:p>
    <w:p>
      <w:pPr>
        <w:pStyle w:val="6"/>
        <w:jc w:val="center"/>
        <w:rPr>
          <w:rFonts w:hint="eastAsia" w:ascii="方正仿宋_GB2312" w:hAnsi="方正仿宋_GB2312" w:cs="方正仿宋_GB2312"/>
          <w:b/>
          <w:bCs/>
          <w:kern w:val="2"/>
          <w:sz w:val="24"/>
          <w:szCs w:val="24"/>
        </w:rPr>
      </w:pPr>
      <w:r>
        <w:rPr>
          <w:rFonts w:hint="eastAsia" w:ascii="方正仿宋_GB2312" w:hAnsi="方正仿宋_GB2312" w:cs="方正仿宋_GB2312"/>
          <w:bCs/>
          <w:kern w:val="2"/>
          <w:sz w:val="24"/>
          <w:szCs w:val="24"/>
        </w:rPr>
        <w:t>四、开标</w:t>
      </w:r>
    </w:p>
    <w:p>
      <w:pPr>
        <w:spacing w:line="360" w:lineRule="auto"/>
        <w:ind w:firstLine="482" w:firstLineChars="200"/>
        <w:rPr>
          <w:rFonts w:hint="eastAsia" w:ascii="方正仿宋_GB2312" w:hAnsi="方正仿宋_GB2312" w:eastAsia="方正仿宋_GB2312" w:cs="方正仿宋_GB2312"/>
          <w:b/>
          <w:bCs w:val="0"/>
          <w:sz w:val="24"/>
        </w:rPr>
      </w:pPr>
      <w:r>
        <w:rPr>
          <w:rFonts w:hint="eastAsia" w:ascii="方正仿宋_GB2312" w:hAnsi="方正仿宋_GB2312" w:eastAsia="方正仿宋_GB2312" w:cs="方正仿宋_GB2312"/>
          <w:b/>
          <w:bCs w:val="0"/>
          <w:sz w:val="24"/>
        </w:rPr>
        <w:t>（一）开标准备</w:t>
      </w:r>
    </w:p>
    <w:p>
      <w:pPr>
        <w:pStyle w:val="33"/>
        <w:spacing w:line="530" w:lineRule="exact"/>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pStyle w:val="33"/>
        <w:spacing w:line="530" w:lineRule="exact"/>
        <w:ind w:firstLine="472" w:firstLineChars="196"/>
        <w:rPr>
          <w:rFonts w:hint="eastAsia" w:ascii="方正仿宋_GB2312" w:hAnsi="方正仿宋_GB2312" w:eastAsia="方正仿宋_GB2312" w:cs="方正仿宋_GB2312"/>
          <w:b/>
          <w:bCs w:val="0"/>
          <w:sz w:val="24"/>
          <w:szCs w:val="24"/>
        </w:rPr>
      </w:pPr>
      <w:r>
        <w:rPr>
          <w:rFonts w:hint="eastAsia" w:ascii="方正仿宋_GB2312" w:hAnsi="方正仿宋_GB2312" w:eastAsia="方正仿宋_GB2312" w:cs="方正仿宋_GB2312"/>
          <w:b/>
          <w:bCs w:val="0"/>
          <w:sz w:val="24"/>
          <w:szCs w:val="24"/>
        </w:rPr>
        <w:t>（二）电子招投标开标及评审程序</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1、开标由采购人或者采购代理机构主持，邀请供应商在线参加。评标委员会成员不得参加开标活动；</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2、主持人宣布开标会议开始，并按照规定的时间通过政采云系统组织开标，所有供应商应当准时在线参加；</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3、主持人介绍参加开标会的人员名单；</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5、开标过程应当由采购人或者采购代理机构负责记录, 由参加开标的相关人员签字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6、投标截止时间后，供应商应登录政采云平台，在收到电子加密投标文件【开始解密】通知后，通过“项目采购-开标评标”模块对电子投标文件进行在线解密；</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7、在开标结束后（评标开始前），由采购人或采购代理机构进行资格审查。资格审查后在系统上公布资格审查结果；</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9、由主持人在系统上公布的供应商名称及在其投标文件中承诺的投标报价、投标内容以及其他有必要宣读的内容；</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10、报价部分符合性审查及评分结束后，由主持人公布无效投标的供应商名单、投标无效的原因，并在系统上公布其他有效投标的评分结果；</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11、最终在政采云系统上公布评审结果；</w:t>
      </w:r>
    </w:p>
    <w:p>
      <w:pPr>
        <w:pStyle w:val="33"/>
        <w:tabs>
          <w:tab w:val="left" w:pos="4019"/>
        </w:tabs>
        <w:spacing w:line="530" w:lineRule="exact"/>
        <w:ind w:firstLine="360" w:firstLineChars="150"/>
        <w:outlineLvl w:val="1"/>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12、开标会议结束。</w:t>
      </w:r>
      <w:r>
        <w:rPr>
          <w:rFonts w:hint="eastAsia" w:ascii="方正仿宋_GB2312" w:hAnsi="方正仿宋_GB2312" w:eastAsia="方正仿宋_GB2312" w:cs="方正仿宋_GB2312"/>
          <w:bCs/>
          <w:sz w:val="24"/>
          <w:szCs w:val="24"/>
        </w:rPr>
        <w:tab/>
      </w:r>
      <w:r>
        <w:rPr>
          <w:rFonts w:hint="eastAsia" w:ascii="方正仿宋_GB2312" w:hAnsi="方正仿宋_GB2312" w:eastAsia="方正仿宋_GB2312" w:cs="方正仿宋_GB2312"/>
          <w:bCs/>
          <w:sz w:val="24"/>
          <w:szCs w:val="24"/>
        </w:rPr>
        <w:tab/>
      </w:r>
    </w:p>
    <w:p>
      <w:pPr>
        <w:pStyle w:val="33"/>
        <w:tabs>
          <w:tab w:val="left" w:pos="4019"/>
        </w:tabs>
        <w:spacing w:line="530" w:lineRule="exact"/>
        <w:ind w:left="210" w:leftChars="100" w:firstLine="80" w:firstLineChars="33"/>
        <w:outlineLvl w:val="1"/>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特别说明：</w:t>
      </w:r>
      <w:r>
        <w:rPr>
          <w:rFonts w:hint="eastAsia" w:ascii="CESI仿宋-GB2312" w:hAnsi="CESI仿宋-GB2312" w:eastAsia="CESI仿宋-GB2312" w:cs="CESI仿宋-GB2312"/>
          <w:b/>
          <w:sz w:val="24"/>
          <w:szCs w:val="24"/>
          <w:u w:val="single"/>
        </w:rPr>
        <w:t>政采云公司如对电子化开标及评审程序有调整的，应按调整的程序操作</w:t>
      </w:r>
      <w:r>
        <w:rPr>
          <w:rFonts w:hint="eastAsia" w:ascii="CESI仿宋-GB2312" w:hAnsi="CESI仿宋-GB2312" w:eastAsia="CESI仿宋-GB2312" w:cs="CESI仿宋-GB2312"/>
          <w:b/>
          <w:sz w:val="24"/>
          <w:szCs w:val="24"/>
        </w:rPr>
        <w:t>。</w:t>
      </w:r>
    </w:p>
    <w:p>
      <w:pPr>
        <w:pStyle w:val="33"/>
        <w:snapToGrid w:val="0"/>
        <w:spacing w:line="360" w:lineRule="auto"/>
        <w:ind w:left="661" w:leftChars="200" w:hanging="241" w:hangingChars="100"/>
        <w:rPr>
          <w:rFonts w:hAnsi="宋体"/>
          <w:b/>
          <w:sz w:val="24"/>
          <w:szCs w:val="24"/>
        </w:rPr>
      </w:pPr>
    </w:p>
    <w:p>
      <w:pPr>
        <w:pStyle w:val="33"/>
        <w:snapToGrid w:val="0"/>
        <w:spacing w:line="360" w:lineRule="auto"/>
        <w:ind w:left="659" w:leftChars="314" w:firstLine="3132" w:firstLineChars="13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五、评标</w:t>
      </w:r>
    </w:p>
    <w:p>
      <w:pPr>
        <w:pStyle w:val="33"/>
        <w:snapToGrid w:val="0"/>
        <w:spacing w:line="360" w:lineRule="auto"/>
        <w:ind w:left="720" w:leftChars="228" w:hanging="241" w:hangingChars="1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（一）组建评标委员会</w:t>
      </w:r>
    </w:p>
    <w:p>
      <w:pPr>
        <w:pStyle w:val="33"/>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本项目评标委员会由政府采购评审专家和采购人代表共5人组成（其中采购人代表不超过总人数的 1/3）。</w:t>
      </w:r>
    </w:p>
    <w:p>
      <w:pPr>
        <w:pStyle w:val="33"/>
        <w:snapToGrid w:val="0"/>
        <w:spacing w:line="360" w:lineRule="auto"/>
        <w:ind w:left="720" w:leftChars="228" w:hanging="241" w:hangingChars="1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（二）评标的方式</w:t>
      </w:r>
    </w:p>
    <w:p>
      <w:pPr>
        <w:pStyle w:val="33"/>
        <w:snapToGrid w:val="0"/>
        <w:spacing w:line="360" w:lineRule="auto"/>
        <w:ind w:left="719" w:leftChars="228" w:hanging="240" w:hanging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本项目采用不公开方式评标，评标的依据为采购文件和投标文件。</w:t>
      </w:r>
    </w:p>
    <w:p>
      <w:pPr>
        <w:pStyle w:val="33"/>
        <w:snapToGrid w:val="0"/>
        <w:spacing w:line="360" w:lineRule="auto"/>
        <w:ind w:left="720" w:leftChars="228" w:hanging="241" w:hangingChars="1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（三）</w:t>
      </w:r>
      <w:r>
        <w:rPr>
          <w:rFonts w:hint="eastAsia" w:ascii="方正仿宋_GB2312" w:hAnsi="方正仿宋_GB2312" w:eastAsia="方正仿宋_GB2312" w:cs="方正仿宋_GB2312"/>
          <w:b/>
          <w:bCs/>
          <w:sz w:val="24"/>
          <w:szCs w:val="24"/>
        </w:rPr>
        <w:t>评标程序</w:t>
      </w:r>
    </w:p>
    <w:p>
      <w:pPr>
        <w:snapToGrid w:val="0"/>
        <w:spacing w:line="360" w:lineRule="auto"/>
        <w:ind w:firstLine="472" w:firstLineChars="196"/>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1.形式审查</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采购人代表和代理机构工作人员依法对投标供应商的资格先进行审查。</w:t>
      </w:r>
    </w:p>
    <w:p>
      <w:pPr>
        <w:snapToGrid w:val="0"/>
        <w:spacing w:line="360" w:lineRule="auto"/>
        <w:ind w:firstLine="472" w:firstLineChars="196"/>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2.实质审查与比较</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（1）评标委员会审查投标文件的实质性内容是否符合采购文件的实质性要求。</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评标委员会将根据投标供应商的投标文件进行审查、核对，如有疑问，将对投标供应商在线询标，投标供应商要向评标委员会澄清有关问题，并最终以邮件形式进行答复。投标供应商拒绝澄清或者澄清的内容改变了投标文件的实质性内容的，评标委员会有权对该投标文件作出不利于投标供应商的评判。</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（3）各投标供应商的技术得分为所有评委的有效评分的算术平均数，由指定专人进行计算复核。</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（4）代理机构工作人员协助评标委员会根据本项目的评分标准计算各投标供应商的商务报价得分。</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（5）评标委员会完成评标后，评委对各部分得分汇总，计算出本项目最终得分、性价比、评标价等。评标委员会按评标原则推荐中标候选人同时起草评标报告。</w:t>
      </w:r>
    </w:p>
    <w:p>
      <w:pPr>
        <w:snapToGrid w:val="0"/>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（四）澄清问题的形式</w:t>
      </w:r>
    </w:p>
    <w:p>
      <w:pPr>
        <w:pStyle w:val="33"/>
        <w:snapToGrid w:val="0"/>
        <w:spacing w:line="360" w:lineRule="auto"/>
        <w:ind w:left="719" w:leftChars="228" w:hanging="240" w:hanging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评审中需要供应商对投标文件作出澄清、说明或者补正的，评审小组和供应商应</w:t>
      </w:r>
    </w:p>
    <w:p>
      <w:pPr>
        <w:pStyle w:val="33"/>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当通过电子交易平台交换数据电文。给予供应商提交澄清说明或补正的时间不得少于半小时，供应商已经明确表示澄清说明或补正完毕的除外。</w:t>
      </w:r>
    </w:p>
    <w:p>
      <w:pPr>
        <w:pStyle w:val="33"/>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（五）错误修正</w:t>
      </w:r>
    </w:p>
    <w:p>
      <w:pPr>
        <w:pStyle w:val="33"/>
        <w:snapToGrid w:val="0"/>
        <w:spacing w:line="360" w:lineRule="auto"/>
        <w:ind w:left="719" w:leftChars="228" w:hanging="240" w:hanging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投标文件如果出现计算或表达上的错误，修正错误的原则如下：</w:t>
      </w:r>
    </w:p>
    <w:p>
      <w:pPr>
        <w:widowControl/>
        <w:adjustRightInd w:val="0"/>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1.开标一览表总价与投标报价明细表汇总数不一致的，以开标一览表为准；</w:t>
      </w:r>
    </w:p>
    <w:p>
      <w:pPr>
        <w:widowControl/>
        <w:adjustRightInd w:val="0"/>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2.投标文件的大写金额和小写金额不一致的，以大写金额为准；</w:t>
      </w:r>
    </w:p>
    <w:p>
      <w:pPr>
        <w:pStyle w:val="33"/>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3.总价金额与按单价汇总金额不一致的，以单价金额计算结果为准。</w:t>
      </w:r>
    </w:p>
    <w:p>
      <w:pPr>
        <w:pStyle w:val="33"/>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4.对不同文字文本投标文件的解释发生异议的，以中文文本为准。</w:t>
      </w:r>
    </w:p>
    <w:p>
      <w:pPr>
        <w:pStyle w:val="33"/>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按上述修正错误的原则及方法调整或修正投标文件的投标报价，投标供应商同意并确认后，调整后的投标报价对投标供应商具有约束作用。如果投标供应商不接受修正后的报价，则其投标将作为无效投标处理 。</w:t>
      </w:r>
    </w:p>
    <w:p>
      <w:pPr>
        <w:pStyle w:val="33"/>
        <w:tabs>
          <w:tab w:val="left" w:pos="630"/>
        </w:tabs>
        <w:snapToGrid w:val="0"/>
        <w:spacing w:line="360" w:lineRule="auto"/>
        <w:ind w:firstLine="472" w:firstLineChars="196"/>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（六）评标原则和评标办法</w:t>
      </w:r>
    </w:p>
    <w:p>
      <w:pPr>
        <w:pStyle w:val="33"/>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33"/>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2.评标办法。本项目评标办法是</w:t>
      </w:r>
      <w:r>
        <w:rPr>
          <w:rFonts w:hint="eastAsia" w:ascii="方正仿宋_GB2312" w:hAnsi="方正仿宋_GB2312" w:eastAsia="方正仿宋_GB2312" w:cs="方正仿宋_GB2312"/>
          <w:b/>
          <w:sz w:val="24"/>
          <w:szCs w:val="24"/>
          <w:u w:val="single"/>
        </w:rPr>
        <w:t>综合评分法</w:t>
      </w:r>
      <w:r>
        <w:rPr>
          <w:rFonts w:hint="eastAsia" w:ascii="方正仿宋_GB2312" w:hAnsi="方正仿宋_GB2312" w:eastAsia="方正仿宋_GB2312" w:cs="方正仿宋_GB2312"/>
          <w:sz w:val="24"/>
          <w:szCs w:val="24"/>
        </w:rPr>
        <w:t>，具体评标内容及评分标准等详见《第四章：评标办法及评分标准》。</w:t>
      </w:r>
    </w:p>
    <w:p>
      <w:pPr>
        <w:pStyle w:val="33"/>
        <w:snapToGrid w:val="0"/>
        <w:spacing w:line="360" w:lineRule="auto"/>
        <w:ind w:firstLine="472" w:firstLineChars="196"/>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（七）评标过程的监控</w:t>
      </w:r>
    </w:p>
    <w:p>
      <w:pPr>
        <w:pStyle w:val="33"/>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本项目评标过程实行全程录音、录像监控，投标供应商在评标过程中所进行的试图影响评标结果的不公正活动，可能导致其投标被拒绝。</w:t>
      </w:r>
    </w:p>
    <w:p>
      <w:pPr>
        <w:pStyle w:val="33"/>
        <w:snapToGrid w:val="0"/>
        <w:spacing w:line="360" w:lineRule="auto"/>
        <w:ind w:firstLine="3614" w:firstLineChars="1500"/>
        <w:rPr>
          <w:rFonts w:hint="eastAsia" w:ascii="方正仿宋_GB2312" w:hAnsi="方正仿宋_GB2312" w:eastAsia="方正仿宋_GB2312" w:cs="方正仿宋_GB2312"/>
          <w:b/>
          <w:sz w:val="24"/>
          <w:szCs w:val="24"/>
        </w:rPr>
      </w:pPr>
    </w:p>
    <w:p>
      <w:pPr>
        <w:pStyle w:val="33"/>
        <w:snapToGrid w:val="0"/>
        <w:spacing w:line="360" w:lineRule="auto"/>
        <w:ind w:firstLine="3614" w:firstLineChars="1500"/>
        <w:rPr>
          <w:rFonts w:hint="eastAsia" w:ascii="方正仿宋_GB2312" w:hAnsi="方正仿宋_GB2312" w:eastAsia="方正仿宋_GB2312" w:cs="方正仿宋_GB2312"/>
          <w:b/>
          <w:sz w:val="24"/>
          <w:szCs w:val="24"/>
        </w:rPr>
      </w:pPr>
    </w:p>
    <w:p>
      <w:pPr>
        <w:pStyle w:val="33"/>
        <w:snapToGrid w:val="0"/>
        <w:spacing w:line="360" w:lineRule="auto"/>
        <w:ind w:firstLine="3614" w:firstLineChars="1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六、定标</w:t>
      </w:r>
    </w:p>
    <w:p>
      <w:pPr>
        <w:snapToGrid w:val="0"/>
        <w:spacing w:line="360" w:lineRule="auto"/>
        <w:ind w:firstLine="482" w:firstLineChars="200"/>
        <w:outlineLvl w:val="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（一）确定中标供应商。</w:t>
      </w:r>
    </w:p>
    <w:p>
      <w:pPr>
        <w:snapToGrid w:val="0"/>
        <w:spacing w:line="360" w:lineRule="auto"/>
        <w:ind w:firstLine="482" w:firstLineChars="200"/>
        <w:outlineLvl w:val="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本项目由采购人授权评标委员会直接确定中标供应商。</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 采购人不保证投标报价最低的投标供应商中标，也无义务对未中标的投标供应商</w:t>
      </w:r>
      <w:r>
        <w:rPr>
          <w:rFonts w:hint="eastAsia" w:ascii="方正仿宋_GB2312" w:hAnsi="方正仿宋_GB2312" w:eastAsia="方正仿宋_GB2312" w:cs="方正仿宋_GB2312"/>
          <w:sz w:val="24"/>
          <w:lang w:eastAsia="zh-CN"/>
        </w:rPr>
        <w:t>做</w:t>
      </w:r>
      <w:r>
        <w:rPr>
          <w:rFonts w:hint="eastAsia" w:ascii="方正仿宋_GB2312" w:hAnsi="方正仿宋_GB2312" w:eastAsia="方正仿宋_GB2312" w:cs="方正仿宋_GB2312"/>
          <w:sz w:val="24"/>
        </w:rPr>
        <w:t>任何解释和说明。</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（2）采购代理机构在评标结束后2个工作日内将评标报告交采购人。采购人应当自收到评标报告之日起5个工作日内，在评标报告确定的中标候选人名单中按顺序确定中标供应商。</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（3）采购人在收到评标报告5个工作日内未按评标报告推荐的中标候选人顺序确定中标供应商，又不能说明合法理由的，视同按评标报告推荐的顺序确定排名中标候选人为中标供应商。</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（4）采购人依法确定中标供应商后2个工作日内，采购代理机构以书面形式发出《中标通知书》，并同时在相关网站上发布中标结果公告。</w:t>
      </w:r>
    </w:p>
    <w:p>
      <w:pPr>
        <w:snapToGrid w:val="0"/>
        <w:spacing w:line="360" w:lineRule="auto"/>
        <w:ind w:firstLine="482" w:firstLineChars="200"/>
        <w:outlineLvl w:val="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（二）中标通知书</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1.确定中标投标供应商后，招标采购单位将以书面形式发出中标通知书，通知中标的投标供应商其投标被接受。</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2.中标通知书为双方签订合同的依据。</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3.中标投标供应商应根据中标通知书中规定的时间内，由法定代表人或其授权代理人与采购单位签订合同。</w:t>
      </w:r>
    </w:p>
    <w:p>
      <w:pPr>
        <w:snapToGrid w:val="0"/>
        <w:spacing w:line="360" w:lineRule="auto"/>
        <w:ind w:firstLine="482" w:firstLineChars="200"/>
        <w:outlineLvl w:val="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（三）出现下述情况之一的，采购单位可以与排位在中标供应商之后第一位的中标候选人签订政府采购合同，采购单位也可重新组织招标。</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1.中标供应商因自身原因放弃中标成交或因不可抗力不能履行合同的；</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2.经质疑，采购代理机构审查确认因中标供应商在本次采购活动中存在违法违规行为或其他原因使质疑成立的。</w:t>
      </w:r>
    </w:p>
    <w:p>
      <w:pPr>
        <w:snapToGrid w:val="0"/>
        <w:spacing w:line="360" w:lineRule="auto"/>
        <w:ind w:firstLine="57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（四）重新采购</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1.在采购中，出现下列情形之一的，将重新采购：</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（1）投标截止时，投标供应商少于3家或经评审认为所有投标供应商的投标文件存在报价明显不合理或均不满足符合性要求时；经评审，当有</w:t>
      </w:r>
      <w:r>
        <w:rPr>
          <w:rFonts w:hint="eastAsia" w:ascii="方正仿宋_GB2312" w:hAnsi="方正仿宋_GB2312" w:eastAsia="方正仿宋_GB2312" w:cs="方正仿宋_GB2312"/>
          <w:sz w:val="24"/>
          <w:lang w:eastAsia="zh-CN"/>
        </w:rPr>
        <w:t>效投</w:t>
      </w:r>
      <w:r>
        <w:rPr>
          <w:rFonts w:hint="eastAsia" w:ascii="方正仿宋_GB2312" w:hAnsi="方正仿宋_GB2312" w:eastAsia="方正仿宋_GB2312" w:cs="方正仿宋_GB2312"/>
          <w:sz w:val="24"/>
        </w:rPr>
        <w:t>标不足3家，缺乏竞争时。</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（2）出现影响采购公正的违法、违规行为的。</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（3）投标供应商的报价均超过了采购预算控制价，采购人不能支付的。</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（4）因重大变故，采购任务取消的。</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2.由于采购人原因终止采购或未能在规定延长后的投标文件有效期内确定中标供应商和发出中标通知书。 </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3.出现以下情形，导致电子交易平台无法正常运行，或者无法保证电子交易的公平、公正和安全时，中止电子交易活动：</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（1）电子交易平台发生故障而无法登录访问的；</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（2）电子交易平台应用或数据库出现错误，不能进行正常操作的；</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（3）电子交易平台发现严重安全漏洞，有潜在泄密危险的；</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（4）病毒发作导致不能进行正常操作的；</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（5）其他无法保证电子交易的公平、公正和安全的情况。</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出现前款规定情形，不影响采购公平、公正性的，采购组织机构可以待上述情形消除后继续组织电子交易活动，也可以决定某些环节以纸质形式进行；影响或可能影响采购公平、公正性的，重新采购。</w:t>
      </w:r>
    </w:p>
    <w:p>
      <w:pPr>
        <w:pStyle w:val="33"/>
        <w:spacing w:line="360" w:lineRule="auto"/>
        <w:jc w:val="center"/>
        <w:outlineLvl w:val="1"/>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七、合同授予</w:t>
      </w:r>
    </w:p>
    <w:p>
      <w:pPr>
        <w:spacing w:line="360" w:lineRule="auto"/>
        <w:ind w:firstLine="482"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（一）签订合同</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1.采购人与中标供应商应当在《中标通知书》发出之日起</w:t>
      </w:r>
      <w:r>
        <w:rPr>
          <w:rFonts w:hint="eastAsia" w:ascii="方正仿宋_GB2312" w:hAnsi="方正仿宋_GB2312" w:eastAsia="方正仿宋_GB2312" w:cs="方正仿宋_GB2312"/>
          <w:sz w:val="24"/>
          <w:u w:val="single"/>
        </w:rPr>
        <w:t>30</w:t>
      </w:r>
      <w:r>
        <w:rPr>
          <w:rFonts w:hint="eastAsia" w:ascii="方正仿宋_GB2312" w:hAnsi="方正仿宋_GB2312" w:eastAsia="方正仿宋_GB2312" w:cs="方正仿宋_GB2312"/>
          <w:sz w:val="24"/>
        </w:rPr>
        <w:t>日内签订政府采购合同。同时，采购代理机构对合同内容进行审查，如发现与采购结果和投标承诺内容不一致的，应予以纠正。</w:t>
      </w:r>
    </w:p>
    <w:p>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2.中标供应商拖延、拒签合同的或未按投标时承诺的内容履行的，将被取消中标资格，采购人可以按照评审报告推荐的中标候选人名单排序，确定下一候选人为中标供应商，也可以重新开展政府采购活动。</w:t>
      </w:r>
    </w:p>
    <w:p>
      <w:pPr>
        <w:pStyle w:val="33"/>
        <w:spacing w:line="360" w:lineRule="auto"/>
        <w:ind w:firstLine="482" w:firstLineChars="200"/>
        <w:rPr>
          <w:rFonts w:hint="eastAsia" w:ascii="方正仿宋_GB2312" w:hAnsi="方正仿宋_GB2312" w:eastAsia="方正仿宋_GB2312" w:cs="方正仿宋_GB2312"/>
          <w:b/>
          <w:color w:val="FF0000"/>
          <w:sz w:val="24"/>
          <w:szCs w:val="24"/>
        </w:rPr>
      </w:pPr>
      <w:r>
        <w:rPr>
          <w:rFonts w:hint="eastAsia" w:ascii="方正仿宋_GB2312" w:hAnsi="方正仿宋_GB2312" w:eastAsia="方正仿宋_GB2312" w:cs="方正仿宋_GB2312"/>
          <w:b/>
          <w:sz w:val="24"/>
          <w:szCs w:val="24"/>
        </w:rPr>
        <w:t>（二）履约保证金</w:t>
      </w:r>
    </w:p>
    <w:bookmarkEnd w:id="50"/>
    <w:bookmarkEnd w:id="51"/>
    <w:p>
      <w:pPr>
        <w:pStyle w:val="33"/>
        <w:spacing w:after="120" w:afterLines="50" w:line="360" w:lineRule="auto"/>
        <w:ind w:firstLine="480" w:firstLineChars="200"/>
        <w:rPr>
          <w:rFonts w:hint="eastAsia" w:ascii="方正仿宋_GB2312" w:hAnsi="方正仿宋_GB2312" w:eastAsia="方正仿宋_GB2312" w:cs="方正仿宋_GB2312"/>
          <w:b/>
          <w:sz w:val="36"/>
          <w:szCs w:val="36"/>
        </w:rPr>
      </w:pPr>
      <w:bookmarkStart w:id="54" w:name="_Toc21001360"/>
      <w:bookmarkStart w:id="55" w:name="_Toc20642287"/>
      <w:bookmarkStart w:id="56" w:name="_Toc245801511"/>
      <w:bookmarkStart w:id="57" w:name="_Toc20816117"/>
      <w:bookmarkStart w:id="58" w:name="_Toc21000516"/>
      <w:bookmarkStart w:id="59" w:name="_Toc36287940"/>
      <w:bookmarkStart w:id="60" w:name="_Toc20988286"/>
      <w:r>
        <w:rPr>
          <w:rFonts w:hint="eastAsia" w:ascii="方正仿宋_GB2312" w:hAnsi="方正仿宋_GB2312" w:eastAsia="方正仿宋_GB2312" w:cs="方正仿宋_GB2312"/>
          <w:sz w:val="24"/>
          <w:szCs w:val="24"/>
        </w:rPr>
        <w:t>中标人在合同签订前向采购人交纳履约保证金（伍万元整）。中标人按服务内容履约，完成第一年的基金决算1个月后，无重大问题发生，服务和建设内容各方面均达到合同要求，所出具的年度基金决算报告经双方验收合格后的十个工作日内，采购人退还履约保证金。</w:t>
      </w:r>
      <w:r>
        <w:rPr>
          <w:rFonts w:hint="eastAsia" w:ascii="方正仿宋_GB2312" w:hAnsi="方正仿宋_GB2312" w:eastAsia="方正仿宋_GB2312" w:cs="方正仿宋_GB2312"/>
          <w:sz w:val="24"/>
        </w:rPr>
        <w:t xml:space="preserve">（缴纳形式为支票、汇票、本票，或银行、保险公司出具的保函）。 </w:t>
      </w:r>
    </w:p>
    <w:p>
      <w:pPr>
        <w:pStyle w:val="33"/>
        <w:spacing w:after="120" w:afterLines="50" w:line="360" w:lineRule="auto"/>
        <w:rPr>
          <w:rFonts w:hint="eastAsia" w:ascii="CESI仿宋-GB2312" w:hAnsi="CESI仿宋-GB2312" w:eastAsia="CESI仿宋-GB2312" w:cs="CESI仿宋-GB2312"/>
          <w:b/>
          <w:sz w:val="36"/>
          <w:szCs w:val="36"/>
        </w:rPr>
      </w:pPr>
    </w:p>
    <w:p>
      <w:pPr>
        <w:widowControl/>
        <w:jc w:val="left"/>
        <w:rPr>
          <w:rFonts w:ascii="宋体" w:hAnsi="Courier New"/>
          <w:szCs w:val="20"/>
        </w:rPr>
      </w:pPr>
      <w:r>
        <w:br w:type="page"/>
      </w:r>
    </w:p>
    <w:p>
      <w:pPr>
        <w:pStyle w:val="5"/>
        <w:spacing w:line="360" w:lineRule="auto"/>
        <w:jc w:val="center"/>
      </w:pPr>
      <w:bookmarkStart w:id="61" w:name="_Toc13457"/>
      <w:bookmarkStart w:id="62" w:name="_Toc11362"/>
      <w:r>
        <w:t>第四章  评标办法和评分标准</w:t>
      </w:r>
      <w:bookmarkEnd w:id="61"/>
      <w:bookmarkEnd w:id="62"/>
    </w:p>
    <w:p>
      <w:pPr>
        <w:spacing w:line="360" w:lineRule="auto"/>
        <w:ind w:firstLine="540" w:firstLineChars="22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为公正、公平、科学地选择中标供应商，根据《中华人民共和国政府采购法》《中华人民共和国政府采购法实施条例》和《政府采购货物和服务采购投标管理办法》等有关法律法规的规定，并结合本项目的实际，制定本办法。</w:t>
      </w:r>
    </w:p>
    <w:p>
      <w:pPr>
        <w:snapToGrid w:val="0"/>
        <w:spacing w:line="360" w:lineRule="auto"/>
        <w:ind w:firstLine="482"/>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本办法适用于</w:t>
      </w:r>
      <w:r>
        <w:rPr>
          <w:rFonts w:hint="eastAsia" w:ascii="方正仿宋_GB2312" w:hAnsi="方正仿宋_GB2312" w:eastAsia="方正仿宋_GB2312" w:cs="方正仿宋_GB2312"/>
          <w:sz w:val="24"/>
          <w:u w:val="single"/>
        </w:rPr>
        <w:t>湖州市医疗保障局疾病相关分组（DRGS）结合点数法医保支付专业化服务项目</w:t>
      </w:r>
      <w:r>
        <w:rPr>
          <w:rFonts w:hint="eastAsia" w:ascii="方正仿宋_GB2312" w:hAnsi="方正仿宋_GB2312" w:eastAsia="方正仿宋_GB2312" w:cs="方正仿宋_GB2312"/>
          <w:sz w:val="24"/>
        </w:rPr>
        <w:t>的评标。</w:t>
      </w:r>
    </w:p>
    <w:p>
      <w:pPr>
        <w:snapToGrid w:val="0"/>
        <w:spacing w:line="360" w:lineRule="auto"/>
        <w:ind w:firstLine="48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一、总则</w:t>
      </w:r>
    </w:p>
    <w:p>
      <w:pPr>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次评标采用综合评分法，总分为100分，其中含价格分10分、技术、商务资信及其他分90分。合格投标供应商的评标得分为各项目汇总得分。中标候选资格按评标得分由高到低顺序排列，综合得分相同的，按投标报价得分由低到高顺序排列；综合得分和报价得分均相同的，按技术得分由高到低顺序排列。评分过程中采用四舍五入法，并保留小数二位。</w:t>
      </w:r>
    </w:p>
    <w:p>
      <w:pPr>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投标供应商评标综合得分=价格分+技术、商务资信及其他分</w:t>
      </w:r>
    </w:p>
    <w:p>
      <w:pPr>
        <w:snapToGrid w:val="0"/>
        <w:spacing w:line="360" w:lineRule="auto"/>
        <w:ind w:firstLine="48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二、评标内容及标准</w:t>
      </w:r>
    </w:p>
    <w:p>
      <w:pPr>
        <w:snapToGrid w:val="0"/>
        <w:spacing w:line="360" w:lineRule="auto"/>
        <w:ind w:firstLine="48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（1）价格分（10分）</w:t>
      </w:r>
    </w:p>
    <w:p>
      <w:pPr>
        <w:snapToGrid w:val="0"/>
        <w:spacing w:line="360" w:lineRule="auto"/>
        <w:ind w:firstLine="48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价格分采用低价优先法计算，即满足采购文件要求且投标价格最低的最终有效投标报价为评标基准价，其他投标供应商的价格分按照下列公式计算，并保留小数2位：</w:t>
      </w:r>
    </w:p>
    <w:p>
      <w:pPr>
        <w:snapToGrid w:val="0"/>
        <w:spacing w:line="360" w:lineRule="auto"/>
        <w:ind w:firstLine="482"/>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价格分=（评标基准价/投标报价）×10%×100。</w:t>
      </w:r>
    </w:p>
    <w:p>
      <w:pPr>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此项由评标委员会集体核实后统一打分。</w:t>
      </w:r>
    </w:p>
    <w:p>
      <w:pPr>
        <w:spacing w:line="360" w:lineRule="auto"/>
        <w:rPr>
          <w:rFonts w:hint="eastAsia" w:ascii="方正仿宋_GB2312" w:hAnsi="方正仿宋_GB2312" w:eastAsia="方正仿宋_GB2312" w:cs="方正仿宋_GB2312"/>
          <w:b/>
          <w:snapToGrid w:val="0"/>
          <w:color w:val="000000"/>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b/>
          <w:bCs/>
          <w:color w:val="000000"/>
          <w:sz w:val="24"/>
        </w:rPr>
        <w:t>评标委员会认为投标供应商的报价明显低于其他通过符合性审</w:t>
      </w:r>
      <w:r>
        <w:rPr>
          <w:rFonts w:hint="eastAsia" w:ascii="方正仿宋_GB2312" w:hAnsi="方正仿宋_GB2312" w:eastAsia="方正仿宋_GB2312" w:cs="方正仿宋_GB2312"/>
          <w:b/>
          <w:bCs/>
          <w:color w:val="000000"/>
          <w:sz w:val="24"/>
          <w:lang w:eastAsia="zh-CN"/>
        </w:rPr>
        <w:t>查的</w:t>
      </w:r>
      <w:r>
        <w:rPr>
          <w:rFonts w:hint="eastAsia" w:ascii="方正仿宋_GB2312" w:hAnsi="方正仿宋_GB2312" w:eastAsia="方正仿宋_GB2312" w:cs="方正仿宋_GB2312"/>
          <w:b/>
          <w:bCs/>
          <w:color w:val="000000"/>
          <w:sz w:val="24"/>
        </w:rPr>
        <w:t>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扶持政策说明：</w:t>
      </w:r>
      <w:r>
        <w:rPr>
          <w:rFonts w:hint="eastAsia" w:ascii="方正仿宋_GB2312" w:hAnsi="方正仿宋_GB2312" w:eastAsia="方正仿宋_GB2312" w:cs="方正仿宋_GB2312"/>
          <w:sz w:val="24"/>
        </w:rPr>
        <w:t xml:space="preserve"> </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本项目在报价分评审时依据《政府采购促进中小企业发展管理办法》（财库〔2020〕46号）、《财政部关于进一步加大政府采购支持中小企业力度的通知》（财库〔2022〕19号）、《关于印发中小企业划型标准规定的通知》（工信部联企业〔2011〕300 号）相关规定，</w:t>
      </w:r>
      <w:r>
        <w:rPr>
          <w:rFonts w:hint="eastAsia" w:ascii="方正仿宋_GB2312" w:hAnsi="方正仿宋_GB2312" w:eastAsia="方正仿宋_GB2312" w:cs="方正仿宋_GB2312"/>
          <w:b/>
          <w:bCs/>
          <w:kern w:val="0"/>
          <w:sz w:val="24"/>
          <w:szCs w:val="24"/>
        </w:rPr>
        <w:t>小型和微型企业可享受本项</w:t>
      </w:r>
      <w:r>
        <w:rPr>
          <w:rFonts w:hint="eastAsia" w:ascii="方正仿宋_GB2312" w:hAnsi="方正仿宋_GB2312" w:eastAsia="方正仿宋_GB2312" w:cs="方正仿宋_GB2312"/>
          <w:b/>
          <w:bCs/>
          <w:color w:val="000000"/>
          <w:kern w:val="0"/>
          <w:sz w:val="24"/>
          <w:szCs w:val="24"/>
        </w:rPr>
        <w:t>目</w:t>
      </w:r>
      <w:r>
        <w:rPr>
          <w:rFonts w:hint="eastAsia" w:ascii="方正仿宋_GB2312" w:hAnsi="方正仿宋_GB2312" w:eastAsia="方正仿宋_GB2312" w:cs="方正仿宋_GB2312"/>
          <w:b/>
          <w:bCs/>
          <w:color w:val="000000"/>
          <w:kern w:val="0"/>
          <w:sz w:val="24"/>
          <w:szCs w:val="24"/>
          <w:u w:val="single"/>
        </w:rPr>
        <w:t>10%</w:t>
      </w:r>
      <w:r>
        <w:rPr>
          <w:rFonts w:hint="eastAsia" w:ascii="方正仿宋_GB2312" w:hAnsi="方正仿宋_GB2312" w:eastAsia="方正仿宋_GB2312" w:cs="方正仿宋_GB2312"/>
          <w:b/>
          <w:bCs/>
          <w:color w:val="000000"/>
          <w:kern w:val="0"/>
          <w:sz w:val="24"/>
          <w:szCs w:val="24"/>
        </w:rPr>
        <w:t>的价格扣除扶持政策，用扣除后的价格参与评审</w:t>
      </w:r>
      <w:r>
        <w:rPr>
          <w:rFonts w:hint="eastAsia" w:ascii="方正仿宋_GB2312" w:hAnsi="方正仿宋_GB2312" w:eastAsia="方正仿宋_GB2312" w:cs="方正仿宋_GB2312"/>
          <w:color w:val="000000"/>
          <w:kern w:val="0"/>
          <w:sz w:val="24"/>
          <w:szCs w:val="24"/>
        </w:rPr>
        <w:t>；对联合协议或者分包意向协议约定小微企业的合同份额占到合同总额30%以上的，联合体或大中型企业可享受本项目</w:t>
      </w:r>
      <w:r>
        <w:rPr>
          <w:rFonts w:hint="eastAsia" w:ascii="方正仿宋_GB2312" w:hAnsi="方正仿宋_GB2312" w:eastAsia="方正仿宋_GB2312" w:cs="方正仿宋_GB2312"/>
          <w:b/>
          <w:bCs/>
          <w:color w:val="000000"/>
          <w:kern w:val="0"/>
          <w:sz w:val="24"/>
          <w:szCs w:val="24"/>
          <w:u w:val="single"/>
        </w:rPr>
        <w:t>6%</w:t>
      </w:r>
      <w:r>
        <w:rPr>
          <w:rFonts w:hint="eastAsia" w:ascii="方正仿宋_GB2312" w:hAnsi="方正仿宋_GB2312" w:eastAsia="方正仿宋_GB2312" w:cs="方正仿宋_GB2312"/>
          <w:color w:val="000000"/>
          <w:kern w:val="0"/>
          <w:sz w:val="24"/>
          <w:szCs w:val="24"/>
        </w:rPr>
        <w:t>的价格</w:t>
      </w:r>
      <w:r>
        <w:rPr>
          <w:rFonts w:hint="eastAsia" w:ascii="方正仿宋_GB2312" w:hAnsi="方正仿宋_GB2312" w:eastAsia="方正仿宋_GB2312" w:cs="方正仿宋_GB2312"/>
          <w:kern w:val="0"/>
          <w:sz w:val="24"/>
          <w:szCs w:val="24"/>
        </w:rPr>
        <w:t>扣除扶持政策，用扣除后的价格参与评审具体规定如下：</w:t>
      </w:r>
    </w:p>
    <w:p>
      <w:pPr>
        <w:spacing w:line="360" w:lineRule="auto"/>
        <w:ind w:firstLine="482" w:firstLineChars="200"/>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①采购标的对应的中小企业划分标准所属行业：【信息技术服务业】</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②供应商必须符合工信部联企业[2011]300号规定的小型、微型企业的划分标准（行业对应）；</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③供应商所投产品由小型、微型企业制造，即货物由小型、微型企业生产且使用该小型、微型企业商号或者注册商标；如供应商提供的货物既有小型、微型企业制造货物，也有中型、大型企业制造货物的，不享受价格扶持政策。</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④供应商必须提交《中小企业声明函》（见第六章</w:t>
      </w:r>
      <w:r>
        <w:rPr>
          <w:rFonts w:hint="eastAsia" w:ascii="方正仿宋_GB2312" w:hAnsi="方正仿宋_GB2312" w:eastAsia="方正仿宋_GB2312" w:cs="方正仿宋_GB2312"/>
          <w:color w:val="000000"/>
          <w:sz w:val="24"/>
        </w:rPr>
        <w:t>投标文件</w:t>
      </w:r>
      <w:r>
        <w:rPr>
          <w:rFonts w:hint="eastAsia" w:ascii="方正仿宋_GB2312" w:hAnsi="方正仿宋_GB2312" w:eastAsia="方正仿宋_GB2312" w:cs="方正仿宋_GB2312"/>
          <w:kern w:val="0"/>
          <w:sz w:val="24"/>
          <w:szCs w:val="24"/>
        </w:rPr>
        <w:t>格式）并填写完整。</w:t>
      </w:r>
    </w:p>
    <w:p>
      <w:pPr>
        <w:spacing w:line="360" w:lineRule="auto"/>
        <w:ind w:firstLine="463" w:firstLineChars="192"/>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（2）小、微企业按上述优惠取得政府采购合同后，不得分包或转包给大型、中型企业。</w:t>
      </w:r>
    </w:p>
    <w:p>
      <w:pPr>
        <w:spacing w:line="360" w:lineRule="auto"/>
        <w:ind w:firstLine="463" w:firstLineChars="192"/>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3）符合《财政部、司法部关于政府采购支持监狱企业发展有关问题的通知》（财库[2014]68号）规定的监狱企业，在全部提供本单位的服务或者提供其他监狱企业的服务参加政府采购活动时，视同小型、微型企业享受扶持政策。</w:t>
      </w:r>
    </w:p>
    <w:p>
      <w:pPr>
        <w:spacing w:line="360" w:lineRule="auto"/>
        <w:ind w:firstLine="460" w:firstLineChars="192"/>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备注：❶监狱企业证明文件：省级或以上监狱管理局、戒毒管理局（含新疆生产建设兵团）出具的属于监狱企业的证明文件。❷如果提供其他监狱企业制造的货物，还须同时提供该企业为监狱企业的证明文件。</w:t>
      </w:r>
    </w:p>
    <w:p>
      <w:pPr>
        <w:spacing w:line="360" w:lineRule="auto"/>
        <w:ind w:firstLine="463" w:firstLineChars="192"/>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4）符合《财政部、民政部、中国残疾人联合会关于促进残疾人就业政府采购政策的通知》（财库[2017]141号）规定的残疾人福利性单位，在全部提供本单位的服务或者提供其他残疾人福利性单位的服务参加政府采购活动时，视同小型、微型企业享受扶持政策。</w:t>
      </w:r>
    </w:p>
    <w:p>
      <w:pPr>
        <w:spacing w:line="360" w:lineRule="auto"/>
        <w:ind w:firstLine="460" w:firstLineChars="192"/>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4"/>
        </w:rPr>
        <w:t>备注：❶残疾人福利性单位证明材料：残疾人福利性单位声明函（见第六章投标文件格式）。❷如提供其他残疾人福利性单位制造的货物，还须同时提供该企业的残疾人福利性单位声明函。</w:t>
      </w:r>
    </w:p>
    <w:p>
      <w:pPr>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bCs/>
          <w:kern w:val="0"/>
          <w:sz w:val="24"/>
          <w:szCs w:val="20"/>
        </w:rPr>
        <w:t>（5）供应商按照规定提供声明函内容不实的，属于提供虚假材料谋取中标（成交），依照《中华人民共和国政府采购法》等国家有关规定追究相应责任。</w:t>
      </w:r>
    </w:p>
    <w:p>
      <w:pPr>
        <w:snapToGrid w:val="0"/>
        <w:spacing w:line="360" w:lineRule="auto"/>
        <w:ind w:firstLine="482"/>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（2）技术、商务、资信及其他分（90分）</w:t>
      </w:r>
    </w:p>
    <w:p>
      <w:pPr>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本项目技术分69分、商务资信分21分。</w:t>
      </w:r>
    </w:p>
    <w:p>
      <w:pPr>
        <w:snapToGrid w:val="0"/>
        <w:spacing w:line="360" w:lineRule="auto"/>
        <w:ind w:firstLine="482"/>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（3）技术、商务、资信及其他分的计算</w:t>
      </w:r>
    </w:p>
    <w:p>
      <w:pPr>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技术、商务、资信及其他分按照评标委员会成员的独立评分结果汇总数的算术平均分计算，计算公式为：</w:t>
      </w:r>
    </w:p>
    <w:p>
      <w:pPr>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技术、商务、资信及其他分=评标委员会所有成员评分合计数/评标委员会组成人员数</w:t>
      </w:r>
    </w:p>
    <w:p>
      <w:pPr>
        <w:spacing w:line="360" w:lineRule="auto"/>
        <w:rPr>
          <w:b/>
          <w:bCs/>
          <w:sz w:val="24"/>
        </w:rPr>
      </w:pPr>
      <w:r>
        <w:rPr>
          <w:rFonts w:hint="eastAsia"/>
          <w:b/>
          <w:bCs/>
          <w:sz w:val="24"/>
        </w:rPr>
        <w:t>附件：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40"/>
        <w:gridCol w:w="596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bookmarkStart w:id="63" w:name="_Hlk152598257"/>
            <w:r>
              <w:rPr>
                <w:rFonts w:hint="eastAsia" w:ascii="方正仿宋_GB2312" w:hAnsi="方正仿宋_GB2312" w:eastAsia="方正仿宋_GB2312" w:cs="方正仿宋_GB2312"/>
                <w:b/>
                <w:sz w:val="24"/>
              </w:rPr>
              <w:t>序号</w:t>
            </w:r>
          </w:p>
        </w:tc>
        <w:tc>
          <w:tcPr>
            <w:tcW w:w="1240"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评审内容</w:t>
            </w:r>
          </w:p>
        </w:tc>
        <w:tc>
          <w:tcPr>
            <w:tcW w:w="5968"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评分标准</w:t>
            </w:r>
          </w:p>
        </w:tc>
        <w:tc>
          <w:tcPr>
            <w:tcW w:w="1050"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w:t>
            </w:r>
          </w:p>
        </w:tc>
        <w:tc>
          <w:tcPr>
            <w:tcW w:w="7208" w:type="dxa"/>
            <w:gridSpan w:val="2"/>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技术分</w:t>
            </w:r>
          </w:p>
        </w:tc>
        <w:tc>
          <w:tcPr>
            <w:tcW w:w="1050"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vMerge w:val="restart"/>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1.1</w:t>
            </w:r>
          </w:p>
        </w:tc>
        <w:tc>
          <w:tcPr>
            <w:tcW w:w="1240" w:type="dxa"/>
            <w:vMerge w:val="restart"/>
            <w:noWrap/>
            <w:vAlign w:val="center"/>
          </w:tcPr>
          <w:p>
            <w:pPr>
              <w:tabs>
                <w:tab w:val="left" w:pos="1080"/>
              </w:tabs>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服务方案</w:t>
            </w:r>
          </w:p>
        </w:tc>
        <w:tc>
          <w:tcPr>
            <w:tcW w:w="5968" w:type="dxa"/>
            <w:noWrap/>
            <w:vAlign w:val="center"/>
          </w:tcPr>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1、整体设计方案：根据本项目采购要求及特点提出全面的解决方案，</w:t>
            </w:r>
            <w:r>
              <w:rPr>
                <w:rFonts w:hint="eastAsia" w:ascii="方正仿宋_GB2312" w:hAnsi="方正仿宋_GB2312" w:eastAsia="方正仿宋_GB2312" w:cs="方正仿宋_GB2312"/>
                <w:sz w:val="24"/>
                <w:lang w:eastAsia="zh-CN"/>
              </w:rPr>
              <w:t>投标供应商</w:t>
            </w:r>
            <w:r>
              <w:rPr>
                <w:rFonts w:hint="eastAsia" w:ascii="方正仿宋_GB2312" w:hAnsi="方正仿宋_GB2312" w:eastAsia="方正仿宋_GB2312" w:cs="方正仿宋_GB2312"/>
                <w:sz w:val="24"/>
              </w:rPr>
              <w:t>提供的设计方案能准确理解采购人的应用需求，整体设计方案全面详细、科学合理、可行性强，且充分理解采购人需求的得</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分；设计</w:t>
            </w:r>
            <w:r>
              <w:rPr>
                <w:rFonts w:hint="eastAsia" w:ascii="方正仿宋_GB2312" w:hAnsi="方正仿宋_GB2312" w:eastAsia="方正仿宋_GB2312" w:cs="方正仿宋_GB2312"/>
                <w:sz w:val="24"/>
                <w:lang w:eastAsia="zh-CN"/>
              </w:rPr>
              <w:t>比较</w:t>
            </w:r>
            <w:r>
              <w:rPr>
                <w:rFonts w:hint="eastAsia" w:ascii="方正仿宋_GB2312" w:hAnsi="方正仿宋_GB2312" w:eastAsia="方正仿宋_GB2312" w:cs="方正仿宋_GB2312"/>
                <w:sz w:val="24"/>
              </w:rPr>
              <w:t>合理，对采购人需求理解一般的得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分；设计基本合理，对采购人需求理解</w:t>
            </w:r>
            <w:r>
              <w:rPr>
                <w:rFonts w:hint="eastAsia" w:ascii="方正仿宋_GB2312" w:hAnsi="方正仿宋_GB2312" w:eastAsia="方正仿宋_GB2312" w:cs="方正仿宋_GB2312"/>
                <w:sz w:val="24"/>
                <w:lang w:eastAsia="zh-CN"/>
              </w:rPr>
              <w:t>较差的得２分，</w:t>
            </w:r>
            <w:r>
              <w:rPr>
                <w:rFonts w:hint="eastAsia" w:ascii="方正仿宋_GB2312" w:hAnsi="方正仿宋_GB2312" w:eastAsia="方正仿宋_GB2312" w:cs="方正仿宋_GB2312"/>
                <w:sz w:val="24"/>
              </w:rPr>
              <w:t>设计不合理未能符合采购人需求的不得分。</w:t>
            </w:r>
          </w:p>
        </w:tc>
        <w:tc>
          <w:tcPr>
            <w:tcW w:w="1050" w:type="dxa"/>
            <w:vMerge w:val="restart"/>
            <w:noWrap/>
            <w:vAlign w:val="center"/>
          </w:tcPr>
          <w:p>
            <w:pPr>
              <w:tabs>
                <w:tab w:val="left" w:pos="1080"/>
              </w:tabs>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0-33分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vMerge w:val="continue"/>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p>
        </w:tc>
        <w:tc>
          <w:tcPr>
            <w:tcW w:w="1240" w:type="dxa"/>
            <w:vMerge w:val="continue"/>
            <w:noWrap/>
            <w:vAlign w:val="center"/>
          </w:tcPr>
          <w:p>
            <w:pPr>
              <w:tabs>
                <w:tab w:val="left" w:pos="1080"/>
              </w:tabs>
              <w:spacing w:line="360" w:lineRule="auto"/>
              <w:jc w:val="center"/>
              <w:rPr>
                <w:rFonts w:hint="eastAsia" w:ascii="方正仿宋_GB2312" w:hAnsi="方正仿宋_GB2312" w:eastAsia="方正仿宋_GB2312" w:cs="方正仿宋_GB2312"/>
                <w:b/>
                <w:bCs/>
                <w:sz w:val="24"/>
              </w:rPr>
            </w:pPr>
          </w:p>
        </w:tc>
        <w:tc>
          <w:tcPr>
            <w:tcW w:w="5968" w:type="dxa"/>
            <w:noWrap/>
            <w:vAlign w:val="center"/>
          </w:tcPr>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2、根据本项目的服务要求制定整体服务方案，方案要求设计全面详细、科学合理、可行性强，且充分理解采购人需求。</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服务内容包括：</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（1）提供历年基础数据标化服务方案；包含数据收集、数据治理、数据质控等业务流程内容，并能够提供详细业务流程图和服务工具，确保数据治理标化方案具有操作性，服务方案科学合理，</w:t>
            </w:r>
            <w:r>
              <w:rPr>
                <w:rFonts w:hint="eastAsia" w:ascii="方正仿宋_GB2312" w:hAnsi="方正仿宋_GB2312" w:eastAsia="方正仿宋_GB2312" w:cs="方正仿宋_GB2312"/>
                <w:sz w:val="24"/>
                <w:lang w:eastAsia="zh-CN"/>
              </w:rPr>
              <w:t>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（2）提供医疗保障基金结算清单规范服务方案；包含医保结算清单数据质控、编码质控、数据质量评估等内容，并能够提供详细医保结算清单数据质控分析报告和服务工具，方案科学合理，</w:t>
            </w: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（3）提供DRG付费标准动态调整服务方案；包含对DRG病组支付标准、基准点数、差异系数、病组稳定性、倍率判定等进行动态调整，以及医院运行分析服务，并能够提供详细标准方案和服务工具，方案科学合理，</w:t>
            </w: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eastAsia="zh-CN"/>
              </w:rPr>
              <w:t>３</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（4）提供DRG付费结算服务方案；包含反馈、模拟、预付、清算、特病单议等内容，并能够提供详细月度、年度模拟分析报告和服务工具，方案科学合理，</w:t>
            </w: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（5）提供大数据统计与分析服务方案；包含分组合理性、医疗质量、医疗行为、医疗费用、医疗效率等内容，并能够提供详细分析报告和服务工具，方案科学合理，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eastAsia="zh-CN"/>
              </w:rPr>
              <w:t>３</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（6）提供绩效考核评价服务方案；包含对定点医疗机构的医疗服务能力、医疗服务效率、医疗服务费用、医疗服务质效等内容，并能够提供符合湖州本地实际的详细考核评价指标和服务工具，方案科学合理，</w:t>
            </w: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eastAsia="zh-CN"/>
              </w:rPr>
              <w:t>３</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（7）提供基于DRG的监管服务方案；包含DRG病组数据挖掘、疑点违规建模、日常监管筛查、决策支撑等服务内容，并能够提供疑点数据筛查报告和服务工具，方案科学合理，</w:t>
            </w: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eastAsia="zh-CN"/>
              </w:rPr>
              <w:t>３</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（8）提供本地化专家服务方案；包含建立本地化专家团队、组织评议、交叉检查及特病单议服务方案；方案科学合理，</w:t>
            </w: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eastAsia="zh-CN"/>
              </w:rPr>
              <w:t>３</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p>
            <w:pPr>
              <w:tabs>
                <w:tab w:val="left" w:pos="1080"/>
              </w:tabs>
              <w:spacing w:line="440" w:lineRule="exact"/>
              <w:jc w:val="left"/>
              <w:rPr>
                <w:rFonts w:hint="eastAsia" w:ascii="方正仿宋_GB2312" w:hAnsi="方正仿宋_GB2312" w:eastAsia="方正仿宋_GB2312" w:cs="方正仿宋_GB2312"/>
                <w:b/>
                <w:sz w:val="24"/>
                <w:lang w:bidi="ar"/>
              </w:rPr>
            </w:pPr>
            <w:r>
              <w:rPr>
                <w:rFonts w:hint="eastAsia" w:ascii="方正仿宋_GB2312" w:hAnsi="方正仿宋_GB2312" w:eastAsia="方正仿宋_GB2312" w:cs="方正仿宋_GB2312"/>
                <w:sz w:val="24"/>
              </w:rPr>
              <w:t>（9）提供与浙江省智慧医保平台的对接服务方案；包含浙江省智慧医保平台支付方式改革系统配置、移植、对接服务方案；方案科学合理，</w:t>
            </w:r>
            <w:r>
              <w:rPr>
                <w:rFonts w:hint="eastAsia" w:ascii="方正仿宋_GB2312" w:hAnsi="方正仿宋_GB2312" w:eastAsia="方正仿宋_GB2312" w:cs="方正仿宋_GB2312"/>
                <w:sz w:val="24"/>
                <w:lang w:eastAsia="zh-CN"/>
              </w:rPr>
              <w:t>操作性强，全部</w:t>
            </w:r>
            <w:r>
              <w:rPr>
                <w:rFonts w:hint="eastAsia" w:ascii="方正仿宋_GB2312" w:hAnsi="方正仿宋_GB2312" w:eastAsia="方正仿宋_GB2312" w:cs="方正仿宋_GB2312"/>
                <w:sz w:val="24"/>
              </w:rPr>
              <w:t>满足采购人需求的得</w:t>
            </w:r>
            <w:r>
              <w:rPr>
                <w:rFonts w:hint="eastAsia" w:ascii="方正仿宋_GB2312" w:hAnsi="方正仿宋_GB2312" w:eastAsia="方正仿宋_GB2312" w:cs="方正仿宋_GB2312"/>
                <w:sz w:val="24"/>
                <w:lang w:eastAsia="zh-CN"/>
              </w:rPr>
              <w:t>３</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；方案比较合理，</w:t>
            </w:r>
            <w:r>
              <w:rPr>
                <w:rFonts w:hint="eastAsia" w:ascii="方正仿宋_GB2312" w:hAnsi="方正仿宋_GB2312" w:eastAsia="方正仿宋_GB2312" w:cs="方正仿宋_GB2312"/>
                <w:sz w:val="24"/>
              </w:rPr>
              <w:t>操作性</w:t>
            </w:r>
            <w:r>
              <w:rPr>
                <w:rFonts w:hint="eastAsia" w:ascii="方正仿宋_GB2312" w:hAnsi="方正仿宋_GB2312" w:eastAsia="方正仿宋_GB2312" w:cs="方正仿宋_GB2312"/>
                <w:sz w:val="24"/>
                <w:lang w:eastAsia="zh-CN"/>
              </w:rPr>
              <w:t>一般，</w:t>
            </w:r>
            <w:r>
              <w:rPr>
                <w:rFonts w:hint="eastAsia" w:ascii="方正仿宋_GB2312" w:hAnsi="方正仿宋_GB2312" w:eastAsia="方正仿宋_GB2312" w:cs="方正仿宋_GB2312"/>
                <w:sz w:val="24"/>
              </w:rPr>
              <w:t>满足部分需求得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；方案较差，操作性欠缺的，基本需求不满足的得１分；</w:t>
            </w:r>
            <w:r>
              <w:rPr>
                <w:rFonts w:hint="eastAsia" w:ascii="方正仿宋_GB2312" w:hAnsi="方正仿宋_GB2312" w:eastAsia="方正仿宋_GB2312" w:cs="方正仿宋_GB2312"/>
                <w:sz w:val="24"/>
              </w:rPr>
              <w:t>未提供不得分。</w:t>
            </w:r>
          </w:p>
        </w:tc>
        <w:tc>
          <w:tcPr>
            <w:tcW w:w="1050" w:type="dxa"/>
            <w:vMerge w:val="continue"/>
            <w:noWrap/>
            <w:vAlign w:val="center"/>
          </w:tcPr>
          <w:p>
            <w:pPr>
              <w:tabs>
                <w:tab w:val="left" w:pos="1080"/>
              </w:tabs>
              <w:spacing w:line="360" w:lineRule="auto"/>
              <w:jc w:val="center"/>
              <w:rPr>
                <w:rFonts w:hint="eastAsia" w:ascii="方正仿宋_GB2312" w:hAnsi="方正仿宋_GB2312" w:eastAsia="方正仿宋_GB2312" w:cs="方正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1.2</w:t>
            </w:r>
          </w:p>
        </w:tc>
        <w:tc>
          <w:tcPr>
            <w:tcW w:w="1240" w:type="dxa"/>
            <w:noWrap/>
            <w:vAlign w:val="center"/>
          </w:tcPr>
          <w:p>
            <w:pPr>
              <w:tabs>
                <w:tab w:val="left" w:pos="1080"/>
              </w:tabs>
              <w:spacing w:line="360" w:lineRule="auto"/>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实施方案</w:t>
            </w:r>
          </w:p>
        </w:tc>
        <w:tc>
          <w:tcPr>
            <w:tcW w:w="5968" w:type="dxa"/>
            <w:noWrap/>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1、项目实施方案包含：详细的项目组人员清单、培训方案、项目风险分析及应对方案等内容进行综合评判，方案设计完整合理、科学规范、可行性高且满足项目需求的得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分；方案设计基本合理、科学规范、可行性一般</w:t>
            </w:r>
            <w:r>
              <w:rPr>
                <w:rFonts w:hint="eastAsia" w:ascii="方正仿宋_GB2312" w:hAnsi="方正仿宋_GB2312" w:eastAsia="方正仿宋_GB2312" w:cs="方正仿宋_GB2312"/>
                <w:sz w:val="24"/>
                <w:lang w:eastAsia="zh-CN"/>
              </w:rPr>
              <w:t>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分；方案设计不完整合理、可行性低</w:t>
            </w:r>
            <w:r>
              <w:rPr>
                <w:rFonts w:hint="eastAsia" w:ascii="方正仿宋_GB2312" w:hAnsi="方正仿宋_GB2312" w:eastAsia="方正仿宋_GB2312" w:cs="方正仿宋_GB2312"/>
                <w:sz w:val="24"/>
                <w:lang w:eastAsia="zh-CN"/>
              </w:rPr>
              <w:t>的得</w:t>
            </w:r>
            <w:r>
              <w:rPr>
                <w:rFonts w:hint="eastAsia" w:ascii="方正仿宋_GB2312" w:hAnsi="方正仿宋_GB2312" w:eastAsia="方正仿宋_GB2312" w:cs="方正仿宋_GB2312"/>
                <w:sz w:val="24"/>
                <w:lang w:val="en-US" w:eastAsia="zh-CN"/>
              </w:rPr>
              <w:t>1分；</w:t>
            </w:r>
            <w:r>
              <w:rPr>
                <w:rFonts w:hint="eastAsia" w:ascii="方正仿宋_GB2312" w:hAnsi="方正仿宋_GB2312" w:eastAsia="方正仿宋_GB2312" w:cs="方正仿宋_GB2312"/>
                <w:sz w:val="24"/>
              </w:rPr>
              <w:t>未提供不得分。</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2、项目管理方案包含：项目进度控制、项目范围管理、变更控制、文档管理、信息管理、需求管理、沟通协调、质量控制等内容进行综合评判，方案设计完整合理、科学规范、可行性高且满足项目需求的得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分；方案设计基本合理、科学规范、可行性一般</w:t>
            </w:r>
            <w:r>
              <w:rPr>
                <w:rFonts w:hint="eastAsia" w:ascii="方正仿宋_GB2312" w:hAnsi="方正仿宋_GB2312" w:eastAsia="方正仿宋_GB2312" w:cs="方正仿宋_GB2312"/>
                <w:sz w:val="24"/>
                <w:lang w:eastAsia="zh-CN"/>
              </w:rPr>
              <w:t>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分；方案设计不完整合理、可行性低</w:t>
            </w:r>
            <w:r>
              <w:rPr>
                <w:rFonts w:hint="eastAsia" w:ascii="方正仿宋_GB2312" w:hAnsi="方正仿宋_GB2312" w:eastAsia="方正仿宋_GB2312" w:cs="方正仿宋_GB2312"/>
                <w:sz w:val="24"/>
                <w:lang w:eastAsia="zh-CN"/>
              </w:rPr>
              <w:t>的得</w:t>
            </w:r>
            <w:r>
              <w:rPr>
                <w:rFonts w:hint="eastAsia" w:ascii="方正仿宋_GB2312" w:hAnsi="方正仿宋_GB2312" w:eastAsia="方正仿宋_GB2312" w:cs="方正仿宋_GB2312"/>
                <w:sz w:val="24"/>
                <w:lang w:val="en-US" w:eastAsia="zh-CN"/>
              </w:rPr>
              <w:t>1分；</w:t>
            </w:r>
            <w:r>
              <w:rPr>
                <w:rFonts w:hint="eastAsia" w:ascii="方正仿宋_GB2312" w:hAnsi="方正仿宋_GB2312" w:eastAsia="方正仿宋_GB2312" w:cs="方正仿宋_GB2312"/>
                <w:sz w:val="24"/>
              </w:rPr>
              <w:t>未提供不得分。</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3、项目应急方案包括：根据招标人需求提供业务连续性管理方案，以及详细的应急响应方案。方案设计完整合理、科学规范、可行性高且满足项目需求的得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分；方案设计基本合理、科学规范、可行性一般</w:t>
            </w:r>
            <w:r>
              <w:rPr>
                <w:rFonts w:hint="eastAsia" w:ascii="方正仿宋_GB2312" w:hAnsi="方正仿宋_GB2312" w:eastAsia="方正仿宋_GB2312" w:cs="方正仿宋_GB2312"/>
                <w:sz w:val="24"/>
                <w:lang w:eastAsia="zh-CN"/>
              </w:rPr>
              <w:t>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分；方案设计不完整合理、可行性低</w:t>
            </w:r>
            <w:r>
              <w:rPr>
                <w:rFonts w:hint="eastAsia" w:ascii="方正仿宋_GB2312" w:hAnsi="方正仿宋_GB2312" w:eastAsia="方正仿宋_GB2312" w:cs="方正仿宋_GB2312"/>
                <w:sz w:val="24"/>
                <w:lang w:eastAsia="zh-CN"/>
              </w:rPr>
              <w:t>的得</w:t>
            </w:r>
            <w:r>
              <w:rPr>
                <w:rFonts w:hint="eastAsia" w:ascii="方正仿宋_GB2312" w:hAnsi="方正仿宋_GB2312" w:eastAsia="方正仿宋_GB2312" w:cs="方正仿宋_GB2312"/>
                <w:sz w:val="24"/>
                <w:lang w:val="en-US" w:eastAsia="zh-CN"/>
              </w:rPr>
              <w:t>1分；</w:t>
            </w:r>
            <w:r>
              <w:rPr>
                <w:rFonts w:hint="eastAsia" w:ascii="方正仿宋_GB2312" w:hAnsi="方正仿宋_GB2312" w:eastAsia="方正仿宋_GB2312" w:cs="方正仿宋_GB2312"/>
                <w:sz w:val="24"/>
              </w:rPr>
              <w:t>未提供不得分。</w:t>
            </w:r>
          </w:p>
        </w:tc>
        <w:tc>
          <w:tcPr>
            <w:tcW w:w="1050"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Cs/>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1.3</w:t>
            </w:r>
          </w:p>
        </w:tc>
        <w:tc>
          <w:tcPr>
            <w:tcW w:w="1240" w:type="dxa"/>
            <w:noWrap/>
            <w:vAlign w:val="center"/>
          </w:tcPr>
          <w:p>
            <w:pPr>
              <w:tabs>
                <w:tab w:val="left" w:pos="1080"/>
              </w:tabs>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项目实施人员</w:t>
            </w:r>
          </w:p>
        </w:tc>
        <w:tc>
          <w:tcPr>
            <w:tcW w:w="5968" w:type="dxa"/>
            <w:noWrap/>
            <w:vAlign w:val="center"/>
          </w:tcPr>
          <w:p>
            <w:pPr>
              <w:tabs>
                <w:tab w:val="left" w:pos="1080"/>
              </w:tabs>
              <w:spacing w:line="440" w:lineRule="exact"/>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长期驻场专业服务人员不少于5名本科及以上学历专业人员：</w:t>
            </w:r>
          </w:p>
          <w:p>
            <w:pPr>
              <w:tabs>
                <w:tab w:val="left" w:pos="1080"/>
              </w:tabs>
              <w:spacing w:line="440" w:lineRule="exact"/>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1、供应商需投入一名项目经理，同时具有医学相关专业本科及以上学历、卫生技术资格中级及以上职称、国际疾病分类与手术操作分类编码培训考试合格证，全部满足得 3分，缺一项扣1分，扣完为止。</w:t>
            </w:r>
          </w:p>
          <w:p>
            <w:pPr>
              <w:tabs>
                <w:tab w:val="left" w:pos="1080"/>
              </w:tabs>
              <w:spacing w:line="440" w:lineRule="exact"/>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2、供应商需投入一名项目技术负责人，同时具有ITSS颁发的IT服务工程师证书、IT服务项目经理证书、信息系统项目管理师(高级)证书、信息安全保障人员认证证书（认证方向为安全运维专业级），全部满足得 4分，缺一项扣1分，扣完为止。</w:t>
            </w:r>
          </w:p>
          <w:p>
            <w:pPr>
              <w:tabs>
                <w:tab w:val="left" w:pos="1080"/>
              </w:tabs>
              <w:spacing w:line="440" w:lineRule="exact"/>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供应商需派的驻场服务团队人员具有2名临床医学专业的人员、2名计算机相关专业人员、1名统计学专业人员，每提供1人得0.5分，满分2分；以上人员每具有一个中级及以上专业职称证书（资格证书）得0.5分，满分2分。本项最高4分。</w:t>
            </w:r>
          </w:p>
          <w:p>
            <w:pPr>
              <w:tabs>
                <w:tab w:val="left" w:pos="1080"/>
              </w:tabs>
              <w:spacing w:line="440" w:lineRule="exact"/>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4、供应商需投入本项目人员具有中国网络安全审查技术与认证中心颁发的信息安全保障人员认证证书，且认证方向为安全软件（专业级），每提供1人得1分，最高得4分。</w:t>
            </w:r>
          </w:p>
          <w:p>
            <w:pPr>
              <w:tabs>
                <w:tab w:val="left" w:pos="1080"/>
              </w:tabs>
              <w:spacing w:line="440" w:lineRule="exact"/>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5、供应商拟投入本项目人员具有中国网络安全审查技术与认证中心颁发的信息安全保障人员认证证书，且认证方向为安全运维（专业级），每提供1人得1分，最高得4分。</w:t>
            </w:r>
          </w:p>
          <w:p>
            <w:pPr>
              <w:tabs>
                <w:tab w:val="left" w:pos="1080"/>
              </w:tabs>
              <w:spacing w:line="440" w:lineRule="exact"/>
              <w:ind w:firstLine="482"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注：投标文件中需提供以上人员证书及供应商2023年9月至今任意一个月为其缴纳的社保证明复印件（或扫描件），缺项或未提供的不得分。</w:t>
            </w:r>
          </w:p>
        </w:tc>
        <w:tc>
          <w:tcPr>
            <w:tcW w:w="1050" w:type="dxa"/>
            <w:noWrap/>
            <w:vAlign w:val="center"/>
          </w:tcPr>
          <w:p>
            <w:pPr>
              <w:tabs>
                <w:tab w:val="left" w:pos="1080"/>
              </w:tabs>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1.4</w:t>
            </w:r>
          </w:p>
        </w:tc>
        <w:tc>
          <w:tcPr>
            <w:tcW w:w="1240" w:type="dxa"/>
            <w:noWrap/>
            <w:vAlign w:val="center"/>
          </w:tcPr>
          <w:p>
            <w:pPr>
              <w:tabs>
                <w:tab w:val="left" w:pos="1080"/>
              </w:tabs>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短期驻场及远程服务专业人员</w:t>
            </w:r>
          </w:p>
        </w:tc>
        <w:tc>
          <w:tcPr>
            <w:tcW w:w="5968" w:type="dxa"/>
            <w:noWrap/>
            <w:vAlign w:val="center"/>
          </w:tcPr>
          <w:p>
            <w:pPr>
              <w:tabs>
                <w:tab w:val="left" w:pos="1080"/>
              </w:tabs>
              <w:spacing w:line="440" w:lineRule="exact"/>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lang w:eastAsia="zh-CN"/>
              </w:rPr>
              <w:t>供应商</w:t>
            </w:r>
            <w:r>
              <w:rPr>
                <w:rFonts w:hint="eastAsia" w:ascii="方正仿宋_GB2312" w:hAnsi="方正仿宋_GB2312" w:eastAsia="方正仿宋_GB2312" w:cs="方正仿宋_GB2312"/>
                <w:color w:val="000000"/>
                <w:sz w:val="24"/>
              </w:rPr>
              <w:t>需配备临床医学、药学</w:t>
            </w: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lang w:val="en-US" w:eastAsia="zh-CN"/>
              </w:rPr>
              <w:t>病案学（含病案信息技术）</w:t>
            </w:r>
            <w:r>
              <w:rPr>
                <w:rFonts w:hint="eastAsia" w:ascii="方正仿宋_GB2312" w:hAnsi="方正仿宋_GB2312" w:eastAsia="方正仿宋_GB2312" w:cs="方正仿宋_GB2312"/>
                <w:color w:val="000000"/>
                <w:sz w:val="24"/>
              </w:rPr>
              <w:t>专家团队，具备14名</w:t>
            </w:r>
            <w:r>
              <w:rPr>
                <w:rFonts w:hint="eastAsia" w:ascii="方正仿宋_GB2312" w:hAnsi="方正仿宋_GB2312" w:eastAsia="方正仿宋_GB2312" w:cs="方正仿宋_GB2312"/>
                <w:color w:val="000000"/>
                <w:sz w:val="24"/>
                <w:lang w:val="en-US" w:eastAsia="zh-CN"/>
              </w:rPr>
              <w:t>及以上</w:t>
            </w:r>
            <w:r>
              <w:rPr>
                <w:rFonts w:hint="eastAsia" w:ascii="方正仿宋_GB2312" w:hAnsi="方正仿宋_GB2312" w:eastAsia="方正仿宋_GB2312" w:cs="方正仿宋_GB2312"/>
                <w:color w:val="000000"/>
                <w:sz w:val="24"/>
              </w:rPr>
              <w:t>临床医学、药学</w:t>
            </w: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lang w:val="en-US" w:eastAsia="zh-CN"/>
              </w:rPr>
              <w:t>病案学（含病案信息技术）</w:t>
            </w:r>
            <w:r>
              <w:rPr>
                <w:rFonts w:hint="eastAsia" w:ascii="方正仿宋_GB2312" w:hAnsi="方正仿宋_GB2312" w:eastAsia="方正仿宋_GB2312" w:cs="方正仿宋_GB2312"/>
                <w:color w:val="000000"/>
                <w:sz w:val="24"/>
              </w:rPr>
              <w:t>高级职称（含副高级）</w:t>
            </w:r>
            <w:r>
              <w:rPr>
                <w:rFonts w:hint="eastAsia" w:ascii="方正仿宋_GB2312" w:hAnsi="方正仿宋_GB2312" w:eastAsia="方正仿宋_GB2312" w:cs="方正仿宋_GB2312"/>
                <w:color w:val="000000"/>
                <w:sz w:val="24"/>
                <w:lang w:val="en-US" w:eastAsia="zh-CN"/>
              </w:rPr>
              <w:t>人员，其中临床医学、药学专家各5名及以上、病案学（含病案信息技术）2人及以上的</w:t>
            </w:r>
            <w:r>
              <w:rPr>
                <w:rFonts w:hint="eastAsia" w:ascii="方正仿宋_GB2312" w:hAnsi="方正仿宋_GB2312" w:eastAsia="方正仿宋_GB2312" w:cs="方正仿宋_GB2312"/>
                <w:color w:val="000000"/>
                <w:sz w:val="24"/>
              </w:rPr>
              <w:t>得7分，每少1人扣0.5分。</w:t>
            </w:r>
          </w:p>
          <w:p>
            <w:pPr>
              <w:tabs>
                <w:tab w:val="left" w:pos="1080"/>
              </w:tabs>
              <w:spacing w:line="440" w:lineRule="exact"/>
              <w:ind w:firstLine="482"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注：提供在本次公开招标公告之日前，</w:t>
            </w:r>
            <w:r>
              <w:rPr>
                <w:rFonts w:hint="eastAsia" w:ascii="方正仿宋_GB2312" w:hAnsi="方正仿宋_GB2312" w:eastAsia="方正仿宋_GB2312" w:cs="方正仿宋_GB2312"/>
                <w:b/>
                <w:bCs/>
                <w:color w:val="000000"/>
                <w:sz w:val="24"/>
                <w:lang w:eastAsia="zh-CN"/>
              </w:rPr>
              <w:t>投标供应商</w:t>
            </w:r>
            <w:r>
              <w:rPr>
                <w:rFonts w:hint="eastAsia" w:ascii="方正仿宋_GB2312" w:hAnsi="方正仿宋_GB2312" w:eastAsia="方正仿宋_GB2312" w:cs="方正仿宋_GB2312"/>
                <w:b/>
                <w:bCs/>
                <w:color w:val="000000"/>
                <w:sz w:val="24"/>
              </w:rPr>
              <w:t>与聘用人员签署的有效期内聘用协议的原件扫描件，以及专家的专业资格证书的原件扫描件，否则不得分。</w:t>
            </w:r>
          </w:p>
        </w:tc>
        <w:tc>
          <w:tcPr>
            <w:tcW w:w="1050" w:type="dxa"/>
            <w:noWrap/>
            <w:vAlign w:val="center"/>
          </w:tcPr>
          <w:p>
            <w:pPr>
              <w:tabs>
                <w:tab w:val="left" w:pos="1080"/>
              </w:tabs>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w:t>
            </w:r>
          </w:p>
        </w:tc>
        <w:tc>
          <w:tcPr>
            <w:tcW w:w="7208" w:type="dxa"/>
            <w:gridSpan w:val="2"/>
            <w:noWrap/>
            <w:vAlign w:val="center"/>
          </w:tcPr>
          <w:p>
            <w:pPr>
              <w:tabs>
                <w:tab w:val="left" w:pos="1080"/>
              </w:tabs>
              <w:spacing w:line="440" w:lineRule="exact"/>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商务、资信分</w:t>
            </w:r>
          </w:p>
        </w:tc>
        <w:tc>
          <w:tcPr>
            <w:tcW w:w="1050"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2.1</w:t>
            </w:r>
          </w:p>
        </w:tc>
        <w:tc>
          <w:tcPr>
            <w:tcW w:w="1240" w:type="dxa"/>
            <w:noWrap/>
            <w:vAlign w:val="center"/>
          </w:tcPr>
          <w:p>
            <w:pPr>
              <w:tabs>
                <w:tab w:val="left" w:pos="1080"/>
              </w:tabs>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售后服务方案</w:t>
            </w:r>
          </w:p>
        </w:tc>
        <w:tc>
          <w:tcPr>
            <w:tcW w:w="5968" w:type="dxa"/>
            <w:noWrap/>
            <w:vAlign w:val="center"/>
          </w:tcPr>
          <w:p>
            <w:pPr>
              <w:adjustRightInd w:val="0"/>
              <w:snapToGrid w:val="0"/>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售后服务方案：（0-5分）</w:t>
            </w:r>
          </w:p>
          <w:p>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重点考核服务体系规范性、现场响应及时性、技术支撑有效性，以及对本地化服务能力，服务内容，服务质量保证等内容进行评判。方案内容设计合理、可行性高，阐述清晰，服务能力强、结构配置完备，具有完善的服务体系，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分；方案内容设计基本合理，具有较好服务能力、结构配置一般，得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分；方案内容不合理</w:t>
            </w:r>
            <w:r>
              <w:rPr>
                <w:rFonts w:hint="eastAsia" w:ascii="方正仿宋_GB2312" w:hAnsi="方正仿宋_GB2312" w:eastAsia="方正仿宋_GB2312" w:cs="方正仿宋_GB2312"/>
                <w:sz w:val="24"/>
                <w:lang w:val="en-US" w:eastAsia="zh-CN"/>
              </w:rPr>
              <w:t>,服务能力及结构配置较差的得１分；</w:t>
            </w:r>
            <w:r>
              <w:rPr>
                <w:rFonts w:hint="eastAsia" w:ascii="方正仿宋_GB2312" w:hAnsi="方正仿宋_GB2312" w:eastAsia="方正仿宋_GB2312" w:cs="方正仿宋_GB2312"/>
                <w:sz w:val="24"/>
              </w:rPr>
              <w:t>未提供不得分。</w:t>
            </w:r>
          </w:p>
        </w:tc>
        <w:tc>
          <w:tcPr>
            <w:tcW w:w="1050" w:type="dxa"/>
            <w:noWrap/>
            <w:vAlign w:val="center"/>
          </w:tcPr>
          <w:p>
            <w:pPr>
              <w:adjustRightInd w:val="0"/>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2.2</w:t>
            </w:r>
          </w:p>
        </w:tc>
        <w:tc>
          <w:tcPr>
            <w:tcW w:w="1240" w:type="dxa"/>
            <w:noWrap/>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供应商业绩</w:t>
            </w:r>
          </w:p>
        </w:tc>
        <w:tc>
          <w:tcPr>
            <w:tcW w:w="5968" w:type="dxa"/>
            <w:noWrap/>
            <w:vAlign w:val="center"/>
          </w:tcPr>
          <w:p>
            <w:pPr>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提供2020年1月1日以来同类项目,每提供1个得0.5分，本项满分1分。</w:t>
            </w:r>
          </w:p>
          <w:p>
            <w:pPr>
              <w:adjustRightInd w:val="0"/>
              <w:snapToGrid w:val="0"/>
              <w:spacing w:line="440" w:lineRule="exact"/>
              <w:ind w:firstLine="482" w:firstLineChars="200"/>
              <w:rPr>
                <w:rFonts w:hint="eastAsia" w:ascii="方正仿宋_GB2312" w:hAnsi="方正仿宋_GB2312" w:eastAsia="方正仿宋_GB2312" w:cs="方正仿宋_GB2312"/>
                <w:sz w:val="24"/>
                <w:highlight w:val="yellow"/>
              </w:rPr>
            </w:pPr>
            <w:r>
              <w:rPr>
                <w:rFonts w:hint="eastAsia" w:ascii="方正仿宋_GB2312" w:hAnsi="方正仿宋_GB2312" w:eastAsia="方正仿宋_GB2312" w:cs="方正仿宋_GB2312"/>
                <w:b/>
                <w:bCs/>
                <w:sz w:val="24"/>
              </w:rPr>
              <w:t>注：需提供合同和验收报告和用户满意评价报告复印件或扫描件并加盖单位公章，不提供不得分。</w:t>
            </w:r>
          </w:p>
        </w:tc>
        <w:tc>
          <w:tcPr>
            <w:tcW w:w="1050" w:type="dxa"/>
            <w:noWrap/>
            <w:vAlign w:val="center"/>
          </w:tcPr>
          <w:p>
            <w:pPr>
              <w:pStyle w:val="60"/>
              <w:widowControl w:val="0"/>
              <w:spacing w:after="0" w:line="360" w:lineRule="auto"/>
              <w:ind w:left="0" w:leftChars="0" w:firstLine="0" w:firstLineChars="0"/>
              <w:jc w:val="center"/>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2.3</w:t>
            </w:r>
          </w:p>
        </w:tc>
        <w:tc>
          <w:tcPr>
            <w:tcW w:w="1240" w:type="dxa"/>
            <w:noWrap/>
            <w:vAlign w:val="center"/>
          </w:tcPr>
          <w:p>
            <w:pPr>
              <w:spacing w:line="360" w:lineRule="auto"/>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企业认证</w:t>
            </w:r>
          </w:p>
        </w:tc>
        <w:tc>
          <w:tcPr>
            <w:tcW w:w="5968" w:type="dxa"/>
            <w:noWrap/>
            <w:vAlign w:val="center"/>
          </w:tcPr>
          <w:p>
            <w:pPr>
              <w:adjustRightInd w:val="0"/>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1、供应商具有中国电子工业标准化技术协会信息技术服务分会颁发的信息技术服务运行维护标准符合性证书，具有一级证书得1.5分，二级证书得1分，三级证书得0.5分；</w:t>
            </w:r>
          </w:p>
          <w:p>
            <w:pPr>
              <w:adjustRightInd w:val="0"/>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2、供应商具有</w:t>
            </w:r>
            <w:r>
              <w:rPr>
                <w:rFonts w:hint="eastAsia" w:ascii="方正仿宋_GB2312" w:hAnsi="方正仿宋_GB2312" w:eastAsia="方正仿宋_GB2312" w:cs="方正仿宋_GB2312"/>
                <w:i w:val="0"/>
                <w:caps w:val="0"/>
                <w:spacing w:val="0"/>
                <w:kern w:val="2"/>
                <w:sz w:val="24"/>
                <w:szCs w:val="24"/>
                <w:shd w:val="clear"/>
                <w:lang w:val="en-US" w:eastAsia="zh-CN" w:bidi="ar"/>
              </w:rPr>
              <w:t>中国网络安全审查认证和市场监管大数据中心（原</w:t>
            </w:r>
            <w:r>
              <w:rPr>
                <w:rFonts w:hint="eastAsia" w:ascii="方正仿宋_GB2312" w:hAnsi="方正仿宋_GB2312" w:eastAsia="方正仿宋_GB2312" w:cs="方正仿宋_GB2312"/>
                <w:sz w:val="24"/>
              </w:rPr>
              <w:t>中国网络安全审查技术与认证中心</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颁发的信息系统安全运维服务资质证书，具有一级证书得1.5分，二级证书得1分，三级证书得0.5分；</w:t>
            </w:r>
          </w:p>
          <w:p>
            <w:pPr>
              <w:widowControl/>
              <w:adjustRightInd/>
              <w:snapToGrid/>
              <w:spacing w:line="360" w:lineRule="auto"/>
              <w:ind w:firstLine="0" w:firstLineChars="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　　</w:t>
            </w:r>
            <w:r>
              <w:rPr>
                <w:rFonts w:hint="eastAsia" w:ascii="方正仿宋_GB2312" w:hAnsi="方正仿宋_GB2312" w:eastAsia="方正仿宋_GB2312" w:cs="方正仿宋_GB2312"/>
                <w:sz w:val="24"/>
              </w:rPr>
              <w:t>3、供应商具有</w:t>
            </w:r>
            <w:r>
              <w:rPr>
                <w:rFonts w:hint="eastAsia" w:ascii="方正仿宋_GB2312" w:hAnsi="方正仿宋_GB2312" w:eastAsia="方正仿宋_GB2312" w:cs="方正仿宋_GB2312"/>
                <w:i w:val="0"/>
                <w:caps w:val="0"/>
                <w:spacing w:val="0"/>
                <w:kern w:val="2"/>
                <w:sz w:val="24"/>
                <w:szCs w:val="24"/>
                <w:shd w:val="clear"/>
                <w:lang w:val="en-US" w:eastAsia="zh-CN" w:bidi="ar"/>
              </w:rPr>
              <w:t>中国网络安全审查认证和市场监管大数据中心（原</w:t>
            </w:r>
            <w:r>
              <w:rPr>
                <w:rFonts w:hint="eastAsia" w:ascii="方正仿宋_GB2312" w:hAnsi="方正仿宋_GB2312" w:eastAsia="方正仿宋_GB2312" w:cs="方正仿宋_GB2312"/>
                <w:sz w:val="24"/>
              </w:rPr>
              <w:t>中国网络安全审查技术与认证中心</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颁发的信息系统安全集成服务资质证书，具有一级证书得1.5分，二级证书得1分，三级证书得0.5分；</w:t>
            </w:r>
          </w:p>
          <w:p>
            <w:pPr>
              <w:adjustRightInd w:val="0"/>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4、供应商具有</w:t>
            </w:r>
            <w:r>
              <w:rPr>
                <w:rFonts w:hint="eastAsia" w:ascii="方正仿宋_GB2312" w:hAnsi="方正仿宋_GB2312" w:eastAsia="方正仿宋_GB2312" w:cs="方正仿宋_GB2312"/>
                <w:i w:val="0"/>
                <w:caps w:val="0"/>
                <w:spacing w:val="0"/>
                <w:kern w:val="2"/>
                <w:sz w:val="24"/>
                <w:szCs w:val="24"/>
                <w:shd w:val="clear"/>
                <w:lang w:val="en-US" w:eastAsia="zh-CN" w:bidi="ar"/>
              </w:rPr>
              <w:t>中国网络安全审查认证和市场监管大数据中心（原</w:t>
            </w:r>
            <w:r>
              <w:rPr>
                <w:rFonts w:hint="eastAsia" w:ascii="方正仿宋_GB2312" w:hAnsi="方正仿宋_GB2312" w:eastAsia="方正仿宋_GB2312" w:cs="方正仿宋_GB2312"/>
                <w:sz w:val="24"/>
              </w:rPr>
              <w:t>中国网络安全审查技术与认证中心</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颁发的软件安全开发服务资质证书，具有一级证书得1.5分，二级证书得1分，三级证书得0.5分；</w:t>
            </w:r>
          </w:p>
          <w:p>
            <w:pPr>
              <w:adjustRightInd w:val="0"/>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5、供应商具有信息安全管理体系认证证书的得1分；</w:t>
            </w:r>
          </w:p>
          <w:p>
            <w:pPr>
              <w:adjustRightInd w:val="0"/>
              <w:snapToGrid w:val="0"/>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注：投标文件中需提供证书复印件（或扫描件）并加盖单位公章。</w:t>
            </w:r>
          </w:p>
        </w:tc>
        <w:tc>
          <w:tcPr>
            <w:tcW w:w="1050" w:type="dxa"/>
            <w:noWrap/>
            <w:vAlign w:val="center"/>
          </w:tcPr>
          <w:p>
            <w:pPr>
              <w:pStyle w:val="60"/>
              <w:widowControl w:val="0"/>
              <w:spacing w:after="0" w:line="360" w:lineRule="auto"/>
              <w:ind w:left="0" w:leftChars="0" w:firstLine="0" w:firstLineChars="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2" w:type="dxa"/>
            <w:noWrap/>
            <w:vAlign w:val="center"/>
          </w:tcPr>
          <w:p>
            <w:pPr>
              <w:tabs>
                <w:tab w:val="left" w:pos="1080"/>
              </w:tabs>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2.4</w:t>
            </w:r>
          </w:p>
        </w:tc>
        <w:tc>
          <w:tcPr>
            <w:tcW w:w="1240" w:type="dxa"/>
            <w:noWrap/>
            <w:vAlign w:val="center"/>
          </w:tcPr>
          <w:p>
            <w:pPr>
              <w:spacing w:line="360" w:lineRule="auto"/>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企业实力</w:t>
            </w:r>
          </w:p>
        </w:tc>
        <w:tc>
          <w:tcPr>
            <w:tcW w:w="5968" w:type="dxa"/>
            <w:noWrap/>
            <w:vAlign w:val="center"/>
          </w:tcPr>
          <w:p>
            <w:pPr>
              <w:adjustRightInd w:val="0"/>
              <w:snapToGrid w:val="0"/>
              <w:spacing w:line="440" w:lineRule="exact"/>
              <w:jc w:val="left"/>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1、供应商具有疾病诊断分组(DRGs)相关知识产权资质证书，包括类似：</w:t>
            </w:r>
          </w:p>
          <w:p>
            <w:pPr>
              <w:adjustRightInd w:val="0"/>
              <w:snapToGrid w:val="0"/>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疾病诊疗路径智识库软件、基于疾病组（病种）的临床路径管理与分析系统软件、基于疾病画像分组的医疗质效评价系统软件、按疾病诊断相关分组付费(CHS-DRG)软件、医保基金总额预算与支付</w:t>
            </w:r>
            <w:r>
              <w:rPr>
                <w:rFonts w:hint="eastAsia" w:ascii="方正仿宋_GB2312" w:hAnsi="方正仿宋_GB2312" w:eastAsia="方正仿宋_GB2312" w:cs="方正仿宋_GB2312"/>
                <w:sz w:val="24"/>
                <w:lang w:eastAsia="zh-CN"/>
              </w:rPr>
              <w:t>、医疗费用大数据分析监控</w:t>
            </w:r>
            <w:r>
              <w:rPr>
                <w:rFonts w:hint="eastAsia" w:ascii="方正仿宋_GB2312" w:hAnsi="方正仿宋_GB2312" w:eastAsia="方正仿宋_GB2312" w:cs="方正仿宋_GB2312"/>
                <w:sz w:val="24"/>
              </w:rPr>
              <w:t>系统，满足一项得0.5分，最多得3分。</w:t>
            </w:r>
          </w:p>
          <w:p>
            <w:pPr>
              <w:adjustRightInd w:val="0"/>
              <w:snapToGrid w:val="0"/>
              <w:spacing w:line="440" w:lineRule="exact"/>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注：投标文件中需提供证书复印件（或扫描件），不提供不得分。该证书须在招标公告发布之前获得，且证书所属公司名称须与供应商名称完全一致，任何形式的不一致，均</w:t>
            </w:r>
            <w:r>
              <w:rPr>
                <w:rFonts w:hint="eastAsia" w:ascii="方正仿宋_GB2312" w:hAnsi="方正仿宋_GB2312" w:eastAsia="方正仿宋_GB2312" w:cs="方正仿宋_GB2312"/>
                <w:b/>
                <w:sz w:val="24"/>
                <w:lang w:eastAsia="zh-CN"/>
              </w:rPr>
              <w:t>视为</w:t>
            </w:r>
            <w:r>
              <w:rPr>
                <w:rFonts w:hint="eastAsia" w:ascii="方正仿宋_GB2312" w:hAnsi="方正仿宋_GB2312" w:eastAsia="方正仿宋_GB2312" w:cs="方正仿宋_GB2312"/>
                <w:b/>
                <w:sz w:val="24"/>
              </w:rPr>
              <w:t>不满足。</w:t>
            </w:r>
          </w:p>
          <w:p>
            <w:pPr>
              <w:adjustRightInd w:val="0"/>
              <w:snapToGrid w:val="0"/>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2、供应商承诺自2020年1月1日来，在同类项目投标过程中没有因为违规谋取中标资格</w:t>
            </w:r>
            <w:r>
              <w:rPr>
                <w:rFonts w:hint="eastAsia" w:ascii="方正仿宋_GB2312" w:hAnsi="方正仿宋_GB2312" w:eastAsia="方正仿宋_GB2312" w:cs="方正仿宋_GB2312"/>
                <w:sz w:val="24"/>
                <w:lang w:eastAsia="zh-CN"/>
              </w:rPr>
              <w:t>或涉嫌提供虚假材料行为而</w:t>
            </w:r>
            <w:r>
              <w:rPr>
                <w:rFonts w:hint="eastAsia" w:ascii="方正仿宋_GB2312" w:hAnsi="方正仿宋_GB2312" w:eastAsia="方正仿宋_GB2312" w:cs="方正仿宋_GB2312"/>
                <w:sz w:val="24"/>
              </w:rPr>
              <w:t>受到财政部门行政处罚</w:t>
            </w:r>
            <w:r>
              <w:rPr>
                <w:rFonts w:hint="eastAsia" w:ascii="方正仿宋_GB2312" w:hAnsi="方正仿宋_GB2312" w:eastAsia="方正仿宋_GB2312" w:cs="方正仿宋_GB2312"/>
                <w:sz w:val="24"/>
                <w:lang w:eastAsia="zh-CN"/>
              </w:rPr>
              <w:t>或处理决定</w:t>
            </w:r>
            <w:r>
              <w:rPr>
                <w:rFonts w:hint="eastAsia" w:ascii="方正仿宋_GB2312" w:hAnsi="方正仿宋_GB2312" w:eastAsia="方正仿宋_GB2312" w:cs="方正仿宋_GB2312"/>
                <w:sz w:val="24"/>
              </w:rPr>
              <w:t>的得5分。</w:t>
            </w:r>
          </w:p>
          <w:p>
            <w:pPr>
              <w:adjustRightInd w:val="0"/>
              <w:snapToGrid w:val="0"/>
              <w:spacing w:line="440" w:lineRule="exact"/>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注：投标文件中需提供承诺书，承诺书需体现承诺单位并加盖公章及</w:t>
            </w:r>
            <w:r>
              <w:rPr>
                <w:rFonts w:hint="eastAsia" w:ascii="方正仿宋_GB2312" w:hAnsi="方正仿宋_GB2312" w:eastAsia="方正仿宋_GB2312" w:cs="方正仿宋_GB2312"/>
                <w:b/>
                <w:sz w:val="24"/>
                <w:lang w:eastAsia="zh-CN"/>
              </w:rPr>
              <w:t>法人代表签字</w:t>
            </w:r>
            <w:r>
              <w:rPr>
                <w:rFonts w:hint="eastAsia" w:ascii="方正仿宋_GB2312" w:hAnsi="方正仿宋_GB2312" w:eastAsia="方正仿宋_GB2312" w:cs="方正仿宋_GB2312"/>
                <w:b/>
                <w:sz w:val="24"/>
              </w:rPr>
              <w:t>。如开标过程中评审专家小组经查询供应商存在行政处罚的，该项得分不予认可，并承担虚假承诺相应后果。</w:t>
            </w:r>
          </w:p>
        </w:tc>
        <w:tc>
          <w:tcPr>
            <w:tcW w:w="1050" w:type="dxa"/>
            <w:noWrap/>
            <w:vAlign w:val="center"/>
          </w:tcPr>
          <w:p>
            <w:pPr>
              <w:pStyle w:val="60"/>
              <w:widowControl w:val="0"/>
              <w:spacing w:after="0" w:line="360" w:lineRule="auto"/>
              <w:ind w:left="0" w:leftChars="0" w:firstLine="0" w:firstLineChars="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0-8分</w:t>
            </w:r>
          </w:p>
        </w:tc>
      </w:tr>
      <w:bookmarkEnd w:id="63"/>
    </w:tbl>
    <w:p>
      <w:pPr>
        <w:spacing w:line="440" w:lineRule="exact"/>
        <w:jc w:val="center"/>
        <w:outlineLvl w:val="0"/>
        <w:rPr>
          <w:rFonts w:ascii="黑体" w:hAnsi="宋体" w:eastAsia="黑体"/>
          <w:sz w:val="36"/>
          <w:szCs w:val="36"/>
        </w:rPr>
      </w:pPr>
      <w:r>
        <w:rPr>
          <w:rFonts w:hAnsi="宋体"/>
          <w:b/>
          <w:sz w:val="36"/>
          <w:szCs w:val="36"/>
        </w:rPr>
        <w:br w:type="page"/>
      </w:r>
      <w:bookmarkStart w:id="64" w:name="_Toc28463"/>
      <w:bookmarkStart w:id="65" w:name="_Toc17371"/>
      <w:r>
        <w:rPr>
          <w:rFonts w:hAnsi="宋体"/>
          <w:b/>
          <w:sz w:val="36"/>
          <w:szCs w:val="36"/>
        </w:rPr>
        <w:t xml:space="preserve">第五章 </w:t>
      </w:r>
      <w:bookmarkEnd w:id="54"/>
      <w:bookmarkEnd w:id="55"/>
      <w:bookmarkEnd w:id="56"/>
      <w:bookmarkEnd w:id="57"/>
      <w:bookmarkEnd w:id="58"/>
      <w:bookmarkEnd w:id="59"/>
      <w:bookmarkEnd w:id="60"/>
      <w:bookmarkStart w:id="66" w:name="_Toc245801513"/>
      <w:r>
        <w:rPr>
          <w:rFonts w:hint="eastAsia" w:hAnsi="宋体"/>
          <w:b/>
          <w:sz w:val="36"/>
          <w:szCs w:val="36"/>
        </w:rPr>
        <w:t>合同主要条款</w:t>
      </w:r>
      <w:bookmarkEnd w:id="64"/>
      <w:bookmarkEnd w:id="65"/>
    </w:p>
    <w:p>
      <w:pPr>
        <w:spacing w:line="440" w:lineRule="exact"/>
        <w:ind w:right="420" w:rightChars="200"/>
        <w:jc w:val="center"/>
        <w:rPr>
          <w:color w:val="000000"/>
          <w:sz w:val="24"/>
        </w:rPr>
      </w:pPr>
      <w:r>
        <w:rPr>
          <w:rFonts w:hint="eastAsia"/>
        </w:rPr>
        <w:t xml:space="preserve">  </w:t>
      </w:r>
      <w:r>
        <w:rPr>
          <w:rFonts w:hint="eastAsia"/>
          <w:color w:val="000000"/>
          <w:sz w:val="24"/>
        </w:rPr>
        <w:t>（仅供参考，以正式合同为准）</w:t>
      </w:r>
    </w:p>
    <w:p>
      <w:pPr>
        <w:spacing w:line="440" w:lineRule="exact"/>
        <w:jc w:val="center"/>
        <w:rPr>
          <w:color w:val="0000FF"/>
          <w:sz w:val="30"/>
          <w:szCs w:val="30"/>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财政审批编号：                         采购文件编号：  </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1.定义</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本合同中的下列术语应解释为：</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1.1“合同”系指供需双方签署的、合同格式中载明的供需双方所达成的协议，包括所有的附件、附录和构成合同的所有文件；</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1.2“合同价”系指根据合同规定，采购人在供应商完全履行合同义务后应付给的价格；</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1.3“货物”系指供应商根据合同规定向采购人提供的一切货物、质量保证书和其他技术资料及技术参数；</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1.4“服务”系指根据合同规定供应商承担与供货有关的辅助服务，如运输、装卸、安装、保险以及其他的服务，例如安装、调试提供技术援助、培训和其他类似的义务；</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1.5“采购人”系指</w:t>
      </w:r>
      <w:r>
        <w:rPr>
          <w:rFonts w:hint="eastAsia" w:ascii="CESI仿宋-GB2312" w:hAnsi="CESI仿宋-GB2312" w:eastAsia="CESI仿宋-GB2312" w:cs="CESI仿宋-GB2312"/>
          <w:bCs/>
          <w:sz w:val="24"/>
        </w:rPr>
        <w:t>具体使用货物和接受服务的使用单位；</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1.6“供应商”系指根据合同规定提供采购项目货物和服务的具有法人资格的公司、企业或实体；</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1.7“财政审批编号”系指市财政局审批编号。</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2.合同项目与内容</w:t>
      </w:r>
    </w:p>
    <w:p>
      <w:pPr>
        <w:spacing w:line="440" w:lineRule="exact"/>
        <w:rPr>
          <w:rFonts w:hint="eastAsia" w:ascii="CESI仿宋-GB2312" w:hAnsi="CESI仿宋-GB2312" w:eastAsia="CESI仿宋-GB2312" w:cs="CESI仿宋-GB2312"/>
          <w:sz w:val="24"/>
        </w:rPr>
      </w:pPr>
      <w:r>
        <w:rPr>
          <w:rFonts w:hint="eastAsia" w:ascii="CESI仿宋-GB2312" w:hAnsi="CESI仿宋-GB2312" w:eastAsia="CESI仿宋-GB2312" w:cs="CESI仿宋-GB2312"/>
          <w:sz w:val="24"/>
          <w:lang w:eastAsia="zh-CN"/>
        </w:rPr>
        <w:t>　　</w:t>
      </w:r>
      <w:r>
        <w:rPr>
          <w:rFonts w:hint="eastAsia" w:ascii="CESI仿宋-GB2312" w:hAnsi="CESI仿宋-GB2312" w:eastAsia="CESI仿宋-GB2312" w:cs="CESI仿宋-GB2312"/>
          <w:sz w:val="24"/>
        </w:rPr>
        <w:t>湖州市医疗保障局疾病相关分组（DRGS）结合点数法医保支付专业化服务项目</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3.服务时间与服务地点</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服务时间：详见采购文件要求；</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服务地点：由采购单位指定。</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4.签署合同的要求</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4.1供应商必须按照投标文件和询标过程中承诺的条款以及中标通知书中规定的时间、地点与采购人签订合同；</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4.2所签订的合同内容不得对采购文件和供应商的投标文件作实质性修改；</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4.3采购人不得向供应商提出任何不合理的要求，作为签订合同的条件，不得与供应商私下订立背离合同实质性内容的协议；</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4.4自采购合同签订之日起 7个工作日内，将采购合同副本2份送本项目招标代理机构、同级人民政府财政部门备案。</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5.技术规范</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本合同执行国家及本省、市现行项目实施及验收规范及有关条例、实施办法等。</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提供和交付的服务技术规范应与采购文件规定的技术规范相一致。</w:t>
      </w:r>
    </w:p>
    <w:p>
      <w:pPr>
        <w:spacing w:line="360" w:lineRule="auto"/>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6.知识产权</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供应商保证所提供的服务及货物均不存在知识产权纠纷。供应商应保证采购人在使用时不受第三方提出侵犯其专利权、商标权等知识产权的诉讼。</w:t>
      </w:r>
    </w:p>
    <w:p>
      <w:pPr>
        <w:spacing w:line="360" w:lineRule="auto"/>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7.付款方式</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CESI仿宋-GB2312" w:hAnsi="CESI仿宋-GB2312" w:eastAsia="CESI仿宋-GB2312" w:cs="CESI仿宋-GB2312"/>
          <w:color w:val="000000" w:themeColor="text1"/>
          <w:sz w:val="24"/>
          <w14:textFill>
            <w14:solidFill>
              <w14:schemeClr w14:val="tx1"/>
            </w14:solidFill>
          </w14:textFill>
        </w:rPr>
      </w:pPr>
      <w:r>
        <w:rPr>
          <w:rFonts w:hint="eastAsia" w:ascii="CESI仿宋-GB2312" w:hAnsi="CESI仿宋-GB2312" w:eastAsia="CESI仿宋-GB2312" w:cs="CESI仿宋-GB2312"/>
          <w:color w:val="000000" w:themeColor="text1"/>
          <w:sz w:val="24"/>
          <w14:textFill>
            <w14:solidFill>
              <w14:schemeClr w14:val="tx1"/>
            </w14:solidFill>
          </w14:textFill>
        </w:rPr>
        <w:t>（1）乙方在合同签订前向甲方交纳</w:t>
      </w:r>
      <w:r>
        <w:rPr>
          <w:rFonts w:hint="eastAsia" w:ascii="CESI仿宋-GB2312" w:hAnsi="CESI仿宋-GB2312" w:eastAsia="CESI仿宋-GB2312" w:cs="CESI仿宋-GB2312"/>
          <w:color w:val="000000" w:themeColor="text1"/>
          <w:sz w:val="24"/>
          <w:lang w:val="en-US" w:eastAsia="zh-CN"/>
          <w14:textFill>
            <w14:solidFill>
              <w14:schemeClr w14:val="tx1"/>
            </w14:solidFill>
          </w14:textFill>
        </w:rPr>
        <w:t>50000</w:t>
      </w:r>
      <w:r>
        <w:rPr>
          <w:rFonts w:hint="eastAsia" w:ascii="CESI仿宋-GB2312" w:hAnsi="CESI仿宋-GB2312" w:eastAsia="CESI仿宋-GB2312" w:cs="CESI仿宋-GB2312"/>
          <w:color w:val="000000" w:themeColor="text1"/>
          <w:sz w:val="24"/>
          <w14:textFill>
            <w14:solidFill>
              <w14:schemeClr w14:val="tx1"/>
            </w14:solidFill>
          </w14:textFill>
        </w:rPr>
        <w:t>元，（大写：</w:t>
      </w:r>
      <w:r>
        <w:rPr>
          <w:rFonts w:hint="eastAsia" w:ascii="CESI仿宋-GB2312" w:hAnsi="CESI仿宋-GB2312" w:eastAsia="CESI仿宋-GB2312" w:cs="CESI仿宋-GB2312"/>
          <w:color w:val="000000" w:themeColor="text1"/>
          <w:sz w:val="24"/>
          <w:lang w:eastAsia="zh-CN"/>
          <w14:textFill>
            <w14:solidFill>
              <w14:schemeClr w14:val="tx1"/>
            </w14:solidFill>
          </w14:textFill>
        </w:rPr>
        <w:t>伍万元</w:t>
      </w:r>
      <w:r>
        <w:rPr>
          <w:rFonts w:hint="eastAsia" w:ascii="CESI仿宋-GB2312" w:hAnsi="CESI仿宋-GB2312" w:eastAsia="CESI仿宋-GB2312" w:cs="CESI仿宋-GB2312"/>
          <w:color w:val="000000" w:themeColor="text1"/>
          <w:sz w:val="24"/>
          <w14:textFill>
            <w14:solidFill>
              <w14:schemeClr w14:val="tx1"/>
            </w14:solidFill>
          </w14:textFill>
        </w:rPr>
        <w:t>整人民币）的履约保证金。乙方按服务内容履约，完成第一个完整的医保基金决算年度的基金决算1个月后，无重大问题发生，服务和建设内容各方面均达到合同要求，所出具的年度基金决算报告经双方验收合格后的十个工作日内，甲方退还履约保证金。</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（2）</w:t>
      </w:r>
      <w:r>
        <w:rPr>
          <w:rFonts w:hint="eastAsia" w:ascii="CESI仿宋-GB2312" w:hAnsi="CESI仿宋-GB2312" w:eastAsia="CESI仿宋-GB2312" w:cs="CESI仿宋-GB2312"/>
          <w:color w:val="auto"/>
          <w:kern w:val="2"/>
          <w:sz w:val="24"/>
        </w:rPr>
        <w:t>签订成交合同后，甲方将在财政预算批复资金到位后，按年服务费的</w:t>
      </w:r>
      <w:r>
        <w:rPr>
          <w:rFonts w:hint="eastAsia" w:ascii="CESI仿宋-GB2312" w:hAnsi="CESI仿宋-GB2312" w:eastAsia="CESI仿宋-GB2312" w:cs="CESI仿宋-GB2312"/>
          <w:color w:val="auto"/>
          <w:kern w:val="2"/>
          <w:sz w:val="24"/>
          <w:lang w:val="en-US" w:eastAsia="zh-CN"/>
        </w:rPr>
        <w:t>4</w:t>
      </w:r>
      <w:r>
        <w:rPr>
          <w:rFonts w:hint="eastAsia" w:ascii="CESI仿宋-GB2312" w:hAnsi="CESI仿宋-GB2312" w:eastAsia="CESI仿宋-GB2312" w:cs="CESI仿宋-GB2312"/>
          <w:color w:val="auto"/>
          <w:kern w:val="2"/>
          <w:sz w:val="24"/>
        </w:rPr>
        <w:t>0%支付</w:t>
      </w:r>
      <w:r>
        <w:rPr>
          <w:rFonts w:hint="eastAsia" w:ascii="CESI仿宋-GB2312" w:hAnsi="CESI仿宋-GB2312" w:eastAsia="CESI仿宋-GB2312" w:cs="CESI仿宋-GB2312"/>
          <w:color w:val="auto"/>
          <w:kern w:val="2"/>
          <w:sz w:val="24"/>
          <w:lang w:eastAsia="zh-CN"/>
        </w:rPr>
        <w:t>当年度预付款，</w:t>
      </w:r>
      <w:r>
        <w:rPr>
          <w:rFonts w:hint="eastAsia" w:ascii="CESI仿宋-GB2312" w:hAnsi="CESI仿宋-GB2312" w:eastAsia="CESI仿宋-GB2312" w:cs="CESI仿宋-GB2312"/>
          <w:color w:val="auto"/>
          <w:sz w:val="24"/>
        </w:rPr>
        <w:t>费用为￥</w:t>
      </w:r>
      <w:r>
        <w:rPr>
          <w:rFonts w:hint="eastAsia" w:ascii="CESI仿宋-GB2312" w:hAnsi="CESI仿宋-GB2312" w:eastAsia="CESI仿宋-GB2312" w:cs="CESI仿宋-GB2312"/>
          <w:color w:val="auto"/>
          <w:sz w:val="24"/>
          <w:lang w:eastAsia="zh-CN"/>
        </w:rPr>
        <w:t>……</w:t>
      </w:r>
      <w:r>
        <w:rPr>
          <w:rFonts w:hint="eastAsia" w:ascii="CESI仿宋-GB2312" w:hAnsi="CESI仿宋-GB2312" w:eastAsia="CESI仿宋-GB2312" w:cs="CESI仿宋-GB2312"/>
          <w:color w:val="auto"/>
          <w:sz w:val="24"/>
        </w:rPr>
        <w:t>元 (大写：</w:t>
      </w:r>
      <w:r>
        <w:rPr>
          <w:rFonts w:hint="eastAsia" w:ascii="CESI仿宋-GB2312" w:hAnsi="CESI仿宋-GB2312" w:eastAsia="CESI仿宋-GB2312" w:cs="CESI仿宋-GB2312"/>
          <w:color w:val="auto"/>
          <w:sz w:val="24"/>
          <w:lang w:eastAsia="zh-CN"/>
        </w:rPr>
        <w:t>……</w:t>
      </w:r>
      <w:r>
        <w:rPr>
          <w:rFonts w:hint="eastAsia" w:ascii="CESI仿宋-GB2312" w:hAnsi="CESI仿宋-GB2312" w:eastAsia="CESI仿宋-GB2312" w:cs="CESI仿宋-GB2312"/>
          <w:color w:val="auto"/>
          <w:sz w:val="24"/>
        </w:rPr>
        <w:t>元整人民币)</w:t>
      </w:r>
      <w:r>
        <w:rPr>
          <w:rFonts w:hint="eastAsia" w:ascii="CESI仿宋-GB2312" w:hAnsi="CESI仿宋-GB2312" w:eastAsia="CESI仿宋-GB2312" w:cs="CESI仿宋-GB2312"/>
          <w:color w:val="auto"/>
          <w:sz w:val="24"/>
          <w:u w:val="single"/>
        </w:rPr>
        <w:t>。</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（3）</w:t>
      </w:r>
      <w:r>
        <w:rPr>
          <w:rFonts w:hint="eastAsia" w:ascii="CESI仿宋-GB2312" w:hAnsi="CESI仿宋-GB2312" w:eastAsia="CESI仿宋-GB2312" w:cs="CESI仿宋-GB2312"/>
          <w:color w:val="auto"/>
          <w:kern w:val="2"/>
          <w:sz w:val="24"/>
        </w:rPr>
        <w:t>按甲方所确定的</w:t>
      </w:r>
      <w:r>
        <w:rPr>
          <w:rFonts w:hint="eastAsia" w:ascii="CESI仿宋-GB2312" w:hAnsi="CESI仿宋-GB2312" w:eastAsia="CESI仿宋-GB2312" w:cs="CESI仿宋-GB2312"/>
          <w:color w:val="auto"/>
          <w:kern w:val="2"/>
          <w:sz w:val="24"/>
          <w:lang w:eastAsia="zh-CN"/>
        </w:rPr>
        <w:t>服务需求</w:t>
      </w:r>
      <w:r>
        <w:rPr>
          <w:rFonts w:hint="eastAsia" w:ascii="CESI仿宋-GB2312" w:hAnsi="CESI仿宋-GB2312" w:eastAsia="CESI仿宋-GB2312" w:cs="CESI仿宋-GB2312"/>
          <w:color w:val="auto"/>
          <w:kern w:val="2"/>
          <w:sz w:val="24"/>
        </w:rPr>
        <w:t>正式且平稳运行服务系统3个月后，甲方将支付年服务费</w:t>
      </w:r>
      <w:r>
        <w:rPr>
          <w:rFonts w:hint="eastAsia" w:ascii="CESI仿宋-GB2312" w:hAnsi="CESI仿宋-GB2312" w:eastAsia="CESI仿宋-GB2312" w:cs="CESI仿宋-GB2312"/>
          <w:color w:val="auto"/>
          <w:kern w:val="2"/>
          <w:sz w:val="24"/>
          <w:lang w:val="en-US" w:eastAsia="zh-CN"/>
        </w:rPr>
        <w:t>5</w:t>
      </w:r>
      <w:r>
        <w:rPr>
          <w:rFonts w:hint="eastAsia" w:ascii="CESI仿宋-GB2312" w:hAnsi="CESI仿宋-GB2312" w:eastAsia="CESI仿宋-GB2312" w:cs="CESI仿宋-GB2312"/>
          <w:color w:val="auto"/>
          <w:kern w:val="2"/>
          <w:sz w:val="24"/>
        </w:rPr>
        <w:t>0% 的款项</w:t>
      </w:r>
      <w:r>
        <w:rPr>
          <w:rFonts w:hint="eastAsia" w:ascii="CESI仿宋-GB2312" w:hAnsi="CESI仿宋-GB2312" w:eastAsia="CESI仿宋-GB2312" w:cs="CESI仿宋-GB2312"/>
          <w:color w:val="auto"/>
          <w:sz w:val="24"/>
        </w:rPr>
        <w:t>，费用为￥</w:t>
      </w:r>
      <w:r>
        <w:rPr>
          <w:rFonts w:hint="eastAsia" w:ascii="CESI仿宋-GB2312" w:hAnsi="CESI仿宋-GB2312" w:eastAsia="CESI仿宋-GB2312" w:cs="CESI仿宋-GB2312"/>
          <w:color w:val="auto"/>
          <w:sz w:val="24"/>
          <w:lang w:eastAsia="zh-CN"/>
        </w:rPr>
        <w:t>……</w:t>
      </w:r>
      <w:r>
        <w:rPr>
          <w:rFonts w:hint="eastAsia" w:ascii="CESI仿宋-GB2312" w:hAnsi="CESI仿宋-GB2312" w:eastAsia="CESI仿宋-GB2312" w:cs="CESI仿宋-GB2312"/>
          <w:color w:val="auto"/>
          <w:sz w:val="24"/>
        </w:rPr>
        <w:t xml:space="preserve"> 元（大写：</w:t>
      </w:r>
      <w:r>
        <w:rPr>
          <w:rFonts w:hint="eastAsia" w:ascii="CESI仿宋-GB2312" w:hAnsi="CESI仿宋-GB2312" w:eastAsia="CESI仿宋-GB2312" w:cs="CESI仿宋-GB2312"/>
          <w:color w:val="auto"/>
          <w:sz w:val="24"/>
          <w:lang w:eastAsia="zh-CN"/>
        </w:rPr>
        <w:t>……</w:t>
      </w:r>
      <w:r>
        <w:rPr>
          <w:rFonts w:hint="eastAsia" w:ascii="CESI仿宋-GB2312" w:hAnsi="CESI仿宋-GB2312" w:eastAsia="CESI仿宋-GB2312" w:cs="CESI仿宋-GB2312"/>
          <w:color w:val="auto"/>
          <w:sz w:val="24"/>
        </w:rPr>
        <w:t>元整人民币)。</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CESI仿宋-GB2312" w:hAnsi="CESI仿宋-GB2312" w:eastAsia="CESI仿宋-GB2312" w:cs="CESI仿宋-GB2312"/>
          <w:color w:val="auto"/>
          <w:kern w:val="2"/>
          <w:sz w:val="24"/>
        </w:rPr>
      </w:pPr>
      <w:r>
        <w:rPr>
          <w:rFonts w:hint="eastAsia" w:ascii="CESI仿宋-GB2312" w:hAnsi="CESI仿宋-GB2312" w:eastAsia="CESI仿宋-GB2312" w:cs="CESI仿宋-GB2312"/>
          <w:color w:val="auto"/>
          <w:sz w:val="24"/>
        </w:rPr>
        <w:t>（4）</w:t>
      </w:r>
      <w:r>
        <w:rPr>
          <w:rFonts w:hint="eastAsia" w:ascii="CESI仿宋-GB2312" w:hAnsi="CESI仿宋-GB2312" w:eastAsia="CESI仿宋-GB2312" w:cs="CESI仿宋-GB2312"/>
          <w:color w:val="auto"/>
          <w:kern w:val="2"/>
          <w:sz w:val="24"/>
        </w:rPr>
        <w:t>按项目要求持续运行服务满一整年，且完成第一个完整年度基金决算1个月后，且无重大问题发生，服务和建设内容各方面均达到合同要求，所出具的年度基金决算报告经双方验收合格后的十个工作日内，甲方根据年度考核结果，确定当年度服务费总额，并支付当年度剩余服务费用。</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CESI仿宋-GB2312" w:hAnsi="CESI仿宋-GB2312" w:eastAsia="CESI仿宋-GB2312" w:cs="CESI仿宋-GB2312"/>
          <w:color w:val="auto"/>
          <w:kern w:val="2"/>
          <w:sz w:val="24"/>
          <w:lang w:eastAsia="zh-CN"/>
        </w:rPr>
      </w:pPr>
      <w:r>
        <w:rPr>
          <w:rFonts w:hint="eastAsia" w:ascii="CESI仿宋-GB2312" w:hAnsi="CESI仿宋-GB2312" w:eastAsia="CESI仿宋-GB2312" w:cs="CESI仿宋-GB2312"/>
          <w:color w:val="auto"/>
          <w:kern w:val="2"/>
          <w:sz w:val="24"/>
          <w:lang w:val="en-US" w:eastAsia="zh-CN"/>
        </w:rPr>
        <w:t>（5</w:t>
      </w:r>
      <w:r>
        <w:rPr>
          <w:rFonts w:hint="eastAsia" w:ascii="CESI仿宋-GB2312" w:hAnsi="CESI仿宋-GB2312" w:eastAsia="CESI仿宋-GB2312" w:cs="CESI仿宋-GB2312"/>
          <w:color w:val="auto"/>
          <w:kern w:val="2"/>
          <w:sz w:val="24"/>
          <w:lang w:eastAsia="zh-CN"/>
        </w:rPr>
        <w:t>）后续新一年度合同签订后，采购人在</w:t>
      </w:r>
      <w:r>
        <w:rPr>
          <w:rFonts w:hint="eastAsia" w:ascii="CESI仿宋-GB2312" w:hAnsi="CESI仿宋-GB2312" w:eastAsia="CESI仿宋-GB2312" w:cs="CESI仿宋-GB2312"/>
          <w:color w:val="auto"/>
          <w:kern w:val="2"/>
          <w:sz w:val="24"/>
        </w:rPr>
        <w:t>财政预算批复资金到位后，按年服务费的</w:t>
      </w:r>
      <w:r>
        <w:rPr>
          <w:rFonts w:hint="eastAsia" w:ascii="CESI仿宋-GB2312" w:hAnsi="CESI仿宋-GB2312" w:eastAsia="CESI仿宋-GB2312" w:cs="CESI仿宋-GB2312"/>
          <w:color w:val="auto"/>
          <w:kern w:val="2"/>
          <w:sz w:val="24"/>
          <w:lang w:val="en-US" w:eastAsia="zh-CN"/>
        </w:rPr>
        <w:t>4</w:t>
      </w:r>
      <w:r>
        <w:rPr>
          <w:rFonts w:hint="eastAsia" w:ascii="CESI仿宋-GB2312" w:hAnsi="CESI仿宋-GB2312" w:eastAsia="CESI仿宋-GB2312" w:cs="CESI仿宋-GB2312"/>
          <w:color w:val="auto"/>
          <w:kern w:val="2"/>
          <w:sz w:val="24"/>
        </w:rPr>
        <w:t>0%支付</w:t>
      </w:r>
      <w:r>
        <w:rPr>
          <w:rFonts w:hint="eastAsia" w:ascii="CESI仿宋-GB2312" w:hAnsi="CESI仿宋-GB2312" w:eastAsia="CESI仿宋-GB2312" w:cs="CESI仿宋-GB2312"/>
          <w:color w:val="auto"/>
          <w:kern w:val="2"/>
          <w:sz w:val="24"/>
          <w:lang w:eastAsia="zh-CN"/>
        </w:rPr>
        <w:t>当年度预付款，按照项目服务需求运行</w:t>
      </w:r>
      <w:r>
        <w:rPr>
          <w:rFonts w:hint="eastAsia" w:ascii="CESI仿宋-GB2312" w:hAnsi="CESI仿宋-GB2312" w:eastAsia="CESI仿宋-GB2312" w:cs="CESI仿宋-GB2312"/>
          <w:color w:val="auto"/>
          <w:kern w:val="2"/>
          <w:sz w:val="24"/>
          <w:lang w:val="en-US" w:eastAsia="zh-CN"/>
        </w:rPr>
        <w:t>6</w:t>
      </w:r>
      <w:r>
        <w:rPr>
          <w:rFonts w:hint="eastAsia" w:ascii="CESI仿宋-GB2312" w:hAnsi="CESI仿宋-GB2312" w:eastAsia="CESI仿宋-GB2312" w:cs="CESI仿宋-GB2312"/>
          <w:color w:val="auto"/>
          <w:kern w:val="2"/>
          <w:sz w:val="24"/>
          <w:lang w:eastAsia="zh-CN"/>
        </w:rPr>
        <w:t>个月后支付年服务费的</w:t>
      </w:r>
      <w:r>
        <w:rPr>
          <w:rFonts w:hint="eastAsia" w:ascii="CESI仿宋-GB2312" w:hAnsi="CESI仿宋-GB2312" w:eastAsia="CESI仿宋-GB2312" w:cs="CESI仿宋-GB2312"/>
          <w:color w:val="auto"/>
          <w:kern w:val="2"/>
          <w:sz w:val="24"/>
          <w:lang w:val="en-US" w:eastAsia="zh-CN"/>
        </w:rPr>
        <w:t>50％，剩余费用参照前款约定支付。</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CESI仿宋-GB2312" w:hAnsi="CESI仿宋-GB2312" w:eastAsia="CESI仿宋-GB2312" w:cs="CESI仿宋-GB2312"/>
          <w:b/>
          <w:sz w:val="24"/>
        </w:rPr>
      </w:pPr>
      <w:r>
        <w:rPr>
          <w:rFonts w:hint="eastAsia" w:ascii="CESI仿宋-GB2312" w:hAnsi="CESI仿宋-GB2312" w:eastAsia="CESI仿宋-GB2312" w:cs="CESI仿宋-GB2312"/>
          <w:b/>
          <w:sz w:val="24"/>
        </w:rPr>
        <w:t>注：1）中标供应商在接到采购人通知后的七个工作日内将增值税发票送达采购人，采购人在收到中标供应商发票后于七个工作日内以转账的方式支付给中标供应商；</w:t>
      </w:r>
    </w:p>
    <w:p>
      <w:pPr>
        <w:spacing w:line="360" w:lineRule="auto"/>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2）税费：本服务执行中相关的一切税费均由中标供应商负担；</w:t>
      </w:r>
    </w:p>
    <w:p>
      <w:pPr>
        <w:widowControl/>
        <w:spacing w:line="360" w:lineRule="auto"/>
        <w:ind w:firstLine="480" w:firstLineChars="200"/>
        <w:jc w:val="left"/>
        <w:rPr>
          <w:rFonts w:hint="eastAsia" w:ascii="CESI仿宋-GB2312" w:hAnsi="CESI仿宋-GB2312" w:eastAsia="CESI仿宋-GB2312" w:cs="CESI仿宋-GB2312"/>
          <w:sz w:val="24"/>
        </w:rPr>
      </w:pPr>
      <w:r>
        <w:rPr>
          <w:rFonts w:hint="eastAsia" w:ascii="CESI仿宋-GB2312" w:hAnsi="CESI仿宋-GB2312" w:eastAsia="CESI仿宋-GB2312" w:cs="CESI仿宋-GB2312"/>
          <w:bCs/>
          <w:sz w:val="24"/>
        </w:rPr>
        <w:t>3）若中标供应商明确表示无需预付款或者主动要求降低预付款比例的，采购人可不适用前述规定。</w:t>
      </w:r>
    </w:p>
    <w:p>
      <w:pPr>
        <w:spacing w:line="360" w:lineRule="auto"/>
        <w:rPr>
          <w:rFonts w:hint="eastAsia" w:ascii="CESI仿宋-GB2312" w:hAnsi="CESI仿宋-GB2312" w:eastAsia="CESI仿宋-GB2312" w:cs="CESI仿宋-GB2312"/>
          <w:sz w:val="24"/>
        </w:rPr>
      </w:pPr>
      <w:r>
        <w:rPr>
          <w:rFonts w:hint="eastAsia" w:ascii="CESI仿宋-GB2312" w:hAnsi="CESI仿宋-GB2312" w:eastAsia="CESI仿宋-GB2312" w:cs="CESI仿宋-GB2312"/>
          <w:b/>
          <w:bCs/>
          <w:sz w:val="24"/>
        </w:rPr>
        <w:t>8.支付：</w:t>
      </w:r>
      <w:r>
        <w:rPr>
          <w:rFonts w:hint="eastAsia" w:ascii="CESI仿宋-GB2312" w:hAnsi="CESI仿宋-GB2312" w:eastAsia="CESI仿宋-GB2312" w:cs="CESI仿宋-GB2312"/>
          <w:sz w:val="24"/>
        </w:rPr>
        <w:t>支付应使用人民币；</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9.技术服务</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供应商应负责安排采购人相关人员进行操作、维修的培训。具体时间及培训内容在投标时由供应商提出建议；</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10.售后服务及承诺</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10.1供应商应明确承诺售后服务各项内容和措施，提供详细的服务地点、联系人、电话等有关资料；</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10.2服务期：详见采购文件要求。在服务期内，因服务质量所发生的一切费用均由供应商承担；</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10.3 服务考核：具体考核方式由双方协商后在合同中明确。</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11.履约保证及后续服务</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11.1履约保证金：中标人在合同签订前向采购人交纳履约保证金（伍万元整）。中标人按服务内容履约，完成第一年的基金决算1个月后，无重大问题发生，服务和建设内容各方面均达到合同要求，所出具的年度基金决算报告经双方验收合格后的十个工作日内，采购人退还履约保证金。（缴纳形式为支票、汇票、本票，或银行、保险公司出具的保函）。</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11.2供应商应按采购文件规定的服务标准向采购人提供服务。</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11.3 如采购人检查发现供应商提供的服务不符合标准要求，供应商应立即进行整改，直到符合要求为止。采购人可根据考核标准中扣除供应商因检查不合格而应该扣罚的款项（扣罚款项在签订合同时明确）。</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11.4供应商提供的服务人员不符合本合同约定的数额，供应商应当自接到采购人通知之日起2日内予以补足，采购人有权按照缺岗天数及缺岗人数扣除相应费用。</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11.5 由于供应商服务人员原因在服务工作中给采购人的设施、材料造成损失，供应商应负责赔偿。</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11.6 在使用过程中发生问题，供应商在接到采购人通知后在</w:t>
      </w:r>
      <w:r>
        <w:rPr>
          <w:rFonts w:hint="eastAsia" w:ascii="CESI仿宋-GB2312" w:hAnsi="CESI仿宋-GB2312" w:eastAsia="CESI仿宋-GB2312" w:cs="CESI仿宋-GB2312"/>
          <w:sz w:val="24"/>
          <w:u w:val="single"/>
        </w:rPr>
        <w:t xml:space="preserve">  </w:t>
      </w:r>
      <w:r>
        <w:rPr>
          <w:rFonts w:hint="eastAsia" w:ascii="CESI仿宋-GB2312" w:hAnsi="CESI仿宋-GB2312" w:eastAsia="CESI仿宋-GB2312" w:cs="CESI仿宋-GB2312"/>
          <w:sz w:val="24"/>
        </w:rPr>
        <w:t xml:space="preserve">  小时内到达采购人现场。</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11.7 在服务质量保证期内，供应商应对出现的服务质量及安全问题负责处理解决并承担一切费用。</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12.违约责任</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12.1 采购人无正当理由</w:t>
      </w:r>
      <w:r>
        <w:rPr>
          <w:rFonts w:hint="eastAsia" w:ascii="CESI仿宋-GB2312" w:hAnsi="CESI仿宋-GB2312" w:eastAsia="CESI仿宋-GB2312" w:cs="CESI仿宋-GB2312"/>
          <w:sz w:val="24"/>
          <w:lang w:eastAsia="zh-CN"/>
        </w:rPr>
        <w:t>拒绝接受</w:t>
      </w:r>
      <w:r>
        <w:rPr>
          <w:rFonts w:hint="eastAsia" w:ascii="CESI仿宋-GB2312" w:hAnsi="CESI仿宋-GB2312" w:eastAsia="CESI仿宋-GB2312" w:cs="CESI仿宋-GB2312"/>
          <w:sz w:val="24"/>
        </w:rPr>
        <w:t>服务的，采购人向供应商偿付合同款项5%作为违约金。</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12.2 采购人无故逾期验收和办理款项支付手续的，采购人应按逾期付款总额每日万分之五向供应商支付违约金。</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13.不可抗力事件处理</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13.1 在合同有效期内，任何一方因不可抗力事件导致不能履行合同，则合同履行期可延长，其延长期与不可抗力影响期相同。</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13.2 不可抗力事件发生后，应立即通知对方，并寄送有关权威机构出具的证明。</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13.3 不可抗力事件延续120天以上，双方应通过友好协商，确定是否继续履行合同。</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14.争议解决</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14.1在执行本合同中所发生的或与本合同有关的一切争端，合同双方应通过友好协商解决，经过协商仍不能解决，双方选择通过下列第x种方式解决：</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（1）将争端提交湖州仲裁委员会仲裁</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（2）直接向采购人所在地有管辖权的人民法院起诉。</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14.2仲裁费用或诉讼费用应由败诉方负担。</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14.3在仲裁或诉讼期间，除进行仲裁或诉讼的部分外，本合同其他部分应继续执行。</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15.转让或分包</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15.1本合同范围的服务，应由供应商提供，不得转让他人供应；</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15.3本合同全部或部分的分包不能减轻供应商承担的责任，供应商仍须将分包人的任何行动、错误或疏忽当作是自己完成的并负全责；</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15.4在任何分包合同中，须注明分包人按分包合同的范围履行，在供应商按本合同的履行终止时（不论任何原因），亦同时一并终止；</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15.5如有转让和未经采购人同意的分包行为，采购人有权给予终止合同。</w:t>
      </w:r>
    </w:p>
    <w:p>
      <w:pPr>
        <w:numPr>
          <w:ilvl w:val="0"/>
          <w:numId w:val="6"/>
        </w:numPr>
        <w:spacing w:line="440" w:lineRule="exact"/>
        <w:rPr>
          <w:rFonts w:hint="eastAsia" w:ascii="CESI仿宋-GB2312" w:hAnsi="CESI仿宋-GB2312" w:eastAsia="CESI仿宋-GB2312" w:cs="CESI仿宋-GB2312"/>
          <w:b/>
          <w:bCs/>
          <w:sz w:val="24"/>
          <w:lang w:eastAsia="zh-CN"/>
        </w:rPr>
      </w:pPr>
      <w:r>
        <w:rPr>
          <w:rFonts w:hint="eastAsia" w:ascii="CESI仿宋-GB2312" w:hAnsi="CESI仿宋-GB2312" w:eastAsia="CESI仿宋-GB2312" w:cs="CESI仿宋-GB2312"/>
          <w:b/>
          <w:bCs/>
          <w:sz w:val="24"/>
          <w:lang w:eastAsia="zh-CN"/>
        </w:rPr>
        <w:t>特别约定</w:t>
      </w:r>
    </w:p>
    <w:p>
      <w:pPr>
        <w:adjustRightInd/>
        <w:snapToGrid/>
        <w:spacing w:beforeLines="-2147483648" w:afterLines="-2147483648" w:line="440" w:lineRule="exact"/>
        <w:ind w:left="0" w:firstLine="480" w:firstLineChars="200"/>
        <w:rPr>
          <w:rFonts w:hint="eastAsia" w:ascii="CESI仿宋-GB2312" w:hAnsi="CESI仿宋-GB2312" w:eastAsia="CESI仿宋-GB2312" w:cs="CESI仿宋-GB2312"/>
          <w:sz w:val="24"/>
          <w:lang w:eastAsia="zh-CN"/>
        </w:rPr>
      </w:pPr>
      <w:r>
        <w:rPr>
          <w:rFonts w:hint="eastAsia" w:ascii="CESI仿宋-GB2312" w:hAnsi="CESI仿宋-GB2312" w:eastAsia="CESI仿宋-GB2312" w:cs="CESI仿宋-GB2312"/>
          <w:sz w:val="24"/>
          <w:lang w:eastAsia="zh-CN"/>
        </w:rPr>
        <w:t>有以下任一情形的，甲方有权单方面解除合同，并追究乙方</w:t>
      </w:r>
      <w:r>
        <w:rPr>
          <w:rFonts w:hint="eastAsia" w:ascii="CESI仿宋-GB2312" w:hAnsi="CESI仿宋-GB2312" w:eastAsia="CESI仿宋-GB2312" w:cs="CESI仿宋-GB2312"/>
          <w:sz w:val="24"/>
          <w:lang w:val="en-US" w:eastAsia="zh-CN"/>
        </w:rPr>
        <w:t>法律</w:t>
      </w:r>
      <w:r>
        <w:rPr>
          <w:rFonts w:hint="eastAsia" w:ascii="CESI仿宋-GB2312" w:hAnsi="CESI仿宋-GB2312" w:eastAsia="CESI仿宋-GB2312" w:cs="CESI仿宋-GB2312"/>
          <w:sz w:val="24"/>
          <w:lang w:eastAsia="zh-CN"/>
        </w:rPr>
        <w:t>责任，</w:t>
      </w:r>
      <w:r>
        <w:rPr>
          <w:rFonts w:hint="eastAsia" w:ascii="CESI仿宋-GB2312" w:hAnsi="CESI仿宋-GB2312" w:eastAsia="CESI仿宋-GB2312" w:cs="CESI仿宋-GB2312"/>
          <w:sz w:val="24"/>
        </w:rPr>
        <w:t>除扣除相应款项外，乙方应赔偿甲方相应的损失</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包括但不仅限于律师费等费用</w:t>
      </w:r>
      <w:r>
        <w:rPr>
          <w:rFonts w:hint="eastAsia" w:ascii="CESI仿宋-GB2312" w:hAnsi="CESI仿宋-GB2312" w:eastAsia="CESI仿宋-GB2312" w:cs="CESI仿宋-GB2312"/>
          <w:sz w:val="24"/>
          <w:lang w:eastAsia="zh-CN"/>
        </w:rPr>
        <w:t>，并</w:t>
      </w:r>
      <w:r>
        <w:rPr>
          <w:rFonts w:hint="eastAsia" w:ascii="CESI仿宋-GB2312" w:hAnsi="CESI仿宋-GB2312" w:eastAsia="CESI仿宋-GB2312" w:cs="CESI仿宋-GB2312"/>
          <w:sz w:val="24"/>
          <w:lang w:val="en-US" w:eastAsia="zh-CN"/>
        </w:rPr>
        <w:t>且</w:t>
      </w:r>
      <w:r>
        <w:rPr>
          <w:rFonts w:hint="eastAsia" w:ascii="CESI仿宋-GB2312" w:hAnsi="CESI仿宋-GB2312" w:eastAsia="CESI仿宋-GB2312" w:cs="CESI仿宋-GB2312"/>
          <w:sz w:val="24"/>
          <w:lang w:eastAsia="zh-CN"/>
        </w:rPr>
        <w:t>乙方</w:t>
      </w:r>
      <w:r>
        <w:rPr>
          <w:rFonts w:hint="eastAsia" w:ascii="CESI仿宋-GB2312" w:hAnsi="CESI仿宋-GB2312" w:eastAsia="CESI仿宋-GB2312" w:cs="CESI仿宋-GB2312"/>
          <w:sz w:val="24"/>
          <w:lang w:val="en-US" w:eastAsia="zh-CN"/>
        </w:rPr>
        <w:t>在解除合同后5年内</w:t>
      </w:r>
      <w:r>
        <w:rPr>
          <w:rFonts w:hint="eastAsia" w:ascii="CESI仿宋-GB2312" w:hAnsi="CESI仿宋-GB2312" w:eastAsia="CESI仿宋-GB2312" w:cs="CESI仿宋-GB2312"/>
          <w:sz w:val="24"/>
          <w:lang w:eastAsia="zh-CN"/>
        </w:rPr>
        <w:t>不得承接甲方</w:t>
      </w:r>
      <w:r>
        <w:rPr>
          <w:rFonts w:hint="eastAsia" w:ascii="CESI仿宋-GB2312" w:hAnsi="CESI仿宋-GB2312" w:eastAsia="CESI仿宋-GB2312" w:cs="CESI仿宋-GB2312"/>
          <w:sz w:val="24"/>
          <w:lang w:val="en-US" w:eastAsia="zh-CN"/>
        </w:rPr>
        <w:t>的任何</w:t>
      </w:r>
      <w:r>
        <w:rPr>
          <w:rFonts w:hint="eastAsia" w:ascii="CESI仿宋-GB2312" w:hAnsi="CESI仿宋-GB2312" w:eastAsia="CESI仿宋-GB2312" w:cs="CESI仿宋-GB2312"/>
          <w:sz w:val="24"/>
          <w:lang w:eastAsia="zh-CN"/>
        </w:rPr>
        <w:t>业务：</w:t>
      </w:r>
    </w:p>
    <w:p>
      <w:pPr>
        <w:adjustRightInd/>
        <w:snapToGrid/>
        <w:spacing w:beforeLines="-2147483648" w:afterLines="-2147483648" w:line="440" w:lineRule="exact"/>
        <w:ind w:left="0" w:firstLine="480" w:firstLineChars="200"/>
        <w:rPr>
          <w:rFonts w:hint="eastAsia" w:ascii="CESI仿宋-GB2312" w:hAnsi="CESI仿宋-GB2312" w:eastAsia="CESI仿宋-GB2312" w:cs="CESI仿宋-GB2312"/>
          <w:sz w:val="24"/>
          <w:lang w:eastAsia="zh-CN"/>
        </w:rPr>
      </w:pPr>
      <w:r>
        <w:rPr>
          <w:rFonts w:hint="eastAsia" w:ascii="CESI仿宋-GB2312" w:hAnsi="CESI仿宋-GB2312" w:eastAsia="CESI仿宋-GB2312" w:cs="CESI仿宋-GB2312"/>
          <w:sz w:val="24"/>
          <w:lang w:val="en-US" w:eastAsia="zh-CN"/>
        </w:rPr>
        <w:t xml:space="preserve">     1）</w:t>
      </w:r>
      <w:r>
        <w:rPr>
          <w:rFonts w:hint="eastAsia" w:ascii="CESI仿宋-GB2312" w:hAnsi="CESI仿宋-GB2312" w:eastAsia="CESI仿宋-GB2312" w:cs="CESI仿宋-GB2312"/>
          <w:sz w:val="24"/>
          <w:lang w:eastAsia="zh-CN"/>
        </w:rPr>
        <w:t>乙</w:t>
      </w:r>
      <w:r>
        <w:rPr>
          <w:rFonts w:hint="eastAsia" w:ascii="CESI仿宋-GB2312" w:hAnsi="CESI仿宋-GB2312" w:eastAsia="CESI仿宋-GB2312" w:cs="CESI仿宋-GB2312"/>
          <w:sz w:val="24"/>
        </w:rPr>
        <w:t>方提供的人员（包括长期驻场人员、短期驻场人员、远程专业团队及高级职称专家团队等）数量</w:t>
      </w:r>
      <w:r>
        <w:rPr>
          <w:rFonts w:hint="eastAsia" w:ascii="CESI仿宋-GB2312" w:hAnsi="CESI仿宋-GB2312" w:eastAsia="CESI仿宋-GB2312" w:cs="CESI仿宋-GB2312"/>
          <w:sz w:val="24"/>
          <w:lang w:eastAsia="zh-CN"/>
        </w:rPr>
        <w:t>未</w:t>
      </w:r>
      <w:r>
        <w:rPr>
          <w:rFonts w:hint="eastAsia" w:ascii="CESI仿宋-GB2312" w:hAnsi="CESI仿宋-GB2312" w:eastAsia="CESI仿宋-GB2312" w:cs="CESI仿宋-GB2312"/>
          <w:sz w:val="24"/>
        </w:rPr>
        <w:t>达到项目采购</w:t>
      </w:r>
      <w:r>
        <w:rPr>
          <w:rFonts w:hint="eastAsia" w:ascii="CESI仿宋-GB2312" w:hAnsi="CESI仿宋-GB2312" w:eastAsia="CESI仿宋-GB2312" w:cs="CESI仿宋-GB2312"/>
          <w:sz w:val="24"/>
          <w:lang w:eastAsia="zh-CN"/>
        </w:rPr>
        <w:t>文件</w:t>
      </w:r>
      <w:r>
        <w:rPr>
          <w:rFonts w:hint="eastAsia" w:ascii="CESI仿宋-GB2312" w:hAnsi="CESI仿宋-GB2312" w:eastAsia="CESI仿宋-GB2312" w:cs="CESI仿宋-GB2312"/>
          <w:sz w:val="24"/>
        </w:rPr>
        <w:t>要求</w:t>
      </w:r>
      <w:r>
        <w:rPr>
          <w:rFonts w:hint="eastAsia" w:ascii="CESI仿宋-GB2312" w:hAnsi="CESI仿宋-GB2312" w:eastAsia="CESI仿宋-GB2312" w:cs="CESI仿宋-GB2312"/>
          <w:sz w:val="24"/>
          <w:lang w:eastAsia="zh-CN"/>
        </w:rPr>
        <w:t>的；</w:t>
      </w:r>
    </w:p>
    <w:p>
      <w:pPr>
        <w:adjustRightInd/>
        <w:snapToGrid/>
        <w:spacing w:beforeLines="-2147483648" w:afterLines="-2147483648" w:line="440" w:lineRule="exact"/>
        <w:ind w:left="0" w:firstLine="480" w:firstLineChars="200"/>
        <w:rPr>
          <w:rFonts w:hint="eastAsia" w:ascii="CESI仿宋-GB2312" w:hAnsi="CESI仿宋-GB2312" w:eastAsia="CESI仿宋-GB2312" w:cs="CESI仿宋-GB2312"/>
          <w:sz w:val="24"/>
          <w:lang w:eastAsia="zh-CN"/>
        </w:rPr>
      </w:pPr>
      <w:r>
        <w:rPr>
          <w:rFonts w:hint="eastAsia" w:ascii="CESI仿宋-GB2312" w:hAnsi="CESI仿宋-GB2312" w:eastAsia="CESI仿宋-GB2312" w:cs="CESI仿宋-GB2312"/>
          <w:sz w:val="24"/>
          <w:lang w:val="en-US" w:eastAsia="zh-CN"/>
        </w:rPr>
        <w:t>2）</w:t>
      </w:r>
      <w:r>
        <w:rPr>
          <w:rFonts w:hint="eastAsia" w:ascii="CESI仿宋-GB2312" w:hAnsi="CESI仿宋-GB2312" w:eastAsia="CESI仿宋-GB2312" w:cs="CESI仿宋-GB2312"/>
          <w:sz w:val="24"/>
          <w:lang w:eastAsia="zh-CN"/>
        </w:rPr>
        <w:t>乙</w:t>
      </w:r>
      <w:r>
        <w:rPr>
          <w:rFonts w:hint="eastAsia" w:ascii="CESI仿宋-GB2312" w:hAnsi="CESI仿宋-GB2312" w:eastAsia="CESI仿宋-GB2312" w:cs="CESI仿宋-GB2312"/>
          <w:sz w:val="24"/>
        </w:rPr>
        <w:t>方提供的人员（包括长期驻场人员、短期驻场人员、远程专业团队及高级职称专家团队等）</w:t>
      </w:r>
      <w:r>
        <w:rPr>
          <w:rFonts w:hint="eastAsia" w:ascii="CESI仿宋-GB2312" w:hAnsi="CESI仿宋-GB2312" w:eastAsia="CESI仿宋-GB2312" w:cs="CESI仿宋-GB2312"/>
          <w:sz w:val="24"/>
          <w:lang w:eastAsia="zh-CN"/>
        </w:rPr>
        <w:t>资质与</w:t>
      </w:r>
      <w:r>
        <w:rPr>
          <w:rFonts w:hint="eastAsia" w:ascii="CESI仿宋-GB2312" w:hAnsi="CESI仿宋-GB2312" w:eastAsia="CESI仿宋-GB2312" w:cs="CESI仿宋-GB2312"/>
          <w:sz w:val="24"/>
        </w:rPr>
        <w:t>项目采购</w:t>
      </w:r>
      <w:r>
        <w:rPr>
          <w:rFonts w:hint="eastAsia" w:ascii="CESI仿宋-GB2312" w:hAnsi="CESI仿宋-GB2312" w:eastAsia="CESI仿宋-GB2312" w:cs="CESI仿宋-GB2312"/>
          <w:sz w:val="24"/>
          <w:lang w:eastAsia="zh-CN"/>
        </w:rPr>
        <w:t>文件</w:t>
      </w:r>
      <w:r>
        <w:rPr>
          <w:rFonts w:hint="eastAsia" w:ascii="CESI仿宋-GB2312" w:hAnsi="CESI仿宋-GB2312" w:eastAsia="CESI仿宋-GB2312" w:cs="CESI仿宋-GB2312"/>
          <w:sz w:val="24"/>
        </w:rPr>
        <w:t>要求</w:t>
      </w:r>
      <w:r>
        <w:rPr>
          <w:rFonts w:hint="eastAsia" w:ascii="CESI仿宋-GB2312" w:hAnsi="CESI仿宋-GB2312" w:eastAsia="CESI仿宋-GB2312" w:cs="CESI仿宋-GB2312"/>
          <w:sz w:val="24"/>
          <w:lang w:eastAsia="zh-CN"/>
        </w:rPr>
        <w:t>不符的；</w:t>
      </w:r>
    </w:p>
    <w:p>
      <w:pPr>
        <w:adjustRightInd/>
        <w:snapToGrid/>
        <w:spacing w:beforeLines="-2147483648" w:afterLines="-2147483648" w:line="440" w:lineRule="exact"/>
        <w:ind w:left="0" w:firstLine="480" w:firstLineChars="200"/>
        <w:rPr>
          <w:rFonts w:hint="eastAsia" w:ascii="CESI仿宋-GB2312" w:hAnsi="CESI仿宋-GB2312" w:eastAsia="CESI仿宋-GB2312" w:cs="CESI仿宋-GB2312"/>
          <w:sz w:val="24"/>
          <w:lang w:eastAsia="zh-CN"/>
        </w:rPr>
      </w:pPr>
      <w:r>
        <w:rPr>
          <w:rFonts w:hint="eastAsia" w:ascii="CESI仿宋-GB2312" w:hAnsi="CESI仿宋-GB2312" w:eastAsia="CESI仿宋-GB2312" w:cs="CESI仿宋-GB2312"/>
          <w:sz w:val="24"/>
          <w:lang w:val="en-US" w:eastAsia="zh-CN"/>
        </w:rPr>
        <w:t xml:space="preserve">    3）</w:t>
      </w:r>
      <w:r>
        <w:rPr>
          <w:rFonts w:hint="eastAsia" w:ascii="CESI仿宋-GB2312" w:hAnsi="CESI仿宋-GB2312" w:eastAsia="CESI仿宋-GB2312" w:cs="CESI仿宋-GB2312"/>
          <w:sz w:val="24"/>
          <w:lang w:eastAsia="zh-CN"/>
        </w:rPr>
        <w:t>乙</w:t>
      </w:r>
      <w:r>
        <w:rPr>
          <w:rFonts w:hint="eastAsia" w:ascii="CESI仿宋-GB2312" w:hAnsi="CESI仿宋-GB2312" w:eastAsia="CESI仿宋-GB2312" w:cs="CESI仿宋-GB2312"/>
          <w:sz w:val="24"/>
        </w:rPr>
        <w:t>方提供的专业化服务</w:t>
      </w:r>
      <w:r>
        <w:rPr>
          <w:rFonts w:hint="eastAsia" w:ascii="CESI仿宋-GB2312" w:hAnsi="CESI仿宋-GB2312" w:eastAsia="CESI仿宋-GB2312" w:cs="CESI仿宋-GB2312"/>
          <w:sz w:val="24"/>
          <w:lang w:eastAsia="zh-CN"/>
        </w:rPr>
        <w:t>质量未</w:t>
      </w:r>
      <w:r>
        <w:rPr>
          <w:rFonts w:hint="eastAsia" w:ascii="CESI仿宋-GB2312" w:hAnsi="CESI仿宋-GB2312" w:eastAsia="CESI仿宋-GB2312" w:cs="CESI仿宋-GB2312"/>
          <w:sz w:val="24"/>
        </w:rPr>
        <w:t>达到项目的采购要求</w:t>
      </w:r>
      <w:r>
        <w:rPr>
          <w:rFonts w:hint="eastAsia" w:ascii="CESI仿宋-GB2312" w:hAnsi="CESI仿宋-GB2312" w:eastAsia="CESI仿宋-GB2312" w:cs="CESI仿宋-GB2312"/>
          <w:sz w:val="24"/>
          <w:lang w:eastAsia="zh-CN"/>
        </w:rPr>
        <w:t>；</w:t>
      </w:r>
    </w:p>
    <w:p>
      <w:pPr>
        <w:adjustRightInd/>
        <w:snapToGrid/>
        <w:spacing w:beforeLines="-2147483648" w:afterLines="-2147483648" w:line="440" w:lineRule="exact"/>
        <w:ind w:left="0" w:firstLine="480" w:firstLineChars="200"/>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4）乙方未能按期完成清算工作的；</w:t>
      </w:r>
    </w:p>
    <w:p>
      <w:pPr>
        <w:adjustRightInd/>
        <w:snapToGrid/>
        <w:spacing w:beforeLines="-2147483648" w:afterLines="-2147483648" w:line="440" w:lineRule="exact"/>
        <w:ind w:left="0"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lang w:val="en-US" w:eastAsia="zh-CN"/>
        </w:rPr>
        <w:t>5）因乙方原因造成“智慧医保”系统发生信息安全事件或影响“智慧医保”系统实时结算等不良影响的</w:t>
      </w:r>
      <w:r>
        <w:rPr>
          <w:rFonts w:hint="eastAsia" w:ascii="CESI仿宋-GB2312" w:hAnsi="CESI仿宋-GB2312" w:eastAsia="CESI仿宋-GB2312" w:cs="CESI仿宋-GB2312"/>
          <w:sz w:val="24"/>
        </w:rPr>
        <w:t>。</w:t>
      </w:r>
    </w:p>
    <w:p>
      <w:pPr>
        <w:adjustRightInd/>
        <w:snapToGrid/>
        <w:spacing w:beforeLines="-2147483648" w:afterLines="-2147483648" w:line="440" w:lineRule="exact"/>
        <w:ind w:left="0"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lang w:val="en-US" w:eastAsia="zh-CN"/>
        </w:rPr>
        <w:t>6）</w:t>
      </w:r>
      <w:r>
        <w:rPr>
          <w:rFonts w:hint="eastAsia" w:ascii="CESI仿宋-GB2312" w:hAnsi="CESI仿宋-GB2312" w:eastAsia="CESI仿宋-GB2312" w:cs="CESI仿宋-GB2312"/>
          <w:sz w:val="24"/>
        </w:rPr>
        <w:t>本合同服务期内，乙方未经甲方</w:t>
      </w:r>
      <w:r>
        <w:rPr>
          <w:rFonts w:hint="eastAsia" w:ascii="CESI仿宋-GB2312" w:hAnsi="CESI仿宋-GB2312" w:eastAsia="CESI仿宋-GB2312" w:cs="CESI仿宋-GB2312"/>
          <w:sz w:val="24"/>
          <w:lang w:val="en-US" w:eastAsia="zh-CN"/>
        </w:rPr>
        <w:t>书面</w:t>
      </w:r>
      <w:r>
        <w:rPr>
          <w:rFonts w:hint="eastAsia" w:ascii="CESI仿宋-GB2312" w:hAnsi="CESI仿宋-GB2312" w:eastAsia="CESI仿宋-GB2312" w:cs="CESI仿宋-GB2312"/>
          <w:sz w:val="24"/>
        </w:rPr>
        <w:t>同意，在湖州市范围内向医疗机构销售</w:t>
      </w:r>
      <w:r>
        <w:rPr>
          <w:rFonts w:hint="eastAsia" w:ascii="CESI仿宋-GB2312" w:hAnsi="CESI仿宋-GB2312" w:eastAsia="CESI仿宋-GB2312" w:cs="CESI仿宋-GB2312"/>
          <w:sz w:val="24"/>
          <w:szCs w:val="24"/>
        </w:rPr>
        <w:t>和医保相关的DRG任何产品</w:t>
      </w:r>
      <w:r>
        <w:rPr>
          <w:rFonts w:hint="eastAsia" w:ascii="CESI仿宋-GB2312" w:hAnsi="CESI仿宋-GB2312" w:eastAsia="CESI仿宋-GB2312" w:cs="CESI仿宋-GB2312"/>
          <w:sz w:val="24"/>
        </w:rPr>
        <w:t>，</w:t>
      </w:r>
      <w:r>
        <w:rPr>
          <w:rFonts w:hint="eastAsia" w:ascii="CESI仿宋-GB2312" w:hAnsi="CESI仿宋-GB2312" w:eastAsia="CESI仿宋-GB2312" w:cs="CESI仿宋-GB2312"/>
          <w:sz w:val="24"/>
          <w:lang w:val="en-US" w:eastAsia="zh-CN"/>
        </w:rPr>
        <w:t>或</w:t>
      </w:r>
      <w:r>
        <w:rPr>
          <w:rFonts w:hint="eastAsia" w:ascii="CESI仿宋-GB2312" w:hAnsi="CESI仿宋-GB2312" w:eastAsia="CESI仿宋-GB2312" w:cs="CESI仿宋-GB2312"/>
          <w:sz w:val="24"/>
        </w:rPr>
        <w:t>向医疗机构提供与本合同服务相关的其他有偿服务。</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lang w:val="en-US" w:eastAsia="zh-CN"/>
        </w:rPr>
        <w:t>5</w:t>
      </w:r>
      <w:r>
        <w:rPr>
          <w:rFonts w:hint="eastAsia" w:ascii="CESI仿宋-GB2312" w:hAnsi="CESI仿宋-GB2312" w:eastAsia="CESI仿宋-GB2312" w:cs="CESI仿宋-GB2312"/>
          <w:sz w:val="24"/>
        </w:rPr>
        <w:t>、如发现乙方违反招标文件和合同的有关规定，甲方有权根据约定</w:t>
      </w:r>
      <w:r>
        <w:rPr>
          <w:rFonts w:hint="eastAsia" w:ascii="CESI仿宋-GB2312" w:hAnsi="CESI仿宋-GB2312" w:eastAsia="CESI仿宋-GB2312" w:cs="CESI仿宋-GB2312"/>
          <w:sz w:val="24"/>
          <w:lang w:val="en-US" w:eastAsia="zh-CN"/>
        </w:rPr>
        <w:t>追究</w:t>
      </w:r>
      <w:r>
        <w:rPr>
          <w:rFonts w:hint="eastAsia" w:ascii="CESI仿宋-GB2312" w:hAnsi="CESI仿宋-GB2312" w:eastAsia="CESI仿宋-GB2312" w:cs="CESI仿宋-GB2312"/>
          <w:sz w:val="24"/>
        </w:rPr>
        <w:t>乙方</w:t>
      </w:r>
      <w:r>
        <w:rPr>
          <w:rFonts w:hint="eastAsia" w:ascii="CESI仿宋-GB2312" w:hAnsi="CESI仿宋-GB2312" w:eastAsia="CESI仿宋-GB2312" w:cs="CESI仿宋-GB2312"/>
          <w:sz w:val="24"/>
          <w:lang w:val="en-US" w:eastAsia="zh-CN"/>
        </w:rPr>
        <w:t>违约责任</w:t>
      </w:r>
      <w:r>
        <w:rPr>
          <w:rFonts w:hint="eastAsia" w:ascii="CESI仿宋-GB2312" w:hAnsi="CESI仿宋-GB2312" w:eastAsia="CESI仿宋-GB2312" w:cs="CESI仿宋-GB2312"/>
          <w:sz w:val="24"/>
        </w:rPr>
        <w:t>，并有权提前解除合同，</w:t>
      </w:r>
      <w:r>
        <w:rPr>
          <w:rFonts w:hint="eastAsia" w:ascii="CESI仿宋-GB2312" w:hAnsi="CESI仿宋-GB2312" w:eastAsia="CESI仿宋-GB2312" w:cs="CESI仿宋-GB2312"/>
          <w:sz w:val="24"/>
          <w:lang w:val="en-US" w:eastAsia="zh-CN"/>
        </w:rPr>
        <w:t>同时</w:t>
      </w:r>
      <w:r>
        <w:rPr>
          <w:rFonts w:hint="eastAsia" w:ascii="CESI仿宋-GB2312" w:hAnsi="CESI仿宋-GB2312" w:eastAsia="CESI仿宋-GB2312" w:cs="CESI仿宋-GB2312"/>
          <w:sz w:val="24"/>
        </w:rPr>
        <w:t>上报湖州市政府采购中心</w:t>
      </w:r>
      <w:r>
        <w:rPr>
          <w:rFonts w:hint="eastAsia" w:ascii="CESI仿宋-GB2312" w:hAnsi="CESI仿宋-GB2312" w:eastAsia="CESI仿宋-GB2312" w:cs="CESI仿宋-GB2312"/>
          <w:sz w:val="24"/>
          <w:lang w:val="en-US" w:eastAsia="zh-CN"/>
        </w:rPr>
        <w:t>予以行政惩戒</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乙方还应全额赔偿因此而给甲方造成的全部经济损失。</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lang w:val="en-US" w:eastAsia="zh-CN"/>
        </w:rPr>
        <w:t>17.</w:t>
      </w:r>
      <w:r>
        <w:rPr>
          <w:rFonts w:hint="eastAsia" w:ascii="CESI仿宋-GB2312" w:hAnsi="CESI仿宋-GB2312" w:eastAsia="CESI仿宋-GB2312" w:cs="CESI仿宋-GB2312"/>
          <w:b/>
          <w:bCs/>
          <w:sz w:val="24"/>
        </w:rPr>
        <w:t>适用法律</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合同适用法律有《中华人民共和国政府采购法》《中华人民共和国民法典》《中华人民共和国产品质量法》和浙江省有关条例等。</w:t>
      </w:r>
    </w:p>
    <w:p>
      <w:pPr>
        <w:spacing w:line="440" w:lineRule="exact"/>
        <w:rPr>
          <w:rFonts w:hint="eastAsia" w:ascii="CESI仿宋-GB2312" w:hAnsi="CESI仿宋-GB2312" w:eastAsia="CESI仿宋-GB2312" w:cs="CESI仿宋-GB2312"/>
          <w:b/>
          <w:bCs/>
          <w:sz w:val="24"/>
        </w:rPr>
      </w:pPr>
      <w:r>
        <w:rPr>
          <w:rFonts w:hint="eastAsia" w:ascii="CESI仿宋-GB2312" w:hAnsi="CESI仿宋-GB2312" w:eastAsia="CESI仿宋-GB2312" w:cs="CESI仿宋-GB2312"/>
          <w:b/>
          <w:bCs/>
          <w:sz w:val="24"/>
        </w:rPr>
        <w:t>1</w:t>
      </w:r>
      <w:r>
        <w:rPr>
          <w:rFonts w:hint="eastAsia" w:ascii="CESI仿宋-GB2312" w:hAnsi="CESI仿宋-GB2312" w:eastAsia="CESI仿宋-GB2312" w:cs="CESI仿宋-GB2312"/>
          <w:b/>
          <w:bCs/>
          <w:sz w:val="24"/>
          <w:lang w:val="en-US" w:eastAsia="zh-CN"/>
        </w:rPr>
        <w:t>8</w:t>
      </w:r>
      <w:r>
        <w:rPr>
          <w:rFonts w:hint="eastAsia" w:ascii="CESI仿宋-GB2312" w:hAnsi="CESI仿宋-GB2312" w:eastAsia="CESI仿宋-GB2312" w:cs="CESI仿宋-GB2312"/>
          <w:b/>
          <w:bCs/>
          <w:sz w:val="24"/>
        </w:rPr>
        <w:t>.合同生效及其他</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16.1本合同经双方法人及法定代表人签字盖章生效；</w:t>
      </w:r>
    </w:p>
    <w:p>
      <w:pPr>
        <w:spacing w:line="440" w:lineRule="exact"/>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16.2本合同正本一式五份，具有同等法律效力，甲乙双方各执两份；采购代理机构执一份用于备案。</w:t>
      </w:r>
    </w:p>
    <w:p>
      <w:pPr>
        <w:pStyle w:val="33"/>
        <w:snapToGrid w:val="0"/>
        <w:spacing w:before="120" w:after="120" w:line="44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xml:space="preserve"> 甲方：                                   乙方： </w:t>
      </w:r>
    </w:p>
    <w:p>
      <w:pPr>
        <w:pStyle w:val="33"/>
        <w:snapToGrid w:val="0"/>
        <w:spacing w:before="120" w:after="120" w:line="44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xml:space="preserve"> 地址：                                   地址： </w:t>
      </w:r>
    </w:p>
    <w:p>
      <w:pPr>
        <w:pStyle w:val="33"/>
        <w:snapToGrid w:val="0"/>
        <w:spacing w:before="120" w:after="120" w:line="44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xml:space="preserve"> 法定（授权）代表人：                     法定（授权）代表人：</w:t>
      </w:r>
    </w:p>
    <w:p>
      <w:pPr>
        <w:pStyle w:val="33"/>
        <w:snapToGrid w:val="0"/>
        <w:spacing w:before="120" w:after="120" w:line="44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xml:space="preserve"> 签字日期：      年  月  日               签字日期：      年  月  日</w:t>
      </w:r>
    </w:p>
    <w:p>
      <w:pPr>
        <w:ind w:firstLine="2891" w:firstLineChars="800"/>
        <w:rPr>
          <w:rFonts w:hint="eastAsia" w:ascii="方正仿宋_GB2312" w:hAnsi="方正仿宋_GB2312" w:eastAsia="方正仿宋_GB2312" w:cs="方正仿宋_GB2312"/>
          <w:sz w:val="30"/>
          <w:szCs w:val="30"/>
        </w:rPr>
      </w:pPr>
      <w:bookmarkStart w:id="67" w:name="_Toc24264"/>
      <w:bookmarkStart w:id="68" w:name="_Toc18051"/>
      <w:r>
        <w:rPr>
          <w:rFonts w:hint="eastAsia" w:ascii="方正仿宋_GB2312" w:hAnsi="方正仿宋_GB2312" w:eastAsia="方正仿宋_GB2312" w:cs="方正仿宋_GB2312"/>
          <w:b/>
          <w:sz w:val="36"/>
          <w:szCs w:val="36"/>
        </w:rPr>
        <w:t xml:space="preserve">第六章  </w:t>
      </w:r>
      <w:bookmarkEnd w:id="66"/>
      <w:r>
        <w:rPr>
          <w:rFonts w:hint="eastAsia" w:ascii="方正仿宋_GB2312" w:hAnsi="方正仿宋_GB2312" w:eastAsia="方正仿宋_GB2312" w:cs="方正仿宋_GB2312"/>
          <w:b/>
          <w:sz w:val="36"/>
          <w:szCs w:val="36"/>
        </w:rPr>
        <w:t>投标文件格式</w:t>
      </w:r>
      <w:bookmarkEnd w:id="67"/>
      <w:bookmarkEnd w:id="68"/>
    </w:p>
    <w:p>
      <w:pPr>
        <w:snapToGrid w:val="0"/>
        <w:spacing w:before="120" w:beforeLines="50" w:after="50" w:line="360" w:lineRule="auto"/>
        <w:rPr>
          <w:rFonts w:ascii="宋体" w:hAnsi="宋体"/>
          <w:b/>
          <w:sz w:val="30"/>
        </w:rPr>
      </w:pPr>
    </w:p>
    <w:p>
      <w:pPr>
        <w:snapToGrid w:val="0"/>
        <w:spacing w:before="120" w:beforeLines="50" w:after="50" w:line="360" w:lineRule="auto"/>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bCs/>
          <w:color w:val="000000"/>
          <w:kern w:val="0"/>
          <w:sz w:val="30"/>
          <w:szCs w:val="30"/>
        </w:rPr>
        <w:t>1.备份响应文件外包装封面格式</w:t>
      </w:r>
    </w:p>
    <w:p>
      <w:pPr>
        <w:snapToGrid w:val="0"/>
        <w:spacing w:before="120" w:beforeLines="50" w:after="50" w:line="360" w:lineRule="auto"/>
        <w:rPr>
          <w:rFonts w:hint="eastAsia" w:ascii="方正仿宋_GB2312" w:hAnsi="方正仿宋_GB2312" w:eastAsia="方正仿宋_GB2312" w:cs="方正仿宋_GB2312"/>
          <w:b/>
          <w:bCs/>
          <w:sz w:val="32"/>
          <w:szCs w:val="20"/>
        </w:rPr>
      </w:pPr>
    </w:p>
    <w:p>
      <w:pPr>
        <w:snapToGrid w:val="0"/>
        <w:spacing w:before="120" w:beforeLines="50" w:after="50" w:line="360" w:lineRule="auto"/>
        <w:rPr>
          <w:rFonts w:hint="eastAsia" w:ascii="方正仿宋_GB2312" w:hAnsi="方正仿宋_GB2312" w:eastAsia="方正仿宋_GB2312" w:cs="方正仿宋_GB2312"/>
          <w:bCs/>
          <w:sz w:val="24"/>
          <w:szCs w:val="20"/>
        </w:rPr>
      </w:pPr>
    </w:p>
    <w:p>
      <w:pPr>
        <w:snapToGrid w:val="0"/>
        <w:spacing w:before="120" w:beforeLines="50" w:after="50" w:line="360" w:lineRule="auto"/>
        <w:jc w:val="center"/>
        <w:rPr>
          <w:rFonts w:hint="eastAsia" w:ascii="方正仿宋_GB2312" w:hAnsi="方正仿宋_GB2312" w:eastAsia="方正仿宋_GB2312" w:cs="方正仿宋_GB2312"/>
          <w:bCs/>
          <w:sz w:val="24"/>
          <w:szCs w:val="20"/>
        </w:rPr>
      </w:pPr>
      <w:r>
        <w:rPr>
          <w:rFonts w:hint="eastAsia" w:ascii="方正仿宋_GB2312" w:hAnsi="方正仿宋_GB2312" w:eastAsia="方正仿宋_GB2312" w:cs="方正仿宋_GB2312"/>
          <w:bCs/>
          <w:sz w:val="24"/>
        </w:rPr>
        <w:t>备份文件</w:t>
      </w:r>
    </w:p>
    <w:p>
      <w:pPr>
        <w:snapToGrid w:val="0"/>
        <w:spacing w:before="120" w:beforeLines="50" w:after="50" w:line="360" w:lineRule="auto"/>
        <w:ind w:firstLine="1068" w:firstLineChars="445"/>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项目名称：</w:t>
      </w:r>
    </w:p>
    <w:p>
      <w:pPr>
        <w:snapToGrid w:val="0"/>
        <w:spacing w:before="120" w:beforeLines="50" w:after="50" w:line="360" w:lineRule="auto"/>
        <w:ind w:firstLine="1068" w:firstLineChars="445"/>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项目编号： </w:t>
      </w:r>
    </w:p>
    <w:p>
      <w:pPr>
        <w:snapToGrid w:val="0"/>
        <w:spacing w:before="120" w:beforeLines="50" w:after="50" w:line="360" w:lineRule="auto"/>
        <w:ind w:firstLine="1068" w:firstLineChars="445"/>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投标供应商名称：</w:t>
      </w:r>
    </w:p>
    <w:p>
      <w:pPr>
        <w:snapToGrid w:val="0"/>
        <w:spacing w:before="120" w:beforeLines="50" w:after="50" w:line="360" w:lineRule="auto"/>
        <w:ind w:firstLine="1068" w:firstLineChars="445"/>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投标商供应商地址：</w:t>
      </w:r>
    </w:p>
    <w:p>
      <w:pPr>
        <w:snapToGrid w:val="0"/>
        <w:spacing w:before="120" w:beforeLines="50" w:after="50" w:line="360" w:lineRule="auto"/>
        <w:ind w:firstLine="1428" w:firstLineChars="595"/>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在  年  月  日  时  分之前不得启封</w:t>
      </w: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 w:val="30"/>
        </w:rPr>
        <w:t>2.资格文件目录</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（1）有效的营业执照、税务登记证、组织机构代码证或“三证合一”的营业执照或“五证合一”的营业执照（或事业单位法人证书）；</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（2）法定代表人身份证明书或其授权代理人的授权委托书及身份证明；</w:t>
      </w:r>
    </w:p>
    <w:p>
      <w:pPr>
        <w:widowControl/>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（3）授权代理人提供近三个月中任意一个月的社保证明；</w:t>
      </w:r>
    </w:p>
    <w:p>
      <w:pPr>
        <w:widowControl/>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（4）投标供应商最近三个月依法缴纳税收和社保费的证明[税费凭证，或者依法缴纳税费或依法免缴税费的证明]；</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（5）提供自招标公告发布之日起至投标截止日前任意时间的“信用中国”网站（www.creditchina.gov.cn）、中国政府采购网（www.ccgp.gov.cn）供应商信用查询网页截图（二者缺一不可）；</w:t>
      </w:r>
    </w:p>
    <w:p>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（6）信用承诺书；</w:t>
      </w:r>
    </w:p>
    <w:p>
      <w:pPr>
        <w:spacing w:line="360" w:lineRule="auto"/>
        <w:ind w:firstLine="480" w:firstLineChars="200"/>
        <w:rPr>
          <w:rFonts w:hint="eastAsia" w:ascii="方正仿宋_GB2312" w:hAnsi="方正仿宋_GB2312" w:eastAsia="方正仿宋_GB2312" w:cs="方正仿宋_GB2312"/>
          <w:b w:val="0"/>
          <w:sz w:val="24"/>
        </w:rPr>
      </w:pPr>
      <w:r>
        <w:rPr>
          <w:rFonts w:hint="eastAsia" w:ascii="方正仿宋_GB2312" w:hAnsi="方正仿宋_GB2312" w:eastAsia="方正仿宋_GB2312" w:cs="方正仿宋_GB2312"/>
          <w:b w:val="0"/>
          <w:sz w:val="24"/>
        </w:rPr>
        <w:t>（</w:t>
      </w:r>
      <w:r>
        <w:rPr>
          <w:rFonts w:hint="eastAsia" w:ascii="方正仿宋_GB2312" w:hAnsi="方正仿宋_GB2312" w:eastAsia="方正仿宋_GB2312" w:cs="方正仿宋_GB2312"/>
          <w:b w:val="0"/>
          <w:sz w:val="24"/>
          <w:lang w:val="en-US" w:eastAsia="zh-CN"/>
        </w:rPr>
        <w:t>7</w:t>
      </w:r>
      <w:r>
        <w:rPr>
          <w:rFonts w:hint="eastAsia" w:ascii="方正仿宋_GB2312" w:hAnsi="方正仿宋_GB2312" w:eastAsia="方正仿宋_GB2312" w:cs="方正仿宋_GB2312"/>
          <w:b w:val="0"/>
          <w:sz w:val="24"/>
        </w:rPr>
        <w:t>）联合体协议（格式自拟）（如有）。</w:t>
      </w:r>
    </w:p>
    <w:p>
      <w:pPr>
        <w:pStyle w:val="2"/>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line="360" w:lineRule="auto"/>
        <w:ind w:firstLine="482" w:firstLineChars="200"/>
        <w:jc w:val="center"/>
        <w:rPr>
          <w:rFonts w:ascii="宋体" w:hAnsi="宋体"/>
          <w:b/>
          <w:sz w:val="24"/>
        </w:rPr>
      </w:pPr>
    </w:p>
    <w:p>
      <w:pPr>
        <w:snapToGrid w:val="0"/>
        <w:spacing w:line="360" w:lineRule="auto"/>
        <w:ind w:firstLine="482" w:firstLineChars="200"/>
        <w:jc w:val="center"/>
        <w:rPr>
          <w:rFonts w:ascii="宋体" w:hAnsi="宋体"/>
          <w:b/>
          <w:sz w:val="24"/>
        </w:rPr>
      </w:pPr>
    </w:p>
    <w:p>
      <w:pPr>
        <w:pStyle w:val="232"/>
        <w:ind w:firstLine="482"/>
        <w:rPr>
          <w:rFonts w:ascii="宋体" w:hAnsi="宋体"/>
          <w:b/>
          <w:sz w:val="24"/>
        </w:rPr>
      </w:pPr>
    </w:p>
    <w:p>
      <w:pPr>
        <w:pStyle w:val="232"/>
        <w:ind w:firstLine="482"/>
        <w:rPr>
          <w:rFonts w:ascii="宋体" w:hAnsi="宋体"/>
          <w:b/>
          <w:sz w:val="24"/>
        </w:rPr>
      </w:pPr>
    </w:p>
    <w:p>
      <w:pPr>
        <w:pStyle w:val="232"/>
        <w:ind w:firstLine="482"/>
        <w:rPr>
          <w:rFonts w:ascii="宋体" w:hAnsi="宋体"/>
          <w:b/>
          <w:sz w:val="24"/>
        </w:rPr>
      </w:pPr>
    </w:p>
    <w:p>
      <w:pPr>
        <w:pStyle w:val="232"/>
        <w:ind w:firstLine="482"/>
        <w:rPr>
          <w:rFonts w:ascii="宋体" w:hAnsi="宋体"/>
          <w:b/>
          <w:sz w:val="24"/>
        </w:rPr>
      </w:pPr>
    </w:p>
    <w:p>
      <w:pPr>
        <w:pStyle w:val="232"/>
        <w:ind w:firstLine="482"/>
        <w:rPr>
          <w:rFonts w:ascii="宋体" w:hAnsi="宋体"/>
          <w:b/>
          <w:sz w:val="24"/>
        </w:rPr>
      </w:pPr>
    </w:p>
    <w:p>
      <w:pPr>
        <w:pStyle w:val="232"/>
        <w:ind w:firstLine="482"/>
        <w:rPr>
          <w:rFonts w:ascii="宋体" w:hAnsi="宋体"/>
          <w:b/>
          <w:sz w:val="24"/>
        </w:rPr>
      </w:pPr>
    </w:p>
    <w:p>
      <w:pPr>
        <w:pStyle w:val="232"/>
        <w:ind w:firstLine="482"/>
        <w:rPr>
          <w:rFonts w:ascii="宋体" w:hAnsi="宋体"/>
          <w:b/>
          <w:sz w:val="24"/>
        </w:rPr>
      </w:pPr>
    </w:p>
    <w:p>
      <w:pPr>
        <w:pStyle w:val="232"/>
        <w:ind w:firstLine="482"/>
        <w:rPr>
          <w:rFonts w:ascii="宋体" w:hAnsi="宋体"/>
          <w:b/>
          <w:sz w:val="24"/>
        </w:rPr>
      </w:pPr>
    </w:p>
    <w:p>
      <w:pPr>
        <w:snapToGrid w:val="0"/>
        <w:spacing w:line="360" w:lineRule="auto"/>
        <w:ind w:firstLine="0" w:firstLineChars="0"/>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
          <w:sz w:val="24"/>
        </w:rPr>
        <w:t>（1）有效的营业执照、税务登记证、组织机构代码证或“三证合一”的营业执照或“五证合一”的营业执照（或事业单位法人证书）</w:t>
      </w:r>
    </w:p>
    <w:p>
      <w:pPr>
        <w:snapToGrid w:val="0"/>
        <w:spacing w:line="360" w:lineRule="auto"/>
        <w:ind w:firstLine="480" w:firstLineChars="200"/>
        <w:jc w:val="center"/>
        <w:rPr>
          <w:rFonts w:hint="eastAsia" w:ascii="方正仿宋_GB2312" w:hAnsi="方正仿宋_GB2312" w:eastAsia="方正仿宋_GB2312" w:cs="方正仿宋_GB2312"/>
          <w:sz w:val="24"/>
        </w:rPr>
      </w:pPr>
    </w:p>
    <w:p>
      <w:pPr>
        <w:snapToGrid w:val="0"/>
        <w:spacing w:line="360" w:lineRule="auto"/>
        <w:ind w:firstLine="480" w:firstLineChars="200"/>
        <w:jc w:val="center"/>
        <w:rPr>
          <w:rFonts w:hint="eastAsia" w:ascii="方正仿宋_GB2312" w:hAnsi="方正仿宋_GB2312" w:eastAsia="方正仿宋_GB2312" w:cs="方正仿宋_GB2312"/>
          <w:sz w:val="24"/>
        </w:rPr>
      </w:pPr>
    </w:p>
    <w:p>
      <w:pPr>
        <w:snapToGrid w:val="0"/>
        <w:spacing w:line="360" w:lineRule="auto"/>
        <w:ind w:firstLine="480" w:firstLineChars="200"/>
        <w:jc w:val="center"/>
        <w:rPr>
          <w:rFonts w:hint="eastAsia" w:ascii="方正仿宋_GB2312" w:hAnsi="方正仿宋_GB2312" w:eastAsia="方正仿宋_GB2312" w:cs="方正仿宋_GB2312"/>
          <w:sz w:val="24"/>
        </w:rPr>
      </w:pPr>
    </w:p>
    <w:p>
      <w:pPr>
        <w:tabs>
          <w:tab w:val="left" w:pos="2594"/>
        </w:tabs>
        <w:snapToGrid w:val="0"/>
        <w:spacing w:line="360" w:lineRule="auto"/>
        <w:jc w:val="left"/>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（2）法定代表人身份证明书或其授权代理人的授权证书及身份证明</w:t>
      </w:r>
    </w:p>
    <w:p>
      <w:pPr>
        <w:snapToGrid w:val="0"/>
        <w:spacing w:line="360" w:lineRule="auto"/>
        <w:ind w:firstLine="482" w:firstLineChars="200"/>
        <w:jc w:val="center"/>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法定代表人有效身份证明书</w:t>
      </w:r>
    </w:p>
    <w:p>
      <w:pPr>
        <w:pStyle w:val="17"/>
        <w:spacing w:line="360" w:lineRule="auto"/>
        <w:ind w:firstLine="511" w:firstLineChars="156"/>
        <w:jc w:val="center"/>
        <w:rPr>
          <w:rFonts w:hint="eastAsia" w:ascii="方正仿宋_GB2312" w:hAnsi="方正仿宋_GB2312" w:eastAsia="方正仿宋_GB2312" w:cs="方正仿宋_GB2312"/>
          <w:bCs/>
          <w:spacing w:val="24"/>
          <w:sz w:val="28"/>
          <w:szCs w:val="28"/>
        </w:rPr>
      </w:pPr>
    </w:p>
    <w:p>
      <w:pPr>
        <w:pStyle w:val="17"/>
        <w:spacing w:line="360" w:lineRule="auto"/>
        <w:ind w:firstLine="449" w:firstLineChars="156"/>
        <w:jc w:val="center"/>
        <w:rPr>
          <w:rFonts w:hint="eastAsia" w:ascii="方正仿宋_GB2312" w:hAnsi="方正仿宋_GB2312" w:eastAsia="方正仿宋_GB2312" w:cs="方正仿宋_GB2312"/>
          <w:bCs/>
          <w:spacing w:val="24"/>
          <w:sz w:val="24"/>
          <w:szCs w:val="24"/>
        </w:rPr>
      </w:pPr>
    </w:p>
    <w:p>
      <w:pPr>
        <w:pStyle w:val="17"/>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（姓名）是（单位全称）的法定代表人，身份证号码为。</w:t>
      </w:r>
    </w:p>
    <w:p>
      <w:pPr>
        <w:pStyle w:val="17"/>
        <w:spacing w:line="360" w:lineRule="auto"/>
        <w:ind w:firstLine="374" w:firstLineChars="156"/>
        <w:rPr>
          <w:rFonts w:hint="eastAsia" w:ascii="方正仿宋_GB2312" w:hAnsi="方正仿宋_GB2312" w:eastAsia="方正仿宋_GB2312" w:cs="方正仿宋_GB2312"/>
          <w:sz w:val="24"/>
          <w:szCs w:val="24"/>
        </w:rPr>
      </w:pPr>
    </w:p>
    <w:p>
      <w:pPr>
        <w:pStyle w:val="17"/>
        <w:spacing w:line="360" w:lineRule="auto"/>
        <w:ind w:firstLine="374" w:firstLineChars="156"/>
        <w:rPr>
          <w:rFonts w:hint="eastAsia" w:ascii="方正仿宋_GB2312" w:hAnsi="方正仿宋_GB2312" w:eastAsia="方正仿宋_GB2312" w:cs="方正仿宋_GB2312"/>
          <w:sz w:val="24"/>
          <w:szCs w:val="24"/>
        </w:rPr>
      </w:pPr>
    </w:p>
    <w:p>
      <w:pPr>
        <w:pStyle w:val="17"/>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特此证明</w:t>
      </w:r>
    </w:p>
    <w:p>
      <w:pPr>
        <w:pStyle w:val="17"/>
        <w:spacing w:line="360" w:lineRule="auto"/>
        <w:ind w:firstLine="374" w:firstLineChars="156"/>
        <w:rPr>
          <w:rFonts w:hint="eastAsia" w:ascii="方正仿宋_GB2312" w:hAnsi="方正仿宋_GB2312" w:eastAsia="方正仿宋_GB2312" w:cs="方正仿宋_GB2312"/>
          <w:sz w:val="24"/>
          <w:szCs w:val="24"/>
        </w:rPr>
      </w:pPr>
    </w:p>
    <w:p>
      <w:pPr>
        <w:pStyle w:val="17"/>
        <w:spacing w:line="360" w:lineRule="auto"/>
        <w:ind w:firstLine="374" w:firstLineChars="156"/>
        <w:rPr>
          <w:rFonts w:hint="eastAsia" w:ascii="方正仿宋_GB2312" w:hAnsi="方正仿宋_GB2312" w:eastAsia="方正仿宋_GB2312" w:cs="方正仿宋_GB2312"/>
          <w:sz w:val="24"/>
          <w:szCs w:val="24"/>
        </w:rPr>
      </w:pPr>
    </w:p>
    <w:p>
      <w:pPr>
        <w:pStyle w:val="17"/>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投标供应商：（盖章）</w:t>
      </w:r>
    </w:p>
    <w:p>
      <w:pPr>
        <w:pStyle w:val="17"/>
        <w:spacing w:line="360" w:lineRule="auto"/>
        <w:ind w:firstLine="374" w:firstLineChars="156"/>
        <w:rPr>
          <w:rFonts w:hint="eastAsia" w:ascii="方正仿宋_GB2312" w:hAnsi="方正仿宋_GB2312" w:eastAsia="方正仿宋_GB2312" w:cs="方正仿宋_GB2312"/>
          <w:sz w:val="24"/>
          <w:szCs w:val="24"/>
        </w:rPr>
      </w:pPr>
    </w:p>
    <w:p>
      <w:pPr>
        <w:pStyle w:val="17"/>
        <w:spacing w:line="360" w:lineRule="auto"/>
        <w:ind w:firstLine="3012" w:firstLineChars="125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法定代表人或其授权代理人（签字或盖章）</w:t>
      </w:r>
    </w:p>
    <w:p>
      <w:pPr>
        <w:pStyle w:val="17"/>
        <w:spacing w:line="360" w:lineRule="auto"/>
        <w:ind w:firstLine="374" w:firstLineChars="156"/>
        <w:jc w:val="center"/>
        <w:rPr>
          <w:rFonts w:hint="eastAsia" w:ascii="方正仿宋_GB2312" w:hAnsi="方正仿宋_GB2312" w:eastAsia="方正仿宋_GB2312" w:cs="方正仿宋_GB2312"/>
          <w:sz w:val="24"/>
          <w:szCs w:val="24"/>
        </w:rPr>
      </w:pPr>
    </w:p>
    <w:p>
      <w:pPr>
        <w:pStyle w:val="17"/>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日期：    年   月   日</w:t>
      </w:r>
    </w:p>
    <w:p>
      <w:pPr>
        <w:pStyle w:val="17"/>
        <w:spacing w:line="360" w:lineRule="auto"/>
        <w:ind w:firstLine="374" w:firstLineChars="156"/>
        <w:jc w:val="center"/>
        <w:rPr>
          <w:rFonts w:hint="eastAsia" w:ascii="方正仿宋_GB2312" w:hAnsi="方正仿宋_GB2312" w:eastAsia="方正仿宋_GB2312" w:cs="方正仿宋_GB2312"/>
          <w:sz w:val="24"/>
          <w:szCs w:val="24"/>
        </w:rPr>
      </w:pPr>
    </w:p>
    <w:p>
      <w:pPr>
        <w:pStyle w:val="17"/>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pPr>
        <w:pStyle w:val="17"/>
        <w:spacing w:line="360" w:lineRule="auto"/>
        <w:ind w:firstLine="0"/>
        <w:rPr>
          <w:rFonts w:hint="eastAsia" w:ascii="方正仿宋_GB2312" w:hAnsi="方正仿宋_GB2312" w:eastAsia="方正仿宋_GB2312" w:cs="方正仿宋_GB2312"/>
          <w:sz w:val="24"/>
          <w:szCs w:val="24"/>
        </w:rPr>
      </w:pPr>
    </w:p>
    <w:p>
      <w:pPr>
        <w:pStyle w:val="17"/>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有效身份证明复印件粘贴处</w:t>
      </w:r>
    </w:p>
    <w:p>
      <w:pPr>
        <w:widowControl/>
        <w:tabs>
          <w:tab w:val="left" w:pos="801"/>
        </w:tabs>
        <w:spacing w:line="360" w:lineRule="auto"/>
        <w:ind w:firstLine="482" w:firstLineChars="200"/>
        <w:jc w:val="center"/>
        <w:rPr>
          <w:rFonts w:hint="eastAsia" w:ascii="方正仿宋_GB2312" w:hAnsi="方正仿宋_GB2312" w:eastAsia="方正仿宋_GB2312" w:cs="方正仿宋_GB2312"/>
          <w:b/>
          <w:sz w:val="24"/>
        </w:rPr>
      </w:pPr>
    </w:p>
    <w:p>
      <w:pPr>
        <w:widowControl/>
        <w:tabs>
          <w:tab w:val="left" w:pos="801"/>
        </w:tabs>
        <w:spacing w:line="360" w:lineRule="auto"/>
        <w:ind w:firstLine="482" w:firstLineChars="200"/>
        <w:jc w:val="center"/>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sz w:val="24"/>
        </w:rPr>
        <w:t>法定代表人授权书及授权人身份证</w:t>
      </w:r>
    </w:p>
    <w:p>
      <w:pPr>
        <w:snapToGrid w:val="0"/>
        <w:spacing w:before="120" w:beforeLines="50" w:after="50" w:line="360" w:lineRule="auto"/>
        <w:rPr>
          <w:rFonts w:hint="eastAsia" w:ascii="方正仿宋_GB2312" w:hAnsi="方正仿宋_GB2312" w:eastAsia="方正仿宋_GB2312" w:cs="方正仿宋_GB2312"/>
          <w:bCs/>
          <w:sz w:val="24"/>
        </w:rPr>
      </w:pPr>
    </w:p>
    <w:p>
      <w:pPr>
        <w:snapToGrid w:val="0"/>
        <w:spacing w:before="120" w:beforeLines="50" w:after="50" w:line="360" w:lineRule="auto"/>
        <w:rPr>
          <w:rFonts w:hint="eastAsia" w:ascii="方正仿宋_GB2312" w:hAnsi="方正仿宋_GB2312" w:eastAsia="方正仿宋_GB2312" w:cs="方正仿宋_GB2312"/>
          <w:b/>
          <w:bCs/>
          <w:sz w:val="24"/>
          <w:szCs w:val="20"/>
        </w:rPr>
      </w:pPr>
      <w:r>
        <w:rPr>
          <w:rFonts w:hint="eastAsia" w:ascii="方正仿宋_GB2312" w:hAnsi="方正仿宋_GB2312" w:eastAsia="方正仿宋_GB2312" w:cs="方正仿宋_GB2312"/>
          <w:bCs/>
          <w:sz w:val="24"/>
        </w:rPr>
        <w:t>致：</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b/>
          <w:bCs/>
          <w:sz w:val="24"/>
        </w:rPr>
        <w:t xml:space="preserve"> </w:t>
      </w:r>
      <w:r>
        <w:rPr>
          <w:rFonts w:hint="eastAsia" w:ascii="方正仿宋_GB2312" w:hAnsi="方正仿宋_GB2312" w:eastAsia="方正仿宋_GB2312" w:cs="方正仿宋_GB2312"/>
          <w:sz w:val="24"/>
        </w:rPr>
        <w:t>：</w:t>
      </w:r>
    </w:p>
    <w:p>
      <w:pPr>
        <w:snapToGrid w:val="0"/>
        <w:spacing w:before="120" w:beforeLines="50" w:after="50" w:line="360" w:lineRule="auto"/>
        <w:ind w:firstLine="720" w:firstLineChars="3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（姓名）系</w:t>
      </w: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 xml:space="preserve">（投标供应商名称）的法定代表人，现授权委托本单位在职职工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（姓名）以我方的名义参加</w:t>
      </w:r>
      <w:r>
        <w:rPr>
          <w:rFonts w:hint="eastAsia" w:ascii="方正仿宋_GB2312" w:hAnsi="方正仿宋_GB2312" w:eastAsia="方正仿宋_GB2312" w:cs="方正仿宋_GB2312"/>
          <w:sz w:val="24"/>
          <w:u w:val="single"/>
        </w:rPr>
        <w:t>湖州市医疗保障局疾病相关分组（DRGS）结合点数法医保支付专业化服务项目</w:t>
      </w:r>
      <w:r>
        <w:rPr>
          <w:rFonts w:hint="eastAsia" w:ascii="方正仿宋_GB2312" w:hAnsi="方正仿宋_GB2312" w:eastAsia="方正仿宋_GB2312" w:cs="方正仿宋_GB2312"/>
          <w:sz w:val="24"/>
        </w:rPr>
        <w:t>的投标活动，并代表我方全权办理针对上述项目的投标、开标、评标、签约等具体事务和签署相关文件。</w:t>
      </w:r>
    </w:p>
    <w:p>
      <w:pPr>
        <w:snapToGrid w:val="0"/>
        <w:spacing w:before="120" w:beforeLines="50" w:after="50"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 xml:space="preserve">    我方对被授权人的签名事项负全部责任。</w:t>
      </w:r>
    </w:p>
    <w:p>
      <w:pPr>
        <w:snapToGrid w:val="0"/>
        <w:spacing w:before="120" w:beforeLines="50" w:after="50" w:line="360" w:lineRule="auto"/>
        <w:ind w:firstLine="48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u w:val="single"/>
        </w:rPr>
        <w:t>在撤销授权的书面通知以前，本授权书一直有效。</w:t>
      </w:r>
      <w:r>
        <w:rPr>
          <w:rFonts w:hint="eastAsia" w:ascii="方正仿宋_GB2312" w:hAnsi="方正仿宋_GB2312" w:eastAsia="方正仿宋_GB2312" w:cs="方正仿宋_GB2312"/>
          <w:sz w:val="24"/>
        </w:rPr>
        <w:t>被授权人在授权书有效期内签署的所有文件不因授权的撤销而失效。</w:t>
      </w:r>
    </w:p>
    <w:p>
      <w:pPr>
        <w:snapToGrid w:val="0"/>
        <w:spacing w:before="120" w:beforeLines="50" w:after="50" w:line="360" w:lineRule="auto"/>
        <w:ind w:firstLine="48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被授权人无转委托权，特此委托。</w:t>
      </w:r>
    </w:p>
    <w:p>
      <w:pPr>
        <w:snapToGrid w:val="0"/>
        <w:spacing w:before="120" w:beforeLines="50" w:after="50" w:line="360" w:lineRule="auto"/>
        <w:rPr>
          <w:rFonts w:hint="eastAsia" w:ascii="方正仿宋_GB2312" w:hAnsi="方正仿宋_GB2312" w:eastAsia="方正仿宋_GB2312" w:cs="方正仿宋_GB2312"/>
          <w:sz w:val="24"/>
          <w:szCs w:val="20"/>
        </w:rPr>
      </w:pPr>
    </w:p>
    <w:p>
      <w:pPr>
        <w:snapToGrid w:val="0"/>
        <w:spacing w:before="120" w:beforeLines="50" w:after="50" w:line="360" w:lineRule="auto"/>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被授权人签字或盖章：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法定代表人签字或盖章：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napToGrid w:val="0"/>
        <w:spacing w:before="120" w:beforeLines="50" w:after="50" w:line="360" w:lineRule="auto"/>
        <w:ind w:firstLine="960" w:firstLineChars="4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职务：</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职务：</w:t>
      </w:r>
      <w:r>
        <w:rPr>
          <w:rFonts w:hint="eastAsia" w:ascii="方正仿宋_GB2312" w:hAnsi="方正仿宋_GB2312" w:eastAsia="方正仿宋_GB2312" w:cs="方正仿宋_GB2312"/>
          <w:sz w:val="24"/>
          <w:u w:val="single"/>
        </w:rPr>
        <w:t xml:space="preserve">           </w:t>
      </w:r>
    </w:p>
    <w:p>
      <w:pPr>
        <w:snapToGrid w:val="0"/>
        <w:spacing w:before="120" w:beforeLines="50" w:after="50"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被授权人身份证号码：</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napToGrid w:val="0"/>
        <w:spacing w:before="120" w:beforeLines="50" w:after="5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投标供应商公章：</w:t>
      </w:r>
    </w:p>
    <w:p>
      <w:pPr>
        <w:pStyle w:val="17"/>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pPr>
        <w:pStyle w:val="17"/>
        <w:spacing w:line="360" w:lineRule="auto"/>
        <w:ind w:firstLine="374" w:firstLineChars="156"/>
        <w:jc w:val="center"/>
        <w:rPr>
          <w:rFonts w:hint="eastAsia" w:ascii="方正仿宋_GB2312" w:hAnsi="方正仿宋_GB2312" w:eastAsia="方正仿宋_GB2312" w:cs="方正仿宋_GB2312"/>
          <w:sz w:val="24"/>
          <w:szCs w:val="24"/>
        </w:rPr>
      </w:pPr>
    </w:p>
    <w:p>
      <w:pPr>
        <w:pStyle w:val="17"/>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授权代理人有效身份证明复印件粘贴处</w:t>
      </w:r>
    </w:p>
    <w:p>
      <w:pPr>
        <w:snapToGrid w:val="0"/>
        <w:spacing w:before="120" w:beforeLines="50" w:after="50" w:line="360" w:lineRule="auto"/>
        <w:rPr>
          <w:rFonts w:hint="eastAsia" w:ascii="方正仿宋_GB2312" w:hAnsi="方正仿宋_GB2312" w:eastAsia="方正仿宋_GB2312" w:cs="方正仿宋_GB2312"/>
          <w:sz w:val="24"/>
        </w:rPr>
      </w:pPr>
    </w:p>
    <w:p>
      <w:pPr>
        <w:snapToGrid w:val="0"/>
        <w:spacing w:before="120" w:beforeLines="50" w:after="50" w:line="360" w:lineRule="auto"/>
        <w:rPr>
          <w:rFonts w:hint="eastAsia" w:ascii="方正仿宋_GB2312" w:hAnsi="方正仿宋_GB2312" w:eastAsia="方正仿宋_GB2312" w:cs="方正仿宋_GB2312"/>
          <w:sz w:val="24"/>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p>
    <w:p>
      <w:pPr>
        <w:widowControl/>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（3）授权代理人提供近三个月中任意一个月的社保证明</w:t>
      </w:r>
    </w:p>
    <w:p>
      <w:pPr>
        <w:snapToGrid w:val="0"/>
        <w:spacing w:line="360" w:lineRule="auto"/>
        <w:ind w:firstLine="482" w:firstLineChars="200"/>
        <w:jc w:val="center"/>
        <w:rPr>
          <w:rFonts w:hint="eastAsia" w:ascii="方正仿宋_GB2312" w:hAnsi="方正仿宋_GB2312" w:eastAsia="方正仿宋_GB2312" w:cs="方正仿宋_GB2312"/>
          <w:b/>
          <w:sz w:val="24"/>
        </w:rPr>
      </w:pPr>
    </w:p>
    <w:p>
      <w:pPr>
        <w:pStyle w:val="17"/>
        <w:spacing w:line="360" w:lineRule="auto"/>
        <w:rPr>
          <w:rFonts w:hint="eastAsia" w:ascii="方正仿宋_GB2312" w:hAnsi="方正仿宋_GB2312" w:eastAsia="方正仿宋_GB2312" w:cs="方正仿宋_GB2312"/>
          <w:b/>
          <w:sz w:val="24"/>
        </w:rPr>
      </w:pPr>
    </w:p>
    <w:p>
      <w:pPr>
        <w:spacing w:line="360" w:lineRule="auto"/>
        <w:rPr>
          <w:rFonts w:hint="eastAsia" w:ascii="方正仿宋_GB2312" w:hAnsi="方正仿宋_GB2312" w:eastAsia="方正仿宋_GB2312" w:cs="方正仿宋_GB2312"/>
          <w:b/>
          <w:sz w:val="24"/>
        </w:rPr>
      </w:pPr>
    </w:p>
    <w:p>
      <w:pPr>
        <w:pStyle w:val="17"/>
        <w:spacing w:line="360" w:lineRule="auto"/>
        <w:rPr>
          <w:rFonts w:hint="eastAsia" w:ascii="方正仿宋_GB2312" w:hAnsi="方正仿宋_GB2312" w:eastAsia="方正仿宋_GB2312" w:cs="方正仿宋_GB2312"/>
          <w:b/>
          <w:sz w:val="24"/>
        </w:rPr>
      </w:pPr>
    </w:p>
    <w:p>
      <w:pPr>
        <w:spacing w:line="360" w:lineRule="auto"/>
        <w:rPr>
          <w:rFonts w:hint="eastAsia" w:ascii="方正仿宋_GB2312" w:hAnsi="方正仿宋_GB2312" w:eastAsia="方正仿宋_GB2312" w:cs="方正仿宋_GB2312"/>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（4）最近三个月依法缴纳税收和社保费的证明</w:t>
      </w:r>
    </w:p>
    <w:p>
      <w:pPr>
        <w:snapToGrid w:val="0"/>
        <w:spacing w:line="360" w:lineRule="auto"/>
        <w:ind w:firstLine="480" w:firstLineChars="200"/>
        <w:jc w:val="center"/>
        <w:rPr>
          <w:rFonts w:hint="eastAsia" w:ascii="方正仿宋_GB2312" w:hAnsi="方正仿宋_GB2312" w:eastAsia="方正仿宋_GB2312" w:cs="方正仿宋_GB2312"/>
          <w:sz w:val="24"/>
        </w:rPr>
      </w:pPr>
    </w:p>
    <w:p>
      <w:pPr>
        <w:snapToGrid w:val="0"/>
        <w:spacing w:line="360" w:lineRule="auto"/>
        <w:ind w:firstLine="480" w:firstLineChars="20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[税费凭证，或者依法缴纳税费或依法免缴税费的证明（格式自拟）]</w:t>
      </w:r>
    </w:p>
    <w:p>
      <w:pPr>
        <w:tabs>
          <w:tab w:val="left" w:pos="2055"/>
          <w:tab w:val="center" w:pos="4394"/>
        </w:tabs>
        <w:snapToGrid w:val="0"/>
        <w:spacing w:line="360" w:lineRule="auto"/>
        <w:jc w:val="left"/>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p>
    <w:p>
      <w:pPr>
        <w:snapToGrid w:val="0"/>
        <w:spacing w:line="360" w:lineRule="auto"/>
        <w:rPr>
          <w:rFonts w:hint="eastAsia" w:ascii="方正仿宋_GB2312" w:hAnsi="方正仿宋_GB2312" w:eastAsia="方正仿宋_GB2312" w:cs="方正仿宋_GB2312"/>
          <w:b/>
          <w:sz w:val="24"/>
        </w:rPr>
      </w:pPr>
    </w:p>
    <w:p>
      <w:pPr>
        <w:snapToGrid w:val="0"/>
        <w:spacing w:line="360" w:lineRule="auto"/>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5）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24"/>
        </w:rPr>
      </w:pPr>
    </w:p>
    <w:p>
      <w:pPr>
        <w:snapToGrid w:val="0"/>
        <w:spacing w:before="120" w:beforeLines="50" w:after="50" w:line="360" w:lineRule="auto"/>
        <w:rPr>
          <w:rFonts w:hint="eastAsia" w:ascii="方正仿宋_GB2312" w:hAnsi="方正仿宋_GB2312" w:eastAsia="方正仿宋_GB2312" w:cs="方正仿宋_GB2312"/>
          <w:b/>
          <w:sz w:val="24"/>
        </w:rPr>
      </w:pPr>
    </w:p>
    <w:p>
      <w:pPr>
        <w:snapToGrid w:val="0"/>
        <w:spacing w:line="360" w:lineRule="auto"/>
        <w:ind w:firstLine="482" w:firstLineChars="200"/>
        <w:jc w:val="center"/>
        <w:rPr>
          <w:rFonts w:hint="eastAsia" w:ascii="方正仿宋_GB2312" w:hAnsi="方正仿宋_GB2312" w:eastAsia="方正仿宋_GB2312" w:cs="方正仿宋_GB2312"/>
          <w:b/>
          <w:bCs/>
          <w:sz w:val="24"/>
        </w:rPr>
      </w:pPr>
    </w:p>
    <w:p>
      <w:pPr>
        <w:pStyle w:val="60"/>
        <w:ind w:firstLine="464"/>
        <w:rPr>
          <w:rFonts w:hint="eastAsia" w:ascii="方正仿宋_GB2312" w:hAnsi="方正仿宋_GB2312" w:eastAsia="方正仿宋_GB2312" w:cs="方正仿宋_GB2312"/>
        </w:rPr>
      </w:pPr>
    </w:p>
    <w:p>
      <w:pPr>
        <w:snapToGrid w:val="0"/>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 xml:space="preserve">（6）信用承诺书 </w:t>
      </w:r>
    </w:p>
    <w:p>
      <w:pPr>
        <w:snapToGrid w:val="0"/>
        <w:spacing w:line="360" w:lineRule="auto"/>
        <w:rPr>
          <w:rFonts w:hint="eastAsia" w:ascii="方正仿宋_GB2312" w:hAnsi="方正仿宋_GB2312" w:eastAsia="方正仿宋_GB2312" w:cs="方正仿宋_GB2312"/>
          <w:b/>
          <w:bCs/>
          <w:sz w:val="24"/>
        </w:rPr>
      </w:pP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（投标单位）现参加（采购项目）政府采购活动，郑重承诺如下：</w:t>
      </w: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对所提供的资料合法性、真实性、准确性和有效性负责；</w:t>
      </w: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严格按照国家法律法规和规章，依法开展相关经济活动，全面履行应尽的责任和义务；</w:t>
      </w: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加强自我约束、自我规范、自我管理，不制假售假、不虚假宣传、不违约毁约、不恶意逃债、不偷税漏税，诚信依法经营；</w:t>
      </w: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自愿接受行政主管部门的依法检查、违背承诺约定将自愿承担违约责任，并接受法律法规和相关部门规章制度的惩戒和约束；</w:t>
      </w: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360" w:lineRule="auto"/>
        <w:ind w:firstLine="504" w:firstLineChars="200"/>
        <w:rPr>
          <w:rFonts w:hint="eastAsia" w:ascii="方正仿宋_GB2312" w:hAnsi="方正仿宋_GB2312" w:eastAsia="方正仿宋_GB2312" w:cs="方正仿宋_GB2312"/>
          <w:spacing w:val="6"/>
          <w:sz w:val="24"/>
        </w:rPr>
      </w:pPr>
    </w:p>
    <w:p>
      <w:pPr>
        <w:spacing w:line="360" w:lineRule="auto"/>
        <w:ind w:firstLine="504" w:firstLineChars="200"/>
        <w:rPr>
          <w:rFonts w:hint="eastAsia" w:ascii="方正仿宋_GB2312" w:hAnsi="方正仿宋_GB2312" w:eastAsia="方正仿宋_GB2312" w:cs="方正仿宋_GB2312"/>
          <w:spacing w:val="6"/>
          <w:sz w:val="24"/>
        </w:rPr>
      </w:pP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统一社会信用代码：</w:t>
      </w:r>
    </w:p>
    <w:p>
      <w:pPr>
        <w:spacing w:line="360" w:lineRule="auto"/>
        <w:ind w:firstLine="504" w:firstLineChars="200"/>
        <w:rPr>
          <w:rFonts w:hint="eastAsia" w:ascii="方正仿宋_GB2312" w:hAnsi="方正仿宋_GB2312" w:eastAsia="方正仿宋_GB2312" w:cs="方正仿宋_GB2312"/>
          <w:spacing w:val="6"/>
          <w:sz w:val="24"/>
        </w:rPr>
      </w:pPr>
    </w:p>
    <w:p>
      <w:pPr>
        <w:spacing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承诺单位/个人（盖章/签名）</w:t>
      </w:r>
    </w:p>
    <w:p>
      <w:pPr>
        <w:snapToGrid w:val="0"/>
        <w:spacing w:line="360" w:lineRule="auto"/>
        <w:ind w:firstLine="504" w:firstLineChars="200"/>
        <w:jc w:val="lef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时间：20  年  月  日</w:t>
      </w:r>
    </w:p>
    <w:p>
      <w:pPr>
        <w:snapToGrid w:val="0"/>
        <w:spacing w:line="360" w:lineRule="auto"/>
        <w:ind w:firstLine="504" w:firstLineChars="200"/>
        <w:jc w:val="left"/>
        <w:rPr>
          <w:rFonts w:hint="eastAsia" w:ascii="方正仿宋_GB2312" w:hAnsi="方正仿宋_GB2312" w:eastAsia="方正仿宋_GB2312" w:cs="方正仿宋_GB2312"/>
          <w:spacing w:val="6"/>
          <w:sz w:val="24"/>
        </w:rPr>
      </w:pPr>
    </w:p>
    <w:p>
      <w:pPr>
        <w:snapToGrid w:val="0"/>
        <w:spacing w:line="360" w:lineRule="auto"/>
        <w:ind w:firstLine="504" w:firstLineChars="200"/>
        <w:jc w:val="left"/>
        <w:rPr>
          <w:rFonts w:hint="eastAsia" w:ascii="方正仿宋_GB2312" w:hAnsi="方正仿宋_GB2312" w:eastAsia="方正仿宋_GB2312" w:cs="方正仿宋_GB2312"/>
          <w:spacing w:val="6"/>
          <w:sz w:val="24"/>
        </w:rPr>
      </w:pPr>
    </w:p>
    <w:p>
      <w:pPr>
        <w:snapToGrid w:val="0"/>
        <w:spacing w:line="360" w:lineRule="auto"/>
        <w:ind w:firstLine="504" w:firstLineChars="200"/>
        <w:jc w:val="left"/>
        <w:rPr>
          <w:rFonts w:hint="eastAsia" w:ascii="方正仿宋_GB2312" w:hAnsi="方正仿宋_GB2312" w:eastAsia="方正仿宋_GB2312" w:cs="方正仿宋_GB2312"/>
          <w:spacing w:val="6"/>
          <w:sz w:val="24"/>
        </w:rPr>
      </w:pPr>
    </w:p>
    <w:p>
      <w:pPr>
        <w:spacing w:line="360" w:lineRule="auto"/>
        <w:ind w:firstLine="480" w:firstLineChars="200"/>
        <w:jc w:val="center"/>
        <w:rPr>
          <w:rFonts w:hint="eastAsia" w:ascii="方正仿宋_GB2312" w:hAnsi="方正仿宋_GB2312" w:eastAsia="方正仿宋_GB2312" w:cs="方正仿宋_GB2312"/>
          <w:b w:val="0"/>
          <w:sz w:val="24"/>
        </w:rPr>
      </w:pPr>
    </w:p>
    <w:p>
      <w:pPr>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w:t>
      </w:r>
      <w:r>
        <w:rPr>
          <w:rFonts w:hint="eastAsia" w:ascii="方正仿宋_GB2312" w:hAnsi="方正仿宋_GB2312" w:eastAsia="方正仿宋_GB2312" w:cs="方正仿宋_GB2312"/>
          <w:b/>
          <w:bCs/>
          <w:sz w:val="24"/>
          <w:lang w:val="en-US" w:eastAsia="zh-CN"/>
        </w:rPr>
        <w:t>7</w:t>
      </w:r>
      <w:r>
        <w:rPr>
          <w:rFonts w:hint="eastAsia" w:ascii="方正仿宋_GB2312" w:hAnsi="方正仿宋_GB2312" w:eastAsia="方正仿宋_GB2312" w:cs="方正仿宋_GB2312"/>
          <w:b/>
          <w:bCs/>
          <w:sz w:val="24"/>
        </w:rPr>
        <w:t>）联合体协议（格式自拟）（如有）。</w:t>
      </w:r>
    </w:p>
    <w:p>
      <w:pPr>
        <w:spacing w:line="360" w:lineRule="auto"/>
        <w:ind w:firstLine="602" w:firstLineChars="200"/>
        <w:rPr>
          <w:rFonts w:hint="eastAsia" w:ascii="方正仿宋_GB2312" w:hAnsi="方正仿宋_GB2312" w:eastAsia="方正仿宋_GB2312" w:cs="方正仿宋_GB2312"/>
          <w:b/>
          <w:sz w:val="30"/>
        </w:rPr>
        <w:sectPr>
          <w:headerReference r:id="rId5" w:type="default"/>
          <w:footerReference r:id="rId6" w:type="default"/>
          <w:pgSz w:w="11906" w:h="16838"/>
          <w:pgMar w:top="1417" w:right="1474" w:bottom="1417" w:left="1474" w:header="850" w:footer="907" w:gutter="0"/>
          <w:pgNumType w:start="1"/>
          <w:cols w:space="720" w:num="1"/>
          <w:docGrid w:linePitch="312" w:charSpace="0"/>
        </w:sectPr>
      </w:pPr>
    </w:p>
    <w:p>
      <w:pPr>
        <w:snapToGrid w:val="0"/>
        <w:spacing w:before="120" w:beforeLines="50" w:after="50" w:line="360" w:lineRule="auto"/>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 w:val="30"/>
        </w:rPr>
        <w:t>3.技术文件目录</w:t>
      </w:r>
    </w:p>
    <w:p>
      <w:pPr>
        <w:spacing w:line="360" w:lineRule="auto"/>
        <w:ind w:firstLine="480"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（1）评分索引表（格式见附件，主要用于评审委员会对应评分内容，包括商务部分、技术部分）</w:t>
      </w:r>
      <w:r>
        <w:rPr>
          <w:rFonts w:hint="eastAsia" w:ascii="方正仿宋_GB2312" w:hAnsi="方正仿宋_GB2312" w:eastAsia="方正仿宋_GB2312" w:cs="方正仿宋_GB2312"/>
          <w:bCs/>
          <w:sz w:val="24"/>
        </w:rPr>
        <w:t>；</w:t>
      </w:r>
    </w:p>
    <w:p>
      <w:pPr>
        <w:widowControl/>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r>
        <w:rPr>
          <w:rFonts w:hint="eastAsia" w:ascii="方正仿宋_GB2312" w:hAnsi="方正仿宋_GB2312" w:eastAsia="方正仿宋_GB2312" w:cs="方正仿宋_GB2312"/>
          <w:color w:val="000000"/>
          <w:sz w:val="24"/>
        </w:rPr>
        <w:t>服务方案；</w:t>
      </w:r>
    </w:p>
    <w:p>
      <w:pPr>
        <w:widowControl/>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color w:val="000000"/>
          <w:sz w:val="24"/>
        </w:rPr>
        <w:t>实施方案；</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（4）项目实施人员；</w:t>
      </w:r>
    </w:p>
    <w:p>
      <w:pPr>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（5）安全要求承诺书（格式自拟）；</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w:t>
      </w:r>
      <w:r>
        <w:rPr>
          <w:rFonts w:hint="eastAsia" w:ascii="方正仿宋_GB2312" w:hAnsi="方正仿宋_GB2312" w:eastAsia="方正仿宋_GB2312" w:cs="方正仿宋_GB2312"/>
          <w:color w:val="000000"/>
          <w:sz w:val="24"/>
          <w:lang w:val="en-US" w:eastAsia="zh-CN"/>
        </w:rPr>
        <w:t>6</w:t>
      </w:r>
      <w:r>
        <w:rPr>
          <w:rFonts w:hint="eastAsia" w:ascii="方正仿宋_GB2312" w:hAnsi="方正仿宋_GB2312" w:eastAsia="方正仿宋_GB2312" w:cs="方正仿宋_GB2312"/>
          <w:color w:val="000000"/>
          <w:sz w:val="24"/>
        </w:rPr>
        <w:t>）供应商认为需要的其他文件资料</w:t>
      </w:r>
      <w:r>
        <w:rPr>
          <w:rFonts w:hint="eastAsia" w:ascii="方正仿宋_GB2312" w:hAnsi="方正仿宋_GB2312" w:eastAsia="方正仿宋_GB2312" w:cs="方正仿宋_GB2312"/>
          <w:sz w:val="24"/>
        </w:rPr>
        <w:t>。</w:t>
      </w: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p>
    <w:p>
      <w:pPr>
        <w:spacing w:line="360" w:lineRule="auto"/>
        <w:ind w:firstLine="482"/>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(1)评分索引表</w:t>
      </w:r>
    </w:p>
    <w:p>
      <w:pPr>
        <w:pStyle w:val="18"/>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投标供应商全称（公章）：             </w:t>
      </w:r>
    </w:p>
    <w:tbl>
      <w:tblPr>
        <w:tblStyle w:val="61"/>
        <w:tblpPr w:leftFromText="180" w:rightFromText="180" w:vertAnchor="text" w:horzAnchor="page" w:tblpX="1297" w:tblpY="48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40"/>
        <w:gridCol w:w="3080"/>
        <w:gridCol w:w="1317"/>
        <w:gridCol w:w="1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评分项目</w:t>
            </w:r>
          </w:p>
        </w:tc>
        <w:tc>
          <w:tcPr>
            <w:tcW w:w="3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投标文件对应资料</w:t>
            </w: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自评分</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对应第四章评分办法及评分标准（报价除外）</w:t>
            </w: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方正仿宋_GB2312" w:hAnsi="方正仿宋_GB2312" w:eastAsia="方正仿宋_GB2312" w:cs="方正仿宋_GB2312"/>
                <w:sz w:val="24"/>
              </w:rPr>
            </w:pPr>
          </w:p>
        </w:tc>
        <w:tc>
          <w:tcPr>
            <w:tcW w:w="308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rPr>
            </w:pPr>
          </w:p>
        </w:tc>
      </w:tr>
    </w:tbl>
    <w:p>
      <w:pPr>
        <w:snapToGrid w:val="0"/>
        <w:spacing w:before="120" w:beforeLines="5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授权代表签名：               日期：</w:t>
      </w:r>
    </w:p>
    <w:p>
      <w:pPr>
        <w:snapToGrid w:val="0"/>
        <w:spacing w:before="50" w:after="120" w:afterLines="50" w:line="360" w:lineRule="auto"/>
        <w:jc w:val="left"/>
        <w:rPr>
          <w:rFonts w:hint="eastAsia" w:ascii="方正仿宋_GB2312" w:hAnsi="方正仿宋_GB2312" w:eastAsia="方正仿宋_GB2312" w:cs="方正仿宋_GB2312"/>
          <w:sz w:val="30"/>
          <w:szCs w:val="30"/>
        </w:rPr>
      </w:pPr>
    </w:p>
    <w:p>
      <w:pPr>
        <w:widowControl/>
        <w:jc w:val="center"/>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b/>
          <w:bCs/>
          <w:sz w:val="24"/>
        </w:rPr>
        <w:t>（2）</w:t>
      </w:r>
      <w:r>
        <w:rPr>
          <w:rFonts w:hint="eastAsia" w:ascii="方正仿宋_GB2312" w:hAnsi="方正仿宋_GB2312" w:eastAsia="方正仿宋_GB2312" w:cs="方正仿宋_GB2312"/>
          <w:b/>
          <w:bCs/>
          <w:color w:val="000000"/>
          <w:sz w:val="24"/>
        </w:rPr>
        <w:t>服务方案；</w:t>
      </w:r>
    </w:p>
    <w:p>
      <w:pPr>
        <w:pStyle w:val="17"/>
        <w:spacing w:line="360" w:lineRule="auto"/>
        <w:ind w:firstLine="0"/>
        <w:rPr>
          <w:rFonts w:hint="eastAsia" w:ascii="方正仿宋_GB2312" w:hAnsi="方正仿宋_GB2312" w:eastAsia="方正仿宋_GB2312" w:cs="方正仿宋_GB2312"/>
          <w:spacing w:val="20"/>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napToGrid w:val="0"/>
        <w:spacing w:before="120" w:beforeLines="50" w:after="50" w:line="360" w:lineRule="auto"/>
        <w:ind w:firstLine="240" w:firstLineChars="1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 xml:space="preserve">                                                      年    月    日</w:t>
      </w:r>
    </w:p>
    <w:p>
      <w:pPr>
        <w:widowControl/>
        <w:spacing w:line="360" w:lineRule="auto"/>
        <w:rPr>
          <w:rFonts w:hint="eastAsia" w:ascii="方正仿宋_GB2312" w:hAnsi="方正仿宋_GB2312" w:eastAsia="方正仿宋_GB2312" w:cs="方正仿宋_GB2312"/>
          <w:b/>
          <w:bCs/>
          <w:sz w:val="24"/>
        </w:rPr>
      </w:pPr>
    </w:p>
    <w:p>
      <w:pPr>
        <w:widowControl/>
        <w:spacing w:line="360" w:lineRule="auto"/>
        <w:ind w:firstLine="482" w:firstLineChars="200"/>
        <w:jc w:val="center"/>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（3）</w:t>
      </w:r>
      <w:r>
        <w:rPr>
          <w:rFonts w:hint="eastAsia" w:ascii="方正仿宋_GB2312" w:hAnsi="方正仿宋_GB2312" w:eastAsia="方正仿宋_GB2312" w:cs="方正仿宋_GB2312"/>
          <w:b/>
          <w:bCs/>
          <w:color w:val="000000"/>
          <w:sz w:val="24"/>
        </w:rPr>
        <w:t>实施方案；</w:t>
      </w:r>
    </w:p>
    <w:p>
      <w:pPr>
        <w:pStyle w:val="17"/>
        <w:spacing w:line="360" w:lineRule="auto"/>
        <w:ind w:firstLine="0"/>
        <w:rPr>
          <w:rFonts w:hint="eastAsia" w:ascii="方正仿宋_GB2312" w:hAnsi="方正仿宋_GB2312" w:eastAsia="方正仿宋_GB2312" w:cs="方正仿宋_GB2312"/>
          <w:spacing w:val="20"/>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napToGrid w:val="0"/>
        <w:spacing w:before="120" w:beforeLines="50" w:after="50" w:line="360" w:lineRule="auto"/>
        <w:ind w:firstLine="240" w:firstLineChars="1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 xml:space="preserve">                                                      年    月    日</w:t>
      </w:r>
    </w:p>
    <w:p>
      <w:pPr>
        <w:spacing w:line="360" w:lineRule="auto"/>
        <w:ind w:firstLine="482" w:firstLineChars="200"/>
        <w:jc w:val="center"/>
        <w:rPr>
          <w:rFonts w:hint="eastAsia" w:ascii="方正仿宋_GB2312" w:hAnsi="方正仿宋_GB2312" w:eastAsia="方正仿宋_GB2312" w:cs="方正仿宋_GB2312"/>
          <w:b/>
          <w:bCs/>
          <w:sz w:val="24"/>
        </w:rPr>
      </w:pPr>
    </w:p>
    <w:p>
      <w:pPr>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（4）项目实施人员；</w:t>
      </w:r>
    </w:p>
    <w:p>
      <w:pPr>
        <w:spacing w:line="360" w:lineRule="auto"/>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1067"/>
        <w:gridCol w:w="1765"/>
        <w:gridCol w:w="1337"/>
        <w:gridCol w:w="199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姓名</w:t>
            </w: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职务</w:t>
            </w:r>
          </w:p>
        </w:tc>
        <w:tc>
          <w:tcPr>
            <w:tcW w:w="1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持何种资格</w:t>
            </w:r>
          </w:p>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证件</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发证时间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从事本工作时间</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765"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50" w:line="360" w:lineRule="auto"/>
              <w:ind w:left="5250"/>
              <w:rPr>
                <w:rFonts w:hint="eastAsia" w:ascii="方正仿宋_GB2312" w:hAnsi="方正仿宋_GB2312" w:eastAsia="方正仿宋_GB2312" w:cs="方正仿宋_GB2312"/>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hint="eastAsia" w:ascii="方正仿宋_GB2312" w:hAnsi="方正仿宋_GB2312" w:eastAsia="方正仿宋_GB2312" w:cs="方正仿宋_GB2312"/>
                <w:sz w:val="24"/>
              </w:rPr>
            </w:pPr>
          </w:p>
        </w:tc>
      </w:tr>
    </w:tbl>
    <w:p>
      <w:p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注：1.</w:t>
      </w:r>
      <w:r>
        <w:rPr>
          <w:rFonts w:hint="eastAsia" w:ascii="方正仿宋_GB2312" w:hAnsi="方正仿宋_GB2312" w:eastAsia="方正仿宋_GB2312" w:cs="方正仿宋_GB2312"/>
          <w:sz w:val="24"/>
        </w:rPr>
        <w:t>此表仅提供了表格形式，供应商应根据需要准备足够数量的表格来填写；</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2.提供人员相关证书及社保复印件并加盖公章。</w:t>
      </w:r>
    </w:p>
    <w:p>
      <w:pPr>
        <w:pStyle w:val="17"/>
        <w:spacing w:line="360" w:lineRule="auto"/>
        <w:ind w:firstLine="0"/>
        <w:rPr>
          <w:rFonts w:hint="eastAsia" w:ascii="方正仿宋_GB2312" w:hAnsi="方正仿宋_GB2312" w:eastAsia="方正仿宋_GB2312" w:cs="方正仿宋_GB2312"/>
          <w:spacing w:val="20"/>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napToGrid w:val="0"/>
        <w:spacing w:before="120" w:beforeLines="50" w:after="50" w:line="360" w:lineRule="auto"/>
        <w:ind w:firstLine="240" w:firstLineChars="100"/>
        <w:jc w:val="left"/>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sz w:val="24"/>
        </w:rPr>
        <w:t xml:space="preserve">                                                      年    月    日</w:t>
      </w:r>
    </w:p>
    <w:p>
      <w:pPr>
        <w:spacing w:line="360" w:lineRule="auto"/>
        <w:ind w:firstLine="482" w:firstLineChars="200"/>
        <w:jc w:val="center"/>
        <w:rPr>
          <w:rFonts w:hint="eastAsia" w:ascii="方正仿宋_GB2312" w:hAnsi="方正仿宋_GB2312" w:eastAsia="方正仿宋_GB2312" w:cs="方正仿宋_GB2312"/>
          <w:b/>
          <w:bCs/>
          <w:color w:val="000000"/>
          <w:sz w:val="24"/>
        </w:rPr>
      </w:pP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pPr>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（5）安全要求承诺书（格式自拟）；</w:t>
      </w:r>
    </w:p>
    <w:p>
      <w:pPr>
        <w:pStyle w:val="17"/>
        <w:spacing w:line="360" w:lineRule="auto"/>
        <w:ind w:firstLine="0"/>
        <w:rPr>
          <w:rFonts w:hint="eastAsia" w:ascii="方正仿宋_GB2312" w:hAnsi="方正仿宋_GB2312" w:eastAsia="方正仿宋_GB2312" w:cs="方正仿宋_GB2312"/>
          <w:spacing w:val="20"/>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napToGrid w:val="0"/>
        <w:spacing w:before="120" w:beforeLines="50" w:after="50" w:line="360" w:lineRule="auto"/>
        <w:ind w:firstLine="240" w:firstLineChars="100"/>
        <w:jc w:val="left"/>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sz w:val="24"/>
        </w:rPr>
        <w:t xml:space="preserve">                                                      年    月   日</w:t>
      </w:r>
    </w:p>
    <w:p>
      <w:pPr>
        <w:spacing w:line="360" w:lineRule="auto"/>
        <w:ind w:firstLine="480" w:firstLineChars="200"/>
        <w:jc w:val="center"/>
        <w:rPr>
          <w:rFonts w:hint="eastAsia" w:ascii="方正仿宋_GB2312" w:hAnsi="方正仿宋_GB2312" w:eastAsia="方正仿宋_GB2312" w:cs="方正仿宋_GB2312"/>
          <w:sz w:val="24"/>
        </w:rPr>
      </w:pPr>
    </w:p>
    <w:p>
      <w:pPr>
        <w:spacing w:line="360" w:lineRule="auto"/>
        <w:ind w:firstLine="480" w:firstLineChars="200"/>
        <w:jc w:val="center"/>
        <w:rPr>
          <w:rFonts w:hint="eastAsia" w:ascii="方正仿宋_GB2312" w:hAnsi="方正仿宋_GB2312" w:eastAsia="方正仿宋_GB2312" w:cs="方正仿宋_GB2312"/>
          <w:sz w:val="24"/>
        </w:rPr>
      </w:pPr>
    </w:p>
    <w:p>
      <w:pPr>
        <w:spacing w:line="360" w:lineRule="auto"/>
        <w:ind w:firstLine="480" w:firstLineChars="20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b/>
          <w:bCs/>
          <w:color w:val="000000"/>
          <w:sz w:val="24"/>
        </w:rPr>
        <w:t>（6）供应商认为需要的其他文件资料</w:t>
      </w:r>
      <w:r>
        <w:rPr>
          <w:rFonts w:hint="eastAsia" w:ascii="方正仿宋_GB2312" w:hAnsi="方正仿宋_GB2312" w:eastAsia="方正仿宋_GB2312" w:cs="方正仿宋_GB2312"/>
          <w:b/>
          <w:bCs/>
          <w:sz w:val="24"/>
        </w:rPr>
        <w:t>。</w:t>
      </w:r>
    </w:p>
    <w:p>
      <w:pPr>
        <w:pStyle w:val="17"/>
        <w:spacing w:line="360" w:lineRule="auto"/>
        <w:ind w:firstLine="0"/>
        <w:rPr>
          <w:rFonts w:hint="eastAsia" w:ascii="方正仿宋_GB2312" w:hAnsi="方正仿宋_GB2312" w:eastAsia="方正仿宋_GB2312" w:cs="方正仿宋_GB2312"/>
          <w:spacing w:val="20"/>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napToGrid w:val="0"/>
        <w:spacing w:before="120" w:beforeLines="50" w:after="50" w:line="360" w:lineRule="auto"/>
        <w:ind w:firstLine="240" w:firstLineChars="100"/>
        <w:jc w:val="left"/>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sz w:val="24"/>
        </w:rPr>
        <w:t xml:space="preserve">                                                      年    月   日</w:t>
      </w:r>
    </w:p>
    <w:p>
      <w:pPr>
        <w:snapToGrid w:val="0"/>
        <w:spacing w:before="120" w:beforeLines="50" w:after="50" w:line="360" w:lineRule="auto"/>
        <w:ind w:firstLine="280" w:firstLineChars="100"/>
        <w:jc w:val="left"/>
        <w:rPr>
          <w:rFonts w:hint="eastAsia" w:ascii="方正仿宋_GB2312" w:hAnsi="方正仿宋_GB2312" w:eastAsia="方正仿宋_GB2312" w:cs="方正仿宋_GB2312"/>
          <w:spacing w:val="20"/>
          <w:sz w:val="24"/>
        </w:rPr>
      </w:pPr>
    </w:p>
    <w:p>
      <w:pPr>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 w:val="30"/>
        </w:rPr>
        <w:br w:type="page"/>
      </w:r>
    </w:p>
    <w:p>
      <w:pPr>
        <w:snapToGrid w:val="0"/>
        <w:spacing w:before="120" w:beforeLines="50" w:after="50" w:line="360" w:lineRule="auto"/>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 w:val="30"/>
        </w:rPr>
        <w:t>4.商务文件目录</w:t>
      </w:r>
    </w:p>
    <w:p>
      <w:pPr>
        <w:snapToGrid w:val="0"/>
        <w:spacing w:line="360" w:lineRule="auto"/>
        <w:ind w:firstLine="468" w:firstLineChars="1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（1）投标声明书 （格式见附件）；</w:t>
      </w:r>
    </w:p>
    <w:p>
      <w:pPr>
        <w:snapToGrid w:val="0"/>
        <w:spacing w:line="360" w:lineRule="auto"/>
        <w:ind w:firstLine="468" w:firstLineChars="1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（2）供应商情况介绍；</w:t>
      </w:r>
    </w:p>
    <w:p>
      <w:pPr>
        <w:snapToGrid w:val="0"/>
        <w:spacing w:line="360" w:lineRule="auto"/>
        <w:ind w:firstLine="468" w:firstLineChars="1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（3）商务响应表（格式见附件）；</w:t>
      </w:r>
    </w:p>
    <w:p>
      <w:pPr>
        <w:snapToGrid w:val="0"/>
        <w:spacing w:line="360" w:lineRule="auto"/>
        <w:ind w:firstLine="468" w:firstLineChars="1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（4）服务承诺；</w:t>
      </w:r>
    </w:p>
    <w:p>
      <w:pPr>
        <w:snapToGrid w:val="0"/>
        <w:spacing w:line="360" w:lineRule="auto"/>
        <w:ind w:firstLine="468" w:firstLineChars="1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（5）企业业绩；</w:t>
      </w:r>
    </w:p>
    <w:p>
      <w:pPr>
        <w:snapToGrid w:val="0"/>
        <w:spacing w:line="360" w:lineRule="auto"/>
        <w:ind w:firstLine="468" w:firstLineChars="1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（6）企业认证；</w:t>
      </w:r>
    </w:p>
    <w:p>
      <w:pPr>
        <w:snapToGrid w:val="0"/>
        <w:spacing w:line="360" w:lineRule="auto"/>
        <w:ind w:firstLine="468" w:firstLineChars="1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（7）企业实力。</w:t>
      </w: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before="120" w:beforeLines="50" w:after="50" w:line="360" w:lineRule="auto"/>
        <w:rPr>
          <w:rFonts w:hint="eastAsia" w:ascii="方正仿宋_GB2312" w:hAnsi="方正仿宋_GB2312" w:eastAsia="方正仿宋_GB2312" w:cs="方正仿宋_GB2312"/>
          <w:b/>
          <w:sz w:val="30"/>
        </w:rPr>
      </w:pPr>
    </w:p>
    <w:p>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（1）投标声明书</w:t>
      </w:r>
    </w:p>
    <w:p>
      <w:pPr>
        <w:snapToGrid w:val="0"/>
        <w:spacing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致：______</w:t>
      </w:r>
      <w:r>
        <w:rPr>
          <w:rFonts w:hint="eastAsia" w:ascii="方正仿宋_GB2312" w:hAnsi="方正仿宋_GB2312" w:eastAsia="方正仿宋_GB2312" w:cs="方正仿宋_GB2312"/>
          <w:sz w:val="24"/>
          <w:u w:val="single"/>
        </w:rPr>
        <w:t>_     _</w:t>
      </w:r>
      <w:r>
        <w:rPr>
          <w:rFonts w:hint="eastAsia" w:ascii="方正仿宋_GB2312" w:hAnsi="方正仿宋_GB2312" w:eastAsia="方正仿宋_GB2312" w:cs="方正仿宋_GB2312"/>
          <w:sz w:val="24"/>
        </w:rPr>
        <w:t>_（采购代理机构名称）：</w:t>
      </w:r>
    </w:p>
    <w:p>
      <w:pPr>
        <w:snapToGrid w:val="0"/>
        <w:spacing w:line="360" w:lineRule="auto"/>
        <w:ind w:firstLine="720" w:firstLineChars="3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______</w:t>
      </w:r>
      <w:r>
        <w:rPr>
          <w:rFonts w:hint="eastAsia" w:ascii="方正仿宋_GB2312" w:hAnsi="方正仿宋_GB2312" w:eastAsia="方正仿宋_GB2312" w:cs="方正仿宋_GB2312"/>
          <w:sz w:val="24"/>
          <w:u w:val="single"/>
        </w:rPr>
        <w:t>_     _</w:t>
      </w:r>
      <w:r>
        <w:rPr>
          <w:rFonts w:hint="eastAsia" w:ascii="方正仿宋_GB2312" w:hAnsi="方正仿宋_GB2312" w:eastAsia="方正仿宋_GB2312" w:cs="方正仿宋_GB2312"/>
          <w:sz w:val="24"/>
        </w:rPr>
        <w:t>_（投标供应商名称）系中华人民共和国合法企业，经营地址</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napToGrid w:val="0"/>
        <w:spacing w:line="360" w:lineRule="auto"/>
        <w:ind w:firstLine="645"/>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我___</w:t>
      </w:r>
      <w:r>
        <w:rPr>
          <w:rFonts w:hint="eastAsia" w:ascii="方正仿宋_GB2312" w:hAnsi="方正仿宋_GB2312" w:eastAsia="方正仿宋_GB2312" w:cs="方正仿宋_GB2312"/>
          <w:sz w:val="24"/>
          <w:u w:val="single"/>
        </w:rPr>
        <w:t xml:space="preserve">    _</w:t>
      </w:r>
      <w:r>
        <w:rPr>
          <w:rFonts w:hint="eastAsia" w:ascii="方正仿宋_GB2312" w:hAnsi="方正仿宋_GB2312" w:eastAsia="方正仿宋_GB2312" w:cs="方正仿宋_GB2312"/>
          <w:sz w:val="24"/>
        </w:rPr>
        <w:t>_（姓名）系______</w:t>
      </w:r>
      <w:r>
        <w:rPr>
          <w:rFonts w:hint="eastAsia" w:ascii="方正仿宋_GB2312" w:hAnsi="方正仿宋_GB2312" w:eastAsia="方正仿宋_GB2312" w:cs="方正仿宋_GB2312"/>
          <w:sz w:val="24"/>
          <w:u w:val="single"/>
        </w:rPr>
        <w:t>_     _</w:t>
      </w:r>
      <w:r>
        <w:rPr>
          <w:rFonts w:hint="eastAsia" w:ascii="方正仿宋_GB2312" w:hAnsi="方正仿宋_GB2312" w:eastAsia="方正仿宋_GB2312" w:cs="方正仿宋_GB2312"/>
          <w:sz w:val="24"/>
        </w:rPr>
        <w:t>_（投标供应商名称）的法定代表人，我方愿意参加贵方组织的_____</w:t>
      </w:r>
      <w:r>
        <w:rPr>
          <w:rFonts w:hint="eastAsia" w:ascii="方正仿宋_GB2312" w:hAnsi="方正仿宋_GB2312" w:eastAsia="方正仿宋_GB2312" w:cs="方正仿宋_GB2312"/>
          <w:sz w:val="24"/>
          <w:u w:val="single"/>
        </w:rPr>
        <w:t>_              _     _</w:t>
      </w:r>
      <w:r>
        <w:rPr>
          <w:rFonts w:hint="eastAsia" w:ascii="方正仿宋_GB2312" w:hAnsi="方正仿宋_GB2312" w:eastAsia="方正仿宋_GB2312" w:cs="方正仿宋_GB2312"/>
          <w:sz w:val="24"/>
        </w:rPr>
        <w:t>_项目的投标，为便于贵方公正、择优地确定中标供应商及其投标产品和服务，我方就本次投标有关事项郑重声明如下：</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1.我方向贵方提交的所有投标文件、资料都是准确的和真实的。</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3.我方此次向贵方提供的服务为：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4.我方诚意提请贵方关注：售后服务以及性能等方面的重大决策和事项有：</w:t>
      </w:r>
    </w:p>
    <w:p>
      <w:pPr>
        <w:snapToGrid w:val="0"/>
        <w:spacing w:line="360" w:lineRule="auto"/>
        <w:ind w:firstLine="480" w:firstLineChars="200"/>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u w:val="single"/>
        </w:rPr>
        <w:t>　　　　　　　　　　　　　　　　　　　　　　　　　　　</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u w:val="single"/>
        </w:rPr>
        <w:t>　　　　　　　　　　　　　　　　　　　　　　　　　　　</w:t>
      </w:r>
    </w:p>
    <w:p>
      <w:pPr>
        <w:pStyle w:val="26"/>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5.我方及由本人担任法定代表人的其他机构最近三年内（以法院判决日期为准）被通报（包括被处罚、行贿犯罪）的违法行为有：</w:t>
      </w:r>
    </w:p>
    <w:p>
      <w:pPr>
        <w:snapToGrid w:val="0"/>
        <w:spacing w:line="360" w:lineRule="auto"/>
        <w:ind w:firstLine="480" w:firstLineChars="200"/>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u w:val="single"/>
        </w:rPr>
        <w:t>　　　　　　　　　　　　　　　　　　　　　　　　　　　</w:t>
      </w:r>
    </w:p>
    <w:p>
      <w:pPr>
        <w:snapToGrid w:val="0"/>
        <w:spacing w:line="360" w:lineRule="auto"/>
        <w:ind w:firstLine="480" w:firstLineChars="200"/>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u w:val="single"/>
        </w:rPr>
        <w:t>　　　　　　　　　　　　　　　　　　　　　　　　　　　</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6.以上事项如有虚假或隐瞒，我方愿意承担一切后果，并不再寻求任何旨在减轻或免除法律责任的辩解。</w:t>
      </w:r>
    </w:p>
    <w:p>
      <w:pPr>
        <w:pStyle w:val="28"/>
        <w:tabs>
          <w:tab w:val="left" w:pos="939"/>
        </w:tabs>
        <w:snapToGrid w:val="0"/>
        <w:spacing w:line="360" w:lineRule="auto"/>
        <w:ind w:left="773" w:leftChars="150" w:hanging="458" w:hangingChars="191"/>
        <w:rPr>
          <w:rFonts w:hint="eastAsia" w:ascii="方正仿宋_GB2312" w:hAnsi="方正仿宋_GB2312" w:eastAsia="方正仿宋_GB2312" w:cs="方正仿宋_GB2312"/>
          <w:sz w:val="24"/>
        </w:rPr>
      </w:pPr>
    </w:p>
    <w:p>
      <w:pPr>
        <w:pStyle w:val="17"/>
        <w:spacing w:line="360" w:lineRule="auto"/>
        <w:ind w:firstLine="0"/>
        <w:jc w:val="center"/>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p>
    <w:p>
      <w:pPr>
        <w:pStyle w:val="17"/>
        <w:spacing w:line="360" w:lineRule="auto"/>
        <w:ind w:firstLine="0"/>
        <w:jc w:val="center"/>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p>
    <w:p>
      <w:pPr>
        <w:spacing w:line="360" w:lineRule="auto"/>
        <w:ind w:firstLine="3640" w:firstLineChars="130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w:t>
      </w:r>
    </w:p>
    <w:p>
      <w:pPr>
        <w:spacing w:line="360" w:lineRule="auto"/>
        <w:ind w:firstLine="5740" w:firstLineChars="205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年  月  日</w:t>
      </w:r>
    </w:p>
    <w:p>
      <w:pPr>
        <w:numPr>
          <w:ilvl w:val="0"/>
          <w:numId w:val="0"/>
        </w:numPr>
        <w:rPr>
          <w:rFonts w:hint="eastAsia" w:ascii="方正仿宋_GB2312" w:hAnsi="方正仿宋_GB2312" w:eastAsia="方正仿宋_GB2312" w:cs="方正仿宋_GB2312"/>
          <w:b/>
          <w:sz w:val="24"/>
          <w:lang w:eastAsia="zh-CN"/>
        </w:rPr>
      </w:pPr>
      <w:r>
        <w:rPr>
          <w:rFonts w:hint="eastAsia" w:ascii="方正仿宋_GB2312" w:hAnsi="方正仿宋_GB2312" w:eastAsia="方正仿宋_GB2312" w:cs="方正仿宋_GB2312"/>
          <w:b/>
          <w:sz w:val="24"/>
          <w:lang w:eastAsia="zh-CN"/>
        </w:rPr>
        <w:br w:type="page"/>
      </w:r>
    </w:p>
    <w:p>
      <w:pPr>
        <w:numPr>
          <w:ilvl w:val="-1"/>
          <w:numId w:val="0"/>
        </w:numPr>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lang w:eastAsia="zh-CN"/>
        </w:rPr>
        <w:t>（</w:t>
      </w:r>
      <w:r>
        <w:rPr>
          <w:rFonts w:hint="eastAsia" w:ascii="方正仿宋_GB2312" w:hAnsi="方正仿宋_GB2312" w:eastAsia="方正仿宋_GB2312" w:cs="方正仿宋_GB2312"/>
          <w:b/>
          <w:sz w:val="24"/>
          <w:lang w:val="en-US" w:eastAsia="zh-CN"/>
        </w:rPr>
        <w:t>2</w:t>
      </w:r>
      <w:r>
        <w:rPr>
          <w:rFonts w:hint="eastAsia" w:ascii="方正仿宋_GB2312" w:hAnsi="方正仿宋_GB2312" w:eastAsia="方正仿宋_GB2312" w:cs="方正仿宋_GB2312"/>
          <w:b/>
          <w:sz w:val="24"/>
          <w:lang w:eastAsia="zh-CN"/>
        </w:rPr>
        <w:t>）</w:t>
      </w:r>
      <w:r>
        <w:rPr>
          <w:rFonts w:hint="eastAsia" w:ascii="方正仿宋_GB2312" w:hAnsi="方正仿宋_GB2312" w:eastAsia="方正仿宋_GB2312" w:cs="方正仿宋_GB2312"/>
          <w:b/>
          <w:sz w:val="24"/>
        </w:rPr>
        <w:t>投标供应商情况介绍</w:t>
      </w:r>
    </w:p>
    <w:p>
      <w:pPr>
        <w:rPr>
          <w:rFonts w:hint="eastAsia" w:ascii="方正仿宋_GB2312" w:hAnsi="方正仿宋_GB2312" w:eastAsia="方正仿宋_GB2312" w:cs="方正仿宋_GB2312"/>
          <w:b/>
          <w:sz w:val="24"/>
        </w:rPr>
      </w:pPr>
    </w:p>
    <w:p>
      <w:pPr>
        <w:rPr>
          <w:rFonts w:hint="eastAsia" w:ascii="方正仿宋_GB2312" w:hAnsi="方正仿宋_GB2312" w:eastAsia="方正仿宋_GB2312" w:cs="方正仿宋_GB2312"/>
          <w:b/>
          <w:sz w:val="24"/>
        </w:rPr>
      </w:pP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152"/>
        <w:gridCol w:w="1143"/>
        <w:gridCol w:w="926"/>
        <w:gridCol w:w="217"/>
        <w:gridCol w:w="971"/>
        <w:gridCol w:w="174"/>
        <w:gridCol w:w="553"/>
        <w:gridCol w:w="951"/>
        <w:gridCol w:w="204"/>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000" w:type="pct"/>
            <w:gridSpan w:val="11"/>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5" w:type="pc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单位名称</w:t>
            </w:r>
          </w:p>
        </w:tc>
        <w:tc>
          <w:tcPr>
            <w:tcW w:w="4054" w:type="pct"/>
            <w:gridSpan w:val="10"/>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5" w:type="pc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  址</w:t>
            </w:r>
          </w:p>
        </w:tc>
        <w:tc>
          <w:tcPr>
            <w:tcW w:w="2434" w:type="pct"/>
            <w:gridSpan w:val="5"/>
            <w:vAlign w:val="center"/>
          </w:tcPr>
          <w:p>
            <w:pPr>
              <w:spacing w:line="360" w:lineRule="auto"/>
              <w:jc w:val="center"/>
              <w:rPr>
                <w:rFonts w:hint="eastAsia" w:ascii="方正仿宋_GB2312" w:hAnsi="方正仿宋_GB2312" w:eastAsia="方正仿宋_GB2312" w:cs="方正仿宋_GB2312"/>
                <w:sz w:val="24"/>
              </w:rPr>
            </w:pPr>
          </w:p>
        </w:tc>
        <w:tc>
          <w:tcPr>
            <w:tcW w:w="926" w:type="pct"/>
            <w:gridSpan w:val="3"/>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w:t>
            </w:r>
          </w:p>
        </w:tc>
        <w:tc>
          <w:tcPr>
            <w:tcW w:w="694" w:type="pct"/>
            <w:gridSpan w:val="2"/>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5" w:type="pc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成立时间</w:t>
            </w:r>
          </w:p>
        </w:tc>
        <w:tc>
          <w:tcPr>
            <w:tcW w:w="2434" w:type="pct"/>
            <w:gridSpan w:val="5"/>
            <w:vAlign w:val="center"/>
          </w:tcPr>
          <w:p>
            <w:pPr>
              <w:spacing w:line="360" w:lineRule="auto"/>
              <w:jc w:val="center"/>
              <w:rPr>
                <w:rFonts w:hint="eastAsia" w:ascii="方正仿宋_GB2312" w:hAnsi="方正仿宋_GB2312" w:eastAsia="方正仿宋_GB2312" w:cs="方正仿宋_GB2312"/>
                <w:sz w:val="24"/>
              </w:rPr>
            </w:pPr>
          </w:p>
        </w:tc>
        <w:tc>
          <w:tcPr>
            <w:tcW w:w="926" w:type="pct"/>
            <w:gridSpan w:val="3"/>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注册资本</w:t>
            </w:r>
          </w:p>
        </w:tc>
        <w:tc>
          <w:tcPr>
            <w:tcW w:w="694" w:type="pct"/>
            <w:gridSpan w:val="2"/>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5" w:type="pc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开户银行</w:t>
            </w:r>
          </w:p>
        </w:tc>
        <w:tc>
          <w:tcPr>
            <w:tcW w:w="1778" w:type="pct"/>
            <w:gridSpan w:val="3"/>
            <w:vAlign w:val="center"/>
          </w:tcPr>
          <w:p>
            <w:pPr>
              <w:spacing w:line="360" w:lineRule="auto"/>
              <w:jc w:val="center"/>
              <w:rPr>
                <w:rFonts w:hint="eastAsia" w:ascii="方正仿宋_GB2312" w:hAnsi="方正仿宋_GB2312" w:eastAsia="方正仿宋_GB2312" w:cs="方正仿宋_GB2312"/>
                <w:sz w:val="24"/>
              </w:rPr>
            </w:pPr>
          </w:p>
        </w:tc>
        <w:tc>
          <w:tcPr>
            <w:tcW w:w="655" w:type="pct"/>
            <w:gridSpan w:val="2"/>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帐  号</w:t>
            </w:r>
          </w:p>
        </w:tc>
        <w:tc>
          <w:tcPr>
            <w:tcW w:w="1620" w:type="pct"/>
            <w:gridSpan w:val="5"/>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5" w:type="pc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4054" w:type="pct"/>
            <w:gridSpan w:val="10"/>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5" w:type="pc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企业总人数</w:t>
            </w:r>
          </w:p>
        </w:tc>
        <w:tc>
          <w:tcPr>
            <w:tcW w:w="636" w:type="pct"/>
            <w:vAlign w:val="center"/>
          </w:tcPr>
          <w:p>
            <w:pPr>
              <w:spacing w:line="360" w:lineRule="auto"/>
              <w:jc w:val="center"/>
              <w:rPr>
                <w:rFonts w:hint="eastAsia" w:ascii="方正仿宋_GB2312" w:hAnsi="方正仿宋_GB2312" w:eastAsia="方正仿宋_GB2312" w:cs="方正仿宋_GB2312"/>
                <w:sz w:val="24"/>
              </w:rPr>
            </w:pPr>
          </w:p>
        </w:tc>
        <w:tc>
          <w:tcPr>
            <w:tcW w:w="631" w:type="pc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管理</w:t>
            </w:r>
          </w:p>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631" w:type="pct"/>
            <w:gridSpan w:val="2"/>
            <w:vAlign w:val="center"/>
          </w:tcPr>
          <w:p>
            <w:pPr>
              <w:spacing w:line="360" w:lineRule="auto"/>
              <w:jc w:val="center"/>
              <w:rPr>
                <w:rFonts w:hint="eastAsia" w:ascii="方正仿宋_GB2312" w:hAnsi="方正仿宋_GB2312" w:eastAsia="方正仿宋_GB2312" w:cs="方正仿宋_GB2312"/>
                <w:sz w:val="24"/>
              </w:rPr>
            </w:pPr>
          </w:p>
        </w:tc>
        <w:tc>
          <w:tcPr>
            <w:tcW w:w="631" w:type="pct"/>
            <w:gridSpan w:val="2"/>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305" w:type="pct"/>
            <w:vAlign w:val="center"/>
          </w:tcPr>
          <w:p>
            <w:pPr>
              <w:spacing w:line="360" w:lineRule="auto"/>
              <w:jc w:val="center"/>
              <w:rPr>
                <w:rFonts w:hint="eastAsia" w:ascii="方正仿宋_GB2312" w:hAnsi="方正仿宋_GB2312" w:eastAsia="方正仿宋_GB2312" w:cs="方正仿宋_GB2312"/>
                <w:sz w:val="24"/>
              </w:rPr>
            </w:pPr>
          </w:p>
        </w:tc>
        <w:tc>
          <w:tcPr>
            <w:tcW w:w="637" w:type="pct"/>
            <w:gridSpan w:val="2"/>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职工</w:t>
            </w:r>
          </w:p>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581" w:type="pct"/>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5" w:type="pct"/>
            <w:vAlign w:val="center"/>
          </w:tcPr>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经营范围</w:t>
            </w:r>
          </w:p>
        </w:tc>
        <w:tc>
          <w:tcPr>
            <w:tcW w:w="4054" w:type="pct"/>
            <w:gridSpan w:val="10"/>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945" w:type="pct"/>
            <w:tcBorders>
              <w:bottom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企业现有的资质证书</w:t>
            </w:r>
          </w:p>
        </w:tc>
        <w:tc>
          <w:tcPr>
            <w:tcW w:w="4054" w:type="pct"/>
            <w:gridSpan w:val="10"/>
            <w:tcBorders>
              <w:bottom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bl>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注：表格不能满足时可自行增加。</w:t>
      </w:r>
    </w:p>
    <w:p>
      <w:pPr>
        <w:snapToGrid w:val="0"/>
        <w:spacing w:before="120" w:beforeLines="50" w:line="360" w:lineRule="auto"/>
        <w:rPr>
          <w:rFonts w:hint="eastAsia" w:ascii="方正仿宋_GB2312" w:hAnsi="方正仿宋_GB2312" w:eastAsia="方正仿宋_GB2312" w:cs="方正仿宋_GB2312"/>
          <w:b/>
          <w:bCs/>
          <w:sz w:val="32"/>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pacing w:line="360" w:lineRule="auto"/>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w:t>
      </w:r>
    </w:p>
    <w:p>
      <w:pPr>
        <w:spacing w:line="360" w:lineRule="auto"/>
        <w:ind w:firstLine="5740" w:firstLineChars="205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年  月  日</w:t>
      </w:r>
    </w:p>
    <w:p>
      <w:pPr>
        <w:snapToGrid w:val="0"/>
        <w:spacing w:line="360" w:lineRule="auto"/>
        <w:ind w:firstLine="482" w:firstLineChars="200"/>
        <w:jc w:val="center"/>
        <w:rPr>
          <w:rFonts w:hint="eastAsia" w:ascii="方正仿宋_GB2312" w:hAnsi="方正仿宋_GB2312" w:eastAsia="方正仿宋_GB2312" w:cs="方正仿宋_GB2312"/>
          <w:b/>
          <w:bCs/>
          <w:sz w:val="24"/>
        </w:rPr>
      </w:pPr>
    </w:p>
    <w:p>
      <w:pPr>
        <w:snapToGrid w:val="0"/>
        <w:spacing w:line="360" w:lineRule="auto"/>
        <w:ind w:left="420" w:leftChars="20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sz w:val="24"/>
        </w:rPr>
        <w:t>（3）商务响应表</w:t>
      </w:r>
    </w:p>
    <w:p>
      <w:pPr>
        <w:snapToGrid w:val="0"/>
        <w:spacing w:before="50" w:line="360" w:lineRule="auto"/>
        <w:jc w:val="left"/>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u w:val="single"/>
        </w:rPr>
        <w:t xml:space="preserve">                     </w:t>
      </w:r>
    </w:p>
    <w:p>
      <w:pPr>
        <w:snapToGrid w:val="0"/>
        <w:spacing w:before="50" w:line="360" w:lineRule="auto"/>
        <w:jc w:val="left"/>
        <w:rPr>
          <w:rFonts w:hint="eastAsia" w:ascii="方正仿宋_GB2312" w:hAnsi="方正仿宋_GB2312" w:eastAsia="方正仿宋_GB2312" w:cs="方正仿宋_GB2312"/>
          <w:sz w:val="24"/>
        </w:rPr>
      </w:pPr>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44"/>
        <w:gridCol w:w="3301"/>
        <w:gridCol w:w="1468"/>
        <w:gridCol w:w="2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07"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项目</w:t>
            </w:r>
          </w:p>
        </w:tc>
        <w:tc>
          <w:tcPr>
            <w:tcW w:w="1821"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采购文件要求</w:t>
            </w:r>
          </w:p>
        </w:tc>
        <w:tc>
          <w:tcPr>
            <w:tcW w:w="81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是否响应</w:t>
            </w:r>
          </w:p>
        </w:tc>
        <w:tc>
          <w:tcPr>
            <w:tcW w:w="146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投标供应商的承诺或说明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07"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szCs w:val="20"/>
              </w:rPr>
            </w:pPr>
          </w:p>
        </w:tc>
        <w:tc>
          <w:tcPr>
            <w:tcW w:w="1821" w:type="pct"/>
            <w:tcBorders>
              <w:top w:val="single" w:color="auto" w:sz="4" w:space="0"/>
              <w:left w:val="single" w:color="auto" w:sz="4" w:space="0"/>
              <w:bottom w:val="single" w:color="auto" w:sz="4" w:space="0"/>
              <w:right w:val="single" w:color="auto" w:sz="4" w:space="0"/>
            </w:tcBorders>
          </w:tcPr>
          <w:p>
            <w:pPr>
              <w:pStyle w:val="178"/>
              <w:widowControl w:val="0"/>
              <w:spacing w:line="360" w:lineRule="auto"/>
              <w:ind w:firstLineChars="0"/>
              <w:jc w:val="both"/>
              <w:rPr>
                <w:rFonts w:hint="eastAsia" w:ascii="方正仿宋_GB2312" w:hAnsi="方正仿宋_GB2312" w:eastAsia="方正仿宋_GB2312" w:cs="方正仿宋_GB2312"/>
                <w:bCs/>
              </w:rPr>
            </w:pPr>
          </w:p>
        </w:tc>
        <w:tc>
          <w:tcPr>
            <w:tcW w:w="81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p>
        </w:tc>
        <w:tc>
          <w:tcPr>
            <w:tcW w:w="146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907"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szCs w:val="20"/>
              </w:rPr>
            </w:pPr>
          </w:p>
        </w:tc>
        <w:tc>
          <w:tcPr>
            <w:tcW w:w="182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2" w:firstLineChars="200"/>
              <w:jc w:val="left"/>
              <w:rPr>
                <w:rFonts w:hint="eastAsia" w:ascii="方正仿宋_GB2312" w:hAnsi="方正仿宋_GB2312" w:eastAsia="方正仿宋_GB2312" w:cs="方正仿宋_GB2312"/>
                <w:b/>
                <w:snapToGrid w:val="0"/>
                <w:kern w:val="0"/>
                <w:sz w:val="24"/>
                <w:highlight w:val="yellow"/>
              </w:rPr>
            </w:pPr>
          </w:p>
        </w:tc>
        <w:tc>
          <w:tcPr>
            <w:tcW w:w="81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szCs w:val="20"/>
              </w:rPr>
            </w:pPr>
          </w:p>
        </w:tc>
        <w:tc>
          <w:tcPr>
            <w:tcW w:w="146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方正仿宋_GB2312" w:hAnsi="方正仿宋_GB2312" w:eastAsia="方正仿宋_GB2312" w:cs="方正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方正仿宋_GB2312" w:hAnsi="方正仿宋_GB2312" w:eastAsia="方正仿宋_GB2312" w:cs="方正仿宋_GB2312"/>
                <w:sz w:val="24"/>
                <w:szCs w:val="20"/>
              </w:rPr>
            </w:pPr>
          </w:p>
        </w:tc>
        <w:tc>
          <w:tcPr>
            <w:tcW w:w="1821" w:type="pct"/>
            <w:tcBorders>
              <w:top w:val="single" w:color="auto" w:sz="4" w:space="0"/>
              <w:left w:val="single" w:color="auto" w:sz="4" w:space="0"/>
              <w:bottom w:val="single" w:color="auto" w:sz="4" w:space="0"/>
              <w:right w:val="single" w:color="auto" w:sz="4" w:space="0"/>
            </w:tcBorders>
          </w:tcPr>
          <w:p>
            <w:pPr>
              <w:pStyle w:val="178"/>
              <w:widowControl w:val="0"/>
              <w:spacing w:line="360" w:lineRule="auto"/>
              <w:ind w:firstLineChars="0"/>
              <w:jc w:val="both"/>
              <w:rPr>
                <w:rFonts w:hint="eastAsia" w:ascii="方正仿宋_GB2312" w:hAnsi="方正仿宋_GB2312" w:eastAsia="方正仿宋_GB2312" w:cs="方正仿宋_GB2312"/>
                <w:bCs/>
              </w:rPr>
            </w:pPr>
          </w:p>
        </w:tc>
        <w:tc>
          <w:tcPr>
            <w:tcW w:w="81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p>
        </w:tc>
        <w:tc>
          <w:tcPr>
            <w:tcW w:w="146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7"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w:t>
            </w:r>
          </w:p>
        </w:tc>
        <w:tc>
          <w:tcPr>
            <w:tcW w:w="1821"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p>
        </w:tc>
        <w:tc>
          <w:tcPr>
            <w:tcW w:w="81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p>
        </w:tc>
        <w:tc>
          <w:tcPr>
            <w:tcW w:w="1460" w:type="pct"/>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方正仿宋_GB2312" w:hAnsi="方正仿宋_GB2312" w:eastAsia="方正仿宋_GB2312" w:cs="方正仿宋_GB2312"/>
                <w:sz w:val="24"/>
                <w:szCs w:val="20"/>
              </w:rPr>
            </w:pPr>
          </w:p>
        </w:tc>
      </w:tr>
    </w:tbl>
    <w:p>
      <w:pPr>
        <w:snapToGrid w:val="0"/>
        <w:spacing w:before="120" w:beforeLines="50" w:line="360" w:lineRule="auto"/>
        <w:rPr>
          <w:rFonts w:hint="eastAsia" w:ascii="方正仿宋_GB2312" w:hAnsi="方正仿宋_GB2312" w:eastAsia="方正仿宋_GB2312" w:cs="方正仿宋_GB2312"/>
          <w:sz w:val="24"/>
          <w:szCs w:val="20"/>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napToGrid w:val="0"/>
        <w:spacing w:before="120" w:beforeLines="50" w:line="360" w:lineRule="auto"/>
        <w:ind w:firstLine="3780"/>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pacing w:val="20"/>
          <w:sz w:val="24"/>
        </w:rPr>
        <w:t xml:space="preserve">      </w:t>
      </w:r>
    </w:p>
    <w:p>
      <w:pPr>
        <w:snapToGrid w:val="0"/>
        <w:spacing w:before="120" w:beforeLines="50" w:after="50" w:line="360" w:lineRule="auto"/>
        <w:ind w:firstLine="240" w:firstLineChars="1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 xml:space="preserve">                                             年    月    日</w:t>
      </w:r>
    </w:p>
    <w:p>
      <w:pPr>
        <w:pStyle w:val="17"/>
        <w:spacing w:line="360" w:lineRule="auto"/>
        <w:ind w:firstLine="0"/>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（4）服务承诺</w:t>
      </w:r>
    </w:p>
    <w:p>
      <w:pPr>
        <w:pStyle w:val="17"/>
        <w:spacing w:line="360" w:lineRule="auto"/>
        <w:ind w:firstLine="0"/>
        <w:rPr>
          <w:rFonts w:hint="eastAsia" w:ascii="方正仿宋_GB2312" w:hAnsi="方正仿宋_GB2312" w:eastAsia="方正仿宋_GB2312" w:cs="方正仿宋_GB2312"/>
          <w:spacing w:val="20"/>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napToGrid w:val="0"/>
        <w:spacing w:before="120" w:beforeLines="50" w:line="360" w:lineRule="auto"/>
        <w:ind w:firstLine="3780"/>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pacing w:val="20"/>
          <w:sz w:val="24"/>
        </w:rPr>
        <w:t xml:space="preserve">      </w:t>
      </w:r>
    </w:p>
    <w:p>
      <w:pPr>
        <w:snapToGrid w:val="0"/>
        <w:spacing w:before="120" w:beforeLines="50" w:after="50" w:line="360" w:lineRule="auto"/>
        <w:ind w:firstLine="240" w:firstLineChars="1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 xml:space="preserve">                                             年    月    日</w:t>
      </w:r>
    </w:p>
    <w:p>
      <w:pPr>
        <w:spacing w:line="360" w:lineRule="auto"/>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w:t>
      </w:r>
    </w:p>
    <w:p>
      <w:pPr>
        <w:snapToGrid w:val="0"/>
        <w:spacing w:line="360" w:lineRule="auto"/>
        <w:ind w:firstLine="482" w:firstLineChars="200"/>
        <w:jc w:val="center"/>
        <w:rPr>
          <w:rFonts w:hint="eastAsia" w:ascii="方正仿宋_GB2312" w:hAnsi="方正仿宋_GB2312" w:eastAsia="方正仿宋_GB2312" w:cs="方正仿宋_GB2312"/>
          <w:b/>
          <w:bCs/>
          <w:sz w:val="24"/>
        </w:rPr>
      </w:pPr>
    </w:p>
    <w:p>
      <w:pPr>
        <w:snapToGrid w:val="0"/>
        <w:spacing w:line="360" w:lineRule="auto"/>
        <w:ind w:firstLine="482" w:firstLineChars="200"/>
        <w:jc w:val="center"/>
        <w:rPr>
          <w:rFonts w:hint="eastAsia" w:ascii="方正仿宋_GB2312" w:hAnsi="方正仿宋_GB2312" w:eastAsia="方正仿宋_GB2312" w:cs="方正仿宋_GB2312"/>
          <w:b/>
          <w:bCs/>
          <w:sz w:val="24"/>
        </w:rPr>
      </w:pPr>
    </w:p>
    <w:p>
      <w:pPr>
        <w:snapToGrid w:val="0"/>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（5）企业业绩；</w:t>
      </w: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项目编号：</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243"/>
        <w:gridCol w:w="1562"/>
        <w:gridCol w:w="1563"/>
        <w:gridCol w:w="220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686" w:type="pct"/>
          </w:tcPr>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使用方</w:t>
            </w:r>
          </w:p>
        </w:tc>
        <w:tc>
          <w:tcPr>
            <w:tcW w:w="862" w:type="pct"/>
          </w:tcPr>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合同金额</w:t>
            </w:r>
          </w:p>
        </w:tc>
        <w:tc>
          <w:tcPr>
            <w:tcW w:w="862" w:type="pct"/>
          </w:tcPr>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签订时间</w:t>
            </w:r>
          </w:p>
        </w:tc>
        <w:tc>
          <w:tcPr>
            <w:tcW w:w="1214" w:type="pct"/>
          </w:tcPr>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使用方联系人</w:t>
            </w:r>
          </w:p>
        </w:tc>
        <w:tc>
          <w:tcPr>
            <w:tcW w:w="862" w:type="pct"/>
          </w:tcPr>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pct"/>
          </w:tcPr>
          <w:p>
            <w:pPr>
              <w:spacing w:line="360" w:lineRule="auto"/>
              <w:rPr>
                <w:rFonts w:hint="eastAsia" w:ascii="方正仿宋_GB2312" w:hAnsi="方正仿宋_GB2312" w:eastAsia="方正仿宋_GB2312" w:cs="方正仿宋_GB2312"/>
                <w:bCs/>
                <w:sz w:val="24"/>
              </w:rPr>
            </w:pPr>
          </w:p>
        </w:tc>
        <w:tc>
          <w:tcPr>
            <w:tcW w:w="686"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1214"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pct"/>
          </w:tcPr>
          <w:p>
            <w:pPr>
              <w:spacing w:line="360" w:lineRule="auto"/>
              <w:rPr>
                <w:rFonts w:hint="eastAsia" w:ascii="方正仿宋_GB2312" w:hAnsi="方正仿宋_GB2312" w:eastAsia="方正仿宋_GB2312" w:cs="方正仿宋_GB2312"/>
                <w:bCs/>
                <w:sz w:val="24"/>
              </w:rPr>
            </w:pPr>
          </w:p>
        </w:tc>
        <w:tc>
          <w:tcPr>
            <w:tcW w:w="686"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1214"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10" w:type="pct"/>
          </w:tcPr>
          <w:p>
            <w:pPr>
              <w:spacing w:line="360" w:lineRule="auto"/>
              <w:rPr>
                <w:rFonts w:hint="eastAsia" w:ascii="方正仿宋_GB2312" w:hAnsi="方正仿宋_GB2312" w:eastAsia="方正仿宋_GB2312" w:cs="方正仿宋_GB2312"/>
                <w:bCs/>
                <w:sz w:val="24"/>
              </w:rPr>
            </w:pPr>
          </w:p>
        </w:tc>
        <w:tc>
          <w:tcPr>
            <w:tcW w:w="686"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1214"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pct"/>
          </w:tcPr>
          <w:p>
            <w:pPr>
              <w:spacing w:line="360" w:lineRule="auto"/>
              <w:rPr>
                <w:rFonts w:hint="eastAsia" w:ascii="方正仿宋_GB2312" w:hAnsi="方正仿宋_GB2312" w:eastAsia="方正仿宋_GB2312" w:cs="方正仿宋_GB2312"/>
                <w:bCs/>
                <w:sz w:val="24"/>
              </w:rPr>
            </w:pPr>
          </w:p>
        </w:tc>
        <w:tc>
          <w:tcPr>
            <w:tcW w:w="686"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1214"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510" w:type="pct"/>
          </w:tcPr>
          <w:p>
            <w:pPr>
              <w:spacing w:line="360" w:lineRule="auto"/>
              <w:rPr>
                <w:rFonts w:hint="eastAsia" w:ascii="方正仿宋_GB2312" w:hAnsi="方正仿宋_GB2312" w:eastAsia="方正仿宋_GB2312" w:cs="方正仿宋_GB2312"/>
                <w:bCs/>
                <w:sz w:val="24"/>
              </w:rPr>
            </w:pPr>
          </w:p>
        </w:tc>
        <w:tc>
          <w:tcPr>
            <w:tcW w:w="686"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c>
          <w:tcPr>
            <w:tcW w:w="1214" w:type="pct"/>
          </w:tcPr>
          <w:p>
            <w:pPr>
              <w:spacing w:line="360" w:lineRule="auto"/>
              <w:rPr>
                <w:rFonts w:hint="eastAsia" w:ascii="方正仿宋_GB2312" w:hAnsi="方正仿宋_GB2312" w:eastAsia="方正仿宋_GB2312" w:cs="方正仿宋_GB2312"/>
                <w:bCs/>
                <w:sz w:val="24"/>
              </w:rPr>
            </w:pPr>
          </w:p>
        </w:tc>
        <w:tc>
          <w:tcPr>
            <w:tcW w:w="862" w:type="pct"/>
          </w:tcPr>
          <w:p>
            <w:pPr>
              <w:spacing w:line="360" w:lineRule="auto"/>
              <w:rPr>
                <w:rFonts w:hint="eastAsia" w:ascii="方正仿宋_GB2312" w:hAnsi="方正仿宋_GB2312" w:eastAsia="方正仿宋_GB2312" w:cs="方正仿宋_GB2312"/>
                <w:bCs/>
                <w:sz w:val="24"/>
              </w:rPr>
            </w:pPr>
          </w:p>
        </w:tc>
      </w:tr>
    </w:tbl>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注：1、此表仅提供了表格形式，供应商应根据需要准备足够数量的表格来填写。</w:t>
      </w:r>
    </w:p>
    <w:p>
      <w:pPr>
        <w:snapToGrid w:val="0"/>
        <w:spacing w:before="50" w:after="120" w:afterLines="50"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2、</w:t>
      </w:r>
      <w:r>
        <w:rPr>
          <w:rFonts w:hint="eastAsia" w:ascii="方正仿宋_GB2312" w:hAnsi="方正仿宋_GB2312" w:eastAsia="方正仿宋_GB2312" w:cs="方正仿宋_GB2312"/>
          <w:bCs/>
          <w:sz w:val="24"/>
        </w:rPr>
        <w:t>企业业绩是指供应商2020年1月1日至今的</w:t>
      </w:r>
      <w:r>
        <w:rPr>
          <w:rFonts w:hint="eastAsia" w:ascii="方正仿宋_GB2312" w:hAnsi="方正仿宋_GB2312" w:eastAsia="方正仿宋_GB2312" w:cs="方正仿宋_GB2312"/>
          <w:bCs/>
          <w:sz w:val="24"/>
          <w:lang w:val="en-US" w:eastAsia="zh-CN"/>
        </w:rPr>
        <w:t>同</w:t>
      </w:r>
      <w:r>
        <w:rPr>
          <w:rFonts w:hint="eastAsia" w:ascii="方正仿宋_GB2312" w:hAnsi="方正仿宋_GB2312" w:eastAsia="方正仿宋_GB2312" w:cs="方正仿宋_GB2312"/>
          <w:bCs/>
          <w:sz w:val="24"/>
        </w:rPr>
        <w:t>类项目。</w:t>
      </w:r>
    </w:p>
    <w:p>
      <w:pPr>
        <w:snapToGrid w:val="0"/>
        <w:spacing w:before="50" w:after="120" w:afterLines="50" w:line="360" w:lineRule="auto"/>
        <w:ind w:firstLine="482" w:firstLineChars="200"/>
        <w:jc w:val="center"/>
        <w:rPr>
          <w:rFonts w:hint="eastAsia" w:ascii="方正仿宋_GB2312" w:hAnsi="方正仿宋_GB2312" w:eastAsia="方正仿宋_GB2312" w:cs="方正仿宋_GB2312"/>
          <w:b/>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pacing w:line="360" w:lineRule="auto"/>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w:t>
      </w:r>
    </w:p>
    <w:p>
      <w:pPr>
        <w:spacing w:line="360" w:lineRule="auto"/>
        <w:ind w:firstLine="5740" w:firstLineChars="205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年  月  日</w:t>
      </w:r>
    </w:p>
    <w:p>
      <w:pPr>
        <w:snapToGrid w:val="0"/>
        <w:spacing w:line="360" w:lineRule="auto"/>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（6）企业认证；</w:t>
      </w:r>
    </w:p>
    <w:p>
      <w:pPr>
        <w:pStyle w:val="17"/>
        <w:spacing w:line="360" w:lineRule="auto"/>
        <w:ind w:firstLine="0"/>
        <w:rPr>
          <w:rFonts w:hint="eastAsia" w:ascii="方正仿宋_GB2312" w:hAnsi="方正仿宋_GB2312" w:eastAsia="方正仿宋_GB2312" w:cs="方正仿宋_GB2312"/>
          <w:spacing w:val="20"/>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pacing w:line="360" w:lineRule="auto"/>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w:t>
      </w:r>
    </w:p>
    <w:p>
      <w:pPr>
        <w:spacing w:line="360" w:lineRule="auto"/>
        <w:ind w:firstLine="5740" w:firstLineChars="205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年  月  日</w:t>
      </w:r>
    </w:p>
    <w:p>
      <w:pPr>
        <w:snapToGrid w:val="0"/>
        <w:spacing w:line="360" w:lineRule="auto"/>
        <w:ind w:firstLine="470" w:firstLineChars="195"/>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（7）企业实力。</w:t>
      </w:r>
    </w:p>
    <w:p>
      <w:pPr>
        <w:snapToGrid w:val="0"/>
        <w:spacing w:line="360" w:lineRule="auto"/>
        <w:rPr>
          <w:rFonts w:hint="eastAsia" w:ascii="方正仿宋_GB2312" w:hAnsi="方正仿宋_GB2312" w:eastAsia="方正仿宋_GB2312" w:cs="方正仿宋_GB2312"/>
          <w:b/>
          <w:bCs/>
          <w:sz w:val="24"/>
        </w:rPr>
      </w:pPr>
    </w:p>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pacing w:line="360" w:lineRule="auto"/>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w:t>
      </w:r>
    </w:p>
    <w:p>
      <w:pPr>
        <w:spacing w:line="360" w:lineRule="auto"/>
        <w:ind w:firstLine="5740" w:firstLineChars="205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 xml:space="preserve">  年  月  日</w:t>
      </w:r>
    </w:p>
    <w:p>
      <w:pPr>
        <w:snapToGrid/>
        <w:spacing w:before="0" w:beforeLines="-2147483648" w:after="0" w:line="240" w:lineRule="auto"/>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 w:val="30"/>
        </w:rPr>
        <w:br w:type="page"/>
      </w:r>
    </w:p>
    <w:p>
      <w:pPr>
        <w:snapToGrid w:val="0"/>
        <w:spacing w:before="120" w:beforeLines="50" w:after="50" w:line="360" w:lineRule="auto"/>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 w:val="30"/>
        </w:rPr>
        <w:t>5.报价文件</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（1）投标函；</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（2）开标一览表（格式见附件）；</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（3）报价明细表（格式见附件）；</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（4）代理服务费承诺函（格式见附件）；</w:t>
      </w:r>
    </w:p>
    <w:p>
      <w:pPr>
        <w:tabs>
          <w:tab w:val="left" w:pos="720"/>
        </w:tabs>
        <w:spacing w:line="360" w:lineRule="auto"/>
        <w:ind w:left="-2" w:leftChars="-1" w:firstLine="410" w:firstLineChars="171"/>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（5）政策分相关证明资料：</w:t>
      </w:r>
    </w:p>
    <w:p>
      <w:pPr>
        <w:tabs>
          <w:tab w:val="left" w:pos="720"/>
        </w:tabs>
        <w:spacing w:line="360" w:lineRule="auto"/>
        <w:ind w:left="-2" w:leftChars="-1" w:firstLine="410" w:firstLineChars="171"/>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5.1小微企业声明函（若有，格式见附件）；</w:t>
      </w:r>
    </w:p>
    <w:p>
      <w:pPr>
        <w:tabs>
          <w:tab w:val="left" w:pos="720"/>
        </w:tabs>
        <w:spacing w:line="360" w:lineRule="auto"/>
        <w:ind w:left="-2" w:leftChars="-1" w:firstLine="410" w:firstLineChars="171"/>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5.2残疾人福利企业声明函（若有，格式见附件）；</w:t>
      </w:r>
    </w:p>
    <w:p>
      <w:pPr>
        <w:tabs>
          <w:tab w:val="left" w:pos="720"/>
        </w:tabs>
        <w:spacing w:line="360" w:lineRule="auto"/>
        <w:ind w:left="-2" w:leftChars="-1" w:firstLine="410" w:firstLineChars="171"/>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5.3监狱企业声明函（若有，格式见附件）。</w:t>
      </w:r>
    </w:p>
    <w:p>
      <w:pPr>
        <w:widowControl/>
        <w:snapToGrid w:val="0"/>
        <w:spacing w:line="360" w:lineRule="auto"/>
        <w:ind w:firstLine="602" w:firstLineChars="25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注：以上响应文件组成内容中的复印件均须加盖供应商公章（或 CA 电子签章）。</w:t>
      </w:r>
    </w:p>
    <w:p>
      <w:pPr>
        <w:snapToGrid w:val="0"/>
        <w:spacing w:line="360" w:lineRule="auto"/>
        <w:ind w:firstLine="708" w:firstLineChars="295"/>
        <w:jc w:val="left"/>
        <w:rPr>
          <w:rFonts w:hint="eastAsia" w:ascii="方正仿宋_GB2312" w:hAnsi="方正仿宋_GB2312" w:eastAsia="方正仿宋_GB2312" w:cs="方正仿宋_GB2312"/>
          <w:sz w:val="24"/>
        </w:rPr>
      </w:pPr>
    </w:p>
    <w:p>
      <w:pPr>
        <w:snapToGrid w:val="0"/>
        <w:spacing w:line="360" w:lineRule="auto"/>
        <w:ind w:firstLine="708" w:firstLineChars="295"/>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tabs>
          <w:tab w:val="left" w:pos="720"/>
        </w:tabs>
        <w:spacing w:line="360" w:lineRule="auto"/>
        <w:ind w:left="-2" w:leftChars="-1" w:firstLine="412" w:firstLineChars="171"/>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 投标函</w:t>
      </w:r>
    </w:p>
    <w:p>
      <w:pPr>
        <w:snapToGrid w:val="0"/>
        <w:spacing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致：______</w:t>
      </w:r>
      <w:r>
        <w:rPr>
          <w:rFonts w:hint="eastAsia" w:ascii="方正仿宋_GB2312" w:hAnsi="方正仿宋_GB2312" w:eastAsia="方正仿宋_GB2312" w:cs="方正仿宋_GB2312"/>
          <w:sz w:val="24"/>
          <w:u w:val="single"/>
        </w:rPr>
        <w:t>_     _</w:t>
      </w:r>
      <w:r>
        <w:rPr>
          <w:rFonts w:hint="eastAsia" w:ascii="方正仿宋_GB2312" w:hAnsi="方正仿宋_GB2312" w:eastAsia="方正仿宋_GB2312" w:cs="方正仿宋_GB2312"/>
          <w:sz w:val="24"/>
        </w:rPr>
        <w:t>_（采购代理机构名称）：</w:t>
      </w:r>
    </w:p>
    <w:p>
      <w:pPr>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根据贵方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项目的采购公告（项目编号：____</w:t>
      </w:r>
      <w:r>
        <w:rPr>
          <w:rFonts w:hint="eastAsia" w:ascii="方正仿宋_GB2312" w:hAnsi="方正仿宋_GB2312" w:eastAsia="方正仿宋_GB2312" w:cs="方正仿宋_GB2312"/>
          <w:sz w:val="24"/>
          <w:u w:val="single"/>
        </w:rPr>
        <w:t>_     _</w:t>
      </w:r>
      <w:r>
        <w:rPr>
          <w:rFonts w:hint="eastAsia" w:ascii="方正仿宋_GB2312" w:hAnsi="方正仿宋_GB2312" w:eastAsia="方正仿宋_GB2312" w:cs="方正仿宋_GB2312"/>
          <w:sz w:val="24"/>
        </w:rPr>
        <w:t>_），签字代表______</w:t>
      </w:r>
      <w:r>
        <w:rPr>
          <w:rFonts w:hint="eastAsia" w:ascii="方正仿宋_GB2312" w:hAnsi="方正仿宋_GB2312" w:eastAsia="方正仿宋_GB2312" w:cs="方正仿宋_GB2312"/>
          <w:sz w:val="24"/>
          <w:u w:val="single"/>
        </w:rPr>
        <w:t xml:space="preserve">_     </w:t>
      </w:r>
      <w:r>
        <w:rPr>
          <w:rFonts w:hint="eastAsia" w:ascii="方正仿宋_GB2312" w:hAnsi="方正仿宋_GB2312" w:eastAsia="方正仿宋_GB2312" w:cs="方正仿宋_GB2312"/>
          <w:sz w:val="24"/>
        </w:rPr>
        <w:t>（全名）经正式授权并代表投标供应商_____</w:t>
      </w:r>
      <w:r>
        <w:rPr>
          <w:rFonts w:hint="eastAsia" w:ascii="方正仿宋_GB2312" w:hAnsi="方正仿宋_GB2312" w:eastAsia="方正仿宋_GB2312" w:cs="方正仿宋_GB2312"/>
          <w:sz w:val="24"/>
          <w:u w:val="single"/>
        </w:rPr>
        <w:t>__                    __</w:t>
      </w:r>
      <w:r>
        <w:rPr>
          <w:rFonts w:hint="eastAsia" w:ascii="方正仿宋_GB2312" w:hAnsi="方正仿宋_GB2312" w:eastAsia="方正仿宋_GB2312" w:cs="方正仿宋_GB2312"/>
          <w:sz w:val="24"/>
        </w:rPr>
        <w:t>（投标供应商名称）提交电子投标文件、数据电子备份投标文件（U 盘）各一份，包括《资格文件》《技术、商务、资信及其他文件》及《报价文件》。</w:t>
      </w:r>
    </w:p>
    <w:p>
      <w:pPr>
        <w:snapToGrid w:val="0"/>
        <w:spacing w:line="360" w:lineRule="auto"/>
        <w:ind w:firstLine="48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据此函，签字代表宣布同意如下：</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1.投标供应商已详细审查全部“采购文件”，包括修改文件（如有的话）以及全部参考资料和有关附件，已经了解我方对于采购文件、采购过程、采购结果有依法进行询问、质疑、投诉的权利及相关渠道和要求。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2.投标供应商在投标之前已经与贵方进行了充分的沟通，完全理解并接受采购文件的各项规定和要求，对采购文件的合理性、合法性不再有异议。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3.本投标有效期自开标日起 ______个日。</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4.如中标，本投标文件至本项目合同履行完毕止均保持有效，本投标供应商将按“采购文件”及政府采购法律法规的规定履行合同责任和义务。</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5.投标供应商同意按照贵方要求提供与投标有关的一切数据或资料。</w:t>
      </w:r>
    </w:p>
    <w:p>
      <w:pPr>
        <w:snapToGrid w:val="0"/>
        <w:spacing w:line="360" w:lineRule="auto"/>
        <w:ind w:firstLine="480" w:firstLineChars="2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6.与本投标有关的一切正式往来信函请寄：</w:t>
      </w:r>
    </w:p>
    <w:p>
      <w:pPr>
        <w:snapToGrid w:val="0"/>
        <w:spacing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地址：__________</w:t>
      </w:r>
      <w:r>
        <w:rPr>
          <w:rFonts w:hint="eastAsia" w:ascii="方正仿宋_GB2312" w:hAnsi="方正仿宋_GB2312" w:eastAsia="方正仿宋_GB2312" w:cs="方正仿宋_GB2312"/>
          <w:sz w:val="24"/>
          <w:u w:val="single"/>
        </w:rPr>
        <w:t xml:space="preserve">        _</w:t>
      </w:r>
      <w:r>
        <w:rPr>
          <w:rFonts w:hint="eastAsia" w:ascii="方正仿宋_GB2312" w:hAnsi="方正仿宋_GB2312" w:eastAsia="方正仿宋_GB2312" w:cs="方正仿宋_GB2312"/>
          <w:sz w:val="24"/>
        </w:rPr>
        <w:t>____邮编：__________   电话：______________</w:t>
      </w:r>
    </w:p>
    <w:p>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传真：______________投标供应商代表姓名 ___________  职务：______</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_______</w:t>
      </w:r>
    </w:p>
    <w:p>
      <w:pPr>
        <w:snapToGrid w:val="0"/>
        <w:spacing w:line="360" w:lineRule="auto"/>
        <w:rPr>
          <w:rFonts w:hint="eastAsia" w:ascii="方正仿宋_GB2312" w:hAnsi="方正仿宋_GB2312" w:eastAsia="方正仿宋_GB2312" w:cs="方正仿宋_GB2312"/>
          <w:sz w:val="24"/>
        </w:rPr>
      </w:pPr>
    </w:p>
    <w:p>
      <w:pPr>
        <w:snapToGrid w:val="0"/>
        <w:spacing w:line="360" w:lineRule="auto"/>
        <w:rPr>
          <w:rFonts w:hint="eastAsia" w:ascii="方正仿宋_GB2312" w:hAnsi="方正仿宋_GB2312" w:eastAsia="方正仿宋_GB2312" w:cs="方正仿宋_GB2312"/>
          <w:sz w:val="24"/>
          <w:szCs w:val="20"/>
        </w:rPr>
      </w:pPr>
    </w:p>
    <w:p>
      <w:pPr>
        <w:snapToGrid w:val="0"/>
        <w:spacing w:before="120" w:beforeLines="50" w:line="360" w:lineRule="auto"/>
        <w:ind w:firstLine="37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投标供应商全称（公章）：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napToGrid w:val="0"/>
        <w:spacing w:before="120" w:beforeLines="50" w:line="360" w:lineRule="auto"/>
        <w:ind w:firstLine="3780"/>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法定代表人或其授权代表（签字或盖章）：</w:t>
      </w:r>
      <w:r>
        <w:rPr>
          <w:rFonts w:hint="eastAsia" w:ascii="方正仿宋_GB2312" w:hAnsi="方正仿宋_GB2312" w:eastAsia="方正仿宋_GB2312" w:cs="方正仿宋_GB2312"/>
          <w:sz w:val="24"/>
          <w:u w:val="single"/>
        </w:rPr>
        <w:t xml:space="preserve">             </w:t>
      </w:r>
    </w:p>
    <w:p>
      <w:pPr>
        <w:snapToGrid w:val="0"/>
        <w:spacing w:before="120" w:beforeLines="50" w:after="50" w:line="360" w:lineRule="auto"/>
        <w:ind w:firstLine="240" w:firstLineChars="1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 xml:space="preserve">                                             年    月    日</w:t>
      </w:r>
    </w:p>
    <w:p>
      <w:pPr>
        <w:pStyle w:val="33"/>
        <w:snapToGrid w:val="0"/>
        <w:spacing w:before="295" w:after="295" w:line="360" w:lineRule="auto"/>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（2）开标一览表</w:t>
      </w:r>
    </w:p>
    <w:p>
      <w:pPr>
        <w:adjustRightInd w:val="0"/>
        <w:snapToGrid w:val="0"/>
        <w:spacing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项目名称：                                   </w:t>
      </w:r>
    </w:p>
    <w:p>
      <w:pPr>
        <w:spacing w:line="360" w:lineRule="auto"/>
        <w:ind w:right="349" w:rightChars="166"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项目编号：</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3288" w:type="dxa"/>
            <w:vMerge w:val="restart"/>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投标总报价（</w:t>
            </w:r>
            <w:r>
              <w:rPr>
                <w:rFonts w:hint="eastAsia" w:ascii="方正仿宋_GB2312" w:hAnsi="方正仿宋_GB2312" w:eastAsia="方正仿宋_GB2312" w:cs="方正仿宋_GB2312"/>
                <w:color w:val="000000"/>
                <w:sz w:val="24"/>
              </w:rPr>
              <w:t>人民币：元</w:t>
            </w:r>
            <w:r>
              <w:rPr>
                <w:rFonts w:hint="eastAsia" w:ascii="方正仿宋_GB2312" w:hAnsi="方正仿宋_GB2312" w:eastAsia="方正仿宋_GB2312" w:cs="方正仿宋_GB2312"/>
                <w:sz w:val="24"/>
              </w:rPr>
              <w:t>）</w:t>
            </w:r>
          </w:p>
        </w:tc>
        <w:tc>
          <w:tcPr>
            <w:tcW w:w="5674" w:type="dxa"/>
            <w:vAlign w:val="center"/>
          </w:tcPr>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3288" w:type="dxa"/>
            <w:vMerge w:val="continue"/>
            <w:vAlign w:val="center"/>
          </w:tcPr>
          <w:p>
            <w:pPr>
              <w:spacing w:line="360" w:lineRule="auto"/>
              <w:jc w:val="center"/>
              <w:rPr>
                <w:rFonts w:hint="eastAsia" w:ascii="方正仿宋_GB2312" w:hAnsi="方正仿宋_GB2312" w:eastAsia="方正仿宋_GB2312" w:cs="方正仿宋_GB2312"/>
                <w:sz w:val="24"/>
              </w:rPr>
            </w:pPr>
          </w:p>
        </w:tc>
        <w:tc>
          <w:tcPr>
            <w:tcW w:w="5674" w:type="dxa"/>
            <w:vAlign w:val="center"/>
          </w:tcPr>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3288" w:type="dxa"/>
            <w:vAlign w:val="center"/>
          </w:tcPr>
          <w:p>
            <w:pPr>
              <w:spacing w:line="360" w:lineRule="auto"/>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投标有效期</w:t>
            </w:r>
          </w:p>
        </w:tc>
        <w:tc>
          <w:tcPr>
            <w:tcW w:w="5674" w:type="dxa"/>
            <w:vAlign w:val="center"/>
          </w:tcPr>
          <w:p>
            <w:pPr>
              <w:spacing w:line="360" w:lineRule="auto"/>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60天</w:t>
            </w:r>
          </w:p>
        </w:tc>
      </w:tr>
    </w:tbl>
    <w:p>
      <w:pPr>
        <w:pStyle w:val="17"/>
        <w:spacing w:line="360" w:lineRule="auto"/>
        <w:ind w:firstLine="0"/>
        <w:rPr>
          <w:rFonts w:hint="eastAsia" w:ascii="方正仿宋_GB2312" w:hAnsi="方正仿宋_GB2312" w:eastAsia="方正仿宋_GB2312" w:cs="方正仿宋_GB2312"/>
          <w:spacing w:val="20"/>
          <w:sz w:val="24"/>
        </w:rPr>
      </w:pPr>
      <w:r>
        <w:rPr>
          <w:rFonts w:hint="eastAsia" w:ascii="方正仿宋_GB2312" w:hAnsi="方正仿宋_GB2312" w:eastAsia="方正仿宋_GB2312" w:cs="方正仿宋_GB2312"/>
          <w:spacing w:val="20"/>
          <w:sz w:val="24"/>
        </w:rPr>
        <w:t>投标供应商（盖章）：</w:t>
      </w:r>
      <w:r>
        <w:rPr>
          <w:rFonts w:hint="eastAsia" w:ascii="方正仿宋_GB2312" w:hAnsi="方正仿宋_GB2312" w:eastAsia="方正仿宋_GB2312" w:cs="方正仿宋_GB2312"/>
          <w:spacing w:val="20"/>
          <w:sz w:val="24"/>
          <w:u w:val="single"/>
        </w:rPr>
        <w:t xml:space="preserve">            </w:t>
      </w:r>
      <w:r>
        <w:rPr>
          <w:rFonts w:hint="eastAsia" w:ascii="方正仿宋_GB2312" w:hAnsi="方正仿宋_GB2312" w:eastAsia="方正仿宋_GB2312" w:cs="方正仿宋_GB2312"/>
          <w:spacing w:val="20"/>
          <w:sz w:val="24"/>
        </w:rPr>
        <w:t xml:space="preserve"> </w:t>
      </w:r>
    </w:p>
    <w:p>
      <w:pPr>
        <w:pStyle w:val="17"/>
        <w:spacing w:line="360" w:lineRule="auto"/>
        <w:ind w:firstLine="0"/>
        <w:rPr>
          <w:rFonts w:hint="eastAsia" w:ascii="方正仿宋_GB2312" w:hAnsi="方正仿宋_GB2312" w:eastAsia="方正仿宋_GB2312" w:cs="方正仿宋_GB2312"/>
          <w:spacing w:val="20"/>
          <w:sz w:val="24"/>
          <w:u w:val="single"/>
        </w:rPr>
      </w:pPr>
      <w:r>
        <w:rPr>
          <w:rFonts w:hint="eastAsia" w:ascii="方正仿宋_GB2312" w:hAnsi="方正仿宋_GB2312" w:eastAsia="方正仿宋_GB2312" w:cs="方正仿宋_GB2312"/>
          <w:sz w:val="24"/>
          <w:szCs w:val="24"/>
        </w:rPr>
        <w:t>法定代表人或其授权代表（签字或盖章）</w:t>
      </w:r>
      <w:r>
        <w:rPr>
          <w:rFonts w:hint="eastAsia" w:ascii="方正仿宋_GB2312" w:hAnsi="方正仿宋_GB2312" w:eastAsia="方正仿宋_GB2312" w:cs="方正仿宋_GB2312"/>
          <w:spacing w:val="20"/>
          <w:sz w:val="24"/>
        </w:rPr>
        <w:t>：</w:t>
      </w:r>
      <w:r>
        <w:rPr>
          <w:rFonts w:hint="eastAsia" w:ascii="方正仿宋_GB2312" w:hAnsi="方正仿宋_GB2312" w:eastAsia="方正仿宋_GB2312" w:cs="方正仿宋_GB2312"/>
          <w:spacing w:val="20"/>
          <w:sz w:val="24"/>
          <w:u w:val="single"/>
        </w:rPr>
        <w:t xml:space="preserve">            </w:t>
      </w:r>
    </w:p>
    <w:p>
      <w:pPr>
        <w:spacing w:line="360" w:lineRule="auto"/>
        <w:jc w:val="left"/>
        <w:rPr>
          <w:rFonts w:hint="eastAsia" w:ascii="方正仿宋_GB2312" w:hAnsi="方正仿宋_GB2312" w:eastAsia="方正仿宋_GB2312" w:cs="方正仿宋_GB2312"/>
          <w:sz w:val="24"/>
        </w:rPr>
      </w:pPr>
    </w:p>
    <w:p>
      <w:pPr>
        <w:spacing w:line="360" w:lineRule="auto"/>
        <w:jc w:val="left"/>
        <w:rPr>
          <w:rFonts w:hint="eastAsia" w:ascii="方正仿宋_GB2312" w:hAnsi="方正仿宋_GB2312" w:eastAsia="方正仿宋_GB2312" w:cs="方正仿宋_GB2312"/>
          <w:sz w:val="24"/>
        </w:rPr>
      </w:pPr>
    </w:p>
    <w:p>
      <w:pPr>
        <w:spacing w:line="360" w:lineRule="auto"/>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 </w:t>
      </w:r>
    </w:p>
    <w:p>
      <w:pPr>
        <w:spacing w:line="360" w:lineRule="auto"/>
        <w:ind w:left="590" w:leftChars="-66" w:hanging="729" w:hangingChars="304"/>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w:t>
      </w:r>
    </w:p>
    <w:p>
      <w:pPr>
        <w:spacing w:line="360" w:lineRule="auto"/>
        <w:ind w:left="472" w:leftChars="106" w:hanging="249" w:hangingChars="104"/>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 开标一览表中的报价为完成本项目的所有费用。</w:t>
      </w:r>
    </w:p>
    <w:p>
      <w:pPr>
        <w:spacing w:line="360" w:lineRule="auto"/>
        <w:ind w:left="472" w:leftChars="106" w:hanging="249" w:hangingChars="104"/>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 此栏内投标总价应与 “</w:t>
      </w:r>
      <w:r>
        <w:rPr>
          <w:rFonts w:hint="eastAsia" w:ascii="方正仿宋_GB2312" w:hAnsi="方正仿宋_GB2312" w:eastAsia="方正仿宋_GB2312" w:cs="方正仿宋_GB2312"/>
          <w:bCs/>
          <w:sz w:val="24"/>
        </w:rPr>
        <w:t>报价明细表</w:t>
      </w:r>
      <w:r>
        <w:rPr>
          <w:rFonts w:hint="eastAsia" w:ascii="方正仿宋_GB2312" w:hAnsi="方正仿宋_GB2312" w:eastAsia="方正仿宋_GB2312" w:cs="方正仿宋_GB2312"/>
          <w:sz w:val="24"/>
        </w:rPr>
        <w:t>”中汇总金额相一致。</w:t>
      </w:r>
    </w:p>
    <w:p>
      <w:pPr>
        <w:spacing w:line="360" w:lineRule="auto"/>
        <w:ind w:left="472" w:leftChars="106" w:hanging="249" w:hangingChars="104"/>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3.报价一经涂改，应在涂改处加盖单位公章或者由法定代表人或授权委托人签字或盖章，否则其投标作无效标处理。</w:t>
      </w:r>
    </w:p>
    <w:p>
      <w:pPr>
        <w:spacing w:line="360" w:lineRule="auto"/>
        <w:jc w:val="left"/>
        <w:rPr>
          <w:rFonts w:hint="eastAsia" w:ascii="方正仿宋_GB2312" w:hAnsi="方正仿宋_GB2312" w:eastAsia="方正仿宋_GB2312" w:cs="方正仿宋_GB2312"/>
          <w:b/>
          <w:sz w:val="24"/>
        </w:rPr>
      </w:pPr>
    </w:p>
    <w:p>
      <w:pPr>
        <w:spacing w:line="360" w:lineRule="auto"/>
        <w:jc w:val="left"/>
        <w:rPr>
          <w:rFonts w:hint="eastAsia" w:ascii="方正仿宋_GB2312" w:hAnsi="方正仿宋_GB2312" w:eastAsia="方正仿宋_GB2312" w:cs="方正仿宋_GB2312"/>
          <w:sz w:val="24"/>
        </w:rPr>
      </w:pPr>
    </w:p>
    <w:p>
      <w:pPr>
        <w:pStyle w:val="17"/>
        <w:spacing w:line="360" w:lineRule="auto"/>
        <w:rPr>
          <w:rFonts w:hint="eastAsia" w:ascii="方正仿宋_GB2312" w:hAnsi="方正仿宋_GB2312" w:eastAsia="方正仿宋_GB2312" w:cs="方正仿宋_GB2312"/>
          <w:b/>
          <w:sz w:val="24"/>
        </w:rPr>
      </w:pPr>
    </w:p>
    <w:p>
      <w:pPr>
        <w:spacing w:line="360" w:lineRule="auto"/>
        <w:rPr>
          <w:rFonts w:hint="eastAsia" w:ascii="方正仿宋_GB2312" w:hAnsi="方正仿宋_GB2312" w:eastAsia="方正仿宋_GB2312" w:cs="方正仿宋_GB2312"/>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snapToGrid w:val="0"/>
        <w:spacing w:line="360" w:lineRule="auto"/>
        <w:ind w:firstLine="3424" w:firstLineChars="1421"/>
        <w:rPr>
          <w:rFonts w:hint="eastAsia" w:ascii="方正仿宋_GB2312" w:hAnsi="方正仿宋_GB2312" w:eastAsia="方正仿宋_GB2312" w:cs="方正仿宋_GB2312"/>
          <w:b/>
          <w:sz w:val="24"/>
        </w:rPr>
      </w:pPr>
    </w:p>
    <w:p>
      <w:pPr>
        <w:pStyle w:val="33"/>
        <w:numPr>
          <w:ilvl w:val="0"/>
          <w:numId w:val="7"/>
        </w:numPr>
        <w:snapToGrid w:val="0"/>
        <w:spacing w:before="295" w:after="295" w:line="360" w:lineRule="auto"/>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报价明细表</w:t>
      </w:r>
    </w:p>
    <w:p>
      <w:pPr>
        <w:pStyle w:val="3"/>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 xml:space="preserve">项目名称：                        </w:t>
      </w:r>
    </w:p>
    <w:p>
      <w:pPr>
        <w:pStyle w:val="36"/>
        <w:ind w:left="0"/>
        <w:rPr>
          <w:rFonts w:hint="eastAsia" w:ascii="方正仿宋_GB2312" w:hAnsi="方正仿宋_GB2312" w:eastAsia="方正仿宋_GB2312" w:cs="方正仿宋_GB2312"/>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4"/>
        <w:gridCol w:w="1579"/>
        <w:gridCol w:w="1050"/>
        <w:gridCol w:w="123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w:t>
            </w: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详细说明</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单价</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p>
        </w:tc>
        <w:tc>
          <w:tcPr>
            <w:tcW w:w="38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总价</w:t>
            </w:r>
          </w:p>
        </w:tc>
        <w:tc>
          <w:tcPr>
            <w:tcW w:w="4412" w:type="dxa"/>
            <w:gridSpan w:val="3"/>
            <w:tcBorders>
              <w:top w:val="single" w:color="auto" w:sz="4" w:space="0"/>
              <w:left w:val="single" w:color="auto" w:sz="4" w:space="0"/>
              <w:bottom w:val="single" w:color="auto" w:sz="4" w:space="0"/>
              <w:right w:val="single" w:color="auto" w:sz="4" w:space="0"/>
            </w:tcBorders>
            <w:vAlign w:val="center"/>
          </w:tcPr>
          <w:p>
            <w:pPr>
              <w:spacing w:before="24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人民币</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元（￥</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tc>
      </w:tr>
    </w:tbl>
    <w:p>
      <w:pPr>
        <w:widowControl/>
        <w:spacing w:line="360" w:lineRule="auto"/>
        <w:jc w:val="left"/>
        <w:rPr>
          <w:rFonts w:hint="eastAsia" w:ascii="方正仿宋_GB2312" w:hAnsi="方正仿宋_GB2312" w:eastAsia="方正仿宋_GB2312" w:cs="方正仿宋_GB2312"/>
          <w:color w:val="000000"/>
          <w:kern w:val="0"/>
          <w:sz w:val="24"/>
          <w:lang w:bidi="ar"/>
        </w:rPr>
      </w:pPr>
    </w:p>
    <w:p>
      <w:pPr>
        <w:widowControl/>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4"/>
          <w:lang w:bidi="ar"/>
        </w:rPr>
        <w:t>注：1.本表所列项目应根据实际情况填写，并</w:t>
      </w:r>
      <w:r>
        <w:rPr>
          <w:rFonts w:hint="eastAsia" w:ascii="方正仿宋_GB2312" w:hAnsi="方正仿宋_GB2312" w:eastAsia="方正仿宋_GB2312" w:cs="方正仿宋_GB2312"/>
          <w:b/>
          <w:color w:val="000000"/>
          <w:kern w:val="0"/>
          <w:sz w:val="24"/>
          <w:lang w:bidi="ar"/>
        </w:rPr>
        <w:t>计入投标总价</w:t>
      </w:r>
      <w:r>
        <w:rPr>
          <w:rFonts w:hint="eastAsia" w:ascii="方正仿宋_GB2312" w:hAnsi="方正仿宋_GB2312" w:eastAsia="方正仿宋_GB2312" w:cs="方正仿宋_GB2312"/>
          <w:color w:val="000000"/>
          <w:kern w:val="0"/>
          <w:sz w:val="24"/>
          <w:lang w:bidi="ar"/>
        </w:rPr>
        <w:t xml:space="preserve">； </w:t>
      </w:r>
    </w:p>
    <w:p>
      <w:pPr>
        <w:widowControl/>
        <w:spacing w:line="360" w:lineRule="auto"/>
        <w:jc w:val="left"/>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 xml:space="preserve">2.此表仅提供了表格形式，供应商应根据需要准备足够数量的表格来填写； </w:t>
      </w:r>
    </w:p>
    <w:p>
      <w:pPr>
        <w:pStyle w:val="232"/>
        <w:spacing w:line="360" w:lineRule="auto"/>
        <w:ind w:firstLine="0" w:firstLineChars="0"/>
        <w:rPr>
          <w:rFonts w:hint="eastAsia" w:ascii="方正仿宋_GB2312" w:hAnsi="方正仿宋_GB2312" w:eastAsia="方正仿宋_GB2312" w:cs="方正仿宋_GB2312"/>
          <w:sz w:val="24"/>
        </w:rPr>
      </w:pPr>
    </w:p>
    <w:p>
      <w:pPr>
        <w:snapToGrid w:val="0"/>
        <w:spacing w:before="120" w:beforeLines="50" w:line="360" w:lineRule="auto"/>
        <w:ind w:firstLine="37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投标供应商全称（公章）：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napToGrid w:val="0"/>
        <w:spacing w:before="120" w:beforeLines="50" w:line="360" w:lineRule="auto"/>
        <w:ind w:firstLine="3780"/>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法定代表人或其授权代表（签字或盖章）：</w:t>
      </w:r>
      <w:r>
        <w:rPr>
          <w:rFonts w:hint="eastAsia" w:ascii="方正仿宋_GB2312" w:hAnsi="方正仿宋_GB2312" w:eastAsia="方正仿宋_GB2312" w:cs="方正仿宋_GB2312"/>
          <w:sz w:val="24"/>
          <w:u w:val="single"/>
        </w:rPr>
        <w:t xml:space="preserve">             </w:t>
      </w:r>
    </w:p>
    <w:p>
      <w:pPr>
        <w:snapToGrid w:val="0"/>
        <w:spacing w:before="120" w:beforeLines="50" w:after="50" w:line="360" w:lineRule="auto"/>
        <w:ind w:firstLine="6840" w:firstLineChars="28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w:t>
      </w:r>
    </w:p>
    <w:p>
      <w:pPr>
        <w:snapToGrid w:val="0"/>
        <w:spacing w:line="360" w:lineRule="auto"/>
        <w:ind w:firstLine="3424" w:firstLineChars="1421"/>
        <w:rPr>
          <w:rFonts w:hint="eastAsia" w:ascii="方正仿宋_GB2312" w:hAnsi="方正仿宋_GB2312" w:eastAsia="方正仿宋_GB2312" w:cs="方正仿宋_GB2312"/>
          <w:b/>
          <w:sz w:val="24"/>
        </w:rPr>
      </w:pPr>
    </w:p>
    <w:p>
      <w:pPr>
        <w:pStyle w:val="17"/>
        <w:spacing w:line="360" w:lineRule="auto"/>
        <w:rPr>
          <w:rFonts w:hint="eastAsia" w:ascii="方正仿宋_GB2312" w:hAnsi="方正仿宋_GB2312" w:eastAsia="方正仿宋_GB2312" w:cs="方正仿宋_GB2312"/>
          <w:b/>
          <w:sz w:val="24"/>
        </w:rPr>
      </w:pPr>
    </w:p>
    <w:p>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（4）代理服务费承诺函</w:t>
      </w:r>
    </w:p>
    <w:p>
      <w:pPr>
        <w:spacing w:line="360" w:lineRule="auto"/>
        <w:rPr>
          <w:rFonts w:hint="eastAsia" w:ascii="方正仿宋_GB2312" w:hAnsi="方正仿宋_GB2312" w:eastAsia="方正仿宋_GB2312" w:cs="方正仿宋_GB2312"/>
          <w:sz w:val="24"/>
        </w:rPr>
      </w:pPr>
    </w:p>
    <w:p>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建正工程咨询有限公司：</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w:t>
      </w:r>
      <w:r>
        <w:rPr>
          <w:rFonts w:hint="eastAsia" w:ascii="方正仿宋_GB2312" w:hAnsi="方正仿宋_GB2312" w:eastAsia="方正仿宋_GB2312" w:cs="方正仿宋_GB2312"/>
          <w:sz w:val="24"/>
          <w:u w:val="single"/>
        </w:rPr>
        <w:t>湖州市医疗保障局疾病相关分组（DRGS）结合点数法医保支付专业化服务项目</w:t>
      </w:r>
      <w:r>
        <w:rPr>
          <w:rFonts w:hint="eastAsia" w:ascii="方正仿宋_GB2312" w:hAnsi="方正仿宋_GB2312" w:eastAsia="方正仿宋_GB2312" w:cs="方正仿宋_GB2312"/>
          <w:sz w:val="24"/>
        </w:rPr>
        <w:t>采购文件规定，一旦我公司中标，由我公司全额支付本项目的采购代理服务费，在我公司收到中标通知书前一次性向贵公司缴清。</w:t>
      </w:r>
    </w:p>
    <w:p>
      <w:pPr>
        <w:spacing w:line="360" w:lineRule="auto"/>
        <w:ind w:firstLine="570"/>
        <w:rPr>
          <w:rFonts w:hint="eastAsia" w:ascii="方正仿宋_GB2312" w:hAnsi="方正仿宋_GB2312" w:eastAsia="方正仿宋_GB2312" w:cs="方正仿宋_GB2312"/>
          <w:sz w:val="24"/>
        </w:rPr>
      </w:pPr>
    </w:p>
    <w:p>
      <w:pPr>
        <w:spacing w:line="360" w:lineRule="auto"/>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本承诺函自开标之日起至本次采购期满有效。</w:t>
      </w:r>
    </w:p>
    <w:p>
      <w:pPr>
        <w:spacing w:line="360" w:lineRule="auto"/>
        <w:ind w:firstLine="570"/>
        <w:rPr>
          <w:rFonts w:hint="eastAsia" w:ascii="方正仿宋_GB2312" w:hAnsi="方正仿宋_GB2312" w:eastAsia="方正仿宋_GB2312" w:cs="方正仿宋_GB2312"/>
          <w:sz w:val="24"/>
        </w:rPr>
      </w:pPr>
    </w:p>
    <w:p>
      <w:pPr>
        <w:spacing w:line="360" w:lineRule="auto"/>
        <w:ind w:firstLine="570"/>
        <w:rPr>
          <w:rFonts w:hint="eastAsia" w:ascii="方正仿宋_GB2312" w:hAnsi="方正仿宋_GB2312" w:eastAsia="方正仿宋_GB2312" w:cs="方正仿宋_GB2312"/>
          <w:sz w:val="24"/>
        </w:rPr>
      </w:pPr>
    </w:p>
    <w:p>
      <w:pPr>
        <w:pStyle w:val="17"/>
        <w:spacing w:line="360" w:lineRule="auto"/>
        <w:ind w:firstLine="3720" w:firstLineChars="15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投标供应商：（盖章）</w:t>
      </w:r>
    </w:p>
    <w:p>
      <w:pPr>
        <w:pStyle w:val="17"/>
        <w:spacing w:line="360" w:lineRule="auto"/>
        <w:ind w:firstLine="3360" w:firstLineChars="14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rPr>
        <w:t>法定代表人或其授权代表（签字或盖章）</w:t>
      </w:r>
    </w:p>
    <w:p>
      <w:pPr>
        <w:pStyle w:val="17"/>
        <w:spacing w:line="360" w:lineRule="auto"/>
        <w:ind w:firstLine="5250" w:firstLineChars="2500"/>
        <w:rPr>
          <w:rFonts w:hint="eastAsia" w:ascii="方正仿宋_GB2312" w:hAnsi="方正仿宋_GB2312" w:eastAsia="方正仿宋_GB2312" w:cs="方正仿宋_GB2312"/>
          <w:spacing w:val="14"/>
        </w:rPr>
      </w:pPr>
      <w:r>
        <w:rPr>
          <w:rFonts w:hint="eastAsia" w:ascii="方正仿宋_GB2312" w:hAnsi="方正仿宋_GB2312" w:eastAsia="方正仿宋_GB2312" w:cs="方正仿宋_GB2312"/>
        </w:rPr>
        <w:t>日期：    年   月   日</w:t>
      </w:r>
    </w:p>
    <w:p>
      <w:pPr>
        <w:snapToGrid w:val="0"/>
        <w:spacing w:line="360" w:lineRule="auto"/>
        <w:jc w:val="center"/>
        <w:rPr>
          <w:rFonts w:hint="eastAsia" w:ascii="方正仿宋_GB2312" w:hAnsi="方正仿宋_GB2312" w:eastAsia="方正仿宋_GB2312" w:cs="方正仿宋_GB2312"/>
          <w:b/>
          <w:sz w:val="24"/>
          <w:szCs w:val="20"/>
        </w:rPr>
      </w:pPr>
    </w:p>
    <w:p>
      <w:pPr>
        <w:snapToGrid w:val="0"/>
        <w:spacing w:line="360" w:lineRule="auto"/>
        <w:ind w:firstLine="465"/>
        <w:jc w:val="center"/>
        <w:rPr>
          <w:rFonts w:hint="eastAsia" w:ascii="方正仿宋_GB2312" w:hAnsi="方正仿宋_GB2312" w:eastAsia="方正仿宋_GB2312" w:cs="方正仿宋_GB2312"/>
          <w:b/>
          <w:sz w:val="24"/>
        </w:rPr>
      </w:pPr>
    </w:p>
    <w:p>
      <w:pPr>
        <w:spacing w:line="360" w:lineRule="auto"/>
        <w:rPr>
          <w:rFonts w:hint="eastAsia" w:ascii="方正仿宋_GB2312" w:hAnsi="方正仿宋_GB2312" w:eastAsia="方正仿宋_GB2312" w:cs="方正仿宋_GB2312"/>
          <w:szCs w:val="28"/>
          <w:u w:val="dotted"/>
        </w:rPr>
      </w:pPr>
      <w:r>
        <w:rPr>
          <w:rFonts w:hint="eastAsia" w:ascii="方正仿宋_GB2312" w:hAnsi="方正仿宋_GB2312" w:eastAsia="方正仿宋_GB2312" w:cs="方正仿宋_GB2312"/>
          <w:b/>
          <w:sz w:val="24"/>
        </w:rPr>
        <w:tab/>
      </w:r>
      <w:r>
        <w:rPr>
          <w:rFonts w:hint="eastAsia" w:ascii="方正仿宋_GB2312" w:hAnsi="方正仿宋_GB2312" w:eastAsia="方正仿宋_GB2312" w:cs="方正仿宋_GB2312"/>
          <w:szCs w:val="28"/>
          <w:u w:val="dotted"/>
        </w:rPr>
        <w:t xml:space="preserve">                                                                                      </w:t>
      </w:r>
    </w:p>
    <w:p>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代理费汇款账号：</w:t>
      </w:r>
    </w:p>
    <w:p>
      <w:pPr>
        <w:widowControl/>
        <w:spacing w:line="360" w:lineRule="auto"/>
        <w:ind w:firstLine="480" w:firstLineChars="200"/>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账户名称：</w:t>
      </w:r>
      <w:r>
        <w:rPr>
          <w:rFonts w:hint="eastAsia" w:ascii="方正仿宋_GB2312" w:hAnsi="方正仿宋_GB2312" w:eastAsia="方正仿宋_GB2312" w:cs="方正仿宋_GB2312"/>
          <w:bCs/>
          <w:color w:val="000000"/>
          <w:kern w:val="0"/>
          <w:sz w:val="24"/>
        </w:rPr>
        <w:t>建正工程咨询有限公司湖州分公司</w:t>
      </w:r>
    </w:p>
    <w:p>
      <w:pPr>
        <w:spacing w:line="360" w:lineRule="auto"/>
        <w:ind w:firstLine="480" w:firstLineChars="200"/>
        <w:jc w:val="left"/>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sz w:val="24"/>
        </w:rPr>
        <w:t>开户银行：交通银行湖州南太湖新区支行</w:t>
      </w:r>
      <w:r>
        <w:rPr>
          <w:rFonts w:hint="eastAsia" w:ascii="方正仿宋_GB2312" w:hAnsi="方正仿宋_GB2312" w:eastAsia="方正仿宋_GB2312" w:cs="方正仿宋_GB2312"/>
          <w:bCs/>
          <w:color w:val="000000"/>
          <w:kern w:val="0"/>
          <w:sz w:val="24"/>
        </w:rPr>
        <w:t xml:space="preserve">             </w:t>
      </w:r>
    </w:p>
    <w:p>
      <w:pPr>
        <w:widowControl/>
        <w:spacing w:line="360" w:lineRule="auto"/>
        <w:ind w:firstLine="480" w:firstLineChars="200"/>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银行账号：3350 6170 6018 0102 14706</w:t>
      </w:r>
    </w:p>
    <w:p>
      <w:pPr>
        <w:snapToGrid w:val="0"/>
        <w:spacing w:before="50" w:after="120" w:afterLines="50" w:line="360" w:lineRule="auto"/>
        <w:jc w:val="left"/>
        <w:rPr>
          <w:rFonts w:hint="eastAsia" w:ascii="方正仿宋_GB2312" w:hAnsi="方正仿宋_GB2312" w:eastAsia="方正仿宋_GB2312" w:cs="方正仿宋_GB2312"/>
          <w:b/>
          <w:sz w:val="30"/>
          <w:szCs w:val="30"/>
        </w:rPr>
      </w:pPr>
    </w:p>
    <w:p>
      <w:pPr>
        <w:snapToGrid w:val="0"/>
        <w:spacing w:before="50" w:after="120" w:afterLines="50" w:line="360" w:lineRule="auto"/>
        <w:jc w:val="left"/>
        <w:rPr>
          <w:rFonts w:hint="eastAsia" w:ascii="方正仿宋_GB2312" w:hAnsi="方正仿宋_GB2312" w:eastAsia="方正仿宋_GB2312" w:cs="方正仿宋_GB2312"/>
          <w:b/>
          <w:sz w:val="30"/>
          <w:szCs w:val="30"/>
        </w:rPr>
      </w:pPr>
    </w:p>
    <w:p>
      <w:pPr>
        <w:tabs>
          <w:tab w:val="left" w:pos="720"/>
        </w:tabs>
        <w:spacing w:line="360" w:lineRule="auto"/>
        <w:ind w:left="-2" w:leftChars="-1" w:firstLine="412" w:firstLineChars="171"/>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p>
    <w:p>
      <w:pPr>
        <w:snapToGrid w:val="0"/>
        <w:spacing w:line="360" w:lineRule="auto"/>
        <w:ind w:firstLine="470" w:firstLineChars="195"/>
        <w:jc w:val="center"/>
        <w:rPr>
          <w:rFonts w:hint="eastAsia" w:ascii="方正仿宋_GB2312" w:hAnsi="方正仿宋_GB2312" w:eastAsia="方正仿宋_GB2312" w:cs="方正仿宋_GB2312"/>
          <w:b/>
          <w:bCs/>
          <w:sz w:val="24"/>
        </w:rPr>
      </w:pPr>
    </w:p>
    <w:p>
      <w:pPr>
        <w:tabs>
          <w:tab w:val="left" w:pos="720"/>
        </w:tabs>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（5）政策分相关证明资料：</w:t>
      </w:r>
    </w:p>
    <w:p>
      <w:pPr>
        <w:pStyle w:val="33"/>
        <w:spacing w:before="120" w:line="360" w:lineRule="auto"/>
        <w:ind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1）小微企业声明函</w:t>
      </w:r>
    </w:p>
    <w:p>
      <w:pPr>
        <w:pStyle w:val="60"/>
        <w:ind w:left="0" w:leftChars="0" w:firstLine="0" w:firstLineChars="0"/>
        <w:rPr>
          <w:rFonts w:hint="eastAsia" w:ascii="方正仿宋_GB2312" w:hAnsi="方正仿宋_GB2312" w:eastAsia="方正仿宋_GB2312" w:cs="方正仿宋_GB2312"/>
        </w:rPr>
      </w:pPr>
    </w:p>
    <w:p>
      <w:pPr>
        <w:spacing w:line="360" w:lineRule="auto"/>
        <w:ind w:firstLine="720" w:firstLineChars="3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w:t>
      </w:r>
      <w:r>
        <w:rPr>
          <w:rFonts w:hint="eastAsia" w:ascii="方正仿宋_GB2312" w:hAnsi="方正仿宋_GB2312" w:eastAsia="方正仿宋_GB2312" w:cs="方正仿宋_GB2312"/>
          <w:sz w:val="24"/>
          <w:u w:val="single"/>
        </w:rPr>
        <w:t>（单位名称）</w:t>
      </w:r>
      <w:r>
        <w:rPr>
          <w:rFonts w:hint="eastAsia" w:ascii="方正仿宋_GB2312" w:hAnsi="方正仿宋_GB2312" w:eastAsia="方正仿宋_GB2312" w:cs="方正仿宋_GB2312"/>
          <w:sz w:val="24"/>
        </w:rPr>
        <w:t>的</w:t>
      </w:r>
      <w:r>
        <w:rPr>
          <w:rFonts w:hint="eastAsia" w:ascii="方正仿宋_GB2312" w:hAnsi="方正仿宋_GB2312" w:eastAsia="方正仿宋_GB2312" w:cs="方正仿宋_GB2312"/>
          <w:sz w:val="24"/>
          <w:u w:val="single"/>
        </w:rPr>
        <w:t>（项目名称）</w:t>
      </w:r>
      <w:r>
        <w:rPr>
          <w:rFonts w:hint="eastAsia" w:ascii="方正仿宋_GB2312" w:hAnsi="方正仿宋_GB2312" w:eastAsia="方正仿宋_GB2312" w:cs="方正仿宋_GB2312"/>
          <w:sz w:val="24"/>
        </w:rPr>
        <w:t>采购活动，服务全部由符合政策要求的中小企业承接。相关企业（含联合体中的中小企业、签订分包意向协议的中小企业）的具体情况如下：</w:t>
      </w:r>
    </w:p>
    <w:p>
      <w:pPr>
        <w:pStyle w:val="60"/>
        <w:spacing w:line="36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1.</w:t>
      </w:r>
      <w:r>
        <w:rPr>
          <w:rFonts w:hint="eastAsia" w:ascii="方正仿宋_GB2312" w:hAnsi="方正仿宋_GB2312" w:eastAsia="方正仿宋_GB2312" w:cs="方正仿宋_GB2312"/>
          <w:u w:val="single"/>
        </w:rPr>
        <w:t>（标的名称）</w:t>
      </w:r>
      <w:r>
        <w:rPr>
          <w:rFonts w:hint="eastAsia" w:ascii="方正仿宋_GB2312" w:hAnsi="方正仿宋_GB2312" w:eastAsia="方正仿宋_GB2312" w:cs="方正仿宋_GB2312"/>
        </w:rPr>
        <w:t xml:space="preserve"> ，属于</w:t>
      </w:r>
      <w:r>
        <w:rPr>
          <w:rFonts w:hint="eastAsia" w:ascii="方正仿宋_GB2312" w:hAnsi="方正仿宋_GB2312" w:eastAsia="方正仿宋_GB2312" w:cs="方正仿宋_GB2312"/>
          <w:u w:val="single"/>
        </w:rPr>
        <w:t>（采购文件中明确的所属行业）</w:t>
      </w:r>
      <w:r>
        <w:rPr>
          <w:rFonts w:hint="eastAsia" w:ascii="方正仿宋_GB2312" w:hAnsi="方正仿宋_GB2312" w:eastAsia="方正仿宋_GB2312" w:cs="方正仿宋_GB2312"/>
        </w:rPr>
        <w:t>行业；承建（承接）企业为</w:t>
      </w:r>
      <w:r>
        <w:rPr>
          <w:rFonts w:hint="eastAsia" w:ascii="方正仿宋_GB2312" w:hAnsi="方正仿宋_GB2312" w:eastAsia="方正仿宋_GB2312" w:cs="方正仿宋_GB2312"/>
          <w:u w:val="single"/>
        </w:rPr>
        <w:t>（企业名称）</w:t>
      </w:r>
      <w:r>
        <w:rPr>
          <w:rFonts w:hint="eastAsia" w:ascii="方正仿宋_GB2312" w:hAnsi="方正仿宋_GB2312" w:eastAsia="方正仿宋_GB2312" w:cs="方正仿宋_GB2312"/>
        </w:rPr>
        <w:t>，从业人员</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人，营业收入为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万元，资产总额为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万元，属于</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（中型企业、小型企业、微型企业）；</w:t>
      </w:r>
    </w:p>
    <w:p>
      <w:pPr>
        <w:pStyle w:val="60"/>
        <w:spacing w:line="360" w:lineRule="auto"/>
        <w:ind w:firstLine="46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u w:val="single"/>
        </w:rPr>
        <w:t>（标的名称）</w:t>
      </w:r>
      <w:r>
        <w:rPr>
          <w:rFonts w:hint="eastAsia" w:ascii="方正仿宋_GB2312" w:hAnsi="方正仿宋_GB2312" w:eastAsia="方正仿宋_GB2312" w:cs="方正仿宋_GB2312"/>
        </w:rPr>
        <w:t xml:space="preserve"> ，属于</w:t>
      </w:r>
      <w:r>
        <w:rPr>
          <w:rFonts w:hint="eastAsia" w:ascii="方正仿宋_GB2312" w:hAnsi="方正仿宋_GB2312" w:eastAsia="方正仿宋_GB2312" w:cs="方正仿宋_GB2312"/>
          <w:u w:val="single"/>
        </w:rPr>
        <w:t>（采购文件中明确的所属行业）</w:t>
      </w:r>
      <w:r>
        <w:rPr>
          <w:rFonts w:hint="eastAsia" w:ascii="方正仿宋_GB2312" w:hAnsi="方正仿宋_GB2312" w:eastAsia="方正仿宋_GB2312" w:cs="方正仿宋_GB2312"/>
        </w:rPr>
        <w:t>行业；承建（承接）企业为</w:t>
      </w:r>
      <w:r>
        <w:rPr>
          <w:rFonts w:hint="eastAsia" w:ascii="方正仿宋_GB2312" w:hAnsi="方正仿宋_GB2312" w:eastAsia="方正仿宋_GB2312" w:cs="方正仿宋_GB2312"/>
          <w:u w:val="single"/>
        </w:rPr>
        <w:t>（企业名称）</w:t>
      </w:r>
      <w:r>
        <w:rPr>
          <w:rFonts w:hint="eastAsia" w:ascii="方正仿宋_GB2312" w:hAnsi="方正仿宋_GB2312" w:eastAsia="方正仿宋_GB2312" w:cs="方正仿宋_GB2312"/>
        </w:rPr>
        <w:t>，从业人员</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人，营业收入为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万元，资产总额为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万元</w:t>
      </w:r>
      <w:r>
        <w:rPr>
          <w:rFonts w:hint="eastAsia" w:ascii="方正仿宋_GB2312" w:hAnsi="方正仿宋_GB2312" w:eastAsia="方正仿宋_GB2312" w:cs="方正仿宋_GB2312"/>
          <w:vertAlign w:val="superscript"/>
        </w:rPr>
        <w:t>1</w:t>
      </w:r>
      <w:r>
        <w:rPr>
          <w:rFonts w:hint="eastAsia" w:ascii="方正仿宋_GB2312" w:hAnsi="方正仿宋_GB2312" w:eastAsia="方正仿宋_GB2312" w:cs="方正仿宋_GB2312"/>
        </w:rPr>
        <w:t>，属于</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（中型企业、小型企业、微型企业）；</w:t>
      </w:r>
    </w:p>
    <w:p>
      <w:pPr>
        <w:pStyle w:val="60"/>
        <w:spacing w:line="360" w:lineRule="auto"/>
        <w:ind w:firstLine="46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w:t>
      </w:r>
    </w:p>
    <w:p>
      <w:pPr>
        <w:pStyle w:val="60"/>
        <w:spacing w:line="360" w:lineRule="auto"/>
        <w:ind w:firstLine="46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以上企业，不属于大企业的分支机构，不存在控股股东为大企业的情形，也不存在与大企业的负责人为同一人的情形。</w:t>
      </w:r>
    </w:p>
    <w:p>
      <w:pPr>
        <w:pStyle w:val="60"/>
        <w:spacing w:line="360" w:lineRule="auto"/>
        <w:ind w:firstLine="46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本企业对上述声明内容的真实性负责。如有虚假，将依法承担相应责任。</w:t>
      </w:r>
    </w:p>
    <w:p>
      <w:pPr>
        <w:spacing w:line="460" w:lineRule="atLeast"/>
        <w:ind w:firstLine="480" w:firstLineChars="20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pPr>
        <w:spacing w:line="460" w:lineRule="atLeast"/>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 xml:space="preserve">                                             企业名称（盖章）：</w:t>
      </w:r>
    </w:p>
    <w:p>
      <w:pPr>
        <w:spacing w:line="460" w:lineRule="atLeast"/>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 xml:space="preserve">                               日 期：</w:t>
      </w:r>
    </w:p>
    <w:p>
      <w:pPr>
        <w:pStyle w:val="60"/>
        <w:ind w:firstLine="466"/>
        <w:rPr>
          <w:rFonts w:hint="eastAsia" w:ascii="方正仿宋_GB2312" w:hAnsi="方正仿宋_GB2312" w:eastAsia="方正仿宋_GB2312" w:cs="方正仿宋_GB2312"/>
          <w:b/>
          <w:bCs/>
        </w:rPr>
      </w:pPr>
    </w:p>
    <w:p>
      <w:pPr>
        <w:pStyle w:val="60"/>
        <w:ind w:left="0" w:leftChars="0" w:firstLine="0" w:firstLineChars="0"/>
        <w:rPr>
          <w:rFonts w:hint="eastAsia" w:ascii="方正仿宋_GB2312" w:hAnsi="方正仿宋_GB2312" w:eastAsia="方正仿宋_GB2312" w:cs="方正仿宋_GB2312"/>
          <w:b/>
          <w:bCs/>
        </w:rPr>
      </w:pPr>
    </w:p>
    <w:p>
      <w:pPr>
        <w:pStyle w:val="60"/>
        <w:ind w:firstLine="46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从业人员、营业收入、资产总额填报上一年度数据，无上一年度数据的新成立企业可不填报。</w:t>
      </w:r>
    </w:p>
    <w:p>
      <w:pPr>
        <w:pStyle w:val="60"/>
        <w:ind w:firstLine="466"/>
        <w:rPr>
          <w:rFonts w:hint="eastAsia" w:ascii="方正仿宋_GB2312" w:hAnsi="方正仿宋_GB2312" w:eastAsia="方正仿宋_GB2312" w:cs="方正仿宋_GB2312"/>
          <w:b/>
          <w:bCs/>
        </w:rPr>
      </w:pPr>
    </w:p>
    <w:p>
      <w:pPr>
        <w:pStyle w:val="60"/>
        <w:ind w:firstLine="466"/>
        <w:rPr>
          <w:rFonts w:hint="eastAsia" w:ascii="方正仿宋_GB2312" w:hAnsi="方正仿宋_GB2312" w:eastAsia="方正仿宋_GB2312" w:cs="方正仿宋_GB2312"/>
          <w:b/>
          <w:bCs/>
        </w:rPr>
      </w:pPr>
    </w:p>
    <w:p>
      <w:pPr>
        <w:pStyle w:val="60"/>
        <w:ind w:firstLine="466"/>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注：建议各供应商进入“中小企业规模类型自测小程序”进行自测。</w:t>
      </w:r>
    </w:p>
    <w:p>
      <w:pPr>
        <w:pStyle w:val="33"/>
        <w:spacing w:before="120" w:after="120" w:line="360" w:lineRule="auto"/>
        <w:ind w:firstLine="482" w:firstLineChars="20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2）监狱企业声明函</w:t>
      </w:r>
    </w:p>
    <w:p>
      <w:pPr>
        <w:spacing w:line="6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【非监狱企业的不用提供】</w:t>
      </w: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本企业郑重声明，根据《关于政府采购支持监狱企业发展有关问题的通知》（财库[2014]68号）的规定，本企业为监狱企业。</w:t>
      </w: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根据上述标准，我企业属于监狱企业的理由为：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本企业为参加（项目名称：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（项目编号：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采购活动提供本企业的产品。</w:t>
      </w:r>
    </w:p>
    <w:p>
      <w:pPr>
        <w:spacing w:line="600" w:lineRule="exact"/>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本企业对上述声明的真实性负责。如有虚假，将依法承担相应责任。</w:t>
      </w:r>
    </w:p>
    <w:p>
      <w:pPr>
        <w:spacing w:line="600" w:lineRule="exact"/>
        <w:rPr>
          <w:rFonts w:hint="eastAsia" w:ascii="方正仿宋_GB2312" w:hAnsi="方正仿宋_GB2312" w:eastAsia="方正仿宋_GB2312" w:cs="方正仿宋_GB2312"/>
          <w:sz w:val="24"/>
        </w:rPr>
      </w:pPr>
    </w:p>
    <w:p>
      <w:pPr>
        <w:spacing w:line="600" w:lineRule="exact"/>
        <w:rPr>
          <w:rFonts w:hint="eastAsia" w:ascii="方正仿宋_GB2312" w:hAnsi="方正仿宋_GB2312" w:eastAsia="方正仿宋_GB2312" w:cs="方正仿宋_GB2312"/>
          <w:sz w:val="24"/>
        </w:rPr>
      </w:pPr>
    </w:p>
    <w:p>
      <w:pPr>
        <w:spacing w:line="600" w:lineRule="exact"/>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供应商名称（盖章） :</w:t>
      </w:r>
    </w:p>
    <w:p>
      <w:pPr>
        <w:spacing w:line="600" w:lineRule="exact"/>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pPr>
        <w:spacing w:line="600" w:lineRule="exact"/>
        <w:rPr>
          <w:rFonts w:hint="eastAsia" w:ascii="方正仿宋_GB2312" w:hAnsi="方正仿宋_GB2312" w:eastAsia="方正仿宋_GB2312" w:cs="方正仿宋_GB2312"/>
          <w:sz w:val="24"/>
        </w:rPr>
      </w:pPr>
    </w:p>
    <w:p>
      <w:pPr>
        <w:spacing w:line="600" w:lineRule="exact"/>
        <w:rPr>
          <w:rFonts w:hint="eastAsia" w:ascii="方正仿宋_GB2312" w:hAnsi="方正仿宋_GB2312" w:eastAsia="方正仿宋_GB2312" w:cs="方正仿宋_GB2312"/>
          <w:sz w:val="24"/>
        </w:rPr>
      </w:pP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方正仿宋_GB2312" w:hAnsi="方正仿宋_GB2312" w:eastAsia="方正仿宋_GB2312" w:cs="方正仿宋_GB2312"/>
          <w:sz w:val="24"/>
        </w:rPr>
      </w:pPr>
    </w:p>
    <w:p>
      <w:pPr>
        <w:pStyle w:val="33"/>
        <w:spacing w:before="120" w:after="120" w:line="360" w:lineRule="auto"/>
        <w:ind w:firstLine="422" w:firstLineChars="200"/>
        <w:jc w:val="center"/>
        <w:rPr>
          <w:rFonts w:hint="eastAsia" w:ascii="方正仿宋_GB2312" w:hAnsi="方正仿宋_GB2312" w:eastAsia="方正仿宋_GB2312" w:cs="方正仿宋_GB2312"/>
          <w:b/>
          <w:bCs/>
        </w:rPr>
      </w:pPr>
    </w:p>
    <w:p>
      <w:pPr>
        <w:pStyle w:val="36"/>
        <w:rPr>
          <w:rFonts w:hint="eastAsia" w:ascii="方正仿宋_GB2312" w:hAnsi="方正仿宋_GB2312" w:eastAsia="方正仿宋_GB2312" w:cs="方正仿宋_GB2312"/>
        </w:rPr>
      </w:pPr>
    </w:p>
    <w:p>
      <w:pPr>
        <w:pStyle w:val="33"/>
        <w:spacing w:before="120" w:after="120" w:line="360" w:lineRule="auto"/>
        <w:ind w:firstLine="422" w:firstLineChars="20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3）残疾人福利性单位声明函</w:t>
      </w:r>
    </w:p>
    <w:p>
      <w:pPr>
        <w:spacing w:line="6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【非残疾人福利性单位不用提供】</w:t>
      </w: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本单位郑重声明，根据《财政部民政部中国残疾人联合会关于促进残疾人就业政府采购政策的通知》（财库(2017) 141号）的规定。本单位为符合条件的残疾人福利性单位，且本单位参加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采购人名称）单位的</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本单位对上述声明的真实性负责，如有虚假，将依法承担相应责任。</w:t>
      </w:r>
    </w:p>
    <w:p>
      <w:pPr>
        <w:spacing w:line="600" w:lineRule="exact"/>
        <w:ind w:firstLine="480" w:firstLineChars="200"/>
        <w:rPr>
          <w:rFonts w:hint="eastAsia" w:ascii="方正仿宋_GB2312" w:hAnsi="方正仿宋_GB2312" w:eastAsia="方正仿宋_GB2312" w:cs="方正仿宋_GB2312"/>
          <w:sz w:val="24"/>
        </w:rPr>
      </w:pPr>
    </w:p>
    <w:p>
      <w:pPr>
        <w:spacing w:line="600" w:lineRule="exact"/>
        <w:ind w:firstLine="480" w:firstLineChars="200"/>
        <w:rPr>
          <w:rFonts w:hint="eastAsia" w:ascii="方正仿宋_GB2312" w:hAnsi="方正仿宋_GB2312" w:eastAsia="方正仿宋_GB2312" w:cs="方正仿宋_GB2312"/>
          <w:sz w:val="24"/>
        </w:rPr>
      </w:pP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供应商名称（盖章）：</w:t>
      </w:r>
    </w:p>
    <w:p>
      <w:pPr>
        <w:spacing w:line="6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pPr>
        <w:pStyle w:val="60"/>
        <w:tabs>
          <w:tab w:val="left" w:pos="0"/>
          <w:tab w:val="left" w:pos="993"/>
          <w:tab w:val="left" w:pos="1134"/>
        </w:tabs>
        <w:ind w:firstLine="586"/>
        <w:rPr>
          <w:rFonts w:hAnsi="宋体" w:cs="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snapToGrid w:val="0"/>
        <w:spacing w:before="120" w:beforeLines="50" w:after="50" w:line="360" w:lineRule="auto"/>
        <w:rPr>
          <w:rFonts w:ascii="宋体" w:hAnsi="宋体"/>
          <w:b/>
          <w:sz w:val="30"/>
        </w:rPr>
      </w:pPr>
    </w:p>
    <w:p>
      <w:pPr>
        <w:pStyle w:val="232"/>
        <w:ind w:firstLine="482"/>
        <w:rPr>
          <w:rFonts w:ascii="宋体" w:hAnsi="宋体"/>
          <w:b/>
          <w:bCs/>
          <w:sz w:val="24"/>
        </w:rPr>
      </w:pPr>
    </w:p>
    <w:p>
      <w:pPr>
        <w:snapToGrid w:val="0"/>
        <w:spacing w:line="360" w:lineRule="auto"/>
        <w:ind w:firstLine="470" w:firstLineChars="195"/>
        <w:jc w:val="center"/>
        <w:rPr>
          <w:rFonts w:ascii="宋体" w:hAnsi="宋体"/>
          <w:b/>
          <w:bCs/>
          <w:sz w:val="24"/>
        </w:rPr>
      </w:pPr>
    </w:p>
    <w:p>
      <w:pPr>
        <w:snapToGrid w:val="0"/>
        <w:spacing w:line="360" w:lineRule="auto"/>
        <w:ind w:firstLine="470" w:firstLineChars="195"/>
        <w:jc w:val="center"/>
        <w:rPr>
          <w:rFonts w:ascii="宋体" w:hAnsi="宋体"/>
          <w:b/>
          <w:bCs/>
          <w:sz w:val="24"/>
        </w:rPr>
      </w:pPr>
    </w:p>
    <w:sectPr>
      <w:headerReference r:id="rId7" w:type="default"/>
      <w:footerReference r:id="rId8" w:type="default"/>
      <w:pgSz w:w="11906" w:h="16838"/>
      <w:pgMar w:top="1417" w:right="1531" w:bottom="1417" w:left="1531"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21A84F-70F5-423F-A82E-5B6BA752F4A3}"/>
  </w:font>
  <w:font w:name="Courier New">
    <w:panose1 w:val="02070309020205020404"/>
    <w:charset w:val="01"/>
    <w:family w:val="modern"/>
    <w:pitch w:val="default"/>
    <w:sig w:usb0="E0002EFF" w:usb1="C0007843" w:usb2="00000009" w:usb3="00000000" w:csb0="400001FF" w:csb1="FFFF0000"/>
    <w:embedRegular r:id="rId2" w:fontKey="{9F2BF138-27C0-4789-A877-D1E35013A79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BF107504-1577-4148-A675-90905887FE3A}"/>
  </w:font>
  <w:font w:name="Cambria">
    <w:panose1 w:val="02040503050406030204"/>
    <w:charset w:val="00"/>
    <w:family w:val="roman"/>
    <w:pitch w:val="default"/>
    <w:sig w:usb0="E00006FF" w:usb1="420024FF" w:usb2="02000000" w:usb3="00000000" w:csb0="2000019F" w:csb1="00000000"/>
  </w:font>
  <w:font w:name="Tw Cen MT">
    <w:panose1 w:val="020B0602020104020603"/>
    <w:charset w:val="00"/>
    <w:family w:val="swiss"/>
    <w:pitch w:val="default"/>
    <w:sig w:usb0="00000003" w:usb1="00000000" w:usb2="00000000" w:usb3="00000000" w:csb0="20000003"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6599906E-A4E1-4FCF-BD20-F8352E983059}"/>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eiti SC Light">
    <w:altName w:val="微软雅黑"/>
    <w:panose1 w:val="00000000000000000000"/>
    <w:charset w:val="00"/>
    <w:family w:val="auto"/>
    <w:pitch w:val="default"/>
    <w:sig w:usb0="00000000" w:usb1="00000000" w:usb2="00000010" w:usb3="00000000" w:csb0="003E0000" w:csb1="00000000"/>
  </w:font>
  <w:font w:name="Futura Bk">
    <w:altName w:val="Segoe Print"/>
    <w:panose1 w:val="00000000000000000000"/>
    <w:charset w:val="00"/>
    <w:family w:val="auto"/>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Sim Sun">
    <w:altName w:val="微软雅黑"/>
    <w:panose1 w:val="00000000000000000000"/>
    <w:charset w:val="00"/>
    <w:family w:val="auto"/>
    <w:pitch w:val="default"/>
    <w:sig w:usb0="00000000" w:usb1="00000000"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CESI仿宋-GB2312">
    <w:altName w:val="仿宋"/>
    <w:panose1 w:val="02000500000000000000"/>
    <w:charset w:val="86"/>
    <w:family w:val="auto"/>
    <w:pitch w:val="default"/>
    <w:sig w:usb0="00000000" w:usb1="00000000" w:usb2="00000010" w:usb3="00000000" w:csb0="0004000F" w:csb1="00000000"/>
    <w:embedRegular r:id="rId5" w:fontKey="{86CF766B-172A-4D8A-BD4A-04CBCDAD62B7}"/>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posOffset>1491615</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r>
                            <w:rPr>
                              <w:rFonts w:hint="eastAsia"/>
                              <w:sz w:val="21"/>
                              <w:szCs w:val="21"/>
                            </w:rPr>
                            <w:t xml:space="preserve">建正工程咨询有限公司               0572-2121029               </w:t>
                          </w:r>
                          <w:r>
                            <w:rPr>
                              <w:rFonts w:hint="eastAsia"/>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17.45pt;margin-top:-3.75pt;height:144pt;width:144pt;mso-position-horizontal-relative:margin;mso-wrap-style:none;z-index:251659264;mso-width-relative:page;mso-height-relative:page;" filled="f" stroked="f" coordsize="21600,21600" o:gfxdata="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tzgv/WAAAACgEAAA8AAAAAAAAAAQAgAAAAIgAAAGRycy9kb3ducmV2Lnht&#10;bFBLAQIUABQAAAAIAIdO4kCbutcQwgEAAI0DAAAOAAAAAAAAAAEAIAAAACUBAABkcnMvZTJvRG9j&#10;LnhtbFBLBQYAAAAABgAGAFkBAABZBQAAAAA=&#10;">
              <v:fill on="f" focussize="0,0"/>
              <v:stroke on="f"/>
              <v:imagedata o:title=""/>
              <o:lock v:ext="edit" aspectratio="f"/>
              <v:textbox inset="0mm,0mm,0mm,0mm" style="mso-fit-shape-to-text:t;">
                <w:txbxContent>
                  <w:p>
                    <w:pPr>
                      <w:pStyle w:val="39"/>
                      <w:jc w:val="center"/>
                    </w:pPr>
                    <w:r>
                      <w:rPr>
                        <w:rFonts w:hint="eastAsia"/>
                        <w:sz w:val="21"/>
                        <w:szCs w:val="21"/>
                      </w:rPr>
                      <w:t xml:space="preserve">建正工程咨询有限公司               0572-2121029               </w:t>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color w:val="000000"/>
        <w:u w:val="single"/>
      </w:rPr>
    </w:pPr>
    <w:r>
      <mc:AlternateContent>
        <mc:Choice Requires="wps">
          <w:drawing>
            <wp:anchor distT="0" distB="0" distL="114300" distR="114300" simplePos="0" relativeHeight="251660288" behindDoc="0" locked="0" layoutInCell="1" allowOverlap="1">
              <wp:simplePos x="0" y="0"/>
              <wp:positionH relativeFrom="margin">
                <wp:posOffset>919480</wp:posOffset>
              </wp:positionH>
              <wp:positionV relativeFrom="paragraph">
                <wp:posOffset>-31750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r>
                            <w:rPr>
                              <w:rFonts w:hint="eastAsia"/>
                              <w:color w:val="000000"/>
                              <w:sz w:val="21"/>
                              <w:szCs w:val="21"/>
                            </w:rPr>
                            <w:t xml:space="preserve">         建正工程咨询有限公司   电话：0572-2121029           </w:t>
                          </w:r>
                          <w:r>
                            <w:fldChar w:fldCharType="begin"/>
                          </w:r>
                          <w:r>
                            <w:instrText xml:space="preserve"> PAGE   \* MERGEFORMAT </w:instrText>
                          </w:r>
                          <w:r>
                            <w:fldChar w:fldCharType="separate"/>
                          </w:r>
                          <w:r>
                            <w:rPr>
                              <w:lang w:val="zh-CN"/>
                            </w:rPr>
                            <w:t>43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72.4pt;margin-top:-2.5pt;height:144pt;width:144pt;mso-position-horizontal-relative:margin;mso-wrap-style:none;z-index:251660288;mso-width-relative:page;mso-height-relative:page;" filled="f" stroked="f" coordsize="21600,21600" o:gfxdata="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2cg1ILw5Jixc+smoE9RcDKdUGM0bldfg8b1kPfxF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0gpT1gAAAAoBAAAPAAAAAAAAAAEAIAAAACIAAABkcnMvZG93bnJldi54bWxQ&#10;SwECFAAUAAAACACHTuJAWlxGWcABAACNAwAADgAAAAAAAAABACAAAAAlAQAAZHJzL2Uyb0RvYy54&#10;bWxQSwUGAAAAAAYABgBZAQAAVwUAAAAA&#10;">
              <v:fill on="f" focussize="0,0"/>
              <v:stroke on="f"/>
              <v:imagedata o:title=""/>
              <o:lock v:ext="edit" aspectratio="f"/>
              <v:textbox inset="0mm,0mm,0mm,0mm" style="mso-fit-shape-to-text:t;">
                <w:txbxContent>
                  <w:p>
                    <w:pPr>
                      <w:pStyle w:val="39"/>
                      <w:jc w:val="center"/>
                    </w:pPr>
                    <w:r>
                      <w:rPr>
                        <w:rFonts w:hint="eastAsia"/>
                        <w:color w:val="000000"/>
                        <w:sz w:val="21"/>
                        <w:szCs w:val="21"/>
                      </w:rPr>
                      <w:t xml:space="preserve">         建正工程咨询有限公司   电话：0572-2121029           </w:t>
                    </w:r>
                    <w:r>
                      <w:fldChar w:fldCharType="begin"/>
                    </w:r>
                    <w:r>
                      <w:instrText xml:space="preserve"> PAGE   \* MERGEFORMAT </w:instrText>
                    </w:r>
                    <w:r>
                      <w:fldChar w:fldCharType="separate"/>
                    </w:r>
                    <w:r>
                      <w:rPr>
                        <w:lang w:val="zh-CN"/>
                      </w:rP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66"/>
      </w:rPr>
    </w:pPr>
    <w:r>
      <mc:AlternateContent>
        <mc:Choice Requires="wps">
          <w:drawing>
            <wp:anchor distT="0" distB="0" distL="114300" distR="114300" simplePos="0" relativeHeight="251661312" behindDoc="0" locked="0" layoutInCell="1" allowOverlap="1">
              <wp:simplePos x="0" y="0"/>
              <wp:positionH relativeFrom="margin">
                <wp:posOffset>1409700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rPr>
                              <w:rFonts w:hint="eastAsia"/>
                              <w:color w:val="000000"/>
                              <w:sz w:val="21"/>
                              <w:szCs w:val="21"/>
                            </w:rPr>
                            <w:t>建正工程咨询有限公司   电话：0572-</w:t>
                          </w:r>
                          <w:r>
                            <w:rPr>
                              <w:rFonts w:hint="eastAsia"/>
                              <w:color w:val="000000"/>
                              <w:sz w:val="21"/>
                              <w:szCs w:val="21"/>
                              <w:lang w:val="en-US" w:eastAsia="zh-CN"/>
                            </w:rPr>
                            <w:t>2121029</w:t>
                          </w:r>
                          <w:r>
                            <w:rPr>
                              <w:rFonts w:hint="eastAsia"/>
                              <w:color w:val="000000"/>
                              <w:sz w:val="21"/>
                              <w:szCs w:val="21"/>
                            </w:rPr>
                            <w:t xml:space="preserve">            </w:t>
                          </w:r>
                          <w:r>
                            <w:fldChar w:fldCharType="begin"/>
                          </w:r>
                          <w:r>
                            <w:rPr>
                              <w:rStyle w:val="66"/>
                            </w:rPr>
                            <w:instrText xml:space="preserve">PAGE  </w:instrText>
                          </w:r>
                          <w:r>
                            <w:fldChar w:fldCharType="separate"/>
                          </w:r>
                          <w:r>
                            <w:rPr>
                              <w:rStyle w:val="66"/>
                            </w:rPr>
                            <w:t>75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111pt;margin-top:0pt;height:144pt;width:144pt;mso-position-horizontal-relative:margin;mso-wrap-style:none;z-index:251661312;mso-width-relative:page;mso-height-relative:page;" filled="f" stroked="f" coordsize="21600,21600" o:gfxdata="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bkGhNtDwsKln4w6Qk3FcEqF0bRReQ0e30vWw1+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Zgsb1AAAAAgBAAAPAAAAAAAAAAEAIAAAACIAAABkcnMvZG93bnJldi54bWxQ&#10;SwECFAAUAAAACACHTuJA5QHJYcIBAACNAwAADgAAAAAAAAABACAAAAAjAQAAZHJzL2Uyb0RvYy54&#10;bWxQSwUGAAAAAAYABgBZAQAAVwUAAAAA&#10;">
              <v:fill on="f" focussize="0,0"/>
              <v:stroke on="f"/>
              <v:imagedata o:title=""/>
              <o:lock v:ext="edit" aspectratio="f"/>
              <v:textbox inset="0mm,0mm,0mm,0mm" style="mso-fit-shape-to-text:t;">
                <w:txbxContent>
                  <w:p>
                    <w:pPr>
                      <w:pStyle w:val="39"/>
                    </w:pPr>
                    <w:r>
                      <w:rPr>
                        <w:rFonts w:hint="eastAsia"/>
                        <w:color w:val="000000"/>
                        <w:sz w:val="21"/>
                        <w:szCs w:val="21"/>
                      </w:rPr>
                      <w:t>建正工程咨询有限公司   电话：0572-</w:t>
                    </w:r>
                    <w:r>
                      <w:rPr>
                        <w:rFonts w:hint="eastAsia"/>
                        <w:color w:val="000000"/>
                        <w:sz w:val="21"/>
                        <w:szCs w:val="21"/>
                        <w:lang w:val="en-US" w:eastAsia="zh-CN"/>
                      </w:rPr>
                      <w:t>2121029</w:t>
                    </w:r>
                    <w:r>
                      <w:rPr>
                        <w:rFonts w:hint="eastAsia"/>
                        <w:color w:val="000000"/>
                        <w:sz w:val="21"/>
                        <w:szCs w:val="21"/>
                      </w:rPr>
                      <w:t xml:space="preserve">            </w:t>
                    </w:r>
                    <w:r>
                      <w:fldChar w:fldCharType="begin"/>
                    </w:r>
                    <w:r>
                      <w:rPr>
                        <w:rStyle w:val="66"/>
                      </w:rPr>
                      <w:instrText xml:space="preserve">PAGE  </w:instrText>
                    </w:r>
                    <w:r>
                      <w:fldChar w:fldCharType="separate"/>
                    </w:r>
                    <w:r>
                      <w:rPr>
                        <w:rStyle w:val="66"/>
                      </w:rPr>
                      <w:t>75</w:t>
                    </w:r>
                    <w:r>
                      <w:fldChar w:fldCharType="end"/>
                    </w:r>
                  </w:p>
                </w:txbxContent>
              </v:textbox>
            </v:shape>
          </w:pict>
        </mc:Fallback>
      </mc:AlternateContent>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b/>
        <w:bCs/>
        <w:sz w:val="21"/>
        <w:szCs w:val="21"/>
      </w:rPr>
    </w:pPr>
    <w:r>
      <w:rPr>
        <w:rFonts w:ascii="宋体" w:hAnsi="宋体" w:cs="宋体"/>
        <w:kern w:val="0"/>
        <w:sz w:val="24"/>
        <w:szCs w:val="24"/>
      </w:rPr>
      <w:drawing>
        <wp:inline distT="0" distB="0" distL="114300" distR="114300">
          <wp:extent cx="454025" cy="242570"/>
          <wp:effectExtent l="0" t="0" r="3175" b="508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
                  <a:stretch>
                    <a:fillRect/>
                  </a:stretch>
                </pic:blipFill>
                <pic:spPr>
                  <a:xfrm>
                    <a:off x="0" y="0"/>
                    <a:ext cx="456774" cy="244546"/>
                  </a:xfrm>
                  <a:prstGeom prst="rect">
                    <a:avLst/>
                  </a:prstGeom>
                  <a:noFill/>
                  <a:ln>
                    <a:noFill/>
                  </a:ln>
                </pic:spPr>
              </pic:pic>
            </a:graphicData>
          </a:graphic>
        </wp:inline>
      </w:drawing>
    </w:r>
    <w:r>
      <w:rPr>
        <w:rFonts w:hint="eastAsia" w:ascii="宋体" w:hAnsi="宋体" w:cs="宋体"/>
        <w:b/>
        <w:bCs/>
        <w:sz w:val="21"/>
        <w:szCs w:val="21"/>
      </w:rPr>
      <w:t>湖州市医疗保障局疾病相关分组（DRGS）结合点数法医保支付专业化服务项目采购文件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pPr>
    <w:r>
      <w:rPr>
        <w:rFonts w:ascii="宋体" w:hAnsi="宋体" w:cs="宋体"/>
        <w:kern w:val="0"/>
        <w:sz w:val="24"/>
        <w:szCs w:val="24"/>
      </w:rPr>
      <w:drawing>
        <wp:inline distT="0" distB="0" distL="114300" distR="114300">
          <wp:extent cx="404495" cy="216535"/>
          <wp:effectExtent l="0" t="0" r="0"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
                  <a:stretch>
                    <a:fillRect/>
                  </a:stretch>
                </pic:blipFill>
                <pic:spPr>
                  <a:xfrm>
                    <a:off x="0" y="0"/>
                    <a:ext cx="411337" cy="220221"/>
                  </a:xfrm>
                  <a:prstGeom prst="rect">
                    <a:avLst/>
                  </a:prstGeom>
                  <a:noFill/>
                  <a:ln>
                    <a:noFill/>
                  </a:ln>
                </pic:spPr>
              </pic:pic>
            </a:graphicData>
          </a:graphic>
        </wp:inline>
      </w:drawing>
    </w:r>
    <w:bookmarkStart w:id="69" w:name="_Hlk152752605"/>
    <w:r>
      <w:rPr>
        <w:rFonts w:hint="eastAsia" w:ascii="宋体" w:hAnsi="宋体" w:cs="宋体"/>
        <w:b/>
        <w:bCs/>
        <w:sz w:val="21"/>
        <w:szCs w:val="21"/>
      </w:rPr>
      <w:t>湖州市医疗保障局疾病相关分组（DRGS）结合点数法医保支付专业化服务项目</w:t>
    </w:r>
    <w:bookmarkEnd w:id="69"/>
    <w:r>
      <w:rPr>
        <w:rFonts w:hint="eastAsia" w:ascii="宋体" w:hAnsi="宋体" w:cs="宋体"/>
        <w:b/>
        <w:bCs/>
        <w:sz w:val="21"/>
        <w:szCs w:val="21"/>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pPr>
    <w:r>
      <w:rPr>
        <w:rFonts w:hint="eastAsia" w:ascii="宋体" w:hAnsi="宋体" w:cs="宋体"/>
        <w:b/>
        <w:bCs/>
        <w:sz w:val="21"/>
        <w:szCs w:val="21"/>
      </w:rPr>
      <w:t>湖州市医疗保障局疾病相关分组（DRGS）结合点数法医保支付专业化服务项目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5790E"/>
    <w:multiLevelType w:val="singleLevel"/>
    <w:tmpl w:val="AFA5790E"/>
    <w:lvl w:ilvl="0" w:tentative="0">
      <w:start w:val="2"/>
      <w:numFmt w:val="decimal"/>
      <w:lvlText w:val="%1."/>
      <w:lvlJc w:val="left"/>
      <w:pPr>
        <w:tabs>
          <w:tab w:val="left" w:pos="312"/>
        </w:tabs>
      </w:pPr>
    </w:lvl>
  </w:abstractNum>
  <w:abstractNum w:abstractNumId="1">
    <w:nsid w:val="DFDD5C51"/>
    <w:multiLevelType w:val="singleLevel"/>
    <w:tmpl w:val="DFDD5C51"/>
    <w:lvl w:ilvl="0" w:tentative="0">
      <w:start w:val="16"/>
      <w:numFmt w:val="decimal"/>
      <w:lvlText w:val="%1."/>
      <w:lvlJc w:val="left"/>
      <w:pPr>
        <w:tabs>
          <w:tab w:val="left" w:pos="312"/>
        </w:tabs>
      </w:pPr>
    </w:lvl>
  </w:abstractNum>
  <w:abstractNum w:abstractNumId="2">
    <w:nsid w:val="F4BEAB78"/>
    <w:multiLevelType w:val="singleLevel"/>
    <w:tmpl w:val="F4BEAB78"/>
    <w:lvl w:ilvl="0" w:tentative="0">
      <w:start w:val="7"/>
      <w:numFmt w:val="chineseCounting"/>
      <w:suff w:val="nothing"/>
      <w:lvlText w:val="%1、"/>
      <w:lvlJc w:val="left"/>
      <w:rPr>
        <w:rFonts w:hint="eastAsia"/>
      </w:rPr>
    </w:lvl>
  </w:abstractNum>
  <w:abstractNum w:abstractNumId="3">
    <w:nsid w:val="FFFFFFFB"/>
    <w:multiLevelType w:val="multilevel"/>
    <w:tmpl w:val="FFFFFFFB"/>
    <w:lvl w:ilvl="0" w:tentative="0">
      <w:start w:val="1"/>
      <w:numFmt w:val="chineseCountingThousand"/>
      <w:pStyle w:val="16"/>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1"/>
      <w:suff w:val="nothing"/>
      <w:lvlText w:val=""/>
      <w:lvlJc w:val="left"/>
    </w:lvl>
    <w:lvl w:ilvl="7" w:tentative="0">
      <w:start w:val="1"/>
      <w:numFmt w:val="none"/>
      <w:pStyle w:val="12"/>
      <w:suff w:val="nothing"/>
      <w:lvlText w:val=""/>
      <w:lvlJc w:val="left"/>
    </w:lvl>
    <w:lvl w:ilvl="8" w:tentative="0">
      <w:start w:val="1"/>
      <w:numFmt w:val="none"/>
      <w:pStyle w:val="13"/>
      <w:suff w:val="nothing"/>
      <w:lvlText w:val=""/>
      <w:lvlJc w:val="left"/>
    </w:lvl>
  </w:abstractNum>
  <w:abstractNum w:abstractNumId="4">
    <w:nsid w:val="0601DAC6"/>
    <w:multiLevelType w:val="singleLevel"/>
    <w:tmpl w:val="0601DAC6"/>
    <w:lvl w:ilvl="0" w:tentative="0">
      <w:start w:val="3"/>
      <w:numFmt w:val="decimal"/>
      <w:suff w:val="nothing"/>
      <w:lvlText w:val="（%1）"/>
      <w:lvlJc w:val="left"/>
    </w:lvl>
  </w:abstractNum>
  <w:abstractNum w:abstractNumId="5">
    <w:nsid w:val="1BAC36F8"/>
    <w:multiLevelType w:val="singleLevel"/>
    <w:tmpl w:val="1BAC36F8"/>
    <w:lvl w:ilvl="0" w:tentative="0">
      <w:start w:val="3"/>
      <w:numFmt w:val="chineseCounting"/>
      <w:suff w:val="nothing"/>
      <w:lvlText w:val="（%1）"/>
      <w:lvlJc w:val="left"/>
      <w:rPr>
        <w:rFonts w:hint="eastAsia"/>
      </w:rPr>
    </w:lvl>
  </w:abstractNum>
  <w:abstractNum w:abstractNumId="6">
    <w:nsid w:val="420C153B"/>
    <w:multiLevelType w:val="multilevel"/>
    <w:tmpl w:val="420C153B"/>
    <w:lvl w:ilvl="0" w:tentative="0">
      <w:start w:val="1"/>
      <w:numFmt w:val="decimal"/>
      <w:pStyle w:val="1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zc4NGExNDNmNjk3ZjU4ZGQ5NzhjMjllMzc2NzUifQ=="/>
  </w:docVars>
  <w:rsids>
    <w:rsidRoot w:val="003D6AC7"/>
    <w:rsid w:val="000002B3"/>
    <w:rsid w:val="00000AE1"/>
    <w:rsid w:val="00001659"/>
    <w:rsid w:val="00002615"/>
    <w:rsid w:val="00002FEE"/>
    <w:rsid w:val="000036E1"/>
    <w:rsid w:val="00004AD9"/>
    <w:rsid w:val="00004D9B"/>
    <w:rsid w:val="00007C34"/>
    <w:rsid w:val="00013D3A"/>
    <w:rsid w:val="00014195"/>
    <w:rsid w:val="00014CEB"/>
    <w:rsid w:val="00015108"/>
    <w:rsid w:val="0001514F"/>
    <w:rsid w:val="00015507"/>
    <w:rsid w:val="000158CB"/>
    <w:rsid w:val="00015BED"/>
    <w:rsid w:val="0001622C"/>
    <w:rsid w:val="00016233"/>
    <w:rsid w:val="000171E7"/>
    <w:rsid w:val="00017960"/>
    <w:rsid w:val="00021EBD"/>
    <w:rsid w:val="000227F8"/>
    <w:rsid w:val="00025735"/>
    <w:rsid w:val="00027C0E"/>
    <w:rsid w:val="00030A94"/>
    <w:rsid w:val="00033A56"/>
    <w:rsid w:val="00035A4F"/>
    <w:rsid w:val="00036C80"/>
    <w:rsid w:val="000408C9"/>
    <w:rsid w:val="00040ABE"/>
    <w:rsid w:val="00040F38"/>
    <w:rsid w:val="000439E4"/>
    <w:rsid w:val="00043EF0"/>
    <w:rsid w:val="00045A61"/>
    <w:rsid w:val="0004666E"/>
    <w:rsid w:val="000468DE"/>
    <w:rsid w:val="0005014A"/>
    <w:rsid w:val="0005173F"/>
    <w:rsid w:val="000520FA"/>
    <w:rsid w:val="0005246F"/>
    <w:rsid w:val="0005427B"/>
    <w:rsid w:val="000560EA"/>
    <w:rsid w:val="00057D47"/>
    <w:rsid w:val="00061A4C"/>
    <w:rsid w:val="00064A7B"/>
    <w:rsid w:val="00064AE3"/>
    <w:rsid w:val="0006542C"/>
    <w:rsid w:val="00066D57"/>
    <w:rsid w:val="0006707E"/>
    <w:rsid w:val="000708BD"/>
    <w:rsid w:val="00070DF0"/>
    <w:rsid w:val="00072477"/>
    <w:rsid w:val="000731E7"/>
    <w:rsid w:val="00073FDB"/>
    <w:rsid w:val="0007444D"/>
    <w:rsid w:val="00074513"/>
    <w:rsid w:val="00074D6C"/>
    <w:rsid w:val="000750A2"/>
    <w:rsid w:val="00075E95"/>
    <w:rsid w:val="000763FF"/>
    <w:rsid w:val="00076A73"/>
    <w:rsid w:val="00076C0F"/>
    <w:rsid w:val="00077BD7"/>
    <w:rsid w:val="00077F09"/>
    <w:rsid w:val="00080274"/>
    <w:rsid w:val="00081BF5"/>
    <w:rsid w:val="000823E6"/>
    <w:rsid w:val="0008383F"/>
    <w:rsid w:val="0008505D"/>
    <w:rsid w:val="000852EC"/>
    <w:rsid w:val="00085A44"/>
    <w:rsid w:val="000876E8"/>
    <w:rsid w:val="00090860"/>
    <w:rsid w:val="00090ED9"/>
    <w:rsid w:val="00091342"/>
    <w:rsid w:val="00093AEA"/>
    <w:rsid w:val="00097A20"/>
    <w:rsid w:val="000A00C0"/>
    <w:rsid w:val="000A013A"/>
    <w:rsid w:val="000A0C34"/>
    <w:rsid w:val="000A1BFA"/>
    <w:rsid w:val="000A37B5"/>
    <w:rsid w:val="000A3832"/>
    <w:rsid w:val="000A4F19"/>
    <w:rsid w:val="000A7570"/>
    <w:rsid w:val="000A75FE"/>
    <w:rsid w:val="000A7921"/>
    <w:rsid w:val="000B1117"/>
    <w:rsid w:val="000B220D"/>
    <w:rsid w:val="000B2574"/>
    <w:rsid w:val="000B39F2"/>
    <w:rsid w:val="000B45DF"/>
    <w:rsid w:val="000B460D"/>
    <w:rsid w:val="000B4A7F"/>
    <w:rsid w:val="000B4C2F"/>
    <w:rsid w:val="000B524C"/>
    <w:rsid w:val="000B5DA9"/>
    <w:rsid w:val="000B6D48"/>
    <w:rsid w:val="000C1681"/>
    <w:rsid w:val="000C2371"/>
    <w:rsid w:val="000C5A94"/>
    <w:rsid w:val="000C64CC"/>
    <w:rsid w:val="000C6B4F"/>
    <w:rsid w:val="000C7FE9"/>
    <w:rsid w:val="000D0C74"/>
    <w:rsid w:val="000D0CAD"/>
    <w:rsid w:val="000D163B"/>
    <w:rsid w:val="000D1E30"/>
    <w:rsid w:val="000D31A8"/>
    <w:rsid w:val="000D3813"/>
    <w:rsid w:val="000D3CF4"/>
    <w:rsid w:val="000D4318"/>
    <w:rsid w:val="000D475A"/>
    <w:rsid w:val="000D4ADE"/>
    <w:rsid w:val="000D5283"/>
    <w:rsid w:val="000D6E41"/>
    <w:rsid w:val="000D7773"/>
    <w:rsid w:val="000E1F7B"/>
    <w:rsid w:val="000E2D33"/>
    <w:rsid w:val="000E30D7"/>
    <w:rsid w:val="000E3357"/>
    <w:rsid w:val="000E3B3D"/>
    <w:rsid w:val="000E5829"/>
    <w:rsid w:val="000E67ED"/>
    <w:rsid w:val="000E7A6B"/>
    <w:rsid w:val="000F39A4"/>
    <w:rsid w:val="000F3C66"/>
    <w:rsid w:val="000F3CA4"/>
    <w:rsid w:val="000F4EAB"/>
    <w:rsid w:val="000F5318"/>
    <w:rsid w:val="000F541C"/>
    <w:rsid w:val="000F69FE"/>
    <w:rsid w:val="00105918"/>
    <w:rsid w:val="00106159"/>
    <w:rsid w:val="00106CC5"/>
    <w:rsid w:val="00106DAE"/>
    <w:rsid w:val="00107C66"/>
    <w:rsid w:val="00107D08"/>
    <w:rsid w:val="00107D9F"/>
    <w:rsid w:val="001102BD"/>
    <w:rsid w:val="00110389"/>
    <w:rsid w:val="0011053C"/>
    <w:rsid w:val="00112085"/>
    <w:rsid w:val="00113224"/>
    <w:rsid w:val="001137B2"/>
    <w:rsid w:val="001151CE"/>
    <w:rsid w:val="00115539"/>
    <w:rsid w:val="0011554A"/>
    <w:rsid w:val="00115B92"/>
    <w:rsid w:val="001200FD"/>
    <w:rsid w:val="0012070E"/>
    <w:rsid w:val="001208D7"/>
    <w:rsid w:val="00124476"/>
    <w:rsid w:val="00124CE2"/>
    <w:rsid w:val="001252D1"/>
    <w:rsid w:val="001279B4"/>
    <w:rsid w:val="00130297"/>
    <w:rsid w:val="00130B12"/>
    <w:rsid w:val="001330E6"/>
    <w:rsid w:val="00133AF8"/>
    <w:rsid w:val="00133DD8"/>
    <w:rsid w:val="00134CB5"/>
    <w:rsid w:val="00136D73"/>
    <w:rsid w:val="001373FF"/>
    <w:rsid w:val="0014313A"/>
    <w:rsid w:val="001433F1"/>
    <w:rsid w:val="00143533"/>
    <w:rsid w:val="00144029"/>
    <w:rsid w:val="00145766"/>
    <w:rsid w:val="001527D6"/>
    <w:rsid w:val="00153AA9"/>
    <w:rsid w:val="00153D9E"/>
    <w:rsid w:val="00155905"/>
    <w:rsid w:val="00160282"/>
    <w:rsid w:val="00160C53"/>
    <w:rsid w:val="00160C62"/>
    <w:rsid w:val="00161948"/>
    <w:rsid w:val="001626F6"/>
    <w:rsid w:val="001627AC"/>
    <w:rsid w:val="00162E54"/>
    <w:rsid w:val="00164E81"/>
    <w:rsid w:val="00165861"/>
    <w:rsid w:val="00165E42"/>
    <w:rsid w:val="001706F0"/>
    <w:rsid w:val="00170DC1"/>
    <w:rsid w:val="0017184D"/>
    <w:rsid w:val="00171F2F"/>
    <w:rsid w:val="00172631"/>
    <w:rsid w:val="001729BE"/>
    <w:rsid w:val="00174791"/>
    <w:rsid w:val="00175041"/>
    <w:rsid w:val="00175F9A"/>
    <w:rsid w:val="001777EA"/>
    <w:rsid w:val="00181075"/>
    <w:rsid w:val="001832E5"/>
    <w:rsid w:val="001867EA"/>
    <w:rsid w:val="00187DD7"/>
    <w:rsid w:val="00191E9A"/>
    <w:rsid w:val="001922DE"/>
    <w:rsid w:val="00192604"/>
    <w:rsid w:val="00192BBC"/>
    <w:rsid w:val="001943DF"/>
    <w:rsid w:val="001944AD"/>
    <w:rsid w:val="00194736"/>
    <w:rsid w:val="00194B7A"/>
    <w:rsid w:val="00194E94"/>
    <w:rsid w:val="001974E1"/>
    <w:rsid w:val="00197D6A"/>
    <w:rsid w:val="00197F76"/>
    <w:rsid w:val="001A146F"/>
    <w:rsid w:val="001A1DAD"/>
    <w:rsid w:val="001A40BC"/>
    <w:rsid w:val="001A4C08"/>
    <w:rsid w:val="001A5981"/>
    <w:rsid w:val="001A711B"/>
    <w:rsid w:val="001A73AB"/>
    <w:rsid w:val="001A77E6"/>
    <w:rsid w:val="001B0109"/>
    <w:rsid w:val="001B11A5"/>
    <w:rsid w:val="001B2546"/>
    <w:rsid w:val="001B2763"/>
    <w:rsid w:val="001B3513"/>
    <w:rsid w:val="001B381B"/>
    <w:rsid w:val="001B473F"/>
    <w:rsid w:val="001B47D4"/>
    <w:rsid w:val="001B482D"/>
    <w:rsid w:val="001B55DF"/>
    <w:rsid w:val="001B56B9"/>
    <w:rsid w:val="001B5C4F"/>
    <w:rsid w:val="001B630C"/>
    <w:rsid w:val="001B65D3"/>
    <w:rsid w:val="001B67C7"/>
    <w:rsid w:val="001C000A"/>
    <w:rsid w:val="001C1983"/>
    <w:rsid w:val="001C3043"/>
    <w:rsid w:val="001C3A8C"/>
    <w:rsid w:val="001C5BE9"/>
    <w:rsid w:val="001C628F"/>
    <w:rsid w:val="001C7CB0"/>
    <w:rsid w:val="001D011A"/>
    <w:rsid w:val="001D0F26"/>
    <w:rsid w:val="001D17F6"/>
    <w:rsid w:val="001D344A"/>
    <w:rsid w:val="001D3ED8"/>
    <w:rsid w:val="001D433C"/>
    <w:rsid w:val="001D49C6"/>
    <w:rsid w:val="001D5019"/>
    <w:rsid w:val="001D5949"/>
    <w:rsid w:val="001E0B11"/>
    <w:rsid w:val="001E109A"/>
    <w:rsid w:val="001E10AD"/>
    <w:rsid w:val="001E40E0"/>
    <w:rsid w:val="001E42F5"/>
    <w:rsid w:val="001E4A75"/>
    <w:rsid w:val="001E551A"/>
    <w:rsid w:val="001E6AF1"/>
    <w:rsid w:val="001E7357"/>
    <w:rsid w:val="001E7F61"/>
    <w:rsid w:val="001F168A"/>
    <w:rsid w:val="001F376A"/>
    <w:rsid w:val="001F4298"/>
    <w:rsid w:val="001F6947"/>
    <w:rsid w:val="00200AB4"/>
    <w:rsid w:val="00203A5F"/>
    <w:rsid w:val="0020523D"/>
    <w:rsid w:val="00206311"/>
    <w:rsid w:val="00206685"/>
    <w:rsid w:val="002076E0"/>
    <w:rsid w:val="00207763"/>
    <w:rsid w:val="00207A63"/>
    <w:rsid w:val="00210449"/>
    <w:rsid w:val="0021090B"/>
    <w:rsid w:val="002115A1"/>
    <w:rsid w:val="0021286B"/>
    <w:rsid w:val="0021321E"/>
    <w:rsid w:val="0021510D"/>
    <w:rsid w:val="00215DA0"/>
    <w:rsid w:val="002167B4"/>
    <w:rsid w:val="00216F3C"/>
    <w:rsid w:val="0021722F"/>
    <w:rsid w:val="00220725"/>
    <w:rsid w:val="002209F0"/>
    <w:rsid w:val="00220F96"/>
    <w:rsid w:val="0022137D"/>
    <w:rsid w:val="002224BA"/>
    <w:rsid w:val="002225B1"/>
    <w:rsid w:val="00223AF2"/>
    <w:rsid w:val="00224939"/>
    <w:rsid w:val="00226B09"/>
    <w:rsid w:val="00227DAF"/>
    <w:rsid w:val="002314FA"/>
    <w:rsid w:val="00231570"/>
    <w:rsid w:val="002315F7"/>
    <w:rsid w:val="0023235C"/>
    <w:rsid w:val="00232E6B"/>
    <w:rsid w:val="00233910"/>
    <w:rsid w:val="00233DD3"/>
    <w:rsid w:val="00234650"/>
    <w:rsid w:val="00235314"/>
    <w:rsid w:val="0024026A"/>
    <w:rsid w:val="002408C3"/>
    <w:rsid w:val="00242C2E"/>
    <w:rsid w:val="00243756"/>
    <w:rsid w:val="00243B5A"/>
    <w:rsid w:val="00243E4A"/>
    <w:rsid w:val="00244909"/>
    <w:rsid w:val="00245CA9"/>
    <w:rsid w:val="00245FC9"/>
    <w:rsid w:val="002471CA"/>
    <w:rsid w:val="00250139"/>
    <w:rsid w:val="002502E0"/>
    <w:rsid w:val="00250467"/>
    <w:rsid w:val="00251126"/>
    <w:rsid w:val="00251ADD"/>
    <w:rsid w:val="002520D6"/>
    <w:rsid w:val="002524C4"/>
    <w:rsid w:val="0025291B"/>
    <w:rsid w:val="00253879"/>
    <w:rsid w:val="00253A7F"/>
    <w:rsid w:val="00253C71"/>
    <w:rsid w:val="002542A9"/>
    <w:rsid w:val="00254507"/>
    <w:rsid w:val="002557A5"/>
    <w:rsid w:val="00257132"/>
    <w:rsid w:val="002579F6"/>
    <w:rsid w:val="002602FD"/>
    <w:rsid w:val="00260F12"/>
    <w:rsid w:val="00264987"/>
    <w:rsid w:val="00264B2E"/>
    <w:rsid w:val="00271E62"/>
    <w:rsid w:val="00273082"/>
    <w:rsid w:val="002738FD"/>
    <w:rsid w:val="002743A7"/>
    <w:rsid w:val="00274D15"/>
    <w:rsid w:val="00274EB1"/>
    <w:rsid w:val="00275C1D"/>
    <w:rsid w:val="00280783"/>
    <w:rsid w:val="00281CC2"/>
    <w:rsid w:val="00283E55"/>
    <w:rsid w:val="00284123"/>
    <w:rsid w:val="002844B9"/>
    <w:rsid w:val="002850E3"/>
    <w:rsid w:val="00285175"/>
    <w:rsid w:val="0028525E"/>
    <w:rsid w:val="00290278"/>
    <w:rsid w:val="002903E8"/>
    <w:rsid w:val="0029208F"/>
    <w:rsid w:val="00293089"/>
    <w:rsid w:val="002930DA"/>
    <w:rsid w:val="00293181"/>
    <w:rsid w:val="00293474"/>
    <w:rsid w:val="00293F4A"/>
    <w:rsid w:val="00294F44"/>
    <w:rsid w:val="002973AD"/>
    <w:rsid w:val="002A0038"/>
    <w:rsid w:val="002A03BD"/>
    <w:rsid w:val="002A4680"/>
    <w:rsid w:val="002A4827"/>
    <w:rsid w:val="002A48C4"/>
    <w:rsid w:val="002A5751"/>
    <w:rsid w:val="002A579E"/>
    <w:rsid w:val="002A5C99"/>
    <w:rsid w:val="002A6A75"/>
    <w:rsid w:val="002A78BA"/>
    <w:rsid w:val="002B1070"/>
    <w:rsid w:val="002B210D"/>
    <w:rsid w:val="002B31D7"/>
    <w:rsid w:val="002B364C"/>
    <w:rsid w:val="002B402C"/>
    <w:rsid w:val="002B4582"/>
    <w:rsid w:val="002B50EA"/>
    <w:rsid w:val="002B5C35"/>
    <w:rsid w:val="002B5D56"/>
    <w:rsid w:val="002B73C7"/>
    <w:rsid w:val="002C0772"/>
    <w:rsid w:val="002C10A7"/>
    <w:rsid w:val="002C10DC"/>
    <w:rsid w:val="002C12BF"/>
    <w:rsid w:val="002C1FC4"/>
    <w:rsid w:val="002C2BD7"/>
    <w:rsid w:val="002C40B9"/>
    <w:rsid w:val="002C5D80"/>
    <w:rsid w:val="002C6898"/>
    <w:rsid w:val="002C6B4C"/>
    <w:rsid w:val="002C79A7"/>
    <w:rsid w:val="002D00DD"/>
    <w:rsid w:val="002D0664"/>
    <w:rsid w:val="002D1250"/>
    <w:rsid w:val="002D17A3"/>
    <w:rsid w:val="002D26EF"/>
    <w:rsid w:val="002D4BC6"/>
    <w:rsid w:val="002D54FD"/>
    <w:rsid w:val="002D7249"/>
    <w:rsid w:val="002E076E"/>
    <w:rsid w:val="002E0869"/>
    <w:rsid w:val="002E32EE"/>
    <w:rsid w:val="002E33DF"/>
    <w:rsid w:val="002E5107"/>
    <w:rsid w:val="002E57C9"/>
    <w:rsid w:val="002E63C7"/>
    <w:rsid w:val="002E6A43"/>
    <w:rsid w:val="002F0498"/>
    <w:rsid w:val="002F0CF6"/>
    <w:rsid w:val="002F2151"/>
    <w:rsid w:val="002F778A"/>
    <w:rsid w:val="002F7AF1"/>
    <w:rsid w:val="00300564"/>
    <w:rsid w:val="0030124A"/>
    <w:rsid w:val="00301FE0"/>
    <w:rsid w:val="00302848"/>
    <w:rsid w:val="00302A72"/>
    <w:rsid w:val="003061D1"/>
    <w:rsid w:val="00306AA2"/>
    <w:rsid w:val="00306F0A"/>
    <w:rsid w:val="00307D29"/>
    <w:rsid w:val="003115A6"/>
    <w:rsid w:val="003122BB"/>
    <w:rsid w:val="00312782"/>
    <w:rsid w:val="00312B2B"/>
    <w:rsid w:val="003132B7"/>
    <w:rsid w:val="003136E6"/>
    <w:rsid w:val="003140F0"/>
    <w:rsid w:val="00316814"/>
    <w:rsid w:val="00317682"/>
    <w:rsid w:val="00322857"/>
    <w:rsid w:val="00323171"/>
    <w:rsid w:val="00323336"/>
    <w:rsid w:val="00323FEC"/>
    <w:rsid w:val="003249B0"/>
    <w:rsid w:val="00325704"/>
    <w:rsid w:val="003264E0"/>
    <w:rsid w:val="00327C89"/>
    <w:rsid w:val="003315D4"/>
    <w:rsid w:val="003316C2"/>
    <w:rsid w:val="00334605"/>
    <w:rsid w:val="00335E24"/>
    <w:rsid w:val="0033768C"/>
    <w:rsid w:val="00342044"/>
    <w:rsid w:val="0034233C"/>
    <w:rsid w:val="00342D33"/>
    <w:rsid w:val="00346D06"/>
    <w:rsid w:val="00346E2E"/>
    <w:rsid w:val="00347D4C"/>
    <w:rsid w:val="00350337"/>
    <w:rsid w:val="0035316A"/>
    <w:rsid w:val="003550D2"/>
    <w:rsid w:val="00357BC4"/>
    <w:rsid w:val="00357E2C"/>
    <w:rsid w:val="003605F2"/>
    <w:rsid w:val="00360C8A"/>
    <w:rsid w:val="00361119"/>
    <w:rsid w:val="003613F1"/>
    <w:rsid w:val="00361AD5"/>
    <w:rsid w:val="00362A74"/>
    <w:rsid w:val="00363D13"/>
    <w:rsid w:val="00365605"/>
    <w:rsid w:val="00365D0E"/>
    <w:rsid w:val="00366088"/>
    <w:rsid w:val="00370766"/>
    <w:rsid w:val="003720B9"/>
    <w:rsid w:val="0037339E"/>
    <w:rsid w:val="00381389"/>
    <w:rsid w:val="0038149C"/>
    <w:rsid w:val="003827AB"/>
    <w:rsid w:val="00384044"/>
    <w:rsid w:val="00384ABE"/>
    <w:rsid w:val="00385DA8"/>
    <w:rsid w:val="00385E93"/>
    <w:rsid w:val="003871A7"/>
    <w:rsid w:val="003906D7"/>
    <w:rsid w:val="00390D7D"/>
    <w:rsid w:val="00391D3D"/>
    <w:rsid w:val="00392A16"/>
    <w:rsid w:val="00392BF2"/>
    <w:rsid w:val="003936C9"/>
    <w:rsid w:val="00393890"/>
    <w:rsid w:val="00393C5C"/>
    <w:rsid w:val="00393D02"/>
    <w:rsid w:val="00394B33"/>
    <w:rsid w:val="00394EFB"/>
    <w:rsid w:val="00394F92"/>
    <w:rsid w:val="00396826"/>
    <w:rsid w:val="00397528"/>
    <w:rsid w:val="003A25A3"/>
    <w:rsid w:val="003A35CE"/>
    <w:rsid w:val="003A3745"/>
    <w:rsid w:val="003A4653"/>
    <w:rsid w:val="003A5CC7"/>
    <w:rsid w:val="003A6DF6"/>
    <w:rsid w:val="003A760A"/>
    <w:rsid w:val="003B043C"/>
    <w:rsid w:val="003B0475"/>
    <w:rsid w:val="003B1A46"/>
    <w:rsid w:val="003B1D6A"/>
    <w:rsid w:val="003B2659"/>
    <w:rsid w:val="003B2886"/>
    <w:rsid w:val="003B29F8"/>
    <w:rsid w:val="003B3B51"/>
    <w:rsid w:val="003B535A"/>
    <w:rsid w:val="003B5690"/>
    <w:rsid w:val="003C0018"/>
    <w:rsid w:val="003C02F9"/>
    <w:rsid w:val="003C0452"/>
    <w:rsid w:val="003C0CA8"/>
    <w:rsid w:val="003C17A2"/>
    <w:rsid w:val="003C193C"/>
    <w:rsid w:val="003C2649"/>
    <w:rsid w:val="003C3F82"/>
    <w:rsid w:val="003C4D82"/>
    <w:rsid w:val="003C5F7C"/>
    <w:rsid w:val="003C6549"/>
    <w:rsid w:val="003C76E9"/>
    <w:rsid w:val="003D0FFE"/>
    <w:rsid w:val="003D19C0"/>
    <w:rsid w:val="003D1F4D"/>
    <w:rsid w:val="003D5090"/>
    <w:rsid w:val="003D5C76"/>
    <w:rsid w:val="003D668A"/>
    <w:rsid w:val="003D6AC7"/>
    <w:rsid w:val="003D6EB9"/>
    <w:rsid w:val="003D70EC"/>
    <w:rsid w:val="003E00F4"/>
    <w:rsid w:val="003E04CE"/>
    <w:rsid w:val="003E0EFB"/>
    <w:rsid w:val="003E301A"/>
    <w:rsid w:val="003E3621"/>
    <w:rsid w:val="003E56C2"/>
    <w:rsid w:val="003E62F9"/>
    <w:rsid w:val="003E6BB8"/>
    <w:rsid w:val="003E708E"/>
    <w:rsid w:val="003E79CA"/>
    <w:rsid w:val="003F01F9"/>
    <w:rsid w:val="003F14B8"/>
    <w:rsid w:val="003F16A0"/>
    <w:rsid w:val="003F1BEB"/>
    <w:rsid w:val="003F2202"/>
    <w:rsid w:val="003F3E03"/>
    <w:rsid w:val="003F41F8"/>
    <w:rsid w:val="003F421B"/>
    <w:rsid w:val="003F4B05"/>
    <w:rsid w:val="003F4C87"/>
    <w:rsid w:val="003F5D19"/>
    <w:rsid w:val="003F770B"/>
    <w:rsid w:val="00401C06"/>
    <w:rsid w:val="00402736"/>
    <w:rsid w:val="004038B3"/>
    <w:rsid w:val="00403F61"/>
    <w:rsid w:val="00404ADF"/>
    <w:rsid w:val="00404CA5"/>
    <w:rsid w:val="0040685A"/>
    <w:rsid w:val="004076BC"/>
    <w:rsid w:val="004101C5"/>
    <w:rsid w:val="00410250"/>
    <w:rsid w:val="00410A58"/>
    <w:rsid w:val="00412B51"/>
    <w:rsid w:val="00414362"/>
    <w:rsid w:val="00414854"/>
    <w:rsid w:val="00414C4C"/>
    <w:rsid w:val="00414C68"/>
    <w:rsid w:val="0041538B"/>
    <w:rsid w:val="004153F0"/>
    <w:rsid w:val="0041607E"/>
    <w:rsid w:val="00416B27"/>
    <w:rsid w:val="00416BE5"/>
    <w:rsid w:val="00420A72"/>
    <w:rsid w:val="00421799"/>
    <w:rsid w:val="00422821"/>
    <w:rsid w:val="004234F5"/>
    <w:rsid w:val="0042420D"/>
    <w:rsid w:val="004246B9"/>
    <w:rsid w:val="00424E42"/>
    <w:rsid w:val="00424EC6"/>
    <w:rsid w:val="004251E6"/>
    <w:rsid w:val="0042528A"/>
    <w:rsid w:val="00425CE2"/>
    <w:rsid w:val="00426154"/>
    <w:rsid w:val="0043093E"/>
    <w:rsid w:val="004313B4"/>
    <w:rsid w:val="004320B2"/>
    <w:rsid w:val="004323C2"/>
    <w:rsid w:val="004329A0"/>
    <w:rsid w:val="0043302B"/>
    <w:rsid w:val="004335B8"/>
    <w:rsid w:val="0043635B"/>
    <w:rsid w:val="0043669C"/>
    <w:rsid w:val="00441928"/>
    <w:rsid w:val="00442E8F"/>
    <w:rsid w:val="00444E5E"/>
    <w:rsid w:val="00445FEE"/>
    <w:rsid w:val="0044633A"/>
    <w:rsid w:val="004472FD"/>
    <w:rsid w:val="004507AC"/>
    <w:rsid w:val="004507FB"/>
    <w:rsid w:val="00450EE6"/>
    <w:rsid w:val="004518D7"/>
    <w:rsid w:val="00453258"/>
    <w:rsid w:val="0045622F"/>
    <w:rsid w:val="00456CA7"/>
    <w:rsid w:val="00456F7F"/>
    <w:rsid w:val="00457173"/>
    <w:rsid w:val="00460008"/>
    <w:rsid w:val="004609C3"/>
    <w:rsid w:val="004611A5"/>
    <w:rsid w:val="0046129A"/>
    <w:rsid w:val="00462116"/>
    <w:rsid w:val="00462269"/>
    <w:rsid w:val="004629DC"/>
    <w:rsid w:val="00462D61"/>
    <w:rsid w:val="0046461B"/>
    <w:rsid w:val="0047020D"/>
    <w:rsid w:val="0047059D"/>
    <w:rsid w:val="00470C30"/>
    <w:rsid w:val="004711C5"/>
    <w:rsid w:val="00471D2A"/>
    <w:rsid w:val="00474115"/>
    <w:rsid w:val="004777C3"/>
    <w:rsid w:val="00480D3D"/>
    <w:rsid w:val="00481A85"/>
    <w:rsid w:val="00482BB8"/>
    <w:rsid w:val="004844BB"/>
    <w:rsid w:val="004862F5"/>
    <w:rsid w:val="00487339"/>
    <w:rsid w:val="00487ABD"/>
    <w:rsid w:val="00487CE0"/>
    <w:rsid w:val="00490483"/>
    <w:rsid w:val="00490FCB"/>
    <w:rsid w:val="00491D06"/>
    <w:rsid w:val="00492B6E"/>
    <w:rsid w:val="00492C8D"/>
    <w:rsid w:val="004945F6"/>
    <w:rsid w:val="00494BB2"/>
    <w:rsid w:val="00496814"/>
    <w:rsid w:val="00496E79"/>
    <w:rsid w:val="004976AC"/>
    <w:rsid w:val="00497A2E"/>
    <w:rsid w:val="004A1F2F"/>
    <w:rsid w:val="004A2955"/>
    <w:rsid w:val="004A2B87"/>
    <w:rsid w:val="004A2BBB"/>
    <w:rsid w:val="004A316C"/>
    <w:rsid w:val="004A33C6"/>
    <w:rsid w:val="004A3751"/>
    <w:rsid w:val="004A44BC"/>
    <w:rsid w:val="004A4BA0"/>
    <w:rsid w:val="004A4D64"/>
    <w:rsid w:val="004A554B"/>
    <w:rsid w:val="004A575B"/>
    <w:rsid w:val="004B101F"/>
    <w:rsid w:val="004B1C4A"/>
    <w:rsid w:val="004B3A47"/>
    <w:rsid w:val="004B5402"/>
    <w:rsid w:val="004B63FB"/>
    <w:rsid w:val="004B7F75"/>
    <w:rsid w:val="004C0E6E"/>
    <w:rsid w:val="004C10D6"/>
    <w:rsid w:val="004C1651"/>
    <w:rsid w:val="004C1CDE"/>
    <w:rsid w:val="004C2B0A"/>
    <w:rsid w:val="004C2EDD"/>
    <w:rsid w:val="004C2EFB"/>
    <w:rsid w:val="004C33AE"/>
    <w:rsid w:val="004C3635"/>
    <w:rsid w:val="004C58C9"/>
    <w:rsid w:val="004C7857"/>
    <w:rsid w:val="004D1272"/>
    <w:rsid w:val="004D1FE9"/>
    <w:rsid w:val="004D2A6B"/>
    <w:rsid w:val="004D3C16"/>
    <w:rsid w:val="004D3EFF"/>
    <w:rsid w:val="004D4A7D"/>
    <w:rsid w:val="004D7A44"/>
    <w:rsid w:val="004D7A90"/>
    <w:rsid w:val="004D7C5D"/>
    <w:rsid w:val="004E0DA8"/>
    <w:rsid w:val="004E1DD0"/>
    <w:rsid w:val="004E1F03"/>
    <w:rsid w:val="004E28D4"/>
    <w:rsid w:val="004E3B14"/>
    <w:rsid w:val="004E3E33"/>
    <w:rsid w:val="004E48C1"/>
    <w:rsid w:val="004E4DA5"/>
    <w:rsid w:val="004E5654"/>
    <w:rsid w:val="004E5E73"/>
    <w:rsid w:val="004E7A39"/>
    <w:rsid w:val="004F0572"/>
    <w:rsid w:val="004F0920"/>
    <w:rsid w:val="004F0B6F"/>
    <w:rsid w:val="004F290A"/>
    <w:rsid w:val="004F3E0C"/>
    <w:rsid w:val="004F47ED"/>
    <w:rsid w:val="004F5026"/>
    <w:rsid w:val="00500D9E"/>
    <w:rsid w:val="00501D6C"/>
    <w:rsid w:val="005021DB"/>
    <w:rsid w:val="00502C4E"/>
    <w:rsid w:val="00503DF3"/>
    <w:rsid w:val="005058B5"/>
    <w:rsid w:val="00505E24"/>
    <w:rsid w:val="005068D7"/>
    <w:rsid w:val="00506C77"/>
    <w:rsid w:val="00507640"/>
    <w:rsid w:val="00510184"/>
    <w:rsid w:val="00510562"/>
    <w:rsid w:val="0051090D"/>
    <w:rsid w:val="00510A87"/>
    <w:rsid w:val="00510C37"/>
    <w:rsid w:val="00511AF2"/>
    <w:rsid w:val="00512597"/>
    <w:rsid w:val="00513076"/>
    <w:rsid w:val="0051569F"/>
    <w:rsid w:val="0051611B"/>
    <w:rsid w:val="00516E9E"/>
    <w:rsid w:val="00517FAD"/>
    <w:rsid w:val="005207EB"/>
    <w:rsid w:val="005236E2"/>
    <w:rsid w:val="00523B0B"/>
    <w:rsid w:val="005241EC"/>
    <w:rsid w:val="00524EB8"/>
    <w:rsid w:val="0052507E"/>
    <w:rsid w:val="00525CD5"/>
    <w:rsid w:val="00526DD3"/>
    <w:rsid w:val="00526FFB"/>
    <w:rsid w:val="0053003C"/>
    <w:rsid w:val="00530924"/>
    <w:rsid w:val="0053169D"/>
    <w:rsid w:val="005323AD"/>
    <w:rsid w:val="00532B05"/>
    <w:rsid w:val="005372C8"/>
    <w:rsid w:val="00541079"/>
    <w:rsid w:val="0054253C"/>
    <w:rsid w:val="00543A67"/>
    <w:rsid w:val="00544534"/>
    <w:rsid w:val="00545019"/>
    <w:rsid w:val="00545324"/>
    <w:rsid w:val="00545A0D"/>
    <w:rsid w:val="00546162"/>
    <w:rsid w:val="00546911"/>
    <w:rsid w:val="00546BC3"/>
    <w:rsid w:val="00546C2D"/>
    <w:rsid w:val="00547B99"/>
    <w:rsid w:val="00547D4A"/>
    <w:rsid w:val="00550429"/>
    <w:rsid w:val="00550554"/>
    <w:rsid w:val="00551DBD"/>
    <w:rsid w:val="00551F27"/>
    <w:rsid w:val="0055249A"/>
    <w:rsid w:val="00553626"/>
    <w:rsid w:val="00553B34"/>
    <w:rsid w:val="00553C3B"/>
    <w:rsid w:val="00553CEB"/>
    <w:rsid w:val="00555701"/>
    <w:rsid w:val="0055594F"/>
    <w:rsid w:val="00556053"/>
    <w:rsid w:val="005567AF"/>
    <w:rsid w:val="00557330"/>
    <w:rsid w:val="005608FC"/>
    <w:rsid w:val="00561AA3"/>
    <w:rsid w:val="005621CB"/>
    <w:rsid w:val="00562F1A"/>
    <w:rsid w:val="00564751"/>
    <w:rsid w:val="00565F00"/>
    <w:rsid w:val="0056732A"/>
    <w:rsid w:val="00567680"/>
    <w:rsid w:val="00567805"/>
    <w:rsid w:val="00567B85"/>
    <w:rsid w:val="00570774"/>
    <w:rsid w:val="005708FE"/>
    <w:rsid w:val="00570C3A"/>
    <w:rsid w:val="00570D04"/>
    <w:rsid w:val="00572954"/>
    <w:rsid w:val="00572CE8"/>
    <w:rsid w:val="005731CE"/>
    <w:rsid w:val="00573C8D"/>
    <w:rsid w:val="00573E33"/>
    <w:rsid w:val="00573F9F"/>
    <w:rsid w:val="00574CD4"/>
    <w:rsid w:val="00575924"/>
    <w:rsid w:val="00575E34"/>
    <w:rsid w:val="00581427"/>
    <w:rsid w:val="00581845"/>
    <w:rsid w:val="00581ABC"/>
    <w:rsid w:val="00582500"/>
    <w:rsid w:val="005830C8"/>
    <w:rsid w:val="00583F71"/>
    <w:rsid w:val="005843E7"/>
    <w:rsid w:val="005854AB"/>
    <w:rsid w:val="00586C5F"/>
    <w:rsid w:val="00590AB4"/>
    <w:rsid w:val="005913FE"/>
    <w:rsid w:val="00591FDF"/>
    <w:rsid w:val="00592440"/>
    <w:rsid w:val="00595EF6"/>
    <w:rsid w:val="00596D06"/>
    <w:rsid w:val="005A07E5"/>
    <w:rsid w:val="005A2280"/>
    <w:rsid w:val="005A25D5"/>
    <w:rsid w:val="005A2D78"/>
    <w:rsid w:val="005A3386"/>
    <w:rsid w:val="005A369C"/>
    <w:rsid w:val="005A5367"/>
    <w:rsid w:val="005A57F7"/>
    <w:rsid w:val="005A64DB"/>
    <w:rsid w:val="005B161F"/>
    <w:rsid w:val="005B1AC2"/>
    <w:rsid w:val="005B4C8A"/>
    <w:rsid w:val="005B659B"/>
    <w:rsid w:val="005B7071"/>
    <w:rsid w:val="005B778A"/>
    <w:rsid w:val="005C0D87"/>
    <w:rsid w:val="005C1083"/>
    <w:rsid w:val="005C2569"/>
    <w:rsid w:val="005C298A"/>
    <w:rsid w:val="005C7C2B"/>
    <w:rsid w:val="005D148E"/>
    <w:rsid w:val="005D1D46"/>
    <w:rsid w:val="005D3E6F"/>
    <w:rsid w:val="005D4F6F"/>
    <w:rsid w:val="005D533A"/>
    <w:rsid w:val="005D5619"/>
    <w:rsid w:val="005D61CC"/>
    <w:rsid w:val="005D6852"/>
    <w:rsid w:val="005E1A1F"/>
    <w:rsid w:val="005E2187"/>
    <w:rsid w:val="005E307D"/>
    <w:rsid w:val="005E4F29"/>
    <w:rsid w:val="005E6139"/>
    <w:rsid w:val="005E6F8D"/>
    <w:rsid w:val="005E7E89"/>
    <w:rsid w:val="005F2A1F"/>
    <w:rsid w:val="005F40E1"/>
    <w:rsid w:val="005F433B"/>
    <w:rsid w:val="005F4744"/>
    <w:rsid w:val="005F4AEF"/>
    <w:rsid w:val="005F61AF"/>
    <w:rsid w:val="005F7072"/>
    <w:rsid w:val="005F74B0"/>
    <w:rsid w:val="005F75F8"/>
    <w:rsid w:val="005F7644"/>
    <w:rsid w:val="00600E2D"/>
    <w:rsid w:val="00601065"/>
    <w:rsid w:val="00601162"/>
    <w:rsid w:val="00602C30"/>
    <w:rsid w:val="006034CB"/>
    <w:rsid w:val="0060514A"/>
    <w:rsid w:val="00606119"/>
    <w:rsid w:val="00606C2B"/>
    <w:rsid w:val="00606D9F"/>
    <w:rsid w:val="006077E2"/>
    <w:rsid w:val="00607FFE"/>
    <w:rsid w:val="0061158B"/>
    <w:rsid w:val="00611A12"/>
    <w:rsid w:val="006136A0"/>
    <w:rsid w:val="0061391D"/>
    <w:rsid w:val="00613A71"/>
    <w:rsid w:val="00613B0C"/>
    <w:rsid w:val="00613DCD"/>
    <w:rsid w:val="00613E57"/>
    <w:rsid w:val="0061470E"/>
    <w:rsid w:val="00616392"/>
    <w:rsid w:val="006217F9"/>
    <w:rsid w:val="00621C01"/>
    <w:rsid w:val="00621DCB"/>
    <w:rsid w:val="006225A3"/>
    <w:rsid w:val="00622CAE"/>
    <w:rsid w:val="0062339D"/>
    <w:rsid w:val="006247B2"/>
    <w:rsid w:val="0062515F"/>
    <w:rsid w:val="006256FD"/>
    <w:rsid w:val="00626FC2"/>
    <w:rsid w:val="006300EB"/>
    <w:rsid w:val="00630468"/>
    <w:rsid w:val="0063153D"/>
    <w:rsid w:val="0063189B"/>
    <w:rsid w:val="00631A8B"/>
    <w:rsid w:val="00632613"/>
    <w:rsid w:val="00632FA3"/>
    <w:rsid w:val="006348AF"/>
    <w:rsid w:val="00636771"/>
    <w:rsid w:val="00636FED"/>
    <w:rsid w:val="0063709A"/>
    <w:rsid w:val="0064098A"/>
    <w:rsid w:val="00642C14"/>
    <w:rsid w:val="00643F51"/>
    <w:rsid w:val="00644DE4"/>
    <w:rsid w:val="0064542C"/>
    <w:rsid w:val="00650311"/>
    <w:rsid w:val="00650C36"/>
    <w:rsid w:val="00654337"/>
    <w:rsid w:val="00654FE5"/>
    <w:rsid w:val="006551A0"/>
    <w:rsid w:val="00656A54"/>
    <w:rsid w:val="0065750E"/>
    <w:rsid w:val="006578D6"/>
    <w:rsid w:val="00657F0B"/>
    <w:rsid w:val="0066022B"/>
    <w:rsid w:val="00660594"/>
    <w:rsid w:val="006614B8"/>
    <w:rsid w:val="006622A8"/>
    <w:rsid w:val="0066246A"/>
    <w:rsid w:val="0066312B"/>
    <w:rsid w:val="0066383A"/>
    <w:rsid w:val="00664A46"/>
    <w:rsid w:val="00665DC6"/>
    <w:rsid w:val="00666C37"/>
    <w:rsid w:val="00667509"/>
    <w:rsid w:val="00667B26"/>
    <w:rsid w:val="00670BD7"/>
    <w:rsid w:val="006717AA"/>
    <w:rsid w:val="00671B92"/>
    <w:rsid w:val="006729E8"/>
    <w:rsid w:val="00673594"/>
    <w:rsid w:val="00674E89"/>
    <w:rsid w:val="00675399"/>
    <w:rsid w:val="006759F7"/>
    <w:rsid w:val="00680C32"/>
    <w:rsid w:val="00680E56"/>
    <w:rsid w:val="00681E16"/>
    <w:rsid w:val="00682280"/>
    <w:rsid w:val="006844BF"/>
    <w:rsid w:val="00684661"/>
    <w:rsid w:val="00690742"/>
    <w:rsid w:val="00691F6B"/>
    <w:rsid w:val="006929AD"/>
    <w:rsid w:val="00692ECD"/>
    <w:rsid w:val="00692EF4"/>
    <w:rsid w:val="006937C1"/>
    <w:rsid w:val="00694120"/>
    <w:rsid w:val="00695891"/>
    <w:rsid w:val="00697A99"/>
    <w:rsid w:val="006A1ED8"/>
    <w:rsid w:val="006A2002"/>
    <w:rsid w:val="006A319A"/>
    <w:rsid w:val="006A3B42"/>
    <w:rsid w:val="006A3DFA"/>
    <w:rsid w:val="006A3E35"/>
    <w:rsid w:val="006A43C6"/>
    <w:rsid w:val="006A4C01"/>
    <w:rsid w:val="006A542F"/>
    <w:rsid w:val="006A7133"/>
    <w:rsid w:val="006B14C6"/>
    <w:rsid w:val="006B2393"/>
    <w:rsid w:val="006B2A5C"/>
    <w:rsid w:val="006B394F"/>
    <w:rsid w:val="006B4641"/>
    <w:rsid w:val="006B5F2D"/>
    <w:rsid w:val="006B6816"/>
    <w:rsid w:val="006B7B56"/>
    <w:rsid w:val="006C029E"/>
    <w:rsid w:val="006C02A9"/>
    <w:rsid w:val="006C082B"/>
    <w:rsid w:val="006C1DB9"/>
    <w:rsid w:val="006C1E48"/>
    <w:rsid w:val="006C20A4"/>
    <w:rsid w:val="006C2EBA"/>
    <w:rsid w:val="006C3D0B"/>
    <w:rsid w:val="006C558B"/>
    <w:rsid w:val="006C578F"/>
    <w:rsid w:val="006D03AE"/>
    <w:rsid w:val="006D061C"/>
    <w:rsid w:val="006D15F8"/>
    <w:rsid w:val="006D1DAD"/>
    <w:rsid w:val="006D23E7"/>
    <w:rsid w:val="006D258F"/>
    <w:rsid w:val="006D2E9C"/>
    <w:rsid w:val="006D3AA9"/>
    <w:rsid w:val="006D4487"/>
    <w:rsid w:val="006D577C"/>
    <w:rsid w:val="006D5C42"/>
    <w:rsid w:val="006D5DFB"/>
    <w:rsid w:val="006D7696"/>
    <w:rsid w:val="006E098F"/>
    <w:rsid w:val="006E1F0D"/>
    <w:rsid w:val="006E412E"/>
    <w:rsid w:val="006E4D21"/>
    <w:rsid w:val="006E5852"/>
    <w:rsid w:val="006E696F"/>
    <w:rsid w:val="006E6B00"/>
    <w:rsid w:val="006E76CB"/>
    <w:rsid w:val="006E7F1E"/>
    <w:rsid w:val="006E7F80"/>
    <w:rsid w:val="006F0853"/>
    <w:rsid w:val="006F08BD"/>
    <w:rsid w:val="006F08D0"/>
    <w:rsid w:val="006F0A91"/>
    <w:rsid w:val="006F1443"/>
    <w:rsid w:val="006F1D24"/>
    <w:rsid w:val="006F3275"/>
    <w:rsid w:val="006F357E"/>
    <w:rsid w:val="006F37C3"/>
    <w:rsid w:val="006F48F5"/>
    <w:rsid w:val="006F6ADE"/>
    <w:rsid w:val="00701767"/>
    <w:rsid w:val="007033D8"/>
    <w:rsid w:val="007040FC"/>
    <w:rsid w:val="00704E81"/>
    <w:rsid w:val="00705481"/>
    <w:rsid w:val="00705787"/>
    <w:rsid w:val="00706C26"/>
    <w:rsid w:val="00706D64"/>
    <w:rsid w:val="00707AEC"/>
    <w:rsid w:val="00707CD5"/>
    <w:rsid w:val="00707E76"/>
    <w:rsid w:val="007131B1"/>
    <w:rsid w:val="00715D44"/>
    <w:rsid w:val="00715EF5"/>
    <w:rsid w:val="00715F1F"/>
    <w:rsid w:val="007161A2"/>
    <w:rsid w:val="0072008E"/>
    <w:rsid w:val="00721045"/>
    <w:rsid w:val="00723189"/>
    <w:rsid w:val="00723F03"/>
    <w:rsid w:val="00724C43"/>
    <w:rsid w:val="007250C6"/>
    <w:rsid w:val="00733290"/>
    <w:rsid w:val="0073423D"/>
    <w:rsid w:val="00734D87"/>
    <w:rsid w:val="00735AFD"/>
    <w:rsid w:val="00736395"/>
    <w:rsid w:val="00736BC1"/>
    <w:rsid w:val="0073735C"/>
    <w:rsid w:val="00737DCD"/>
    <w:rsid w:val="00740642"/>
    <w:rsid w:val="00741DB1"/>
    <w:rsid w:val="007429F1"/>
    <w:rsid w:val="00742EF8"/>
    <w:rsid w:val="00743AD1"/>
    <w:rsid w:val="007442E6"/>
    <w:rsid w:val="00744E64"/>
    <w:rsid w:val="00750AEF"/>
    <w:rsid w:val="00751615"/>
    <w:rsid w:val="00752219"/>
    <w:rsid w:val="007524FF"/>
    <w:rsid w:val="00752A57"/>
    <w:rsid w:val="007530FB"/>
    <w:rsid w:val="007532B5"/>
    <w:rsid w:val="00753646"/>
    <w:rsid w:val="00753A9A"/>
    <w:rsid w:val="00753AEF"/>
    <w:rsid w:val="00755B2F"/>
    <w:rsid w:val="00757346"/>
    <w:rsid w:val="007576F5"/>
    <w:rsid w:val="00760AC9"/>
    <w:rsid w:val="00761BAB"/>
    <w:rsid w:val="00761EC1"/>
    <w:rsid w:val="00763024"/>
    <w:rsid w:val="0076304A"/>
    <w:rsid w:val="007633B4"/>
    <w:rsid w:val="007634C0"/>
    <w:rsid w:val="007635A7"/>
    <w:rsid w:val="00764544"/>
    <w:rsid w:val="007647B3"/>
    <w:rsid w:val="00764BE2"/>
    <w:rsid w:val="00765605"/>
    <w:rsid w:val="00767F48"/>
    <w:rsid w:val="00770DA1"/>
    <w:rsid w:val="007713D1"/>
    <w:rsid w:val="0077165A"/>
    <w:rsid w:val="007734C2"/>
    <w:rsid w:val="00774AF3"/>
    <w:rsid w:val="00775E8D"/>
    <w:rsid w:val="00775FB9"/>
    <w:rsid w:val="00776477"/>
    <w:rsid w:val="007808C2"/>
    <w:rsid w:val="00780A71"/>
    <w:rsid w:val="00781196"/>
    <w:rsid w:val="007813CE"/>
    <w:rsid w:val="0078414A"/>
    <w:rsid w:val="007843B2"/>
    <w:rsid w:val="00784F77"/>
    <w:rsid w:val="00785A49"/>
    <w:rsid w:val="0078611E"/>
    <w:rsid w:val="00786DAE"/>
    <w:rsid w:val="0078733A"/>
    <w:rsid w:val="007873B1"/>
    <w:rsid w:val="007879EE"/>
    <w:rsid w:val="00787EAA"/>
    <w:rsid w:val="0079020B"/>
    <w:rsid w:val="00791F12"/>
    <w:rsid w:val="00792BC3"/>
    <w:rsid w:val="00792CEF"/>
    <w:rsid w:val="00795D19"/>
    <w:rsid w:val="00796E7E"/>
    <w:rsid w:val="007A01D6"/>
    <w:rsid w:val="007A349F"/>
    <w:rsid w:val="007A7C49"/>
    <w:rsid w:val="007A7CD5"/>
    <w:rsid w:val="007A7E81"/>
    <w:rsid w:val="007B1426"/>
    <w:rsid w:val="007B1514"/>
    <w:rsid w:val="007B2A5C"/>
    <w:rsid w:val="007B37DC"/>
    <w:rsid w:val="007B6066"/>
    <w:rsid w:val="007B659B"/>
    <w:rsid w:val="007B7147"/>
    <w:rsid w:val="007B714F"/>
    <w:rsid w:val="007B7F33"/>
    <w:rsid w:val="007C1347"/>
    <w:rsid w:val="007C2253"/>
    <w:rsid w:val="007C23C7"/>
    <w:rsid w:val="007C2D3A"/>
    <w:rsid w:val="007C3EF4"/>
    <w:rsid w:val="007C4202"/>
    <w:rsid w:val="007C497D"/>
    <w:rsid w:val="007C5968"/>
    <w:rsid w:val="007C7E3D"/>
    <w:rsid w:val="007D1F44"/>
    <w:rsid w:val="007D3D5C"/>
    <w:rsid w:val="007D7074"/>
    <w:rsid w:val="007D79E7"/>
    <w:rsid w:val="007D7CFA"/>
    <w:rsid w:val="007E0FC7"/>
    <w:rsid w:val="007E168A"/>
    <w:rsid w:val="007E18A7"/>
    <w:rsid w:val="007E1905"/>
    <w:rsid w:val="007E20DA"/>
    <w:rsid w:val="007E25CA"/>
    <w:rsid w:val="007E2B74"/>
    <w:rsid w:val="007E2C09"/>
    <w:rsid w:val="007E3643"/>
    <w:rsid w:val="007E3EAE"/>
    <w:rsid w:val="007E3ED0"/>
    <w:rsid w:val="007E5611"/>
    <w:rsid w:val="007E5DEF"/>
    <w:rsid w:val="007E6F5F"/>
    <w:rsid w:val="007E75CC"/>
    <w:rsid w:val="007E7A25"/>
    <w:rsid w:val="007F0C78"/>
    <w:rsid w:val="007F1D5A"/>
    <w:rsid w:val="007F3567"/>
    <w:rsid w:val="007F3B9E"/>
    <w:rsid w:val="007F47B3"/>
    <w:rsid w:val="007F68C9"/>
    <w:rsid w:val="007F7AEA"/>
    <w:rsid w:val="007F7C7C"/>
    <w:rsid w:val="008000AF"/>
    <w:rsid w:val="00800302"/>
    <w:rsid w:val="00801732"/>
    <w:rsid w:val="0080185E"/>
    <w:rsid w:val="008019B7"/>
    <w:rsid w:val="008035F4"/>
    <w:rsid w:val="00803671"/>
    <w:rsid w:val="0080487C"/>
    <w:rsid w:val="00804895"/>
    <w:rsid w:val="0080697B"/>
    <w:rsid w:val="008071D6"/>
    <w:rsid w:val="00807A0A"/>
    <w:rsid w:val="00810BD9"/>
    <w:rsid w:val="00812C72"/>
    <w:rsid w:val="00814469"/>
    <w:rsid w:val="00814B4C"/>
    <w:rsid w:val="008157E2"/>
    <w:rsid w:val="00815D72"/>
    <w:rsid w:val="00815EAC"/>
    <w:rsid w:val="00816307"/>
    <w:rsid w:val="0082003B"/>
    <w:rsid w:val="0082025A"/>
    <w:rsid w:val="00822ACD"/>
    <w:rsid w:val="00823605"/>
    <w:rsid w:val="00823BE8"/>
    <w:rsid w:val="00824C26"/>
    <w:rsid w:val="008250AB"/>
    <w:rsid w:val="00825986"/>
    <w:rsid w:val="00826674"/>
    <w:rsid w:val="0083077F"/>
    <w:rsid w:val="00830CF8"/>
    <w:rsid w:val="008310EE"/>
    <w:rsid w:val="00831D68"/>
    <w:rsid w:val="008339E5"/>
    <w:rsid w:val="00833D54"/>
    <w:rsid w:val="0083412A"/>
    <w:rsid w:val="00834B9B"/>
    <w:rsid w:val="008351B6"/>
    <w:rsid w:val="00835958"/>
    <w:rsid w:val="008367A9"/>
    <w:rsid w:val="008369EF"/>
    <w:rsid w:val="00836CF1"/>
    <w:rsid w:val="00840DD0"/>
    <w:rsid w:val="0084107C"/>
    <w:rsid w:val="00841BC5"/>
    <w:rsid w:val="00841EA3"/>
    <w:rsid w:val="0084207B"/>
    <w:rsid w:val="00843D63"/>
    <w:rsid w:val="008456D8"/>
    <w:rsid w:val="00846A55"/>
    <w:rsid w:val="00846EB7"/>
    <w:rsid w:val="00851D0E"/>
    <w:rsid w:val="00851EE7"/>
    <w:rsid w:val="0085234B"/>
    <w:rsid w:val="008530F1"/>
    <w:rsid w:val="008533EA"/>
    <w:rsid w:val="008538C8"/>
    <w:rsid w:val="00854E4B"/>
    <w:rsid w:val="00855E5D"/>
    <w:rsid w:val="00856337"/>
    <w:rsid w:val="00856B3B"/>
    <w:rsid w:val="008571EC"/>
    <w:rsid w:val="0085758E"/>
    <w:rsid w:val="008578B8"/>
    <w:rsid w:val="00857C3B"/>
    <w:rsid w:val="00857D28"/>
    <w:rsid w:val="00861F2B"/>
    <w:rsid w:val="00862ACA"/>
    <w:rsid w:val="00863CB4"/>
    <w:rsid w:val="00863D5E"/>
    <w:rsid w:val="0086438E"/>
    <w:rsid w:val="00865376"/>
    <w:rsid w:val="008674C6"/>
    <w:rsid w:val="00867F62"/>
    <w:rsid w:val="008743E8"/>
    <w:rsid w:val="00875F26"/>
    <w:rsid w:val="00875FB2"/>
    <w:rsid w:val="00876331"/>
    <w:rsid w:val="00876C9B"/>
    <w:rsid w:val="00877A38"/>
    <w:rsid w:val="00877EF0"/>
    <w:rsid w:val="00882A0C"/>
    <w:rsid w:val="00882F88"/>
    <w:rsid w:val="00883649"/>
    <w:rsid w:val="008843B5"/>
    <w:rsid w:val="00885F58"/>
    <w:rsid w:val="00886230"/>
    <w:rsid w:val="00886694"/>
    <w:rsid w:val="00886DB4"/>
    <w:rsid w:val="00887133"/>
    <w:rsid w:val="008876C2"/>
    <w:rsid w:val="0088779E"/>
    <w:rsid w:val="00893D3B"/>
    <w:rsid w:val="00894035"/>
    <w:rsid w:val="00894923"/>
    <w:rsid w:val="00895010"/>
    <w:rsid w:val="0089544C"/>
    <w:rsid w:val="008954D2"/>
    <w:rsid w:val="008960C2"/>
    <w:rsid w:val="008A04F1"/>
    <w:rsid w:val="008A05B3"/>
    <w:rsid w:val="008A147A"/>
    <w:rsid w:val="008A2C2C"/>
    <w:rsid w:val="008A47F4"/>
    <w:rsid w:val="008A4AB2"/>
    <w:rsid w:val="008A521B"/>
    <w:rsid w:val="008A6FCF"/>
    <w:rsid w:val="008B10DC"/>
    <w:rsid w:val="008B16D3"/>
    <w:rsid w:val="008B1C3D"/>
    <w:rsid w:val="008B1C76"/>
    <w:rsid w:val="008B4B4A"/>
    <w:rsid w:val="008B4B59"/>
    <w:rsid w:val="008B7AFE"/>
    <w:rsid w:val="008C0752"/>
    <w:rsid w:val="008C13A7"/>
    <w:rsid w:val="008C1A2A"/>
    <w:rsid w:val="008C1CAB"/>
    <w:rsid w:val="008C21C9"/>
    <w:rsid w:val="008C28E9"/>
    <w:rsid w:val="008C383D"/>
    <w:rsid w:val="008C7458"/>
    <w:rsid w:val="008C75ED"/>
    <w:rsid w:val="008D1493"/>
    <w:rsid w:val="008D1521"/>
    <w:rsid w:val="008D2DC3"/>
    <w:rsid w:val="008D334A"/>
    <w:rsid w:val="008D3583"/>
    <w:rsid w:val="008D3937"/>
    <w:rsid w:val="008D4EDE"/>
    <w:rsid w:val="008E0FD5"/>
    <w:rsid w:val="008E1F79"/>
    <w:rsid w:val="008E3AFF"/>
    <w:rsid w:val="008E4DFF"/>
    <w:rsid w:val="008E642C"/>
    <w:rsid w:val="008E6EAA"/>
    <w:rsid w:val="008F098A"/>
    <w:rsid w:val="008F0CCC"/>
    <w:rsid w:val="008F14EE"/>
    <w:rsid w:val="008F2373"/>
    <w:rsid w:val="008F3FE0"/>
    <w:rsid w:val="008F4472"/>
    <w:rsid w:val="008F5306"/>
    <w:rsid w:val="008F76C5"/>
    <w:rsid w:val="009009BC"/>
    <w:rsid w:val="00901D28"/>
    <w:rsid w:val="00903372"/>
    <w:rsid w:val="009043C2"/>
    <w:rsid w:val="00904896"/>
    <w:rsid w:val="00907298"/>
    <w:rsid w:val="009113F5"/>
    <w:rsid w:val="0091367B"/>
    <w:rsid w:val="00914709"/>
    <w:rsid w:val="00914971"/>
    <w:rsid w:val="00920B8A"/>
    <w:rsid w:val="00920EBB"/>
    <w:rsid w:val="00920EEE"/>
    <w:rsid w:val="009216BD"/>
    <w:rsid w:val="0092182B"/>
    <w:rsid w:val="00921834"/>
    <w:rsid w:val="0092205F"/>
    <w:rsid w:val="00922439"/>
    <w:rsid w:val="009233DD"/>
    <w:rsid w:val="009252A3"/>
    <w:rsid w:val="0092533C"/>
    <w:rsid w:val="00925ECE"/>
    <w:rsid w:val="00926010"/>
    <w:rsid w:val="009260D8"/>
    <w:rsid w:val="00926694"/>
    <w:rsid w:val="009300A2"/>
    <w:rsid w:val="00930B79"/>
    <w:rsid w:val="00930F2E"/>
    <w:rsid w:val="009324A3"/>
    <w:rsid w:val="009330A6"/>
    <w:rsid w:val="009342A9"/>
    <w:rsid w:val="00934A6D"/>
    <w:rsid w:val="00934DF4"/>
    <w:rsid w:val="00935F22"/>
    <w:rsid w:val="00935F74"/>
    <w:rsid w:val="00936453"/>
    <w:rsid w:val="00936C12"/>
    <w:rsid w:val="00937448"/>
    <w:rsid w:val="00937CB9"/>
    <w:rsid w:val="0094023A"/>
    <w:rsid w:val="00940A30"/>
    <w:rsid w:val="00940C93"/>
    <w:rsid w:val="009428E6"/>
    <w:rsid w:val="0094377B"/>
    <w:rsid w:val="00943820"/>
    <w:rsid w:val="00944174"/>
    <w:rsid w:val="00944224"/>
    <w:rsid w:val="009445F1"/>
    <w:rsid w:val="00944F25"/>
    <w:rsid w:val="00945B15"/>
    <w:rsid w:val="00950011"/>
    <w:rsid w:val="00950168"/>
    <w:rsid w:val="009503B7"/>
    <w:rsid w:val="00950A56"/>
    <w:rsid w:val="00950D61"/>
    <w:rsid w:val="00951489"/>
    <w:rsid w:val="00953180"/>
    <w:rsid w:val="00954185"/>
    <w:rsid w:val="00954688"/>
    <w:rsid w:val="00956049"/>
    <w:rsid w:val="0095625A"/>
    <w:rsid w:val="00956861"/>
    <w:rsid w:val="0096061E"/>
    <w:rsid w:val="009613C3"/>
    <w:rsid w:val="009616B7"/>
    <w:rsid w:val="0096180F"/>
    <w:rsid w:val="00963612"/>
    <w:rsid w:val="00963940"/>
    <w:rsid w:val="00964071"/>
    <w:rsid w:val="00964535"/>
    <w:rsid w:val="009645C8"/>
    <w:rsid w:val="00964D7D"/>
    <w:rsid w:val="00964EAA"/>
    <w:rsid w:val="00966BED"/>
    <w:rsid w:val="00966E1A"/>
    <w:rsid w:val="00967149"/>
    <w:rsid w:val="009673B7"/>
    <w:rsid w:val="009706CB"/>
    <w:rsid w:val="009707E7"/>
    <w:rsid w:val="0097291A"/>
    <w:rsid w:val="00972C77"/>
    <w:rsid w:val="0097346F"/>
    <w:rsid w:val="00973865"/>
    <w:rsid w:val="00975D81"/>
    <w:rsid w:val="00976B4B"/>
    <w:rsid w:val="00977294"/>
    <w:rsid w:val="009800C9"/>
    <w:rsid w:val="009814AC"/>
    <w:rsid w:val="009816A9"/>
    <w:rsid w:val="00981CF9"/>
    <w:rsid w:val="00981E9C"/>
    <w:rsid w:val="009835BE"/>
    <w:rsid w:val="0098377F"/>
    <w:rsid w:val="00986079"/>
    <w:rsid w:val="00990ADF"/>
    <w:rsid w:val="00991066"/>
    <w:rsid w:val="00993E22"/>
    <w:rsid w:val="00993F1E"/>
    <w:rsid w:val="009940C1"/>
    <w:rsid w:val="00994A77"/>
    <w:rsid w:val="00996D0D"/>
    <w:rsid w:val="009A21BC"/>
    <w:rsid w:val="009A2FD0"/>
    <w:rsid w:val="009A3307"/>
    <w:rsid w:val="009A3FAB"/>
    <w:rsid w:val="009A75B4"/>
    <w:rsid w:val="009A7686"/>
    <w:rsid w:val="009A7A9F"/>
    <w:rsid w:val="009B1448"/>
    <w:rsid w:val="009B155C"/>
    <w:rsid w:val="009B1C9B"/>
    <w:rsid w:val="009B1CA3"/>
    <w:rsid w:val="009B2144"/>
    <w:rsid w:val="009B2A12"/>
    <w:rsid w:val="009B2E7D"/>
    <w:rsid w:val="009B31F5"/>
    <w:rsid w:val="009B4D8F"/>
    <w:rsid w:val="009C36FE"/>
    <w:rsid w:val="009C429C"/>
    <w:rsid w:val="009C5551"/>
    <w:rsid w:val="009C5CCE"/>
    <w:rsid w:val="009C5F8F"/>
    <w:rsid w:val="009C76BE"/>
    <w:rsid w:val="009C7964"/>
    <w:rsid w:val="009D000F"/>
    <w:rsid w:val="009D21A5"/>
    <w:rsid w:val="009D24FA"/>
    <w:rsid w:val="009D2700"/>
    <w:rsid w:val="009D285B"/>
    <w:rsid w:val="009D3A3D"/>
    <w:rsid w:val="009D4392"/>
    <w:rsid w:val="009D5FD2"/>
    <w:rsid w:val="009D7068"/>
    <w:rsid w:val="009D71FC"/>
    <w:rsid w:val="009D7EBB"/>
    <w:rsid w:val="009E062A"/>
    <w:rsid w:val="009E28BE"/>
    <w:rsid w:val="009E40A9"/>
    <w:rsid w:val="009E4437"/>
    <w:rsid w:val="009E50D3"/>
    <w:rsid w:val="009E5388"/>
    <w:rsid w:val="009E5845"/>
    <w:rsid w:val="009E5F6D"/>
    <w:rsid w:val="009E64F7"/>
    <w:rsid w:val="009E6D9B"/>
    <w:rsid w:val="009E7738"/>
    <w:rsid w:val="009E7C1D"/>
    <w:rsid w:val="009E7ED5"/>
    <w:rsid w:val="009F0DFD"/>
    <w:rsid w:val="009F0FEA"/>
    <w:rsid w:val="009F195C"/>
    <w:rsid w:val="009F1BC5"/>
    <w:rsid w:val="009F1D4E"/>
    <w:rsid w:val="009F1DDF"/>
    <w:rsid w:val="009F2418"/>
    <w:rsid w:val="009F40C0"/>
    <w:rsid w:val="009F43C6"/>
    <w:rsid w:val="009F6837"/>
    <w:rsid w:val="009F6B0F"/>
    <w:rsid w:val="009F7DE3"/>
    <w:rsid w:val="00A024E3"/>
    <w:rsid w:val="00A026DC"/>
    <w:rsid w:val="00A0279F"/>
    <w:rsid w:val="00A0429E"/>
    <w:rsid w:val="00A05565"/>
    <w:rsid w:val="00A06AD2"/>
    <w:rsid w:val="00A07679"/>
    <w:rsid w:val="00A119C8"/>
    <w:rsid w:val="00A12A93"/>
    <w:rsid w:val="00A15565"/>
    <w:rsid w:val="00A159BE"/>
    <w:rsid w:val="00A15B02"/>
    <w:rsid w:val="00A16722"/>
    <w:rsid w:val="00A16B92"/>
    <w:rsid w:val="00A206E5"/>
    <w:rsid w:val="00A2089E"/>
    <w:rsid w:val="00A20E66"/>
    <w:rsid w:val="00A21EA1"/>
    <w:rsid w:val="00A235DC"/>
    <w:rsid w:val="00A2377C"/>
    <w:rsid w:val="00A249A6"/>
    <w:rsid w:val="00A2502C"/>
    <w:rsid w:val="00A25A19"/>
    <w:rsid w:val="00A25A96"/>
    <w:rsid w:val="00A27BB2"/>
    <w:rsid w:val="00A31150"/>
    <w:rsid w:val="00A35BE9"/>
    <w:rsid w:val="00A37EF6"/>
    <w:rsid w:val="00A42372"/>
    <w:rsid w:val="00A42503"/>
    <w:rsid w:val="00A44BA0"/>
    <w:rsid w:val="00A44C06"/>
    <w:rsid w:val="00A45077"/>
    <w:rsid w:val="00A4703A"/>
    <w:rsid w:val="00A508F4"/>
    <w:rsid w:val="00A50AE1"/>
    <w:rsid w:val="00A51697"/>
    <w:rsid w:val="00A52343"/>
    <w:rsid w:val="00A5429A"/>
    <w:rsid w:val="00A5777B"/>
    <w:rsid w:val="00A60813"/>
    <w:rsid w:val="00A60EDC"/>
    <w:rsid w:val="00A60F83"/>
    <w:rsid w:val="00A62097"/>
    <w:rsid w:val="00A6381B"/>
    <w:rsid w:val="00A63E7C"/>
    <w:rsid w:val="00A658D4"/>
    <w:rsid w:val="00A66006"/>
    <w:rsid w:val="00A66627"/>
    <w:rsid w:val="00A66A02"/>
    <w:rsid w:val="00A67AF6"/>
    <w:rsid w:val="00A67EB4"/>
    <w:rsid w:val="00A711A7"/>
    <w:rsid w:val="00A71BF8"/>
    <w:rsid w:val="00A72833"/>
    <w:rsid w:val="00A729B5"/>
    <w:rsid w:val="00A72CED"/>
    <w:rsid w:val="00A72FB0"/>
    <w:rsid w:val="00A7308E"/>
    <w:rsid w:val="00A7365C"/>
    <w:rsid w:val="00A74381"/>
    <w:rsid w:val="00A747D4"/>
    <w:rsid w:val="00A75473"/>
    <w:rsid w:val="00A755DD"/>
    <w:rsid w:val="00A75FDF"/>
    <w:rsid w:val="00A8052B"/>
    <w:rsid w:val="00A81CA6"/>
    <w:rsid w:val="00A81FDF"/>
    <w:rsid w:val="00A82BA8"/>
    <w:rsid w:val="00A82EF6"/>
    <w:rsid w:val="00A839AE"/>
    <w:rsid w:val="00A839B5"/>
    <w:rsid w:val="00A86EBB"/>
    <w:rsid w:val="00A87D2E"/>
    <w:rsid w:val="00A90823"/>
    <w:rsid w:val="00A90B9C"/>
    <w:rsid w:val="00A91854"/>
    <w:rsid w:val="00A92C36"/>
    <w:rsid w:val="00A95CF6"/>
    <w:rsid w:val="00A96343"/>
    <w:rsid w:val="00A966A0"/>
    <w:rsid w:val="00A96810"/>
    <w:rsid w:val="00A970C6"/>
    <w:rsid w:val="00A971DE"/>
    <w:rsid w:val="00A97ACC"/>
    <w:rsid w:val="00AA1882"/>
    <w:rsid w:val="00AA1EC1"/>
    <w:rsid w:val="00AA276E"/>
    <w:rsid w:val="00AA5C8E"/>
    <w:rsid w:val="00AA62E5"/>
    <w:rsid w:val="00AA657B"/>
    <w:rsid w:val="00AA65B5"/>
    <w:rsid w:val="00AA6D5E"/>
    <w:rsid w:val="00AA6EE9"/>
    <w:rsid w:val="00AA7111"/>
    <w:rsid w:val="00AB0CB2"/>
    <w:rsid w:val="00AB3477"/>
    <w:rsid w:val="00AB3DE4"/>
    <w:rsid w:val="00AB3F54"/>
    <w:rsid w:val="00AB431A"/>
    <w:rsid w:val="00AB5AD5"/>
    <w:rsid w:val="00AB5DB2"/>
    <w:rsid w:val="00AB61DC"/>
    <w:rsid w:val="00AC1B2A"/>
    <w:rsid w:val="00AC1BAC"/>
    <w:rsid w:val="00AC1C70"/>
    <w:rsid w:val="00AC298D"/>
    <w:rsid w:val="00AC3056"/>
    <w:rsid w:val="00AC3F6D"/>
    <w:rsid w:val="00AC40E8"/>
    <w:rsid w:val="00AC43DA"/>
    <w:rsid w:val="00AC4A98"/>
    <w:rsid w:val="00AC57FA"/>
    <w:rsid w:val="00AD0E16"/>
    <w:rsid w:val="00AD127E"/>
    <w:rsid w:val="00AD2733"/>
    <w:rsid w:val="00AD3964"/>
    <w:rsid w:val="00AD3F92"/>
    <w:rsid w:val="00AD6ED0"/>
    <w:rsid w:val="00AE0662"/>
    <w:rsid w:val="00AE17E6"/>
    <w:rsid w:val="00AE1A13"/>
    <w:rsid w:val="00AE3E5B"/>
    <w:rsid w:val="00AE3EEB"/>
    <w:rsid w:val="00AE4FAD"/>
    <w:rsid w:val="00AE562F"/>
    <w:rsid w:val="00AE5D8A"/>
    <w:rsid w:val="00AE71A4"/>
    <w:rsid w:val="00AF0949"/>
    <w:rsid w:val="00AF2B11"/>
    <w:rsid w:val="00AF33A1"/>
    <w:rsid w:val="00AF3BC4"/>
    <w:rsid w:val="00AF3D3D"/>
    <w:rsid w:val="00AF3E72"/>
    <w:rsid w:val="00AF3FEB"/>
    <w:rsid w:val="00AF41F9"/>
    <w:rsid w:val="00AF4839"/>
    <w:rsid w:val="00AF498E"/>
    <w:rsid w:val="00AF5F40"/>
    <w:rsid w:val="00AF62DD"/>
    <w:rsid w:val="00AF69B0"/>
    <w:rsid w:val="00AF7559"/>
    <w:rsid w:val="00B0150D"/>
    <w:rsid w:val="00B01818"/>
    <w:rsid w:val="00B0454D"/>
    <w:rsid w:val="00B04C66"/>
    <w:rsid w:val="00B05E85"/>
    <w:rsid w:val="00B0636F"/>
    <w:rsid w:val="00B10065"/>
    <w:rsid w:val="00B10168"/>
    <w:rsid w:val="00B10CAE"/>
    <w:rsid w:val="00B10DB1"/>
    <w:rsid w:val="00B11745"/>
    <w:rsid w:val="00B12BEF"/>
    <w:rsid w:val="00B138BF"/>
    <w:rsid w:val="00B13CC0"/>
    <w:rsid w:val="00B14106"/>
    <w:rsid w:val="00B14114"/>
    <w:rsid w:val="00B14A76"/>
    <w:rsid w:val="00B15CDD"/>
    <w:rsid w:val="00B15D51"/>
    <w:rsid w:val="00B170D0"/>
    <w:rsid w:val="00B171AE"/>
    <w:rsid w:val="00B172B9"/>
    <w:rsid w:val="00B176BF"/>
    <w:rsid w:val="00B20796"/>
    <w:rsid w:val="00B231F6"/>
    <w:rsid w:val="00B2331D"/>
    <w:rsid w:val="00B24C21"/>
    <w:rsid w:val="00B307FB"/>
    <w:rsid w:val="00B30CF0"/>
    <w:rsid w:val="00B31F45"/>
    <w:rsid w:val="00B3221B"/>
    <w:rsid w:val="00B33DFF"/>
    <w:rsid w:val="00B34742"/>
    <w:rsid w:val="00B3600D"/>
    <w:rsid w:val="00B37466"/>
    <w:rsid w:val="00B377F6"/>
    <w:rsid w:val="00B37EB0"/>
    <w:rsid w:val="00B40435"/>
    <w:rsid w:val="00B4044B"/>
    <w:rsid w:val="00B40571"/>
    <w:rsid w:val="00B40AD1"/>
    <w:rsid w:val="00B40AD5"/>
    <w:rsid w:val="00B40B45"/>
    <w:rsid w:val="00B4419C"/>
    <w:rsid w:val="00B44587"/>
    <w:rsid w:val="00B447C9"/>
    <w:rsid w:val="00B50284"/>
    <w:rsid w:val="00B50BF1"/>
    <w:rsid w:val="00B51164"/>
    <w:rsid w:val="00B51F40"/>
    <w:rsid w:val="00B525BD"/>
    <w:rsid w:val="00B52782"/>
    <w:rsid w:val="00B55F9B"/>
    <w:rsid w:val="00B5618B"/>
    <w:rsid w:val="00B567DD"/>
    <w:rsid w:val="00B61281"/>
    <w:rsid w:val="00B61757"/>
    <w:rsid w:val="00B6400A"/>
    <w:rsid w:val="00B65376"/>
    <w:rsid w:val="00B658E4"/>
    <w:rsid w:val="00B67658"/>
    <w:rsid w:val="00B676F7"/>
    <w:rsid w:val="00B70C12"/>
    <w:rsid w:val="00B715FE"/>
    <w:rsid w:val="00B71B5D"/>
    <w:rsid w:val="00B7204B"/>
    <w:rsid w:val="00B73E70"/>
    <w:rsid w:val="00B73E9E"/>
    <w:rsid w:val="00B73EE2"/>
    <w:rsid w:val="00B745D2"/>
    <w:rsid w:val="00B74EFE"/>
    <w:rsid w:val="00B7538F"/>
    <w:rsid w:val="00B75F1B"/>
    <w:rsid w:val="00B76602"/>
    <w:rsid w:val="00B768A2"/>
    <w:rsid w:val="00B76D14"/>
    <w:rsid w:val="00B7718A"/>
    <w:rsid w:val="00B80825"/>
    <w:rsid w:val="00B81DC8"/>
    <w:rsid w:val="00B833D8"/>
    <w:rsid w:val="00B839D9"/>
    <w:rsid w:val="00B8526C"/>
    <w:rsid w:val="00B85FAE"/>
    <w:rsid w:val="00B862F0"/>
    <w:rsid w:val="00B86548"/>
    <w:rsid w:val="00B90C00"/>
    <w:rsid w:val="00B91092"/>
    <w:rsid w:val="00B9338B"/>
    <w:rsid w:val="00B93607"/>
    <w:rsid w:val="00B969CD"/>
    <w:rsid w:val="00B96A78"/>
    <w:rsid w:val="00BA07FE"/>
    <w:rsid w:val="00BA0894"/>
    <w:rsid w:val="00BA1881"/>
    <w:rsid w:val="00BA2388"/>
    <w:rsid w:val="00BA3104"/>
    <w:rsid w:val="00BA3183"/>
    <w:rsid w:val="00BA41A1"/>
    <w:rsid w:val="00BA471B"/>
    <w:rsid w:val="00BA69FD"/>
    <w:rsid w:val="00BA72D7"/>
    <w:rsid w:val="00BB179A"/>
    <w:rsid w:val="00BB19E0"/>
    <w:rsid w:val="00BB3946"/>
    <w:rsid w:val="00BB3C49"/>
    <w:rsid w:val="00BB5C68"/>
    <w:rsid w:val="00BB75A7"/>
    <w:rsid w:val="00BB79E6"/>
    <w:rsid w:val="00BC0355"/>
    <w:rsid w:val="00BC1392"/>
    <w:rsid w:val="00BC13E5"/>
    <w:rsid w:val="00BC1489"/>
    <w:rsid w:val="00BC345F"/>
    <w:rsid w:val="00BC394D"/>
    <w:rsid w:val="00BC399C"/>
    <w:rsid w:val="00BC3EB2"/>
    <w:rsid w:val="00BC4316"/>
    <w:rsid w:val="00BC49F0"/>
    <w:rsid w:val="00BC4E7A"/>
    <w:rsid w:val="00BC7890"/>
    <w:rsid w:val="00BC7CE0"/>
    <w:rsid w:val="00BD033C"/>
    <w:rsid w:val="00BD426E"/>
    <w:rsid w:val="00BD48C5"/>
    <w:rsid w:val="00BD4B71"/>
    <w:rsid w:val="00BD5346"/>
    <w:rsid w:val="00BD696E"/>
    <w:rsid w:val="00BD782A"/>
    <w:rsid w:val="00BE010C"/>
    <w:rsid w:val="00BE09FD"/>
    <w:rsid w:val="00BE1AE3"/>
    <w:rsid w:val="00BE47B0"/>
    <w:rsid w:val="00BE4D52"/>
    <w:rsid w:val="00BE5317"/>
    <w:rsid w:val="00BE55BC"/>
    <w:rsid w:val="00BE5875"/>
    <w:rsid w:val="00BE6BB5"/>
    <w:rsid w:val="00BE7259"/>
    <w:rsid w:val="00BE76E9"/>
    <w:rsid w:val="00BF168F"/>
    <w:rsid w:val="00BF250E"/>
    <w:rsid w:val="00BF26D2"/>
    <w:rsid w:val="00BF29C7"/>
    <w:rsid w:val="00BF3FEB"/>
    <w:rsid w:val="00BF77D2"/>
    <w:rsid w:val="00C0062B"/>
    <w:rsid w:val="00C0144E"/>
    <w:rsid w:val="00C015CE"/>
    <w:rsid w:val="00C01DA5"/>
    <w:rsid w:val="00C02E30"/>
    <w:rsid w:val="00C03F30"/>
    <w:rsid w:val="00C07444"/>
    <w:rsid w:val="00C10C76"/>
    <w:rsid w:val="00C11866"/>
    <w:rsid w:val="00C1451E"/>
    <w:rsid w:val="00C14845"/>
    <w:rsid w:val="00C1494A"/>
    <w:rsid w:val="00C151DA"/>
    <w:rsid w:val="00C17DE1"/>
    <w:rsid w:val="00C223B0"/>
    <w:rsid w:val="00C24455"/>
    <w:rsid w:val="00C24740"/>
    <w:rsid w:val="00C2577C"/>
    <w:rsid w:val="00C2796F"/>
    <w:rsid w:val="00C3023B"/>
    <w:rsid w:val="00C30759"/>
    <w:rsid w:val="00C315CA"/>
    <w:rsid w:val="00C33E16"/>
    <w:rsid w:val="00C33EAB"/>
    <w:rsid w:val="00C3476C"/>
    <w:rsid w:val="00C3725F"/>
    <w:rsid w:val="00C376EF"/>
    <w:rsid w:val="00C40B14"/>
    <w:rsid w:val="00C40E6F"/>
    <w:rsid w:val="00C43745"/>
    <w:rsid w:val="00C44290"/>
    <w:rsid w:val="00C44660"/>
    <w:rsid w:val="00C44E93"/>
    <w:rsid w:val="00C456BF"/>
    <w:rsid w:val="00C4605C"/>
    <w:rsid w:val="00C515E6"/>
    <w:rsid w:val="00C519F2"/>
    <w:rsid w:val="00C5207C"/>
    <w:rsid w:val="00C528EA"/>
    <w:rsid w:val="00C52B7A"/>
    <w:rsid w:val="00C53064"/>
    <w:rsid w:val="00C53FB2"/>
    <w:rsid w:val="00C54A68"/>
    <w:rsid w:val="00C5781A"/>
    <w:rsid w:val="00C62827"/>
    <w:rsid w:val="00C629AB"/>
    <w:rsid w:val="00C63485"/>
    <w:rsid w:val="00C64371"/>
    <w:rsid w:val="00C646A9"/>
    <w:rsid w:val="00C65049"/>
    <w:rsid w:val="00C652C4"/>
    <w:rsid w:val="00C659D5"/>
    <w:rsid w:val="00C66284"/>
    <w:rsid w:val="00C667F4"/>
    <w:rsid w:val="00C6691D"/>
    <w:rsid w:val="00C6701D"/>
    <w:rsid w:val="00C67C25"/>
    <w:rsid w:val="00C67F87"/>
    <w:rsid w:val="00C70550"/>
    <w:rsid w:val="00C71DDB"/>
    <w:rsid w:val="00C72FC3"/>
    <w:rsid w:val="00C7319E"/>
    <w:rsid w:val="00C73264"/>
    <w:rsid w:val="00C7491A"/>
    <w:rsid w:val="00C74EB3"/>
    <w:rsid w:val="00C75206"/>
    <w:rsid w:val="00C75DD2"/>
    <w:rsid w:val="00C776E2"/>
    <w:rsid w:val="00C77F83"/>
    <w:rsid w:val="00C807BB"/>
    <w:rsid w:val="00C819D7"/>
    <w:rsid w:val="00C827AE"/>
    <w:rsid w:val="00C835FB"/>
    <w:rsid w:val="00C842A4"/>
    <w:rsid w:val="00C84D55"/>
    <w:rsid w:val="00C85BEA"/>
    <w:rsid w:val="00C86C4A"/>
    <w:rsid w:val="00C87028"/>
    <w:rsid w:val="00C87CFC"/>
    <w:rsid w:val="00C909D7"/>
    <w:rsid w:val="00C914DE"/>
    <w:rsid w:val="00C918DD"/>
    <w:rsid w:val="00C91BEC"/>
    <w:rsid w:val="00C91C95"/>
    <w:rsid w:val="00C91CC4"/>
    <w:rsid w:val="00C91E2E"/>
    <w:rsid w:val="00C921CB"/>
    <w:rsid w:val="00C92417"/>
    <w:rsid w:val="00C95308"/>
    <w:rsid w:val="00C95837"/>
    <w:rsid w:val="00C97AE0"/>
    <w:rsid w:val="00CA038B"/>
    <w:rsid w:val="00CA0FF6"/>
    <w:rsid w:val="00CA29DA"/>
    <w:rsid w:val="00CA3A0A"/>
    <w:rsid w:val="00CA5C13"/>
    <w:rsid w:val="00CA6353"/>
    <w:rsid w:val="00CB005D"/>
    <w:rsid w:val="00CB06FE"/>
    <w:rsid w:val="00CB1331"/>
    <w:rsid w:val="00CB15CC"/>
    <w:rsid w:val="00CB1EBA"/>
    <w:rsid w:val="00CB204F"/>
    <w:rsid w:val="00CB251E"/>
    <w:rsid w:val="00CB3A0A"/>
    <w:rsid w:val="00CB4C94"/>
    <w:rsid w:val="00CB4CAA"/>
    <w:rsid w:val="00CB5A72"/>
    <w:rsid w:val="00CB7ED4"/>
    <w:rsid w:val="00CC0B6A"/>
    <w:rsid w:val="00CC1C1D"/>
    <w:rsid w:val="00CC25B0"/>
    <w:rsid w:val="00CC2FDF"/>
    <w:rsid w:val="00CC50ED"/>
    <w:rsid w:val="00CC5C78"/>
    <w:rsid w:val="00CC6C82"/>
    <w:rsid w:val="00CC6EAC"/>
    <w:rsid w:val="00CD0371"/>
    <w:rsid w:val="00CD082E"/>
    <w:rsid w:val="00CD24C3"/>
    <w:rsid w:val="00CD4FBA"/>
    <w:rsid w:val="00CD70C3"/>
    <w:rsid w:val="00CE031D"/>
    <w:rsid w:val="00CE0F93"/>
    <w:rsid w:val="00CE105D"/>
    <w:rsid w:val="00CE2768"/>
    <w:rsid w:val="00CE2BA7"/>
    <w:rsid w:val="00CE2BDE"/>
    <w:rsid w:val="00CE3220"/>
    <w:rsid w:val="00CE47BB"/>
    <w:rsid w:val="00CE4A21"/>
    <w:rsid w:val="00CE500B"/>
    <w:rsid w:val="00CE6702"/>
    <w:rsid w:val="00CE7390"/>
    <w:rsid w:val="00CF24BB"/>
    <w:rsid w:val="00CF3A14"/>
    <w:rsid w:val="00CF51AC"/>
    <w:rsid w:val="00CF65C2"/>
    <w:rsid w:val="00CF7822"/>
    <w:rsid w:val="00CF7AAF"/>
    <w:rsid w:val="00D00B6D"/>
    <w:rsid w:val="00D00E5B"/>
    <w:rsid w:val="00D01081"/>
    <w:rsid w:val="00D06C8D"/>
    <w:rsid w:val="00D07D46"/>
    <w:rsid w:val="00D11D11"/>
    <w:rsid w:val="00D11D80"/>
    <w:rsid w:val="00D1217E"/>
    <w:rsid w:val="00D15149"/>
    <w:rsid w:val="00D15BAE"/>
    <w:rsid w:val="00D167C7"/>
    <w:rsid w:val="00D16DB6"/>
    <w:rsid w:val="00D20EE4"/>
    <w:rsid w:val="00D20FC1"/>
    <w:rsid w:val="00D21D8D"/>
    <w:rsid w:val="00D22914"/>
    <w:rsid w:val="00D24497"/>
    <w:rsid w:val="00D244EC"/>
    <w:rsid w:val="00D2516D"/>
    <w:rsid w:val="00D2750E"/>
    <w:rsid w:val="00D2793B"/>
    <w:rsid w:val="00D279A0"/>
    <w:rsid w:val="00D27D54"/>
    <w:rsid w:val="00D3063D"/>
    <w:rsid w:val="00D31085"/>
    <w:rsid w:val="00D31EB9"/>
    <w:rsid w:val="00D320D9"/>
    <w:rsid w:val="00D3242D"/>
    <w:rsid w:val="00D32A9E"/>
    <w:rsid w:val="00D32C2F"/>
    <w:rsid w:val="00D347E7"/>
    <w:rsid w:val="00D37AA2"/>
    <w:rsid w:val="00D40A01"/>
    <w:rsid w:val="00D40D46"/>
    <w:rsid w:val="00D40E6B"/>
    <w:rsid w:val="00D42250"/>
    <w:rsid w:val="00D43093"/>
    <w:rsid w:val="00D4319B"/>
    <w:rsid w:val="00D4354B"/>
    <w:rsid w:val="00D43766"/>
    <w:rsid w:val="00D44233"/>
    <w:rsid w:val="00D4465A"/>
    <w:rsid w:val="00D44DEA"/>
    <w:rsid w:val="00D45CF6"/>
    <w:rsid w:val="00D46616"/>
    <w:rsid w:val="00D466C4"/>
    <w:rsid w:val="00D4685B"/>
    <w:rsid w:val="00D47239"/>
    <w:rsid w:val="00D505EA"/>
    <w:rsid w:val="00D5107B"/>
    <w:rsid w:val="00D544B4"/>
    <w:rsid w:val="00D546B6"/>
    <w:rsid w:val="00D55439"/>
    <w:rsid w:val="00D5596F"/>
    <w:rsid w:val="00D56425"/>
    <w:rsid w:val="00D62AB7"/>
    <w:rsid w:val="00D6476D"/>
    <w:rsid w:val="00D64EF2"/>
    <w:rsid w:val="00D65B32"/>
    <w:rsid w:val="00D66135"/>
    <w:rsid w:val="00D67FD5"/>
    <w:rsid w:val="00D704A3"/>
    <w:rsid w:val="00D70886"/>
    <w:rsid w:val="00D743E5"/>
    <w:rsid w:val="00D74F04"/>
    <w:rsid w:val="00D75681"/>
    <w:rsid w:val="00D779DC"/>
    <w:rsid w:val="00D80AF4"/>
    <w:rsid w:val="00D80F18"/>
    <w:rsid w:val="00D8140A"/>
    <w:rsid w:val="00D821F0"/>
    <w:rsid w:val="00D830EE"/>
    <w:rsid w:val="00D83529"/>
    <w:rsid w:val="00D84771"/>
    <w:rsid w:val="00D84E3A"/>
    <w:rsid w:val="00D85784"/>
    <w:rsid w:val="00D86A53"/>
    <w:rsid w:val="00D87791"/>
    <w:rsid w:val="00D87D7A"/>
    <w:rsid w:val="00D90F7F"/>
    <w:rsid w:val="00D91D4B"/>
    <w:rsid w:val="00D93CDB"/>
    <w:rsid w:val="00D94E18"/>
    <w:rsid w:val="00D958C9"/>
    <w:rsid w:val="00D9646E"/>
    <w:rsid w:val="00D966F5"/>
    <w:rsid w:val="00DA2426"/>
    <w:rsid w:val="00DA2A4F"/>
    <w:rsid w:val="00DA43F7"/>
    <w:rsid w:val="00DA6AA8"/>
    <w:rsid w:val="00DA6D85"/>
    <w:rsid w:val="00DA7950"/>
    <w:rsid w:val="00DA7E1A"/>
    <w:rsid w:val="00DB09C7"/>
    <w:rsid w:val="00DB1971"/>
    <w:rsid w:val="00DB1FF7"/>
    <w:rsid w:val="00DB3536"/>
    <w:rsid w:val="00DB3B58"/>
    <w:rsid w:val="00DB42C5"/>
    <w:rsid w:val="00DB5FF5"/>
    <w:rsid w:val="00DB6753"/>
    <w:rsid w:val="00DB6FD6"/>
    <w:rsid w:val="00DC251F"/>
    <w:rsid w:val="00DC261F"/>
    <w:rsid w:val="00DC291A"/>
    <w:rsid w:val="00DC2C61"/>
    <w:rsid w:val="00DC3CB5"/>
    <w:rsid w:val="00DC3FF5"/>
    <w:rsid w:val="00DC56BC"/>
    <w:rsid w:val="00DC63ED"/>
    <w:rsid w:val="00DC6B02"/>
    <w:rsid w:val="00DC6C99"/>
    <w:rsid w:val="00DC7290"/>
    <w:rsid w:val="00DD1482"/>
    <w:rsid w:val="00DD2EC5"/>
    <w:rsid w:val="00DD5342"/>
    <w:rsid w:val="00DD5661"/>
    <w:rsid w:val="00DD5A5A"/>
    <w:rsid w:val="00DD6359"/>
    <w:rsid w:val="00DD6A59"/>
    <w:rsid w:val="00DD77F2"/>
    <w:rsid w:val="00DE0FB6"/>
    <w:rsid w:val="00DE1396"/>
    <w:rsid w:val="00DE1757"/>
    <w:rsid w:val="00DE18C5"/>
    <w:rsid w:val="00DE282B"/>
    <w:rsid w:val="00DE36AF"/>
    <w:rsid w:val="00DE697A"/>
    <w:rsid w:val="00DE7CA3"/>
    <w:rsid w:val="00DF0398"/>
    <w:rsid w:val="00DF18D6"/>
    <w:rsid w:val="00DF1E02"/>
    <w:rsid w:val="00DF2446"/>
    <w:rsid w:val="00DF44F2"/>
    <w:rsid w:val="00DF6156"/>
    <w:rsid w:val="00DF62AC"/>
    <w:rsid w:val="00DF6707"/>
    <w:rsid w:val="00DF671C"/>
    <w:rsid w:val="00DF6E3E"/>
    <w:rsid w:val="00DF72CB"/>
    <w:rsid w:val="00DF759D"/>
    <w:rsid w:val="00E01554"/>
    <w:rsid w:val="00E028FB"/>
    <w:rsid w:val="00E02999"/>
    <w:rsid w:val="00E0561C"/>
    <w:rsid w:val="00E05A66"/>
    <w:rsid w:val="00E06706"/>
    <w:rsid w:val="00E06C24"/>
    <w:rsid w:val="00E07280"/>
    <w:rsid w:val="00E07672"/>
    <w:rsid w:val="00E12624"/>
    <w:rsid w:val="00E1285D"/>
    <w:rsid w:val="00E157B2"/>
    <w:rsid w:val="00E15818"/>
    <w:rsid w:val="00E15B82"/>
    <w:rsid w:val="00E15E13"/>
    <w:rsid w:val="00E1719D"/>
    <w:rsid w:val="00E21BF9"/>
    <w:rsid w:val="00E21D07"/>
    <w:rsid w:val="00E21ECA"/>
    <w:rsid w:val="00E2474E"/>
    <w:rsid w:val="00E25986"/>
    <w:rsid w:val="00E25AF7"/>
    <w:rsid w:val="00E25B81"/>
    <w:rsid w:val="00E265C1"/>
    <w:rsid w:val="00E2668A"/>
    <w:rsid w:val="00E272F0"/>
    <w:rsid w:val="00E301D4"/>
    <w:rsid w:val="00E30349"/>
    <w:rsid w:val="00E31A07"/>
    <w:rsid w:val="00E32311"/>
    <w:rsid w:val="00E326FE"/>
    <w:rsid w:val="00E334EE"/>
    <w:rsid w:val="00E33FF9"/>
    <w:rsid w:val="00E3579F"/>
    <w:rsid w:val="00E360B6"/>
    <w:rsid w:val="00E41224"/>
    <w:rsid w:val="00E42046"/>
    <w:rsid w:val="00E43C34"/>
    <w:rsid w:val="00E43F7E"/>
    <w:rsid w:val="00E4459B"/>
    <w:rsid w:val="00E45C2E"/>
    <w:rsid w:val="00E45F94"/>
    <w:rsid w:val="00E465CF"/>
    <w:rsid w:val="00E465F4"/>
    <w:rsid w:val="00E51D83"/>
    <w:rsid w:val="00E5250F"/>
    <w:rsid w:val="00E5441F"/>
    <w:rsid w:val="00E55D8D"/>
    <w:rsid w:val="00E5634F"/>
    <w:rsid w:val="00E60076"/>
    <w:rsid w:val="00E601E1"/>
    <w:rsid w:val="00E62C63"/>
    <w:rsid w:val="00E63B72"/>
    <w:rsid w:val="00E649C6"/>
    <w:rsid w:val="00E65190"/>
    <w:rsid w:val="00E652F2"/>
    <w:rsid w:val="00E70B6A"/>
    <w:rsid w:val="00E71518"/>
    <w:rsid w:val="00E748C5"/>
    <w:rsid w:val="00E763BE"/>
    <w:rsid w:val="00E7679F"/>
    <w:rsid w:val="00E8201A"/>
    <w:rsid w:val="00E8305A"/>
    <w:rsid w:val="00E8707C"/>
    <w:rsid w:val="00E8746E"/>
    <w:rsid w:val="00E90117"/>
    <w:rsid w:val="00E909AC"/>
    <w:rsid w:val="00E90D6A"/>
    <w:rsid w:val="00E90EFD"/>
    <w:rsid w:val="00E93D56"/>
    <w:rsid w:val="00EA22BF"/>
    <w:rsid w:val="00EA329E"/>
    <w:rsid w:val="00EA3E9D"/>
    <w:rsid w:val="00EA4B8D"/>
    <w:rsid w:val="00EA4F64"/>
    <w:rsid w:val="00EA7934"/>
    <w:rsid w:val="00EB2911"/>
    <w:rsid w:val="00EB355E"/>
    <w:rsid w:val="00EB3FF4"/>
    <w:rsid w:val="00EB4B28"/>
    <w:rsid w:val="00EB4CA0"/>
    <w:rsid w:val="00EB5439"/>
    <w:rsid w:val="00EB6B80"/>
    <w:rsid w:val="00EB6D2A"/>
    <w:rsid w:val="00EB721F"/>
    <w:rsid w:val="00EB752D"/>
    <w:rsid w:val="00EB7DDD"/>
    <w:rsid w:val="00EC029A"/>
    <w:rsid w:val="00EC0ABE"/>
    <w:rsid w:val="00EC0EDB"/>
    <w:rsid w:val="00EC2A11"/>
    <w:rsid w:val="00EC2C71"/>
    <w:rsid w:val="00EC32C0"/>
    <w:rsid w:val="00EC3924"/>
    <w:rsid w:val="00EC3C0C"/>
    <w:rsid w:val="00EC4154"/>
    <w:rsid w:val="00EC63CC"/>
    <w:rsid w:val="00ED1533"/>
    <w:rsid w:val="00ED18B2"/>
    <w:rsid w:val="00ED2235"/>
    <w:rsid w:val="00ED2D10"/>
    <w:rsid w:val="00ED38DC"/>
    <w:rsid w:val="00ED5A00"/>
    <w:rsid w:val="00ED5FD4"/>
    <w:rsid w:val="00ED6220"/>
    <w:rsid w:val="00EE001F"/>
    <w:rsid w:val="00EE052E"/>
    <w:rsid w:val="00EE08E4"/>
    <w:rsid w:val="00EE098C"/>
    <w:rsid w:val="00EE1A6A"/>
    <w:rsid w:val="00EE2020"/>
    <w:rsid w:val="00EE306D"/>
    <w:rsid w:val="00EE32AB"/>
    <w:rsid w:val="00EE75B9"/>
    <w:rsid w:val="00EF2C22"/>
    <w:rsid w:val="00EF2C51"/>
    <w:rsid w:val="00EF3267"/>
    <w:rsid w:val="00EF47A8"/>
    <w:rsid w:val="00EF4C98"/>
    <w:rsid w:val="00EF7ADD"/>
    <w:rsid w:val="00F00855"/>
    <w:rsid w:val="00F0121B"/>
    <w:rsid w:val="00F01D4C"/>
    <w:rsid w:val="00F02938"/>
    <w:rsid w:val="00F03243"/>
    <w:rsid w:val="00F04982"/>
    <w:rsid w:val="00F06787"/>
    <w:rsid w:val="00F073FE"/>
    <w:rsid w:val="00F074A9"/>
    <w:rsid w:val="00F10BB9"/>
    <w:rsid w:val="00F10C0E"/>
    <w:rsid w:val="00F1365D"/>
    <w:rsid w:val="00F140DC"/>
    <w:rsid w:val="00F148A8"/>
    <w:rsid w:val="00F15DB0"/>
    <w:rsid w:val="00F16C35"/>
    <w:rsid w:val="00F1722A"/>
    <w:rsid w:val="00F175F8"/>
    <w:rsid w:val="00F20080"/>
    <w:rsid w:val="00F206E7"/>
    <w:rsid w:val="00F21F3F"/>
    <w:rsid w:val="00F220D7"/>
    <w:rsid w:val="00F22D62"/>
    <w:rsid w:val="00F22F34"/>
    <w:rsid w:val="00F2356B"/>
    <w:rsid w:val="00F23EC8"/>
    <w:rsid w:val="00F24143"/>
    <w:rsid w:val="00F24A55"/>
    <w:rsid w:val="00F263AF"/>
    <w:rsid w:val="00F30EBB"/>
    <w:rsid w:val="00F3174F"/>
    <w:rsid w:val="00F34169"/>
    <w:rsid w:val="00F344BA"/>
    <w:rsid w:val="00F358CE"/>
    <w:rsid w:val="00F35D82"/>
    <w:rsid w:val="00F37130"/>
    <w:rsid w:val="00F4075C"/>
    <w:rsid w:val="00F41D64"/>
    <w:rsid w:val="00F42130"/>
    <w:rsid w:val="00F4283B"/>
    <w:rsid w:val="00F44185"/>
    <w:rsid w:val="00F44207"/>
    <w:rsid w:val="00F44731"/>
    <w:rsid w:val="00F470B9"/>
    <w:rsid w:val="00F475C6"/>
    <w:rsid w:val="00F47961"/>
    <w:rsid w:val="00F517F6"/>
    <w:rsid w:val="00F51A72"/>
    <w:rsid w:val="00F52AA6"/>
    <w:rsid w:val="00F52BF7"/>
    <w:rsid w:val="00F53C4D"/>
    <w:rsid w:val="00F53CE3"/>
    <w:rsid w:val="00F53E02"/>
    <w:rsid w:val="00F5438C"/>
    <w:rsid w:val="00F558E4"/>
    <w:rsid w:val="00F566D9"/>
    <w:rsid w:val="00F570BA"/>
    <w:rsid w:val="00F57942"/>
    <w:rsid w:val="00F57B80"/>
    <w:rsid w:val="00F606E2"/>
    <w:rsid w:val="00F6138B"/>
    <w:rsid w:val="00F62565"/>
    <w:rsid w:val="00F62CFF"/>
    <w:rsid w:val="00F630E7"/>
    <w:rsid w:val="00F63BA4"/>
    <w:rsid w:val="00F64474"/>
    <w:rsid w:val="00F652B0"/>
    <w:rsid w:val="00F66067"/>
    <w:rsid w:val="00F670DF"/>
    <w:rsid w:val="00F708D9"/>
    <w:rsid w:val="00F71E78"/>
    <w:rsid w:val="00F75306"/>
    <w:rsid w:val="00F75DC6"/>
    <w:rsid w:val="00F763D6"/>
    <w:rsid w:val="00F77866"/>
    <w:rsid w:val="00F77B80"/>
    <w:rsid w:val="00F82EA8"/>
    <w:rsid w:val="00F84B06"/>
    <w:rsid w:val="00F84C20"/>
    <w:rsid w:val="00F85D17"/>
    <w:rsid w:val="00F86064"/>
    <w:rsid w:val="00F905AD"/>
    <w:rsid w:val="00F9302A"/>
    <w:rsid w:val="00F94B24"/>
    <w:rsid w:val="00F976C4"/>
    <w:rsid w:val="00F97EAF"/>
    <w:rsid w:val="00FA0059"/>
    <w:rsid w:val="00FA202B"/>
    <w:rsid w:val="00FA2BBB"/>
    <w:rsid w:val="00FA419F"/>
    <w:rsid w:val="00FA45D8"/>
    <w:rsid w:val="00FA4BC4"/>
    <w:rsid w:val="00FA54F1"/>
    <w:rsid w:val="00FA6E04"/>
    <w:rsid w:val="00FA71DC"/>
    <w:rsid w:val="00FB25C0"/>
    <w:rsid w:val="00FB76F7"/>
    <w:rsid w:val="00FB7C16"/>
    <w:rsid w:val="00FC03C6"/>
    <w:rsid w:val="00FC03EC"/>
    <w:rsid w:val="00FC2638"/>
    <w:rsid w:val="00FC32E3"/>
    <w:rsid w:val="00FC41EE"/>
    <w:rsid w:val="00FD0EFE"/>
    <w:rsid w:val="00FD156E"/>
    <w:rsid w:val="00FD1805"/>
    <w:rsid w:val="00FD1DFE"/>
    <w:rsid w:val="00FD232C"/>
    <w:rsid w:val="00FD23CA"/>
    <w:rsid w:val="00FD26AC"/>
    <w:rsid w:val="00FD26E8"/>
    <w:rsid w:val="00FD3F7D"/>
    <w:rsid w:val="00FD43DB"/>
    <w:rsid w:val="00FD4B10"/>
    <w:rsid w:val="00FD5547"/>
    <w:rsid w:val="00FE0361"/>
    <w:rsid w:val="00FE03B7"/>
    <w:rsid w:val="00FE0E06"/>
    <w:rsid w:val="00FE217C"/>
    <w:rsid w:val="00FE2B09"/>
    <w:rsid w:val="00FE34BC"/>
    <w:rsid w:val="00FE3BD4"/>
    <w:rsid w:val="00FE41B9"/>
    <w:rsid w:val="00FE4DDD"/>
    <w:rsid w:val="00FE4EF4"/>
    <w:rsid w:val="00FE5234"/>
    <w:rsid w:val="00FF2773"/>
    <w:rsid w:val="00FF3FA0"/>
    <w:rsid w:val="00FF4747"/>
    <w:rsid w:val="013C444B"/>
    <w:rsid w:val="020058B7"/>
    <w:rsid w:val="021D0364"/>
    <w:rsid w:val="027671DB"/>
    <w:rsid w:val="02C10E79"/>
    <w:rsid w:val="02E953A7"/>
    <w:rsid w:val="037F75EF"/>
    <w:rsid w:val="03A9459D"/>
    <w:rsid w:val="04666D2C"/>
    <w:rsid w:val="04FE2C6B"/>
    <w:rsid w:val="050B6D23"/>
    <w:rsid w:val="05FD3076"/>
    <w:rsid w:val="060278FF"/>
    <w:rsid w:val="062854D5"/>
    <w:rsid w:val="06CF641D"/>
    <w:rsid w:val="076369A2"/>
    <w:rsid w:val="07A50945"/>
    <w:rsid w:val="081B0DE0"/>
    <w:rsid w:val="08507D85"/>
    <w:rsid w:val="087A78BF"/>
    <w:rsid w:val="08B37EEE"/>
    <w:rsid w:val="092F1E39"/>
    <w:rsid w:val="096D7858"/>
    <w:rsid w:val="09BE1BF8"/>
    <w:rsid w:val="09C078F0"/>
    <w:rsid w:val="09CD27F9"/>
    <w:rsid w:val="0A3A6326"/>
    <w:rsid w:val="0A530B89"/>
    <w:rsid w:val="0A8920FD"/>
    <w:rsid w:val="0B7D1DCA"/>
    <w:rsid w:val="0BE06148"/>
    <w:rsid w:val="0C4E0B34"/>
    <w:rsid w:val="0CBE50FA"/>
    <w:rsid w:val="0D1D0728"/>
    <w:rsid w:val="0DCC5E4D"/>
    <w:rsid w:val="0EA47492"/>
    <w:rsid w:val="0F3975B3"/>
    <w:rsid w:val="0FA8345A"/>
    <w:rsid w:val="0FD327C2"/>
    <w:rsid w:val="0FFA0420"/>
    <w:rsid w:val="10157DE2"/>
    <w:rsid w:val="10414298"/>
    <w:rsid w:val="10A06FDA"/>
    <w:rsid w:val="10BA7F34"/>
    <w:rsid w:val="116E11E1"/>
    <w:rsid w:val="11FD7694"/>
    <w:rsid w:val="123D0A85"/>
    <w:rsid w:val="12476CE5"/>
    <w:rsid w:val="124F4A74"/>
    <w:rsid w:val="12FD07CF"/>
    <w:rsid w:val="13011E3B"/>
    <w:rsid w:val="13113756"/>
    <w:rsid w:val="134C1F78"/>
    <w:rsid w:val="13DE0160"/>
    <w:rsid w:val="14557D6F"/>
    <w:rsid w:val="146036DE"/>
    <w:rsid w:val="14E5324E"/>
    <w:rsid w:val="1627221C"/>
    <w:rsid w:val="164A1375"/>
    <w:rsid w:val="166C26E1"/>
    <w:rsid w:val="16956D6C"/>
    <w:rsid w:val="17150561"/>
    <w:rsid w:val="17786967"/>
    <w:rsid w:val="17D52A1B"/>
    <w:rsid w:val="1860246C"/>
    <w:rsid w:val="18AA1A56"/>
    <w:rsid w:val="1A02029D"/>
    <w:rsid w:val="1A3441CE"/>
    <w:rsid w:val="1BD25A4D"/>
    <w:rsid w:val="1C253484"/>
    <w:rsid w:val="1C8B0628"/>
    <w:rsid w:val="1C993CBA"/>
    <w:rsid w:val="1CB81AE4"/>
    <w:rsid w:val="1CB90BF3"/>
    <w:rsid w:val="1CEE7EFF"/>
    <w:rsid w:val="1D57438E"/>
    <w:rsid w:val="1D875D16"/>
    <w:rsid w:val="1E4D573F"/>
    <w:rsid w:val="1E612075"/>
    <w:rsid w:val="1EEA0075"/>
    <w:rsid w:val="1EFB0AC5"/>
    <w:rsid w:val="1EFC1F11"/>
    <w:rsid w:val="1EFF3EC5"/>
    <w:rsid w:val="1F0C693F"/>
    <w:rsid w:val="1F9768B5"/>
    <w:rsid w:val="1F9F2E76"/>
    <w:rsid w:val="1FE23847"/>
    <w:rsid w:val="20377AB3"/>
    <w:rsid w:val="21406CA2"/>
    <w:rsid w:val="21470C8B"/>
    <w:rsid w:val="21811CCE"/>
    <w:rsid w:val="218F22ED"/>
    <w:rsid w:val="21904708"/>
    <w:rsid w:val="22331089"/>
    <w:rsid w:val="225832D7"/>
    <w:rsid w:val="22832E37"/>
    <w:rsid w:val="228E1992"/>
    <w:rsid w:val="22BA43D8"/>
    <w:rsid w:val="22F62969"/>
    <w:rsid w:val="23304D89"/>
    <w:rsid w:val="23A41A98"/>
    <w:rsid w:val="23B26890"/>
    <w:rsid w:val="23BF0469"/>
    <w:rsid w:val="24845C8E"/>
    <w:rsid w:val="24B015D3"/>
    <w:rsid w:val="259B5B73"/>
    <w:rsid w:val="266E1845"/>
    <w:rsid w:val="269266B8"/>
    <w:rsid w:val="26FF5637"/>
    <w:rsid w:val="27967AE6"/>
    <w:rsid w:val="285B364A"/>
    <w:rsid w:val="29064F88"/>
    <w:rsid w:val="29247871"/>
    <w:rsid w:val="2A4E77EB"/>
    <w:rsid w:val="2A5F043B"/>
    <w:rsid w:val="2B0A414E"/>
    <w:rsid w:val="2B6B23FC"/>
    <w:rsid w:val="2B6E0133"/>
    <w:rsid w:val="2C23034B"/>
    <w:rsid w:val="2C8204FF"/>
    <w:rsid w:val="2C846DCB"/>
    <w:rsid w:val="2C855036"/>
    <w:rsid w:val="2CAE6509"/>
    <w:rsid w:val="2D5BCDF5"/>
    <w:rsid w:val="2D7B3FFC"/>
    <w:rsid w:val="2D8E55F6"/>
    <w:rsid w:val="2DDE8EB8"/>
    <w:rsid w:val="2E0B631E"/>
    <w:rsid w:val="2E7945ED"/>
    <w:rsid w:val="2EF50DAA"/>
    <w:rsid w:val="2F3E191F"/>
    <w:rsid w:val="2F562264"/>
    <w:rsid w:val="2FCE3F19"/>
    <w:rsid w:val="2FFF4743"/>
    <w:rsid w:val="311D6219"/>
    <w:rsid w:val="31F46B01"/>
    <w:rsid w:val="32456B21"/>
    <w:rsid w:val="325E54CC"/>
    <w:rsid w:val="32901FAD"/>
    <w:rsid w:val="33291664"/>
    <w:rsid w:val="33EA2AAE"/>
    <w:rsid w:val="341A2A4A"/>
    <w:rsid w:val="34271D1C"/>
    <w:rsid w:val="35867971"/>
    <w:rsid w:val="358C5ABC"/>
    <w:rsid w:val="36504F54"/>
    <w:rsid w:val="369A7981"/>
    <w:rsid w:val="36F70E83"/>
    <w:rsid w:val="36FD5B9B"/>
    <w:rsid w:val="370C5E5F"/>
    <w:rsid w:val="37B95E94"/>
    <w:rsid w:val="386936AE"/>
    <w:rsid w:val="394B0413"/>
    <w:rsid w:val="39500155"/>
    <w:rsid w:val="39D3616E"/>
    <w:rsid w:val="39D646CE"/>
    <w:rsid w:val="3A151860"/>
    <w:rsid w:val="3A1D505D"/>
    <w:rsid w:val="3A37392F"/>
    <w:rsid w:val="3A5B1A25"/>
    <w:rsid w:val="3AB91617"/>
    <w:rsid w:val="3B303437"/>
    <w:rsid w:val="3C1614FD"/>
    <w:rsid w:val="3CA605BF"/>
    <w:rsid w:val="3CAA48C1"/>
    <w:rsid w:val="3CCA1B12"/>
    <w:rsid w:val="3D3E6DA0"/>
    <w:rsid w:val="3DA27082"/>
    <w:rsid w:val="3DED77B6"/>
    <w:rsid w:val="3E4F79F0"/>
    <w:rsid w:val="3E7E7642"/>
    <w:rsid w:val="3EBF68FF"/>
    <w:rsid w:val="3EF35386"/>
    <w:rsid w:val="3F446ADE"/>
    <w:rsid w:val="3F704D17"/>
    <w:rsid w:val="3FF661BA"/>
    <w:rsid w:val="407A0156"/>
    <w:rsid w:val="40CB37C7"/>
    <w:rsid w:val="40CF1CB7"/>
    <w:rsid w:val="411E31A8"/>
    <w:rsid w:val="41B13D7D"/>
    <w:rsid w:val="42072045"/>
    <w:rsid w:val="428B4A24"/>
    <w:rsid w:val="42CD7010"/>
    <w:rsid w:val="42CF7D13"/>
    <w:rsid w:val="43073A59"/>
    <w:rsid w:val="4392593E"/>
    <w:rsid w:val="43CB69DE"/>
    <w:rsid w:val="44511355"/>
    <w:rsid w:val="44F87A23"/>
    <w:rsid w:val="450D4099"/>
    <w:rsid w:val="457B122D"/>
    <w:rsid w:val="4636470E"/>
    <w:rsid w:val="464A3482"/>
    <w:rsid w:val="465F66AE"/>
    <w:rsid w:val="47B82C91"/>
    <w:rsid w:val="47C77051"/>
    <w:rsid w:val="480E3449"/>
    <w:rsid w:val="499A3439"/>
    <w:rsid w:val="4A7D1EAE"/>
    <w:rsid w:val="4A8F5A68"/>
    <w:rsid w:val="4AAB3234"/>
    <w:rsid w:val="4AB86DEA"/>
    <w:rsid w:val="4AFA6367"/>
    <w:rsid w:val="4B4A4907"/>
    <w:rsid w:val="4B844DC3"/>
    <w:rsid w:val="4C341B2A"/>
    <w:rsid w:val="4C6D4525"/>
    <w:rsid w:val="4C760582"/>
    <w:rsid w:val="4CB968C0"/>
    <w:rsid w:val="4CF34376"/>
    <w:rsid w:val="4D9A2720"/>
    <w:rsid w:val="4DC4255D"/>
    <w:rsid w:val="4DFF6DA6"/>
    <w:rsid w:val="4E761A7B"/>
    <w:rsid w:val="4E912976"/>
    <w:rsid w:val="4EB2652F"/>
    <w:rsid w:val="4F3A430C"/>
    <w:rsid w:val="4FB57EE9"/>
    <w:rsid w:val="50561438"/>
    <w:rsid w:val="50756481"/>
    <w:rsid w:val="50DA287D"/>
    <w:rsid w:val="51280D59"/>
    <w:rsid w:val="51307A98"/>
    <w:rsid w:val="516615BF"/>
    <w:rsid w:val="51BD5F5B"/>
    <w:rsid w:val="521B01A5"/>
    <w:rsid w:val="52457FCC"/>
    <w:rsid w:val="5252388B"/>
    <w:rsid w:val="52C55B41"/>
    <w:rsid w:val="52E10190"/>
    <w:rsid w:val="538662C6"/>
    <w:rsid w:val="54242DFB"/>
    <w:rsid w:val="542C319A"/>
    <w:rsid w:val="54395FAF"/>
    <w:rsid w:val="547A4391"/>
    <w:rsid w:val="549116D5"/>
    <w:rsid w:val="54CF15AD"/>
    <w:rsid w:val="55D911AB"/>
    <w:rsid w:val="5601502F"/>
    <w:rsid w:val="568229B8"/>
    <w:rsid w:val="56B15B7D"/>
    <w:rsid w:val="572662E7"/>
    <w:rsid w:val="57286339"/>
    <w:rsid w:val="577949F3"/>
    <w:rsid w:val="57973A4B"/>
    <w:rsid w:val="585A1751"/>
    <w:rsid w:val="5884119F"/>
    <w:rsid w:val="58A85F20"/>
    <w:rsid w:val="59A16C70"/>
    <w:rsid w:val="59A3156E"/>
    <w:rsid w:val="5AF12412"/>
    <w:rsid w:val="5B01367D"/>
    <w:rsid w:val="5B7FAFA7"/>
    <w:rsid w:val="5B917A4A"/>
    <w:rsid w:val="5D1E1662"/>
    <w:rsid w:val="5D9D2D81"/>
    <w:rsid w:val="5DAC2119"/>
    <w:rsid w:val="5DB551BF"/>
    <w:rsid w:val="5DEFC80D"/>
    <w:rsid w:val="5E341ABB"/>
    <w:rsid w:val="5E66314E"/>
    <w:rsid w:val="5EC70746"/>
    <w:rsid w:val="5ED14AB2"/>
    <w:rsid w:val="5F1D3030"/>
    <w:rsid w:val="5F29554B"/>
    <w:rsid w:val="5F710660"/>
    <w:rsid w:val="5FF22D5F"/>
    <w:rsid w:val="601B42E8"/>
    <w:rsid w:val="603C1145"/>
    <w:rsid w:val="60C03F36"/>
    <w:rsid w:val="60D315FA"/>
    <w:rsid w:val="60E87D41"/>
    <w:rsid w:val="60F82E2D"/>
    <w:rsid w:val="6239776E"/>
    <w:rsid w:val="623A52B6"/>
    <w:rsid w:val="643F3134"/>
    <w:rsid w:val="648572AF"/>
    <w:rsid w:val="64D12873"/>
    <w:rsid w:val="64F913ED"/>
    <w:rsid w:val="656F24B8"/>
    <w:rsid w:val="65C3095F"/>
    <w:rsid w:val="65CE0600"/>
    <w:rsid w:val="65E30B63"/>
    <w:rsid w:val="66187517"/>
    <w:rsid w:val="663A6E44"/>
    <w:rsid w:val="66BF5809"/>
    <w:rsid w:val="66FD0402"/>
    <w:rsid w:val="678E37CB"/>
    <w:rsid w:val="679430EB"/>
    <w:rsid w:val="6895739C"/>
    <w:rsid w:val="68FB2F52"/>
    <w:rsid w:val="69614AEF"/>
    <w:rsid w:val="697C5430"/>
    <w:rsid w:val="6A795964"/>
    <w:rsid w:val="6B020FFB"/>
    <w:rsid w:val="6B82289A"/>
    <w:rsid w:val="6B9F32E1"/>
    <w:rsid w:val="6BFEAAB8"/>
    <w:rsid w:val="6C5C5E58"/>
    <w:rsid w:val="6C78404A"/>
    <w:rsid w:val="6D285B49"/>
    <w:rsid w:val="6D3E2BE2"/>
    <w:rsid w:val="6D887BF2"/>
    <w:rsid w:val="6D9B5D9C"/>
    <w:rsid w:val="6E873058"/>
    <w:rsid w:val="6EF65722"/>
    <w:rsid w:val="6EF8049C"/>
    <w:rsid w:val="6F015C3E"/>
    <w:rsid w:val="709301EB"/>
    <w:rsid w:val="7118565A"/>
    <w:rsid w:val="71285068"/>
    <w:rsid w:val="71946BA2"/>
    <w:rsid w:val="721E2704"/>
    <w:rsid w:val="724D2059"/>
    <w:rsid w:val="72916C16"/>
    <w:rsid w:val="731B0125"/>
    <w:rsid w:val="7346487B"/>
    <w:rsid w:val="73593BFF"/>
    <w:rsid w:val="73A86934"/>
    <w:rsid w:val="74247947"/>
    <w:rsid w:val="74BA007C"/>
    <w:rsid w:val="755E5898"/>
    <w:rsid w:val="75A474B8"/>
    <w:rsid w:val="75A479F7"/>
    <w:rsid w:val="762D231F"/>
    <w:rsid w:val="76EF0F3B"/>
    <w:rsid w:val="778226F5"/>
    <w:rsid w:val="77BB21E7"/>
    <w:rsid w:val="77FE6B23"/>
    <w:rsid w:val="782A0BF0"/>
    <w:rsid w:val="789F3385"/>
    <w:rsid w:val="79357353"/>
    <w:rsid w:val="793E5B58"/>
    <w:rsid w:val="79732DE9"/>
    <w:rsid w:val="79950381"/>
    <w:rsid w:val="79EB0ED8"/>
    <w:rsid w:val="79F81237"/>
    <w:rsid w:val="7A2C4B8C"/>
    <w:rsid w:val="7A3572B9"/>
    <w:rsid w:val="7A9F1C01"/>
    <w:rsid w:val="7B2B54B3"/>
    <w:rsid w:val="7B847A99"/>
    <w:rsid w:val="7C553F3D"/>
    <w:rsid w:val="7C773348"/>
    <w:rsid w:val="7CC51418"/>
    <w:rsid w:val="7CFB0B96"/>
    <w:rsid w:val="7CFF1D8D"/>
    <w:rsid w:val="7D9773DA"/>
    <w:rsid w:val="7DD945A6"/>
    <w:rsid w:val="7E453113"/>
    <w:rsid w:val="7EB645A8"/>
    <w:rsid w:val="7EDB5F1E"/>
    <w:rsid w:val="7F7B8834"/>
    <w:rsid w:val="7FA41073"/>
    <w:rsid w:val="999CE5E0"/>
    <w:rsid w:val="BDF727C8"/>
    <w:rsid w:val="F79D8B57"/>
    <w:rsid w:val="FED84060"/>
    <w:rsid w:val="FF2A43A9"/>
    <w:rsid w:val="FF7FC72A"/>
    <w:rsid w:val="FFAF0C2F"/>
    <w:rsid w:val="FFC5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2"/>
    <w:autoRedefine/>
    <w:qFormat/>
    <w:uiPriority w:val="0"/>
    <w:pPr>
      <w:keepNext/>
      <w:keepLines/>
      <w:spacing w:before="340" w:after="330" w:line="578" w:lineRule="auto"/>
      <w:outlineLvl w:val="0"/>
    </w:pPr>
    <w:rPr>
      <w:b/>
      <w:bCs/>
      <w:kern w:val="44"/>
      <w:sz w:val="44"/>
      <w:szCs w:val="44"/>
    </w:rPr>
  </w:style>
  <w:style w:type="paragraph" w:styleId="6">
    <w:name w:val="heading 2"/>
    <w:basedOn w:val="5"/>
    <w:next w:val="1"/>
    <w:link w:val="73"/>
    <w:autoRedefine/>
    <w:qFormat/>
    <w:uiPriority w:val="0"/>
    <w:pPr>
      <w:adjustRightInd w:val="0"/>
      <w:spacing w:line="360" w:lineRule="auto"/>
      <w:outlineLvl w:val="1"/>
    </w:pPr>
    <w:rPr>
      <w:rFonts w:ascii="仿宋_GB2312" w:hAnsi="宋体" w:eastAsia="方正仿宋_GB2312"/>
      <w:bCs w:val="0"/>
      <w:kern w:val="0"/>
      <w:sz w:val="30"/>
      <w:szCs w:val="20"/>
    </w:rPr>
  </w:style>
  <w:style w:type="paragraph" w:styleId="7">
    <w:name w:val="heading 3"/>
    <w:basedOn w:val="1"/>
    <w:next w:val="1"/>
    <w:link w:val="74"/>
    <w:autoRedefine/>
    <w:qFormat/>
    <w:uiPriority w:val="0"/>
    <w:pPr>
      <w:keepNext/>
      <w:keepLines/>
      <w:spacing w:before="260" w:after="260" w:line="415" w:lineRule="auto"/>
      <w:jc w:val="left"/>
      <w:outlineLvl w:val="2"/>
    </w:pPr>
    <w:rPr>
      <w:rFonts w:eastAsia="方正仿宋_GB2312"/>
      <w:b/>
      <w:sz w:val="28"/>
      <w:szCs w:val="20"/>
    </w:rPr>
  </w:style>
  <w:style w:type="paragraph" w:styleId="8">
    <w:name w:val="heading 4"/>
    <w:basedOn w:val="1"/>
    <w:next w:val="1"/>
    <w:link w:val="75"/>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76"/>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77"/>
    <w:autoRedefine/>
    <w:qFormat/>
    <w:uiPriority w:val="0"/>
    <w:pPr>
      <w:spacing w:before="60" w:after="60" w:line="360" w:lineRule="auto"/>
      <w:outlineLvl w:val="5"/>
    </w:pPr>
    <w:rPr>
      <w:b/>
      <w:bCs/>
      <w:kern w:val="0"/>
      <w:sz w:val="20"/>
    </w:rPr>
  </w:style>
  <w:style w:type="paragraph" w:styleId="11">
    <w:name w:val="heading 7"/>
    <w:basedOn w:val="1"/>
    <w:next w:val="1"/>
    <w:link w:val="78"/>
    <w:autoRedefine/>
    <w:qFormat/>
    <w:uiPriority w:val="0"/>
    <w:pPr>
      <w:keepNext/>
      <w:keepLines/>
      <w:numPr>
        <w:ilvl w:val="6"/>
        <w:numId w:val="1"/>
      </w:numPr>
      <w:adjustRightInd w:val="0"/>
      <w:spacing w:before="240" w:after="64" w:line="320" w:lineRule="atLeast"/>
      <w:jc w:val="center"/>
      <w:textAlignment w:val="baseline"/>
      <w:outlineLvl w:val="6"/>
    </w:pPr>
    <w:rPr>
      <w:rFonts w:ascii="仿宋_GB2312" w:eastAsia="仿宋_GB2312"/>
      <w:kern w:val="0"/>
      <w:sz w:val="36"/>
      <w:szCs w:val="20"/>
    </w:rPr>
  </w:style>
  <w:style w:type="paragraph" w:styleId="12">
    <w:name w:val="heading 8"/>
    <w:basedOn w:val="1"/>
    <w:next w:val="1"/>
    <w:link w:val="79"/>
    <w:autoRedefine/>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80"/>
    <w:autoRedefine/>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64">
    <w:name w:val="Default Paragraph Font"/>
    <w:autoRedefine/>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7"/>
    <w:autoRedefine/>
    <w:qFormat/>
    <w:uiPriority w:val="0"/>
    <w:pPr>
      <w:widowControl/>
      <w:snapToGrid/>
      <w:spacing w:after="120"/>
      <w:ind w:firstLine="420" w:firstLineChars="100"/>
      <w:jc w:val="left"/>
    </w:pPr>
    <w:rPr>
      <w:rFonts w:ascii="Times New Roman" w:hAnsi="Times New Roman"/>
      <w:szCs w:val="24"/>
    </w:rPr>
  </w:style>
  <w:style w:type="paragraph" w:styleId="3">
    <w:name w:val="Body Text"/>
    <w:basedOn w:val="1"/>
    <w:next w:val="2"/>
    <w:link w:val="86"/>
    <w:autoRedefine/>
    <w:qFormat/>
    <w:uiPriority w:val="0"/>
    <w:pPr>
      <w:snapToGrid w:val="0"/>
    </w:pPr>
    <w:rPr>
      <w:rFonts w:ascii="仿宋_GB2312" w:hAnsi="宋体" w:eastAsia="仿宋_GB2312"/>
      <w:sz w:val="24"/>
      <w:szCs w:val="21"/>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index 8"/>
    <w:basedOn w:val="1"/>
    <w:next w:val="1"/>
    <w:autoRedefine/>
    <w:qFormat/>
    <w:uiPriority w:val="0"/>
    <w:pPr>
      <w:ind w:left="1400" w:leftChars="1400"/>
    </w:pPr>
  </w:style>
  <w:style w:type="paragraph" w:styleId="16">
    <w:name w:val="List Number"/>
    <w:basedOn w:val="1"/>
    <w:autoRedefine/>
    <w:qFormat/>
    <w:uiPriority w:val="0"/>
    <w:pPr>
      <w:widowControl/>
      <w:numPr>
        <w:ilvl w:val="0"/>
        <w:numId w:val="1"/>
      </w:numPr>
      <w:tabs>
        <w:tab w:val="left" w:pos="454"/>
        <w:tab w:val="left" w:pos="720"/>
      </w:tabs>
      <w:spacing w:after="50" w:afterLines="50"/>
      <w:jc w:val="left"/>
    </w:pPr>
    <w:rPr>
      <w:kern w:val="0"/>
      <w:sz w:val="24"/>
      <w:szCs w:val="20"/>
    </w:rPr>
  </w:style>
  <w:style w:type="paragraph" w:styleId="17">
    <w:name w:val="Normal Indent"/>
    <w:basedOn w:val="1"/>
    <w:next w:val="1"/>
    <w:link w:val="81"/>
    <w:autoRedefine/>
    <w:qFormat/>
    <w:uiPriority w:val="0"/>
    <w:pPr>
      <w:ind w:firstLine="420"/>
    </w:pPr>
    <w:rPr>
      <w:rFonts w:ascii="宋体" w:hAnsi="Courier New"/>
      <w:szCs w:val="20"/>
    </w:rPr>
  </w:style>
  <w:style w:type="paragraph" w:styleId="18">
    <w:name w:val="caption"/>
    <w:basedOn w:val="1"/>
    <w:next w:val="1"/>
    <w:link w:val="82"/>
    <w:autoRedefine/>
    <w:qFormat/>
    <w:uiPriority w:val="0"/>
    <w:pPr>
      <w:spacing w:before="152" w:after="160"/>
    </w:pPr>
    <w:rPr>
      <w:rFonts w:ascii="Arial" w:hAnsi="Arial" w:eastAsia="黑体"/>
      <w:sz w:val="20"/>
      <w:szCs w:val="20"/>
    </w:rPr>
  </w:style>
  <w:style w:type="paragraph" w:styleId="19">
    <w:name w:val="index 5"/>
    <w:basedOn w:val="1"/>
    <w:next w:val="1"/>
    <w:autoRedefine/>
    <w:qFormat/>
    <w:uiPriority w:val="0"/>
    <w:pPr>
      <w:ind w:left="800" w:leftChars="800"/>
    </w:pPr>
  </w:style>
  <w:style w:type="paragraph" w:styleId="20">
    <w:name w:val="List Bullet"/>
    <w:autoRedefine/>
    <w:qFormat/>
    <w:uiPriority w:val="0"/>
    <w:pPr>
      <w:tabs>
        <w:tab w:val="left" w:pos="420"/>
      </w:tabs>
      <w:spacing w:beforeLines="50" w:afterLines="50" w:line="300" w:lineRule="auto"/>
      <w:ind w:left="420" w:hanging="420"/>
    </w:pPr>
    <w:rPr>
      <w:rFonts w:ascii="宋体" w:hAnsi="宋体" w:eastAsia="宋体" w:cs="Times New Roman"/>
      <w:kern w:val="24"/>
      <w:sz w:val="24"/>
      <w:szCs w:val="24"/>
      <w:lang w:val="en-US" w:eastAsia="zh-CN" w:bidi="ar-SA"/>
    </w:rPr>
  </w:style>
  <w:style w:type="paragraph" w:styleId="21">
    <w:name w:val="Document Map"/>
    <w:basedOn w:val="1"/>
    <w:link w:val="83"/>
    <w:autoRedefine/>
    <w:qFormat/>
    <w:uiPriority w:val="0"/>
    <w:pPr>
      <w:widowControl/>
      <w:shd w:val="clear" w:color="auto" w:fill="000080"/>
      <w:jc w:val="left"/>
    </w:pPr>
    <w:rPr>
      <w:kern w:val="0"/>
      <w:sz w:val="24"/>
    </w:rPr>
  </w:style>
  <w:style w:type="paragraph" w:styleId="22">
    <w:name w:val="toa heading"/>
    <w:basedOn w:val="1"/>
    <w:next w:val="1"/>
    <w:autoRedefine/>
    <w:unhideWhenUsed/>
    <w:qFormat/>
    <w:uiPriority w:val="99"/>
    <w:rPr>
      <w:rFonts w:ascii="Arial" w:hAnsi="Arial"/>
      <w:sz w:val="24"/>
    </w:rPr>
  </w:style>
  <w:style w:type="paragraph" w:styleId="23">
    <w:name w:val="annotation text"/>
    <w:basedOn w:val="1"/>
    <w:link w:val="84"/>
    <w:autoRedefine/>
    <w:unhideWhenUsed/>
    <w:qFormat/>
    <w:uiPriority w:val="0"/>
    <w:pPr>
      <w:jc w:val="left"/>
    </w:pPr>
    <w:rPr>
      <w:szCs w:val="22"/>
    </w:rPr>
  </w:style>
  <w:style w:type="paragraph" w:styleId="24">
    <w:name w:val="index 6"/>
    <w:basedOn w:val="1"/>
    <w:next w:val="1"/>
    <w:autoRedefine/>
    <w:qFormat/>
    <w:uiPriority w:val="0"/>
    <w:pPr>
      <w:ind w:left="1000" w:leftChars="1000"/>
    </w:pPr>
  </w:style>
  <w:style w:type="paragraph" w:styleId="25">
    <w:name w:val="Body Text 3"/>
    <w:basedOn w:val="1"/>
    <w:link w:val="85"/>
    <w:autoRedefine/>
    <w:qFormat/>
    <w:uiPriority w:val="0"/>
    <w:pPr>
      <w:spacing w:after="120"/>
    </w:pPr>
    <w:rPr>
      <w:sz w:val="16"/>
      <w:szCs w:val="16"/>
    </w:rPr>
  </w:style>
  <w:style w:type="paragraph" w:styleId="26">
    <w:name w:val="Body Text Indent"/>
    <w:basedOn w:val="1"/>
    <w:link w:val="88"/>
    <w:autoRedefine/>
    <w:qFormat/>
    <w:uiPriority w:val="0"/>
    <w:pPr>
      <w:spacing w:line="200" w:lineRule="exact"/>
      <w:ind w:firstLine="301"/>
    </w:pPr>
    <w:rPr>
      <w:rFonts w:ascii="宋体" w:hAnsi="Courier New"/>
      <w:spacing w:val="-4"/>
      <w:sz w:val="18"/>
      <w:szCs w:val="20"/>
    </w:rPr>
  </w:style>
  <w:style w:type="paragraph" w:styleId="27">
    <w:name w:val="List Number 3"/>
    <w:basedOn w:val="1"/>
    <w:autoRedefine/>
    <w:qFormat/>
    <w:uiPriority w:val="0"/>
    <w:pPr>
      <w:tabs>
        <w:tab w:val="left" w:pos="360"/>
        <w:tab w:val="left" w:pos="900"/>
        <w:tab w:val="left" w:pos="1678"/>
      </w:tabs>
      <w:ind w:left="1678" w:hanging="419"/>
    </w:pPr>
  </w:style>
  <w:style w:type="paragraph" w:styleId="28">
    <w:name w:val="List 2"/>
    <w:basedOn w:val="1"/>
    <w:autoRedefine/>
    <w:qFormat/>
    <w:uiPriority w:val="0"/>
    <w:pPr>
      <w:ind w:left="100" w:leftChars="200" w:hanging="200" w:hangingChars="200"/>
    </w:pPr>
  </w:style>
  <w:style w:type="paragraph" w:styleId="29">
    <w:name w:val="List Bullet 2"/>
    <w:basedOn w:val="1"/>
    <w:autoRedefine/>
    <w:qFormat/>
    <w:uiPriority w:val="0"/>
    <w:pPr>
      <w:widowControl/>
      <w:tabs>
        <w:tab w:val="left" w:pos="780"/>
        <w:tab w:val="left" w:pos="1678"/>
      </w:tabs>
      <w:spacing w:line="360" w:lineRule="auto"/>
      <w:ind w:left="1678" w:hanging="419"/>
      <w:jc w:val="left"/>
    </w:pPr>
    <w:rPr>
      <w:rFonts w:ascii="Tw Cen MT" w:hAnsi="Tw Cen MT"/>
      <w:kern w:val="0"/>
      <w:szCs w:val="22"/>
      <w:lang w:eastAsia="en-US" w:bidi="en-US"/>
    </w:rPr>
  </w:style>
  <w:style w:type="paragraph" w:styleId="30">
    <w:name w:val="index 4"/>
    <w:basedOn w:val="1"/>
    <w:next w:val="1"/>
    <w:autoRedefine/>
    <w:qFormat/>
    <w:uiPriority w:val="0"/>
    <w:pPr>
      <w:ind w:left="600" w:leftChars="600"/>
    </w:p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9170"/>
      </w:tabs>
      <w:ind w:left="360"/>
      <w:jc w:val="left"/>
    </w:pPr>
    <w:rPr>
      <w:sz w:val="20"/>
      <w:szCs w:val="20"/>
    </w:rPr>
  </w:style>
  <w:style w:type="paragraph" w:styleId="33">
    <w:name w:val="Plain Text"/>
    <w:basedOn w:val="1"/>
    <w:next w:val="17"/>
    <w:link w:val="89"/>
    <w:autoRedefine/>
    <w:qFormat/>
    <w:uiPriority w:val="0"/>
    <w:rPr>
      <w:rFonts w:ascii="宋体" w:hAnsi="Courier New"/>
      <w:szCs w:val="20"/>
    </w:rPr>
  </w:style>
  <w:style w:type="paragraph" w:styleId="34">
    <w:name w:val="toc 8"/>
    <w:basedOn w:val="1"/>
    <w:next w:val="1"/>
    <w:autoRedefine/>
    <w:qFormat/>
    <w:uiPriority w:val="0"/>
    <w:pPr>
      <w:ind w:left="2940" w:leftChars="1400"/>
    </w:pPr>
  </w:style>
  <w:style w:type="paragraph" w:styleId="35">
    <w:name w:val="index 3"/>
    <w:basedOn w:val="1"/>
    <w:next w:val="1"/>
    <w:autoRedefine/>
    <w:qFormat/>
    <w:uiPriority w:val="0"/>
    <w:pPr>
      <w:ind w:left="400" w:leftChars="400"/>
    </w:pPr>
  </w:style>
  <w:style w:type="paragraph" w:styleId="36">
    <w:name w:val="Date"/>
    <w:basedOn w:val="1"/>
    <w:next w:val="1"/>
    <w:link w:val="90"/>
    <w:autoRedefine/>
    <w:qFormat/>
    <w:uiPriority w:val="0"/>
    <w:pPr>
      <w:ind w:left="100"/>
    </w:pPr>
    <w:rPr>
      <w:sz w:val="24"/>
      <w:szCs w:val="20"/>
    </w:rPr>
  </w:style>
  <w:style w:type="paragraph" w:styleId="37">
    <w:name w:val="Body Text Indent 2"/>
    <w:basedOn w:val="1"/>
    <w:link w:val="91"/>
    <w:autoRedefine/>
    <w:qFormat/>
    <w:uiPriority w:val="0"/>
    <w:pPr>
      <w:spacing w:after="120" w:line="480" w:lineRule="auto"/>
      <w:ind w:left="420" w:leftChars="200"/>
    </w:pPr>
  </w:style>
  <w:style w:type="paragraph" w:styleId="38">
    <w:name w:val="Balloon Text"/>
    <w:basedOn w:val="1"/>
    <w:link w:val="92"/>
    <w:autoRedefine/>
    <w:qFormat/>
    <w:uiPriority w:val="0"/>
    <w:rPr>
      <w:sz w:val="18"/>
      <w:szCs w:val="18"/>
    </w:rPr>
  </w:style>
  <w:style w:type="paragraph" w:styleId="39">
    <w:name w:val="footer"/>
    <w:basedOn w:val="1"/>
    <w:link w:val="93"/>
    <w:autoRedefine/>
    <w:qFormat/>
    <w:uiPriority w:val="99"/>
    <w:pPr>
      <w:tabs>
        <w:tab w:val="center" w:pos="4153"/>
        <w:tab w:val="right" w:pos="8306"/>
      </w:tabs>
      <w:snapToGrid w:val="0"/>
      <w:jc w:val="left"/>
    </w:pPr>
    <w:rPr>
      <w:sz w:val="18"/>
      <w:szCs w:val="18"/>
    </w:rPr>
  </w:style>
  <w:style w:type="paragraph" w:styleId="40">
    <w:name w:val="header"/>
    <w:basedOn w:val="1"/>
    <w:next w:val="1"/>
    <w:link w:val="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link w:val="95"/>
    <w:autoRedefine/>
    <w:qFormat/>
    <w:uiPriority w:val="0"/>
    <w:pPr>
      <w:tabs>
        <w:tab w:val="right" w:leader="dot" w:pos="9060"/>
        <w:tab w:val="right" w:leader="dot" w:pos="9170"/>
      </w:tabs>
      <w:jc w:val="center"/>
    </w:pPr>
    <w:rPr>
      <w:rFonts w:ascii="仿宋_GB2312" w:eastAsia="仿宋_GB2312"/>
      <w:b/>
      <w:caps/>
      <w:color w:val="000000"/>
      <w:sz w:val="20"/>
      <w:szCs w:val="20"/>
    </w:rPr>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style>
  <w:style w:type="paragraph" w:styleId="44">
    <w:name w:val="index 1"/>
    <w:basedOn w:val="1"/>
    <w:next w:val="1"/>
    <w:autoRedefine/>
    <w:qFormat/>
    <w:uiPriority w:val="0"/>
    <w:pPr>
      <w:widowControl/>
      <w:jc w:val="left"/>
    </w:pPr>
    <w:rPr>
      <w:kern w:val="0"/>
      <w:sz w:val="24"/>
    </w:rPr>
  </w:style>
  <w:style w:type="paragraph" w:styleId="45">
    <w:name w:val="Subtitle"/>
    <w:basedOn w:val="1"/>
    <w:next w:val="1"/>
    <w:link w:val="96"/>
    <w:autoRedefine/>
    <w:qFormat/>
    <w:uiPriority w:val="11"/>
    <w:pPr>
      <w:spacing w:before="240" w:after="60" w:line="312" w:lineRule="auto"/>
      <w:jc w:val="center"/>
      <w:outlineLvl w:val="1"/>
    </w:pPr>
    <w:rPr>
      <w:rFonts w:ascii="Calibri Light" w:hAnsi="Calibri Light"/>
      <w:b/>
      <w:bCs/>
      <w:kern w:val="28"/>
      <w:sz w:val="32"/>
      <w:szCs w:val="32"/>
    </w:rPr>
  </w:style>
  <w:style w:type="paragraph" w:styleId="46">
    <w:name w:val="List"/>
    <w:basedOn w:val="1"/>
    <w:autoRedefine/>
    <w:qFormat/>
    <w:uiPriority w:val="0"/>
    <w:pPr>
      <w:ind w:left="200" w:hanging="200" w:hangingChars="200"/>
    </w:pPr>
  </w:style>
  <w:style w:type="paragraph" w:styleId="47">
    <w:name w:val="Body Text Indent 3"/>
    <w:basedOn w:val="1"/>
    <w:link w:val="97"/>
    <w:autoRedefine/>
    <w:qFormat/>
    <w:uiPriority w:val="0"/>
    <w:pPr>
      <w:spacing w:after="120"/>
      <w:ind w:left="420" w:leftChars="200"/>
    </w:pPr>
    <w:rPr>
      <w:sz w:val="16"/>
      <w:szCs w:val="16"/>
    </w:rPr>
  </w:style>
  <w:style w:type="paragraph" w:styleId="48">
    <w:name w:val="index 7"/>
    <w:basedOn w:val="1"/>
    <w:next w:val="1"/>
    <w:autoRedefine/>
    <w:qFormat/>
    <w:uiPriority w:val="0"/>
    <w:pPr>
      <w:ind w:left="1200" w:leftChars="1200"/>
    </w:pPr>
  </w:style>
  <w:style w:type="paragraph" w:styleId="49">
    <w:name w:val="index 9"/>
    <w:basedOn w:val="1"/>
    <w:next w:val="1"/>
    <w:autoRedefine/>
    <w:qFormat/>
    <w:uiPriority w:val="0"/>
    <w:pPr>
      <w:ind w:left="1600" w:leftChars="1600"/>
    </w:pPr>
  </w:style>
  <w:style w:type="paragraph" w:styleId="50">
    <w:name w:val="table of figures"/>
    <w:basedOn w:val="1"/>
    <w:next w:val="1"/>
    <w:autoRedefine/>
    <w:qFormat/>
    <w:uiPriority w:val="0"/>
    <w:pPr>
      <w:spacing w:line="560" w:lineRule="exact"/>
    </w:pPr>
    <w:rPr>
      <w:b/>
      <w:sz w:val="28"/>
    </w:rPr>
  </w:style>
  <w:style w:type="paragraph" w:styleId="51">
    <w:name w:val="toc 2"/>
    <w:basedOn w:val="1"/>
    <w:next w:val="1"/>
    <w:autoRedefine/>
    <w:qFormat/>
    <w:uiPriority w:val="0"/>
    <w:pPr>
      <w:tabs>
        <w:tab w:val="right" w:leader="dot" w:pos="9170"/>
      </w:tabs>
      <w:ind w:left="210" w:firstLine="150"/>
      <w:jc w:val="left"/>
    </w:pPr>
    <w:rPr>
      <w:smallCaps/>
      <w:sz w:val="20"/>
      <w:szCs w:val="20"/>
    </w:rPr>
  </w:style>
  <w:style w:type="paragraph" w:styleId="52">
    <w:name w:val="toc 9"/>
    <w:basedOn w:val="1"/>
    <w:next w:val="1"/>
    <w:autoRedefine/>
    <w:qFormat/>
    <w:uiPriority w:val="0"/>
    <w:pPr>
      <w:ind w:left="3360" w:leftChars="1600"/>
    </w:pPr>
  </w:style>
  <w:style w:type="paragraph" w:styleId="53">
    <w:name w:val="Body Text 2"/>
    <w:basedOn w:val="1"/>
    <w:link w:val="98"/>
    <w:autoRedefine/>
    <w:qFormat/>
    <w:uiPriority w:val="0"/>
    <w:pPr>
      <w:spacing w:after="120" w:line="480" w:lineRule="auto"/>
    </w:pPr>
  </w:style>
  <w:style w:type="paragraph" w:styleId="54">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55">
    <w:name w:val="HTML Preformatted"/>
    <w:basedOn w:val="1"/>
    <w:link w:val="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kern w:val="0"/>
      <w:sz w:val="23"/>
      <w:szCs w:val="23"/>
    </w:rPr>
  </w:style>
  <w:style w:type="paragraph" w:styleId="5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autoRedefine/>
    <w:qFormat/>
    <w:uiPriority w:val="0"/>
    <w:pPr>
      <w:spacing w:line="560" w:lineRule="exact"/>
      <w:ind w:left="200" w:leftChars="200"/>
    </w:pPr>
    <w:rPr>
      <w:sz w:val="28"/>
    </w:rPr>
  </w:style>
  <w:style w:type="paragraph" w:styleId="58">
    <w:name w:val="Title"/>
    <w:basedOn w:val="1"/>
    <w:next w:val="1"/>
    <w:link w:val="100"/>
    <w:autoRedefine/>
    <w:qFormat/>
    <w:uiPriority w:val="0"/>
    <w:pPr>
      <w:widowControl/>
      <w:spacing w:before="240" w:after="60"/>
      <w:jc w:val="center"/>
      <w:outlineLvl w:val="0"/>
    </w:pPr>
    <w:rPr>
      <w:rFonts w:ascii="Cambria" w:hAnsi="Cambria"/>
      <w:b/>
      <w:bCs/>
      <w:kern w:val="0"/>
      <w:sz w:val="32"/>
      <w:szCs w:val="32"/>
    </w:rPr>
  </w:style>
  <w:style w:type="paragraph" w:styleId="59">
    <w:name w:val="annotation subject"/>
    <w:basedOn w:val="23"/>
    <w:next w:val="23"/>
    <w:link w:val="101"/>
    <w:autoRedefine/>
    <w:qFormat/>
    <w:uiPriority w:val="0"/>
    <w:rPr>
      <w:b/>
      <w:bCs/>
      <w:kern w:val="0"/>
      <w:szCs w:val="20"/>
    </w:rPr>
  </w:style>
  <w:style w:type="paragraph" w:styleId="60">
    <w:name w:val="Body Text First Indent 2"/>
    <w:basedOn w:val="26"/>
    <w:link w:val="102"/>
    <w:autoRedefine/>
    <w:qFormat/>
    <w:uiPriority w:val="0"/>
    <w:pPr>
      <w:widowControl/>
      <w:spacing w:after="120" w:line="240" w:lineRule="auto"/>
      <w:ind w:left="420" w:leftChars="200" w:firstLine="420" w:firstLineChars="200"/>
      <w:jc w:val="left"/>
    </w:pPr>
    <w:rPr>
      <w:rFonts w:ascii="Times New Roman" w:hAnsi="Times New Roman"/>
      <w:sz w:val="24"/>
      <w:szCs w:val="24"/>
    </w:rPr>
  </w:style>
  <w:style w:type="table" w:styleId="62">
    <w:name w:val="Table Grid"/>
    <w:basedOn w:val="6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Colorful List Accent 1"/>
    <w:basedOn w:val="61"/>
    <w:autoRedefine/>
    <w:qFormat/>
    <w:uiPriority w:val="0"/>
    <w:rPr>
      <w:kern w:val="2"/>
      <w:sz w:val="21"/>
      <w:szCs w:val="22"/>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65">
    <w:name w:val="Strong"/>
    <w:autoRedefine/>
    <w:qFormat/>
    <w:uiPriority w:val="0"/>
    <w:rPr>
      <w:b/>
      <w:bCs/>
    </w:rPr>
  </w:style>
  <w:style w:type="character" w:styleId="66">
    <w:name w:val="page number"/>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iCs/>
    </w:rPr>
  </w:style>
  <w:style w:type="character" w:styleId="69">
    <w:name w:val="Hyperlink"/>
    <w:autoRedefine/>
    <w:qFormat/>
    <w:uiPriority w:val="0"/>
    <w:rPr>
      <w:color w:val="0000FF"/>
      <w:u w:val="single"/>
    </w:rPr>
  </w:style>
  <w:style w:type="character" w:styleId="70">
    <w:name w:val="HTML Code"/>
    <w:autoRedefine/>
    <w:qFormat/>
    <w:uiPriority w:val="0"/>
    <w:rPr>
      <w:rFonts w:ascii="宋体" w:hAnsi="宋体" w:eastAsia="宋体" w:cs="宋体"/>
      <w:sz w:val="24"/>
      <w:szCs w:val="24"/>
    </w:rPr>
  </w:style>
  <w:style w:type="character" w:styleId="71">
    <w:name w:val="annotation reference"/>
    <w:autoRedefine/>
    <w:qFormat/>
    <w:uiPriority w:val="0"/>
    <w:rPr>
      <w:sz w:val="21"/>
      <w:szCs w:val="21"/>
    </w:rPr>
  </w:style>
  <w:style w:type="character" w:customStyle="1" w:styleId="72">
    <w:name w:val="标题 1 Char"/>
    <w:link w:val="5"/>
    <w:autoRedefine/>
    <w:qFormat/>
    <w:uiPriority w:val="0"/>
    <w:rPr>
      <w:b/>
      <w:bCs/>
      <w:kern w:val="44"/>
      <w:sz w:val="44"/>
      <w:szCs w:val="44"/>
    </w:rPr>
  </w:style>
  <w:style w:type="character" w:customStyle="1" w:styleId="73">
    <w:name w:val="标题 2 Char"/>
    <w:link w:val="6"/>
    <w:autoRedefine/>
    <w:qFormat/>
    <w:uiPriority w:val="0"/>
    <w:rPr>
      <w:rFonts w:ascii="仿宋_GB2312" w:hAnsi="宋体" w:eastAsia="方正仿宋_GB2312"/>
      <w:b/>
      <w:sz w:val="30"/>
    </w:rPr>
  </w:style>
  <w:style w:type="character" w:customStyle="1" w:styleId="74">
    <w:name w:val="标题 3 Char"/>
    <w:link w:val="7"/>
    <w:autoRedefine/>
    <w:qFormat/>
    <w:uiPriority w:val="0"/>
    <w:rPr>
      <w:rFonts w:eastAsia="方正仿宋_GB2312"/>
      <w:b/>
      <w:kern w:val="2"/>
      <w:sz w:val="28"/>
    </w:rPr>
  </w:style>
  <w:style w:type="character" w:customStyle="1" w:styleId="75">
    <w:name w:val="标题 4 Char"/>
    <w:link w:val="8"/>
    <w:autoRedefine/>
    <w:qFormat/>
    <w:uiPriority w:val="0"/>
    <w:rPr>
      <w:rFonts w:ascii="Cambria" w:hAnsi="Cambria" w:eastAsia="宋体" w:cs="Times New Roman"/>
      <w:b/>
      <w:bCs/>
      <w:kern w:val="2"/>
      <w:sz w:val="28"/>
      <w:szCs w:val="28"/>
    </w:rPr>
  </w:style>
  <w:style w:type="character" w:customStyle="1" w:styleId="76">
    <w:name w:val="标题 5 Char"/>
    <w:link w:val="9"/>
    <w:autoRedefine/>
    <w:qFormat/>
    <w:uiPriority w:val="0"/>
    <w:rPr>
      <w:b/>
      <w:bCs/>
      <w:kern w:val="2"/>
      <w:sz w:val="28"/>
      <w:szCs w:val="28"/>
    </w:rPr>
  </w:style>
  <w:style w:type="character" w:customStyle="1" w:styleId="77">
    <w:name w:val="标题 6 Char"/>
    <w:link w:val="10"/>
    <w:autoRedefine/>
    <w:qFormat/>
    <w:uiPriority w:val="0"/>
    <w:rPr>
      <w:rFonts w:ascii="Times New Roman" w:hAnsi="Times New Roman"/>
      <w:b/>
      <w:bCs/>
      <w:szCs w:val="24"/>
    </w:rPr>
  </w:style>
  <w:style w:type="character" w:customStyle="1" w:styleId="78">
    <w:name w:val="标题 7 Char"/>
    <w:link w:val="11"/>
    <w:autoRedefine/>
    <w:qFormat/>
    <w:uiPriority w:val="0"/>
    <w:rPr>
      <w:rFonts w:ascii="仿宋_GB2312" w:eastAsia="仿宋_GB2312"/>
      <w:sz w:val="36"/>
    </w:rPr>
  </w:style>
  <w:style w:type="character" w:customStyle="1" w:styleId="79">
    <w:name w:val="标题 8 Char"/>
    <w:link w:val="12"/>
    <w:autoRedefine/>
    <w:qFormat/>
    <w:uiPriority w:val="0"/>
    <w:rPr>
      <w:rFonts w:ascii="Arial" w:hAnsi="Arial" w:eastAsia="黑体"/>
      <w:sz w:val="24"/>
    </w:rPr>
  </w:style>
  <w:style w:type="character" w:customStyle="1" w:styleId="80">
    <w:name w:val="标题 9 Char"/>
    <w:link w:val="13"/>
    <w:autoRedefine/>
    <w:qFormat/>
    <w:uiPriority w:val="0"/>
    <w:rPr>
      <w:rFonts w:ascii="Arial" w:hAnsi="Arial" w:eastAsia="黑体"/>
      <w:sz w:val="28"/>
    </w:rPr>
  </w:style>
  <w:style w:type="character" w:customStyle="1" w:styleId="81">
    <w:name w:val="正文缩进 Char"/>
    <w:link w:val="17"/>
    <w:autoRedefine/>
    <w:qFormat/>
    <w:uiPriority w:val="0"/>
    <w:rPr>
      <w:rFonts w:ascii="宋体" w:hAnsi="Courier New"/>
      <w:kern w:val="2"/>
      <w:sz w:val="21"/>
    </w:rPr>
  </w:style>
  <w:style w:type="character" w:customStyle="1" w:styleId="82">
    <w:name w:val="题注 Char"/>
    <w:link w:val="18"/>
    <w:autoRedefine/>
    <w:qFormat/>
    <w:uiPriority w:val="0"/>
    <w:rPr>
      <w:rFonts w:ascii="Arial" w:hAnsi="Arial" w:eastAsia="黑体" w:cs="Arial"/>
      <w:kern w:val="2"/>
    </w:rPr>
  </w:style>
  <w:style w:type="character" w:customStyle="1" w:styleId="83">
    <w:name w:val="文档结构图 Char"/>
    <w:link w:val="21"/>
    <w:autoRedefine/>
    <w:qFormat/>
    <w:uiPriority w:val="0"/>
    <w:rPr>
      <w:rFonts w:ascii="Times New Roman" w:hAnsi="Times New Roman"/>
      <w:sz w:val="24"/>
      <w:szCs w:val="24"/>
      <w:shd w:val="clear" w:color="auto" w:fill="000080"/>
    </w:rPr>
  </w:style>
  <w:style w:type="character" w:customStyle="1" w:styleId="84">
    <w:name w:val="批注文字 Char"/>
    <w:link w:val="23"/>
    <w:autoRedefine/>
    <w:qFormat/>
    <w:uiPriority w:val="0"/>
    <w:rPr>
      <w:kern w:val="2"/>
      <w:sz w:val="21"/>
      <w:szCs w:val="22"/>
    </w:rPr>
  </w:style>
  <w:style w:type="character" w:customStyle="1" w:styleId="85">
    <w:name w:val="正文文本 3 Char"/>
    <w:link w:val="25"/>
    <w:autoRedefine/>
    <w:qFormat/>
    <w:uiPriority w:val="0"/>
    <w:rPr>
      <w:kern w:val="2"/>
      <w:sz w:val="16"/>
      <w:szCs w:val="16"/>
    </w:rPr>
  </w:style>
  <w:style w:type="character" w:customStyle="1" w:styleId="86">
    <w:name w:val="正文文本 Char1"/>
    <w:link w:val="3"/>
    <w:autoRedefine/>
    <w:qFormat/>
    <w:uiPriority w:val="0"/>
    <w:rPr>
      <w:rFonts w:ascii="仿宋_GB2312" w:hAnsi="宋体" w:eastAsia="仿宋_GB2312"/>
      <w:kern w:val="2"/>
      <w:sz w:val="24"/>
      <w:szCs w:val="21"/>
    </w:rPr>
  </w:style>
  <w:style w:type="character" w:customStyle="1" w:styleId="87">
    <w:name w:val="正文首行缩进 Char"/>
    <w:link w:val="2"/>
    <w:autoRedefine/>
    <w:qFormat/>
    <w:uiPriority w:val="0"/>
    <w:rPr>
      <w:rFonts w:ascii="Times New Roman" w:hAnsi="Times New Roman" w:eastAsia="仿宋_GB2312"/>
      <w:kern w:val="2"/>
      <w:sz w:val="24"/>
      <w:szCs w:val="24"/>
    </w:rPr>
  </w:style>
  <w:style w:type="character" w:customStyle="1" w:styleId="88">
    <w:name w:val="正文文本缩进 Char"/>
    <w:link w:val="26"/>
    <w:autoRedefine/>
    <w:qFormat/>
    <w:uiPriority w:val="0"/>
    <w:rPr>
      <w:rFonts w:ascii="宋体" w:hAnsi="Courier New"/>
      <w:spacing w:val="-4"/>
      <w:kern w:val="2"/>
      <w:sz w:val="18"/>
    </w:rPr>
  </w:style>
  <w:style w:type="character" w:customStyle="1" w:styleId="89">
    <w:name w:val="纯文本 Char"/>
    <w:link w:val="33"/>
    <w:autoRedefine/>
    <w:qFormat/>
    <w:uiPriority w:val="0"/>
    <w:rPr>
      <w:rFonts w:ascii="宋体" w:hAnsi="Courier New" w:eastAsia="宋体"/>
      <w:kern w:val="2"/>
      <w:sz w:val="21"/>
      <w:lang w:val="en-US" w:eastAsia="zh-CN" w:bidi="ar-SA"/>
    </w:rPr>
  </w:style>
  <w:style w:type="character" w:customStyle="1" w:styleId="90">
    <w:name w:val="日期 Char"/>
    <w:link w:val="36"/>
    <w:autoRedefine/>
    <w:qFormat/>
    <w:uiPriority w:val="0"/>
    <w:rPr>
      <w:kern w:val="2"/>
      <w:sz w:val="24"/>
    </w:rPr>
  </w:style>
  <w:style w:type="character" w:customStyle="1" w:styleId="91">
    <w:name w:val="正文文本缩进 2 Char"/>
    <w:link w:val="37"/>
    <w:autoRedefine/>
    <w:qFormat/>
    <w:uiPriority w:val="0"/>
    <w:rPr>
      <w:kern w:val="2"/>
      <w:sz w:val="21"/>
      <w:szCs w:val="24"/>
    </w:rPr>
  </w:style>
  <w:style w:type="character" w:customStyle="1" w:styleId="92">
    <w:name w:val="批注框文本 Char1"/>
    <w:link w:val="38"/>
    <w:autoRedefine/>
    <w:qFormat/>
    <w:uiPriority w:val="0"/>
    <w:rPr>
      <w:kern w:val="2"/>
      <w:sz w:val="18"/>
      <w:szCs w:val="18"/>
    </w:rPr>
  </w:style>
  <w:style w:type="character" w:customStyle="1" w:styleId="93">
    <w:name w:val="页脚 Char"/>
    <w:link w:val="39"/>
    <w:autoRedefine/>
    <w:qFormat/>
    <w:uiPriority w:val="99"/>
    <w:rPr>
      <w:rFonts w:eastAsia="宋体"/>
      <w:kern w:val="2"/>
      <w:sz w:val="18"/>
      <w:szCs w:val="18"/>
      <w:lang w:val="en-US" w:eastAsia="zh-CN" w:bidi="ar-SA"/>
    </w:rPr>
  </w:style>
  <w:style w:type="character" w:customStyle="1" w:styleId="94">
    <w:name w:val="页眉 Char"/>
    <w:link w:val="40"/>
    <w:autoRedefine/>
    <w:qFormat/>
    <w:uiPriority w:val="99"/>
    <w:rPr>
      <w:rFonts w:eastAsia="宋体"/>
      <w:kern w:val="2"/>
      <w:sz w:val="18"/>
      <w:szCs w:val="18"/>
      <w:lang w:val="en-US" w:eastAsia="zh-CN" w:bidi="ar-SA"/>
    </w:rPr>
  </w:style>
  <w:style w:type="character" w:customStyle="1" w:styleId="95">
    <w:name w:val="目录 1 Char"/>
    <w:link w:val="41"/>
    <w:autoRedefine/>
    <w:qFormat/>
    <w:uiPriority w:val="0"/>
    <w:rPr>
      <w:rFonts w:ascii="仿宋_GB2312" w:eastAsia="仿宋_GB2312"/>
      <w:b/>
      <w:caps/>
      <w:color w:val="000000"/>
      <w:kern w:val="2"/>
    </w:rPr>
  </w:style>
  <w:style w:type="character" w:customStyle="1" w:styleId="96">
    <w:name w:val="副标题 Char"/>
    <w:link w:val="45"/>
    <w:autoRedefine/>
    <w:qFormat/>
    <w:uiPriority w:val="11"/>
    <w:rPr>
      <w:rFonts w:ascii="Calibri Light" w:hAnsi="Calibri Light"/>
      <w:b/>
      <w:bCs/>
      <w:kern w:val="28"/>
      <w:sz w:val="32"/>
      <w:szCs w:val="32"/>
    </w:rPr>
  </w:style>
  <w:style w:type="character" w:customStyle="1" w:styleId="97">
    <w:name w:val="正文文本缩进 3 Char"/>
    <w:link w:val="47"/>
    <w:autoRedefine/>
    <w:qFormat/>
    <w:uiPriority w:val="0"/>
    <w:rPr>
      <w:kern w:val="2"/>
      <w:sz w:val="16"/>
      <w:szCs w:val="16"/>
    </w:rPr>
  </w:style>
  <w:style w:type="character" w:customStyle="1" w:styleId="98">
    <w:name w:val="正文文本 2 Char"/>
    <w:link w:val="53"/>
    <w:autoRedefine/>
    <w:qFormat/>
    <w:uiPriority w:val="0"/>
    <w:rPr>
      <w:kern w:val="2"/>
      <w:sz w:val="21"/>
      <w:szCs w:val="24"/>
    </w:rPr>
  </w:style>
  <w:style w:type="character" w:customStyle="1" w:styleId="99">
    <w:name w:val="HTML 预设格式 Char"/>
    <w:link w:val="55"/>
    <w:autoRedefine/>
    <w:qFormat/>
    <w:uiPriority w:val="0"/>
    <w:rPr>
      <w:rFonts w:ascii="Arial" w:hAnsi="Arial"/>
      <w:sz w:val="23"/>
      <w:szCs w:val="23"/>
    </w:rPr>
  </w:style>
  <w:style w:type="character" w:customStyle="1" w:styleId="100">
    <w:name w:val="标题 Char"/>
    <w:link w:val="58"/>
    <w:autoRedefine/>
    <w:qFormat/>
    <w:uiPriority w:val="0"/>
    <w:rPr>
      <w:rFonts w:ascii="Cambria" w:hAnsi="Cambria"/>
      <w:b/>
      <w:bCs/>
      <w:sz w:val="32"/>
      <w:szCs w:val="32"/>
    </w:rPr>
  </w:style>
  <w:style w:type="character" w:customStyle="1" w:styleId="101">
    <w:name w:val="批注主题 Char1"/>
    <w:link w:val="59"/>
    <w:autoRedefine/>
    <w:qFormat/>
    <w:uiPriority w:val="0"/>
    <w:rPr>
      <w:b/>
      <w:bCs/>
      <w:sz w:val="21"/>
    </w:rPr>
  </w:style>
  <w:style w:type="character" w:customStyle="1" w:styleId="102">
    <w:name w:val="正文首行缩进 2 Char"/>
    <w:link w:val="60"/>
    <w:autoRedefine/>
    <w:qFormat/>
    <w:uiPriority w:val="0"/>
    <w:rPr>
      <w:rFonts w:ascii="Times New Roman" w:hAnsi="Times New Roman"/>
      <w:spacing w:val="-4"/>
      <w:kern w:val="2"/>
      <w:sz w:val="24"/>
      <w:szCs w:val="24"/>
    </w:rPr>
  </w:style>
  <w:style w:type="character" w:customStyle="1" w:styleId="103">
    <w:name w:val="批注框文本 Char"/>
    <w:autoRedefine/>
    <w:qFormat/>
    <w:uiPriority w:val="0"/>
    <w:rPr>
      <w:rFonts w:ascii="Times New Roman" w:hAnsi="Times New Roman" w:eastAsia="宋体" w:cs="Times New Roman"/>
      <w:kern w:val="2"/>
      <w:sz w:val="18"/>
      <w:szCs w:val="18"/>
    </w:rPr>
  </w:style>
  <w:style w:type="character" w:customStyle="1" w:styleId="104">
    <w:name w:val="正文缩进 字符2"/>
    <w:autoRedefine/>
    <w:qFormat/>
    <w:uiPriority w:val="0"/>
    <w:rPr>
      <w:rFonts w:ascii="宋体" w:eastAsia="宋体"/>
      <w:snapToGrid/>
      <w:color w:val="000000"/>
      <w:kern w:val="28"/>
      <w:sz w:val="28"/>
      <w:lang w:val="en-US" w:eastAsia="zh-CN" w:bidi="ar-SA"/>
    </w:rPr>
  </w:style>
  <w:style w:type="character" w:customStyle="1" w:styleId="105">
    <w:name w:val="标题 6字符"/>
    <w:autoRedefine/>
    <w:qFormat/>
    <w:uiPriority w:val="0"/>
    <w:rPr>
      <w:rFonts w:ascii="Cambria" w:hAnsi="Cambria" w:eastAsia="宋体" w:cs="Times New Roman"/>
      <w:b/>
      <w:bCs/>
      <w:kern w:val="0"/>
    </w:rPr>
  </w:style>
  <w:style w:type="character" w:customStyle="1" w:styleId="106">
    <w:name w:val="普通文字 Char Char1"/>
    <w:autoRedefine/>
    <w:qFormat/>
    <w:uiPriority w:val="0"/>
    <w:rPr>
      <w:rFonts w:ascii="宋体" w:hAnsi="Courier New" w:eastAsia="宋体"/>
      <w:kern w:val="2"/>
      <w:sz w:val="24"/>
      <w:szCs w:val="24"/>
      <w:lang w:val="en-US" w:eastAsia="zh-CN" w:bidi="ar-SA"/>
    </w:rPr>
  </w:style>
  <w:style w:type="character" w:customStyle="1" w:styleId="107">
    <w:name w:val="Item List in Table Char Char"/>
    <w:link w:val="108"/>
    <w:autoRedefine/>
    <w:qFormat/>
    <w:uiPriority w:val="0"/>
    <w:rPr>
      <w:rFonts w:ascii="Arial" w:hAnsi="Arial" w:eastAsia="Times New Roman"/>
      <w:sz w:val="18"/>
      <w:szCs w:val="18"/>
      <w:lang w:val="en-US" w:eastAsia="zh-CN" w:bidi="ar-SA"/>
    </w:rPr>
  </w:style>
  <w:style w:type="paragraph" w:customStyle="1" w:styleId="108">
    <w:name w:val="Item List in Table"/>
    <w:link w:val="107"/>
    <w:autoRedefine/>
    <w:qFormat/>
    <w:uiPriority w:val="0"/>
    <w:pPr>
      <w:tabs>
        <w:tab w:val="left" w:pos="284"/>
        <w:tab w:val="left" w:pos="1678"/>
      </w:tabs>
      <w:spacing w:before="40" w:after="40"/>
      <w:ind w:left="1678" w:hanging="419"/>
      <w:jc w:val="both"/>
    </w:pPr>
    <w:rPr>
      <w:rFonts w:ascii="Arial" w:hAnsi="Arial" w:eastAsia="Times New Roman" w:cs="Times New Roman"/>
      <w:sz w:val="18"/>
      <w:szCs w:val="18"/>
      <w:lang w:val="en-US" w:eastAsia="zh-CN" w:bidi="ar-SA"/>
    </w:rPr>
  </w:style>
  <w:style w:type="character" w:customStyle="1" w:styleId="109">
    <w:name w:val="标题 3字符"/>
    <w:autoRedefine/>
    <w:qFormat/>
    <w:uiPriority w:val="0"/>
    <w:rPr>
      <w:rFonts w:ascii="Times New Roman" w:hAnsi="Times New Roman" w:eastAsia="宋体" w:cs="Times New Roman"/>
      <w:b/>
      <w:bCs/>
      <w:kern w:val="0"/>
      <w:sz w:val="32"/>
      <w:szCs w:val="32"/>
    </w:rPr>
  </w:style>
  <w:style w:type="character" w:customStyle="1" w:styleId="110">
    <w:name w:val="HTML 预设格式 Char1"/>
    <w:autoRedefine/>
    <w:qFormat/>
    <w:uiPriority w:val="0"/>
    <w:rPr>
      <w:rFonts w:ascii="Consolas" w:hAnsi="Consolas"/>
      <w:kern w:val="2"/>
    </w:rPr>
  </w:style>
  <w:style w:type="character" w:customStyle="1" w:styleId="111">
    <w:name w:val="页眉字符"/>
    <w:autoRedefine/>
    <w:qFormat/>
    <w:uiPriority w:val="0"/>
    <w:rPr>
      <w:rFonts w:ascii="Times New Roman" w:hAnsi="Times New Roman" w:eastAsia="宋体" w:cs="Times New Roman"/>
      <w:kern w:val="0"/>
      <w:sz w:val="18"/>
      <w:szCs w:val="18"/>
    </w:rPr>
  </w:style>
  <w:style w:type="character" w:customStyle="1" w:styleId="112">
    <w:name w:val="正文文本缩进 3 字符1"/>
    <w:autoRedefine/>
    <w:qFormat/>
    <w:locked/>
    <w:uiPriority w:val="0"/>
    <w:rPr>
      <w:rFonts w:ascii="仿宋_GB2312" w:hAnsi="宋体" w:eastAsia="仿宋_GB2312"/>
      <w:color w:val="000000"/>
      <w:kern w:val="2"/>
      <w:sz w:val="24"/>
      <w:szCs w:val="24"/>
      <w:lang w:val="en-US" w:eastAsia="zh-CN" w:bidi="ar-SA"/>
    </w:rPr>
  </w:style>
  <w:style w:type="character" w:customStyle="1" w:styleId="113">
    <w:name w:val="正文文本 3字符1"/>
    <w:autoRedefine/>
    <w:semiHidden/>
    <w:qFormat/>
    <w:uiPriority w:val="99"/>
    <w:rPr>
      <w:rFonts w:ascii="Times New Roman" w:hAnsi="Times New Roman" w:eastAsia="宋体" w:cs="Times New Roman"/>
      <w:kern w:val="0"/>
      <w:sz w:val="16"/>
      <w:szCs w:val="16"/>
    </w:rPr>
  </w:style>
  <w:style w:type="character" w:customStyle="1" w:styleId="114">
    <w:name w:val="正文缩进字符"/>
    <w:autoRedefine/>
    <w:qFormat/>
    <w:uiPriority w:val="0"/>
    <w:rPr>
      <w:kern w:val="2"/>
      <w:sz w:val="28"/>
    </w:rPr>
  </w:style>
  <w:style w:type="character" w:customStyle="1" w:styleId="115">
    <w:name w:val="浅色网格 - 强调文字颜色 3字符"/>
    <w:autoRedefine/>
    <w:qFormat/>
    <w:uiPriority w:val="0"/>
    <w:rPr>
      <w:kern w:val="2"/>
      <w:sz w:val="21"/>
      <w:szCs w:val="24"/>
    </w:rPr>
  </w:style>
  <w:style w:type="character" w:customStyle="1" w:styleId="116">
    <w:name w:val="标题 1字符"/>
    <w:autoRedefine/>
    <w:qFormat/>
    <w:uiPriority w:val="0"/>
    <w:rPr>
      <w:rFonts w:ascii="Times New Roman" w:hAnsi="Times New Roman" w:eastAsia="宋体" w:cs="Times New Roman"/>
      <w:b/>
      <w:bCs/>
      <w:kern w:val="44"/>
      <w:sz w:val="44"/>
      <w:szCs w:val="44"/>
    </w:rPr>
  </w:style>
  <w:style w:type="character" w:customStyle="1" w:styleId="117">
    <w:name w:val="列出段落字符"/>
    <w:autoRedefine/>
    <w:qFormat/>
    <w:uiPriority w:val="0"/>
    <w:rPr>
      <w:rFonts w:ascii="Calibri" w:hAnsi="Calibri"/>
      <w:kern w:val="2"/>
      <w:sz w:val="21"/>
      <w:szCs w:val="22"/>
    </w:rPr>
  </w:style>
  <w:style w:type="character" w:customStyle="1" w:styleId="118">
    <w:name w:val="bold1"/>
    <w:autoRedefine/>
    <w:qFormat/>
    <w:uiPriority w:val="0"/>
    <w:rPr>
      <w:b/>
      <w:bCs/>
    </w:rPr>
  </w:style>
  <w:style w:type="character" w:customStyle="1" w:styleId="119">
    <w:name w:val="表格文字 Char"/>
    <w:link w:val="120"/>
    <w:autoRedefine/>
    <w:qFormat/>
    <w:uiPriority w:val="0"/>
    <w:rPr>
      <w:sz w:val="18"/>
    </w:rPr>
  </w:style>
  <w:style w:type="paragraph" w:customStyle="1" w:styleId="120">
    <w:name w:val="表格文字"/>
    <w:basedOn w:val="1"/>
    <w:next w:val="3"/>
    <w:link w:val="119"/>
    <w:autoRedefine/>
    <w:qFormat/>
    <w:uiPriority w:val="0"/>
    <w:pPr>
      <w:jc w:val="left"/>
      <w:textAlignment w:val="top"/>
    </w:pPr>
    <w:rPr>
      <w:kern w:val="0"/>
      <w:sz w:val="18"/>
      <w:szCs w:val="20"/>
    </w:rPr>
  </w:style>
  <w:style w:type="character" w:customStyle="1" w:styleId="121">
    <w:name w:val="标书正文 Char"/>
    <w:link w:val="122"/>
    <w:autoRedefine/>
    <w:qFormat/>
    <w:uiPriority w:val="0"/>
    <w:rPr>
      <w:rFonts w:ascii="Calibri" w:hAnsi="Calibri" w:eastAsia="宋体" w:cs="Times New Roman"/>
      <w:kern w:val="2"/>
      <w:sz w:val="24"/>
      <w:szCs w:val="24"/>
    </w:rPr>
  </w:style>
  <w:style w:type="paragraph" w:customStyle="1" w:styleId="122">
    <w:name w:val="标书正文"/>
    <w:basedOn w:val="26"/>
    <w:link w:val="121"/>
    <w:autoRedefine/>
    <w:qFormat/>
    <w:uiPriority w:val="0"/>
    <w:pPr>
      <w:spacing w:before="100" w:beforeAutospacing="1" w:after="100" w:afterAutospacing="1" w:line="360" w:lineRule="auto"/>
      <w:ind w:firstLine="480" w:firstLineChars="200"/>
    </w:pPr>
    <w:rPr>
      <w:rFonts w:ascii="Calibri" w:hAnsi="Calibri"/>
      <w:spacing w:val="0"/>
      <w:sz w:val="24"/>
      <w:szCs w:val="24"/>
    </w:rPr>
  </w:style>
  <w:style w:type="character" w:customStyle="1" w:styleId="123">
    <w:name w:val="彩色列表 - 强调文字颜色 1字符"/>
    <w:autoRedefine/>
    <w:qFormat/>
    <w:uiPriority w:val="0"/>
    <w:rPr>
      <w:rFonts w:ascii="Calibri" w:hAnsi="Calibri"/>
      <w:kern w:val="2"/>
      <w:sz w:val="21"/>
      <w:szCs w:val="22"/>
    </w:rPr>
  </w:style>
  <w:style w:type="character" w:customStyle="1" w:styleId="124">
    <w:name w:val="页脚 字符"/>
    <w:autoRedefine/>
    <w:qFormat/>
    <w:locked/>
    <w:uiPriority w:val="0"/>
    <w:rPr>
      <w:rFonts w:ascii="Tahoma" w:hAnsi="Tahoma" w:eastAsia="黑体"/>
      <w:snapToGrid w:val="0"/>
      <w:sz w:val="18"/>
      <w:szCs w:val="18"/>
      <w:lang w:val="en-US" w:eastAsia="zh-CN" w:bidi="ar-SA"/>
    </w:rPr>
  </w:style>
  <w:style w:type="character" w:customStyle="1" w:styleId="125">
    <w:name w:val="HTML  预设格式字符1"/>
    <w:autoRedefine/>
    <w:semiHidden/>
    <w:qFormat/>
    <w:uiPriority w:val="99"/>
    <w:rPr>
      <w:rFonts w:ascii="Courier" w:hAnsi="Courier" w:eastAsia="宋体" w:cs="Times New Roman"/>
      <w:kern w:val="0"/>
      <w:sz w:val="20"/>
      <w:szCs w:val="20"/>
    </w:rPr>
  </w:style>
  <w:style w:type="character" w:customStyle="1" w:styleId="126">
    <w:name w:val="批注主题字符1"/>
    <w:autoRedefine/>
    <w:semiHidden/>
    <w:qFormat/>
    <w:uiPriority w:val="99"/>
    <w:rPr>
      <w:rFonts w:ascii="Times New Roman" w:hAnsi="Times New Roman" w:eastAsia="宋体" w:cs="Times New Roman"/>
      <w:b/>
      <w:bCs/>
      <w:kern w:val="0"/>
    </w:rPr>
  </w:style>
  <w:style w:type="character" w:customStyle="1" w:styleId="127">
    <w:name w:val="font3"/>
    <w:autoRedefine/>
    <w:qFormat/>
    <w:uiPriority w:val="0"/>
  </w:style>
  <w:style w:type="character" w:customStyle="1" w:styleId="128">
    <w:name w:val="哈哈正文 Char"/>
    <w:link w:val="129"/>
    <w:autoRedefine/>
    <w:qFormat/>
    <w:uiPriority w:val="0"/>
    <w:rPr>
      <w:rFonts w:ascii="宋体" w:hAnsi="宋体"/>
    </w:rPr>
  </w:style>
  <w:style w:type="paragraph" w:customStyle="1" w:styleId="129">
    <w:name w:val="哈哈正文"/>
    <w:basedOn w:val="1"/>
    <w:link w:val="128"/>
    <w:autoRedefine/>
    <w:qFormat/>
    <w:uiPriority w:val="0"/>
    <w:pPr>
      <w:spacing w:line="360" w:lineRule="auto"/>
      <w:ind w:firstLine="200" w:firstLineChars="200"/>
    </w:pPr>
    <w:rPr>
      <w:rFonts w:ascii="宋体" w:hAnsi="宋体"/>
      <w:kern w:val="0"/>
      <w:sz w:val="20"/>
      <w:szCs w:val="20"/>
    </w:rPr>
  </w:style>
  <w:style w:type="character" w:customStyle="1" w:styleId="130">
    <w:name w:val="仿宋4号 Char"/>
    <w:link w:val="131"/>
    <w:autoRedefine/>
    <w:qFormat/>
    <w:uiPriority w:val="0"/>
    <w:rPr>
      <w:rFonts w:ascii="仿宋" w:hAnsi="仿宋" w:eastAsia="仿宋"/>
      <w:sz w:val="28"/>
      <w:szCs w:val="28"/>
    </w:rPr>
  </w:style>
  <w:style w:type="paragraph" w:customStyle="1" w:styleId="131">
    <w:name w:val="仿宋4号"/>
    <w:basedOn w:val="1"/>
    <w:link w:val="130"/>
    <w:autoRedefine/>
    <w:qFormat/>
    <w:uiPriority w:val="0"/>
    <w:pPr>
      <w:spacing w:line="360" w:lineRule="auto"/>
      <w:ind w:firstLine="560" w:firstLineChars="200"/>
    </w:pPr>
    <w:rPr>
      <w:rFonts w:ascii="仿宋" w:hAnsi="仿宋" w:eastAsia="仿宋"/>
      <w:kern w:val="0"/>
      <w:sz w:val="28"/>
      <w:szCs w:val="28"/>
    </w:rPr>
  </w:style>
  <w:style w:type="character" w:customStyle="1" w:styleId="132">
    <w:name w:val="表格非标题文字 Char Char"/>
    <w:link w:val="133"/>
    <w:autoRedefine/>
    <w:qFormat/>
    <w:uiPriority w:val="0"/>
    <w:rPr>
      <w:rFonts w:ascii="Arial" w:hAnsi="Arial" w:eastAsia="华文细黑"/>
      <w:color w:val="505050"/>
      <w:sz w:val="13"/>
      <w:szCs w:val="13"/>
    </w:rPr>
  </w:style>
  <w:style w:type="paragraph" w:customStyle="1" w:styleId="133">
    <w:name w:val="表格非标题文字"/>
    <w:basedOn w:val="1"/>
    <w:link w:val="132"/>
    <w:autoRedefine/>
    <w:qFormat/>
    <w:uiPriority w:val="0"/>
    <w:pPr>
      <w:spacing w:before="40" w:after="40" w:line="220" w:lineRule="exact"/>
      <w:jc w:val="left"/>
    </w:pPr>
    <w:rPr>
      <w:rFonts w:ascii="Arial" w:hAnsi="Arial" w:eastAsia="华文细黑"/>
      <w:color w:val="505050"/>
      <w:kern w:val="0"/>
      <w:sz w:val="13"/>
      <w:szCs w:val="13"/>
    </w:rPr>
  </w:style>
  <w:style w:type="character" w:customStyle="1" w:styleId="134">
    <w:name w:val="标题 5字符"/>
    <w:autoRedefine/>
    <w:qFormat/>
    <w:uiPriority w:val="0"/>
    <w:rPr>
      <w:rFonts w:ascii="Times New Roman" w:hAnsi="Times New Roman" w:eastAsia="宋体" w:cs="Times New Roman"/>
      <w:b/>
      <w:bCs/>
      <w:kern w:val="0"/>
      <w:sz w:val="28"/>
      <w:szCs w:val="28"/>
    </w:rPr>
  </w:style>
  <w:style w:type="character" w:customStyle="1" w:styleId="135">
    <w:name w:val="*正文 Char"/>
    <w:link w:val="136"/>
    <w:autoRedefine/>
    <w:qFormat/>
    <w:uiPriority w:val="0"/>
    <w:rPr>
      <w:rFonts w:ascii="Calibri" w:hAnsi="Calibri" w:eastAsia="宋体" w:cs="Times New Roman"/>
      <w:kern w:val="2"/>
      <w:sz w:val="24"/>
      <w:szCs w:val="24"/>
    </w:rPr>
  </w:style>
  <w:style w:type="paragraph" w:customStyle="1" w:styleId="136">
    <w:name w:val="*正文"/>
    <w:basedOn w:val="1"/>
    <w:link w:val="135"/>
    <w:autoRedefine/>
    <w:qFormat/>
    <w:uiPriority w:val="0"/>
    <w:pPr>
      <w:spacing w:line="360" w:lineRule="auto"/>
      <w:ind w:firstLine="200" w:firstLineChars="200"/>
    </w:pPr>
    <w:rPr>
      <w:rFonts w:ascii="Calibri" w:hAnsi="Calibri"/>
      <w:sz w:val="24"/>
    </w:rPr>
  </w:style>
  <w:style w:type="character" w:customStyle="1" w:styleId="137">
    <w:name w:val="正文文本字符"/>
    <w:autoRedefine/>
    <w:qFormat/>
    <w:uiPriority w:val="0"/>
    <w:rPr>
      <w:rFonts w:ascii="Times New Roman" w:hAnsi="Times New Roman" w:eastAsia="宋体" w:cs="Times New Roman"/>
      <w:kern w:val="0"/>
    </w:rPr>
  </w:style>
  <w:style w:type="character" w:customStyle="1" w:styleId="138">
    <w:name w:val="HTML 预设格式 Char2"/>
    <w:autoRedefine/>
    <w:qFormat/>
    <w:uiPriority w:val="0"/>
    <w:rPr>
      <w:rFonts w:ascii="Courier New" w:hAnsi="Courier New" w:cs="Courier New"/>
      <w:kern w:val="2"/>
    </w:rPr>
  </w:style>
  <w:style w:type="character" w:customStyle="1" w:styleId="139">
    <w:name w:val="列出段落 Char"/>
    <w:link w:val="140"/>
    <w:autoRedefine/>
    <w:qFormat/>
    <w:uiPriority w:val="0"/>
    <w:rPr>
      <w:rFonts w:ascii="Calibri" w:hAnsi="Calibri"/>
      <w:kern w:val="2"/>
      <w:sz w:val="21"/>
      <w:szCs w:val="22"/>
    </w:rPr>
  </w:style>
  <w:style w:type="paragraph" w:customStyle="1" w:styleId="140">
    <w:name w:val="列出段落2"/>
    <w:basedOn w:val="1"/>
    <w:link w:val="139"/>
    <w:autoRedefine/>
    <w:qFormat/>
    <w:uiPriority w:val="0"/>
    <w:pPr>
      <w:ind w:firstLine="420" w:firstLineChars="200"/>
    </w:pPr>
    <w:rPr>
      <w:rFonts w:ascii="Calibri" w:hAnsi="Calibri"/>
      <w:szCs w:val="22"/>
    </w:rPr>
  </w:style>
  <w:style w:type="character" w:customStyle="1" w:styleId="141">
    <w:name w:val="font21"/>
    <w:autoRedefine/>
    <w:qFormat/>
    <w:uiPriority w:val="0"/>
    <w:rPr>
      <w:rFonts w:hint="eastAsia" w:ascii="微软雅黑" w:hAnsi="微软雅黑" w:eastAsia="微软雅黑" w:cs="微软雅黑"/>
      <w:color w:val="000000"/>
      <w:sz w:val="24"/>
      <w:szCs w:val="24"/>
      <w:u w:val="none"/>
    </w:rPr>
  </w:style>
  <w:style w:type="character" w:customStyle="1" w:styleId="142">
    <w:name w:val="apple-converted-space"/>
    <w:autoRedefine/>
    <w:qFormat/>
    <w:uiPriority w:val="0"/>
  </w:style>
  <w:style w:type="character" w:customStyle="1" w:styleId="143">
    <w:name w:val="批注主题 Char"/>
    <w:autoRedefine/>
    <w:qFormat/>
    <w:uiPriority w:val="0"/>
    <w:rPr>
      <w:b/>
      <w:bCs/>
      <w:kern w:val="2"/>
      <w:sz w:val="21"/>
      <w:szCs w:val="22"/>
    </w:rPr>
  </w:style>
  <w:style w:type="character" w:customStyle="1" w:styleId="144">
    <w:name w:val="批注框文本字符"/>
    <w:autoRedefine/>
    <w:qFormat/>
    <w:uiPriority w:val="0"/>
    <w:rPr>
      <w:rFonts w:ascii="Heiti SC Light" w:hAnsi="Times New Roman" w:eastAsia="Heiti SC Light" w:cs="Times New Roman"/>
      <w:kern w:val="0"/>
      <w:sz w:val="18"/>
      <w:szCs w:val="18"/>
    </w:rPr>
  </w:style>
  <w:style w:type="character" w:customStyle="1" w:styleId="145">
    <w:name w:val="注释文本字符"/>
    <w:autoRedefine/>
    <w:qFormat/>
    <w:uiPriority w:val="0"/>
    <w:rPr>
      <w:rFonts w:ascii="Times New Roman" w:hAnsi="Times New Roman" w:eastAsia="宋体" w:cs="Times New Roman"/>
      <w:kern w:val="0"/>
    </w:rPr>
  </w:style>
  <w:style w:type="character" w:customStyle="1" w:styleId="146">
    <w:name w:val="正文文本缩进 Char1"/>
    <w:autoRedefine/>
    <w:qFormat/>
    <w:uiPriority w:val="0"/>
    <w:rPr>
      <w:kern w:val="2"/>
      <w:sz w:val="21"/>
      <w:szCs w:val="24"/>
    </w:rPr>
  </w:style>
  <w:style w:type="character" w:customStyle="1" w:styleId="147">
    <w:name w:val="纯文本字符"/>
    <w:autoRedefine/>
    <w:qFormat/>
    <w:uiPriority w:val="0"/>
    <w:rPr>
      <w:rFonts w:ascii="宋体" w:hAnsi="Courier" w:eastAsia="宋体" w:cs="Times New Roman"/>
      <w:kern w:val="0"/>
    </w:rPr>
  </w:style>
  <w:style w:type="character" w:customStyle="1" w:styleId="148">
    <w:name w:val="Char Char Char Char Char"/>
    <w:autoRedefine/>
    <w:qFormat/>
    <w:uiPriority w:val="0"/>
    <w:rPr>
      <w:rFonts w:ascii="宋体" w:hAnsi="宋体" w:eastAsia="宋体"/>
      <w:sz w:val="24"/>
      <w:szCs w:val="24"/>
      <w:lang w:val="en-US" w:eastAsia="zh-CN" w:bidi="ar-SA"/>
    </w:rPr>
  </w:style>
  <w:style w:type="character" w:customStyle="1" w:styleId="149">
    <w:name w:val="批注文字 Char1"/>
    <w:autoRedefine/>
    <w:qFormat/>
    <w:uiPriority w:val="0"/>
    <w:rPr>
      <w:kern w:val="2"/>
      <w:sz w:val="21"/>
      <w:szCs w:val="24"/>
    </w:rPr>
  </w:style>
  <w:style w:type="character" w:customStyle="1" w:styleId="150">
    <w:name w:val="Char Char1"/>
    <w:autoRedefine/>
    <w:qFormat/>
    <w:uiPriority w:val="0"/>
    <w:rPr>
      <w:rFonts w:eastAsia="黑体"/>
      <w:snapToGrid w:val="0"/>
      <w:sz w:val="18"/>
      <w:szCs w:val="18"/>
      <w:lang w:val="en-US" w:eastAsia="zh-CN" w:bidi="ar-SA"/>
    </w:rPr>
  </w:style>
  <w:style w:type="character" w:customStyle="1" w:styleId="151">
    <w:name w:val="正文文本 Char"/>
    <w:autoRedefine/>
    <w:qFormat/>
    <w:uiPriority w:val="0"/>
    <w:rPr>
      <w:rFonts w:ascii="Times New Roman" w:hAnsi="Times New Roman" w:eastAsia="宋体" w:cs="Times New Roman"/>
      <w:sz w:val="28"/>
    </w:rPr>
  </w:style>
  <w:style w:type="character" w:customStyle="1" w:styleId="152">
    <w:name w:val="文档结构图 字符"/>
    <w:autoRedefine/>
    <w:qFormat/>
    <w:uiPriority w:val="0"/>
    <w:rPr>
      <w:rFonts w:ascii="Heiti SC Light" w:hAnsi="Times New Roman" w:eastAsia="Heiti SC Light" w:cs="Times New Roman"/>
      <w:kern w:val="0"/>
    </w:rPr>
  </w:style>
  <w:style w:type="character" w:customStyle="1" w:styleId="153">
    <w:name w:val="标题 4字符"/>
    <w:autoRedefine/>
    <w:qFormat/>
    <w:uiPriority w:val="0"/>
    <w:rPr>
      <w:rFonts w:ascii="Cambria" w:hAnsi="Cambria" w:eastAsia="宋体" w:cs="Times New Roman"/>
      <w:b/>
      <w:bCs/>
      <w:kern w:val="0"/>
      <w:sz w:val="28"/>
      <w:szCs w:val="28"/>
    </w:rPr>
  </w:style>
  <w:style w:type="character" w:customStyle="1" w:styleId="154">
    <w:name w:val="HTML 预设格式 Char3"/>
    <w:autoRedefine/>
    <w:qFormat/>
    <w:uiPriority w:val="0"/>
    <w:rPr>
      <w:rFonts w:ascii="Courier New" w:hAnsi="Courier New" w:cs="Courier New"/>
      <w:kern w:val="2"/>
    </w:rPr>
  </w:style>
  <w:style w:type="character" w:customStyle="1" w:styleId="155">
    <w:name w:val="页脚字符"/>
    <w:autoRedefine/>
    <w:qFormat/>
    <w:uiPriority w:val="0"/>
    <w:rPr>
      <w:rFonts w:ascii="Times New Roman" w:hAnsi="Times New Roman" w:eastAsia="宋体" w:cs="Times New Roman"/>
      <w:kern w:val="0"/>
      <w:sz w:val="18"/>
      <w:szCs w:val="18"/>
    </w:rPr>
  </w:style>
  <w:style w:type="character" w:customStyle="1" w:styleId="156">
    <w:name w:val="font51"/>
    <w:autoRedefine/>
    <w:qFormat/>
    <w:uiPriority w:val="0"/>
    <w:rPr>
      <w:rFonts w:hint="eastAsia" w:ascii="微软雅黑" w:hAnsi="微软雅黑" w:eastAsia="微软雅黑" w:cs="微软雅黑"/>
      <w:b/>
      <w:color w:val="FF0000"/>
      <w:sz w:val="24"/>
      <w:szCs w:val="24"/>
      <w:u w:val="none"/>
    </w:rPr>
  </w:style>
  <w:style w:type="character" w:customStyle="1" w:styleId="157">
    <w:name w:val="正文文本 3 Char1"/>
    <w:autoRedefine/>
    <w:qFormat/>
    <w:uiPriority w:val="0"/>
    <w:rPr>
      <w:kern w:val="2"/>
      <w:sz w:val="16"/>
      <w:szCs w:val="16"/>
    </w:rPr>
  </w:style>
  <w:style w:type="character" w:customStyle="1" w:styleId="158">
    <w:name w:val="表格非标题文字 Char"/>
    <w:autoRedefine/>
    <w:qFormat/>
    <w:uiPriority w:val="0"/>
    <w:rPr>
      <w:rFonts w:ascii="Futura Bk" w:hAnsi="Futura Bk"/>
      <w:kern w:val="2"/>
      <w:sz w:val="18"/>
      <w:szCs w:val="21"/>
    </w:rPr>
  </w:style>
  <w:style w:type="character" w:customStyle="1" w:styleId="159">
    <w:name w:val="标题 2字符"/>
    <w:autoRedefine/>
    <w:qFormat/>
    <w:uiPriority w:val="0"/>
    <w:rPr>
      <w:rFonts w:ascii="Cambria" w:hAnsi="Cambria" w:eastAsia="宋体" w:cs="Times New Roman"/>
      <w:b/>
      <w:bCs/>
      <w:kern w:val="0"/>
      <w:sz w:val="32"/>
      <w:szCs w:val="32"/>
    </w:rPr>
  </w:style>
  <w:style w:type="character" w:customStyle="1" w:styleId="160">
    <w:name w:val="正文文本缩进 3字符1"/>
    <w:autoRedefine/>
    <w:semiHidden/>
    <w:qFormat/>
    <w:uiPriority w:val="99"/>
    <w:rPr>
      <w:rFonts w:ascii="Times New Roman" w:hAnsi="Times New Roman" w:eastAsia="宋体" w:cs="Times New Roman"/>
      <w:kern w:val="0"/>
      <w:sz w:val="16"/>
      <w:szCs w:val="16"/>
    </w:rPr>
  </w:style>
  <w:style w:type="paragraph" w:customStyle="1" w:styleId="161">
    <w:name w:val="Char Char Char Char Char Char Char Char Char Char"/>
    <w:basedOn w:val="1"/>
    <w:autoRedefine/>
    <w:qFormat/>
    <w:uiPriority w:val="0"/>
    <w:rPr>
      <w:kern w:val="0"/>
      <w:sz w:val="24"/>
    </w:rPr>
  </w:style>
  <w:style w:type="paragraph" w:customStyle="1" w:styleId="16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163">
    <w:name w:val="font1"/>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64">
    <w:name w:val="_Style 16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65">
    <w:name w:val="BodyText"/>
    <w:basedOn w:val="1"/>
    <w:autoRedefine/>
    <w:qFormat/>
    <w:uiPriority w:val="0"/>
    <w:pPr>
      <w:spacing w:line="360" w:lineRule="exact"/>
    </w:pPr>
    <w:rPr>
      <w:sz w:val="24"/>
    </w:rPr>
  </w:style>
  <w:style w:type="paragraph" w:customStyle="1" w:styleId="166">
    <w:name w:val="paragraph"/>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7">
    <w:name w:val="正文2"/>
    <w:basedOn w:val="1"/>
    <w:autoRedefine/>
    <w:qFormat/>
    <w:uiPriority w:val="0"/>
    <w:pPr>
      <w:spacing w:before="156" w:line="360" w:lineRule="auto"/>
      <w:ind w:firstLine="510" w:firstLineChars="200"/>
    </w:pPr>
    <w:rPr>
      <w:rFonts w:ascii="Calibri" w:hAnsi="Calibri"/>
      <w:sz w:val="24"/>
      <w:szCs w:val="22"/>
    </w:rPr>
  </w:style>
  <w:style w:type="paragraph" w:customStyle="1" w:styleId="168">
    <w:name w:val="注示头"/>
    <w:basedOn w:val="1"/>
    <w:autoRedefine/>
    <w:qFormat/>
    <w:uiPriority w:val="0"/>
    <w:pPr>
      <w:pBdr>
        <w:top w:val="single" w:color="000000" w:sz="4" w:space="1"/>
      </w:pBdr>
    </w:pPr>
    <w:rPr>
      <w:rFonts w:ascii="Arial" w:hAnsi="Arial" w:eastAsia="黑体"/>
      <w:sz w:val="18"/>
      <w:szCs w:val="21"/>
    </w:rPr>
  </w:style>
  <w:style w:type="paragraph" w:customStyle="1" w:styleId="16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170">
    <w:name w:val="题注------"/>
    <w:basedOn w:val="18"/>
    <w:autoRedefine/>
    <w:qFormat/>
    <w:uiPriority w:val="0"/>
    <w:pPr>
      <w:widowControl/>
      <w:spacing w:before="100" w:beforeAutospacing="1" w:after="0"/>
      <w:jc w:val="center"/>
    </w:pPr>
    <w:rPr>
      <w:rFonts w:ascii="Calibri" w:hAnsi="Calibri" w:eastAsia="宋体"/>
      <w:b/>
      <w:bCs/>
      <w:color w:val="000000"/>
      <w:kern w:val="0"/>
      <w:sz w:val="21"/>
      <w:szCs w:val="18"/>
    </w:rPr>
  </w:style>
  <w:style w:type="paragraph" w:customStyle="1" w:styleId="171">
    <w:name w:val="标题二自定义"/>
    <w:basedOn w:val="6"/>
    <w:next w:val="1"/>
    <w:autoRedefine/>
    <w:qFormat/>
    <w:uiPriority w:val="0"/>
    <w:pPr>
      <w:widowControl/>
      <w:tabs>
        <w:tab w:val="left" w:pos="567"/>
        <w:tab w:val="left" w:pos="1440"/>
      </w:tabs>
      <w:adjustRightInd/>
      <w:spacing w:before="163" w:after="407"/>
      <w:ind w:left="1440" w:hanging="360"/>
      <w:jc w:val="left"/>
    </w:pPr>
    <w:rPr>
      <w:rFonts w:hAnsi="Cambria"/>
      <w:bCs/>
      <w:kern w:val="2"/>
      <w:sz w:val="36"/>
      <w:szCs w:val="36"/>
      <w:lang w:bidi="en-US"/>
    </w:rPr>
  </w:style>
  <w:style w:type="paragraph" w:customStyle="1" w:styleId="172">
    <w:name w:val="标题三自定义"/>
    <w:basedOn w:val="7"/>
    <w:next w:val="1"/>
    <w:autoRedefine/>
    <w:qFormat/>
    <w:uiPriority w:val="0"/>
    <w:pPr>
      <w:widowControl/>
      <w:tabs>
        <w:tab w:val="left" w:pos="851"/>
        <w:tab w:val="left" w:pos="2160"/>
      </w:tabs>
      <w:spacing w:before="0" w:after="0" w:line="360" w:lineRule="auto"/>
      <w:ind w:left="2160" w:hanging="360"/>
    </w:pPr>
    <w:rPr>
      <w:rFonts w:ascii="仿宋_GB2312" w:hAnsi="Cambria"/>
      <w:bCs/>
      <w:color w:val="000000"/>
      <w:szCs w:val="22"/>
      <w:lang w:bidi="en-US"/>
    </w:rPr>
  </w:style>
  <w:style w:type="paragraph" w:customStyle="1" w:styleId="173">
    <w:name w:val="标题四自定义"/>
    <w:basedOn w:val="8"/>
    <w:next w:val="1"/>
    <w:autoRedefine/>
    <w:qFormat/>
    <w:uiPriority w:val="0"/>
    <w:pPr>
      <w:widowControl/>
      <w:tabs>
        <w:tab w:val="left" w:pos="0"/>
        <w:tab w:val="left" w:pos="2880"/>
      </w:tabs>
      <w:spacing w:before="0" w:after="0" w:line="377" w:lineRule="auto"/>
      <w:ind w:left="2880" w:hanging="360"/>
      <w:jc w:val="left"/>
    </w:pPr>
    <w:rPr>
      <w:rFonts w:ascii="仿宋_GB2312" w:eastAsia="仿宋_GB2312"/>
      <w:iCs/>
      <w:color w:val="000000"/>
      <w:sz w:val="30"/>
      <w:szCs w:val="32"/>
      <w:lang w:bidi="en-US"/>
    </w:rPr>
  </w:style>
  <w:style w:type="paragraph" w:customStyle="1" w:styleId="174">
    <w:name w:val="投标文件无"/>
    <w:basedOn w:val="1"/>
    <w:autoRedefine/>
    <w:qFormat/>
    <w:uiPriority w:val="0"/>
    <w:pPr>
      <w:tabs>
        <w:tab w:val="left" w:pos="900"/>
        <w:tab w:val="left" w:pos="1678"/>
      </w:tabs>
      <w:spacing w:line="360" w:lineRule="auto"/>
      <w:ind w:left="1678"/>
    </w:pPr>
    <w:rPr>
      <w:rFonts w:ascii="宋体" w:hAnsi="宋体"/>
      <w:b/>
      <w:sz w:val="24"/>
    </w:rPr>
  </w:style>
  <w:style w:type="paragraph" w:customStyle="1" w:styleId="175">
    <w:name w:val="默认段落字体 Para Char Char Char Char"/>
    <w:basedOn w:val="1"/>
    <w:autoRedefine/>
    <w:qFormat/>
    <w:uiPriority w:val="0"/>
    <w:rPr>
      <w:rFonts w:ascii="Arial" w:hAnsi="Arial" w:cs="Arial"/>
      <w:szCs w:val="21"/>
    </w:rPr>
  </w:style>
  <w:style w:type="paragraph" w:customStyle="1" w:styleId="176">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177">
    <w:name w:val="标题 7 New"/>
    <w:basedOn w:val="1"/>
    <w:next w:val="1"/>
    <w:autoRedefine/>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styleId="178">
    <w:name w:val="List Paragraph"/>
    <w:basedOn w:val="1"/>
    <w:autoRedefine/>
    <w:qFormat/>
    <w:uiPriority w:val="99"/>
    <w:pPr>
      <w:widowControl/>
      <w:ind w:firstLine="420" w:firstLineChars="200"/>
      <w:jc w:val="left"/>
    </w:pPr>
    <w:rPr>
      <w:kern w:val="0"/>
      <w:sz w:val="24"/>
    </w:rPr>
  </w:style>
  <w:style w:type="paragraph" w:customStyle="1" w:styleId="179">
    <w:name w:val="纯文本1"/>
    <w:basedOn w:val="1"/>
    <w:autoRedefine/>
    <w:qFormat/>
    <w:uiPriority w:val="0"/>
    <w:rPr>
      <w:rFonts w:ascii="宋体" w:hAnsi="Courier New"/>
      <w:kern w:val="0"/>
      <w:sz w:val="20"/>
      <w:szCs w:val="20"/>
    </w:rPr>
  </w:style>
  <w:style w:type="paragraph" w:customStyle="1" w:styleId="180">
    <w:name w:val="font8"/>
    <w:basedOn w:val="1"/>
    <w:autoRedefine/>
    <w:qFormat/>
    <w:uiPriority w:val="0"/>
    <w:pPr>
      <w:widowControl/>
      <w:spacing w:before="100" w:beforeAutospacing="1" w:after="100" w:afterAutospacing="1"/>
      <w:jc w:val="left"/>
    </w:pPr>
    <w:rPr>
      <w:kern w:val="0"/>
      <w:sz w:val="26"/>
      <w:szCs w:val="26"/>
    </w:rPr>
  </w:style>
  <w:style w:type="paragraph" w:customStyle="1" w:styleId="181">
    <w:name w:val="Char3"/>
    <w:basedOn w:val="1"/>
    <w:autoRedefine/>
    <w:qFormat/>
    <w:uiPriority w:val="0"/>
    <w:pPr>
      <w:tabs>
        <w:tab w:val="left" w:pos="360"/>
      </w:tabs>
    </w:pPr>
    <w:rPr>
      <w:sz w:val="24"/>
    </w:rPr>
  </w:style>
  <w:style w:type="paragraph" w:customStyle="1" w:styleId="182">
    <w:name w:val="Char Char Char Char1"/>
    <w:basedOn w:val="1"/>
    <w:autoRedefine/>
    <w:qFormat/>
    <w:uiPriority w:val="0"/>
    <w:rPr>
      <w:rFonts w:ascii="Tahoma" w:hAnsi="Tahoma"/>
      <w:sz w:val="24"/>
      <w:szCs w:val="20"/>
    </w:rPr>
  </w:style>
  <w:style w:type="paragraph" w:customStyle="1" w:styleId="1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184">
    <w:name w:val="Char1"/>
    <w:basedOn w:val="1"/>
    <w:autoRedefine/>
    <w:qFormat/>
    <w:uiPriority w:val="0"/>
  </w:style>
  <w:style w:type="paragraph" w:customStyle="1" w:styleId="185">
    <w:name w:val="Char"/>
    <w:basedOn w:val="1"/>
    <w:autoRedefine/>
    <w:qFormat/>
    <w:uiPriority w:val="0"/>
  </w:style>
  <w:style w:type="paragraph" w:customStyle="1" w:styleId="186">
    <w:name w:val="a"/>
    <w:basedOn w:val="1"/>
    <w:autoRedefine/>
    <w:qFormat/>
    <w:uiPriority w:val="0"/>
    <w:pPr>
      <w:autoSpaceDE w:val="0"/>
      <w:autoSpaceDN w:val="0"/>
      <w:adjustRightInd w:val="0"/>
      <w:spacing w:line="440" w:lineRule="atLeast"/>
      <w:ind w:firstLine="480"/>
      <w:jc w:val="left"/>
    </w:pPr>
    <w:rPr>
      <w:rFonts w:hint="eastAsia" w:ascii="仿宋_GB2312" w:eastAsia="仿宋_GB2312"/>
      <w:color w:val="000000"/>
      <w:sz w:val="24"/>
      <w:lang w:val="zh-CN"/>
    </w:rPr>
  </w:style>
  <w:style w:type="paragraph" w:customStyle="1" w:styleId="1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_Style 10"/>
    <w:basedOn w:val="1"/>
    <w:next w:val="17"/>
    <w:autoRedefine/>
    <w:qFormat/>
    <w:uiPriority w:val="0"/>
    <w:pPr>
      <w:ind w:firstLine="420"/>
    </w:pPr>
    <w:rPr>
      <w:rFonts w:eastAsia="楷体_GB2312"/>
      <w:sz w:val="24"/>
      <w:szCs w:val="20"/>
    </w:rPr>
  </w:style>
  <w:style w:type="paragraph" w:customStyle="1" w:styleId="1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90">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191">
    <w:name w:val="Default"/>
    <w:autoRedefine/>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192">
    <w:name w:val="Char Char1 Char Char Char Char Char Char Char Char"/>
    <w:basedOn w:val="1"/>
    <w:autoRedefine/>
    <w:qFormat/>
    <w:uiPriority w:val="0"/>
    <w:pPr>
      <w:widowControl/>
      <w:spacing w:after="160" w:line="240" w:lineRule="exact"/>
      <w:jc w:val="left"/>
    </w:pPr>
  </w:style>
  <w:style w:type="paragraph" w:customStyle="1" w:styleId="193">
    <w:name w:val="xl24"/>
    <w:basedOn w:val="1"/>
    <w:autoRedefine/>
    <w:qFormat/>
    <w:uiPriority w:val="0"/>
    <w:pPr>
      <w:widowControl/>
      <w:spacing w:before="100" w:beforeAutospacing="1" w:after="100" w:afterAutospacing="1"/>
      <w:jc w:val="right"/>
    </w:pPr>
    <w:rPr>
      <w:rFonts w:ascii="宋体" w:hAnsi="宋体"/>
      <w:kern w:val="0"/>
      <w:sz w:val="24"/>
    </w:rPr>
  </w:style>
  <w:style w:type="paragraph" w:customStyle="1" w:styleId="194">
    <w:name w:val="标题1"/>
    <w:basedOn w:val="41"/>
    <w:autoRedefine/>
    <w:qFormat/>
    <w:uiPriority w:val="0"/>
    <w:pPr>
      <w:widowControl/>
      <w:tabs>
        <w:tab w:val="right" w:leader="dot" w:pos="9344"/>
        <w:tab w:val="clear" w:pos="9060"/>
        <w:tab w:val="clear" w:pos="9170"/>
      </w:tabs>
      <w:overflowPunct w:val="0"/>
      <w:autoSpaceDE w:val="0"/>
      <w:autoSpaceDN w:val="0"/>
      <w:adjustRightInd w:val="0"/>
      <w:spacing w:before="120" w:after="120" w:line="420" w:lineRule="exact"/>
      <w:textAlignment w:val="baseline"/>
    </w:pPr>
    <w:rPr>
      <w:rFonts w:ascii="宋体" w:hAnsi="宋体" w:eastAsia="宋体"/>
      <w:b w:val="0"/>
      <w:caps w:val="0"/>
      <w:kern w:val="0"/>
      <w:sz w:val="44"/>
    </w:rPr>
  </w:style>
  <w:style w:type="paragraph" w:customStyle="1" w:styleId="195">
    <w:name w:val="p0"/>
    <w:basedOn w:val="1"/>
    <w:autoRedefine/>
    <w:qFormat/>
    <w:uiPriority w:val="99"/>
    <w:pPr>
      <w:widowControl/>
    </w:pPr>
    <w:rPr>
      <w:rFonts w:cs="宋体"/>
      <w:kern w:val="0"/>
    </w:rPr>
  </w:style>
  <w:style w:type="paragraph" w:customStyle="1" w:styleId="196">
    <w:name w:val="列表内容"/>
    <w:basedOn w:val="1"/>
    <w:next w:val="1"/>
    <w:autoRedefine/>
    <w:qFormat/>
    <w:uiPriority w:val="0"/>
    <w:pPr>
      <w:widowControl/>
      <w:tabs>
        <w:tab w:val="left" w:pos="840"/>
        <w:tab w:val="left" w:pos="1678"/>
      </w:tabs>
      <w:ind w:left="1678"/>
      <w:jc w:val="left"/>
    </w:pPr>
    <w:rPr>
      <w:kern w:val="0"/>
      <w:sz w:val="18"/>
      <w:szCs w:val="20"/>
    </w:rPr>
  </w:style>
  <w:style w:type="paragraph" w:customStyle="1" w:styleId="197">
    <w:name w:val="Char Char Char Char Char Char"/>
    <w:basedOn w:val="21"/>
    <w:autoRedefine/>
    <w:qFormat/>
    <w:uiPriority w:val="0"/>
    <w:pPr>
      <w:widowControl w:val="0"/>
      <w:jc w:val="both"/>
    </w:pPr>
    <w:rPr>
      <w:rFonts w:ascii="Tahoma" w:hAnsi="Tahoma"/>
      <w:kern w:val="2"/>
      <w:shd w:val="clear" w:color="auto" w:fill="000080"/>
    </w:rPr>
  </w:style>
  <w:style w:type="paragraph" w:customStyle="1" w:styleId="198">
    <w:name w:val="_Style 50"/>
    <w:basedOn w:val="21"/>
    <w:autoRedefine/>
    <w:qFormat/>
    <w:uiPriority w:val="0"/>
    <w:pPr>
      <w:widowControl w:val="0"/>
      <w:jc w:val="both"/>
    </w:pPr>
    <w:rPr>
      <w:rFonts w:ascii="Tahoma" w:hAnsi="Tahoma"/>
      <w:kern w:val="2"/>
      <w:shd w:val="clear" w:color="auto" w:fill="000080"/>
    </w:rPr>
  </w:style>
  <w:style w:type="paragraph" w:customStyle="1" w:styleId="199">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0">
    <w:name w:val="GP正文(首行缩进)"/>
    <w:basedOn w:val="1"/>
    <w:autoRedefine/>
    <w:qFormat/>
    <w:uiPriority w:val="0"/>
    <w:pPr>
      <w:spacing w:line="360" w:lineRule="auto"/>
      <w:ind w:firstLine="200" w:firstLineChars="200"/>
      <w:jc w:val="left"/>
    </w:pPr>
    <w:rPr>
      <w:sz w:val="24"/>
      <w:szCs w:val="21"/>
    </w:rPr>
  </w:style>
  <w:style w:type="paragraph" w:customStyle="1" w:styleId="201">
    <w:name w:val="Char Char Char"/>
    <w:basedOn w:val="1"/>
    <w:autoRedefine/>
    <w:qFormat/>
    <w:uiPriority w:val="0"/>
  </w:style>
  <w:style w:type="paragraph" w:customStyle="1" w:styleId="202">
    <w:name w:val="font7"/>
    <w:basedOn w:val="1"/>
    <w:autoRedefine/>
    <w:qFormat/>
    <w:uiPriority w:val="0"/>
    <w:pPr>
      <w:widowControl/>
      <w:spacing w:before="100" w:beforeAutospacing="1" w:after="100" w:afterAutospacing="1"/>
      <w:jc w:val="left"/>
    </w:pPr>
    <w:rPr>
      <w:kern w:val="0"/>
      <w:sz w:val="26"/>
      <w:szCs w:val="26"/>
    </w:rPr>
  </w:style>
  <w:style w:type="paragraph" w:styleId="203">
    <w:name w:val="No Spacing"/>
    <w:basedOn w:val="1"/>
    <w:autoRedefine/>
    <w:qFormat/>
    <w:uiPriority w:val="1"/>
    <w:rPr>
      <w:szCs w:val="22"/>
    </w:rPr>
  </w:style>
  <w:style w:type="paragraph" w:customStyle="1" w:styleId="2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05">
    <w:name w:val="默认段落字体 Para Char Char Char Char Char Char Char Char Char1 Char Char Char Char"/>
    <w:basedOn w:val="1"/>
    <w:autoRedefine/>
    <w:qFormat/>
    <w:uiPriority w:val="0"/>
    <w:rPr>
      <w:rFonts w:ascii="Tahoma" w:hAnsi="Tahoma"/>
      <w:sz w:val="24"/>
      <w:szCs w:val="20"/>
    </w:rPr>
  </w:style>
  <w:style w:type="paragraph" w:customStyle="1" w:styleId="206">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0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8">
    <w:name w:val="列出段落1"/>
    <w:basedOn w:val="1"/>
    <w:autoRedefine/>
    <w:qFormat/>
    <w:uiPriority w:val="34"/>
    <w:pPr>
      <w:ind w:firstLine="420" w:firstLineChars="200"/>
    </w:pPr>
    <w:rPr>
      <w:rFonts w:ascii="Calibri" w:hAnsi="Calibri"/>
      <w:szCs w:val="22"/>
    </w:rPr>
  </w:style>
  <w:style w:type="paragraph" w:customStyle="1" w:styleId="209">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0">
    <w:name w:val="1 Char Char Char Char"/>
    <w:basedOn w:val="1"/>
    <w:autoRedefine/>
    <w:qFormat/>
    <w:uiPriority w:val="0"/>
    <w:rPr>
      <w:rFonts w:ascii="Tahoma" w:hAnsi="Tahoma"/>
      <w:sz w:val="24"/>
      <w:szCs w:val="20"/>
    </w:rPr>
  </w:style>
  <w:style w:type="paragraph" w:customStyle="1" w:styleId="211">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12">
    <w:name w:val="Char Char Char Char Char Char Char"/>
    <w:basedOn w:val="1"/>
    <w:autoRedefine/>
    <w:qFormat/>
    <w:uiPriority w:val="0"/>
    <w:pPr>
      <w:tabs>
        <w:tab w:val="left" w:pos="432"/>
      </w:tabs>
      <w:ind w:left="432" w:hanging="432"/>
      <w:jc w:val="center"/>
    </w:pPr>
  </w:style>
  <w:style w:type="paragraph" w:customStyle="1" w:styleId="213">
    <w:name w:val="表格题注"/>
    <w:next w:val="1"/>
    <w:autoRedefine/>
    <w:qFormat/>
    <w:uiPriority w:val="0"/>
    <w:pPr>
      <w:keepLines/>
      <w:tabs>
        <w:tab w:val="left" w:pos="4860"/>
      </w:tabs>
      <w:spacing w:beforeLines="100"/>
      <w:ind w:left="1089" w:hanging="369"/>
      <w:jc w:val="center"/>
    </w:pPr>
    <w:rPr>
      <w:rFonts w:ascii="Arial" w:hAnsi="Arial" w:eastAsia="宋体" w:cs="Times New Roman"/>
      <w:sz w:val="18"/>
      <w:szCs w:val="18"/>
      <w:lang w:val="en-US" w:eastAsia="zh-CN" w:bidi="ar-SA"/>
    </w:rPr>
  </w:style>
  <w:style w:type="paragraph" w:customStyle="1" w:styleId="21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投标正文"/>
    <w:basedOn w:val="1"/>
    <w:autoRedefine/>
    <w:qFormat/>
    <w:uiPriority w:val="0"/>
    <w:pPr>
      <w:spacing w:line="360" w:lineRule="auto"/>
      <w:ind w:left="100" w:firstLine="480" w:firstLineChars="200"/>
    </w:pPr>
    <w:rPr>
      <w:rFonts w:ascii="Calibri" w:hAnsi="Calibri"/>
      <w:sz w:val="28"/>
    </w:rPr>
  </w:style>
  <w:style w:type="paragraph" w:customStyle="1" w:styleId="216">
    <w:name w:val="Item Step in Table"/>
    <w:autoRedefine/>
    <w:qFormat/>
    <w:uiPriority w:val="0"/>
    <w:pPr>
      <w:tabs>
        <w:tab w:val="left" w:pos="1440"/>
        <w:tab w:val="left" w:pos="1678"/>
      </w:tabs>
      <w:spacing w:before="40" w:after="40"/>
      <w:ind w:left="1678" w:hanging="419"/>
      <w:jc w:val="both"/>
    </w:pPr>
    <w:rPr>
      <w:rFonts w:ascii="Arial" w:hAnsi="Arial" w:eastAsia="宋体" w:cs="Arial"/>
      <w:sz w:val="18"/>
      <w:szCs w:val="18"/>
      <w:lang w:val="en-US" w:eastAsia="zh-CN" w:bidi="ar-SA"/>
    </w:rPr>
  </w:style>
  <w:style w:type="paragraph" w:customStyle="1" w:styleId="217">
    <w:name w:val="标题一自定义"/>
    <w:basedOn w:val="5"/>
    <w:next w:val="1"/>
    <w:autoRedefine/>
    <w:qFormat/>
    <w:uiPriority w:val="0"/>
    <w:pPr>
      <w:pageBreakBefore/>
      <w:widowControl/>
      <w:tabs>
        <w:tab w:val="left" w:pos="1440"/>
        <w:tab w:val="left" w:pos="1678"/>
      </w:tabs>
      <w:spacing w:before="100" w:beforeLines="100" w:after="100" w:afterLines="100" w:line="360" w:lineRule="auto"/>
      <w:ind w:left="1678" w:hanging="419"/>
      <w:jc w:val="left"/>
    </w:pPr>
    <w:rPr>
      <w:rFonts w:ascii="仿宋_GB2312" w:hAnsi="Cambria" w:eastAsia="仿宋_GB2312"/>
      <w:kern w:val="0"/>
      <w:szCs w:val="28"/>
      <w:lang w:eastAsia="en-US" w:bidi="en-US"/>
    </w:rPr>
  </w:style>
  <w:style w:type="paragraph" w:customStyle="1" w:styleId="218">
    <w:name w:val="标题五自定义"/>
    <w:basedOn w:val="9"/>
    <w:next w:val="1"/>
    <w:autoRedefine/>
    <w:qFormat/>
    <w:uiPriority w:val="0"/>
    <w:pPr>
      <w:widowControl/>
      <w:tabs>
        <w:tab w:val="left" w:pos="992"/>
        <w:tab w:val="left" w:pos="3600"/>
      </w:tabs>
      <w:spacing w:before="0" w:after="0" w:line="360" w:lineRule="auto"/>
      <w:ind w:left="3600" w:hanging="360"/>
      <w:jc w:val="left"/>
    </w:pPr>
    <w:rPr>
      <w:rFonts w:ascii="Cambria" w:hAnsi="Cambria" w:eastAsia="仿宋_GB2312"/>
      <w:bCs w:val="0"/>
      <w:color w:val="000000"/>
      <w:szCs w:val="22"/>
      <w:lang w:eastAsia="en-US" w:bidi="en-US"/>
    </w:rPr>
  </w:style>
  <w:style w:type="paragraph" w:customStyle="1" w:styleId="2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2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6"/>
      <w:szCs w:val="26"/>
    </w:rPr>
  </w:style>
  <w:style w:type="paragraph" w:customStyle="1" w:styleId="221">
    <w:name w:val="+正文"/>
    <w:basedOn w:val="1"/>
    <w:autoRedefine/>
    <w:qFormat/>
    <w:uiPriority w:val="0"/>
    <w:pPr>
      <w:spacing w:line="360" w:lineRule="auto"/>
      <w:ind w:firstLine="200" w:firstLineChars="200"/>
    </w:pPr>
    <w:rPr>
      <w:sz w:val="24"/>
      <w:szCs w:val="28"/>
    </w:rPr>
  </w:style>
  <w:style w:type="paragraph" w:customStyle="1" w:styleId="222">
    <w:name w:val="样式 正文（首行缩进两字） + 首行缩进:  2 字符"/>
    <w:basedOn w:val="17"/>
    <w:autoRedefine/>
    <w:qFormat/>
    <w:uiPriority w:val="0"/>
    <w:pPr>
      <w:spacing w:line="360" w:lineRule="auto"/>
      <w:ind w:firstLine="480" w:firstLineChars="200"/>
    </w:pPr>
    <w:rPr>
      <w:rFonts w:ascii="Times New Roman" w:hAnsi="Times New Roman"/>
      <w:sz w:val="24"/>
      <w:szCs w:val="24"/>
    </w:rPr>
  </w:style>
  <w:style w:type="paragraph" w:customStyle="1" w:styleId="223">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224">
    <w:name w:val="Body Text First Indent1"/>
    <w:basedOn w:val="3"/>
    <w:autoRedefine/>
    <w:qFormat/>
    <w:uiPriority w:val="0"/>
    <w:pPr>
      <w:ind w:firstLine="100" w:firstLineChars="100"/>
    </w:pPr>
    <w:rPr>
      <w:sz w:val="21"/>
    </w:rPr>
  </w:style>
  <w:style w:type="paragraph" w:customStyle="1" w:styleId="225">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226">
    <w:name w:val="_Style 5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6"/>
      <w:szCs w:val="26"/>
    </w:rPr>
  </w:style>
  <w:style w:type="paragraph" w:customStyle="1" w:styleId="228">
    <w:name w:val="正文－恩普"/>
    <w:basedOn w:val="17"/>
    <w:autoRedefine/>
    <w:qFormat/>
    <w:uiPriority w:val="0"/>
    <w:pPr>
      <w:widowControl/>
      <w:spacing w:afterLines="50" w:line="360" w:lineRule="auto"/>
      <w:ind w:firstLine="480" w:firstLineChars="200"/>
      <w:jc w:val="left"/>
    </w:pPr>
    <w:rPr>
      <w:rFonts w:ascii="Times New Roman" w:hAnsi="Times New Roman"/>
      <w:kern w:val="0"/>
      <w:sz w:val="24"/>
    </w:rPr>
  </w:style>
  <w:style w:type="paragraph" w:customStyle="1" w:styleId="229">
    <w:name w:val="xl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30">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1">
    <w:name w:val="正文1"/>
    <w:basedOn w:val="21"/>
    <w:next w:val="1"/>
    <w:autoRedefine/>
    <w:semiHidden/>
    <w:qFormat/>
    <w:uiPriority w:val="0"/>
    <w:rPr>
      <w:rFonts w:ascii="Tahoma" w:hAnsi="Tahoma" w:cs="Tahoma"/>
    </w:rPr>
  </w:style>
  <w:style w:type="paragraph" w:customStyle="1" w:styleId="232">
    <w:name w:val="首行缩进"/>
    <w:basedOn w:val="1"/>
    <w:autoRedefine/>
    <w:qFormat/>
    <w:uiPriority w:val="0"/>
    <w:pPr>
      <w:ind w:firstLine="480" w:firstLineChars="200"/>
    </w:pPr>
    <w:rPr>
      <w:rFonts w:ascii="Calibri" w:hAnsi="Calibri"/>
      <w:lang w:val="zh-CN"/>
    </w:rPr>
  </w:style>
  <w:style w:type="paragraph" w:customStyle="1" w:styleId="233">
    <w:name w:val="编写建议"/>
    <w:basedOn w:val="1"/>
    <w:autoRedefine/>
    <w:qFormat/>
    <w:uiPriority w:val="0"/>
    <w:rPr>
      <w:rFonts w:ascii="Arial" w:hAnsi="Arial" w:cs="Arial"/>
      <w:i/>
      <w:color w:val="0000FF"/>
      <w:szCs w:val="21"/>
    </w:rPr>
  </w:style>
  <w:style w:type="paragraph" w:customStyle="1" w:styleId="23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35">
    <w:name w:val="插图题注"/>
    <w:next w:val="1"/>
    <w:autoRedefine/>
    <w:qFormat/>
    <w:uiPriority w:val="0"/>
    <w:pPr>
      <w:tabs>
        <w:tab w:val="left" w:pos="5040"/>
        <w:tab w:val="left" w:pos="5760"/>
      </w:tabs>
      <w:spacing w:afterLines="100"/>
      <w:ind w:left="1089" w:hanging="369"/>
      <w:jc w:val="center"/>
    </w:pPr>
    <w:rPr>
      <w:rFonts w:ascii="Arial" w:hAnsi="Arial" w:eastAsia="宋体" w:cs="Times New Roman"/>
      <w:sz w:val="18"/>
      <w:szCs w:val="18"/>
      <w:lang w:val="en-US" w:eastAsia="zh-CN" w:bidi="ar-SA"/>
    </w:rPr>
  </w:style>
  <w:style w:type="paragraph" w:customStyle="1" w:styleId="23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37">
    <w:name w:val="xl4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38">
    <w:name w:val="Char Char Char Char"/>
    <w:basedOn w:val="1"/>
    <w:autoRedefine/>
    <w:qFormat/>
    <w:uiPriority w:val="0"/>
    <w:rPr>
      <w:rFonts w:ascii="黑体" w:eastAsia="黑体"/>
      <w:sz w:val="24"/>
    </w:rPr>
  </w:style>
  <w:style w:type="paragraph" w:customStyle="1" w:styleId="239">
    <w:name w:val="正文（首行缩进2字符）"/>
    <w:basedOn w:val="1"/>
    <w:autoRedefine/>
    <w:qFormat/>
    <w:uiPriority w:val="0"/>
    <w:pPr>
      <w:spacing w:line="360" w:lineRule="auto"/>
      <w:ind w:firstLine="480" w:firstLineChars="200"/>
    </w:pPr>
    <w:rPr>
      <w:sz w:val="24"/>
    </w:rPr>
  </w:style>
  <w:style w:type="paragraph" w:customStyle="1" w:styleId="240">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42">
    <w:name w:val="DAS正文"/>
    <w:basedOn w:val="1"/>
    <w:autoRedefine/>
    <w:qFormat/>
    <w:uiPriority w:val="0"/>
    <w:pPr>
      <w:spacing w:line="360" w:lineRule="auto"/>
      <w:ind w:right="181" w:firstLine="480" w:firstLineChars="200"/>
    </w:pPr>
    <w:rPr>
      <w:rFonts w:ascii="Verdana" w:hAnsi="Verdana"/>
    </w:rPr>
  </w:style>
  <w:style w:type="paragraph" w:customStyle="1" w:styleId="243">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244">
    <w:name w:val="列出段落[858D7CFB-ED40-4347-BF05-701D383B685F][858D7CFB-ED40-4347-BF05-701D383B685F]"/>
    <w:basedOn w:val="1"/>
    <w:autoRedefine/>
    <w:qFormat/>
    <w:uiPriority w:val="0"/>
    <w:pPr>
      <w:ind w:firstLine="420" w:firstLineChars="200"/>
    </w:pPr>
  </w:style>
  <w:style w:type="paragraph" w:customStyle="1" w:styleId="245">
    <w:name w:val="图样式"/>
    <w:basedOn w:val="1"/>
    <w:autoRedefine/>
    <w:qFormat/>
    <w:uiPriority w:val="0"/>
    <w:pPr>
      <w:keepNext/>
      <w:widowControl/>
      <w:spacing w:before="80" w:after="80"/>
      <w:jc w:val="center"/>
    </w:pPr>
    <w:rPr>
      <w:szCs w:val="22"/>
    </w:rPr>
  </w:style>
  <w:style w:type="paragraph" w:customStyle="1" w:styleId="246">
    <w:name w:val="正文-2字符首行缩进"/>
    <w:basedOn w:val="1"/>
    <w:autoRedefine/>
    <w:qFormat/>
    <w:uiPriority w:val="0"/>
    <w:pPr>
      <w:spacing w:line="360" w:lineRule="auto"/>
      <w:ind w:firstLine="200" w:firstLineChars="200"/>
    </w:pPr>
    <w:rPr>
      <w:rFonts w:ascii="仿宋_GB2312" w:eastAsia="仿宋_GB2312"/>
      <w:kern w:val="0"/>
      <w:sz w:val="24"/>
      <w:szCs w:val="22"/>
    </w:rPr>
  </w:style>
  <w:style w:type="paragraph" w:customStyle="1" w:styleId="247">
    <w:name w:val="_Style 49"/>
    <w:basedOn w:val="1"/>
    <w:next w:val="33"/>
    <w:autoRedefine/>
    <w:qFormat/>
    <w:uiPriority w:val="0"/>
    <w:rPr>
      <w:rFonts w:ascii="宋体" w:hAnsi="Courier New"/>
      <w:sz w:val="24"/>
      <w:szCs w:val="20"/>
    </w:rPr>
  </w:style>
  <w:style w:type="paragraph" w:customStyle="1" w:styleId="248">
    <w:name w:val="注示文本"/>
    <w:basedOn w:val="1"/>
    <w:autoRedefine/>
    <w:qFormat/>
    <w:uiPriority w:val="0"/>
    <w:pPr>
      <w:pBdr>
        <w:bottom w:val="single" w:color="000000" w:sz="4" w:space="1"/>
      </w:pBdr>
      <w:ind w:firstLine="360"/>
    </w:pPr>
    <w:rPr>
      <w:rFonts w:ascii="Arial" w:hAnsi="Arial" w:eastAsia="楷体_GB2312"/>
      <w:sz w:val="18"/>
      <w:szCs w:val="18"/>
    </w:rPr>
  </w:style>
  <w:style w:type="paragraph" w:customStyle="1" w:styleId="24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0">
    <w:name w:val="编号正文文本"/>
    <w:basedOn w:val="1"/>
    <w:autoRedefine/>
    <w:qFormat/>
    <w:uiPriority w:val="0"/>
    <w:pPr>
      <w:widowControl/>
      <w:tabs>
        <w:tab w:val="left" w:pos="238"/>
        <w:tab w:val="left" w:pos="1678"/>
      </w:tabs>
      <w:spacing w:before="100" w:beforeAutospacing="1" w:after="100" w:afterAutospacing="1" w:line="360" w:lineRule="auto"/>
      <w:ind w:left="1678" w:hanging="419"/>
      <w:jc w:val="left"/>
    </w:pPr>
    <w:rPr>
      <w:rFonts w:ascii="Verdana" w:hAnsi="Verdana" w:eastAsia="微软雅黑"/>
      <w:kern w:val="0"/>
      <w:sz w:val="24"/>
      <w:szCs w:val="20"/>
      <w:lang w:eastAsia="en-US"/>
    </w:rPr>
  </w:style>
  <w:style w:type="paragraph" w:customStyle="1" w:styleId="251">
    <w:name w:val="xl44"/>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52">
    <w:name w:val="Char2"/>
    <w:basedOn w:val="21"/>
    <w:next w:val="1"/>
    <w:autoRedefine/>
    <w:qFormat/>
    <w:uiPriority w:val="0"/>
    <w:pPr>
      <w:widowControl w:val="0"/>
      <w:jc w:val="both"/>
    </w:pPr>
    <w:rPr>
      <w:kern w:val="2"/>
      <w:sz w:val="21"/>
      <w:szCs w:val="20"/>
    </w:rPr>
  </w:style>
  <w:style w:type="paragraph" w:customStyle="1" w:styleId="25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54">
    <w:name w:val="缩进正文"/>
    <w:basedOn w:val="1"/>
    <w:autoRedefine/>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56">
    <w:name w:val="ss"/>
    <w:basedOn w:val="1"/>
    <w:autoRedefine/>
    <w:qFormat/>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257">
    <w:name w:val="样式6"/>
    <w:basedOn w:val="1"/>
    <w:autoRedefine/>
    <w:qFormat/>
    <w:uiPriority w:val="0"/>
    <w:pPr>
      <w:spacing w:line="440" w:lineRule="exact"/>
      <w:ind w:right="-176" w:rightChars="-84"/>
    </w:pPr>
    <w:rPr>
      <w:rFonts w:ascii="新宋体" w:hAnsi="新宋体" w:eastAsia="新宋体"/>
      <w:sz w:val="22"/>
      <w:szCs w:val="22"/>
    </w:rPr>
  </w:style>
  <w:style w:type="paragraph" w:customStyle="1" w:styleId="258">
    <w:name w:val="正文（首行不缩进）"/>
    <w:basedOn w:val="1"/>
    <w:autoRedefine/>
    <w:qFormat/>
    <w:uiPriority w:val="0"/>
    <w:rPr>
      <w:szCs w:val="22"/>
    </w:rPr>
  </w:style>
  <w:style w:type="paragraph" w:customStyle="1" w:styleId="259">
    <w:name w:val="Heading3"/>
    <w:basedOn w:val="1"/>
    <w:next w:val="1"/>
    <w:autoRedefine/>
    <w:qFormat/>
    <w:uiPriority w:val="0"/>
    <w:pPr>
      <w:spacing w:before="120" w:after="120" w:line="300" w:lineRule="auto"/>
    </w:pPr>
    <w:rPr>
      <w:sz w:val="24"/>
      <w:szCs w:val="20"/>
    </w:rPr>
  </w:style>
  <w:style w:type="paragraph" w:customStyle="1" w:styleId="260">
    <w:name w:val="font6"/>
    <w:basedOn w:val="1"/>
    <w:autoRedefine/>
    <w:qFormat/>
    <w:uiPriority w:val="0"/>
    <w:pPr>
      <w:widowControl/>
      <w:spacing w:before="100" w:beforeAutospacing="1" w:after="100" w:afterAutospacing="1"/>
      <w:jc w:val="left"/>
    </w:pPr>
    <w:rPr>
      <w:rFonts w:hint="eastAsia" w:ascii="宋体" w:hAnsi="宋体"/>
      <w:kern w:val="0"/>
      <w:sz w:val="26"/>
      <w:szCs w:val="26"/>
    </w:rPr>
  </w:style>
  <w:style w:type="paragraph" w:customStyle="1" w:styleId="26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62">
    <w:name w:val="List Paragraph1"/>
    <w:basedOn w:val="1"/>
    <w:autoRedefine/>
    <w:qFormat/>
    <w:uiPriority w:val="0"/>
    <w:pPr>
      <w:tabs>
        <w:tab w:val="left" w:pos="5760"/>
        <w:tab w:val="left" w:pos="6480"/>
      </w:tabs>
      <w:autoSpaceDE w:val="0"/>
      <w:autoSpaceDN w:val="0"/>
      <w:adjustRightInd w:val="0"/>
      <w:ind w:left="6480" w:firstLine="420" w:firstLineChars="200"/>
    </w:pPr>
    <w:rPr>
      <w:color w:val="000000"/>
      <w:kern w:val="0"/>
      <w:szCs w:val="21"/>
    </w:rPr>
  </w:style>
  <w:style w:type="paragraph" w:customStyle="1" w:styleId="263">
    <w:name w:val="正文文本首行缩进 21"/>
    <w:basedOn w:val="26"/>
    <w:autoRedefine/>
    <w:qFormat/>
    <w:uiPriority w:val="99"/>
    <w:pPr>
      <w:spacing w:line="200" w:lineRule="atLeast"/>
      <w:ind w:firstLine="420"/>
    </w:pPr>
  </w:style>
  <w:style w:type="paragraph" w:customStyle="1" w:styleId="264">
    <w:name w:val="正文段落缩进t"/>
    <w:basedOn w:val="1"/>
    <w:autoRedefine/>
    <w:qFormat/>
    <w:uiPriority w:val="99"/>
    <w:pPr>
      <w:spacing w:line="360" w:lineRule="auto"/>
      <w:ind w:firstLine="480" w:firstLineChars="200"/>
    </w:pPr>
    <w:rPr>
      <w:rFonts w:cs="Arial"/>
      <w:sz w:val="24"/>
      <w:szCs w:val="21"/>
      <w:shd w:val="clear" w:color="auto" w:fill="FFFFFF"/>
    </w:rPr>
  </w:style>
  <w:style w:type="paragraph" w:customStyle="1" w:styleId="26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6">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76</Pages>
  <Words>36434</Words>
  <Characters>6615</Characters>
  <Lines>55</Lines>
  <Paragraphs>85</Paragraphs>
  <TotalTime>128</TotalTime>
  <ScaleCrop>false</ScaleCrop>
  <LinksUpToDate>false</LinksUpToDate>
  <CharactersWithSpaces>42964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2023-11-03T00:12:00Z</dcterms:created>
  <dc:creator>dashu</dc:creator>
  <cp:lastModifiedBy>NTKO</cp:lastModifiedBy>
  <cp:lastPrinted>2023-08-11T20:12:00Z</cp:lastPrinted>
  <dcterms:modified xsi:type="dcterms:W3CDTF">2024-02-08T08:04:26Z</dcterms:modified>
  <dc:title>招  标  文  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9A881F32E1064BC5B6D4110516B76A73_13</vt:lpwstr>
  </property>
</Properties>
</file>