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
          <w:color w:val="auto"/>
          <w:spacing w:val="-6"/>
          <w:sz w:val="44"/>
          <w:szCs w:val="44"/>
          <w:highlight w:val="none"/>
        </w:rPr>
      </w:pPr>
    </w:p>
    <w:p>
      <w:pPr>
        <w:spacing w:line="360" w:lineRule="auto"/>
        <w:jc w:val="center"/>
        <w:rPr>
          <w:rFonts w:ascii="楷体" w:hAnsi="楷体" w:eastAsia="楷体"/>
          <w:b/>
          <w:color w:val="auto"/>
          <w:spacing w:val="-6"/>
          <w:sz w:val="44"/>
          <w:szCs w:val="44"/>
          <w:highlight w:val="none"/>
        </w:rPr>
      </w:pPr>
    </w:p>
    <w:p>
      <w:pPr>
        <w:spacing w:line="360" w:lineRule="auto"/>
        <w:jc w:val="center"/>
        <w:rPr>
          <w:rFonts w:ascii="楷体" w:hAnsi="楷体" w:eastAsia="楷体"/>
          <w:b/>
          <w:color w:val="auto"/>
          <w:spacing w:val="-6"/>
          <w:sz w:val="52"/>
          <w:szCs w:val="52"/>
          <w:highlight w:val="none"/>
        </w:rPr>
      </w:pPr>
    </w:p>
    <w:p>
      <w:pPr>
        <w:spacing w:line="360" w:lineRule="auto"/>
        <w:jc w:val="center"/>
        <w:rPr>
          <w:rFonts w:ascii="楷体" w:hAnsi="楷体" w:eastAsia="楷体"/>
          <w:b/>
          <w:color w:val="auto"/>
          <w:spacing w:val="-6"/>
          <w:sz w:val="72"/>
          <w:szCs w:val="72"/>
          <w:highlight w:val="none"/>
        </w:rPr>
      </w:pPr>
      <w:r>
        <w:rPr>
          <w:rFonts w:hint="eastAsia" w:ascii="楷体" w:hAnsi="楷体" w:eastAsia="楷体"/>
          <w:b/>
          <w:color w:val="auto"/>
          <w:spacing w:val="-6"/>
          <w:sz w:val="72"/>
          <w:szCs w:val="72"/>
          <w:highlight w:val="none"/>
        </w:rPr>
        <w:t>浙江财经大学</w:t>
      </w:r>
    </w:p>
    <w:p>
      <w:pPr>
        <w:spacing w:line="360" w:lineRule="auto"/>
        <w:jc w:val="center"/>
        <w:rPr>
          <w:rFonts w:ascii="楷体" w:hAnsi="楷体" w:eastAsia="楷体"/>
          <w:b/>
          <w:color w:val="auto"/>
          <w:spacing w:val="-6"/>
          <w:sz w:val="44"/>
          <w:szCs w:val="44"/>
          <w:highlight w:val="none"/>
        </w:rPr>
      </w:pPr>
      <w:r>
        <w:rPr>
          <w:rFonts w:hint="eastAsia" w:ascii="楷体" w:hAnsi="楷体" w:eastAsia="楷体"/>
          <w:b/>
          <w:color w:val="auto"/>
          <w:spacing w:val="-6"/>
          <w:sz w:val="52"/>
          <w:szCs w:val="52"/>
          <w:highlight w:val="none"/>
        </w:rPr>
        <w:t>一站式网上服务大厅（三期）</w:t>
      </w:r>
    </w:p>
    <w:p>
      <w:pPr>
        <w:spacing w:line="360" w:lineRule="auto"/>
        <w:jc w:val="center"/>
        <w:rPr>
          <w:rFonts w:ascii="楷体" w:hAnsi="楷体" w:eastAsia="楷体"/>
          <w:b/>
          <w:color w:val="auto"/>
          <w:spacing w:val="-6"/>
          <w:sz w:val="44"/>
          <w:szCs w:val="44"/>
          <w:highlight w:val="none"/>
        </w:rPr>
      </w:pPr>
    </w:p>
    <w:p>
      <w:pPr>
        <w:spacing w:line="360" w:lineRule="auto"/>
        <w:jc w:val="center"/>
        <w:rPr>
          <w:rFonts w:ascii="楷体" w:hAnsi="楷体" w:eastAsia="楷体"/>
          <w:b/>
          <w:color w:val="auto"/>
          <w:spacing w:val="-6"/>
          <w:sz w:val="72"/>
          <w:szCs w:val="72"/>
          <w:highlight w:val="none"/>
        </w:rPr>
      </w:pPr>
      <w:r>
        <w:rPr>
          <w:rFonts w:hint="eastAsia" w:ascii="楷体" w:hAnsi="楷体" w:eastAsia="楷体"/>
          <w:b/>
          <w:color w:val="auto"/>
          <w:spacing w:val="-6"/>
          <w:sz w:val="72"/>
          <w:szCs w:val="72"/>
          <w:highlight w:val="none"/>
        </w:rPr>
        <w:t>竞争性磋商文件</w:t>
      </w:r>
    </w:p>
    <w:p>
      <w:pPr>
        <w:widowControl/>
        <w:spacing w:line="360" w:lineRule="auto"/>
        <w:ind w:right="-2"/>
        <w:jc w:val="center"/>
        <w:rPr>
          <w:rFonts w:ascii="楷体" w:hAnsi="楷体" w:eastAsia="楷体"/>
          <w:color w:val="auto"/>
          <w:sz w:val="44"/>
          <w:szCs w:val="44"/>
          <w:highlight w:val="none"/>
        </w:rPr>
      </w:pPr>
      <w:r>
        <w:rPr>
          <w:rFonts w:hint="eastAsia" w:ascii="宋体" w:hAnsi="宋体"/>
          <w:b/>
          <w:color w:val="auto"/>
          <w:sz w:val="36"/>
          <w:highlight w:val="none"/>
        </w:rPr>
        <w:t>（线上电子交易）</w:t>
      </w:r>
    </w:p>
    <w:p>
      <w:pPr>
        <w:pStyle w:val="15"/>
        <w:ind w:firstLine="0" w:firstLineChars="0"/>
        <w:rPr>
          <w:color w:val="auto"/>
          <w:highlight w:val="none"/>
        </w:rPr>
      </w:pPr>
    </w:p>
    <w:p>
      <w:pPr>
        <w:spacing w:line="360" w:lineRule="auto"/>
        <w:rPr>
          <w:rFonts w:ascii="楷体" w:hAnsi="楷体" w:eastAsia="楷体"/>
          <w:color w:val="auto"/>
          <w:sz w:val="44"/>
          <w:szCs w:val="44"/>
          <w:highlight w:val="none"/>
        </w:rPr>
      </w:pPr>
    </w:p>
    <w:p>
      <w:pPr>
        <w:spacing w:line="360" w:lineRule="auto"/>
        <w:ind w:firstLine="1735" w:firstLineChars="60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项目编号：ZJJY-20200623-02</w:t>
      </w:r>
    </w:p>
    <w:p>
      <w:pPr>
        <w:spacing w:line="360" w:lineRule="auto"/>
        <w:ind w:firstLine="1735" w:firstLineChars="60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项目名称：一站式网上服务大厅（三期）</w:t>
      </w:r>
    </w:p>
    <w:p>
      <w:pPr>
        <w:spacing w:line="360" w:lineRule="auto"/>
        <w:ind w:firstLine="1735" w:firstLineChars="60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 购 人：浙江财经大学</w:t>
      </w:r>
    </w:p>
    <w:p>
      <w:pPr>
        <w:spacing w:line="360" w:lineRule="auto"/>
        <w:ind w:firstLine="1735" w:firstLineChars="60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采购代理机构：浙江建友工程咨询有限公司</w:t>
      </w:r>
    </w:p>
    <w:p>
      <w:pPr>
        <w:pStyle w:val="19"/>
        <w:spacing w:line="360" w:lineRule="auto"/>
        <w:rPr>
          <w:rFonts w:ascii="楷体" w:hAnsi="楷体" w:eastAsia="楷体"/>
          <w:b/>
          <w:color w:val="auto"/>
          <w:spacing w:val="-6"/>
          <w:sz w:val="30"/>
          <w:szCs w:val="30"/>
          <w:highlight w:val="none"/>
        </w:rPr>
      </w:pPr>
    </w:p>
    <w:p>
      <w:pPr>
        <w:pStyle w:val="20"/>
        <w:spacing w:line="360" w:lineRule="auto"/>
        <w:ind w:left="0"/>
        <w:rPr>
          <w:rFonts w:ascii="楷体" w:hAnsi="楷体" w:eastAsia="楷体"/>
          <w:b/>
          <w:color w:val="auto"/>
          <w:spacing w:val="-6"/>
          <w:sz w:val="30"/>
          <w:szCs w:val="30"/>
          <w:highlight w:val="none"/>
        </w:rPr>
      </w:pPr>
    </w:p>
    <w:p>
      <w:pPr>
        <w:rPr>
          <w:color w:val="auto"/>
          <w:highlight w:val="none"/>
        </w:rPr>
      </w:pPr>
    </w:p>
    <w:p>
      <w:pPr>
        <w:pStyle w:val="10"/>
        <w:spacing w:before="0" w:beforeLines="0" w:after="0" w:afterLines="0" w:line="288" w:lineRule="auto"/>
        <w:jc w:val="center"/>
        <w:rPr>
          <w:rFonts w:ascii="楷体" w:hAnsi="楷体" w:eastAsia="楷体"/>
          <w:b/>
          <w:color w:val="auto"/>
          <w:sz w:val="30"/>
          <w:szCs w:val="30"/>
          <w:highlight w:val="none"/>
        </w:rPr>
        <w:sectPr>
          <w:footerReference r:id="rId3" w:type="default"/>
          <w:pgSz w:w="11906" w:h="16838"/>
          <w:pgMar w:top="1440" w:right="1247" w:bottom="1440" w:left="1247" w:header="340" w:footer="850" w:gutter="0"/>
          <w:pgNumType w:start="1"/>
          <w:cols w:space="720" w:num="1"/>
          <w:docGrid w:linePitch="381" w:charSpace="0"/>
        </w:sectPr>
      </w:pPr>
    </w:p>
    <w:p>
      <w:pPr>
        <w:pStyle w:val="10"/>
        <w:spacing w:before="0" w:beforeLines="0" w:after="0" w:afterLines="0" w:line="360" w:lineRule="auto"/>
        <w:jc w:val="center"/>
        <w:rPr>
          <w:rFonts w:ascii="楷体" w:hAnsi="楷体" w:eastAsia="楷体"/>
          <w:b/>
          <w:color w:val="auto"/>
          <w:sz w:val="30"/>
          <w:szCs w:val="30"/>
          <w:highlight w:val="none"/>
        </w:rPr>
      </w:pPr>
    </w:p>
    <w:p>
      <w:pPr>
        <w:pStyle w:val="10"/>
        <w:spacing w:before="0" w:beforeLines="0" w:after="0" w:afterLines="0" w:line="480" w:lineRule="auto"/>
        <w:jc w:val="center"/>
        <w:outlineLvl w:val="0"/>
        <w:rPr>
          <w:rFonts w:ascii="楷体" w:hAnsi="楷体" w:eastAsia="楷体"/>
          <w:b/>
          <w:color w:val="auto"/>
          <w:sz w:val="30"/>
          <w:szCs w:val="30"/>
          <w:highlight w:val="none"/>
        </w:rPr>
      </w:pPr>
      <w:r>
        <w:rPr>
          <w:rFonts w:ascii="楷体" w:hAnsi="楷体" w:eastAsia="楷体"/>
          <w:b/>
          <w:color w:val="auto"/>
          <w:sz w:val="30"/>
          <w:szCs w:val="30"/>
          <w:highlight w:val="none"/>
        </w:rPr>
        <w:t>目</w:t>
      </w:r>
      <w:r>
        <w:rPr>
          <w:rFonts w:hint="eastAsia" w:ascii="楷体" w:hAnsi="楷体" w:eastAsia="楷体"/>
          <w:b/>
          <w:color w:val="auto"/>
          <w:sz w:val="30"/>
          <w:szCs w:val="30"/>
          <w:highlight w:val="none"/>
        </w:rPr>
        <w:t xml:space="preserve">    </w:t>
      </w:r>
      <w:r>
        <w:rPr>
          <w:rFonts w:ascii="楷体" w:hAnsi="楷体" w:eastAsia="楷体"/>
          <w:b/>
          <w:color w:val="auto"/>
          <w:sz w:val="30"/>
          <w:szCs w:val="30"/>
          <w:highlight w:val="none"/>
        </w:rPr>
        <w:t>录</w:t>
      </w:r>
    </w:p>
    <w:p>
      <w:pPr>
        <w:spacing w:before="120" w:beforeLines="50" w:line="288" w:lineRule="auto"/>
        <w:ind w:firstLine="578" w:firstLineChars="200"/>
        <w:jc w:val="left"/>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第一章  采购邀请</w:t>
      </w:r>
    </w:p>
    <w:p>
      <w:pPr>
        <w:spacing w:before="120" w:beforeLines="50" w:line="288" w:lineRule="auto"/>
        <w:ind w:firstLine="578" w:firstLineChars="200"/>
        <w:jc w:val="left"/>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第二章  采购需求</w:t>
      </w:r>
    </w:p>
    <w:p>
      <w:pPr>
        <w:spacing w:before="120" w:beforeLines="50" w:line="288" w:lineRule="auto"/>
        <w:ind w:firstLine="578" w:firstLineChars="200"/>
        <w:jc w:val="left"/>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第三章  供应商须知</w:t>
      </w:r>
    </w:p>
    <w:p>
      <w:pPr>
        <w:spacing w:before="120" w:beforeLines="50" w:line="288" w:lineRule="auto"/>
        <w:ind w:firstLine="578" w:firstLineChars="200"/>
        <w:jc w:val="left"/>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第四章  评审办法及评分标准</w:t>
      </w:r>
    </w:p>
    <w:p>
      <w:pPr>
        <w:spacing w:before="120" w:beforeLines="50" w:line="288" w:lineRule="auto"/>
        <w:ind w:firstLine="578" w:firstLineChars="200"/>
        <w:jc w:val="left"/>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第五章  合同主要条款</w:t>
      </w:r>
    </w:p>
    <w:p>
      <w:pPr>
        <w:spacing w:before="120" w:beforeLines="50" w:line="288" w:lineRule="auto"/>
        <w:ind w:firstLine="578" w:firstLineChars="200"/>
        <w:jc w:val="left"/>
        <w:rPr>
          <w:rFonts w:ascii="楷体" w:hAnsi="楷体" w:eastAsia="楷体"/>
          <w:b/>
          <w:color w:val="auto"/>
          <w:sz w:val="30"/>
          <w:szCs w:val="30"/>
          <w:highlight w:val="none"/>
        </w:rPr>
      </w:pPr>
      <w:r>
        <w:rPr>
          <w:rFonts w:hint="eastAsia" w:ascii="楷体" w:hAnsi="楷体" w:eastAsia="楷体"/>
          <w:b/>
          <w:color w:val="auto"/>
          <w:spacing w:val="-6"/>
          <w:sz w:val="30"/>
          <w:szCs w:val="30"/>
          <w:highlight w:val="none"/>
        </w:rPr>
        <w:t>第六章  响应文件格式</w:t>
      </w:r>
    </w:p>
    <w:p>
      <w:pPr>
        <w:pStyle w:val="10"/>
        <w:spacing w:before="0" w:beforeLines="0" w:after="0" w:afterLines="0" w:line="288" w:lineRule="auto"/>
        <w:jc w:val="center"/>
        <w:outlineLvl w:val="0"/>
        <w:rPr>
          <w:rFonts w:hAnsi="宋体"/>
          <w:b/>
          <w:color w:val="auto"/>
          <w:spacing w:val="-6"/>
          <w:sz w:val="32"/>
          <w:szCs w:val="32"/>
          <w:highlight w:val="none"/>
        </w:rPr>
      </w:pPr>
      <w:r>
        <w:rPr>
          <w:rFonts w:hint="eastAsia" w:hAnsi="宋体"/>
          <w:color w:val="auto"/>
          <w:sz w:val="21"/>
          <w:szCs w:val="21"/>
          <w:highlight w:val="none"/>
        </w:rPr>
        <w:br w:type="page"/>
      </w:r>
      <w:bookmarkStart w:id="0" w:name="_Toc26612"/>
      <w:bookmarkStart w:id="1" w:name="_Toc17716"/>
      <w:r>
        <w:rPr>
          <w:rFonts w:hAnsi="宋体"/>
          <w:b/>
          <w:color w:val="auto"/>
          <w:spacing w:val="-6"/>
          <w:sz w:val="32"/>
          <w:szCs w:val="32"/>
          <w:highlight w:val="none"/>
        </w:rPr>
        <w:t>第一章  采购邀请</w:t>
      </w:r>
      <w:bookmarkEnd w:id="0"/>
      <w:bookmarkEnd w:id="1"/>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根据</w:t>
      </w:r>
      <w:r>
        <w:rPr>
          <w:rFonts w:ascii="宋体" w:hAnsi="宋体"/>
          <w:color w:val="auto"/>
          <w:sz w:val="21"/>
          <w:szCs w:val="21"/>
          <w:highlight w:val="none"/>
        </w:rPr>
        <w:t>《中华人民共和国政府采购法》</w:t>
      </w:r>
      <w:r>
        <w:rPr>
          <w:rFonts w:hint="eastAsia" w:ascii="宋体" w:hAnsi="宋体"/>
          <w:color w:val="auto"/>
          <w:sz w:val="21"/>
          <w:szCs w:val="21"/>
          <w:highlight w:val="none"/>
        </w:rPr>
        <w:t>等有关规定</w:t>
      </w:r>
      <w:r>
        <w:rPr>
          <w:rFonts w:ascii="宋体" w:hAnsi="宋体"/>
          <w:color w:val="auto"/>
          <w:sz w:val="21"/>
          <w:szCs w:val="21"/>
          <w:highlight w:val="none"/>
        </w:rPr>
        <w:t>，</w:t>
      </w:r>
      <w:r>
        <w:rPr>
          <w:rFonts w:hint="eastAsia" w:ascii="宋体" w:hAnsi="宋体"/>
          <w:color w:val="auto"/>
          <w:sz w:val="21"/>
          <w:szCs w:val="21"/>
          <w:highlight w:val="none"/>
        </w:rPr>
        <w:t>经浙江省财政厅[2020]25796号确认书批准，浙江建友工程咨询有限公司受浙江财经大学委托，现</w:t>
      </w:r>
      <w:r>
        <w:rPr>
          <w:rFonts w:ascii="宋体" w:hAnsi="宋体"/>
          <w:color w:val="auto"/>
          <w:sz w:val="21"/>
          <w:szCs w:val="21"/>
          <w:highlight w:val="none"/>
        </w:rPr>
        <w:t>就</w:t>
      </w:r>
      <w:r>
        <w:rPr>
          <w:rFonts w:hint="eastAsia" w:ascii="宋体" w:hAnsi="宋体"/>
          <w:color w:val="auto"/>
          <w:sz w:val="21"/>
          <w:szCs w:val="21"/>
          <w:highlight w:val="none"/>
        </w:rPr>
        <w:t>一站式网上服务大厅（三期）</w:t>
      </w:r>
      <w:r>
        <w:rPr>
          <w:rFonts w:ascii="宋体" w:hAnsi="宋体"/>
          <w:color w:val="auto"/>
          <w:sz w:val="21"/>
          <w:szCs w:val="21"/>
          <w:highlight w:val="none"/>
        </w:rPr>
        <w:t>进行</w:t>
      </w:r>
      <w:r>
        <w:rPr>
          <w:rFonts w:hint="eastAsia" w:ascii="宋体" w:hAnsi="宋体"/>
          <w:color w:val="auto"/>
          <w:sz w:val="21"/>
          <w:szCs w:val="21"/>
          <w:highlight w:val="none"/>
        </w:rPr>
        <w:t>竞争性磋商（线上电子交易）</w:t>
      </w:r>
      <w:r>
        <w:rPr>
          <w:rFonts w:ascii="宋体" w:hAnsi="宋体"/>
          <w:color w:val="auto"/>
          <w:sz w:val="21"/>
          <w:szCs w:val="21"/>
          <w:highlight w:val="none"/>
        </w:rPr>
        <w:t>，</w:t>
      </w:r>
      <w:r>
        <w:rPr>
          <w:rFonts w:hint="eastAsia" w:ascii="宋体" w:hAnsi="宋体"/>
          <w:color w:val="auto"/>
          <w:sz w:val="21"/>
          <w:szCs w:val="21"/>
          <w:highlight w:val="none"/>
        </w:rPr>
        <w:t>欢迎</w:t>
      </w:r>
      <w:r>
        <w:rPr>
          <w:rFonts w:ascii="宋体" w:hAnsi="宋体"/>
          <w:color w:val="auto"/>
          <w:sz w:val="21"/>
          <w:szCs w:val="21"/>
          <w:highlight w:val="none"/>
        </w:rPr>
        <w:t>国内合格的供应商前来</w:t>
      </w:r>
      <w:r>
        <w:rPr>
          <w:rFonts w:hint="eastAsia" w:ascii="宋体" w:hAnsi="宋体"/>
          <w:color w:val="auto"/>
          <w:sz w:val="21"/>
          <w:szCs w:val="21"/>
          <w:highlight w:val="none"/>
        </w:rPr>
        <w:t>磋商</w:t>
      </w:r>
      <w:r>
        <w:rPr>
          <w:rFonts w:ascii="宋体" w:hAnsi="宋体"/>
          <w:color w:val="auto"/>
          <w:sz w:val="21"/>
          <w:szCs w:val="21"/>
          <w:highlight w:val="none"/>
        </w:rPr>
        <w:t>。</w:t>
      </w:r>
    </w:p>
    <w:p>
      <w:pPr>
        <w:spacing w:line="288" w:lineRule="auto"/>
        <w:rPr>
          <w:rFonts w:ascii="宋体" w:hAnsi="宋体"/>
          <w:color w:val="auto"/>
          <w:sz w:val="21"/>
          <w:szCs w:val="21"/>
          <w:highlight w:val="none"/>
        </w:rPr>
      </w:pPr>
      <w:r>
        <w:rPr>
          <w:rFonts w:hint="eastAsia" w:ascii="宋体" w:hAnsi="宋体"/>
          <w:b/>
          <w:color w:val="auto"/>
          <w:sz w:val="24"/>
          <w:highlight w:val="none"/>
        </w:rPr>
        <w:t>一、项目名称：</w:t>
      </w:r>
      <w:r>
        <w:rPr>
          <w:rFonts w:hint="eastAsia" w:ascii="宋体" w:hAnsi="宋体"/>
          <w:color w:val="auto"/>
          <w:sz w:val="21"/>
          <w:szCs w:val="21"/>
          <w:highlight w:val="none"/>
        </w:rPr>
        <w:t>一站式网上服务大厅（三期）</w:t>
      </w:r>
    </w:p>
    <w:p>
      <w:pPr>
        <w:spacing w:line="288" w:lineRule="auto"/>
        <w:rPr>
          <w:rFonts w:ascii="宋体" w:hAnsi="宋体"/>
          <w:color w:val="auto"/>
          <w:sz w:val="21"/>
          <w:szCs w:val="21"/>
          <w:highlight w:val="none"/>
        </w:rPr>
      </w:pPr>
      <w:r>
        <w:rPr>
          <w:rFonts w:hint="eastAsia" w:ascii="宋体" w:hAnsi="宋体"/>
          <w:b/>
          <w:color w:val="auto"/>
          <w:sz w:val="24"/>
          <w:highlight w:val="none"/>
        </w:rPr>
        <w:t>二、项目</w:t>
      </w:r>
      <w:r>
        <w:rPr>
          <w:rFonts w:ascii="宋体" w:hAnsi="宋体"/>
          <w:b/>
          <w:color w:val="auto"/>
          <w:sz w:val="24"/>
          <w:highlight w:val="none"/>
        </w:rPr>
        <w:t>编号</w:t>
      </w:r>
      <w:r>
        <w:rPr>
          <w:rFonts w:hint="eastAsia" w:ascii="宋体" w:hAnsi="宋体"/>
          <w:b/>
          <w:color w:val="auto"/>
          <w:sz w:val="24"/>
          <w:highlight w:val="none"/>
        </w:rPr>
        <w:t>：</w:t>
      </w:r>
      <w:r>
        <w:rPr>
          <w:rFonts w:hint="eastAsia" w:ascii="宋体" w:hAnsi="宋体"/>
          <w:color w:val="auto"/>
          <w:sz w:val="21"/>
          <w:szCs w:val="21"/>
          <w:highlight w:val="none"/>
        </w:rPr>
        <w:t>ZJJY-20200623-02</w:t>
      </w:r>
    </w:p>
    <w:p>
      <w:pPr>
        <w:spacing w:line="288" w:lineRule="auto"/>
        <w:rPr>
          <w:rFonts w:ascii="宋体" w:hAnsi="宋体"/>
          <w:color w:val="auto"/>
          <w:sz w:val="21"/>
          <w:szCs w:val="21"/>
          <w:highlight w:val="none"/>
        </w:rPr>
      </w:pPr>
      <w:r>
        <w:rPr>
          <w:rFonts w:hint="eastAsia" w:ascii="宋体" w:hAnsi="宋体"/>
          <w:b/>
          <w:color w:val="auto"/>
          <w:sz w:val="24"/>
          <w:highlight w:val="none"/>
        </w:rPr>
        <w:t>三、采购组织类型：</w:t>
      </w:r>
      <w:r>
        <w:rPr>
          <w:rFonts w:hint="eastAsia" w:ascii="宋体" w:hAnsi="宋体"/>
          <w:color w:val="auto"/>
          <w:sz w:val="21"/>
          <w:szCs w:val="21"/>
          <w:highlight w:val="none"/>
        </w:rPr>
        <w:t>分散采购</w:t>
      </w:r>
    </w:p>
    <w:p>
      <w:pPr>
        <w:spacing w:line="288" w:lineRule="auto"/>
        <w:rPr>
          <w:rFonts w:ascii="宋体" w:hAnsi="宋体"/>
          <w:b/>
          <w:color w:val="auto"/>
          <w:sz w:val="24"/>
          <w:highlight w:val="none"/>
        </w:rPr>
      </w:pPr>
      <w:r>
        <w:rPr>
          <w:rFonts w:hint="eastAsia" w:ascii="宋体" w:hAnsi="宋体"/>
          <w:b/>
          <w:color w:val="auto"/>
          <w:sz w:val="24"/>
          <w:highlight w:val="none"/>
        </w:rPr>
        <w:t>四、采购项目概况：</w:t>
      </w:r>
    </w:p>
    <w:tbl>
      <w:tblPr>
        <w:tblStyle w:val="16"/>
        <w:tblW w:w="962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198"/>
        <w:gridCol w:w="1366"/>
        <w:gridCol w:w="2830"/>
        <w:gridCol w:w="22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3198" w:type="dxa"/>
            <w:tcBorders>
              <w:tl2br w:val="nil"/>
              <w:tr2bl w:val="nil"/>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项目名称</w:t>
            </w:r>
          </w:p>
        </w:tc>
        <w:tc>
          <w:tcPr>
            <w:tcW w:w="1366" w:type="dxa"/>
            <w:tcBorders>
              <w:tl2br w:val="nil"/>
              <w:tr2bl w:val="nil"/>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2830" w:type="dxa"/>
            <w:tcBorders>
              <w:tl2br w:val="nil"/>
              <w:tr2bl w:val="nil"/>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简要规格描述</w:t>
            </w:r>
          </w:p>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或标项基本概况介绍</w:t>
            </w:r>
          </w:p>
        </w:tc>
        <w:tc>
          <w:tcPr>
            <w:tcW w:w="2234" w:type="dxa"/>
            <w:tcBorders>
              <w:tl2br w:val="nil"/>
              <w:tr2bl w:val="nil"/>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预算金额</w:t>
            </w:r>
          </w:p>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(万元人民币)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3198" w:type="dxa"/>
            <w:tcBorders>
              <w:tl2br w:val="nil"/>
              <w:tr2bl w:val="nil"/>
            </w:tcBorders>
            <w:vAlign w:val="center"/>
          </w:tcPr>
          <w:p>
            <w:pPr>
              <w:jc w:val="center"/>
              <w:rPr>
                <w:rFonts w:ascii="宋体" w:hAnsi="宋体" w:cs="宋体"/>
                <w:color w:val="auto"/>
                <w:sz w:val="21"/>
                <w:szCs w:val="21"/>
                <w:highlight w:val="none"/>
              </w:rPr>
            </w:pPr>
            <w:r>
              <w:rPr>
                <w:rFonts w:hint="eastAsia" w:ascii="宋体" w:hAnsi="宋体"/>
                <w:color w:val="auto"/>
                <w:sz w:val="21"/>
                <w:szCs w:val="21"/>
                <w:highlight w:val="none"/>
              </w:rPr>
              <w:t>一站式网上服务大厅（三期）</w:t>
            </w:r>
          </w:p>
        </w:tc>
        <w:tc>
          <w:tcPr>
            <w:tcW w:w="1366" w:type="dxa"/>
            <w:tcBorders>
              <w:tl2br w:val="nil"/>
              <w:tr2bl w:val="nil"/>
            </w:tcBorders>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1项</w:t>
            </w:r>
          </w:p>
        </w:tc>
        <w:tc>
          <w:tcPr>
            <w:tcW w:w="2830" w:type="dxa"/>
            <w:tcBorders>
              <w:tl2br w:val="nil"/>
              <w:tr2bl w:val="nil"/>
            </w:tcBorders>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具体详见第二章  采购需求</w:t>
            </w:r>
          </w:p>
        </w:tc>
        <w:tc>
          <w:tcPr>
            <w:tcW w:w="2234" w:type="dxa"/>
            <w:tcBorders>
              <w:tl2br w:val="nil"/>
              <w:tr2bl w:val="nil"/>
            </w:tcBorders>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70</w:t>
            </w:r>
          </w:p>
        </w:tc>
      </w:tr>
    </w:tbl>
    <w:p>
      <w:pPr>
        <w:spacing w:line="288" w:lineRule="auto"/>
        <w:rPr>
          <w:rFonts w:ascii="宋体" w:hAnsi="宋体"/>
          <w:b/>
          <w:color w:val="auto"/>
          <w:sz w:val="24"/>
          <w:highlight w:val="none"/>
        </w:rPr>
      </w:pPr>
      <w:r>
        <w:rPr>
          <w:rFonts w:hint="eastAsia" w:ascii="宋体" w:hAnsi="宋体"/>
          <w:b/>
          <w:color w:val="auto"/>
          <w:sz w:val="24"/>
          <w:highlight w:val="none"/>
        </w:rPr>
        <w:t>五、供应商资格要求：</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符合《中华人民共和国政府采购法》第二十二条规定的供应商资格条件：</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1.具有独立承担民事责任的能力；</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2.具有良好的商业信誉和健全的财务会计制度；</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3.具有履行合同所必需的设备和专业技术能力；</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4.有依法缴纳税收和社会保障资金的良好记录；</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5.参加政府采购活动前三年内，在经营活动中没有重大违法记录；</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w:t>
      </w:r>
      <w:r>
        <w:rPr>
          <w:rFonts w:hint="eastAsia" w:ascii="宋体" w:hAnsi="宋体"/>
          <w:color w:val="auto"/>
          <w:sz w:val="21"/>
          <w:szCs w:val="21"/>
          <w:highlight w:val="none"/>
        </w:rPr>
        <w:t>截止</w:t>
      </w:r>
      <w:r>
        <w:rPr>
          <w:rFonts w:hint="eastAsia" w:ascii="宋体" w:hAnsi="宋体"/>
          <w:color w:val="auto"/>
          <w:sz w:val="21"/>
          <w:szCs w:val="21"/>
          <w:highlight w:val="none"/>
        </w:rPr>
        <w:t>响应文件提交截止时间</w:t>
      </w:r>
      <w:r>
        <w:rPr>
          <w:rFonts w:hint="eastAsia" w:ascii="宋体" w:hAnsi="宋体"/>
          <w:color w:val="auto"/>
          <w:sz w:val="21"/>
          <w:szCs w:val="21"/>
          <w:highlight w:val="none"/>
        </w:rPr>
        <w:t>未被“信用中国”（www.creditchina.gov.cn）、“中国政府采购网”（www.ccgp.gov.cn）列入失信被执行人、重大税收违法案件当事人名单、政府采购严重违法失信行为记录名单；</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7.法律、行政法规规定的其他条件。</w:t>
      </w:r>
    </w:p>
    <w:p>
      <w:pPr>
        <w:spacing w:line="288"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备注：本项目不接受联合体响应。</w:t>
      </w:r>
    </w:p>
    <w:p>
      <w:pPr>
        <w:spacing w:line="288" w:lineRule="auto"/>
        <w:rPr>
          <w:rFonts w:ascii="宋体" w:hAnsi="宋体"/>
          <w:b/>
          <w:color w:val="auto"/>
          <w:sz w:val="24"/>
          <w:highlight w:val="none"/>
        </w:rPr>
      </w:pPr>
      <w:r>
        <w:rPr>
          <w:rFonts w:hint="eastAsia" w:ascii="宋体" w:hAnsi="宋体"/>
          <w:b/>
          <w:color w:val="auto"/>
          <w:sz w:val="24"/>
          <w:highlight w:val="none"/>
        </w:rPr>
        <w:t>六、获取磋商文件的时间、地点、方式及售价：</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1.时间：</w:t>
      </w:r>
      <w:r>
        <w:rPr>
          <w:rFonts w:hint="eastAsia" w:ascii="宋体" w:hAnsi="宋体"/>
          <w:color w:val="auto"/>
          <w:sz w:val="21"/>
          <w:szCs w:val="21"/>
          <w:highlight w:val="none"/>
        </w:rPr>
        <w:t>2020年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日至2020年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2.地址：政府采购云平台（https://login.zcygov.cn）</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3.方式：在线获取（潜在供应商登陆政府采购云平台，进入“项目采购”，在“获取采购文件”菜单中选择项目后“申请获取采购文件”）</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4.售价：免费</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备注：</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1）获取磋商文件截止时间之后潜在供应商依然可以获取磋商文件，如对磋商文件有质疑的应在规定的质疑期限内提出；</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2）公告规定的磋商文件获取方式为依法获取磋商文件的方式，未按照公告规定的方式获取磋商文件的，不得对磋商文件提起质疑、投诉。</w:t>
      </w:r>
    </w:p>
    <w:p>
      <w:pPr>
        <w:spacing w:line="288" w:lineRule="auto"/>
        <w:rPr>
          <w:rFonts w:ascii="宋体" w:hAnsi="宋体"/>
          <w:color w:val="auto"/>
          <w:sz w:val="21"/>
          <w:szCs w:val="21"/>
          <w:highlight w:val="none"/>
        </w:rPr>
      </w:pPr>
      <w:r>
        <w:rPr>
          <w:rFonts w:hint="eastAsia" w:ascii="宋体" w:hAnsi="宋体"/>
          <w:b/>
          <w:color w:val="auto"/>
          <w:sz w:val="24"/>
          <w:highlight w:val="none"/>
        </w:rPr>
        <w:t>七、获取磋商文件时应提交的资料：</w:t>
      </w:r>
      <w:r>
        <w:rPr>
          <w:rFonts w:hint="eastAsia" w:ascii="宋体" w:hAnsi="宋体"/>
          <w:color w:val="auto"/>
          <w:sz w:val="21"/>
          <w:szCs w:val="21"/>
          <w:highlight w:val="none"/>
        </w:rPr>
        <w:t>无</w:t>
      </w:r>
    </w:p>
    <w:p>
      <w:pPr>
        <w:spacing w:line="288" w:lineRule="auto"/>
        <w:rPr>
          <w:rFonts w:ascii="宋体" w:hAnsi="宋体"/>
          <w:b/>
          <w:color w:val="auto"/>
          <w:sz w:val="24"/>
          <w:highlight w:val="none"/>
        </w:rPr>
      </w:pPr>
      <w:r>
        <w:rPr>
          <w:rFonts w:hint="eastAsia" w:ascii="宋体" w:hAnsi="宋体"/>
          <w:b/>
          <w:color w:val="auto"/>
          <w:sz w:val="24"/>
          <w:highlight w:val="none"/>
        </w:rPr>
        <w:t>八、响应文件提交</w:t>
      </w:r>
      <w:r>
        <w:rPr>
          <w:rFonts w:ascii="宋体" w:hAnsi="宋体"/>
          <w:b/>
          <w:color w:val="auto"/>
          <w:sz w:val="24"/>
          <w:highlight w:val="none"/>
        </w:rPr>
        <w:t>截止时间</w:t>
      </w:r>
      <w:r>
        <w:rPr>
          <w:rFonts w:hint="eastAsia" w:ascii="宋体" w:hAnsi="宋体"/>
          <w:b/>
          <w:color w:val="auto"/>
          <w:sz w:val="24"/>
          <w:highlight w:val="none"/>
        </w:rPr>
        <w:t>：</w:t>
      </w:r>
      <w:r>
        <w:rPr>
          <w:rFonts w:hint="eastAsia" w:ascii="宋体" w:hAnsi="宋体"/>
          <w:color w:val="auto"/>
          <w:sz w:val="21"/>
          <w:szCs w:val="21"/>
          <w:highlight w:val="none"/>
          <w:lang w:eastAsia="zh-CN"/>
        </w:rPr>
        <w:t>2020年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lang w:eastAsia="zh-CN"/>
        </w:rPr>
        <w:t>月</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lang w:eastAsia="zh-CN"/>
        </w:rPr>
        <w:t>日上午</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0:00</w:t>
      </w:r>
      <w:r>
        <w:rPr>
          <w:rFonts w:hint="eastAsia" w:ascii="宋体" w:hAnsi="宋体"/>
          <w:color w:val="auto"/>
          <w:sz w:val="21"/>
          <w:szCs w:val="21"/>
          <w:highlight w:val="none"/>
        </w:rPr>
        <w:t>（北京时间）</w:t>
      </w:r>
    </w:p>
    <w:p>
      <w:pPr>
        <w:spacing w:line="288" w:lineRule="auto"/>
        <w:rPr>
          <w:rFonts w:ascii="宋体" w:hAnsi="宋体"/>
          <w:color w:val="auto"/>
          <w:sz w:val="21"/>
          <w:szCs w:val="21"/>
          <w:highlight w:val="none"/>
        </w:rPr>
      </w:pPr>
      <w:r>
        <w:rPr>
          <w:rFonts w:hint="eastAsia" w:ascii="宋体" w:hAnsi="宋体"/>
          <w:b/>
          <w:color w:val="auto"/>
          <w:sz w:val="24"/>
          <w:highlight w:val="none"/>
        </w:rPr>
        <w:t>九、响应文件提交地点、方式：</w:t>
      </w:r>
      <w:r>
        <w:rPr>
          <w:rFonts w:hint="eastAsia" w:ascii="宋体" w:hAnsi="宋体"/>
          <w:color w:val="auto"/>
          <w:sz w:val="21"/>
          <w:szCs w:val="21"/>
          <w:highlight w:val="none"/>
        </w:rPr>
        <w:t>通过政府采购云平台在线电子响应</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备注：</w:t>
      </w:r>
      <w:bookmarkStart w:id="82" w:name="_GoBack"/>
      <w:bookmarkEnd w:id="82"/>
    </w:p>
    <w:p>
      <w:pPr>
        <w:numPr>
          <w:ilvl w:val="0"/>
          <w:numId w:val="1"/>
        </w:num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供应商未按规定编制加密或者响应文件提交截止时间后上传的响应文件政府采购云平台将予以拒收；</w:t>
      </w:r>
    </w:p>
    <w:p>
      <w:pPr>
        <w:numPr>
          <w:ilvl w:val="0"/>
          <w:numId w:val="1"/>
        </w:num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供应商逾期送达或者未密封包装的备份响应文件采购代理机构将予以拒收</w:t>
      </w:r>
      <w:r>
        <w:rPr>
          <w:rFonts w:hint="eastAsia" w:ascii="宋体" w:hAnsi="宋体"/>
          <w:color w:val="auto"/>
          <w:sz w:val="21"/>
          <w:szCs w:val="21"/>
          <w:highlight w:val="none"/>
        </w:rPr>
        <w:t>。</w:t>
      </w:r>
    </w:p>
    <w:p>
      <w:pPr>
        <w:spacing w:line="288" w:lineRule="auto"/>
        <w:rPr>
          <w:rFonts w:ascii="宋体" w:hAnsi="宋体"/>
          <w:color w:val="auto"/>
          <w:sz w:val="21"/>
          <w:szCs w:val="21"/>
          <w:highlight w:val="none"/>
        </w:rPr>
      </w:pPr>
      <w:r>
        <w:rPr>
          <w:rFonts w:hint="eastAsia" w:ascii="宋体" w:hAnsi="宋体"/>
          <w:b/>
          <w:color w:val="auto"/>
          <w:sz w:val="24"/>
          <w:highlight w:val="none"/>
        </w:rPr>
        <w:t>十、响应文件开启</w:t>
      </w:r>
      <w:r>
        <w:rPr>
          <w:rFonts w:ascii="宋体" w:hAnsi="宋体"/>
          <w:b/>
          <w:color w:val="auto"/>
          <w:sz w:val="24"/>
          <w:highlight w:val="none"/>
        </w:rPr>
        <w:t>时间：</w:t>
      </w:r>
      <w:r>
        <w:rPr>
          <w:rFonts w:hint="eastAsia" w:ascii="宋体" w:hAnsi="宋体"/>
          <w:color w:val="auto"/>
          <w:sz w:val="21"/>
          <w:szCs w:val="21"/>
          <w:highlight w:val="none"/>
          <w:lang w:eastAsia="zh-CN"/>
        </w:rPr>
        <w:t>2020年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lang w:eastAsia="zh-CN"/>
        </w:rPr>
        <w:t>月</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lang w:eastAsia="zh-CN"/>
        </w:rPr>
        <w:t>日上午</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0:00</w:t>
      </w:r>
      <w:r>
        <w:rPr>
          <w:rFonts w:hint="eastAsia" w:ascii="宋体" w:hAnsi="宋体"/>
          <w:color w:val="auto"/>
          <w:sz w:val="21"/>
          <w:szCs w:val="21"/>
          <w:highlight w:val="none"/>
        </w:rPr>
        <w:t>（北京时间）</w:t>
      </w:r>
    </w:p>
    <w:p>
      <w:pPr>
        <w:spacing w:line="288" w:lineRule="auto"/>
        <w:ind w:firstLine="420" w:firstLineChars="200"/>
        <w:rPr>
          <w:rFonts w:ascii="宋体" w:hAnsi="宋体"/>
          <w:b/>
          <w:color w:val="auto"/>
          <w:sz w:val="24"/>
          <w:highlight w:val="none"/>
        </w:rPr>
      </w:pPr>
      <w:r>
        <w:rPr>
          <w:rFonts w:hint="eastAsia" w:ascii="宋体" w:hAnsi="宋体"/>
          <w:color w:val="auto"/>
          <w:sz w:val="21"/>
          <w:szCs w:val="21"/>
          <w:highlight w:val="none"/>
        </w:rPr>
        <w:t>备注：供应商</w:t>
      </w:r>
      <w:r>
        <w:rPr>
          <w:rFonts w:hint="eastAsia" w:ascii="宋体" w:hAnsi="宋体"/>
          <w:color w:val="auto"/>
          <w:spacing w:val="-6"/>
          <w:sz w:val="21"/>
          <w:szCs w:val="21"/>
          <w:highlight w:val="none"/>
        </w:rPr>
        <w:t>应在响应文件开启时间在线参加响应文件开启并按时解密电子加密响应文件。</w:t>
      </w:r>
    </w:p>
    <w:p>
      <w:pPr>
        <w:spacing w:line="288" w:lineRule="auto"/>
        <w:rPr>
          <w:rFonts w:ascii="宋体" w:hAnsi="宋体"/>
          <w:color w:val="auto"/>
          <w:sz w:val="21"/>
          <w:szCs w:val="21"/>
          <w:highlight w:val="none"/>
        </w:rPr>
      </w:pPr>
      <w:r>
        <w:rPr>
          <w:rFonts w:hint="eastAsia" w:ascii="宋体" w:hAnsi="宋体"/>
          <w:b/>
          <w:color w:val="auto"/>
          <w:sz w:val="24"/>
          <w:highlight w:val="none"/>
        </w:rPr>
        <w:t>十一、磋商地点：</w:t>
      </w:r>
      <w:r>
        <w:rPr>
          <w:rFonts w:hint="eastAsia" w:ascii="宋体" w:hAnsi="宋体"/>
          <w:color w:val="auto"/>
          <w:sz w:val="21"/>
          <w:szCs w:val="21"/>
          <w:highlight w:val="none"/>
        </w:rPr>
        <w:t>杭州市西湖区振华路298号西港发展中心7幢1楼会议室</w:t>
      </w:r>
    </w:p>
    <w:p>
      <w:pPr>
        <w:spacing w:line="288" w:lineRule="auto"/>
        <w:rPr>
          <w:rFonts w:ascii="宋体" w:hAnsi="宋体"/>
          <w:color w:val="auto"/>
          <w:sz w:val="21"/>
          <w:szCs w:val="21"/>
          <w:highlight w:val="none"/>
        </w:rPr>
      </w:pPr>
      <w:r>
        <w:rPr>
          <w:rFonts w:hint="eastAsia" w:ascii="宋体" w:hAnsi="宋体"/>
          <w:b/>
          <w:color w:val="auto"/>
          <w:sz w:val="24"/>
          <w:highlight w:val="none"/>
        </w:rPr>
        <w:t>十二、公告期限：</w:t>
      </w:r>
      <w:r>
        <w:rPr>
          <w:rFonts w:hint="eastAsia" w:ascii="宋体" w:hAnsi="宋体"/>
          <w:color w:val="auto"/>
          <w:sz w:val="21"/>
          <w:szCs w:val="21"/>
          <w:highlight w:val="none"/>
        </w:rPr>
        <w:t>3个工作日</w:t>
      </w:r>
    </w:p>
    <w:p>
      <w:pPr>
        <w:spacing w:line="288" w:lineRule="auto"/>
        <w:rPr>
          <w:rFonts w:ascii="宋体" w:hAnsi="宋体"/>
          <w:b/>
          <w:color w:val="auto"/>
          <w:sz w:val="24"/>
          <w:highlight w:val="none"/>
        </w:rPr>
      </w:pPr>
      <w:r>
        <w:rPr>
          <w:rFonts w:hint="eastAsia" w:ascii="宋体" w:hAnsi="宋体"/>
          <w:b/>
          <w:color w:val="auto"/>
          <w:sz w:val="24"/>
          <w:highlight w:val="none"/>
        </w:rPr>
        <w:t>十三、</w:t>
      </w:r>
      <w:r>
        <w:rPr>
          <w:rFonts w:hint="eastAsia" w:ascii="宋体" w:hAnsi="宋体"/>
          <w:b/>
          <w:color w:val="auto"/>
          <w:sz w:val="24"/>
          <w:highlight w:val="none"/>
        </w:rPr>
        <w:t>在线电子响应说明：</w:t>
      </w:r>
    </w:p>
    <w:p>
      <w:pPr>
        <w:spacing w:line="288"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pPr>
        <w:spacing w:line="288"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政采云电子交易客户端（政采云投标客户端）请自行前往“浙江政府采购网-下载专区-电子交易客户端”进行下载，通过政府采购云平台参与在线电子响应时如遇平台技术问题详询400-881-7190。</w:t>
      </w:r>
    </w:p>
    <w:p>
      <w:pPr>
        <w:spacing w:line="288"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w:t>
      </w:r>
      <w:r>
        <w:rPr>
          <w:color w:val="auto"/>
          <w:highlight w:val="none"/>
        </w:rPr>
        <w:fldChar w:fldCharType="begin"/>
      </w:r>
      <w:r>
        <w:rPr>
          <w:color w:val="auto"/>
          <w:highlight w:val="none"/>
        </w:rPr>
        <w:instrText xml:space="preserve"> HYPERLINK "http://zfcg.czt.zj.gov.cn/bidClientTemplate/2019-05-27/12945.html" \o "CA驱动和申领流程" </w:instrText>
      </w:r>
      <w:r>
        <w:rPr>
          <w:color w:val="auto"/>
          <w:highlight w:val="none"/>
        </w:rPr>
        <w:fldChar w:fldCharType="separate"/>
      </w:r>
      <w:r>
        <w:rPr>
          <w:rFonts w:hint="eastAsia" w:ascii="宋体" w:hAnsi="宋体"/>
          <w:b/>
          <w:bCs/>
          <w:color w:val="auto"/>
          <w:sz w:val="21"/>
          <w:szCs w:val="21"/>
          <w:highlight w:val="none"/>
        </w:rPr>
        <w:t>CA驱动和申领流程</w:t>
      </w:r>
      <w:r>
        <w:rPr>
          <w:rFonts w:hint="eastAsia" w:ascii="宋体" w:hAnsi="宋体"/>
          <w:b/>
          <w:bCs/>
          <w:color w:val="auto"/>
          <w:sz w:val="21"/>
          <w:szCs w:val="21"/>
          <w:highlight w:val="none"/>
        </w:rPr>
        <w:fldChar w:fldCharType="end"/>
      </w:r>
      <w:r>
        <w:rPr>
          <w:rFonts w:hint="eastAsia" w:ascii="宋体" w:hAnsi="宋体"/>
          <w:b/>
          <w:bCs/>
          <w:color w:val="auto"/>
          <w:sz w:val="21"/>
          <w:szCs w:val="21"/>
          <w:highlight w:val="none"/>
        </w:rPr>
        <w:t>”进行查阅；</w:t>
      </w:r>
    </w:p>
    <w:p>
      <w:pPr>
        <w:spacing w:line="288"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3.供应商应当在响应文件提交截止时间前将在政采云电子交易客户端（政采云投标客户端）生成的电子加密响应文件上传至政府采购云平台；</w:t>
      </w:r>
    </w:p>
    <w:p>
      <w:pPr>
        <w:spacing w:line="288"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pPr>
        <w:spacing w:line="288"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pPr>
        <w:spacing w:line="288" w:lineRule="auto"/>
        <w:ind w:firstLine="422" w:firstLineChars="200"/>
        <w:jc w:val="left"/>
        <w:rPr>
          <w:rFonts w:ascii="宋体" w:hAnsi="宋体"/>
          <w:b/>
          <w:bCs/>
          <w:color w:val="auto"/>
          <w:sz w:val="21"/>
          <w:szCs w:val="21"/>
          <w:highlight w:val="none"/>
        </w:rPr>
      </w:pPr>
      <w:r>
        <w:rPr>
          <w:rFonts w:hint="eastAsia" w:ascii="宋体" w:hAnsi="宋体"/>
          <w:b/>
          <w:bCs/>
          <w:color w:val="auto"/>
          <w:sz w:val="21"/>
          <w:szCs w:val="21"/>
          <w:highlight w:val="none"/>
        </w:rPr>
        <w:t>备注：</w:t>
      </w:r>
    </w:p>
    <w:p>
      <w:pPr>
        <w:spacing w:line="288"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供应商可通过浙江省“电子交易/不见面开评标”学习专题提前进行专题学习，熟悉操作，避免影响采购活动（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宋体" w:hAnsi="宋体"/>
          <w:b/>
          <w:bCs/>
          <w:color w:val="auto"/>
          <w:sz w:val="21"/>
          <w:szCs w:val="21"/>
          <w:highlight w:val="none"/>
        </w:rPr>
        <w:t>https://edu.zcygov.cn/luban/e-biding</w:t>
      </w:r>
      <w:r>
        <w:rPr>
          <w:rFonts w:hint="eastAsia" w:ascii="宋体" w:hAnsi="宋体"/>
          <w:b/>
          <w:bCs/>
          <w:color w:val="auto"/>
          <w:sz w:val="21"/>
          <w:szCs w:val="21"/>
          <w:highlight w:val="none"/>
        </w:rPr>
        <w:fldChar w:fldCharType="end"/>
      </w:r>
      <w:r>
        <w:rPr>
          <w:rFonts w:hint="eastAsia" w:ascii="宋体" w:hAnsi="宋体"/>
          <w:b/>
          <w:bCs/>
          <w:color w:val="auto"/>
          <w:sz w:val="21"/>
          <w:szCs w:val="21"/>
          <w:highlight w:val="none"/>
        </w:rPr>
        <w:t>）。</w:t>
      </w:r>
    </w:p>
    <w:p>
      <w:pPr>
        <w:spacing w:line="288" w:lineRule="auto"/>
        <w:rPr>
          <w:rFonts w:ascii="宋体" w:hAnsi="宋体"/>
          <w:b/>
          <w:color w:val="auto"/>
          <w:sz w:val="24"/>
          <w:highlight w:val="none"/>
        </w:rPr>
      </w:pPr>
      <w:r>
        <w:rPr>
          <w:rFonts w:hint="eastAsia" w:ascii="宋体" w:hAnsi="宋体"/>
          <w:b/>
          <w:color w:val="auto"/>
          <w:sz w:val="24"/>
          <w:highlight w:val="none"/>
        </w:rPr>
        <w:t>十四、其他：</w:t>
      </w:r>
    </w:p>
    <w:p>
      <w:pPr>
        <w:spacing w:line="288" w:lineRule="auto"/>
        <w:ind w:firstLine="422" w:firstLineChars="200"/>
        <w:rPr>
          <w:rFonts w:ascii="宋体" w:hAnsi="宋体"/>
          <w:b/>
          <w:bCs/>
          <w:color w:val="auto"/>
          <w:sz w:val="21"/>
          <w:szCs w:val="21"/>
          <w:highlight w:val="none"/>
        </w:rPr>
      </w:pPr>
      <w:bookmarkStart w:id="2" w:name="_Toc4595"/>
      <w:r>
        <w:rPr>
          <w:rFonts w:ascii="宋体" w:hAnsi="宋体"/>
          <w:b/>
          <w:bCs/>
          <w:color w:val="auto"/>
          <w:sz w:val="21"/>
          <w:szCs w:val="21"/>
          <w:highlight w:val="none"/>
        </w:rPr>
        <w:t>1.</w:t>
      </w:r>
      <w:r>
        <w:rPr>
          <w:rFonts w:hint="eastAsia" w:ascii="宋体" w:hAnsi="宋体"/>
          <w:b/>
          <w:bCs/>
          <w:color w:val="auto"/>
          <w:sz w:val="21"/>
          <w:szCs w:val="21"/>
          <w:highlight w:val="none"/>
        </w:rPr>
        <w:t>质疑和投诉</w:t>
      </w:r>
      <w:bookmarkEnd w:id="2"/>
    </w:p>
    <w:p>
      <w:pPr>
        <w:spacing w:line="288" w:lineRule="auto"/>
        <w:ind w:firstLine="420" w:firstLineChars="200"/>
        <w:rPr>
          <w:rFonts w:ascii="宋体" w:hAnsi="宋体"/>
          <w:color w:val="auto"/>
          <w:sz w:val="21"/>
          <w:szCs w:val="21"/>
          <w:highlight w:val="none"/>
        </w:rPr>
      </w:pPr>
      <w:bookmarkStart w:id="3" w:name="_Toc547"/>
      <w:r>
        <w:rPr>
          <w:rFonts w:hint="eastAsia"/>
          <w:color w:val="auto"/>
          <w:sz w:val="21"/>
          <w:szCs w:val="21"/>
          <w:highlight w:val="none"/>
        </w:rPr>
        <w:t>供应商依法获取磋商文件后认为磋商文件使自己的权益受到损害的</w:t>
      </w:r>
      <w:r>
        <w:rPr>
          <w:rFonts w:hint="eastAsia" w:ascii="宋体" w:hAnsi="宋体"/>
          <w:color w:val="auto"/>
          <w:sz w:val="21"/>
          <w:szCs w:val="21"/>
          <w:highlight w:val="none"/>
        </w:rPr>
        <w:t>，可以自收到磋商文件之日（获取截止时间之后收到磋商文件的，以获取截止时间为准）或者磋商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2.采购项目需要落实的政府采购政策：</w:t>
      </w:r>
      <w:bookmarkEnd w:id="3"/>
    </w:p>
    <w:p>
      <w:pPr>
        <w:spacing w:line="288" w:lineRule="auto"/>
        <w:ind w:firstLine="420" w:firstLineChars="200"/>
        <w:rPr>
          <w:rFonts w:ascii="宋体" w:hAnsi="宋体"/>
          <w:color w:val="auto"/>
          <w:sz w:val="21"/>
          <w:szCs w:val="21"/>
          <w:highlight w:val="none"/>
        </w:rPr>
      </w:pPr>
      <w:bookmarkStart w:id="4" w:name="_Toc30654"/>
      <w:r>
        <w:rPr>
          <w:rFonts w:hint="eastAsia" w:ascii="宋体" w:hAnsi="宋体"/>
          <w:color w:val="auto"/>
          <w:sz w:val="21"/>
          <w:szCs w:val="21"/>
          <w:highlight w:val="none"/>
        </w:rPr>
        <w:t>1）政府采购促进中小企业发展</w:t>
      </w:r>
      <w:bookmarkEnd w:id="4"/>
    </w:p>
    <w:p>
      <w:pPr>
        <w:spacing w:line="288" w:lineRule="auto"/>
        <w:ind w:firstLine="420" w:firstLineChars="200"/>
        <w:rPr>
          <w:rFonts w:ascii="宋体" w:hAnsi="宋体"/>
          <w:color w:val="auto"/>
          <w:sz w:val="21"/>
          <w:szCs w:val="21"/>
          <w:highlight w:val="none"/>
        </w:rPr>
      </w:pPr>
      <w:bookmarkStart w:id="5" w:name="_Toc21083"/>
      <w:r>
        <w:rPr>
          <w:rFonts w:hint="eastAsia" w:ascii="宋体" w:hAnsi="宋体"/>
          <w:color w:val="auto"/>
          <w:sz w:val="21"/>
          <w:szCs w:val="21"/>
          <w:highlight w:val="none"/>
        </w:rPr>
        <w:t>2）政府采购支持监狱企业发展</w:t>
      </w:r>
      <w:bookmarkEnd w:id="5"/>
    </w:p>
    <w:p>
      <w:pPr>
        <w:spacing w:line="288" w:lineRule="auto"/>
        <w:ind w:firstLine="420" w:firstLineChars="200"/>
        <w:rPr>
          <w:rFonts w:ascii="宋体" w:hAnsi="宋体"/>
          <w:color w:val="auto"/>
          <w:sz w:val="21"/>
          <w:szCs w:val="21"/>
          <w:highlight w:val="none"/>
        </w:rPr>
      </w:pPr>
      <w:bookmarkStart w:id="6" w:name="_Toc9829"/>
      <w:r>
        <w:rPr>
          <w:rFonts w:hint="eastAsia" w:ascii="宋体" w:hAnsi="宋体"/>
          <w:color w:val="auto"/>
          <w:sz w:val="21"/>
          <w:szCs w:val="21"/>
          <w:highlight w:val="none"/>
        </w:rPr>
        <w:t>3）政府采购促进残疾人就业</w:t>
      </w:r>
      <w:bookmarkEnd w:id="6"/>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4）政府采购鼓励节能、环保产品</w:t>
      </w:r>
    </w:p>
    <w:p>
      <w:pPr>
        <w:pStyle w:val="23"/>
        <w:rPr>
          <w:color w:val="auto"/>
          <w:highlight w:val="none"/>
        </w:rPr>
      </w:pPr>
    </w:p>
    <w:p>
      <w:pPr>
        <w:spacing w:line="288" w:lineRule="auto"/>
        <w:ind w:firstLine="422" w:firstLineChars="200"/>
        <w:rPr>
          <w:rFonts w:ascii="宋体" w:hAnsi="宋体"/>
          <w:b/>
          <w:bCs/>
          <w:color w:val="auto"/>
          <w:sz w:val="21"/>
          <w:szCs w:val="21"/>
          <w:highlight w:val="none"/>
        </w:rPr>
      </w:pPr>
      <w:bookmarkStart w:id="7" w:name="_Toc19405"/>
      <w:r>
        <w:rPr>
          <w:rFonts w:hint="eastAsia" w:ascii="宋体" w:hAnsi="宋体"/>
          <w:b/>
          <w:bCs/>
          <w:color w:val="auto"/>
          <w:sz w:val="21"/>
          <w:szCs w:val="21"/>
          <w:highlight w:val="none"/>
        </w:rPr>
        <w:t>3.</w:t>
      </w:r>
      <w:bookmarkEnd w:id="7"/>
      <w:r>
        <w:rPr>
          <w:rFonts w:hint="eastAsia" w:ascii="宋体" w:hAnsi="宋体"/>
          <w:b/>
          <w:bCs/>
          <w:color w:val="auto"/>
          <w:sz w:val="21"/>
          <w:szCs w:val="21"/>
          <w:highlight w:val="none"/>
        </w:rPr>
        <w:t>信用记录</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根据财库[2016]125号《关于在政府采购活动中查询及使用信用记录有关问题的通知》要求，采购代理机构会对供应商信用记录进行查询并甄别。</w:t>
      </w:r>
    </w:p>
    <w:p>
      <w:pPr>
        <w:numPr>
          <w:ilvl w:val="0"/>
          <w:numId w:val="2"/>
        </w:num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信用信息查询的截止时点：响应文件提交截止时间；</w:t>
      </w:r>
    </w:p>
    <w:p>
      <w:pPr>
        <w:numPr>
          <w:ilvl w:val="0"/>
          <w:numId w:val="2"/>
        </w:num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查询渠道：“信用中国”（www.creditchina.gov.cn）、“中国政府采购网”（www.ccgp.gov.cn）；</w:t>
      </w:r>
    </w:p>
    <w:p>
      <w:pPr>
        <w:numPr>
          <w:ilvl w:val="0"/>
          <w:numId w:val="2"/>
        </w:num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信用信息查询记录和证据留存具体方式：采购代理机构经办人和监督人员将查询网页打印、签字与其他采购文件一并保存；</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4）信用信息的使用规则：供应商被列入失信被执行人、重大税收违法案件当事人名单、政府采购严重违法失信行为记录名单的，拒绝其参与政府采购活动。</w:t>
      </w:r>
    </w:p>
    <w:p>
      <w:pPr>
        <w:spacing w:line="288"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4.磋商保证金</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本项目无磋商保证金</w:t>
      </w:r>
    </w:p>
    <w:p>
      <w:pPr>
        <w:spacing w:line="288" w:lineRule="auto"/>
        <w:rPr>
          <w:rFonts w:ascii="宋体" w:hAnsi="宋体"/>
          <w:b/>
          <w:color w:val="auto"/>
          <w:sz w:val="24"/>
          <w:highlight w:val="none"/>
        </w:rPr>
      </w:pPr>
      <w:r>
        <w:rPr>
          <w:rFonts w:hint="eastAsia" w:ascii="宋体" w:hAnsi="宋体"/>
          <w:b/>
          <w:color w:val="auto"/>
          <w:sz w:val="24"/>
          <w:highlight w:val="none"/>
        </w:rPr>
        <w:t>十四、联系方式:</w:t>
      </w:r>
    </w:p>
    <w:p>
      <w:pPr>
        <w:spacing w:line="288" w:lineRule="auto"/>
        <w:ind w:firstLine="420" w:firstLineChars="200"/>
        <w:rPr>
          <w:rFonts w:ascii="宋体" w:hAnsi="宋体"/>
          <w:color w:val="auto"/>
          <w:sz w:val="21"/>
          <w:szCs w:val="21"/>
          <w:highlight w:val="none"/>
        </w:rPr>
      </w:pPr>
      <w:bookmarkStart w:id="8" w:name="_Toc32532"/>
      <w:r>
        <w:rPr>
          <w:rFonts w:hint="eastAsia" w:ascii="宋体" w:hAnsi="宋体"/>
          <w:color w:val="auto"/>
          <w:sz w:val="21"/>
          <w:szCs w:val="21"/>
          <w:highlight w:val="none"/>
        </w:rPr>
        <w:t>1.</w:t>
      </w:r>
      <w:bookmarkEnd w:id="8"/>
      <w:bookmarkStart w:id="9" w:name="_Toc2363"/>
      <w:r>
        <w:rPr>
          <w:rFonts w:hint="eastAsia" w:ascii="宋体" w:hAnsi="宋体"/>
          <w:color w:val="auto"/>
          <w:sz w:val="21"/>
          <w:szCs w:val="21"/>
          <w:highlight w:val="none"/>
        </w:rPr>
        <w:t>采购人名称：浙江财经大学</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地址：浙江省杭州市下沙高教园区学源街18号</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联系人：汪老师</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联系方法：0571-86731939</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采购代理机构名称：</w:t>
      </w:r>
      <w:bookmarkEnd w:id="9"/>
      <w:r>
        <w:rPr>
          <w:rFonts w:hint="eastAsia" w:ascii="宋体" w:hAnsi="宋体"/>
          <w:color w:val="auto"/>
          <w:sz w:val="21"/>
          <w:szCs w:val="21"/>
          <w:highlight w:val="none"/>
        </w:rPr>
        <w:t>浙江建友工程咨询有限公司</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地址：杭州市西湖区振华路298号西港发展中心7幢7楼</w:t>
      </w:r>
    </w:p>
    <w:p>
      <w:pPr>
        <w:spacing w:line="288" w:lineRule="auto"/>
        <w:ind w:firstLine="630" w:firstLineChars="300"/>
        <w:rPr>
          <w:rFonts w:ascii="宋体" w:hAnsi="宋体"/>
          <w:color w:val="auto"/>
          <w:sz w:val="21"/>
          <w:szCs w:val="21"/>
          <w:highlight w:val="none"/>
        </w:rPr>
      </w:pPr>
      <w:bookmarkStart w:id="10" w:name="_Toc11651"/>
      <w:r>
        <w:rPr>
          <w:rFonts w:hint="eastAsia" w:ascii="宋体" w:hAnsi="宋体"/>
          <w:color w:val="auto"/>
          <w:sz w:val="21"/>
          <w:szCs w:val="21"/>
          <w:highlight w:val="none"/>
        </w:rPr>
        <w:t>业务及备份响应文件递交联系人：徐梦遥</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联系方法：0571-56075170</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同级政府采购监督管理部门：浙江省财政厅政府采购监管处</w:t>
      </w:r>
      <w:bookmarkEnd w:id="10"/>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联系人：倪文良</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监督投诉电话：0571-87057615</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地址：杭州市环城西路37号</w:t>
      </w:r>
    </w:p>
    <w:p>
      <w:pPr>
        <w:widowControl/>
        <w:spacing w:line="288" w:lineRule="auto"/>
        <w:ind w:firstLine="396" w:firstLineChars="200"/>
        <w:jc w:val="center"/>
        <w:outlineLvl w:val="0"/>
        <w:rPr>
          <w:rFonts w:ascii="宋体" w:hAnsi="宋体" w:cs="宋体"/>
          <w:color w:val="auto"/>
          <w:spacing w:val="-6"/>
          <w:kern w:val="0"/>
          <w:sz w:val="21"/>
          <w:szCs w:val="21"/>
          <w:highlight w:val="none"/>
        </w:rPr>
      </w:pPr>
      <w:r>
        <w:rPr>
          <w:rFonts w:ascii="宋体" w:hAnsi="宋体" w:cs="宋体"/>
          <w:color w:val="auto"/>
          <w:spacing w:val="-6"/>
          <w:kern w:val="0"/>
          <w:sz w:val="21"/>
          <w:szCs w:val="21"/>
          <w:highlight w:val="none"/>
        </w:rPr>
        <w:br w:type="page"/>
      </w:r>
      <w:bookmarkStart w:id="11" w:name="_Toc30215"/>
      <w:bookmarkStart w:id="12" w:name="_Toc11365"/>
      <w:r>
        <w:rPr>
          <w:rFonts w:hint="eastAsia" w:ascii="宋体" w:hAnsi="宋体"/>
          <w:b/>
          <w:color w:val="auto"/>
          <w:sz w:val="32"/>
          <w:szCs w:val="32"/>
          <w:highlight w:val="none"/>
        </w:rPr>
        <w:t xml:space="preserve">第二章  </w:t>
      </w:r>
      <w:r>
        <w:rPr>
          <w:rFonts w:hint="eastAsia" w:ascii="宋体" w:hAnsi="宋体"/>
          <w:b/>
          <w:bCs/>
          <w:color w:val="auto"/>
          <w:sz w:val="32"/>
          <w:szCs w:val="32"/>
          <w:highlight w:val="none"/>
        </w:rPr>
        <w:t>采购需求</w:t>
      </w:r>
      <w:bookmarkEnd w:id="11"/>
      <w:bookmarkEnd w:id="12"/>
    </w:p>
    <w:p>
      <w:pPr>
        <w:spacing w:line="360" w:lineRule="auto"/>
        <w:outlineLvl w:val="1"/>
        <w:rPr>
          <w:rFonts w:ascii="宋体" w:hAnsi="宋体" w:cs="宋体"/>
          <w:b/>
          <w:color w:val="auto"/>
          <w:sz w:val="21"/>
          <w:szCs w:val="21"/>
          <w:highlight w:val="none"/>
        </w:rPr>
      </w:pPr>
      <w:bookmarkStart w:id="13" w:name="_Toc4284"/>
      <w:r>
        <w:rPr>
          <w:rFonts w:hint="eastAsia" w:ascii="宋体" w:hAnsi="宋体" w:cs="宋体"/>
          <w:b/>
          <w:color w:val="auto"/>
          <w:sz w:val="21"/>
          <w:szCs w:val="21"/>
          <w:highlight w:val="none"/>
        </w:rPr>
        <w:t>一、采购资金的支付方式、时间、条件</w:t>
      </w:r>
      <w:bookmarkEnd w:id="13"/>
    </w:p>
    <w:tbl>
      <w:tblPr>
        <w:tblStyle w:val="1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合同生效以及具备实施条件后15日内采购人向成交供应商支付合同金额的30%（支付条件：成交供应商向采购人提交银行、保险公司等金融机构出具的预付款保函，签订合同时成交供应商明确表示无需预付款或者主动要求降低预付款比例的可不适用前述规定）作为预付款，项目验收通过后，由采购人向成交供应商支付剩余合同金额；</w:t>
            </w:r>
          </w:p>
          <w:p>
            <w:pPr>
              <w:snapToGrid w:val="0"/>
              <w:spacing w:line="288" w:lineRule="auto"/>
              <w:ind w:firstLine="420" w:firstLineChars="200"/>
              <w:rPr>
                <w:rFonts w:ascii="宋体" w:hAnsi="宋体" w:cs="宋体"/>
                <w:color w:val="auto"/>
                <w:spacing w:val="-6"/>
                <w:sz w:val="21"/>
                <w:szCs w:val="21"/>
                <w:highlight w:val="none"/>
              </w:rPr>
            </w:pPr>
            <w:r>
              <w:rPr>
                <w:rFonts w:hint="eastAsia" w:ascii="宋体" w:hAnsi="宋体" w:cs="宋体"/>
                <w:color w:val="auto"/>
                <w:sz w:val="21"/>
                <w:szCs w:val="21"/>
                <w:highlight w:val="none"/>
              </w:rPr>
              <w:t>合同生效后，成交供应商应向采购人</w:t>
            </w:r>
            <w:r>
              <w:rPr>
                <w:rFonts w:hint="eastAsia" w:ascii="宋体" w:hAnsi="宋体"/>
                <w:color w:val="auto"/>
                <w:sz w:val="21"/>
                <w:szCs w:val="21"/>
                <w:highlight w:val="none"/>
              </w:rPr>
              <w:t>提交合同金额5%的合同履约保证金（提交方式：支票、汇票、本票或者金融机构、担保机构出具的保函等非现金形式）</w:t>
            </w:r>
            <w:r>
              <w:rPr>
                <w:rFonts w:hint="eastAsia" w:ascii="宋体" w:hAnsi="宋体" w:cs="宋体"/>
                <w:color w:val="auto"/>
                <w:sz w:val="21"/>
                <w:szCs w:val="21"/>
                <w:highlight w:val="none"/>
              </w:rPr>
              <w:t>，在质保期内无质量问题和维护问题，质保期满后，由乙方向甲方提出申请，交齐付款凭证等相关材料后退还（不计息）。</w:t>
            </w:r>
          </w:p>
        </w:tc>
      </w:tr>
    </w:tbl>
    <w:p>
      <w:pPr>
        <w:pStyle w:val="9"/>
        <w:spacing w:line="360" w:lineRule="auto"/>
        <w:rPr>
          <w:rFonts w:ascii="宋体" w:hAnsi="宋体" w:cs="宋体"/>
          <w:color w:val="auto"/>
          <w:sz w:val="21"/>
          <w:szCs w:val="21"/>
          <w:highlight w:val="none"/>
        </w:rPr>
      </w:pPr>
    </w:p>
    <w:p>
      <w:pPr>
        <w:spacing w:line="360" w:lineRule="auto"/>
        <w:outlineLvl w:val="1"/>
        <w:rPr>
          <w:rFonts w:ascii="宋体" w:hAnsi="宋体" w:cs="宋体"/>
          <w:b/>
          <w:color w:val="auto"/>
          <w:sz w:val="21"/>
          <w:szCs w:val="21"/>
          <w:highlight w:val="none"/>
        </w:rPr>
      </w:pPr>
      <w:bookmarkStart w:id="14" w:name="_Toc4674"/>
      <w:r>
        <w:rPr>
          <w:rFonts w:hint="eastAsia" w:ascii="宋体" w:hAnsi="宋体" w:cs="宋体"/>
          <w:b/>
          <w:color w:val="auto"/>
          <w:sz w:val="21"/>
          <w:szCs w:val="21"/>
          <w:highlight w:val="none"/>
        </w:rPr>
        <w:t>二、服务要求（技术要求里另有注明的以技术要求为准）</w:t>
      </w:r>
      <w:bookmarkEnd w:id="14"/>
    </w:p>
    <w:tbl>
      <w:tblPr>
        <w:tblStyle w:val="16"/>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5"/>
        <w:gridCol w:w="71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质保期</w:t>
            </w:r>
          </w:p>
        </w:tc>
        <w:tc>
          <w:tcPr>
            <w:tcW w:w="7193"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420" w:firstLineChars="200"/>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自终验后三年的免费维护服务。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服务标准</w:t>
            </w:r>
          </w:p>
        </w:tc>
        <w:tc>
          <w:tcPr>
            <w:tcW w:w="7193"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服务与培训：</w:t>
            </w:r>
          </w:p>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本项目对于服务提出的如下基本要求，须在响应文件中体现：</w:t>
            </w:r>
          </w:p>
          <w:p>
            <w:pPr>
              <w:pStyle w:val="23"/>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项目实施和维护期间，项目研发人员应相对固定，并有专人负责；如人员确需变动，需提出书面申请并经用户方确认；</w:t>
            </w:r>
            <w:r>
              <w:rPr>
                <w:rFonts w:hint="eastAsia" w:asciiTheme="minorEastAsia" w:hAnsiTheme="minorEastAsia" w:eastAsiaTheme="minorEastAsia" w:cstheme="minorEastAsia"/>
                <w:b/>
                <w:bCs/>
                <w:color w:val="auto"/>
                <w:szCs w:val="21"/>
                <w:highlight w:val="none"/>
              </w:rPr>
              <w:t>项目实施过程中提供项目团队成员中至少1人的驻场服务。</w:t>
            </w:r>
          </w:p>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维护服务：</w:t>
            </w:r>
          </w:p>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1）系统投入运行后设有专人保障系统运行；</w:t>
            </w:r>
          </w:p>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2）现场技术服务方式，指因应用软件系统出现重大故障导致业务中止时，供应商派技术人员协助学校技术、业务人员一起对故障进行分析，提出解决方案，在征得学校同意后对故障进行处理和排除；</w:t>
            </w:r>
          </w:p>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3）远程维护方式，通过电话、电子邮件、传真或远程访问等方式进行系统故障的处理、技术支持、咨询服务等工作。</w:t>
            </w:r>
          </w:p>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4）按月巡检：供应商按月到现场对系统进行全面检查，优化系统，同时做好各类系统运行情况的记录。对可能出现的故障提出解决预案及系统功能改进等方面的技术咨询工作，并提供必要的现场指导。</w:t>
            </w:r>
          </w:p>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5）运维响应：工作时间运维响应时间应在2小时以内，非工作时间运维响应时间应在4小时以内；如果需到现场进行服务，供应商应在接到运维请求后的6个小时以内赶到用户现场。</w:t>
            </w:r>
          </w:p>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6）在系统正常投入运行时，如涉及到方案的调整，谈判响应方应在一周内提出建议方案；</w:t>
            </w:r>
          </w:p>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培训及推广要求：</w:t>
            </w:r>
          </w:p>
          <w:p>
            <w:pPr>
              <w:pStyle w:val="23"/>
              <w:spacing w:line="360" w:lineRule="auto"/>
              <w:ind w:firstLine="420" w:firstLineChars="200"/>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结合项目实施，应为我校制定详细的应用培训计划，根据校方需要组织不少于三次现场应用培训活动。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交付时间</w:t>
            </w:r>
          </w:p>
        </w:tc>
        <w:tc>
          <w:tcPr>
            <w:tcW w:w="71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本项目自合同签订之日起</w:t>
            </w:r>
            <w:r>
              <w:rPr>
                <w:rFonts w:ascii="宋体" w:hAnsi="宋体" w:cs="宋体"/>
                <w:color w:val="auto"/>
                <w:sz w:val="21"/>
                <w:szCs w:val="21"/>
                <w:highlight w:val="none"/>
              </w:rPr>
              <w:t>5</w:t>
            </w:r>
            <w:r>
              <w:rPr>
                <w:rFonts w:hint="eastAsia" w:ascii="宋体" w:hAnsi="宋体" w:cs="宋体"/>
                <w:color w:val="auto"/>
                <w:sz w:val="21"/>
                <w:szCs w:val="21"/>
                <w:highlight w:val="none"/>
              </w:rPr>
              <w:t>个月内交付并完成验收。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验收标准</w:t>
            </w:r>
          </w:p>
        </w:tc>
        <w:tc>
          <w:tcPr>
            <w:tcW w:w="71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根据国家现行相关标准、规范，磋商文件、成交供应商响应文件内容进行验收，验收费用由成交供应商承担。</w:t>
            </w:r>
          </w:p>
        </w:tc>
      </w:tr>
    </w:tbl>
    <w:p>
      <w:pPr>
        <w:spacing w:line="360" w:lineRule="auto"/>
        <w:rPr>
          <w:rFonts w:ascii="宋体" w:hAnsi="宋体" w:cs="宋体"/>
          <w:b/>
          <w:color w:val="auto"/>
          <w:sz w:val="21"/>
          <w:szCs w:val="21"/>
          <w:highlight w:val="none"/>
        </w:rPr>
      </w:pPr>
    </w:p>
    <w:p>
      <w:pPr>
        <w:numPr>
          <w:ilvl w:val="0"/>
          <w:numId w:val="3"/>
        </w:numPr>
        <w:spacing w:line="360" w:lineRule="auto"/>
        <w:outlineLvl w:val="1"/>
        <w:rPr>
          <w:rFonts w:ascii="宋体" w:hAnsi="宋体" w:cs="宋体"/>
          <w:b/>
          <w:color w:val="auto"/>
          <w:sz w:val="21"/>
          <w:szCs w:val="21"/>
          <w:highlight w:val="none"/>
        </w:rPr>
      </w:pPr>
      <w:bookmarkStart w:id="15" w:name="_Toc4885"/>
      <w:r>
        <w:rPr>
          <w:rFonts w:hint="eastAsia" w:ascii="宋体" w:hAnsi="宋体" w:cs="宋体"/>
          <w:b/>
          <w:color w:val="auto"/>
          <w:sz w:val="21"/>
          <w:szCs w:val="21"/>
          <w:highlight w:val="none"/>
        </w:rPr>
        <w:t>技术要求</w:t>
      </w:r>
      <w:bookmarkEnd w:id="15"/>
    </w:p>
    <w:p>
      <w:pPr>
        <w:pStyle w:val="4"/>
        <w:spacing w:line="360" w:lineRule="auto"/>
        <w:rPr>
          <w:rFonts w:hint="default" w:asciiTheme="minorEastAsia" w:hAnsiTheme="minorEastAsia" w:eastAsiaTheme="minorEastAsia" w:cstheme="minorEastAsia"/>
          <w:color w:val="auto"/>
          <w:sz w:val="28"/>
          <w:szCs w:val="28"/>
          <w:highlight w:val="none"/>
        </w:rPr>
      </w:pPr>
      <w:r>
        <w:rPr>
          <w:rFonts w:asciiTheme="minorEastAsia" w:hAnsiTheme="minorEastAsia" w:eastAsiaTheme="minorEastAsia" w:cstheme="minorEastAsia"/>
          <w:color w:val="auto"/>
          <w:sz w:val="28"/>
          <w:szCs w:val="28"/>
          <w:highlight w:val="none"/>
        </w:rPr>
        <w:t>建设背景</w:t>
      </w:r>
    </w:p>
    <w:p>
      <w:pPr>
        <w:pStyle w:val="19"/>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浙江财经大学网上办事大厅项目从2018年5月开始建设，经过前期建设截止到目前为止，共发布上线流程198个，开发线上流程121项，覆盖全校29个业务领域22个业务部门，为全校1万8千多师生服务210万余次，实际办理次数200万余次。从建设效果来看，这些流程在一定程度上提高了业务部门的工作效率，尤其是在跨部门业务上体现的效果明显。从开发方式上，高效的流程开发及敏捷式的快速响应也得到了很好的验证。</w:t>
      </w:r>
    </w:p>
    <w:p>
      <w:pPr>
        <w:pStyle w:val="19"/>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但是随着网上办事大厅项目不断推进，也发现了一些亟需解决的新需求和新问题，具体有如下几个方面：</w:t>
      </w:r>
    </w:p>
    <w:p>
      <w:pPr>
        <w:pStyle w:val="19"/>
        <w:numPr>
          <w:ilvl w:val="0"/>
          <w:numId w:val="4"/>
        </w:num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已在学校服务两年，已不能满足学校日益增长的功能需求，另外流程服务覆盖的面不够，需要进一步对平台进行完善以及建设一批师生反馈比较强烈的业务，解决师生办事难的问题，持续完善学校网上办事大厅服务能力，增加各部门在网上办事大厅的业务办理从而提高办事效率和服务质量。</w:t>
      </w:r>
    </w:p>
    <w:p>
      <w:pPr>
        <w:pStyle w:val="19"/>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rPr>
        <w:t>）学校目前已经无法满足日益增长的自助打印师生的需求,需要与网上办事大厅中相关的业务流程紧密结合，并新建一部分适用于自助打印的业务流程。</w:t>
      </w:r>
    </w:p>
    <w:p>
      <w:pPr>
        <w:pStyle w:val="19"/>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网上办事大厅的运行服务所积累的数据是学校宝贵的财富，体现了学校高效便捷的服务，如何管理并利用好这些数据是非常关键的，需要建设相关数据管理系统，对数据进行有效的管理，并对数据进行统计分析，展示学校在网上办事大厅中所取得的成果，并进一步了解平台的运行服务情况。</w:t>
      </w:r>
    </w:p>
    <w:p>
      <w:pPr>
        <w:pStyle w:val="4"/>
        <w:numPr>
          <w:ilvl w:val="1"/>
          <w:numId w:val="5"/>
        </w:numPr>
        <w:spacing w:before="156" w:after="156" w:line="360" w:lineRule="auto"/>
        <w:ind w:left="0" w:firstLine="0"/>
        <w:rPr>
          <w:rFonts w:hint="default" w:asciiTheme="minorEastAsia" w:hAnsiTheme="minorEastAsia" w:eastAsiaTheme="minorEastAsia" w:cstheme="minorEastAsia"/>
          <w:color w:val="auto"/>
          <w:sz w:val="28"/>
          <w:szCs w:val="28"/>
          <w:highlight w:val="none"/>
        </w:rPr>
      </w:pPr>
      <w:r>
        <w:rPr>
          <w:rFonts w:asciiTheme="minorEastAsia" w:hAnsiTheme="minorEastAsia" w:eastAsiaTheme="minorEastAsia" w:cstheme="minorEastAsia"/>
          <w:color w:val="auto"/>
          <w:sz w:val="28"/>
          <w:szCs w:val="28"/>
          <w:highlight w:val="none"/>
        </w:rPr>
        <w:t>项目建设目标</w:t>
      </w:r>
    </w:p>
    <w:p>
      <w:pPr>
        <w:pStyle w:val="19"/>
        <w:numPr>
          <w:ilvl w:val="0"/>
          <w:numId w:val="6"/>
        </w:numPr>
        <w:spacing w:line="360" w:lineRule="auto"/>
        <w:ind w:firstLine="422" w:firstLineChars="200"/>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网上办事大厅的完善和优化</w:t>
      </w:r>
    </w:p>
    <w:p>
      <w:pPr>
        <w:pStyle w:val="19"/>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近两年的大厅运行分析，完善大厅相关功能，持续优化提升平台的能力，提高平台的稳定性和负载能力，提高大厅的服务能力。对已上线流程的运营数据分析，以及用户的反馈，持续的优化和完善相关流程，增强用户体验。</w:t>
      </w:r>
    </w:p>
    <w:p>
      <w:pPr>
        <w:pStyle w:val="19"/>
        <w:spacing w:line="360" w:lineRule="auto"/>
        <w:ind w:firstLine="422" w:firstLineChars="200"/>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2.新流程建设</w:t>
      </w:r>
    </w:p>
    <w:p>
      <w:pPr>
        <w:pStyle w:val="19"/>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结合学校现有的业务需求，从业务规范出发，以事项、流程、服务为核心，整合资源，建设相关流程，持续为全校师生提供更多更高效便捷的流程服务。</w:t>
      </w:r>
    </w:p>
    <w:p>
      <w:pPr>
        <w:pStyle w:val="19"/>
        <w:spacing w:line="360" w:lineRule="auto"/>
        <w:ind w:firstLine="422" w:firstLineChars="200"/>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3.自助打印服务</w:t>
      </w:r>
    </w:p>
    <w:p>
      <w:pPr>
        <w:pStyle w:val="19"/>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设自助打印机系统，梳理可接入自助打印系统的流程，新建自助打印服务所需流程，结合自助打印机等智能设备，接通“最多跑一次”最后一公里的道路，提供自助打印全方面的服务，使得一站式服务理念更加全面化和系统化。</w:t>
      </w:r>
    </w:p>
    <w:p>
      <w:pPr>
        <w:pStyle w:val="19"/>
        <w:numPr>
          <w:ilvl w:val="0"/>
          <w:numId w:val="7"/>
        </w:numPr>
        <w:spacing w:line="360" w:lineRule="auto"/>
        <w:ind w:firstLine="422" w:firstLineChars="200"/>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校务数据的深度融合</w:t>
      </w:r>
    </w:p>
    <w:p>
      <w:pPr>
        <w:pStyle w:val="19"/>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充分展现、管理并利用学校运行中的网上办事大厅所积累的数据，可对数据进行分析，可提供学校决策部门使用，也可将数据对接学校数据中心，为学校大数据建设提供有利的支撑。</w:t>
      </w:r>
    </w:p>
    <w:p>
      <w:pPr>
        <w:pStyle w:val="4"/>
        <w:numPr>
          <w:ilvl w:val="1"/>
          <w:numId w:val="5"/>
        </w:numPr>
        <w:spacing w:before="156" w:after="156" w:line="360" w:lineRule="auto"/>
        <w:ind w:left="0" w:firstLine="0"/>
        <w:rPr>
          <w:rFonts w:hint="default" w:asciiTheme="minorEastAsia" w:hAnsiTheme="minorEastAsia" w:eastAsiaTheme="minorEastAsia" w:cstheme="minorEastAsia"/>
          <w:color w:val="auto"/>
          <w:sz w:val="28"/>
          <w:szCs w:val="28"/>
          <w:highlight w:val="none"/>
        </w:rPr>
      </w:pPr>
      <w:r>
        <w:rPr>
          <w:rFonts w:asciiTheme="minorEastAsia" w:hAnsiTheme="minorEastAsia" w:eastAsiaTheme="minorEastAsia" w:cstheme="minorEastAsia"/>
          <w:color w:val="auto"/>
          <w:sz w:val="28"/>
          <w:szCs w:val="28"/>
          <w:highlight w:val="none"/>
        </w:rPr>
        <w:t>建设内容</w:t>
      </w:r>
    </w:p>
    <w:p>
      <w:pPr>
        <w:pStyle w:val="5"/>
        <w:numPr>
          <w:ilvl w:val="1"/>
          <w:numId w:val="0"/>
        </w:num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1.2.1 流程服务开发</w:t>
      </w:r>
    </w:p>
    <w:p>
      <w:pPr>
        <w:pStyle w:val="24"/>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基于学校现有流程服务构建工具提供不少于1</w:t>
      </w:r>
      <w:r>
        <w:rPr>
          <w:rFonts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rPr>
        <w:t>条完整的业务流程的构建、实施与可持续服务，服务内容包括：</w:t>
      </w:r>
    </w:p>
    <w:p>
      <w:pPr>
        <w:pStyle w:val="19"/>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1.业务调研</w:t>
      </w:r>
    </w:p>
    <w:p>
      <w:pPr>
        <w:pStyle w:val="24"/>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根据业务单位现有业务办理的基础材料(办理人需填写的表格文件，业务办理的流程说明文件，参与业务审核的部门人员信息等等)进行流程梳理，形成以下文件：</w:t>
      </w:r>
    </w:p>
    <w:p>
      <w:pPr>
        <w:pStyle w:val="24"/>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1）业务流程表单：根据业务办理需要，审核节点的需要形成若干表单文件，并供业务部门逐一确认表单内容；</w:t>
      </w:r>
    </w:p>
    <w:p>
      <w:pPr>
        <w:pStyle w:val="24"/>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2）在流程平台中绘制流程图：根据业务办理的流程说明，形成可视化的流程图，表达基本的流转逻辑以供业务部门确认及修改。</w:t>
      </w:r>
    </w:p>
    <w:p>
      <w:pPr>
        <w:pStyle w:val="19"/>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2.流程基础开发</w:t>
      </w:r>
    </w:p>
    <w:p>
      <w:pPr>
        <w:pStyle w:val="24"/>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根据业务调研的结果，完成流程的基础开发，能够快速实现可运行的原型，以达到业务部门所见即所得的流程演示效果，在此基础上做进一步需求确认。</w:t>
      </w:r>
    </w:p>
    <w:p>
      <w:pPr>
        <w:pStyle w:val="19"/>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3.流程修改及完善</w:t>
      </w:r>
    </w:p>
    <w:p>
      <w:pPr>
        <w:pStyle w:val="24"/>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根据业务部门的修改意见不断完善流程，提供快速迭代的流程修改和优化服务，包括表单修改及流程节点调整，流程逻辑修改。</w:t>
      </w:r>
    </w:p>
    <w:p>
      <w:pPr>
        <w:pStyle w:val="19"/>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4.业务数据的管理与对接</w:t>
      </w:r>
    </w:p>
    <w:p>
      <w:pPr>
        <w:pStyle w:val="24"/>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业务流程的实际需要，对业务流程产生的数据实现自动、完整的数据建模和数据持久化保存，对流程产生的业务数据能够实现数据管理功能，数据管理功能能够无缝对接权限体系。并根据需要实现与现有其他业务系统的数据对接。</w:t>
      </w:r>
    </w:p>
    <w:p>
      <w:pPr>
        <w:pStyle w:val="19"/>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5.流程上线准备</w:t>
      </w:r>
    </w:p>
    <w:p>
      <w:pPr>
        <w:pStyle w:val="24"/>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成流程审核节点的岗位配置，流程上线前的试运行工作，相关人员的使用培训等等;流程上线后，协助完成数据维护，人员信息服务，做好人员培训，流程外部干预等工作;流程经上线后的局部修改，流程根据政策变化做的局部调整等工作。</w:t>
      </w:r>
    </w:p>
    <w:p>
      <w:pPr>
        <w:pStyle w:val="5"/>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1.2.2自助打印</w:t>
      </w:r>
    </w:p>
    <w:p>
      <w:pPr>
        <w:pStyle w:val="19"/>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1.自助打印设备管理软件平台要求</w:t>
      </w:r>
    </w:p>
    <w:p>
      <w:pPr>
        <w:pStyle w:val="24"/>
        <w:ind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1）采用B/S结构，可跨平台（windows、linux）部署。需实现与学校统一身份认证、单点登录对接。</w:t>
      </w:r>
    </w:p>
    <w:p>
      <w:pPr>
        <w:pStyle w:val="24"/>
        <w:ind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2）系统内所有审批事项、服务事项、业务办理等业务流程，必须与学校现有网上办事大厅（PC端、移动端）对接。所有业务流程均在学校网上办事大厅服务平台的工作流引擎上定制，由现有网上办事大厅服务平台负责将业务流程与任务中心的对接。如果采用系统自带的业务流程，则需自行完成与学校网上大厅（PC端、移动端）的对接。</w:t>
      </w:r>
    </w:p>
    <w:p>
      <w:pPr>
        <w:pStyle w:val="24"/>
        <w:ind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主要包括：</w:t>
      </w:r>
    </w:p>
    <w:p>
      <w:pPr>
        <w:pStyle w:val="24"/>
        <w:numPr>
          <w:ilvl w:val="0"/>
          <w:numId w:val="8"/>
        </w:numPr>
        <w:ind w:left="0"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每个业务有独立的url，在完成统一身份认证后，可以直接进入业务办理；每个业务所属的独立url打开的页面采用HTML5技术开发；</w:t>
      </w:r>
    </w:p>
    <w:p>
      <w:pPr>
        <w:pStyle w:val="24"/>
        <w:numPr>
          <w:ilvl w:val="0"/>
          <w:numId w:val="8"/>
        </w:numPr>
        <w:ind w:left="0"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业务办理过程中，每一步操作都需反馈给任务中心。</w:t>
      </w:r>
    </w:p>
    <w:p>
      <w:pPr>
        <w:pStyle w:val="24"/>
        <w:ind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3）提供数据字典，满足学校的数据标准，完成与学校共享数据中心的数据交换。</w:t>
      </w:r>
    </w:p>
    <w:p>
      <w:pPr>
        <w:pStyle w:val="24"/>
        <w:ind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前端兼容主流浏览器，包括：IE、Edge、Chrome、Safari、fireFox、360浏览器的最新版本和常用版本。</w:t>
      </w:r>
    </w:p>
    <w:p>
      <w:pPr>
        <w:pStyle w:val="19"/>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内置支持线上线下融合（O2O）的服务模式。内置支持可视化的线上线下混合流程编排能力，无需额外程序开发即可实现线上信息流转与线下实物流转无缝融合的业务流程，灵活支持电子校务中个性化、跨校区的材料线上申请线下自助打印。</w:t>
      </w:r>
    </w:p>
    <w:p>
      <w:pPr>
        <w:pStyle w:val="19"/>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rPr>
        <w:t>内置统一的消息通知服务</w:t>
      </w:r>
    </w:p>
    <w:p>
      <w:pPr>
        <w:pStyle w:val="19"/>
        <w:numPr>
          <w:ilvl w:val="0"/>
          <w:numId w:val="8"/>
        </w:numPr>
        <w:spacing w:line="360" w:lineRule="auto"/>
        <w:ind w:left="0"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能够在任意节点通过配置实现各种指定形式、指定内容的流程执行通知；</w:t>
      </w:r>
    </w:p>
    <w:p>
      <w:pPr>
        <w:pStyle w:val="24"/>
        <w:numPr>
          <w:ilvl w:val="0"/>
          <w:numId w:val="8"/>
        </w:numPr>
        <w:ind w:left="0"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需与学校统一通讯平台、信息门户消息中心、学校微信企业号消息中心进行集成；</w:t>
      </w:r>
    </w:p>
    <w:p>
      <w:pPr>
        <w:pStyle w:val="19"/>
        <w:numPr>
          <w:ilvl w:val="0"/>
          <w:numId w:val="8"/>
        </w:numPr>
        <w:spacing w:line="360" w:lineRule="auto"/>
        <w:ind w:left="0"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统一的消息通知服务支持开放API，可以被外部应用使用。</w:t>
      </w:r>
    </w:p>
    <w:p>
      <w:pPr>
        <w:pStyle w:val="19"/>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2.自助打印服务业务流程对接及新建要求</w:t>
      </w:r>
    </w:p>
    <w:p>
      <w:pPr>
        <w:pStyle w:val="24"/>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1）梳理目前网上办事大厅中可接入自助打印服务的业务流程；根据学校目前需求及实际情况，新建一批新的自助打印服务流程；</w:t>
      </w:r>
    </w:p>
    <w:p>
      <w:pPr>
        <w:pStyle w:val="24"/>
        <w:ind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2）根据学校实际需求，实现自助打印服务业务流程对接及新建不少于14条。</w:t>
      </w:r>
    </w:p>
    <w:p>
      <w:pPr>
        <w:pStyle w:val="19"/>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3.自助打印终端设备硬件配置要求</w:t>
      </w:r>
    </w:p>
    <w:p>
      <w:pPr>
        <w:pStyle w:val="24"/>
        <w:ind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rPr>
        <w:t>要求智能打印终端和学校网上办事大厅结合，网上办事大厅流程审批完成后涉及到文件打印时，可以通过发送打印码到相关需要打印人员的手机上，由办理人员在智能服务终端上输入“打印码”进行自助打印；</w:t>
      </w:r>
    </w:p>
    <w:p>
      <w:pPr>
        <w:pStyle w:val="24"/>
        <w:ind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2）要求智能打印终端可以和各个业务系统对接，要求智能服务终端，根据学校实际的应用场景，需要能够对接财务系统，学工系统，教务系统等；</w:t>
      </w:r>
    </w:p>
    <w:p>
      <w:pPr>
        <w:pStyle w:val="23"/>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3）自助打印终端设备硬件配置要求：</w:t>
      </w:r>
    </w:p>
    <w:p>
      <w:pPr>
        <w:pStyle w:val="25"/>
        <w:numPr>
          <w:ilvl w:val="0"/>
          <w:numId w:val="8"/>
        </w:numPr>
        <w:tabs>
          <w:tab w:val="left" w:pos="360"/>
        </w:tabs>
        <w:spacing w:line="360" w:lineRule="auto"/>
        <w:ind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机柜：冷轧钢板金属机柜</w:t>
      </w:r>
    </w:p>
    <w:p>
      <w:pPr>
        <w:tabs>
          <w:tab w:val="left" w:pos="360"/>
        </w:tabs>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表面处理：采用汽车金属烤漆</w:t>
      </w:r>
    </w:p>
    <w:p>
      <w:pPr>
        <w:tabs>
          <w:tab w:val="left" w:pos="360"/>
        </w:tabs>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控制面板：电源开关、音响、音量、音调调谐 接口：RJ45网络接口</w:t>
      </w:r>
    </w:p>
    <w:p>
      <w:pPr>
        <w:tabs>
          <w:tab w:val="left" w:pos="360"/>
        </w:tabs>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电压：AC220V±10% 50Hz±1Hz 功耗：＜200W 开机瞬间电流：3A</w:t>
      </w:r>
    </w:p>
    <w:p>
      <w:pPr>
        <w:tabs>
          <w:tab w:val="left" w:pos="360"/>
        </w:tabs>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立体声功效音响: 功放功率：2.2W 喇叭功率:5W 频响：100Hz~20KHz风扇:规格9*9 12V。</w:t>
      </w:r>
    </w:p>
    <w:p>
      <w:pPr>
        <w:pStyle w:val="25"/>
        <w:spacing w:line="360" w:lineRule="auto"/>
        <w:ind w:firstLine="0" w:firstLineChars="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展示、触控显示器：</w:t>
      </w:r>
      <w:r>
        <w:rPr>
          <w:rFonts w:hint="eastAsia" w:asciiTheme="minorEastAsia" w:hAnsiTheme="minorEastAsia" w:eastAsiaTheme="minorEastAsia" w:cstheme="minorEastAsia"/>
          <w:bCs/>
          <w:color w:val="auto"/>
          <w:sz w:val="21"/>
          <w:szCs w:val="21"/>
          <w:highlight w:val="none"/>
        </w:rPr>
        <w:t>采用≥41英寸</w:t>
      </w:r>
      <w:r>
        <w:rPr>
          <w:rFonts w:hint="eastAsia" w:asciiTheme="minorEastAsia" w:hAnsiTheme="minorEastAsia" w:eastAsiaTheme="minorEastAsia" w:cstheme="minorEastAsia"/>
          <w:color w:val="auto"/>
          <w:sz w:val="21"/>
          <w:szCs w:val="21"/>
          <w:highlight w:val="none"/>
        </w:rPr>
        <w:t>红外</w:t>
      </w:r>
      <w:r>
        <w:rPr>
          <w:rFonts w:hint="eastAsia" w:asciiTheme="minorEastAsia" w:hAnsiTheme="minorEastAsia" w:eastAsiaTheme="minorEastAsia" w:cstheme="minorEastAsia"/>
          <w:bCs/>
          <w:color w:val="auto"/>
          <w:sz w:val="21"/>
          <w:szCs w:val="21"/>
          <w:highlight w:val="none"/>
        </w:rPr>
        <w:t>显示器</w:t>
      </w:r>
    </w:p>
    <w:p>
      <w:pPr>
        <w:spacing w:line="360" w:lineRule="auto"/>
        <w:ind w:firstLine="48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屏幕表面采用黄宝石等级7H高硬度强化玻璃，采用Super Clear PLS TFT面板，Full HD 1080p 全高清显示，内置USB端口。</w:t>
      </w:r>
    </w:p>
    <w:p>
      <w:pPr>
        <w:spacing w:line="360" w:lineRule="auto"/>
        <w:ind w:firstLine="48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可视区域：≥41英寸，最佳分辨率≥1920×1080，显示比例16：9；对比度≥3000：1；表面涂层：抗眩光多层膜。</w:t>
      </w:r>
    </w:p>
    <w:p>
      <w:pPr>
        <w:pStyle w:val="25"/>
        <w:numPr>
          <w:ilvl w:val="0"/>
          <w:numId w:val="8"/>
        </w:numPr>
        <w:spacing w:line="360" w:lineRule="auto"/>
        <w:ind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工业控制主机：</w:t>
      </w:r>
    </w:p>
    <w:p>
      <w:pPr>
        <w:tabs>
          <w:tab w:val="left" w:pos="360"/>
        </w:tabs>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机箱：纤小型机器，盒式结构，可嵌入式安装，采用优质镀锌钢板； </w:t>
      </w:r>
    </w:p>
    <w:p>
      <w:pPr>
        <w:tabs>
          <w:tab w:val="left" w:pos="360"/>
        </w:tabs>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基本配置：CPU处理器≥酷睿I3，标配内存≥4GB，内存最大可支持16GB，硬盘≥500G；</w:t>
      </w:r>
    </w:p>
    <w:p>
      <w:pPr>
        <w:tabs>
          <w:tab w:val="left" w:pos="360"/>
        </w:tabs>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标配接口：USB接口≥8个；串口≥10个RS-232；麦克风和耳机插孔≥2 个，视频端口≥1 个，RS-232 串并行端口；网络接口：集成≥2个10M/100M/1000M自适应网络连接接口；显示：≥2*VGA； </w:t>
      </w:r>
    </w:p>
    <w:p>
      <w:pPr>
        <w:pStyle w:val="23"/>
        <w:spacing w:line="360" w:lineRule="auto"/>
        <w:ind w:firstLine="398" w:firstLineChars="200"/>
        <w:rPr>
          <w:rFonts w:hint="eastAsia" w:asciiTheme="minorEastAsia" w:hAnsiTheme="minorEastAsia" w:eastAsiaTheme="minorEastAsia" w:cstheme="minorEastAsia"/>
          <w:b/>
          <w:bCs/>
          <w:color w:val="auto"/>
          <w:sz w:val="21"/>
          <w:szCs w:val="21"/>
          <w:highlight w:val="none"/>
        </w:rPr>
      </w:pPr>
      <w:r>
        <w:rPr>
          <w:rFonts w:hint="eastAsia" w:ascii="宋体" w:hAnsi="宋体"/>
          <w:b/>
          <w:bCs/>
          <w:color w:val="auto"/>
          <w:spacing w:val="-6"/>
          <w:sz w:val="21"/>
          <w:szCs w:val="21"/>
          <w:highlight w:val="none"/>
        </w:rPr>
        <w:t>▲</w:t>
      </w:r>
      <w:r>
        <w:rPr>
          <w:rFonts w:hint="eastAsia" w:asciiTheme="minorEastAsia" w:hAnsiTheme="minorEastAsia" w:eastAsiaTheme="minorEastAsia" w:cstheme="minorEastAsia"/>
          <w:b/>
          <w:bCs/>
          <w:color w:val="auto"/>
          <w:sz w:val="21"/>
          <w:szCs w:val="21"/>
          <w:highlight w:val="none"/>
        </w:rPr>
        <w:t>符合国家强制性产品要求，已通过CCC认证，投标时需提供响应产品所使用的工控主机对应型号CCC认证证书。</w:t>
      </w:r>
    </w:p>
    <w:p>
      <w:pPr>
        <w:pStyle w:val="23"/>
        <w:spacing w:line="360" w:lineRule="auto"/>
        <w:ind w:firstLine="420" w:firstLineChars="200"/>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kern w:val="0"/>
          <w:szCs w:val="21"/>
          <w:highlight w:val="none"/>
        </w:rPr>
        <w:t>4）自助打印终端设备硬件配置要求：2台。</w:t>
      </w:r>
    </w:p>
    <w:p>
      <w:pPr>
        <w:pStyle w:val="25"/>
        <w:numPr>
          <w:ilvl w:val="0"/>
          <w:numId w:val="8"/>
        </w:numPr>
        <w:tabs>
          <w:tab w:val="left" w:pos="360"/>
        </w:tabs>
        <w:spacing w:line="360" w:lineRule="auto"/>
        <w:ind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彩色打印机：</w:t>
      </w:r>
    </w:p>
    <w:p>
      <w:pPr>
        <w:tabs>
          <w:tab w:val="left" w:pos="360"/>
        </w:tabs>
        <w:spacing w:line="360" w:lineRule="auto"/>
        <w:ind w:left="48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产品类型：彩色激光打印机；首页输出时间：≦7秒；黑白、彩色打印速度：≥38PPM；最高分辨率：1200x1200dpi ；最大打印幅面：A4；处理器：≥792MHz； 内存：标配512MB；进纸盒容量：标配纸盒&gt;=500页，加配纸盒&gt;=500页纸盒；配置4个纸盒；支持有线网络链接。</w:t>
      </w:r>
    </w:p>
    <w:p>
      <w:pPr>
        <w:pStyle w:val="2"/>
        <w:spacing w:line="360" w:lineRule="auto"/>
        <w:ind w:firstLine="398" w:firstLineChars="200"/>
        <w:rPr>
          <w:rFonts w:hAnsi="宋体"/>
          <w:b/>
          <w:bCs/>
          <w:color w:val="auto"/>
          <w:spacing w:val="-6"/>
          <w:sz w:val="21"/>
          <w:szCs w:val="21"/>
          <w:highlight w:val="none"/>
        </w:rPr>
      </w:pPr>
      <w:r>
        <w:rPr>
          <w:rFonts w:hint="eastAsia" w:hAnsi="宋体"/>
          <w:b/>
          <w:bCs/>
          <w:color w:val="auto"/>
          <w:spacing w:val="-6"/>
          <w:sz w:val="21"/>
          <w:szCs w:val="21"/>
          <w:highlight w:val="none"/>
        </w:rPr>
        <w:t>▲激光打印机属于政府强制采购产品，所投激光打印机需提供国家确定的认证机构出具的处于有效期之内的节能产品认证证书。</w:t>
      </w:r>
    </w:p>
    <w:p>
      <w:pPr>
        <w:pStyle w:val="25"/>
        <w:numPr>
          <w:ilvl w:val="0"/>
          <w:numId w:val="8"/>
        </w:numPr>
        <w:spacing w:line="360" w:lineRule="auto"/>
        <w:ind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硬件保修承诺：需提供原厂免费3年上门保修服务。工作时间运维响应时间应在</w:t>
      </w:r>
      <w:r>
        <w:rPr>
          <w:rFonts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rPr>
        <w:t>小时以内，非工作时间运维响应时间应在</w:t>
      </w:r>
      <w:r>
        <w:rPr>
          <w:rFonts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rPr>
        <w:t>小时以内；如果需到现场进行服务，供应商应在接到运维请求后的</w:t>
      </w:r>
      <w:r>
        <w:rPr>
          <w:rFonts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rPr>
        <w:t>个小时以内赶到用户现场。</w:t>
      </w:r>
    </w:p>
    <w:p>
      <w:pPr>
        <w:pStyle w:val="5"/>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1.2.3数据主题管理平台</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为解决学校独特复杂业务的处理能力，同时又保留传统业务系统对于数据查询报表，统计分析的特长，快速有效的提升管理与服务能力，加快与提升高校信息化建设的步伐与能力，需建设数据主题管理平台，数据主题新建要求如下：</w:t>
      </w:r>
    </w:p>
    <w:p>
      <w:pPr>
        <w:spacing w:line="360" w:lineRule="auto"/>
        <w:ind w:firstLine="420" w:firstLineChars="20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1.基于学校现有网上办事大厅平台，实现表单数据查询的可配置化，管理人员或者业务管理人员可以根据实际业务需要可配置当前流程表单数据的查询条件，对表单数据进行查询、导出等相关操作；</w:t>
      </w:r>
    </w:p>
    <w:p>
      <w:pPr>
        <w:spacing w:line="360" w:lineRule="auto"/>
        <w:ind w:firstLine="420" w:firstLineChars="20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2.支持按学校实际需求，与学校数据中心或岗位角色管理平台集成，从学校组织架构、岗位、角色、标签等维度，对不同数据主题进行分级授权；</w:t>
      </w:r>
    </w:p>
    <w:p>
      <w:pPr>
        <w:spacing w:line="360" w:lineRule="auto"/>
        <w:ind w:firstLine="420" w:firstLineChars="20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3.支持按学校实际需求，与学校数据中心或岗位角色管理平台集成，从学校组织架构、岗位、角色、标签等维度，对可查询表单数据进行分级授权，同级单位数据互不可见；</w:t>
      </w:r>
    </w:p>
    <w:p>
      <w:pPr>
        <w:spacing w:line="360" w:lineRule="auto"/>
        <w:ind w:firstLine="420" w:firstLineChars="20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4.支持表单数据的可配置图表分析，依据实际业务需求配置数据分析的维度，支持：饼状图、折线图、柱形图等通用图表分析样式；</w:t>
      </w:r>
    </w:p>
    <w:p>
      <w:pPr>
        <w:spacing w:line="360" w:lineRule="auto"/>
        <w:ind w:firstLine="420" w:firstLineChars="20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5.依据数据查询分析的条件可以将查询结果导出Excel,并可以下载；</w:t>
      </w:r>
    </w:p>
    <w:p>
      <w:pPr>
        <w:spacing w:line="360" w:lineRule="auto"/>
        <w:ind w:firstLine="420" w:firstLineChars="20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6.提供流程服务效率分析的功能，支持按照流程及版本对流程执行效率进行分析，包括：流程节点的办理情况、办理次数、办理平均耗时、最长耗时、最短耗时，并能计算流程整体的办理主要效率分析主要指标；</w:t>
      </w:r>
    </w:p>
    <w:p>
      <w:pPr>
        <w:spacing w:line="360" w:lineRule="auto"/>
        <w:ind w:firstLine="420" w:firstLineChars="20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7.实现网上办事大厅数据读写第三方数据的可配置化，包括：数据源可配置化，表单字段与数据表绑定，读写时机可配置化；</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8.按学校实际需求，在网上办事大厅选取15条业务流程，建设该15条流程服务的数据主题服务。</w:t>
      </w:r>
    </w:p>
    <w:p>
      <w:pPr>
        <w:pStyle w:val="5"/>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1.2.4日志分析管理系统</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日志分析管理系统主要为收集我校校园网内各类网络及服务器设备的相关日志，并实现6个月的日志保存期。设备各类性能必须符合国家信息系统等级保护对日志存储及管理部分的相关要求。</w:t>
      </w:r>
    </w:p>
    <w:tbl>
      <w:tblPr>
        <w:tblStyle w:val="16"/>
        <w:tblW w:w="95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589"/>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897" w:type="dxa"/>
            <w:gridSpan w:val="2"/>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技术指标</w:t>
            </w:r>
          </w:p>
        </w:tc>
        <w:tc>
          <w:tcPr>
            <w:tcW w:w="663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308" w:type="dxa"/>
            <w:vMerge w:val="restart"/>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性能指标</w:t>
            </w: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尺寸</w:t>
            </w:r>
          </w:p>
        </w:tc>
        <w:tc>
          <w:tcPr>
            <w:tcW w:w="663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2U架构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硬盘容量</w:t>
            </w:r>
          </w:p>
        </w:tc>
        <w:tc>
          <w:tcPr>
            <w:tcW w:w="663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企业盘4TB*2 +64G系统盘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运行内存</w:t>
            </w:r>
          </w:p>
        </w:tc>
        <w:tc>
          <w:tcPr>
            <w:tcW w:w="663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接口数量</w:t>
            </w:r>
          </w:p>
        </w:tc>
        <w:tc>
          <w:tcPr>
            <w:tcW w:w="663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6个千兆电口、2个USB 2.0口（可拓展）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电源</w:t>
            </w:r>
          </w:p>
        </w:tc>
        <w:tc>
          <w:tcPr>
            <w:tcW w:w="663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配置要求</w:t>
            </w:r>
          </w:p>
        </w:tc>
        <w:tc>
          <w:tcPr>
            <w:tcW w:w="663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包含500个主机审计许可证书，处理性能≥10000条/秒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308"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首页</w:t>
            </w: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总览</w:t>
            </w:r>
          </w:p>
        </w:tc>
        <w:tc>
          <w:tcPr>
            <w:tcW w:w="6639" w:type="dxa"/>
            <w:vAlign w:val="center"/>
          </w:tcPr>
          <w:p>
            <w:pPr>
              <w:tabs>
                <w:tab w:val="left" w:pos="1260"/>
              </w:tabs>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基于审计总览形式，展示整体的审计状况，包括当前存储空间、关联事件、审计事件、日志传输趋势；支持自定义设置可显示的模块（需提供截图证明）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308" w:type="dxa"/>
            <w:vMerge w:val="restart"/>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告警</w:t>
            </w: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关联事件告警</w:t>
            </w:r>
          </w:p>
        </w:tc>
        <w:tc>
          <w:tcPr>
            <w:tcW w:w="6639" w:type="dxa"/>
            <w:vAlign w:val="center"/>
          </w:tcPr>
          <w:p>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支持展示关联事件类型分布TOP5、对象IP统计TOP5、事件等级分布、事件趋势、事件列表；点击查看日志可自动跳转到日志检索（需提供截图证明）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审计事件告警</w:t>
            </w:r>
          </w:p>
        </w:tc>
        <w:tc>
          <w:tcPr>
            <w:tcW w:w="6639" w:type="dxa"/>
            <w:vAlign w:val="center"/>
          </w:tcPr>
          <w:p>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支持展示审计事件类型分布TOP5、对象IP统计TOP5、事件等级分布、事件趋势、事件列表（需提供截图证明）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日志告警</w:t>
            </w:r>
          </w:p>
        </w:tc>
        <w:tc>
          <w:tcPr>
            <w:tcW w:w="6639" w:type="dxa"/>
            <w:vAlign w:val="center"/>
          </w:tcPr>
          <w:p>
            <w:pPr>
              <w:tabs>
                <w:tab w:val="center" w:pos="3270"/>
              </w:tabs>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日志进行归一化操作后，对日志等级进行映射，根据不同设备会统计不同等级下的日志数（需提供截图证明）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308" w:type="dxa"/>
            <w:vMerge w:val="restart"/>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日志审计</w:t>
            </w: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日志检索</w:t>
            </w:r>
          </w:p>
        </w:tc>
        <w:tc>
          <w:tcPr>
            <w:tcW w:w="6639" w:type="dxa"/>
            <w:vAlign w:val="center"/>
          </w:tcPr>
          <w:p>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多种输入方式、搜索框模糊搜索、指定语段进行语法搜索；可根据时间、严重等级等进行组合查询；可根据具体设备、来源/目的所属（可具体到外网、内网资产等）、IP地址、特征ID、URL进行具体条件搜索；支持日志进行定时刷新（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操作记录</w:t>
            </w:r>
          </w:p>
        </w:tc>
        <w:tc>
          <w:tcPr>
            <w:tcW w:w="6639" w:type="dxa"/>
            <w:vAlign w:val="center"/>
          </w:tcPr>
          <w:p>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管理员账号可对本设备及所有接入设备的任何登陆、编辑、删除等操作进行记录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设备日志</w:t>
            </w:r>
          </w:p>
        </w:tc>
        <w:tc>
          <w:tcPr>
            <w:tcW w:w="6639" w:type="dxa"/>
            <w:vAlign w:val="center"/>
          </w:tcPr>
          <w:p>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以标准syslog等形式接收第三方设备的日志并存储；支持FTP、Webservice、JDBC的日志数据拉取接入方式；支持通过agent、wmi接口采集windows日志；支持对常见安全设备日志范式解析；支持通过SIEM日志解析引擎对第三方日志接入模块进行统一独立的升级维护（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日志过滤</w:t>
            </w:r>
          </w:p>
        </w:tc>
        <w:tc>
          <w:tcPr>
            <w:tcW w:w="6639" w:type="dxa"/>
            <w:vAlign w:val="center"/>
          </w:tcPr>
          <w:p>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在新增设备时，可指定字段设置过滤条件；支持指定36个字段进行过滤，且可指定多个字段，默认支持AND的关系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日志转发</w:t>
            </w:r>
          </w:p>
        </w:tc>
        <w:tc>
          <w:tcPr>
            <w:tcW w:w="6639" w:type="dxa"/>
            <w:vAlign w:val="center"/>
          </w:tcPr>
          <w:p>
            <w:pPr>
              <w:jc w:val="left"/>
              <w:rPr>
                <w:rFonts w:asciiTheme="minorEastAsia" w:hAnsiTheme="minorEastAsia" w:eastAsiaTheme="minorEastAsia" w:cstheme="minorEastAsia"/>
                <w:color w:val="auto"/>
                <w:sz w:val="21"/>
                <w:szCs w:val="21"/>
                <w:highlight w:val="none"/>
              </w:rPr>
            </w:pPr>
            <w:bookmarkStart w:id="16" w:name="_Hlk38389778"/>
            <w:r>
              <w:rPr>
                <w:rFonts w:hint="eastAsia" w:asciiTheme="minorEastAsia" w:hAnsiTheme="minorEastAsia" w:eastAsiaTheme="minorEastAsia" w:cstheme="minorEastAsia"/>
                <w:color w:val="auto"/>
                <w:sz w:val="21"/>
                <w:szCs w:val="21"/>
                <w:highlight w:val="none"/>
              </w:rPr>
              <w:t>支持批量或者单台设备数据转发，且可支持同时转发给多台设备，使用的是syslog转发，支持对接同品牌安全感知平台</w:t>
            </w:r>
            <w:bookmarkEnd w:id="16"/>
            <w:r>
              <w:rPr>
                <w:rFonts w:hint="eastAsia" w:asciiTheme="minorEastAsia" w:hAnsiTheme="minorEastAsia" w:eastAsiaTheme="minorEastAsia" w:cstheme="minorEastAsia"/>
                <w:color w:val="auto"/>
                <w:sz w:val="21"/>
                <w:szCs w:val="21"/>
                <w:highlight w:val="none"/>
              </w:rPr>
              <w:t>（需提供截图证明）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日志存储</w:t>
            </w:r>
          </w:p>
        </w:tc>
        <w:tc>
          <w:tcPr>
            <w:tcW w:w="6639" w:type="dxa"/>
            <w:vAlign w:val="center"/>
          </w:tcPr>
          <w:p>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可自定义设置日志存储天数，容量告警提示等；满足存储超过6个月以上的合规要求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解码小工具</w:t>
            </w:r>
          </w:p>
        </w:tc>
        <w:tc>
          <w:tcPr>
            <w:tcW w:w="6639" w:type="dxa"/>
            <w:vAlign w:val="center"/>
          </w:tcPr>
          <w:p>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支持按照不同的解码方式解码成不同的目标内容，编码格式包括base64、Unicode、GBK、HEX、UTF-8等（需提供截图证明）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308" w:type="dxa"/>
            <w:vMerge w:val="restart"/>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数据接入</w:t>
            </w: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大数据架构</w:t>
            </w:r>
          </w:p>
        </w:tc>
        <w:tc>
          <w:tcPr>
            <w:tcW w:w="6639" w:type="dxa"/>
            <w:vAlign w:val="center"/>
          </w:tcPr>
          <w:p>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基于logstash的接入架构，可供多台设备同时接入同步数据，并实时分析展示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数据源对接</w:t>
            </w:r>
          </w:p>
        </w:tc>
        <w:tc>
          <w:tcPr>
            <w:tcW w:w="6639" w:type="dxa"/>
            <w:vAlign w:val="center"/>
          </w:tcPr>
          <w:p>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通过接入序列号控制接入设备的个数，主要支持网络设备、安全设备、操作系统、中间件、数据库等设备的日志接入，可以获取到设备的传输日志量，设备同步数据状态等信息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308" w:type="dxa"/>
            <w:vMerge w:val="restart"/>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策略</w:t>
            </w:r>
          </w:p>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审计策略</w:t>
            </w:r>
          </w:p>
          <w:p>
            <w:pPr>
              <w:jc w:val="center"/>
              <w:rPr>
                <w:rFonts w:asciiTheme="minorEastAsia" w:hAnsiTheme="minorEastAsia" w:eastAsiaTheme="minorEastAsia" w:cstheme="minorEastAsia"/>
                <w:color w:val="auto"/>
                <w:sz w:val="21"/>
                <w:szCs w:val="21"/>
                <w:highlight w:val="none"/>
              </w:rPr>
            </w:pPr>
          </w:p>
        </w:tc>
        <w:tc>
          <w:tcPr>
            <w:tcW w:w="6639" w:type="dxa"/>
            <w:tcBorders>
              <w:bottom w:val="single" w:color="auto" w:sz="4" w:space="0"/>
            </w:tcBorders>
            <w:vAlign w:val="center"/>
          </w:tcPr>
          <w:p>
            <w:pPr>
              <w:jc w:val="left"/>
              <w:rPr>
                <w:rFonts w:asciiTheme="minorEastAsia" w:hAnsiTheme="minorEastAsia" w:eastAsiaTheme="minorEastAsia" w:cstheme="minorEastAsia"/>
                <w:color w:val="auto"/>
                <w:sz w:val="21"/>
                <w:szCs w:val="21"/>
                <w:highlight w:val="none"/>
              </w:rPr>
            </w:pPr>
            <w:bookmarkStart w:id="17" w:name="_Hlk38390112"/>
            <w:r>
              <w:rPr>
                <w:rFonts w:hint="eastAsia" w:asciiTheme="minorEastAsia" w:hAnsiTheme="minorEastAsia" w:eastAsiaTheme="minorEastAsia" w:cstheme="minorEastAsia"/>
                <w:color w:val="auto"/>
                <w:sz w:val="21"/>
                <w:szCs w:val="21"/>
                <w:highlight w:val="none"/>
              </w:rPr>
              <w:t>内置40+条审计策略，包括操作系统、数据库；可启用/禁用策略，默认匹配上后都会产生页面告警，支持开启邮件告警</w:t>
            </w:r>
            <w:bookmarkEnd w:id="17"/>
            <w:r>
              <w:rPr>
                <w:rFonts w:hint="eastAsia" w:asciiTheme="minorEastAsia" w:hAnsiTheme="minorEastAsia" w:eastAsiaTheme="minorEastAsia" w:cstheme="minorEastAsia"/>
                <w:color w:val="auto"/>
                <w:sz w:val="21"/>
                <w:szCs w:val="21"/>
                <w:highlight w:val="none"/>
              </w:rPr>
              <w:t>（需提供截图证明）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关联策略</w:t>
            </w:r>
          </w:p>
        </w:tc>
        <w:tc>
          <w:tcPr>
            <w:tcW w:w="6639" w:type="dxa"/>
            <w:tcBorders>
              <w:bottom w:val="single" w:color="auto" w:sz="4" w:space="0"/>
            </w:tcBorders>
            <w:vAlign w:val="center"/>
          </w:tcPr>
          <w:p>
            <w:pPr>
              <w:jc w:val="left"/>
              <w:rPr>
                <w:rFonts w:asciiTheme="minorEastAsia" w:hAnsiTheme="minorEastAsia" w:eastAsiaTheme="minorEastAsia" w:cstheme="minorEastAsia"/>
                <w:color w:val="auto"/>
                <w:sz w:val="21"/>
                <w:szCs w:val="21"/>
                <w:highlight w:val="none"/>
              </w:rPr>
            </w:pPr>
            <w:bookmarkStart w:id="18" w:name="_Hlk38390248"/>
            <w:r>
              <w:rPr>
                <w:rFonts w:hint="eastAsia" w:asciiTheme="minorEastAsia" w:hAnsiTheme="minorEastAsia" w:eastAsiaTheme="minorEastAsia" w:cstheme="minorEastAsia"/>
                <w:color w:val="auto"/>
                <w:sz w:val="21"/>
                <w:szCs w:val="21"/>
                <w:highlight w:val="none"/>
              </w:rPr>
              <w:t>内置80+条关联规则，包括主机异常、账号异常、权限异常等；支持新增统计类规则，可启用/禁用规则</w:t>
            </w:r>
            <w:bookmarkEnd w:id="18"/>
            <w:r>
              <w:rPr>
                <w:rFonts w:hint="eastAsia" w:asciiTheme="minorEastAsia" w:hAnsiTheme="minorEastAsia" w:eastAsiaTheme="minorEastAsia" w:cstheme="minorEastAsia"/>
                <w:color w:val="auto"/>
                <w:sz w:val="21"/>
                <w:szCs w:val="21"/>
                <w:highlight w:val="none"/>
              </w:rPr>
              <w:t>（需提供截图证明）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采集策略</w:t>
            </w:r>
          </w:p>
        </w:tc>
        <w:tc>
          <w:tcPr>
            <w:tcW w:w="6639" w:type="dxa"/>
            <w:tcBorders>
              <w:bottom w:val="single" w:color="auto" w:sz="4" w:space="0"/>
            </w:tcBorders>
            <w:vAlign w:val="center"/>
          </w:tcPr>
          <w:p>
            <w:pPr>
              <w:jc w:val="left"/>
              <w:rPr>
                <w:rFonts w:asciiTheme="minorEastAsia" w:hAnsiTheme="minorEastAsia" w:eastAsiaTheme="minorEastAsia" w:cstheme="minorEastAsia"/>
                <w:color w:val="auto"/>
                <w:sz w:val="21"/>
                <w:szCs w:val="21"/>
                <w:highlight w:val="none"/>
              </w:rPr>
            </w:pPr>
            <w:bookmarkStart w:id="19" w:name="_Hlk38390512"/>
            <w:r>
              <w:rPr>
                <w:rFonts w:hint="eastAsia" w:asciiTheme="minorEastAsia" w:hAnsiTheme="minorEastAsia" w:eastAsiaTheme="minorEastAsia" w:cstheme="minorEastAsia"/>
                <w:color w:val="auto"/>
                <w:sz w:val="21"/>
                <w:szCs w:val="21"/>
                <w:highlight w:val="none"/>
              </w:rPr>
              <w:t>支持750+第三方日志采集器</w:t>
            </w:r>
            <w:bookmarkEnd w:id="19"/>
            <w:r>
              <w:rPr>
                <w:rFonts w:hint="eastAsia" w:asciiTheme="minorEastAsia" w:hAnsiTheme="minorEastAsia" w:eastAsiaTheme="minorEastAsia" w:cstheme="minorEastAsia"/>
                <w:color w:val="auto"/>
                <w:sz w:val="21"/>
                <w:szCs w:val="21"/>
                <w:highlight w:val="none"/>
              </w:rPr>
              <w:t>（需提供截图证明）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308"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报表</w:t>
            </w: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报表</w:t>
            </w:r>
          </w:p>
        </w:tc>
        <w:tc>
          <w:tcPr>
            <w:tcW w:w="6639" w:type="dxa"/>
            <w:vAlign w:val="center"/>
          </w:tcPr>
          <w:p>
            <w:pPr>
              <w:jc w:val="left"/>
              <w:rPr>
                <w:rFonts w:asciiTheme="minorEastAsia" w:hAnsiTheme="minorEastAsia" w:eastAsiaTheme="minorEastAsia" w:cstheme="minorEastAsia"/>
                <w:color w:val="auto"/>
                <w:sz w:val="21"/>
                <w:szCs w:val="21"/>
                <w:highlight w:val="none"/>
              </w:rPr>
            </w:pPr>
            <w:bookmarkStart w:id="20" w:name="_Hlk38390535"/>
            <w:r>
              <w:rPr>
                <w:rFonts w:hint="eastAsia" w:asciiTheme="minorEastAsia" w:hAnsiTheme="minorEastAsia" w:eastAsiaTheme="minorEastAsia" w:cstheme="minorEastAsia"/>
                <w:color w:val="auto"/>
                <w:sz w:val="21"/>
                <w:szCs w:val="21"/>
                <w:highlight w:val="none"/>
              </w:rPr>
              <w:t>内置主机安全报表（linux）、主机安全报表（windows）、数据库安全报表、网络设备安全报表、应用安全报表五种；支持导出日报、周报、月报</w:t>
            </w:r>
            <w:bookmarkEnd w:id="20"/>
            <w:r>
              <w:rPr>
                <w:rFonts w:hint="eastAsia" w:asciiTheme="minorEastAsia" w:hAnsiTheme="minorEastAsia" w:eastAsiaTheme="minorEastAsia" w:cstheme="minorEastAsia"/>
                <w:color w:val="auto"/>
                <w:sz w:val="21"/>
                <w:szCs w:val="21"/>
                <w:highlight w:val="none"/>
              </w:rPr>
              <w:t>（需提供截图证明）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308" w:type="dxa"/>
            <w:vMerge w:val="restart"/>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综合管理</w:t>
            </w: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软件化部署</w:t>
            </w:r>
          </w:p>
        </w:tc>
        <w:tc>
          <w:tcPr>
            <w:tcW w:w="6639" w:type="dxa"/>
            <w:vAlign w:val="center"/>
          </w:tcPr>
          <w:p>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支持虚拟化场景下，安装部署软件版日志审计；</w:t>
            </w:r>
          </w:p>
          <w:p>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支持实体机硬件设备场景下，安装部署软件版日志审计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管理员权限</w:t>
            </w:r>
          </w:p>
        </w:tc>
        <w:tc>
          <w:tcPr>
            <w:tcW w:w="6639" w:type="dxa"/>
            <w:vAlign w:val="center"/>
          </w:tcPr>
          <w:p>
            <w:pPr>
              <w:jc w:val="left"/>
              <w:rPr>
                <w:rFonts w:asciiTheme="minorEastAsia" w:hAnsiTheme="minorEastAsia" w:eastAsiaTheme="minorEastAsia" w:cstheme="minorEastAsia"/>
                <w:color w:val="auto"/>
                <w:sz w:val="21"/>
                <w:szCs w:val="21"/>
                <w:highlight w:val="none"/>
              </w:rPr>
            </w:pPr>
            <w:bookmarkStart w:id="21" w:name="_Hlk38390647"/>
            <w:r>
              <w:rPr>
                <w:rFonts w:hint="eastAsia" w:asciiTheme="minorEastAsia" w:hAnsiTheme="minorEastAsia" w:eastAsiaTheme="minorEastAsia" w:cstheme="minorEastAsia"/>
                <w:color w:val="auto"/>
                <w:sz w:val="21"/>
                <w:szCs w:val="21"/>
                <w:highlight w:val="none"/>
              </w:rPr>
              <w:t>提供管理员账号创建、修改、删除，并可针对创建的管理员进行权限设置；支持IP免登录，指定IP免认证直接进入平台；支持只允许某些IP登录平台；支持页面权限配置和资产范围配置，用于管理账号权限，满足用户三权分立的需求；支持usb-key认证</w:t>
            </w:r>
            <w:bookmarkEnd w:id="21"/>
            <w:r>
              <w:rPr>
                <w:rFonts w:hint="eastAsia" w:asciiTheme="minorEastAsia" w:hAnsiTheme="minorEastAsia" w:eastAsiaTheme="minorEastAsia" w:cstheme="minorEastAsia"/>
                <w:color w:val="auto"/>
                <w:sz w:val="21"/>
                <w:szCs w:val="21"/>
                <w:highlight w:val="none"/>
              </w:rPr>
              <w:t>（需提供截图证明）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系统设置</w:t>
            </w:r>
          </w:p>
        </w:tc>
        <w:tc>
          <w:tcPr>
            <w:tcW w:w="6639" w:type="dxa"/>
            <w:vAlign w:val="center"/>
          </w:tcPr>
          <w:p>
            <w:pPr>
              <w:tabs>
                <w:tab w:val="left" w:pos="915"/>
              </w:tabs>
              <w:jc w:val="left"/>
              <w:rPr>
                <w:rFonts w:asciiTheme="minorEastAsia" w:hAnsiTheme="minorEastAsia" w:eastAsiaTheme="minorEastAsia" w:cstheme="minorEastAsia"/>
                <w:color w:val="auto"/>
                <w:sz w:val="21"/>
                <w:szCs w:val="21"/>
                <w:highlight w:val="none"/>
              </w:rPr>
            </w:pPr>
            <w:bookmarkStart w:id="22" w:name="_Hlk38391084"/>
            <w:r>
              <w:rPr>
                <w:rFonts w:hint="eastAsia" w:asciiTheme="minorEastAsia" w:hAnsiTheme="minorEastAsia" w:eastAsiaTheme="minorEastAsia" w:cstheme="minorEastAsia"/>
                <w:color w:val="auto"/>
                <w:sz w:val="21"/>
                <w:szCs w:val="21"/>
                <w:highlight w:val="none"/>
              </w:rPr>
              <w:t>对接口、日志、控制台、邮件服务器、路由等进行配置，并可进行恢复出厂设置、重启设备、同步时间等操作</w:t>
            </w:r>
            <w:bookmarkEnd w:id="22"/>
            <w:r>
              <w:rPr>
                <w:rFonts w:hint="eastAsia" w:asciiTheme="minorEastAsia" w:hAnsiTheme="minorEastAsia" w:eastAsiaTheme="minorEastAsia" w:cstheme="minorEastAsia"/>
                <w:color w:val="auto"/>
                <w:sz w:val="21"/>
                <w:szCs w:val="21"/>
                <w:highlight w:val="none"/>
              </w:rPr>
              <w:t>（需提供截图证明）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数据备份</w:t>
            </w:r>
          </w:p>
        </w:tc>
        <w:tc>
          <w:tcPr>
            <w:tcW w:w="6639" w:type="dxa"/>
            <w:vAlign w:val="center"/>
          </w:tcPr>
          <w:p>
            <w:pPr>
              <w:jc w:val="left"/>
              <w:rPr>
                <w:rFonts w:asciiTheme="minorEastAsia" w:hAnsiTheme="minorEastAsia" w:eastAsiaTheme="minorEastAsia" w:cstheme="minorEastAsia"/>
                <w:color w:val="auto"/>
                <w:sz w:val="21"/>
                <w:szCs w:val="21"/>
                <w:highlight w:val="none"/>
              </w:rPr>
            </w:pPr>
            <w:bookmarkStart w:id="23" w:name="_Hlk38391441"/>
            <w:r>
              <w:rPr>
                <w:rFonts w:hint="eastAsia" w:asciiTheme="minorEastAsia" w:hAnsiTheme="minorEastAsia" w:eastAsiaTheme="minorEastAsia" w:cstheme="minorEastAsia"/>
                <w:color w:val="auto"/>
                <w:sz w:val="21"/>
                <w:szCs w:val="21"/>
                <w:highlight w:val="none"/>
              </w:rPr>
              <w:t>支持接入的全部日志、自身操作日志进行ftp备份；支持自动定时备份，自动同步到ftp服务器</w:t>
            </w:r>
            <w:bookmarkEnd w:id="23"/>
            <w:r>
              <w:rPr>
                <w:rFonts w:hint="eastAsia" w:asciiTheme="minorEastAsia" w:hAnsiTheme="minorEastAsia" w:eastAsiaTheme="minorEastAsia" w:cstheme="minorEastAsia"/>
                <w:color w:val="auto"/>
                <w:sz w:val="21"/>
                <w:szCs w:val="21"/>
                <w:highlight w:val="none"/>
              </w:rPr>
              <w:t>（需提供截图证明）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升级管理</w:t>
            </w:r>
          </w:p>
        </w:tc>
        <w:tc>
          <w:tcPr>
            <w:tcW w:w="6639" w:type="dxa"/>
            <w:vAlign w:val="center"/>
          </w:tcPr>
          <w:p>
            <w:pPr>
              <w:jc w:val="left"/>
              <w:rPr>
                <w:rFonts w:asciiTheme="minorEastAsia" w:hAnsiTheme="minorEastAsia" w:eastAsiaTheme="minorEastAsia" w:cstheme="minorEastAsia"/>
                <w:color w:val="auto"/>
                <w:sz w:val="21"/>
                <w:szCs w:val="21"/>
                <w:highlight w:val="none"/>
              </w:rPr>
            </w:pPr>
            <w:bookmarkStart w:id="24" w:name="_Hlk38391532"/>
            <w:r>
              <w:rPr>
                <w:rFonts w:hint="eastAsia" w:asciiTheme="minorEastAsia" w:hAnsiTheme="minorEastAsia" w:eastAsiaTheme="minorEastAsia" w:cstheme="minorEastAsia"/>
                <w:color w:val="auto"/>
                <w:sz w:val="21"/>
                <w:szCs w:val="21"/>
                <w:highlight w:val="none"/>
              </w:rPr>
              <w:t>日志分析管理系统支持从页面导入升级</w:t>
            </w:r>
            <w:bookmarkEnd w:id="24"/>
            <w:r>
              <w:rPr>
                <w:rFonts w:hint="eastAsia" w:asciiTheme="minorEastAsia" w:hAnsiTheme="minorEastAsia" w:eastAsiaTheme="minorEastAsia" w:cstheme="minorEastAsia"/>
                <w:color w:val="auto"/>
                <w:sz w:val="21"/>
                <w:szCs w:val="21"/>
                <w:highlight w:val="none"/>
              </w:rPr>
              <w:t>（需提供截图证明）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308" w:type="dxa"/>
            <w:vMerge w:val="continue"/>
            <w:vAlign w:val="center"/>
          </w:tcPr>
          <w:p>
            <w:pPr>
              <w:jc w:val="center"/>
              <w:rPr>
                <w:rFonts w:asciiTheme="minorEastAsia" w:hAnsiTheme="minorEastAsia" w:eastAsiaTheme="minorEastAsia" w:cstheme="minorEastAsia"/>
                <w:color w:val="auto"/>
                <w:sz w:val="21"/>
                <w:szCs w:val="21"/>
                <w:highlight w:val="none"/>
              </w:rPr>
            </w:pPr>
          </w:p>
        </w:tc>
        <w:tc>
          <w:tcPr>
            <w:tcW w:w="1589" w:type="dxa"/>
            <w:vAlign w:val="center"/>
          </w:tcPr>
          <w:p>
            <w:pPr>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系统维护</w:t>
            </w:r>
          </w:p>
        </w:tc>
        <w:tc>
          <w:tcPr>
            <w:tcW w:w="6639" w:type="dxa"/>
            <w:vAlign w:val="center"/>
          </w:tcPr>
          <w:p>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方便用户手动备份配置并进行恢复，防止配置丢失，同时方便迁移配置；</w:t>
            </w:r>
          </w:p>
          <w:p>
            <w:pPr>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恢复出厂设置时个性化选择需要清空的内容（配置、数据、事件），恢复出厂设置更加灵活</w:t>
            </w:r>
          </w:p>
        </w:tc>
      </w:tr>
    </w:tbl>
    <w:p>
      <w:pPr>
        <w:pStyle w:val="5"/>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1.2.5系统数据对接要求</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1.需支持市场主流的校园身份认证协议，包括CAS、SAML等，内置支持与市场主要供应商身份认证平台的对接；</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2.系统对外提供的程序调用接口需全面符合RESTful及OAuth规范，有效实现与数字校园其他信息系统的对接，数据回写；</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3.流程平台以校内部署的方式运行于学校信息环境，基于平台的流程开发中所需要的程序开发不必依赖任何特定的程序开发语言和程序开发工具，平台具备完全的开放性；</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4.支持完全无需程序开发的流程开发场景与运行模式；</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5.支持包括Java、.Net、PHP、Python、Ruby等多种第三方语言进行全功能的流程开发；</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6.支持与统一身份认证授权紧密集成而实现用户在业务流程中的身份、角色和权限匹配；</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7.系统可为相关应用系统提供共享数据访问服务，为第三方软件及二次开发提供永久免费服务接口，服务接口符合RESTful和Oauth开放标准；</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8.支持流程签发过程中符合公安需求的电子签章的应用，保证其安全性；</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9.平台的接口体系需支持OAuth2.0协议，实现基于用户个人授权的安全模式，有效避免大范围信息泄漏；需经过长期的测试及案例验证，支持分布式负载均衡，支持百万级日均PV的访问量；</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将网上办事大厅所积累的数据回推给数据中心，可提供学校决策部门使用，数据得到流转并管理，学校其他业务系统也可从数据中心获取网上办事大厅数据，更好的支撑学校业务系统的建设和发展，并为学校大数据建设提供有利的支撑；</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11.学校网上办事大厅已完成一期、二期的建设，三期的建设必须与一期、二期的建设内容实现平滑过渡、无缝对接；学校办事大厅三期新建设流程事项，需基于现有流程引擎工具开发。</w:t>
      </w:r>
    </w:p>
    <w:p>
      <w:pPr>
        <w:pStyle w:val="4"/>
        <w:numPr>
          <w:ilvl w:val="1"/>
          <w:numId w:val="5"/>
        </w:numPr>
        <w:spacing w:before="156" w:after="156" w:line="360" w:lineRule="auto"/>
        <w:ind w:left="0" w:firstLine="0"/>
        <w:rPr>
          <w:rFonts w:hint="default" w:asciiTheme="minorEastAsia" w:hAnsiTheme="minorEastAsia" w:eastAsiaTheme="minorEastAsia" w:cstheme="minorEastAsia"/>
          <w:color w:val="auto"/>
          <w:sz w:val="28"/>
          <w:szCs w:val="28"/>
          <w:highlight w:val="none"/>
        </w:rPr>
      </w:pPr>
      <w:r>
        <w:rPr>
          <w:rFonts w:asciiTheme="minorEastAsia" w:hAnsiTheme="minorEastAsia" w:eastAsiaTheme="minorEastAsia" w:cstheme="minorEastAsia"/>
          <w:color w:val="auto"/>
          <w:sz w:val="28"/>
          <w:szCs w:val="28"/>
          <w:highlight w:val="none"/>
        </w:rPr>
        <w:t>安全性要求</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要求充分考虑流程平台的安全性，平台具有严格的权限控制，采用资源集中统一授权机制，将用户按一定的级别分类，可设置不同级别的用户访问、管理不同的流程以及访问相关功能。用户身份鉴别成功后，当其空闲操作的时间超过规定值时，要求重新进行身份鉴别，当用户身份鉴别尝试失败次数达到规定次数后，对该用户进行锁定，只能由平台安全管理员进行解锁。能够实现提供基于角色的访问控制的权限管理，并提供相应系统实现说明；</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2.应使用认证机制确保数据交换接口的安全性，保证系统数据安全；</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在系统架构设计、系统软硬件平台选择以及应用系统开发上应充分考虑安全需求，保证系统运行安全可靠，主要包括密码设置强度与多次验证锁定、Web应用防火墙、附件检查、脚本过滤、防篡改机制、IP地址访问控制、防SQL注入式攻击、IP地址访问控制、故障恢复与容灾备份等；</w:t>
      </w:r>
    </w:p>
    <w:p>
      <w:pPr>
        <w:pStyle w:val="4"/>
        <w:numPr>
          <w:ilvl w:val="1"/>
          <w:numId w:val="5"/>
        </w:numPr>
        <w:spacing w:before="156" w:after="156" w:line="360" w:lineRule="auto"/>
        <w:ind w:left="0" w:firstLine="0"/>
        <w:rPr>
          <w:rFonts w:hint="default" w:asciiTheme="minorEastAsia" w:hAnsiTheme="minorEastAsia" w:eastAsiaTheme="minorEastAsia" w:cstheme="minorEastAsia"/>
          <w:color w:val="auto"/>
          <w:sz w:val="28"/>
          <w:szCs w:val="28"/>
          <w:highlight w:val="none"/>
        </w:rPr>
      </w:pPr>
      <w:r>
        <w:rPr>
          <w:rFonts w:asciiTheme="minorEastAsia" w:hAnsiTheme="minorEastAsia" w:eastAsiaTheme="minorEastAsia" w:cstheme="minorEastAsia"/>
          <w:color w:val="auto"/>
          <w:sz w:val="28"/>
          <w:szCs w:val="28"/>
          <w:highlight w:val="none"/>
        </w:rPr>
        <w:t>性能与可靠性要求</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1.流程平台流程数不受限制，不限制用户数量；</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2.流程平台小版本无限制免费升级；</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3.系统能够达到同时在线用户5000人以上；在同时在线人数500以上，最高并发峰值3000时，单页面平均响应速度小于3秒；</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4.系统具备高可扩展性，能够在不降低性能的情况下扩展用户容量；</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5.系统具备先进的分布式架构，处理节点支持水平多点扩展，自动实现负载均衡；</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6.支持实时数据备份；</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7.支持非结构化数据存储，容量无限扩容；</w:t>
      </w:r>
    </w:p>
    <w:p>
      <w:pPr>
        <w:pStyle w:val="4"/>
        <w:numPr>
          <w:ilvl w:val="1"/>
          <w:numId w:val="5"/>
        </w:numPr>
        <w:spacing w:before="156" w:after="156" w:line="360" w:lineRule="auto"/>
        <w:ind w:left="0" w:firstLine="0"/>
        <w:rPr>
          <w:rFonts w:hint="default" w:asciiTheme="minorEastAsia" w:hAnsiTheme="minorEastAsia" w:eastAsiaTheme="minorEastAsia" w:cstheme="minorEastAsia"/>
          <w:color w:val="auto"/>
          <w:sz w:val="28"/>
          <w:szCs w:val="28"/>
          <w:highlight w:val="none"/>
        </w:rPr>
      </w:pPr>
      <w:r>
        <w:rPr>
          <w:rFonts w:asciiTheme="minorEastAsia" w:hAnsiTheme="minorEastAsia" w:eastAsiaTheme="minorEastAsia" w:cstheme="minorEastAsia"/>
          <w:color w:val="auto"/>
          <w:sz w:val="28"/>
          <w:szCs w:val="28"/>
          <w:highlight w:val="none"/>
        </w:rPr>
        <w:t>其他要求</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1.本次项目涉及学校多个部门交流，要求中标人必须在中标后与校方信息化部门进行充分、细致的调研交流，提交相应的初步方案，并经过采购单位同意后方可实施。</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2.在开发过程中，中标方须与现有系统厂商进行深入的需求交流，并由中标方提供对接方案。</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人须提供本项目正常运转所必须的全部系统软件、中间件、插件等，确保系统按时、正常运行。产品中采用的第三方软件由投标人自行购买安装，由投标人确保不影响产品的正常使用和运营，如出现软件侵权行为，由投标人负责，与学校无关。</w:t>
      </w:r>
    </w:p>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4.在分阶段实施计划的基础上，进一步明确和细化每个阶段的工作范围、内容、人力投入、过程、责任、交付成果等。</w:t>
      </w:r>
    </w:p>
    <w:p>
      <w:pPr>
        <w:pStyle w:val="4"/>
        <w:numPr>
          <w:ilvl w:val="1"/>
          <w:numId w:val="5"/>
        </w:numPr>
        <w:spacing w:before="156" w:after="156" w:line="360" w:lineRule="auto"/>
        <w:ind w:left="0" w:firstLine="0"/>
        <w:rPr>
          <w:rFonts w:hint="default" w:asciiTheme="minorEastAsia" w:hAnsiTheme="minorEastAsia" w:eastAsiaTheme="minorEastAsia" w:cstheme="minorEastAsia"/>
          <w:color w:val="auto"/>
          <w:sz w:val="28"/>
          <w:szCs w:val="28"/>
          <w:highlight w:val="none"/>
        </w:rPr>
      </w:pPr>
      <w:r>
        <w:rPr>
          <w:rFonts w:asciiTheme="minorEastAsia" w:hAnsiTheme="minorEastAsia" w:eastAsiaTheme="minorEastAsia" w:cstheme="minorEastAsia"/>
          <w:color w:val="auto"/>
          <w:sz w:val="28"/>
          <w:szCs w:val="28"/>
          <w:highlight w:val="none"/>
        </w:rPr>
        <w:t>项目建设清单</w:t>
      </w:r>
    </w:p>
    <w:tbl>
      <w:tblPr>
        <w:tblStyle w:val="16"/>
        <w:tblW w:w="10383" w:type="dxa"/>
        <w:jc w:val="center"/>
        <w:tblInd w:w="0" w:type="dxa"/>
        <w:tblLayout w:type="fixed"/>
        <w:tblCellMar>
          <w:top w:w="0" w:type="dxa"/>
          <w:left w:w="108" w:type="dxa"/>
          <w:bottom w:w="0" w:type="dxa"/>
          <w:right w:w="108" w:type="dxa"/>
        </w:tblCellMar>
      </w:tblPr>
      <w:tblGrid>
        <w:gridCol w:w="751"/>
        <w:gridCol w:w="1220"/>
        <w:gridCol w:w="2449"/>
        <w:gridCol w:w="1322"/>
        <w:gridCol w:w="4641"/>
      </w:tblGrid>
      <w:tr>
        <w:tblPrEx>
          <w:tblLayout w:type="fixed"/>
          <w:tblCellMar>
            <w:top w:w="0" w:type="dxa"/>
            <w:left w:w="108" w:type="dxa"/>
            <w:bottom w:w="0" w:type="dxa"/>
            <w:right w:w="108" w:type="dxa"/>
          </w:tblCellMar>
        </w:tblPrEx>
        <w:trPr>
          <w:trHeight w:val="511"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center"/>
              <w:rPr>
                <w:rFonts w:cs="华文仿宋" w:asciiTheme="minorEastAsia" w:hAnsiTheme="minorEastAsia" w:eastAsiaTheme="minorEastAsia"/>
                <w:b/>
                <w:bCs/>
                <w:color w:val="auto"/>
                <w:sz w:val="21"/>
                <w:szCs w:val="21"/>
                <w:highlight w:val="none"/>
              </w:rPr>
            </w:pPr>
            <w:r>
              <w:rPr>
                <w:rFonts w:hint="eastAsia" w:cs="华文仿宋" w:asciiTheme="minorEastAsia" w:hAnsiTheme="minorEastAsia" w:eastAsiaTheme="minorEastAsia"/>
                <w:b/>
                <w:bCs/>
                <w:color w:val="auto"/>
                <w:sz w:val="21"/>
                <w:szCs w:val="21"/>
                <w:highlight w:val="none"/>
              </w:rPr>
              <w:t>序号</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center"/>
              <w:rPr>
                <w:rFonts w:cs="华文仿宋" w:asciiTheme="minorEastAsia" w:hAnsiTheme="minorEastAsia" w:eastAsiaTheme="minorEastAsia"/>
                <w:b/>
                <w:bCs/>
                <w:color w:val="auto"/>
                <w:sz w:val="21"/>
                <w:szCs w:val="21"/>
                <w:highlight w:val="none"/>
              </w:rPr>
            </w:pPr>
            <w:r>
              <w:rPr>
                <w:rFonts w:cs="华文仿宋" w:asciiTheme="minorEastAsia" w:hAnsiTheme="minorEastAsia" w:eastAsiaTheme="minorEastAsia"/>
                <w:b/>
                <w:bCs/>
                <w:color w:val="auto"/>
                <w:sz w:val="21"/>
                <w:szCs w:val="21"/>
                <w:highlight w:val="none"/>
              </w:rPr>
              <w:t>建设</w:t>
            </w:r>
            <w:r>
              <w:rPr>
                <w:rFonts w:hint="eastAsia" w:cs="华文仿宋" w:asciiTheme="minorEastAsia" w:hAnsiTheme="minorEastAsia" w:eastAsiaTheme="minorEastAsia"/>
                <w:b/>
                <w:bCs/>
                <w:color w:val="auto"/>
                <w:sz w:val="21"/>
                <w:szCs w:val="21"/>
                <w:highlight w:val="none"/>
              </w:rPr>
              <w:t>内容</w:t>
            </w:r>
          </w:p>
        </w:tc>
        <w:tc>
          <w:tcPr>
            <w:tcW w:w="2449" w:type="dxa"/>
            <w:tcBorders>
              <w:top w:val="single" w:color="auto" w:sz="4" w:space="0"/>
              <w:left w:val="nil"/>
              <w:bottom w:val="single" w:color="auto" w:sz="4" w:space="0"/>
              <w:right w:val="single" w:color="auto" w:sz="4" w:space="0"/>
            </w:tcBorders>
            <w:shd w:val="clear" w:color="auto" w:fill="auto"/>
            <w:vAlign w:val="center"/>
          </w:tcPr>
          <w:p>
            <w:pPr>
              <w:pStyle w:val="24"/>
              <w:spacing w:line="240" w:lineRule="auto"/>
              <w:ind w:firstLine="0"/>
              <w:jc w:val="center"/>
              <w:rPr>
                <w:rFonts w:cs="华文仿宋" w:asciiTheme="minorEastAsia" w:hAnsiTheme="minorEastAsia" w:eastAsiaTheme="minorEastAsia"/>
                <w:b/>
                <w:bCs/>
                <w:color w:val="auto"/>
                <w:sz w:val="21"/>
                <w:szCs w:val="21"/>
                <w:highlight w:val="none"/>
              </w:rPr>
            </w:pPr>
            <w:r>
              <w:rPr>
                <w:rFonts w:cs="华文仿宋" w:asciiTheme="minorEastAsia" w:hAnsiTheme="minorEastAsia" w:eastAsiaTheme="minorEastAsia"/>
                <w:b/>
                <w:bCs/>
                <w:color w:val="auto"/>
                <w:sz w:val="21"/>
                <w:szCs w:val="21"/>
                <w:highlight w:val="none"/>
              </w:rPr>
              <w:t>功能模块</w:t>
            </w:r>
          </w:p>
        </w:tc>
        <w:tc>
          <w:tcPr>
            <w:tcW w:w="1322" w:type="dxa"/>
            <w:tcBorders>
              <w:top w:val="single" w:color="auto" w:sz="4" w:space="0"/>
              <w:left w:val="nil"/>
              <w:bottom w:val="single" w:color="auto" w:sz="4" w:space="0"/>
              <w:right w:val="single" w:color="auto" w:sz="4" w:space="0"/>
            </w:tcBorders>
            <w:shd w:val="clear" w:color="auto" w:fill="auto"/>
            <w:vAlign w:val="center"/>
          </w:tcPr>
          <w:p>
            <w:pPr>
              <w:pStyle w:val="24"/>
              <w:spacing w:line="240" w:lineRule="auto"/>
              <w:ind w:firstLine="0"/>
              <w:jc w:val="center"/>
              <w:rPr>
                <w:rFonts w:cs="华文仿宋" w:asciiTheme="minorEastAsia" w:hAnsiTheme="minorEastAsia" w:eastAsiaTheme="minorEastAsia"/>
                <w:b/>
                <w:bCs/>
                <w:color w:val="auto"/>
                <w:sz w:val="21"/>
                <w:szCs w:val="21"/>
                <w:highlight w:val="none"/>
              </w:rPr>
            </w:pPr>
            <w:r>
              <w:rPr>
                <w:rFonts w:hint="eastAsia" w:cs="华文仿宋" w:asciiTheme="minorEastAsia" w:hAnsiTheme="minorEastAsia" w:eastAsiaTheme="minorEastAsia"/>
                <w:b/>
                <w:bCs/>
                <w:color w:val="auto"/>
                <w:sz w:val="21"/>
                <w:szCs w:val="21"/>
                <w:highlight w:val="none"/>
              </w:rPr>
              <w:t>数量</w:t>
            </w:r>
          </w:p>
        </w:tc>
        <w:tc>
          <w:tcPr>
            <w:tcW w:w="4641" w:type="dxa"/>
            <w:tcBorders>
              <w:top w:val="single" w:color="auto" w:sz="4" w:space="0"/>
              <w:left w:val="nil"/>
              <w:bottom w:val="single" w:color="auto" w:sz="4" w:space="0"/>
              <w:right w:val="single" w:color="auto" w:sz="4" w:space="0"/>
            </w:tcBorders>
            <w:shd w:val="clear" w:color="auto" w:fill="auto"/>
            <w:vAlign w:val="center"/>
          </w:tcPr>
          <w:p>
            <w:pPr>
              <w:pStyle w:val="24"/>
              <w:spacing w:line="240" w:lineRule="auto"/>
              <w:ind w:firstLine="482"/>
              <w:jc w:val="center"/>
              <w:rPr>
                <w:rFonts w:cs="华文仿宋" w:asciiTheme="minorEastAsia" w:hAnsiTheme="minorEastAsia" w:eastAsiaTheme="minorEastAsia"/>
                <w:b/>
                <w:bCs/>
                <w:color w:val="auto"/>
                <w:sz w:val="21"/>
                <w:szCs w:val="21"/>
                <w:highlight w:val="none"/>
              </w:rPr>
            </w:pPr>
            <w:r>
              <w:rPr>
                <w:rFonts w:hint="eastAsia" w:cs="华文仿宋" w:asciiTheme="minorEastAsia" w:hAnsiTheme="minorEastAsia" w:eastAsiaTheme="minorEastAsia"/>
                <w:b/>
                <w:bCs/>
                <w:color w:val="auto"/>
                <w:sz w:val="21"/>
                <w:szCs w:val="21"/>
                <w:highlight w:val="none"/>
              </w:rPr>
              <w:t>备注（注明预算内容的细目）</w:t>
            </w:r>
          </w:p>
        </w:tc>
      </w:tr>
      <w:tr>
        <w:tblPrEx>
          <w:tblLayout w:type="fixed"/>
          <w:tblCellMar>
            <w:top w:w="0" w:type="dxa"/>
            <w:left w:w="108" w:type="dxa"/>
            <w:bottom w:w="0" w:type="dxa"/>
            <w:right w:w="108" w:type="dxa"/>
          </w:tblCellMar>
        </w:tblPrEx>
        <w:trPr>
          <w:trHeight w:val="445" w:hRule="atLeast"/>
          <w:jc w:val="center"/>
        </w:trPr>
        <w:tc>
          <w:tcPr>
            <w:tcW w:w="751" w:type="dxa"/>
            <w:tcBorders>
              <w:top w:val="single" w:color="auto" w:sz="4" w:space="0"/>
              <w:left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hint="eastAsia" w:cs="华文仿宋" w:asciiTheme="minorEastAsia" w:hAnsiTheme="minorEastAsia" w:eastAsiaTheme="minorEastAsia"/>
                <w:color w:val="auto"/>
                <w:sz w:val="21"/>
                <w:szCs w:val="21"/>
                <w:highlight w:val="none"/>
              </w:rPr>
              <w:t>1</w:t>
            </w:r>
          </w:p>
        </w:tc>
        <w:tc>
          <w:tcPr>
            <w:tcW w:w="1220" w:type="dxa"/>
            <w:tcBorders>
              <w:top w:val="single" w:color="auto" w:sz="4" w:space="0"/>
              <w:left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hint="eastAsia" w:cs="华文仿宋" w:asciiTheme="minorEastAsia" w:hAnsiTheme="minorEastAsia" w:eastAsiaTheme="minorEastAsia"/>
                <w:color w:val="auto"/>
                <w:sz w:val="21"/>
                <w:szCs w:val="21"/>
                <w:highlight w:val="none"/>
              </w:rPr>
              <w:t>流程开发服务</w:t>
            </w:r>
          </w:p>
        </w:tc>
        <w:tc>
          <w:tcPr>
            <w:tcW w:w="2449" w:type="dxa"/>
            <w:tcBorders>
              <w:top w:val="nil"/>
              <w:left w:val="nil"/>
              <w:bottom w:val="single" w:color="auto" w:sz="4" w:space="0"/>
              <w:right w:val="single" w:color="auto" w:sz="4" w:space="0"/>
            </w:tcBorders>
            <w:shd w:val="clear" w:color="auto" w:fill="auto"/>
            <w:vAlign w:val="center"/>
          </w:tcPr>
          <w:p>
            <w:pPr>
              <w:numPr>
                <w:ilvl w:val="255"/>
                <w:numId w:val="0"/>
              </w:numPr>
              <w:jc w:val="center"/>
              <w:rPr>
                <w:rFonts w:cs="华文仿宋" w:asciiTheme="minorEastAsia" w:hAnsiTheme="minorEastAsia" w:eastAsiaTheme="minorEastAsia"/>
                <w:color w:val="auto"/>
                <w:sz w:val="21"/>
                <w:szCs w:val="21"/>
                <w:highlight w:val="none"/>
              </w:rPr>
            </w:pPr>
            <w:r>
              <w:rPr>
                <w:rFonts w:cs="华文仿宋" w:asciiTheme="minorEastAsia" w:hAnsiTheme="minorEastAsia" w:eastAsiaTheme="minorEastAsia"/>
                <w:color w:val="auto"/>
                <w:sz w:val="21"/>
                <w:szCs w:val="21"/>
                <w:highlight w:val="none"/>
              </w:rPr>
              <w:t>新建业务流程</w:t>
            </w:r>
          </w:p>
        </w:tc>
        <w:tc>
          <w:tcPr>
            <w:tcW w:w="1322" w:type="dxa"/>
            <w:tcBorders>
              <w:top w:val="nil"/>
              <w:left w:val="nil"/>
              <w:bottom w:val="single" w:color="auto" w:sz="4" w:space="0"/>
              <w:right w:val="single" w:color="auto" w:sz="4" w:space="0"/>
            </w:tcBorders>
            <w:shd w:val="clear" w:color="auto" w:fill="auto"/>
            <w:vAlign w:val="center"/>
          </w:tcPr>
          <w:p>
            <w:pPr>
              <w:numPr>
                <w:ilvl w:val="255"/>
                <w:numId w:val="0"/>
              </w:numPr>
              <w:jc w:val="center"/>
              <w:rPr>
                <w:rFonts w:cs="华文仿宋" w:asciiTheme="minorEastAsia" w:hAnsiTheme="minorEastAsia" w:eastAsiaTheme="minorEastAsia"/>
                <w:color w:val="auto"/>
                <w:sz w:val="21"/>
                <w:szCs w:val="21"/>
                <w:highlight w:val="none"/>
              </w:rPr>
            </w:pPr>
            <w:r>
              <w:rPr>
                <w:rFonts w:hint="eastAsia" w:cs="华文仿宋" w:asciiTheme="minorEastAsia" w:hAnsiTheme="minorEastAsia" w:eastAsiaTheme="minorEastAsia"/>
                <w:color w:val="auto"/>
                <w:sz w:val="21"/>
                <w:szCs w:val="21"/>
                <w:highlight w:val="none"/>
              </w:rPr>
              <w:t>15</w:t>
            </w:r>
            <w:r>
              <w:rPr>
                <w:rFonts w:cs="华文仿宋" w:asciiTheme="minorEastAsia" w:hAnsiTheme="minorEastAsia" w:eastAsiaTheme="minorEastAsia"/>
                <w:color w:val="auto"/>
                <w:sz w:val="21"/>
                <w:szCs w:val="21"/>
                <w:highlight w:val="none"/>
              </w:rPr>
              <w:t>条</w:t>
            </w:r>
          </w:p>
        </w:tc>
        <w:tc>
          <w:tcPr>
            <w:tcW w:w="4641" w:type="dxa"/>
            <w:tcBorders>
              <w:top w:val="single" w:color="auto" w:sz="4" w:space="0"/>
              <w:left w:val="nil"/>
              <w:bottom w:val="single" w:color="auto" w:sz="4" w:space="0"/>
              <w:right w:val="single" w:color="auto" w:sz="4" w:space="0"/>
            </w:tcBorders>
            <w:shd w:val="clear" w:color="auto" w:fill="auto"/>
            <w:vAlign w:val="center"/>
          </w:tcPr>
          <w:p>
            <w:pPr>
              <w:numPr>
                <w:ilvl w:val="255"/>
                <w:numId w:val="0"/>
              </w:numPr>
              <w:jc w:val="center"/>
              <w:rPr>
                <w:rFonts w:cs="华文仿宋" w:asciiTheme="minorEastAsia" w:hAnsiTheme="minorEastAsia" w:eastAsiaTheme="minorEastAsia"/>
                <w:color w:val="auto"/>
                <w:sz w:val="21"/>
                <w:szCs w:val="21"/>
                <w:highlight w:val="none"/>
              </w:rPr>
            </w:pPr>
            <w:r>
              <w:rPr>
                <w:rFonts w:hint="eastAsia" w:cs="华文仿宋" w:asciiTheme="minorEastAsia" w:hAnsiTheme="minorEastAsia" w:eastAsiaTheme="minorEastAsia"/>
                <w:color w:val="auto"/>
                <w:sz w:val="21"/>
                <w:szCs w:val="21"/>
                <w:highlight w:val="none"/>
              </w:rPr>
              <w:t>依据“最多跑一次”网上办事大厅列表定制化开发流程服务</w:t>
            </w:r>
          </w:p>
        </w:tc>
      </w:tr>
      <w:tr>
        <w:tblPrEx>
          <w:tblLayout w:type="fixed"/>
          <w:tblCellMar>
            <w:top w:w="0" w:type="dxa"/>
            <w:left w:w="108" w:type="dxa"/>
            <w:bottom w:w="0" w:type="dxa"/>
            <w:right w:w="108" w:type="dxa"/>
          </w:tblCellMar>
        </w:tblPrEx>
        <w:trPr>
          <w:trHeight w:val="439" w:hRule="atLeast"/>
          <w:jc w:val="center"/>
        </w:trPr>
        <w:tc>
          <w:tcPr>
            <w:tcW w:w="751" w:type="dxa"/>
            <w:vMerge w:val="restart"/>
            <w:tcBorders>
              <w:top w:val="single" w:color="auto" w:sz="4" w:space="0"/>
              <w:left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hint="eastAsia" w:cs="华文仿宋" w:asciiTheme="minorEastAsia" w:hAnsiTheme="minorEastAsia" w:eastAsiaTheme="minorEastAsia"/>
                <w:color w:val="auto"/>
                <w:sz w:val="21"/>
                <w:szCs w:val="21"/>
                <w:highlight w:val="none"/>
              </w:rPr>
              <w:t>2</w:t>
            </w:r>
          </w:p>
        </w:tc>
        <w:tc>
          <w:tcPr>
            <w:tcW w:w="1220" w:type="dxa"/>
            <w:vMerge w:val="restart"/>
            <w:tcBorders>
              <w:top w:val="single" w:color="auto" w:sz="4" w:space="0"/>
              <w:left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hint="eastAsia" w:cs="华文仿宋" w:asciiTheme="minorEastAsia" w:hAnsiTheme="minorEastAsia" w:eastAsiaTheme="minorEastAsia"/>
                <w:color w:val="auto"/>
                <w:sz w:val="21"/>
                <w:szCs w:val="21"/>
                <w:highlight w:val="none"/>
              </w:rPr>
              <w:t>自助打印</w:t>
            </w:r>
          </w:p>
        </w:tc>
        <w:tc>
          <w:tcPr>
            <w:tcW w:w="2449" w:type="dxa"/>
            <w:tcBorders>
              <w:top w:val="nil"/>
              <w:left w:val="nil"/>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cs="华文仿宋" w:asciiTheme="minorEastAsia" w:hAnsiTheme="minorEastAsia" w:eastAsiaTheme="minorEastAsia"/>
                <w:color w:val="auto"/>
                <w:sz w:val="21"/>
                <w:szCs w:val="21"/>
                <w:highlight w:val="none"/>
              </w:rPr>
              <w:t>自助打印系统管理端</w:t>
            </w:r>
          </w:p>
        </w:tc>
        <w:tc>
          <w:tcPr>
            <w:tcW w:w="1322" w:type="dxa"/>
            <w:tcBorders>
              <w:top w:val="nil"/>
              <w:left w:val="nil"/>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cs="华文仿宋" w:asciiTheme="minorEastAsia" w:hAnsiTheme="minorEastAsia" w:eastAsiaTheme="minorEastAsia"/>
                <w:color w:val="auto"/>
                <w:sz w:val="21"/>
                <w:szCs w:val="21"/>
                <w:highlight w:val="none"/>
              </w:rPr>
              <w:t>1套</w:t>
            </w:r>
          </w:p>
        </w:tc>
        <w:tc>
          <w:tcPr>
            <w:tcW w:w="4641" w:type="dxa"/>
            <w:vMerge w:val="restart"/>
            <w:tcBorders>
              <w:top w:val="single" w:color="auto" w:sz="4" w:space="0"/>
              <w:left w:val="nil"/>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hint="eastAsia" w:cs="华文仿宋" w:asciiTheme="minorEastAsia" w:hAnsiTheme="minorEastAsia" w:eastAsiaTheme="minorEastAsia"/>
                <w:color w:val="auto"/>
                <w:sz w:val="21"/>
                <w:szCs w:val="21"/>
                <w:highlight w:val="none"/>
              </w:rPr>
              <w:t>对所有打印服务终端实行统一集中式管理，后台能够监测和分析统计所有打印机设备的状态，包括打印机属性、位置管理；工作状态、纸盒状态监控、缺纸报警、异常情况报警；打印日志收集、管理、统计等功能。</w:t>
            </w:r>
          </w:p>
        </w:tc>
      </w:tr>
      <w:tr>
        <w:tblPrEx>
          <w:tblLayout w:type="fixed"/>
          <w:tblCellMar>
            <w:top w:w="0" w:type="dxa"/>
            <w:left w:w="108" w:type="dxa"/>
            <w:bottom w:w="0" w:type="dxa"/>
            <w:right w:w="108" w:type="dxa"/>
          </w:tblCellMar>
        </w:tblPrEx>
        <w:trPr>
          <w:trHeight w:val="533" w:hRule="atLeast"/>
          <w:jc w:val="center"/>
        </w:trPr>
        <w:tc>
          <w:tcPr>
            <w:tcW w:w="751" w:type="dxa"/>
            <w:vMerge w:val="continue"/>
            <w:tcBorders>
              <w:left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p>
        </w:tc>
        <w:tc>
          <w:tcPr>
            <w:tcW w:w="1220" w:type="dxa"/>
            <w:vMerge w:val="continue"/>
            <w:tcBorders>
              <w:left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p>
        </w:tc>
        <w:tc>
          <w:tcPr>
            <w:tcW w:w="2449" w:type="dxa"/>
            <w:tcBorders>
              <w:top w:val="nil"/>
              <w:left w:val="nil"/>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cs="华文仿宋" w:asciiTheme="minorEastAsia" w:hAnsiTheme="minorEastAsia" w:eastAsiaTheme="minorEastAsia"/>
                <w:color w:val="auto"/>
                <w:sz w:val="21"/>
                <w:szCs w:val="21"/>
                <w:highlight w:val="none"/>
              </w:rPr>
              <w:t>打印机设备</w:t>
            </w:r>
          </w:p>
        </w:tc>
        <w:tc>
          <w:tcPr>
            <w:tcW w:w="1322" w:type="dxa"/>
            <w:tcBorders>
              <w:top w:val="nil"/>
              <w:left w:val="nil"/>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cs="华文仿宋" w:asciiTheme="minorEastAsia" w:hAnsiTheme="minorEastAsia" w:eastAsiaTheme="minorEastAsia"/>
                <w:color w:val="auto"/>
                <w:sz w:val="21"/>
                <w:szCs w:val="21"/>
                <w:highlight w:val="none"/>
              </w:rPr>
              <w:t>2台</w:t>
            </w:r>
          </w:p>
        </w:tc>
        <w:tc>
          <w:tcPr>
            <w:tcW w:w="4641" w:type="dxa"/>
            <w:vMerge w:val="continue"/>
            <w:tcBorders>
              <w:left w:val="nil"/>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p>
        </w:tc>
      </w:tr>
      <w:tr>
        <w:tblPrEx>
          <w:tblLayout w:type="fixed"/>
          <w:tblCellMar>
            <w:top w:w="0" w:type="dxa"/>
            <w:left w:w="108" w:type="dxa"/>
            <w:bottom w:w="0" w:type="dxa"/>
            <w:right w:w="108" w:type="dxa"/>
          </w:tblCellMar>
        </w:tblPrEx>
        <w:trPr>
          <w:trHeight w:val="559" w:hRule="atLeast"/>
          <w:jc w:val="center"/>
        </w:trPr>
        <w:tc>
          <w:tcPr>
            <w:tcW w:w="751" w:type="dxa"/>
            <w:vMerge w:val="continue"/>
            <w:tcBorders>
              <w:left w:val="single" w:color="auto" w:sz="4" w:space="0"/>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p>
        </w:tc>
        <w:tc>
          <w:tcPr>
            <w:tcW w:w="1220" w:type="dxa"/>
            <w:vMerge w:val="continue"/>
            <w:tcBorders>
              <w:left w:val="single" w:color="auto" w:sz="4" w:space="0"/>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p>
        </w:tc>
        <w:tc>
          <w:tcPr>
            <w:tcW w:w="2449" w:type="dxa"/>
            <w:tcBorders>
              <w:top w:val="nil"/>
              <w:left w:val="nil"/>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hint="eastAsia" w:cs="华文仿宋" w:asciiTheme="minorEastAsia" w:hAnsiTheme="minorEastAsia" w:eastAsiaTheme="minorEastAsia"/>
                <w:color w:val="auto"/>
                <w:sz w:val="21"/>
                <w:szCs w:val="21"/>
                <w:highlight w:val="none"/>
              </w:rPr>
              <w:t>自助打印服务</w:t>
            </w:r>
          </w:p>
        </w:tc>
        <w:tc>
          <w:tcPr>
            <w:tcW w:w="1322" w:type="dxa"/>
            <w:tcBorders>
              <w:top w:val="nil"/>
              <w:left w:val="nil"/>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hint="eastAsia" w:cs="华文仿宋" w:asciiTheme="minorEastAsia" w:hAnsiTheme="minorEastAsia" w:eastAsiaTheme="minorEastAsia"/>
                <w:color w:val="auto"/>
                <w:sz w:val="21"/>
                <w:szCs w:val="21"/>
                <w:highlight w:val="none"/>
              </w:rPr>
              <w:t>1套</w:t>
            </w:r>
          </w:p>
        </w:tc>
        <w:tc>
          <w:tcPr>
            <w:tcW w:w="4641" w:type="dxa"/>
            <w:vMerge w:val="continue"/>
            <w:tcBorders>
              <w:left w:val="nil"/>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p>
        </w:tc>
      </w:tr>
      <w:tr>
        <w:tblPrEx>
          <w:tblLayout w:type="fixed"/>
          <w:tblCellMar>
            <w:top w:w="0" w:type="dxa"/>
            <w:left w:w="108" w:type="dxa"/>
            <w:bottom w:w="0" w:type="dxa"/>
            <w:right w:w="108" w:type="dxa"/>
          </w:tblCellMar>
        </w:tblPrEx>
        <w:trPr>
          <w:trHeight w:val="553" w:hRule="atLeast"/>
          <w:jc w:val="center"/>
        </w:trPr>
        <w:tc>
          <w:tcPr>
            <w:tcW w:w="751"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cs="华文仿宋" w:asciiTheme="minorEastAsia" w:hAnsiTheme="minorEastAsia" w:eastAsiaTheme="minorEastAsia"/>
                <w:color w:val="auto"/>
                <w:sz w:val="21"/>
                <w:szCs w:val="21"/>
                <w:highlight w:val="none"/>
              </w:rPr>
            </w:pPr>
            <w:r>
              <w:rPr>
                <w:rFonts w:cs="华文仿宋" w:asciiTheme="minorEastAsia" w:hAnsiTheme="minorEastAsia" w:eastAsiaTheme="minorEastAsia"/>
                <w:color w:val="auto"/>
                <w:sz w:val="21"/>
                <w:szCs w:val="21"/>
                <w:highlight w:val="none"/>
              </w:rPr>
              <w:t>4</w:t>
            </w:r>
          </w:p>
        </w:tc>
        <w:tc>
          <w:tcPr>
            <w:tcW w:w="1220" w:type="dxa"/>
            <w:vMerge w:val="restart"/>
            <w:tcBorders>
              <w:top w:val="single" w:color="auto" w:sz="4" w:space="0"/>
              <w:left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hint="eastAsia" w:cs="华文仿宋" w:asciiTheme="minorEastAsia" w:hAnsiTheme="minorEastAsia" w:eastAsiaTheme="minorEastAsia"/>
                <w:color w:val="auto"/>
                <w:sz w:val="21"/>
                <w:szCs w:val="21"/>
                <w:highlight w:val="none"/>
              </w:rPr>
              <w:t>数据主题</w:t>
            </w:r>
            <w:r>
              <w:rPr>
                <w:rFonts w:cs="华文仿宋" w:asciiTheme="minorEastAsia" w:hAnsiTheme="minorEastAsia" w:eastAsiaTheme="minorEastAsia"/>
                <w:color w:val="auto"/>
                <w:sz w:val="21"/>
                <w:szCs w:val="21"/>
                <w:highlight w:val="none"/>
              </w:rPr>
              <w:t>管理系统</w:t>
            </w:r>
          </w:p>
        </w:tc>
        <w:tc>
          <w:tcPr>
            <w:tcW w:w="2449" w:type="dxa"/>
            <w:tcBorders>
              <w:top w:val="single" w:color="auto" w:sz="4" w:space="0"/>
              <w:left w:val="nil"/>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cs="华文仿宋" w:asciiTheme="minorEastAsia" w:hAnsiTheme="minorEastAsia" w:eastAsiaTheme="minorEastAsia"/>
                <w:color w:val="auto"/>
                <w:sz w:val="21"/>
                <w:szCs w:val="21"/>
                <w:highlight w:val="none"/>
              </w:rPr>
              <w:t>数据主题管理平台</w:t>
            </w:r>
          </w:p>
        </w:tc>
        <w:tc>
          <w:tcPr>
            <w:tcW w:w="1322" w:type="dxa"/>
            <w:tcBorders>
              <w:top w:val="single" w:color="auto" w:sz="4" w:space="0"/>
              <w:left w:val="nil"/>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cs="华文仿宋" w:asciiTheme="minorEastAsia" w:hAnsiTheme="minorEastAsia" w:eastAsiaTheme="minorEastAsia"/>
                <w:color w:val="auto"/>
                <w:sz w:val="21"/>
                <w:szCs w:val="21"/>
                <w:highlight w:val="none"/>
              </w:rPr>
              <w:t>1套</w:t>
            </w:r>
          </w:p>
        </w:tc>
        <w:tc>
          <w:tcPr>
            <w:tcW w:w="4641" w:type="dxa"/>
            <w:vMerge w:val="restart"/>
            <w:tcBorders>
              <w:top w:val="single" w:color="auto" w:sz="4" w:space="0"/>
              <w:left w:val="nil"/>
              <w:right w:val="single" w:color="auto" w:sz="4" w:space="0"/>
            </w:tcBorders>
            <w:shd w:val="clear" w:color="auto" w:fill="auto"/>
            <w:vAlign w:val="center"/>
          </w:tcPr>
          <w:p>
            <w:pPr>
              <w:snapToGrid w:val="0"/>
              <w:jc w:val="center"/>
              <w:rPr>
                <w:rFonts w:cs="华文仿宋" w:asciiTheme="minorEastAsia" w:hAnsiTheme="minorEastAsia" w:eastAsiaTheme="minorEastAsia"/>
                <w:color w:val="auto"/>
                <w:sz w:val="21"/>
                <w:szCs w:val="21"/>
                <w:highlight w:val="none"/>
              </w:rPr>
            </w:pPr>
            <w:r>
              <w:rPr>
                <w:rFonts w:hint="eastAsia" w:cs="华文仿宋" w:asciiTheme="minorEastAsia" w:hAnsiTheme="minorEastAsia" w:eastAsiaTheme="minorEastAsia"/>
                <w:color w:val="auto"/>
                <w:sz w:val="21"/>
                <w:szCs w:val="21"/>
                <w:highlight w:val="none"/>
              </w:rPr>
              <w:t>对网上办事大厅平台中的业务运行数据进行标准化治理，以数据主题的方式进行个性化展现，支持数据的汇总、筛选和分类导出</w:t>
            </w:r>
          </w:p>
        </w:tc>
      </w:tr>
      <w:tr>
        <w:tblPrEx>
          <w:tblLayout w:type="fixed"/>
          <w:tblCellMar>
            <w:top w:w="0" w:type="dxa"/>
            <w:left w:w="108" w:type="dxa"/>
            <w:bottom w:w="0" w:type="dxa"/>
            <w:right w:w="108" w:type="dxa"/>
          </w:tblCellMar>
        </w:tblPrEx>
        <w:trPr>
          <w:trHeight w:val="556" w:hRule="atLeast"/>
          <w:jc w:val="center"/>
        </w:trPr>
        <w:tc>
          <w:tcPr>
            <w:tcW w:w="751" w:type="dxa"/>
            <w:vMerge w:val="continue"/>
            <w:tcBorders>
              <w:left w:val="single" w:color="auto" w:sz="4" w:space="0"/>
              <w:bottom w:val="single" w:color="auto" w:sz="4" w:space="0"/>
              <w:right w:val="single" w:color="auto" w:sz="4" w:space="0"/>
            </w:tcBorders>
            <w:shd w:val="clear" w:color="auto" w:fill="auto"/>
            <w:vAlign w:val="center"/>
          </w:tcPr>
          <w:p>
            <w:pPr>
              <w:snapToGrid w:val="0"/>
              <w:jc w:val="center"/>
              <w:rPr>
                <w:rFonts w:cs="华文仿宋" w:asciiTheme="minorEastAsia" w:hAnsiTheme="minorEastAsia" w:eastAsiaTheme="minorEastAsia"/>
                <w:color w:val="auto"/>
                <w:sz w:val="21"/>
                <w:szCs w:val="21"/>
                <w:highlight w:val="none"/>
              </w:rPr>
            </w:pPr>
          </w:p>
        </w:tc>
        <w:tc>
          <w:tcPr>
            <w:tcW w:w="1220" w:type="dxa"/>
            <w:vMerge w:val="continue"/>
            <w:tcBorders>
              <w:left w:val="single" w:color="auto" w:sz="4" w:space="0"/>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p>
        </w:tc>
        <w:tc>
          <w:tcPr>
            <w:tcW w:w="2449" w:type="dxa"/>
            <w:tcBorders>
              <w:top w:val="single" w:color="auto" w:sz="4" w:space="0"/>
              <w:left w:val="nil"/>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cs="华文仿宋" w:asciiTheme="minorEastAsia" w:hAnsiTheme="minorEastAsia" w:eastAsiaTheme="minorEastAsia"/>
                <w:color w:val="auto"/>
                <w:sz w:val="21"/>
                <w:szCs w:val="21"/>
                <w:highlight w:val="none"/>
              </w:rPr>
              <w:t>新建相关业务流程数据主题</w:t>
            </w:r>
          </w:p>
        </w:tc>
        <w:tc>
          <w:tcPr>
            <w:tcW w:w="1322" w:type="dxa"/>
            <w:tcBorders>
              <w:top w:val="single" w:color="auto" w:sz="4" w:space="0"/>
              <w:left w:val="nil"/>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cs="华文仿宋" w:asciiTheme="minorEastAsia" w:hAnsiTheme="minorEastAsia" w:eastAsiaTheme="minorEastAsia"/>
                <w:color w:val="auto"/>
                <w:sz w:val="21"/>
                <w:szCs w:val="21"/>
                <w:highlight w:val="none"/>
              </w:rPr>
              <w:t>15条</w:t>
            </w:r>
          </w:p>
        </w:tc>
        <w:tc>
          <w:tcPr>
            <w:tcW w:w="4641" w:type="dxa"/>
            <w:vMerge w:val="continue"/>
            <w:tcBorders>
              <w:left w:val="nil"/>
              <w:bottom w:val="single" w:color="auto" w:sz="4" w:space="0"/>
              <w:right w:val="single" w:color="auto" w:sz="4" w:space="0"/>
            </w:tcBorders>
            <w:shd w:val="clear" w:color="auto" w:fill="auto"/>
            <w:vAlign w:val="center"/>
          </w:tcPr>
          <w:p>
            <w:pPr>
              <w:snapToGrid w:val="0"/>
              <w:jc w:val="center"/>
              <w:rPr>
                <w:rFonts w:cs="华文仿宋" w:asciiTheme="minorEastAsia" w:hAnsiTheme="minorEastAsia" w:eastAsiaTheme="minorEastAsia"/>
                <w:color w:val="auto"/>
                <w:sz w:val="21"/>
                <w:szCs w:val="21"/>
                <w:highlight w:val="none"/>
              </w:rPr>
            </w:pPr>
          </w:p>
        </w:tc>
      </w:tr>
      <w:tr>
        <w:tblPrEx>
          <w:tblLayout w:type="fixed"/>
          <w:tblCellMar>
            <w:top w:w="0" w:type="dxa"/>
            <w:left w:w="108" w:type="dxa"/>
            <w:bottom w:w="0" w:type="dxa"/>
            <w:right w:w="108" w:type="dxa"/>
          </w:tblCellMar>
        </w:tblPrEx>
        <w:trPr>
          <w:trHeight w:val="564" w:hRule="atLeast"/>
          <w:jc w:val="center"/>
        </w:trPr>
        <w:tc>
          <w:tcPr>
            <w:tcW w:w="751" w:type="dxa"/>
            <w:tcBorders>
              <w:left w:val="single" w:color="auto" w:sz="4" w:space="0"/>
              <w:bottom w:val="single" w:color="auto" w:sz="4" w:space="0"/>
              <w:right w:val="single" w:color="auto" w:sz="4" w:space="0"/>
            </w:tcBorders>
            <w:shd w:val="clear" w:color="auto" w:fill="auto"/>
            <w:vAlign w:val="center"/>
          </w:tcPr>
          <w:p>
            <w:pPr>
              <w:snapToGrid w:val="0"/>
              <w:jc w:val="center"/>
              <w:rPr>
                <w:rFonts w:cs="华文仿宋" w:asciiTheme="minorEastAsia" w:hAnsiTheme="minorEastAsia" w:eastAsiaTheme="minorEastAsia"/>
                <w:color w:val="auto"/>
                <w:sz w:val="21"/>
                <w:szCs w:val="21"/>
                <w:highlight w:val="none"/>
              </w:rPr>
            </w:pPr>
            <w:r>
              <w:rPr>
                <w:rFonts w:cs="华文仿宋" w:asciiTheme="minorEastAsia" w:hAnsiTheme="minorEastAsia" w:eastAsiaTheme="minorEastAsia"/>
                <w:color w:val="auto"/>
                <w:sz w:val="21"/>
                <w:szCs w:val="21"/>
                <w:highlight w:val="none"/>
              </w:rPr>
              <w:t>5</w:t>
            </w:r>
          </w:p>
        </w:tc>
        <w:tc>
          <w:tcPr>
            <w:tcW w:w="1220" w:type="dxa"/>
            <w:tcBorders>
              <w:left w:val="single" w:color="auto" w:sz="4" w:space="0"/>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hint="eastAsia" w:cs="华文仿宋" w:asciiTheme="minorEastAsia" w:hAnsiTheme="minorEastAsia" w:eastAsiaTheme="minorEastAsia"/>
                <w:color w:val="auto"/>
                <w:sz w:val="21"/>
                <w:szCs w:val="21"/>
                <w:highlight w:val="none"/>
              </w:rPr>
              <w:t>日志分析管理系统</w:t>
            </w:r>
          </w:p>
        </w:tc>
        <w:tc>
          <w:tcPr>
            <w:tcW w:w="2449" w:type="dxa"/>
            <w:tcBorders>
              <w:top w:val="single" w:color="auto" w:sz="4" w:space="0"/>
              <w:left w:val="nil"/>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hint="eastAsia" w:cs="华文仿宋" w:asciiTheme="minorEastAsia" w:hAnsiTheme="minorEastAsia" w:eastAsiaTheme="minorEastAsia"/>
                <w:color w:val="auto"/>
                <w:sz w:val="21"/>
                <w:szCs w:val="21"/>
                <w:highlight w:val="none"/>
              </w:rPr>
              <w:t>日志分析管理系统</w:t>
            </w:r>
          </w:p>
        </w:tc>
        <w:tc>
          <w:tcPr>
            <w:tcW w:w="1322" w:type="dxa"/>
            <w:tcBorders>
              <w:top w:val="single" w:color="auto" w:sz="4" w:space="0"/>
              <w:left w:val="nil"/>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cs="华文仿宋" w:asciiTheme="minorEastAsia" w:hAnsiTheme="minorEastAsia" w:eastAsiaTheme="minorEastAsia"/>
                <w:color w:val="auto"/>
                <w:sz w:val="21"/>
                <w:szCs w:val="21"/>
                <w:highlight w:val="none"/>
              </w:rPr>
              <w:t>1套</w:t>
            </w:r>
          </w:p>
        </w:tc>
        <w:tc>
          <w:tcPr>
            <w:tcW w:w="4641" w:type="dxa"/>
            <w:tcBorders>
              <w:left w:val="nil"/>
              <w:bottom w:val="single" w:color="auto" w:sz="4" w:space="0"/>
              <w:right w:val="single" w:color="auto" w:sz="4" w:space="0"/>
            </w:tcBorders>
            <w:shd w:val="clear" w:color="auto" w:fill="auto"/>
            <w:vAlign w:val="center"/>
          </w:tcPr>
          <w:p>
            <w:pPr>
              <w:snapToGrid w:val="0"/>
              <w:jc w:val="center"/>
              <w:rPr>
                <w:rFonts w:cs="华文仿宋" w:asciiTheme="minorEastAsia" w:hAnsiTheme="minorEastAsia" w:eastAsiaTheme="minorEastAsia"/>
                <w:color w:val="auto"/>
                <w:sz w:val="21"/>
                <w:szCs w:val="21"/>
                <w:highlight w:val="none"/>
              </w:rPr>
            </w:pPr>
            <w:r>
              <w:rPr>
                <w:rFonts w:hint="eastAsia" w:cs="华文仿宋" w:asciiTheme="minorEastAsia" w:hAnsiTheme="minorEastAsia" w:eastAsiaTheme="minorEastAsia"/>
                <w:color w:val="auto"/>
                <w:sz w:val="21"/>
                <w:szCs w:val="21"/>
                <w:highlight w:val="none"/>
              </w:rPr>
              <w:t>收集我校校园网内各类网络及服务器设备的相关日志，并实现6个月的日志保存期</w:t>
            </w:r>
          </w:p>
        </w:tc>
      </w:tr>
      <w:tr>
        <w:tblPrEx>
          <w:tblLayout w:type="fixed"/>
          <w:tblCellMar>
            <w:top w:w="0" w:type="dxa"/>
            <w:left w:w="108" w:type="dxa"/>
            <w:bottom w:w="0" w:type="dxa"/>
            <w:right w:w="108" w:type="dxa"/>
          </w:tblCellMar>
        </w:tblPrEx>
        <w:trPr>
          <w:trHeight w:val="417"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cs="华文仿宋" w:asciiTheme="minorEastAsia" w:hAnsiTheme="minorEastAsia" w:eastAsiaTheme="minorEastAsia"/>
                <w:color w:val="auto"/>
                <w:sz w:val="21"/>
                <w:szCs w:val="21"/>
                <w:highlight w:val="none"/>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hint="eastAsia" w:cs="华文仿宋" w:asciiTheme="minorEastAsia" w:hAnsiTheme="minorEastAsia" w:eastAsiaTheme="minorEastAsia"/>
                <w:color w:val="auto"/>
                <w:sz w:val="21"/>
                <w:szCs w:val="21"/>
                <w:highlight w:val="none"/>
              </w:rPr>
              <w:t>系统集成服务</w:t>
            </w:r>
          </w:p>
        </w:tc>
        <w:tc>
          <w:tcPr>
            <w:tcW w:w="2449" w:type="dxa"/>
            <w:tcBorders>
              <w:top w:val="single" w:color="auto" w:sz="4" w:space="0"/>
              <w:left w:val="nil"/>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cs="华文仿宋" w:asciiTheme="minorEastAsia" w:hAnsiTheme="minorEastAsia" w:eastAsiaTheme="minorEastAsia"/>
                <w:color w:val="auto"/>
                <w:sz w:val="21"/>
                <w:szCs w:val="21"/>
                <w:highlight w:val="none"/>
              </w:rPr>
              <w:t>数据对接</w:t>
            </w:r>
          </w:p>
        </w:tc>
        <w:tc>
          <w:tcPr>
            <w:tcW w:w="1322" w:type="dxa"/>
            <w:tcBorders>
              <w:top w:val="single" w:color="auto" w:sz="4" w:space="0"/>
              <w:left w:val="nil"/>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cs="华文仿宋" w:asciiTheme="minorEastAsia" w:hAnsiTheme="minorEastAsia" w:eastAsiaTheme="minorEastAsia"/>
                <w:color w:val="auto"/>
                <w:sz w:val="21"/>
                <w:szCs w:val="21"/>
                <w:highlight w:val="none"/>
              </w:rPr>
              <w:t>/</w:t>
            </w:r>
          </w:p>
        </w:tc>
        <w:tc>
          <w:tcPr>
            <w:tcW w:w="4641" w:type="dxa"/>
            <w:tcBorders>
              <w:top w:val="single" w:color="auto" w:sz="4" w:space="0"/>
              <w:left w:val="nil"/>
              <w:bottom w:val="single" w:color="auto" w:sz="4" w:space="0"/>
              <w:right w:val="single" w:color="auto" w:sz="4" w:space="0"/>
            </w:tcBorders>
            <w:shd w:val="clear" w:color="auto" w:fill="auto"/>
            <w:vAlign w:val="center"/>
          </w:tcPr>
          <w:p>
            <w:pPr>
              <w:jc w:val="center"/>
              <w:rPr>
                <w:rFonts w:cs="华文仿宋" w:asciiTheme="minorEastAsia" w:hAnsiTheme="minorEastAsia" w:eastAsiaTheme="minorEastAsia"/>
                <w:color w:val="auto"/>
                <w:sz w:val="21"/>
                <w:szCs w:val="21"/>
                <w:highlight w:val="none"/>
              </w:rPr>
            </w:pPr>
            <w:r>
              <w:rPr>
                <w:rFonts w:hint="eastAsia" w:cs="华文仿宋" w:asciiTheme="minorEastAsia" w:hAnsiTheme="minorEastAsia" w:eastAsiaTheme="minorEastAsia"/>
                <w:color w:val="auto"/>
                <w:sz w:val="21"/>
                <w:szCs w:val="21"/>
                <w:highlight w:val="none"/>
              </w:rPr>
              <w:t>与数据中心等系统依据业务流程场景进行</w:t>
            </w:r>
            <w:r>
              <w:rPr>
                <w:rFonts w:cs="华文仿宋" w:asciiTheme="minorEastAsia" w:hAnsiTheme="minorEastAsia" w:eastAsiaTheme="minorEastAsia"/>
                <w:color w:val="auto"/>
                <w:sz w:val="21"/>
                <w:szCs w:val="21"/>
                <w:highlight w:val="none"/>
              </w:rPr>
              <w:t>数据交换</w:t>
            </w:r>
            <w:r>
              <w:rPr>
                <w:rFonts w:hint="eastAsia" w:cs="华文仿宋" w:asciiTheme="minorEastAsia" w:hAnsiTheme="minorEastAsia" w:eastAsiaTheme="minorEastAsia"/>
                <w:color w:val="auto"/>
                <w:sz w:val="21"/>
                <w:szCs w:val="21"/>
                <w:highlight w:val="none"/>
              </w:rPr>
              <w:t>集成</w:t>
            </w:r>
          </w:p>
        </w:tc>
      </w:tr>
    </w:tbl>
    <w:p>
      <w:pPr>
        <w:pStyle w:val="23"/>
        <w:spacing w:line="360" w:lineRule="auto"/>
        <w:rPr>
          <w:rFonts w:asciiTheme="minorEastAsia" w:hAnsiTheme="minorEastAsia" w:eastAsiaTheme="minorEastAsia" w:cstheme="minorEastAsia"/>
          <w:color w:val="auto"/>
          <w:sz w:val="24"/>
          <w:szCs w:val="21"/>
          <w:highlight w:val="none"/>
        </w:rPr>
      </w:pPr>
    </w:p>
    <w:p>
      <w:pPr>
        <w:spacing w:line="360" w:lineRule="auto"/>
        <w:jc w:val="center"/>
        <w:rPr>
          <w:rFonts w:hAnsi="宋体"/>
          <w:b/>
          <w:color w:val="auto"/>
          <w:sz w:val="32"/>
          <w:szCs w:val="32"/>
          <w:highlight w:val="none"/>
        </w:rPr>
      </w:pPr>
      <w:r>
        <w:rPr>
          <w:rFonts w:hint="eastAsia" w:hAnsi="宋体"/>
          <w:b/>
          <w:color w:val="auto"/>
          <w:sz w:val="32"/>
          <w:szCs w:val="32"/>
          <w:highlight w:val="none"/>
        </w:rPr>
        <w:br w:type="page"/>
      </w:r>
      <w:bookmarkStart w:id="25" w:name="_Toc32664"/>
      <w:bookmarkStart w:id="26" w:name="_Toc18279"/>
      <w:r>
        <w:rPr>
          <w:rFonts w:hint="eastAsia" w:hAnsi="宋体"/>
          <w:b/>
          <w:color w:val="auto"/>
          <w:sz w:val="32"/>
          <w:szCs w:val="32"/>
          <w:highlight w:val="none"/>
        </w:rPr>
        <w:t>第三章  供应商须知</w:t>
      </w:r>
      <w:bookmarkEnd w:id="25"/>
      <w:bookmarkEnd w:id="26"/>
    </w:p>
    <w:p>
      <w:pPr>
        <w:spacing w:line="288" w:lineRule="auto"/>
        <w:jc w:val="center"/>
        <w:outlineLvl w:val="1"/>
        <w:rPr>
          <w:rFonts w:ascii="宋体" w:hAnsi="宋体"/>
          <w:b/>
          <w:color w:val="auto"/>
          <w:sz w:val="24"/>
          <w:highlight w:val="none"/>
        </w:rPr>
      </w:pPr>
      <w:r>
        <w:rPr>
          <w:rFonts w:hint="eastAsia" w:ascii="宋体" w:hAnsi="宋体"/>
          <w:b/>
          <w:color w:val="auto"/>
          <w:sz w:val="24"/>
          <w:highlight w:val="none"/>
        </w:rPr>
        <w:t>供应商须知前附表</w:t>
      </w:r>
    </w:p>
    <w:tbl>
      <w:tblPr>
        <w:tblStyle w:val="1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
        <w:gridCol w:w="89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89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采 购 人：浙江财经大学</w:t>
            </w:r>
          </w:p>
          <w:p>
            <w:pPr>
              <w:rPr>
                <w:rFonts w:ascii="宋体" w:hAnsi="宋体" w:cs="宋体"/>
                <w:color w:val="auto"/>
                <w:sz w:val="21"/>
                <w:szCs w:val="21"/>
                <w:highlight w:val="none"/>
              </w:rPr>
            </w:pPr>
            <w:r>
              <w:rPr>
                <w:rFonts w:hint="eastAsia" w:ascii="宋体" w:hAnsi="宋体" w:cs="宋体"/>
                <w:color w:val="auto"/>
                <w:sz w:val="21"/>
                <w:szCs w:val="21"/>
                <w:highlight w:val="none"/>
              </w:rPr>
              <w:t>项目名称：一站式网上服务大厅（三期）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sz w:val="21"/>
                <w:szCs w:val="21"/>
                <w:highlight w:val="none"/>
              </w:rPr>
            </w:pPr>
            <w:r>
              <w:rPr>
                <w:rFonts w:hint="eastAsia" w:ascii="宋体" w:hAnsi="宋体" w:cs="宋体"/>
                <w:b/>
                <w:bCs/>
                <w:color w:val="auto"/>
                <w:sz w:val="21"/>
                <w:szCs w:val="21"/>
                <w:highlight w:val="none"/>
              </w:rPr>
              <w:t>“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3</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sz w:val="21"/>
                <w:szCs w:val="21"/>
                <w:highlight w:val="none"/>
              </w:rPr>
            </w:pPr>
            <w:r>
              <w:rPr>
                <w:rFonts w:hint="eastAsia" w:ascii="宋体" w:hAnsi="宋体" w:cs="宋体"/>
                <w:b/>
                <w:bCs/>
                <w:color w:val="auto"/>
                <w:sz w:val="21"/>
                <w:szCs w:val="21"/>
                <w:highlight w:val="none"/>
              </w:rPr>
              <w:t>“公章”除特殊说明外系指政采云电子交易客户端（政采云投标客户端）中供应商的电子签章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4</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sz w:val="21"/>
                <w:szCs w:val="21"/>
                <w:highlight w:val="none"/>
              </w:rPr>
            </w:pPr>
            <w:r>
              <w:rPr>
                <w:rFonts w:hint="eastAsia" w:ascii="宋体" w:hAnsi="宋体" w:cs="宋体"/>
                <w:b/>
                <w:bCs/>
                <w:color w:val="auto"/>
                <w:sz w:val="21"/>
                <w:szCs w:val="21"/>
                <w:highlight w:val="none"/>
              </w:rPr>
              <w:t>磋商费用</w:t>
            </w:r>
          </w:p>
          <w:p>
            <w:pPr>
              <w:rPr>
                <w:rFonts w:ascii="宋体" w:hAnsi="宋体" w:cs="宋体"/>
                <w:color w:val="auto"/>
                <w:sz w:val="21"/>
                <w:szCs w:val="21"/>
                <w:highlight w:val="none"/>
              </w:rPr>
            </w:pPr>
            <w:r>
              <w:rPr>
                <w:rFonts w:hint="eastAsia" w:ascii="宋体" w:hAnsi="宋体" w:cs="宋体"/>
                <w:color w:val="auto"/>
                <w:sz w:val="21"/>
                <w:szCs w:val="21"/>
                <w:highlight w:val="none"/>
              </w:rPr>
              <w:t>1.不论磋商结果如何，供应商均应自行承担所有与磋商有关的全部费用；</w:t>
            </w:r>
          </w:p>
          <w:p>
            <w:pPr>
              <w:rPr>
                <w:rFonts w:ascii="宋体" w:hAnsi="宋体" w:cs="宋体"/>
                <w:color w:val="auto"/>
                <w:sz w:val="21"/>
                <w:szCs w:val="21"/>
                <w:highlight w:val="none"/>
              </w:rPr>
            </w:pPr>
            <w:r>
              <w:rPr>
                <w:rFonts w:hint="eastAsia" w:ascii="宋体" w:hAnsi="宋体" w:cs="宋体"/>
                <w:color w:val="auto"/>
                <w:sz w:val="21"/>
                <w:szCs w:val="21"/>
                <w:highlight w:val="none"/>
              </w:rPr>
              <w:t>2.成交供应商在成交通知书发出之日起七个工作日内，向采购代理机构交纳代理服务费。</w:t>
            </w:r>
          </w:p>
          <w:p>
            <w:pPr>
              <w:rPr>
                <w:rFonts w:ascii="宋体" w:hAnsi="宋体" w:cs="宋体"/>
                <w:color w:val="auto"/>
                <w:sz w:val="21"/>
                <w:szCs w:val="21"/>
                <w:highlight w:val="none"/>
              </w:rPr>
            </w:pPr>
            <w:r>
              <w:rPr>
                <w:rFonts w:hint="eastAsia" w:ascii="宋体" w:hAnsi="宋体" w:cs="宋体"/>
                <w:color w:val="auto"/>
                <w:sz w:val="21"/>
                <w:szCs w:val="21"/>
                <w:highlight w:val="none"/>
              </w:rPr>
              <w:t>支付代理服务费：成交通知书发出之日起七个工作日内，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5</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磋商前答疑会：无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6</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sz w:val="21"/>
                <w:szCs w:val="21"/>
                <w:highlight w:val="none"/>
              </w:rPr>
            </w:pPr>
            <w:r>
              <w:rPr>
                <w:rFonts w:hint="eastAsia" w:ascii="宋体" w:hAnsi="宋体" w:cs="宋体"/>
                <w:b/>
                <w:bCs/>
                <w:color w:val="auto"/>
                <w:sz w:val="21"/>
                <w:szCs w:val="21"/>
                <w:highlight w:val="none"/>
              </w:rPr>
              <w:t>响应文件份数</w:t>
            </w:r>
          </w:p>
          <w:p>
            <w:pPr>
              <w:rPr>
                <w:rFonts w:ascii="宋体" w:hAnsi="宋体" w:cs="宋体"/>
                <w:color w:val="auto"/>
                <w:sz w:val="21"/>
                <w:szCs w:val="21"/>
                <w:highlight w:val="none"/>
              </w:rPr>
            </w:pPr>
            <w:r>
              <w:rPr>
                <w:rFonts w:hint="eastAsia" w:ascii="宋体" w:hAnsi="宋体" w:cs="宋体"/>
                <w:b/>
                <w:bCs/>
                <w:color w:val="auto"/>
                <w:sz w:val="21"/>
                <w:szCs w:val="21"/>
                <w:highlight w:val="none"/>
              </w:rPr>
              <w:t>电子加密响应文件：政府采购云平台在线上传一份；备份响应文件：密封包装后EMS或顺丰邮寄形式递交一份（邮寄地址：杭州市西湖区振华路298号西港发展中心7幢7楼A室浙江建友工程咨询有限公司徐梦遥收）。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7</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sz w:val="21"/>
                <w:szCs w:val="21"/>
                <w:highlight w:val="none"/>
              </w:rPr>
            </w:pPr>
            <w:r>
              <w:rPr>
                <w:rFonts w:hint="eastAsia" w:ascii="宋体" w:hAnsi="宋体" w:cs="宋体"/>
                <w:b/>
                <w:bCs/>
                <w:color w:val="auto"/>
                <w:sz w:val="21"/>
                <w:szCs w:val="21"/>
                <w:highlight w:val="none"/>
              </w:rPr>
              <w:t>响应文件的上传、递交</w:t>
            </w:r>
          </w:p>
          <w:p>
            <w:pPr>
              <w:rPr>
                <w:rFonts w:ascii="宋体" w:hAnsi="宋体" w:cs="宋体"/>
                <w:color w:val="auto"/>
                <w:sz w:val="21"/>
                <w:szCs w:val="21"/>
                <w:highlight w:val="none"/>
              </w:rPr>
            </w:pPr>
            <w:r>
              <w:rPr>
                <w:rFonts w:hint="eastAsia" w:ascii="宋体" w:hAnsi="宋体" w:cs="宋体"/>
                <w:color w:val="auto"/>
                <w:sz w:val="21"/>
                <w:szCs w:val="21"/>
                <w:highlight w:val="none"/>
              </w:rPr>
              <w:t>（1）电子加密响应文件的上传：</w:t>
            </w:r>
          </w:p>
          <w:p>
            <w:pPr>
              <w:rPr>
                <w:rFonts w:ascii="宋体" w:hAnsi="宋体" w:cs="宋体"/>
                <w:color w:val="auto"/>
                <w:sz w:val="21"/>
                <w:szCs w:val="21"/>
                <w:highlight w:val="none"/>
              </w:rPr>
            </w:pPr>
            <w:r>
              <w:rPr>
                <w:rFonts w:hint="eastAsia" w:ascii="宋体" w:hAnsi="宋体" w:cs="宋体"/>
                <w:color w:val="auto"/>
                <w:sz w:val="21"/>
                <w:szCs w:val="21"/>
                <w:highlight w:val="none"/>
              </w:rPr>
              <w:t>▲a.供应商应在响应文件提交截止时间前将电子加密响应文件成功上传至政府采购云平台，否则响应无效；</w:t>
            </w:r>
          </w:p>
          <w:p>
            <w:pPr>
              <w:rPr>
                <w:rFonts w:ascii="宋体" w:hAnsi="宋体" w:cs="宋体"/>
                <w:color w:val="auto"/>
                <w:sz w:val="21"/>
                <w:szCs w:val="21"/>
                <w:highlight w:val="none"/>
              </w:rPr>
            </w:pPr>
            <w:r>
              <w:rPr>
                <w:rFonts w:hint="eastAsia" w:ascii="宋体" w:hAnsi="宋体" w:cs="宋体"/>
                <w:color w:val="auto"/>
                <w:sz w:val="21"/>
                <w:szCs w:val="21"/>
                <w:highlight w:val="none"/>
              </w:rPr>
              <w:t>b.电子加密响应文件成功上传后，供应商可自行打印响应文件接收回执。</w:t>
            </w:r>
          </w:p>
          <w:p>
            <w:pPr>
              <w:rPr>
                <w:rFonts w:ascii="宋体" w:hAnsi="宋体" w:cs="宋体"/>
                <w:color w:val="auto"/>
                <w:sz w:val="21"/>
                <w:szCs w:val="21"/>
                <w:highlight w:val="none"/>
              </w:rPr>
            </w:pPr>
            <w:r>
              <w:rPr>
                <w:rFonts w:hint="eastAsia" w:ascii="宋体" w:hAnsi="宋体" w:cs="宋体"/>
                <w:color w:val="auto"/>
                <w:sz w:val="21"/>
                <w:szCs w:val="21"/>
                <w:highlight w:val="none"/>
              </w:rPr>
              <w:t>（2）备份响应文件的密封包装、递交：</w:t>
            </w:r>
          </w:p>
          <w:p>
            <w:pPr>
              <w:rPr>
                <w:rFonts w:ascii="宋体" w:hAnsi="宋体" w:cs="宋体"/>
                <w:color w:val="auto"/>
                <w:sz w:val="21"/>
                <w:szCs w:val="21"/>
                <w:highlight w:val="none"/>
              </w:rPr>
            </w:pPr>
            <w:r>
              <w:rPr>
                <w:rFonts w:hint="eastAsia" w:ascii="宋体" w:hAnsi="宋体" w:cs="宋体"/>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rPr>
                <w:rFonts w:ascii="宋体" w:hAnsi="宋体" w:cs="宋体"/>
                <w:color w:val="auto"/>
                <w:sz w:val="21"/>
                <w:szCs w:val="21"/>
                <w:highlight w:val="none"/>
              </w:rPr>
            </w:pPr>
            <w:r>
              <w:rPr>
                <w:rFonts w:hint="eastAsia" w:ascii="宋体" w:hAnsi="宋体" w:cs="宋体"/>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rPr>
                <w:rFonts w:ascii="宋体" w:hAnsi="宋体" w:cs="宋体"/>
                <w:b/>
                <w:bCs/>
                <w:color w:val="auto"/>
                <w:sz w:val="21"/>
                <w:szCs w:val="21"/>
                <w:highlight w:val="none"/>
              </w:rPr>
            </w:pPr>
            <w:r>
              <w:rPr>
                <w:rFonts w:hint="eastAsia" w:ascii="宋体" w:hAnsi="宋体" w:cs="宋体"/>
                <w:color w:val="auto"/>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8</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sz w:val="21"/>
                <w:szCs w:val="21"/>
                <w:highlight w:val="none"/>
              </w:rPr>
            </w:pPr>
            <w:r>
              <w:rPr>
                <w:rFonts w:hint="eastAsia" w:ascii="宋体" w:hAnsi="宋体" w:cs="宋体"/>
                <w:b/>
                <w:bCs/>
                <w:color w:val="auto"/>
                <w:sz w:val="21"/>
                <w:szCs w:val="21"/>
                <w:highlight w:val="none"/>
              </w:rPr>
              <w:t>磋商响应报价</w:t>
            </w:r>
          </w:p>
          <w:p>
            <w:pPr>
              <w:rPr>
                <w:rFonts w:ascii="宋体" w:hAnsi="宋体" w:cs="宋体"/>
                <w:color w:val="auto"/>
                <w:sz w:val="21"/>
                <w:szCs w:val="21"/>
                <w:highlight w:val="none"/>
              </w:rPr>
            </w:pPr>
            <w:r>
              <w:rPr>
                <w:rFonts w:hint="eastAsia" w:ascii="宋体" w:hAnsi="宋体" w:cs="宋体"/>
                <w:color w:val="auto"/>
                <w:sz w:val="21"/>
                <w:szCs w:val="21"/>
                <w:highlight w:val="none"/>
              </w:rPr>
              <w:t>1.报价应按磋商文件要求的格式编制、填写报价内容（可自行增行），未按磋商文件要求编制、填写的响应文件可能被拒绝。</w:t>
            </w:r>
          </w:p>
          <w:p>
            <w:pPr>
              <w:rPr>
                <w:rFonts w:ascii="宋体" w:hAnsi="宋体" w:cs="宋体"/>
                <w:color w:val="auto"/>
                <w:sz w:val="21"/>
                <w:szCs w:val="21"/>
                <w:highlight w:val="none"/>
              </w:rPr>
            </w:pPr>
            <w:r>
              <w:rPr>
                <w:rFonts w:hint="eastAsia" w:ascii="宋体" w:hAnsi="宋体" w:cs="宋体"/>
                <w:color w:val="auto"/>
                <w:sz w:val="21"/>
                <w:szCs w:val="21"/>
                <w:highlight w:val="none"/>
              </w:rPr>
              <w:t>2.供应商根据磋商文件的要求，须将维修费、调试费、检测费、验收费（通过验收直至交付用户使用，达到使用要求及质量标准）、培训费、投标费、合同包含的所有风险责任等各项费用及不可预见费、免费维护期内保修服务等所需的全部费用都包含在响应报价之中，一次性包死，合同价不再作调整，除招标范围更改，如还有其它费用内容组成，供应商可在报价明细表中单独列出，如不列明详细报价，则视为已含入报价里。</w:t>
            </w:r>
          </w:p>
          <w:p>
            <w:pPr>
              <w:rPr>
                <w:rFonts w:ascii="宋体" w:hAnsi="宋体" w:cs="宋体"/>
                <w:color w:val="auto"/>
                <w:sz w:val="21"/>
                <w:szCs w:val="21"/>
                <w:highlight w:val="none"/>
              </w:rPr>
            </w:pPr>
            <w:r>
              <w:rPr>
                <w:rFonts w:hint="eastAsia" w:ascii="宋体" w:hAnsi="宋体" w:cs="宋体"/>
                <w:color w:val="auto"/>
                <w:sz w:val="21"/>
                <w:szCs w:val="21"/>
                <w:highlight w:val="none"/>
              </w:rPr>
              <w:t>3.最后报价是履行合同的最终价格，供应商在报价时应充分考虑各种风险，价格将不予调整。</w:t>
            </w:r>
          </w:p>
          <w:p>
            <w:pPr>
              <w:rPr>
                <w:rFonts w:ascii="宋体" w:hAnsi="宋体" w:cs="宋体"/>
                <w:color w:val="auto"/>
                <w:sz w:val="21"/>
                <w:szCs w:val="21"/>
                <w:highlight w:val="none"/>
              </w:rPr>
            </w:pPr>
            <w:r>
              <w:rPr>
                <w:rFonts w:hint="eastAsia" w:ascii="宋体" w:hAnsi="宋体" w:cs="宋体"/>
                <w:color w:val="auto"/>
                <w:sz w:val="21"/>
                <w:szCs w:val="21"/>
                <w:highlight w:val="none"/>
              </w:rPr>
              <w:t>4.本次磋商只允许有一个报价，有选择的报价不予接受。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9</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响应有效期：</w:t>
            </w:r>
            <w:r>
              <w:rPr>
                <w:rFonts w:hint="eastAsia" w:ascii="宋体" w:hAnsi="宋体" w:cs="宋体"/>
                <w:color w:val="auto"/>
                <w:spacing w:val="-6"/>
                <w:sz w:val="21"/>
                <w:szCs w:val="21"/>
                <w:highlight w:val="none"/>
              </w:rPr>
              <w:t>从提交响应文件的截止之日起90天。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10</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11</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12</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成交结果公示：成交结果公示于浙江政府采购网（http://zfcg.czt.zj.gov.cn)等相关网站或媒体。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13</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签订合同：成交通知书发出之日起30日内。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95"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14</w:t>
            </w:r>
          </w:p>
        </w:tc>
        <w:tc>
          <w:tcPr>
            <w:tcW w:w="8933"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政府采购促进中小企业发展：提供材料详见磋商文件第六章“报价文件”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95"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15</w:t>
            </w:r>
          </w:p>
        </w:tc>
        <w:tc>
          <w:tcPr>
            <w:tcW w:w="8933"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政府采购支持监狱企业发展：提供材料详见磋商文件第六章“报价文件”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95"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16</w:t>
            </w:r>
          </w:p>
        </w:tc>
        <w:tc>
          <w:tcPr>
            <w:tcW w:w="8933"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政府采购促进残疾人就业：提供材料详见磋商文件第六章“报价文件”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95"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17</w:t>
            </w:r>
          </w:p>
        </w:tc>
        <w:tc>
          <w:tcPr>
            <w:tcW w:w="8933"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政府强制采购节能产品：提供材料详见磋商文件第六章“商务文件”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95"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18</w:t>
            </w:r>
          </w:p>
        </w:tc>
        <w:tc>
          <w:tcPr>
            <w:tcW w:w="8933"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政府优先采购节能、环保产品：提供材料详见磋商文件第六章“商务文件”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95"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19</w:t>
            </w:r>
          </w:p>
        </w:tc>
        <w:tc>
          <w:tcPr>
            <w:tcW w:w="8933"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政府采购进口产品：不适用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20</w:t>
            </w:r>
          </w:p>
        </w:tc>
        <w:tc>
          <w:tcPr>
            <w:tcW w:w="89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解释：本磋商文件的解释权属于采购代理机构。</w:t>
            </w:r>
          </w:p>
        </w:tc>
      </w:tr>
    </w:tbl>
    <w:p>
      <w:pPr>
        <w:pStyle w:val="10"/>
        <w:spacing w:before="0" w:beforeLines="0" w:after="0" w:afterLines="0" w:line="288" w:lineRule="auto"/>
        <w:jc w:val="center"/>
        <w:outlineLvl w:val="1"/>
        <w:rPr>
          <w:rFonts w:hAnsi="宋体"/>
          <w:b/>
          <w:color w:val="auto"/>
          <w:spacing w:val="-6"/>
          <w:sz w:val="32"/>
          <w:szCs w:val="32"/>
          <w:highlight w:val="none"/>
        </w:rPr>
      </w:pPr>
      <w:r>
        <w:rPr>
          <w:rFonts w:hAnsi="宋体"/>
          <w:b/>
          <w:color w:val="auto"/>
          <w:spacing w:val="-6"/>
          <w:sz w:val="21"/>
          <w:szCs w:val="21"/>
          <w:highlight w:val="none"/>
        </w:rPr>
        <w:br w:type="page"/>
      </w:r>
      <w:bookmarkStart w:id="27" w:name="_Toc31181"/>
      <w:r>
        <w:rPr>
          <w:rFonts w:hAnsi="宋体"/>
          <w:b/>
          <w:color w:val="auto"/>
          <w:spacing w:val="-6"/>
          <w:sz w:val="32"/>
          <w:szCs w:val="32"/>
          <w:highlight w:val="none"/>
        </w:rPr>
        <w:t>一</w:t>
      </w:r>
      <w:r>
        <w:rPr>
          <w:rFonts w:hint="eastAsia" w:hAnsi="宋体"/>
          <w:b/>
          <w:color w:val="auto"/>
          <w:spacing w:val="-6"/>
          <w:sz w:val="32"/>
          <w:szCs w:val="32"/>
          <w:highlight w:val="none"/>
        </w:rPr>
        <w:t>、</w:t>
      </w:r>
      <w:r>
        <w:rPr>
          <w:rFonts w:hAnsi="宋体"/>
          <w:b/>
          <w:color w:val="auto"/>
          <w:spacing w:val="-6"/>
          <w:sz w:val="32"/>
          <w:szCs w:val="32"/>
          <w:highlight w:val="none"/>
        </w:rPr>
        <w:t>总</w:t>
      </w:r>
      <w:r>
        <w:rPr>
          <w:rFonts w:hint="eastAsia" w:hAnsi="宋体"/>
          <w:b/>
          <w:color w:val="auto"/>
          <w:spacing w:val="-6"/>
          <w:sz w:val="32"/>
          <w:szCs w:val="32"/>
          <w:highlight w:val="none"/>
        </w:rPr>
        <w:t xml:space="preserve">  </w:t>
      </w:r>
      <w:r>
        <w:rPr>
          <w:rFonts w:hAnsi="宋体"/>
          <w:b/>
          <w:color w:val="auto"/>
          <w:spacing w:val="-6"/>
          <w:sz w:val="32"/>
          <w:szCs w:val="32"/>
          <w:highlight w:val="none"/>
        </w:rPr>
        <w:t>则</w:t>
      </w:r>
      <w:bookmarkEnd w:id="27"/>
    </w:p>
    <w:p>
      <w:pPr>
        <w:spacing w:line="288" w:lineRule="auto"/>
        <w:jc w:val="left"/>
        <w:outlineLvl w:val="2"/>
        <w:rPr>
          <w:rFonts w:ascii="宋体" w:hAnsi="宋体"/>
          <w:b/>
          <w:color w:val="auto"/>
          <w:spacing w:val="-6"/>
          <w:sz w:val="24"/>
          <w:highlight w:val="none"/>
        </w:rPr>
      </w:pPr>
      <w:bookmarkStart w:id="28" w:name="_Toc26085"/>
      <w:r>
        <w:rPr>
          <w:rFonts w:hint="eastAsia" w:ascii="宋体" w:hAnsi="宋体"/>
          <w:b/>
          <w:color w:val="auto"/>
          <w:spacing w:val="-6"/>
          <w:sz w:val="24"/>
          <w:highlight w:val="none"/>
        </w:rPr>
        <w:t>（一</w:t>
      </w:r>
      <w:r>
        <w:rPr>
          <w:rFonts w:ascii="宋体" w:hAnsi="宋体"/>
          <w:b/>
          <w:color w:val="auto"/>
          <w:spacing w:val="-6"/>
          <w:sz w:val="24"/>
          <w:highlight w:val="none"/>
        </w:rPr>
        <w:t>）</w:t>
      </w:r>
      <w:r>
        <w:rPr>
          <w:rFonts w:hint="eastAsia" w:ascii="宋体" w:hAnsi="宋体"/>
          <w:b/>
          <w:color w:val="auto"/>
          <w:spacing w:val="-6"/>
          <w:sz w:val="24"/>
          <w:highlight w:val="none"/>
        </w:rPr>
        <w:t>适用范围</w:t>
      </w:r>
      <w:bookmarkEnd w:id="28"/>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本磋商文件适用于浙江财经大学一站式网上服务大厅（三期）的磋商、评审、成交、验收、合同履约、付款等（法律、法规另有规定的，从其规定）。</w:t>
      </w:r>
    </w:p>
    <w:p>
      <w:pPr>
        <w:spacing w:line="288" w:lineRule="auto"/>
        <w:jc w:val="left"/>
        <w:outlineLvl w:val="2"/>
        <w:rPr>
          <w:rFonts w:ascii="宋体" w:hAnsi="宋体"/>
          <w:b/>
          <w:color w:val="auto"/>
          <w:spacing w:val="-6"/>
          <w:sz w:val="24"/>
          <w:highlight w:val="none"/>
        </w:rPr>
      </w:pPr>
      <w:bookmarkStart w:id="29" w:name="_Toc935"/>
      <w:r>
        <w:rPr>
          <w:rFonts w:hint="eastAsia" w:ascii="宋体" w:hAnsi="宋体"/>
          <w:b/>
          <w:color w:val="auto"/>
          <w:spacing w:val="-6"/>
          <w:sz w:val="24"/>
          <w:highlight w:val="none"/>
        </w:rPr>
        <w:t>（二）定义</w:t>
      </w:r>
      <w:bookmarkEnd w:id="29"/>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1.“采购人”系指浙江财经大学；</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采购代理机构”系指组织本次竞争性磋商的浙江建友工程咨询有限公司；</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3.“供应商”系指响应磋商、参加竞争的法人、其他组织或者自然人；</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4.“书面形式”包括信函、传真、电子文档等；</w:t>
      </w:r>
    </w:p>
    <w:p>
      <w:pPr>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6.“公章”除特殊说明外系指政采云电子交易客户端（政采云投标客户端）中供应商的电子签章；</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7.“▲”系指实质性要求条款，供应商必须做出实质性响应。</w:t>
      </w:r>
    </w:p>
    <w:p>
      <w:pPr>
        <w:spacing w:line="288" w:lineRule="auto"/>
        <w:jc w:val="left"/>
        <w:outlineLvl w:val="2"/>
        <w:rPr>
          <w:rFonts w:ascii="宋体" w:hAnsi="宋体"/>
          <w:b/>
          <w:color w:val="auto"/>
          <w:spacing w:val="-6"/>
          <w:sz w:val="24"/>
          <w:highlight w:val="none"/>
        </w:rPr>
      </w:pPr>
      <w:bookmarkStart w:id="30" w:name="_Toc28078"/>
      <w:r>
        <w:rPr>
          <w:rFonts w:hint="eastAsia" w:ascii="宋体" w:hAnsi="宋体"/>
          <w:b/>
          <w:color w:val="auto"/>
          <w:spacing w:val="-6"/>
          <w:sz w:val="24"/>
          <w:highlight w:val="none"/>
        </w:rPr>
        <w:t>（三）采购方式</w:t>
      </w:r>
      <w:bookmarkEnd w:id="30"/>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本次采购采用竞争性磋商</w:t>
      </w:r>
      <w:r>
        <w:rPr>
          <w:rFonts w:hint="eastAsia" w:ascii="宋体" w:hAnsi="宋体"/>
          <w:color w:val="auto"/>
          <w:spacing w:val="-6"/>
          <w:sz w:val="21"/>
          <w:szCs w:val="21"/>
          <w:highlight w:val="none"/>
        </w:rPr>
        <w:t>（线上电子交易）</w:t>
      </w:r>
      <w:r>
        <w:rPr>
          <w:rFonts w:hint="eastAsia" w:ascii="宋体" w:hAnsi="宋体"/>
          <w:color w:val="auto"/>
          <w:spacing w:val="-6"/>
          <w:sz w:val="21"/>
          <w:szCs w:val="21"/>
          <w:highlight w:val="none"/>
        </w:rPr>
        <w:t>方式进行。</w:t>
      </w:r>
    </w:p>
    <w:p>
      <w:pPr>
        <w:spacing w:line="288" w:lineRule="auto"/>
        <w:jc w:val="left"/>
        <w:outlineLvl w:val="2"/>
        <w:rPr>
          <w:rFonts w:ascii="宋体" w:hAnsi="宋体"/>
          <w:b/>
          <w:color w:val="auto"/>
          <w:spacing w:val="-6"/>
          <w:sz w:val="24"/>
          <w:highlight w:val="none"/>
        </w:rPr>
      </w:pPr>
      <w:bookmarkStart w:id="31" w:name="_Toc26979"/>
      <w:r>
        <w:rPr>
          <w:rFonts w:hint="eastAsia" w:ascii="宋体" w:hAnsi="宋体"/>
          <w:b/>
          <w:color w:val="auto"/>
          <w:spacing w:val="-6"/>
          <w:sz w:val="24"/>
          <w:highlight w:val="none"/>
        </w:rPr>
        <w:t>（四）竞争性磋商委托</w:t>
      </w:r>
      <w:bookmarkEnd w:id="31"/>
    </w:p>
    <w:p>
      <w:pPr>
        <w:spacing w:line="288"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如供应商授权代表不是法定代表人，须有</w:t>
      </w:r>
      <w:r>
        <w:rPr>
          <w:rFonts w:ascii="宋体" w:hAnsi="宋体"/>
          <w:bCs/>
          <w:color w:val="auto"/>
          <w:spacing w:val="-6"/>
          <w:sz w:val="21"/>
          <w:szCs w:val="21"/>
          <w:highlight w:val="none"/>
        </w:rPr>
        <w:t>附有法定代表人资格证明</w:t>
      </w:r>
      <w:r>
        <w:rPr>
          <w:rFonts w:hint="eastAsia" w:ascii="宋体" w:hAnsi="宋体"/>
          <w:bCs/>
          <w:color w:val="auto"/>
          <w:spacing w:val="-6"/>
          <w:sz w:val="21"/>
          <w:szCs w:val="21"/>
          <w:highlight w:val="none"/>
        </w:rPr>
        <w:t>书</w:t>
      </w:r>
      <w:r>
        <w:rPr>
          <w:rFonts w:ascii="宋体" w:hAnsi="宋体"/>
          <w:bCs/>
          <w:color w:val="auto"/>
          <w:spacing w:val="-6"/>
          <w:sz w:val="21"/>
          <w:szCs w:val="21"/>
          <w:highlight w:val="none"/>
        </w:rPr>
        <w:t>的法定代表人授权</w:t>
      </w:r>
      <w:r>
        <w:rPr>
          <w:rFonts w:hint="eastAsia" w:ascii="宋体" w:hAnsi="宋体"/>
          <w:bCs/>
          <w:color w:val="auto"/>
          <w:spacing w:val="-6"/>
          <w:sz w:val="21"/>
          <w:szCs w:val="21"/>
          <w:highlight w:val="none"/>
        </w:rPr>
        <w:t>委托</w:t>
      </w:r>
      <w:r>
        <w:rPr>
          <w:rFonts w:ascii="宋体" w:hAnsi="宋体"/>
          <w:bCs/>
          <w:color w:val="auto"/>
          <w:spacing w:val="-6"/>
          <w:sz w:val="21"/>
          <w:szCs w:val="21"/>
          <w:highlight w:val="none"/>
        </w:rPr>
        <w:t>书</w:t>
      </w:r>
      <w:r>
        <w:rPr>
          <w:rFonts w:hint="eastAsia" w:ascii="宋体" w:hAnsi="宋体"/>
          <w:color w:val="auto"/>
          <w:spacing w:val="-6"/>
          <w:sz w:val="21"/>
          <w:szCs w:val="21"/>
          <w:highlight w:val="none"/>
        </w:rPr>
        <w:t>（格式详见磋商文件第六章），供应商</w:t>
      </w:r>
      <w:r>
        <w:rPr>
          <w:rFonts w:hint="eastAsia" w:ascii="宋体" w:hAnsi="宋体"/>
          <w:color w:val="auto"/>
          <w:spacing w:val="-6"/>
          <w:sz w:val="21"/>
          <w:szCs w:val="21"/>
          <w:highlight w:val="none"/>
        </w:rPr>
        <w:t>因未在线参加响应文件开启而导致电子加密响应文件无法按时解密等一切后果由供应商自行承担。</w:t>
      </w:r>
    </w:p>
    <w:p>
      <w:pPr>
        <w:spacing w:line="288" w:lineRule="auto"/>
        <w:jc w:val="left"/>
        <w:outlineLvl w:val="2"/>
        <w:rPr>
          <w:rFonts w:ascii="宋体" w:hAnsi="宋体"/>
          <w:b/>
          <w:color w:val="auto"/>
          <w:spacing w:val="-6"/>
          <w:sz w:val="24"/>
          <w:highlight w:val="none"/>
        </w:rPr>
      </w:pPr>
      <w:bookmarkStart w:id="32" w:name="_Toc32218"/>
      <w:r>
        <w:rPr>
          <w:rFonts w:hint="eastAsia" w:ascii="宋体" w:hAnsi="宋体"/>
          <w:b/>
          <w:color w:val="auto"/>
          <w:spacing w:val="-6"/>
          <w:sz w:val="24"/>
          <w:highlight w:val="none"/>
        </w:rPr>
        <w:t>（五）磋商费用</w:t>
      </w:r>
      <w:bookmarkEnd w:id="32"/>
    </w:p>
    <w:p>
      <w:pPr>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1.</w:t>
      </w:r>
      <w:r>
        <w:rPr>
          <w:rFonts w:hint="eastAsia" w:ascii="宋体" w:hAnsi="宋体"/>
          <w:color w:val="auto"/>
          <w:spacing w:val="-6"/>
          <w:sz w:val="21"/>
          <w:szCs w:val="21"/>
          <w:highlight w:val="none"/>
        </w:rPr>
        <w:t>不论磋商结果如何，供应商均应自行承担所有与磋商有关的全部费用；</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2.成交供应商在成交通知书发出之日起七个工作日内，向采购代理机构交纳代理服务费2000元整。</w:t>
      </w:r>
    </w:p>
    <w:p>
      <w:pPr>
        <w:spacing w:line="288" w:lineRule="auto"/>
        <w:ind w:firstLine="396" w:firstLineChars="200"/>
        <w:jc w:val="left"/>
        <w:rPr>
          <w:rFonts w:ascii="宋体" w:hAnsi="宋体"/>
          <w:b/>
          <w:color w:val="auto"/>
          <w:spacing w:val="-6"/>
          <w:sz w:val="24"/>
          <w:highlight w:val="none"/>
        </w:rPr>
      </w:pPr>
      <w:bookmarkStart w:id="33" w:name="_Toc19168"/>
      <w:r>
        <w:rPr>
          <w:rFonts w:hint="eastAsia" w:ascii="宋体" w:hAnsi="宋体"/>
          <w:color w:val="auto"/>
          <w:spacing w:val="-6"/>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outlineLvl w:val="2"/>
        <w:rPr>
          <w:rFonts w:ascii="宋体" w:hAnsi="宋体"/>
          <w:b/>
          <w:color w:val="auto"/>
          <w:spacing w:val="-6"/>
          <w:sz w:val="24"/>
          <w:highlight w:val="none"/>
        </w:rPr>
      </w:pPr>
      <w:r>
        <w:rPr>
          <w:rFonts w:hint="eastAsia" w:ascii="宋体" w:hAnsi="宋体"/>
          <w:b/>
          <w:color w:val="auto"/>
          <w:spacing w:val="-6"/>
          <w:sz w:val="24"/>
          <w:highlight w:val="none"/>
        </w:rPr>
        <w:t>（六）联合体响应</w:t>
      </w:r>
      <w:bookmarkEnd w:id="33"/>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本项目不接受联合体响应。</w:t>
      </w:r>
    </w:p>
    <w:p>
      <w:pPr>
        <w:spacing w:line="288" w:lineRule="auto"/>
        <w:jc w:val="left"/>
        <w:outlineLvl w:val="2"/>
        <w:rPr>
          <w:rFonts w:ascii="宋体" w:hAnsi="宋体"/>
          <w:b/>
          <w:color w:val="auto"/>
          <w:spacing w:val="-6"/>
          <w:sz w:val="24"/>
          <w:highlight w:val="none"/>
        </w:rPr>
      </w:pPr>
      <w:bookmarkStart w:id="34" w:name="_Toc8442"/>
      <w:r>
        <w:rPr>
          <w:rFonts w:hint="eastAsia" w:ascii="宋体" w:hAnsi="宋体"/>
          <w:b/>
          <w:color w:val="auto"/>
          <w:spacing w:val="-6"/>
          <w:sz w:val="24"/>
          <w:highlight w:val="none"/>
        </w:rPr>
        <w:t>（七）转包与分包</w:t>
      </w:r>
      <w:bookmarkEnd w:id="34"/>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本项目不允许转包；</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288" w:lineRule="auto"/>
        <w:jc w:val="left"/>
        <w:outlineLvl w:val="2"/>
        <w:rPr>
          <w:rFonts w:ascii="宋体" w:hAnsi="宋体"/>
          <w:b/>
          <w:color w:val="auto"/>
          <w:spacing w:val="-6"/>
          <w:sz w:val="24"/>
          <w:highlight w:val="none"/>
        </w:rPr>
      </w:pPr>
      <w:bookmarkStart w:id="35" w:name="_Toc4571"/>
      <w:r>
        <w:rPr>
          <w:rFonts w:hint="eastAsia" w:ascii="宋体" w:hAnsi="宋体"/>
          <w:b/>
          <w:color w:val="auto"/>
          <w:spacing w:val="-6"/>
          <w:sz w:val="24"/>
          <w:highlight w:val="none"/>
        </w:rPr>
        <w:t>（八）特别说明</w:t>
      </w:r>
      <w:bookmarkEnd w:id="35"/>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rPr>
        <w:t>供应商</w:t>
      </w:r>
      <w:r>
        <w:rPr>
          <w:rFonts w:hAnsi="宋体"/>
          <w:color w:val="auto"/>
          <w:spacing w:val="-6"/>
          <w:sz w:val="21"/>
          <w:szCs w:val="21"/>
          <w:highlight w:val="none"/>
        </w:rPr>
        <w:t>应仔细阅读</w:t>
      </w:r>
      <w:r>
        <w:rPr>
          <w:rFonts w:hint="eastAsia" w:hAnsi="宋体"/>
          <w:color w:val="auto"/>
          <w:spacing w:val="-6"/>
          <w:sz w:val="21"/>
          <w:szCs w:val="21"/>
          <w:highlight w:val="none"/>
        </w:rPr>
        <w:t>磋商</w:t>
      </w:r>
      <w:r>
        <w:rPr>
          <w:rFonts w:hAnsi="宋体"/>
          <w:color w:val="auto"/>
          <w:spacing w:val="-6"/>
          <w:sz w:val="21"/>
          <w:szCs w:val="21"/>
          <w:highlight w:val="none"/>
        </w:rPr>
        <w:t>文件的所有内容，按照</w:t>
      </w:r>
      <w:r>
        <w:rPr>
          <w:rFonts w:hint="eastAsia" w:hAnsi="宋体"/>
          <w:color w:val="auto"/>
          <w:spacing w:val="-6"/>
          <w:sz w:val="21"/>
          <w:szCs w:val="21"/>
          <w:highlight w:val="none"/>
        </w:rPr>
        <w:t>磋商</w:t>
      </w:r>
      <w:r>
        <w:rPr>
          <w:rFonts w:hAnsi="宋体"/>
          <w:color w:val="auto"/>
          <w:spacing w:val="-6"/>
          <w:sz w:val="21"/>
          <w:szCs w:val="21"/>
          <w:highlight w:val="none"/>
        </w:rPr>
        <w:t>文件的要求提交</w:t>
      </w:r>
      <w:r>
        <w:rPr>
          <w:rFonts w:hint="eastAsia" w:hAnsi="宋体"/>
          <w:color w:val="auto"/>
          <w:spacing w:val="-6"/>
          <w:sz w:val="21"/>
          <w:szCs w:val="21"/>
          <w:highlight w:val="none"/>
        </w:rPr>
        <w:t>响应</w:t>
      </w:r>
      <w:r>
        <w:rPr>
          <w:rFonts w:hAnsi="宋体"/>
          <w:color w:val="auto"/>
          <w:spacing w:val="-6"/>
          <w:sz w:val="21"/>
          <w:szCs w:val="21"/>
          <w:highlight w:val="none"/>
        </w:rPr>
        <w:t>文件，并对所提供的全部资料的真实性承担法律责任。</w:t>
      </w:r>
    </w:p>
    <w:p>
      <w:pPr>
        <w:pStyle w:val="2"/>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单位负责人为同一人或者存在直接控股、管理关系的不同供应商，不得参加同一合同项下的政府采购活动。</w:t>
      </w:r>
    </w:p>
    <w:p>
      <w:pPr>
        <w:pStyle w:val="2"/>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3.为采购项目提供整体设计、规范编制或者项目管理、监理、检测等服务的供应商，不得再参加该采购项目的其他采购活动。</w:t>
      </w:r>
    </w:p>
    <w:p>
      <w:pPr>
        <w:pStyle w:val="2"/>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4.供应商授权代表必须为供应商本单位在职职工，并提供2019年1月至今任意一月社保缴纳证明（授权代表为</w:t>
      </w:r>
      <w:r>
        <w:rPr>
          <w:rFonts w:hAnsi="宋体"/>
          <w:color w:val="auto"/>
          <w:spacing w:val="-6"/>
          <w:sz w:val="21"/>
          <w:szCs w:val="21"/>
          <w:highlight w:val="none"/>
        </w:rPr>
        <w:t>法定代表人</w:t>
      </w:r>
      <w:r>
        <w:rPr>
          <w:rFonts w:hint="eastAsia" w:hAnsi="宋体"/>
          <w:color w:val="auto"/>
          <w:spacing w:val="-6"/>
          <w:sz w:val="21"/>
          <w:szCs w:val="21"/>
          <w:highlight w:val="none"/>
        </w:rPr>
        <w:t>可不提供）。</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5.采购人、采购代理机构可以视采购项目的具体情况，组织供应商进行现场考察或召开磋商前答疑会，但不得单独或分别组织只有一个供应商参加的现场考察和答疑会。</w:t>
      </w:r>
    </w:p>
    <w:p>
      <w:pPr>
        <w:spacing w:line="288" w:lineRule="auto"/>
        <w:jc w:val="left"/>
        <w:outlineLvl w:val="2"/>
        <w:rPr>
          <w:rFonts w:ascii="宋体" w:hAnsi="宋体"/>
          <w:b/>
          <w:color w:val="auto"/>
          <w:spacing w:val="-6"/>
          <w:sz w:val="24"/>
          <w:highlight w:val="none"/>
        </w:rPr>
      </w:pPr>
      <w:bookmarkStart w:id="36" w:name="_Toc9627"/>
      <w:r>
        <w:rPr>
          <w:rFonts w:hint="eastAsia" w:ascii="宋体" w:hAnsi="宋体"/>
          <w:b/>
          <w:color w:val="auto"/>
          <w:spacing w:val="-6"/>
          <w:sz w:val="24"/>
          <w:highlight w:val="none"/>
        </w:rPr>
        <w:t>（九）质疑和投诉</w:t>
      </w:r>
      <w:bookmarkEnd w:id="36"/>
    </w:p>
    <w:p>
      <w:pPr>
        <w:pStyle w:val="2"/>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1</w:t>
      </w:r>
      <w:r>
        <w:rPr>
          <w:rFonts w:hint="eastAsia" w:hAnsi="宋体"/>
          <w:color w:val="auto"/>
          <w:spacing w:val="-6"/>
          <w:sz w:val="21"/>
          <w:szCs w:val="21"/>
          <w:highlight w:val="none"/>
        </w:rPr>
        <w:t>.供应商认为磋商文件、磋商过程和成交结果使自己的权益受到损害的，可以在知道或者应知其权益受到损害之日起七个工作日内，以书面形式向采购人或</w:t>
      </w:r>
      <w:r>
        <w:rPr>
          <w:rFonts w:hAnsi="宋体"/>
          <w:color w:val="auto"/>
          <w:spacing w:val="-6"/>
          <w:sz w:val="21"/>
          <w:szCs w:val="21"/>
          <w:highlight w:val="none"/>
        </w:rPr>
        <w:t>采购代理机构</w:t>
      </w:r>
      <w:r>
        <w:rPr>
          <w:rFonts w:hint="eastAsia" w:hAnsi="宋体"/>
          <w:color w:val="auto"/>
          <w:spacing w:val="-6"/>
          <w:sz w:val="21"/>
          <w:szCs w:val="21"/>
          <w:highlight w:val="none"/>
        </w:rPr>
        <w:t>提出质疑。质疑供应商对采购人、采购代理机构的答复不满意或者采购人、采购代理机构未在规定的时间内作出答复的，可以在答复期满后十五个工作日内向同级政府采购监督管理部门投诉。</w:t>
      </w:r>
    </w:p>
    <w:p>
      <w:pPr>
        <w:pStyle w:val="2"/>
        <w:spacing w:line="288" w:lineRule="auto"/>
        <w:ind w:firstLine="398" w:firstLineChars="200"/>
        <w:jc w:val="left"/>
        <w:rPr>
          <w:rFonts w:hAnsi="宋体"/>
          <w:b/>
          <w:color w:val="auto"/>
          <w:spacing w:val="-6"/>
          <w:sz w:val="21"/>
          <w:szCs w:val="21"/>
          <w:highlight w:val="none"/>
        </w:rPr>
      </w:pPr>
      <w:r>
        <w:rPr>
          <w:rFonts w:hint="eastAsia" w:hAnsi="宋体"/>
          <w:b/>
          <w:color w:val="auto"/>
          <w:spacing w:val="-6"/>
          <w:sz w:val="21"/>
          <w:szCs w:val="21"/>
          <w:highlight w:val="none"/>
        </w:rPr>
        <w:t>2.供应商提出质疑应当提交质疑函和必要的证明材料，</w:t>
      </w:r>
      <w:r>
        <w:rPr>
          <w:rFonts w:hint="eastAsia" w:hAnsi="宋体" w:cs="宋体"/>
          <w:b/>
          <w:color w:val="auto"/>
          <w:sz w:val="21"/>
          <w:szCs w:val="21"/>
          <w:highlight w:val="none"/>
        </w:rPr>
        <w:t>质疑函范本请到“浙江政府采购网下载专区”下载，</w:t>
      </w:r>
      <w:r>
        <w:rPr>
          <w:rFonts w:hint="eastAsia" w:hAnsi="宋体"/>
          <w:b/>
          <w:color w:val="auto"/>
          <w:spacing w:val="-6"/>
          <w:sz w:val="21"/>
          <w:szCs w:val="21"/>
          <w:highlight w:val="none"/>
        </w:rPr>
        <w:t>质疑函应当包括下列内容：</w:t>
      </w:r>
    </w:p>
    <w:p>
      <w:pPr>
        <w:pStyle w:val="2"/>
        <w:spacing w:line="288" w:lineRule="auto"/>
        <w:ind w:firstLine="396" w:firstLineChars="200"/>
        <w:jc w:val="left"/>
        <w:rPr>
          <w:rFonts w:hAnsi="宋体"/>
          <w:color w:val="auto"/>
          <w:spacing w:val="-6"/>
          <w:sz w:val="21"/>
          <w:szCs w:val="21"/>
          <w:highlight w:val="none"/>
        </w:rPr>
      </w:pPr>
      <w:bookmarkStart w:id="37" w:name="_Toc14180"/>
      <w:r>
        <w:rPr>
          <w:rFonts w:hint="eastAsia" w:hAnsi="宋体"/>
          <w:color w:val="auto"/>
          <w:spacing w:val="-6"/>
          <w:sz w:val="21"/>
          <w:szCs w:val="21"/>
          <w:highlight w:val="none"/>
        </w:rPr>
        <w:t>（一）供应商的姓名或者名称、地址、邮编、联系人及联系电话；</w:t>
      </w:r>
      <w:bookmarkEnd w:id="37"/>
    </w:p>
    <w:p>
      <w:pPr>
        <w:pStyle w:val="2"/>
        <w:spacing w:line="288" w:lineRule="auto"/>
        <w:ind w:firstLine="396" w:firstLineChars="200"/>
        <w:jc w:val="left"/>
        <w:rPr>
          <w:rFonts w:hAnsi="宋体"/>
          <w:color w:val="auto"/>
          <w:spacing w:val="-6"/>
          <w:sz w:val="21"/>
          <w:szCs w:val="21"/>
          <w:highlight w:val="none"/>
        </w:rPr>
      </w:pPr>
      <w:bookmarkStart w:id="38" w:name="_Toc23134"/>
      <w:r>
        <w:rPr>
          <w:rFonts w:hint="eastAsia" w:hAnsi="宋体"/>
          <w:color w:val="auto"/>
          <w:spacing w:val="-6"/>
          <w:sz w:val="21"/>
          <w:szCs w:val="21"/>
          <w:highlight w:val="none"/>
        </w:rPr>
        <w:t>（二）质疑项目的名称、编号；</w:t>
      </w:r>
      <w:bookmarkEnd w:id="38"/>
    </w:p>
    <w:p>
      <w:pPr>
        <w:pStyle w:val="2"/>
        <w:spacing w:line="288" w:lineRule="auto"/>
        <w:ind w:firstLine="396" w:firstLineChars="200"/>
        <w:jc w:val="left"/>
        <w:rPr>
          <w:rFonts w:hAnsi="宋体"/>
          <w:color w:val="auto"/>
          <w:spacing w:val="-6"/>
          <w:sz w:val="21"/>
          <w:szCs w:val="21"/>
          <w:highlight w:val="none"/>
        </w:rPr>
      </w:pPr>
      <w:bookmarkStart w:id="39" w:name="_Toc27169"/>
      <w:r>
        <w:rPr>
          <w:rFonts w:hint="eastAsia" w:hAnsi="宋体"/>
          <w:color w:val="auto"/>
          <w:spacing w:val="-6"/>
          <w:sz w:val="21"/>
          <w:szCs w:val="21"/>
          <w:highlight w:val="none"/>
        </w:rPr>
        <w:t>（三）具体、明确的质疑事项和与质疑事项相关的请求；</w:t>
      </w:r>
      <w:bookmarkEnd w:id="39"/>
    </w:p>
    <w:p>
      <w:pPr>
        <w:pStyle w:val="2"/>
        <w:spacing w:line="288" w:lineRule="auto"/>
        <w:ind w:firstLine="396" w:firstLineChars="200"/>
        <w:jc w:val="left"/>
        <w:rPr>
          <w:rFonts w:hAnsi="宋体"/>
          <w:color w:val="auto"/>
          <w:spacing w:val="-6"/>
          <w:sz w:val="21"/>
          <w:szCs w:val="21"/>
          <w:highlight w:val="none"/>
        </w:rPr>
      </w:pPr>
      <w:bookmarkStart w:id="40" w:name="_Toc2993"/>
      <w:r>
        <w:rPr>
          <w:rFonts w:hint="eastAsia" w:hAnsi="宋体"/>
          <w:color w:val="auto"/>
          <w:spacing w:val="-6"/>
          <w:sz w:val="21"/>
          <w:szCs w:val="21"/>
          <w:highlight w:val="none"/>
        </w:rPr>
        <w:t>（四）事实依据；</w:t>
      </w:r>
      <w:bookmarkEnd w:id="40"/>
    </w:p>
    <w:p>
      <w:pPr>
        <w:pStyle w:val="2"/>
        <w:spacing w:line="288" w:lineRule="auto"/>
        <w:ind w:firstLine="396" w:firstLineChars="200"/>
        <w:jc w:val="left"/>
        <w:rPr>
          <w:rFonts w:hAnsi="宋体"/>
          <w:color w:val="auto"/>
          <w:spacing w:val="-6"/>
          <w:sz w:val="21"/>
          <w:szCs w:val="21"/>
          <w:highlight w:val="none"/>
        </w:rPr>
      </w:pPr>
      <w:bookmarkStart w:id="41" w:name="_Toc17316"/>
      <w:r>
        <w:rPr>
          <w:rFonts w:hint="eastAsia" w:hAnsi="宋体"/>
          <w:color w:val="auto"/>
          <w:spacing w:val="-6"/>
          <w:sz w:val="21"/>
          <w:szCs w:val="21"/>
          <w:highlight w:val="none"/>
        </w:rPr>
        <w:t>（五）必要的法律依据；</w:t>
      </w:r>
      <w:bookmarkEnd w:id="41"/>
    </w:p>
    <w:p>
      <w:pPr>
        <w:pStyle w:val="2"/>
        <w:spacing w:line="288" w:lineRule="auto"/>
        <w:ind w:firstLine="396" w:firstLineChars="200"/>
        <w:jc w:val="left"/>
        <w:rPr>
          <w:rFonts w:hAnsi="宋体"/>
          <w:color w:val="auto"/>
          <w:spacing w:val="-6"/>
          <w:sz w:val="21"/>
          <w:szCs w:val="21"/>
          <w:highlight w:val="none"/>
        </w:rPr>
      </w:pPr>
      <w:bookmarkStart w:id="42" w:name="_Toc22614"/>
      <w:r>
        <w:rPr>
          <w:rFonts w:hint="eastAsia" w:hAnsi="宋体"/>
          <w:color w:val="auto"/>
          <w:spacing w:val="-6"/>
          <w:sz w:val="21"/>
          <w:szCs w:val="21"/>
          <w:highlight w:val="none"/>
        </w:rPr>
        <w:t>（六）提出质疑的日期。</w:t>
      </w:r>
      <w:bookmarkEnd w:id="42"/>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供应商为自然人的，应当由本人签字；供应商为法人或者其他组织的，应当由法定代表人、主要负责人，或者其授权代表签字或者盖章，并加盖公章。</w:t>
      </w:r>
    </w:p>
    <w:p>
      <w:pPr>
        <w:pStyle w:val="2"/>
        <w:spacing w:line="288" w:lineRule="auto"/>
        <w:ind w:firstLine="404" w:firstLineChars="200"/>
        <w:rPr>
          <w:rFonts w:cs="宋体"/>
          <w:b/>
          <w:color w:val="auto"/>
          <w:sz w:val="21"/>
          <w:szCs w:val="21"/>
          <w:highlight w:val="none"/>
        </w:rPr>
      </w:pPr>
      <w:r>
        <w:rPr>
          <w:rFonts w:hint="eastAsia" w:hAnsi="宋体" w:cs="宋体"/>
          <w:color w:val="auto"/>
          <w:sz w:val="21"/>
          <w:szCs w:val="21"/>
          <w:highlight w:val="none"/>
        </w:rPr>
        <w:t>3.提出质疑的供应商应当是参与本项目响应活动的供应商。</w:t>
      </w:r>
      <w:r>
        <w:rPr>
          <w:rFonts w:hint="eastAsia" w:cs="宋体"/>
          <w:b/>
          <w:color w:val="auto"/>
          <w:sz w:val="21"/>
          <w:szCs w:val="21"/>
          <w:highlight w:val="none"/>
        </w:rPr>
        <w:t>供应商在法定质疑期内应一次性提出针对同一采购程序环节的质疑。</w:t>
      </w:r>
    </w:p>
    <w:p>
      <w:pPr>
        <w:pStyle w:val="2"/>
        <w:spacing w:line="288" w:lineRule="auto"/>
        <w:ind w:firstLine="404" w:firstLineChars="200"/>
        <w:rPr>
          <w:rFonts w:cs="宋体"/>
          <w:color w:val="auto"/>
          <w:sz w:val="21"/>
          <w:szCs w:val="21"/>
          <w:highlight w:val="none"/>
        </w:rPr>
      </w:pPr>
      <w:r>
        <w:rPr>
          <w:rFonts w:hint="eastAsia" w:cs="宋体"/>
          <w:color w:val="auto"/>
          <w:sz w:val="21"/>
          <w:szCs w:val="21"/>
          <w:highlight w:val="none"/>
        </w:rPr>
        <w:t>4.根据《政府采购质疑和投诉办法》第三十七条的规定，供应商在全国范围</w:t>
      </w:r>
      <w:r>
        <w:rPr>
          <w:rFonts w:cs="宋体"/>
          <w:color w:val="auto"/>
          <w:sz w:val="21"/>
          <w:szCs w:val="21"/>
          <w:highlight w:val="none"/>
        </w:rPr>
        <w:t>12</w:t>
      </w:r>
      <w:r>
        <w:rPr>
          <w:rFonts w:hint="eastAsia" w:cs="宋体"/>
          <w:color w:val="auto"/>
          <w:sz w:val="21"/>
          <w:szCs w:val="21"/>
          <w:highlight w:val="none"/>
        </w:rPr>
        <w:t>个月内三次以上投诉查无实据的，由财政部门列入不良行为记录名单。</w:t>
      </w:r>
    </w:p>
    <w:p>
      <w:pPr>
        <w:pStyle w:val="2"/>
        <w:spacing w:line="288" w:lineRule="auto"/>
        <w:ind w:firstLine="404" w:firstLineChars="200"/>
        <w:rPr>
          <w:rFonts w:cs="宋体"/>
          <w:color w:val="auto"/>
          <w:sz w:val="21"/>
          <w:szCs w:val="21"/>
          <w:highlight w:val="none"/>
        </w:rPr>
      </w:pPr>
      <w:r>
        <w:rPr>
          <w:rFonts w:hint="eastAsia" w:cs="宋体"/>
          <w:color w:val="auto"/>
          <w:sz w:val="21"/>
          <w:szCs w:val="21"/>
          <w:highlight w:val="none"/>
        </w:rPr>
        <w:t>投诉人有下列行为之一的，属于虚假、恶意投诉，由财政部门列入不良行为记录名单，禁止其</w:t>
      </w:r>
      <w:r>
        <w:rPr>
          <w:rFonts w:cs="宋体"/>
          <w:color w:val="auto"/>
          <w:sz w:val="21"/>
          <w:szCs w:val="21"/>
          <w:highlight w:val="none"/>
        </w:rPr>
        <w:t>1</w:t>
      </w:r>
      <w:r>
        <w:rPr>
          <w:rFonts w:hint="eastAsia" w:cs="宋体"/>
          <w:color w:val="auto"/>
          <w:sz w:val="21"/>
          <w:szCs w:val="21"/>
          <w:highlight w:val="none"/>
        </w:rPr>
        <w:t>至</w:t>
      </w:r>
      <w:r>
        <w:rPr>
          <w:rFonts w:cs="宋体"/>
          <w:color w:val="auto"/>
          <w:sz w:val="21"/>
          <w:szCs w:val="21"/>
          <w:highlight w:val="none"/>
        </w:rPr>
        <w:t>3</w:t>
      </w:r>
      <w:r>
        <w:rPr>
          <w:rFonts w:hint="eastAsia" w:cs="宋体"/>
          <w:color w:val="auto"/>
          <w:sz w:val="21"/>
          <w:szCs w:val="21"/>
          <w:highlight w:val="none"/>
        </w:rPr>
        <w:t>年内参加政府采购活动：</w:t>
      </w:r>
    </w:p>
    <w:p>
      <w:pPr>
        <w:pStyle w:val="2"/>
        <w:spacing w:line="288" w:lineRule="auto"/>
        <w:ind w:firstLine="404" w:firstLineChars="200"/>
        <w:rPr>
          <w:rFonts w:cs="宋体"/>
          <w:color w:val="auto"/>
          <w:sz w:val="21"/>
          <w:szCs w:val="21"/>
          <w:highlight w:val="none"/>
        </w:rPr>
      </w:pPr>
      <w:r>
        <w:rPr>
          <w:rFonts w:hint="eastAsia" w:cs="宋体"/>
          <w:color w:val="auto"/>
          <w:sz w:val="21"/>
          <w:szCs w:val="21"/>
          <w:highlight w:val="none"/>
        </w:rPr>
        <w:t>（一）捏造事实；</w:t>
      </w:r>
    </w:p>
    <w:p>
      <w:pPr>
        <w:pStyle w:val="2"/>
        <w:spacing w:line="288" w:lineRule="auto"/>
        <w:ind w:firstLine="404" w:firstLineChars="200"/>
        <w:rPr>
          <w:rFonts w:cs="宋体"/>
          <w:color w:val="auto"/>
          <w:sz w:val="21"/>
          <w:szCs w:val="21"/>
          <w:highlight w:val="none"/>
        </w:rPr>
      </w:pPr>
      <w:r>
        <w:rPr>
          <w:rFonts w:hint="eastAsia" w:cs="宋体"/>
          <w:color w:val="auto"/>
          <w:sz w:val="21"/>
          <w:szCs w:val="21"/>
          <w:highlight w:val="none"/>
        </w:rPr>
        <w:t>（二）提供虚假材料；</w:t>
      </w:r>
    </w:p>
    <w:p>
      <w:pPr>
        <w:pStyle w:val="2"/>
        <w:spacing w:line="288" w:lineRule="auto"/>
        <w:ind w:firstLine="404" w:firstLineChars="200"/>
        <w:rPr>
          <w:rFonts w:cs="宋体"/>
          <w:color w:val="auto"/>
          <w:sz w:val="21"/>
          <w:szCs w:val="21"/>
          <w:highlight w:val="none"/>
        </w:rPr>
      </w:pPr>
      <w:r>
        <w:rPr>
          <w:rFonts w:hint="eastAsia" w:cs="宋体"/>
          <w:color w:val="auto"/>
          <w:sz w:val="21"/>
          <w:szCs w:val="21"/>
          <w:highlight w:val="none"/>
        </w:rPr>
        <w:t>（三）以非法手段取得证明材料。证据来源的合法性存在明显疑问，投诉人无法证明其取得方式合法的，视为以非法手段取得证明材料。</w:t>
      </w:r>
    </w:p>
    <w:p>
      <w:pPr>
        <w:pStyle w:val="10"/>
        <w:spacing w:before="0" w:beforeLines="0" w:after="0" w:afterLines="0" w:line="288" w:lineRule="auto"/>
        <w:jc w:val="center"/>
        <w:outlineLvl w:val="1"/>
        <w:rPr>
          <w:rFonts w:hAnsi="宋体"/>
          <w:b/>
          <w:color w:val="auto"/>
          <w:spacing w:val="-6"/>
          <w:sz w:val="32"/>
          <w:szCs w:val="32"/>
          <w:highlight w:val="none"/>
        </w:rPr>
      </w:pPr>
      <w:r>
        <w:rPr>
          <w:rFonts w:hAnsi="宋体"/>
          <w:b/>
          <w:color w:val="auto"/>
          <w:spacing w:val="-6"/>
          <w:sz w:val="21"/>
          <w:szCs w:val="21"/>
          <w:highlight w:val="none"/>
        </w:rPr>
        <w:br w:type="page"/>
      </w:r>
      <w:bookmarkStart w:id="43" w:name="_Toc27985"/>
      <w:r>
        <w:rPr>
          <w:rFonts w:hAnsi="宋体"/>
          <w:b/>
          <w:color w:val="auto"/>
          <w:spacing w:val="-6"/>
          <w:sz w:val="32"/>
          <w:szCs w:val="32"/>
          <w:highlight w:val="none"/>
        </w:rPr>
        <w:t>二</w:t>
      </w:r>
      <w:r>
        <w:rPr>
          <w:rFonts w:hint="eastAsia" w:hAnsi="宋体"/>
          <w:b/>
          <w:color w:val="auto"/>
          <w:spacing w:val="-6"/>
          <w:sz w:val="32"/>
          <w:szCs w:val="32"/>
          <w:highlight w:val="none"/>
        </w:rPr>
        <w:t>、磋商文件</w:t>
      </w:r>
      <w:bookmarkEnd w:id="43"/>
    </w:p>
    <w:p>
      <w:pPr>
        <w:spacing w:line="288" w:lineRule="auto"/>
        <w:jc w:val="left"/>
        <w:outlineLvl w:val="2"/>
        <w:rPr>
          <w:rFonts w:ascii="宋体" w:hAnsi="宋体"/>
          <w:b/>
          <w:color w:val="auto"/>
          <w:spacing w:val="-6"/>
          <w:sz w:val="24"/>
          <w:highlight w:val="none"/>
        </w:rPr>
      </w:pPr>
      <w:bookmarkStart w:id="44" w:name="_Toc23324"/>
      <w:r>
        <w:rPr>
          <w:rFonts w:hint="eastAsia" w:ascii="宋体" w:hAnsi="宋体"/>
          <w:b/>
          <w:color w:val="auto"/>
          <w:spacing w:val="-6"/>
          <w:sz w:val="24"/>
          <w:highlight w:val="none"/>
        </w:rPr>
        <w:t>（一）磋商文件的构成</w:t>
      </w:r>
    </w:p>
    <w:p>
      <w:pPr>
        <w:pStyle w:val="2"/>
        <w:spacing w:line="288" w:lineRule="auto"/>
        <w:ind w:firstLine="398" w:firstLineChars="200"/>
        <w:jc w:val="left"/>
        <w:rPr>
          <w:rFonts w:hAnsi="宋体"/>
          <w:b/>
          <w:bCs/>
          <w:color w:val="auto"/>
          <w:spacing w:val="-6"/>
          <w:sz w:val="21"/>
          <w:szCs w:val="21"/>
          <w:highlight w:val="none"/>
        </w:rPr>
      </w:pPr>
      <w:r>
        <w:rPr>
          <w:rFonts w:hint="eastAsia" w:hAnsi="宋体"/>
          <w:b/>
          <w:bCs/>
          <w:color w:val="auto"/>
          <w:spacing w:val="-6"/>
          <w:sz w:val="21"/>
          <w:szCs w:val="21"/>
          <w:highlight w:val="none"/>
        </w:rPr>
        <w:t>本磋商文件由以下部份组成：</w:t>
      </w:r>
      <w:bookmarkEnd w:id="44"/>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1.采购邀请</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2.采购需求</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3.供应商须知</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4.评审办法及评分标准</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5.合同主要条款</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6.响应文件格式</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7.本项目磋商文件的澄清、答复、修改、补充的内容</w:t>
      </w:r>
    </w:p>
    <w:p>
      <w:pPr>
        <w:spacing w:line="288" w:lineRule="auto"/>
        <w:jc w:val="left"/>
        <w:outlineLvl w:val="2"/>
        <w:rPr>
          <w:rFonts w:ascii="宋体" w:hAnsi="宋体"/>
          <w:b/>
          <w:color w:val="auto"/>
          <w:spacing w:val="-6"/>
          <w:sz w:val="24"/>
          <w:highlight w:val="none"/>
        </w:rPr>
      </w:pPr>
      <w:bookmarkStart w:id="45" w:name="_Toc22962"/>
      <w:r>
        <w:rPr>
          <w:rFonts w:hint="eastAsia" w:ascii="宋体" w:hAnsi="宋体"/>
          <w:b/>
          <w:color w:val="auto"/>
          <w:spacing w:val="-6"/>
          <w:sz w:val="24"/>
          <w:highlight w:val="none"/>
        </w:rPr>
        <w:t>（二）供应商的风险</w:t>
      </w:r>
      <w:bookmarkEnd w:id="45"/>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供应商没有按照磋商文件要求提供全部资料，或者供应商没有对磋商文件在各方面作出实质性响应是供应商的风险，并可能导致其磋商响应被拒绝。</w:t>
      </w:r>
    </w:p>
    <w:p>
      <w:pPr>
        <w:spacing w:line="288" w:lineRule="auto"/>
        <w:jc w:val="left"/>
        <w:outlineLvl w:val="2"/>
        <w:rPr>
          <w:rFonts w:ascii="宋体" w:hAnsi="宋体"/>
          <w:b/>
          <w:color w:val="auto"/>
          <w:spacing w:val="-6"/>
          <w:sz w:val="24"/>
          <w:highlight w:val="none"/>
        </w:rPr>
      </w:pPr>
      <w:bookmarkStart w:id="46" w:name="_Toc23421"/>
      <w:r>
        <w:rPr>
          <w:rFonts w:hint="eastAsia" w:ascii="宋体" w:hAnsi="宋体"/>
          <w:b/>
          <w:color w:val="auto"/>
          <w:spacing w:val="-6"/>
          <w:sz w:val="24"/>
          <w:highlight w:val="none"/>
        </w:rPr>
        <w:t>（三）磋商文件的澄清与修改</w:t>
      </w:r>
      <w:bookmarkEnd w:id="46"/>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磋商文件的修改将以书面形式通知所有获取磋商文件的供应商，并对其具有约束力。供应商在收到上述通知后，应立即向采购人、采购代理机构回函确认。若无书面回函确认，视同供应商已收到磋商文件修改的通知，并受其约束。</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4.磋商文件的澄清、答复、修改或补充都应该通过本采购代理机构以法定形式发布，采购人非通过本机构，不得擅自澄清、答复、修改或补充磋商文件。</w:t>
      </w:r>
    </w:p>
    <w:p>
      <w:pPr>
        <w:pStyle w:val="10"/>
        <w:spacing w:before="0" w:beforeLines="0" w:after="0" w:afterLines="0" w:line="288" w:lineRule="auto"/>
        <w:jc w:val="center"/>
        <w:outlineLvl w:val="1"/>
        <w:rPr>
          <w:rFonts w:hAnsi="宋体"/>
          <w:b/>
          <w:color w:val="auto"/>
          <w:spacing w:val="-6"/>
          <w:sz w:val="32"/>
          <w:szCs w:val="32"/>
          <w:highlight w:val="none"/>
        </w:rPr>
      </w:pPr>
      <w:r>
        <w:rPr>
          <w:rFonts w:hAnsi="宋体"/>
          <w:color w:val="auto"/>
          <w:spacing w:val="-6"/>
          <w:sz w:val="21"/>
          <w:szCs w:val="21"/>
          <w:highlight w:val="none"/>
        </w:rPr>
        <w:br w:type="page"/>
      </w:r>
      <w:bookmarkStart w:id="47" w:name="_Toc7464"/>
      <w:r>
        <w:rPr>
          <w:rFonts w:hAnsi="宋体"/>
          <w:b/>
          <w:color w:val="auto"/>
          <w:spacing w:val="-6"/>
          <w:sz w:val="32"/>
          <w:szCs w:val="32"/>
          <w:highlight w:val="none"/>
        </w:rPr>
        <w:t>三</w:t>
      </w:r>
      <w:r>
        <w:rPr>
          <w:rFonts w:hint="eastAsia" w:hAnsi="宋体"/>
          <w:b/>
          <w:color w:val="auto"/>
          <w:spacing w:val="-6"/>
          <w:sz w:val="32"/>
          <w:szCs w:val="32"/>
          <w:highlight w:val="none"/>
        </w:rPr>
        <w:t>、</w:t>
      </w:r>
      <w:r>
        <w:rPr>
          <w:rFonts w:hAnsi="宋体"/>
          <w:b/>
          <w:color w:val="auto"/>
          <w:spacing w:val="-6"/>
          <w:sz w:val="32"/>
          <w:szCs w:val="32"/>
          <w:highlight w:val="none"/>
        </w:rPr>
        <w:t>响应文件的编制</w:t>
      </w:r>
      <w:bookmarkEnd w:id="47"/>
    </w:p>
    <w:p>
      <w:pPr>
        <w:spacing w:line="288" w:lineRule="auto"/>
        <w:jc w:val="left"/>
        <w:outlineLvl w:val="2"/>
        <w:rPr>
          <w:rFonts w:ascii="宋体" w:hAnsi="宋体"/>
          <w:b/>
          <w:color w:val="auto"/>
          <w:spacing w:val="-6"/>
          <w:sz w:val="24"/>
          <w:highlight w:val="none"/>
        </w:rPr>
      </w:pPr>
      <w:bookmarkStart w:id="48" w:name="_Toc1013"/>
      <w:r>
        <w:rPr>
          <w:rFonts w:hint="eastAsia" w:ascii="宋体" w:hAnsi="宋体"/>
          <w:b/>
          <w:color w:val="auto"/>
          <w:spacing w:val="-6"/>
          <w:sz w:val="24"/>
          <w:highlight w:val="none"/>
        </w:rPr>
        <w:t>（一）响应文件的组成</w:t>
      </w:r>
      <w:bookmarkEnd w:id="48"/>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响应文件由</w:t>
      </w:r>
      <w:r>
        <w:rPr>
          <w:rFonts w:hint="eastAsia" w:hAnsi="宋体"/>
          <w:b/>
          <w:bCs/>
          <w:color w:val="auto"/>
          <w:spacing w:val="-6"/>
          <w:sz w:val="21"/>
          <w:szCs w:val="21"/>
          <w:highlight w:val="none"/>
        </w:rPr>
        <w:t>资格文件、报价文件、商务技术文件</w:t>
      </w:r>
      <w:r>
        <w:rPr>
          <w:rFonts w:hint="eastAsia" w:hAnsi="宋体"/>
          <w:b/>
          <w:color w:val="auto"/>
          <w:spacing w:val="-6"/>
          <w:sz w:val="21"/>
          <w:szCs w:val="21"/>
          <w:highlight w:val="none"/>
        </w:rPr>
        <w:t>三</w:t>
      </w:r>
      <w:r>
        <w:rPr>
          <w:rFonts w:hint="eastAsia" w:hAnsi="宋体"/>
          <w:color w:val="auto"/>
          <w:spacing w:val="-6"/>
          <w:sz w:val="21"/>
          <w:szCs w:val="21"/>
          <w:highlight w:val="none"/>
        </w:rPr>
        <w:t>部分组成（格式详见磋商文件第六章）。</w:t>
      </w:r>
    </w:p>
    <w:p>
      <w:pPr>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w:t>
      </w:r>
      <w:r>
        <w:rPr>
          <w:rFonts w:hint="eastAsia" w:hAnsi="宋体"/>
          <w:b/>
          <w:bCs/>
          <w:color w:val="auto"/>
          <w:spacing w:val="-6"/>
          <w:sz w:val="21"/>
          <w:szCs w:val="21"/>
          <w:highlight w:val="none"/>
        </w:rPr>
        <w:t>资格文件</w:t>
      </w:r>
    </w:p>
    <w:p>
      <w:pPr>
        <w:pStyle w:val="2"/>
        <w:spacing w:line="288" w:lineRule="auto"/>
        <w:ind w:firstLine="398" w:firstLineChars="200"/>
        <w:jc w:val="left"/>
        <w:rPr>
          <w:rFonts w:hAnsi="宋体" w:cs="宋体"/>
          <w:b/>
          <w:color w:val="auto"/>
          <w:spacing w:val="-6"/>
          <w:sz w:val="21"/>
          <w:szCs w:val="21"/>
          <w:highlight w:val="none"/>
        </w:rPr>
      </w:pPr>
      <w:r>
        <w:rPr>
          <w:rFonts w:hint="eastAsia" w:hAnsi="宋体" w:cs="宋体"/>
          <w:b/>
          <w:color w:val="auto"/>
          <w:spacing w:val="-6"/>
          <w:sz w:val="21"/>
          <w:szCs w:val="21"/>
          <w:highlight w:val="none"/>
        </w:rPr>
        <w:t>资格审查要求的资格证明材料(均需加盖公章)</w:t>
      </w:r>
    </w:p>
    <w:p>
      <w:pPr>
        <w:spacing w:line="288"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1）有效的法人或者其他组织的营业执照等证明文件，自然人的身份证明</w:t>
      </w:r>
    </w:p>
    <w:p>
      <w:pPr>
        <w:spacing w:line="288"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2）2018年12月至今任意一月的财务状况报告或响应文件开启前三个月内出具的银行资信证明</w:t>
      </w:r>
    </w:p>
    <w:p>
      <w:pPr>
        <w:spacing w:line="288"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3）2019年1月至今任意一月依法缴纳税收的证明材料</w:t>
      </w:r>
    </w:p>
    <w:p>
      <w:pPr>
        <w:spacing w:line="288"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4）2019年1月至今任意一月依法缴纳社会保障资金的证明材料</w:t>
      </w:r>
    </w:p>
    <w:p>
      <w:pPr>
        <w:spacing w:line="288"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5）具有履行合同所必需的设备和专业技术能力的承诺函</w:t>
      </w:r>
    </w:p>
    <w:p>
      <w:pPr>
        <w:spacing w:line="288"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6）参加政府采购活动前3年内在经营活动中没有重大违法记录的书面声明</w:t>
      </w:r>
    </w:p>
    <w:p>
      <w:pPr>
        <w:spacing w:line="288" w:lineRule="auto"/>
        <w:ind w:firstLine="398" w:firstLineChars="200"/>
        <w:jc w:val="left"/>
        <w:rPr>
          <w:rFonts w:hAnsi="宋体"/>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报价文件</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1）初次报价一览表</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2）初次报价明细表</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3）供应商企业类型声明函</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4）小微企业资格证明材料、监狱企业资格证明材料（若属于小微、监狱企业）</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5）残疾人福利性单位声明函（若属于残疾人福利性单位）</w:t>
      </w:r>
    </w:p>
    <w:p>
      <w:pPr>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3.商务技术文件</w:t>
      </w:r>
    </w:p>
    <w:p>
      <w:pPr>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A.商务文件</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1）响应函</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法定代表人资格证明书</w:t>
      </w:r>
      <w:r>
        <w:rPr>
          <w:rFonts w:hint="eastAsia" w:hAnsi="宋体"/>
          <w:color w:val="auto"/>
          <w:spacing w:val="-6"/>
          <w:sz w:val="21"/>
          <w:szCs w:val="21"/>
          <w:highlight w:val="none"/>
        </w:rPr>
        <w:t>、法定代表人授权委托书</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3）2019年1月至今任意一月供应商</w:t>
      </w:r>
      <w:r>
        <w:rPr>
          <w:rFonts w:hAnsi="宋体"/>
          <w:color w:val="auto"/>
          <w:spacing w:val="-6"/>
          <w:sz w:val="21"/>
          <w:szCs w:val="21"/>
          <w:highlight w:val="none"/>
        </w:rPr>
        <w:t>授权代表社保缴纳证明</w:t>
      </w:r>
    </w:p>
    <w:p>
      <w:pPr>
        <w:pStyle w:val="2"/>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4</w:t>
      </w:r>
      <w:r>
        <w:rPr>
          <w:rFonts w:hint="eastAsia" w:hAnsi="宋体"/>
          <w:color w:val="auto"/>
          <w:spacing w:val="-6"/>
          <w:sz w:val="21"/>
          <w:szCs w:val="21"/>
          <w:highlight w:val="none"/>
        </w:rPr>
        <w:t>）响应声明书</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5）供应商情况介绍</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6）商务偏离表</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7）供应商同类项目实施情况一览表</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8）供应商需要说明的其他文件和材料</w:t>
      </w:r>
    </w:p>
    <w:p>
      <w:pPr>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B.技术文件</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1）技术偏离表</w:t>
      </w:r>
    </w:p>
    <w:p>
      <w:pPr>
        <w:ind w:firstLine="420" w:firstLineChars="200"/>
        <w:rPr>
          <w:rFonts w:ascii="宋体" w:hAnsi="宋体" w:cs="宋体"/>
          <w:color w:val="auto"/>
          <w:sz w:val="21"/>
          <w:szCs w:val="21"/>
          <w:highlight w:val="none"/>
        </w:rPr>
      </w:pPr>
      <w:bookmarkStart w:id="49" w:name="_Toc2388"/>
      <w:r>
        <w:rPr>
          <w:rFonts w:hint="eastAsia" w:ascii="宋体" w:hAnsi="宋体" w:cs="宋体"/>
          <w:color w:val="auto"/>
          <w:sz w:val="21"/>
          <w:szCs w:val="21"/>
          <w:highlight w:val="none"/>
        </w:rPr>
        <w:t>2）技术方案</w:t>
      </w:r>
    </w:p>
    <w:p>
      <w:pPr>
        <w:ind w:firstLine="420" w:firstLineChars="200"/>
        <w:rPr>
          <w:color w:val="auto"/>
          <w:sz w:val="21"/>
          <w:szCs w:val="21"/>
          <w:highlight w:val="none"/>
        </w:rPr>
      </w:pPr>
      <w:r>
        <w:rPr>
          <w:rFonts w:hint="eastAsia"/>
          <w:color w:val="auto"/>
          <w:sz w:val="21"/>
          <w:szCs w:val="21"/>
          <w:highlight w:val="none"/>
        </w:rPr>
        <w:t>3）项目实施方案</w:t>
      </w:r>
    </w:p>
    <w:p>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4）质量保证</w:t>
      </w:r>
    </w:p>
    <w:p>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5）服务团队</w:t>
      </w:r>
    </w:p>
    <w:p>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6）售后服务及培训</w:t>
      </w:r>
    </w:p>
    <w:p>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7）系统功能截图</w:t>
      </w:r>
    </w:p>
    <w:p>
      <w:pPr>
        <w:spacing w:line="288" w:lineRule="auto"/>
        <w:jc w:val="left"/>
        <w:outlineLvl w:val="2"/>
        <w:rPr>
          <w:rFonts w:ascii="宋体" w:hAnsi="宋体"/>
          <w:b/>
          <w:color w:val="auto"/>
          <w:spacing w:val="-6"/>
          <w:sz w:val="24"/>
          <w:highlight w:val="none"/>
        </w:rPr>
      </w:pPr>
      <w:r>
        <w:rPr>
          <w:rFonts w:hint="eastAsia" w:ascii="宋体" w:hAnsi="宋体"/>
          <w:b/>
          <w:color w:val="auto"/>
          <w:spacing w:val="-6"/>
          <w:sz w:val="24"/>
          <w:highlight w:val="none"/>
        </w:rPr>
        <w:t>（二）响应文件的签署和份数</w:t>
      </w:r>
      <w:bookmarkEnd w:id="49"/>
    </w:p>
    <w:p>
      <w:pPr>
        <w:spacing w:line="288" w:lineRule="auto"/>
        <w:ind w:firstLine="396" w:firstLineChars="200"/>
        <w:jc w:val="left"/>
        <w:rPr>
          <w:rFonts w:ascii="宋体" w:hAnsi="宋体"/>
          <w:b/>
          <w:bCs/>
          <w:color w:val="auto"/>
          <w:spacing w:val="-6"/>
          <w:sz w:val="21"/>
          <w:szCs w:val="21"/>
          <w:highlight w:val="none"/>
        </w:rPr>
      </w:pPr>
      <w:bookmarkStart w:id="50" w:name="_Toc21587"/>
      <w:r>
        <w:rPr>
          <w:rFonts w:hint="eastAsia" w:ascii="宋体" w:hAnsi="宋体"/>
          <w:color w:val="auto"/>
          <w:spacing w:val="-6"/>
          <w:sz w:val="21"/>
          <w:szCs w:val="21"/>
          <w:highlight w:val="none"/>
        </w:rPr>
        <w:t>1.供应商应按照磋商文件和政府采购云平台的要求，根据磋商文件的组成规定的内容及顺序通过政采云电子交易客户端（政采云投标客户端）编制加密响应文件，响应文件内容不完整、编排混乱导致响应文件被误读、漏读或者查找不到相关内容的，是供应商的责任。</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2.响应文件须由供应商在规定位置加盖公章并由供应商授权</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签署，供应商应写全称。</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3.响应文件不得涂改，若有修改错漏处，须由供应商授权代表签字并加盖公章。响应文件因字迹潦草或表达不清所引起的后果由供应商负责。</w:t>
      </w:r>
    </w:p>
    <w:p>
      <w:pPr>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4.响应文件份数：</w:t>
      </w:r>
    </w:p>
    <w:p>
      <w:pPr>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电子加密响应文件：政府采购云平台在线上传一份；备份响应文件：密封包装后EMS或顺丰邮寄形式递交一份（邮寄地址：杭州市西湖区振华路298号西港发展中心7幢7楼A室浙江建友工程咨询有限公司徐梦遥收）。</w:t>
      </w:r>
    </w:p>
    <w:p>
      <w:pPr>
        <w:spacing w:line="288" w:lineRule="auto"/>
        <w:ind w:firstLine="422" w:firstLineChars="200"/>
        <w:jc w:val="left"/>
        <w:rPr>
          <w:rFonts w:ascii="宋体" w:hAnsi="宋体"/>
          <w:b/>
          <w:bCs/>
          <w:color w:val="auto"/>
          <w:sz w:val="21"/>
          <w:szCs w:val="21"/>
          <w:highlight w:val="none"/>
        </w:rPr>
      </w:pPr>
      <w:r>
        <w:rPr>
          <w:rFonts w:hint="eastAsia" w:ascii="宋体" w:hAnsi="宋体"/>
          <w:b/>
          <w:bCs/>
          <w:color w:val="auto"/>
          <w:sz w:val="21"/>
          <w:szCs w:val="21"/>
          <w:highlight w:val="none"/>
        </w:rPr>
        <w:t>备注：</w:t>
      </w:r>
    </w:p>
    <w:p>
      <w:pPr>
        <w:spacing w:line="288" w:lineRule="auto"/>
        <w:ind w:firstLine="422" w:firstLineChars="200"/>
        <w:jc w:val="left"/>
        <w:rPr>
          <w:rFonts w:ascii="宋体" w:hAnsi="宋体"/>
          <w:b/>
          <w:color w:val="auto"/>
          <w:spacing w:val="-6"/>
          <w:sz w:val="24"/>
          <w:highlight w:val="none"/>
        </w:rPr>
      </w:pPr>
      <w:r>
        <w:rPr>
          <w:rFonts w:hint="eastAsia" w:ascii="宋体" w:hAnsi="宋体"/>
          <w:b/>
          <w:bCs/>
          <w:color w:val="auto"/>
          <w:sz w:val="21"/>
          <w:szCs w:val="21"/>
          <w:highlight w:val="none"/>
        </w:rPr>
        <w:t>供应商可通过浙江省“电子交易/不见面开评标”学习专题提前进行专题学习，熟悉操作，避免影响采购活动（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宋体" w:hAnsi="宋体"/>
          <w:b/>
          <w:bCs/>
          <w:color w:val="auto"/>
          <w:sz w:val="21"/>
          <w:szCs w:val="21"/>
          <w:highlight w:val="none"/>
        </w:rPr>
        <w:t>https://edu.zcygov.cn/luban/e-biding</w:t>
      </w:r>
      <w:r>
        <w:rPr>
          <w:rFonts w:hint="eastAsia" w:ascii="宋体" w:hAnsi="宋体"/>
          <w:b/>
          <w:bCs/>
          <w:color w:val="auto"/>
          <w:sz w:val="21"/>
          <w:szCs w:val="21"/>
          <w:highlight w:val="none"/>
        </w:rPr>
        <w:fldChar w:fldCharType="end"/>
      </w:r>
      <w:r>
        <w:rPr>
          <w:rFonts w:hint="eastAsia" w:ascii="宋体" w:hAnsi="宋体"/>
          <w:b/>
          <w:bCs/>
          <w:color w:val="auto"/>
          <w:sz w:val="21"/>
          <w:szCs w:val="21"/>
          <w:highlight w:val="none"/>
        </w:rPr>
        <w:t>）。</w:t>
      </w:r>
    </w:p>
    <w:bookmarkEnd w:id="50"/>
    <w:p>
      <w:pPr>
        <w:spacing w:line="288" w:lineRule="auto"/>
        <w:jc w:val="left"/>
        <w:outlineLvl w:val="2"/>
        <w:rPr>
          <w:rFonts w:ascii="宋体" w:hAnsi="宋体"/>
          <w:b/>
          <w:color w:val="auto"/>
          <w:spacing w:val="-6"/>
          <w:sz w:val="24"/>
          <w:highlight w:val="none"/>
        </w:rPr>
      </w:pPr>
      <w:bookmarkStart w:id="51" w:name="_Toc2232"/>
      <w:r>
        <w:rPr>
          <w:rFonts w:hint="eastAsia" w:ascii="宋体" w:hAnsi="宋体"/>
          <w:b/>
          <w:color w:val="auto"/>
          <w:spacing w:val="-6"/>
          <w:sz w:val="24"/>
          <w:highlight w:val="none"/>
        </w:rPr>
        <w:t>（三）响应文件的上传、递交、修改和撤回</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1.响应文件的上传、递交</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1）电子加密响应文件的上传：</w:t>
      </w:r>
    </w:p>
    <w:p>
      <w:pPr>
        <w:spacing w:line="288" w:lineRule="auto"/>
        <w:ind w:firstLine="396" w:firstLineChars="200"/>
        <w:jc w:val="left"/>
        <w:rPr>
          <w:rFonts w:ascii="宋体" w:hAnsi="宋体"/>
          <w:color w:val="auto"/>
          <w:spacing w:val="-6"/>
          <w:sz w:val="21"/>
          <w:szCs w:val="21"/>
          <w:highlight w:val="none"/>
        </w:rPr>
      </w:pPr>
      <w:r>
        <w:rPr>
          <w:rFonts w:hint="eastAsia" w:hAnsi="宋体"/>
          <w:color w:val="auto"/>
          <w:spacing w:val="-6"/>
          <w:sz w:val="21"/>
          <w:szCs w:val="21"/>
          <w:highlight w:val="none"/>
        </w:rPr>
        <w:t>▲</w:t>
      </w:r>
      <w:r>
        <w:rPr>
          <w:rFonts w:hint="eastAsia" w:ascii="宋体" w:hAnsi="宋体"/>
          <w:color w:val="auto"/>
          <w:spacing w:val="-6"/>
          <w:sz w:val="21"/>
          <w:szCs w:val="21"/>
          <w:highlight w:val="none"/>
        </w:rPr>
        <w:t>a.供应商应在响应文件提交截止时间前将电子加密响应文件成功上传至政府采购云平台，否则响应无效；</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b.电子加密响应文件成功上传后，供应商可自行打印响应文件接收回执。</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2）备份响应文件的密封包装、递交：</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a.供应商在政府采购云平台完成电子加密响应文件的上传后，可以EMS或顺丰邮寄形式在响应文件提交截止时间前递交以介质（U盘）存储的数据电文形式的备份响应文件；</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b.备份响应文件应当密封包装并在包装上标注响应项目名称、供应商名称并加盖公章</w:t>
      </w:r>
      <w:r>
        <w:rPr>
          <w:rFonts w:hint="eastAsia" w:ascii="宋体" w:hAnsi="宋体"/>
          <w:b/>
          <w:bCs/>
          <w:color w:val="auto"/>
          <w:spacing w:val="-6"/>
          <w:sz w:val="21"/>
          <w:szCs w:val="21"/>
          <w:highlight w:val="none"/>
        </w:rPr>
        <w:t>（非电子签章）</w:t>
      </w:r>
      <w:r>
        <w:rPr>
          <w:rFonts w:hint="eastAsia" w:ascii="宋体" w:hAnsi="宋体"/>
          <w:color w:val="auto"/>
          <w:spacing w:val="-6"/>
          <w:sz w:val="21"/>
          <w:szCs w:val="21"/>
          <w:highlight w:val="none"/>
        </w:rPr>
        <w:t>，</w:t>
      </w:r>
      <w:r>
        <w:rPr>
          <w:rFonts w:hint="eastAsia" w:ascii="宋体" w:hAnsi="宋体"/>
          <w:color w:val="auto"/>
          <w:sz w:val="21"/>
          <w:szCs w:val="21"/>
          <w:highlight w:val="none"/>
        </w:rPr>
        <w:t>供应商逾期送达或者未密封包装的备份响应文件采购代理机构将予以拒收；</w:t>
      </w:r>
    </w:p>
    <w:p>
      <w:pPr>
        <w:spacing w:line="288" w:lineRule="auto"/>
        <w:ind w:firstLine="396" w:firstLineChars="200"/>
        <w:jc w:val="left"/>
        <w:rPr>
          <w:rFonts w:ascii="宋体" w:hAnsi="宋体"/>
          <w:color w:val="auto"/>
          <w:spacing w:val="-6"/>
          <w:sz w:val="21"/>
          <w:szCs w:val="21"/>
          <w:highlight w:val="none"/>
        </w:rPr>
      </w:pPr>
      <w:r>
        <w:rPr>
          <w:rFonts w:hint="eastAsia" w:hAnsi="宋体"/>
          <w:color w:val="auto"/>
          <w:spacing w:val="-6"/>
          <w:sz w:val="21"/>
          <w:szCs w:val="21"/>
          <w:highlight w:val="none"/>
        </w:rPr>
        <w:t>▲</w:t>
      </w:r>
      <w:r>
        <w:rPr>
          <w:rFonts w:hint="eastAsia" w:ascii="宋体" w:hAnsi="宋体"/>
          <w:color w:val="auto"/>
          <w:spacing w:val="-6"/>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spacing w:line="288" w:lineRule="auto"/>
        <w:ind w:firstLine="422" w:firstLineChars="200"/>
        <w:jc w:val="left"/>
        <w:rPr>
          <w:rFonts w:ascii="宋体" w:hAnsi="宋体"/>
          <w:b/>
          <w:bCs/>
          <w:color w:val="auto"/>
          <w:sz w:val="21"/>
          <w:szCs w:val="21"/>
          <w:highlight w:val="none"/>
        </w:rPr>
      </w:pPr>
      <w:r>
        <w:rPr>
          <w:rFonts w:hint="eastAsia" w:ascii="宋体" w:hAnsi="宋体"/>
          <w:b/>
          <w:bCs/>
          <w:color w:val="auto"/>
          <w:sz w:val="21"/>
          <w:szCs w:val="21"/>
          <w:highlight w:val="none"/>
        </w:rPr>
        <w:t>备注：</w:t>
      </w:r>
    </w:p>
    <w:p>
      <w:pPr>
        <w:spacing w:line="288" w:lineRule="auto"/>
        <w:ind w:firstLine="422" w:firstLineChars="200"/>
        <w:jc w:val="left"/>
        <w:rPr>
          <w:rFonts w:ascii="宋体" w:hAnsi="宋体"/>
          <w:b/>
          <w:color w:val="auto"/>
          <w:spacing w:val="-6"/>
          <w:sz w:val="24"/>
          <w:highlight w:val="none"/>
        </w:rPr>
      </w:pPr>
      <w:r>
        <w:rPr>
          <w:rFonts w:hint="eastAsia" w:ascii="宋体" w:hAnsi="宋体"/>
          <w:b/>
          <w:bCs/>
          <w:color w:val="auto"/>
          <w:sz w:val="21"/>
          <w:szCs w:val="21"/>
          <w:highlight w:val="none"/>
        </w:rPr>
        <w:t>供应商可通过浙江省“电子交易/不见面开评标”学习专题提前进行专题学习，熟悉操作，避免影响采购活动（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宋体" w:hAnsi="宋体"/>
          <w:b/>
          <w:bCs/>
          <w:color w:val="auto"/>
          <w:sz w:val="21"/>
          <w:szCs w:val="21"/>
          <w:highlight w:val="none"/>
        </w:rPr>
        <w:t>https://edu.zcygov.cn/luban/e-biding</w:t>
      </w:r>
      <w:r>
        <w:rPr>
          <w:rFonts w:hint="eastAsia" w:ascii="宋体" w:hAnsi="宋体"/>
          <w:b/>
          <w:bCs/>
          <w:color w:val="auto"/>
          <w:sz w:val="21"/>
          <w:szCs w:val="21"/>
          <w:highlight w:val="none"/>
        </w:rPr>
        <w:fldChar w:fldCharType="end"/>
      </w:r>
      <w:r>
        <w:rPr>
          <w:rFonts w:hint="eastAsia" w:ascii="宋体" w:hAnsi="宋体"/>
          <w:b/>
          <w:bCs/>
          <w:color w:val="auto"/>
          <w:sz w:val="21"/>
          <w:szCs w:val="21"/>
          <w:highlight w:val="none"/>
        </w:rPr>
        <w:t>）。</w:t>
      </w:r>
    </w:p>
    <w:p>
      <w:pPr>
        <w:spacing w:line="288" w:lineRule="auto"/>
        <w:jc w:val="left"/>
        <w:outlineLvl w:val="2"/>
        <w:rPr>
          <w:rFonts w:ascii="宋体" w:hAnsi="宋体"/>
          <w:b/>
          <w:color w:val="auto"/>
          <w:spacing w:val="-6"/>
          <w:sz w:val="24"/>
          <w:highlight w:val="none"/>
        </w:rPr>
      </w:pPr>
      <w:r>
        <w:rPr>
          <w:rFonts w:hint="eastAsia" w:ascii="宋体" w:hAnsi="宋体"/>
          <w:b/>
          <w:color w:val="auto"/>
          <w:spacing w:val="-6"/>
          <w:sz w:val="24"/>
          <w:highlight w:val="none"/>
        </w:rPr>
        <w:t>（四）响应文件的语言及计量</w:t>
      </w:r>
      <w:bookmarkEnd w:id="51"/>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288" w:lineRule="auto"/>
        <w:jc w:val="left"/>
        <w:outlineLvl w:val="2"/>
        <w:rPr>
          <w:rFonts w:ascii="宋体" w:hAnsi="宋体"/>
          <w:b/>
          <w:color w:val="auto"/>
          <w:spacing w:val="-6"/>
          <w:sz w:val="24"/>
          <w:highlight w:val="none"/>
        </w:rPr>
      </w:pPr>
      <w:bookmarkStart w:id="52" w:name="_Toc30546"/>
      <w:r>
        <w:rPr>
          <w:rFonts w:hint="eastAsia" w:ascii="宋体" w:hAnsi="宋体"/>
          <w:b/>
          <w:color w:val="auto"/>
          <w:spacing w:val="-6"/>
          <w:sz w:val="24"/>
          <w:highlight w:val="none"/>
        </w:rPr>
        <w:t>（五）磋商响应报价</w:t>
      </w:r>
      <w:bookmarkEnd w:id="52"/>
    </w:p>
    <w:p>
      <w:pPr>
        <w:spacing w:line="288" w:lineRule="auto"/>
        <w:ind w:firstLine="396" w:firstLineChars="200"/>
        <w:jc w:val="left"/>
        <w:rPr>
          <w:rFonts w:ascii="宋体" w:hAnsi="宋体"/>
          <w:color w:val="auto"/>
          <w:spacing w:val="-6"/>
          <w:sz w:val="21"/>
          <w:szCs w:val="21"/>
          <w:highlight w:val="none"/>
        </w:rPr>
      </w:pPr>
      <w:bookmarkStart w:id="53" w:name="_Toc25687"/>
      <w:r>
        <w:rPr>
          <w:rFonts w:hint="eastAsia" w:ascii="宋体" w:hAnsi="宋体"/>
          <w:color w:val="auto"/>
          <w:spacing w:val="-6"/>
          <w:sz w:val="21"/>
          <w:szCs w:val="21"/>
          <w:highlight w:val="none"/>
        </w:rPr>
        <w:t>1.报价应按磋商文件要求的格式编制、填写报价内容（可自行增行），未按磋商文件要求编制、填写的响应文件可能被拒绝。</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供应商根据磋商文件的要求，须将维修费、调试费、检测费、验收费（通过验收直至交付用户使用，达到使用要求及质量标准）、培训费、投标费、合同包含的所有风险责任等各项费用及不可预见费、免费维护期内保修服务等所需的全部费用都包含在响应报价之中，一次性包死，合同价不再作调整，除采购范围更改，如还有其它费用内容组成，供应商可在报价明细表中单独列出，如不列明详细报价，则视为已含入报价里。</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3.最后报价是履行合同的最终价格，供应商在报价时应充分考虑各种风险，价格将不予调整。</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s="宋体"/>
          <w:color w:val="auto"/>
          <w:spacing w:val="-6"/>
          <w:sz w:val="21"/>
          <w:szCs w:val="21"/>
          <w:highlight w:val="none"/>
        </w:rPr>
        <w:t>4.本次磋商只允许有一个报价，有选择的报价不予接受。</w:t>
      </w:r>
    </w:p>
    <w:p>
      <w:pPr>
        <w:spacing w:line="288" w:lineRule="auto"/>
        <w:jc w:val="left"/>
        <w:outlineLvl w:val="2"/>
        <w:rPr>
          <w:rFonts w:ascii="宋体" w:hAnsi="宋体"/>
          <w:b/>
          <w:color w:val="auto"/>
          <w:spacing w:val="-6"/>
          <w:sz w:val="24"/>
          <w:highlight w:val="none"/>
        </w:rPr>
      </w:pPr>
      <w:r>
        <w:rPr>
          <w:rFonts w:hint="eastAsia" w:ascii="宋体" w:hAnsi="宋体"/>
          <w:b/>
          <w:color w:val="auto"/>
          <w:spacing w:val="-6"/>
          <w:sz w:val="24"/>
          <w:highlight w:val="none"/>
        </w:rPr>
        <w:t>（六）响应有效期</w:t>
      </w:r>
      <w:bookmarkEnd w:id="53"/>
    </w:p>
    <w:p>
      <w:pPr>
        <w:pStyle w:val="10"/>
        <w:spacing w:before="0" w:beforeLines="0" w:after="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rPr>
        <w:t>从提交响应文件的截止之日起90天。</w:t>
      </w:r>
    </w:p>
    <w:p>
      <w:pPr>
        <w:pStyle w:val="10"/>
        <w:spacing w:before="0" w:beforeLines="0" w:after="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在原响应有效期满之前，如果出现特殊情况，采购人</w:t>
      </w:r>
      <w:r>
        <w:rPr>
          <w:rFonts w:hAnsi="宋体"/>
          <w:color w:val="auto"/>
          <w:spacing w:val="-6"/>
          <w:sz w:val="21"/>
          <w:szCs w:val="21"/>
          <w:highlight w:val="none"/>
        </w:rPr>
        <w:t>或</w:t>
      </w:r>
      <w:r>
        <w:rPr>
          <w:rFonts w:hint="eastAsia" w:hAnsi="宋体"/>
          <w:color w:val="auto"/>
          <w:spacing w:val="-6"/>
          <w:sz w:val="21"/>
          <w:szCs w:val="21"/>
          <w:highlight w:val="none"/>
        </w:rPr>
        <w:t>采购</w:t>
      </w:r>
      <w:r>
        <w:rPr>
          <w:rFonts w:hAnsi="宋体"/>
          <w:color w:val="auto"/>
          <w:spacing w:val="-6"/>
          <w:sz w:val="21"/>
          <w:szCs w:val="21"/>
          <w:highlight w:val="none"/>
        </w:rPr>
        <w:t>代理机构</w:t>
      </w:r>
      <w:r>
        <w:rPr>
          <w:rFonts w:hint="eastAsia" w:hAnsi="宋体"/>
          <w:color w:val="auto"/>
          <w:spacing w:val="-6"/>
          <w:sz w:val="21"/>
          <w:szCs w:val="21"/>
          <w:highlight w:val="none"/>
        </w:rPr>
        <w:t>以书面形式通知供应商延长响应有效期。</w:t>
      </w:r>
    </w:p>
    <w:p>
      <w:pPr>
        <w:spacing w:line="288" w:lineRule="auto"/>
        <w:jc w:val="left"/>
        <w:outlineLvl w:val="2"/>
        <w:rPr>
          <w:rFonts w:ascii="宋体" w:hAnsi="宋体"/>
          <w:b/>
          <w:color w:val="auto"/>
          <w:spacing w:val="-6"/>
          <w:sz w:val="24"/>
          <w:highlight w:val="none"/>
        </w:rPr>
      </w:pPr>
      <w:bookmarkStart w:id="54" w:name="_Toc7741"/>
      <w:r>
        <w:rPr>
          <w:rFonts w:hint="eastAsia" w:ascii="宋体" w:hAnsi="宋体"/>
          <w:b/>
          <w:color w:val="auto"/>
          <w:spacing w:val="-6"/>
          <w:sz w:val="24"/>
          <w:highlight w:val="none"/>
        </w:rPr>
        <w:t>（七）磋商响应无效的情形</w:t>
      </w:r>
      <w:bookmarkEnd w:id="54"/>
    </w:p>
    <w:p>
      <w:pPr>
        <w:widowControl/>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在资格审查时，如发现下列情形之一的，响应文件将被视为无效：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）资格证明</w:t>
      </w:r>
      <w:r>
        <w:rPr>
          <w:rFonts w:hint="eastAsia" w:ascii="宋体" w:hAnsi="宋体"/>
          <w:color w:val="auto"/>
          <w:spacing w:val="-6"/>
          <w:sz w:val="21"/>
          <w:szCs w:val="21"/>
          <w:highlight w:val="none"/>
        </w:rPr>
        <w:t>材料</w:t>
      </w:r>
      <w:r>
        <w:rPr>
          <w:rFonts w:ascii="宋体" w:hAnsi="宋体"/>
          <w:color w:val="auto"/>
          <w:spacing w:val="-6"/>
          <w:sz w:val="21"/>
          <w:szCs w:val="21"/>
          <w:highlight w:val="none"/>
        </w:rPr>
        <w:t>不全的，或者不符合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文件要求的</w:t>
      </w:r>
      <w:r>
        <w:rPr>
          <w:rFonts w:hint="eastAsia" w:ascii="宋体" w:hAnsi="宋体"/>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2）供应商不具备磋商文件中规定的资格要求的。</w:t>
      </w:r>
    </w:p>
    <w:p>
      <w:pPr>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在符合</w:t>
      </w:r>
      <w:r>
        <w:rPr>
          <w:rFonts w:ascii="宋体" w:hAnsi="宋体"/>
          <w:b/>
          <w:color w:val="auto"/>
          <w:spacing w:val="-6"/>
          <w:sz w:val="21"/>
          <w:szCs w:val="21"/>
          <w:highlight w:val="none"/>
        </w:rPr>
        <w:t>性审查、</w:t>
      </w:r>
      <w:r>
        <w:rPr>
          <w:rFonts w:hint="eastAsia" w:ascii="宋体" w:hAnsi="宋体"/>
          <w:b/>
          <w:color w:val="auto"/>
          <w:spacing w:val="-6"/>
          <w:sz w:val="21"/>
          <w:szCs w:val="21"/>
          <w:highlight w:val="none"/>
        </w:rPr>
        <w:t>商务</w:t>
      </w:r>
      <w:r>
        <w:rPr>
          <w:rFonts w:ascii="宋体" w:hAnsi="宋体"/>
          <w:b/>
          <w:color w:val="auto"/>
          <w:spacing w:val="-6"/>
          <w:sz w:val="21"/>
          <w:szCs w:val="21"/>
          <w:highlight w:val="none"/>
        </w:rPr>
        <w:t>和技术评审</w:t>
      </w:r>
      <w:r>
        <w:rPr>
          <w:rFonts w:hint="eastAsia" w:ascii="宋体" w:hAnsi="宋体"/>
          <w:b/>
          <w:color w:val="auto"/>
          <w:spacing w:val="-6"/>
          <w:sz w:val="21"/>
          <w:szCs w:val="21"/>
          <w:highlight w:val="none"/>
        </w:rPr>
        <w:t>时，如发现下列情形之一的，响应文件将被视为无效：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资格文件、商务</w:t>
      </w:r>
      <w:r>
        <w:rPr>
          <w:rFonts w:ascii="宋体" w:hAnsi="宋体"/>
          <w:color w:val="auto"/>
          <w:spacing w:val="-6"/>
          <w:sz w:val="21"/>
          <w:szCs w:val="21"/>
          <w:highlight w:val="none"/>
        </w:rPr>
        <w:t>技术文件</w:t>
      </w:r>
      <w:r>
        <w:rPr>
          <w:rFonts w:hint="eastAsia" w:ascii="宋体" w:hAnsi="宋体"/>
          <w:color w:val="auto"/>
          <w:spacing w:val="-6"/>
          <w:sz w:val="21"/>
          <w:szCs w:val="21"/>
          <w:highlight w:val="none"/>
        </w:rPr>
        <w:t>未按要求签署、盖章的；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2）未提供或未按要求提供响应函</w:t>
      </w:r>
      <w:r>
        <w:rPr>
          <w:rFonts w:ascii="宋体" w:hAnsi="宋体"/>
          <w:color w:val="auto"/>
          <w:spacing w:val="-6"/>
          <w:sz w:val="21"/>
          <w:szCs w:val="21"/>
          <w:highlight w:val="none"/>
        </w:rPr>
        <w:t>、法定代表人资格证明书</w:t>
      </w:r>
      <w:r>
        <w:rPr>
          <w:rFonts w:hint="eastAsia" w:ascii="宋体" w:hAnsi="宋体"/>
          <w:color w:val="auto"/>
          <w:spacing w:val="-6"/>
          <w:sz w:val="21"/>
          <w:szCs w:val="21"/>
          <w:highlight w:val="none"/>
        </w:rPr>
        <w:t>、法定代表人授权委托书、响应</w:t>
      </w:r>
      <w:r>
        <w:rPr>
          <w:rFonts w:ascii="宋体" w:hAnsi="宋体"/>
          <w:color w:val="auto"/>
          <w:spacing w:val="-6"/>
          <w:sz w:val="21"/>
          <w:szCs w:val="21"/>
          <w:highlight w:val="none"/>
        </w:rPr>
        <w:t>声明书</w:t>
      </w:r>
      <w:r>
        <w:rPr>
          <w:rFonts w:hint="eastAsia" w:ascii="宋体" w:hAnsi="宋体"/>
          <w:color w:val="auto"/>
          <w:spacing w:val="-6"/>
          <w:sz w:val="21"/>
          <w:szCs w:val="21"/>
          <w:highlight w:val="none"/>
        </w:rPr>
        <w:t>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hint="eastAsia" w:ascii="宋体" w:hAnsi="宋体"/>
          <w:bCs/>
          <w:color w:val="auto"/>
          <w:spacing w:val="-6"/>
          <w:sz w:val="21"/>
          <w:szCs w:val="21"/>
          <w:highlight w:val="none"/>
        </w:rPr>
        <w:t>法定代表人委托授权代表</w:t>
      </w:r>
      <w:r>
        <w:rPr>
          <w:rFonts w:ascii="宋体" w:hAnsi="宋体"/>
          <w:bCs/>
          <w:color w:val="auto"/>
          <w:spacing w:val="-6"/>
          <w:sz w:val="21"/>
          <w:szCs w:val="21"/>
          <w:highlight w:val="none"/>
        </w:rPr>
        <w:t>参加</w:t>
      </w:r>
      <w:r>
        <w:rPr>
          <w:rFonts w:hint="eastAsia" w:ascii="宋体" w:hAnsi="宋体"/>
          <w:bCs/>
          <w:color w:val="auto"/>
          <w:spacing w:val="-6"/>
          <w:sz w:val="21"/>
          <w:szCs w:val="21"/>
          <w:highlight w:val="none"/>
        </w:rPr>
        <w:t>响应但未按要求</w:t>
      </w:r>
      <w:r>
        <w:rPr>
          <w:rFonts w:ascii="宋体" w:hAnsi="宋体"/>
          <w:bCs/>
          <w:color w:val="auto"/>
          <w:spacing w:val="-6"/>
          <w:sz w:val="21"/>
          <w:szCs w:val="21"/>
          <w:highlight w:val="none"/>
        </w:rPr>
        <w:t>提供</w:t>
      </w:r>
      <w:r>
        <w:rPr>
          <w:rFonts w:hint="eastAsia" w:ascii="宋体" w:hAnsi="宋体"/>
          <w:bCs/>
          <w:color w:val="auto"/>
          <w:spacing w:val="-6"/>
          <w:sz w:val="21"/>
          <w:szCs w:val="21"/>
          <w:highlight w:val="none"/>
        </w:rPr>
        <w:t>授权代表社保缴纳证明的</w:t>
      </w:r>
      <w:r>
        <w:rPr>
          <w:rFonts w:ascii="宋体" w:hAnsi="宋体"/>
          <w:bCs/>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4）未提供或未如实提供商务、技术</w:t>
      </w:r>
      <w:r>
        <w:rPr>
          <w:rFonts w:ascii="宋体" w:hAnsi="宋体"/>
          <w:color w:val="auto"/>
          <w:spacing w:val="-6"/>
          <w:sz w:val="21"/>
          <w:szCs w:val="21"/>
          <w:highlight w:val="none"/>
        </w:rPr>
        <w:t>偏离表的；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w:t>
      </w:r>
      <w:r>
        <w:rPr>
          <w:rFonts w:ascii="宋体" w:hAnsi="宋体"/>
          <w:color w:val="auto"/>
          <w:spacing w:val="-6"/>
          <w:sz w:val="21"/>
          <w:szCs w:val="21"/>
          <w:highlight w:val="none"/>
        </w:rPr>
        <w:t>明显不符合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要求，</w:t>
      </w:r>
      <w:r>
        <w:rPr>
          <w:rFonts w:ascii="宋体" w:hAnsi="宋体"/>
          <w:color w:val="auto"/>
          <w:spacing w:val="-6"/>
          <w:sz w:val="21"/>
          <w:szCs w:val="21"/>
          <w:highlight w:val="none"/>
        </w:rPr>
        <w:t>或者</w:t>
      </w:r>
      <w:r>
        <w:rPr>
          <w:rFonts w:hint="eastAsia" w:ascii="宋体" w:hAnsi="宋体"/>
          <w:color w:val="auto"/>
          <w:spacing w:val="-6"/>
          <w:sz w:val="21"/>
          <w:szCs w:val="21"/>
          <w:highlight w:val="none"/>
        </w:rPr>
        <w:t>与磋商</w:t>
      </w:r>
      <w:r>
        <w:rPr>
          <w:rFonts w:ascii="宋体" w:hAnsi="宋体"/>
          <w:color w:val="auto"/>
          <w:spacing w:val="-6"/>
          <w:sz w:val="21"/>
          <w:szCs w:val="21"/>
          <w:highlight w:val="none"/>
        </w:rPr>
        <w:t>文件中标“▲”的项目发生实质性偏离的；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6）响应</w:t>
      </w:r>
      <w:r>
        <w:rPr>
          <w:rFonts w:ascii="宋体" w:hAnsi="宋体"/>
          <w:color w:val="auto"/>
          <w:spacing w:val="-6"/>
          <w:sz w:val="21"/>
          <w:szCs w:val="21"/>
          <w:highlight w:val="none"/>
        </w:rPr>
        <w:t>文件标明的响应或偏离与事实不符或虚假</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7）响应</w:t>
      </w:r>
      <w:r>
        <w:rPr>
          <w:rFonts w:ascii="宋体" w:hAnsi="宋体"/>
          <w:color w:val="auto"/>
          <w:spacing w:val="-6"/>
          <w:sz w:val="21"/>
          <w:szCs w:val="21"/>
          <w:highlight w:val="none"/>
        </w:rPr>
        <w:t>技术方案不明确，存在一个或一个以上备选（替代）</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方案的；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8）响应文件含有采购人不能接受的附加条件的；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9）法律、法规和磋商文件规定的其他无效情形。</w:t>
      </w:r>
    </w:p>
    <w:p>
      <w:pPr>
        <w:widowControl/>
        <w:spacing w:line="288" w:lineRule="auto"/>
        <w:ind w:firstLine="398" w:firstLineChars="200"/>
        <w:jc w:val="left"/>
        <w:rPr>
          <w:rFonts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Ansi="宋体"/>
          <w:b/>
          <w:color w:val="auto"/>
          <w:spacing w:val="-6"/>
          <w:sz w:val="21"/>
          <w:szCs w:val="21"/>
          <w:highlight w:val="none"/>
        </w:rPr>
        <w:t>在报价评审时，如发现下列情形之一的，</w:t>
      </w:r>
      <w:r>
        <w:rPr>
          <w:rFonts w:hint="eastAsia" w:hAnsi="宋体"/>
          <w:b/>
          <w:color w:val="auto"/>
          <w:spacing w:val="-6"/>
          <w:sz w:val="21"/>
          <w:szCs w:val="21"/>
          <w:highlight w:val="none"/>
        </w:rPr>
        <w:t>响应</w:t>
      </w:r>
      <w:r>
        <w:rPr>
          <w:rFonts w:hAnsi="宋体"/>
          <w:b/>
          <w:color w:val="auto"/>
          <w:spacing w:val="-6"/>
          <w:sz w:val="21"/>
          <w:szCs w:val="21"/>
          <w:highlight w:val="none"/>
        </w:rPr>
        <w:t>文件将被视为无效：</w:t>
      </w:r>
    </w:p>
    <w:p>
      <w:pPr>
        <w:widowControl/>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1）最后报价超过磋商文件中规定的预算金额的；</w:t>
      </w:r>
    </w:p>
    <w:p>
      <w:pPr>
        <w:widowControl/>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2）最后报价具有选择性的。</w:t>
      </w:r>
    </w:p>
    <w:p>
      <w:pPr>
        <w:widowControl/>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有下列情形之一的，视为供应商串通投标，其响应无效，由采购人或采购代理机构上报政府采购监督管理部门，视情列入不良行为记录名单，在一至三年内禁止参加政府采购活动：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1）不同供应商的响应文件由同一单位或者个人编制；</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2）不同供应商委托同一单位或者个人办理响应事宜；</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3）不同供应商的响应文件载明的项目管理成员或者联系人员为同一人；</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4）不同供应商的响应文件异常一致或者最后报价呈规律性差异；</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5）不同供应商的响应文件相互混装。</w:t>
      </w:r>
    </w:p>
    <w:p>
      <w:pPr>
        <w:pStyle w:val="10"/>
        <w:spacing w:before="0" w:beforeLines="0" w:after="0" w:afterLines="0" w:line="288" w:lineRule="auto"/>
        <w:jc w:val="center"/>
        <w:outlineLvl w:val="1"/>
        <w:rPr>
          <w:rFonts w:hAnsi="宋体"/>
          <w:b/>
          <w:color w:val="auto"/>
          <w:spacing w:val="-6"/>
          <w:sz w:val="32"/>
          <w:szCs w:val="32"/>
          <w:highlight w:val="none"/>
        </w:rPr>
      </w:pPr>
      <w:r>
        <w:rPr>
          <w:rFonts w:hAnsi="宋体"/>
          <w:b/>
          <w:color w:val="auto"/>
          <w:spacing w:val="-6"/>
          <w:sz w:val="21"/>
          <w:szCs w:val="21"/>
          <w:highlight w:val="none"/>
        </w:rPr>
        <w:br w:type="page"/>
      </w:r>
      <w:bookmarkStart w:id="55" w:name="_Toc11103"/>
      <w:r>
        <w:rPr>
          <w:rFonts w:hAnsi="宋体"/>
          <w:b/>
          <w:color w:val="auto"/>
          <w:spacing w:val="-6"/>
          <w:sz w:val="32"/>
          <w:szCs w:val="32"/>
          <w:highlight w:val="none"/>
        </w:rPr>
        <w:t>四</w:t>
      </w:r>
      <w:r>
        <w:rPr>
          <w:rFonts w:hint="eastAsia" w:hAnsi="宋体"/>
          <w:b/>
          <w:color w:val="auto"/>
          <w:spacing w:val="-6"/>
          <w:sz w:val="32"/>
          <w:szCs w:val="32"/>
          <w:highlight w:val="none"/>
        </w:rPr>
        <w:t>、响应文件开启</w:t>
      </w:r>
      <w:bookmarkEnd w:id="55"/>
    </w:p>
    <w:p>
      <w:pPr>
        <w:pStyle w:val="2"/>
        <w:spacing w:line="288" w:lineRule="auto"/>
        <w:ind w:firstLine="0"/>
        <w:outlineLvl w:val="2"/>
        <w:rPr>
          <w:rFonts w:hAnsi="宋体"/>
          <w:b/>
          <w:color w:val="auto"/>
          <w:spacing w:val="-6"/>
          <w:sz w:val="24"/>
          <w:szCs w:val="24"/>
          <w:highlight w:val="none"/>
        </w:rPr>
      </w:pPr>
      <w:bookmarkStart w:id="56" w:name="_Toc23146"/>
      <w:r>
        <w:rPr>
          <w:rFonts w:hint="eastAsia" w:hAnsi="宋体"/>
          <w:b/>
          <w:color w:val="auto"/>
          <w:spacing w:val="-6"/>
          <w:sz w:val="24"/>
          <w:szCs w:val="24"/>
          <w:highlight w:val="none"/>
        </w:rPr>
        <w:t>（一）响应文件开启准备</w:t>
      </w:r>
      <w:bookmarkEnd w:id="56"/>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制订</w:t>
      </w:r>
      <w:r>
        <w:rPr>
          <w:rFonts w:hint="eastAsia" w:ascii="宋体" w:hAnsi="宋体"/>
          <w:color w:val="auto"/>
          <w:spacing w:val="-6"/>
          <w:sz w:val="21"/>
          <w:szCs w:val="21"/>
          <w:highlight w:val="none"/>
        </w:rPr>
        <w:t>响应文件开启</w:t>
      </w:r>
      <w:r>
        <w:rPr>
          <w:rFonts w:ascii="宋体" w:hAnsi="宋体"/>
          <w:color w:val="auto"/>
          <w:spacing w:val="-6"/>
          <w:sz w:val="21"/>
          <w:szCs w:val="21"/>
          <w:highlight w:val="none"/>
        </w:rPr>
        <w:t>、评审工作的组织方案，落实工作场地、设施，检查录音录像采集设备运行情况。</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通知或邀请相关单位和人员出席</w:t>
      </w:r>
      <w:r>
        <w:rPr>
          <w:rFonts w:hint="eastAsia" w:ascii="宋体" w:hAnsi="宋体"/>
          <w:color w:val="auto"/>
          <w:spacing w:val="-6"/>
          <w:sz w:val="21"/>
          <w:szCs w:val="21"/>
          <w:highlight w:val="none"/>
        </w:rPr>
        <w:t>响应文件开启</w:t>
      </w:r>
      <w:r>
        <w:rPr>
          <w:rFonts w:ascii="宋体" w:hAnsi="宋体"/>
          <w:color w:val="auto"/>
          <w:spacing w:val="-6"/>
          <w:sz w:val="21"/>
          <w:szCs w:val="21"/>
          <w:highlight w:val="none"/>
        </w:rPr>
        <w:t>、评审活动（按规定由相关监管部门或其授权机构随机抽取、通知的政府采购评审专家除外）。</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准备政府采购项目的相关文件资料，如项目政府采购预算确认书（计划）及专家抽取有关凭证、项目书面说明、</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文件、补充文件及质疑答复情况、现场工作所需的相关登记表单、评审工作底稿等。</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其他应准备的事项。</w:t>
      </w:r>
    </w:p>
    <w:p>
      <w:pPr>
        <w:pStyle w:val="2"/>
        <w:spacing w:line="288" w:lineRule="auto"/>
        <w:ind w:firstLine="0"/>
        <w:outlineLvl w:val="2"/>
        <w:rPr>
          <w:rFonts w:hAnsi="宋体"/>
          <w:b/>
          <w:color w:val="auto"/>
          <w:spacing w:val="-6"/>
          <w:sz w:val="24"/>
          <w:szCs w:val="24"/>
          <w:highlight w:val="none"/>
        </w:rPr>
      </w:pPr>
      <w:bookmarkStart w:id="57" w:name="_Toc29989"/>
      <w:r>
        <w:rPr>
          <w:rFonts w:hint="eastAsia" w:hAnsi="宋体"/>
          <w:b/>
          <w:color w:val="auto"/>
          <w:spacing w:val="-6"/>
          <w:sz w:val="24"/>
          <w:szCs w:val="24"/>
          <w:highlight w:val="none"/>
        </w:rPr>
        <w:t>（二）响应文件开启程序</w:t>
      </w:r>
      <w:bookmarkEnd w:id="57"/>
    </w:p>
    <w:p>
      <w:pPr>
        <w:pStyle w:val="2"/>
        <w:spacing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采购代理机构按照</w:t>
      </w:r>
      <w:r>
        <w:rPr>
          <w:rFonts w:hint="eastAsia" w:hAnsi="宋体"/>
          <w:color w:val="auto"/>
          <w:spacing w:val="-6"/>
          <w:sz w:val="21"/>
          <w:szCs w:val="21"/>
          <w:highlight w:val="none"/>
        </w:rPr>
        <w:t>磋商文件</w:t>
      </w:r>
      <w:r>
        <w:rPr>
          <w:rFonts w:hAnsi="宋体"/>
          <w:color w:val="auto"/>
          <w:spacing w:val="-6"/>
          <w:sz w:val="21"/>
          <w:szCs w:val="21"/>
          <w:highlight w:val="none"/>
        </w:rPr>
        <w:t>规定的时间、地点和程序组织</w:t>
      </w:r>
      <w:r>
        <w:rPr>
          <w:rFonts w:hint="eastAsia" w:hAnsi="宋体"/>
          <w:color w:val="auto"/>
          <w:spacing w:val="-6"/>
          <w:sz w:val="21"/>
          <w:szCs w:val="21"/>
          <w:highlight w:val="none"/>
        </w:rPr>
        <w:t>响应文件开启</w:t>
      </w:r>
      <w:r>
        <w:rPr>
          <w:rFonts w:hAnsi="宋体"/>
          <w:color w:val="auto"/>
          <w:spacing w:val="-6"/>
          <w:sz w:val="21"/>
          <w:szCs w:val="21"/>
          <w:highlight w:val="none"/>
        </w:rPr>
        <w:t>。</w:t>
      </w:r>
      <w:r>
        <w:rPr>
          <w:rFonts w:hint="eastAsia" w:hAnsi="宋体"/>
          <w:color w:val="auto"/>
          <w:spacing w:val="-6"/>
          <w:sz w:val="21"/>
          <w:szCs w:val="21"/>
          <w:highlight w:val="none"/>
        </w:rPr>
        <w:t>响应文件开启</w:t>
      </w:r>
      <w:r>
        <w:rPr>
          <w:rFonts w:hAnsi="宋体"/>
          <w:color w:val="auto"/>
          <w:spacing w:val="-6"/>
          <w:sz w:val="21"/>
          <w:szCs w:val="21"/>
          <w:highlight w:val="none"/>
        </w:rPr>
        <w:t>原则上应采取先</w:t>
      </w:r>
      <w:r>
        <w:rPr>
          <w:rFonts w:hint="eastAsia" w:hAnsi="宋体"/>
          <w:color w:val="auto"/>
          <w:spacing w:val="-6"/>
          <w:sz w:val="21"/>
          <w:szCs w:val="21"/>
          <w:highlight w:val="none"/>
        </w:rPr>
        <w:t>开启资格</w:t>
      </w:r>
      <w:r>
        <w:rPr>
          <w:rFonts w:hAnsi="宋体"/>
          <w:color w:val="auto"/>
          <w:spacing w:val="-6"/>
          <w:sz w:val="21"/>
          <w:szCs w:val="21"/>
          <w:highlight w:val="none"/>
        </w:rPr>
        <w:t>文件</w:t>
      </w:r>
      <w:r>
        <w:rPr>
          <w:rFonts w:hint="eastAsia" w:hAnsi="宋体"/>
          <w:color w:val="auto"/>
          <w:spacing w:val="-6"/>
          <w:sz w:val="21"/>
          <w:szCs w:val="21"/>
          <w:highlight w:val="none"/>
        </w:rPr>
        <w:t>、</w:t>
      </w:r>
      <w:r>
        <w:rPr>
          <w:rFonts w:hAnsi="宋体"/>
          <w:color w:val="auto"/>
          <w:spacing w:val="-6"/>
          <w:sz w:val="21"/>
          <w:szCs w:val="21"/>
          <w:highlight w:val="none"/>
        </w:rPr>
        <w:t>商务技术文件、后</w:t>
      </w:r>
      <w:r>
        <w:rPr>
          <w:rFonts w:hint="eastAsia" w:hAnsi="宋体"/>
          <w:color w:val="auto"/>
          <w:spacing w:val="-6"/>
          <w:sz w:val="21"/>
          <w:szCs w:val="21"/>
          <w:highlight w:val="none"/>
        </w:rPr>
        <w:t>开启</w:t>
      </w:r>
      <w:r>
        <w:rPr>
          <w:rFonts w:hAnsi="宋体"/>
          <w:color w:val="auto"/>
          <w:spacing w:val="-6"/>
          <w:sz w:val="21"/>
          <w:szCs w:val="21"/>
          <w:highlight w:val="none"/>
        </w:rPr>
        <w:t>报价文件的顺序进行。具体按以下程序进行：</w:t>
      </w:r>
    </w:p>
    <w:p>
      <w:pPr>
        <w:pStyle w:val="2"/>
        <w:spacing w:line="288" w:lineRule="auto"/>
        <w:ind w:firstLine="404" w:firstLineChars="200"/>
        <w:rPr>
          <w:rFonts w:hAnsi="宋体"/>
          <w:color w:val="auto"/>
          <w:sz w:val="21"/>
          <w:szCs w:val="21"/>
          <w:highlight w:val="none"/>
        </w:rPr>
      </w:pPr>
      <w:r>
        <w:rPr>
          <w:rFonts w:hint="eastAsia" w:hAnsi="宋体"/>
          <w:color w:val="auto"/>
          <w:sz w:val="21"/>
          <w:szCs w:val="21"/>
          <w:highlight w:val="none"/>
        </w:rPr>
        <w:t>1.开启响应文件开启场地的录音录像采集设备，并确保其正常运行。</w:t>
      </w:r>
    </w:p>
    <w:p>
      <w:pPr>
        <w:pStyle w:val="2"/>
        <w:spacing w:line="288" w:lineRule="auto"/>
        <w:ind w:firstLine="404" w:firstLineChars="200"/>
        <w:rPr>
          <w:rFonts w:hAnsi="宋体"/>
          <w:color w:val="auto"/>
          <w:sz w:val="21"/>
          <w:szCs w:val="21"/>
          <w:highlight w:val="none"/>
        </w:rPr>
      </w:pPr>
      <w:r>
        <w:rPr>
          <w:rFonts w:hint="eastAsia" w:hAnsi="宋体"/>
          <w:color w:val="auto"/>
          <w:sz w:val="21"/>
          <w:szCs w:val="21"/>
          <w:highlight w:val="none"/>
        </w:rPr>
        <w:t>2.核验出席响应文件开启活动现场的各相关单位人员身份，并组织其分别登记、签到，无关人员可拒绝其进入现场。</w:t>
      </w:r>
    </w:p>
    <w:p>
      <w:pPr>
        <w:pStyle w:val="2"/>
        <w:spacing w:line="288" w:lineRule="auto"/>
        <w:ind w:firstLine="404" w:firstLineChars="200"/>
        <w:rPr>
          <w:rFonts w:hAnsi="宋体"/>
          <w:color w:val="auto"/>
          <w:sz w:val="21"/>
          <w:szCs w:val="21"/>
          <w:highlight w:val="none"/>
        </w:rPr>
      </w:pPr>
      <w:r>
        <w:rPr>
          <w:rFonts w:hint="eastAsia" w:hAnsi="宋体"/>
          <w:color w:val="auto"/>
          <w:sz w:val="21"/>
          <w:szCs w:val="21"/>
          <w:highlight w:val="none"/>
        </w:rPr>
        <w:t>3.政府采购云平台在线进行响应文件签收。</w:t>
      </w:r>
    </w:p>
    <w:p>
      <w:pPr>
        <w:pStyle w:val="2"/>
        <w:spacing w:line="288" w:lineRule="auto"/>
        <w:ind w:firstLine="404" w:firstLineChars="200"/>
        <w:rPr>
          <w:rFonts w:hAnsi="宋体"/>
          <w:color w:val="auto"/>
          <w:sz w:val="21"/>
          <w:szCs w:val="21"/>
          <w:highlight w:val="none"/>
        </w:rPr>
      </w:pPr>
      <w:r>
        <w:rPr>
          <w:rFonts w:hint="eastAsia" w:hAnsi="宋体"/>
          <w:color w:val="auto"/>
          <w:sz w:val="21"/>
          <w:szCs w:val="21"/>
          <w:highlight w:val="none"/>
        </w:rPr>
        <w:t>4.主持人宣布响应文件开启，介绍响应文件开启现场的人员情况，宣读递交响应文件的供应商名单、响应文件开启纪律、应当回避的情形等注意事项。</w:t>
      </w:r>
    </w:p>
    <w:p>
      <w:pPr>
        <w:pStyle w:val="2"/>
        <w:spacing w:line="288" w:lineRule="auto"/>
        <w:ind w:firstLine="404" w:firstLineChars="200"/>
        <w:rPr>
          <w:rFonts w:hAnsi="宋体"/>
          <w:color w:val="auto"/>
          <w:sz w:val="21"/>
          <w:szCs w:val="21"/>
          <w:highlight w:val="none"/>
        </w:rPr>
      </w:pPr>
      <w:r>
        <w:rPr>
          <w:rFonts w:hint="eastAsia" w:hAnsi="宋体"/>
          <w:color w:val="auto"/>
          <w:sz w:val="21"/>
          <w:szCs w:val="21"/>
          <w:highlight w:val="none"/>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pStyle w:val="2"/>
        <w:spacing w:line="288" w:lineRule="auto"/>
        <w:ind w:firstLine="398" w:firstLineChars="200"/>
        <w:rPr>
          <w:rFonts w:hAnsi="宋体"/>
          <w:color w:val="auto"/>
          <w:sz w:val="21"/>
          <w:szCs w:val="21"/>
          <w:highlight w:val="none"/>
        </w:rPr>
      </w:pPr>
      <w:r>
        <w:rPr>
          <w:rFonts w:hint="eastAsia" w:hAnsi="宋体"/>
          <w:b/>
          <w:bCs/>
          <w:color w:val="auto"/>
          <w:spacing w:val="-6"/>
          <w:sz w:val="21"/>
          <w:szCs w:val="21"/>
          <w:highlight w:val="none"/>
        </w:rPr>
        <w:t>特别说明：如遇政府采购云平台电子化开标或评审程序调整的，按调整后程序执行。</w:t>
      </w:r>
    </w:p>
    <w:p>
      <w:pPr>
        <w:pStyle w:val="10"/>
        <w:spacing w:before="0" w:beforeLines="0" w:after="0" w:afterLines="0" w:line="288" w:lineRule="auto"/>
        <w:jc w:val="center"/>
        <w:outlineLvl w:val="1"/>
        <w:rPr>
          <w:rFonts w:hAnsi="宋体"/>
          <w:b/>
          <w:color w:val="auto"/>
          <w:spacing w:val="-6"/>
          <w:sz w:val="32"/>
          <w:szCs w:val="32"/>
          <w:highlight w:val="none"/>
        </w:rPr>
      </w:pPr>
      <w:r>
        <w:rPr>
          <w:rFonts w:hAnsi="宋体"/>
          <w:b/>
          <w:color w:val="auto"/>
          <w:spacing w:val="-6"/>
          <w:sz w:val="32"/>
          <w:szCs w:val="32"/>
          <w:highlight w:val="none"/>
        </w:rPr>
        <w:br w:type="page"/>
      </w:r>
      <w:bookmarkStart w:id="58" w:name="_Toc27597"/>
      <w:r>
        <w:rPr>
          <w:rFonts w:hAnsi="宋体"/>
          <w:b/>
          <w:color w:val="auto"/>
          <w:spacing w:val="-6"/>
          <w:sz w:val="32"/>
          <w:szCs w:val="32"/>
          <w:highlight w:val="none"/>
        </w:rPr>
        <w:t>五</w:t>
      </w:r>
      <w:r>
        <w:rPr>
          <w:rFonts w:hint="eastAsia" w:hAnsi="宋体"/>
          <w:b/>
          <w:color w:val="auto"/>
          <w:spacing w:val="-6"/>
          <w:sz w:val="32"/>
          <w:szCs w:val="32"/>
          <w:highlight w:val="none"/>
        </w:rPr>
        <w:t>、磋商程序</w:t>
      </w:r>
      <w:bookmarkEnd w:id="58"/>
    </w:p>
    <w:p>
      <w:pPr>
        <w:spacing w:line="288" w:lineRule="auto"/>
        <w:outlineLvl w:val="2"/>
        <w:rPr>
          <w:rFonts w:ascii="宋体" w:hAnsi="宋体"/>
          <w:b/>
          <w:color w:val="auto"/>
          <w:spacing w:val="-6"/>
          <w:sz w:val="24"/>
          <w:highlight w:val="none"/>
        </w:rPr>
      </w:pPr>
      <w:bookmarkStart w:id="59" w:name="_Toc14329"/>
      <w:r>
        <w:rPr>
          <w:rFonts w:hint="eastAsia" w:ascii="宋体" w:hAnsi="宋体"/>
          <w:b/>
          <w:color w:val="auto"/>
          <w:spacing w:val="-6"/>
          <w:sz w:val="24"/>
          <w:highlight w:val="none"/>
        </w:rPr>
        <w:t>（一）组建磋商小组</w:t>
      </w:r>
      <w:bookmarkEnd w:id="59"/>
    </w:p>
    <w:p>
      <w:pPr>
        <w:pStyle w:val="10"/>
        <w:spacing w:before="0" w:beforeLines="0" w:after="0" w:afterLines="0"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本项目磋商小组由政府采购评审专家共</w:t>
      </w:r>
      <w:r>
        <w:rPr>
          <w:rFonts w:hint="eastAsia" w:hAnsi="宋体"/>
          <w:color w:val="auto"/>
          <w:spacing w:val="-6"/>
          <w:sz w:val="21"/>
          <w:szCs w:val="21"/>
          <w:highlight w:val="none"/>
        </w:rPr>
        <w:t>3</w:t>
      </w:r>
      <w:r>
        <w:rPr>
          <w:rFonts w:hAnsi="宋体"/>
          <w:color w:val="auto"/>
          <w:spacing w:val="-6"/>
          <w:sz w:val="21"/>
          <w:szCs w:val="21"/>
          <w:highlight w:val="none"/>
        </w:rPr>
        <w:t>人组成。</w:t>
      </w:r>
    </w:p>
    <w:p>
      <w:pPr>
        <w:spacing w:line="288" w:lineRule="auto"/>
        <w:outlineLvl w:val="2"/>
        <w:rPr>
          <w:rFonts w:ascii="宋体" w:hAnsi="宋体"/>
          <w:b/>
          <w:color w:val="auto"/>
          <w:spacing w:val="-6"/>
          <w:sz w:val="24"/>
          <w:highlight w:val="none"/>
        </w:rPr>
      </w:pPr>
      <w:bookmarkStart w:id="60" w:name="_Toc29946"/>
      <w:r>
        <w:rPr>
          <w:rFonts w:hint="eastAsia" w:ascii="宋体" w:hAnsi="宋体"/>
          <w:b/>
          <w:color w:val="auto"/>
          <w:spacing w:val="-6"/>
          <w:sz w:val="24"/>
          <w:highlight w:val="none"/>
        </w:rPr>
        <w:t>（二）评审的方式</w:t>
      </w:r>
      <w:bookmarkEnd w:id="60"/>
    </w:p>
    <w:p>
      <w:pPr>
        <w:pStyle w:val="2"/>
        <w:spacing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本项目采用不公开方式</w:t>
      </w:r>
      <w:r>
        <w:rPr>
          <w:rFonts w:hint="eastAsia" w:hAnsi="宋体"/>
          <w:color w:val="auto"/>
          <w:spacing w:val="-6"/>
          <w:sz w:val="21"/>
          <w:szCs w:val="21"/>
          <w:highlight w:val="none"/>
        </w:rPr>
        <w:t>评审</w:t>
      </w:r>
      <w:r>
        <w:rPr>
          <w:rFonts w:hAnsi="宋体"/>
          <w:color w:val="auto"/>
          <w:spacing w:val="-6"/>
          <w:sz w:val="21"/>
          <w:szCs w:val="21"/>
          <w:highlight w:val="none"/>
        </w:rPr>
        <w:t>，</w:t>
      </w:r>
      <w:r>
        <w:rPr>
          <w:rFonts w:hint="eastAsia" w:hAnsi="宋体"/>
          <w:color w:val="auto"/>
          <w:spacing w:val="-6"/>
          <w:sz w:val="21"/>
          <w:szCs w:val="21"/>
          <w:highlight w:val="none"/>
        </w:rPr>
        <w:t>评审</w:t>
      </w:r>
      <w:r>
        <w:rPr>
          <w:rFonts w:hAnsi="宋体"/>
          <w:color w:val="auto"/>
          <w:spacing w:val="-6"/>
          <w:sz w:val="21"/>
          <w:szCs w:val="21"/>
          <w:highlight w:val="none"/>
        </w:rPr>
        <w:t>的依据为磋商文件</w:t>
      </w:r>
      <w:r>
        <w:rPr>
          <w:rFonts w:hint="eastAsia" w:hAnsi="宋体"/>
          <w:color w:val="auto"/>
          <w:spacing w:val="-6"/>
          <w:sz w:val="21"/>
          <w:szCs w:val="21"/>
          <w:highlight w:val="none"/>
        </w:rPr>
        <w:t>、</w:t>
      </w:r>
      <w:r>
        <w:rPr>
          <w:rFonts w:hAnsi="宋体"/>
          <w:color w:val="auto"/>
          <w:spacing w:val="-6"/>
          <w:sz w:val="21"/>
          <w:szCs w:val="21"/>
          <w:highlight w:val="none"/>
        </w:rPr>
        <w:t>响应文件</w:t>
      </w:r>
      <w:r>
        <w:rPr>
          <w:rFonts w:hint="eastAsia" w:hAnsi="宋体"/>
          <w:color w:val="auto"/>
          <w:spacing w:val="-6"/>
          <w:sz w:val="21"/>
          <w:szCs w:val="21"/>
          <w:highlight w:val="none"/>
        </w:rPr>
        <w:t>和磋商记录</w:t>
      </w:r>
      <w:r>
        <w:rPr>
          <w:rFonts w:hAnsi="宋体"/>
          <w:color w:val="auto"/>
          <w:spacing w:val="-6"/>
          <w:sz w:val="21"/>
          <w:szCs w:val="21"/>
          <w:highlight w:val="none"/>
        </w:rPr>
        <w:t>。</w:t>
      </w:r>
    </w:p>
    <w:p>
      <w:pPr>
        <w:spacing w:line="288" w:lineRule="auto"/>
        <w:outlineLvl w:val="2"/>
        <w:rPr>
          <w:rFonts w:ascii="宋体" w:hAnsi="宋体"/>
          <w:b/>
          <w:color w:val="auto"/>
          <w:spacing w:val="-6"/>
          <w:sz w:val="24"/>
          <w:highlight w:val="none"/>
        </w:rPr>
      </w:pPr>
      <w:bookmarkStart w:id="61" w:name="_Toc922"/>
      <w:r>
        <w:rPr>
          <w:rFonts w:hint="eastAsia" w:ascii="宋体" w:hAnsi="宋体"/>
          <w:b/>
          <w:color w:val="auto"/>
          <w:spacing w:val="-6"/>
          <w:sz w:val="24"/>
          <w:highlight w:val="none"/>
        </w:rPr>
        <w:t>（三）评审程序</w:t>
      </w:r>
      <w:bookmarkEnd w:id="61"/>
    </w:p>
    <w:p>
      <w:pPr>
        <w:pStyle w:val="2"/>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采购代理机构</w:t>
      </w:r>
      <w:r>
        <w:rPr>
          <w:rFonts w:hAnsi="宋体"/>
          <w:color w:val="auto"/>
          <w:spacing w:val="-6"/>
          <w:sz w:val="21"/>
          <w:szCs w:val="21"/>
          <w:highlight w:val="none"/>
        </w:rPr>
        <w:t>按照</w:t>
      </w:r>
      <w:r>
        <w:rPr>
          <w:rFonts w:hint="eastAsia" w:hAnsi="宋体"/>
          <w:color w:val="auto"/>
          <w:spacing w:val="-6"/>
          <w:sz w:val="21"/>
          <w:szCs w:val="21"/>
          <w:highlight w:val="none"/>
        </w:rPr>
        <w:t>磋商文件</w:t>
      </w:r>
      <w:r>
        <w:rPr>
          <w:rFonts w:hAnsi="宋体"/>
          <w:color w:val="auto"/>
          <w:spacing w:val="-6"/>
          <w:sz w:val="21"/>
          <w:szCs w:val="21"/>
          <w:highlight w:val="none"/>
        </w:rPr>
        <w:t>规定的时间、地点及程序组织评审。评审活动一般应按以下程序组织开展：</w:t>
      </w:r>
    </w:p>
    <w:p>
      <w:pPr>
        <w:pStyle w:val="2"/>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1.开启评审场地的录音录像采集设备，并确保其正常运行。</w:t>
      </w:r>
    </w:p>
    <w:p>
      <w:pPr>
        <w:pStyle w:val="2"/>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2.核验出席评审活动现场的磋商小组各成员和相关监督人员身份，并要求其分别登记、签到，按规定统一收缴、保存其通讯工具，无关人员一律拒绝其进入评审现场。</w:t>
      </w:r>
    </w:p>
    <w:p>
      <w:pPr>
        <w:pStyle w:val="2"/>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3.介绍评审现场的人员情况，宣布评审工作纪律，告知磋商小组应当回避情形，组织推选磋商小组组长。</w:t>
      </w:r>
    </w:p>
    <w:p>
      <w:pPr>
        <w:pStyle w:val="2"/>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4.通报依法获取本项目磋商文件的供应商名单及资格预审情况（如有），宣读最终提交响应文件的供应商名单，组织磋商小组各位成员签订《政府采购评审人员廉洁自律承诺书》。</w:t>
      </w:r>
    </w:p>
    <w:p>
      <w:pPr>
        <w:pStyle w:val="2"/>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pStyle w:val="2"/>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6.磋商小组组长组织磋商小组成员根据磋商文件规定的评审程序、评审方法和评审标准进行独立评审。未实质性响应磋商文件的响应文件按无效响应处理，应组织相关供应商通过发送邮件（或通过政府采购云平台在线答复）形式进行陈述、澄清或申辩。</w:t>
      </w:r>
    </w:p>
    <w:p>
      <w:pPr>
        <w:pStyle w:val="2"/>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或通过政府采购云平台在线询标）形式同时通知所有参加磋商的供应商。供应商在按照磋商文件的变动情况和磋商小组的要求以书面（或通过政府采购云平台在线答复）形式提交相关内容。</w:t>
      </w:r>
    </w:p>
    <w:p>
      <w:pPr>
        <w:pStyle w:val="2"/>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8.磋商文件能够详细列明采购标的的技术、服务要求的，磋商结束后，磋商小组要求所有实质性响应的供应商在规定时间内提交最后报价，提交最后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报价。</w:t>
      </w:r>
    </w:p>
    <w:p>
      <w:pPr>
        <w:pStyle w:val="2"/>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9.经磋商确定最终采购需求和提交最后报价的供应商后，由磋商小组采用综合评分法对提交最后报价的供应商的响应文件和最后报价进行综合评分。</w:t>
      </w:r>
    </w:p>
    <w:p>
      <w:pPr>
        <w:pStyle w:val="2"/>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2"/>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11.做好评审现场相关记录，协助磋商小组组长做好评审报告起草、有关内容电脑文字录入等工作，并要求磋商小组各成员签字确认。</w:t>
      </w:r>
    </w:p>
    <w:p>
      <w:pPr>
        <w:pStyle w:val="2"/>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12.评审结束后，采购代理机构交还评审人员及其他现场相关人员的通讯工具，公布成交候选供应商名单。</w:t>
      </w:r>
    </w:p>
    <w:p>
      <w:pPr>
        <w:spacing w:line="288" w:lineRule="auto"/>
        <w:outlineLvl w:val="2"/>
        <w:rPr>
          <w:rFonts w:ascii="宋体" w:hAnsi="宋体"/>
          <w:b/>
          <w:color w:val="auto"/>
          <w:spacing w:val="-6"/>
          <w:sz w:val="24"/>
          <w:highlight w:val="none"/>
        </w:rPr>
      </w:pPr>
      <w:bookmarkStart w:id="62" w:name="_Toc18500"/>
      <w:r>
        <w:rPr>
          <w:rFonts w:hint="eastAsia" w:ascii="宋体" w:hAnsi="宋体"/>
          <w:b/>
          <w:color w:val="auto"/>
          <w:spacing w:val="-6"/>
          <w:sz w:val="24"/>
          <w:highlight w:val="none"/>
        </w:rPr>
        <w:t>（四）澄清问题的形式</w:t>
      </w:r>
      <w:bookmarkEnd w:id="62"/>
    </w:p>
    <w:p>
      <w:pPr>
        <w:pStyle w:val="2"/>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磋商小组要求供应商澄清、说明或者更正响应文件应当以书面</w:t>
      </w:r>
      <w:r>
        <w:rPr>
          <w:rFonts w:hint="eastAsia" w:hAnsi="宋体"/>
          <w:color w:val="auto"/>
          <w:spacing w:val="-6"/>
          <w:sz w:val="21"/>
          <w:szCs w:val="21"/>
          <w:highlight w:val="none"/>
        </w:rPr>
        <w:t>（或通过政府采购云平台在线询标）形式</w:t>
      </w:r>
      <w:r>
        <w:rPr>
          <w:rFonts w:hint="eastAsia" w:hAnsi="宋体"/>
          <w:color w:val="auto"/>
          <w:spacing w:val="-6"/>
          <w:sz w:val="21"/>
          <w:szCs w:val="21"/>
          <w:highlight w:val="none"/>
        </w:rPr>
        <w:t>作出。供应商的澄清、说明或者更正</w:t>
      </w:r>
      <w:r>
        <w:rPr>
          <w:rFonts w:hint="eastAsia" w:hAnsi="宋体"/>
          <w:color w:val="auto"/>
          <w:spacing w:val="-6"/>
          <w:sz w:val="21"/>
          <w:szCs w:val="21"/>
          <w:highlight w:val="none"/>
        </w:rPr>
        <w:t>应当采用书面（或通过政府采购云平台在线答复）形式，采用书面形式的加盖公章（非电子签章）或者由法定代表人或其授权的代表签字并</w:t>
      </w:r>
      <w:r>
        <w:rPr>
          <w:rFonts w:hint="eastAsia" w:hAnsi="宋体" w:cs="宋体"/>
          <w:b/>
          <w:bCs/>
          <w:color w:val="auto"/>
          <w:kern w:val="0"/>
          <w:sz w:val="21"/>
          <w:szCs w:val="21"/>
          <w:highlight w:val="none"/>
        </w:rPr>
        <w:t>在规定时间内（</w:t>
      </w:r>
      <w:r>
        <w:rPr>
          <w:rFonts w:hint="eastAsia" w:hAnsi="宋体"/>
          <w:b/>
          <w:bCs/>
          <w:color w:val="auto"/>
          <w:spacing w:val="-6"/>
          <w:sz w:val="21"/>
          <w:szCs w:val="21"/>
          <w:highlight w:val="none"/>
        </w:rPr>
        <w:t>不得少于半小时</w:t>
      </w:r>
      <w:r>
        <w:rPr>
          <w:rFonts w:hint="eastAsia" w:hAnsi="宋体" w:cs="宋体"/>
          <w:b/>
          <w:bCs/>
          <w:color w:val="auto"/>
          <w:kern w:val="0"/>
          <w:sz w:val="21"/>
          <w:szCs w:val="21"/>
          <w:highlight w:val="none"/>
        </w:rPr>
        <w:t>）</w:t>
      </w:r>
      <w:r>
        <w:rPr>
          <w:rFonts w:hint="eastAsia" w:hAnsi="宋体"/>
          <w:b/>
          <w:bCs/>
          <w:color w:val="auto"/>
          <w:spacing w:val="-6"/>
          <w:sz w:val="21"/>
          <w:szCs w:val="21"/>
          <w:highlight w:val="none"/>
        </w:rPr>
        <w:t>通过指定的电子邮箱（372110419@qq.com）提交。</w:t>
      </w:r>
    </w:p>
    <w:p>
      <w:pPr>
        <w:spacing w:line="288" w:lineRule="auto"/>
        <w:outlineLvl w:val="2"/>
        <w:rPr>
          <w:rFonts w:ascii="宋体" w:hAnsi="宋体"/>
          <w:b/>
          <w:color w:val="auto"/>
          <w:spacing w:val="-6"/>
          <w:sz w:val="24"/>
          <w:highlight w:val="none"/>
        </w:rPr>
      </w:pPr>
      <w:bookmarkStart w:id="63" w:name="_Toc9301"/>
      <w:r>
        <w:rPr>
          <w:rFonts w:hint="eastAsia" w:ascii="宋体" w:hAnsi="宋体"/>
          <w:b/>
          <w:color w:val="auto"/>
          <w:spacing w:val="-6"/>
          <w:sz w:val="24"/>
          <w:highlight w:val="none"/>
        </w:rPr>
        <w:t>（五）评审原则和评审办法</w:t>
      </w:r>
      <w:bookmarkEnd w:id="63"/>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1.评审专家应当遵守评审工作纪律，不得泄露评审情况和评审中获悉的商业秘密。磋商小组成员应当按照客观、公正、审慎的原则，</w:t>
      </w:r>
      <w:r>
        <w:rPr>
          <w:rFonts w:hint="eastAsia" w:hAnsi="宋体"/>
          <w:color w:val="auto"/>
          <w:spacing w:val="-6"/>
          <w:sz w:val="21"/>
          <w:szCs w:val="21"/>
          <w:highlight w:val="none"/>
        </w:rPr>
        <w:t>根据</w:t>
      </w:r>
      <w:r>
        <w:rPr>
          <w:rFonts w:hint="eastAsia" w:ascii="宋体" w:hAnsi="宋体" w:cs="宋体"/>
          <w:color w:val="auto"/>
          <w:kern w:val="0"/>
          <w:sz w:val="21"/>
          <w:szCs w:val="21"/>
          <w:highlight w:val="none"/>
        </w:rPr>
        <w:t>磋商文件规定的评审程序、评审方法和评审标准进行独立评审。</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2.</w:t>
      </w:r>
      <w:r>
        <w:rPr>
          <w:rFonts w:ascii="宋体" w:hAnsi="宋体"/>
          <w:bCs/>
          <w:color w:val="auto"/>
          <w:spacing w:val="-6"/>
          <w:sz w:val="21"/>
          <w:szCs w:val="21"/>
          <w:highlight w:val="none"/>
        </w:rPr>
        <w:t>评审专家因回避、临时缺席或健康原因等特殊情况不能继续参加评审工作的，应按规定更换评审专家</w:t>
      </w:r>
      <w:r>
        <w:rPr>
          <w:rFonts w:hint="eastAsia" w:ascii="宋体" w:hAnsi="宋体"/>
          <w:bCs/>
          <w:color w:val="auto"/>
          <w:spacing w:val="-6"/>
          <w:sz w:val="21"/>
          <w:szCs w:val="21"/>
          <w:highlight w:val="none"/>
        </w:rPr>
        <w:t>，</w:t>
      </w:r>
      <w:r>
        <w:rPr>
          <w:rFonts w:ascii="宋体" w:hAnsi="宋体"/>
          <w:bCs/>
          <w:color w:val="auto"/>
          <w:spacing w:val="-6"/>
          <w:sz w:val="21"/>
          <w:szCs w:val="21"/>
          <w:highlight w:val="none"/>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3.磋商文件内容违反国家有关强制性规定的，磋商小组应当停止评审并向采购人或者采购代理机构说明情况。</w:t>
      </w:r>
    </w:p>
    <w:p>
      <w:pPr>
        <w:spacing w:line="288" w:lineRule="auto"/>
        <w:ind w:firstLine="396" w:firstLineChars="200"/>
        <w:rPr>
          <w:rFonts w:ascii="宋体" w:hAnsi="宋体" w:cs="宋体"/>
          <w:color w:val="auto"/>
          <w:kern w:val="0"/>
          <w:sz w:val="21"/>
          <w:szCs w:val="21"/>
          <w:highlight w:val="none"/>
        </w:rPr>
      </w:pPr>
      <w:r>
        <w:rPr>
          <w:rFonts w:hint="eastAsia" w:ascii="宋体" w:hAnsi="宋体"/>
          <w:bCs/>
          <w:color w:val="auto"/>
          <w:spacing w:val="-6"/>
          <w:sz w:val="21"/>
          <w:szCs w:val="21"/>
          <w:highlight w:val="none"/>
        </w:rPr>
        <w:t>4.</w:t>
      </w:r>
      <w:r>
        <w:rPr>
          <w:rFonts w:hint="eastAsia" w:ascii="宋体" w:hAnsi="宋体" w:cs="宋体"/>
          <w:color w:val="auto"/>
          <w:kern w:val="0"/>
          <w:sz w:val="21"/>
          <w:szCs w:val="21"/>
          <w:highlight w:val="none"/>
        </w:rPr>
        <w:t>采购人、采购代理机构不得向磋商小组中的评审专家作倾向性、误导性的解释或者说明。</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5.已提交响应文件的供应商，在提交最后报价之前，可以根据磋商情况退出磋商。</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6</w:t>
      </w:r>
      <w:r>
        <w:rPr>
          <w:rFonts w:ascii="宋体" w:hAnsi="宋体"/>
          <w:bCs/>
          <w:color w:val="auto"/>
          <w:spacing w:val="-6"/>
          <w:sz w:val="21"/>
          <w:szCs w:val="21"/>
          <w:highlight w:val="none"/>
        </w:rPr>
        <w:t>.</w:t>
      </w:r>
      <w:r>
        <w:rPr>
          <w:rFonts w:hint="eastAsia" w:ascii="宋体" w:hAnsi="宋体" w:cs="宋体"/>
          <w:color w:val="auto"/>
          <w:kern w:val="0"/>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pStyle w:val="2"/>
        <w:spacing w:line="288" w:lineRule="auto"/>
        <w:ind w:firstLine="396" w:firstLineChars="200"/>
        <w:rPr>
          <w:rFonts w:hAnsi="宋体" w:cs="宋体"/>
          <w:color w:val="auto"/>
          <w:kern w:val="0"/>
          <w:sz w:val="21"/>
          <w:szCs w:val="21"/>
          <w:highlight w:val="none"/>
        </w:rPr>
      </w:pPr>
      <w:r>
        <w:rPr>
          <w:rFonts w:hint="eastAsia" w:hAnsi="宋体"/>
          <w:bCs/>
          <w:color w:val="auto"/>
          <w:spacing w:val="-6"/>
          <w:sz w:val="21"/>
          <w:szCs w:val="21"/>
          <w:highlight w:val="none"/>
        </w:rPr>
        <w:t>7.</w:t>
      </w:r>
      <w:r>
        <w:rPr>
          <w:rFonts w:hint="eastAsia" w:hAnsi="宋体" w:cs="宋体"/>
          <w:color w:val="auto"/>
          <w:kern w:val="0"/>
          <w:sz w:val="21"/>
          <w:szCs w:val="21"/>
          <w:highlight w:val="none"/>
        </w:rPr>
        <w:t>磋商轮次不超过三轮，具体根据项目的情况由磋商小组决定。</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9.评审办法。本项目评审办法是综合评分法，具体评审内容及评分标准等详见《第四章：评审办法及评分标准》。</w:t>
      </w:r>
    </w:p>
    <w:p>
      <w:pPr>
        <w:spacing w:line="288" w:lineRule="auto"/>
        <w:outlineLvl w:val="2"/>
        <w:rPr>
          <w:rFonts w:ascii="宋体" w:hAnsi="宋体"/>
          <w:b/>
          <w:color w:val="auto"/>
          <w:spacing w:val="-6"/>
          <w:sz w:val="24"/>
          <w:highlight w:val="none"/>
        </w:rPr>
      </w:pPr>
      <w:bookmarkStart w:id="64" w:name="_Toc24295"/>
      <w:r>
        <w:rPr>
          <w:rFonts w:hint="eastAsia" w:ascii="宋体" w:hAnsi="宋体"/>
          <w:b/>
          <w:color w:val="auto"/>
          <w:spacing w:val="-6"/>
          <w:sz w:val="24"/>
          <w:highlight w:val="none"/>
        </w:rPr>
        <w:t>（六）成 交</w:t>
      </w:r>
      <w:bookmarkEnd w:id="64"/>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1.采购代理机构在评审结束后2个工作日内将评审报告送采购人确认。采购人在收到评审报告后</w:t>
      </w:r>
      <w:r>
        <w:rPr>
          <w:rFonts w:ascii="宋体" w:hAnsi="宋体"/>
          <w:color w:val="auto"/>
          <w:spacing w:val="-6"/>
          <w:sz w:val="21"/>
          <w:szCs w:val="21"/>
          <w:highlight w:val="none"/>
        </w:rPr>
        <w:t>5</w:t>
      </w:r>
      <w:r>
        <w:rPr>
          <w:rFonts w:hint="eastAsia" w:ascii="宋体" w:hAnsi="宋体"/>
          <w:color w:val="auto"/>
          <w:spacing w:val="-6"/>
          <w:sz w:val="21"/>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2.采购代理机构在成交供应商确定后2个工作日内在浙江政府采购网（http://zfcg.czt.zj.gov.cn)</w:t>
      </w:r>
      <w:r>
        <w:rPr>
          <w:rFonts w:hint="eastAsia" w:ascii="宋体" w:hAnsi="宋体"/>
          <w:color w:val="auto"/>
          <w:sz w:val="21"/>
          <w:szCs w:val="21"/>
          <w:highlight w:val="none"/>
        </w:rPr>
        <w:t>等相关网站或媒体</w:t>
      </w:r>
      <w:r>
        <w:rPr>
          <w:rFonts w:hint="eastAsia" w:ascii="宋体" w:hAnsi="宋体"/>
          <w:color w:val="auto"/>
          <w:spacing w:val="-6"/>
          <w:sz w:val="21"/>
          <w:szCs w:val="21"/>
          <w:highlight w:val="none"/>
        </w:rPr>
        <w:t>上公告成交结果，同时向成交供应商发出成交通知书，并将磋商文件随成交结果同时公告。</w:t>
      </w:r>
    </w:p>
    <w:p>
      <w:pPr>
        <w:spacing w:line="288" w:lineRule="auto"/>
        <w:outlineLvl w:val="2"/>
        <w:rPr>
          <w:rFonts w:ascii="宋体" w:hAnsi="宋体"/>
          <w:b/>
          <w:color w:val="auto"/>
          <w:spacing w:val="-6"/>
          <w:sz w:val="24"/>
          <w:highlight w:val="none"/>
        </w:rPr>
      </w:pPr>
      <w:bookmarkStart w:id="65" w:name="_Toc7188"/>
      <w:r>
        <w:rPr>
          <w:rFonts w:hint="eastAsia" w:ascii="宋体" w:hAnsi="宋体"/>
          <w:b/>
          <w:color w:val="auto"/>
          <w:spacing w:val="-6"/>
          <w:sz w:val="24"/>
          <w:highlight w:val="none"/>
        </w:rPr>
        <w:t>（七）合同授予</w:t>
      </w:r>
      <w:bookmarkEnd w:id="65"/>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b/>
          <w:bCs/>
          <w:color w:val="auto"/>
          <w:spacing w:val="-6"/>
          <w:sz w:val="21"/>
          <w:szCs w:val="21"/>
          <w:highlight w:val="none"/>
        </w:rPr>
      </w:pPr>
      <w:r>
        <w:rPr>
          <w:rFonts w:hint="eastAsia" w:ascii="宋体" w:hAnsi="宋体"/>
          <w:color w:val="auto"/>
          <w:spacing w:val="-6"/>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619" w:firstLineChars="200"/>
        <w:jc w:val="center"/>
        <w:outlineLvl w:val="1"/>
        <w:rPr>
          <w:rFonts w:ascii="宋体" w:hAnsi="宋体"/>
          <w:color w:val="auto"/>
          <w:sz w:val="24"/>
          <w:highlight w:val="none"/>
        </w:rPr>
      </w:pPr>
      <w:r>
        <w:rPr>
          <w:rFonts w:hint="eastAsia" w:ascii="宋体" w:hAnsi="宋体"/>
          <w:b/>
          <w:color w:val="auto"/>
          <w:spacing w:val="-6"/>
          <w:sz w:val="32"/>
          <w:szCs w:val="32"/>
          <w:highlight w:val="none"/>
        </w:rPr>
        <w:br w:type="page"/>
      </w:r>
      <w:bookmarkStart w:id="66" w:name="_Toc21077"/>
      <w:bookmarkStart w:id="67" w:name="_Toc9328"/>
      <w:r>
        <w:rPr>
          <w:rFonts w:hint="eastAsia" w:ascii="宋体" w:hAnsi="宋体"/>
          <w:b/>
          <w:color w:val="auto"/>
          <w:spacing w:val="-6"/>
          <w:sz w:val="32"/>
          <w:szCs w:val="32"/>
          <w:highlight w:val="none"/>
        </w:rPr>
        <w:t>六、可中止电子交易活动的情形</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采购过程中出现以下情形，导致电子交易平台无法正常运行，或者无法保证电子交易的公平、公正和安全时，采购代理机构可中止电子交易活动：</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1.电子交易平台发生故障而无法登录访问的；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2.电子交易平台应用或数据库出现错误，不能进行正常操作的；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3.电子交易平台发现严重安全漏洞，有潜在泄密危险的；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4.病毒发作导致不能进行正常操作的；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5.其他无法保证电子交易的公平、公正和安全的情况。</w:t>
      </w:r>
    </w:p>
    <w:p>
      <w:pPr>
        <w:spacing w:line="288" w:lineRule="auto"/>
        <w:ind w:firstLine="396" w:firstLineChars="200"/>
        <w:rPr>
          <w:color w:val="auto"/>
          <w:highlight w:val="none"/>
        </w:rPr>
      </w:pPr>
      <w:r>
        <w:rPr>
          <w:rFonts w:hint="eastAsia" w:ascii="宋体" w:hAnsi="宋体"/>
          <w:color w:val="auto"/>
          <w:spacing w:val="-6"/>
          <w:sz w:val="21"/>
          <w:szCs w:val="21"/>
          <w:highlight w:val="none"/>
        </w:rPr>
        <w:t>出现前款规定情形，不影响采购公平、公正性的，采购代理机构可以待上述情形消除后继续组织电子交易活动；影响或可能影响采购公平、公正性的，应当重新采购。</w:t>
      </w:r>
    </w:p>
    <w:p>
      <w:pPr>
        <w:spacing w:line="288" w:lineRule="auto"/>
        <w:ind w:firstLine="662" w:firstLineChars="214"/>
        <w:jc w:val="center"/>
        <w:outlineLvl w:val="0"/>
        <w:rPr>
          <w:rFonts w:ascii="宋体" w:hAnsi="宋体"/>
          <w:b/>
          <w:color w:val="auto"/>
          <w:spacing w:val="-6"/>
          <w:sz w:val="32"/>
          <w:szCs w:val="32"/>
          <w:highlight w:val="none"/>
        </w:rPr>
      </w:pPr>
      <w:r>
        <w:rPr>
          <w:rFonts w:hint="eastAsia" w:ascii="宋体" w:hAnsi="宋体"/>
          <w:b/>
          <w:color w:val="auto"/>
          <w:spacing w:val="-6"/>
          <w:sz w:val="32"/>
          <w:szCs w:val="32"/>
          <w:highlight w:val="none"/>
        </w:rPr>
        <w:br w:type="page"/>
      </w:r>
      <w:r>
        <w:rPr>
          <w:rFonts w:hint="eastAsia" w:ascii="宋体" w:hAnsi="宋体"/>
          <w:b/>
          <w:color w:val="auto"/>
          <w:spacing w:val="-6"/>
          <w:sz w:val="32"/>
          <w:szCs w:val="32"/>
          <w:highlight w:val="none"/>
        </w:rPr>
        <w:t>第四章  评审办法及评分标准</w:t>
      </w:r>
      <w:bookmarkEnd w:id="66"/>
      <w:bookmarkEnd w:id="67"/>
    </w:p>
    <w:p>
      <w:pPr>
        <w:spacing w:line="288" w:lineRule="auto"/>
        <w:outlineLvl w:val="1"/>
        <w:rPr>
          <w:rFonts w:ascii="宋体" w:hAnsi="宋体"/>
          <w:b/>
          <w:color w:val="auto"/>
          <w:spacing w:val="-6"/>
          <w:sz w:val="24"/>
          <w:highlight w:val="none"/>
        </w:rPr>
      </w:pPr>
      <w:bookmarkStart w:id="68" w:name="_Toc2278"/>
      <w:r>
        <w:rPr>
          <w:rFonts w:hint="eastAsia" w:ascii="宋体" w:hAnsi="宋体"/>
          <w:b/>
          <w:color w:val="auto"/>
          <w:spacing w:val="-6"/>
          <w:sz w:val="24"/>
          <w:highlight w:val="none"/>
        </w:rPr>
        <w:t>一、总则</w:t>
      </w:r>
      <w:bookmarkEnd w:id="68"/>
    </w:p>
    <w:p>
      <w:pPr>
        <w:spacing w:line="288" w:lineRule="auto"/>
        <w:ind w:firstLine="396" w:firstLineChars="200"/>
        <w:rPr>
          <w:rFonts w:ascii="宋体" w:hAnsi="宋体"/>
          <w:bCs/>
          <w:color w:val="auto"/>
          <w:spacing w:val="-6"/>
          <w:sz w:val="21"/>
          <w:szCs w:val="21"/>
          <w:highlight w:val="none"/>
        </w:rPr>
      </w:pPr>
      <w:r>
        <w:rPr>
          <w:rFonts w:hint="eastAsia" w:ascii="宋体" w:hAnsi="宋体"/>
          <w:color w:val="auto"/>
          <w:spacing w:val="-6"/>
          <w:sz w:val="21"/>
          <w:szCs w:val="21"/>
          <w:highlight w:val="none"/>
        </w:rPr>
        <w:t>本次评审采用综合评分法，总分为100分。合格供应商的评审得分为各项目汇总得分，磋商小组应当根据综合评分情况，按照评审得分由高到低顺序推荐3名以上成交候选供应商，评审得分相同的，按照最后报价由低到高的顺序推荐。评审得分且最后报价相同的，按照技术指标优劣顺序推荐。</w:t>
      </w:r>
      <w:r>
        <w:rPr>
          <w:rFonts w:hint="eastAsia" w:ascii="宋体" w:hAnsi="宋体"/>
          <w:bCs/>
          <w:color w:val="auto"/>
          <w:spacing w:val="-6"/>
          <w:sz w:val="21"/>
          <w:szCs w:val="21"/>
          <w:highlight w:val="none"/>
        </w:rPr>
        <w:t>评分过程中采用四舍五入法，并保留小数2位。</w:t>
      </w:r>
    </w:p>
    <w:p>
      <w:pPr>
        <w:spacing w:line="288" w:lineRule="auto"/>
        <w:ind w:firstLine="396" w:firstLineChars="200"/>
        <w:rPr>
          <w:rFonts w:ascii="宋体" w:hAnsi="宋体"/>
          <w:bCs/>
          <w:color w:val="auto"/>
          <w:spacing w:val="-6"/>
          <w:sz w:val="21"/>
          <w:szCs w:val="21"/>
          <w:highlight w:val="none"/>
        </w:rPr>
      </w:pPr>
      <w:r>
        <w:rPr>
          <w:rFonts w:hint="eastAsia" w:ascii="宋体" w:hAnsi="宋体"/>
          <w:color w:val="auto"/>
          <w:spacing w:val="-6"/>
          <w:sz w:val="21"/>
          <w:szCs w:val="21"/>
          <w:highlight w:val="none"/>
        </w:rPr>
        <w:t>供应商评审</w:t>
      </w:r>
      <w:r>
        <w:rPr>
          <w:rFonts w:hint="eastAsia" w:ascii="宋体" w:hAnsi="宋体"/>
          <w:bCs/>
          <w:color w:val="auto"/>
          <w:spacing w:val="-6"/>
          <w:sz w:val="21"/>
          <w:szCs w:val="21"/>
          <w:highlight w:val="none"/>
        </w:rPr>
        <w:t>综合得分=商务分+技术分+价格分</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商务分、技术分按照磋商小组成员的独立评分结果的算术平均分计算，计算公式为：商务分、技术分=磋商小组所有成员评分合计数</w:t>
      </w:r>
      <w:r>
        <w:rPr>
          <w:rFonts w:ascii="宋体" w:hAnsi="宋体"/>
          <w:bCs/>
          <w:color w:val="auto"/>
          <w:spacing w:val="-6"/>
          <w:sz w:val="21"/>
          <w:szCs w:val="21"/>
          <w:highlight w:val="none"/>
        </w:rPr>
        <w:t>/</w:t>
      </w:r>
      <w:r>
        <w:rPr>
          <w:rFonts w:hint="eastAsia" w:ascii="宋体" w:hAnsi="宋体"/>
          <w:bCs/>
          <w:color w:val="auto"/>
          <w:spacing w:val="-6"/>
          <w:sz w:val="21"/>
          <w:szCs w:val="21"/>
          <w:highlight w:val="none"/>
        </w:rPr>
        <w:t>磋商小组组成人员数</w:t>
      </w:r>
    </w:p>
    <w:p>
      <w:pPr>
        <w:spacing w:line="288" w:lineRule="auto"/>
        <w:outlineLvl w:val="1"/>
        <w:rPr>
          <w:rFonts w:ascii="宋体" w:hAnsi="宋体"/>
          <w:b/>
          <w:color w:val="auto"/>
          <w:spacing w:val="-6"/>
          <w:sz w:val="24"/>
          <w:highlight w:val="none"/>
        </w:rPr>
      </w:pPr>
      <w:bookmarkStart w:id="69" w:name="_Toc12580"/>
      <w:r>
        <w:rPr>
          <w:rFonts w:hint="eastAsia" w:ascii="宋体" w:hAnsi="宋体"/>
          <w:b/>
          <w:color w:val="auto"/>
          <w:spacing w:val="-6"/>
          <w:sz w:val="24"/>
          <w:highlight w:val="none"/>
        </w:rPr>
        <w:t>二、评审内容及标准</w:t>
      </w:r>
      <w:bookmarkEnd w:id="69"/>
    </w:p>
    <w:tbl>
      <w:tblPr>
        <w:tblStyle w:val="1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682"/>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Align w:val="center"/>
          </w:tcPr>
          <w:p>
            <w:pPr>
              <w:jc w:val="center"/>
              <w:rPr>
                <w:b/>
                <w:bCs/>
                <w:color w:val="auto"/>
                <w:sz w:val="21"/>
                <w:szCs w:val="21"/>
                <w:highlight w:val="none"/>
              </w:rPr>
            </w:pPr>
            <w:r>
              <w:rPr>
                <w:rFonts w:hint="eastAsia"/>
                <w:b/>
                <w:bCs/>
                <w:color w:val="auto"/>
                <w:sz w:val="21"/>
                <w:szCs w:val="21"/>
                <w:highlight w:val="none"/>
              </w:rPr>
              <w:t>评审因素</w:t>
            </w:r>
          </w:p>
        </w:tc>
        <w:tc>
          <w:tcPr>
            <w:tcW w:w="682" w:type="dxa"/>
            <w:vAlign w:val="center"/>
          </w:tcPr>
          <w:p>
            <w:pPr>
              <w:jc w:val="center"/>
              <w:rPr>
                <w:b/>
                <w:bCs/>
                <w:color w:val="auto"/>
                <w:sz w:val="21"/>
                <w:szCs w:val="21"/>
                <w:highlight w:val="none"/>
              </w:rPr>
            </w:pPr>
            <w:r>
              <w:rPr>
                <w:rFonts w:hint="eastAsia"/>
                <w:b/>
                <w:bCs/>
                <w:color w:val="auto"/>
                <w:sz w:val="21"/>
                <w:szCs w:val="21"/>
                <w:highlight w:val="none"/>
              </w:rPr>
              <w:t>分值</w:t>
            </w:r>
          </w:p>
        </w:tc>
        <w:tc>
          <w:tcPr>
            <w:tcW w:w="7204" w:type="dxa"/>
            <w:vAlign w:val="center"/>
          </w:tcPr>
          <w:p>
            <w:pPr>
              <w:jc w:val="center"/>
              <w:rPr>
                <w:b/>
                <w:bCs/>
                <w:color w:val="auto"/>
                <w:sz w:val="21"/>
                <w:szCs w:val="21"/>
                <w:highlight w:val="none"/>
              </w:rPr>
            </w:pPr>
            <w:r>
              <w:rPr>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628" w:type="dxa"/>
            <w:gridSpan w:val="3"/>
            <w:vAlign w:val="center"/>
          </w:tcPr>
          <w:p>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价格分（15分）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pPr>
              <w:pStyle w:val="2"/>
              <w:spacing w:line="288" w:lineRule="auto"/>
              <w:ind w:firstLine="0"/>
              <w:jc w:val="center"/>
              <w:rPr>
                <w:rFonts w:hAnsi="宋体" w:cs="宋体"/>
                <w:b/>
                <w:bCs/>
                <w:color w:val="auto"/>
                <w:sz w:val="21"/>
                <w:szCs w:val="21"/>
                <w:highlight w:val="none"/>
              </w:rPr>
            </w:pPr>
            <w:r>
              <w:rPr>
                <w:rFonts w:hint="eastAsia" w:hAnsi="宋体"/>
                <w:b/>
                <w:bCs/>
                <w:color w:val="auto"/>
                <w:spacing w:val="-6"/>
                <w:sz w:val="21"/>
                <w:szCs w:val="21"/>
                <w:highlight w:val="none"/>
              </w:rPr>
              <w:t>最后报价</w:t>
            </w:r>
          </w:p>
        </w:tc>
        <w:tc>
          <w:tcPr>
            <w:tcW w:w="68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bCs/>
                <w:color w:val="auto"/>
                <w:sz w:val="21"/>
                <w:szCs w:val="21"/>
                <w:highlight w:val="none"/>
              </w:rPr>
            </w:pPr>
            <w:r>
              <w:rPr>
                <w:rFonts w:hint="eastAsia" w:ascii="宋体" w:hAnsi="宋体"/>
                <w:b/>
                <w:bCs/>
                <w:color w:val="auto"/>
                <w:spacing w:val="-6"/>
                <w:sz w:val="21"/>
                <w:szCs w:val="21"/>
                <w:highlight w:val="none"/>
              </w:rPr>
              <w:t>15</w:t>
            </w:r>
          </w:p>
        </w:tc>
        <w:tc>
          <w:tcPr>
            <w:tcW w:w="720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价格分采用低价优先法计算，即满足磋商文件要求且最后报价最低的供应商的价格为磋商基准价，其价格分为满分。其他供应商的价格分统一按照下列公式计算：</w:t>
            </w:r>
          </w:p>
          <w:p>
            <w:pPr>
              <w:rPr>
                <w:rFonts w:ascii="宋体" w:hAnsi="宋体" w:cs="宋体"/>
                <w:color w:val="auto"/>
                <w:sz w:val="21"/>
                <w:szCs w:val="21"/>
                <w:highlight w:val="none"/>
              </w:rPr>
            </w:pPr>
            <w:r>
              <w:rPr>
                <w:rFonts w:hint="eastAsia" w:ascii="宋体" w:hAnsi="宋体" w:cs="宋体"/>
                <w:color w:val="auto"/>
                <w:sz w:val="21"/>
                <w:szCs w:val="21"/>
                <w:highlight w:val="none"/>
              </w:rPr>
              <w:t>磋商报价得分=（磋商基准价/最后报价）×15%×100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628" w:type="dxa"/>
            <w:gridSpan w:val="3"/>
            <w:vAlign w:val="center"/>
          </w:tcPr>
          <w:p>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商务分（12分）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体系认证</w:t>
            </w:r>
          </w:p>
        </w:tc>
        <w:tc>
          <w:tcPr>
            <w:tcW w:w="68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4</w:t>
            </w:r>
          </w:p>
        </w:tc>
        <w:tc>
          <w:tcPr>
            <w:tcW w:w="720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供应商具有ISO9000系列质量体系认证证书得2分，具备</w:t>
            </w:r>
            <w:r>
              <w:rPr>
                <w:color w:val="auto"/>
                <w:highlight w:val="none"/>
              </w:rPr>
              <w:fldChar w:fldCharType="begin"/>
            </w:r>
            <w:r>
              <w:rPr>
                <w:color w:val="auto"/>
                <w:highlight w:val="none"/>
              </w:rPr>
              <w:instrText xml:space="preserve"> HYPERLINK "https://doc.chingo.net/download/attachments/18318182/ISO20000%20%E4%BF%A1%E6%81%AF%E6%8A%80%E6%9C%AF%E6%9C%8D%E5%8A%A1%E7%AE%A1%E7%90%86%E4%BD%93%E7%B3%BB.jpg?version=1&amp;modificationDate=1576637051000&amp;api=v2" </w:instrText>
            </w:r>
            <w:r>
              <w:rPr>
                <w:color w:val="auto"/>
                <w:highlight w:val="none"/>
              </w:rPr>
              <w:fldChar w:fldCharType="separate"/>
            </w:r>
            <w:r>
              <w:rPr>
                <w:rFonts w:hint="eastAsia" w:ascii="宋体" w:hAnsi="宋体" w:cs="宋体"/>
                <w:color w:val="auto"/>
                <w:sz w:val="21"/>
                <w:szCs w:val="21"/>
                <w:highlight w:val="none"/>
              </w:rPr>
              <w:t>ISO20000 信息技术服务管理体系</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认证证书得2分（响应文件中提供扫描件，不提供不得分）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质保期</w:t>
            </w:r>
          </w:p>
        </w:tc>
        <w:tc>
          <w:tcPr>
            <w:tcW w:w="68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w:t>
            </w:r>
          </w:p>
        </w:tc>
        <w:tc>
          <w:tcPr>
            <w:tcW w:w="720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质保期满足磋商文件要求的不得分，每延长半年加1分，最多加2分，延长时间不足半年的不计入加分。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业绩</w:t>
            </w:r>
          </w:p>
        </w:tc>
        <w:tc>
          <w:tcPr>
            <w:tcW w:w="68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5</w:t>
            </w:r>
          </w:p>
        </w:tc>
        <w:tc>
          <w:tcPr>
            <w:tcW w:w="720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供应商自2017年1月1日以来（以合同签订时间为准）同类项目业绩（以提供的合同扫描件为准）：每提供1份合同业绩得1分，最高得5分。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政策功能</w:t>
            </w:r>
          </w:p>
        </w:tc>
        <w:tc>
          <w:tcPr>
            <w:tcW w:w="68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w:t>
            </w:r>
          </w:p>
        </w:tc>
        <w:tc>
          <w:tcPr>
            <w:tcW w:w="720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响应产品属于品目清单范围且提供国家确定的认证机构出具的处于有效期之内的节能产品认证证书（扫描件加盖公章）的得0.5分；响应产品属于品目清单范围且提供国家确定的认证机构出具的处于有效期之内的环境标志产品认证证书（扫描件加盖公章）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628" w:type="dxa"/>
            <w:gridSpan w:val="3"/>
            <w:vAlign w:val="center"/>
          </w:tcPr>
          <w:p>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技术分（73分）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Align w:val="center"/>
          </w:tcPr>
          <w:p>
            <w:pPr>
              <w:jc w:val="center"/>
              <w:rPr>
                <w:rFonts w:asciiTheme="minorEastAsia" w:hAnsiTheme="minorEastAsia" w:eastAsiaTheme="minorEastAsia"/>
                <w:color w:val="auto"/>
                <w:szCs w:val="21"/>
                <w:highlight w:val="none"/>
              </w:rPr>
            </w:pPr>
            <w:r>
              <w:rPr>
                <w:rFonts w:hint="eastAsia" w:ascii="宋体" w:hAnsi="宋体" w:cs="宋体"/>
                <w:b/>
                <w:bCs/>
                <w:color w:val="auto"/>
                <w:sz w:val="21"/>
                <w:szCs w:val="21"/>
                <w:highlight w:val="none"/>
              </w:rPr>
              <w:t>技术响应程度</w:t>
            </w:r>
          </w:p>
        </w:tc>
        <w:tc>
          <w:tcPr>
            <w:tcW w:w="68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20</w:t>
            </w:r>
          </w:p>
        </w:tc>
        <w:tc>
          <w:tcPr>
            <w:tcW w:w="7204" w:type="dxa"/>
            <w:vAlign w:val="center"/>
          </w:tcPr>
          <w:p>
            <w:pPr>
              <w:jc w:val="center"/>
              <w:rPr>
                <w:rFonts w:ascii="宋体" w:hAnsi="宋体" w:cs="宋体"/>
                <w:b/>
                <w:bCs/>
                <w:color w:val="auto"/>
                <w:sz w:val="21"/>
                <w:szCs w:val="21"/>
                <w:highlight w:val="none"/>
              </w:rPr>
            </w:pPr>
            <w:r>
              <w:rPr>
                <w:rFonts w:hint="eastAsia" w:ascii="宋体" w:hAnsi="宋体" w:cs="宋体"/>
                <w:color w:val="auto"/>
                <w:sz w:val="21"/>
                <w:szCs w:val="21"/>
                <w:highlight w:val="none"/>
              </w:rPr>
              <w:t>不符合（负偏离）技术要求中标注“▲”条款（不可偏离）的响应无效，满足或明显优于磋商文件明确的全部技术条款要求的得20分，技术条款低于技术要求（负偏离）的每项扣2分（20分起扣），负偏离11项起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Merge w:val="restart"/>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技术方案</w:t>
            </w:r>
          </w:p>
        </w:tc>
        <w:tc>
          <w:tcPr>
            <w:tcW w:w="68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5</w:t>
            </w:r>
          </w:p>
        </w:tc>
        <w:tc>
          <w:tcPr>
            <w:tcW w:w="7204" w:type="dxa"/>
            <w:vAlign w:val="center"/>
          </w:tcPr>
          <w:p>
            <w:pPr>
              <w:rPr>
                <w:rFonts w:ascii="宋体" w:hAnsi="宋体" w:cs="宋体"/>
                <w:color w:val="auto"/>
                <w:sz w:val="21"/>
                <w:szCs w:val="21"/>
                <w:highlight w:val="none"/>
              </w:rPr>
            </w:pPr>
            <w:r>
              <w:rPr>
                <w:rFonts w:hint="eastAsia"/>
                <w:color w:val="auto"/>
                <w:sz w:val="21"/>
                <w:szCs w:val="21"/>
                <w:highlight w:val="none"/>
              </w:rPr>
              <w:t>对总体需求详细的理解，包括但不仅限于工作目标、项目认知、建设背景、需求情况的理解。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Merge w:val="continue"/>
            <w:vAlign w:val="center"/>
          </w:tcPr>
          <w:p>
            <w:pPr>
              <w:jc w:val="center"/>
              <w:rPr>
                <w:rFonts w:ascii="宋体" w:hAnsi="宋体" w:cs="宋体"/>
                <w:b/>
                <w:bCs/>
                <w:color w:val="auto"/>
                <w:sz w:val="21"/>
                <w:szCs w:val="21"/>
                <w:highlight w:val="none"/>
              </w:rPr>
            </w:pPr>
          </w:p>
        </w:tc>
        <w:tc>
          <w:tcPr>
            <w:tcW w:w="68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5</w:t>
            </w:r>
          </w:p>
        </w:tc>
        <w:tc>
          <w:tcPr>
            <w:tcW w:w="7204" w:type="dxa"/>
            <w:vAlign w:val="center"/>
          </w:tcPr>
          <w:p>
            <w:pPr>
              <w:rPr>
                <w:rFonts w:ascii="宋体" w:hAnsi="宋体" w:cs="宋体"/>
                <w:color w:val="auto"/>
                <w:sz w:val="21"/>
                <w:szCs w:val="21"/>
                <w:highlight w:val="none"/>
              </w:rPr>
            </w:pPr>
            <w:r>
              <w:rPr>
                <w:rFonts w:hint="eastAsia"/>
                <w:color w:val="auto"/>
                <w:sz w:val="21"/>
                <w:szCs w:val="21"/>
                <w:highlight w:val="none"/>
              </w:rPr>
              <w:t>对系统结构框架的优化设计建议和完善，实施可能遇到的问题及应对措施。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Merge w:val="continue"/>
            <w:vAlign w:val="center"/>
          </w:tcPr>
          <w:p>
            <w:pPr>
              <w:jc w:val="center"/>
              <w:rPr>
                <w:rFonts w:ascii="宋体" w:hAnsi="宋体" w:cs="宋体"/>
                <w:b/>
                <w:bCs/>
                <w:color w:val="auto"/>
                <w:sz w:val="21"/>
                <w:szCs w:val="21"/>
                <w:highlight w:val="none"/>
              </w:rPr>
            </w:pPr>
          </w:p>
        </w:tc>
        <w:tc>
          <w:tcPr>
            <w:tcW w:w="68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5</w:t>
            </w:r>
          </w:p>
        </w:tc>
        <w:tc>
          <w:tcPr>
            <w:tcW w:w="7204" w:type="dxa"/>
            <w:vAlign w:val="center"/>
          </w:tcPr>
          <w:p>
            <w:pPr>
              <w:rPr>
                <w:color w:val="auto"/>
                <w:sz w:val="21"/>
                <w:szCs w:val="21"/>
                <w:highlight w:val="none"/>
              </w:rPr>
            </w:pPr>
            <w:r>
              <w:rPr>
                <w:rFonts w:hint="eastAsia"/>
                <w:color w:val="auto"/>
                <w:sz w:val="21"/>
                <w:szCs w:val="21"/>
                <w:highlight w:val="none"/>
              </w:rPr>
              <w:t>对重点、难点技术环节建议的先进性、科学性、扩展性、安全性；</w:t>
            </w:r>
          </w:p>
          <w:p>
            <w:pPr>
              <w:rPr>
                <w:rFonts w:ascii="宋体" w:hAnsi="宋体" w:cs="宋体"/>
                <w:color w:val="auto"/>
                <w:sz w:val="21"/>
                <w:szCs w:val="21"/>
                <w:highlight w:val="none"/>
              </w:rPr>
            </w:pPr>
            <w:r>
              <w:rPr>
                <w:rFonts w:hint="eastAsia"/>
                <w:color w:val="auto"/>
                <w:sz w:val="21"/>
                <w:szCs w:val="21"/>
                <w:highlight w:val="none"/>
              </w:rPr>
              <w:t>解决方案的完整性、经济性、安全性、可行性。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Merge w:val="continue"/>
            <w:vAlign w:val="center"/>
          </w:tcPr>
          <w:p>
            <w:pPr>
              <w:jc w:val="center"/>
              <w:rPr>
                <w:rFonts w:ascii="宋体" w:hAnsi="宋体" w:cs="宋体"/>
                <w:b/>
                <w:bCs/>
                <w:color w:val="auto"/>
                <w:sz w:val="21"/>
                <w:szCs w:val="21"/>
                <w:highlight w:val="none"/>
              </w:rPr>
            </w:pPr>
          </w:p>
        </w:tc>
        <w:tc>
          <w:tcPr>
            <w:tcW w:w="68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3</w:t>
            </w:r>
          </w:p>
        </w:tc>
        <w:tc>
          <w:tcPr>
            <w:tcW w:w="7204" w:type="dxa"/>
            <w:vAlign w:val="center"/>
          </w:tcPr>
          <w:p>
            <w:pPr>
              <w:rPr>
                <w:rFonts w:ascii="宋体" w:hAnsi="宋体" w:cs="宋体"/>
                <w:color w:val="auto"/>
                <w:sz w:val="21"/>
                <w:szCs w:val="21"/>
                <w:highlight w:val="none"/>
              </w:rPr>
            </w:pPr>
            <w:r>
              <w:rPr>
                <w:rFonts w:hint="eastAsia"/>
                <w:color w:val="auto"/>
                <w:sz w:val="21"/>
                <w:szCs w:val="21"/>
                <w:highlight w:val="none"/>
              </w:rPr>
              <w:t>系统升级及扩展和延伸能力，承诺与其他软件、硬件产品供应商的合作等情况。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Merge w:val="restart"/>
            <w:vAlign w:val="center"/>
          </w:tcPr>
          <w:p>
            <w:pPr>
              <w:jc w:val="center"/>
              <w:rPr>
                <w:b/>
                <w:bCs/>
                <w:color w:val="auto"/>
                <w:sz w:val="21"/>
                <w:szCs w:val="21"/>
                <w:highlight w:val="none"/>
              </w:rPr>
            </w:pPr>
            <w:r>
              <w:rPr>
                <w:rFonts w:hint="eastAsia"/>
                <w:b/>
                <w:bCs/>
                <w:color w:val="auto"/>
                <w:sz w:val="21"/>
                <w:szCs w:val="21"/>
                <w:highlight w:val="none"/>
              </w:rPr>
              <w:t>项目实施方案</w:t>
            </w:r>
          </w:p>
        </w:tc>
        <w:tc>
          <w:tcPr>
            <w:tcW w:w="682" w:type="dxa"/>
            <w:vAlign w:val="center"/>
          </w:tcPr>
          <w:p>
            <w:pPr>
              <w:jc w:val="center"/>
              <w:rPr>
                <w:b/>
                <w:bCs/>
                <w:color w:val="auto"/>
                <w:sz w:val="21"/>
                <w:szCs w:val="21"/>
                <w:highlight w:val="none"/>
              </w:rPr>
            </w:pPr>
            <w:r>
              <w:rPr>
                <w:rFonts w:hint="eastAsia"/>
                <w:b/>
                <w:bCs/>
                <w:color w:val="auto"/>
                <w:sz w:val="21"/>
                <w:szCs w:val="21"/>
                <w:highlight w:val="none"/>
              </w:rPr>
              <w:t>5</w:t>
            </w:r>
          </w:p>
        </w:tc>
        <w:tc>
          <w:tcPr>
            <w:tcW w:w="7204" w:type="dxa"/>
            <w:vAlign w:val="center"/>
          </w:tcPr>
          <w:p>
            <w:pPr>
              <w:rPr>
                <w:color w:val="auto"/>
                <w:sz w:val="21"/>
                <w:szCs w:val="21"/>
                <w:highlight w:val="none"/>
              </w:rPr>
            </w:pPr>
            <w:r>
              <w:rPr>
                <w:rFonts w:hint="eastAsia"/>
                <w:color w:val="auto"/>
                <w:sz w:val="21"/>
                <w:szCs w:val="21"/>
                <w:highlight w:val="none"/>
              </w:rPr>
              <w:t>项目实施计划、生产排期、部署方案措施详细完整程度，符合项目进度要求。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Merge w:val="continue"/>
            <w:vAlign w:val="center"/>
          </w:tcPr>
          <w:p>
            <w:pPr>
              <w:jc w:val="center"/>
              <w:rPr>
                <w:b/>
                <w:bCs/>
                <w:color w:val="auto"/>
                <w:sz w:val="21"/>
                <w:szCs w:val="21"/>
                <w:highlight w:val="none"/>
              </w:rPr>
            </w:pPr>
          </w:p>
        </w:tc>
        <w:tc>
          <w:tcPr>
            <w:tcW w:w="682" w:type="dxa"/>
            <w:vAlign w:val="center"/>
          </w:tcPr>
          <w:p>
            <w:pPr>
              <w:jc w:val="center"/>
              <w:rPr>
                <w:b/>
                <w:bCs/>
                <w:color w:val="auto"/>
                <w:sz w:val="21"/>
                <w:szCs w:val="21"/>
                <w:highlight w:val="none"/>
              </w:rPr>
            </w:pPr>
            <w:r>
              <w:rPr>
                <w:rFonts w:hint="eastAsia"/>
                <w:b/>
                <w:bCs/>
                <w:color w:val="auto"/>
                <w:sz w:val="21"/>
                <w:szCs w:val="21"/>
                <w:highlight w:val="none"/>
              </w:rPr>
              <w:t>3</w:t>
            </w:r>
          </w:p>
        </w:tc>
        <w:tc>
          <w:tcPr>
            <w:tcW w:w="7204" w:type="dxa"/>
            <w:vAlign w:val="center"/>
          </w:tcPr>
          <w:p>
            <w:pPr>
              <w:rPr>
                <w:rFonts w:eastAsia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拟提供自助打印服务业务流程对接方案的科学性、可实施性。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Align w:val="center"/>
          </w:tcPr>
          <w:p>
            <w:pPr>
              <w:jc w:val="center"/>
              <w:rPr>
                <w:b/>
                <w:bCs/>
                <w:color w:val="auto"/>
                <w:sz w:val="21"/>
                <w:szCs w:val="21"/>
                <w:highlight w:val="none"/>
              </w:rPr>
            </w:pPr>
            <w:r>
              <w:rPr>
                <w:rFonts w:hint="eastAsia"/>
                <w:b/>
                <w:bCs/>
                <w:color w:val="auto"/>
                <w:sz w:val="21"/>
                <w:szCs w:val="21"/>
                <w:highlight w:val="none"/>
              </w:rPr>
              <w:t>质量保证</w:t>
            </w:r>
          </w:p>
        </w:tc>
        <w:tc>
          <w:tcPr>
            <w:tcW w:w="682" w:type="dxa"/>
            <w:vAlign w:val="center"/>
          </w:tcPr>
          <w:p>
            <w:pPr>
              <w:jc w:val="center"/>
              <w:rPr>
                <w:b/>
                <w:bCs/>
                <w:color w:val="auto"/>
                <w:sz w:val="21"/>
                <w:szCs w:val="21"/>
                <w:highlight w:val="none"/>
              </w:rPr>
            </w:pPr>
            <w:r>
              <w:rPr>
                <w:rFonts w:hint="eastAsia"/>
                <w:b/>
                <w:bCs/>
                <w:color w:val="auto"/>
                <w:sz w:val="21"/>
                <w:szCs w:val="21"/>
                <w:highlight w:val="none"/>
              </w:rPr>
              <w:t>5</w:t>
            </w:r>
          </w:p>
        </w:tc>
        <w:tc>
          <w:tcPr>
            <w:tcW w:w="7204" w:type="dxa"/>
            <w:vAlign w:val="center"/>
          </w:tcPr>
          <w:p>
            <w:pPr>
              <w:rPr>
                <w:rFonts w:asciiTheme="minorEastAsia" w:hAnsiTheme="minorEastAsia" w:cstheme="minorEastAsia"/>
                <w:color w:val="auto"/>
                <w:sz w:val="21"/>
                <w:szCs w:val="21"/>
                <w:highlight w:val="none"/>
              </w:rPr>
            </w:pPr>
            <w:r>
              <w:rPr>
                <w:rFonts w:hint="eastAsia" w:ascii="宋体" w:hAnsi="宋体" w:cs="宋体"/>
                <w:color w:val="auto"/>
                <w:spacing w:val="-6"/>
                <w:sz w:val="21"/>
                <w:szCs w:val="21"/>
                <w:highlight w:val="none"/>
              </w:rPr>
              <w:t>根据供应商对服务质量的保证措施及应急预案，包括但不限于是否充分考虑流程平台的安全性、如何保证数据安全、实时备份方案等描述。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Merge w:val="restart"/>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服务团队</w:t>
            </w:r>
          </w:p>
        </w:tc>
        <w:tc>
          <w:tcPr>
            <w:tcW w:w="68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3</w:t>
            </w:r>
          </w:p>
        </w:tc>
        <w:tc>
          <w:tcPr>
            <w:tcW w:w="720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供应商拟投入团队人员数量、资历（不少于3人，须提供近3个月社保证明），分工组成是否完详细完整。须提供人员分工表。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Merge w:val="continue"/>
            <w:vAlign w:val="center"/>
          </w:tcPr>
          <w:p>
            <w:pPr>
              <w:jc w:val="center"/>
              <w:rPr>
                <w:rFonts w:ascii="宋体" w:hAnsi="宋体" w:cs="宋体"/>
                <w:b/>
                <w:bCs/>
                <w:color w:val="auto"/>
                <w:sz w:val="21"/>
                <w:szCs w:val="21"/>
                <w:highlight w:val="none"/>
              </w:rPr>
            </w:pPr>
          </w:p>
        </w:tc>
        <w:tc>
          <w:tcPr>
            <w:tcW w:w="68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3</w:t>
            </w:r>
          </w:p>
        </w:tc>
        <w:tc>
          <w:tcPr>
            <w:tcW w:w="720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常驻人员的专业素质、技术能力、经验等情况（响应文件中提供常驻人员履历、资质证书复印件、2019年1月至今任意一月依法缴纳社会保障资金的证明材料，不提供不得分）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Merge w:val="restart"/>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售后服务及培训</w:t>
            </w:r>
          </w:p>
        </w:tc>
        <w:tc>
          <w:tcPr>
            <w:tcW w:w="68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3</w:t>
            </w:r>
          </w:p>
        </w:tc>
        <w:tc>
          <w:tcPr>
            <w:tcW w:w="720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项目管理、培训及售后服务方案的合理性和可实施性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Merge w:val="continue"/>
            <w:vAlign w:val="center"/>
          </w:tcPr>
          <w:p>
            <w:pPr>
              <w:jc w:val="center"/>
              <w:rPr>
                <w:rFonts w:ascii="宋体" w:hAnsi="宋体" w:cs="宋体"/>
                <w:b/>
                <w:bCs/>
                <w:color w:val="auto"/>
                <w:sz w:val="21"/>
                <w:szCs w:val="21"/>
                <w:highlight w:val="none"/>
              </w:rPr>
            </w:pPr>
          </w:p>
        </w:tc>
        <w:tc>
          <w:tcPr>
            <w:tcW w:w="68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3</w:t>
            </w:r>
          </w:p>
        </w:tc>
        <w:tc>
          <w:tcPr>
            <w:tcW w:w="720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质保期内外的后续技术支持、维护能力及质保期满后收费情况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Merge w:val="continue"/>
            <w:vAlign w:val="center"/>
          </w:tcPr>
          <w:p>
            <w:pPr>
              <w:jc w:val="center"/>
              <w:rPr>
                <w:rFonts w:ascii="宋体" w:hAnsi="宋体" w:cs="宋体"/>
                <w:b/>
                <w:bCs/>
                <w:color w:val="auto"/>
                <w:sz w:val="21"/>
                <w:szCs w:val="21"/>
                <w:highlight w:val="none"/>
              </w:rPr>
            </w:pPr>
          </w:p>
        </w:tc>
        <w:tc>
          <w:tcPr>
            <w:tcW w:w="68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w:t>
            </w:r>
          </w:p>
        </w:tc>
        <w:tc>
          <w:tcPr>
            <w:tcW w:w="7204"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是否提供本地化服务、售后服务响应时间的及时性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742" w:type="dxa"/>
            <w:vAlign w:val="center"/>
          </w:tcPr>
          <w:p>
            <w:pPr>
              <w:jc w:val="center"/>
              <w:rPr>
                <w:b/>
                <w:bCs/>
                <w:color w:val="auto"/>
                <w:sz w:val="21"/>
                <w:szCs w:val="21"/>
                <w:highlight w:val="none"/>
              </w:rPr>
            </w:pPr>
            <w:r>
              <w:rPr>
                <w:rFonts w:hint="eastAsia"/>
                <w:b/>
                <w:bCs/>
                <w:color w:val="auto"/>
                <w:sz w:val="21"/>
                <w:szCs w:val="21"/>
                <w:highlight w:val="none"/>
              </w:rPr>
              <w:t>系统功能截图</w:t>
            </w:r>
          </w:p>
        </w:tc>
        <w:tc>
          <w:tcPr>
            <w:tcW w:w="682" w:type="dxa"/>
            <w:vAlign w:val="center"/>
          </w:tcPr>
          <w:p>
            <w:pPr>
              <w:jc w:val="center"/>
              <w:rPr>
                <w:b/>
                <w:bCs/>
                <w:color w:val="auto"/>
                <w:sz w:val="21"/>
                <w:szCs w:val="21"/>
                <w:highlight w:val="none"/>
              </w:rPr>
            </w:pPr>
            <w:r>
              <w:rPr>
                <w:rFonts w:hint="eastAsia"/>
                <w:b/>
                <w:bCs/>
                <w:color w:val="auto"/>
                <w:sz w:val="21"/>
                <w:szCs w:val="21"/>
                <w:highlight w:val="none"/>
              </w:rPr>
              <w:t>8</w:t>
            </w:r>
          </w:p>
        </w:tc>
        <w:tc>
          <w:tcPr>
            <w:tcW w:w="7204" w:type="dxa"/>
            <w:vAlign w:val="center"/>
          </w:tcPr>
          <w:p>
            <w:pPr>
              <w:rPr>
                <w:rFonts w:eastAsiaTheme="minorEastAsia"/>
                <w:color w:val="auto"/>
                <w:sz w:val="21"/>
                <w:szCs w:val="21"/>
                <w:highlight w:val="none"/>
              </w:rPr>
            </w:pPr>
            <w:r>
              <w:rPr>
                <w:rFonts w:hint="eastAsia" w:ascii="宋体" w:hAnsi="宋体" w:cs="宋体"/>
                <w:color w:val="auto"/>
                <w:sz w:val="21"/>
                <w:szCs w:val="21"/>
                <w:highlight w:val="none"/>
              </w:rPr>
              <w:t>根据日志分析管理系统中的要求提供对应的截图证明，每提供1个截图得0.5分。</w:t>
            </w:r>
          </w:p>
        </w:tc>
      </w:tr>
    </w:tbl>
    <w:p>
      <w:pPr>
        <w:rPr>
          <w:color w:val="auto"/>
          <w:sz w:val="21"/>
          <w:szCs w:val="21"/>
          <w:highlight w:val="none"/>
        </w:rPr>
      </w:pPr>
    </w:p>
    <w:p>
      <w:pPr>
        <w:spacing w:line="360" w:lineRule="auto"/>
        <w:jc w:val="left"/>
        <w:rPr>
          <w:rFonts w:ascii="宋体" w:hAnsi="宋体"/>
          <w:b/>
          <w:color w:val="auto"/>
          <w:sz w:val="21"/>
          <w:szCs w:val="21"/>
          <w:highlight w:val="none"/>
        </w:rPr>
      </w:pPr>
      <w:r>
        <w:rPr>
          <w:rFonts w:hint="eastAsia" w:ascii="宋体" w:hAnsi="宋体"/>
          <w:b/>
          <w:color w:val="auto"/>
          <w:sz w:val="21"/>
          <w:szCs w:val="21"/>
          <w:highlight w:val="none"/>
        </w:rPr>
        <w:t>说明</w:t>
      </w:r>
      <w:r>
        <w:rPr>
          <w:rFonts w:ascii="宋体" w:hAnsi="宋体"/>
          <w:b/>
          <w:color w:val="auto"/>
          <w:sz w:val="21"/>
          <w:szCs w:val="21"/>
          <w:highlight w:val="none"/>
        </w:rPr>
        <w:t>：</w:t>
      </w:r>
    </w:p>
    <w:p>
      <w:pPr>
        <w:spacing w:line="360" w:lineRule="auto"/>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1.根据《政府采购促进中小企业发展暂行办法》（财库[2011]181号）的规定，供应商如为小型或微型企业并提交相关证明材料的，其最后报价扣除6%后参与评审；</w:t>
      </w:r>
    </w:p>
    <w:p>
      <w:pPr>
        <w:spacing w:line="360" w:lineRule="auto"/>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2.根据《关于政府采购支持监狱企业发展有关问题的通知》（财库[2014]68号）的规定，供应商如为监狱企业并提交相关证明材料的，视同小型、微型企业；</w:t>
      </w:r>
    </w:p>
    <w:p>
      <w:pPr>
        <w:spacing w:line="360" w:lineRule="auto"/>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3.根据《关于促进残疾人就业政府采购政策的通知》（财库[2017]141号）的规定，供应商如为残疾人福利性单位并提交《残疾人福利性单位声明函》的，视同小型、微型企业；</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4.残疾人福利性单位属于小型、微型企业的，不重复享受政策。</w:t>
      </w:r>
    </w:p>
    <w:p>
      <w:pPr>
        <w:spacing w:line="288" w:lineRule="auto"/>
        <w:jc w:val="center"/>
        <w:outlineLvl w:val="0"/>
        <w:rPr>
          <w:rFonts w:ascii="宋体" w:hAnsi="宋体"/>
          <w:b/>
          <w:bCs/>
          <w:color w:val="auto"/>
          <w:spacing w:val="-6"/>
          <w:sz w:val="32"/>
          <w:szCs w:val="32"/>
          <w:highlight w:val="none"/>
        </w:rPr>
      </w:pPr>
      <w:r>
        <w:rPr>
          <w:rFonts w:ascii="宋体" w:hAnsi="宋体"/>
          <w:b/>
          <w:bCs/>
          <w:color w:val="auto"/>
          <w:spacing w:val="-6"/>
          <w:sz w:val="21"/>
          <w:szCs w:val="21"/>
          <w:highlight w:val="none"/>
        </w:rPr>
        <w:br w:type="page"/>
      </w:r>
      <w:bookmarkStart w:id="70" w:name="_Toc25545"/>
      <w:bookmarkStart w:id="71" w:name="_Toc3273"/>
      <w:r>
        <w:rPr>
          <w:rFonts w:hint="eastAsia" w:ascii="宋体" w:hAnsi="宋体"/>
          <w:b/>
          <w:bCs/>
          <w:color w:val="auto"/>
          <w:spacing w:val="-6"/>
          <w:sz w:val="32"/>
          <w:szCs w:val="32"/>
          <w:highlight w:val="none"/>
        </w:rPr>
        <w:t>第五章  合同主要条款</w:t>
      </w:r>
      <w:bookmarkEnd w:id="70"/>
      <w:bookmarkEnd w:id="71"/>
    </w:p>
    <w:p>
      <w:pPr>
        <w:spacing w:line="288" w:lineRule="auto"/>
        <w:jc w:val="center"/>
        <w:rPr>
          <w:rFonts w:hAnsi="宋体"/>
          <w:bCs/>
          <w:color w:val="auto"/>
          <w:sz w:val="24"/>
          <w:highlight w:val="none"/>
        </w:rPr>
      </w:pPr>
      <w:r>
        <w:rPr>
          <w:rFonts w:hint="eastAsia" w:hAnsi="宋体"/>
          <w:b/>
          <w:color w:val="auto"/>
          <w:sz w:val="24"/>
          <w:highlight w:val="none"/>
        </w:rPr>
        <w:t>浙江财经大学采购合同</w:t>
      </w:r>
    </w:p>
    <w:p>
      <w:pPr>
        <w:spacing w:line="360" w:lineRule="auto"/>
        <w:ind w:firstLine="396" w:firstLineChars="200"/>
        <w:jc w:val="center"/>
        <w:rPr>
          <w:color w:val="auto"/>
          <w:highlight w:val="none"/>
        </w:rPr>
      </w:pPr>
      <w:r>
        <w:rPr>
          <w:rFonts w:hint="eastAsia" w:ascii="宋体" w:hAnsi="宋体" w:cs="宋体"/>
          <w:color w:val="auto"/>
          <w:spacing w:val="-6"/>
          <w:sz w:val="21"/>
          <w:szCs w:val="21"/>
          <w:highlight w:val="none"/>
        </w:rPr>
        <w:t>（本合同为合同样稿，最终稿由三方协商后确定，合同实质性内容不得更改；签订合同时删除此行）</w:t>
      </w:r>
    </w:p>
    <w:p>
      <w:pPr>
        <w:spacing w:line="360" w:lineRule="auto"/>
        <w:jc w:val="righ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浙财采确[2020]25796号</w:t>
      </w:r>
    </w:p>
    <w:p>
      <w:pPr>
        <w:spacing w:line="360" w:lineRule="auto"/>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甲方(需方)：</w:t>
      </w:r>
      <w:r>
        <w:rPr>
          <w:rFonts w:hint="eastAsia" w:ascii="宋体" w:hAnsi="宋体" w:cs="宋体"/>
          <w:color w:val="auto"/>
          <w:spacing w:val="-6"/>
          <w:sz w:val="21"/>
          <w:szCs w:val="21"/>
          <w:highlight w:val="none"/>
        </w:rPr>
        <w:t>浙江财经大学</w:t>
      </w:r>
    </w:p>
    <w:p>
      <w:pPr>
        <w:spacing w:line="360" w:lineRule="auto"/>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乙方(供方)：</w:t>
      </w:r>
    </w:p>
    <w:p>
      <w:pPr>
        <w:spacing w:line="360" w:lineRule="auto"/>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采购代理机构：</w:t>
      </w:r>
      <w:r>
        <w:rPr>
          <w:rFonts w:hint="eastAsia" w:ascii="宋体" w:hAnsi="宋体" w:cs="宋体"/>
          <w:color w:val="auto"/>
          <w:spacing w:val="-6"/>
          <w:sz w:val="21"/>
          <w:szCs w:val="21"/>
          <w:highlight w:val="none"/>
        </w:rPr>
        <w:t>浙江建友工程咨询有限公司</w:t>
      </w:r>
    </w:p>
    <w:p>
      <w:pPr>
        <w:spacing w:line="360"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为保护供、需双方的合法权益，根据《中华人民共和国政府采购法》、《中华人民共和国合同法》等相关法律法规，浙江财经大学特委托浙江建友工程咨询有限公司经评审或谈判，确定</w:t>
      </w:r>
      <w:r>
        <w:rPr>
          <w:rFonts w:hint="eastAsia" w:ascii="宋体" w:hAnsi="宋体" w:cs="宋体"/>
          <w:color w:val="auto"/>
          <w:spacing w:val="-6"/>
          <w:sz w:val="21"/>
          <w:szCs w:val="21"/>
          <w:highlight w:val="none"/>
          <w:u w:val="single"/>
        </w:rPr>
        <w:t xml:space="preserve">                 </w:t>
      </w:r>
      <w:r>
        <w:rPr>
          <w:rFonts w:hint="eastAsia" w:ascii="宋体" w:hAnsi="宋体" w:cs="宋体"/>
          <w:color w:val="auto"/>
          <w:spacing w:val="-6"/>
          <w:sz w:val="21"/>
          <w:szCs w:val="21"/>
          <w:highlight w:val="none"/>
        </w:rPr>
        <w:t>为项目编号ZJJY-20200623-02的成交供应商。经甲、乙双方协商达成以下协议：</w:t>
      </w:r>
    </w:p>
    <w:p>
      <w:pPr>
        <w:numPr>
          <w:ilvl w:val="0"/>
          <w:numId w:val="9"/>
        </w:numPr>
        <w:spacing w:before="240" w:beforeLines="100" w:line="360" w:lineRule="auto"/>
        <w:rPr>
          <w:rFonts w:ascii="宋体" w:hAnsi="宋体" w:cs="宋体"/>
          <w:color w:val="auto"/>
          <w:sz w:val="21"/>
          <w:szCs w:val="21"/>
          <w:highlight w:val="none"/>
        </w:rPr>
      </w:pPr>
      <w:r>
        <w:rPr>
          <w:rFonts w:hint="eastAsia" w:ascii="宋体" w:hAnsi="宋体" w:cs="宋体"/>
          <w:b/>
          <w:color w:val="auto"/>
          <w:sz w:val="21"/>
          <w:szCs w:val="21"/>
          <w:highlight w:val="none"/>
        </w:rPr>
        <w:t>服务清单及合同价格</w:t>
      </w:r>
    </w:p>
    <w:tbl>
      <w:tblPr>
        <w:tblStyle w:val="16"/>
        <w:tblW w:w="9923"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417"/>
        <w:gridCol w:w="4253"/>
        <w:gridCol w:w="1134"/>
        <w:gridCol w:w="1134"/>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710" w:type="dxa"/>
            <w:tcBorders>
              <w:top w:val="single" w:color="auto" w:sz="4" w:space="0"/>
              <w:bottom w:val="single" w:color="auto" w:sz="4" w:space="0"/>
              <w:right w:val="single" w:color="auto" w:sz="4" w:space="0"/>
            </w:tcBorders>
          </w:tcPr>
          <w:p>
            <w:pPr>
              <w:spacing w:line="336"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417"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olor w:val="auto"/>
                <w:sz w:val="21"/>
                <w:szCs w:val="21"/>
                <w:highlight w:val="none"/>
              </w:rPr>
            </w:pPr>
            <w:r>
              <w:rPr>
                <w:rFonts w:hint="eastAsia" w:ascii="宋体" w:hAnsi="宋体"/>
                <w:color w:val="auto"/>
                <w:sz w:val="21"/>
                <w:szCs w:val="21"/>
                <w:highlight w:val="none"/>
              </w:rPr>
              <w:t>名称</w:t>
            </w:r>
          </w:p>
        </w:tc>
        <w:tc>
          <w:tcPr>
            <w:tcW w:w="4253" w:type="dxa"/>
            <w:tcBorders>
              <w:top w:val="single" w:color="auto" w:sz="4" w:space="0"/>
              <w:left w:val="single" w:color="auto" w:sz="4" w:space="0"/>
              <w:bottom w:val="single" w:color="auto" w:sz="4" w:space="0"/>
              <w:right w:val="single" w:color="auto" w:sz="4" w:space="0"/>
            </w:tcBorders>
          </w:tcPr>
          <w:p>
            <w:pPr>
              <w:spacing w:line="336" w:lineRule="auto"/>
              <w:ind w:firstLine="420" w:firstLineChars="200"/>
              <w:jc w:val="center"/>
              <w:rPr>
                <w:rFonts w:ascii="宋体" w:hAnsi="宋体"/>
                <w:color w:val="auto"/>
                <w:sz w:val="21"/>
                <w:szCs w:val="21"/>
                <w:highlight w:val="none"/>
              </w:rPr>
            </w:pPr>
            <w:r>
              <w:rPr>
                <w:rFonts w:hint="eastAsia" w:ascii="宋体" w:hAnsi="宋体"/>
                <w:color w:val="auto"/>
                <w:sz w:val="21"/>
                <w:szCs w:val="21"/>
                <w:highlight w:val="none"/>
              </w:rPr>
              <w:t>要求</w:t>
            </w:r>
          </w:p>
        </w:tc>
        <w:tc>
          <w:tcPr>
            <w:tcW w:w="1134"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olor w:val="auto"/>
                <w:sz w:val="21"/>
                <w:szCs w:val="21"/>
                <w:highlight w:val="none"/>
              </w:rPr>
            </w:pPr>
            <w:r>
              <w:rPr>
                <w:rFonts w:hint="eastAsia" w:ascii="宋体" w:hAnsi="宋体"/>
                <w:color w:val="auto"/>
                <w:sz w:val="21"/>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olor w:val="auto"/>
                <w:sz w:val="21"/>
                <w:szCs w:val="21"/>
                <w:highlight w:val="none"/>
              </w:rPr>
            </w:pPr>
            <w:r>
              <w:rPr>
                <w:rFonts w:hint="eastAsia" w:ascii="宋体" w:hAnsi="宋体"/>
                <w:color w:val="auto"/>
                <w:sz w:val="21"/>
                <w:szCs w:val="21"/>
                <w:highlight w:val="none"/>
              </w:rPr>
              <w:t>单价</w:t>
            </w:r>
          </w:p>
        </w:tc>
        <w:tc>
          <w:tcPr>
            <w:tcW w:w="1275"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olor w:val="auto"/>
                <w:sz w:val="21"/>
                <w:szCs w:val="21"/>
                <w:highlight w:val="none"/>
              </w:rPr>
            </w:pPr>
            <w:r>
              <w:rPr>
                <w:rFonts w:hint="eastAsia" w:ascii="宋体" w:hAnsi="宋体"/>
                <w:color w:val="auto"/>
                <w:sz w:val="21"/>
                <w:szCs w:val="21"/>
                <w:highlight w:val="none"/>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trPr>
        <w:tc>
          <w:tcPr>
            <w:tcW w:w="710" w:type="dxa"/>
            <w:tcBorders>
              <w:top w:val="single" w:color="auto" w:sz="4" w:space="0"/>
              <w:bottom w:val="single" w:color="auto" w:sz="4" w:space="0"/>
              <w:right w:val="single" w:color="auto" w:sz="4" w:space="0"/>
            </w:tcBorders>
            <w:vAlign w:val="center"/>
          </w:tcPr>
          <w:p>
            <w:pPr>
              <w:spacing w:line="336"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c>
          <w:tcPr>
            <w:tcW w:w="4253"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trPr>
        <w:tc>
          <w:tcPr>
            <w:tcW w:w="710" w:type="dxa"/>
            <w:tcBorders>
              <w:top w:val="single" w:color="auto" w:sz="4" w:space="0"/>
              <w:bottom w:val="single" w:color="auto" w:sz="4" w:space="0"/>
              <w:right w:val="single" w:color="auto" w:sz="4" w:space="0"/>
            </w:tcBorders>
            <w:vAlign w:val="center"/>
          </w:tcPr>
          <w:p>
            <w:pPr>
              <w:spacing w:line="336"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c>
          <w:tcPr>
            <w:tcW w:w="4253"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trPr>
        <w:tc>
          <w:tcPr>
            <w:tcW w:w="710" w:type="dxa"/>
            <w:tcBorders>
              <w:top w:val="single" w:color="auto" w:sz="4" w:space="0"/>
              <w:bottom w:val="single" w:color="auto" w:sz="4" w:space="0"/>
              <w:right w:val="single" w:color="auto" w:sz="4" w:space="0"/>
            </w:tcBorders>
            <w:vAlign w:val="center"/>
          </w:tcPr>
          <w:p>
            <w:pPr>
              <w:spacing w:line="336" w:lineRule="auto"/>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c>
          <w:tcPr>
            <w:tcW w:w="4253"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trPr>
        <w:tc>
          <w:tcPr>
            <w:tcW w:w="710" w:type="dxa"/>
            <w:tcBorders>
              <w:top w:val="single" w:color="auto" w:sz="4" w:space="0"/>
              <w:bottom w:val="single" w:color="auto" w:sz="4" w:space="0"/>
              <w:right w:val="single" w:color="auto" w:sz="4" w:space="0"/>
            </w:tcBorders>
            <w:vAlign w:val="center"/>
          </w:tcPr>
          <w:p>
            <w:pPr>
              <w:spacing w:line="336"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c>
          <w:tcPr>
            <w:tcW w:w="4253"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36" w:lineRule="auto"/>
              <w:ind w:firstLine="420" w:firstLineChars="20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2127" w:type="dxa"/>
            <w:gridSpan w:val="2"/>
            <w:tcBorders>
              <w:top w:val="single" w:color="auto" w:sz="4" w:space="0"/>
              <w:bottom w:val="single" w:color="auto" w:sz="4" w:space="0"/>
              <w:right w:val="single" w:color="auto" w:sz="4" w:space="0"/>
            </w:tcBorders>
            <w:vAlign w:val="center"/>
          </w:tcPr>
          <w:p>
            <w:pPr>
              <w:spacing w:line="336"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合计</w:t>
            </w:r>
          </w:p>
        </w:tc>
        <w:tc>
          <w:tcPr>
            <w:tcW w:w="7796" w:type="dxa"/>
            <w:gridSpan w:val="4"/>
            <w:tcBorders>
              <w:top w:val="single" w:color="auto" w:sz="4" w:space="0"/>
              <w:left w:val="single" w:color="auto" w:sz="4" w:space="0"/>
              <w:bottom w:val="single" w:color="auto" w:sz="4" w:space="0"/>
            </w:tcBorders>
            <w:vAlign w:val="center"/>
          </w:tcPr>
          <w:p>
            <w:pPr>
              <w:spacing w:line="336" w:lineRule="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 xml:space="preserve">         (大写：     元整)</w:t>
            </w:r>
          </w:p>
        </w:tc>
      </w:tr>
    </w:tbl>
    <w:p>
      <w:pPr>
        <w:spacing w:line="360" w:lineRule="auto"/>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备注：本合同价格包含维修费、安装费、调试费、检测费、验收费、合同包含的所有风险责任等各项费用及不可预见费等履行合同所规定服务所需的全部费用。</w:t>
      </w:r>
    </w:p>
    <w:p>
      <w:pPr>
        <w:pStyle w:val="19"/>
        <w:numPr>
          <w:ilvl w:val="0"/>
          <w:numId w:val="9"/>
        </w:numPr>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质量保证：</w:t>
      </w:r>
    </w:p>
    <w:p>
      <w:pPr>
        <w:pStyle w:val="23"/>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宋体" w:hAnsi="宋体" w:cs="宋体"/>
          <w:color w:val="auto"/>
          <w:szCs w:val="21"/>
          <w:highlight w:val="none"/>
        </w:rPr>
        <w:t>乙方承诺向甲方提供</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年的质保期，</w:t>
      </w:r>
      <w:r>
        <w:rPr>
          <w:rFonts w:hint="eastAsia" w:asciiTheme="minorEastAsia" w:hAnsiTheme="minorEastAsia" w:eastAsiaTheme="minorEastAsia" w:cstheme="minorEastAsia"/>
          <w:color w:val="auto"/>
          <w:szCs w:val="21"/>
          <w:highlight w:val="none"/>
        </w:rPr>
        <w:t>项目实施和维护期间，项目研发人员应相对固定，并有专人负责；如人员确需变动，需提出书面申请并经用户方确认；</w:t>
      </w:r>
      <w:r>
        <w:rPr>
          <w:rFonts w:hint="eastAsia" w:asciiTheme="minorEastAsia" w:hAnsiTheme="minorEastAsia" w:eastAsiaTheme="minorEastAsia" w:cstheme="minorEastAsia"/>
          <w:b/>
          <w:bCs/>
          <w:color w:val="auto"/>
          <w:szCs w:val="21"/>
          <w:highlight w:val="none"/>
        </w:rPr>
        <w:t>项目实施过程中提供项目团队成员中至少1人的驻场服务。</w:t>
      </w:r>
    </w:p>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维护服务：</w:t>
      </w:r>
    </w:p>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1）系统投入运行后设有专人保障系统运行；</w:t>
      </w:r>
    </w:p>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2）现场技术服务方式，指因应用软件系统出现重大故障导致业务中止时，乙方派技术人员运程协助学校技术、业务人员一起对故障进行分析，提出解决方案，在征得学校同意后对故障进行处理和排除；</w:t>
      </w:r>
    </w:p>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3）远程维护方式，通过电话、电子邮件、传真或远程访问等方式进行系统故障的处理、技术支持、咨询服务等工作。</w:t>
      </w:r>
    </w:p>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4）按月巡检：乙方按月到现场对系统进行全面检查，优化系统，同时做好各类系统运行情况的记录。对可能出现的故障提出解决预案及系统功能改进等方面的技术咨询工作，并提供必要的现场指导。</w:t>
      </w:r>
    </w:p>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5）运维响应：工作时间运维响应时间应在2小时以内，非工作时间运维响应时间应在4小时以内；如果需到现场进行服务，乙方应在接到运维请求后的6个小时以内赶到用户现场。</w:t>
      </w:r>
    </w:p>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6）在系统正常投入运行时，如涉及到方案的调整，乙方应在一周内提出建议方案；</w:t>
      </w:r>
    </w:p>
    <w:p>
      <w:pPr>
        <w:pStyle w:val="23"/>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培训及推广要求：</w:t>
      </w:r>
    </w:p>
    <w:p>
      <w:pPr>
        <w:spacing w:line="360" w:lineRule="auto"/>
        <w:ind w:firstLine="420" w:firstLineChars="200"/>
        <w:rPr>
          <w:rFonts w:ascii="宋体" w:hAnsi="宋体" w:cs="宋体"/>
          <w:color w:val="auto"/>
          <w:sz w:val="21"/>
          <w:szCs w:val="21"/>
          <w:highlight w:val="none"/>
        </w:rPr>
      </w:pPr>
      <w:r>
        <w:rPr>
          <w:rFonts w:hint="eastAsia" w:asciiTheme="minorEastAsia" w:hAnsiTheme="minorEastAsia" w:eastAsiaTheme="minorEastAsia" w:cstheme="minorEastAsia"/>
          <w:color w:val="auto"/>
          <w:sz w:val="21"/>
          <w:szCs w:val="21"/>
          <w:highlight w:val="none"/>
        </w:rPr>
        <w:t>结合项目实施，应为甲方制定详细的应用培训计划，根据甲方需要组织不少于三次现场应用培训活动。</w:t>
      </w:r>
    </w:p>
    <w:p>
      <w:pPr>
        <w:pStyle w:val="20"/>
        <w:ind w:left="0"/>
        <w:rPr>
          <w:color w:val="auto"/>
          <w:highlight w:val="none"/>
        </w:rPr>
      </w:pPr>
    </w:p>
    <w:p>
      <w:pPr>
        <w:pStyle w:val="21"/>
        <w:numPr>
          <w:ilvl w:val="0"/>
          <w:numId w:val="9"/>
        </w:numPr>
        <w:spacing w:line="360" w:lineRule="auto"/>
        <w:rPr>
          <w:rFonts w:ascii="宋体" w:hAnsi="宋体" w:cs="宋体"/>
          <w:b/>
          <w:color w:val="auto"/>
          <w:szCs w:val="21"/>
          <w:highlight w:val="none"/>
        </w:rPr>
      </w:pPr>
      <w:r>
        <w:rPr>
          <w:rFonts w:hint="eastAsia" w:ascii="宋体" w:hAnsi="宋体" w:cs="宋体"/>
          <w:b/>
          <w:color w:val="auto"/>
          <w:szCs w:val="21"/>
          <w:highlight w:val="none"/>
        </w:rPr>
        <w:t>付款方式及履约保证金缴纳</w:t>
      </w:r>
    </w:p>
    <w:p>
      <w:pPr>
        <w:pStyle w:val="21"/>
        <w:spacing w:line="360" w:lineRule="auto"/>
        <w:ind w:left="0"/>
        <w:rPr>
          <w:rFonts w:ascii="宋体" w:hAnsi="宋体" w:cs="宋体"/>
          <w:b/>
          <w:bCs/>
          <w:color w:val="auto"/>
          <w:szCs w:val="21"/>
          <w:highlight w:val="none"/>
        </w:rPr>
      </w:pPr>
      <w:r>
        <w:rPr>
          <w:rFonts w:hint="eastAsia" w:ascii="宋体" w:hAnsi="宋体" w:cs="宋体"/>
          <w:b/>
          <w:color w:val="auto"/>
          <w:szCs w:val="21"/>
          <w:highlight w:val="none"/>
        </w:rPr>
        <w:t>（具体根据磋商文件、乙方响应文件、相关承诺（如有）规定的内容填写）</w:t>
      </w:r>
    </w:p>
    <w:p>
      <w:pPr>
        <w:pStyle w:val="19"/>
        <w:spacing w:line="360" w:lineRule="auto"/>
        <w:rPr>
          <w:color w:val="auto"/>
          <w:highlight w:val="none"/>
        </w:rPr>
      </w:pPr>
    </w:p>
    <w:p>
      <w:pPr>
        <w:pStyle w:val="20"/>
        <w:numPr>
          <w:ilvl w:val="0"/>
          <w:numId w:val="9"/>
        </w:numPr>
        <w:spacing w:line="360" w:lineRule="auto"/>
        <w:rPr>
          <w:b/>
          <w:bCs/>
          <w:color w:val="auto"/>
          <w:highlight w:val="none"/>
        </w:rPr>
      </w:pPr>
      <w:r>
        <w:rPr>
          <w:rFonts w:hint="eastAsia"/>
          <w:b/>
          <w:bCs/>
          <w:color w:val="auto"/>
          <w:highlight w:val="none"/>
        </w:rPr>
        <w:t>交付及验收</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本项目自合同签订之日起</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个月内交付并完成验收。</w:t>
      </w:r>
    </w:p>
    <w:p>
      <w:pPr>
        <w:spacing w:line="360" w:lineRule="auto"/>
        <w:rPr>
          <w:color w:val="auto"/>
          <w:highlight w:val="none"/>
        </w:rPr>
      </w:pPr>
    </w:p>
    <w:p>
      <w:pPr>
        <w:spacing w:line="288" w:lineRule="auto"/>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五、违约责任</w:t>
      </w:r>
    </w:p>
    <w:p>
      <w:pPr>
        <w:snapToGrid w:val="0"/>
        <w:spacing w:line="360"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乙方未能在合同约定的期限内履行合同交货义务的，自逾期之日起，向甲方每日偿付合同总价千分之一的违约金；乙方逾期30日不能交货的，应向甲方支付合同总价百分之五的违约金，甲方同时有权选择解除合同。由于海关、灾难等不可抗力原因导致乙方延迟交货的，不在此范围内。</w:t>
      </w:r>
    </w:p>
    <w:p>
      <w:pPr>
        <w:snapToGrid w:val="0"/>
        <w:spacing w:line="360"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2.甲方逾期支付货款的，应向乙方每日偿付合同总价千分之一的违约金。由于假期等客观原因导致逾期支付货款的，双方友好协商解决。</w:t>
      </w:r>
    </w:p>
    <w:p>
      <w:pPr>
        <w:snapToGrid w:val="0"/>
        <w:spacing w:line="360"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3.乙方在合同商品交付验收合格之日起一年内违反本合同有关质量保证及售后服务约定的，乙方已经交付的履约保证金作为违约金支付给甲方。该违约金不足赔偿的损失部分，甲方仍有权要求赔偿该损失。</w:t>
      </w:r>
    </w:p>
    <w:p>
      <w:pPr>
        <w:spacing w:line="360" w:lineRule="auto"/>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六、争议的解决</w:t>
      </w:r>
    </w:p>
    <w:p>
      <w:pPr>
        <w:spacing w:line="360" w:lineRule="auto"/>
        <w:ind w:firstLine="411" w:firstLineChars="196"/>
        <w:rPr>
          <w:rFonts w:ascii="宋体" w:hAnsi="宋体"/>
          <w:color w:val="auto"/>
          <w:sz w:val="21"/>
          <w:szCs w:val="21"/>
          <w:highlight w:val="none"/>
        </w:rPr>
      </w:pPr>
      <w:r>
        <w:rPr>
          <w:rFonts w:hint="eastAsia" w:ascii="宋体" w:hAnsi="宋体"/>
          <w:color w:val="auto"/>
          <w:sz w:val="21"/>
          <w:szCs w:val="21"/>
          <w:highlight w:val="none"/>
        </w:rPr>
        <w:t>在本合同履行过程中发生争议，双方应当协商解决。双方不愿协商、调解解决或者协商、调解不成的，可按有关规定向杭州仲裁委员会提起仲裁。</w:t>
      </w:r>
    </w:p>
    <w:p>
      <w:pPr>
        <w:spacing w:line="360" w:lineRule="auto"/>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七、合同的生效</w:t>
      </w:r>
    </w:p>
    <w:p>
      <w:pPr>
        <w:spacing w:line="360"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1.本合同经甲、乙双方单位的法定代表人或者经单位法定代表人授权的委托代理人签字并加盖公章后生效。</w:t>
      </w:r>
    </w:p>
    <w:p>
      <w:pPr>
        <w:spacing w:line="360"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2.本合同一式五份，甲方执三份，乙方、鉴证方各执一份。</w:t>
      </w:r>
    </w:p>
    <w:p>
      <w:pPr>
        <w:spacing w:line="360"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3.相关磋商</w:t>
      </w:r>
      <w:r>
        <w:rPr>
          <w:rFonts w:ascii="宋体" w:hAnsi="宋体" w:cs="宋体"/>
          <w:color w:val="auto"/>
          <w:spacing w:val="-6"/>
          <w:sz w:val="21"/>
          <w:szCs w:val="21"/>
          <w:highlight w:val="none"/>
        </w:rPr>
        <w:t>文件、响应文件</w:t>
      </w:r>
      <w:r>
        <w:rPr>
          <w:rFonts w:hint="eastAsia" w:ascii="宋体" w:hAnsi="宋体" w:cs="宋体"/>
          <w:color w:val="auto"/>
          <w:spacing w:val="-6"/>
          <w:sz w:val="21"/>
          <w:szCs w:val="21"/>
          <w:highlight w:val="none"/>
        </w:rPr>
        <w:t>、磋商</w:t>
      </w:r>
      <w:r>
        <w:rPr>
          <w:rFonts w:ascii="宋体" w:hAnsi="宋体" w:cs="宋体"/>
          <w:color w:val="auto"/>
          <w:spacing w:val="-6"/>
          <w:sz w:val="21"/>
          <w:szCs w:val="21"/>
          <w:highlight w:val="none"/>
        </w:rPr>
        <w:t>记录</w:t>
      </w:r>
      <w:r>
        <w:rPr>
          <w:rFonts w:hint="eastAsia" w:ascii="宋体" w:hAnsi="宋体" w:cs="宋体"/>
          <w:color w:val="auto"/>
          <w:spacing w:val="-6"/>
          <w:sz w:val="21"/>
          <w:szCs w:val="21"/>
          <w:highlight w:val="none"/>
        </w:rPr>
        <w:t>、等与本合同具有同等法律效力。</w:t>
      </w:r>
    </w:p>
    <w:p>
      <w:pPr>
        <w:pStyle w:val="19"/>
        <w:spacing w:line="288" w:lineRule="auto"/>
        <w:rPr>
          <w:color w:val="auto"/>
          <w:highlight w:val="none"/>
        </w:rPr>
      </w:pPr>
    </w:p>
    <w:tbl>
      <w:tblPr>
        <w:tblStyle w:val="16"/>
        <w:tblW w:w="9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spacing w:line="288" w:lineRule="auto"/>
              <w:rPr>
                <w:rFonts w:ascii="宋体" w:hAnsi="宋体" w:cs="宋体"/>
                <w:b/>
                <w:bCs/>
                <w:color w:val="auto"/>
                <w:sz w:val="21"/>
                <w:szCs w:val="21"/>
                <w:highlight w:val="none"/>
              </w:rPr>
            </w:pPr>
            <w:r>
              <w:rPr>
                <w:rFonts w:hint="eastAsia"/>
                <w:b/>
                <w:bCs/>
                <w:color w:val="auto"/>
                <w:sz w:val="21"/>
                <w:szCs w:val="21"/>
                <w:highlight w:val="none"/>
              </w:rPr>
              <w:t>甲方（公章）：浙江理工大学</w:t>
            </w:r>
          </w:p>
        </w:tc>
        <w:tc>
          <w:tcPr>
            <w:tcW w:w="4968" w:type="dxa"/>
            <w:vAlign w:val="center"/>
          </w:tcPr>
          <w:p>
            <w:pPr>
              <w:spacing w:line="288" w:lineRule="auto"/>
              <w:rPr>
                <w:rFonts w:ascii="宋体" w:hAnsi="宋体" w:cs="宋体"/>
                <w:b/>
                <w:bCs/>
                <w:color w:val="auto"/>
                <w:sz w:val="21"/>
                <w:szCs w:val="21"/>
                <w:highlight w:val="none"/>
              </w:rPr>
            </w:pPr>
            <w:r>
              <w:rPr>
                <w:rFonts w:hint="eastAsia"/>
                <w:b/>
                <w:bCs/>
                <w:color w:val="auto"/>
                <w:sz w:val="21"/>
                <w:szCs w:val="21"/>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法定代表人或受委托人：</w:t>
            </w:r>
          </w:p>
          <w:p>
            <w:pPr>
              <w:rPr>
                <w:rFonts w:ascii="宋体" w:hAnsi="宋体" w:cs="宋体"/>
                <w:color w:val="auto"/>
                <w:sz w:val="21"/>
                <w:szCs w:val="21"/>
                <w:highlight w:val="none"/>
              </w:rPr>
            </w:pPr>
            <w:r>
              <w:rPr>
                <w:rFonts w:hint="eastAsia" w:ascii="宋体" w:hAnsi="宋体" w:cs="宋体"/>
                <w:color w:val="auto"/>
                <w:sz w:val="21"/>
                <w:szCs w:val="21"/>
                <w:highlight w:val="none"/>
              </w:rPr>
              <w:t>（签字）</w:t>
            </w:r>
          </w:p>
        </w:tc>
        <w:tc>
          <w:tcPr>
            <w:tcW w:w="4968"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法定代表人或受委托人：</w:t>
            </w:r>
          </w:p>
          <w:p>
            <w:pPr>
              <w:rPr>
                <w:rFonts w:ascii="宋体" w:hAnsi="宋体" w:cs="宋体"/>
                <w:color w:val="auto"/>
                <w:sz w:val="21"/>
                <w:szCs w:val="21"/>
                <w:highlight w:val="none"/>
              </w:rPr>
            </w:pPr>
            <w:r>
              <w:rPr>
                <w:rFonts w:hint="eastAsia" w:ascii="宋体" w:hAnsi="宋体" w:cs="宋体"/>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地址：</w:t>
            </w:r>
          </w:p>
        </w:tc>
        <w:tc>
          <w:tcPr>
            <w:tcW w:w="4968"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邮编：</w:t>
            </w:r>
          </w:p>
        </w:tc>
        <w:tc>
          <w:tcPr>
            <w:tcW w:w="4968"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4968"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传真：</w:t>
            </w:r>
          </w:p>
        </w:tc>
        <w:tc>
          <w:tcPr>
            <w:tcW w:w="4968"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开户银行：</w:t>
            </w:r>
          </w:p>
        </w:tc>
        <w:tc>
          <w:tcPr>
            <w:tcW w:w="4968"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帐号：</w:t>
            </w:r>
          </w:p>
        </w:tc>
        <w:tc>
          <w:tcPr>
            <w:tcW w:w="4968"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签约时间：     年   月   日</w:t>
            </w:r>
          </w:p>
        </w:tc>
        <w:tc>
          <w:tcPr>
            <w:tcW w:w="4968"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签约时间：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宋体" w:hAnsi="宋体" w:cs="宋体"/>
                <w:b/>
                <w:bCs/>
                <w:color w:val="auto"/>
                <w:sz w:val="21"/>
                <w:szCs w:val="21"/>
                <w:highlight w:val="none"/>
              </w:rPr>
            </w:pPr>
            <w:r>
              <w:rPr>
                <w:rFonts w:hint="eastAsia"/>
                <w:b/>
                <w:bCs/>
                <w:color w:val="auto"/>
                <w:sz w:val="21"/>
                <w:szCs w:val="21"/>
                <w:highlight w:val="none"/>
              </w:rPr>
              <w:t>采购代理机构：浙江建友工程咨询有限公司（公章）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采购代理机构代表：</w:t>
            </w:r>
          </w:p>
          <w:p>
            <w:pPr>
              <w:rPr>
                <w:rFonts w:ascii="宋体" w:hAnsi="宋体" w:cs="宋体"/>
                <w:color w:val="auto"/>
                <w:sz w:val="21"/>
                <w:szCs w:val="21"/>
                <w:highlight w:val="none"/>
              </w:rPr>
            </w:pPr>
            <w:r>
              <w:rPr>
                <w:rFonts w:hint="eastAsia" w:ascii="宋体" w:hAnsi="宋体" w:cs="宋体"/>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帐号：</w:t>
            </w:r>
          </w:p>
        </w:tc>
      </w:tr>
    </w:tbl>
    <w:p>
      <w:pPr>
        <w:pStyle w:val="10"/>
        <w:tabs>
          <w:tab w:val="left" w:pos="2472"/>
        </w:tabs>
        <w:spacing w:before="0" w:beforeLines="0" w:after="0" w:afterLines="0" w:line="288" w:lineRule="auto"/>
        <w:jc w:val="center"/>
        <w:outlineLvl w:val="0"/>
        <w:rPr>
          <w:rFonts w:hAnsi="宋体"/>
          <w:b/>
          <w:color w:val="auto"/>
          <w:spacing w:val="-6"/>
          <w:sz w:val="32"/>
          <w:szCs w:val="32"/>
          <w:highlight w:val="none"/>
        </w:rPr>
      </w:pPr>
      <w:r>
        <w:rPr>
          <w:rFonts w:hAnsi="宋体"/>
          <w:b/>
          <w:color w:val="auto"/>
          <w:spacing w:val="-6"/>
          <w:sz w:val="32"/>
          <w:szCs w:val="32"/>
          <w:highlight w:val="none"/>
        </w:rPr>
        <w:br w:type="page"/>
      </w:r>
      <w:bookmarkStart w:id="72" w:name="_Toc1173"/>
      <w:bookmarkStart w:id="73" w:name="_Toc29405"/>
      <w:r>
        <w:rPr>
          <w:rFonts w:hAnsi="宋体"/>
          <w:b/>
          <w:color w:val="auto"/>
          <w:spacing w:val="-6"/>
          <w:sz w:val="32"/>
          <w:szCs w:val="32"/>
          <w:highlight w:val="none"/>
        </w:rPr>
        <w:t>第六章</w:t>
      </w:r>
      <w:r>
        <w:rPr>
          <w:rFonts w:hint="eastAsia" w:hAnsi="宋体"/>
          <w:b/>
          <w:color w:val="auto"/>
          <w:spacing w:val="-6"/>
          <w:sz w:val="32"/>
          <w:szCs w:val="32"/>
          <w:highlight w:val="none"/>
        </w:rPr>
        <w:t xml:space="preserve">  </w:t>
      </w:r>
      <w:r>
        <w:rPr>
          <w:rFonts w:hAnsi="宋体"/>
          <w:b/>
          <w:color w:val="auto"/>
          <w:spacing w:val="-6"/>
          <w:sz w:val="32"/>
          <w:szCs w:val="32"/>
          <w:highlight w:val="none"/>
        </w:rPr>
        <w:t>响应文件格式</w:t>
      </w:r>
      <w:bookmarkEnd w:id="72"/>
      <w:bookmarkEnd w:id="73"/>
    </w:p>
    <w:p>
      <w:pPr>
        <w:spacing w:line="360" w:lineRule="auto"/>
        <w:rPr>
          <w:rFonts w:ascii="宋体" w:hAnsi="宋体"/>
          <w:b/>
          <w:bCs/>
          <w:color w:val="auto"/>
          <w:spacing w:val="-6"/>
          <w:sz w:val="24"/>
          <w:highlight w:val="none"/>
        </w:rPr>
      </w:pPr>
    </w:p>
    <w:p>
      <w:pPr>
        <w:pStyle w:val="10"/>
        <w:spacing w:before="0" w:beforeLines="0" w:after="0" w:afterLines="0" w:line="360" w:lineRule="auto"/>
        <w:ind w:firstLine="398" w:firstLineChars="200"/>
        <w:jc w:val="center"/>
        <w:rPr>
          <w:rFonts w:hAnsi="宋体"/>
          <w:b/>
          <w:bCs/>
          <w:color w:val="auto"/>
          <w:spacing w:val="-6"/>
          <w:sz w:val="21"/>
          <w:szCs w:val="21"/>
          <w:highlight w:val="none"/>
        </w:rPr>
      </w:pPr>
      <w:r>
        <w:rPr>
          <w:rFonts w:hint="eastAsia" w:hAnsi="宋体"/>
          <w:b/>
          <w:bCs/>
          <w:color w:val="auto"/>
          <w:spacing w:val="-6"/>
          <w:sz w:val="21"/>
          <w:szCs w:val="21"/>
          <w:highlight w:val="none"/>
        </w:rPr>
        <w:t>响应文件的编制应按照本项目：“第三章  供应商须知”</w:t>
      </w:r>
      <w:r>
        <w:rPr>
          <w:rFonts w:hAnsi="宋体"/>
          <w:b/>
          <w:color w:val="auto"/>
          <w:spacing w:val="-6"/>
          <w:sz w:val="21"/>
          <w:szCs w:val="21"/>
          <w:highlight w:val="none"/>
        </w:rPr>
        <w:t>三</w:t>
      </w:r>
      <w:r>
        <w:rPr>
          <w:rFonts w:hint="eastAsia" w:hAnsi="宋体"/>
          <w:b/>
          <w:color w:val="auto"/>
          <w:spacing w:val="-6"/>
          <w:sz w:val="21"/>
          <w:szCs w:val="21"/>
          <w:highlight w:val="none"/>
        </w:rPr>
        <w:t>、</w:t>
      </w:r>
      <w:r>
        <w:rPr>
          <w:rFonts w:hAnsi="宋体"/>
          <w:b/>
          <w:color w:val="auto"/>
          <w:spacing w:val="-6"/>
          <w:sz w:val="21"/>
          <w:szCs w:val="21"/>
          <w:highlight w:val="none"/>
        </w:rPr>
        <w:t>响应文件的编制</w:t>
      </w:r>
      <w:r>
        <w:rPr>
          <w:rFonts w:hint="eastAsia" w:hAnsi="宋体"/>
          <w:b/>
          <w:color w:val="auto"/>
          <w:spacing w:val="-6"/>
          <w:sz w:val="21"/>
          <w:szCs w:val="21"/>
          <w:highlight w:val="none"/>
        </w:rPr>
        <w:t>的要求编制。</w:t>
      </w:r>
    </w:p>
    <w:p>
      <w:pPr>
        <w:spacing w:line="360" w:lineRule="auto"/>
        <w:outlineLvl w:val="1"/>
        <w:rPr>
          <w:rFonts w:ascii="宋体" w:hAnsi="宋体"/>
          <w:color w:val="auto"/>
          <w:spacing w:val="-6"/>
          <w:sz w:val="24"/>
          <w:highlight w:val="none"/>
        </w:rPr>
      </w:pPr>
      <w:r>
        <w:rPr>
          <w:rFonts w:ascii="宋体" w:hAnsi="宋体"/>
          <w:bCs/>
          <w:color w:val="auto"/>
          <w:spacing w:val="-6"/>
          <w:sz w:val="24"/>
          <w:highlight w:val="none"/>
        </w:rPr>
        <w:br w:type="page"/>
      </w:r>
      <w:r>
        <w:rPr>
          <w:rFonts w:hint="eastAsia" w:ascii="宋体" w:hAnsi="宋体"/>
          <w:bCs/>
          <w:color w:val="auto"/>
          <w:spacing w:val="-6"/>
          <w:sz w:val="24"/>
          <w:highlight w:val="none"/>
        </w:rPr>
        <w:t>响应文件</w:t>
      </w:r>
      <w:r>
        <w:rPr>
          <w:rFonts w:hint="eastAsia" w:ascii="宋体" w:hAnsi="宋体"/>
          <w:color w:val="auto"/>
          <w:spacing w:val="-6"/>
          <w:sz w:val="24"/>
          <w:highlight w:val="none"/>
        </w:rPr>
        <w:t>封面</w:t>
      </w:r>
    </w:p>
    <w:p>
      <w:pPr>
        <w:spacing w:line="360" w:lineRule="auto"/>
        <w:jc w:val="right"/>
        <w:rPr>
          <w:rFonts w:ascii="宋体" w:hAnsi="宋体"/>
          <w:color w:val="auto"/>
          <w:spacing w:val="-6"/>
          <w:sz w:val="24"/>
          <w:highlight w:val="none"/>
        </w:rPr>
      </w:pPr>
    </w:p>
    <w:p>
      <w:pPr>
        <w:spacing w:line="360" w:lineRule="auto"/>
        <w:rPr>
          <w:rFonts w:ascii="宋体" w:hAnsi="宋体"/>
          <w:color w:val="auto"/>
          <w:spacing w:val="-6"/>
          <w:sz w:val="24"/>
          <w:highlight w:val="none"/>
        </w:rPr>
      </w:pPr>
    </w:p>
    <w:p>
      <w:pPr>
        <w:spacing w:line="360" w:lineRule="auto"/>
        <w:jc w:val="center"/>
        <w:rPr>
          <w:rFonts w:ascii="宋体" w:hAnsi="宋体"/>
          <w:bCs/>
          <w:color w:val="auto"/>
          <w:spacing w:val="-6"/>
          <w:sz w:val="24"/>
          <w:highlight w:val="none"/>
        </w:rPr>
      </w:pPr>
      <w:r>
        <w:rPr>
          <w:rFonts w:hint="eastAsia" w:ascii="宋体" w:hAnsi="宋体"/>
          <w:bCs/>
          <w:color w:val="auto"/>
          <w:spacing w:val="-6"/>
          <w:sz w:val="24"/>
          <w:highlight w:val="none"/>
          <w:u w:val="single"/>
        </w:rPr>
        <w:t xml:space="preserve">                    </w:t>
      </w:r>
      <w:bookmarkStart w:id="74" w:name="_Toc26044"/>
      <w:bookmarkStart w:id="75" w:name="_Toc19583"/>
      <w:r>
        <w:rPr>
          <w:rFonts w:hint="eastAsia" w:ascii="宋体" w:hAnsi="宋体"/>
          <w:bCs/>
          <w:color w:val="auto"/>
          <w:spacing w:val="-6"/>
          <w:sz w:val="24"/>
          <w:highlight w:val="none"/>
        </w:rPr>
        <w:t>（供应商名称）</w:t>
      </w:r>
      <w:bookmarkEnd w:id="74"/>
      <w:bookmarkEnd w:id="75"/>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响 应 文 件</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人：浙江财经大学</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项目名称：一站式网上服务大厅（三期）</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项目编号：ZJJY-20200623-02</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供应商名称（盖章）：</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供应商地址：</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供应商授权代表签字：</w:t>
      </w:r>
    </w:p>
    <w:p>
      <w:pPr>
        <w:spacing w:line="360" w:lineRule="auto"/>
        <w:rPr>
          <w:rFonts w:ascii="宋体" w:hAnsi="宋体"/>
          <w:b/>
          <w:bCs/>
          <w:color w:val="auto"/>
          <w:spacing w:val="-6"/>
          <w:sz w:val="21"/>
          <w:szCs w:val="21"/>
          <w:highlight w:val="none"/>
        </w:rPr>
      </w:pPr>
      <w:r>
        <w:rPr>
          <w:rFonts w:hint="eastAsia" w:ascii="宋体" w:hAnsi="宋体"/>
          <w:bCs/>
          <w:color w:val="auto"/>
          <w:spacing w:val="-6"/>
          <w:sz w:val="24"/>
          <w:highlight w:val="none"/>
        </w:rPr>
        <w:t>日期：     年   月   日</w:t>
      </w:r>
    </w:p>
    <w:p>
      <w:pPr>
        <w:pStyle w:val="2"/>
        <w:spacing w:line="480" w:lineRule="auto"/>
        <w:ind w:firstLine="0"/>
        <w:jc w:val="center"/>
        <w:rPr>
          <w:rFonts w:hAnsi="宋体"/>
          <w:b/>
          <w:color w:val="auto"/>
          <w:spacing w:val="-6"/>
          <w:sz w:val="24"/>
          <w:highlight w:val="none"/>
        </w:rPr>
      </w:pPr>
      <w:r>
        <w:rPr>
          <w:rFonts w:hAnsi="宋体"/>
          <w:bCs/>
          <w:color w:val="auto"/>
          <w:spacing w:val="-6"/>
          <w:sz w:val="24"/>
          <w:highlight w:val="none"/>
        </w:rPr>
        <w:br w:type="page"/>
      </w:r>
      <w:bookmarkStart w:id="76" w:name="_Toc17986"/>
      <w:bookmarkStart w:id="77" w:name="_Toc12900"/>
    </w:p>
    <w:p>
      <w:pPr>
        <w:pStyle w:val="2"/>
        <w:spacing w:line="480" w:lineRule="auto"/>
        <w:ind w:firstLine="0"/>
        <w:jc w:val="center"/>
        <w:rPr>
          <w:rFonts w:hAnsi="宋体"/>
          <w:b/>
          <w:color w:val="auto"/>
          <w:spacing w:val="-6"/>
          <w:sz w:val="24"/>
          <w:highlight w:val="none"/>
        </w:rPr>
      </w:pPr>
    </w:p>
    <w:p>
      <w:pPr>
        <w:pStyle w:val="2"/>
        <w:spacing w:line="480" w:lineRule="auto"/>
        <w:ind w:firstLine="0"/>
        <w:jc w:val="center"/>
        <w:rPr>
          <w:rFonts w:hAnsi="宋体"/>
          <w:b/>
          <w:color w:val="auto"/>
          <w:spacing w:val="-6"/>
          <w:sz w:val="24"/>
          <w:highlight w:val="none"/>
        </w:rPr>
      </w:pPr>
    </w:p>
    <w:p>
      <w:pPr>
        <w:pStyle w:val="2"/>
        <w:spacing w:line="480" w:lineRule="auto"/>
        <w:ind w:firstLine="0"/>
        <w:jc w:val="center"/>
        <w:rPr>
          <w:rFonts w:hAnsi="宋体"/>
          <w:b/>
          <w:color w:val="auto"/>
          <w:spacing w:val="-6"/>
          <w:sz w:val="24"/>
          <w:highlight w:val="none"/>
        </w:rPr>
      </w:pPr>
    </w:p>
    <w:p>
      <w:pPr>
        <w:pStyle w:val="2"/>
        <w:spacing w:line="480" w:lineRule="auto"/>
        <w:ind w:firstLine="0"/>
        <w:jc w:val="center"/>
        <w:rPr>
          <w:rFonts w:hAnsi="宋体"/>
          <w:b/>
          <w:color w:val="auto"/>
          <w:spacing w:val="-6"/>
          <w:sz w:val="24"/>
          <w:highlight w:val="none"/>
        </w:rPr>
      </w:pPr>
    </w:p>
    <w:p>
      <w:pPr>
        <w:pStyle w:val="2"/>
        <w:spacing w:line="480" w:lineRule="auto"/>
        <w:ind w:firstLine="0"/>
        <w:jc w:val="center"/>
        <w:rPr>
          <w:rFonts w:hAnsi="宋体"/>
          <w:b/>
          <w:color w:val="auto"/>
          <w:spacing w:val="-6"/>
          <w:sz w:val="24"/>
          <w:highlight w:val="none"/>
        </w:rPr>
      </w:pPr>
    </w:p>
    <w:p>
      <w:pPr>
        <w:pStyle w:val="2"/>
        <w:spacing w:line="480" w:lineRule="auto"/>
        <w:ind w:firstLine="0"/>
        <w:jc w:val="center"/>
        <w:rPr>
          <w:rFonts w:hAnsi="宋体"/>
          <w:b/>
          <w:color w:val="auto"/>
          <w:spacing w:val="-6"/>
          <w:sz w:val="24"/>
          <w:highlight w:val="none"/>
        </w:rPr>
      </w:pPr>
    </w:p>
    <w:p>
      <w:pPr>
        <w:pStyle w:val="2"/>
        <w:spacing w:line="360" w:lineRule="auto"/>
        <w:ind w:firstLine="0"/>
        <w:jc w:val="center"/>
        <w:outlineLvl w:val="1"/>
        <w:rPr>
          <w:rFonts w:hAnsi="宋体"/>
          <w:b/>
          <w:color w:val="auto"/>
          <w:spacing w:val="-6"/>
          <w:sz w:val="84"/>
          <w:szCs w:val="84"/>
          <w:highlight w:val="none"/>
        </w:rPr>
      </w:pPr>
      <w:r>
        <w:rPr>
          <w:rFonts w:hint="eastAsia" w:hAnsi="宋体"/>
          <w:b/>
          <w:color w:val="auto"/>
          <w:spacing w:val="-6"/>
          <w:sz w:val="84"/>
          <w:szCs w:val="84"/>
          <w:highlight w:val="none"/>
        </w:rPr>
        <w:t>资格文件</w:t>
      </w:r>
    </w:p>
    <w:p>
      <w:pPr>
        <w:spacing w:line="360" w:lineRule="auto"/>
        <w:jc w:val="center"/>
        <w:rPr>
          <w:rFonts w:hAnsi="宋体"/>
          <w:b/>
          <w:bCs/>
          <w:color w:val="auto"/>
          <w:spacing w:val="-6"/>
          <w:sz w:val="24"/>
          <w:highlight w:val="none"/>
        </w:rPr>
      </w:pPr>
      <w:r>
        <w:rPr>
          <w:rFonts w:hint="eastAsia" w:hAnsi="宋体"/>
          <w:b/>
          <w:bCs/>
          <w:color w:val="auto"/>
          <w:spacing w:val="-6"/>
          <w:sz w:val="24"/>
          <w:highlight w:val="none"/>
        </w:rPr>
        <w:t>资格审查要求的资格证明材料(均需加盖公章)</w:t>
      </w:r>
    </w:p>
    <w:p>
      <w:pPr>
        <w:pStyle w:val="13"/>
        <w:spacing w:line="360" w:lineRule="auto"/>
        <w:ind w:left="0" w:firstLine="0" w:firstLineChars="0"/>
        <w:jc w:val="center"/>
        <w:outlineLvl w:val="2"/>
        <w:rPr>
          <w:rFonts w:hAnsi="宋体"/>
          <w:b/>
          <w:color w:val="auto"/>
          <w:spacing w:val="-6"/>
          <w:sz w:val="24"/>
          <w:highlight w:val="none"/>
        </w:rPr>
      </w:pPr>
      <w:r>
        <w:rPr>
          <w:rFonts w:hint="eastAsia" w:hAnsi="宋体"/>
          <w:b/>
          <w:bCs/>
          <w:color w:val="auto"/>
          <w:spacing w:val="-6"/>
          <w:sz w:val="24"/>
          <w:highlight w:val="none"/>
        </w:rPr>
        <w:br w:type="page"/>
      </w:r>
      <w:r>
        <w:rPr>
          <w:rFonts w:hint="eastAsia" w:hAnsi="宋体"/>
          <w:b/>
          <w:color w:val="auto"/>
          <w:spacing w:val="-6"/>
          <w:sz w:val="24"/>
          <w:highlight w:val="none"/>
        </w:rPr>
        <w:t>有效的法人或者其他组织的营业执照等证明文件，自然人的身份证明</w:t>
      </w:r>
    </w:p>
    <w:p>
      <w:pPr>
        <w:pStyle w:val="13"/>
        <w:spacing w:line="360" w:lineRule="auto"/>
        <w:ind w:left="0" w:firstLine="0" w:firstLineChars="0"/>
        <w:jc w:val="center"/>
        <w:rPr>
          <w:rFonts w:hAnsi="宋体"/>
          <w:b/>
          <w:color w:val="auto"/>
          <w:spacing w:val="-6"/>
          <w:sz w:val="21"/>
          <w:szCs w:val="21"/>
          <w:highlight w:val="none"/>
        </w:rPr>
      </w:pPr>
      <w:r>
        <w:rPr>
          <w:rFonts w:hint="eastAsia" w:hAnsi="宋体"/>
          <w:b/>
          <w:color w:val="auto"/>
          <w:spacing w:val="-6"/>
          <w:sz w:val="21"/>
          <w:szCs w:val="21"/>
          <w:highlight w:val="none"/>
        </w:rPr>
        <w:t>（扫描件）</w:t>
      </w:r>
    </w:p>
    <w:p>
      <w:pPr>
        <w:pStyle w:val="13"/>
        <w:spacing w:line="360" w:lineRule="auto"/>
        <w:ind w:left="0" w:firstLine="0" w:firstLineChars="0"/>
        <w:jc w:val="center"/>
        <w:rPr>
          <w:rFonts w:hAnsi="宋体"/>
          <w:b/>
          <w:color w:val="auto"/>
          <w:spacing w:val="-6"/>
          <w:sz w:val="24"/>
          <w:highlight w:val="none"/>
        </w:rPr>
      </w:pPr>
    </w:p>
    <w:p>
      <w:pPr>
        <w:pStyle w:val="13"/>
        <w:spacing w:line="360" w:lineRule="auto"/>
        <w:ind w:left="0" w:firstLine="0" w:firstLineChars="0"/>
        <w:jc w:val="center"/>
        <w:rPr>
          <w:rFonts w:hAnsi="宋体"/>
          <w:b/>
          <w:color w:val="auto"/>
          <w:spacing w:val="-6"/>
          <w:sz w:val="24"/>
          <w:highlight w:val="none"/>
        </w:rPr>
      </w:pPr>
    </w:p>
    <w:p>
      <w:pPr>
        <w:pStyle w:val="13"/>
        <w:spacing w:line="360" w:lineRule="auto"/>
        <w:ind w:left="0" w:firstLine="0" w:firstLineChars="0"/>
        <w:jc w:val="center"/>
        <w:rPr>
          <w:rFonts w:hAnsi="宋体"/>
          <w:b/>
          <w:color w:val="auto"/>
          <w:spacing w:val="-6"/>
          <w:sz w:val="24"/>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ascii="宋体" w:hAnsi="宋体"/>
          <w:b/>
          <w:color w:val="auto"/>
          <w:spacing w:val="-6"/>
          <w:sz w:val="21"/>
          <w:szCs w:val="21"/>
          <w:highlight w:val="none"/>
        </w:rPr>
        <w:t>：</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如供应商是企业（包括合伙企业），提供在工商部门注册的有效“企业法人营业执照”或“营业执照”；</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如供应商是事业单位，提供有效的“事业单位法人证书”；</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如供应商是非企业专业服务机构的，提供执业许可证等证明文件；</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4</w:t>
      </w:r>
      <w:r>
        <w:rPr>
          <w:rFonts w:ascii="宋体" w:hAnsi="宋体"/>
          <w:b/>
          <w:color w:val="auto"/>
          <w:sz w:val="21"/>
          <w:szCs w:val="21"/>
          <w:highlight w:val="none"/>
        </w:rPr>
        <w:t>.</w:t>
      </w:r>
      <w:r>
        <w:rPr>
          <w:rFonts w:hint="eastAsia" w:ascii="宋体" w:hAnsi="宋体"/>
          <w:b/>
          <w:color w:val="auto"/>
          <w:sz w:val="21"/>
          <w:szCs w:val="21"/>
          <w:highlight w:val="none"/>
        </w:rPr>
        <w:t>如供应商是个体工商户，提供有效的“个体工商户营业执照”；</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5</w:t>
      </w:r>
      <w:r>
        <w:rPr>
          <w:rFonts w:ascii="宋体" w:hAnsi="宋体"/>
          <w:b/>
          <w:color w:val="auto"/>
          <w:sz w:val="21"/>
          <w:szCs w:val="21"/>
          <w:highlight w:val="none"/>
        </w:rPr>
        <w:t>.</w:t>
      </w:r>
      <w:r>
        <w:rPr>
          <w:rFonts w:hint="eastAsia" w:ascii="宋体" w:hAnsi="宋体"/>
          <w:b/>
          <w:color w:val="auto"/>
          <w:sz w:val="21"/>
          <w:szCs w:val="21"/>
          <w:highlight w:val="none"/>
        </w:rPr>
        <w:t>如供应商是自然人，提供有效的自然人身份证明。</w:t>
      </w:r>
    </w:p>
    <w:p>
      <w:pPr>
        <w:pStyle w:val="13"/>
        <w:spacing w:line="360" w:lineRule="auto"/>
        <w:ind w:left="0" w:firstLine="0" w:firstLineChars="0"/>
        <w:jc w:val="center"/>
        <w:outlineLvl w:val="2"/>
        <w:rPr>
          <w:rFonts w:hAnsi="宋体"/>
          <w:bCs/>
          <w:color w:val="auto"/>
          <w:spacing w:val="-6"/>
          <w:sz w:val="24"/>
          <w:highlight w:val="none"/>
        </w:rPr>
      </w:pPr>
      <w:r>
        <w:rPr>
          <w:rFonts w:hint="eastAsia" w:ascii="宋体" w:hAnsi="宋体"/>
          <w:b/>
          <w:color w:val="auto"/>
          <w:sz w:val="21"/>
          <w:szCs w:val="21"/>
          <w:highlight w:val="none"/>
        </w:rPr>
        <w:br w:type="page"/>
      </w:r>
      <w:r>
        <w:rPr>
          <w:rFonts w:hint="eastAsia" w:ascii="宋体" w:hAnsi="宋体" w:cs="宋体"/>
          <w:b/>
          <w:color w:val="auto"/>
          <w:spacing w:val="-6"/>
          <w:sz w:val="24"/>
          <w:highlight w:val="none"/>
        </w:rPr>
        <w:t>2018年12月至今任意一月的财务状况报告或响应文件开启前三个月内出具的银行资信证明</w:t>
      </w:r>
    </w:p>
    <w:p>
      <w:pPr>
        <w:pStyle w:val="13"/>
        <w:spacing w:line="360" w:lineRule="auto"/>
        <w:ind w:left="0" w:firstLine="0" w:firstLineChars="0"/>
        <w:jc w:val="center"/>
        <w:rPr>
          <w:rFonts w:hAnsi="宋体"/>
          <w:b/>
          <w:color w:val="auto"/>
          <w:spacing w:val="-6"/>
          <w:sz w:val="21"/>
          <w:szCs w:val="21"/>
          <w:highlight w:val="none"/>
        </w:rPr>
      </w:pPr>
      <w:r>
        <w:rPr>
          <w:rFonts w:hint="eastAsia" w:hAnsi="宋体"/>
          <w:b/>
          <w:color w:val="auto"/>
          <w:spacing w:val="-6"/>
          <w:sz w:val="21"/>
          <w:szCs w:val="21"/>
          <w:highlight w:val="none"/>
        </w:rPr>
        <w:t>（扫描件）</w:t>
      </w:r>
    </w:p>
    <w:p>
      <w:pPr>
        <w:pStyle w:val="13"/>
        <w:spacing w:line="360" w:lineRule="auto"/>
        <w:ind w:left="0" w:firstLine="0" w:firstLineChars="0"/>
        <w:jc w:val="center"/>
        <w:rPr>
          <w:rFonts w:hAnsi="宋体"/>
          <w:bCs/>
          <w:color w:val="auto"/>
          <w:spacing w:val="-6"/>
          <w:sz w:val="24"/>
          <w:highlight w:val="none"/>
        </w:rPr>
      </w:pPr>
    </w:p>
    <w:p>
      <w:pPr>
        <w:pStyle w:val="13"/>
        <w:spacing w:line="360" w:lineRule="auto"/>
        <w:ind w:left="0" w:firstLine="0" w:firstLineChars="0"/>
        <w:jc w:val="center"/>
        <w:rPr>
          <w:rFonts w:hAnsi="宋体"/>
          <w:bCs/>
          <w:color w:val="auto"/>
          <w:spacing w:val="-6"/>
          <w:sz w:val="24"/>
          <w:highlight w:val="none"/>
        </w:rPr>
      </w:pPr>
    </w:p>
    <w:p>
      <w:pPr>
        <w:pStyle w:val="13"/>
        <w:spacing w:line="360" w:lineRule="auto"/>
        <w:ind w:left="0" w:firstLine="0" w:firstLineChars="0"/>
        <w:jc w:val="center"/>
        <w:rPr>
          <w:rFonts w:hAnsi="宋体"/>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1.供应商是法人的，应提供财务状况报告，包括2018年12月至今任意一月的资产负债表及利润表或响应文件开启前三个月内其基本开户银行出具的资信证明</w:t>
      </w:r>
      <w:r>
        <w:rPr>
          <w:rFonts w:hint="eastAsia" w:ascii="宋体" w:hAnsi="宋体"/>
          <w:b/>
          <w:color w:val="auto"/>
          <w:spacing w:val="-6"/>
          <w:sz w:val="21"/>
          <w:szCs w:val="21"/>
          <w:highlight w:val="none"/>
        </w:rPr>
        <w:t>（若资信证明中注明复印无效，需提交正本扫描件）</w:t>
      </w:r>
      <w:r>
        <w:rPr>
          <w:rFonts w:hint="eastAsia" w:ascii="宋体" w:hAnsi="宋体"/>
          <w:b/>
          <w:bCs/>
          <w:color w:val="auto"/>
          <w:spacing w:val="-6"/>
          <w:sz w:val="21"/>
          <w:szCs w:val="21"/>
          <w:highlight w:val="none"/>
        </w:rPr>
        <w:t>，并加盖公章；</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2.部分其他组织和自然人没有财务状况报告的，可以提供银行出具的资信证明；</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银行资信证明应能说明供应商与银行之间业务往来正常，企业信誉良好等，</w:t>
      </w:r>
      <w:r>
        <w:rPr>
          <w:rFonts w:hint="eastAsia" w:ascii="宋体" w:hAnsi="宋体"/>
          <w:b/>
          <w:color w:val="auto"/>
          <w:spacing w:val="-6"/>
          <w:sz w:val="21"/>
          <w:szCs w:val="21"/>
          <w:highlight w:val="none"/>
        </w:rPr>
        <w:t>银行出具的存款证明不能替代银行资信证明</w:t>
      </w:r>
      <w:r>
        <w:rPr>
          <w:rFonts w:hint="eastAsia" w:ascii="宋体" w:hAnsi="宋体"/>
          <w:b/>
          <w:bCs/>
          <w:color w:val="auto"/>
          <w:spacing w:val="-6"/>
          <w:sz w:val="21"/>
          <w:szCs w:val="21"/>
          <w:highlight w:val="none"/>
        </w:rPr>
        <w:t>。</w:t>
      </w:r>
    </w:p>
    <w:p>
      <w:pPr>
        <w:pStyle w:val="2"/>
        <w:spacing w:line="360" w:lineRule="auto"/>
        <w:ind w:firstLine="0"/>
        <w:jc w:val="center"/>
        <w:outlineLvl w:val="2"/>
        <w:rPr>
          <w:rFonts w:hAnsi="宋体"/>
          <w:b/>
          <w:color w:val="auto"/>
          <w:spacing w:val="-6"/>
          <w:sz w:val="24"/>
          <w:szCs w:val="24"/>
          <w:highlight w:val="none"/>
        </w:rPr>
      </w:pPr>
      <w:r>
        <w:rPr>
          <w:rFonts w:hint="eastAsia" w:hAnsi="宋体"/>
          <w:b/>
          <w:bCs/>
          <w:color w:val="auto"/>
          <w:spacing w:val="-6"/>
          <w:sz w:val="21"/>
          <w:szCs w:val="21"/>
          <w:highlight w:val="none"/>
        </w:rPr>
        <w:br w:type="page"/>
      </w:r>
      <w:r>
        <w:rPr>
          <w:rFonts w:hint="eastAsia" w:hAnsi="宋体"/>
          <w:b/>
          <w:color w:val="auto"/>
          <w:spacing w:val="-6"/>
          <w:sz w:val="24"/>
          <w:szCs w:val="24"/>
          <w:highlight w:val="none"/>
        </w:rPr>
        <w:t>2019年1月至今任意一月依法缴纳税收的证明材料</w:t>
      </w:r>
    </w:p>
    <w:p>
      <w:pPr>
        <w:pStyle w:val="2"/>
        <w:spacing w:line="360" w:lineRule="auto"/>
        <w:ind w:firstLine="0"/>
        <w:jc w:val="center"/>
        <w:rPr>
          <w:rFonts w:hAnsi="宋体"/>
          <w:b/>
          <w:bCs/>
          <w:color w:val="auto"/>
          <w:spacing w:val="-6"/>
          <w:sz w:val="21"/>
          <w:szCs w:val="21"/>
          <w:highlight w:val="none"/>
        </w:rPr>
      </w:pPr>
      <w:r>
        <w:rPr>
          <w:rFonts w:hint="eastAsia" w:hAnsi="宋体"/>
          <w:b/>
          <w:bCs/>
          <w:color w:val="auto"/>
          <w:spacing w:val="-6"/>
          <w:sz w:val="21"/>
          <w:szCs w:val="21"/>
          <w:highlight w:val="none"/>
        </w:rPr>
        <w:t>（依法免税的供应商应提供相应文件证明其依法免税）</w:t>
      </w:r>
    </w:p>
    <w:p>
      <w:pPr>
        <w:pStyle w:val="13"/>
        <w:spacing w:line="360" w:lineRule="auto"/>
        <w:ind w:left="0" w:firstLine="0" w:firstLineChars="0"/>
        <w:jc w:val="center"/>
        <w:rPr>
          <w:rFonts w:hAnsi="宋体"/>
          <w:b/>
          <w:color w:val="auto"/>
          <w:spacing w:val="-6"/>
          <w:sz w:val="21"/>
          <w:szCs w:val="21"/>
          <w:highlight w:val="none"/>
        </w:rPr>
      </w:pPr>
      <w:r>
        <w:rPr>
          <w:rFonts w:hint="eastAsia" w:hAnsi="宋体"/>
          <w:b/>
          <w:color w:val="auto"/>
          <w:spacing w:val="-6"/>
          <w:sz w:val="21"/>
          <w:szCs w:val="21"/>
          <w:highlight w:val="none"/>
        </w:rPr>
        <w:t>（扫描件）</w:t>
      </w:r>
    </w:p>
    <w:p>
      <w:pPr>
        <w:pStyle w:val="2"/>
        <w:spacing w:line="360" w:lineRule="auto"/>
        <w:ind w:firstLine="0"/>
        <w:jc w:val="center"/>
        <w:rPr>
          <w:rFonts w:hAnsi="宋体"/>
          <w:color w:val="auto"/>
          <w:spacing w:val="-6"/>
          <w:sz w:val="24"/>
          <w:szCs w:val="24"/>
          <w:highlight w:val="none"/>
        </w:rPr>
      </w:pPr>
    </w:p>
    <w:p>
      <w:pPr>
        <w:pStyle w:val="2"/>
        <w:spacing w:line="360" w:lineRule="auto"/>
        <w:ind w:firstLine="0"/>
        <w:jc w:val="center"/>
        <w:rPr>
          <w:rFonts w:hAnsi="宋体"/>
          <w:color w:val="auto"/>
          <w:spacing w:val="-6"/>
          <w:sz w:val="24"/>
          <w:szCs w:val="24"/>
          <w:highlight w:val="none"/>
        </w:rPr>
      </w:pPr>
    </w:p>
    <w:p>
      <w:pPr>
        <w:pStyle w:val="2"/>
        <w:spacing w:line="360" w:lineRule="auto"/>
        <w:ind w:firstLine="0"/>
        <w:jc w:val="center"/>
        <w:rPr>
          <w:rFonts w:hAnsi="宋体"/>
          <w:color w:val="auto"/>
          <w:spacing w:val="-6"/>
          <w:sz w:val="24"/>
          <w:szCs w:val="24"/>
          <w:highlight w:val="none"/>
        </w:rPr>
      </w:pPr>
    </w:p>
    <w:p>
      <w:pPr>
        <w:pStyle w:val="13"/>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依法缴纳税收的证明材料指供应商依法缴纳税收的凭据（完税证明或</w:t>
      </w:r>
      <w:r>
        <w:rPr>
          <w:rFonts w:ascii="宋体" w:hAnsi="宋体"/>
          <w:b/>
          <w:color w:val="auto"/>
          <w:sz w:val="21"/>
          <w:szCs w:val="21"/>
          <w:highlight w:val="none"/>
        </w:rPr>
        <w:t>纳税证明</w:t>
      </w:r>
      <w:r>
        <w:rPr>
          <w:rFonts w:hint="eastAsia" w:ascii="宋体" w:hAnsi="宋体"/>
          <w:b/>
          <w:color w:val="auto"/>
          <w:sz w:val="21"/>
          <w:szCs w:val="21"/>
          <w:highlight w:val="none"/>
        </w:rPr>
        <w:t>或银行电子缴税付款凭证等）；</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依法免税的供应商应提供相应文件证明其依法免税；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供应商因新注册成立等原因无法提供相关材料的，应在响应文件中提交如实的情况说明。</w:t>
      </w:r>
    </w:p>
    <w:p>
      <w:pPr>
        <w:pStyle w:val="2"/>
        <w:spacing w:line="360" w:lineRule="auto"/>
        <w:ind w:firstLine="0"/>
        <w:jc w:val="center"/>
        <w:outlineLvl w:val="2"/>
        <w:rPr>
          <w:rFonts w:hAnsi="宋体"/>
          <w:b/>
          <w:color w:val="auto"/>
          <w:spacing w:val="-6"/>
          <w:sz w:val="24"/>
          <w:szCs w:val="24"/>
          <w:highlight w:val="none"/>
        </w:rPr>
      </w:pPr>
      <w:r>
        <w:rPr>
          <w:rFonts w:hint="eastAsia" w:hAnsi="宋体"/>
          <w:b/>
          <w:color w:val="auto"/>
          <w:sz w:val="21"/>
          <w:szCs w:val="21"/>
          <w:highlight w:val="none"/>
        </w:rPr>
        <w:br w:type="page"/>
      </w:r>
      <w:r>
        <w:rPr>
          <w:rFonts w:hint="eastAsia" w:hAnsi="宋体"/>
          <w:b/>
          <w:color w:val="auto"/>
          <w:spacing w:val="-6"/>
          <w:sz w:val="24"/>
          <w:szCs w:val="24"/>
          <w:highlight w:val="none"/>
        </w:rPr>
        <w:t>2019年1月至今任意一月依法缴纳社会保障资金的证明材料</w:t>
      </w:r>
    </w:p>
    <w:p>
      <w:pPr>
        <w:pStyle w:val="2"/>
        <w:spacing w:line="360" w:lineRule="auto"/>
        <w:ind w:firstLine="0"/>
        <w:jc w:val="center"/>
        <w:rPr>
          <w:rFonts w:hAnsi="宋体"/>
          <w:b/>
          <w:bCs/>
          <w:color w:val="auto"/>
          <w:spacing w:val="-6"/>
          <w:sz w:val="21"/>
          <w:szCs w:val="21"/>
          <w:highlight w:val="none"/>
        </w:rPr>
      </w:pPr>
      <w:r>
        <w:rPr>
          <w:rFonts w:hint="eastAsia" w:hAnsi="宋体"/>
          <w:b/>
          <w:bCs/>
          <w:color w:val="auto"/>
          <w:spacing w:val="-6"/>
          <w:sz w:val="21"/>
          <w:szCs w:val="21"/>
          <w:highlight w:val="none"/>
        </w:rPr>
        <w:t>（依法不需要缴纳社会保障资金的供应商应提供相应文件证明其依法不需要缴纳社会保障资金）</w:t>
      </w:r>
    </w:p>
    <w:p>
      <w:pPr>
        <w:pStyle w:val="13"/>
        <w:spacing w:line="360" w:lineRule="auto"/>
        <w:ind w:left="0" w:firstLine="0" w:firstLineChars="0"/>
        <w:jc w:val="center"/>
        <w:rPr>
          <w:rFonts w:hAnsi="宋体"/>
          <w:b/>
          <w:color w:val="auto"/>
          <w:spacing w:val="-6"/>
          <w:sz w:val="21"/>
          <w:szCs w:val="21"/>
          <w:highlight w:val="none"/>
        </w:rPr>
      </w:pPr>
      <w:r>
        <w:rPr>
          <w:rFonts w:hint="eastAsia" w:hAnsi="宋体"/>
          <w:b/>
          <w:color w:val="auto"/>
          <w:spacing w:val="-6"/>
          <w:sz w:val="21"/>
          <w:szCs w:val="21"/>
          <w:highlight w:val="none"/>
        </w:rPr>
        <w:t>（扫描件）</w:t>
      </w:r>
    </w:p>
    <w:p>
      <w:pPr>
        <w:pStyle w:val="2"/>
        <w:spacing w:line="360" w:lineRule="auto"/>
        <w:ind w:firstLine="0"/>
        <w:jc w:val="center"/>
        <w:rPr>
          <w:rFonts w:hAnsi="宋体"/>
          <w:color w:val="auto"/>
          <w:spacing w:val="-6"/>
          <w:sz w:val="24"/>
          <w:szCs w:val="24"/>
          <w:highlight w:val="none"/>
        </w:rPr>
      </w:pPr>
    </w:p>
    <w:p>
      <w:pPr>
        <w:pStyle w:val="2"/>
        <w:spacing w:line="360" w:lineRule="auto"/>
        <w:ind w:firstLine="0"/>
        <w:jc w:val="center"/>
        <w:rPr>
          <w:rFonts w:hAnsi="宋体"/>
          <w:color w:val="auto"/>
          <w:spacing w:val="-6"/>
          <w:sz w:val="24"/>
          <w:szCs w:val="24"/>
          <w:highlight w:val="none"/>
        </w:rPr>
      </w:pPr>
    </w:p>
    <w:p>
      <w:pPr>
        <w:pStyle w:val="2"/>
        <w:spacing w:line="360" w:lineRule="auto"/>
        <w:ind w:firstLine="0"/>
        <w:jc w:val="center"/>
        <w:rPr>
          <w:rFonts w:hAnsi="宋体"/>
          <w:color w:val="auto"/>
          <w:spacing w:val="-6"/>
          <w:sz w:val="24"/>
          <w:szCs w:val="24"/>
          <w:highlight w:val="none"/>
        </w:rPr>
      </w:pPr>
    </w:p>
    <w:p>
      <w:pPr>
        <w:pStyle w:val="13"/>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依法缴纳社会保障资金的证明材料指供应商依法缴纳社会保险的凭据（社保缴费专用收据或银行电子缴税付款凭证或社会保险缴纳清单等）；</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依法不需要缴纳社会保障资金的供应商应提供相应文件证明其依法不需要缴纳社会保障资金；</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供应商因新注册成立等原因无法提供相关材料的，应在响应文件中提交如实的情况说明。</w:t>
      </w:r>
    </w:p>
    <w:p>
      <w:pPr>
        <w:widowControl/>
        <w:spacing w:line="360" w:lineRule="auto"/>
        <w:jc w:val="center"/>
        <w:outlineLvl w:val="2"/>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具有履行合同所必需的设备和专业技术能力的承诺函</w:t>
      </w:r>
    </w:p>
    <w:p>
      <w:pPr>
        <w:widowControl/>
        <w:spacing w:line="360"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w:t>
      </w:r>
      <w:r>
        <w:rPr>
          <w:rFonts w:ascii="宋体" w:hAnsi="宋体"/>
          <w:b/>
          <w:color w:val="auto"/>
          <w:spacing w:val="-6"/>
          <w:sz w:val="21"/>
          <w:szCs w:val="21"/>
          <w:highlight w:val="none"/>
        </w:rPr>
        <w:t>格式自拟）</w:t>
      </w: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widowControl/>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widowControl/>
        <w:spacing w:line="360" w:lineRule="auto"/>
        <w:jc w:val="center"/>
        <w:outlineLvl w:val="2"/>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参加政府采购活动前3年内在经营活动中没有重大违法记录的书面声明</w:t>
      </w:r>
    </w:p>
    <w:p>
      <w:pPr>
        <w:pStyle w:val="13"/>
        <w:spacing w:line="360" w:lineRule="auto"/>
        <w:ind w:left="169" w:hanging="169" w:hangingChars="74"/>
        <w:jc w:val="center"/>
        <w:rPr>
          <w:rFonts w:ascii="宋体" w:hAnsi="宋体"/>
          <w:b/>
          <w:color w:val="auto"/>
          <w:spacing w:val="-6"/>
          <w:sz w:val="24"/>
          <w:highlight w:val="none"/>
        </w:rPr>
      </w:pPr>
      <w:r>
        <w:rPr>
          <w:rFonts w:hint="eastAsia" w:ascii="宋体" w:hAnsi="宋体"/>
          <w:b/>
          <w:color w:val="auto"/>
          <w:spacing w:val="-6"/>
          <w:sz w:val="24"/>
          <w:highlight w:val="none"/>
        </w:rPr>
        <w:t>声明函</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致：浙江财经大学、浙江建友工程咨询有限公司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我公司郑重承诺在参加本项目政府采购活动前三年内，在经营活动中</w:t>
      </w:r>
      <w:r>
        <w:rPr>
          <w:rFonts w:hint="eastAsia" w:ascii="宋体" w:hAnsi="宋体"/>
          <w:b/>
          <w:color w:val="auto"/>
          <w:spacing w:val="-6"/>
          <w:sz w:val="24"/>
          <w:highlight w:val="none"/>
          <w:u w:val="single"/>
        </w:rPr>
        <w:t xml:space="preserve">     </w:t>
      </w:r>
      <w:r>
        <w:rPr>
          <w:rFonts w:hint="eastAsia" w:ascii="宋体" w:hAnsi="宋体"/>
          <w:b/>
          <w:color w:val="auto"/>
          <w:spacing w:val="-6"/>
          <w:sz w:val="24"/>
          <w:highlight w:val="none"/>
        </w:rPr>
        <w:t>（填写“有”或“没有”，如实填写，如不填写视同未提供本声明函）</w:t>
      </w:r>
      <w:r>
        <w:rPr>
          <w:rFonts w:hint="eastAsia" w:ascii="宋体" w:hAnsi="宋体"/>
          <w:color w:val="auto"/>
          <w:spacing w:val="-6"/>
          <w:sz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color w:val="auto"/>
          <w:spacing w:val="-6"/>
          <w:sz w:val="24"/>
          <w:highlight w:val="none"/>
        </w:rPr>
      </w:pPr>
      <w:r>
        <w:rPr>
          <w:rFonts w:hAnsi="宋体"/>
          <w:color w:val="auto"/>
          <w:spacing w:val="-6"/>
          <w:sz w:val="24"/>
          <w:highlight w:val="none"/>
        </w:rPr>
        <w:t>以上事项如有虚假或隐瞒，我方愿意承担一切后果和责任。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特此声明。</w:t>
      </w:r>
    </w:p>
    <w:p>
      <w:pPr>
        <w:spacing w:line="360" w:lineRule="auto"/>
        <w:rPr>
          <w:rFonts w:ascii="宋体" w:hAnsi="宋体"/>
          <w:color w:val="auto"/>
          <w:spacing w:val="-6"/>
          <w:sz w:val="24"/>
          <w:highlight w:val="none"/>
        </w:rPr>
      </w:pPr>
    </w:p>
    <w:p>
      <w:pPr>
        <w:pStyle w:val="19"/>
        <w:spacing w:line="360" w:lineRule="auto"/>
        <w:rPr>
          <w:rFonts w:ascii="宋体" w:hAnsi="宋体"/>
          <w:color w:val="auto"/>
          <w:spacing w:val="-6"/>
          <w:highlight w:val="none"/>
        </w:rPr>
      </w:pPr>
    </w:p>
    <w:p>
      <w:pPr>
        <w:pStyle w:val="20"/>
        <w:spacing w:line="360" w:lineRule="auto"/>
        <w:ind w:left="0"/>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widowControl/>
        <w:tabs>
          <w:tab w:val="left" w:pos="3225"/>
        </w:tabs>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bookmarkEnd w:id="76"/>
      <w:bookmarkEnd w:id="77"/>
    </w:p>
    <w:p>
      <w:pPr>
        <w:pStyle w:val="2"/>
        <w:spacing w:line="480" w:lineRule="auto"/>
        <w:ind w:firstLine="0"/>
        <w:jc w:val="center"/>
        <w:rPr>
          <w:rFonts w:hAnsi="宋体"/>
          <w:b/>
          <w:color w:val="auto"/>
          <w:spacing w:val="-6"/>
          <w:sz w:val="24"/>
          <w:highlight w:val="none"/>
        </w:rPr>
      </w:pPr>
      <w:r>
        <w:rPr>
          <w:rFonts w:hint="eastAsia" w:hAnsi="宋体"/>
          <w:color w:val="auto"/>
          <w:spacing w:val="-6"/>
          <w:sz w:val="24"/>
          <w:highlight w:val="none"/>
        </w:rPr>
        <w:br w:type="page"/>
      </w:r>
    </w:p>
    <w:p>
      <w:pPr>
        <w:pStyle w:val="2"/>
        <w:spacing w:line="480" w:lineRule="auto"/>
        <w:ind w:firstLine="0"/>
        <w:jc w:val="center"/>
        <w:rPr>
          <w:rFonts w:hAnsi="宋体"/>
          <w:b/>
          <w:color w:val="auto"/>
          <w:spacing w:val="-6"/>
          <w:sz w:val="24"/>
          <w:highlight w:val="none"/>
        </w:rPr>
      </w:pPr>
    </w:p>
    <w:p>
      <w:pPr>
        <w:pStyle w:val="2"/>
        <w:spacing w:line="480" w:lineRule="auto"/>
        <w:ind w:firstLine="0"/>
        <w:jc w:val="center"/>
        <w:rPr>
          <w:rFonts w:hAnsi="宋体"/>
          <w:b/>
          <w:color w:val="auto"/>
          <w:spacing w:val="-6"/>
          <w:sz w:val="24"/>
          <w:highlight w:val="none"/>
        </w:rPr>
      </w:pPr>
    </w:p>
    <w:p>
      <w:pPr>
        <w:pStyle w:val="2"/>
        <w:spacing w:line="480" w:lineRule="auto"/>
        <w:ind w:firstLine="0"/>
        <w:jc w:val="center"/>
        <w:rPr>
          <w:rFonts w:hAnsi="宋体"/>
          <w:b/>
          <w:color w:val="auto"/>
          <w:spacing w:val="-6"/>
          <w:sz w:val="24"/>
          <w:highlight w:val="none"/>
        </w:rPr>
      </w:pPr>
    </w:p>
    <w:p>
      <w:pPr>
        <w:pStyle w:val="2"/>
        <w:spacing w:line="480" w:lineRule="auto"/>
        <w:ind w:firstLine="0"/>
        <w:jc w:val="center"/>
        <w:rPr>
          <w:rFonts w:hAnsi="宋体"/>
          <w:b/>
          <w:color w:val="auto"/>
          <w:spacing w:val="-6"/>
          <w:sz w:val="24"/>
          <w:highlight w:val="none"/>
        </w:rPr>
      </w:pPr>
    </w:p>
    <w:p>
      <w:pPr>
        <w:pStyle w:val="2"/>
        <w:spacing w:line="480" w:lineRule="auto"/>
        <w:ind w:firstLine="0"/>
        <w:jc w:val="center"/>
        <w:rPr>
          <w:rFonts w:hAnsi="宋体"/>
          <w:b/>
          <w:color w:val="auto"/>
          <w:spacing w:val="-6"/>
          <w:sz w:val="24"/>
          <w:highlight w:val="none"/>
        </w:rPr>
      </w:pPr>
    </w:p>
    <w:p>
      <w:pPr>
        <w:pStyle w:val="2"/>
        <w:spacing w:line="480" w:lineRule="auto"/>
        <w:ind w:firstLine="0"/>
        <w:jc w:val="center"/>
        <w:rPr>
          <w:rFonts w:hAnsi="宋体"/>
          <w:b/>
          <w:color w:val="auto"/>
          <w:spacing w:val="-6"/>
          <w:sz w:val="24"/>
          <w:highlight w:val="none"/>
        </w:rPr>
      </w:pPr>
    </w:p>
    <w:p>
      <w:pPr>
        <w:pStyle w:val="2"/>
        <w:spacing w:line="480" w:lineRule="auto"/>
        <w:ind w:firstLine="0"/>
        <w:jc w:val="center"/>
        <w:rPr>
          <w:rFonts w:hAnsi="宋体"/>
          <w:b/>
          <w:color w:val="auto"/>
          <w:spacing w:val="-6"/>
          <w:sz w:val="24"/>
          <w:highlight w:val="none"/>
        </w:rPr>
      </w:pPr>
    </w:p>
    <w:p>
      <w:pPr>
        <w:pStyle w:val="7"/>
        <w:overflowPunct w:val="0"/>
        <w:spacing w:line="360" w:lineRule="auto"/>
        <w:ind w:firstLine="0"/>
        <w:jc w:val="center"/>
        <w:outlineLvl w:val="1"/>
        <w:rPr>
          <w:rFonts w:ascii="宋体" w:hAnsi="宋体"/>
          <w:b/>
          <w:color w:val="auto"/>
          <w:spacing w:val="-6"/>
          <w:sz w:val="52"/>
          <w:szCs w:val="52"/>
          <w:highlight w:val="none"/>
        </w:rPr>
      </w:pPr>
      <w:r>
        <w:rPr>
          <w:rFonts w:hint="eastAsia" w:ascii="宋体" w:hAnsi="宋体"/>
          <w:b/>
          <w:color w:val="auto"/>
          <w:spacing w:val="-6"/>
          <w:sz w:val="84"/>
          <w:szCs w:val="84"/>
          <w:highlight w:val="none"/>
        </w:rPr>
        <w:t>报价文件</w:t>
      </w:r>
    </w:p>
    <w:p>
      <w:pPr>
        <w:spacing w:line="360" w:lineRule="auto"/>
        <w:jc w:val="center"/>
        <w:outlineLvl w:val="2"/>
        <w:rPr>
          <w:rFonts w:ascii="宋体" w:hAnsi="宋体"/>
          <w:b/>
          <w:color w:val="auto"/>
          <w:spacing w:val="-6"/>
          <w:sz w:val="24"/>
          <w:highlight w:val="none"/>
        </w:rPr>
      </w:pPr>
      <w:r>
        <w:rPr>
          <w:rFonts w:hint="eastAsia" w:ascii="宋体" w:hAnsi="宋体"/>
          <w:b/>
          <w:color w:val="auto"/>
          <w:spacing w:val="-6"/>
          <w:sz w:val="24"/>
          <w:highlight w:val="none"/>
        </w:rPr>
        <w:br w:type="page"/>
      </w:r>
      <w:r>
        <w:rPr>
          <w:rFonts w:hint="eastAsia" w:ascii="宋体" w:hAnsi="宋体"/>
          <w:b/>
          <w:color w:val="auto"/>
          <w:spacing w:val="-6"/>
          <w:sz w:val="24"/>
          <w:highlight w:val="none"/>
        </w:rPr>
        <w:t>初次报价一览表</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人：浙江财经大学</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rPr>
        <w:t>一站式网上服务大厅（三期）</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项目编号：</w:t>
      </w:r>
      <w:r>
        <w:rPr>
          <w:rFonts w:hint="eastAsia" w:ascii="宋体" w:hAnsi="宋体"/>
          <w:bCs/>
          <w:color w:val="auto"/>
          <w:spacing w:val="-6"/>
          <w:sz w:val="24"/>
          <w:highlight w:val="none"/>
        </w:rPr>
        <w:t>ZJJY-20200623-02</w:t>
      </w:r>
    </w:p>
    <w:tbl>
      <w:tblPr>
        <w:tblStyle w:val="1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响应报价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p>
          <w:p>
            <w:pPr>
              <w:rPr>
                <w:rFonts w:ascii="宋体" w:hAnsi="宋体" w:cs="宋体"/>
                <w:b/>
                <w:bCs/>
                <w:color w:val="auto"/>
                <w:sz w:val="21"/>
                <w:szCs w:val="21"/>
                <w:highlight w:val="none"/>
              </w:rPr>
            </w:pPr>
            <w:r>
              <w:rPr>
                <w:rFonts w:hint="eastAsia" w:ascii="宋体" w:hAnsi="宋体" w:cs="宋体"/>
                <w:b/>
                <w:bCs/>
                <w:color w:val="auto"/>
                <w:sz w:val="21"/>
                <w:szCs w:val="21"/>
                <w:highlight w:val="none"/>
              </w:rPr>
              <w:t>金额大写：</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，小写：</w:t>
            </w:r>
            <w:r>
              <w:rPr>
                <w:rFonts w:hint="eastAsia" w:ascii="宋体" w:hAnsi="宋体" w:cs="宋体"/>
                <w:b/>
                <w:bCs/>
                <w:color w:val="auto"/>
                <w:sz w:val="21"/>
                <w:szCs w:val="21"/>
                <w:highlight w:val="none"/>
                <w:u w:val="single"/>
              </w:rPr>
              <w:t xml:space="preserve">                         </w:t>
            </w:r>
          </w:p>
          <w:p>
            <w:pPr>
              <w:rPr>
                <w:rFonts w:ascii="宋体" w:hAnsi="宋体" w:cs="宋体"/>
                <w:b/>
                <w:bCs/>
                <w:color w:val="auto"/>
                <w:sz w:val="21"/>
                <w:szCs w:val="21"/>
                <w:highlight w:val="none"/>
              </w:rPr>
            </w:pPr>
          </w:p>
          <w:p>
            <w:pPr>
              <w:rPr>
                <w:rFonts w:ascii="宋体" w:hAnsi="宋体" w:cs="宋体"/>
                <w:color w:val="auto"/>
                <w:sz w:val="21"/>
                <w:szCs w:val="21"/>
                <w:highlight w:val="none"/>
              </w:rPr>
            </w:pPr>
            <w:r>
              <w:rPr>
                <w:rFonts w:hint="eastAsia" w:ascii="宋体" w:hAnsi="宋体" w:cs="宋体"/>
                <w:b/>
                <w:bCs/>
                <w:color w:val="auto"/>
                <w:sz w:val="21"/>
                <w:szCs w:val="21"/>
                <w:highlight w:val="none"/>
              </w:rPr>
              <w:t>单位：人民币元</w:t>
            </w:r>
          </w:p>
        </w:tc>
      </w:tr>
    </w:tbl>
    <w:p>
      <w:pPr>
        <w:spacing w:line="360" w:lineRule="auto"/>
        <w:jc w:val="left"/>
        <w:rPr>
          <w:rFonts w:ascii="宋体" w:hAnsi="宋体"/>
          <w:b/>
          <w:color w:val="auto"/>
          <w:spacing w:val="-6"/>
          <w:sz w:val="21"/>
          <w:szCs w:val="21"/>
          <w:highlight w:val="none"/>
        </w:rPr>
      </w:pPr>
    </w:p>
    <w:p>
      <w:pPr>
        <w:spacing w:line="360" w:lineRule="auto"/>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响应报价包括维修费、安装费、调试费、检测费、验收费（通过验收直至交付用户使用，达到使用要求及质量标准）、培训费、投标费、合同包含的所有风险责任等各项费用及不可预见费、免费维护期内保修服务等所需的全部费用。</w:t>
      </w:r>
    </w:p>
    <w:p>
      <w:pPr>
        <w:spacing w:line="360" w:lineRule="auto"/>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以上报价应与“初次报价明细表”中的“响应总价”相一致。</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此表在不改变格式要求的情况下，可自行制作。</w:t>
      </w:r>
    </w:p>
    <w:p>
      <w:pPr>
        <w:pStyle w:val="19"/>
        <w:spacing w:line="360" w:lineRule="auto"/>
        <w:rPr>
          <w:color w:val="auto"/>
          <w:highlight w:val="none"/>
        </w:rPr>
      </w:pPr>
    </w:p>
    <w:p>
      <w:pPr>
        <w:pStyle w:val="20"/>
        <w:spacing w:line="360" w:lineRule="auto"/>
        <w:ind w:left="0"/>
        <w:rPr>
          <w:color w:val="auto"/>
          <w:highlight w:val="none"/>
        </w:rPr>
      </w:pPr>
    </w:p>
    <w:p>
      <w:pPr>
        <w:spacing w:line="360" w:lineRule="auto"/>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pStyle w:val="10"/>
        <w:spacing w:before="0" w:beforeLines="0" w:after="0" w:afterLines="0" w:line="360" w:lineRule="auto"/>
        <w:rPr>
          <w:rFonts w:hAnsi="宋体"/>
          <w:bCs/>
          <w:color w:val="auto"/>
          <w:spacing w:val="-6"/>
          <w:highlight w:val="none"/>
        </w:rPr>
      </w:pPr>
      <w:r>
        <w:rPr>
          <w:rFonts w:hint="eastAsia" w:hAnsi="宋体"/>
          <w:bCs/>
          <w:color w:val="auto"/>
          <w:spacing w:val="-6"/>
          <w:highlight w:val="none"/>
        </w:rPr>
        <w:t>日期：     年   月   日</w:t>
      </w:r>
    </w:p>
    <w:p>
      <w:pPr>
        <w:pStyle w:val="10"/>
        <w:spacing w:before="0" w:beforeLines="0" w:after="0" w:afterLines="0" w:line="360" w:lineRule="auto"/>
        <w:jc w:val="center"/>
        <w:outlineLvl w:val="2"/>
        <w:rPr>
          <w:rFonts w:hAnsi="宋体"/>
          <w:b/>
          <w:color w:val="auto"/>
          <w:spacing w:val="-6"/>
          <w:highlight w:val="none"/>
        </w:rPr>
      </w:pPr>
      <w:r>
        <w:rPr>
          <w:rFonts w:hAnsi="宋体"/>
          <w:b/>
          <w:color w:val="auto"/>
          <w:spacing w:val="-6"/>
          <w:highlight w:val="none"/>
        </w:rPr>
        <w:br w:type="page"/>
      </w:r>
      <w:r>
        <w:rPr>
          <w:rFonts w:hint="eastAsia" w:hAnsi="宋体"/>
          <w:b/>
          <w:color w:val="auto"/>
          <w:spacing w:val="-6"/>
          <w:highlight w:val="none"/>
        </w:rPr>
        <w:t>初次</w:t>
      </w:r>
      <w:r>
        <w:rPr>
          <w:rFonts w:hAnsi="宋体"/>
          <w:b/>
          <w:color w:val="auto"/>
          <w:spacing w:val="-6"/>
          <w:highlight w:val="none"/>
        </w:rPr>
        <w:t>报价明细表</w:t>
      </w:r>
    </w:p>
    <w:p>
      <w:pPr>
        <w:pStyle w:val="10"/>
        <w:spacing w:before="0" w:beforeLines="0" w:after="0" w:afterLines="0" w:line="360" w:lineRule="auto"/>
        <w:ind w:right="342"/>
        <w:jc w:val="right"/>
        <w:rPr>
          <w:rFonts w:hAnsi="宋体"/>
          <w:b/>
          <w:bCs/>
          <w:color w:val="auto"/>
          <w:spacing w:val="-6"/>
          <w:sz w:val="21"/>
          <w:szCs w:val="21"/>
          <w:highlight w:val="none"/>
        </w:rPr>
      </w:pPr>
      <w:r>
        <w:rPr>
          <w:rFonts w:hAnsi="宋体"/>
          <w:b/>
          <w:bCs/>
          <w:color w:val="auto"/>
          <w:spacing w:val="-6"/>
          <w:sz w:val="21"/>
          <w:szCs w:val="21"/>
          <w:highlight w:val="none"/>
        </w:rPr>
        <w:t>金额单位：</w:t>
      </w:r>
      <w:r>
        <w:rPr>
          <w:rFonts w:hint="eastAsia" w:hAnsi="宋体"/>
          <w:b/>
          <w:bCs/>
          <w:color w:val="auto"/>
          <w:spacing w:val="-6"/>
          <w:sz w:val="21"/>
          <w:szCs w:val="21"/>
          <w:highlight w:val="none"/>
        </w:rPr>
        <w:t>人民币元</w:t>
      </w:r>
    </w:p>
    <w:tbl>
      <w:tblPr>
        <w:tblStyle w:val="1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100"/>
        <w:gridCol w:w="1179"/>
        <w:gridCol w:w="1041"/>
        <w:gridCol w:w="1042"/>
        <w:gridCol w:w="1307"/>
        <w:gridCol w:w="1308"/>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8" w:type="dxa"/>
            <w:vAlign w:val="center"/>
          </w:tcPr>
          <w:p>
            <w:pPr>
              <w:jc w:val="center"/>
              <w:rPr>
                <w:b/>
                <w:bCs/>
                <w:color w:val="auto"/>
                <w:sz w:val="21"/>
                <w:szCs w:val="21"/>
                <w:highlight w:val="none"/>
              </w:rPr>
            </w:pPr>
            <w:r>
              <w:rPr>
                <w:rFonts w:hint="eastAsia"/>
                <w:b/>
                <w:bCs/>
                <w:color w:val="auto"/>
                <w:sz w:val="21"/>
                <w:szCs w:val="21"/>
                <w:highlight w:val="none"/>
              </w:rPr>
              <w:t>序号</w:t>
            </w:r>
          </w:p>
        </w:tc>
        <w:tc>
          <w:tcPr>
            <w:tcW w:w="2100" w:type="dxa"/>
            <w:vAlign w:val="center"/>
          </w:tcPr>
          <w:p>
            <w:pPr>
              <w:jc w:val="center"/>
              <w:rPr>
                <w:b/>
                <w:bCs/>
                <w:color w:val="auto"/>
                <w:sz w:val="21"/>
                <w:szCs w:val="21"/>
                <w:highlight w:val="none"/>
              </w:rPr>
            </w:pPr>
            <w:r>
              <w:rPr>
                <w:rFonts w:hint="eastAsia"/>
                <w:b/>
                <w:bCs/>
                <w:color w:val="auto"/>
                <w:sz w:val="21"/>
                <w:szCs w:val="21"/>
                <w:highlight w:val="none"/>
              </w:rPr>
              <w:t>构成服务费名称</w:t>
            </w:r>
          </w:p>
        </w:tc>
        <w:tc>
          <w:tcPr>
            <w:tcW w:w="1179" w:type="dxa"/>
            <w:vAlign w:val="center"/>
          </w:tcPr>
          <w:p>
            <w:pPr>
              <w:jc w:val="center"/>
              <w:rPr>
                <w:b/>
                <w:bCs/>
                <w:color w:val="auto"/>
                <w:sz w:val="21"/>
                <w:szCs w:val="21"/>
                <w:highlight w:val="none"/>
              </w:rPr>
            </w:pPr>
            <w:r>
              <w:rPr>
                <w:rFonts w:hint="eastAsia"/>
                <w:b/>
                <w:bCs/>
                <w:color w:val="auto"/>
                <w:sz w:val="21"/>
                <w:szCs w:val="21"/>
                <w:highlight w:val="none"/>
              </w:rPr>
              <w:t>内容描述</w:t>
            </w:r>
          </w:p>
        </w:tc>
        <w:tc>
          <w:tcPr>
            <w:tcW w:w="1041" w:type="dxa"/>
            <w:vAlign w:val="center"/>
          </w:tcPr>
          <w:p>
            <w:pPr>
              <w:jc w:val="center"/>
              <w:rPr>
                <w:b/>
                <w:bCs/>
                <w:color w:val="auto"/>
                <w:sz w:val="21"/>
                <w:szCs w:val="21"/>
                <w:highlight w:val="none"/>
              </w:rPr>
            </w:pPr>
            <w:r>
              <w:rPr>
                <w:rFonts w:hint="eastAsia"/>
                <w:b/>
                <w:bCs/>
                <w:color w:val="auto"/>
                <w:sz w:val="21"/>
                <w:szCs w:val="21"/>
                <w:highlight w:val="none"/>
              </w:rPr>
              <w:t>数量</w:t>
            </w:r>
          </w:p>
        </w:tc>
        <w:tc>
          <w:tcPr>
            <w:tcW w:w="1042" w:type="dxa"/>
            <w:vAlign w:val="center"/>
          </w:tcPr>
          <w:p>
            <w:pPr>
              <w:jc w:val="center"/>
              <w:rPr>
                <w:b/>
                <w:bCs/>
                <w:color w:val="auto"/>
                <w:sz w:val="21"/>
                <w:szCs w:val="21"/>
                <w:highlight w:val="none"/>
              </w:rPr>
            </w:pPr>
            <w:r>
              <w:rPr>
                <w:rFonts w:hint="eastAsia"/>
                <w:b/>
                <w:bCs/>
                <w:color w:val="auto"/>
                <w:sz w:val="21"/>
                <w:szCs w:val="21"/>
                <w:highlight w:val="none"/>
              </w:rPr>
              <w:t>单位</w:t>
            </w:r>
          </w:p>
        </w:tc>
        <w:tc>
          <w:tcPr>
            <w:tcW w:w="1307" w:type="dxa"/>
            <w:vAlign w:val="center"/>
          </w:tcPr>
          <w:p>
            <w:pPr>
              <w:jc w:val="center"/>
              <w:rPr>
                <w:b/>
                <w:bCs/>
                <w:color w:val="auto"/>
                <w:sz w:val="21"/>
                <w:szCs w:val="21"/>
                <w:highlight w:val="none"/>
              </w:rPr>
            </w:pPr>
            <w:r>
              <w:rPr>
                <w:rFonts w:hint="eastAsia"/>
                <w:b/>
                <w:bCs/>
                <w:color w:val="auto"/>
                <w:sz w:val="21"/>
                <w:szCs w:val="21"/>
                <w:highlight w:val="none"/>
              </w:rPr>
              <w:t>单价（元）</w:t>
            </w:r>
          </w:p>
        </w:tc>
        <w:tc>
          <w:tcPr>
            <w:tcW w:w="1308" w:type="dxa"/>
            <w:vAlign w:val="center"/>
          </w:tcPr>
          <w:p>
            <w:pPr>
              <w:jc w:val="center"/>
              <w:rPr>
                <w:b/>
                <w:bCs/>
                <w:color w:val="auto"/>
                <w:sz w:val="21"/>
                <w:szCs w:val="21"/>
                <w:highlight w:val="none"/>
              </w:rPr>
            </w:pPr>
            <w:r>
              <w:rPr>
                <w:rFonts w:hint="eastAsia"/>
                <w:b/>
                <w:bCs/>
                <w:color w:val="auto"/>
                <w:sz w:val="21"/>
                <w:szCs w:val="21"/>
                <w:highlight w:val="none"/>
              </w:rPr>
              <w:t>合价（元）</w:t>
            </w:r>
          </w:p>
        </w:tc>
        <w:tc>
          <w:tcPr>
            <w:tcW w:w="973" w:type="dxa"/>
            <w:vAlign w:val="center"/>
          </w:tcPr>
          <w:p>
            <w:pPr>
              <w:jc w:val="center"/>
              <w:rPr>
                <w:b/>
                <w:bCs/>
                <w:color w:val="auto"/>
                <w:sz w:val="21"/>
                <w:szCs w:val="21"/>
                <w:highlight w:val="none"/>
              </w:rPr>
            </w:pPr>
            <w:r>
              <w:rPr>
                <w:rFonts w:hint="eastAsia"/>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8" w:type="dxa"/>
            <w:vAlign w:val="center"/>
          </w:tcPr>
          <w:p>
            <w:pPr>
              <w:jc w:val="center"/>
              <w:rPr>
                <w:color w:val="auto"/>
                <w:sz w:val="21"/>
                <w:szCs w:val="21"/>
                <w:highlight w:val="none"/>
              </w:rPr>
            </w:pPr>
          </w:p>
        </w:tc>
        <w:tc>
          <w:tcPr>
            <w:tcW w:w="2100" w:type="dxa"/>
            <w:vAlign w:val="center"/>
          </w:tcPr>
          <w:p>
            <w:pPr>
              <w:jc w:val="center"/>
              <w:rPr>
                <w:color w:val="auto"/>
                <w:sz w:val="21"/>
                <w:szCs w:val="21"/>
                <w:highlight w:val="none"/>
              </w:rPr>
            </w:pPr>
          </w:p>
        </w:tc>
        <w:tc>
          <w:tcPr>
            <w:tcW w:w="1179" w:type="dxa"/>
            <w:vAlign w:val="center"/>
          </w:tcPr>
          <w:p>
            <w:pPr>
              <w:jc w:val="center"/>
              <w:rPr>
                <w:color w:val="auto"/>
                <w:sz w:val="21"/>
                <w:szCs w:val="21"/>
                <w:highlight w:val="none"/>
              </w:rPr>
            </w:pPr>
          </w:p>
        </w:tc>
        <w:tc>
          <w:tcPr>
            <w:tcW w:w="1041" w:type="dxa"/>
            <w:vAlign w:val="center"/>
          </w:tcPr>
          <w:p>
            <w:pPr>
              <w:jc w:val="center"/>
              <w:rPr>
                <w:color w:val="auto"/>
                <w:sz w:val="21"/>
                <w:szCs w:val="21"/>
                <w:highlight w:val="none"/>
              </w:rPr>
            </w:pPr>
          </w:p>
        </w:tc>
        <w:tc>
          <w:tcPr>
            <w:tcW w:w="1042" w:type="dxa"/>
            <w:vAlign w:val="center"/>
          </w:tcPr>
          <w:p>
            <w:pPr>
              <w:jc w:val="center"/>
              <w:rPr>
                <w:color w:val="auto"/>
                <w:sz w:val="21"/>
                <w:szCs w:val="21"/>
                <w:highlight w:val="none"/>
              </w:rPr>
            </w:pPr>
          </w:p>
        </w:tc>
        <w:tc>
          <w:tcPr>
            <w:tcW w:w="1307" w:type="dxa"/>
            <w:vAlign w:val="center"/>
          </w:tcPr>
          <w:p>
            <w:pPr>
              <w:jc w:val="center"/>
              <w:rPr>
                <w:color w:val="auto"/>
                <w:sz w:val="21"/>
                <w:szCs w:val="21"/>
                <w:highlight w:val="none"/>
              </w:rPr>
            </w:pPr>
          </w:p>
        </w:tc>
        <w:tc>
          <w:tcPr>
            <w:tcW w:w="1308" w:type="dxa"/>
            <w:vAlign w:val="center"/>
          </w:tcPr>
          <w:p>
            <w:pPr>
              <w:jc w:val="center"/>
              <w:rPr>
                <w:color w:val="auto"/>
                <w:sz w:val="21"/>
                <w:szCs w:val="21"/>
                <w:highlight w:val="none"/>
              </w:rPr>
            </w:pPr>
          </w:p>
        </w:tc>
        <w:tc>
          <w:tcPr>
            <w:tcW w:w="973"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8" w:type="dxa"/>
            <w:vAlign w:val="center"/>
          </w:tcPr>
          <w:p>
            <w:pPr>
              <w:jc w:val="center"/>
              <w:rPr>
                <w:color w:val="auto"/>
                <w:sz w:val="21"/>
                <w:szCs w:val="21"/>
                <w:highlight w:val="none"/>
              </w:rPr>
            </w:pPr>
          </w:p>
        </w:tc>
        <w:tc>
          <w:tcPr>
            <w:tcW w:w="2100" w:type="dxa"/>
            <w:vAlign w:val="center"/>
          </w:tcPr>
          <w:p>
            <w:pPr>
              <w:jc w:val="center"/>
              <w:rPr>
                <w:color w:val="auto"/>
                <w:sz w:val="21"/>
                <w:szCs w:val="21"/>
                <w:highlight w:val="none"/>
              </w:rPr>
            </w:pPr>
          </w:p>
        </w:tc>
        <w:tc>
          <w:tcPr>
            <w:tcW w:w="1179" w:type="dxa"/>
            <w:vAlign w:val="center"/>
          </w:tcPr>
          <w:p>
            <w:pPr>
              <w:jc w:val="center"/>
              <w:rPr>
                <w:color w:val="auto"/>
                <w:sz w:val="21"/>
                <w:szCs w:val="21"/>
                <w:highlight w:val="none"/>
              </w:rPr>
            </w:pPr>
          </w:p>
        </w:tc>
        <w:tc>
          <w:tcPr>
            <w:tcW w:w="1041" w:type="dxa"/>
            <w:vAlign w:val="center"/>
          </w:tcPr>
          <w:p>
            <w:pPr>
              <w:jc w:val="center"/>
              <w:rPr>
                <w:color w:val="auto"/>
                <w:sz w:val="21"/>
                <w:szCs w:val="21"/>
                <w:highlight w:val="none"/>
              </w:rPr>
            </w:pPr>
          </w:p>
        </w:tc>
        <w:tc>
          <w:tcPr>
            <w:tcW w:w="1042" w:type="dxa"/>
            <w:vAlign w:val="center"/>
          </w:tcPr>
          <w:p>
            <w:pPr>
              <w:jc w:val="center"/>
              <w:rPr>
                <w:color w:val="auto"/>
                <w:sz w:val="21"/>
                <w:szCs w:val="21"/>
                <w:highlight w:val="none"/>
              </w:rPr>
            </w:pPr>
          </w:p>
        </w:tc>
        <w:tc>
          <w:tcPr>
            <w:tcW w:w="1307" w:type="dxa"/>
            <w:vAlign w:val="center"/>
          </w:tcPr>
          <w:p>
            <w:pPr>
              <w:jc w:val="center"/>
              <w:rPr>
                <w:color w:val="auto"/>
                <w:sz w:val="21"/>
                <w:szCs w:val="21"/>
                <w:highlight w:val="none"/>
              </w:rPr>
            </w:pPr>
          </w:p>
        </w:tc>
        <w:tc>
          <w:tcPr>
            <w:tcW w:w="1308" w:type="dxa"/>
            <w:vAlign w:val="center"/>
          </w:tcPr>
          <w:p>
            <w:pPr>
              <w:jc w:val="center"/>
              <w:rPr>
                <w:color w:val="auto"/>
                <w:sz w:val="21"/>
                <w:szCs w:val="21"/>
                <w:highlight w:val="none"/>
              </w:rPr>
            </w:pPr>
          </w:p>
        </w:tc>
        <w:tc>
          <w:tcPr>
            <w:tcW w:w="973"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8" w:type="dxa"/>
            <w:vAlign w:val="center"/>
          </w:tcPr>
          <w:p>
            <w:pPr>
              <w:jc w:val="center"/>
              <w:rPr>
                <w:color w:val="auto"/>
                <w:sz w:val="21"/>
                <w:szCs w:val="21"/>
                <w:highlight w:val="none"/>
              </w:rPr>
            </w:pPr>
          </w:p>
        </w:tc>
        <w:tc>
          <w:tcPr>
            <w:tcW w:w="2100" w:type="dxa"/>
            <w:vAlign w:val="center"/>
          </w:tcPr>
          <w:p>
            <w:pPr>
              <w:jc w:val="center"/>
              <w:rPr>
                <w:color w:val="auto"/>
                <w:sz w:val="21"/>
                <w:szCs w:val="21"/>
                <w:highlight w:val="none"/>
              </w:rPr>
            </w:pPr>
          </w:p>
        </w:tc>
        <w:tc>
          <w:tcPr>
            <w:tcW w:w="1179" w:type="dxa"/>
            <w:vAlign w:val="center"/>
          </w:tcPr>
          <w:p>
            <w:pPr>
              <w:jc w:val="center"/>
              <w:rPr>
                <w:color w:val="auto"/>
                <w:sz w:val="21"/>
                <w:szCs w:val="21"/>
                <w:highlight w:val="none"/>
              </w:rPr>
            </w:pPr>
          </w:p>
        </w:tc>
        <w:tc>
          <w:tcPr>
            <w:tcW w:w="1041" w:type="dxa"/>
            <w:vAlign w:val="center"/>
          </w:tcPr>
          <w:p>
            <w:pPr>
              <w:jc w:val="center"/>
              <w:rPr>
                <w:color w:val="auto"/>
                <w:sz w:val="21"/>
                <w:szCs w:val="21"/>
                <w:highlight w:val="none"/>
              </w:rPr>
            </w:pPr>
          </w:p>
        </w:tc>
        <w:tc>
          <w:tcPr>
            <w:tcW w:w="1042" w:type="dxa"/>
            <w:vAlign w:val="center"/>
          </w:tcPr>
          <w:p>
            <w:pPr>
              <w:jc w:val="center"/>
              <w:rPr>
                <w:color w:val="auto"/>
                <w:sz w:val="21"/>
                <w:szCs w:val="21"/>
                <w:highlight w:val="none"/>
              </w:rPr>
            </w:pPr>
          </w:p>
        </w:tc>
        <w:tc>
          <w:tcPr>
            <w:tcW w:w="1307" w:type="dxa"/>
            <w:vAlign w:val="center"/>
          </w:tcPr>
          <w:p>
            <w:pPr>
              <w:jc w:val="center"/>
              <w:rPr>
                <w:color w:val="auto"/>
                <w:sz w:val="21"/>
                <w:szCs w:val="21"/>
                <w:highlight w:val="none"/>
              </w:rPr>
            </w:pPr>
          </w:p>
        </w:tc>
        <w:tc>
          <w:tcPr>
            <w:tcW w:w="1308" w:type="dxa"/>
            <w:vAlign w:val="center"/>
          </w:tcPr>
          <w:p>
            <w:pPr>
              <w:jc w:val="center"/>
              <w:rPr>
                <w:color w:val="auto"/>
                <w:sz w:val="21"/>
                <w:szCs w:val="21"/>
                <w:highlight w:val="none"/>
              </w:rPr>
            </w:pPr>
          </w:p>
        </w:tc>
        <w:tc>
          <w:tcPr>
            <w:tcW w:w="973"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8" w:type="dxa"/>
            <w:vAlign w:val="center"/>
          </w:tcPr>
          <w:p>
            <w:pPr>
              <w:jc w:val="center"/>
              <w:rPr>
                <w:color w:val="auto"/>
                <w:sz w:val="21"/>
                <w:szCs w:val="21"/>
                <w:highlight w:val="none"/>
              </w:rPr>
            </w:pPr>
          </w:p>
        </w:tc>
        <w:tc>
          <w:tcPr>
            <w:tcW w:w="2100" w:type="dxa"/>
            <w:vAlign w:val="center"/>
          </w:tcPr>
          <w:p>
            <w:pPr>
              <w:jc w:val="center"/>
              <w:rPr>
                <w:color w:val="auto"/>
                <w:sz w:val="21"/>
                <w:szCs w:val="21"/>
                <w:highlight w:val="none"/>
              </w:rPr>
            </w:pPr>
          </w:p>
        </w:tc>
        <w:tc>
          <w:tcPr>
            <w:tcW w:w="1179" w:type="dxa"/>
            <w:vAlign w:val="center"/>
          </w:tcPr>
          <w:p>
            <w:pPr>
              <w:jc w:val="center"/>
              <w:rPr>
                <w:color w:val="auto"/>
                <w:sz w:val="21"/>
                <w:szCs w:val="21"/>
                <w:highlight w:val="none"/>
              </w:rPr>
            </w:pPr>
          </w:p>
        </w:tc>
        <w:tc>
          <w:tcPr>
            <w:tcW w:w="1041" w:type="dxa"/>
            <w:vAlign w:val="center"/>
          </w:tcPr>
          <w:p>
            <w:pPr>
              <w:jc w:val="center"/>
              <w:rPr>
                <w:color w:val="auto"/>
                <w:sz w:val="21"/>
                <w:szCs w:val="21"/>
                <w:highlight w:val="none"/>
              </w:rPr>
            </w:pPr>
          </w:p>
        </w:tc>
        <w:tc>
          <w:tcPr>
            <w:tcW w:w="1042" w:type="dxa"/>
            <w:vAlign w:val="center"/>
          </w:tcPr>
          <w:p>
            <w:pPr>
              <w:jc w:val="center"/>
              <w:rPr>
                <w:color w:val="auto"/>
                <w:sz w:val="21"/>
                <w:szCs w:val="21"/>
                <w:highlight w:val="none"/>
              </w:rPr>
            </w:pPr>
          </w:p>
        </w:tc>
        <w:tc>
          <w:tcPr>
            <w:tcW w:w="1307" w:type="dxa"/>
            <w:vAlign w:val="center"/>
          </w:tcPr>
          <w:p>
            <w:pPr>
              <w:jc w:val="center"/>
              <w:rPr>
                <w:color w:val="auto"/>
                <w:sz w:val="21"/>
                <w:szCs w:val="21"/>
                <w:highlight w:val="none"/>
              </w:rPr>
            </w:pPr>
          </w:p>
        </w:tc>
        <w:tc>
          <w:tcPr>
            <w:tcW w:w="1308" w:type="dxa"/>
            <w:vAlign w:val="center"/>
          </w:tcPr>
          <w:p>
            <w:pPr>
              <w:jc w:val="center"/>
              <w:rPr>
                <w:color w:val="auto"/>
                <w:sz w:val="21"/>
                <w:szCs w:val="21"/>
                <w:highlight w:val="none"/>
              </w:rPr>
            </w:pPr>
          </w:p>
        </w:tc>
        <w:tc>
          <w:tcPr>
            <w:tcW w:w="973"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8" w:type="dxa"/>
            <w:vAlign w:val="center"/>
          </w:tcPr>
          <w:p>
            <w:pPr>
              <w:jc w:val="center"/>
              <w:rPr>
                <w:color w:val="auto"/>
                <w:sz w:val="21"/>
                <w:szCs w:val="21"/>
                <w:highlight w:val="none"/>
              </w:rPr>
            </w:pPr>
          </w:p>
        </w:tc>
        <w:tc>
          <w:tcPr>
            <w:tcW w:w="2100" w:type="dxa"/>
            <w:vAlign w:val="center"/>
          </w:tcPr>
          <w:p>
            <w:pPr>
              <w:jc w:val="center"/>
              <w:rPr>
                <w:color w:val="auto"/>
                <w:sz w:val="21"/>
                <w:szCs w:val="21"/>
                <w:highlight w:val="none"/>
              </w:rPr>
            </w:pPr>
          </w:p>
        </w:tc>
        <w:tc>
          <w:tcPr>
            <w:tcW w:w="1179" w:type="dxa"/>
            <w:vAlign w:val="center"/>
          </w:tcPr>
          <w:p>
            <w:pPr>
              <w:jc w:val="center"/>
              <w:rPr>
                <w:color w:val="auto"/>
                <w:sz w:val="21"/>
                <w:szCs w:val="21"/>
                <w:highlight w:val="none"/>
              </w:rPr>
            </w:pPr>
          </w:p>
        </w:tc>
        <w:tc>
          <w:tcPr>
            <w:tcW w:w="1041" w:type="dxa"/>
            <w:vAlign w:val="center"/>
          </w:tcPr>
          <w:p>
            <w:pPr>
              <w:jc w:val="center"/>
              <w:rPr>
                <w:color w:val="auto"/>
                <w:sz w:val="21"/>
                <w:szCs w:val="21"/>
                <w:highlight w:val="none"/>
              </w:rPr>
            </w:pPr>
          </w:p>
        </w:tc>
        <w:tc>
          <w:tcPr>
            <w:tcW w:w="1042" w:type="dxa"/>
            <w:vAlign w:val="center"/>
          </w:tcPr>
          <w:p>
            <w:pPr>
              <w:jc w:val="center"/>
              <w:rPr>
                <w:color w:val="auto"/>
                <w:sz w:val="21"/>
                <w:szCs w:val="21"/>
                <w:highlight w:val="none"/>
              </w:rPr>
            </w:pPr>
          </w:p>
        </w:tc>
        <w:tc>
          <w:tcPr>
            <w:tcW w:w="1307" w:type="dxa"/>
            <w:vAlign w:val="center"/>
          </w:tcPr>
          <w:p>
            <w:pPr>
              <w:jc w:val="center"/>
              <w:rPr>
                <w:color w:val="auto"/>
                <w:sz w:val="21"/>
                <w:szCs w:val="21"/>
                <w:highlight w:val="none"/>
              </w:rPr>
            </w:pPr>
          </w:p>
        </w:tc>
        <w:tc>
          <w:tcPr>
            <w:tcW w:w="1308" w:type="dxa"/>
            <w:vAlign w:val="center"/>
          </w:tcPr>
          <w:p>
            <w:pPr>
              <w:jc w:val="center"/>
              <w:rPr>
                <w:color w:val="auto"/>
                <w:sz w:val="21"/>
                <w:szCs w:val="21"/>
                <w:highlight w:val="none"/>
              </w:rPr>
            </w:pPr>
          </w:p>
        </w:tc>
        <w:tc>
          <w:tcPr>
            <w:tcW w:w="973"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8" w:type="dxa"/>
            <w:vAlign w:val="center"/>
          </w:tcPr>
          <w:p>
            <w:pPr>
              <w:jc w:val="center"/>
              <w:rPr>
                <w:color w:val="auto"/>
                <w:sz w:val="21"/>
                <w:szCs w:val="21"/>
                <w:highlight w:val="none"/>
              </w:rPr>
            </w:pPr>
          </w:p>
        </w:tc>
        <w:tc>
          <w:tcPr>
            <w:tcW w:w="2100" w:type="dxa"/>
            <w:vAlign w:val="center"/>
          </w:tcPr>
          <w:p>
            <w:pPr>
              <w:jc w:val="center"/>
              <w:rPr>
                <w:color w:val="auto"/>
                <w:sz w:val="21"/>
                <w:szCs w:val="21"/>
                <w:highlight w:val="none"/>
              </w:rPr>
            </w:pPr>
          </w:p>
        </w:tc>
        <w:tc>
          <w:tcPr>
            <w:tcW w:w="1179" w:type="dxa"/>
            <w:vAlign w:val="center"/>
          </w:tcPr>
          <w:p>
            <w:pPr>
              <w:jc w:val="center"/>
              <w:rPr>
                <w:color w:val="auto"/>
                <w:sz w:val="21"/>
                <w:szCs w:val="21"/>
                <w:highlight w:val="none"/>
              </w:rPr>
            </w:pPr>
          </w:p>
        </w:tc>
        <w:tc>
          <w:tcPr>
            <w:tcW w:w="1041" w:type="dxa"/>
            <w:vAlign w:val="center"/>
          </w:tcPr>
          <w:p>
            <w:pPr>
              <w:jc w:val="center"/>
              <w:rPr>
                <w:color w:val="auto"/>
                <w:sz w:val="21"/>
                <w:szCs w:val="21"/>
                <w:highlight w:val="none"/>
              </w:rPr>
            </w:pPr>
          </w:p>
        </w:tc>
        <w:tc>
          <w:tcPr>
            <w:tcW w:w="1042" w:type="dxa"/>
            <w:vAlign w:val="center"/>
          </w:tcPr>
          <w:p>
            <w:pPr>
              <w:jc w:val="center"/>
              <w:rPr>
                <w:color w:val="auto"/>
                <w:sz w:val="21"/>
                <w:szCs w:val="21"/>
                <w:highlight w:val="none"/>
              </w:rPr>
            </w:pPr>
          </w:p>
        </w:tc>
        <w:tc>
          <w:tcPr>
            <w:tcW w:w="1307" w:type="dxa"/>
            <w:vAlign w:val="center"/>
          </w:tcPr>
          <w:p>
            <w:pPr>
              <w:jc w:val="center"/>
              <w:rPr>
                <w:color w:val="auto"/>
                <w:sz w:val="21"/>
                <w:szCs w:val="21"/>
                <w:highlight w:val="none"/>
              </w:rPr>
            </w:pPr>
          </w:p>
        </w:tc>
        <w:tc>
          <w:tcPr>
            <w:tcW w:w="1308" w:type="dxa"/>
            <w:vAlign w:val="center"/>
          </w:tcPr>
          <w:p>
            <w:pPr>
              <w:jc w:val="center"/>
              <w:rPr>
                <w:color w:val="auto"/>
                <w:sz w:val="21"/>
                <w:szCs w:val="21"/>
                <w:highlight w:val="none"/>
              </w:rPr>
            </w:pPr>
          </w:p>
        </w:tc>
        <w:tc>
          <w:tcPr>
            <w:tcW w:w="973"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8" w:type="dxa"/>
            <w:vAlign w:val="center"/>
          </w:tcPr>
          <w:p>
            <w:pPr>
              <w:jc w:val="center"/>
              <w:rPr>
                <w:color w:val="auto"/>
                <w:sz w:val="21"/>
                <w:szCs w:val="21"/>
                <w:highlight w:val="none"/>
              </w:rPr>
            </w:pPr>
          </w:p>
        </w:tc>
        <w:tc>
          <w:tcPr>
            <w:tcW w:w="2100" w:type="dxa"/>
            <w:vAlign w:val="center"/>
          </w:tcPr>
          <w:p>
            <w:pPr>
              <w:jc w:val="center"/>
              <w:rPr>
                <w:color w:val="auto"/>
                <w:sz w:val="21"/>
                <w:szCs w:val="21"/>
                <w:highlight w:val="none"/>
              </w:rPr>
            </w:pPr>
          </w:p>
        </w:tc>
        <w:tc>
          <w:tcPr>
            <w:tcW w:w="1179" w:type="dxa"/>
            <w:vAlign w:val="center"/>
          </w:tcPr>
          <w:p>
            <w:pPr>
              <w:jc w:val="center"/>
              <w:rPr>
                <w:color w:val="auto"/>
                <w:sz w:val="21"/>
                <w:szCs w:val="21"/>
                <w:highlight w:val="none"/>
              </w:rPr>
            </w:pPr>
          </w:p>
        </w:tc>
        <w:tc>
          <w:tcPr>
            <w:tcW w:w="1041" w:type="dxa"/>
            <w:vAlign w:val="center"/>
          </w:tcPr>
          <w:p>
            <w:pPr>
              <w:jc w:val="center"/>
              <w:rPr>
                <w:color w:val="auto"/>
                <w:sz w:val="21"/>
                <w:szCs w:val="21"/>
                <w:highlight w:val="none"/>
              </w:rPr>
            </w:pPr>
          </w:p>
        </w:tc>
        <w:tc>
          <w:tcPr>
            <w:tcW w:w="1042" w:type="dxa"/>
            <w:vAlign w:val="center"/>
          </w:tcPr>
          <w:p>
            <w:pPr>
              <w:jc w:val="center"/>
              <w:rPr>
                <w:color w:val="auto"/>
                <w:sz w:val="21"/>
                <w:szCs w:val="21"/>
                <w:highlight w:val="none"/>
              </w:rPr>
            </w:pPr>
          </w:p>
        </w:tc>
        <w:tc>
          <w:tcPr>
            <w:tcW w:w="1307" w:type="dxa"/>
            <w:vAlign w:val="center"/>
          </w:tcPr>
          <w:p>
            <w:pPr>
              <w:jc w:val="center"/>
              <w:rPr>
                <w:color w:val="auto"/>
                <w:sz w:val="21"/>
                <w:szCs w:val="21"/>
                <w:highlight w:val="none"/>
              </w:rPr>
            </w:pPr>
          </w:p>
        </w:tc>
        <w:tc>
          <w:tcPr>
            <w:tcW w:w="1308" w:type="dxa"/>
            <w:vAlign w:val="center"/>
          </w:tcPr>
          <w:p>
            <w:pPr>
              <w:jc w:val="center"/>
              <w:rPr>
                <w:color w:val="auto"/>
                <w:sz w:val="21"/>
                <w:szCs w:val="21"/>
                <w:highlight w:val="none"/>
              </w:rPr>
            </w:pPr>
          </w:p>
        </w:tc>
        <w:tc>
          <w:tcPr>
            <w:tcW w:w="973"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8" w:type="dxa"/>
            <w:vAlign w:val="center"/>
          </w:tcPr>
          <w:p>
            <w:pPr>
              <w:jc w:val="center"/>
              <w:rPr>
                <w:color w:val="auto"/>
                <w:sz w:val="21"/>
                <w:szCs w:val="21"/>
                <w:highlight w:val="none"/>
              </w:rPr>
            </w:pPr>
          </w:p>
        </w:tc>
        <w:tc>
          <w:tcPr>
            <w:tcW w:w="2100" w:type="dxa"/>
            <w:vAlign w:val="center"/>
          </w:tcPr>
          <w:p>
            <w:pPr>
              <w:jc w:val="center"/>
              <w:rPr>
                <w:color w:val="auto"/>
                <w:sz w:val="21"/>
                <w:szCs w:val="21"/>
                <w:highlight w:val="none"/>
              </w:rPr>
            </w:pPr>
          </w:p>
        </w:tc>
        <w:tc>
          <w:tcPr>
            <w:tcW w:w="1179" w:type="dxa"/>
            <w:vAlign w:val="center"/>
          </w:tcPr>
          <w:p>
            <w:pPr>
              <w:jc w:val="center"/>
              <w:rPr>
                <w:color w:val="auto"/>
                <w:sz w:val="21"/>
                <w:szCs w:val="21"/>
                <w:highlight w:val="none"/>
              </w:rPr>
            </w:pPr>
          </w:p>
        </w:tc>
        <w:tc>
          <w:tcPr>
            <w:tcW w:w="1041" w:type="dxa"/>
            <w:vAlign w:val="center"/>
          </w:tcPr>
          <w:p>
            <w:pPr>
              <w:jc w:val="center"/>
              <w:rPr>
                <w:color w:val="auto"/>
                <w:sz w:val="21"/>
                <w:szCs w:val="21"/>
                <w:highlight w:val="none"/>
              </w:rPr>
            </w:pPr>
          </w:p>
        </w:tc>
        <w:tc>
          <w:tcPr>
            <w:tcW w:w="1042" w:type="dxa"/>
            <w:vAlign w:val="center"/>
          </w:tcPr>
          <w:p>
            <w:pPr>
              <w:jc w:val="center"/>
              <w:rPr>
                <w:color w:val="auto"/>
                <w:sz w:val="21"/>
                <w:szCs w:val="21"/>
                <w:highlight w:val="none"/>
              </w:rPr>
            </w:pPr>
          </w:p>
        </w:tc>
        <w:tc>
          <w:tcPr>
            <w:tcW w:w="1307" w:type="dxa"/>
            <w:vAlign w:val="center"/>
          </w:tcPr>
          <w:p>
            <w:pPr>
              <w:jc w:val="center"/>
              <w:rPr>
                <w:color w:val="auto"/>
                <w:sz w:val="21"/>
                <w:szCs w:val="21"/>
                <w:highlight w:val="none"/>
              </w:rPr>
            </w:pPr>
          </w:p>
        </w:tc>
        <w:tc>
          <w:tcPr>
            <w:tcW w:w="1308" w:type="dxa"/>
            <w:vAlign w:val="center"/>
          </w:tcPr>
          <w:p>
            <w:pPr>
              <w:jc w:val="center"/>
              <w:rPr>
                <w:color w:val="auto"/>
                <w:sz w:val="21"/>
                <w:szCs w:val="21"/>
                <w:highlight w:val="none"/>
              </w:rPr>
            </w:pPr>
          </w:p>
        </w:tc>
        <w:tc>
          <w:tcPr>
            <w:tcW w:w="973"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347" w:type="dxa"/>
            <w:gridSpan w:val="6"/>
            <w:vAlign w:val="center"/>
          </w:tcPr>
          <w:p>
            <w:pPr>
              <w:jc w:val="center"/>
              <w:rPr>
                <w:color w:val="auto"/>
                <w:sz w:val="21"/>
                <w:szCs w:val="21"/>
                <w:highlight w:val="none"/>
              </w:rPr>
            </w:pPr>
            <w:r>
              <w:rPr>
                <w:rFonts w:hint="eastAsia"/>
                <w:b/>
                <w:bCs/>
                <w:color w:val="auto"/>
                <w:sz w:val="21"/>
                <w:szCs w:val="21"/>
                <w:highlight w:val="none"/>
              </w:rPr>
              <w:t>响应总价（以上费用之和，含税）</w:t>
            </w:r>
          </w:p>
        </w:tc>
        <w:tc>
          <w:tcPr>
            <w:tcW w:w="1308" w:type="dxa"/>
            <w:vAlign w:val="center"/>
          </w:tcPr>
          <w:p>
            <w:pPr>
              <w:rPr>
                <w:color w:val="auto"/>
                <w:sz w:val="21"/>
                <w:szCs w:val="21"/>
                <w:highlight w:val="none"/>
              </w:rPr>
            </w:pPr>
          </w:p>
        </w:tc>
        <w:tc>
          <w:tcPr>
            <w:tcW w:w="973" w:type="dxa"/>
            <w:vAlign w:val="center"/>
          </w:tcPr>
          <w:p>
            <w:pPr>
              <w:rPr>
                <w:color w:val="auto"/>
                <w:sz w:val="21"/>
                <w:szCs w:val="21"/>
                <w:highlight w:val="none"/>
              </w:rPr>
            </w:pPr>
          </w:p>
        </w:tc>
      </w:tr>
    </w:tbl>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pStyle w:val="19"/>
        <w:spacing w:line="360" w:lineRule="auto"/>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pStyle w:val="13"/>
        <w:spacing w:line="360" w:lineRule="auto"/>
        <w:ind w:left="456" w:hanging="456"/>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pStyle w:val="13"/>
        <w:spacing w:line="360" w:lineRule="auto"/>
        <w:ind w:left="0" w:firstLine="0" w:firstLineChars="0"/>
        <w:jc w:val="center"/>
        <w:outlineLvl w:val="2"/>
        <w:rPr>
          <w:rFonts w:ascii="宋体" w:hAnsi="宋体"/>
          <w:b/>
          <w:color w:val="auto"/>
          <w:spacing w:val="-6"/>
          <w:sz w:val="24"/>
          <w:highlight w:val="none"/>
        </w:rPr>
      </w:pPr>
      <w:r>
        <w:rPr>
          <w:rFonts w:hint="eastAsia" w:ascii="宋体" w:hAnsi="宋体"/>
          <w:b/>
          <w:color w:val="auto"/>
          <w:spacing w:val="-6"/>
          <w:sz w:val="24"/>
          <w:highlight w:val="none"/>
        </w:rPr>
        <w:br w:type="page"/>
      </w:r>
      <w:r>
        <w:rPr>
          <w:rFonts w:hint="eastAsia" w:ascii="宋体" w:hAnsi="宋体"/>
          <w:b/>
          <w:color w:val="auto"/>
          <w:spacing w:val="-6"/>
          <w:sz w:val="24"/>
          <w:highlight w:val="none"/>
        </w:rPr>
        <w:t>供应商企业类型声明函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本公司郑重声明，根据《政府采购促进中小企业发展暂行办法》（财库</w:t>
      </w:r>
      <w:r>
        <w:rPr>
          <w:rFonts w:ascii="宋体" w:hAnsi="宋体"/>
          <w:color w:val="auto"/>
          <w:sz w:val="24"/>
          <w:highlight w:val="none"/>
        </w:rPr>
        <w:t>[</w:t>
      </w:r>
      <w:r>
        <w:rPr>
          <w:rFonts w:hint="eastAsia" w:ascii="宋体" w:hAnsi="宋体"/>
          <w:color w:val="auto"/>
          <w:sz w:val="24"/>
          <w:highlight w:val="none"/>
        </w:rPr>
        <w:t>2011</w:t>
      </w:r>
      <w:r>
        <w:rPr>
          <w:rFonts w:ascii="宋体" w:hAnsi="宋体"/>
          <w:color w:val="auto"/>
          <w:sz w:val="24"/>
          <w:highlight w:val="none"/>
        </w:rPr>
        <w:t>]</w:t>
      </w:r>
      <w:r>
        <w:rPr>
          <w:rFonts w:hint="eastAsia" w:ascii="宋体" w:hAnsi="宋体"/>
          <w:color w:val="auto"/>
          <w:sz w:val="24"/>
          <w:highlight w:val="none"/>
        </w:rPr>
        <w:t>181号）的规定，本公司为______（请填写：大型、中型、小型、微型）企业。即，本公司同时满足以下条件：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b/>
          <w:color w:val="auto"/>
          <w:sz w:val="24"/>
          <w:highlight w:val="none"/>
        </w:rPr>
      </w:pPr>
      <w:r>
        <w:rPr>
          <w:rFonts w:ascii="宋体" w:hAnsi="宋体"/>
          <w:color w:val="auto"/>
          <w:sz w:val="24"/>
          <w:highlight w:val="none"/>
        </w:rPr>
        <w:t>2.</w:t>
      </w:r>
      <w:r>
        <w:rPr>
          <w:rFonts w:hint="eastAsia" w:ascii="宋体" w:hAnsi="宋体"/>
          <w:color w:val="auto"/>
          <w:sz w:val="24"/>
          <w:highlight w:val="none"/>
        </w:rPr>
        <w:t>本公司参加</w:t>
      </w:r>
      <w:r>
        <w:rPr>
          <w:rFonts w:hint="eastAsia" w:ascii="宋体" w:hAnsi="宋体"/>
          <w:bCs/>
          <w:color w:val="auto"/>
          <w:sz w:val="24"/>
          <w:highlight w:val="none"/>
        </w:rPr>
        <w:t>浙江财经大学一站式网上服务大厅（三期）</w:t>
      </w:r>
      <w:r>
        <w:rPr>
          <w:rFonts w:hint="eastAsia" w:ascii="宋体" w:hAnsi="宋体"/>
          <w:color w:val="auto"/>
          <w:sz w:val="24"/>
          <w:highlight w:val="none"/>
        </w:rPr>
        <w:t>采购活动（按响应形式选择填写）：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□本公司为直接供应商，由本公司提供服务。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本公司对上述声明的真实性负责。如有虚假，将依法承担相应责任。</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jc w:val="center"/>
        <w:outlineLvl w:val="2"/>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小微企业资格证明材料</w:t>
      </w:r>
    </w:p>
    <w:p>
      <w:pPr>
        <w:spacing w:line="360" w:lineRule="auto"/>
        <w:rPr>
          <w:rFonts w:ascii="宋体" w:hAnsi="宋体"/>
          <w:b/>
          <w:bCs/>
          <w:color w:val="auto"/>
          <w:sz w:val="21"/>
          <w:szCs w:val="21"/>
          <w:highlight w:val="none"/>
        </w:rPr>
      </w:pPr>
    </w:p>
    <w:p>
      <w:pPr>
        <w:spacing w:line="360" w:lineRule="auto"/>
        <w:rPr>
          <w:rFonts w:ascii="宋体" w:hAnsi="宋体"/>
          <w:b/>
          <w:bCs/>
          <w:color w:val="auto"/>
          <w:sz w:val="21"/>
          <w:szCs w:val="21"/>
          <w:highlight w:val="none"/>
        </w:rPr>
      </w:pPr>
    </w:p>
    <w:p>
      <w:pPr>
        <w:pStyle w:val="20"/>
        <w:spacing w:line="360" w:lineRule="auto"/>
        <w:ind w:left="0"/>
        <w:rPr>
          <w:color w:val="auto"/>
          <w:highlight w:val="none"/>
        </w:rPr>
      </w:pP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1.磋商小组将依据“供应商企业类型声明函”及小微企业资格证明材料评定供应商的企业类型；</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2.小微企业资格证明材料（加盖公章）：供应商在“国家企业信用信息公示系统-小微企业名录”中的网页查询截图或当地中小企业行政主管部门的确认意见；</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3.小微企业资格证明材料中认定情形为“中小企业”等无法界定供应商具体企业类型的均为无效证明材料。</w:t>
      </w:r>
    </w:p>
    <w:p>
      <w:pPr>
        <w:spacing w:line="360" w:lineRule="auto"/>
        <w:jc w:val="center"/>
        <w:outlineLvl w:val="2"/>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监狱企业资格证明材料</w:t>
      </w:r>
    </w:p>
    <w:p>
      <w:pPr>
        <w:spacing w:line="360" w:lineRule="auto"/>
        <w:jc w:val="center"/>
        <w:rPr>
          <w:rFonts w:ascii="宋体" w:hAnsi="宋体"/>
          <w:b/>
          <w:color w:val="auto"/>
          <w:spacing w:val="-6"/>
          <w:sz w:val="52"/>
          <w:szCs w:val="52"/>
          <w:highlight w:val="none"/>
        </w:rPr>
      </w:pPr>
      <w:r>
        <w:rPr>
          <w:rFonts w:hint="eastAsia" w:ascii="宋体" w:hAnsi="宋体"/>
          <w:b/>
          <w:bCs/>
          <w:color w:val="auto"/>
          <w:sz w:val="21"/>
          <w:szCs w:val="21"/>
          <w:highlight w:val="none"/>
        </w:rPr>
        <w:t>【省级以上监狱管理局、戒毒管理局（含新疆生产建设兵团）出具的属于监狱企业的证明文件】</w:t>
      </w:r>
    </w:p>
    <w:p>
      <w:pPr>
        <w:spacing w:line="360" w:lineRule="auto"/>
        <w:jc w:val="center"/>
        <w:outlineLvl w:val="2"/>
        <w:rPr>
          <w:rFonts w:ascii="宋体" w:hAnsi="宋体"/>
          <w:b/>
          <w:color w:val="auto"/>
          <w:spacing w:val="6"/>
          <w:sz w:val="24"/>
          <w:highlight w:val="none"/>
        </w:rPr>
      </w:pPr>
      <w:r>
        <w:rPr>
          <w:rFonts w:hint="eastAsia" w:ascii="宋体" w:hAnsi="宋体"/>
          <w:b/>
          <w:color w:val="auto"/>
          <w:spacing w:val="6"/>
          <w:sz w:val="24"/>
          <w:highlight w:val="none"/>
        </w:rPr>
        <w:br w:type="page"/>
      </w:r>
      <w:r>
        <w:rPr>
          <w:rFonts w:hint="eastAsia" w:ascii="宋体" w:hAnsi="宋体"/>
          <w:b/>
          <w:color w:val="auto"/>
          <w:spacing w:val="6"/>
          <w:sz w:val="24"/>
          <w:highlight w:val="none"/>
        </w:rPr>
        <w:t>残疾人福利性单位声明函</w:t>
      </w: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[2017]141</w:t>
      </w:r>
      <w:r>
        <w:rPr>
          <w:rFonts w:hint="eastAsia" w:ascii="宋体" w:hAnsi="宋体"/>
          <w:color w:val="auto"/>
          <w:spacing w:val="6"/>
          <w:sz w:val="24"/>
          <w:highlight w:val="none"/>
        </w:rPr>
        <w:t>号）的规定，本单位为符合条件的残疾人福利性单位，且本单位参加</w:t>
      </w:r>
      <w:r>
        <w:rPr>
          <w:rFonts w:hint="eastAsia" w:ascii="宋体" w:hAnsi="宋体"/>
          <w:bCs/>
          <w:color w:val="auto"/>
          <w:sz w:val="24"/>
          <w:highlight w:val="none"/>
        </w:rPr>
        <w:t>浙江财经大学一站式网上服务大厅（三期）</w:t>
      </w:r>
      <w:r>
        <w:rPr>
          <w:rFonts w:hint="eastAsia" w:ascii="宋体" w:hAnsi="宋体"/>
          <w:color w:val="auto"/>
          <w:spacing w:val="6"/>
          <w:sz w:val="24"/>
          <w:highlight w:val="none"/>
        </w:rPr>
        <w:t>采购活动</w:t>
      </w:r>
      <w:r>
        <w:rPr>
          <w:rFonts w:hint="eastAsia" w:ascii="宋体" w:hAnsi="宋体"/>
          <w:color w:val="auto"/>
          <w:spacing w:val="6"/>
          <w:sz w:val="24"/>
          <w:highlight w:val="none"/>
        </w:rPr>
        <w:t>由本单位提供服务。</w:t>
      </w: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rPr>
          <w:rFonts w:hAnsi="宋体"/>
          <w:color w:val="auto"/>
          <w:spacing w:val="-6"/>
          <w:sz w:val="21"/>
          <w:szCs w:val="21"/>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jc w:val="left"/>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jc w:val="left"/>
        <w:rPr>
          <w:rFonts w:ascii="宋体" w:hAnsi="宋体"/>
          <w:b/>
          <w:color w:val="auto"/>
          <w:spacing w:val="6"/>
          <w:sz w:val="21"/>
          <w:szCs w:val="21"/>
          <w:highlight w:val="none"/>
        </w:rPr>
      </w:pPr>
    </w:p>
    <w:p>
      <w:pPr>
        <w:spacing w:line="360" w:lineRule="auto"/>
        <w:ind w:firstLine="446" w:firstLineChars="200"/>
        <w:jc w:val="left"/>
        <w:rPr>
          <w:rFonts w:ascii="宋体" w:hAnsi="宋体"/>
          <w:b/>
          <w:bCs/>
          <w:color w:val="auto"/>
          <w:sz w:val="21"/>
          <w:szCs w:val="21"/>
          <w:highlight w:val="none"/>
        </w:rPr>
      </w:pPr>
      <w:r>
        <w:rPr>
          <w:rFonts w:hint="eastAsia" w:ascii="宋体" w:hAnsi="宋体"/>
          <w:b/>
          <w:color w:val="auto"/>
          <w:spacing w:val="6"/>
          <w:sz w:val="21"/>
          <w:szCs w:val="21"/>
          <w:highlight w:val="none"/>
        </w:rPr>
        <w:t>供应商不属于残疾人福利性单位的，无需提供此声明函，如提供所引起的后果由供应商承担。</w:t>
      </w:r>
    </w:p>
    <w:p>
      <w:pPr>
        <w:spacing w:line="360" w:lineRule="auto"/>
        <w:rPr>
          <w:rFonts w:hAnsi="宋体"/>
          <w:color w:val="auto"/>
          <w:spacing w:val="-6"/>
          <w:sz w:val="21"/>
          <w:szCs w:val="21"/>
          <w:highlight w:val="none"/>
        </w:rPr>
      </w:pP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1.若供应商同时满足以下条件，则属于依法享受政府采购支持政策的残疾人福利性单位，可提供《残疾人福利性单位声明函》，并对声明的真实性负责：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（二）依法与安置的每位残疾人签订了一年以上（含一年）的劳动合同或服务协议；</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ascii="宋体" w:hAnsi="宋体"/>
          <w:bCs/>
          <w:color w:val="auto"/>
          <w:spacing w:val="-6"/>
          <w:sz w:val="21"/>
          <w:szCs w:val="21"/>
          <w:highlight w:val="none"/>
        </w:rPr>
      </w:pPr>
      <w:r>
        <w:rPr>
          <w:rFonts w:hint="eastAsia" w:ascii="宋体" w:hAnsi="宋体"/>
          <w:bCs/>
          <w:color w:val="auto"/>
          <w:sz w:val="21"/>
          <w:szCs w:val="21"/>
          <w:highlight w:val="none"/>
        </w:rPr>
        <w:t>2.</w:t>
      </w:r>
      <w:r>
        <w:rPr>
          <w:rFonts w:ascii="宋体" w:hAnsi="宋体"/>
          <w:bCs/>
          <w:color w:val="auto"/>
          <w:sz w:val="21"/>
          <w:szCs w:val="21"/>
          <w:highlight w:val="none"/>
        </w:rPr>
        <w:t>成交供应商为残疾人福利性单位的，《残疾人福利性单位声明函》随</w:t>
      </w:r>
      <w:r>
        <w:rPr>
          <w:rFonts w:hint="eastAsia" w:ascii="宋体" w:hAnsi="宋体"/>
          <w:bCs/>
          <w:color w:val="auto"/>
          <w:sz w:val="21"/>
          <w:szCs w:val="21"/>
          <w:highlight w:val="none"/>
        </w:rPr>
        <w:t>成交</w:t>
      </w:r>
      <w:r>
        <w:rPr>
          <w:rFonts w:ascii="宋体" w:hAnsi="宋体"/>
          <w:bCs/>
          <w:color w:val="auto"/>
          <w:sz w:val="21"/>
          <w:szCs w:val="21"/>
          <w:highlight w:val="none"/>
        </w:rPr>
        <w:t>结果同时公告</w:t>
      </w:r>
      <w:r>
        <w:rPr>
          <w:rFonts w:hint="eastAsia" w:ascii="宋体" w:hAnsi="宋体"/>
          <w:bCs/>
          <w:color w:val="auto"/>
          <w:sz w:val="21"/>
          <w:szCs w:val="21"/>
          <w:highlight w:val="none"/>
        </w:rPr>
        <w:t>，</w:t>
      </w:r>
      <w:r>
        <w:rPr>
          <w:rFonts w:ascii="宋体" w:hAnsi="宋体"/>
          <w:bCs/>
          <w:color w:val="auto"/>
          <w:sz w:val="21"/>
          <w:szCs w:val="21"/>
          <w:highlight w:val="none"/>
        </w:rPr>
        <w:t>接受社会监督</w:t>
      </w:r>
      <w:r>
        <w:rPr>
          <w:rFonts w:hint="eastAsia" w:ascii="宋体" w:hAnsi="宋体"/>
          <w:bCs/>
          <w:color w:val="auto"/>
          <w:sz w:val="21"/>
          <w:szCs w:val="21"/>
          <w:highlight w:val="none"/>
        </w:rPr>
        <w:t>。</w:t>
      </w:r>
    </w:p>
    <w:p>
      <w:pPr>
        <w:pStyle w:val="2"/>
        <w:spacing w:line="480" w:lineRule="auto"/>
        <w:ind w:firstLine="0"/>
        <w:jc w:val="center"/>
        <w:rPr>
          <w:rFonts w:hAnsi="宋体"/>
          <w:b/>
          <w:color w:val="auto"/>
          <w:spacing w:val="-6"/>
          <w:sz w:val="24"/>
          <w:highlight w:val="none"/>
        </w:rPr>
      </w:pPr>
      <w:r>
        <w:rPr>
          <w:rFonts w:hAnsi="宋体"/>
          <w:b/>
          <w:color w:val="auto"/>
          <w:spacing w:val="-6"/>
          <w:sz w:val="52"/>
          <w:szCs w:val="52"/>
          <w:highlight w:val="none"/>
        </w:rPr>
        <w:br w:type="page"/>
      </w:r>
      <w:bookmarkStart w:id="78" w:name="_Toc1024"/>
      <w:bookmarkStart w:id="79" w:name="_Toc18348"/>
    </w:p>
    <w:p>
      <w:pPr>
        <w:pStyle w:val="2"/>
        <w:spacing w:line="480" w:lineRule="auto"/>
        <w:ind w:firstLine="0"/>
        <w:jc w:val="center"/>
        <w:rPr>
          <w:rFonts w:hAnsi="宋体"/>
          <w:b/>
          <w:color w:val="auto"/>
          <w:spacing w:val="-6"/>
          <w:sz w:val="24"/>
          <w:highlight w:val="none"/>
        </w:rPr>
      </w:pPr>
    </w:p>
    <w:p>
      <w:pPr>
        <w:pStyle w:val="2"/>
        <w:spacing w:line="480" w:lineRule="auto"/>
        <w:ind w:firstLine="0"/>
        <w:jc w:val="center"/>
        <w:rPr>
          <w:rFonts w:hAnsi="宋体"/>
          <w:b/>
          <w:color w:val="auto"/>
          <w:spacing w:val="-6"/>
          <w:sz w:val="24"/>
          <w:highlight w:val="none"/>
        </w:rPr>
      </w:pPr>
    </w:p>
    <w:p>
      <w:pPr>
        <w:pStyle w:val="2"/>
        <w:spacing w:line="480" w:lineRule="auto"/>
        <w:ind w:firstLine="0"/>
        <w:jc w:val="center"/>
        <w:rPr>
          <w:rFonts w:hAnsi="宋体"/>
          <w:b/>
          <w:color w:val="auto"/>
          <w:spacing w:val="-6"/>
          <w:sz w:val="24"/>
          <w:highlight w:val="none"/>
        </w:rPr>
      </w:pPr>
    </w:p>
    <w:p>
      <w:pPr>
        <w:pStyle w:val="2"/>
        <w:spacing w:line="480" w:lineRule="auto"/>
        <w:ind w:firstLine="0"/>
        <w:jc w:val="center"/>
        <w:rPr>
          <w:rFonts w:hAnsi="宋体"/>
          <w:b/>
          <w:color w:val="auto"/>
          <w:spacing w:val="-6"/>
          <w:sz w:val="24"/>
          <w:highlight w:val="none"/>
        </w:rPr>
      </w:pPr>
    </w:p>
    <w:p>
      <w:pPr>
        <w:pStyle w:val="2"/>
        <w:spacing w:line="480" w:lineRule="auto"/>
        <w:ind w:firstLine="0"/>
        <w:jc w:val="center"/>
        <w:rPr>
          <w:rFonts w:hAnsi="宋体"/>
          <w:b/>
          <w:color w:val="auto"/>
          <w:spacing w:val="-6"/>
          <w:sz w:val="24"/>
          <w:highlight w:val="none"/>
        </w:rPr>
      </w:pPr>
    </w:p>
    <w:p>
      <w:pPr>
        <w:pStyle w:val="2"/>
        <w:spacing w:line="480" w:lineRule="auto"/>
        <w:ind w:firstLine="0"/>
        <w:jc w:val="center"/>
        <w:rPr>
          <w:rFonts w:hAnsi="宋体"/>
          <w:b/>
          <w:color w:val="auto"/>
          <w:spacing w:val="-6"/>
          <w:sz w:val="24"/>
          <w:highlight w:val="none"/>
        </w:rPr>
      </w:pPr>
    </w:p>
    <w:p>
      <w:pPr>
        <w:pStyle w:val="2"/>
        <w:spacing w:line="480" w:lineRule="auto"/>
        <w:ind w:firstLine="0"/>
        <w:jc w:val="center"/>
        <w:rPr>
          <w:rFonts w:hAnsi="宋体"/>
          <w:b/>
          <w:color w:val="auto"/>
          <w:spacing w:val="-6"/>
          <w:sz w:val="24"/>
          <w:highlight w:val="none"/>
        </w:rPr>
      </w:pPr>
    </w:p>
    <w:p>
      <w:pPr>
        <w:pStyle w:val="7"/>
        <w:overflowPunct w:val="0"/>
        <w:spacing w:line="360" w:lineRule="auto"/>
        <w:ind w:firstLine="0"/>
        <w:jc w:val="center"/>
        <w:outlineLvl w:val="1"/>
        <w:rPr>
          <w:rFonts w:ascii="宋体" w:hAnsi="宋体"/>
          <w:bCs/>
          <w:color w:val="auto"/>
          <w:spacing w:val="-6"/>
          <w:sz w:val="24"/>
          <w:highlight w:val="none"/>
        </w:rPr>
      </w:pPr>
      <w:r>
        <w:rPr>
          <w:rFonts w:hint="eastAsia" w:ascii="宋体" w:hAnsi="宋体"/>
          <w:b/>
          <w:color w:val="auto"/>
          <w:spacing w:val="-6"/>
          <w:sz w:val="84"/>
          <w:szCs w:val="84"/>
          <w:highlight w:val="none"/>
        </w:rPr>
        <w:t>商务技术文件</w:t>
      </w:r>
    </w:p>
    <w:p>
      <w:pPr>
        <w:spacing w:line="360" w:lineRule="auto"/>
        <w:jc w:val="center"/>
        <w:outlineLvl w:val="2"/>
        <w:rPr>
          <w:rFonts w:ascii="宋体" w:hAnsi="宋体"/>
          <w:b/>
          <w:color w:val="auto"/>
          <w:spacing w:val="-6"/>
          <w:sz w:val="52"/>
          <w:szCs w:val="52"/>
          <w:highlight w:val="none"/>
        </w:rPr>
      </w:pPr>
      <w:r>
        <w:rPr>
          <w:rFonts w:ascii="宋体" w:hAnsi="宋体"/>
          <w:b/>
          <w:color w:val="auto"/>
          <w:spacing w:val="-6"/>
          <w:sz w:val="52"/>
          <w:szCs w:val="52"/>
          <w:highlight w:val="none"/>
        </w:rPr>
        <w:br w:type="page"/>
      </w:r>
      <w:r>
        <w:rPr>
          <w:rFonts w:hint="eastAsia" w:ascii="宋体" w:hAnsi="宋体"/>
          <w:b/>
          <w:color w:val="auto"/>
          <w:spacing w:val="-6"/>
          <w:sz w:val="52"/>
          <w:szCs w:val="52"/>
          <w:highlight w:val="none"/>
        </w:rPr>
        <w:t>商务文件</w:t>
      </w:r>
      <w:bookmarkEnd w:id="78"/>
      <w:bookmarkEnd w:id="79"/>
    </w:p>
    <w:p>
      <w:pPr>
        <w:spacing w:line="360" w:lineRule="auto"/>
        <w:jc w:val="center"/>
        <w:outlineLvl w:val="3"/>
        <w:rPr>
          <w:rFonts w:ascii="宋体" w:hAnsi="宋体"/>
          <w:b/>
          <w:color w:val="auto"/>
          <w:spacing w:val="-6"/>
          <w:sz w:val="24"/>
          <w:highlight w:val="none"/>
        </w:rPr>
      </w:pPr>
      <w:r>
        <w:rPr>
          <w:rFonts w:hint="eastAsia" w:ascii="宋体" w:hAnsi="宋体"/>
          <w:b/>
          <w:color w:val="auto"/>
          <w:spacing w:val="-6"/>
          <w:sz w:val="24"/>
          <w:highlight w:val="none"/>
        </w:rPr>
        <w:t>响 应 函</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致：浙江建友工程咨询有限公司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根据贵方为</w:t>
      </w:r>
      <w:r>
        <w:rPr>
          <w:rFonts w:hint="eastAsia" w:ascii="宋体" w:hAnsi="宋体"/>
          <w:bCs/>
          <w:color w:val="auto"/>
          <w:spacing w:val="-6"/>
          <w:sz w:val="24"/>
          <w:highlight w:val="none"/>
        </w:rPr>
        <w:t>浙江财经大学一站式网上服务大厅（三期）</w:t>
      </w:r>
      <w:r>
        <w:rPr>
          <w:rFonts w:hint="eastAsia" w:ascii="宋体" w:hAnsi="宋体"/>
          <w:color w:val="auto"/>
          <w:spacing w:val="-6"/>
          <w:sz w:val="24"/>
          <w:highlight w:val="none"/>
        </w:rPr>
        <w:t>的采购邀请【项目编号</w:t>
      </w:r>
      <w:r>
        <w:rPr>
          <w:rFonts w:hint="eastAsia" w:ascii="宋体" w:hAnsi="宋体"/>
          <w:bCs/>
          <w:color w:val="auto"/>
          <w:spacing w:val="-6"/>
          <w:sz w:val="24"/>
          <w:highlight w:val="none"/>
        </w:rPr>
        <w:t>：ZJJY-20200623-02】</w:t>
      </w:r>
      <w:r>
        <w:rPr>
          <w:rFonts w:hint="eastAsia" w:ascii="宋体" w:hAnsi="宋体"/>
          <w:color w:val="auto"/>
          <w:spacing w:val="-6"/>
          <w:sz w:val="24"/>
          <w:highlight w:val="none"/>
        </w:rPr>
        <w:t>，签字代表</w:t>
      </w:r>
      <w:r>
        <w:rPr>
          <w:rFonts w:hint="eastAsia" w:ascii="宋体" w:hAnsi="宋体"/>
          <w:bCs/>
          <w:color w:val="auto"/>
          <w:spacing w:val="-6"/>
          <w:sz w:val="24"/>
          <w:highlight w:val="none"/>
        </w:rPr>
        <w:t>__________</w:t>
      </w:r>
      <w:r>
        <w:rPr>
          <w:rFonts w:hint="eastAsia" w:ascii="宋体" w:hAnsi="宋体"/>
          <w:color w:val="auto"/>
          <w:spacing w:val="-6"/>
          <w:sz w:val="24"/>
          <w:highlight w:val="none"/>
        </w:rPr>
        <w:t>（全名）经正式授权并代表</w:t>
      </w:r>
      <w:r>
        <w:rPr>
          <w:rFonts w:ascii="宋体" w:hAnsi="宋体"/>
          <w:color w:val="auto"/>
          <w:spacing w:val="-6"/>
          <w:sz w:val="24"/>
          <w:highlight w:val="none"/>
        </w:rPr>
        <w:t>______________________________</w:t>
      </w:r>
      <w:r>
        <w:rPr>
          <w:rFonts w:hint="eastAsia" w:ascii="宋体" w:hAnsi="宋体"/>
          <w:color w:val="auto"/>
          <w:spacing w:val="-6"/>
          <w:sz w:val="24"/>
          <w:highlight w:val="none"/>
        </w:rPr>
        <w:t>（供应商名称）</w:t>
      </w:r>
      <w:r>
        <w:rPr>
          <w:rFonts w:hint="eastAsia" w:ascii="宋体" w:hAnsi="宋体"/>
          <w:color w:val="auto"/>
          <w:spacing w:val="-6"/>
          <w:sz w:val="24"/>
          <w:highlight w:val="none"/>
        </w:rPr>
        <w:t>提交电子加密响应文件一份、以介质（U盘）存储的数据电文形式的备份响应文件___份。</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据此函，签字代表宣布同意如下：</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3.本磋商响应有效期自响应文件开启日起</w:t>
      </w:r>
      <w:r>
        <w:rPr>
          <w:rFonts w:hint="eastAsia" w:ascii="宋体" w:hAnsi="宋体"/>
          <w:color w:val="auto"/>
          <w:spacing w:val="-6"/>
          <w:sz w:val="24"/>
          <w:highlight w:val="none"/>
          <w:u w:val="single"/>
        </w:rPr>
        <w:t xml:space="preserve"> </w:t>
      </w:r>
      <w:r>
        <w:rPr>
          <w:rFonts w:hint="eastAsia" w:ascii="宋体" w:hAnsi="宋体"/>
          <w:bCs/>
          <w:color w:val="auto"/>
          <w:spacing w:val="-6"/>
          <w:sz w:val="24"/>
          <w:highlight w:val="none"/>
          <w:u w:val="single"/>
        </w:rPr>
        <w:t>90</w:t>
      </w:r>
      <w:r>
        <w:rPr>
          <w:rFonts w:ascii="宋体" w:hAnsi="宋体"/>
          <w:bCs/>
          <w:color w:val="auto"/>
          <w:spacing w:val="-6"/>
          <w:sz w:val="24"/>
          <w:highlight w:val="none"/>
          <w:u w:val="single"/>
        </w:rPr>
        <w:t xml:space="preserve"> </w:t>
      </w:r>
      <w:r>
        <w:rPr>
          <w:rFonts w:hint="eastAsia" w:ascii="宋体" w:hAnsi="宋体"/>
          <w:color w:val="auto"/>
          <w:spacing w:val="-6"/>
          <w:sz w:val="24"/>
          <w:highlight w:val="none"/>
        </w:rPr>
        <w:t>个日历日。</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5.我方同意按照贵方要求提供与磋商有关的一切数据或资料。</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6.与本磋商有关的一切正式往来信函请寄：</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地址：                                  邮编：</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电话：                                  传真：</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 xml:space="preserve">供应商代表姓名：                       </w:t>
      </w:r>
      <w:r>
        <w:rPr>
          <w:rFonts w:ascii="宋体" w:hAnsi="宋体"/>
          <w:color w:val="auto"/>
          <w:spacing w:val="-6"/>
          <w:sz w:val="24"/>
          <w:highlight w:val="none"/>
        </w:rPr>
        <w:t xml:space="preserve"> </w:t>
      </w:r>
      <w:r>
        <w:rPr>
          <w:rFonts w:hint="eastAsia" w:ascii="宋体" w:hAnsi="宋体"/>
          <w:color w:val="auto"/>
          <w:spacing w:val="-6"/>
          <w:sz w:val="24"/>
          <w:highlight w:val="none"/>
        </w:rPr>
        <w:t>职务：</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开户银行：</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银行帐号：</w:t>
      </w:r>
    </w:p>
    <w:p>
      <w:pPr>
        <w:pStyle w:val="20"/>
        <w:spacing w:line="360" w:lineRule="auto"/>
        <w:ind w:left="0"/>
        <w:rPr>
          <w:color w:val="auto"/>
          <w:highlight w:val="none"/>
        </w:rPr>
      </w:pP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供应商名称（盖章）：</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供应商授权代表签字：</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日期：     年   月   日</w:t>
      </w:r>
    </w:p>
    <w:p>
      <w:pPr>
        <w:spacing w:line="360" w:lineRule="auto"/>
        <w:jc w:val="center"/>
        <w:outlineLvl w:val="3"/>
        <w:rPr>
          <w:rFonts w:ascii="宋体" w:hAnsi="宋体"/>
          <w:b/>
          <w:color w:val="auto"/>
          <w:spacing w:val="-6"/>
          <w:sz w:val="24"/>
          <w:highlight w:val="none"/>
        </w:rPr>
      </w:pPr>
      <w:r>
        <w:rPr>
          <w:rFonts w:ascii="宋体" w:hAnsi="宋体"/>
          <w:b/>
          <w:color w:val="auto"/>
          <w:spacing w:val="-6"/>
          <w:sz w:val="24"/>
          <w:highlight w:val="none"/>
        </w:rPr>
        <w:br w:type="page"/>
      </w:r>
      <w:r>
        <w:rPr>
          <w:rFonts w:ascii="宋体" w:hAnsi="宋体"/>
          <w:b/>
          <w:color w:val="auto"/>
          <w:spacing w:val="-6"/>
          <w:sz w:val="24"/>
          <w:highlight w:val="none"/>
        </w:rPr>
        <w:t>法定代表人资格证明书</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致：浙江财经大学、浙江建友工程咨询有限公司</w:t>
      </w:r>
    </w:p>
    <w:p>
      <w:pPr>
        <w:spacing w:line="360" w:lineRule="auto"/>
        <w:ind w:firstLine="456" w:firstLineChars="200"/>
        <w:rPr>
          <w:rFonts w:ascii="宋体" w:hAnsi="宋体"/>
          <w:bCs/>
          <w:color w:val="auto"/>
          <w:spacing w:val="-6"/>
          <w:sz w:val="24"/>
          <w:highlight w:val="none"/>
        </w:rPr>
      </w:pPr>
      <w:r>
        <w:rPr>
          <w:rFonts w:hint="eastAsia" w:ascii="宋体" w:hAnsi="宋体"/>
          <w:bCs/>
          <w:color w:val="auto"/>
          <w:spacing w:val="-6"/>
          <w:sz w:val="24"/>
          <w:highlight w:val="none"/>
        </w:rPr>
        <w:t>我</w:t>
      </w:r>
      <w:r>
        <w:rPr>
          <w:rFonts w:hint="eastAsia" w:ascii="宋体" w:hAnsi="宋体"/>
          <w:color w:val="auto"/>
          <w:spacing w:val="-6"/>
          <w:sz w:val="24"/>
          <w:highlight w:val="none"/>
        </w:rPr>
        <w:t>___</w:t>
      </w:r>
      <w:r>
        <w:rPr>
          <w:rFonts w:hint="eastAsia" w:ascii="宋体" w:hAnsi="宋体"/>
          <w:bCs/>
          <w:color w:val="auto"/>
          <w:spacing w:val="-6"/>
          <w:sz w:val="24"/>
          <w:highlight w:val="none"/>
        </w:rPr>
        <w:t>________</w:t>
      </w:r>
      <w:r>
        <w:rPr>
          <w:rFonts w:hint="eastAsia" w:ascii="宋体" w:hAnsi="宋体"/>
          <w:color w:val="auto"/>
          <w:spacing w:val="-6"/>
          <w:sz w:val="24"/>
          <w:highlight w:val="none"/>
        </w:rPr>
        <w:t>_</w:t>
      </w:r>
      <w:r>
        <w:rPr>
          <w:rFonts w:ascii="宋体" w:hAnsi="宋体"/>
          <w:bCs/>
          <w:color w:val="auto"/>
          <w:spacing w:val="-6"/>
          <w:sz w:val="24"/>
          <w:highlight w:val="none"/>
        </w:rPr>
        <w:t>（姓名）系</w:t>
      </w:r>
      <w:r>
        <w:rPr>
          <w:rFonts w:hint="eastAsia" w:ascii="宋体" w:hAnsi="宋体"/>
          <w:bCs/>
          <w:color w:val="auto"/>
          <w:spacing w:val="-6"/>
          <w:sz w:val="24"/>
          <w:highlight w:val="none"/>
        </w:rPr>
        <w:t>_________</w:t>
      </w:r>
      <w:r>
        <w:rPr>
          <w:rFonts w:ascii="宋体" w:hAnsi="宋体"/>
          <w:bCs/>
          <w:color w:val="auto"/>
          <w:spacing w:val="-6"/>
          <w:sz w:val="24"/>
          <w:highlight w:val="none"/>
        </w:rPr>
        <w:t>______</w:t>
      </w:r>
      <w:r>
        <w:rPr>
          <w:rFonts w:hint="eastAsia" w:ascii="宋体" w:hAnsi="宋体"/>
          <w:bCs/>
          <w:color w:val="auto"/>
          <w:spacing w:val="-6"/>
          <w:sz w:val="24"/>
          <w:highlight w:val="none"/>
        </w:rPr>
        <w:t>__________</w:t>
      </w:r>
      <w:r>
        <w:rPr>
          <w:rFonts w:ascii="宋体" w:hAnsi="宋体"/>
          <w:bCs/>
          <w:color w:val="auto"/>
          <w:spacing w:val="-6"/>
          <w:sz w:val="24"/>
          <w:highlight w:val="none"/>
        </w:rPr>
        <w:t>___</w:t>
      </w:r>
      <w:r>
        <w:rPr>
          <w:rFonts w:hint="eastAsia" w:ascii="宋体" w:hAnsi="宋体"/>
          <w:bCs/>
          <w:color w:val="auto"/>
          <w:spacing w:val="-6"/>
          <w:sz w:val="24"/>
          <w:highlight w:val="none"/>
        </w:rPr>
        <w:t>____（供应商名称）</w:t>
      </w:r>
      <w:r>
        <w:rPr>
          <w:rFonts w:ascii="宋体" w:hAnsi="宋体"/>
          <w:bCs/>
          <w:color w:val="auto"/>
          <w:spacing w:val="-6"/>
          <w:sz w:val="24"/>
          <w:highlight w:val="none"/>
        </w:rPr>
        <w:t>的法定代表人，身份证</w:t>
      </w:r>
      <w:r>
        <w:rPr>
          <w:rFonts w:hint="eastAsia" w:ascii="宋体" w:hAnsi="宋体"/>
          <w:bCs/>
          <w:color w:val="auto"/>
          <w:spacing w:val="-6"/>
          <w:sz w:val="24"/>
          <w:highlight w:val="none"/>
        </w:rPr>
        <w:t>号码：</w:t>
      </w:r>
      <w:r>
        <w:rPr>
          <w:rFonts w:ascii="宋体" w:hAnsi="宋体"/>
          <w:color w:val="auto"/>
          <w:spacing w:val="-6"/>
          <w:sz w:val="24"/>
          <w:highlight w:val="none"/>
        </w:rPr>
        <w:t>_________________________________</w:t>
      </w:r>
      <w:r>
        <w:rPr>
          <w:rFonts w:ascii="宋体" w:hAnsi="宋体"/>
          <w:bCs/>
          <w:color w:val="auto"/>
          <w:spacing w:val="-6"/>
          <w:sz w:val="24"/>
          <w:highlight w:val="none"/>
        </w:rPr>
        <w:t>。</w:t>
      </w:r>
    </w:p>
    <w:p>
      <w:pPr>
        <w:spacing w:line="360" w:lineRule="auto"/>
        <w:ind w:firstLine="456" w:firstLineChars="200"/>
        <w:rPr>
          <w:rFonts w:ascii="宋体" w:hAnsi="宋体"/>
          <w:bCs/>
          <w:color w:val="auto"/>
          <w:spacing w:val="-6"/>
          <w:sz w:val="24"/>
          <w:highlight w:val="none"/>
        </w:rPr>
      </w:pPr>
      <w:r>
        <w:rPr>
          <w:rFonts w:ascii="宋体" w:hAnsi="宋体"/>
          <w:bCs/>
          <w:color w:val="auto"/>
          <w:spacing w:val="-6"/>
          <w:sz w:val="24"/>
          <w:highlight w:val="none"/>
        </w:rPr>
        <w:t>特此证明。</w:t>
      </w:r>
    </w:p>
    <w:p>
      <w:pPr>
        <w:spacing w:line="360" w:lineRule="auto"/>
        <w:rPr>
          <w:rFonts w:ascii="宋体" w:hAnsi="宋体"/>
          <w:bCs/>
          <w:color w:val="auto"/>
          <w:spacing w:val="-6"/>
          <w:sz w:val="24"/>
          <w:highlight w:val="none"/>
        </w:rPr>
      </w:pPr>
    </w:p>
    <w:tbl>
      <w:tblPr>
        <w:tblStyle w:val="1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jc w:val="center"/>
        </w:trPr>
        <w:tc>
          <w:tcPr>
            <w:tcW w:w="9628" w:type="dxa"/>
            <w:vAlign w:val="center"/>
          </w:tcPr>
          <w:p>
            <w:pPr>
              <w:jc w:val="center"/>
              <w:rPr>
                <w:color w:val="auto"/>
                <w:sz w:val="24"/>
                <w:highlight w:val="none"/>
              </w:rPr>
            </w:pPr>
            <w:r>
              <w:rPr>
                <w:rFonts w:hint="eastAsia"/>
                <w:color w:val="auto"/>
                <w:sz w:val="24"/>
                <w:highlight w:val="none"/>
              </w:rPr>
              <w:t>法定代表人身份证扫描件粘贴处</w:t>
            </w:r>
          </w:p>
        </w:tc>
      </w:tr>
    </w:tbl>
    <w:p>
      <w:pPr>
        <w:spacing w:line="360" w:lineRule="auto"/>
        <w:rPr>
          <w:rFonts w:ascii="宋体" w:hAnsi="宋体"/>
          <w:bCs/>
          <w:color w:val="auto"/>
          <w:spacing w:val="-6"/>
          <w:sz w:val="24"/>
          <w:highlight w:val="none"/>
        </w:rPr>
      </w:pPr>
    </w:p>
    <w:p>
      <w:pPr>
        <w:spacing w:line="360" w:lineRule="auto"/>
        <w:rPr>
          <w:rFonts w:ascii="宋体" w:hAnsi="宋体"/>
          <w:b/>
          <w:bCs/>
          <w:color w:val="auto"/>
          <w:spacing w:val="-6"/>
          <w:sz w:val="24"/>
          <w:highlight w:val="none"/>
        </w:rPr>
      </w:pPr>
    </w:p>
    <w:p>
      <w:pPr>
        <w:pStyle w:val="19"/>
        <w:spacing w:line="360" w:lineRule="auto"/>
        <w:rPr>
          <w:color w:val="auto"/>
          <w:highlight w:val="none"/>
        </w:rPr>
      </w:pP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供应商名称（盖章）：</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日期：     年   月   日</w:t>
      </w:r>
    </w:p>
    <w:p>
      <w:pPr>
        <w:spacing w:line="360" w:lineRule="auto"/>
        <w:jc w:val="center"/>
        <w:outlineLvl w:val="3"/>
        <w:rPr>
          <w:rFonts w:ascii="宋体" w:hAnsi="宋体"/>
          <w:b/>
          <w:bCs/>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法定代表人授权委托书</w:t>
      </w:r>
    </w:p>
    <w:p>
      <w:pPr>
        <w:spacing w:line="360" w:lineRule="auto"/>
        <w:rPr>
          <w:rFonts w:ascii="宋体" w:hAnsi="宋体"/>
          <w:b/>
          <w:bCs/>
          <w:color w:val="auto"/>
          <w:spacing w:val="-6"/>
          <w:sz w:val="24"/>
          <w:highlight w:val="none"/>
        </w:rPr>
      </w:pPr>
      <w:r>
        <w:rPr>
          <w:rFonts w:hint="eastAsia" w:ascii="宋体" w:hAnsi="宋体"/>
          <w:bCs/>
          <w:color w:val="auto"/>
          <w:spacing w:val="-6"/>
          <w:sz w:val="24"/>
          <w:highlight w:val="none"/>
        </w:rPr>
        <w:t>致：浙江财经大学、浙江建友工程咨询有限公司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我____________（姓名）系</w:t>
      </w:r>
      <w:r>
        <w:rPr>
          <w:rFonts w:ascii="宋体" w:hAnsi="宋体"/>
          <w:color w:val="auto"/>
          <w:spacing w:val="-6"/>
          <w:sz w:val="24"/>
          <w:highlight w:val="none"/>
        </w:rPr>
        <w:t>__________________________</w:t>
      </w:r>
      <w:r>
        <w:rPr>
          <w:rFonts w:hint="eastAsia" w:ascii="宋体" w:hAnsi="宋体"/>
          <w:color w:val="auto"/>
          <w:spacing w:val="-6"/>
          <w:sz w:val="24"/>
          <w:highlight w:val="none"/>
        </w:rPr>
        <w:t>（供应商名称）的法定代表人，现授权委托本单位在职职工：</w:t>
      </w:r>
      <w:r>
        <w:rPr>
          <w:rFonts w:ascii="宋体" w:hAnsi="宋体"/>
          <w:color w:val="auto"/>
          <w:spacing w:val="-6"/>
          <w:sz w:val="24"/>
          <w:highlight w:val="none"/>
        </w:rPr>
        <w:t>__________</w:t>
      </w:r>
      <w:r>
        <w:rPr>
          <w:rFonts w:hint="eastAsia" w:ascii="宋体" w:hAnsi="宋体"/>
          <w:color w:val="auto"/>
          <w:spacing w:val="-6"/>
          <w:sz w:val="24"/>
          <w:highlight w:val="none"/>
        </w:rPr>
        <w:t>（姓名），身份证号码：</w:t>
      </w:r>
      <w:r>
        <w:rPr>
          <w:rFonts w:ascii="宋体" w:hAnsi="宋体"/>
          <w:color w:val="auto"/>
          <w:spacing w:val="-6"/>
          <w:sz w:val="24"/>
          <w:highlight w:val="none"/>
        </w:rPr>
        <w:t>____________________________</w:t>
      </w:r>
      <w:r>
        <w:rPr>
          <w:rFonts w:hint="eastAsia" w:ascii="宋体" w:hAnsi="宋体"/>
          <w:color w:val="auto"/>
          <w:spacing w:val="-6"/>
          <w:sz w:val="24"/>
          <w:highlight w:val="none"/>
        </w:rPr>
        <w:t>以我方的名义参加</w:t>
      </w:r>
      <w:r>
        <w:rPr>
          <w:rFonts w:hint="eastAsia" w:ascii="宋体" w:hAnsi="宋体"/>
          <w:bCs/>
          <w:color w:val="auto"/>
          <w:spacing w:val="-6"/>
          <w:sz w:val="24"/>
          <w:highlight w:val="none"/>
        </w:rPr>
        <w:t>浙江财经大学一站式网上服务大厅（三期）项目</w:t>
      </w:r>
      <w:r>
        <w:rPr>
          <w:rFonts w:hint="eastAsia" w:ascii="宋体" w:hAnsi="宋体"/>
          <w:color w:val="auto"/>
          <w:spacing w:val="-6"/>
          <w:sz w:val="24"/>
          <w:highlight w:val="none"/>
        </w:rPr>
        <w:t>的磋商响应活动，并代表我方全权办理针对上述项目的磋商响应、响应文件开启、评审、签约等具体事务和签署相关文件。</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我方对被授权人的签名负全部责任。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被授权人无转委托权，特此委托。</w:t>
      </w:r>
    </w:p>
    <w:p>
      <w:pPr>
        <w:spacing w:line="360" w:lineRule="auto"/>
        <w:rPr>
          <w:rFonts w:ascii="宋体" w:hAnsi="宋体"/>
          <w:color w:val="auto"/>
          <w:spacing w:val="-6"/>
          <w:sz w:val="24"/>
          <w:highlight w:val="none"/>
        </w:rPr>
      </w:pPr>
    </w:p>
    <w:p>
      <w:pPr>
        <w:spacing w:line="360" w:lineRule="auto"/>
        <w:ind w:firstLine="424" w:firstLineChars="186"/>
        <w:rPr>
          <w:rFonts w:ascii="宋体" w:hAnsi="宋体"/>
          <w:color w:val="auto"/>
          <w:spacing w:val="-6"/>
          <w:sz w:val="24"/>
          <w:highlight w:val="none"/>
          <w:u w:val="single"/>
        </w:rPr>
      </w:pPr>
      <w:r>
        <w:rPr>
          <w:rFonts w:hint="eastAsia" w:ascii="宋体" w:hAnsi="宋体"/>
          <w:color w:val="auto"/>
          <w:spacing w:val="-6"/>
          <w:sz w:val="24"/>
          <w:highlight w:val="none"/>
        </w:rPr>
        <w:t>法定代表人（签字或盖章）：</w:t>
      </w:r>
      <w:r>
        <w:rPr>
          <w:rFonts w:ascii="宋体" w:hAnsi="宋体"/>
          <w:color w:val="auto"/>
          <w:spacing w:val="-6"/>
          <w:sz w:val="24"/>
          <w:highlight w:val="none"/>
        </w:rPr>
        <w:t>_____________________</w:t>
      </w:r>
    </w:p>
    <w:p>
      <w:pPr>
        <w:spacing w:line="360" w:lineRule="auto"/>
        <w:rPr>
          <w:rFonts w:ascii="宋体" w:hAnsi="宋体"/>
          <w:color w:val="auto"/>
          <w:spacing w:val="-6"/>
          <w:sz w:val="24"/>
          <w:highlight w:val="none"/>
        </w:rPr>
      </w:pPr>
    </w:p>
    <w:p>
      <w:pPr>
        <w:pStyle w:val="19"/>
        <w:spacing w:line="360" w:lineRule="auto"/>
        <w:rPr>
          <w:rFonts w:ascii="宋体" w:hAnsi="宋体"/>
          <w:color w:val="auto"/>
          <w:spacing w:val="-6"/>
          <w:highlight w:val="none"/>
        </w:rPr>
      </w:pPr>
    </w:p>
    <w:p>
      <w:pPr>
        <w:pStyle w:val="20"/>
        <w:spacing w:line="360" w:lineRule="auto"/>
        <w:ind w:left="0"/>
        <w:rPr>
          <w:color w:val="auto"/>
          <w:highlight w:val="none"/>
        </w:rPr>
      </w:pP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供应商名称（盖章）：</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日期：     年   月   日</w:t>
      </w:r>
    </w:p>
    <w:tbl>
      <w:tblPr>
        <w:tblStyle w:val="1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jc w:val="center"/>
        </w:trPr>
        <w:tc>
          <w:tcPr>
            <w:tcW w:w="9628" w:type="dxa"/>
            <w:vAlign w:val="center"/>
          </w:tcPr>
          <w:p>
            <w:pPr>
              <w:jc w:val="center"/>
              <w:rPr>
                <w:color w:val="auto"/>
                <w:sz w:val="24"/>
                <w:highlight w:val="none"/>
              </w:rPr>
            </w:pPr>
            <w:r>
              <w:rPr>
                <w:rFonts w:hint="eastAsia"/>
                <w:color w:val="auto"/>
                <w:sz w:val="24"/>
                <w:highlight w:val="none"/>
              </w:rPr>
              <w:t>授权代表身份证扫描件粘贴处</w:t>
            </w:r>
          </w:p>
        </w:tc>
      </w:tr>
    </w:tbl>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1.供应商的</w:t>
      </w:r>
      <w:r>
        <w:rPr>
          <w:rFonts w:ascii="宋体" w:hAnsi="宋体"/>
          <w:b/>
          <w:bCs/>
          <w:color w:val="auto"/>
          <w:spacing w:val="-6"/>
          <w:sz w:val="21"/>
          <w:szCs w:val="21"/>
          <w:highlight w:val="none"/>
        </w:rPr>
        <w:t>法定代表人参加磋商响应，须在响应文件中提供法定代表人资格证明</w:t>
      </w:r>
      <w:r>
        <w:rPr>
          <w:rFonts w:hint="eastAsia" w:ascii="宋体" w:hAnsi="宋体"/>
          <w:b/>
          <w:bCs/>
          <w:color w:val="auto"/>
          <w:spacing w:val="-6"/>
          <w:sz w:val="21"/>
          <w:szCs w:val="21"/>
          <w:highlight w:val="none"/>
        </w:rPr>
        <w:t>书；</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2.供应商的法定代表人委托授权代表</w:t>
      </w:r>
      <w:r>
        <w:rPr>
          <w:rFonts w:ascii="宋体" w:hAnsi="宋体"/>
          <w:b/>
          <w:bCs/>
          <w:color w:val="auto"/>
          <w:spacing w:val="-6"/>
          <w:sz w:val="21"/>
          <w:szCs w:val="21"/>
          <w:highlight w:val="none"/>
        </w:rPr>
        <w:t>参加磋商响应，须在响应文件中提供附有法定代表人资格证明</w:t>
      </w:r>
      <w:r>
        <w:rPr>
          <w:rFonts w:hint="eastAsia" w:ascii="宋体" w:hAnsi="宋体"/>
          <w:b/>
          <w:bCs/>
          <w:color w:val="auto"/>
          <w:spacing w:val="-6"/>
          <w:sz w:val="21"/>
          <w:szCs w:val="21"/>
          <w:highlight w:val="none"/>
        </w:rPr>
        <w:t>书</w:t>
      </w:r>
      <w:r>
        <w:rPr>
          <w:rFonts w:ascii="宋体" w:hAnsi="宋体"/>
          <w:b/>
          <w:bCs/>
          <w:color w:val="auto"/>
          <w:spacing w:val="-6"/>
          <w:sz w:val="21"/>
          <w:szCs w:val="21"/>
          <w:highlight w:val="none"/>
        </w:rPr>
        <w:t>的法定代表人授权</w:t>
      </w:r>
      <w:r>
        <w:rPr>
          <w:rFonts w:hint="eastAsia" w:ascii="宋体" w:hAnsi="宋体"/>
          <w:b/>
          <w:bCs/>
          <w:color w:val="auto"/>
          <w:spacing w:val="-6"/>
          <w:sz w:val="21"/>
          <w:szCs w:val="21"/>
          <w:highlight w:val="none"/>
        </w:rPr>
        <w:t>委托</w:t>
      </w:r>
      <w:r>
        <w:rPr>
          <w:rFonts w:ascii="宋体" w:hAnsi="宋体"/>
          <w:b/>
          <w:bCs/>
          <w:color w:val="auto"/>
          <w:spacing w:val="-6"/>
          <w:sz w:val="21"/>
          <w:szCs w:val="21"/>
          <w:highlight w:val="none"/>
        </w:rPr>
        <w:t>书</w:t>
      </w:r>
      <w:r>
        <w:rPr>
          <w:rFonts w:hint="eastAsia" w:ascii="宋体" w:hAnsi="宋体"/>
          <w:b/>
          <w:bCs/>
          <w:color w:val="auto"/>
          <w:spacing w:val="-6"/>
          <w:sz w:val="21"/>
          <w:szCs w:val="21"/>
          <w:highlight w:val="none"/>
        </w:rPr>
        <w:t>。</w:t>
      </w:r>
    </w:p>
    <w:p>
      <w:pPr>
        <w:spacing w:line="360" w:lineRule="auto"/>
        <w:jc w:val="center"/>
        <w:outlineLvl w:val="3"/>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2019年1月至今任意一月供应商</w:t>
      </w:r>
      <w:r>
        <w:rPr>
          <w:rFonts w:ascii="宋体" w:hAnsi="宋体"/>
          <w:b/>
          <w:color w:val="auto"/>
          <w:spacing w:val="-6"/>
          <w:sz w:val="24"/>
          <w:highlight w:val="none"/>
        </w:rPr>
        <w:t>授权代表社保缴纳证明</w:t>
      </w:r>
    </w:p>
    <w:p>
      <w:pPr>
        <w:pStyle w:val="15"/>
        <w:ind w:firstLine="199"/>
        <w:jc w:val="center"/>
        <w:rPr>
          <w:b/>
          <w:bCs/>
          <w:color w:val="auto"/>
          <w:highlight w:val="none"/>
        </w:rPr>
      </w:pPr>
      <w:r>
        <w:rPr>
          <w:rFonts w:hint="eastAsia" w:hAnsi="宋体"/>
          <w:b/>
          <w:bCs/>
          <w:color w:val="auto"/>
          <w:spacing w:val="-6"/>
          <w:sz w:val="21"/>
          <w:szCs w:val="21"/>
          <w:highlight w:val="none"/>
        </w:rPr>
        <w:t>（授权代表为</w:t>
      </w:r>
      <w:r>
        <w:rPr>
          <w:rFonts w:ascii="宋体" w:hAnsi="宋体"/>
          <w:b/>
          <w:bCs/>
          <w:color w:val="auto"/>
          <w:spacing w:val="-6"/>
          <w:sz w:val="21"/>
          <w:szCs w:val="21"/>
          <w:highlight w:val="none"/>
        </w:rPr>
        <w:t>法定代表人</w:t>
      </w:r>
      <w:r>
        <w:rPr>
          <w:rFonts w:hint="eastAsia" w:hAnsi="宋体"/>
          <w:b/>
          <w:bCs/>
          <w:color w:val="auto"/>
          <w:spacing w:val="-6"/>
          <w:sz w:val="21"/>
          <w:szCs w:val="21"/>
          <w:highlight w:val="none"/>
        </w:rPr>
        <w:t>可不提供）</w:t>
      </w:r>
    </w:p>
    <w:p>
      <w:pPr>
        <w:spacing w:line="360" w:lineRule="auto"/>
        <w:jc w:val="center"/>
        <w:outlineLvl w:val="3"/>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响应声明书</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致：浙江建友工程咨询有限公司</w:t>
      </w:r>
    </w:p>
    <w:p>
      <w:pPr>
        <w:spacing w:line="360" w:lineRule="auto"/>
        <w:ind w:firstLine="456" w:firstLineChars="200"/>
        <w:rPr>
          <w:rFonts w:ascii="宋体" w:hAnsi="宋体"/>
          <w:color w:val="auto"/>
          <w:spacing w:val="-6"/>
          <w:sz w:val="24"/>
          <w:highlight w:val="none"/>
        </w:rPr>
      </w:pPr>
      <w:r>
        <w:rPr>
          <w:rFonts w:ascii="宋体" w:hAnsi="宋体"/>
          <w:color w:val="auto"/>
          <w:spacing w:val="-6"/>
          <w:sz w:val="24"/>
          <w:highlight w:val="none"/>
        </w:rPr>
        <w:t>______________________________________</w:t>
      </w:r>
      <w:r>
        <w:rPr>
          <w:rFonts w:hint="eastAsia" w:ascii="宋体" w:hAnsi="宋体"/>
          <w:color w:val="auto"/>
          <w:spacing w:val="-6"/>
          <w:sz w:val="24"/>
          <w:highlight w:val="none"/>
        </w:rPr>
        <w:t>（供应商名称）系中华人民共和国合法企业，经营地址</w:t>
      </w:r>
      <w:r>
        <w:rPr>
          <w:rFonts w:ascii="宋体" w:hAnsi="宋体"/>
          <w:color w:val="auto"/>
          <w:spacing w:val="-6"/>
          <w:sz w:val="24"/>
          <w:highlight w:val="none"/>
        </w:rPr>
        <w:t>__________________________________</w:t>
      </w:r>
      <w:r>
        <w:rPr>
          <w:rFonts w:hint="eastAsia" w:ascii="宋体" w:hAnsi="宋体"/>
          <w:color w:val="auto"/>
          <w:spacing w:val="-6"/>
          <w:sz w:val="24"/>
          <w:highlight w:val="none"/>
        </w:rPr>
        <w:t>。</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我方愿意参加贵方组织的</w:t>
      </w:r>
      <w:r>
        <w:rPr>
          <w:rFonts w:hint="eastAsia" w:ascii="宋体" w:hAnsi="宋体"/>
          <w:bCs/>
          <w:color w:val="auto"/>
          <w:spacing w:val="-6"/>
          <w:sz w:val="24"/>
          <w:highlight w:val="none"/>
        </w:rPr>
        <w:t>浙江财经大学一站式网上服务大厅（三期）项目</w:t>
      </w:r>
      <w:r>
        <w:rPr>
          <w:rFonts w:hint="eastAsia" w:ascii="宋体" w:hAnsi="宋体"/>
          <w:color w:val="auto"/>
          <w:spacing w:val="-6"/>
          <w:sz w:val="24"/>
          <w:highlight w:val="none"/>
        </w:rPr>
        <w:t>的磋商响应，为便于贵方公正、择优地确定成交供应商及其服务，我方就本次磋商有关事项郑重声明如下：</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1.我方向贵方提交的所有响应文件、资料都是准确的和真实的；</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2.我方不是采购人的附属机构；在获知本项目采购信息后，与采购人聘请的为此项目提供咨询服务的公司及其附属机构没有任何联系。</w:t>
      </w:r>
    </w:p>
    <w:p>
      <w:pPr>
        <w:pStyle w:val="2"/>
        <w:spacing w:line="360" w:lineRule="auto"/>
        <w:ind w:firstLine="456" w:firstLineChars="200"/>
        <w:rPr>
          <w:rFonts w:hAnsi="宋体"/>
          <w:color w:val="auto"/>
          <w:spacing w:val="-6"/>
          <w:sz w:val="24"/>
          <w:szCs w:val="24"/>
          <w:highlight w:val="none"/>
        </w:rPr>
      </w:pPr>
      <w:r>
        <w:rPr>
          <w:rFonts w:hint="eastAsia" w:hAnsi="宋体"/>
          <w:color w:val="auto"/>
          <w:spacing w:val="-6"/>
          <w:sz w:val="24"/>
          <w:szCs w:val="24"/>
          <w:highlight w:val="none"/>
        </w:rPr>
        <w:t>3.</w:t>
      </w:r>
      <w:r>
        <w:rPr>
          <w:rFonts w:hAnsi="宋体"/>
          <w:color w:val="auto"/>
          <w:spacing w:val="-6"/>
          <w:sz w:val="24"/>
          <w:szCs w:val="24"/>
          <w:highlight w:val="none"/>
        </w:rPr>
        <w:t>我方</w:t>
      </w:r>
      <w:r>
        <w:rPr>
          <w:rFonts w:hint="eastAsia" w:hAnsi="宋体"/>
          <w:color w:val="auto"/>
          <w:spacing w:val="-6"/>
          <w:sz w:val="24"/>
          <w:szCs w:val="24"/>
          <w:highlight w:val="none"/>
        </w:rPr>
        <w:t>在参加政府采购活动前3年内：</w:t>
      </w:r>
      <w:r>
        <w:rPr>
          <w:rFonts w:hint="eastAsia" w:hAnsi="宋体"/>
          <w:b/>
          <w:color w:val="auto"/>
          <w:spacing w:val="-6"/>
          <w:sz w:val="24"/>
          <w:szCs w:val="24"/>
          <w:highlight w:val="none"/>
          <w:u w:val="single"/>
        </w:rPr>
        <w:t xml:space="preserve">     </w:t>
      </w:r>
      <w:r>
        <w:rPr>
          <w:rFonts w:hint="eastAsia" w:hAnsi="宋体"/>
          <w:b/>
          <w:color w:val="auto"/>
          <w:spacing w:val="-6"/>
          <w:sz w:val="24"/>
          <w:szCs w:val="24"/>
          <w:highlight w:val="none"/>
        </w:rPr>
        <w:t>（填写“有”或“没有”，如实填写，如不填写视同未按要求填写）</w:t>
      </w:r>
      <w:r>
        <w:rPr>
          <w:rFonts w:hint="eastAsia" w:hAnsi="宋体"/>
          <w:color w:val="auto"/>
          <w:spacing w:val="-6"/>
          <w:sz w:val="24"/>
          <w:szCs w:val="24"/>
          <w:highlight w:val="none"/>
        </w:rPr>
        <w:t>因违法经营被禁止在一定期限内参加政府采购活动，且期限未满的情形。</w:t>
      </w:r>
    </w:p>
    <w:p>
      <w:pPr>
        <w:pStyle w:val="2"/>
        <w:spacing w:line="360" w:lineRule="auto"/>
        <w:ind w:firstLine="456" w:firstLineChars="200"/>
        <w:rPr>
          <w:rFonts w:hAnsi="宋体"/>
          <w:color w:val="auto"/>
          <w:spacing w:val="-6"/>
          <w:sz w:val="24"/>
          <w:szCs w:val="24"/>
          <w:highlight w:val="none"/>
        </w:rPr>
      </w:pPr>
      <w:r>
        <w:rPr>
          <w:rFonts w:hint="eastAsia" w:hAnsi="宋体"/>
          <w:color w:val="auto"/>
          <w:spacing w:val="-6"/>
          <w:sz w:val="24"/>
          <w:szCs w:val="24"/>
          <w:highlight w:val="none"/>
        </w:rPr>
        <w:t>4.</w:t>
      </w:r>
      <w:r>
        <w:rPr>
          <w:rFonts w:hAnsi="宋体"/>
          <w:color w:val="auto"/>
          <w:spacing w:val="-6"/>
          <w:sz w:val="24"/>
          <w:szCs w:val="24"/>
          <w:highlight w:val="none"/>
        </w:rPr>
        <w:t>以上事项如有虚假或隐瞒，我方愿意承担一切后果和责任。</w:t>
      </w:r>
    </w:p>
    <w:p>
      <w:pPr>
        <w:pStyle w:val="22"/>
        <w:spacing w:line="360" w:lineRule="auto"/>
        <w:rPr>
          <w:rFonts w:ascii="宋体" w:hAnsi="宋体"/>
          <w:color w:val="auto"/>
          <w:spacing w:val="-6"/>
          <w:szCs w:val="24"/>
          <w:highlight w:val="none"/>
        </w:rPr>
      </w:pPr>
    </w:p>
    <w:p>
      <w:pPr>
        <w:pStyle w:val="22"/>
        <w:spacing w:line="360" w:lineRule="auto"/>
        <w:rPr>
          <w:rFonts w:ascii="宋体" w:hAnsi="宋体"/>
          <w:color w:val="auto"/>
          <w:spacing w:val="-6"/>
          <w:szCs w:val="24"/>
          <w:highlight w:val="none"/>
        </w:rPr>
      </w:pPr>
    </w:p>
    <w:p>
      <w:pPr>
        <w:pStyle w:val="22"/>
        <w:spacing w:line="360" w:lineRule="auto"/>
        <w:rPr>
          <w:rFonts w:ascii="宋体" w:hAnsi="宋体"/>
          <w:color w:val="auto"/>
          <w:spacing w:val="-6"/>
          <w:szCs w:val="24"/>
          <w:highlight w:val="none"/>
        </w:rPr>
      </w:pP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供应商名称（盖章）：</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供应商授权代表签字：</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日期：     年   月   日</w:t>
      </w:r>
    </w:p>
    <w:p>
      <w:pPr>
        <w:spacing w:line="360" w:lineRule="auto"/>
        <w:jc w:val="center"/>
        <w:outlineLvl w:val="3"/>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供应商情况介绍</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316" w:type="dxa"/>
            <w:gridSpan w:val="2"/>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4575"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4316" w:type="dxa"/>
            <w:gridSpan w:val="2"/>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传真：</w:t>
            </w:r>
          </w:p>
        </w:tc>
        <w:tc>
          <w:tcPr>
            <w:tcW w:w="4575"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4316" w:type="dxa"/>
            <w:gridSpan w:val="2"/>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注册地：</w:t>
            </w:r>
          </w:p>
        </w:tc>
        <w:tc>
          <w:tcPr>
            <w:tcW w:w="4575"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2527"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作为承包人经历年数</w:t>
            </w:r>
          </w:p>
        </w:tc>
        <w:tc>
          <w:tcPr>
            <w:tcW w:w="6364" w:type="dxa"/>
            <w:gridSpan w:val="2"/>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2527"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其他需要说明的情况</w:t>
            </w:r>
          </w:p>
        </w:tc>
        <w:tc>
          <w:tcPr>
            <w:tcW w:w="6364" w:type="dxa"/>
            <w:gridSpan w:val="2"/>
            <w:vAlign w:val="center"/>
          </w:tcPr>
          <w:p>
            <w:pPr>
              <w:rPr>
                <w:rFonts w:ascii="宋体" w:hAnsi="宋体" w:cs="宋体"/>
                <w:color w:val="auto"/>
                <w:sz w:val="21"/>
                <w:szCs w:val="21"/>
                <w:highlight w:val="none"/>
              </w:rPr>
            </w:pPr>
          </w:p>
        </w:tc>
      </w:tr>
    </w:tbl>
    <w:p>
      <w:pPr>
        <w:spacing w:line="360" w:lineRule="auto"/>
        <w:rPr>
          <w:rFonts w:ascii="宋体" w:hAnsi="宋体"/>
          <w:color w:val="auto"/>
          <w:spacing w:val="-6"/>
          <w:sz w:val="24"/>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说明：所有供应商都须填写此表。</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pStyle w:val="19"/>
        <w:spacing w:line="360" w:lineRule="auto"/>
        <w:rPr>
          <w:color w:val="auto"/>
          <w:highlight w:val="none"/>
        </w:rPr>
      </w:pP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供应商名称（盖章）：</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供应商授权代表签字：</w:t>
      </w:r>
    </w:p>
    <w:p>
      <w:pPr>
        <w:pStyle w:val="13"/>
        <w:spacing w:line="360" w:lineRule="auto"/>
        <w:ind w:left="0" w:firstLine="0" w:firstLineChars="0"/>
        <w:rPr>
          <w:rFonts w:ascii="宋体" w:hAnsi="宋体"/>
          <w:b/>
          <w:bCs/>
          <w:color w:val="auto"/>
          <w:spacing w:val="-6"/>
          <w:sz w:val="24"/>
          <w:highlight w:val="none"/>
        </w:rPr>
      </w:pPr>
      <w:r>
        <w:rPr>
          <w:rFonts w:hint="eastAsia" w:ascii="宋体" w:hAnsi="宋体"/>
          <w:b/>
          <w:bCs/>
          <w:color w:val="auto"/>
          <w:spacing w:val="-6"/>
          <w:sz w:val="24"/>
          <w:highlight w:val="none"/>
        </w:rPr>
        <w:t>日期：     年   月   日</w:t>
      </w:r>
    </w:p>
    <w:p>
      <w:pPr>
        <w:spacing w:line="360" w:lineRule="auto"/>
        <w:jc w:val="center"/>
        <w:outlineLvl w:val="3"/>
        <w:rPr>
          <w:rFonts w:ascii="宋体" w:hAnsi="宋体"/>
          <w:b/>
          <w:bCs/>
          <w:iCs/>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商务</w:t>
      </w:r>
      <w:r>
        <w:rPr>
          <w:rFonts w:hint="eastAsia" w:ascii="宋体" w:hAnsi="宋体"/>
          <w:b/>
          <w:bCs/>
          <w:iCs/>
          <w:color w:val="auto"/>
          <w:spacing w:val="-6"/>
          <w:sz w:val="24"/>
          <w:highlight w:val="none"/>
        </w:rPr>
        <w:t>偏离表</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人：浙江财经大学</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项目名称：一站式网上服务大厅（三期）</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项目编号：ZJJY-20200623-02</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256"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磋商文件要求</w:t>
            </w:r>
          </w:p>
        </w:tc>
        <w:tc>
          <w:tcPr>
            <w:tcW w:w="2980"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响应规格</w:t>
            </w:r>
          </w:p>
        </w:tc>
        <w:tc>
          <w:tcPr>
            <w:tcW w:w="254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color w:val="auto"/>
                <w:sz w:val="21"/>
                <w:szCs w:val="21"/>
                <w:highlight w:val="none"/>
              </w:rPr>
            </w:pPr>
            <w:r>
              <w:rPr>
                <w:rFonts w:hint="eastAsia" w:ascii="宋体" w:hAnsi="宋体" w:cs="宋体"/>
                <w:b/>
                <w:bCs/>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color w:val="auto"/>
                <w:sz w:val="21"/>
                <w:szCs w:val="21"/>
                <w:highlight w:val="none"/>
              </w:rPr>
            </w:pPr>
            <w:r>
              <w:rPr>
                <w:rFonts w:hint="eastAsia" w:ascii="宋体" w:hAnsi="宋体" w:cs="宋体"/>
                <w:b/>
                <w:bCs/>
                <w:color w:val="auto"/>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256" w:type="dxa"/>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质保期</w:t>
            </w: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256" w:type="dxa"/>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服务标准</w:t>
            </w: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3256" w:type="dxa"/>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交付时间</w:t>
            </w: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3256" w:type="dxa"/>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验收标准</w:t>
            </w: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color w:val="auto"/>
                <w:sz w:val="21"/>
                <w:szCs w:val="21"/>
                <w:highlight w:val="none"/>
              </w:rPr>
            </w:pPr>
            <w:r>
              <w:rPr>
                <w:rFonts w:hint="eastAsia" w:ascii="宋体" w:hAnsi="宋体" w:cs="宋体"/>
                <w:b/>
                <w:bCs/>
                <w:color w:val="auto"/>
                <w:sz w:val="21"/>
                <w:szCs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bl>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逐项按照磋商文件要求填写响应规格；</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偏离说明是指对磋商文件要求存在不同之处的解释说明。偏离系指：正偏离（高于采购需求）、负偏离（低于采购需求）、无偏离（满足采购需求）；</w:t>
      </w:r>
    </w:p>
    <w:p>
      <w:pPr>
        <w:spacing w:line="360" w:lineRule="auto"/>
        <w:rPr>
          <w:rFonts w:ascii="宋体" w:hAnsi="宋体"/>
          <w:b/>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如不填写或未如实填写</w:t>
      </w:r>
      <w:r>
        <w:rPr>
          <w:rFonts w:hint="eastAsia" w:ascii="宋体" w:hAnsi="宋体"/>
          <w:b/>
          <w:color w:val="auto"/>
          <w:spacing w:val="-6"/>
          <w:sz w:val="21"/>
          <w:szCs w:val="21"/>
          <w:highlight w:val="none"/>
        </w:rPr>
        <w:t>，自行承担磋商响应风险。</w:t>
      </w:r>
    </w:p>
    <w:p>
      <w:pPr>
        <w:pStyle w:val="19"/>
        <w:spacing w:line="360" w:lineRule="auto"/>
        <w:rPr>
          <w:rFonts w:ascii="宋体" w:hAnsi="宋体"/>
          <w:color w:val="auto"/>
          <w:spacing w:val="-6"/>
          <w:highlight w:val="none"/>
        </w:rPr>
      </w:pPr>
    </w:p>
    <w:p>
      <w:pPr>
        <w:pStyle w:val="20"/>
        <w:spacing w:line="360" w:lineRule="auto"/>
        <w:ind w:left="0"/>
        <w:rPr>
          <w:rFonts w:ascii="宋体" w:hAnsi="宋体"/>
          <w:color w:val="auto"/>
          <w:spacing w:val="-6"/>
          <w:sz w:val="24"/>
          <w:highlight w:val="none"/>
        </w:rPr>
      </w:pPr>
    </w:p>
    <w:p>
      <w:pPr>
        <w:pStyle w:val="19"/>
        <w:spacing w:line="360" w:lineRule="auto"/>
        <w:rPr>
          <w:color w:val="auto"/>
          <w:highlight w:val="none"/>
        </w:rPr>
      </w:pP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供应商名称（盖章）：</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供应商授权代表签字：</w:t>
      </w:r>
    </w:p>
    <w:p>
      <w:pPr>
        <w:widowControl/>
        <w:tabs>
          <w:tab w:val="left" w:pos="3225"/>
        </w:tabs>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日期：     年   月   日</w:t>
      </w:r>
    </w:p>
    <w:p>
      <w:pPr>
        <w:widowControl/>
        <w:tabs>
          <w:tab w:val="left" w:pos="3225"/>
        </w:tabs>
        <w:spacing w:line="360" w:lineRule="auto"/>
        <w:jc w:val="center"/>
        <w:outlineLvl w:val="3"/>
        <w:rPr>
          <w:rFonts w:ascii="宋体" w:hAnsi="宋体"/>
          <w:color w:val="auto"/>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供应商同类项目实施情况一览表</w:t>
      </w:r>
    </w:p>
    <w:tbl>
      <w:tblPr>
        <w:tblStyle w:val="1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b/>
                <w:bCs/>
                <w:color w:val="auto"/>
                <w:sz w:val="21"/>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合同金额</w:t>
            </w:r>
          </w:p>
          <w:p>
            <w:pPr>
              <w:jc w:val="center"/>
              <w:rPr>
                <w:b/>
                <w:bCs/>
                <w:color w:val="auto"/>
                <w:sz w:val="21"/>
                <w:szCs w:val="21"/>
                <w:highlight w:val="none"/>
              </w:rPr>
            </w:pPr>
            <w:r>
              <w:rPr>
                <w:rFonts w:hint="eastAsia"/>
                <w:b/>
                <w:bCs/>
                <w:color w:val="auto"/>
                <w:sz w:val="21"/>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采购单位联系人</w:t>
            </w:r>
          </w:p>
          <w:p>
            <w:pPr>
              <w:jc w:val="center"/>
              <w:rPr>
                <w:b/>
                <w:bCs/>
                <w:color w:val="auto"/>
                <w:sz w:val="21"/>
                <w:szCs w:val="21"/>
                <w:highlight w:val="none"/>
              </w:rPr>
            </w:pPr>
            <w:r>
              <w:rPr>
                <w:rFonts w:hint="eastAsia"/>
                <w:b/>
                <w:bCs/>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jc w:val="center"/>
              <w:rPr>
                <w:b/>
                <w:bCs/>
                <w:color w:val="auto"/>
                <w:sz w:val="21"/>
                <w:szCs w:val="21"/>
                <w:highlight w:val="none"/>
              </w:rPr>
            </w:pPr>
          </w:p>
        </w:tc>
      </w:tr>
    </w:tbl>
    <w:p>
      <w:pPr>
        <w:pStyle w:val="13"/>
        <w:spacing w:line="360" w:lineRule="auto"/>
        <w:ind w:left="480" w:hanging="480"/>
        <w:rPr>
          <w:rFonts w:ascii="宋体" w:hAnsi="宋体"/>
          <w:color w:val="auto"/>
          <w:sz w:val="24"/>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供应商须提供上述业绩合同扫描件；</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所有合同扫描件应清晰，应能体现合同签订时间、双方签字盖章等内容；</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供应商应在不涉及商业秘密的前提下尽可能提供详细的合同扫描件内容。</w:t>
      </w:r>
    </w:p>
    <w:p>
      <w:pPr>
        <w:pStyle w:val="20"/>
        <w:spacing w:line="360" w:lineRule="auto"/>
        <w:ind w:left="0"/>
        <w:rPr>
          <w:rFonts w:ascii="宋体" w:hAnsi="宋体"/>
          <w:color w:val="auto"/>
          <w:spacing w:val="-6"/>
          <w:sz w:val="24"/>
          <w:highlight w:val="none"/>
        </w:rPr>
      </w:pPr>
    </w:p>
    <w:p>
      <w:pPr>
        <w:spacing w:line="360" w:lineRule="auto"/>
        <w:rPr>
          <w:rFonts w:ascii="宋体" w:hAnsi="宋体"/>
          <w:color w:val="auto"/>
          <w:spacing w:val="-6"/>
          <w:sz w:val="24"/>
          <w:highlight w:val="none"/>
        </w:rPr>
      </w:pPr>
    </w:p>
    <w:p>
      <w:pPr>
        <w:pStyle w:val="19"/>
        <w:spacing w:line="360" w:lineRule="auto"/>
        <w:rPr>
          <w:color w:val="auto"/>
          <w:highlight w:val="none"/>
        </w:rPr>
      </w:pP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供应商名称（盖章）：</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供应商授权代表签字：</w:t>
      </w:r>
    </w:p>
    <w:p>
      <w:pPr>
        <w:spacing w:line="360" w:lineRule="auto"/>
        <w:rPr>
          <w:rFonts w:ascii="宋体" w:hAnsi="宋体"/>
          <w:b/>
          <w:bCs/>
          <w:color w:val="auto"/>
          <w:sz w:val="21"/>
          <w:szCs w:val="21"/>
          <w:highlight w:val="none"/>
        </w:rPr>
      </w:pPr>
      <w:r>
        <w:rPr>
          <w:rFonts w:hint="eastAsia" w:ascii="宋体" w:hAnsi="宋体"/>
          <w:b/>
          <w:bCs/>
          <w:color w:val="auto"/>
          <w:spacing w:val="-6"/>
          <w:sz w:val="24"/>
          <w:highlight w:val="none"/>
        </w:rPr>
        <w:t>日期：     年   月   日</w:t>
      </w:r>
    </w:p>
    <w:p>
      <w:pPr>
        <w:rPr>
          <w:rFonts w:ascii="宋体" w:hAnsi="宋体"/>
          <w:b/>
          <w:color w:val="auto"/>
          <w:sz w:val="21"/>
          <w:szCs w:val="21"/>
          <w:highlight w:val="none"/>
        </w:rPr>
      </w:pPr>
      <w:r>
        <w:rPr>
          <w:rFonts w:hint="eastAsia" w:ascii="宋体" w:hAnsi="宋体"/>
          <w:b/>
          <w:color w:val="auto"/>
          <w:sz w:val="21"/>
          <w:szCs w:val="21"/>
          <w:highlight w:val="none"/>
        </w:rPr>
        <w:br w:type="page"/>
      </w:r>
    </w:p>
    <w:p>
      <w:pPr>
        <w:spacing w:line="360" w:lineRule="auto"/>
        <w:jc w:val="center"/>
        <w:outlineLvl w:val="3"/>
        <w:rPr>
          <w:rFonts w:ascii="宋体" w:hAnsi="宋体"/>
          <w:b/>
          <w:color w:val="auto"/>
          <w:sz w:val="24"/>
          <w:highlight w:val="none"/>
        </w:rPr>
      </w:pPr>
      <w:r>
        <w:rPr>
          <w:rFonts w:hint="eastAsia" w:ascii="宋体" w:hAnsi="宋体"/>
          <w:b/>
          <w:color w:val="auto"/>
          <w:sz w:val="24"/>
          <w:highlight w:val="none"/>
        </w:rPr>
        <w:t>节能环保产品证明材料</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说明：投标产品属于品目清单范围且提供国家确定的认证机构出具的处于有效期之内的节能产品、环境标志产品认证证书（扫描件加盖公章）。</w:t>
      </w:r>
    </w:p>
    <w:p>
      <w:pPr>
        <w:spacing w:line="360" w:lineRule="auto"/>
        <w:jc w:val="center"/>
        <w:outlineLvl w:val="3"/>
        <w:rPr>
          <w:rFonts w:ascii="宋体" w:hAnsi="宋体"/>
          <w:b/>
          <w:color w:val="auto"/>
          <w:sz w:val="21"/>
          <w:szCs w:val="21"/>
          <w:highlight w:val="none"/>
        </w:rPr>
      </w:pPr>
      <w:r>
        <w:rPr>
          <w:rFonts w:hint="eastAsia" w:ascii="宋体" w:hAnsi="宋体"/>
          <w:b/>
          <w:color w:val="auto"/>
          <w:sz w:val="21"/>
          <w:szCs w:val="21"/>
          <w:highlight w:val="none"/>
        </w:rPr>
        <w:br w:type="page"/>
      </w:r>
      <w:r>
        <w:rPr>
          <w:rFonts w:hint="eastAsia" w:ascii="宋体" w:hAnsi="宋体"/>
          <w:b/>
          <w:color w:val="auto"/>
          <w:sz w:val="24"/>
          <w:highlight w:val="none"/>
        </w:rPr>
        <w:t>供应商需要说明的其他文件和材料</w:t>
      </w:r>
    </w:p>
    <w:p>
      <w:pPr>
        <w:widowControl/>
        <w:tabs>
          <w:tab w:val="left" w:pos="3225"/>
        </w:tabs>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说明：包括但不限于供应商有效的ISO9000系列质量体系认证证书等，可根据评分标准提供。</w:t>
      </w:r>
    </w:p>
    <w:p>
      <w:pPr>
        <w:spacing w:line="360" w:lineRule="auto"/>
        <w:jc w:val="center"/>
        <w:outlineLvl w:val="2"/>
        <w:rPr>
          <w:rFonts w:ascii="宋体" w:hAnsi="宋体"/>
          <w:b/>
          <w:color w:val="auto"/>
          <w:sz w:val="52"/>
          <w:szCs w:val="52"/>
          <w:highlight w:val="none"/>
        </w:rPr>
      </w:pPr>
      <w:r>
        <w:rPr>
          <w:rFonts w:ascii="宋体" w:hAnsi="宋体"/>
          <w:color w:val="auto"/>
          <w:sz w:val="24"/>
          <w:highlight w:val="none"/>
        </w:rPr>
        <w:br w:type="page"/>
      </w:r>
      <w:bookmarkStart w:id="80" w:name="_Toc7813"/>
      <w:bookmarkStart w:id="81" w:name="_Toc16218"/>
      <w:r>
        <w:rPr>
          <w:rFonts w:hint="eastAsia" w:ascii="宋体" w:hAnsi="宋体"/>
          <w:b/>
          <w:color w:val="auto"/>
          <w:sz w:val="52"/>
          <w:szCs w:val="52"/>
          <w:highlight w:val="none"/>
        </w:rPr>
        <w:t>技术文件</w:t>
      </w:r>
      <w:bookmarkEnd w:id="80"/>
      <w:bookmarkEnd w:id="81"/>
    </w:p>
    <w:p>
      <w:pPr>
        <w:spacing w:line="360" w:lineRule="auto"/>
        <w:jc w:val="center"/>
        <w:outlineLvl w:val="3"/>
        <w:rPr>
          <w:rFonts w:ascii="宋体" w:hAnsi="宋体"/>
          <w:b/>
          <w:bCs/>
          <w:iCs/>
          <w:color w:val="auto"/>
          <w:spacing w:val="-6"/>
          <w:sz w:val="24"/>
          <w:highlight w:val="none"/>
        </w:rPr>
      </w:pPr>
      <w:r>
        <w:rPr>
          <w:rFonts w:hint="eastAsia" w:ascii="宋体" w:hAnsi="宋体"/>
          <w:b/>
          <w:bCs/>
          <w:iCs/>
          <w:color w:val="auto"/>
          <w:spacing w:val="-6"/>
          <w:sz w:val="24"/>
          <w:highlight w:val="none"/>
        </w:rPr>
        <w:t>技术偏离表</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人：浙江财经大学</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项目名称：一站式网上服务大厅（三期）</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项目编号：ZJJY-20200623-02</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256"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磋商文件要求</w:t>
            </w:r>
          </w:p>
        </w:tc>
        <w:tc>
          <w:tcPr>
            <w:tcW w:w="2980"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响应规格</w:t>
            </w:r>
          </w:p>
        </w:tc>
        <w:tc>
          <w:tcPr>
            <w:tcW w:w="254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b/>
                <w:bCs/>
                <w:color w:val="auto"/>
                <w:sz w:val="21"/>
                <w:szCs w:val="21"/>
                <w:highlight w:val="none"/>
              </w:rPr>
            </w:pPr>
            <w:r>
              <w:rPr>
                <w:rFonts w:hint="eastAsia" w:ascii="宋体" w:hAnsi="宋体" w:cs="宋体"/>
                <w:b/>
                <w:bCs/>
                <w:color w:val="auto"/>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bl>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逐项按照磋商文件要求填写响应规格；</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偏离说明是指对磋商文件要求存在不同之处的解释说明。偏离系指：正偏离（高于采购需求）、负偏离（低于采购需求）、无偏离（满足采购需求）；</w:t>
      </w:r>
    </w:p>
    <w:p>
      <w:pPr>
        <w:spacing w:line="360" w:lineRule="auto"/>
        <w:rPr>
          <w:rFonts w:ascii="宋体" w:hAnsi="宋体"/>
          <w:b/>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如不填写或未如实填写</w:t>
      </w:r>
      <w:r>
        <w:rPr>
          <w:rFonts w:hint="eastAsia" w:ascii="宋体" w:hAnsi="宋体"/>
          <w:b/>
          <w:color w:val="auto"/>
          <w:spacing w:val="-6"/>
          <w:sz w:val="21"/>
          <w:szCs w:val="21"/>
          <w:highlight w:val="none"/>
        </w:rPr>
        <w:t>，自行承担磋商响应风险。</w:t>
      </w:r>
    </w:p>
    <w:p>
      <w:pPr>
        <w:pStyle w:val="19"/>
        <w:spacing w:line="360" w:lineRule="auto"/>
        <w:rPr>
          <w:rFonts w:ascii="宋体" w:hAnsi="宋体"/>
          <w:color w:val="auto"/>
          <w:spacing w:val="-6"/>
          <w:highlight w:val="none"/>
        </w:rPr>
      </w:pPr>
    </w:p>
    <w:p>
      <w:pPr>
        <w:pStyle w:val="20"/>
        <w:spacing w:line="360" w:lineRule="auto"/>
        <w:ind w:left="0"/>
        <w:rPr>
          <w:rFonts w:ascii="宋体" w:hAnsi="宋体"/>
          <w:color w:val="auto"/>
          <w:spacing w:val="-6"/>
          <w:sz w:val="24"/>
          <w:highlight w:val="none"/>
        </w:rPr>
      </w:pPr>
    </w:p>
    <w:p>
      <w:pPr>
        <w:pStyle w:val="19"/>
        <w:spacing w:line="360" w:lineRule="auto"/>
        <w:rPr>
          <w:color w:val="auto"/>
          <w:highlight w:val="none"/>
        </w:rPr>
      </w:pP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供应商名称（盖章）：</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供应商授权代表签字：</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日期：     年   月   日</w:t>
      </w:r>
    </w:p>
    <w:p>
      <w:pPr>
        <w:pStyle w:val="15"/>
        <w:spacing w:after="0" w:line="360" w:lineRule="auto"/>
        <w:ind w:firstLine="0" w:firstLineChars="0"/>
        <w:rPr>
          <w:rFonts w:ascii="宋体" w:hAnsi="宋体"/>
          <w:color w:val="auto"/>
          <w:spacing w:val="-6"/>
          <w:sz w:val="24"/>
          <w:highlight w:val="none"/>
        </w:rPr>
      </w:pPr>
      <w:r>
        <w:rPr>
          <w:rFonts w:hint="eastAsia" w:ascii="宋体" w:hAnsi="宋体"/>
          <w:color w:val="auto"/>
          <w:spacing w:val="-6"/>
          <w:sz w:val="24"/>
          <w:highlight w:val="none"/>
        </w:rPr>
        <w:br w:type="page"/>
      </w:r>
    </w:p>
    <w:p>
      <w:pPr>
        <w:pStyle w:val="15"/>
        <w:spacing w:after="0" w:line="360" w:lineRule="auto"/>
        <w:ind w:firstLine="0" w:firstLineChars="0"/>
        <w:rPr>
          <w:rFonts w:ascii="宋体" w:hAnsi="宋体"/>
          <w:color w:val="auto"/>
          <w:spacing w:val="-6"/>
          <w:sz w:val="24"/>
          <w:highlight w:val="none"/>
        </w:rPr>
      </w:pPr>
      <w:r>
        <w:rPr>
          <w:rFonts w:hint="eastAsia" w:ascii="宋体" w:hAnsi="宋体"/>
          <w:color w:val="auto"/>
          <w:spacing w:val="-6"/>
          <w:sz w:val="24"/>
          <w:highlight w:val="none"/>
        </w:rPr>
        <w:t>1.以下内容根据评分细则格式自拟：</w:t>
      </w:r>
    </w:p>
    <w:p>
      <w:pPr>
        <w:rPr>
          <w:rFonts w:ascii="宋体" w:hAnsi="宋体" w:cs="宋体"/>
          <w:b/>
          <w:bCs/>
          <w:color w:val="auto"/>
          <w:sz w:val="21"/>
          <w:szCs w:val="21"/>
          <w:highlight w:val="none"/>
        </w:rPr>
      </w:pPr>
      <w:r>
        <w:rPr>
          <w:rFonts w:hint="eastAsia" w:ascii="宋体" w:hAnsi="宋体" w:cs="宋体"/>
          <w:b/>
          <w:bCs/>
          <w:color w:val="auto"/>
          <w:sz w:val="21"/>
          <w:szCs w:val="21"/>
          <w:highlight w:val="none"/>
        </w:rPr>
        <w:t>（1）技术方案</w:t>
      </w:r>
    </w:p>
    <w:p>
      <w:pPr>
        <w:rPr>
          <w:b/>
          <w:bCs/>
          <w:color w:val="auto"/>
          <w:sz w:val="21"/>
          <w:szCs w:val="21"/>
          <w:highlight w:val="none"/>
        </w:rPr>
      </w:pPr>
      <w:r>
        <w:rPr>
          <w:rFonts w:hint="eastAsia"/>
          <w:b/>
          <w:bCs/>
          <w:color w:val="auto"/>
          <w:sz w:val="21"/>
          <w:szCs w:val="21"/>
          <w:highlight w:val="none"/>
        </w:rPr>
        <w:t>（2）项目实施方案</w:t>
      </w:r>
    </w:p>
    <w:p>
      <w:pPr>
        <w:rPr>
          <w:rFonts w:ascii="宋体" w:hAnsi="宋体" w:cs="宋体"/>
          <w:b/>
          <w:bCs/>
          <w:color w:val="auto"/>
          <w:sz w:val="21"/>
          <w:szCs w:val="21"/>
          <w:highlight w:val="none"/>
        </w:rPr>
      </w:pPr>
      <w:r>
        <w:rPr>
          <w:rFonts w:hint="eastAsia" w:ascii="宋体" w:hAnsi="宋体" w:cs="宋体"/>
          <w:b/>
          <w:bCs/>
          <w:color w:val="auto"/>
          <w:sz w:val="21"/>
          <w:szCs w:val="21"/>
          <w:highlight w:val="none"/>
        </w:rPr>
        <w:t>（3）质量保证</w:t>
      </w:r>
    </w:p>
    <w:p>
      <w:pPr>
        <w:rPr>
          <w:rFonts w:ascii="宋体" w:hAnsi="宋体" w:cs="宋体"/>
          <w:b/>
          <w:bCs/>
          <w:color w:val="auto"/>
          <w:sz w:val="21"/>
          <w:szCs w:val="21"/>
          <w:highlight w:val="none"/>
        </w:rPr>
      </w:pPr>
      <w:r>
        <w:rPr>
          <w:rFonts w:hint="eastAsia" w:ascii="宋体" w:hAnsi="宋体" w:cs="宋体"/>
          <w:b/>
          <w:bCs/>
          <w:color w:val="auto"/>
          <w:sz w:val="21"/>
          <w:szCs w:val="21"/>
          <w:highlight w:val="none"/>
        </w:rPr>
        <w:t>（4）服务团队</w:t>
      </w:r>
    </w:p>
    <w:p>
      <w:pPr>
        <w:rPr>
          <w:rFonts w:ascii="宋体" w:hAnsi="宋体" w:cs="宋体"/>
          <w:b/>
          <w:bCs/>
          <w:color w:val="auto"/>
          <w:sz w:val="21"/>
          <w:szCs w:val="21"/>
          <w:highlight w:val="none"/>
        </w:rPr>
      </w:pPr>
      <w:r>
        <w:rPr>
          <w:rFonts w:hint="eastAsia" w:ascii="宋体" w:hAnsi="宋体" w:cs="宋体"/>
          <w:b/>
          <w:bCs/>
          <w:color w:val="auto"/>
          <w:sz w:val="21"/>
          <w:szCs w:val="21"/>
          <w:highlight w:val="none"/>
        </w:rPr>
        <w:t>（5）售后服务及培训</w:t>
      </w:r>
    </w:p>
    <w:p>
      <w:pPr>
        <w:rPr>
          <w:rFonts w:ascii="宋体" w:hAnsi="宋体" w:cs="宋体"/>
          <w:b/>
          <w:bCs/>
          <w:color w:val="auto"/>
          <w:sz w:val="21"/>
          <w:szCs w:val="21"/>
          <w:highlight w:val="none"/>
        </w:rPr>
      </w:pPr>
      <w:r>
        <w:rPr>
          <w:rFonts w:hint="eastAsia" w:ascii="宋体" w:hAnsi="宋体" w:cs="宋体"/>
          <w:b/>
          <w:bCs/>
          <w:color w:val="auto"/>
          <w:sz w:val="21"/>
          <w:szCs w:val="21"/>
          <w:highlight w:val="none"/>
        </w:rPr>
        <w:t>（6）系统功能截图</w:t>
      </w:r>
    </w:p>
    <w:p>
      <w:pPr>
        <w:pStyle w:val="15"/>
        <w:spacing w:after="0" w:line="360" w:lineRule="auto"/>
        <w:ind w:firstLine="0" w:firstLineChars="0"/>
        <w:rPr>
          <w:rFonts w:ascii="宋体" w:hAnsi="宋体"/>
          <w:color w:val="auto"/>
          <w:spacing w:val="-6"/>
          <w:sz w:val="24"/>
          <w:highlight w:val="none"/>
        </w:rPr>
      </w:pPr>
    </w:p>
    <w:p>
      <w:pPr>
        <w:pStyle w:val="19"/>
        <w:rPr>
          <w:color w:val="auto"/>
          <w:highlight w:val="none"/>
        </w:rPr>
      </w:pPr>
    </w:p>
    <w:p>
      <w:pPr>
        <w:rPr>
          <w:rFonts w:hAnsi="宋体"/>
          <w:b/>
          <w:bCs/>
          <w:color w:val="auto"/>
          <w:spacing w:val="-6"/>
          <w:sz w:val="21"/>
          <w:szCs w:val="21"/>
          <w:highlight w:val="none"/>
        </w:rPr>
      </w:pPr>
      <w:r>
        <w:rPr>
          <w:rFonts w:hint="eastAsia" w:ascii="宋体" w:hAnsi="宋体" w:cs="宋体"/>
          <w:b/>
          <w:bCs/>
          <w:color w:val="auto"/>
          <w:sz w:val="21"/>
          <w:szCs w:val="21"/>
          <w:highlight w:val="none"/>
        </w:rPr>
        <w:t>2.为落实政府采购政策，响应供应商</w:t>
      </w:r>
      <w:r>
        <w:rPr>
          <w:rFonts w:hint="eastAsia" w:hAnsi="宋体"/>
          <w:b/>
          <w:bCs/>
          <w:color w:val="auto"/>
          <w:spacing w:val="-6"/>
          <w:sz w:val="21"/>
          <w:szCs w:val="21"/>
          <w:highlight w:val="none"/>
        </w:rPr>
        <w:t>所投激光打印机必须提供国家确定的认证机构出具的处于有效期之内的节能产品认证证书，否则响应无效。</w:t>
      </w:r>
    </w:p>
    <w:p>
      <w:pPr>
        <w:rPr>
          <w:color w:val="auto"/>
          <w:highlight w:val="none"/>
        </w:rPr>
      </w:pPr>
    </w:p>
    <w:p>
      <w:pPr>
        <w:rPr>
          <w:rFonts w:ascii="宋体" w:hAnsi="宋体" w:cs="宋体"/>
          <w:b/>
          <w:bCs/>
          <w:color w:val="auto"/>
          <w:sz w:val="21"/>
          <w:szCs w:val="21"/>
          <w:highlight w:val="none"/>
        </w:rPr>
      </w:pPr>
      <w:r>
        <w:rPr>
          <w:rFonts w:hint="eastAsia" w:ascii="宋体" w:hAnsi="宋体" w:cs="宋体"/>
          <w:b/>
          <w:bCs/>
          <w:color w:val="auto"/>
          <w:sz w:val="21"/>
          <w:szCs w:val="21"/>
          <w:highlight w:val="none"/>
        </w:rPr>
        <w:t>3.所投工业控制主机，需在响应文件中提供所使用的工控主机对应型号CCC认证证书，否则响应无效。</w:t>
      </w:r>
    </w:p>
    <w:p>
      <w:pPr>
        <w:rPr>
          <w:rFonts w:eastAsiaTheme="minorEastAsia"/>
          <w:color w:val="auto"/>
          <w:highlight w:val="none"/>
        </w:rPr>
      </w:pPr>
    </w:p>
    <w:sectPr>
      <w:footerReference r:id="rId4" w:type="default"/>
      <w:pgSz w:w="11906" w:h="16838"/>
      <w:pgMar w:top="1440" w:right="1247" w:bottom="1440" w:left="1247" w:header="340" w:footer="850"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10;">
              <v:fill on="f" focussize="0,0"/>
              <v:stroke on="f" weight="1.2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DE0C1"/>
    <w:multiLevelType w:val="singleLevel"/>
    <w:tmpl w:val="88EDE0C1"/>
    <w:lvl w:ilvl="0" w:tentative="0">
      <w:start w:val="3"/>
      <w:numFmt w:val="chineseCounting"/>
      <w:suff w:val="nothing"/>
      <w:lvlText w:val="%1、"/>
      <w:lvlJc w:val="left"/>
      <w:rPr>
        <w:rFonts w:hint="eastAsia"/>
      </w:rPr>
    </w:lvl>
  </w:abstractNum>
  <w:abstractNum w:abstractNumId="1">
    <w:nsid w:val="92678D40"/>
    <w:multiLevelType w:val="singleLevel"/>
    <w:tmpl w:val="92678D40"/>
    <w:lvl w:ilvl="0" w:tentative="0">
      <w:start w:val="1"/>
      <w:numFmt w:val="decimal"/>
      <w:suff w:val="nothing"/>
      <w:lvlText w:val="%1）"/>
      <w:lvlJc w:val="left"/>
    </w:lvl>
  </w:abstractNum>
  <w:abstractNum w:abstractNumId="2">
    <w:nsid w:val="02EB26B4"/>
    <w:multiLevelType w:val="multilevel"/>
    <w:tmpl w:val="02EB26B4"/>
    <w:lvl w:ilvl="0" w:tentative="0">
      <w:start w:val="1"/>
      <w:numFmt w:val="decimal"/>
      <w:lvlText w:val="%1"/>
      <w:lvlJc w:val="left"/>
      <w:pPr>
        <w:ind w:left="425" w:hanging="425"/>
      </w:pPr>
      <w:rPr>
        <w:rFonts w:hint="eastAsia"/>
        <w:sz w:val="32"/>
      </w:rPr>
    </w:lvl>
    <w:lvl w:ilvl="1" w:tentative="0">
      <w:start w:val="1"/>
      <w:numFmt w:val="decimal"/>
      <w:lvlText w:val="%1.%2"/>
      <w:lvlJc w:val="left"/>
      <w:pPr>
        <w:ind w:left="992" w:hanging="567"/>
      </w:pPr>
      <w:rPr>
        <w:rFonts w:hint="eastAsia" w:ascii="微软雅黑" w:hAnsi="微软雅黑" w:eastAsia="微软雅黑"/>
        <w:sz w:val="30"/>
        <w:szCs w:val="30"/>
      </w:rPr>
    </w:lvl>
    <w:lvl w:ilvl="2" w:tentative="0">
      <w:start w:val="1"/>
      <w:numFmt w:val="decimal"/>
      <w:lvlText w:val="%1.%2.%3"/>
      <w:lvlJc w:val="left"/>
      <w:pPr>
        <w:ind w:left="1418" w:hanging="567"/>
      </w:pPr>
      <w:rPr>
        <w:rFonts w:hint="eastAsia" w:ascii="微软雅黑" w:hAnsi="微软雅黑" w:eastAsia="微软雅黑"/>
        <w:b w:val="0"/>
        <w:sz w:val="28"/>
        <w:szCs w:val="28"/>
      </w:rPr>
    </w:lvl>
    <w:lvl w:ilvl="3" w:tentative="0">
      <w:start w:val="1"/>
      <w:numFmt w:val="decimal"/>
      <w:lvlText w:val="%1.%2.%3.%4"/>
      <w:lvlJc w:val="left"/>
      <w:pPr>
        <w:ind w:left="1984" w:hanging="708"/>
      </w:pPr>
      <w:rPr>
        <w:rFonts w:hint="eastAsia" w:ascii="微软雅黑" w:hAnsi="微软雅黑" w:eastAsia="微软雅黑"/>
        <w:b w:val="0"/>
        <w:sz w:val="28"/>
      </w:rPr>
    </w:lvl>
    <w:lvl w:ilvl="4" w:tentative="0">
      <w:start w:val="1"/>
      <w:numFmt w:val="decimal"/>
      <w:lvlText w:val="%1.%2.%3.%4.%5"/>
      <w:lvlJc w:val="left"/>
      <w:pPr>
        <w:ind w:left="2551" w:hanging="850"/>
      </w:pPr>
      <w:rPr>
        <w:rFonts w:hint="eastAsia"/>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5C54E62"/>
    <w:multiLevelType w:val="multilevel"/>
    <w:tmpl w:val="15C54E6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FE1914"/>
    <w:multiLevelType w:val="singleLevel"/>
    <w:tmpl w:val="49FE1914"/>
    <w:lvl w:ilvl="0" w:tentative="0">
      <w:start w:val="1"/>
      <w:numFmt w:val="decimal"/>
      <w:suff w:val="nothing"/>
      <w:lvlText w:val="%1）"/>
      <w:lvlJc w:val="left"/>
    </w:lvl>
  </w:abstractNum>
  <w:abstractNum w:abstractNumId="5">
    <w:nsid w:val="5CDBA0AD"/>
    <w:multiLevelType w:val="singleLevel"/>
    <w:tmpl w:val="5CDBA0AD"/>
    <w:lvl w:ilvl="0" w:tentative="0">
      <w:start w:val="1"/>
      <w:numFmt w:val="bullet"/>
      <w:lvlText w:val=""/>
      <w:lvlJc w:val="left"/>
      <w:pPr>
        <w:ind w:left="420" w:hanging="420"/>
      </w:pPr>
      <w:rPr>
        <w:rFonts w:hint="default" w:ascii="Wingdings" w:hAnsi="Wingdings"/>
      </w:rPr>
    </w:lvl>
  </w:abstractNum>
  <w:abstractNum w:abstractNumId="6">
    <w:nsid w:val="5E8144D5"/>
    <w:multiLevelType w:val="singleLevel"/>
    <w:tmpl w:val="5E8144D5"/>
    <w:lvl w:ilvl="0" w:tentative="0">
      <w:start w:val="1"/>
      <w:numFmt w:val="decimal"/>
      <w:suff w:val="nothing"/>
      <w:lvlText w:val="%1."/>
      <w:lvlJc w:val="left"/>
    </w:lvl>
  </w:abstractNum>
  <w:abstractNum w:abstractNumId="7">
    <w:nsid w:val="5E81468F"/>
    <w:multiLevelType w:val="singleLevel"/>
    <w:tmpl w:val="5E81468F"/>
    <w:lvl w:ilvl="0" w:tentative="0">
      <w:start w:val="4"/>
      <w:numFmt w:val="decimal"/>
      <w:suff w:val="nothing"/>
      <w:lvlText w:val="%1."/>
      <w:lvlJc w:val="left"/>
    </w:lvl>
  </w:abstractNum>
  <w:abstractNum w:abstractNumId="8">
    <w:nsid w:val="5E91F2D6"/>
    <w:multiLevelType w:val="singleLevel"/>
    <w:tmpl w:val="5E91F2D6"/>
    <w:lvl w:ilvl="0" w:tentative="0">
      <w:start w:val="1"/>
      <w:numFmt w:val="decimal"/>
      <w:suff w:val="nothing"/>
      <w:lvlText w:val="%1）"/>
      <w:lvlJc w:val="left"/>
    </w:lvl>
  </w:abstractNum>
  <w:num w:numId="1">
    <w:abstractNumId w:val="4"/>
  </w:num>
  <w:num w:numId="2">
    <w:abstractNumId w:val="1"/>
  </w:num>
  <w:num w:numId="3">
    <w:abstractNumId w:val="0"/>
  </w:num>
  <w:num w:numId="4">
    <w:abstractNumId w:val="8"/>
  </w:num>
  <w:num w:numId="5">
    <w:abstractNumId w:val="2"/>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5361F"/>
    <w:rsid w:val="002207C0"/>
    <w:rsid w:val="002C25AB"/>
    <w:rsid w:val="0037313F"/>
    <w:rsid w:val="0063241E"/>
    <w:rsid w:val="00890C4B"/>
    <w:rsid w:val="008B75ED"/>
    <w:rsid w:val="00B728FC"/>
    <w:rsid w:val="00C33F7B"/>
    <w:rsid w:val="00F6730D"/>
    <w:rsid w:val="0B060868"/>
    <w:rsid w:val="14D117D2"/>
    <w:rsid w:val="28553B9F"/>
    <w:rsid w:val="35CA2397"/>
    <w:rsid w:val="38FA4E23"/>
    <w:rsid w:val="46E97558"/>
    <w:rsid w:val="49F920D7"/>
    <w:rsid w:val="4F55361F"/>
    <w:rsid w:val="55206504"/>
    <w:rsid w:val="5AFF003E"/>
    <w:rsid w:val="5F411D42"/>
    <w:rsid w:val="6CE778F1"/>
    <w:rsid w:val="7792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5">
    <w:name w:val="heading 3"/>
    <w:basedOn w:val="1"/>
    <w:next w:val="1"/>
    <w:unhideWhenUsed/>
    <w:qFormat/>
    <w:uiPriority w:val="0"/>
    <w:pPr>
      <w:keepNext/>
      <w:keepLines/>
      <w:spacing w:before="156" w:after="156" w:line="360" w:lineRule="auto"/>
      <w:outlineLvl w:val="2"/>
    </w:pPr>
    <w:rPr>
      <w:b/>
      <w:bCs/>
      <w:sz w:val="32"/>
      <w:szCs w:val="32"/>
    </w:rPr>
  </w:style>
  <w:style w:type="paragraph" w:styleId="6">
    <w:name w:val="heading 4"/>
    <w:basedOn w:val="1"/>
    <w:next w:val="1"/>
    <w:unhideWhenUsed/>
    <w:qFormat/>
    <w:uiPriority w:val="0"/>
    <w:pPr>
      <w:keepNext/>
      <w:keepLines/>
      <w:spacing w:before="156" w:after="156" w:line="376" w:lineRule="auto"/>
      <w:outlineLvl w:val="3"/>
    </w:pPr>
    <w:rPr>
      <w:rFonts w:ascii="Arial" w:hAnsi="Arial" w:eastAsia="黑体"/>
      <w:b/>
      <w:bCs/>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200" w:lineRule="atLeast"/>
      <w:ind w:firstLine="301"/>
    </w:pPr>
    <w:rPr>
      <w:rFonts w:ascii="宋体" w:hAnsi="Courier New"/>
      <w:spacing w:val="-4"/>
      <w:sz w:val="18"/>
      <w:szCs w:val="20"/>
    </w:rPr>
  </w:style>
  <w:style w:type="paragraph" w:styleId="7">
    <w:name w:val="Normal Indent"/>
    <w:basedOn w:val="1"/>
    <w:qFormat/>
    <w:uiPriority w:val="0"/>
    <w:pPr>
      <w:ind w:firstLine="420"/>
    </w:pPr>
    <w:rPr>
      <w:sz w:val="21"/>
      <w:szCs w:val="20"/>
    </w:rPr>
  </w:style>
  <w:style w:type="paragraph" w:styleId="8">
    <w:name w:val="annotation text"/>
    <w:basedOn w:val="1"/>
    <w:qFormat/>
    <w:uiPriority w:val="0"/>
    <w:pPr>
      <w:jc w:val="left"/>
    </w:pPr>
  </w:style>
  <w:style w:type="paragraph" w:styleId="9">
    <w:name w:val="Body Text"/>
    <w:basedOn w:val="1"/>
    <w:unhideWhenUsed/>
    <w:qFormat/>
    <w:uiPriority w:val="99"/>
    <w:pPr>
      <w:spacing w:after="120"/>
    </w:pPr>
  </w:style>
  <w:style w:type="paragraph" w:styleId="10">
    <w:name w:val="Plain Text"/>
    <w:basedOn w:val="1"/>
    <w:qFormat/>
    <w:uiPriority w:val="0"/>
    <w:pPr>
      <w:spacing w:before="156" w:beforeLines="50" w:after="156" w:afterLines="50" w:line="400" w:lineRule="atLeast"/>
    </w:pPr>
    <w:rPr>
      <w:rFonts w:ascii="宋体" w:hAnsi="Courier New"/>
      <w:sz w:val="24"/>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1"/>
    <w:qFormat/>
    <w:uiPriority w:val="0"/>
    <w:pPr>
      <w:ind w:left="200" w:hanging="200" w:hangingChars="200"/>
    </w:p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w:basedOn w:val="9"/>
    <w:unhideWhenUsed/>
    <w:qFormat/>
    <w:uiPriority w:val="99"/>
    <w:pPr>
      <w:ind w:firstLine="420" w:firstLineChars="100"/>
    </w:pPr>
  </w:style>
  <w:style w:type="character" w:styleId="18">
    <w:name w:val="annotation reference"/>
    <w:basedOn w:val="17"/>
    <w:qFormat/>
    <w:uiPriority w:val="0"/>
    <w:rPr>
      <w:sz w:val="21"/>
      <w:szCs w:val="21"/>
    </w:rPr>
  </w:style>
  <w:style w:type="paragraph" w:customStyle="1" w:styleId="19">
    <w:name w:val="Default"/>
    <w:next w:val="2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1">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2">
    <w:name w:val="默认段落字体 Para Char Char Char Char Char Char Char Char Char1 Char Char Char Char"/>
    <w:basedOn w:val="1"/>
    <w:qFormat/>
    <w:uiPriority w:val="0"/>
    <w:rPr>
      <w:rFonts w:ascii="Tahoma" w:hAnsi="Tahoma"/>
      <w:sz w:val="24"/>
      <w:szCs w:val="20"/>
    </w:rPr>
  </w:style>
  <w:style w:type="paragraph" w:customStyle="1" w:styleId="2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标准文本"/>
    <w:basedOn w:val="1"/>
    <w:qFormat/>
    <w:uiPriority w:val="0"/>
    <w:pPr>
      <w:spacing w:line="360" w:lineRule="auto"/>
      <w:ind w:firstLine="420"/>
      <w:jc w:val="left"/>
    </w:pPr>
    <w:rPr>
      <w:rFonts w:cs="宋体"/>
      <w:kern w:val="0"/>
      <w:sz w:val="24"/>
    </w:rPr>
  </w:style>
  <w:style w:type="paragraph" w:styleId="25">
    <w:name w:val="List Paragraph"/>
    <w:basedOn w:val="1"/>
    <w:qFormat/>
    <w:uiPriority w:val="99"/>
    <w:pPr>
      <w:ind w:firstLine="420" w:firstLineChars="200"/>
    </w:pPr>
  </w:style>
  <w:style w:type="character" w:customStyle="1" w:styleId="26">
    <w:name w:val="页眉 字符"/>
    <w:basedOn w:val="17"/>
    <w:link w:val="1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5048</Words>
  <Characters>28780</Characters>
  <Lines>239</Lines>
  <Paragraphs>67</Paragraphs>
  <TotalTime>4</TotalTime>
  <ScaleCrop>false</ScaleCrop>
  <LinksUpToDate>false</LinksUpToDate>
  <CharactersWithSpaces>33761</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2020-06-24T06:33:00Z</dcterms:created>
  <dc:creator>Administrator</dc:creator>
  <cp:lastModifiedBy>Administrator</cp:lastModifiedBy>
  <dcterms:modified xsi:type="dcterms:W3CDTF">2020-07-08T03:53:23Z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