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numPr>
                <w:ilvl w:val="0"/>
                <w:numId w:val="1"/>
              </w:numPr>
              <w:autoSpaceDE w:val="0"/>
              <w:autoSpaceDN w:val="0"/>
              <w:adjustRightInd w:val="0"/>
              <w:spacing w:line="360" w:lineRule="auto"/>
              <w:rPr>
                <w:rFonts w:hint="eastAsia" w:ascii="宋体" w:hAnsi="宋体" w:eastAsia="宋体" w:cs="Times New Roman"/>
                <w:color w:val="000000"/>
                <w:kern w:val="2"/>
                <w:sz w:val="21"/>
                <w:szCs w:val="21"/>
                <w:highlight w:val="none"/>
                <w:lang w:val="en-US" w:eastAsia="zh-CN" w:bidi="ar-SA"/>
              </w:rPr>
            </w:pPr>
            <w:r>
              <w:rPr>
                <w:rFonts w:hint="eastAsia" w:hAnsi="宋体" w:cs="宋体"/>
                <w:color w:val="000000"/>
              </w:rPr>
              <w:t>工程概</w:t>
            </w:r>
            <w:r>
              <w:rPr>
                <w:rFonts w:hint="eastAsia" w:ascii="宋体" w:hAnsi="宋体" w:cs="宋体"/>
                <w:color w:val="000000"/>
                <w:szCs w:val="21"/>
              </w:rPr>
              <w:t>况：</w:t>
            </w:r>
            <w:r>
              <w:rPr>
                <w:rFonts w:hint="eastAsia" w:ascii="宋体" w:hAnsi="宋体" w:eastAsia="宋体" w:cs="Times New Roman"/>
                <w:color w:val="000000"/>
                <w:kern w:val="2"/>
                <w:sz w:val="21"/>
                <w:szCs w:val="21"/>
                <w:highlight w:val="none"/>
                <w:lang w:val="en-US" w:eastAsia="zh-CN" w:bidi="ar-SA"/>
              </w:rPr>
              <w:t>浙江科技大学西和公寓消防整改项目工程,该工程位于浙江省杭州市西湖区留和路318号浙江科技大学西和公寓内,地上六层,一层为架空层和门厅,二至六层为学生宿舍。</w:t>
            </w:r>
          </w:p>
          <w:p>
            <w:pPr>
              <w:numPr>
                <w:ilvl w:val="0"/>
                <w:numId w:val="1"/>
              </w:num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工程招标范围：根据业主提供的图纸确</w:t>
            </w:r>
            <w:r>
              <w:rPr>
                <w:rFonts w:hint="eastAsia" w:cs="宋体"/>
                <w:color w:val="000000"/>
              </w:rPr>
              <w:t>定范围</w:t>
            </w:r>
            <w:r>
              <w:rPr>
                <w:rFonts w:hint="eastAsia" w:cs="宋体"/>
                <w:color w:val="000000"/>
                <w:lang w:val="en-US" w:eastAsia="zh-CN"/>
              </w:rPr>
              <w:t>内的</w:t>
            </w:r>
            <w:r>
              <w:rPr>
                <w:rFonts w:hint="eastAsia" w:ascii="宋体" w:hAnsi="宋体" w:eastAsia="宋体" w:cs="Times New Roman"/>
                <w:color w:val="000000"/>
                <w:szCs w:val="21"/>
                <w:highlight w:val="none"/>
              </w:rPr>
              <w:t>房屋建筑</w:t>
            </w:r>
            <w:r>
              <w:rPr>
                <w:rFonts w:hint="eastAsia" w:ascii="宋体" w:hAnsi="宋体"/>
                <w:color w:val="000000"/>
                <w:szCs w:val="21"/>
                <w:highlight w:val="none"/>
              </w:rPr>
              <w:t>装饰</w:t>
            </w:r>
            <w:r>
              <w:rPr>
                <w:rFonts w:hint="eastAsia" w:ascii="宋体" w:hAnsi="宋体"/>
                <w:color w:val="000000"/>
                <w:szCs w:val="21"/>
                <w:highlight w:val="none"/>
                <w:lang w:val="en-US" w:eastAsia="zh-CN"/>
              </w:rPr>
              <w:t>工程</w:t>
            </w:r>
            <w:r>
              <w:rPr>
                <w:rFonts w:hint="eastAsia" w:ascii="宋体" w:hAnsi="宋体"/>
                <w:color w:val="000000"/>
                <w:szCs w:val="21"/>
                <w:highlight w:val="none"/>
              </w:rPr>
              <w:t>、安装工程</w:t>
            </w:r>
            <w:r>
              <w:rPr>
                <w:rFonts w:hint="eastAsia" w:ascii="宋体" w:hAnsi="宋体"/>
                <w:color w:val="000000"/>
                <w:szCs w:val="21"/>
                <w:highlight w:val="none"/>
                <w:lang w:eastAsia="zh-CN"/>
              </w:rPr>
              <w:t>、</w:t>
            </w:r>
            <w:r>
              <w:rPr>
                <w:rFonts w:hint="eastAsia" w:ascii="宋体" w:hAnsi="宋体"/>
                <w:color w:val="000000"/>
                <w:szCs w:val="21"/>
                <w:highlight w:val="none"/>
                <w:lang w:val="en-US" w:eastAsia="zh-CN"/>
              </w:rPr>
              <w:t>室外铺装、道路改造、新增10#楼及14#楼非机动车车棚等，</w:t>
            </w:r>
            <w:r>
              <w:rPr>
                <w:rFonts w:hint="eastAsia" w:ascii="宋体" w:hAnsi="宋体"/>
                <w:color w:val="000000"/>
                <w:szCs w:val="21"/>
                <w:highlight w:val="none"/>
              </w:rPr>
              <w:t>具体详</w:t>
            </w:r>
            <w:r>
              <w:rPr>
                <w:rFonts w:hint="eastAsia" w:ascii="宋体" w:hAnsi="宋体"/>
                <w:color w:val="000000"/>
                <w:szCs w:val="21"/>
                <w:highlight w:val="none"/>
                <w:lang w:val="en-US" w:eastAsia="zh-CN"/>
              </w:rPr>
              <w:t>图纸及</w:t>
            </w:r>
            <w:r>
              <w:rPr>
                <w:rFonts w:hint="eastAsia" w:ascii="宋体" w:hAnsi="宋体"/>
                <w:color w:val="000000"/>
                <w:szCs w:val="21"/>
                <w:highlight w:val="none"/>
              </w:rPr>
              <w:t>工程量清单。</w:t>
            </w:r>
          </w:p>
          <w:p>
            <w:pPr>
              <w:autoSpaceDE w:val="0"/>
              <w:autoSpaceDN w:val="0"/>
              <w:adjustRightInd w:val="0"/>
              <w:spacing w:line="360" w:lineRule="auto"/>
              <w:rPr>
                <w:rFonts w:hAnsi="宋体" w:cs="宋体"/>
                <w:color w:val="000000"/>
              </w:rPr>
            </w:pPr>
            <w:r>
              <w:rPr>
                <w:rFonts w:hint="eastAsia" w:hAnsi="宋体" w:cs="宋体"/>
                <w:color w:val="000000"/>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仿古建筑</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．《关于印发建设工程工程量计算规范（2013）浙江省补充规定的通知》（浙建站计﹝2013﹞63号）；</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．《浙江省建设工程计价规则》（2018版）；</w:t>
            </w:r>
          </w:p>
          <w:p>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11.《关于增值税调整后我省建设工程计价依据增值税税率及有关计价调整的通知》（浙建建发[2019]92号 ）；</w:t>
            </w:r>
          </w:p>
          <w:p>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12.《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13.《省建设厅关于调整建筑工程安全文明施工费的通知》（浙建建发[2022]37号）；</w:t>
            </w:r>
          </w:p>
          <w:p>
            <w:pPr>
              <w:autoSpaceDE w:val="0"/>
              <w:autoSpaceDN w:val="0"/>
              <w:adjustRightInd w:val="0"/>
              <w:spacing w:line="360" w:lineRule="auto"/>
              <w:ind w:firstLine="420"/>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14.关于贯彻《省建设厅关于调整建筑工程安全文明施工费的通知》的通知（杭建市发[2022]54号）；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18</w:t>
            </w:r>
            <w:r>
              <w:rPr>
                <w:rFonts w:hint="eastAsia" w:ascii="宋体" w:hAnsi="宋体" w:cs="宋体"/>
                <w:color w:val="000000"/>
                <w:szCs w:val="21"/>
                <w:highlight w:val="none"/>
              </w:rPr>
              <w:t>．业主提供的设计图纸。</w:t>
            </w:r>
          </w:p>
          <w:p>
            <w:pPr>
              <w:pStyle w:val="2"/>
              <w:tabs>
                <w:tab w:val="left" w:pos="3060"/>
              </w:tabs>
              <w:spacing w:line="360" w:lineRule="auto"/>
              <w:ind w:firstLine="1"/>
              <w:rPr>
                <w:rFonts w:hAnsi="宋体" w:cs="宋体"/>
                <w:color w:val="000000"/>
              </w:rPr>
            </w:pPr>
            <w:r>
              <w:rPr>
                <w:rFonts w:hint="eastAsia" w:hAnsi="宋体" w:cs="宋体"/>
                <w:color w:val="000000"/>
              </w:rPr>
              <w:t>四、报价要求：</w:t>
            </w:r>
          </w:p>
          <w:p>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2"/>
              <w:tabs>
                <w:tab w:val="left" w:pos="3330"/>
              </w:tabs>
              <w:spacing w:line="360" w:lineRule="auto"/>
              <w:ind w:firstLine="420" w:firstLineChars="200"/>
              <w:rPr>
                <w:rFonts w:hAnsi="宋体" w:cs="宋体"/>
                <w:color w:val="000000"/>
              </w:rPr>
            </w:pPr>
            <w:r>
              <w:rPr>
                <w:rFonts w:hAnsi="宋体" w:cs="宋体"/>
                <w:color w:val="000000"/>
              </w:rPr>
              <w:t>4</w:t>
            </w:r>
            <w:r>
              <w:rPr>
                <w:rFonts w:hint="eastAsia" w:hAnsi="宋体" w:cs="宋体"/>
                <w:color w:val="000000"/>
              </w:rPr>
              <w:t>．安全文明施工基本费费率不得低于《浙江省建设工程计价规则》（2018版）规定的下限，按市区工程计取</w:t>
            </w:r>
            <w:r>
              <w:rPr>
                <w:rFonts w:hint="eastAsia" w:hAnsi="宋体" w:cs="宋体"/>
                <w:color w:val="000000"/>
                <w:highlight w:val="none"/>
              </w:rPr>
              <w:t>，其中疫情常态化防控及“智慧工地”费用计取按照：浙建建发[2022]37号文件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r>
              <w:rPr>
                <w:rFonts w:hint="eastAsia" w:hAnsi="宋体" w:cs="宋体"/>
                <w:color w:val="000000"/>
              </w:rPr>
              <w:t>：</w:t>
            </w:r>
          </w:p>
          <w:p>
            <w:pPr>
              <w:pStyle w:val="2"/>
              <w:tabs>
                <w:tab w:val="left" w:pos="3330"/>
              </w:tabs>
              <w:spacing w:line="360" w:lineRule="auto"/>
              <w:ind w:firstLine="420" w:firstLineChars="200"/>
              <w:rPr>
                <w:rFonts w:hint="eastAsia" w:hAnsi="宋体" w:cs="宋体"/>
                <w:color w:val="000000"/>
              </w:rPr>
            </w:pPr>
            <w:r>
              <w:rPr>
                <w:rFonts w:hint="eastAsia" w:ascii="宋体" w:hAnsi="宋体" w:eastAsia="宋体" w:cs="Times New Roman"/>
                <w:color w:val="000000"/>
                <w:szCs w:val="21"/>
                <w:highlight w:val="none"/>
              </w:rPr>
              <w:t>房屋建筑</w:t>
            </w: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w:t>
            </w:r>
            <w:r>
              <w:rPr>
                <w:rFonts w:hint="eastAsia" w:hAnsi="宋体" w:cs="宋体"/>
                <w:color w:val="000000"/>
                <w:lang w:val="en-US" w:eastAsia="zh-CN"/>
              </w:rPr>
              <w:t>9.86</w:t>
            </w:r>
            <w:r>
              <w:rPr>
                <w:rFonts w:hint="eastAsia" w:hAnsi="宋体" w:cs="宋体"/>
                <w:color w:val="000000"/>
              </w:rPr>
              <w:t>%；</w:t>
            </w:r>
          </w:p>
          <w:p>
            <w:pPr>
              <w:tabs>
                <w:tab w:val="left" w:pos="840"/>
              </w:tabs>
              <w:spacing w:line="360" w:lineRule="auto"/>
              <w:ind w:left="735" w:leftChars="200" w:hanging="315" w:hangingChars="150"/>
              <w:jc w:val="left"/>
              <w:rPr>
                <w:rFonts w:hint="eastAsia" w:hAnsi="宋体" w:cs="宋体"/>
                <w:color w:val="000000"/>
                <w:lang w:eastAsia="zh-CN"/>
              </w:rPr>
            </w:pPr>
            <w:r>
              <w:rPr>
                <w:rFonts w:hint="eastAsia" w:ascii="宋体" w:hAnsi="宋体"/>
                <w:kern w:val="0"/>
                <w:highlight w:val="none"/>
                <w:lang w:val="en-US" w:eastAsia="zh-CN"/>
              </w:rPr>
              <w:t>通</w:t>
            </w:r>
            <w:r>
              <w:rPr>
                <w:rFonts w:hint="eastAsia" w:ascii="宋体" w:hAnsi="宋体"/>
                <w:kern w:val="0"/>
                <w:highlight w:val="none"/>
              </w:rPr>
              <w:t>用安装工程</w:t>
            </w:r>
            <w:r>
              <w:rPr>
                <w:rFonts w:hint="eastAsia" w:ascii="宋体" w:hAnsi="宋体"/>
                <w:kern w:val="0"/>
                <w:highlight w:val="none"/>
                <w:lang w:eastAsia="zh-CN"/>
              </w:rPr>
              <w:t>：</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7.35</w:t>
            </w:r>
            <w:r>
              <w:rPr>
                <w:rFonts w:hint="eastAsia" w:hAnsi="宋体" w:cs="宋体"/>
                <w:color w:val="000000"/>
              </w:rPr>
              <w:t>%</w:t>
            </w:r>
            <w:r>
              <w:rPr>
                <w:rFonts w:hint="eastAsia" w:hAnsi="宋体" w:cs="宋体"/>
                <w:color w:val="000000"/>
                <w:lang w:eastAsia="zh-CN"/>
              </w:rPr>
              <w:t>；</w:t>
            </w:r>
          </w:p>
          <w:p>
            <w:pPr>
              <w:tabs>
                <w:tab w:val="left" w:pos="840"/>
              </w:tabs>
              <w:spacing w:line="360" w:lineRule="auto"/>
              <w:ind w:left="735" w:leftChars="200" w:hanging="315" w:hangingChars="150"/>
              <w:jc w:val="left"/>
              <w:rPr>
                <w:rFonts w:hint="eastAsia" w:hAnsi="宋体" w:cs="宋体"/>
                <w:color w:val="000000"/>
                <w:lang w:eastAsia="zh-CN"/>
              </w:rPr>
            </w:pPr>
            <w:r>
              <w:rPr>
                <w:rFonts w:hint="eastAsia" w:hAnsi="宋体" w:cs="宋体"/>
                <w:color w:val="000000"/>
                <w:lang w:val="en-US" w:eastAsia="zh-CN"/>
              </w:rPr>
              <w:t>园林景观绿化工程：</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6.64</w:t>
            </w:r>
            <w:r>
              <w:rPr>
                <w:rFonts w:hint="eastAsia" w:hAnsi="宋体" w:cs="宋体"/>
                <w:color w:val="000000"/>
              </w:rPr>
              <w:t>%</w:t>
            </w:r>
            <w:r>
              <w:rPr>
                <w:rFonts w:hint="eastAsia" w:hAnsi="宋体" w:cs="宋体"/>
                <w:color w:val="000000"/>
                <w:lang w:eastAsia="zh-CN"/>
              </w:rPr>
              <w:t>；</w:t>
            </w:r>
          </w:p>
          <w:p>
            <w:pPr>
              <w:tabs>
                <w:tab w:val="left" w:pos="840"/>
              </w:tabs>
              <w:spacing w:line="360" w:lineRule="auto"/>
              <w:ind w:left="735" w:leftChars="200" w:hanging="315" w:hangingChars="150"/>
              <w:jc w:val="left"/>
              <w:rPr>
                <w:rFonts w:hint="eastAsia" w:hAnsi="宋体" w:eastAsia="宋体" w:cs="宋体"/>
                <w:color w:val="000000"/>
                <w:lang w:val="en-US" w:eastAsia="zh-CN"/>
              </w:rPr>
            </w:pPr>
            <w:r>
              <w:rPr>
                <w:rFonts w:hint="eastAsia" w:hAnsi="宋体" w:cs="宋体"/>
                <w:color w:val="000000"/>
                <w:lang w:val="en-US" w:eastAsia="zh-CN"/>
              </w:rPr>
              <w:t>市政工程：</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8.81</w:t>
            </w:r>
            <w:r>
              <w:rPr>
                <w:rFonts w:hint="eastAsia" w:hAnsi="宋体" w:cs="宋体"/>
                <w:color w:val="000000"/>
              </w:rPr>
              <w:t>%</w:t>
            </w:r>
            <w:r>
              <w:rPr>
                <w:rFonts w:hint="eastAsia" w:hAnsi="宋体" w:cs="宋体"/>
                <w:color w:val="000000"/>
                <w:lang w:eastAsia="zh-CN"/>
              </w:rPr>
              <w:t>。</w:t>
            </w:r>
          </w:p>
          <w:p>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pPr>
              <w:pStyle w:val="2"/>
              <w:tabs>
                <w:tab w:val="left" w:pos="3330"/>
              </w:tabs>
              <w:spacing w:line="360" w:lineRule="auto"/>
              <w:ind w:firstLine="420" w:firstLineChars="200"/>
              <w:rPr>
                <w:rFonts w:hint="eastAsia" w:hAnsi="宋体" w:cs="宋体"/>
                <w:color w:val="000000"/>
              </w:rPr>
            </w:pPr>
            <w:r>
              <w:rPr>
                <w:rFonts w:hint="eastAsia" w:ascii="宋体" w:hAnsi="宋体" w:eastAsia="宋体" w:cs="Times New Roman"/>
                <w:color w:val="000000"/>
                <w:szCs w:val="21"/>
                <w:highlight w:val="none"/>
              </w:rPr>
              <w:t>房屋建筑</w:t>
            </w: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w:t>
            </w:r>
            <w:r>
              <w:rPr>
                <w:rFonts w:hint="eastAsia" w:hAnsi="宋体" w:cs="宋体"/>
                <w:color w:val="000000"/>
                <w:lang w:val="en-US" w:eastAsia="zh-CN"/>
              </w:rPr>
              <w:t>7.74</w:t>
            </w:r>
            <w:r>
              <w:rPr>
                <w:rFonts w:hint="eastAsia" w:hAnsi="宋体" w:cs="宋体"/>
                <w:color w:val="000000"/>
              </w:rPr>
              <w:t>%；</w:t>
            </w:r>
          </w:p>
          <w:p>
            <w:pPr>
              <w:tabs>
                <w:tab w:val="left" w:pos="840"/>
              </w:tabs>
              <w:spacing w:line="360" w:lineRule="auto"/>
              <w:ind w:left="735" w:leftChars="200" w:hanging="315" w:hangingChars="150"/>
              <w:jc w:val="left"/>
              <w:rPr>
                <w:rFonts w:hint="eastAsia" w:ascii="宋体" w:hAnsi="宋体" w:eastAsia="宋体"/>
                <w:kern w:val="0"/>
                <w:highlight w:val="none"/>
                <w:lang w:eastAsia="zh-CN"/>
              </w:rPr>
            </w:pPr>
            <w:r>
              <w:rPr>
                <w:rFonts w:hint="eastAsia" w:ascii="宋体" w:hAnsi="宋体"/>
                <w:kern w:val="0"/>
                <w:highlight w:val="none"/>
                <w:lang w:val="en-US" w:eastAsia="zh-CN"/>
              </w:rPr>
              <w:t>通</w:t>
            </w:r>
            <w:r>
              <w:rPr>
                <w:rFonts w:hint="eastAsia" w:ascii="宋体" w:hAnsi="宋体"/>
                <w:kern w:val="0"/>
                <w:highlight w:val="none"/>
              </w:rPr>
              <w:t>用安装工程</w:t>
            </w:r>
            <w:r>
              <w:rPr>
                <w:rFonts w:hint="eastAsia" w:ascii="宋体" w:hAnsi="宋体"/>
                <w:kern w:val="0"/>
                <w:highlight w:val="none"/>
                <w:lang w:eastAsia="zh-CN"/>
              </w:rPr>
              <w:t>：</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9.19</w:t>
            </w:r>
            <w:r>
              <w:rPr>
                <w:rFonts w:hint="eastAsia" w:hAnsi="宋体" w:cs="宋体"/>
                <w:color w:val="000000"/>
              </w:rPr>
              <w:t>%</w:t>
            </w:r>
            <w:r>
              <w:rPr>
                <w:rFonts w:hint="eastAsia" w:hAnsi="宋体" w:cs="宋体"/>
                <w:color w:val="000000"/>
                <w:lang w:eastAsia="zh-CN"/>
              </w:rPr>
              <w:t>；</w:t>
            </w:r>
          </w:p>
          <w:p>
            <w:pPr>
              <w:tabs>
                <w:tab w:val="left" w:pos="840"/>
              </w:tabs>
              <w:spacing w:line="360" w:lineRule="auto"/>
              <w:ind w:left="735" w:leftChars="200" w:hanging="315" w:hangingChars="150"/>
              <w:jc w:val="left"/>
              <w:rPr>
                <w:rFonts w:hint="eastAsia" w:hAnsi="宋体" w:cs="宋体"/>
                <w:color w:val="000000"/>
                <w:lang w:eastAsia="zh-CN"/>
              </w:rPr>
            </w:pPr>
            <w:r>
              <w:rPr>
                <w:rFonts w:hint="eastAsia" w:hAnsi="宋体" w:cs="宋体"/>
                <w:color w:val="000000"/>
                <w:lang w:val="en-US" w:eastAsia="zh-CN"/>
              </w:rPr>
              <w:t>园林景观绿化工程：</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9.30</w:t>
            </w:r>
            <w:r>
              <w:rPr>
                <w:rFonts w:hint="eastAsia" w:hAnsi="宋体" w:cs="宋体"/>
                <w:color w:val="000000"/>
              </w:rPr>
              <w:t>%</w:t>
            </w:r>
            <w:r>
              <w:rPr>
                <w:rFonts w:hint="eastAsia" w:hAnsi="宋体" w:cs="宋体"/>
                <w:color w:val="000000"/>
                <w:lang w:eastAsia="zh-CN"/>
              </w:rPr>
              <w:t>；</w:t>
            </w:r>
          </w:p>
          <w:p>
            <w:pPr>
              <w:tabs>
                <w:tab w:val="left" w:pos="840"/>
              </w:tabs>
              <w:spacing w:line="360" w:lineRule="auto"/>
              <w:ind w:left="735" w:leftChars="200" w:hanging="315" w:hangingChars="150"/>
              <w:jc w:val="left"/>
              <w:rPr>
                <w:rFonts w:hint="eastAsia" w:ascii="宋体" w:hAnsi="宋体"/>
                <w:kern w:val="0"/>
                <w:highlight w:val="none"/>
              </w:rPr>
            </w:pPr>
            <w:r>
              <w:rPr>
                <w:rFonts w:hint="eastAsia" w:hAnsi="宋体" w:cs="宋体"/>
                <w:color w:val="000000"/>
                <w:lang w:val="en-US" w:eastAsia="zh-CN"/>
              </w:rPr>
              <w:t>市政工程：</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5.63</w:t>
            </w:r>
            <w:r>
              <w:rPr>
                <w:rFonts w:hint="eastAsia" w:hAnsi="宋体" w:cs="宋体"/>
                <w:color w:val="000000"/>
              </w:rPr>
              <w:t>%</w:t>
            </w:r>
            <w:r>
              <w:rPr>
                <w:rFonts w:hint="eastAsia" w:hAnsi="宋体" w:cs="宋体"/>
                <w:color w:val="000000"/>
                <w:lang w:eastAsia="zh-CN"/>
              </w:rPr>
              <w:t>。</w:t>
            </w:r>
          </w:p>
          <w:p>
            <w:pPr>
              <w:pStyle w:val="2"/>
              <w:tabs>
                <w:tab w:val="left" w:pos="3330"/>
              </w:tabs>
              <w:spacing w:line="360" w:lineRule="auto"/>
              <w:ind w:firstLine="420" w:firstLineChars="200"/>
              <w:rPr>
                <w:rFonts w:hAnsi="宋体" w:cs="宋体"/>
                <w:color w:val="000000"/>
              </w:rPr>
            </w:pPr>
            <w:r>
              <w:rPr>
                <w:rFonts w:hAnsi="宋体" w:cs="宋体"/>
                <w:color w:val="000000"/>
              </w:rPr>
              <w:t>6</w:t>
            </w:r>
            <w:r>
              <w:rPr>
                <w:rFonts w:hint="eastAsia" w:hAnsi="宋体" w:cs="宋体"/>
                <w:color w:val="000000"/>
              </w:rPr>
              <w:t>．根据杭建市发【2018】578号文规定，企业管理费报价不得低于省建设行政主管部门颁发的施工费用定额和相关取费计价文件规定的对应专业工程企业管理费弹性费率下限乘以20%的计算值。</w:t>
            </w:r>
            <w:r>
              <w:rPr>
                <w:rFonts w:hint="eastAsia" w:hAnsi="宋体" w:cs="宋体"/>
                <w:color w:val="000000"/>
                <w:highlight w:val="none"/>
              </w:rPr>
              <w:t>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w:t>
            </w:r>
            <w:r>
              <w:rPr>
                <w:rFonts w:hint="eastAsia" w:hAnsi="宋体" w:cs="宋体"/>
                <w:color w:val="000000"/>
              </w:rPr>
              <w:t>具体如下：</w:t>
            </w:r>
          </w:p>
          <w:p>
            <w:pPr>
              <w:pStyle w:val="2"/>
              <w:tabs>
                <w:tab w:val="left" w:pos="3330"/>
              </w:tabs>
              <w:spacing w:line="360" w:lineRule="auto"/>
              <w:ind w:firstLine="420" w:firstLineChars="200"/>
              <w:rPr>
                <w:rFonts w:hint="eastAsia" w:hAnsi="宋体" w:cs="宋体"/>
                <w:color w:val="000000"/>
              </w:rPr>
            </w:pPr>
            <w:r>
              <w:rPr>
                <w:rFonts w:hint="eastAsia" w:ascii="宋体" w:hAnsi="宋体" w:eastAsia="宋体" w:cs="Times New Roman"/>
                <w:color w:val="000000"/>
                <w:szCs w:val="21"/>
                <w:highlight w:val="none"/>
              </w:rPr>
              <w:t>房屋建筑</w:t>
            </w: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w:t>
            </w:r>
            <w:r>
              <w:rPr>
                <w:rFonts w:hint="eastAsia" w:hAnsi="宋体" w:cs="宋体"/>
                <w:color w:val="000000"/>
                <w:lang w:val="en-US" w:eastAsia="zh-CN"/>
              </w:rPr>
              <w:t>2.49</w:t>
            </w:r>
            <w:r>
              <w:rPr>
                <w:rFonts w:hint="eastAsia" w:hAnsi="宋体" w:cs="宋体"/>
                <w:color w:val="000000"/>
              </w:rPr>
              <w:t>%；</w:t>
            </w:r>
          </w:p>
          <w:p>
            <w:pPr>
              <w:tabs>
                <w:tab w:val="left" w:pos="840"/>
              </w:tabs>
              <w:spacing w:line="360" w:lineRule="auto"/>
              <w:ind w:left="735" w:leftChars="200" w:hanging="315" w:hangingChars="150"/>
              <w:jc w:val="left"/>
              <w:rPr>
                <w:rFonts w:hint="eastAsia" w:ascii="宋体" w:hAnsi="宋体"/>
                <w:kern w:val="0"/>
                <w:highlight w:val="none"/>
              </w:rPr>
            </w:pPr>
            <w:r>
              <w:rPr>
                <w:rFonts w:hint="eastAsia" w:ascii="宋体" w:hAnsi="宋体"/>
                <w:kern w:val="0"/>
                <w:highlight w:val="none"/>
                <w:lang w:val="en-US" w:eastAsia="zh-CN"/>
              </w:rPr>
              <w:t>通</w:t>
            </w:r>
            <w:r>
              <w:rPr>
                <w:rFonts w:hint="eastAsia" w:ascii="宋体" w:hAnsi="宋体"/>
                <w:kern w:val="0"/>
                <w:highlight w:val="none"/>
              </w:rPr>
              <w:t>用安装工程</w:t>
            </w:r>
            <w:r>
              <w:rPr>
                <w:rFonts w:hint="eastAsia" w:ascii="宋体" w:hAnsi="宋体"/>
                <w:kern w:val="0"/>
                <w:highlight w:val="none"/>
                <w:lang w:eastAsia="zh-CN"/>
              </w:rPr>
              <w:t>：</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3.26</w:t>
            </w:r>
            <w:r>
              <w:rPr>
                <w:rFonts w:hint="eastAsia" w:hAnsi="宋体" w:cs="宋体"/>
                <w:color w:val="000000"/>
              </w:rPr>
              <w:t>%</w:t>
            </w:r>
            <w:r>
              <w:rPr>
                <w:rFonts w:hint="eastAsia" w:ascii="宋体" w:hAnsi="宋体"/>
                <w:kern w:val="0"/>
                <w:highlight w:val="none"/>
              </w:rPr>
              <w:t>。</w:t>
            </w:r>
          </w:p>
          <w:p>
            <w:pPr>
              <w:tabs>
                <w:tab w:val="left" w:pos="840"/>
              </w:tabs>
              <w:spacing w:line="360" w:lineRule="auto"/>
              <w:ind w:left="735" w:leftChars="200" w:hanging="315" w:hangingChars="150"/>
              <w:jc w:val="left"/>
              <w:rPr>
                <w:rFonts w:hint="eastAsia" w:hAnsi="宋体" w:cs="宋体"/>
                <w:color w:val="000000"/>
                <w:lang w:eastAsia="zh-CN"/>
              </w:rPr>
            </w:pPr>
            <w:r>
              <w:rPr>
                <w:rFonts w:hint="eastAsia" w:hAnsi="宋体" w:cs="宋体"/>
                <w:color w:val="000000"/>
                <w:lang w:val="en-US" w:eastAsia="zh-CN"/>
              </w:rPr>
              <w:t>园林景观绿化工程：</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2.78</w:t>
            </w:r>
            <w:r>
              <w:rPr>
                <w:rFonts w:hint="eastAsia" w:hAnsi="宋体" w:cs="宋体"/>
                <w:color w:val="000000"/>
              </w:rPr>
              <w:t>%</w:t>
            </w:r>
            <w:r>
              <w:rPr>
                <w:rFonts w:hint="eastAsia" w:hAnsi="宋体" w:cs="宋体"/>
                <w:color w:val="000000"/>
                <w:lang w:eastAsia="zh-CN"/>
              </w:rPr>
              <w:t>；</w:t>
            </w:r>
          </w:p>
          <w:p>
            <w:pPr>
              <w:tabs>
                <w:tab w:val="left" w:pos="840"/>
              </w:tabs>
              <w:spacing w:line="360" w:lineRule="auto"/>
              <w:ind w:left="735" w:leftChars="200" w:hanging="315" w:hangingChars="150"/>
              <w:jc w:val="left"/>
              <w:rPr>
                <w:rFonts w:hint="eastAsia" w:ascii="宋体" w:hAnsi="宋体"/>
                <w:kern w:val="0"/>
                <w:highlight w:val="none"/>
                <w:lang w:eastAsia="zh-CN"/>
              </w:rPr>
            </w:pPr>
            <w:r>
              <w:rPr>
                <w:rFonts w:hint="eastAsia" w:hAnsi="宋体" w:cs="宋体"/>
                <w:color w:val="000000"/>
                <w:lang w:val="en-US" w:eastAsia="zh-CN"/>
              </w:rPr>
              <w:t>市政工程：</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hAnsi="宋体" w:cs="宋体"/>
                <w:b w:val="0"/>
                <w:bCs w:val="0"/>
                <w:color w:val="000000"/>
                <w:lang w:val="en-US" w:eastAsia="zh-CN"/>
              </w:rPr>
              <w:t>2.56</w:t>
            </w:r>
            <w:r>
              <w:rPr>
                <w:rFonts w:hint="eastAsia" w:hAnsi="宋体" w:cs="宋体"/>
                <w:color w:val="000000"/>
              </w:rPr>
              <w:t>%</w:t>
            </w:r>
            <w:r>
              <w:rPr>
                <w:rFonts w:hint="eastAsia" w:hAnsi="宋体" w:cs="宋体"/>
                <w:color w:val="000000"/>
                <w:lang w:eastAsia="zh-CN"/>
              </w:rPr>
              <w:t>。</w:t>
            </w:r>
          </w:p>
          <w:p>
            <w:pPr>
              <w:pStyle w:val="2"/>
              <w:tabs>
                <w:tab w:val="left" w:pos="3330"/>
              </w:tabs>
              <w:spacing w:line="360" w:lineRule="auto"/>
              <w:ind w:firstLine="420" w:firstLineChars="200"/>
              <w:rPr>
                <w:rFonts w:hint="eastAsia" w:hAnsi="宋体" w:eastAsia="宋体" w:cs="宋体"/>
                <w:color w:val="000000"/>
                <w:lang w:val="en-US" w:eastAsia="zh-CN"/>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r>
              <w:rPr>
                <w:rFonts w:hint="eastAsia" w:hAnsi="宋体" w:cs="宋体"/>
                <w:color w:val="000000"/>
                <w:lang w:eastAsia="zh-CN"/>
              </w:rPr>
              <w:t>。</w:t>
            </w:r>
          </w:p>
          <w:p>
            <w:pPr>
              <w:pStyle w:val="2"/>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24" w:lineRule="auto"/>
              <w:ind w:firstLine="422" w:firstLineChars="200"/>
              <w:textAlignment w:val="auto"/>
              <w:rPr>
                <w:rFonts w:hint="eastAsia" w:ascii="宋体" w:hAnsi="宋体" w:eastAsia="宋体" w:cs="Arial"/>
                <w:b/>
                <w:bCs w:val="0"/>
                <w:color w:val="auto"/>
                <w:highlight w:val="none"/>
                <w:lang w:val="en-US" w:eastAsia="zh-CN"/>
              </w:rPr>
            </w:pPr>
            <w:r>
              <w:rPr>
                <w:rFonts w:hint="eastAsia" w:ascii="宋体" w:hAnsi="宋体" w:eastAsia="宋体" w:cs="Arial"/>
                <w:b/>
                <w:bCs w:val="0"/>
                <w:color w:val="auto"/>
                <w:highlight w:val="none"/>
                <w:lang w:val="en-US" w:eastAsia="zh-CN"/>
              </w:rPr>
              <w:t>结构及砌筑工程：</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Arial"/>
                <w:bCs/>
                <w:color w:val="auto"/>
                <w:highlight w:val="none"/>
                <w:lang w:val="en-US" w:eastAsia="zh-CN"/>
              </w:rPr>
            </w:pPr>
            <w:r>
              <w:rPr>
                <w:rFonts w:hint="eastAsia"/>
                <w:lang w:val="en-US" w:eastAsia="zh-CN"/>
              </w:rPr>
              <w:t>地梁下100mm厚混凝土垫层，100mm碎石垫层，图纸中做法未明确，暂按此做法计入清单</w:t>
            </w:r>
            <w:r>
              <w:rPr>
                <w:rFonts w:hint="eastAsia" w:ascii="宋体" w:hAnsi="宋体" w:eastAsia="宋体" w:cs="Arial"/>
                <w:bCs/>
                <w:color w:val="auto"/>
                <w:highlight w:val="none"/>
                <w:lang w:val="en-US" w:eastAsia="zh-CN"/>
              </w:rPr>
              <w:t>。</w:t>
            </w:r>
          </w:p>
          <w:p>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Arial"/>
                <w:bCs/>
                <w:color w:val="auto"/>
                <w:highlight w:val="none"/>
                <w:lang w:val="en-US" w:eastAsia="zh-CN"/>
              </w:rPr>
            </w:pPr>
            <w:r>
              <w:rPr>
                <w:rFonts w:hint="eastAsia" w:ascii="宋体" w:hAnsi="宋体" w:eastAsia="宋体" w:cs="Arial"/>
                <w:bCs/>
                <w:color w:val="auto"/>
                <w:highlight w:val="none"/>
                <w:lang w:val="en-US" w:eastAsia="zh-CN"/>
              </w:rPr>
              <w:t>过梁图纸中未明确，暂按此截图做法计入（参考西和公寓改造图纸）</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24" w:lineRule="auto"/>
              <w:textAlignment w:val="auto"/>
              <w:rPr>
                <w:rFonts w:hint="eastAsia" w:ascii="宋体" w:hAnsi="宋体" w:eastAsia="宋体" w:cs="Arial"/>
                <w:bCs/>
                <w:color w:val="auto"/>
                <w:highlight w:val="none"/>
                <w:lang w:val="en-US" w:eastAsia="zh-CN"/>
              </w:rPr>
            </w:pPr>
            <w:r>
              <w:drawing>
                <wp:inline distT="0" distB="0" distL="114300" distR="114300">
                  <wp:extent cx="5273040" cy="1590040"/>
                  <wp:effectExtent l="0" t="0" r="10160"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3040" cy="1590040"/>
                          </a:xfrm>
                          <a:prstGeom prst="rect">
                            <a:avLst/>
                          </a:prstGeom>
                          <a:noFill/>
                          <a:ln>
                            <a:noFill/>
                          </a:ln>
                        </pic:spPr>
                      </pic:pic>
                    </a:graphicData>
                  </a:graphic>
                </wp:inline>
              </w:drawing>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24" w:lineRule="auto"/>
              <w:ind w:firstLine="422" w:firstLineChars="200"/>
              <w:textAlignment w:val="auto"/>
              <w:rPr>
                <w:rFonts w:hint="eastAsia" w:ascii="宋体" w:hAnsi="宋体" w:eastAsia="宋体" w:cs="Arial"/>
                <w:b/>
                <w:bCs w:val="0"/>
                <w:color w:val="auto"/>
                <w:highlight w:val="none"/>
                <w:lang w:val="en-US" w:eastAsia="zh-CN"/>
              </w:rPr>
            </w:pPr>
            <w:r>
              <w:rPr>
                <w:rFonts w:hint="eastAsia" w:ascii="宋体" w:hAnsi="宋体" w:eastAsia="宋体" w:cs="Arial"/>
                <w:b/>
                <w:bCs w:val="0"/>
                <w:color w:val="auto"/>
                <w:highlight w:val="none"/>
                <w:lang w:val="en-US" w:eastAsia="zh-CN"/>
              </w:rPr>
              <w:t>墙柱面装饰：</w:t>
            </w:r>
          </w:p>
          <w:p>
            <w:pPr>
              <w:numPr>
                <w:ilvl w:val="0"/>
                <w:numId w:val="3"/>
              </w:numPr>
              <w:spacing w:line="360" w:lineRule="auto"/>
              <w:ind w:left="0" w:leftChars="0" w:firstLine="420" w:firstLineChars="200"/>
              <w:rPr>
                <w:rFonts w:hint="eastAsia" w:ascii="宋体" w:hAnsi="宋体" w:cs="宋体"/>
                <w:color w:val="000000"/>
                <w:sz w:val="21"/>
                <w:szCs w:val="21"/>
                <w:lang w:val="en-US" w:eastAsia="zh-CN"/>
              </w:rPr>
            </w:pPr>
            <w:r>
              <w:rPr>
                <w:rFonts w:hint="eastAsia"/>
                <w:lang w:val="en-US" w:eastAsia="zh-CN"/>
              </w:rPr>
              <w:t>石材门槛石厚度暂按20mm计入，选样确定。</w:t>
            </w:r>
          </w:p>
          <w:p>
            <w:pPr>
              <w:numPr>
                <w:ilvl w:val="0"/>
                <w:numId w:val="3"/>
              </w:numPr>
              <w:spacing w:line="360" w:lineRule="auto"/>
              <w:ind w:left="0" w:leftChars="0" w:firstLine="420" w:firstLineChars="200"/>
              <w:rPr>
                <w:rFonts w:hint="eastAsia" w:ascii="宋体" w:hAnsi="宋体" w:cs="宋体"/>
                <w:color w:val="000000"/>
                <w:sz w:val="21"/>
                <w:szCs w:val="21"/>
                <w:lang w:val="en-US" w:eastAsia="zh-CN"/>
              </w:rPr>
            </w:pPr>
            <w:r>
              <w:rPr>
                <w:rFonts w:hint="eastAsia"/>
                <w:lang w:val="en-US" w:eastAsia="zh-CN"/>
              </w:rPr>
              <w:t>卫生间地面暂按20mm水泥砂浆找平层计入。</w:t>
            </w:r>
          </w:p>
          <w:p>
            <w:pPr>
              <w:numPr>
                <w:ilvl w:val="0"/>
                <w:numId w:val="3"/>
              </w:numPr>
              <w:spacing w:line="360" w:lineRule="auto"/>
              <w:ind w:left="0" w:leftChars="0" w:firstLine="420" w:firstLineChars="200"/>
              <w:rPr>
                <w:rFonts w:hint="eastAsia" w:ascii="宋体" w:hAnsi="宋体" w:cs="宋体"/>
                <w:color w:val="000000"/>
                <w:sz w:val="21"/>
                <w:szCs w:val="21"/>
                <w:lang w:val="en-US" w:eastAsia="zh-CN"/>
              </w:rPr>
            </w:pPr>
            <w:r>
              <w:rPr>
                <w:rFonts w:hint="eastAsia"/>
                <w:lang w:val="en-US" w:eastAsia="zh-CN"/>
              </w:rPr>
              <w:t>装配式卫生间灯具、洁具等费用清单单独另计。</w:t>
            </w:r>
          </w:p>
          <w:p>
            <w:pPr>
              <w:numPr>
                <w:ilvl w:val="0"/>
                <w:numId w:val="3"/>
              </w:numPr>
              <w:spacing w:line="360" w:lineRule="auto"/>
              <w:ind w:left="0" w:leftChars="0" w:firstLine="420" w:firstLineChars="200"/>
              <w:rPr>
                <w:rFonts w:hint="eastAsia" w:ascii="宋体" w:hAnsi="宋体" w:cs="宋体"/>
                <w:color w:val="000000"/>
                <w:sz w:val="21"/>
                <w:szCs w:val="21"/>
                <w:lang w:val="en-US" w:eastAsia="zh-CN"/>
              </w:rPr>
            </w:pPr>
            <w:r>
              <w:rPr>
                <w:rFonts w:hint="eastAsia"/>
                <w:lang w:val="en-US" w:eastAsia="zh-CN"/>
              </w:rPr>
              <w:t>储物柜按成品免漆板柜体计入，选样确定。</w:t>
            </w:r>
          </w:p>
          <w:p>
            <w:pPr>
              <w:numPr>
                <w:ilvl w:val="0"/>
                <w:numId w:val="3"/>
              </w:numPr>
              <w:spacing w:line="360" w:lineRule="auto"/>
              <w:ind w:left="0" w:leftChars="0" w:firstLine="420" w:firstLineChars="200"/>
              <w:rPr>
                <w:rFonts w:hint="eastAsia" w:ascii="宋体" w:hAnsi="宋体" w:cs="宋体"/>
                <w:color w:val="000000"/>
                <w:sz w:val="21"/>
                <w:szCs w:val="21"/>
                <w:lang w:val="en-US" w:eastAsia="zh-CN"/>
              </w:rPr>
            </w:pPr>
            <w:r>
              <w:rPr>
                <w:rFonts w:hint="eastAsia"/>
                <w:lang w:val="en-US" w:eastAsia="zh-CN"/>
              </w:rPr>
              <w:t>洗手台按成品一体式计入，选样确定。</w:t>
            </w:r>
          </w:p>
          <w:p>
            <w:pPr>
              <w:numPr>
                <w:ilvl w:val="0"/>
                <w:numId w:val="0"/>
              </w:numPr>
              <w:spacing w:line="360" w:lineRule="auto"/>
              <w:ind w:leftChars="200"/>
              <w:rPr>
                <w:rFonts w:hint="eastAsia" w:ascii="宋体" w:hAnsi="宋体" w:cs="宋体"/>
                <w:b/>
                <w:bCs/>
                <w:color w:val="000000"/>
                <w:sz w:val="21"/>
                <w:szCs w:val="21"/>
                <w:lang w:val="en-US" w:eastAsia="zh-CN"/>
              </w:rPr>
            </w:pPr>
            <w:r>
              <w:rPr>
                <w:rFonts w:hint="eastAsia" w:ascii="宋体" w:hAnsi="宋体" w:cs="宋体"/>
                <w:b/>
                <w:bCs/>
                <w:color w:val="000000"/>
                <w:sz w:val="21"/>
                <w:szCs w:val="21"/>
                <w:lang w:val="en-US" w:eastAsia="zh-CN"/>
              </w:rPr>
              <w:t>门窗工程：</w:t>
            </w:r>
          </w:p>
          <w:p>
            <w:pPr>
              <w:numPr>
                <w:ilvl w:val="0"/>
                <w:numId w:val="4"/>
              </w:numPr>
              <w:spacing w:line="360" w:lineRule="auto"/>
              <w:ind w:leftChars="200"/>
              <w:rPr>
                <w:rFonts w:hint="default" w:ascii="宋体" w:hAnsi="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铝制入户门及电子锁需选样确定。</w:t>
            </w:r>
          </w:p>
          <w:p>
            <w:pPr>
              <w:numPr>
                <w:ilvl w:val="0"/>
                <w:numId w:val="4"/>
              </w:numPr>
              <w:spacing w:line="360" w:lineRule="auto"/>
              <w:ind w:leftChars="200"/>
              <w:rPr>
                <w:rFonts w:hint="default" w:ascii="宋体" w:hAnsi="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铝合金门窗需选样确定。</w:t>
            </w:r>
          </w:p>
          <w:p>
            <w:pPr>
              <w:numPr>
                <w:ilvl w:val="0"/>
                <w:numId w:val="0"/>
              </w:numPr>
              <w:spacing w:line="360" w:lineRule="auto"/>
              <w:ind w:leftChars="200"/>
              <w:rPr>
                <w:rFonts w:hint="eastAsia" w:ascii="宋体" w:hAnsi="宋体" w:cs="宋体"/>
                <w:b/>
                <w:bCs/>
                <w:color w:val="000000"/>
                <w:sz w:val="21"/>
                <w:szCs w:val="21"/>
                <w:lang w:val="en-US" w:eastAsia="zh-CN"/>
              </w:rPr>
            </w:pPr>
            <w:r>
              <w:rPr>
                <w:rFonts w:hint="eastAsia" w:ascii="宋体" w:hAnsi="宋体" w:cs="宋体"/>
                <w:b/>
                <w:bCs/>
                <w:color w:val="000000"/>
                <w:sz w:val="21"/>
                <w:szCs w:val="21"/>
                <w:lang w:val="en-US" w:eastAsia="zh-CN"/>
              </w:rPr>
              <w:t>安装工程：</w:t>
            </w:r>
          </w:p>
          <w:p>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1、电气系统从照明配电箱进线端开始计入，照明配电箱按新做计入本次预算。</w:t>
            </w:r>
          </w:p>
          <w:p>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2、给水系统从水表后开始计入本次预算，立管为原有，未计入本次预算。</w:t>
            </w:r>
          </w:p>
          <w:p>
            <w:pPr>
              <w:numPr>
                <w:ilvl w:val="0"/>
                <w:numId w:val="4"/>
              </w:numPr>
              <w:spacing w:line="360" w:lineRule="auto"/>
              <w:ind w:left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排水系统只计入支管，立管为原有，未计入本次预算。</w:t>
            </w:r>
          </w:p>
          <w:p>
            <w:pPr>
              <w:numPr>
                <w:ilvl w:val="0"/>
                <w:numId w:val="4"/>
              </w:numPr>
              <w:spacing w:line="360" w:lineRule="auto"/>
              <w:ind w:left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每个宿舍内增加4个网络插座，管线暂按50m/个计入本次预算。</w:t>
            </w:r>
          </w:p>
          <w:p>
            <w:pPr>
              <w:numPr>
                <w:ilvl w:val="0"/>
                <w:numId w:val="4"/>
              </w:numPr>
              <w:spacing w:line="360" w:lineRule="auto"/>
              <w:ind w:left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洗衣机、空调、热水器未计入本次预算。</w:t>
            </w:r>
          </w:p>
          <w:p>
            <w:pPr>
              <w:numPr>
                <w:ilvl w:val="0"/>
                <w:numId w:val="4"/>
              </w:numPr>
              <w:spacing w:line="360" w:lineRule="auto"/>
              <w:ind w:left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空调套管暂按DN75计入本次预算。</w:t>
            </w:r>
          </w:p>
          <w:p>
            <w:pPr>
              <w:pStyle w:val="2"/>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pPr>
              <w:pStyle w:val="2"/>
              <w:spacing w:line="360" w:lineRule="auto"/>
              <w:rPr>
                <w:rFonts w:hint="eastAsia" w:hAnsi="宋体" w:cs="宋体"/>
                <w:color w:val="000000"/>
                <w:lang w:val="en-US" w:eastAsia="zh-CN"/>
              </w:rPr>
            </w:pPr>
            <w:r>
              <w:rPr>
                <w:rFonts w:hint="eastAsia" w:hAnsi="宋体" w:cs="宋体"/>
                <w:color w:val="000000"/>
                <w:lang w:val="en-US" w:eastAsia="zh-CN"/>
              </w:rPr>
              <w:t>七、其他说明：</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w:t>
            </w:r>
            <w:bookmarkStart w:id="0" w:name="_GoBack"/>
            <w:bookmarkEnd w:id="0"/>
            <w:r>
              <w:rPr>
                <w:rFonts w:hint="eastAsia" w:ascii="宋体" w:hAnsi="宋体" w:eastAsia="宋体" w:cs="宋体"/>
                <w:color w:val="000000"/>
                <w:szCs w:val="21"/>
              </w:rPr>
              <w:t>，各投标单位需要在相应的子目中综合考虑费用；</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pPr>
              <w:pStyle w:val="2"/>
              <w:spacing w:line="360" w:lineRule="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p>
          <w:p>
            <w:pPr>
              <w:pStyle w:val="2"/>
              <w:spacing w:line="360" w:lineRule="auto"/>
              <w:rPr>
                <w:rFonts w:hint="eastAsia" w:ascii="宋体" w:hAnsi="宋体" w:eastAsia="宋体" w:cs="宋体"/>
                <w:color w:val="000000"/>
                <w:lang w:val="zh-CN" w:eastAsia="zh-CN"/>
              </w:rPr>
            </w:pPr>
          </w:p>
        </w:tc>
      </w:tr>
    </w:tbl>
    <w:p>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795010" cy="672465"/>
              <wp:effectExtent l="4445" t="4445" r="17145" b="8890"/>
              <wp:wrapSquare wrapText="bothSides"/>
              <wp:docPr id="1" name="文本框 2"/>
              <wp:cNvGraphicFramePr/>
              <a:graphic xmlns:a="http://schemas.openxmlformats.org/drawingml/2006/main">
                <a:graphicData uri="http://schemas.microsoft.com/office/word/2010/wordprocessingShape">
                  <wps:wsp>
                    <wps:cNvSpPr txBox="1"/>
                    <wps:spPr>
                      <a:xfrm>
                        <a:off x="0" y="0"/>
                        <a:ext cx="5795010" cy="67246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2"/>
                            <w:tabs>
                              <w:tab w:val="left" w:pos="0"/>
                            </w:tabs>
                            <w:jc w:val="center"/>
                            <w:rPr>
                              <w:b/>
                              <w:sz w:val="48"/>
                              <w:szCs w:val="48"/>
                            </w:rPr>
                          </w:pPr>
                          <w:r>
                            <w:rPr>
                              <w:rFonts w:hint="eastAsia"/>
                              <w:b/>
                              <w:sz w:val="48"/>
                              <w:szCs w:val="48"/>
                            </w:rPr>
                            <w:t>工程量清单编制总说明</w:t>
                          </w:r>
                        </w:p>
                        <w:p>
                          <w:pPr>
                            <w:rPr>
                              <w:rFonts w:asciiTheme="minorEastAsia" w:hAnsiTheme="minorEastAsia" w:eastAsiaTheme="minorEastAsia" w:cstheme="minorEastAsia"/>
                              <w:szCs w:val="21"/>
                            </w:rPr>
                          </w:pPr>
                          <w:r>
                            <w:rPr>
                              <w:rFonts w:hint="eastAsia"/>
                              <w:sz w:val="24"/>
                            </w:rPr>
                            <w:t xml:space="preserve">工程名称: </w:t>
                          </w:r>
                          <w:r>
                            <w:rPr>
                              <w:rFonts w:hint="eastAsia" w:hAnsi="宋体" w:cs="宋体"/>
                              <w:color w:val="000000"/>
                              <w:lang w:val="en-US" w:eastAsia="zh-CN"/>
                            </w:rPr>
                            <w:t>西和公寓消防整改项目</w:t>
                          </w:r>
                          <w:r>
                            <w:rPr>
                              <w:rFonts w:ascii="宋体" w:hAnsi="宋体" w:cs="宋体"/>
                              <w:color w:val="000000"/>
                              <w:szCs w:val="21"/>
                            </w:rPr>
                            <w:t xml:space="preserve">               </w:t>
                          </w:r>
                          <w:r>
                            <w:rPr>
                              <w:rFonts w:hint="eastAsia"/>
                              <w:sz w:val="24"/>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5页</w:t>
                          </w:r>
                        </w:p>
                        <w:p/>
                      </w:txbxContent>
                    </wps:txbx>
                    <wps:bodyPr vert="horz" anchor="t" upright="1"/>
                  </wps:wsp>
                </a:graphicData>
              </a:graphic>
            </wp:anchor>
          </w:drawing>
        </mc:Choice>
        <mc:Fallback>
          <w:pict>
            <v:shape id="文本框 2" o:spid="_x0000_s1026" o:spt="202" type="#_x0000_t202" style="position:absolute;left:0pt;margin-left:-6.85pt;margin-top:16.7pt;height:52.95pt;width:456.3pt;mso-wrap-distance-bottom:3.6pt;mso-wrap-distance-left:9pt;mso-wrap-distance-right:9pt;mso-wrap-distance-top:3.6pt;z-index:251659264;mso-width-relative:page;mso-height-relative:page;" fillcolor="#FFFFFF" filled="t" stroked="t" coordsize="21600,21600" o:gfxdata="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fUbr9kAAAAKAQAADwAA&#10;AAAAAAABACAAAAAiAAAAZHJzL2Rvd25yZXYueG1sUEsBAhQAFAAAAAgAh07iQC/z8RgVAgAATQQA&#10;AA4AAAAAAAAAAQAgAAAAKAEAAGRycy9lMm9Eb2MueG1sUEsFBgAAAAAGAAYAWQEAAK8FAAAAAA==&#10;">
              <v:fill on="t" focussize="0,0"/>
              <v:stroke color="#FFFFFF" joinstyle="miter"/>
              <v:imagedata o:title=""/>
              <o:lock v:ext="edit" aspectratio="f"/>
              <v:textbox>
                <w:txbxContent>
                  <w:p>
                    <w:pPr>
                      <w:pStyle w:val="2"/>
                      <w:tabs>
                        <w:tab w:val="left" w:pos="0"/>
                      </w:tabs>
                      <w:jc w:val="center"/>
                      <w:rPr>
                        <w:b/>
                        <w:sz w:val="48"/>
                        <w:szCs w:val="48"/>
                      </w:rPr>
                    </w:pPr>
                    <w:r>
                      <w:rPr>
                        <w:rFonts w:hint="eastAsia"/>
                        <w:b/>
                        <w:sz w:val="48"/>
                        <w:szCs w:val="48"/>
                      </w:rPr>
                      <w:t>工程量清单编制总说明</w:t>
                    </w:r>
                  </w:p>
                  <w:p>
                    <w:pPr>
                      <w:rPr>
                        <w:rFonts w:asciiTheme="minorEastAsia" w:hAnsiTheme="minorEastAsia" w:eastAsiaTheme="minorEastAsia" w:cstheme="minorEastAsia"/>
                        <w:szCs w:val="21"/>
                      </w:rPr>
                    </w:pPr>
                    <w:r>
                      <w:rPr>
                        <w:rFonts w:hint="eastAsia"/>
                        <w:sz w:val="24"/>
                      </w:rPr>
                      <w:t xml:space="preserve">工程名称: </w:t>
                    </w:r>
                    <w:r>
                      <w:rPr>
                        <w:rFonts w:hint="eastAsia" w:hAnsi="宋体" w:cs="宋体"/>
                        <w:color w:val="000000"/>
                        <w:lang w:val="en-US" w:eastAsia="zh-CN"/>
                      </w:rPr>
                      <w:t>西和公寓消防整改项目</w:t>
                    </w:r>
                    <w:r>
                      <w:rPr>
                        <w:rFonts w:ascii="宋体" w:hAnsi="宋体" w:cs="宋体"/>
                        <w:color w:val="000000"/>
                        <w:szCs w:val="21"/>
                      </w:rPr>
                      <w:t xml:space="preserve">               </w:t>
                    </w:r>
                    <w:r>
                      <w:rPr>
                        <w:rFonts w:hint="eastAsia"/>
                        <w:sz w:val="24"/>
                      </w:rPr>
                      <w:t xml:space="preserve"> </w:t>
                    </w:r>
                    <w:r>
                      <w:rPr>
                        <w:rFonts w:hint="eastAsia"/>
                        <w:sz w:val="24"/>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5页</w:t>
                    </w:r>
                  </w:p>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DF371"/>
    <w:multiLevelType w:val="singleLevel"/>
    <w:tmpl w:val="B64DF371"/>
    <w:lvl w:ilvl="0" w:tentative="0">
      <w:start w:val="1"/>
      <w:numFmt w:val="chineseCounting"/>
      <w:suff w:val="nothing"/>
      <w:lvlText w:val="%1、"/>
      <w:lvlJc w:val="left"/>
      <w:rPr>
        <w:rFonts w:hint="eastAsia"/>
      </w:rPr>
    </w:lvl>
  </w:abstractNum>
  <w:abstractNum w:abstractNumId="1">
    <w:nsid w:val="BB5EA3BE"/>
    <w:multiLevelType w:val="singleLevel"/>
    <w:tmpl w:val="BB5EA3BE"/>
    <w:lvl w:ilvl="0" w:tentative="0">
      <w:start w:val="1"/>
      <w:numFmt w:val="decimal"/>
      <w:suff w:val="nothing"/>
      <w:lvlText w:val="%1、"/>
      <w:lvlJc w:val="left"/>
    </w:lvl>
  </w:abstractNum>
  <w:abstractNum w:abstractNumId="2">
    <w:nsid w:val="DE516202"/>
    <w:multiLevelType w:val="singleLevel"/>
    <w:tmpl w:val="DE516202"/>
    <w:lvl w:ilvl="0" w:tentative="0">
      <w:start w:val="1"/>
      <w:numFmt w:val="decimal"/>
      <w:suff w:val="nothing"/>
      <w:lvlText w:val="%1、"/>
      <w:lvlJc w:val="left"/>
    </w:lvl>
  </w:abstractNum>
  <w:abstractNum w:abstractNumId="3">
    <w:nsid w:val="3ADC4A43"/>
    <w:multiLevelType w:val="singleLevel"/>
    <w:tmpl w:val="3ADC4A43"/>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YjQ0ODQ5YTNhZTQzM2M5NGUwYTI4ODc3NDhiYjA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0E219E"/>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14116AB"/>
    <w:rsid w:val="227B58D9"/>
    <w:rsid w:val="246C2EE2"/>
    <w:rsid w:val="24AB704C"/>
    <w:rsid w:val="25537BFE"/>
    <w:rsid w:val="2583364F"/>
    <w:rsid w:val="27160108"/>
    <w:rsid w:val="28136AE6"/>
    <w:rsid w:val="29AB6A1D"/>
    <w:rsid w:val="2AFC6642"/>
    <w:rsid w:val="2B8D57C9"/>
    <w:rsid w:val="2C183950"/>
    <w:rsid w:val="2E6115DE"/>
    <w:rsid w:val="2EE638B2"/>
    <w:rsid w:val="32421F05"/>
    <w:rsid w:val="3251196A"/>
    <w:rsid w:val="32D541E9"/>
    <w:rsid w:val="344572AC"/>
    <w:rsid w:val="3B464036"/>
    <w:rsid w:val="4033368A"/>
    <w:rsid w:val="4070745F"/>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C5F065B"/>
    <w:rsid w:val="5CE9261B"/>
    <w:rsid w:val="5F681F1D"/>
    <w:rsid w:val="5FDE3F8D"/>
    <w:rsid w:val="65614110"/>
    <w:rsid w:val="6563635E"/>
    <w:rsid w:val="68352A03"/>
    <w:rsid w:val="69012A9A"/>
    <w:rsid w:val="6B1D0764"/>
    <w:rsid w:val="6C264CF2"/>
    <w:rsid w:val="6D07065E"/>
    <w:rsid w:val="6DE4438C"/>
    <w:rsid w:val="6F07626B"/>
    <w:rsid w:val="717F3467"/>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 w:val="7FDC2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spacing w:before="120" w:after="120"/>
      <w:jc w:val="left"/>
    </w:pPr>
    <w:rPr>
      <w:rFonts w:ascii="Calibri" w:hAnsi="Calibri"/>
      <w:b/>
      <w:bCs/>
      <w:caps/>
      <w:sz w:val="20"/>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autoRedefine/>
    <w:qFormat/>
    <w:uiPriority w:val="0"/>
    <w:pPr>
      <w:ind w:firstLine="480"/>
    </w:pPr>
  </w:style>
  <w:style w:type="character" w:customStyle="1" w:styleId="13">
    <w:name w:val="页眉 字符"/>
    <w:basedOn w:val="9"/>
    <w:link w:val="5"/>
    <w:qFormat/>
    <w:uiPriority w:val="0"/>
    <w:rPr>
      <w:kern w:val="2"/>
      <w:sz w:val="18"/>
      <w:szCs w:val="18"/>
    </w:rPr>
  </w:style>
  <w:style w:type="character" w:customStyle="1" w:styleId="14">
    <w:name w:val="页脚 字符"/>
    <w:basedOn w:val="9"/>
    <w:link w:val="4"/>
    <w:qFormat/>
    <w:uiPriority w:val="0"/>
    <w:rPr>
      <w:kern w:val="2"/>
      <w:sz w:val="18"/>
      <w:szCs w:val="18"/>
    </w:rPr>
  </w:style>
  <w:style w:type="character" w:customStyle="1" w:styleId="15">
    <w:name w:val="纯文本 字符"/>
    <w:basedOn w:val="9"/>
    <w:link w:val="2"/>
    <w:autoRedefine/>
    <w:qFormat/>
    <w:uiPriority w:val="0"/>
    <w:rPr>
      <w:rFonts w:ascii="宋体" w:hAnsi="Courier New" w:cs="Courier New"/>
      <w:kern w:val="2"/>
      <w:sz w:val="21"/>
      <w:szCs w:val="21"/>
    </w:rPr>
  </w:style>
  <w:style w:type="paragraph" w:styleId="1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3022</Words>
  <Characters>3243</Characters>
  <Lines>13</Lines>
  <Paragraphs>3</Paragraphs>
  <TotalTime>5</TotalTime>
  <ScaleCrop>false</ScaleCrop>
  <LinksUpToDate>false</LinksUpToDate>
  <CharactersWithSpaces>3255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小繁</cp:lastModifiedBy>
  <cp:lastPrinted>2021-03-25T11:59:00Z</cp:lastPrinted>
  <dcterms:modified xsi:type="dcterms:W3CDTF">2024-05-24T03:02:50Z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CC07AE87BEEE4EF0BA3A4B2C2397955B</vt:lpwstr>
  </property>
</Properties>
</file>