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7"/>
        <w:jc w:val="center"/>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 xml:space="preserve"> </w:t>
      </w:r>
    </w:p>
    <w:p>
      <w:pPr>
        <w:spacing w:line="360" w:lineRule="auto"/>
        <w:ind w:right="17"/>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二二一团三连美丽连队项目广场雕塑建设</w:t>
      </w:r>
    </w:p>
    <w:p>
      <w:pPr>
        <w:pStyle w:val="6"/>
      </w:pPr>
    </w:p>
    <w:p>
      <w:pPr>
        <w:spacing w:line="360" w:lineRule="auto"/>
        <w:ind w:right="17"/>
        <w:jc w:val="center"/>
        <w:rPr>
          <w:rFonts w:ascii="宋体" w:hAnsi="宋体" w:cs="宋体"/>
          <w:b/>
          <w:spacing w:val="60"/>
          <w:sz w:val="84"/>
          <w:szCs w:val="84"/>
        </w:rPr>
      </w:pPr>
      <w:r>
        <w:rPr>
          <w:rFonts w:hint="eastAsia" w:ascii="宋体" w:hAnsi="宋体" w:cs="宋体"/>
          <w:b/>
          <w:spacing w:val="60"/>
          <w:sz w:val="84"/>
          <w:szCs w:val="84"/>
        </w:rPr>
        <w:t>竞争性谈判文件</w:t>
      </w:r>
    </w:p>
    <w:p>
      <w:pPr>
        <w:spacing w:line="360" w:lineRule="auto"/>
        <w:ind w:right="17"/>
        <w:jc w:val="center"/>
        <w:rPr>
          <w:rFonts w:ascii="宋体" w:hAnsi="宋体" w:cs="宋体"/>
          <w:b/>
          <w:spacing w:val="60"/>
          <w:sz w:val="28"/>
          <w:szCs w:val="28"/>
        </w:rPr>
      </w:pPr>
    </w:p>
    <w:p>
      <w:pPr>
        <w:spacing w:line="360" w:lineRule="auto"/>
        <w:jc w:val="center"/>
        <w:rPr>
          <w:rFonts w:ascii="宋体" w:hAnsi="宋体" w:cs="宋体"/>
          <w:sz w:val="32"/>
          <w:szCs w:val="32"/>
        </w:rPr>
      </w:pPr>
      <w:r>
        <w:rPr>
          <w:rFonts w:hint="eastAsia" w:ascii="宋体" w:hAnsi="宋体" w:cs="宋体"/>
          <w:sz w:val="32"/>
          <w:szCs w:val="32"/>
        </w:rPr>
        <w:t>项目编号：</w:t>
      </w:r>
      <w:r>
        <w:rPr>
          <w:rFonts w:hint="eastAsia" w:ascii="宋体" w:hAnsi="宋体" w:cs="宋体"/>
          <w:sz w:val="32"/>
          <w:szCs w:val="32"/>
          <w:lang w:eastAsia="zh-CN"/>
        </w:rPr>
        <w:t>hcxjbt-2021-307</w:t>
      </w:r>
      <w:r>
        <w:rPr>
          <w:rFonts w:hint="eastAsia" w:ascii="宋体" w:hAnsi="宋体" w:cs="宋体"/>
          <w:sz w:val="32"/>
          <w:szCs w:val="32"/>
        </w:rPr>
        <w:t xml:space="preserve"> </w:t>
      </w:r>
    </w:p>
    <w:p>
      <w:pPr>
        <w:spacing w:line="360" w:lineRule="auto"/>
        <w:jc w:val="center"/>
        <w:rPr>
          <w:rFonts w:ascii="宋体" w:hAnsi="宋体" w:cs="宋体"/>
          <w:sz w:val="32"/>
          <w:szCs w:val="32"/>
        </w:rPr>
      </w:pPr>
    </w:p>
    <w:p>
      <w:pPr>
        <w:spacing w:line="360" w:lineRule="auto"/>
        <w:ind w:right="17"/>
        <w:rPr>
          <w:rFonts w:ascii="宋体" w:hAnsi="宋体" w:cs="宋体"/>
        </w:rPr>
      </w:pPr>
    </w:p>
    <w:p>
      <w:pPr>
        <w:spacing w:line="360" w:lineRule="auto"/>
        <w:ind w:right="17"/>
        <w:rPr>
          <w:rFonts w:ascii="宋体" w:hAnsi="宋体" w:cs="宋体"/>
        </w:rPr>
      </w:pPr>
    </w:p>
    <w:p>
      <w:pPr>
        <w:spacing w:line="360" w:lineRule="auto"/>
        <w:ind w:right="17"/>
        <w:rPr>
          <w:rFonts w:ascii="宋体" w:hAnsi="宋体" w:cs="宋体"/>
        </w:rPr>
      </w:pPr>
    </w:p>
    <w:p>
      <w:pPr>
        <w:spacing w:line="360" w:lineRule="auto"/>
        <w:ind w:firstLine="640" w:firstLineChars="200"/>
        <w:rPr>
          <w:rFonts w:hint="eastAsia" w:ascii="宋体" w:hAnsi="宋体" w:eastAsia="宋体" w:cs="宋体"/>
          <w:sz w:val="32"/>
          <w:szCs w:val="32"/>
          <w:lang w:eastAsia="zh-CN"/>
        </w:rPr>
      </w:pPr>
      <w:r>
        <w:rPr>
          <w:rFonts w:hint="eastAsia" w:ascii="宋体" w:hAnsi="宋体" w:cs="宋体"/>
          <w:sz w:val="32"/>
          <w:szCs w:val="32"/>
        </w:rPr>
        <w:t>采购人：</w:t>
      </w:r>
      <w:r>
        <w:rPr>
          <w:rFonts w:hint="eastAsia" w:ascii="宋体" w:hAnsi="宋体" w:cs="宋体"/>
          <w:sz w:val="32"/>
          <w:szCs w:val="32"/>
          <w:lang w:eastAsia="zh-CN"/>
        </w:rPr>
        <w:t>二二一团农业发展服务中心</w:t>
      </w:r>
    </w:p>
    <w:p>
      <w:pPr>
        <w:spacing w:line="360" w:lineRule="auto"/>
        <w:ind w:firstLine="640" w:firstLineChars="200"/>
        <w:rPr>
          <w:rFonts w:ascii="宋体" w:hAnsi="宋体" w:cs="宋体"/>
          <w:sz w:val="32"/>
          <w:szCs w:val="32"/>
        </w:rPr>
      </w:pPr>
    </w:p>
    <w:p>
      <w:pPr>
        <w:spacing w:line="360" w:lineRule="auto"/>
        <w:ind w:firstLine="640" w:firstLineChars="200"/>
        <w:rPr>
          <w:rFonts w:ascii="宋体" w:hAnsi="宋体" w:cs="宋体"/>
          <w:sz w:val="32"/>
          <w:szCs w:val="32"/>
        </w:rPr>
      </w:pPr>
      <w:r>
        <w:rPr>
          <w:rFonts w:hint="eastAsia" w:ascii="宋体" w:hAnsi="宋体" w:cs="宋体"/>
          <w:sz w:val="32"/>
          <w:szCs w:val="32"/>
        </w:rPr>
        <w:t>采购代理机构：华春建设工程项目管理有限责任公司</w:t>
      </w:r>
    </w:p>
    <w:p>
      <w:pPr>
        <w:spacing w:line="360" w:lineRule="auto"/>
        <w:ind w:right="17"/>
        <w:jc w:val="center"/>
        <w:rPr>
          <w:rFonts w:ascii="宋体" w:hAnsi="宋体" w:cs="宋体"/>
          <w:sz w:val="32"/>
          <w:szCs w:val="32"/>
        </w:rPr>
      </w:pPr>
    </w:p>
    <w:p>
      <w:pPr>
        <w:spacing w:line="360" w:lineRule="auto"/>
        <w:ind w:right="17"/>
        <w:jc w:val="center"/>
        <w:rPr>
          <w:rFonts w:ascii="宋体" w:hAnsi="宋体" w:cs="宋体"/>
          <w:sz w:val="32"/>
          <w:szCs w:val="32"/>
        </w:rPr>
      </w:pPr>
      <w:r>
        <w:rPr>
          <w:rFonts w:hint="eastAsia" w:ascii="宋体" w:hAnsi="宋体" w:cs="宋体"/>
          <w:sz w:val="32"/>
          <w:szCs w:val="32"/>
        </w:rPr>
        <w:t>二〇二一年</w:t>
      </w:r>
      <w:r>
        <w:rPr>
          <w:rFonts w:hint="eastAsia" w:ascii="宋体" w:hAnsi="宋体" w:cs="宋体"/>
          <w:sz w:val="32"/>
          <w:szCs w:val="32"/>
          <w:lang w:eastAsia="zh-CN"/>
        </w:rPr>
        <w:t>九</w:t>
      </w:r>
      <w:r>
        <w:rPr>
          <w:rFonts w:hint="eastAsia" w:ascii="宋体" w:hAnsi="宋体" w:cs="宋体"/>
          <w:sz w:val="32"/>
          <w:szCs w:val="32"/>
        </w:rPr>
        <w:t>月</w:t>
      </w:r>
    </w:p>
    <w:p>
      <w:pPr>
        <w:spacing w:line="360" w:lineRule="auto"/>
        <w:ind w:right="17"/>
        <w:rPr>
          <w:rFonts w:ascii="宋体" w:hAnsi="宋体" w:cs="宋体"/>
        </w:rPr>
      </w:pPr>
    </w:p>
    <w:p>
      <w:pPr>
        <w:spacing w:line="360" w:lineRule="auto"/>
        <w:rPr>
          <w:rFonts w:ascii="宋体" w:hAnsi="宋体" w:cs="宋体"/>
        </w:rPr>
      </w:pPr>
    </w:p>
    <w:p>
      <w:pPr>
        <w:spacing w:line="360" w:lineRule="auto"/>
        <w:rPr>
          <w:rFonts w:ascii="宋体" w:hAnsi="宋体" w:cs="宋体"/>
          <w:b/>
          <w:bCs/>
          <w:sz w:val="24"/>
        </w:rPr>
        <w:sectPr>
          <w:headerReference r:id="rId3" w:type="default"/>
          <w:footerReference r:id="rId4" w:type="default"/>
          <w:pgSz w:w="11906" w:h="16838"/>
          <w:pgMar w:top="1440" w:right="1080" w:bottom="1440" w:left="1080" w:header="851" w:footer="992" w:gutter="0"/>
          <w:pgNumType w:start="1"/>
          <w:cols w:space="720" w:num="1"/>
          <w:docGrid w:linePitch="312" w:charSpace="0"/>
        </w:sectPr>
      </w:pPr>
    </w:p>
    <w:p>
      <w:pPr>
        <w:spacing w:line="360" w:lineRule="auto"/>
        <w:rPr>
          <w:rFonts w:ascii="宋体" w:hAnsi="宋体" w:cs="宋体"/>
          <w:b/>
          <w:bCs/>
          <w:sz w:val="24"/>
        </w:rPr>
      </w:pPr>
    </w:p>
    <w:p>
      <w:pPr>
        <w:spacing w:line="360" w:lineRule="auto"/>
        <w:jc w:val="center"/>
        <w:rPr>
          <w:rFonts w:ascii="宋体" w:hAnsi="宋体" w:cs="宋体"/>
          <w:b/>
          <w:sz w:val="44"/>
          <w:szCs w:val="44"/>
        </w:rPr>
      </w:pPr>
      <w:r>
        <w:rPr>
          <w:rFonts w:hint="eastAsia" w:ascii="宋体" w:hAnsi="宋体" w:cs="宋体"/>
          <w:b/>
          <w:sz w:val="44"/>
          <w:szCs w:val="44"/>
        </w:rPr>
        <w:t>目</w:t>
      </w:r>
      <w:r>
        <w:rPr>
          <w:rFonts w:hint="eastAsia" w:ascii="宋体" w:hAnsi="宋体" w:cs="宋体"/>
          <w:sz w:val="44"/>
          <w:szCs w:val="44"/>
        </w:rPr>
        <w:t xml:space="preserve">    </w:t>
      </w:r>
      <w:r>
        <w:rPr>
          <w:rFonts w:hint="eastAsia" w:ascii="宋体" w:hAnsi="宋体" w:cs="宋体"/>
          <w:b/>
          <w:sz w:val="44"/>
          <w:szCs w:val="44"/>
        </w:rPr>
        <w:t>录</w:t>
      </w:r>
    </w:p>
    <w:p>
      <w:pPr>
        <w:spacing w:line="360" w:lineRule="auto"/>
        <w:jc w:val="distribute"/>
        <w:rPr>
          <w:rFonts w:ascii="宋体" w:hAnsi="宋体" w:cs="宋体"/>
          <w:bCs/>
          <w:sz w:val="24"/>
        </w:rPr>
      </w:pPr>
    </w:p>
    <w:p>
      <w:pPr>
        <w:pStyle w:val="14"/>
        <w:tabs>
          <w:tab w:val="right" w:leader="hyphen" w:pos="9736"/>
        </w:tabs>
        <w:spacing w:line="480" w:lineRule="auto"/>
        <w:rPr>
          <w:rFonts w:ascii="宋体" w:hAnsi="宋体"/>
          <w:b w:val="0"/>
          <w:caps w:val="0"/>
          <w:sz w:val="32"/>
          <w:szCs w:val="22"/>
        </w:rPr>
      </w:pPr>
      <w:r>
        <w:rPr>
          <w:rFonts w:hint="eastAsia" w:ascii="宋体" w:hAnsi="宋体" w:cs="宋体"/>
          <w:bCs/>
          <w:sz w:val="24"/>
        </w:rPr>
        <w:fldChar w:fldCharType="begin"/>
      </w:r>
      <w:r>
        <w:rPr>
          <w:rFonts w:hint="eastAsia" w:ascii="宋体" w:hAnsi="宋体" w:cs="宋体"/>
          <w:bCs/>
          <w:sz w:val="24"/>
        </w:rPr>
        <w:instrText xml:space="preserve">TOC \o "1-1" \h \u </w:instrText>
      </w:r>
      <w:r>
        <w:rPr>
          <w:rFonts w:hint="eastAsia" w:ascii="宋体" w:hAnsi="宋体" w:cs="宋体"/>
          <w:bCs/>
          <w:sz w:val="24"/>
        </w:rPr>
        <w:fldChar w:fldCharType="separate"/>
      </w:r>
      <w:r>
        <w:fldChar w:fldCharType="begin"/>
      </w:r>
      <w:r>
        <w:instrText xml:space="preserve"> HYPERLINK \l "_Toc8983595" </w:instrText>
      </w:r>
      <w:r>
        <w:fldChar w:fldCharType="separate"/>
      </w:r>
      <w:r>
        <w:rPr>
          <w:rStyle w:val="22"/>
          <w:rFonts w:hint="eastAsia" w:ascii="宋体" w:hAnsi="宋体"/>
          <w:color w:val="auto"/>
          <w:sz w:val="28"/>
        </w:rPr>
        <w:t>第一部分</w:t>
      </w:r>
      <w:r>
        <w:rPr>
          <w:rStyle w:val="22"/>
          <w:rFonts w:ascii="宋体" w:hAnsi="宋体"/>
          <w:color w:val="auto"/>
          <w:sz w:val="28"/>
        </w:rPr>
        <w:t xml:space="preserve">  </w:t>
      </w:r>
      <w:r>
        <w:rPr>
          <w:rStyle w:val="22"/>
          <w:rFonts w:hint="eastAsia" w:ascii="宋体" w:hAnsi="宋体"/>
          <w:color w:val="auto"/>
          <w:sz w:val="28"/>
        </w:rPr>
        <w:t>谈判公告</w:t>
      </w:r>
      <w:r>
        <w:rPr>
          <w:rFonts w:ascii="宋体" w:hAnsi="宋体"/>
          <w:sz w:val="28"/>
        </w:rPr>
        <w:tab/>
      </w:r>
      <w:r>
        <w:rPr>
          <w:rFonts w:ascii="宋体" w:hAnsi="宋体"/>
          <w:sz w:val="28"/>
        </w:rPr>
        <w:fldChar w:fldCharType="begin"/>
      </w:r>
      <w:r>
        <w:rPr>
          <w:rFonts w:ascii="宋体" w:hAnsi="宋体"/>
          <w:sz w:val="28"/>
        </w:rPr>
        <w:instrText xml:space="preserve"> PAGEREF _Toc8983595 \h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fldChar w:fldCharType="end"/>
      </w:r>
    </w:p>
    <w:p>
      <w:pPr>
        <w:pStyle w:val="14"/>
        <w:tabs>
          <w:tab w:val="right" w:leader="hyphen" w:pos="9736"/>
        </w:tabs>
        <w:spacing w:line="480" w:lineRule="auto"/>
        <w:rPr>
          <w:rFonts w:ascii="宋体" w:hAnsi="宋体"/>
          <w:b w:val="0"/>
          <w:caps w:val="0"/>
          <w:sz w:val="32"/>
          <w:szCs w:val="22"/>
        </w:rPr>
      </w:pPr>
      <w:r>
        <w:fldChar w:fldCharType="begin"/>
      </w:r>
      <w:r>
        <w:instrText xml:space="preserve"> HYPERLINK \l "_Toc8983596" </w:instrText>
      </w:r>
      <w:r>
        <w:fldChar w:fldCharType="separate"/>
      </w:r>
      <w:r>
        <w:rPr>
          <w:rStyle w:val="22"/>
          <w:rFonts w:hint="eastAsia" w:ascii="宋体" w:hAnsi="宋体"/>
          <w:color w:val="auto"/>
          <w:sz w:val="28"/>
        </w:rPr>
        <w:t>第二部分</w:t>
      </w:r>
      <w:r>
        <w:rPr>
          <w:rStyle w:val="22"/>
          <w:rFonts w:ascii="宋体" w:hAnsi="宋体"/>
          <w:color w:val="auto"/>
          <w:sz w:val="28"/>
        </w:rPr>
        <w:t xml:space="preserve">  </w:t>
      </w:r>
      <w:r>
        <w:rPr>
          <w:rStyle w:val="22"/>
          <w:rFonts w:hint="eastAsia" w:ascii="宋体" w:hAnsi="宋体"/>
          <w:color w:val="auto"/>
          <w:sz w:val="28"/>
        </w:rPr>
        <w:t>投标人须知</w:t>
      </w:r>
      <w:r>
        <w:rPr>
          <w:rFonts w:ascii="宋体" w:hAnsi="宋体"/>
          <w:sz w:val="28"/>
        </w:rPr>
        <w:tab/>
      </w:r>
      <w:r>
        <w:rPr>
          <w:rFonts w:hint="eastAsia" w:ascii="宋体" w:hAnsi="宋体"/>
          <w:sz w:val="28"/>
        </w:rPr>
        <w:t>6</w:t>
      </w:r>
      <w:r>
        <w:rPr>
          <w:rFonts w:hint="eastAsia" w:ascii="宋体" w:hAnsi="宋体"/>
          <w:sz w:val="28"/>
        </w:rPr>
        <w:fldChar w:fldCharType="end"/>
      </w:r>
    </w:p>
    <w:p>
      <w:pPr>
        <w:pStyle w:val="14"/>
        <w:tabs>
          <w:tab w:val="right" w:leader="hyphen" w:pos="9736"/>
        </w:tabs>
        <w:spacing w:line="480" w:lineRule="auto"/>
        <w:rPr>
          <w:rFonts w:ascii="宋体" w:hAnsi="宋体"/>
          <w:b w:val="0"/>
          <w:caps w:val="0"/>
          <w:sz w:val="32"/>
          <w:szCs w:val="22"/>
        </w:rPr>
      </w:pPr>
      <w:r>
        <w:fldChar w:fldCharType="begin"/>
      </w:r>
      <w:r>
        <w:instrText xml:space="preserve"> HYPERLINK \l "_Toc8983676" </w:instrText>
      </w:r>
      <w:r>
        <w:fldChar w:fldCharType="separate"/>
      </w:r>
      <w:r>
        <w:rPr>
          <w:rStyle w:val="22"/>
          <w:rFonts w:hint="eastAsia" w:ascii="宋体" w:hAnsi="宋体"/>
          <w:color w:val="auto"/>
          <w:sz w:val="28"/>
        </w:rPr>
        <w:t>第三部分</w:t>
      </w:r>
      <w:r>
        <w:rPr>
          <w:rStyle w:val="22"/>
          <w:rFonts w:ascii="宋体" w:hAnsi="宋体"/>
          <w:color w:val="auto"/>
          <w:sz w:val="28"/>
        </w:rPr>
        <w:t xml:space="preserve">  </w:t>
      </w:r>
      <w:r>
        <w:rPr>
          <w:rStyle w:val="22"/>
          <w:rFonts w:hint="eastAsia" w:ascii="宋体" w:hAnsi="宋体"/>
          <w:color w:val="auto"/>
          <w:sz w:val="28"/>
        </w:rPr>
        <w:t>授予合同</w:t>
      </w:r>
      <w:r>
        <w:rPr>
          <w:rFonts w:ascii="宋体" w:hAnsi="宋体"/>
          <w:sz w:val="28"/>
        </w:rPr>
        <w:tab/>
      </w:r>
      <w:r>
        <w:rPr>
          <w:rFonts w:hint="eastAsia" w:ascii="宋体" w:hAnsi="宋体"/>
          <w:sz w:val="28"/>
        </w:rPr>
        <w:t>3</w:t>
      </w:r>
      <w:r>
        <w:rPr>
          <w:rFonts w:hint="eastAsia" w:ascii="宋体" w:hAnsi="宋体"/>
          <w:sz w:val="28"/>
        </w:rPr>
        <w:fldChar w:fldCharType="end"/>
      </w:r>
      <w:r>
        <w:rPr>
          <w:rFonts w:hint="eastAsia" w:ascii="宋体" w:hAnsi="宋体"/>
          <w:sz w:val="28"/>
        </w:rPr>
        <w:t>3</w:t>
      </w:r>
    </w:p>
    <w:p>
      <w:pPr>
        <w:pStyle w:val="14"/>
        <w:tabs>
          <w:tab w:val="right" w:leader="hyphen" w:pos="9736"/>
        </w:tabs>
        <w:spacing w:line="480" w:lineRule="auto"/>
        <w:rPr>
          <w:rFonts w:ascii="宋体" w:hAnsi="宋体"/>
          <w:b w:val="0"/>
          <w:caps w:val="0"/>
          <w:sz w:val="32"/>
          <w:szCs w:val="22"/>
        </w:rPr>
      </w:pPr>
      <w:r>
        <w:fldChar w:fldCharType="begin"/>
      </w:r>
      <w:r>
        <w:instrText xml:space="preserve"> HYPERLINK \l "_Toc8983677" </w:instrText>
      </w:r>
      <w:r>
        <w:fldChar w:fldCharType="separate"/>
      </w:r>
      <w:r>
        <w:rPr>
          <w:rStyle w:val="22"/>
          <w:rFonts w:hint="eastAsia" w:ascii="宋体" w:hAnsi="宋体"/>
          <w:color w:val="auto"/>
          <w:sz w:val="28"/>
        </w:rPr>
        <w:t>第四部分</w:t>
      </w:r>
      <w:r>
        <w:rPr>
          <w:rStyle w:val="22"/>
          <w:rFonts w:ascii="宋体" w:hAnsi="宋体"/>
          <w:color w:val="auto"/>
          <w:sz w:val="28"/>
        </w:rPr>
        <w:t xml:space="preserve"> </w:t>
      </w:r>
      <w:r>
        <w:rPr>
          <w:rStyle w:val="22"/>
          <w:rFonts w:hint="eastAsia" w:ascii="宋体" w:hAnsi="宋体"/>
          <w:color w:val="auto"/>
          <w:sz w:val="28"/>
        </w:rPr>
        <w:t xml:space="preserve"> 技术要求</w:t>
      </w:r>
      <w:r>
        <w:rPr>
          <w:rFonts w:ascii="宋体" w:hAnsi="宋体"/>
          <w:sz w:val="28"/>
        </w:rPr>
        <w:tab/>
      </w:r>
      <w:r>
        <w:rPr>
          <w:rFonts w:hint="eastAsia" w:ascii="宋体" w:hAnsi="宋体"/>
          <w:sz w:val="28"/>
        </w:rPr>
        <w:t>3</w:t>
      </w:r>
      <w:r>
        <w:rPr>
          <w:rFonts w:hint="eastAsia" w:ascii="宋体" w:hAnsi="宋体"/>
          <w:sz w:val="28"/>
        </w:rPr>
        <w:fldChar w:fldCharType="end"/>
      </w:r>
      <w:r>
        <w:rPr>
          <w:rFonts w:hint="eastAsia" w:ascii="宋体" w:hAnsi="宋体"/>
          <w:sz w:val="28"/>
        </w:rPr>
        <w:t>7</w:t>
      </w:r>
    </w:p>
    <w:p>
      <w:pPr>
        <w:pStyle w:val="14"/>
        <w:tabs>
          <w:tab w:val="right" w:leader="hyphen" w:pos="9736"/>
        </w:tabs>
        <w:spacing w:line="480" w:lineRule="auto"/>
        <w:rPr>
          <w:rFonts w:ascii="宋体" w:hAnsi="宋体"/>
          <w:b w:val="0"/>
          <w:caps w:val="0"/>
          <w:sz w:val="32"/>
          <w:szCs w:val="22"/>
        </w:rPr>
      </w:pPr>
      <w:r>
        <w:fldChar w:fldCharType="begin"/>
      </w:r>
      <w:r>
        <w:instrText xml:space="preserve"> HYPERLINK \l "_Toc8983678" </w:instrText>
      </w:r>
      <w:r>
        <w:fldChar w:fldCharType="separate"/>
      </w:r>
      <w:r>
        <w:rPr>
          <w:rStyle w:val="22"/>
          <w:rFonts w:hint="eastAsia" w:ascii="宋体" w:hAnsi="宋体"/>
          <w:color w:val="auto"/>
          <w:sz w:val="28"/>
        </w:rPr>
        <w:t>第五部分</w:t>
      </w:r>
      <w:r>
        <w:rPr>
          <w:rStyle w:val="22"/>
          <w:rFonts w:ascii="宋体" w:hAnsi="宋体"/>
          <w:color w:val="auto"/>
          <w:sz w:val="28"/>
        </w:rPr>
        <w:t xml:space="preserve"> </w:t>
      </w:r>
      <w:r>
        <w:rPr>
          <w:rStyle w:val="22"/>
          <w:rFonts w:hint="eastAsia" w:ascii="宋体" w:hAnsi="宋体"/>
          <w:color w:val="auto"/>
          <w:sz w:val="28"/>
        </w:rPr>
        <w:t xml:space="preserve"> 谈判响应文件格式</w:t>
      </w:r>
      <w:r>
        <w:rPr>
          <w:rFonts w:ascii="宋体" w:hAnsi="宋体"/>
          <w:sz w:val="28"/>
        </w:rPr>
        <w:tab/>
      </w:r>
      <w:r>
        <w:rPr>
          <w:rFonts w:hint="eastAsia" w:ascii="宋体" w:hAnsi="宋体"/>
          <w:sz w:val="28"/>
        </w:rPr>
        <w:t>4</w:t>
      </w:r>
      <w:r>
        <w:rPr>
          <w:rFonts w:hint="eastAsia" w:ascii="宋体" w:hAnsi="宋体"/>
          <w:sz w:val="28"/>
        </w:rPr>
        <w:fldChar w:fldCharType="end"/>
      </w:r>
      <w:r>
        <w:rPr>
          <w:rFonts w:hint="eastAsia" w:ascii="宋体" w:hAnsi="宋体"/>
          <w:sz w:val="28"/>
        </w:rPr>
        <w:t>2</w:t>
      </w:r>
    </w:p>
    <w:p>
      <w:pPr>
        <w:pStyle w:val="16"/>
        <w:rPr>
          <w:rFonts w:ascii="宋体" w:hAnsi="宋体"/>
          <w:color w:val="auto"/>
          <w:sz w:val="24"/>
        </w:rPr>
      </w:pPr>
      <w:r>
        <w:rPr>
          <w:rFonts w:hint="eastAsia" w:ascii="宋体" w:hAnsi="宋体"/>
          <w:color w:val="auto"/>
        </w:rPr>
        <w:fldChar w:fldCharType="end"/>
      </w:r>
    </w:p>
    <w:p>
      <w:pPr>
        <w:spacing w:line="360" w:lineRule="auto"/>
        <w:jc w:val="distribute"/>
        <w:rPr>
          <w:rFonts w:ascii="宋体" w:hAnsi="宋体" w:cs="宋体"/>
          <w:bCs/>
          <w:sz w:val="24"/>
        </w:rPr>
      </w:pPr>
    </w:p>
    <w:p>
      <w:pPr>
        <w:spacing w:line="360" w:lineRule="auto"/>
        <w:jc w:val="distribute"/>
        <w:rPr>
          <w:rFonts w:ascii="宋体" w:hAnsi="宋体" w:cs="宋体"/>
          <w:bCs/>
          <w:sz w:val="24"/>
        </w:rPr>
      </w:pPr>
    </w:p>
    <w:p>
      <w:pPr>
        <w:spacing w:line="360" w:lineRule="auto"/>
        <w:jc w:val="distribute"/>
        <w:rPr>
          <w:rFonts w:ascii="宋体" w:hAnsi="宋体" w:cs="宋体"/>
          <w:bCs/>
          <w:sz w:val="24"/>
        </w:rPr>
      </w:pPr>
    </w:p>
    <w:p>
      <w:pPr>
        <w:spacing w:line="360" w:lineRule="auto"/>
        <w:jc w:val="distribute"/>
        <w:rPr>
          <w:rFonts w:ascii="宋体" w:hAnsi="宋体" w:cs="宋体"/>
          <w:bCs/>
          <w:sz w:val="24"/>
        </w:rPr>
      </w:pPr>
    </w:p>
    <w:p>
      <w:pPr>
        <w:spacing w:line="360" w:lineRule="auto"/>
        <w:jc w:val="distribute"/>
        <w:rPr>
          <w:rFonts w:ascii="宋体" w:hAnsi="宋体" w:cs="宋体"/>
          <w:bCs/>
          <w:sz w:val="24"/>
        </w:rPr>
      </w:pPr>
    </w:p>
    <w:p>
      <w:pPr>
        <w:spacing w:line="360" w:lineRule="auto"/>
        <w:jc w:val="distribute"/>
        <w:rPr>
          <w:rFonts w:ascii="宋体" w:hAnsi="宋体" w:cs="宋体"/>
          <w:bCs/>
          <w:sz w:val="24"/>
        </w:rPr>
      </w:pPr>
    </w:p>
    <w:p>
      <w:pPr>
        <w:spacing w:line="360" w:lineRule="auto"/>
        <w:jc w:val="center"/>
        <w:rPr>
          <w:rFonts w:ascii="宋体" w:hAnsi="宋体" w:cs="宋体"/>
          <w:b/>
          <w:bCs/>
          <w:sz w:val="36"/>
          <w:szCs w:val="36"/>
        </w:rPr>
        <w:sectPr>
          <w:footerReference r:id="rId5" w:type="default"/>
          <w:pgSz w:w="11906" w:h="16838"/>
          <w:pgMar w:top="1440" w:right="1080" w:bottom="1440" w:left="1080" w:header="851" w:footer="992" w:gutter="0"/>
          <w:pgNumType w:start="1"/>
          <w:cols w:space="720" w:num="1"/>
          <w:docGrid w:linePitch="312" w:charSpace="0"/>
        </w:sectPr>
      </w:pPr>
    </w:p>
    <w:p>
      <w:pPr>
        <w:pStyle w:val="3"/>
      </w:pPr>
      <w:bookmarkStart w:id="0" w:name="_Toc8983595"/>
      <w:bookmarkStart w:id="1" w:name="_Toc10142"/>
      <w:bookmarkStart w:id="2" w:name="_Toc24078"/>
      <w:r>
        <w:rPr>
          <w:rFonts w:hint="eastAsia" w:ascii="宋体" w:hAnsi="宋体" w:eastAsia="宋体"/>
        </w:rPr>
        <w:t xml:space="preserve">第一部分      </w:t>
      </w:r>
      <w:r>
        <w:rPr>
          <w:rFonts w:hint="eastAsia" w:ascii="宋体" w:hAnsi="宋体" w:eastAsia="宋体"/>
          <w:lang w:eastAsia="zh-CN"/>
        </w:rPr>
        <w:t>谈判</w:t>
      </w:r>
      <w:r>
        <w:rPr>
          <w:rFonts w:hint="eastAsia" w:ascii="宋体" w:hAnsi="宋体" w:eastAsia="宋体"/>
        </w:rPr>
        <w:t>公告</w:t>
      </w:r>
      <w:bookmarkEnd w:id="0"/>
      <w:bookmarkEnd w:id="1"/>
      <w:bookmarkEnd w:id="2"/>
      <w:bookmarkStart w:id="3" w:name="_Toc13984"/>
      <w:bookmarkStart w:id="4" w:name="_Toc16163"/>
      <w:bookmarkStart w:id="5" w:name="_Toc8983596"/>
      <w:r>
        <w:rPr>
          <w:rFonts w:hint="eastAsia"/>
        </w:rPr>
        <w:t xml:space="preserve">                                                  </w:t>
      </w:r>
    </w:p>
    <w:p>
      <w:pPr>
        <w:pStyle w:val="15"/>
        <w:adjustRightInd w:val="0"/>
        <w:snapToGrid w:val="0"/>
        <w:spacing w:before="0" w:beforeAutospacing="0" w:after="0" w:afterAutospacing="0" w:line="360" w:lineRule="auto"/>
        <w:ind w:firstLine="480" w:firstLineChars="200"/>
        <w:jc w:val="both"/>
        <w:rPr>
          <w:rStyle w:val="20"/>
          <w:rFonts w:hint="eastAsia"/>
        </w:rPr>
      </w:pPr>
      <w:r>
        <w:rPr>
          <w:rFonts w:hint="eastAsia"/>
          <w:lang w:eastAsia="zh-CN"/>
        </w:rPr>
        <w:t>二二一团三连美丽连队项目广场雕塑建设</w:t>
      </w:r>
      <w:r>
        <w:rPr>
          <w:rFonts w:hint="eastAsia"/>
        </w:rPr>
        <w:t>的潜在投标人应在兵团政采云平台线上获取（https://www.zcygov.cn/）获取招标文件，并于 2021年</w:t>
      </w:r>
      <w:r>
        <w:rPr>
          <w:rFonts w:hint="eastAsia"/>
          <w:lang w:val="en-US" w:eastAsia="zh-CN"/>
        </w:rPr>
        <w:t>9</w:t>
      </w:r>
      <w:r>
        <w:rPr>
          <w:rFonts w:hint="eastAsia"/>
        </w:rPr>
        <w:t>月</w:t>
      </w:r>
      <w:r>
        <w:rPr>
          <w:rFonts w:hint="eastAsia"/>
          <w:lang w:val="en-US" w:eastAsia="zh-CN"/>
        </w:rPr>
        <w:t>30</w:t>
      </w:r>
      <w:r>
        <w:rPr>
          <w:rFonts w:hint="eastAsia"/>
        </w:rPr>
        <w:t>日</w:t>
      </w:r>
      <w:r>
        <w:rPr>
          <w:rFonts w:hint="eastAsia"/>
          <w:lang w:val="en-US" w:eastAsia="zh-CN"/>
        </w:rPr>
        <w:t>16</w:t>
      </w:r>
      <w:r>
        <w:rPr>
          <w:rFonts w:hint="eastAsia"/>
        </w:rPr>
        <w:t>:00（北京时间）前递交投标文件。</w:t>
      </w:r>
    </w:p>
    <w:p>
      <w:pPr>
        <w:pStyle w:val="15"/>
        <w:adjustRightInd w:val="0"/>
        <w:snapToGrid w:val="0"/>
        <w:spacing w:before="0" w:beforeAutospacing="0" w:after="0" w:afterAutospacing="0" w:line="360" w:lineRule="auto"/>
        <w:ind w:firstLine="482" w:firstLineChars="200"/>
        <w:jc w:val="both"/>
      </w:pPr>
      <w:r>
        <w:rPr>
          <w:rStyle w:val="20"/>
          <w:rFonts w:hint="eastAsia"/>
        </w:rPr>
        <w:t>一、项目基本情况</w:t>
      </w:r>
    </w:p>
    <w:p>
      <w:pPr>
        <w:pStyle w:val="15"/>
        <w:adjustRightInd w:val="0"/>
        <w:snapToGrid w:val="0"/>
        <w:spacing w:before="0" w:beforeAutospacing="0" w:after="0" w:afterAutospacing="0" w:line="360" w:lineRule="auto"/>
      </w:pPr>
      <w:r>
        <w:t>   项目编号：</w:t>
      </w:r>
      <w:r>
        <w:rPr>
          <w:rFonts w:hint="eastAsia"/>
          <w:lang w:eastAsia="zh-CN"/>
        </w:rPr>
        <w:t>hcxjbt-2021-307</w:t>
      </w:r>
      <w:r>
        <w:t> </w:t>
      </w:r>
    </w:p>
    <w:p>
      <w:pPr>
        <w:pStyle w:val="15"/>
        <w:adjustRightInd w:val="0"/>
        <w:snapToGrid w:val="0"/>
        <w:spacing w:before="0" w:beforeAutospacing="0" w:after="0" w:afterAutospacing="0" w:line="360" w:lineRule="auto"/>
      </w:pPr>
      <w:r>
        <w:t>   项目名称：</w:t>
      </w:r>
      <w:r>
        <w:rPr>
          <w:rFonts w:hint="eastAsia"/>
          <w:lang w:eastAsia="zh-CN"/>
        </w:rPr>
        <w:t>二二一团三连美丽连队项目广场雕塑建设</w:t>
      </w:r>
      <w:r>
        <w:t> </w:t>
      </w:r>
    </w:p>
    <w:p>
      <w:pPr>
        <w:pStyle w:val="15"/>
        <w:adjustRightInd w:val="0"/>
        <w:snapToGrid w:val="0"/>
        <w:spacing w:before="0" w:beforeAutospacing="0" w:after="0" w:afterAutospacing="0" w:line="360" w:lineRule="auto"/>
      </w:pPr>
      <w:r>
        <w:t>   采购方式：</w:t>
      </w:r>
      <w:r>
        <w:rPr>
          <w:rFonts w:hint="eastAsia"/>
        </w:rPr>
        <w:t>竞争性谈判</w:t>
      </w:r>
      <w:r>
        <w:t> </w:t>
      </w:r>
    </w:p>
    <w:p>
      <w:pPr>
        <w:pStyle w:val="15"/>
        <w:adjustRightInd w:val="0"/>
        <w:snapToGrid w:val="0"/>
        <w:spacing w:before="0" w:beforeAutospacing="0" w:after="0" w:afterAutospacing="0" w:line="360" w:lineRule="auto"/>
      </w:pPr>
      <w:r>
        <w:t>   预算金额（元）：</w:t>
      </w:r>
      <w:r>
        <w:rPr>
          <w:rFonts w:hint="eastAsia"/>
        </w:rPr>
        <w:t>379895.87元</w:t>
      </w:r>
      <w:r>
        <w:rPr>
          <w:b/>
          <w:bCs/>
        </w:rPr>
        <w:t> </w:t>
      </w:r>
      <w:r>
        <w:t> </w:t>
      </w:r>
    </w:p>
    <w:p>
      <w:pPr>
        <w:pStyle w:val="15"/>
        <w:adjustRightInd w:val="0"/>
        <w:snapToGrid w:val="0"/>
        <w:spacing w:before="0" w:beforeAutospacing="0" w:after="0" w:afterAutospacing="0" w:line="360" w:lineRule="auto"/>
        <w:ind w:firstLine="480" w:firstLineChars="200"/>
      </w:pPr>
      <w:r>
        <w:t>最高限价（元）：</w:t>
      </w:r>
      <w:r>
        <w:rPr>
          <w:rFonts w:hint="eastAsia"/>
        </w:rPr>
        <w:t>379895.87元</w:t>
      </w:r>
      <w:r>
        <w:rPr>
          <w:rStyle w:val="25"/>
          <w:rFonts w:hint="eastAsia"/>
        </w:rPr>
        <w:t>。</w:t>
      </w:r>
      <w:r>
        <w:t>  </w:t>
      </w:r>
    </w:p>
    <w:p>
      <w:pPr>
        <w:pStyle w:val="15"/>
        <w:adjustRightInd w:val="0"/>
        <w:snapToGrid w:val="0"/>
        <w:spacing w:before="0" w:beforeAutospacing="0" w:after="0" w:afterAutospacing="0" w:line="360" w:lineRule="auto"/>
      </w:pPr>
      <w:r>
        <w:t>   采购需求：</w:t>
      </w:r>
      <w:r>
        <w:rPr>
          <w:rFonts w:hint="eastAsia"/>
          <w:lang w:eastAsia="zh-CN"/>
        </w:rPr>
        <w:t>广场雕塑建设</w:t>
      </w:r>
      <w:r>
        <w:rPr>
          <w:rFonts w:hint="eastAsia"/>
        </w:rPr>
        <w:t>（具体详见</w:t>
      </w:r>
      <w:r>
        <w:rPr>
          <w:rFonts w:hint="eastAsia"/>
          <w:lang w:eastAsia="zh-CN"/>
        </w:rPr>
        <w:t>谈判</w:t>
      </w:r>
      <w:r>
        <w:rPr>
          <w:rFonts w:hint="eastAsia"/>
        </w:rPr>
        <w:t>文件</w:t>
      </w:r>
      <w:r>
        <w:rPr>
          <w:rFonts w:hint="eastAsia"/>
          <w:lang w:eastAsia="zh-CN"/>
        </w:rPr>
        <w:t>、工程量清单</w:t>
      </w:r>
      <w:bookmarkStart w:id="232" w:name="_GoBack"/>
      <w:bookmarkEnd w:id="232"/>
      <w:r>
        <w:rPr>
          <w:rFonts w:hint="eastAsia"/>
        </w:rPr>
        <w:t>）。</w:t>
      </w:r>
    </w:p>
    <w:p>
      <w:pPr>
        <w:pStyle w:val="15"/>
        <w:adjustRightInd w:val="0"/>
        <w:snapToGrid w:val="0"/>
        <w:spacing w:before="0" w:beforeAutospacing="0" w:after="0" w:afterAutospacing="0" w:line="360" w:lineRule="auto"/>
      </w:pPr>
      <w:r>
        <w:t xml:space="preserve"> </w:t>
      </w:r>
      <w:r>
        <w:rPr>
          <w:rFonts w:hint="eastAsia"/>
        </w:rPr>
        <w:t xml:space="preserve">  </w:t>
      </w:r>
      <w:r>
        <w:rPr>
          <w:rFonts w:hint="eastAsia"/>
          <w:highlight w:val="none"/>
        </w:rPr>
        <w:t xml:space="preserve"> </w:t>
      </w:r>
      <w:r>
        <w:rPr>
          <w:highlight w:val="none"/>
        </w:rPr>
        <w:t>合同履约期限：</w:t>
      </w:r>
      <w:r>
        <w:rPr>
          <w:rFonts w:hint="eastAsia"/>
          <w:highlight w:val="none"/>
          <w:lang w:eastAsia="zh-CN"/>
        </w:rPr>
        <w:t>合同签订后</w:t>
      </w:r>
      <w:r>
        <w:rPr>
          <w:rFonts w:hint="eastAsia"/>
          <w:highlight w:val="none"/>
          <w:lang w:val="en-US" w:eastAsia="zh-CN"/>
        </w:rPr>
        <w:t>15个日历日交付</w:t>
      </w:r>
      <w:r>
        <w:rPr>
          <w:rStyle w:val="25"/>
          <w:rFonts w:hint="eastAsia"/>
          <w:highlight w:val="none"/>
        </w:rPr>
        <w:t>。</w:t>
      </w:r>
      <w:r>
        <w:rPr>
          <w:highlight w:val="none"/>
        </w:rPr>
        <w:t> </w:t>
      </w:r>
      <w:r>
        <w:t> </w:t>
      </w:r>
    </w:p>
    <w:p>
      <w:pPr>
        <w:pStyle w:val="15"/>
        <w:adjustRightInd w:val="0"/>
        <w:snapToGrid w:val="0"/>
        <w:spacing w:before="0" w:beforeAutospacing="0" w:after="0" w:afterAutospacing="0" w:line="360" w:lineRule="auto"/>
      </w:pPr>
      <w:r>
        <w:t>  本项目（</w:t>
      </w:r>
      <w:r>
        <w:rPr>
          <w:rStyle w:val="25"/>
        </w:rPr>
        <w:t>否</w:t>
      </w:r>
      <w:r>
        <w:t>）接受联合体投标。  </w:t>
      </w:r>
    </w:p>
    <w:p>
      <w:pPr>
        <w:pStyle w:val="15"/>
        <w:adjustRightInd w:val="0"/>
        <w:snapToGrid w:val="0"/>
        <w:spacing w:before="0" w:beforeAutospacing="0" w:after="0" w:afterAutospacing="0" w:line="360" w:lineRule="auto"/>
        <w:ind w:firstLine="482" w:firstLineChars="200"/>
        <w:jc w:val="both"/>
      </w:pPr>
      <w:r>
        <w:rPr>
          <w:rStyle w:val="20"/>
          <w:rFonts w:hint="eastAsia"/>
        </w:rPr>
        <w:t>二、申请人的资格要求：</w:t>
      </w:r>
    </w:p>
    <w:p>
      <w:pPr>
        <w:pStyle w:val="15"/>
        <w:adjustRightInd w:val="0"/>
        <w:snapToGrid w:val="0"/>
        <w:spacing w:before="0" w:beforeAutospacing="0" w:after="0" w:afterAutospacing="0" w:line="360" w:lineRule="auto"/>
        <w:ind w:firstLine="480" w:firstLineChars="200"/>
      </w:pPr>
      <w:r>
        <w:rPr>
          <w:rFonts w:hint="eastAsia"/>
        </w:rPr>
        <w:t>1.满足《中华人民共和国政府采购法》第二十二条规定；</w:t>
      </w:r>
    </w:p>
    <w:p>
      <w:pPr>
        <w:pStyle w:val="15"/>
        <w:adjustRightInd w:val="0"/>
        <w:snapToGrid w:val="0"/>
        <w:spacing w:before="0" w:beforeAutospacing="0" w:after="0" w:afterAutospacing="0" w:line="360" w:lineRule="auto"/>
        <w:ind w:firstLine="480" w:firstLineChars="200"/>
      </w:pPr>
      <w:r>
        <w:rPr>
          <w:rFonts w:hint="eastAsia"/>
        </w:rPr>
        <w:t>2.落实政府采购政策需满足的资格要求：扶持中小企业、残疾人福利性单位、监狱企业政策：《政府采购促进中小企业发展管理办法》的通知（财库【2020】46号）、关于促进残疾人就业政府采购政策的通知（财库【2017】141号）、财政部、司法部关于政府采购支持监狱企业发展有关问题的通知。（财库【2014】68号）（中小企业优惠、监狱企业、节能产品、环境标志产品等）</w:t>
      </w:r>
    </w:p>
    <w:p>
      <w:pPr>
        <w:pStyle w:val="15"/>
        <w:adjustRightInd w:val="0"/>
        <w:snapToGrid w:val="0"/>
        <w:spacing w:before="0" w:beforeAutospacing="0" w:after="0" w:afterAutospacing="0" w:line="360" w:lineRule="auto"/>
        <w:ind w:firstLine="480" w:firstLineChars="200"/>
      </w:pPr>
      <w:r>
        <w:rPr>
          <w:rFonts w:hint="eastAsia"/>
        </w:rPr>
        <w:t>3.本项目的特定资格要求：</w:t>
      </w:r>
    </w:p>
    <w:p>
      <w:pPr>
        <w:pStyle w:val="15"/>
        <w:adjustRightInd w:val="0"/>
        <w:snapToGrid w:val="0"/>
        <w:spacing w:before="0" w:beforeAutospacing="0" w:after="0" w:afterAutospacing="0" w:line="360" w:lineRule="auto"/>
        <w:ind w:firstLine="480" w:firstLineChars="200"/>
      </w:pPr>
      <w:r>
        <w:rPr>
          <w:rFonts w:hint="eastAsia"/>
        </w:rPr>
        <w:t xml:space="preserve">（1）符合《中华人民共和国政府采购法》第二十二条相关规定且有承担本项目能力的投标人； </w:t>
      </w:r>
    </w:p>
    <w:p>
      <w:pPr>
        <w:pStyle w:val="15"/>
        <w:adjustRightInd w:val="0"/>
        <w:snapToGrid w:val="0"/>
        <w:spacing w:before="0" w:beforeAutospacing="0" w:after="0" w:afterAutospacing="0" w:line="360" w:lineRule="auto"/>
        <w:ind w:firstLine="480" w:firstLineChars="200"/>
      </w:pPr>
      <w:r>
        <w:rPr>
          <w:rFonts w:hint="eastAsia"/>
        </w:rPr>
        <w:t xml:space="preserve">（2）有效的工商营业执照（事业单位法人证书）、税务登记证、组织机构代码证或“三证合一”的营业执照（事业单位法人证书）或当地公证处出具的此资质的公证书； </w:t>
      </w:r>
    </w:p>
    <w:p>
      <w:pPr>
        <w:pStyle w:val="15"/>
        <w:adjustRightInd w:val="0"/>
        <w:snapToGrid w:val="0"/>
        <w:spacing w:before="0" w:beforeAutospacing="0" w:after="0" w:afterAutospacing="0" w:line="360" w:lineRule="auto"/>
        <w:ind w:firstLine="480" w:firstLineChars="200"/>
      </w:pPr>
      <w:r>
        <w:rPr>
          <w:rFonts w:hint="eastAsia"/>
        </w:rPr>
        <w:t xml:space="preserve">（3）投标人未被列入“信用中国”网站(www.creditchina.gov.cn)“记录失信被执行人或重大税收违法案件当事人名单或政府采购严重违法失信行为”记录名单；未处于中国政府采购 网(www.ccgp.gov.cn)“政府采购严重违法失信行为信息记录”中（以采购代理机构发布公告至递交投标文件截止日期间内在“信用中国”网站（www.creditchina.gov.cn） 及中国政府采购网(www.ccgp.gov.cn)查询结果为准，如相关失信记录已失效，投标人需提供相关证明资料）； </w:t>
      </w:r>
    </w:p>
    <w:p>
      <w:pPr>
        <w:pStyle w:val="15"/>
        <w:adjustRightInd w:val="0"/>
        <w:snapToGrid w:val="0"/>
        <w:spacing w:before="0" w:beforeAutospacing="0" w:after="0" w:afterAutospacing="0" w:line="360" w:lineRule="auto"/>
        <w:ind w:firstLine="480" w:firstLineChars="200"/>
      </w:pPr>
      <w:r>
        <w:rPr>
          <w:rFonts w:hint="eastAsia"/>
        </w:rPr>
        <w:t xml:space="preserve">（4）投标人近三年无因投标申请人违约或不恰当履约引起的合同终止、纠纷、争议、仲裁和公诉纪录；投标人须无行贿犯罪记录证明（以采购代理机构发布公告至递交投标文件截止日期间内在中国裁判文书网（http://wenshu.court.gov.cn/）查询结果为准）；   </w:t>
      </w:r>
    </w:p>
    <w:p>
      <w:pPr>
        <w:pStyle w:val="15"/>
        <w:adjustRightInd w:val="0"/>
        <w:snapToGrid w:val="0"/>
        <w:spacing w:before="0" w:beforeAutospacing="0" w:after="0" w:afterAutospacing="0" w:line="360" w:lineRule="auto"/>
        <w:ind w:firstLine="480" w:firstLineChars="200"/>
      </w:pPr>
      <w:r>
        <w:rPr>
          <w:rFonts w:hint="eastAsia"/>
        </w:rPr>
        <w:t>（5）单位负责人为同一人或者存在直接控股、管理关系的不同投标人，不得参加同一合同项下的政府采购活动；</w:t>
      </w:r>
    </w:p>
    <w:p>
      <w:pPr>
        <w:pStyle w:val="15"/>
        <w:adjustRightInd w:val="0"/>
        <w:snapToGrid w:val="0"/>
        <w:spacing w:before="0" w:beforeAutospacing="0" w:after="0" w:afterAutospacing="0" w:line="360" w:lineRule="auto"/>
        <w:ind w:firstLine="480" w:firstLineChars="200"/>
      </w:pPr>
      <w:r>
        <w:rPr>
          <w:rFonts w:hint="eastAsia"/>
        </w:rPr>
        <w:t>（6）本项目不接受联合体投标。</w:t>
      </w:r>
      <w:r>
        <w:rPr>
          <w:rFonts w:hint="eastAsia"/>
          <w:b/>
          <w:bCs/>
        </w:rPr>
        <w:t xml:space="preserve">      </w:t>
      </w:r>
      <w:r>
        <w:rPr>
          <w:rFonts w:hint="eastAsia"/>
        </w:rPr>
        <w:t xml:space="preserve">                       </w:t>
      </w:r>
    </w:p>
    <w:p>
      <w:pPr>
        <w:spacing w:line="360" w:lineRule="auto"/>
        <w:ind w:firstLine="482" w:firstLineChars="200"/>
        <w:rPr>
          <w:rFonts w:ascii="宋体" w:hAnsi="宋体"/>
          <w:b/>
          <w:bCs/>
          <w:sz w:val="24"/>
        </w:rPr>
      </w:pPr>
      <w:r>
        <w:rPr>
          <w:rFonts w:hint="eastAsia" w:ascii="宋体" w:hAnsi="宋体"/>
          <w:b/>
          <w:bCs/>
          <w:sz w:val="24"/>
        </w:rPr>
        <w:t xml:space="preserve">三、获取谈判文件 </w:t>
      </w:r>
    </w:p>
    <w:p>
      <w:pPr>
        <w:spacing w:line="360" w:lineRule="auto"/>
        <w:ind w:firstLine="480" w:firstLineChars="200"/>
        <w:rPr>
          <w:rFonts w:ascii="宋体" w:hAnsi="宋体"/>
          <w:sz w:val="24"/>
        </w:rPr>
      </w:pPr>
      <w:r>
        <w:rPr>
          <w:rFonts w:hint="eastAsia" w:ascii="宋体" w:hAnsi="宋体"/>
          <w:sz w:val="24"/>
        </w:rPr>
        <w:t xml:space="preserve">    时间：2021年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27</w:t>
      </w:r>
      <w:r>
        <w:rPr>
          <w:rFonts w:hint="eastAsia" w:ascii="宋体" w:hAnsi="宋体"/>
          <w:sz w:val="24"/>
        </w:rPr>
        <w:t>日至2021年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29</w:t>
      </w:r>
      <w:r>
        <w:rPr>
          <w:rFonts w:hint="eastAsia" w:ascii="宋体" w:hAnsi="宋体"/>
          <w:sz w:val="24"/>
        </w:rPr>
        <w:t>日 ，每天上午00:00至14:00 ，下午14:00至23:59（北京时间，法定节假日除外）</w:t>
      </w:r>
    </w:p>
    <w:p>
      <w:pPr>
        <w:spacing w:line="360" w:lineRule="auto"/>
        <w:ind w:firstLine="480" w:firstLineChars="200"/>
      </w:pPr>
      <w:r>
        <w:rPr>
          <w:rFonts w:hint="eastAsia" w:ascii="宋体" w:hAnsi="宋体"/>
          <w:sz w:val="24"/>
        </w:rPr>
        <w:t xml:space="preserve">    地点：兵团政采云平台线上获取（https://www.zcygov.cn/） </w:t>
      </w:r>
    </w:p>
    <w:p>
      <w:pPr>
        <w:spacing w:line="360" w:lineRule="auto"/>
        <w:ind w:firstLine="480" w:firstLineChars="200"/>
        <w:rPr>
          <w:rFonts w:ascii="宋体" w:hAnsi="宋体"/>
          <w:sz w:val="24"/>
        </w:rPr>
      </w:pPr>
      <w:r>
        <w:rPr>
          <w:rFonts w:hint="eastAsia" w:ascii="宋体" w:hAnsi="宋体"/>
          <w:sz w:val="24"/>
        </w:rPr>
        <w:t xml:space="preserve">    方式：供应商登录政采云平台https://www.zcygov.cn/在线申请获取采购文件（进入“项目采购”应用，在获取采购文件菜单中选择项目，申请获取采购文件） </w:t>
      </w:r>
    </w:p>
    <w:p>
      <w:pPr>
        <w:spacing w:line="360" w:lineRule="auto"/>
        <w:ind w:firstLine="480" w:firstLineChars="200"/>
        <w:rPr>
          <w:rFonts w:ascii="宋体" w:hAnsi="宋体"/>
        </w:rPr>
      </w:pPr>
      <w:r>
        <w:rPr>
          <w:rFonts w:hint="eastAsia" w:ascii="宋体" w:hAnsi="宋体"/>
          <w:sz w:val="24"/>
        </w:rPr>
        <w:t xml:space="preserve">    售价（元）：0 </w:t>
      </w:r>
      <w:r>
        <w:rPr>
          <w:rFonts w:ascii="宋体" w:hAnsi="宋体"/>
          <w:sz w:val="24"/>
        </w:rPr>
        <w:t> </w:t>
      </w:r>
    </w:p>
    <w:p>
      <w:pPr>
        <w:pStyle w:val="15"/>
        <w:adjustRightInd w:val="0"/>
        <w:snapToGrid w:val="0"/>
        <w:spacing w:before="0" w:beforeAutospacing="0" w:after="0" w:afterAutospacing="0" w:line="360" w:lineRule="auto"/>
        <w:ind w:firstLine="482" w:firstLineChars="200"/>
        <w:jc w:val="both"/>
      </w:pPr>
      <w:r>
        <w:rPr>
          <w:rStyle w:val="20"/>
          <w:rFonts w:hint="eastAsia"/>
        </w:rPr>
        <w:t>四、提交投标文件截止时间、开标时间和地点</w:t>
      </w:r>
      <w:r>
        <w:rPr>
          <w:rFonts w:cs="Calibri"/>
        </w:rPr>
        <w:t> </w:t>
      </w:r>
    </w:p>
    <w:p>
      <w:pPr>
        <w:pStyle w:val="15"/>
        <w:adjustRightInd w:val="0"/>
        <w:snapToGrid w:val="0"/>
        <w:spacing w:before="0" w:beforeAutospacing="0" w:after="0" w:afterAutospacing="0" w:line="360" w:lineRule="auto"/>
        <w:ind w:firstLine="480" w:firstLineChars="200"/>
      </w:pPr>
      <w:r>
        <w:rPr>
          <w:rFonts w:hint="eastAsia"/>
        </w:rPr>
        <w:t>提交投标文件截止时间：2021年</w:t>
      </w:r>
      <w:r>
        <w:rPr>
          <w:rFonts w:hint="eastAsia"/>
          <w:lang w:val="en-US" w:eastAsia="zh-CN"/>
        </w:rPr>
        <w:t>9</w:t>
      </w:r>
      <w:r>
        <w:rPr>
          <w:rFonts w:hint="eastAsia"/>
        </w:rPr>
        <w:t>月</w:t>
      </w:r>
      <w:r>
        <w:rPr>
          <w:rFonts w:hint="eastAsia"/>
          <w:lang w:val="en-US" w:eastAsia="zh-CN"/>
        </w:rPr>
        <w:t>30</w:t>
      </w:r>
      <w:r>
        <w:rPr>
          <w:rFonts w:hint="eastAsia"/>
        </w:rPr>
        <w:t>日</w:t>
      </w:r>
      <w:r>
        <w:rPr>
          <w:rFonts w:hint="eastAsia"/>
          <w:lang w:val="en-US" w:eastAsia="zh-CN"/>
        </w:rPr>
        <w:t>16</w:t>
      </w:r>
      <w:r>
        <w:rPr>
          <w:rFonts w:hint="eastAsia"/>
        </w:rPr>
        <w:t>:00（北京时间）</w:t>
      </w:r>
    </w:p>
    <w:p>
      <w:pPr>
        <w:pStyle w:val="15"/>
        <w:adjustRightInd w:val="0"/>
        <w:snapToGrid w:val="0"/>
        <w:spacing w:before="0" w:beforeAutospacing="0" w:after="0" w:afterAutospacing="0" w:line="360" w:lineRule="auto"/>
        <w:ind w:firstLine="480" w:firstLineChars="200"/>
      </w:pPr>
      <w:r>
        <w:rPr>
          <w:rFonts w:hint="eastAsia"/>
        </w:rPr>
        <w:t xml:space="preserve">投标地点（网址）：供应商应在此之前将加密的投标文件上传至政采云https://www.zcygov.cn/(逾期未上传的或不符合规定的投标文件将被拒绝接收)。 </w:t>
      </w:r>
    </w:p>
    <w:p>
      <w:pPr>
        <w:pStyle w:val="15"/>
        <w:adjustRightInd w:val="0"/>
        <w:snapToGrid w:val="0"/>
        <w:spacing w:before="0" w:beforeAutospacing="0" w:after="0" w:afterAutospacing="0" w:line="360" w:lineRule="auto"/>
        <w:ind w:firstLine="480" w:firstLineChars="200"/>
      </w:pPr>
      <w:r>
        <w:rPr>
          <w:rFonts w:hint="eastAsia"/>
        </w:rPr>
        <w:t>开标时间：2021年</w:t>
      </w:r>
      <w:r>
        <w:rPr>
          <w:rFonts w:hint="eastAsia"/>
          <w:lang w:val="en-US" w:eastAsia="zh-CN"/>
        </w:rPr>
        <w:t>9</w:t>
      </w:r>
      <w:r>
        <w:rPr>
          <w:rFonts w:hint="eastAsia"/>
        </w:rPr>
        <w:t>月</w:t>
      </w:r>
      <w:r>
        <w:rPr>
          <w:rFonts w:hint="eastAsia"/>
          <w:lang w:val="en-US" w:eastAsia="zh-CN"/>
        </w:rPr>
        <w:t>30</w:t>
      </w:r>
      <w:r>
        <w:rPr>
          <w:rFonts w:hint="eastAsia"/>
        </w:rPr>
        <w:t>日</w:t>
      </w:r>
      <w:r>
        <w:rPr>
          <w:rFonts w:hint="eastAsia"/>
          <w:lang w:val="en-US" w:eastAsia="zh-CN"/>
        </w:rPr>
        <w:t>16</w:t>
      </w:r>
      <w:r>
        <w:rPr>
          <w:rFonts w:hint="eastAsia"/>
        </w:rPr>
        <w:t xml:space="preserve">:00（北京时间） </w:t>
      </w:r>
    </w:p>
    <w:p>
      <w:pPr>
        <w:pStyle w:val="15"/>
        <w:adjustRightInd w:val="0"/>
        <w:snapToGrid w:val="0"/>
        <w:spacing w:before="0" w:beforeAutospacing="0" w:after="0" w:afterAutospacing="0" w:line="360" w:lineRule="auto"/>
        <w:ind w:firstLine="480" w:firstLineChars="200"/>
      </w:pPr>
      <w:r>
        <w:rPr>
          <w:rFonts w:hint="eastAsia"/>
        </w:rPr>
        <w:t>开标地点：兵团政采云https://www.zcygov.cn/不见面开标大厅。</w:t>
      </w:r>
      <w:r>
        <w:t> </w:t>
      </w:r>
    </w:p>
    <w:p>
      <w:pPr>
        <w:pStyle w:val="15"/>
        <w:adjustRightInd w:val="0"/>
        <w:snapToGrid w:val="0"/>
        <w:spacing w:before="0" w:beforeAutospacing="0" w:after="0" w:afterAutospacing="0" w:line="360" w:lineRule="auto"/>
        <w:ind w:firstLine="482" w:firstLineChars="200"/>
      </w:pPr>
      <w:r>
        <w:rPr>
          <w:rFonts w:hint="eastAsia"/>
          <w:b/>
          <w:bCs/>
        </w:rPr>
        <w:t>五、公告期限</w:t>
      </w:r>
      <w:r>
        <w:rPr>
          <w:rFonts w:hint="eastAsia"/>
        </w:rPr>
        <w:t xml:space="preserve"> </w:t>
      </w:r>
    </w:p>
    <w:p>
      <w:pPr>
        <w:pStyle w:val="15"/>
        <w:adjustRightInd w:val="0"/>
        <w:snapToGrid w:val="0"/>
        <w:spacing w:before="0" w:beforeAutospacing="0" w:after="0" w:afterAutospacing="0" w:line="360" w:lineRule="auto"/>
        <w:ind w:firstLine="480" w:firstLineChars="200"/>
      </w:pPr>
      <w:r>
        <w:rPr>
          <w:rFonts w:hint="eastAsia"/>
        </w:rPr>
        <w:t xml:space="preserve">    自本公告发布之日起5个工作日</w:t>
      </w:r>
      <w:r>
        <w:t> </w:t>
      </w:r>
    </w:p>
    <w:p>
      <w:pPr>
        <w:pStyle w:val="15"/>
        <w:adjustRightInd w:val="0"/>
        <w:snapToGrid w:val="0"/>
        <w:spacing w:before="0" w:beforeAutospacing="0" w:after="0" w:afterAutospacing="0" w:line="360" w:lineRule="auto"/>
        <w:ind w:firstLine="482" w:firstLineChars="200"/>
        <w:rPr>
          <w:b/>
          <w:bCs/>
        </w:rPr>
      </w:pPr>
      <w:r>
        <w:rPr>
          <w:rFonts w:hint="eastAsia"/>
          <w:b/>
          <w:bCs/>
        </w:rPr>
        <w:t>六、其他补充事宜</w:t>
      </w:r>
    </w:p>
    <w:p>
      <w:pPr>
        <w:pStyle w:val="15"/>
        <w:adjustRightInd w:val="0"/>
        <w:snapToGrid w:val="0"/>
        <w:spacing w:before="0" w:beforeAutospacing="0" w:after="0" w:afterAutospacing="0" w:line="360" w:lineRule="auto"/>
        <w:ind w:firstLine="480" w:firstLineChars="200"/>
      </w:pPr>
      <w:r>
        <w:rPr>
          <w:rFonts w:hint="eastAsia"/>
        </w:rPr>
        <w:t>1、本项目实行网上投标，采用电子投标文件。</w:t>
      </w:r>
    </w:p>
    <w:p>
      <w:pPr>
        <w:pStyle w:val="15"/>
        <w:adjustRightInd w:val="0"/>
        <w:snapToGrid w:val="0"/>
        <w:spacing w:before="0" w:beforeAutospacing="0" w:after="0" w:afterAutospacing="0" w:line="360" w:lineRule="auto"/>
        <w:ind w:firstLine="480" w:firstLineChars="200"/>
      </w:pPr>
      <w:r>
        <w:rPr>
          <w:rFonts w:hint="eastAsia"/>
        </w:rPr>
        <w:t>2、各供应商应在开标前应确保成为新疆生产建设兵团政府采购网正式注册入库供应商，并完成CA数字证书（符合国密标准）申领。因未注册入库、未办理CA数字证书等原因造成无法投标或投标失败等后果由供应商自行承担。有意向参与兵团区域电子开评标的供应商，可访问新疆数字证书认证中心官方网站（https://www.xjca.com.cn/）或下载“新疆政务通”APP自行进行申领。如需咨询，请联系新疆CA服务热线0991-2819290。</w:t>
      </w:r>
    </w:p>
    <w:p>
      <w:pPr>
        <w:pStyle w:val="15"/>
        <w:adjustRightInd w:val="0"/>
        <w:snapToGrid w:val="0"/>
        <w:spacing w:before="0" w:beforeAutospacing="0" w:after="0" w:afterAutospacing="0" w:line="360" w:lineRule="auto"/>
        <w:ind w:firstLine="480" w:firstLineChars="200"/>
      </w:pPr>
      <w:r>
        <w:rPr>
          <w:rFonts w:hint="eastAsia"/>
        </w:rPr>
        <w:t>3、供应商将政采云电子交易客户端下载、安装完成后，可通过账号密码或CA登录客户端进行投标文件的制作。在使用政采云投标客户端时，建议使用WIN7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pPr>
        <w:pStyle w:val="15"/>
        <w:adjustRightInd w:val="0"/>
        <w:snapToGrid w:val="0"/>
        <w:spacing w:before="0" w:beforeAutospacing="0" w:after="0" w:afterAutospacing="0" w:line="360" w:lineRule="auto"/>
        <w:ind w:firstLine="480" w:firstLineChars="200"/>
      </w:pPr>
      <w:r>
        <w:t>4、供应商在开标时须使用制作加密电子投标文件所使用的CA锁及电脑，电脑须提前配置好浏览器（建议使用360浏览器极速模式或谷歌浏览器），以便开标时解锁。</w:t>
      </w:r>
    </w:p>
    <w:p>
      <w:pPr>
        <w:pStyle w:val="15"/>
        <w:adjustRightInd w:val="0"/>
        <w:snapToGrid w:val="0"/>
        <w:spacing w:before="0" w:beforeAutospacing="0" w:after="0" w:afterAutospacing="0" w:line="360" w:lineRule="auto"/>
        <w:ind w:firstLine="480" w:firstLineChars="200"/>
      </w:pPr>
      <w:r>
        <w:t>5、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pStyle w:val="15"/>
        <w:adjustRightInd w:val="0"/>
        <w:snapToGrid w:val="0"/>
        <w:spacing w:before="0" w:beforeAutospacing="0" w:after="0" w:afterAutospacing="0" w:line="360" w:lineRule="auto"/>
        <w:ind w:firstLine="241" w:firstLineChars="100"/>
        <w:rPr>
          <w:b/>
          <w:bCs/>
        </w:rPr>
      </w:pPr>
      <w:r>
        <w:rPr>
          <w:rFonts w:hint="eastAsia"/>
          <w:b/>
          <w:bCs/>
        </w:rPr>
        <w:t>七、对本次采购提出询问，请按以下方式联系</w:t>
      </w:r>
    </w:p>
    <w:p>
      <w:pPr>
        <w:pStyle w:val="15"/>
        <w:spacing w:before="75" w:beforeAutospacing="0" w:after="75" w:afterAutospacing="0" w:line="400" w:lineRule="exact"/>
      </w:pPr>
      <w:r>
        <w:rPr>
          <w:rFonts w:ascii="仿宋" w:hAnsi="仿宋" w:eastAsia="仿宋" w:cs="仿宋"/>
          <w:color w:val="000000"/>
          <w:sz w:val="27"/>
          <w:szCs w:val="27"/>
        </w:rPr>
        <w:t>   </w:t>
      </w:r>
      <w:r>
        <w:rPr>
          <w:rFonts w:hint="eastAsia"/>
          <w:color w:val="000000"/>
        </w:rPr>
        <w:t xml:space="preserve"> 1.采购人信息</w:t>
      </w:r>
    </w:p>
    <w:p>
      <w:pPr>
        <w:pStyle w:val="15"/>
        <w:spacing w:before="75" w:beforeAutospacing="0" w:after="75" w:afterAutospacing="0" w:line="400" w:lineRule="exact"/>
      </w:pPr>
      <w:r>
        <w:rPr>
          <w:rFonts w:hint="eastAsia"/>
          <w:color w:val="000000"/>
        </w:rPr>
        <w:t>    名 称：</w:t>
      </w:r>
      <w:r>
        <w:rPr>
          <w:rFonts w:hint="eastAsia"/>
          <w:color w:val="000000"/>
          <w:lang w:eastAsia="zh-CN"/>
        </w:rPr>
        <w:t>二二一团农业发展服务中心</w:t>
      </w:r>
      <w:r>
        <w:rPr>
          <w:rFonts w:hint="eastAsia"/>
          <w:color w:val="000000"/>
        </w:rPr>
        <w:t> </w:t>
      </w:r>
    </w:p>
    <w:p>
      <w:pPr>
        <w:pStyle w:val="15"/>
        <w:spacing w:before="75" w:beforeAutospacing="0" w:after="75" w:afterAutospacing="0" w:line="400" w:lineRule="exact"/>
        <w:ind w:firstLine="720"/>
        <w:rPr>
          <w:color w:val="000000"/>
        </w:rPr>
      </w:pPr>
      <w:r>
        <w:rPr>
          <w:rFonts w:hint="eastAsia"/>
          <w:color w:val="000000"/>
        </w:rPr>
        <w:t>地 址：第十二师二二一团</w:t>
      </w:r>
    </w:p>
    <w:p>
      <w:pPr>
        <w:pStyle w:val="15"/>
        <w:spacing w:before="75" w:beforeAutospacing="0" w:after="75" w:afterAutospacing="0" w:line="400" w:lineRule="exact"/>
        <w:ind w:firstLine="720"/>
        <w:rPr>
          <w:color w:val="000000"/>
        </w:rPr>
      </w:pPr>
      <w:r>
        <w:rPr>
          <w:rFonts w:hint="eastAsia"/>
          <w:color w:val="000000"/>
        </w:rPr>
        <w:t>项目联系人：</w:t>
      </w:r>
      <w:r>
        <w:rPr>
          <w:rFonts w:hint="eastAsia"/>
          <w:color w:val="000000"/>
          <w:lang w:eastAsia="zh-CN"/>
        </w:rPr>
        <w:t>王武明</w:t>
      </w:r>
      <w:r>
        <w:rPr>
          <w:rFonts w:hint="eastAsia"/>
          <w:color w:val="000000"/>
        </w:rPr>
        <w:t xml:space="preserve"> </w:t>
      </w:r>
    </w:p>
    <w:p>
      <w:pPr>
        <w:pStyle w:val="15"/>
        <w:spacing w:before="75" w:beforeAutospacing="0" w:after="75" w:afterAutospacing="0" w:line="400" w:lineRule="exact"/>
        <w:ind w:firstLine="720"/>
        <w:rPr>
          <w:color w:val="000000"/>
        </w:rPr>
      </w:pPr>
      <w:r>
        <w:rPr>
          <w:rFonts w:hint="eastAsia"/>
          <w:color w:val="000000"/>
        </w:rPr>
        <w:t xml:space="preserve">项目联系方式：13699906818 </w:t>
      </w:r>
      <w:r>
        <w:rPr>
          <w:rFonts w:hint="eastAsia"/>
          <w:color w:val="000000"/>
        </w:rPr>
        <w:br w:type="textWrapping"/>
      </w:r>
      <w:r>
        <w:rPr>
          <w:rFonts w:hint="eastAsia"/>
          <w:color w:val="000000"/>
        </w:rPr>
        <w:t>  2.采购代理机构信息</w:t>
      </w:r>
    </w:p>
    <w:p>
      <w:pPr>
        <w:pStyle w:val="15"/>
        <w:adjustRightInd w:val="0"/>
        <w:snapToGrid w:val="0"/>
        <w:spacing w:before="0" w:beforeAutospacing="0" w:after="0" w:afterAutospacing="0" w:line="400" w:lineRule="exact"/>
        <w:ind w:firstLine="480" w:firstLineChars="200"/>
      </w:pPr>
      <w:r>
        <w:t>名 称：</w:t>
      </w:r>
      <w:r>
        <w:rPr>
          <w:rFonts w:hint="eastAsia"/>
        </w:rPr>
        <w:t>华春建设工程项目管理有限责任公司</w:t>
      </w:r>
    </w:p>
    <w:p>
      <w:pPr>
        <w:pStyle w:val="15"/>
        <w:adjustRightInd w:val="0"/>
        <w:snapToGrid w:val="0"/>
        <w:spacing w:before="0" w:beforeAutospacing="0" w:after="0" w:afterAutospacing="0" w:line="400" w:lineRule="exact"/>
        <w:ind w:firstLine="480" w:firstLineChars="200"/>
      </w:pPr>
      <w:r>
        <w:t>地 址：</w:t>
      </w:r>
      <w:r>
        <w:rPr>
          <w:rFonts w:hint="eastAsia"/>
        </w:rPr>
        <w:t>新疆乌鲁木齐市水磨沟区浙商大厦15楼1505室</w:t>
      </w:r>
    </w:p>
    <w:p>
      <w:pPr>
        <w:pStyle w:val="15"/>
        <w:adjustRightInd w:val="0"/>
        <w:snapToGrid w:val="0"/>
        <w:spacing w:before="0" w:beforeAutospacing="0" w:after="0" w:afterAutospacing="0" w:line="400" w:lineRule="exact"/>
        <w:ind w:firstLine="480" w:firstLineChars="200"/>
      </w:pPr>
      <w:r>
        <w:rPr>
          <w:rFonts w:hint="eastAsia"/>
        </w:rPr>
        <w:t>传真</w:t>
      </w:r>
      <w:r>
        <w:t>：</w:t>
      </w:r>
      <w:r>
        <w:rPr>
          <w:rFonts w:hint="eastAsia"/>
        </w:rPr>
        <w:t>0991-2629781、18097782413</w:t>
      </w:r>
    </w:p>
    <w:p>
      <w:pPr>
        <w:pStyle w:val="15"/>
        <w:adjustRightInd w:val="0"/>
        <w:snapToGrid w:val="0"/>
        <w:spacing w:before="0" w:beforeAutospacing="0" w:after="0" w:afterAutospacing="0" w:line="400" w:lineRule="exact"/>
        <w:ind w:firstLine="480" w:firstLineChars="200"/>
      </w:pPr>
      <w:r>
        <w:t>3.项目联系方式</w:t>
      </w:r>
    </w:p>
    <w:p>
      <w:pPr>
        <w:pStyle w:val="15"/>
        <w:adjustRightInd w:val="0"/>
        <w:snapToGrid w:val="0"/>
        <w:spacing w:before="0" w:beforeAutospacing="0" w:after="0" w:afterAutospacing="0" w:line="400" w:lineRule="exact"/>
        <w:ind w:firstLine="480" w:firstLineChars="200"/>
      </w:pPr>
      <w:r>
        <w:t>项目联系人：</w:t>
      </w:r>
      <w:r>
        <w:rPr>
          <w:rFonts w:hint="eastAsia"/>
        </w:rPr>
        <w:t>王立娜、罗雅薇</w:t>
      </w:r>
    </w:p>
    <w:p>
      <w:pPr>
        <w:pStyle w:val="15"/>
        <w:adjustRightInd w:val="0"/>
        <w:snapToGrid w:val="0"/>
        <w:spacing w:before="0" w:beforeAutospacing="0" w:after="0" w:afterAutospacing="0" w:line="400" w:lineRule="exact"/>
        <w:ind w:firstLine="480" w:firstLineChars="200"/>
        <w:rPr>
          <w:rStyle w:val="24"/>
        </w:rPr>
      </w:pPr>
      <w:r>
        <w:t>电 话：</w:t>
      </w:r>
      <w:r>
        <w:rPr>
          <w:rFonts w:hint="eastAsia"/>
        </w:rPr>
        <w:t xml:space="preserve"> 0991-2629781、18097782413</w:t>
      </w:r>
    </w:p>
    <w:p>
      <w:pPr>
        <w:rPr>
          <w:rFonts w:hint="eastAsia" w:ascii="宋体" w:hAnsi="宋体" w:eastAsia="宋体"/>
        </w:rPr>
      </w:pPr>
      <w:r>
        <w:rPr>
          <w:rFonts w:hint="eastAsia" w:ascii="宋体" w:hAnsi="宋体" w:eastAsia="宋体"/>
        </w:rPr>
        <w:br w:type="page"/>
      </w:r>
    </w:p>
    <w:p>
      <w:pPr>
        <w:pStyle w:val="3"/>
        <w:rPr>
          <w:rFonts w:ascii="宋体" w:hAnsi="宋体" w:eastAsia="宋体"/>
        </w:rPr>
      </w:pPr>
      <w:r>
        <w:rPr>
          <w:rFonts w:hint="eastAsia" w:ascii="宋体" w:hAnsi="宋体" w:eastAsia="宋体"/>
        </w:rPr>
        <w:t>第二部分  投标人须知</w:t>
      </w:r>
      <w:bookmarkEnd w:id="3"/>
      <w:bookmarkEnd w:id="4"/>
      <w:bookmarkEnd w:id="5"/>
      <w:bookmarkStart w:id="6" w:name="_Toc256000002"/>
      <w:bookmarkStart w:id="7" w:name="_Toc256000016"/>
    </w:p>
    <w:p>
      <w:pPr>
        <w:pStyle w:val="3"/>
        <w:rPr>
          <w:rFonts w:ascii="宋体" w:hAnsi="宋体" w:eastAsia="宋体" w:cs="宋体"/>
          <w:sz w:val="24"/>
          <w:szCs w:val="24"/>
        </w:rPr>
      </w:pPr>
      <w:r>
        <w:rPr>
          <w:rFonts w:hint="eastAsia" w:ascii="宋体" w:hAnsi="宋体" w:eastAsia="宋体" w:cs="宋体"/>
          <w:sz w:val="24"/>
          <w:szCs w:val="24"/>
        </w:rPr>
        <w:t>投标人须知前附表</w:t>
      </w:r>
      <w:bookmarkEnd w:id="6"/>
      <w:bookmarkEnd w:id="7"/>
    </w:p>
    <w:tbl>
      <w:tblPr>
        <w:tblStyle w:val="18"/>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664"/>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序号</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内容</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outlineLvl w:val="3"/>
              <w:rPr>
                <w:rFonts w:ascii="宋体" w:hAnsi="宋体" w:eastAsia="宋体" w:cs="宋体"/>
                <w:b/>
                <w:kern w:val="0"/>
                <w:sz w:val="24"/>
              </w:rPr>
            </w:pPr>
            <w:r>
              <w:rPr>
                <w:rFonts w:hint="eastAsia" w:ascii="宋体" w:hAnsi="宋体" w:eastAsia="宋体" w:cs="宋体"/>
                <w:b/>
                <w:kern w:val="0"/>
                <w:sz w:val="24"/>
                <w:highlight w:val="whit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1</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outlineLvl w:val="3"/>
              <w:rPr>
                <w:rFonts w:ascii="宋体" w:hAnsi="宋体" w:eastAsia="宋体" w:cs="宋体"/>
                <w:b/>
                <w:kern w:val="0"/>
                <w:sz w:val="24"/>
              </w:rPr>
            </w:pPr>
            <w:r>
              <w:rPr>
                <w:rFonts w:hint="eastAsia" w:ascii="宋体" w:hAnsi="宋体" w:eastAsia="宋体" w:cs="宋体"/>
                <w:b/>
                <w:kern w:val="0"/>
                <w:sz w:val="24"/>
                <w:highlight w:val="white"/>
              </w:rPr>
              <w:t>项目名称及编号</w:t>
            </w:r>
          </w:p>
        </w:tc>
        <w:tc>
          <w:tcPr>
            <w:tcW w:w="6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hint="eastAsia" w:ascii="宋体" w:hAnsi="宋体" w:eastAsia="宋体" w:cs="宋体"/>
                <w:sz w:val="24"/>
                <w:lang w:eastAsia="zh-CN"/>
              </w:rPr>
            </w:pPr>
            <w:r>
              <w:rPr>
                <w:rFonts w:hint="eastAsia" w:ascii="宋体" w:hAnsi="宋体" w:cs="宋体"/>
                <w:sz w:val="24"/>
              </w:rPr>
              <w:t>项目名称：</w:t>
            </w:r>
            <w:r>
              <w:rPr>
                <w:rFonts w:hint="eastAsia" w:ascii="宋体" w:hAnsi="宋体" w:cs="宋体"/>
                <w:sz w:val="24"/>
                <w:lang w:eastAsia="zh-CN"/>
              </w:rPr>
              <w:t>二二一团三连美丽连队项目广场雕塑建设</w:t>
            </w:r>
          </w:p>
          <w:p>
            <w:pPr>
              <w:pStyle w:val="27"/>
              <w:widowControl/>
              <w:spacing w:line="360" w:lineRule="auto"/>
              <w:jc w:val="left"/>
              <w:rPr>
                <w:rFonts w:ascii="宋体" w:hAnsi="宋体" w:eastAsia="宋体" w:cs="宋体"/>
                <w:color w:val="000000"/>
                <w:sz w:val="24"/>
                <w:szCs w:val="24"/>
              </w:rPr>
            </w:pPr>
            <w:r>
              <w:rPr>
                <w:rFonts w:hint="eastAsia" w:ascii="宋体" w:hAnsi="宋体" w:eastAsia="宋体" w:cs="宋体"/>
                <w:sz w:val="24"/>
                <w:szCs w:val="24"/>
              </w:rPr>
              <w:t>项目编号：hcxjbt-2021-30</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2</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adjustRightInd w:val="0"/>
              <w:spacing w:line="360" w:lineRule="auto"/>
              <w:jc w:val="center"/>
              <w:outlineLvl w:val="3"/>
              <w:rPr>
                <w:rFonts w:ascii="宋体" w:hAnsi="宋体" w:eastAsia="宋体" w:cs="宋体"/>
                <w:b/>
                <w:kern w:val="0"/>
                <w:sz w:val="24"/>
              </w:rPr>
            </w:pPr>
            <w:r>
              <w:rPr>
                <w:rFonts w:hint="eastAsia" w:ascii="宋体" w:hAnsi="宋体" w:eastAsia="宋体" w:cs="宋体"/>
                <w:b/>
                <w:kern w:val="0"/>
                <w:sz w:val="24"/>
                <w:highlight w:val="white"/>
              </w:rPr>
              <w:t>采购人</w:t>
            </w:r>
          </w:p>
        </w:tc>
        <w:tc>
          <w:tcPr>
            <w:tcW w:w="6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lang w:eastAsia="zh-CN"/>
              </w:rPr>
              <w:t>二二一团农业发展服务中心</w:t>
            </w:r>
            <w:r>
              <w:rPr>
                <w:rFonts w:hint="eastAsia" w:ascii="宋体" w:hAnsi="宋体" w:cs="宋体"/>
                <w:sz w:val="24"/>
              </w:rPr>
              <w:t> </w:t>
            </w:r>
          </w:p>
          <w:p>
            <w:pPr>
              <w:pStyle w:val="28"/>
              <w:spacing w:line="360" w:lineRule="auto"/>
              <w:rPr>
                <w:rFonts w:ascii="宋体" w:hAnsi="宋体" w:cs="宋体"/>
                <w:color w:val="000000"/>
                <w:sz w:val="24"/>
                <w:szCs w:val="24"/>
              </w:rPr>
            </w:pPr>
            <w:r>
              <w:rPr>
                <w:rFonts w:hint="eastAsia" w:ascii="宋体" w:hAnsi="宋体" w:cs="宋体"/>
                <w:color w:val="000000"/>
                <w:sz w:val="24"/>
                <w:szCs w:val="24"/>
              </w:rPr>
              <w:t>项目联系人：</w:t>
            </w:r>
            <w:r>
              <w:rPr>
                <w:rFonts w:hint="eastAsia" w:ascii="宋体" w:hAnsi="宋体" w:cs="宋体"/>
                <w:color w:val="000000"/>
                <w:sz w:val="24"/>
                <w:szCs w:val="24"/>
                <w:lang w:eastAsia="zh-CN"/>
              </w:rPr>
              <w:t>王武明</w:t>
            </w:r>
            <w:r>
              <w:rPr>
                <w:rFonts w:hint="eastAsia"/>
                <w:color w:val="000000"/>
                <w:sz w:val="24"/>
                <w:szCs w:val="24"/>
              </w:rPr>
              <w:t xml:space="preserve"> </w:t>
            </w:r>
          </w:p>
          <w:p>
            <w:pPr>
              <w:pStyle w:val="28"/>
              <w:spacing w:line="360" w:lineRule="auto"/>
              <w:rPr>
                <w:rFonts w:ascii="宋体" w:hAnsi="宋体" w:cs="宋体"/>
                <w:color w:val="000000"/>
                <w:sz w:val="24"/>
                <w:szCs w:val="24"/>
              </w:rPr>
            </w:pPr>
            <w:r>
              <w:rPr>
                <w:rFonts w:hint="eastAsia" w:ascii="宋体" w:hAnsi="宋体" w:cs="宋体"/>
                <w:color w:val="000000"/>
                <w:sz w:val="24"/>
                <w:szCs w:val="24"/>
              </w:rPr>
              <w:t xml:space="preserve">项目联系方式：13699906818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3</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采购代理机构</w:t>
            </w:r>
          </w:p>
        </w:tc>
        <w:tc>
          <w:tcPr>
            <w:tcW w:w="6518" w:type="dxa"/>
            <w:tcBorders>
              <w:top w:val="single" w:color="auto" w:sz="4" w:space="0"/>
              <w:left w:val="single" w:color="auto" w:sz="4" w:space="0"/>
              <w:bottom w:val="single" w:color="auto" w:sz="4" w:space="0"/>
              <w:right w:val="single" w:color="auto" w:sz="4" w:space="0"/>
            </w:tcBorders>
            <w:vAlign w:val="center"/>
          </w:tcPr>
          <w:p>
            <w:pPr>
              <w:pStyle w:val="29"/>
              <w:spacing w:line="360" w:lineRule="auto"/>
              <w:rPr>
                <w:rFonts w:ascii="宋体" w:hAnsi="宋体" w:cs="宋体"/>
                <w:sz w:val="24"/>
              </w:rPr>
            </w:pPr>
            <w:r>
              <w:rPr>
                <w:rFonts w:hint="eastAsia" w:ascii="宋体" w:hAnsi="宋体" w:cs="宋体"/>
                <w:sz w:val="24"/>
              </w:rPr>
              <w:t>采购代理机构名称：华春建设工程项目管理有限责任公司</w:t>
            </w:r>
          </w:p>
          <w:p>
            <w:pPr>
              <w:pStyle w:val="29"/>
              <w:spacing w:line="360" w:lineRule="auto"/>
              <w:rPr>
                <w:rFonts w:ascii="宋体" w:hAnsi="宋体" w:cs="宋体"/>
                <w:sz w:val="24"/>
              </w:rPr>
            </w:pPr>
            <w:r>
              <w:rPr>
                <w:rFonts w:hint="eastAsia" w:ascii="宋体" w:hAnsi="宋体" w:cs="宋体"/>
                <w:sz w:val="24"/>
              </w:rPr>
              <w:t>联系人：王立娜、罗雅薇</w:t>
            </w:r>
          </w:p>
          <w:p>
            <w:pPr>
              <w:pStyle w:val="29"/>
              <w:spacing w:line="360" w:lineRule="auto"/>
              <w:rPr>
                <w:rFonts w:ascii="宋体" w:hAnsi="宋体" w:cs="宋体"/>
                <w:sz w:val="24"/>
              </w:rPr>
            </w:pPr>
            <w:r>
              <w:rPr>
                <w:rFonts w:hint="eastAsia" w:ascii="宋体" w:hAnsi="宋体" w:cs="宋体"/>
                <w:sz w:val="24"/>
              </w:rPr>
              <w:t>联系电话：0991-2629781、18097782413</w:t>
            </w:r>
          </w:p>
          <w:p>
            <w:pPr>
              <w:pStyle w:val="29"/>
              <w:spacing w:line="360" w:lineRule="auto"/>
              <w:rPr>
                <w:rFonts w:ascii="宋体" w:hAnsi="宋体" w:cs="宋体"/>
                <w:sz w:val="24"/>
              </w:rPr>
            </w:pPr>
            <w:r>
              <w:rPr>
                <w:rFonts w:hint="eastAsia" w:ascii="宋体" w:hAnsi="宋体" w:cs="宋体"/>
                <w:sz w:val="24"/>
              </w:rPr>
              <w:t>地址：新疆乌鲁木齐市水磨沟区浙商大厦15楼1505室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4</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rPr>
              <w:t>采购内容</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widowControl/>
              <w:spacing w:line="360" w:lineRule="auto"/>
              <w:jc w:val="left"/>
              <w:rPr>
                <w:rFonts w:ascii="宋体" w:hAnsi="宋体" w:eastAsia="宋体" w:cs="宋体"/>
                <w:sz w:val="24"/>
              </w:rPr>
            </w:pPr>
            <w:r>
              <w:rPr>
                <w:rFonts w:hint="eastAsia" w:ascii="宋体" w:hAnsi="宋体" w:eastAsia="宋体" w:cs="宋体"/>
                <w:sz w:val="24"/>
              </w:rPr>
              <w:t>详见谈判文件第四部分技术要求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5</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投标人资格要求</w:t>
            </w:r>
          </w:p>
        </w:tc>
        <w:tc>
          <w:tcPr>
            <w:tcW w:w="6518" w:type="dxa"/>
            <w:tcBorders>
              <w:top w:val="single" w:color="auto" w:sz="4" w:space="0"/>
              <w:left w:val="single" w:color="auto" w:sz="4" w:space="0"/>
              <w:bottom w:val="single" w:color="auto" w:sz="4" w:space="0"/>
              <w:right w:val="single" w:color="auto" w:sz="4" w:space="0"/>
            </w:tcBorders>
            <w:vAlign w:val="center"/>
          </w:tcPr>
          <w:p>
            <w:pPr>
              <w:pStyle w:val="30"/>
              <w:widowControl/>
              <w:spacing w:after="200" w:line="360" w:lineRule="auto"/>
              <w:rPr>
                <w:rFonts w:ascii="宋体" w:hAnsi="宋体" w:cs="宋体"/>
                <w:color w:val="000000"/>
                <w:sz w:val="24"/>
                <w:szCs w:val="24"/>
              </w:rPr>
            </w:pPr>
            <w:bookmarkStart w:id="8" w:name="EBd77b448698ab48f2a21fe1279362a7db"/>
            <w:bookmarkEnd w:id="8"/>
            <w:r>
              <w:rPr>
                <w:rFonts w:hint="eastAsia" w:ascii="宋体" w:hAnsi="宋体" w:cs="宋体"/>
                <w:color w:val="000000"/>
                <w:sz w:val="24"/>
                <w:szCs w:val="24"/>
              </w:rPr>
              <w:t xml:space="preserve">（1）符合《中华人民共和国政府采购法》第二十二条相关规定且有承担本项目能力的投标人； </w:t>
            </w:r>
          </w:p>
          <w:p>
            <w:pPr>
              <w:pStyle w:val="30"/>
              <w:widowControl/>
              <w:spacing w:after="200" w:line="360" w:lineRule="auto"/>
              <w:rPr>
                <w:rFonts w:ascii="宋体" w:hAnsi="宋体" w:cs="宋体"/>
                <w:color w:val="000000"/>
                <w:sz w:val="24"/>
                <w:szCs w:val="24"/>
              </w:rPr>
            </w:pPr>
            <w:r>
              <w:rPr>
                <w:rFonts w:hint="eastAsia" w:ascii="宋体" w:hAnsi="宋体" w:cs="宋体"/>
                <w:color w:val="000000"/>
                <w:sz w:val="24"/>
                <w:szCs w:val="24"/>
              </w:rPr>
              <w:t xml:space="preserve">（2）有效的工商营业执照（事业单位法人证书）、税务登记证、组织机构代码证或“三证合一”的营业执照（事业单位法人证书）或当地公证处出具的此资质的公证书； </w:t>
            </w:r>
          </w:p>
          <w:p>
            <w:pPr>
              <w:pStyle w:val="30"/>
              <w:widowControl/>
              <w:spacing w:after="200" w:line="360" w:lineRule="auto"/>
              <w:rPr>
                <w:rFonts w:ascii="宋体" w:hAnsi="宋体" w:cs="宋体"/>
                <w:color w:val="000000"/>
                <w:sz w:val="24"/>
                <w:szCs w:val="24"/>
              </w:rPr>
            </w:pPr>
            <w:r>
              <w:rPr>
                <w:rFonts w:hint="eastAsia" w:ascii="宋体" w:hAnsi="宋体" w:cs="宋体"/>
                <w:color w:val="000000"/>
                <w:sz w:val="24"/>
                <w:szCs w:val="24"/>
              </w:rPr>
              <w:t xml:space="preserve">（3）投标人未被列入“信用中国”网站(www.creditchina.gov.cn)“记录失信被执行人或重大税收违法案件当事人名单或政府采购严重违法失信行为”记录名单；未处于中国政府采购 网(www.ccgp.gov.cn)“政府采购严重违法失信行为信息记录”中（以采购代理机构发布公告至递交投标文件截止日期间内在“信用中国”网站（www.creditchina.gov.cn） 及中国政府采购网(www.ccgp.gov.cn)查询结果为准，如相关失信记录已失效，投标人需提供相关证明资料）； </w:t>
            </w:r>
          </w:p>
          <w:p>
            <w:pPr>
              <w:pStyle w:val="30"/>
              <w:widowControl/>
              <w:spacing w:after="200" w:line="360" w:lineRule="auto"/>
              <w:rPr>
                <w:rFonts w:ascii="宋体" w:hAnsi="宋体" w:cs="宋体"/>
                <w:color w:val="000000"/>
                <w:sz w:val="24"/>
                <w:szCs w:val="24"/>
              </w:rPr>
            </w:pPr>
            <w:r>
              <w:rPr>
                <w:rFonts w:hint="eastAsia" w:ascii="宋体" w:hAnsi="宋体" w:cs="宋体"/>
                <w:color w:val="000000"/>
                <w:sz w:val="24"/>
                <w:szCs w:val="24"/>
              </w:rPr>
              <w:t xml:space="preserve">（4）投标人近三年无因投标申请人违约或不恰当履约引起的合同终止、纠纷、争议、仲裁和公诉纪录；投标人必须提供无行贿犯罪记录证明网页打印件并加盖公章（以采购代理机构发布公告至递交投标文件截止日期间内在中国裁判文书网（http://wenshu.court.gov.cn/）查询结果为准）；   </w:t>
            </w:r>
          </w:p>
          <w:p>
            <w:pPr>
              <w:pStyle w:val="30"/>
              <w:widowControl/>
              <w:spacing w:after="200" w:line="360" w:lineRule="auto"/>
              <w:rPr>
                <w:rFonts w:ascii="宋体" w:hAnsi="宋体" w:cs="宋体"/>
                <w:color w:val="000000"/>
                <w:sz w:val="24"/>
                <w:szCs w:val="24"/>
              </w:rPr>
            </w:pPr>
            <w:r>
              <w:rPr>
                <w:rFonts w:hint="eastAsia" w:ascii="宋体" w:hAnsi="宋体" w:cs="宋体"/>
                <w:color w:val="000000"/>
                <w:sz w:val="24"/>
                <w:szCs w:val="24"/>
              </w:rPr>
              <w:t>（5）单位负责人为同一人或者存在直接控股、管理关系的不同投标人，不得参加同一合同项下的政府采购活动；</w:t>
            </w:r>
          </w:p>
          <w:p>
            <w:pPr>
              <w:pStyle w:val="30"/>
              <w:widowControl/>
              <w:spacing w:after="200" w:line="360" w:lineRule="auto"/>
              <w:rPr>
                <w:rFonts w:ascii="宋体" w:hAnsi="宋体" w:cs="宋体"/>
                <w:color w:val="000000"/>
                <w:sz w:val="24"/>
                <w:szCs w:val="24"/>
              </w:rPr>
            </w:pPr>
            <w:r>
              <w:rPr>
                <w:rFonts w:hint="eastAsia" w:ascii="宋体" w:hAnsi="宋体" w:cs="宋体"/>
                <w:color w:val="000000"/>
                <w:sz w:val="24"/>
                <w:szCs w:val="24"/>
              </w:rPr>
              <w:t xml:space="preserve">（6）本项目不接受联合体投标。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highlight w:val="white"/>
              </w:rPr>
              <w:t>6</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highlight w:val="white"/>
              </w:rPr>
              <w:t>谈判响应文件的组成部分</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color w:val="000000"/>
                <w:kern w:val="0"/>
                <w:sz w:val="24"/>
              </w:rPr>
            </w:pPr>
            <w:r>
              <w:rPr>
                <w:rFonts w:hint="eastAsia" w:ascii="宋体" w:hAnsi="宋体" w:eastAsia="宋体" w:cs="宋体"/>
                <w:color w:val="000000"/>
                <w:kern w:val="0"/>
                <w:sz w:val="24"/>
              </w:rPr>
              <w:t>响应文件封面、资格证明文件，商务文件、技术文件、投标人认为需要说明的其他部分。具体详见“投标文件的编制”。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highlight w:val="white"/>
              </w:rPr>
            </w:pPr>
            <w:r>
              <w:rPr>
                <w:rFonts w:hint="eastAsia" w:ascii="宋体" w:hAnsi="宋体" w:eastAsia="宋体" w:cs="宋体"/>
                <w:b/>
                <w:kern w:val="0"/>
                <w:sz w:val="24"/>
                <w:highlight w:val="white"/>
              </w:rPr>
              <w:t>7</w:t>
            </w:r>
          </w:p>
        </w:tc>
        <w:tc>
          <w:tcPr>
            <w:tcW w:w="266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000000"/>
                <w:kern w:val="0"/>
                <w:sz w:val="24"/>
              </w:rPr>
            </w:pPr>
            <w:r>
              <w:rPr>
                <w:rFonts w:hint="eastAsia" w:ascii="宋体" w:hAnsi="宋体" w:cs="宋体"/>
                <w:b/>
                <w:bCs/>
                <w:color w:val="000000"/>
                <w:kern w:val="0"/>
                <w:sz w:val="24"/>
              </w:rPr>
              <w:t>投标报价</w:t>
            </w:r>
          </w:p>
        </w:tc>
        <w:tc>
          <w:tcPr>
            <w:tcW w:w="6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000000"/>
                <w:kern w:val="0"/>
                <w:sz w:val="24"/>
              </w:rPr>
            </w:pPr>
            <w:r>
              <w:rPr>
                <w:rFonts w:hint="eastAsia" w:ascii="宋体" w:hAnsi="宋体" w:cs="宋体"/>
                <w:color w:val="000000"/>
                <w:kern w:val="0"/>
                <w:sz w:val="24"/>
              </w:rPr>
              <w:t>1、投标报价为“招标范围”内的总报价。</w:t>
            </w:r>
          </w:p>
          <w:p>
            <w:pPr>
              <w:adjustRightInd w:val="0"/>
              <w:spacing w:line="360" w:lineRule="auto"/>
              <w:rPr>
                <w:rFonts w:ascii="宋体" w:hAnsi="宋体" w:cs="宋体"/>
                <w:color w:val="000000"/>
                <w:kern w:val="0"/>
                <w:sz w:val="24"/>
              </w:rPr>
            </w:pPr>
            <w:r>
              <w:rPr>
                <w:rFonts w:hint="eastAsia" w:ascii="宋体" w:hAnsi="宋体" w:cs="宋体"/>
                <w:color w:val="000000"/>
                <w:kern w:val="0"/>
                <w:sz w:val="24"/>
              </w:rPr>
              <w:t>2、凡要求投标人考虑在报价中的内容投标人在投标文件中没有考虑、没有计入的或未单独列出，采购人认为投标人已将此项费用涵盖在其它费用价格中。</w:t>
            </w:r>
          </w:p>
          <w:p>
            <w:pPr>
              <w:adjustRightInd w:val="0"/>
              <w:spacing w:line="360" w:lineRule="auto"/>
              <w:rPr>
                <w:rFonts w:ascii="宋体" w:hAnsi="宋体" w:cs="宋体"/>
                <w:color w:val="000000"/>
                <w:kern w:val="0"/>
                <w:sz w:val="24"/>
              </w:rPr>
            </w:pPr>
            <w:r>
              <w:rPr>
                <w:rFonts w:hint="eastAsia" w:ascii="宋体" w:hAnsi="宋体" w:cs="宋体"/>
                <w:color w:val="000000"/>
                <w:kern w:val="0"/>
                <w:sz w:val="24"/>
              </w:rPr>
              <w:t>3、投标报价应包含项目实施过程中涉及到的一切费用。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highlight w:val="white"/>
              </w:rPr>
            </w:pPr>
            <w:r>
              <w:rPr>
                <w:rFonts w:hint="eastAsia" w:ascii="宋体" w:hAnsi="宋体" w:eastAsia="宋体" w:cs="宋体"/>
                <w:b/>
                <w:kern w:val="0"/>
                <w:sz w:val="24"/>
                <w:highlight w:val="white"/>
              </w:rPr>
              <w:t>8</w:t>
            </w:r>
          </w:p>
        </w:tc>
        <w:tc>
          <w:tcPr>
            <w:tcW w:w="266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b/>
                <w:sz w:val="24"/>
                <w:highlight w:val="white"/>
              </w:rPr>
            </w:pPr>
            <w:r>
              <w:rPr>
                <w:rFonts w:hint="eastAsia" w:ascii="宋体" w:hAnsi="宋体" w:cs="宋体"/>
                <w:b/>
                <w:sz w:val="24"/>
              </w:rPr>
              <w:t>资金来源</w:t>
            </w:r>
          </w:p>
        </w:tc>
        <w:tc>
          <w:tcPr>
            <w:tcW w:w="6518"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ascii="宋体" w:hAnsi="宋体" w:cs="宋体"/>
                <w:color w:val="000000"/>
                <w:kern w:val="0"/>
                <w:sz w:val="24"/>
              </w:rPr>
            </w:pPr>
            <w:r>
              <w:rPr>
                <w:rFonts w:hint="eastAsia" w:ascii="宋体" w:hAnsi="宋体" w:cs="宋体"/>
                <w:b/>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9</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sz w:val="24"/>
              </w:rPr>
            </w:pPr>
            <w:r>
              <w:rPr>
                <w:rFonts w:hint="eastAsia" w:ascii="宋体" w:hAnsi="宋体" w:eastAsia="宋体" w:cs="宋体"/>
                <w:b/>
                <w:sz w:val="24"/>
                <w:highlight w:val="white"/>
              </w:rPr>
              <w:t>是否允许联合体投标</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autoSpaceDE w:val="0"/>
              <w:autoSpaceDN w:val="0"/>
              <w:adjustRightInd w:val="0"/>
              <w:spacing w:line="360" w:lineRule="auto"/>
              <w:rPr>
                <w:rFonts w:ascii="宋体" w:hAnsi="宋体" w:eastAsia="宋体" w:cs="宋体"/>
                <w:color w:val="000000"/>
                <w:kern w:val="0"/>
                <w:sz w:val="24"/>
              </w:rPr>
            </w:pPr>
            <w:bookmarkStart w:id="9" w:name="EB0f86f5f9a6b44b37825cf035703cfc15"/>
            <w:bookmarkEnd w:id="9"/>
            <w:r>
              <w:rPr>
                <w:rFonts w:hint="eastAsia" w:ascii="宋体" w:hAnsi="宋体" w:eastAsia="宋体" w:cs="宋体"/>
                <w:color w:val="000000"/>
                <w:kern w:val="0"/>
                <w:sz w:val="24"/>
              </w:rPr>
              <w:t>☐是。</w:t>
            </w:r>
          </w:p>
          <w:p>
            <w:pPr>
              <w:pStyle w:val="26"/>
              <w:autoSpaceDE w:val="0"/>
              <w:autoSpaceDN w:val="0"/>
              <w:adjustRightInd w:val="0"/>
              <w:spacing w:line="360" w:lineRule="auto"/>
              <w:rPr>
                <w:rFonts w:ascii="宋体" w:hAnsi="宋体" w:eastAsia="宋体" w:cs="宋体"/>
                <w:color w:val="000000"/>
                <w:kern w:val="0"/>
                <w:sz w:val="24"/>
              </w:rPr>
            </w:pPr>
            <w:r>
              <w:rPr>
                <w:rFonts w:hint="eastAsia" w:ascii="宋体" w:hAnsi="宋体" w:eastAsia="宋体" w:cs="宋体"/>
                <w:color w:val="000000"/>
                <w:kern w:val="0"/>
                <w:sz w:val="24"/>
              </w:rPr>
              <w:t>应满足要求：</w:t>
            </w:r>
            <w:bookmarkStart w:id="10" w:name="EB9d99000cce4c4ff692a082ab0ad4b727"/>
            <w:bookmarkEnd w:id="10"/>
            <w:r>
              <w:rPr>
                <w:rFonts w:hint="eastAsia" w:ascii="宋体" w:hAnsi="宋体" w:eastAsia="宋体" w:cs="宋体"/>
                <w:color w:val="000000"/>
                <w:kern w:val="0"/>
                <w:sz w:val="24"/>
              </w:rPr>
              <w:t xml:space="preserve">                     </w:t>
            </w:r>
          </w:p>
          <w:p>
            <w:pPr>
              <w:pStyle w:val="26"/>
              <w:autoSpaceDE w:val="0"/>
              <w:autoSpaceDN w:val="0"/>
              <w:adjustRightInd w:val="0"/>
              <w:spacing w:line="360" w:lineRule="auto"/>
              <w:rPr>
                <w:rFonts w:ascii="宋体" w:hAnsi="宋体" w:eastAsia="宋体" w:cs="宋体"/>
                <w:color w:val="000000"/>
                <w:kern w:val="0"/>
                <w:sz w:val="24"/>
              </w:rPr>
            </w:pPr>
            <w:bookmarkStart w:id="11" w:name="EBbabddb5118a847b6bdf4b49ae8647b6b"/>
            <w:bookmarkEnd w:id="11"/>
            <w:r>
              <w:rPr>
                <w:rFonts w:hint="eastAsia" w:ascii="宋体" w:hAnsi="宋体" w:eastAsia="宋体"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rPr>
              <w:t>10</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sz w:val="24"/>
              </w:rPr>
            </w:pPr>
            <w:r>
              <w:rPr>
                <w:rFonts w:hint="eastAsia" w:ascii="宋体" w:hAnsi="宋体" w:eastAsia="宋体" w:cs="宋体"/>
                <w:b/>
                <w:sz w:val="24"/>
                <w:highlight w:val="white"/>
              </w:rPr>
              <w:t>是否允许投标人将项目非主体、非关键性工作交由他人完成</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color w:val="000000"/>
                <w:kern w:val="0"/>
                <w:sz w:val="24"/>
              </w:rPr>
            </w:pPr>
            <w:bookmarkStart w:id="12" w:name="EB46de3bf2b5e44d249096c9a68bd8cf71"/>
            <w:bookmarkEnd w:id="12"/>
            <w:r>
              <w:rPr>
                <w:rFonts w:hint="eastAsia" w:ascii="宋体" w:hAnsi="宋体" w:eastAsia="宋体" w:cs="宋体"/>
                <w:color w:val="000000"/>
                <w:kern w:val="0"/>
                <w:sz w:val="24"/>
              </w:rPr>
              <w:t>☑否。</w:t>
            </w:r>
          </w:p>
          <w:p>
            <w:pPr>
              <w:pStyle w:val="26"/>
              <w:spacing w:line="360" w:lineRule="auto"/>
              <w:rPr>
                <w:rFonts w:ascii="宋体" w:hAnsi="宋体" w:eastAsia="宋体" w:cs="宋体"/>
                <w:color w:val="000000"/>
                <w:kern w:val="0"/>
                <w:sz w:val="24"/>
              </w:rPr>
            </w:pPr>
            <w:bookmarkStart w:id="13" w:name="EB65a901bb2d1e4b94a96b402959e5078f"/>
            <w:bookmarkEnd w:id="13"/>
            <w:r>
              <w:rPr>
                <w:rFonts w:hint="eastAsia" w:ascii="宋体" w:hAnsi="宋体" w:eastAsia="宋体" w:cs="宋体"/>
                <w:color w:val="000000"/>
                <w:kern w:val="0"/>
                <w:sz w:val="24"/>
              </w:rPr>
              <w:t>☐是。中标人按照合同约定或者经采购人同意，可以将项目非主体、非关键性工作分包交由他人完成。此时，接受分包的人应当具备相应的资格条件，并不得再次分包。</w:t>
            </w:r>
          </w:p>
          <w:p>
            <w:pPr>
              <w:pStyle w:val="26"/>
              <w:spacing w:line="360" w:lineRule="auto"/>
              <w:rPr>
                <w:rFonts w:ascii="宋体" w:hAnsi="宋体" w:eastAsia="宋体" w:cs="宋体"/>
                <w:color w:val="000000"/>
                <w:kern w:val="0"/>
                <w:sz w:val="24"/>
              </w:rPr>
            </w:pPr>
            <w:r>
              <w:rPr>
                <w:rFonts w:hint="eastAsia" w:ascii="宋体" w:hAnsi="宋体" w:eastAsia="宋体" w:cs="宋体"/>
                <w:color w:val="000000"/>
                <w:kern w:val="0"/>
                <w:sz w:val="24"/>
              </w:rPr>
              <w:t>分包内容要求：</w:t>
            </w:r>
            <w:bookmarkStart w:id="14" w:name="EBa69c75a77835476bbdcb8c909a4a812c"/>
            <w:bookmarkEnd w:id="14"/>
            <w:r>
              <w:rPr>
                <w:rFonts w:hint="eastAsia" w:ascii="宋体" w:hAnsi="宋体" w:eastAsia="宋体" w:cs="宋体"/>
                <w:color w:val="000000"/>
                <w:kern w:val="0"/>
                <w:sz w:val="24"/>
                <w:u w:val="single"/>
              </w:rPr>
              <w:t xml:space="preserve">                     </w:t>
            </w:r>
          </w:p>
          <w:p>
            <w:pPr>
              <w:pStyle w:val="26"/>
              <w:spacing w:line="360" w:lineRule="auto"/>
              <w:rPr>
                <w:rFonts w:ascii="宋体" w:hAnsi="宋体" w:eastAsia="宋体" w:cs="宋体"/>
                <w:color w:val="000000"/>
                <w:kern w:val="0"/>
                <w:sz w:val="24"/>
              </w:rPr>
            </w:pPr>
            <w:r>
              <w:rPr>
                <w:rFonts w:hint="eastAsia" w:ascii="宋体" w:hAnsi="宋体" w:eastAsia="宋体" w:cs="宋体"/>
                <w:color w:val="000000"/>
                <w:kern w:val="0"/>
                <w:sz w:val="24"/>
              </w:rPr>
              <w:t>分包金额要求：</w:t>
            </w:r>
            <w:bookmarkStart w:id="15" w:name="EBd3f56592b2054e50ad44ad4ca7d3f5c2"/>
            <w:bookmarkEnd w:id="15"/>
            <w:r>
              <w:rPr>
                <w:rFonts w:hint="eastAsia" w:ascii="宋体" w:hAnsi="宋体" w:eastAsia="宋体" w:cs="宋体"/>
                <w:color w:val="000000"/>
                <w:kern w:val="0"/>
                <w:sz w:val="24"/>
                <w:u w:val="single"/>
              </w:rPr>
              <w:t xml:space="preserve">                     </w:t>
            </w:r>
          </w:p>
          <w:p>
            <w:pPr>
              <w:pStyle w:val="26"/>
              <w:autoSpaceDE w:val="0"/>
              <w:autoSpaceDN w:val="0"/>
              <w:adjustRightInd w:val="0"/>
              <w:spacing w:line="360" w:lineRule="auto"/>
              <w:rPr>
                <w:rFonts w:ascii="宋体" w:hAnsi="宋体" w:eastAsia="宋体" w:cs="宋体"/>
                <w:color w:val="000000"/>
                <w:kern w:val="0"/>
                <w:sz w:val="24"/>
              </w:rPr>
            </w:pPr>
            <w:r>
              <w:rPr>
                <w:rFonts w:hint="eastAsia" w:ascii="宋体" w:hAnsi="宋体" w:eastAsia="宋体" w:cs="宋体"/>
                <w:color w:val="000000"/>
                <w:kern w:val="0"/>
                <w:sz w:val="24"/>
              </w:rPr>
              <w:t>接受分包的第三人资质要求：</w:t>
            </w:r>
            <w:bookmarkStart w:id="16" w:name="EB5f6d947066154c69b5501788367db129"/>
            <w:bookmarkEnd w:id="16"/>
            <w:r>
              <w:rPr>
                <w:rFonts w:hint="eastAsia" w:ascii="宋体" w:hAnsi="宋体" w:eastAsia="宋体" w:cs="宋体"/>
                <w:color w:val="00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11</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sz w:val="24"/>
              </w:rPr>
            </w:pPr>
            <w:r>
              <w:rPr>
                <w:rFonts w:hint="eastAsia" w:ascii="宋体" w:hAnsi="宋体" w:eastAsia="宋体" w:cs="宋体"/>
                <w:b/>
                <w:sz w:val="24"/>
                <w:highlight w:val="white"/>
              </w:rPr>
              <w:t>踏勘现场</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autoSpaceDE w:val="0"/>
              <w:autoSpaceDN w:val="0"/>
              <w:adjustRightInd w:val="0"/>
              <w:spacing w:line="360" w:lineRule="auto"/>
              <w:rPr>
                <w:rFonts w:ascii="宋体" w:hAnsi="宋体" w:eastAsia="宋体" w:cs="宋体"/>
                <w:kern w:val="0"/>
                <w:sz w:val="24"/>
              </w:rPr>
            </w:pPr>
            <w:bookmarkStart w:id="17" w:name="EB3654e13cae20475eac84fa83364d7833"/>
            <w:bookmarkEnd w:id="17"/>
            <w:r>
              <w:rPr>
                <w:rFonts w:hint="eastAsia" w:ascii="宋体" w:hAnsi="宋体" w:eastAsia="宋体" w:cs="宋体"/>
                <w:kern w:val="0"/>
                <w:sz w:val="24"/>
              </w:rPr>
              <w:t>☑自行踏勘</w:t>
            </w:r>
          </w:p>
          <w:p>
            <w:pPr>
              <w:pStyle w:val="26"/>
              <w:autoSpaceDE w:val="0"/>
              <w:autoSpaceDN w:val="0"/>
              <w:adjustRightInd w:val="0"/>
              <w:spacing w:line="360" w:lineRule="auto"/>
              <w:rPr>
                <w:rFonts w:ascii="宋体" w:hAnsi="宋体" w:eastAsia="宋体" w:cs="宋体"/>
                <w:kern w:val="0"/>
                <w:sz w:val="24"/>
              </w:rPr>
            </w:pPr>
            <w:r>
              <w:rPr>
                <w:rFonts w:hint="eastAsia" w:ascii="宋体" w:hAnsi="宋体" w:eastAsia="宋体" w:cs="宋体"/>
                <w:kern w:val="0"/>
                <w:sz w:val="24"/>
              </w:rPr>
              <w:t>☐统一组织</w:t>
            </w:r>
          </w:p>
          <w:p>
            <w:pPr>
              <w:pStyle w:val="26"/>
              <w:autoSpaceDE w:val="0"/>
              <w:autoSpaceDN w:val="0"/>
              <w:adjustRightInd w:val="0"/>
              <w:spacing w:line="360" w:lineRule="auto"/>
              <w:rPr>
                <w:rFonts w:ascii="宋体" w:hAnsi="宋体" w:eastAsia="宋体" w:cs="宋体"/>
                <w:sz w:val="24"/>
                <w:u w:val="single"/>
              </w:rPr>
            </w:pPr>
            <w:r>
              <w:rPr>
                <w:rFonts w:hint="eastAsia" w:ascii="宋体" w:hAnsi="宋体" w:eastAsia="宋体" w:cs="宋体"/>
                <w:kern w:val="0"/>
                <w:sz w:val="24"/>
              </w:rPr>
              <w:t>联系人：</w:t>
            </w:r>
            <w:bookmarkStart w:id="18" w:name="EB3d7345a577da4ac491525e314b60b5e8"/>
            <w:bookmarkEnd w:id="18"/>
            <w:r>
              <w:rPr>
                <w:rFonts w:hint="eastAsia" w:ascii="宋体" w:hAnsi="宋体" w:eastAsia="宋体" w:cs="宋体"/>
                <w:kern w:val="0"/>
                <w:sz w:val="24"/>
                <w:u w:val="single"/>
              </w:rPr>
              <w:t>/</w:t>
            </w:r>
          </w:p>
          <w:p>
            <w:pPr>
              <w:pStyle w:val="26"/>
              <w:autoSpaceDE w:val="0"/>
              <w:autoSpaceDN w:val="0"/>
              <w:adjustRightInd w:val="0"/>
              <w:spacing w:line="360" w:lineRule="auto"/>
              <w:rPr>
                <w:rFonts w:ascii="宋体" w:hAnsi="宋体" w:eastAsia="宋体" w:cs="宋体"/>
                <w:kern w:val="0"/>
                <w:sz w:val="24"/>
              </w:rPr>
            </w:pPr>
            <w:r>
              <w:rPr>
                <w:rFonts w:hint="eastAsia" w:ascii="宋体" w:hAnsi="宋体" w:eastAsia="宋体" w:cs="宋体"/>
                <w:kern w:val="0"/>
                <w:sz w:val="24"/>
              </w:rPr>
              <w:t>联系电话：</w:t>
            </w:r>
            <w:bookmarkStart w:id="19" w:name="EBb49a8cdbac9d413c8a35f73ae703b18f"/>
            <w:bookmarkEnd w:id="19"/>
            <w:r>
              <w:rPr>
                <w:rFonts w:hint="eastAsia" w:ascii="宋体" w:hAnsi="宋体" w:eastAsia="宋体" w:cs="宋体"/>
                <w:sz w:val="24"/>
                <w:u w:val="single"/>
              </w:rPr>
              <w:t>/</w:t>
            </w:r>
          </w:p>
          <w:p>
            <w:pPr>
              <w:pStyle w:val="26"/>
              <w:spacing w:line="360" w:lineRule="auto"/>
              <w:rPr>
                <w:rFonts w:ascii="宋体" w:hAnsi="宋体" w:eastAsia="宋体" w:cs="宋体"/>
                <w:sz w:val="24"/>
              </w:rPr>
            </w:pPr>
            <w:r>
              <w:rPr>
                <w:rFonts w:hint="eastAsia" w:ascii="宋体" w:hAnsi="宋体" w:eastAsia="宋体" w:cs="宋体"/>
                <w:kern w:val="0"/>
                <w:sz w:val="24"/>
              </w:rPr>
              <w:t>踏勘时间：</w:t>
            </w:r>
            <w:bookmarkStart w:id="20" w:name="EBbbb56eccde2746b583514c7e0b747330"/>
            <w:bookmarkEnd w:id="20"/>
            <w:r>
              <w:rPr>
                <w:rFonts w:hint="eastAsia" w:ascii="宋体" w:hAnsi="宋体" w:eastAsia="宋体" w:cs="宋体"/>
                <w:sz w:val="24"/>
                <w:u w:val="single"/>
              </w:rPr>
              <w:t>/</w:t>
            </w:r>
          </w:p>
          <w:p>
            <w:pPr>
              <w:pStyle w:val="26"/>
              <w:spacing w:line="360" w:lineRule="auto"/>
              <w:rPr>
                <w:rFonts w:ascii="宋体" w:hAnsi="宋体" w:eastAsia="宋体" w:cs="宋体"/>
                <w:kern w:val="0"/>
                <w:sz w:val="24"/>
              </w:rPr>
            </w:pPr>
            <w:r>
              <w:rPr>
                <w:rFonts w:hint="eastAsia" w:ascii="宋体" w:hAnsi="宋体" w:eastAsia="宋体" w:cs="宋体"/>
                <w:kern w:val="0"/>
                <w:sz w:val="24"/>
              </w:rPr>
              <w:t>踏勘地点：</w:t>
            </w:r>
            <w:bookmarkStart w:id="21" w:name="EB642e2c6bf7f7421793376e830f8ca504"/>
            <w:bookmarkEnd w:id="21"/>
            <w:r>
              <w:rPr>
                <w:rFonts w:hint="eastAsia" w:ascii="宋体" w:hAnsi="宋体" w:eastAsia="宋体" w:cs="宋体"/>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12</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sz w:val="24"/>
              </w:rPr>
            </w:pPr>
            <w:r>
              <w:rPr>
                <w:rFonts w:hint="eastAsia" w:ascii="宋体" w:hAnsi="宋体" w:eastAsia="宋体" w:cs="宋体"/>
                <w:b/>
                <w:sz w:val="24"/>
                <w:highlight w:val="white"/>
              </w:rPr>
              <w:t>答疑接受时间</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bCs/>
                <w:sz w:val="24"/>
              </w:rPr>
            </w:pPr>
            <w:bookmarkStart w:id="22" w:name="EB17a0b1178f4e475ebd3db773a983cd6b"/>
            <w:bookmarkEnd w:id="22"/>
            <w:r>
              <w:rPr>
                <w:rFonts w:hint="eastAsia" w:ascii="宋体" w:hAnsi="宋体" w:eastAsia="宋体" w:cs="宋体"/>
                <w:sz w:val="24"/>
                <w:u w:val="single"/>
              </w:rPr>
              <w:t>投标截止时间3天</w:t>
            </w:r>
            <w:r>
              <w:rPr>
                <w:rFonts w:hint="eastAsia" w:ascii="宋体" w:hAnsi="宋体" w:eastAsia="宋体" w:cs="宋体"/>
                <w:bCs/>
                <w:sz w:val="24"/>
              </w:rPr>
              <w:t>前接受投标人疑问或澄清要求（逾期不予受理）。</w:t>
            </w:r>
          </w:p>
          <w:p>
            <w:pPr>
              <w:pStyle w:val="29"/>
              <w:spacing w:line="360" w:lineRule="auto"/>
              <w:rPr>
                <w:rFonts w:ascii="宋体" w:hAnsi="宋体" w:cs="宋体"/>
                <w:sz w:val="24"/>
              </w:rPr>
            </w:pPr>
            <w:r>
              <w:rPr>
                <w:rFonts w:hint="eastAsia" w:ascii="宋体" w:hAnsi="宋体" w:cs="宋体"/>
                <w:kern w:val="0"/>
                <w:sz w:val="24"/>
              </w:rPr>
              <w:t>联系人：</w:t>
            </w:r>
            <w:bookmarkStart w:id="23" w:name="EB0c188acceba94be79a83f193a1d4aa98"/>
            <w:bookmarkEnd w:id="23"/>
            <w:r>
              <w:rPr>
                <w:rFonts w:hint="eastAsia" w:ascii="宋体" w:hAnsi="宋体" w:cs="宋体"/>
                <w:kern w:val="0"/>
                <w:sz w:val="24"/>
              </w:rPr>
              <w:t>王立娜、罗雅薇</w:t>
            </w:r>
          </w:p>
          <w:p>
            <w:pPr>
              <w:pStyle w:val="29"/>
              <w:spacing w:line="360" w:lineRule="auto"/>
              <w:rPr>
                <w:rFonts w:ascii="宋体" w:hAnsi="宋体" w:cs="宋体"/>
                <w:sz w:val="24"/>
              </w:rPr>
            </w:pPr>
            <w:r>
              <w:rPr>
                <w:rFonts w:hint="eastAsia" w:ascii="宋体" w:hAnsi="宋体" w:cs="宋体"/>
                <w:kern w:val="0"/>
                <w:sz w:val="24"/>
              </w:rPr>
              <w:t>联系电话：</w:t>
            </w:r>
            <w:bookmarkStart w:id="24" w:name="EB901134491a6b4a88af871252f3f61d52"/>
            <w:bookmarkEnd w:id="24"/>
            <w:r>
              <w:rPr>
                <w:rFonts w:hint="eastAsia" w:ascii="宋体" w:hAnsi="宋体" w:cs="宋体"/>
                <w:kern w:val="0"/>
                <w:sz w:val="24"/>
              </w:rPr>
              <w:t>0991-2629781、18097782413</w:t>
            </w:r>
          </w:p>
          <w:p>
            <w:pPr>
              <w:pStyle w:val="26"/>
              <w:autoSpaceDE w:val="0"/>
              <w:autoSpaceDN w:val="0"/>
              <w:adjustRightInd w:val="0"/>
              <w:spacing w:line="360" w:lineRule="auto"/>
              <w:rPr>
                <w:rFonts w:ascii="宋体" w:hAnsi="宋体" w:eastAsia="宋体" w:cs="宋体"/>
                <w:sz w:val="24"/>
              </w:rPr>
            </w:pPr>
            <w:r>
              <w:rPr>
                <w:rFonts w:hint="eastAsia" w:ascii="宋体" w:hAnsi="宋体" w:eastAsia="宋体" w:cs="宋体"/>
                <w:kern w:val="0"/>
                <w:sz w:val="24"/>
              </w:rPr>
              <w:t>提交方式：</w:t>
            </w:r>
            <w:bookmarkStart w:id="25" w:name="EB6348f50b28d34fc2ae74793c8bd0070b"/>
            <w:bookmarkEnd w:id="25"/>
            <w:r>
              <w:rPr>
                <w:rFonts w:hint="eastAsia" w:ascii="宋体" w:hAnsi="宋体" w:eastAsia="宋体" w:cs="宋体"/>
                <w:sz w:val="24"/>
              </w:rPr>
              <w:t>网上提交后，电话通知。</w:t>
            </w:r>
          </w:p>
          <w:p>
            <w:pPr>
              <w:pStyle w:val="26"/>
              <w:autoSpaceDE w:val="0"/>
              <w:autoSpaceDN w:val="0"/>
              <w:adjustRightInd w:val="0"/>
              <w:spacing w:line="360" w:lineRule="auto"/>
              <w:rPr>
                <w:rFonts w:ascii="宋体" w:hAnsi="宋体" w:eastAsia="宋体" w:cs="宋体"/>
                <w:kern w:val="0"/>
                <w:sz w:val="24"/>
              </w:rPr>
            </w:pPr>
            <w:r>
              <w:rPr>
                <w:rFonts w:hint="eastAsia" w:ascii="宋体" w:hAnsi="宋体" w:eastAsia="宋体" w:cs="宋体"/>
                <w:bCs/>
                <w:sz w:val="24"/>
              </w:rPr>
              <w:t>注：澄清、修改文件发出后，投标人必须使用最新的澄清文件制作电子投标文件，否则将无法完成上传。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13</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sz w:val="24"/>
              </w:rPr>
            </w:pPr>
            <w:r>
              <w:rPr>
                <w:rFonts w:hint="eastAsia" w:ascii="宋体" w:hAnsi="宋体" w:eastAsia="宋体" w:cs="宋体"/>
                <w:b/>
                <w:sz w:val="24"/>
                <w:highlight w:val="white"/>
              </w:rPr>
              <w:t>投标有效期</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b/>
                <w:bCs/>
                <w:sz w:val="24"/>
              </w:rPr>
            </w:pPr>
            <w:r>
              <w:rPr>
                <w:rFonts w:hint="eastAsia" w:ascii="宋体" w:hAnsi="宋体" w:eastAsia="宋体" w:cs="宋体"/>
                <w:sz w:val="24"/>
                <w:lang w:val="zh-CN"/>
              </w:rPr>
              <w:t>自投标截止之日起</w:t>
            </w:r>
            <w:bookmarkStart w:id="26" w:name="EB8c89669a7b2d4e7d97b13873e077b2f7"/>
            <w:bookmarkEnd w:id="26"/>
            <w:r>
              <w:rPr>
                <w:rFonts w:hint="eastAsia" w:ascii="宋体" w:hAnsi="宋体" w:eastAsia="宋体" w:cs="宋体"/>
                <w:kern w:val="0"/>
                <w:sz w:val="24"/>
                <w:u w:val="single"/>
              </w:rPr>
              <w:t xml:space="preserve"> 90</w:t>
            </w:r>
            <w:r>
              <w:rPr>
                <w:rFonts w:hint="eastAsia" w:ascii="宋体" w:hAnsi="宋体" w:eastAsia="宋体" w:cs="宋体"/>
                <w:sz w:val="24"/>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14</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sz w:val="24"/>
              </w:rPr>
            </w:pPr>
            <w:r>
              <w:rPr>
                <w:rFonts w:hint="eastAsia" w:ascii="宋体" w:hAnsi="宋体" w:eastAsia="宋体" w:cs="宋体"/>
                <w:b/>
                <w:kern w:val="0"/>
                <w:sz w:val="24"/>
                <w:highlight w:val="white"/>
              </w:rPr>
              <w:t>投标截止时间（开标时间）</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sz w:val="24"/>
              </w:rPr>
            </w:pPr>
            <w:r>
              <w:rPr>
                <w:rFonts w:hint="eastAsia" w:ascii="宋体" w:hAnsi="宋体" w:eastAsia="宋体" w:cs="宋体"/>
                <w:sz w:val="24"/>
              </w:rPr>
              <w:t>截止时间：</w:t>
            </w:r>
            <w:bookmarkStart w:id="27" w:name="EB63b5c568556649b2bb3803aea9efb797"/>
            <w:bookmarkEnd w:id="27"/>
            <w:r>
              <w:rPr>
                <w:rFonts w:hint="eastAsia" w:ascii="宋体" w:hAnsi="宋体" w:eastAsia="宋体" w:cs="宋体"/>
                <w:sz w:val="24"/>
                <w:u w:val="single"/>
              </w:rPr>
              <w:t>2021年</w:t>
            </w:r>
            <w:r>
              <w:rPr>
                <w:rFonts w:hint="eastAsia" w:ascii="宋体" w:hAnsi="宋体" w:eastAsia="宋体" w:cs="宋体"/>
                <w:sz w:val="24"/>
                <w:u w:val="single"/>
                <w:lang w:val="en-US" w:eastAsia="zh-CN"/>
              </w:rPr>
              <w:t>9</w:t>
            </w:r>
            <w:r>
              <w:rPr>
                <w:rFonts w:hint="eastAsia" w:ascii="宋体" w:hAnsi="宋体" w:eastAsia="宋体" w:cs="宋体"/>
                <w:sz w:val="24"/>
                <w:u w:val="single"/>
              </w:rPr>
              <w:t>月</w:t>
            </w:r>
            <w:r>
              <w:rPr>
                <w:rFonts w:hint="eastAsia" w:ascii="宋体" w:hAnsi="宋体" w:eastAsia="宋体" w:cs="宋体"/>
                <w:sz w:val="24"/>
                <w:u w:val="single"/>
                <w:lang w:val="en-US" w:eastAsia="zh-CN"/>
              </w:rPr>
              <w:t>30</w:t>
            </w:r>
            <w:r>
              <w:rPr>
                <w:rFonts w:hint="eastAsia" w:ascii="宋体" w:hAnsi="宋体" w:eastAsia="宋体" w:cs="宋体"/>
                <w:sz w:val="24"/>
                <w:u w:val="single"/>
              </w:rPr>
              <w:t>日</w:t>
            </w:r>
            <w:r>
              <w:rPr>
                <w:rFonts w:hint="eastAsia" w:ascii="宋体" w:hAnsi="宋体" w:eastAsia="宋体" w:cs="宋体"/>
                <w:sz w:val="24"/>
                <w:u w:val="single"/>
                <w:lang w:val="en-US" w:eastAsia="zh-CN"/>
              </w:rPr>
              <w:t>16</w:t>
            </w:r>
            <w:r>
              <w:rPr>
                <w:rFonts w:hint="eastAsia" w:ascii="宋体" w:hAnsi="宋体" w:eastAsia="宋体" w:cs="宋体"/>
                <w:sz w:val="24"/>
                <w:u w:val="single"/>
              </w:rPr>
              <w:t>:00</w:t>
            </w:r>
            <w:r>
              <w:rPr>
                <w:rFonts w:hint="eastAsia" w:ascii="宋体" w:hAnsi="宋体" w:eastAsia="宋体" w:cs="宋体"/>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15</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投标人在投标截止</w:t>
            </w:r>
          </w:p>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时间前提交的响应文件</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sz w:val="24"/>
              </w:rPr>
            </w:pPr>
            <w:r>
              <w:rPr>
                <w:rFonts w:hint="eastAsia" w:ascii="宋体" w:hAnsi="宋体" w:eastAsia="宋体" w:cs="宋体"/>
                <w:sz w:val="24"/>
              </w:rPr>
              <w:t>投标文件（具体要求见本表第14项）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16</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投标要求</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ind w:leftChars="-1" w:hanging="2" w:hangingChars="1"/>
              <w:rPr>
                <w:rFonts w:ascii="宋体" w:hAnsi="宋体" w:eastAsia="宋体" w:cs="宋体"/>
                <w:sz w:val="24"/>
              </w:rPr>
            </w:pPr>
            <w:r>
              <w:rPr>
                <w:rFonts w:hint="eastAsia" w:ascii="宋体" w:hAnsi="宋体" w:eastAsia="宋体" w:cs="宋体"/>
                <w:sz w:val="24"/>
              </w:rPr>
              <w:t>□采用见面开标：</w:t>
            </w:r>
          </w:p>
          <w:p>
            <w:pPr>
              <w:pStyle w:val="26"/>
              <w:spacing w:line="360" w:lineRule="auto"/>
              <w:rPr>
                <w:rFonts w:ascii="宋体" w:hAnsi="宋体" w:eastAsia="宋体" w:cs="宋体"/>
                <w:sz w:val="24"/>
              </w:rPr>
            </w:pPr>
            <w:r>
              <w:rPr>
                <w:rFonts w:hint="eastAsia" w:ascii="宋体" w:hAnsi="宋体" w:eastAsia="宋体" w:cs="宋体"/>
                <w:sz w:val="24"/>
              </w:rPr>
              <w:t>投标文件包括：</w:t>
            </w:r>
          </w:p>
          <w:p>
            <w:pPr>
              <w:pStyle w:val="15"/>
              <w:spacing w:line="240" w:lineRule="atLeast"/>
            </w:pPr>
            <w:r>
              <w:rPr>
                <w:rFonts w:hint="eastAsia"/>
              </w:rPr>
              <w:t>1、加密的电子投标文件（文件格式为.PDF），在投标截止时间前上传政采云（https://www.zcygov.cn/）；</w:t>
            </w:r>
          </w:p>
          <w:p>
            <w:pPr>
              <w:pStyle w:val="26"/>
              <w:spacing w:line="360" w:lineRule="auto"/>
              <w:rPr>
                <w:rFonts w:ascii="宋体" w:hAnsi="宋体" w:eastAsia="宋体" w:cs="宋体"/>
                <w:sz w:val="24"/>
              </w:rPr>
            </w:pPr>
            <w:r>
              <w:rPr>
                <w:rFonts w:hint="eastAsia" w:ascii="宋体" w:hAnsi="宋体" w:eastAsia="宋体" w:cs="宋体"/>
                <w:sz w:val="24"/>
              </w:rPr>
              <w:t>2、未加密的电子投标文件（文件格式为.PDF）3份（光盘介质），做好标示，密封提交；</w:t>
            </w:r>
          </w:p>
          <w:p>
            <w:pPr>
              <w:pStyle w:val="26"/>
              <w:spacing w:line="360" w:lineRule="auto"/>
              <w:rPr>
                <w:rFonts w:ascii="宋体" w:hAnsi="宋体" w:eastAsia="宋体" w:cs="宋体"/>
                <w:sz w:val="24"/>
              </w:rPr>
            </w:pPr>
            <w:r>
              <w:rPr>
                <w:rFonts w:hint="eastAsia" w:ascii="宋体" w:hAnsi="宋体" w:eastAsia="宋体" w:cs="宋体"/>
                <w:sz w:val="24"/>
              </w:rPr>
              <w:t>其中，未加密的电子投标文件光盘应密封。投标人应在密封袋上注明项目名称和投标人名称。</w:t>
            </w:r>
          </w:p>
          <w:p>
            <w:pPr>
              <w:pStyle w:val="26"/>
              <w:spacing w:line="360" w:lineRule="auto"/>
              <w:rPr>
                <w:rFonts w:ascii="宋体" w:hAnsi="宋体" w:eastAsia="宋体" w:cs="宋体"/>
                <w:sz w:val="24"/>
              </w:rPr>
            </w:pPr>
            <w:r>
              <w:rPr>
                <w:rFonts w:hint="eastAsia" w:ascii="宋体" w:hAnsi="宋体" w:eastAsia="宋体" w:cs="宋体"/>
                <w:sz w:val="24"/>
              </w:rPr>
              <w:t>备注：因投标人自身原因导致解密失败的，将导致其投标被拒绝且投标文件被退回；但因网上招标系统故障导致所有投标人均解密失败时，允许投标人使用未加密的电子投标文件进行开评标。未递交加密的电子投标文件、未加密的电子投标文件（光盘3份），将导致投标被拒绝。</w:t>
            </w:r>
          </w:p>
          <w:p>
            <w:pPr>
              <w:pStyle w:val="26"/>
              <w:widowControl/>
              <w:autoSpaceDE w:val="0"/>
              <w:autoSpaceDN w:val="0"/>
              <w:spacing w:line="360" w:lineRule="exact"/>
              <w:rPr>
                <w:rFonts w:ascii="宋体" w:hAnsi="宋体" w:eastAsia="宋体" w:cs="宋体"/>
                <w:sz w:val="24"/>
              </w:rPr>
            </w:pPr>
            <w:r>
              <w:rPr>
                <w:rFonts w:hint="eastAsia" w:ascii="宋体" w:hAnsi="宋体" w:eastAsia="宋体" w:cs="宋体"/>
                <w:kern w:val="0"/>
                <w:sz w:val="24"/>
              </w:rPr>
              <w:t>☑</w:t>
            </w:r>
            <w:r>
              <w:rPr>
                <w:rFonts w:hint="eastAsia" w:ascii="宋体" w:hAnsi="宋体" w:eastAsia="宋体" w:cs="宋体"/>
                <w:sz w:val="24"/>
              </w:rPr>
              <w:t>采用不见面开标：</w:t>
            </w:r>
          </w:p>
          <w:p>
            <w:pPr>
              <w:pStyle w:val="33"/>
              <w:spacing w:line="500" w:lineRule="exact"/>
              <w:rPr>
                <w:rFonts w:ascii="宋体" w:hAnsi="宋体" w:cs="宋体"/>
                <w:kern w:val="0"/>
                <w:sz w:val="24"/>
                <w:szCs w:val="24"/>
              </w:rPr>
            </w:pPr>
            <w:r>
              <w:rPr>
                <w:rFonts w:hint="eastAsia" w:ascii="宋体" w:hAnsi="宋体" w:cs="宋体"/>
                <w:sz w:val="24"/>
                <w:szCs w:val="24"/>
              </w:rPr>
              <w:t>1．本项目采用不见面开标、投标人需要递交电子投标文件，</w:t>
            </w:r>
            <w:r>
              <w:rPr>
                <w:rFonts w:hint="eastAsia" w:ascii="宋体" w:hAnsi="宋体" w:cs="宋体"/>
                <w:kern w:val="0"/>
                <w:sz w:val="24"/>
                <w:szCs w:val="24"/>
              </w:rPr>
              <w:t>加密的电子投标文件（格式为.PDF），在投标截止时间前通过兵团</w:t>
            </w:r>
            <w:r>
              <w:rPr>
                <w:rFonts w:hint="eastAsia" w:ascii="宋体" w:hAnsi="宋体" w:cs="宋体"/>
                <w:sz w:val="24"/>
                <w:szCs w:val="24"/>
              </w:rPr>
              <w:t>政采云（</w:t>
            </w:r>
            <w:r>
              <w:rPr>
                <w:rFonts w:hint="eastAsia" w:ascii="宋体" w:hAnsi="宋体"/>
                <w:sz w:val="24"/>
              </w:rPr>
              <w:t>https://www.zcygov.cn/</w:t>
            </w:r>
            <w:r>
              <w:rPr>
                <w:rFonts w:hint="eastAsia" w:ascii="宋体" w:hAnsi="宋体" w:cs="宋体"/>
                <w:sz w:val="24"/>
                <w:szCs w:val="24"/>
              </w:rPr>
              <w:t>）</w:t>
            </w:r>
            <w:r>
              <w:rPr>
                <w:rFonts w:hint="eastAsia" w:ascii="宋体" w:hAnsi="宋体" w:cs="宋体"/>
                <w:kern w:val="0"/>
                <w:sz w:val="24"/>
                <w:szCs w:val="24"/>
              </w:rPr>
              <w:t>上传到指定位置。</w:t>
            </w:r>
            <w:r>
              <w:rPr>
                <w:rFonts w:hint="eastAsia" w:ascii="宋体" w:hAnsi="宋体" w:cs="宋体"/>
                <w:sz w:val="24"/>
                <w:szCs w:val="24"/>
              </w:rPr>
              <w:t>无需递交纸质文件。</w:t>
            </w:r>
          </w:p>
          <w:p>
            <w:pPr>
              <w:pStyle w:val="26"/>
              <w:spacing w:line="360" w:lineRule="auto"/>
              <w:rPr>
                <w:rFonts w:ascii="宋体" w:hAnsi="宋体" w:eastAsia="宋体" w:cs="宋体"/>
                <w:sz w:val="24"/>
              </w:rPr>
            </w:pPr>
            <w:r>
              <w:rPr>
                <w:rFonts w:hint="eastAsia" w:ascii="宋体" w:hAnsi="宋体" w:eastAsia="宋体" w:cs="宋体"/>
                <w:sz w:val="24"/>
              </w:rPr>
              <w:t>2.本项目采用远程不见面交易的模式。开标当日，投标人无需到达开标现场，仅需在任意地点通过兵团政采云（</w:t>
            </w:r>
            <w:r>
              <w:rPr>
                <w:rFonts w:hint="eastAsia" w:ascii="宋体" w:hAnsi="宋体"/>
                <w:sz w:val="24"/>
              </w:rPr>
              <w:t>https://www.zcygov.cn/</w:t>
            </w:r>
            <w:r>
              <w:rPr>
                <w:rFonts w:hint="eastAsia" w:ascii="宋体" w:hAnsi="宋体" w:eastAsia="宋体" w:cs="宋体"/>
                <w:sz w:val="24"/>
              </w:rPr>
              <w:t>）平台完成远程解密、提疑澄清、开标唱标、结果公布等交互环节。投标人必须使用能正确解密投标文件的“CA锁”在规定的时间内完成远程解密，因投标人原因未能解密、解密失败或解密超时，视为投标人撤销其投标文件，系统内投标文件将被退回；因采购人原因或网上招投标平台发生故障，导致无法按时完成投标文件解密或开、评标工作无法进行的，可根据实际情况相应延迟解密时间或调整开、评标时间（友情提示：若投标人已领取副锁（含多把副锁）请注意正副锁的使用差别，务必使用生成投标文件的那把锁解密）。</w:t>
            </w:r>
          </w:p>
          <w:p>
            <w:pPr>
              <w:pStyle w:val="26"/>
              <w:spacing w:line="360" w:lineRule="auto"/>
              <w:rPr>
                <w:rFonts w:ascii="宋体" w:hAnsi="宋体" w:eastAsia="宋体" w:cs="宋体"/>
                <w:kern w:val="0"/>
                <w:sz w:val="24"/>
              </w:rPr>
            </w:pPr>
            <w:r>
              <w:rPr>
                <w:rFonts w:hint="eastAsia" w:ascii="宋体" w:hAnsi="宋体" w:eastAsia="宋体" w:cs="宋体"/>
                <w:sz w:val="24"/>
              </w:rPr>
              <w:t>3.远程开标前，投标人务必在兵团政采云（</w:t>
            </w:r>
            <w:r>
              <w:rPr>
                <w:rFonts w:hint="eastAsia" w:ascii="宋体" w:hAnsi="宋体"/>
                <w:sz w:val="24"/>
              </w:rPr>
              <w:t>https://www.zcygov.cn/</w:t>
            </w:r>
            <w:r>
              <w:rPr>
                <w:rFonts w:hint="eastAsia" w:ascii="宋体" w:hAnsi="宋体" w:eastAsia="宋体" w:cs="宋体"/>
                <w:sz w:val="24"/>
              </w:rPr>
              <w:t>）；投标文件上传模块中使用“模拟解密”功能，验证本机远程自助解密环境。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17</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开标时间及地点</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ind w:leftChars="-1" w:hanging="2" w:hangingChars="1"/>
              <w:rPr>
                <w:rFonts w:ascii="宋体" w:hAnsi="宋体" w:eastAsia="宋体" w:cs="宋体"/>
                <w:sz w:val="24"/>
              </w:rPr>
            </w:pPr>
            <w:r>
              <w:rPr>
                <w:rFonts w:hint="eastAsia" w:ascii="宋体" w:hAnsi="宋体" w:eastAsia="宋体" w:cs="宋体"/>
                <w:sz w:val="24"/>
                <w:highlight w:val="white"/>
              </w:rPr>
              <w:t>□采用见面开标：</w:t>
            </w:r>
          </w:p>
          <w:p>
            <w:pPr>
              <w:pStyle w:val="26"/>
              <w:spacing w:line="360" w:lineRule="auto"/>
              <w:rPr>
                <w:rFonts w:ascii="宋体" w:hAnsi="宋体" w:eastAsia="宋体" w:cs="宋体"/>
                <w:sz w:val="24"/>
              </w:rPr>
            </w:pPr>
            <w:r>
              <w:rPr>
                <w:rFonts w:hint="eastAsia" w:ascii="宋体" w:hAnsi="宋体" w:eastAsia="宋体" w:cs="宋体"/>
                <w:sz w:val="24"/>
                <w:highlight w:val="white"/>
              </w:rPr>
              <w:t>开标时间：同投标截止时间</w:t>
            </w:r>
          </w:p>
          <w:p>
            <w:pPr>
              <w:pStyle w:val="26"/>
              <w:spacing w:line="360" w:lineRule="auto"/>
              <w:rPr>
                <w:rFonts w:ascii="宋体" w:hAnsi="宋体" w:eastAsia="宋体" w:cs="宋体"/>
                <w:kern w:val="0"/>
                <w:sz w:val="24"/>
                <w:u w:val="single"/>
              </w:rPr>
            </w:pPr>
            <w:r>
              <w:rPr>
                <w:rFonts w:hint="eastAsia" w:ascii="宋体" w:hAnsi="宋体" w:eastAsia="宋体" w:cs="宋体"/>
                <w:sz w:val="24"/>
                <w:highlight w:val="white"/>
              </w:rPr>
              <w:t>开标地点：</w:t>
            </w:r>
            <w:bookmarkStart w:id="28" w:name="EBb9cb93a09e6f423386ef27e1ab12b20b"/>
            <w:bookmarkEnd w:id="28"/>
            <w:r>
              <w:rPr>
                <w:rFonts w:hint="eastAsia" w:ascii="宋体" w:hAnsi="宋体" w:eastAsia="宋体" w:cs="宋体"/>
                <w:kern w:val="0"/>
                <w:sz w:val="24"/>
                <w:highlight w:val="white"/>
                <w:u w:val="single"/>
              </w:rPr>
              <w:t xml:space="preserve">                    </w:t>
            </w:r>
          </w:p>
          <w:p>
            <w:pPr>
              <w:pStyle w:val="26"/>
              <w:widowControl/>
              <w:spacing w:line="320" w:lineRule="exact"/>
              <w:rPr>
                <w:rFonts w:ascii="宋体" w:hAnsi="宋体" w:eastAsia="宋体" w:cs="宋体"/>
                <w:sz w:val="24"/>
              </w:rPr>
            </w:pPr>
            <w:r>
              <w:rPr>
                <w:rFonts w:hint="eastAsia" w:ascii="宋体" w:hAnsi="宋体" w:eastAsia="宋体" w:cs="宋体"/>
                <w:kern w:val="0"/>
                <w:sz w:val="24"/>
                <w:highlight w:val="white"/>
              </w:rPr>
              <w:t>☑</w:t>
            </w:r>
            <w:r>
              <w:rPr>
                <w:rFonts w:hint="eastAsia" w:ascii="宋体" w:hAnsi="宋体" w:eastAsia="宋体" w:cs="宋体"/>
                <w:sz w:val="24"/>
                <w:highlight w:val="white"/>
              </w:rPr>
              <w:t>采用不见面开标：</w:t>
            </w:r>
          </w:p>
          <w:p>
            <w:pPr>
              <w:pStyle w:val="26"/>
              <w:spacing w:line="360" w:lineRule="auto"/>
              <w:rPr>
                <w:rFonts w:ascii="宋体" w:hAnsi="宋体" w:eastAsia="宋体" w:cs="宋体"/>
                <w:kern w:val="0"/>
                <w:sz w:val="24"/>
                <w:u w:val="single"/>
              </w:rPr>
            </w:pPr>
            <w:r>
              <w:rPr>
                <w:rFonts w:hint="eastAsia" w:ascii="宋体" w:hAnsi="宋体" w:eastAsia="宋体" w:cs="宋体"/>
                <w:sz w:val="24"/>
                <w:highlight w:val="white"/>
              </w:rPr>
              <w:t>开标时间：</w:t>
            </w:r>
            <w:r>
              <w:rPr>
                <w:rFonts w:hint="eastAsia" w:ascii="宋体" w:hAnsi="宋体" w:eastAsia="宋体" w:cs="宋体"/>
                <w:sz w:val="24"/>
                <w:highlight w:val="white"/>
                <w:u w:val="single"/>
              </w:rPr>
              <w:t>2021年</w:t>
            </w:r>
            <w:r>
              <w:rPr>
                <w:rFonts w:hint="eastAsia" w:ascii="宋体" w:hAnsi="宋体" w:eastAsia="宋体" w:cs="宋体"/>
                <w:sz w:val="24"/>
                <w:highlight w:val="white"/>
                <w:u w:val="single"/>
                <w:lang w:val="en-US" w:eastAsia="zh-CN"/>
              </w:rPr>
              <w:t>9</w:t>
            </w:r>
            <w:r>
              <w:rPr>
                <w:rFonts w:hint="eastAsia" w:ascii="宋体" w:hAnsi="宋体" w:eastAsia="宋体" w:cs="宋体"/>
                <w:sz w:val="24"/>
                <w:highlight w:val="white"/>
                <w:u w:val="single"/>
              </w:rPr>
              <w:t>月</w:t>
            </w:r>
            <w:r>
              <w:rPr>
                <w:rFonts w:hint="eastAsia" w:ascii="宋体" w:hAnsi="宋体" w:eastAsia="宋体" w:cs="宋体"/>
                <w:sz w:val="24"/>
                <w:highlight w:val="white"/>
                <w:u w:val="single"/>
                <w:lang w:val="en-US" w:eastAsia="zh-CN"/>
              </w:rPr>
              <w:t>30</w:t>
            </w:r>
            <w:r>
              <w:rPr>
                <w:rFonts w:hint="eastAsia" w:ascii="宋体" w:hAnsi="宋体" w:eastAsia="宋体" w:cs="宋体"/>
                <w:sz w:val="24"/>
                <w:highlight w:val="white"/>
                <w:u w:val="single"/>
              </w:rPr>
              <w:t>日</w:t>
            </w:r>
            <w:r>
              <w:rPr>
                <w:rFonts w:hint="eastAsia" w:ascii="宋体" w:hAnsi="宋体" w:eastAsia="宋体" w:cs="宋体"/>
                <w:sz w:val="24"/>
                <w:highlight w:val="white"/>
                <w:u w:val="single"/>
                <w:lang w:val="en-US" w:eastAsia="zh-CN"/>
              </w:rPr>
              <w:t>16</w:t>
            </w:r>
            <w:r>
              <w:rPr>
                <w:rFonts w:hint="eastAsia" w:ascii="宋体" w:hAnsi="宋体" w:eastAsia="宋体" w:cs="宋体"/>
                <w:sz w:val="24"/>
                <w:highlight w:val="white"/>
                <w:u w:val="single"/>
              </w:rPr>
              <w:t>:00</w:t>
            </w:r>
            <w:r>
              <w:rPr>
                <w:rFonts w:hint="eastAsia" w:ascii="宋体" w:hAnsi="宋体" w:eastAsia="宋体" w:cs="宋体"/>
                <w:sz w:val="24"/>
                <w:highlight w:val="white"/>
              </w:rPr>
              <w:t>(北京时间)</w:t>
            </w:r>
          </w:p>
          <w:p>
            <w:pPr>
              <w:pStyle w:val="26"/>
              <w:spacing w:line="360" w:lineRule="auto"/>
              <w:rPr>
                <w:rFonts w:ascii="宋体" w:hAnsi="宋体" w:eastAsia="宋体" w:cs="宋体"/>
                <w:sz w:val="24"/>
              </w:rPr>
            </w:pPr>
            <w:r>
              <w:rPr>
                <w:rFonts w:hint="eastAsia" w:ascii="宋体" w:hAnsi="宋体" w:eastAsia="宋体" w:cs="宋体"/>
                <w:sz w:val="24"/>
                <w:highlight w:val="white"/>
              </w:rPr>
              <w:t>开标地点：远程不见面开标大厅</w:t>
            </w:r>
          </w:p>
          <w:p>
            <w:pPr>
              <w:pStyle w:val="26"/>
              <w:spacing w:line="360" w:lineRule="auto"/>
              <w:rPr>
                <w:rFonts w:ascii="宋体" w:hAnsi="宋体" w:eastAsia="宋体" w:cs="宋体"/>
                <w:sz w:val="24"/>
              </w:rPr>
            </w:pPr>
            <w:r>
              <w:rPr>
                <w:rFonts w:hint="eastAsia" w:ascii="宋体" w:hAnsi="宋体" w:eastAsia="宋体" w:cs="宋体"/>
                <w:sz w:val="24"/>
                <w:highlight w:val="white"/>
              </w:rPr>
              <w:t>不见面开标默认解密时长：</w:t>
            </w:r>
            <w:r>
              <w:rPr>
                <w:rFonts w:hint="eastAsia" w:ascii="宋体" w:hAnsi="宋体" w:eastAsia="宋体" w:cs="宋体"/>
                <w:kern w:val="0"/>
                <w:sz w:val="24"/>
                <w:highlight w:val="white"/>
                <w:u w:val="single"/>
              </w:rPr>
              <w:t xml:space="preserve"> 20分钟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18</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评标委员会的组成</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sz w:val="24"/>
              </w:rPr>
            </w:pPr>
            <w:r>
              <w:rPr>
                <w:rFonts w:hint="eastAsia" w:ascii="宋体" w:hAnsi="宋体" w:eastAsia="宋体" w:cs="宋体"/>
                <w:sz w:val="24"/>
                <w:highlight w:val="white"/>
              </w:rPr>
              <w:t>评标委员会构成：</w:t>
            </w:r>
            <w:bookmarkStart w:id="29" w:name="EB3f0c29cb8f8242048d3ab4e38d30f235"/>
            <w:bookmarkEnd w:id="29"/>
            <w:r>
              <w:rPr>
                <w:rFonts w:hint="eastAsia" w:ascii="宋体" w:hAnsi="宋体" w:eastAsia="宋体" w:cs="宋体"/>
                <w:kern w:val="0"/>
                <w:sz w:val="24"/>
                <w:highlight w:val="white"/>
                <w:u w:val="single"/>
              </w:rPr>
              <w:t xml:space="preserve"> 3 </w:t>
            </w:r>
            <w:r>
              <w:rPr>
                <w:rFonts w:hint="eastAsia" w:ascii="宋体" w:hAnsi="宋体" w:eastAsia="宋体" w:cs="宋体"/>
                <w:sz w:val="24"/>
                <w:highlight w:val="white"/>
              </w:rPr>
              <w:t>人，其中招标人代表</w:t>
            </w:r>
            <w:bookmarkStart w:id="30" w:name="EB1dccf8155053468b961a92163090aec3"/>
            <w:bookmarkEnd w:id="30"/>
            <w:r>
              <w:rPr>
                <w:rFonts w:hint="eastAsia" w:ascii="宋体" w:hAnsi="宋体" w:eastAsia="宋体" w:cs="宋体"/>
                <w:kern w:val="0"/>
                <w:sz w:val="24"/>
                <w:highlight w:val="white"/>
                <w:u w:val="single"/>
              </w:rPr>
              <w:t>1</w:t>
            </w:r>
            <w:r>
              <w:rPr>
                <w:rFonts w:hint="eastAsia" w:ascii="宋体" w:hAnsi="宋体" w:eastAsia="宋体" w:cs="宋体"/>
                <w:sz w:val="24"/>
                <w:highlight w:val="white"/>
              </w:rPr>
              <w:t>人</w:t>
            </w:r>
          </w:p>
          <w:p>
            <w:pPr>
              <w:pStyle w:val="26"/>
              <w:spacing w:line="360" w:lineRule="auto"/>
              <w:rPr>
                <w:rFonts w:ascii="宋体" w:hAnsi="宋体" w:eastAsia="宋体" w:cs="宋体"/>
                <w:sz w:val="24"/>
              </w:rPr>
            </w:pPr>
            <w:r>
              <w:rPr>
                <w:rFonts w:hint="eastAsia" w:ascii="宋体" w:hAnsi="宋体" w:eastAsia="宋体" w:cs="宋体"/>
                <w:sz w:val="24"/>
                <w:highlight w:val="white"/>
              </w:rPr>
              <w:t>评委确定方式：</w:t>
            </w:r>
            <w:bookmarkStart w:id="31" w:name="EBa6c2783a0e5147c8b3ec5246f7ef3cfa"/>
            <w:bookmarkEnd w:id="31"/>
            <w:r>
              <w:rPr>
                <w:rFonts w:hint="eastAsia" w:ascii="宋体" w:hAnsi="宋体" w:eastAsia="宋体" w:cs="宋体"/>
                <w:kern w:val="0"/>
                <w:sz w:val="24"/>
                <w:highlight w:val="white"/>
                <w:u w:val="single"/>
              </w:rPr>
              <w:t>在兵团政采云专家库中抽取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19</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rPr>
              <w:t>投标保证金</w:t>
            </w:r>
          </w:p>
        </w:tc>
        <w:tc>
          <w:tcPr>
            <w:tcW w:w="651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ascii="宋体" w:hAnsi="宋体" w:eastAsia="宋体" w:cs="宋体"/>
                <w:kern w:val="0"/>
                <w:sz w:val="24"/>
              </w:rPr>
            </w:pPr>
            <w:r>
              <w:rPr>
                <w:rFonts w:hint="eastAsia" w:ascii="宋体" w:hAnsi="宋体" w:eastAsia="宋体" w:cs="宋体"/>
                <w:kern w:val="0"/>
                <w:sz w:val="24"/>
              </w:rPr>
              <w:t>到账截止时间：</w:t>
            </w:r>
            <w:bookmarkStart w:id="32" w:name="EB961a54d590dd4901836fe4678f9cafb9"/>
            <w:bookmarkEnd w:id="32"/>
            <w:r>
              <w:rPr>
                <w:rFonts w:hint="eastAsia" w:ascii="宋体" w:hAnsi="宋体" w:eastAsia="宋体" w:cs="宋体"/>
                <w:sz w:val="24"/>
                <w:highlight w:val="white"/>
                <w:u w:val="single"/>
              </w:rPr>
              <w:t>2021年</w:t>
            </w:r>
            <w:r>
              <w:rPr>
                <w:rFonts w:hint="eastAsia" w:ascii="宋体" w:hAnsi="宋体" w:eastAsia="宋体" w:cs="宋体"/>
                <w:sz w:val="24"/>
                <w:highlight w:val="white"/>
                <w:u w:val="single"/>
                <w:lang w:val="en-US" w:eastAsia="zh-CN"/>
              </w:rPr>
              <w:t>9</w:t>
            </w:r>
            <w:r>
              <w:rPr>
                <w:rFonts w:hint="eastAsia" w:ascii="宋体" w:hAnsi="宋体" w:eastAsia="宋体" w:cs="宋体"/>
                <w:sz w:val="24"/>
                <w:highlight w:val="white"/>
                <w:u w:val="single"/>
              </w:rPr>
              <w:t>月</w:t>
            </w:r>
            <w:r>
              <w:rPr>
                <w:rFonts w:hint="eastAsia" w:ascii="宋体" w:hAnsi="宋体" w:eastAsia="宋体" w:cs="宋体"/>
                <w:sz w:val="24"/>
                <w:highlight w:val="white"/>
                <w:u w:val="single"/>
                <w:lang w:val="en-US" w:eastAsia="zh-CN"/>
              </w:rPr>
              <w:t>30</w:t>
            </w:r>
            <w:r>
              <w:rPr>
                <w:rFonts w:hint="eastAsia" w:ascii="宋体" w:hAnsi="宋体" w:eastAsia="宋体" w:cs="宋体"/>
                <w:sz w:val="24"/>
                <w:highlight w:val="white"/>
                <w:u w:val="single"/>
              </w:rPr>
              <w:t>日</w:t>
            </w:r>
            <w:r>
              <w:rPr>
                <w:rFonts w:hint="eastAsia" w:ascii="宋体" w:hAnsi="宋体" w:eastAsia="宋体" w:cs="宋体"/>
                <w:sz w:val="24"/>
                <w:highlight w:val="white"/>
                <w:u w:val="single"/>
                <w:lang w:val="en-US" w:eastAsia="zh-CN"/>
              </w:rPr>
              <w:t>16</w:t>
            </w:r>
            <w:r>
              <w:rPr>
                <w:rFonts w:hint="eastAsia" w:ascii="宋体" w:hAnsi="宋体" w:eastAsia="宋体" w:cs="宋体"/>
                <w:sz w:val="24"/>
                <w:highlight w:val="white"/>
                <w:u w:val="single"/>
              </w:rPr>
              <w:t>:00</w:t>
            </w:r>
            <w:r>
              <w:rPr>
                <w:rFonts w:hint="eastAsia" w:ascii="宋体" w:hAnsi="宋体" w:eastAsia="宋体" w:cs="宋体"/>
                <w:sz w:val="24"/>
                <w:highlight w:val="white"/>
              </w:rPr>
              <w:t>(北京时间)</w:t>
            </w:r>
          </w:p>
          <w:p>
            <w:pPr>
              <w:pStyle w:val="26"/>
              <w:spacing w:line="360" w:lineRule="auto"/>
              <w:rPr>
                <w:rFonts w:ascii="宋体" w:hAnsi="宋体" w:eastAsia="宋体" w:cs="宋体"/>
                <w:bCs/>
                <w:sz w:val="24"/>
              </w:rPr>
            </w:pPr>
            <w:r>
              <w:rPr>
                <w:rFonts w:hint="eastAsia" w:ascii="宋体" w:hAnsi="宋体" w:eastAsia="宋体" w:cs="宋体"/>
                <w:bCs/>
                <w:sz w:val="24"/>
              </w:rPr>
              <w:t>投标保证金：银行转账（必须由投标人的基本账户转出）</w:t>
            </w:r>
          </w:p>
          <w:p>
            <w:pPr>
              <w:pStyle w:val="26"/>
              <w:spacing w:line="360" w:lineRule="auto"/>
              <w:rPr>
                <w:rFonts w:ascii="宋体" w:hAnsi="宋体" w:eastAsia="宋体" w:cs="宋体"/>
                <w:bCs/>
                <w:sz w:val="24"/>
              </w:rPr>
            </w:pPr>
            <w:r>
              <w:rPr>
                <w:rFonts w:hint="eastAsia" w:ascii="宋体" w:hAnsi="宋体" w:eastAsia="宋体" w:cs="宋体"/>
                <w:bCs/>
                <w:sz w:val="24"/>
              </w:rPr>
              <w:t>户名：华春建设工程项目管理有限责任公司乌鲁木齐分公司</w:t>
            </w:r>
          </w:p>
          <w:p>
            <w:pPr>
              <w:pStyle w:val="26"/>
              <w:spacing w:line="360" w:lineRule="auto"/>
              <w:rPr>
                <w:rFonts w:ascii="宋体" w:hAnsi="宋体" w:eastAsia="宋体" w:cs="宋体"/>
                <w:bCs/>
                <w:sz w:val="24"/>
              </w:rPr>
            </w:pPr>
            <w:r>
              <w:rPr>
                <w:rFonts w:hint="eastAsia" w:ascii="宋体" w:hAnsi="宋体" w:eastAsia="宋体" w:cs="宋体"/>
                <w:bCs/>
                <w:sz w:val="24"/>
              </w:rPr>
              <w:t>开户行：中国农业银行股份有限公司乌鲁木齐北门支行</w:t>
            </w:r>
          </w:p>
          <w:p>
            <w:pPr>
              <w:pStyle w:val="26"/>
              <w:spacing w:line="360" w:lineRule="auto"/>
              <w:rPr>
                <w:rFonts w:ascii="宋体" w:hAnsi="宋体" w:eastAsia="宋体" w:cs="宋体"/>
                <w:bCs/>
                <w:sz w:val="24"/>
              </w:rPr>
            </w:pPr>
            <w:r>
              <w:rPr>
                <w:rFonts w:hint="eastAsia" w:ascii="宋体" w:hAnsi="宋体" w:eastAsia="宋体" w:cs="宋体"/>
                <w:bCs/>
                <w:sz w:val="24"/>
              </w:rPr>
              <w:t>银行账号：30000601040004017</w:t>
            </w:r>
          </w:p>
          <w:p>
            <w:pPr>
              <w:pStyle w:val="26"/>
              <w:spacing w:line="360" w:lineRule="auto"/>
              <w:rPr>
                <w:rFonts w:ascii="宋体" w:hAnsi="宋体" w:eastAsia="宋体" w:cs="宋体"/>
                <w:bCs/>
                <w:sz w:val="24"/>
              </w:rPr>
            </w:pPr>
            <w:r>
              <w:rPr>
                <w:rFonts w:hint="eastAsia" w:ascii="宋体" w:hAnsi="宋体" w:eastAsia="宋体" w:cs="宋体"/>
                <w:bCs/>
                <w:sz w:val="24"/>
              </w:rPr>
              <w:t>行号：103881000068</w:t>
            </w:r>
          </w:p>
          <w:p>
            <w:pPr>
              <w:pStyle w:val="26"/>
              <w:spacing w:line="360" w:lineRule="auto"/>
              <w:rPr>
                <w:rFonts w:ascii="宋体" w:hAnsi="宋体" w:eastAsia="宋体" w:cs="宋体"/>
                <w:bCs/>
                <w:sz w:val="24"/>
                <w:highlight w:val="none"/>
              </w:rPr>
            </w:pPr>
            <w:r>
              <w:rPr>
                <w:rFonts w:hint="eastAsia" w:ascii="宋体" w:hAnsi="宋体" w:eastAsia="宋体" w:cs="宋体"/>
                <w:bCs/>
                <w:sz w:val="24"/>
                <w:highlight w:val="none"/>
              </w:rPr>
              <w:t>金额：</w:t>
            </w:r>
            <w:r>
              <w:rPr>
                <w:rFonts w:hint="eastAsia" w:ascii="宋体" w:hAnsi="宋体" w:eastAsia="宋体" w:cs="宋体"/>
                <w:bCs/>
                <w:sz w:val="24"/>
                <w:highlight w:val="none"/>
                <w:lang w:val="en-US" w:eastAsia="zh-CN"/>
              </w:rPr>
              <w:t>7000</w:t>
            </w:r>
            <w:r>
              <w:rPr>
                <w:rFonts w:hint="eastAsia" w:ascii="宋体" w:hAnsi="宋体" w:eastAsia="宋体" w:cs="宋体"/>
                <w:bCs/>
                <w:sz w:val="24"/>
                <w:highlight w:val="none"/>
              </w:rPr>
              <w:t>元（</w:t>
            </w:r>
            <w:r>
              <w:rPr>
                <w:rFonts w:hint="eastAsia" w:ascii="宋体" w:hAnsi="宋体" w:eastAsia="宋体" w:cs="宋体"/>
                <w:bCs/>
                <w:sz w:val="24"/>
                <w:highlight w:val="none"/>
                <w:lang w:eastAsia="zh-CN"/>
              </w:rPr>
              <w:t>柒仟</w:t>
            </w:r>
            <w:r>
              <w:rPr>
                <w:rFonts w:hint="eastAsia" w:ascii="宋体" w:hAnsi="宋体" w:eastAsia="宋体" w:cs="宋体"/>
                <w:bCs/>
                <w:sz w:val="24"/>
                <w:highlight w:val="none"/>
              </w:rPr>
              <w:t xml:space="preserve">元整）   </w:t>
            </w:r>
          </w:p>
          <w:p>
            <w:pPr>
              <w:pStyle w:val="26"/>
              <w:spacing w:line="360" w:lineRule="auto"/>
              <w:rPr>
                <w:rFonts w:ascii="宋体" w:hAnsi="宋体" w:eastAsia="宋体" w:cs="宋体"/>
                <w:bCs/>
                <w:sz w:val="24"/>
              </w:rPr>
            </w:pPr>
            <w:r>
              <w:rPr>
                <w:rFonts w:hint="eastAsia" w:ascii="宋体" w:hAnsi="宋体" w:eastAsia="宋体" w:cs="宋体"/>
                <w:bCs/>
                <w:sz w:val="24"/>
              </w:rPr>
              <w:t>1.投标人提交投标保证金应充分考虑资金在途时间。各投标单位缴纳投标保证金时须在附加信息及用途栏内注明“XXX项目投标保证金（以投标保证金接收方银行到账信息为准）。</w:t>
            </w:r>
          </w:p>
          <w:p>
            <w:pPr>
              <w:pStyle w:val="26"/>
              <w:spacing w:line="360" w:lineRule="auto"/>
              <w:rPr>
                <w:rFonts w:ascii="宋体" w:hAnsi="宋体" w:eastAsia="宋体" w:cs="宋体"/>
                <w:bCs/>
                <w:sz w:val="24"/>
              </w:rPr>
            </w:pPr>
            <w:r>
              <w:rPr>
                <w:rFonts w:hint="eastAsia" w:ascii="宋体" w:hAnsi="宋体" w:eastAsia="宋体" w:cs="宋体"/>
                <w:bCs/>
                <w:sz w:val="24"/>
              </w:rPr>
              <w:t>2. 若投标人未按照上述规定缴纳投标保证金,投标文件将被拒绝评审。</w:t>
            </w:r>
          </w:p>
          <w:p>
            <w:pPr>
              <w:pStyle w:val="26"/>
              <w:spacing w:line="360" w:lineRule="auto"/>
              <w:rPr>
                <w:rFonts w:ascii="宋体" w:hAnsi="宋体" w:eastAsia="宋体" w:cs="宋体"/>
                <w:bCs/>
                <w:sz w:val="24"/>
              </w:rPr>
            </w:pPr>
            <w:r>
              <w:rPr>
                <w:rFonts w:hint="eastAsia" w:ascii="宋体" w:hAnsi="宋体" w:eastAsia="宋体" w:cs="宋体"/>
                <w:bCs/>
                <w:sz w:val="24"/>
              </w:rPr>
              <w:t>3. 文件中需提供开户行许可证，以备后续退保证金使用。</w:t>
            </w:r>
          </w:p>
          <w:p>
            <w:pPr>
              <w:pStyle w:val="26"/>
              <w:spacing w:line="360" w:lineRule="auto"/>
              <w:rPr>
                <w:rFonts w:ascii="宋体" w:hAnsi="宋体" w:eastAsia="宋体" w:cs="宋体"/>
                <w:b/>
                <w:sz w:val="24"/>
              </w:rPr>
            </w:pPr>
            <w:r>
              <w:rPr>
                <w:rFonts w:hint="eastAsia" w:ascii="宋体" w:hAnsi="宋体" w:eastAsia="宋体" w:cs="宋体"/>
                <w:bCs/>
                <w:sz w:val="24"/>
              </w:rPr>
              <w:t>4.保证金事宜请联系财务室：肖芳 0991-4181809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20</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政府政策</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kern w:val="0"/>
                <w:sz w:val="24"/>
              </w:rPr>
            </w:pPr>
            <w:r>
              <w:rPr>
                <w:rFonts w:hint="eastAsia" w:ascii="宋体" w:hAnsi="宋体" w:eastAsia="宋体" w:cs="宋体"/>
                <w:kern w:val="0"/>
                <w:sz w:val="24"/>
              </w:rPr>
              <w:t>1、小微型企业价格扣除</w:t>
            </w:r>
          </w:p>
          <w:p>
            <w:pPr>
              <w:pStyle w:val="26"/>
              <w:spacing w:line="360" w:lineRule="auto"/>
              <w:rPr>
                <w:rFonts w:ascii="宋体" w:hAnsi="宋体" w:eastAsia="宋体" w:cs="宋体"/>
                <w:kern w:val="0"/>
                <w:sz w:val="24"/>
              </w:rPr>
            </w:pPr>
            <w:r>
              <w:rPr>
                <w:rFonts w:hint="eastAsia" w:ascii="宋体" w:hAnsi="宋体" w:eastAsia="宋体" w:cs="宋体"/>
                <w:kern w:val="0"/>
                <w:sz w:val="24"/>
              </w:rPr>
              <w:t>（1）本项目对小型和微型企业产品给予6%的扣除价格，用扣除后的价格参与评审。</w:t>
            </w:r>
          </w:p>
          <w:p>
            <w:pPr>
              <w:pStyle w:val="26"/>
              <w:spacing w:line="360" w:lineRule="auto"/>
              <w:rPr>
                <w:rFonts w:ascii="宋体" w:hAnsi="宋体" w:eastAsia="宋体" w:cs="宋体"/>
                <w:kern w:val="0"/>
                <w:sz w:val="24"/>
              </w:rPr>
            </w:pPr>
            <w:r>
              <w:rPr>
                <w:rFonts w:hint="eastAsia" w:ascii="宋体" w:hAnsi="宋体" w:eastAsia="宋体" w:cs="宋体"/>
                <w:kern w:val="0"/>
                <w:sz w:val="24"/>
              </w:rPr>
              <w:t>（2）投标人需按照采购文件的要求提供相应的《中小企业声明函》和网上证明材料的截图。</w:t>
            </w:r>
          </w:p>
          <w:p>
            <w:pPr>
              <w:pStyle w:val="26"/>
              <w:spacing w:line="360" w:lineRule="auto"/>
              <w:rPr>
                <w:rFonts w:ascii="宋体" w:hAnsi="宋体" w:eastAsia="宋体" w:cs="宋体"/>
                <w:kern w:val="0"/>
                <w:sz w:val="24"/>
              </w:rPr>
            </w:pPr>
            <w:r>
              <w:rPr>
                <w:rFonts w:hint="eastAsia" w:ascii="宋体" w:hAnsi="宋体" w:eastAsia="宋体" w:cs="宋体"/>
                <w:kern w:val="0"/>
                <w:sz w:val="24"/>
              </w:rPr>
              <w:t>（3）企业标准请参照《关于印发中小企业划型标准规定的通知》（工信部联企业[2011]300号）文件规定自行填写。</w:t>
            </w:r>
          </w:p>
          <w:p>
            <w:pPr>
              <w:pStyle w:val="26"/>
              <w:spacing w:line="360" w:lineRule="auto"/>
              <w:rPr>
                <w:rFonts w:ascii="宋体" w:hAnsi="宋体" w:eastAsia="宋体" w:cs="宋体"/>
                <w:kern w:val="0"/>
                <w:sz w:val="24"/>
              </w:rPr>
            </w:pPr>
            <w:r>
              <w:rPr>
                <w:rFonts w:hint="eastAsia" w:ascii="宋体" w:hAnsi="宋体" w:eastAsia="宋体" w:cs="宋体"/>
                <w:kern w:val="0"/>
                <w:sz w:val="24"/>
              </w:rPr>
              <w:t>2、残疾人福利单位价格扣除</w:t>
            </w:r>
          </w:p>
          <w:p>
            <w:pPr>
              <w:pStyle w:val="26"/>
              <w:spacing w:line="360" w:lineRule="auto"/>
              <w:rPr>
                <w:rFonts w:ascii="宋体" w:hAnsi="宋体" w:eastAsia="宋体" w:cs="宋体"/>
                <w:kern w:val="0"/>
                <w:sz w:val="24"/>
              </w:rPr>
            </w:pPr>
            <w:r>
              <w:rPr>
                <w:rFonts w:hint="eastAsia" w:ascii="宋体" w:hAnsi="宋体" w:eastAsia="宋体" w:cs="宋体"/>
                <w:kern w:val="0"/>
                <w:sz w:val="24"/>
              </w:rPr>
              <w:t>（1）本项目对残疾人福利性单位视同小型、微型企业，给予6%的价格扣除，用扣除后的价格参与评审。</w:t>
            </w:r>
          </w:p>
          <w:p>
            <w:pPr>
              <w:pStyle w:val="26"/>
              <w:spacing w:line="360" w:lineRule="auto"/>
              <w:rPr>
                <w:rFonts w:ascii="宋体" w:hAnsi="宋体" w:eastAsia="宋体" w:cs="宋体"/>
                <w:kern w:val="0"/>
                <w:sz w:val="24"/>
              </w:rPr>
            </w:pPr>
            <w:r>
              <w:rPr>
                <w:rFonts w:hint="eastAsia" w:ascii="宋体" w:hAnsi="宋体" w:eastAsia="宋体" w:cs="宋体"/>
                <w:kern w:val="0"/>
                <w:sz w:val="24"/>
              </w:rPr>
              <w:t>（2）残疾人福利单位需按照采购文件的要求提供《残疾人福利性单位声明函》。</w:t>
            </w:r>
          </w:p>
          <w:p>
            <w:pPr>
              <w:pStyle w:val="26"/>
              <w:spacing w:line="360" w:lineRule="auto"/>
              <w:rPr>
                <w:rFonts w:ascii="宋体" w:hAnsi="宋体" w:eastAsia="宋体" w:cs="宋体"/>
                <w:kern w:val="0"/>
                <w:sz w:val="24"/>
              </w:rPr>
            </w:pPr>
            <w:r>
              <w:rPr>
                <w:rFonts w:hint="eastAsia" w:ascii="宋体" w:hAnsi="宋体" w:eastAsia="宋体" w:cs="宋体"/>
                <w:kern w:val="0"/>
                <w:sz w:val="24"/>
              </w:rPr>
              <w:t>（3）残疾人福利单位标准请参照《关于促进残疾人就业政府采购政策的通知》（财库〔2017〕141号）。</w:t>
            </w:r>
          </w:p>
          <w:p>
            <w:pPr>
              <w:pStyle w:val="26"/>
              <w:spacing w:line="360" w:lineRule="auto"/>
              <w:rPr>
                <w:rFonts w:ascii="宋体" w:hAnsi="宋体" w:eastAsia="宋体" w:cs="宋体"/>
                <w:kern w:val="0"/>
                <w:sz w:val="24"/>
              </w:rPr>
            </w:pPr>
            <w:r>
              <w:rPr>
                <w:rFonts w:hint="eastAsia" w:ascii="宋体" w:hAnsi="宋体" w:eastAsia="宋体" w:cs="宋体"/>
                <w:kern w:val="0"/>
                <w:sz w:val="24"/>
              </w:rPr>
              <w:t>3、监狱和戒毒企业价格扣除</w:t>
            </w:r>
          </w:p>
          <w:p>
            <w:pPr>
              <w:pStyle w:val="26"/>
              <w:spacing w:line="360" w:lineRule="auto"/>
              <w:rPr>
                <w:rFonts w:ascii="宋体" w:hAnsi="宋体" w:eastAsia="宋体" w:cs="宋体"/>
                <w:kern w:val="0"/>
                <w:sz w:val="24"/>
              </w:rPr>
            </w:pPr>
            <w:r>
              <w:rPr>
                <w:rFonts w:hint="eastAsia" w:ascii="宋体" w:hAnsi="宋体" w:eastAsia="宋体" w:cs="宋体"/>
                <w:kern w:val="0"/>
                <w:sz w:val="24"/>
              </w:rPr>
              <w:t>（1）本项目对监狱和戒毒企业（简称监狱企业）视同小型、微型企业，给予6%的价格扣除，用扣除后的价格参与评审。</w:t>
            </w:r>
          </w:p>
          <w:p>
            <w:pPr>
              <w:pStyle w:val="26"/>
              <w:spacing w:line="360" w:lineRule="auto"/>
              <w:rPr>
                <w:rFonts w:ascii="宋体" w:hAnsi="宋体" w:eastAsia="宋体" w:cs="宋体"/>
                <w:kern w:val="0"/>
                <w:sz w:val="24"/>
              </w:rPr>
            </w:pPr>
            <w:r>
              <w:rPr>
                <w:rFonts w:hint="eastAsia" w:ascii="宋体" w:hAnsi="宋体" w:eastAsia="宋体" w:cs="宋体"/>
                <w:kern w:val="0"/>
                <w:sz w:val="24"/>
              </w:rPr>
              <w:t>（2）监狱企业参加政府采购活动时，需提供由省级以上监狱管理局、戒毒管理局(含新疆生产建设兵团)出具的属于监狱企业的证明文件。投标人如不提供上述证明文件，价格将不做相应扣除。</w:t>
            </w:r>
          </w:p>
          <w:p>
            <w:pPr>
              <w:pStyle w:val="26"/>
              <w:spacing w:line="360" w:lineRule="auto"/>
              <w:rPr>
                <w:rFonts w:ascii="宋体" w:hAnsi="宋体" w:eastAsia="宋体" w:cs="宋体"/>
                <w:kern w:val="0"/>
                <w:sz w:val="24"/>
              </w:rPr>
            </w:pPr>
            <w:r>
              <w:rPr>
                <w:rFonts w:hint="eastAsia" w:ascii="宋体" w:hAnsi="宋体" w:eastAsia="宋体" w:cs="宋体"/>
                <w:kern w:val="0"/>
                <w:sz w:val="24"/>
              </w:rPr>
              <w:t>（3）监狱企业标准请参照《关于政府采购支持监狱企业发展有关问题的通知》（财库[2014]68号）。</w:t>
            </w:r>
          </w:p>
          <w:p>
            <w:pPr>
              <w:pStyle w:val="26"/>
              <w:spacing w:line="360" w:lineRule="auto"/>
              <w:rPr>
                <w:rFonts w:ascii="宋体" w:hAnsi="宋体" w:eastAsia="宋体" w:cs="宋体"/>
                <w:kern w:val="0"/>
                <w:sz w:val="24"/>
              </w:rPr>
            </w:pPr>
            <w:r>
              <w:rPr>
                <w:rFonts w:hint="eastAsia" w:ascii="宋体" w:hAnsi="宋体" w:eastAsia="宋体" w:cs="宋体"/>
                <w:kern w:val="0"/>
                <w:sz w:val="24"/>
              </w:rPr>
              <w:t>4、残疾人福利单位、监狱企业属于小型、微型企业的，不重复享受政策。</w:t>
            </w:r>
          </w:p>
          <w:p>
            <w:pPr>
              <w:pStyle w:val="26"/>
              <w:spacing w:line="360" w:lineRule="auto"/>
              <w:rPr>
                <w:rFonts w:ascii="宋体" w:hAnsi="宋体" w:eastAsia="宋体" w:cs="宋体"/>
                <w:kern w:val="0"/>
                <w:sz w:val="24"/>
              </w:rPr>
            </w:pPr>
            <w:r>
              <w:rPr>
                <w:rFonts w:hint="eastAsia" w:ascii="宋体" w:hAnsi="宋体" w:eastAsia="宋体" w:cs="宋体"/>
                <w:kern w:val="0"/>
                <w:sz w:val="24"/>
              </w:rPr>
              <w:t>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21</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rPr>
              <w:t>技术部分是否采用</w:t>
            </w:r>
          </w:p>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rPr>
              <w:t>“暗标”评审方式</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kern w:val="0"/>
                <w:sz w:val="24"/>
              </w:rPr>
            </w:pPr>
            <w:bookmarkStart w:id="33" w:name="EB6b9b19d6907e432b9afa43d195c134f7"/>
            <w:bookmarkEnd w:id="33"/>
            <w:r>
              <w:rPr>
                <w:rFonts w:hint="eastAsia" w:ascii="宋体" w:hAnsi="宋体" w:cs="宋体"/>
                <w:kern w:val="0"/>
                <w:sz w:val="24"/>
                <w:highlight w:val="white"/>
                <w:lang w:eastAsia="zh-CN"/>
              </w:rPr>
              <w:t>☑</w:t>
            </w:r>
            <w:r>
              <w:rPr>
                <w:rFonts w:hint="eastAsia" w:ascii="宋体" w:hAnsi="宋体" w:eastAsia="宋体" w:cs="宋体"/>
                <w:kern w:val="0"/>
                <w:sz w:val="24"/>
                <w:highlight w:val="white"/>
              </w:rPr>
              <w:t>否</w:t>
            </w:r>
          </w:p>
          <w:p>
            <w:pPr>
              <w:pStyle w:val="29"/>
              <w:autoSpaceDE w:val="0"/>
              <w:autoSpaceDN w:val="0"/>
              <w:adjustRightInd w:val="0"/>
              <w:spacing w:after="200" w:line="360" w:lineRule="auto"/>
              <w:rPr>
                <w:rFonts w:ascii="宋体" w:hAnsi="宋体" w:cs="宋体"/>
                <w:kern w:val="0"/>
                <w:sz w:val="24"/>
                <w:highlight w:val="white"/>
              </w:rPr>
            </w:pPr>
            <w:r>
              <w:rPr>
                <w:rFonts w:hint="eastAsia" w:ascii="宋体" w:hAnsi="宋体" w:cs="宋体"/>
                <w:kern w:val="0"/>
                <w:sz w:val="24"/>
                <w:highlight w:val="white"/>
                <w:lang w:eastAsia="zh-CN"/>
              </w:rPr>
              <w:t>□</w:t>
            </w:r>
            <w:r>
              <w:rPr>
                <w:rFonts w:hint="eastAsia" w:ascii="宋体" w:hAnsi="宋体" w:cs="宋体"/>
                <w:kern w:val="0"/>
                <w:sz w:val="24"/>
                <w:highlight w:val="whit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22</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评审方法</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kern w:val="0"/>
                <w:sz w:val="24"/>
              </w:rPr>
            </w:pPr>
            <w:bookmarkStart w:id="34" w:name="EB2e2814636ed449638e31aec0b86a9c79"/>
            <w:bookmarkEnd w:id="34"/>
            <w:r>
              <w:rPr>
                <w:rFonts w:hint="eastAsia" w:ascii="宋体" w:hAnsi="宋体" w:eastAsia="宋体" w:cs="宋体"/>
                <w:kern w:val="0"/>
                <w:sz w:val="24"/>
                <w:highlight w:val="white"/>
              </w:rPr>
              <w:t xml:space="preserve">☑资格后审         </w:t>
            </w:r>
            <w:bookmarkStart w:id="35" w:name="EB5195853e4e84408dabe7b38250913457"/>
            <w:bookmarkEnd w:id="35"/>
            <w:r>
              <w:rPr>
                <w:rFonts w:hint="eastAsia" w:ascii="宋体" w:hAnsi="宋体" w:eastAsia="宋体" w:cs="宋体"/>
                <w:kern w:val="0"/>
                <w:sz w:val="24"/>
                <w:highlight w:val="white"/>
              </w:rPr>
              <w:t>☐资格预审</w:t>
            </w:r>
          </w:p>
          <w:p>
            <w:pPr>
              <w:pStyle w:val="26"/>
              <w:spacing w:line="360" w:lineRule="auto"/>
              <w:rPr>
                <w:rFonts w:ascii="宋体" w:hAnsi="宋体" w:eastAsia="宋体" w:cs="宋体"/>
                <w:kern w:val="0"/>
                <w:sz w:val="24"/>
              </w:rPr>
            </w:pPr>
            <w:bookmarkStart w:id="36" w:name="EB5c39ed08c4e342aeacec8cbe6387f2ef"/>
            <w:bookmarkEnd w:id="36"/>
            <w:r>
              <w:rPr>
                <w:rFonts w:hint="eastAsia" w:ascii="宋体" w:hAnsi="宋体" w:eastAsia="宋体" w:cs="宋体"/>
                <w:kern w:val="0"/>
                <w:sz w:val="24"/>
                <w:highlight w:val="white"/>
              </w:rPr>
              <w:t xml:space="preserve">□综合评分法       </w:t>
            </w:r>
            <w:bookmarkStart w:id="37" w:name="EB133c7794490f47f2984bbb8eeafc51a9"/>
            <w:bookmarkEnd w:id="37"/>
            <w:r>
              <w:rPr>
                <w:rFonts w:hint="eastAsia" w:ascii="宋体" w:hAnsi="宋体" w:eastAsia="宋体" w:cs="宋体"/>
                <w:kern w:val="0"/>
                <w:sz w:val="24"/>
                <w:highlight w:val="white"/>
              </w:rPr>
              <w:t>☑最低评标价法</w:t>
            </w:r>
          </w:p>
          <w:p>
            <w:pPr>
              <w:pStyle w:val="26"/>
              <w:spacing w:line="360" w:lineRule="auto"/>
              <w:rPr>
                <w:rFonts w:ascii="宋体" w:hAnsi="宋体" w:eastAsia="宋体" w:cs="宋体"/>
                <w:kern w:val="0"/>
                <w:sz w:val="24"/>
              </w:rPr>
            </w:pPr>
            <w:r>
              <w:rPr>
                <w:rFonts w:hint="eastAsia" w:ascii="宋体" w:hAnsi="宋体" w:eastAsia="宋体" w:cs="宋体"/>
                <w:kern w:val="0"/>
                <w:sz w:val="24"/>
                <w:highlight w:val="white"/>
              </w:rPr>
              <w:t>注：</w:t>
            </w:r>
          </w:p>
          <w:p>
            <w:pPr>
              <w:pStyle w:val="26"/>
              <w:spacing w:line="360" w:lineRule="auto"/>
              <w:rPr>
                <w:rFonts w:ascii="宋体" w:hAnsi="宋体" w:eastAsia="宋体" w:cs="宋体"/>
                <w:sz w:val="24"/>
              </w:rPr>
            </w:pPr>
            <w:r>
              <w:rPr>
                <w:rFonts w:hint="eastAsia" w:ascii="宋体" w:hAnsi="宋体" w:eastAsia="宋体" w:cs="宋体"/>
                <w:sz w:val="24"/>
                <w:highlight w:val="white"/>
              </w:rPr>
              <w:t>1、最低评标价法，是指以价格为主要因素确定中标供应商的评标方法，即在全部满足招标文件实质性要求前提下，依据统一的价格要素评定最低报价，以提出最低报价的投标人作为中标候选供应商或者中标供应商的评标方法。投标报价相同的，按技术指标优劣顺序排列，技术指标较优的一方为中标人。</w:t>
            </w:r>
          </w:p>
          <w:p>
            <w:pPr>
              <w:pStyle w:val="26"/>
              <w:spacing w:line="360" w:lineRule="auto"/>
              <w:rPr>
                <w:rFonts w:ascii="宋体" w:hAnsi="宋体" w:eastAsia="宋体" w:cs="宋体"/>
                <w:kern w:val="0"/>
                <w:sz w:val="24"/>
              </w:rPr>
            </w:pPr>
            <w:r>
              <w:rPr>
                <w:rFonts w:hint="eastAsia" w:ascii="宋体" w:hAnsi="宋体" w:eastAsia="宋体" w:cs="宋体"/>
                <w:kern w:val="0"/>
                <w:sz w:val="24"/>
                <w:highlight w:val="white"/>
              </w:rPr>
              <w:t>2、综合评分法是指在最大限度地满足招标文件实质性要求前提下，按照招标文件中规定的评分细则评审后，以评标最终最高得分的投标人作为中标人的评标方法。每一投标人的最终得分为所有评委评分的算术平均值</w:t>
            </w:r>
            <w:r>
              <w:rPr>
                <w:rFonts w:hint="eastAsia" w:ascii="宋体" w:hAnsi="宋体" w:eastAsia="宋体" w:cs="宋体"/>
                <w:b/>
                <w:kern w:val="0"/>
                <w:sz w:val="24"/>
                <w:highlight w:val="white"/>
              </w:rPr>
              <w:t>。</w:t>
            </w:r>
            <w:r>
              <w:rPr>
                <w:rFonts w:hint="eastAsia" w:ascii="宋体" w:hAnsi="宋体" w:eastAsia="宋体" w:cs="宋体"/>
                <w:kern w:val="0"/>
                <w:sz w:val="24"/>
                <w:highlight w:val="white"/>
              </w:rPr>
              <w:t>得分相同的，报价较低的一方为中标人。得分且投标报价相同的，技术指标较优的一方为中标人。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23</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履约保证金</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bCs/>
                <w:kern w:val="0"/>
                <w:sz w:val="24"/>
                <w:u w:val="single"/>
              </w:rPr>
            </w:pPr>
            <w:r>
              <w:rPr>
                <w:rFonts w:hint="eastAsia" w:ascii="宋体" w:hAnsi="宋体" w:eastAsia="宋体" w:cs="宋体"/>
                <w:bCs/>
                <w:kern w:val="0"/>
                <w:sz w:val="24"/>
                <w:highlight w:val="white"/>
                <w:u w:val="single"/>
              </w:rPr>
              <w:t>履约保证金以银行保函的方式交纳。</w:t>
            </w:r>
          </w:p>
          <w:p>
            <w:pPr>
              <w:pStyle w:val="35"/>
              <w:spacing w:line="360" w:lineRule="auto"/>
              <w:rPr>
                <w:rFonts w:ascii="宋体" w:hAnsi="宋体" w:cs="宋体"/>
                <w:sz w:val="24"/>
                <w:szCs w:val="24"/>
              </w:rPr>
            </w:pPr>
            <w:r>
              <w:rPr>
                <w:rFonts w:hint="eastAsia" w:ascii="宋体" w:hAnsi="宋体" w:cs="宋体"/>
                <w:sz w:val="24"/>
                <w:szCs w:val="24"/>
                <w:highlight w:val="white"/>
              </w:rPr>
              <w:t>交纳时间：</w:t>
            </w:r>
            <w:bookmarkStart w:id="38" w:name="EBfb003ce0ac7c4f2a8a1f0e179dc46858"/>
            <w:bookmarkEnd w:id="38"/>
            <w:r>
              <w:rPr>
                <w:rFonts w:hint="eastAsia" w:ascii="宋体" w:hAnsi="宋体" w:cs="宋体"/>
                <w:kern w:val="0"/>
                <w:sz w:val="24"/>
                <w:szCs w:val="24"/>
                <w:highlight w:val="white"/>
                <w:u w:val="single"/>
              </w:rPr>
              <w:t xml:space="preserve"> / </w:t>
            </w:r>
            <w:r>
              <w:rPr>
                <w:rFonts w:hint="eastAsia" w:ascii="宋体" w:hAnsi="宋体" w:cs="宋体"/>
                <w:sz w:val="24"/>
                <w:szCs w:val="24"/>
                <w:highlight w:val="white"/>
                <w:u w:val="single"/>
              </w:rPr>
              <w:t xml:space="preserve">  </w:t>
            </w:r>
          </w:p>
          <w:p>
            <w:pPr>
              <w:pStyle w:val="26"/>
              <w:spacing w:line="360" w:lineRule="auto"/>
              <w:rPr>
                <w:rFonts w:ascii="宋体" w:hAnsi="宋体" w:eastAsia="宋体" w:cs="宋体"/>
                <w:bCs/>
                <w:kern w:val="0"/>
                <w:sz w:val="24"/>
                <w:highlight w:val="white"/>
                <w:u w:val="single"/>
              </w:rPr>
            </w:pPr>
            <w:r>
              <w:rPr>
                <w:rFonts w:hint="eastAsia" w:ascii="宋体" w:hAnsi="宋体" w:eastAsia="宋体" w:cs="宋体"/>
                <w:sz w:val="24"/>
                <w:highlight w:val="white"/>
              </w:rPr>
              <w:t>交纳金额：</w:t>
            </w:r>
            <w:bookmarkStart w:id="39" w:name="EBb797809d3e0544a293f4a59adb8fff2f"/>
            <w:bookmarkEnd w:id="39"/>
            <w:r>
              <w:rPr>
                <w:rFonts w:hint="eastAsia" w:ascii="宋体" w:hAnsi="宋体" w:eastAsia="宋体" w:cs="宋体"/>
                <w:sz w:val="24"/>
                <w:highlight w:val="white"/>
                <w:u w:val="single"/>
              </w:rPr>
              <w:t>/</w:t>
            </w:r>
            <w:r>
              <w:rPr>
                <w:rFonts w:hint="eastAsia" w:ascii="宋体" w:hAnsi="宋体" w:eastAsia="宋体" w:cs="宋体"/>
                <w:bCs/>
                <w:kern w:val="0"/>
                <w:sz w:val="24"/>
                <w:highlight w:val="white"/>
                <w:u w:val="single"/>
              </w:rPr>
              <w:t xml:space="preserve">  </w:t>
            </w:r>
          </w:p>
          <w:p>
            <w:pPr>
              <w:pStyle w:val="26"/>
              <w:spacing w:line="360" w:lineRule="auto"/>
              <w:rPr>
                <w:rFonts w:ascii="宋体" w:hAnsi="宋体" w:eastAsia="宋体" w:cs="宋体"/>
                <w:sz w:val="24"/>
              </w:rPr>
            </w:pPr>
            <w:r>
              <w:rPr>
                <w:rFonts w:hint="eastAsia" w:ascii="宋体" w:hAnsi="宋体" w:eastAsia="宋体" w:cs="宋体"/>
                <w:sz w:val="24"/>
                <w:highlight w:val="white"/>
              </w:rPr>
              <w:t>收款单位：</w:t>
            </w:r>
            <w:bookmarkStart w:id="40" w:name="EB024c442e432445a0855b52c28eec1f6b"/>
            <w:bookmarkEnd w:id="40"/>
            <w:r>
              <w:rPr>
                <w:rFonts w:hint="eastAsia" w:ascii="宋体" w:hAnsi="宋体" w:eastAsia="宋体" w:cs="宋体"/>
                <w:sz w:val="24"/>
                <w:highlight w:val="white"/>
                <w:u w:val="single"/>
              </w:rPr>
              <w:t xml:space="preserve"> </w:t>
            </w:r>
            <w:r>
              <w:rPr>
                <w:rFonts w:hint="eastAsia" w:ascii="宋体" w:hAnsi="宋体" w:eastAsia="宋体" w:cs="宋体"/>
                <w:kern w:val="0"/>
                <w:sz w:val="24"/>
                <w:highlight w:val="white"/>
                <w:u w:val="single"/>
              </w:rPr>
              <w:t xml:space="preserve"> /                 </w:t>
            </w:r>
          </w:p>
          <w:p>
            <w:pPr>
              <w:pStyle w:val="26"/>
              <w:spacing w:line="360" w:lineRule="auto"/>
              <w:rPr>
                <w:rFonts w:ascii="宋体" w:hAnsi="宋体" w:eastAsia="宋体" w:cs="宋体"/>
                <w:sz w:val="24"/>
              </w:rPr>
            </w:pPr>
            <w:r>
              <w:rPr>
                <w:rFonts w:hint="eastAsia" w:ascii="宋体" w:hAnsi="宋体" w:eastAsia="宋体" w:cs="宋体"/>
                <w:sz w:val="24"/>
                <w:highlight w:val="white"/>
              </w:rPr>
              <w:t>开户银行：</w:t>
            </w:r>
            <w:bookmarkStart w:id="41" w:name="EB0d91dc3c01d747d78c38d7b941155959"/>
            <w:bookmarkEnd w:id="41"/>
            <w:r>
              <w:rPr>
                <w:rFonts w:hint="eastAsia" w:ascii="宋体" w:hAnsi="宋体" w:eastAsia="宋体" w:cs="宋体"/>
                <w:kern w:val="0"/>
                <w:sz w:val="24"/>
                <w:highlight w:val="white"/>
                <w:u w:val="single"/>
              </w:rPr>
              <w:t xml:space="preserve">  /               </w:t>
            </w:r>
          </w:p>
          <w:p>
            <w:pPr>
              <w:pStyle w:val="26"/>
              <w:spacing w:line="360" w:lineRule="auto"/>
              <w:rPr>
                <w:rFonts w:ascii="宋体" w:hAnsi="宋体" w:eastAsia="宋体" w:cs="宋体"/>
                <w:sz w:val="24"/>
              </w:rPr>
            </w:pPr>
            <w:r>
              <w:rPr>
                <w:rFonts w:hint="eastAsia" w:ascii="宋体" w:hAnsi="宋体" w:eastAsia="宋体" w:cs="宋体"/>
                <w:sz w:val="24"/>
                <w:highlight w:val="white"/>
              </w:rPr>
              <w:t>银行账号：</w:t>
            </w:r>
            <w:bookmarkStart w:id="42" w:name="EB04c3d509ff994e82a91c5565fdf5e670"/>
            <w:bookmarkEnd w:id="42"/>
            <w:r>
              <w:rPr>
                <w:rFonts w:hint="eastAsia" w:ascii="宋体" w:hAnsi="宋体" w:eastAsia="宋体" w:cs="宋体"/>
                <w:kern w:val="0"/>
                <w:sz w:val="24"/>
                <w:highlight w:val="white"/>
                <w:u w:val="single"/>
              </w:rPr>
              <w:t xml:space="preserve">  /              </w:t>
            </w:r>
          </w:p>
          <w:p>
            <w:pPr>
              <w:pStyle w:val="26"/>
              <w:spacing w:line="360" w:lineRule="auto"/>
              <w:rPr>
                <w:rFonts w:ascii="宋体" w:hAnsi="宋体" w:eastAsia="宋体" w:cs="宋体"/>
                <w:kern w:val="0"/>
                <w:sz w:val="24"/>
              </w:rPr>
            </w:pPr>
            <w:r>
              <w:rPr>
                <w:rFonts w:hint="eastAsia" w:ascii="宋体" w:hAnsi="宋体" w:eastAsia="宋体" w:cs="宋体"/>
                <w:sz w:val="24"/>
                <w:highlight w:val="white"/>
              </w:rPr>
              <w:t>项目完成验收合格无质量问题后退还。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24</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代理服务费</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sz w:val="24"/>
              </w:rPr>
            </w:pPr>
            <w:bookmarkStart w:id="43" w:name="EBab54cac318db41e28e6dac8386188fc3"/>
            <w:bookmarkEnd w:id="43"/>
            <w:r>
              <w:rPr>
                <w:rFonts w:hint="eastAsia" w:ascii="宋体" w:hAnsi="宋体" w:eastAsia="宋体" w:cs="宋体"/>
                <w:sz w:val="24"/>
                <w:highlight w:val="white"/>
              </w:rPr>
              <w:t>☐不缴纳</w:t>
            </w:r>
          </w:p>
          <w:p>
            <w:pPr>
              <w:pStyle w:val="26"/>
              <w:spacing w:line="360" w:lineRule="auto"/>
              <w:rPr>
                <w:rFonts w:ascii="宋体" w:hAnsi="宋体" w:eastAsia="宋体" w:cs="宋体"/>
                <w:sz w:val="24"/>
              </w:rPr>
            </w:pPr>
            <w:r>
              <w:rPr>
                <w:rFonts w:hint="eastAsia" w:ascii="宋体" w:hAnsi="宋体" w:eastAsia="宋体" w:cs="宋体"/>
                <w:kern w:val="0"/>
                <w:sz w:val="24"/>
                <w:highlight w:val="white"/>
              </w:rPr>
              <w:t>☑</w:t>
            </w:r>
            <w:r>
              <w:rPr>
                <w:rFonts w:hint="eastAsia" w:ascii="宋体" w:hAnsi="宋体" w:eastAsia="宋体" w:cs="宋体"/>
                <w:sz w:val="24"/>
                <w:highlight w:val="white"/>
              </w:rPr>
              <w:t>缴纳</w:t>
            </w:r>
          </w:p>
          <w:p>
            <w:pPr>
              <w:pStyle w:val="29"/>
              <w:spacing w:line="360" w:lineRule="auto"/>
              <w:rPr>
                <w:rFonts w:ascii="宋体" w:hAnsi="宋体" w:cs="宋体"/>
                <w:kern w:val="0"/>
                <w:sz w:val="24"/>
              </w:rPr>
            </w:pPr>
            <w:r>
              <w:rPr>
                <w:rFonts w:hint="eastAsia" w:ascii="宋体" w:hAnsi="宋体" w:cs="宋体"/>
                <w:sz w:val="24"/>
                <w:highlight w:val="white"/>
              </w:rPr>
              <w:t>交纳时间：</w:t>
            </w:r>
            <w:bookmarkStart w:id="44" w:name="EB80018a400e2944cca35737b83cee6afa"/>
            <w:r>
              <w:rPr>
                <w:rFonts w:hint="eastAsia" w:ascii="宋体" w:hAnsi="宋体" w:cs="宋体"/>
                <w:sz w:val="24"/>
                <w:highlight w:val="white"/>
              </w:rPr>
              <w:t>中标通知书发出时</w:t>
            </w:r>
            <w:bookmarkEnd w:id="44"/>
          </w:p>
          <w:p>
            <w:pPr>
              <w:pStyle w:val="29"/>
              <w:spacing w:line="360" w:lineRule="auto"/>
              <w:rPr>
                <w:rFonts w:ascii="宋体" w:hAnsi="宋体" w:cs="宋体"/>
                <w:sz w:val="24"/>
              </w:rPr>
            </w:pPr>
            <w:r>
              <w:rPr>
                <w:rFonts w:hint="eastAsia" w:ascii="宋体" w:hAnsi="宋体" w:cs="宋体"/>
                <w:kern w:val="0"/>
                <w:sz w:val="24"/>
                <w:highlight w:val="white"/>
              </w:rPr>
              <w:t>交纳金额：按国家发展计划委员会文件（计价格[2002]1980号文）和（发改办价格[2003]85</w:t>
            </w:r>
            <w:r>
              <w:rPr>
                <w:rFonts w:hint="eastAsia" w:ascii="宋体" w:hAnsi="宋体" w:cs="宋体"/>
                <w:kern w:val="0"/>
                <w:sz w:val="24"/>
              </w:rPr>
              <w:t>7号文件）向中标</w:t>
            </w:r>
            <w:r>
              <w:rPr>
                <w:rFonts w:hint="eastAsia" w:ascii="宋体" w:hAnsi="宋体" w:cs="宋体"/>
                <w:kern w:val="0"/>
                <w:sz w:val="24"/>
                <w:highlight w:val="white"/>
              </w:rPr>
              <w:t>单位收取代理服务费</w:t>
            </w:r>
            <w:r>
              <w:rPr>
                <w:rFonts w:hint="eastAsia" w:ascii="宋体" w:hAnsi="宋体" w:cs="宋体"/>
                <w:kern w:val="0"/>
                <w:sz w:val="24"/>
                <w:highlight w:val="white"/>
                <w:lang w:eastAsia="zh-CN"/>
              </w:rPr>
              <w:t>和造价费</w:t>
            </w:r>
            <w:r>
              <w:rPr>
                <w:rFonts w:hint="eastAsia" w:ascii="宋体" w:hAnsi="宋体" w:cs="宋体"/>
                <w:kern w:val="0"/>
                <w:sz w:val="24"/>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25</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场地服务费</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sz w:val="24"/>
              </w:rPr>
            </w:pPr>
            <w:bookmarkStart w:id="45" w:name="EB7dfe3b1190d64d418e01d0e21f4920d5"/>
            <w:bookmarkEnd w:id="45"/>
            <w:r>
              <w:rPr>
                <w:rFonts w:hint="eastAsia" w:ascii="宋体" w:hAnsi="宋体" w:eastAsia="宋体" w:cs="宋体"/>
                <w:kern w:val="0"/>
                <w:sz w:val="24"/>
                <w:highlight w:val="white"/>
              </w:rPr>
              <w:t>☑</w:t>
            </w:r>
            <w:r>
              <w:rPr>
                <w:rFonts w:hint="eastAsia" w:ascii="宋体" w:hAnsi="宋体" w:eastAsia="宋体" w:cs="宋体"/>
                <w:sz w:val="24"/>
                <w:highlight w:val="white"/>
              </w:rPr>
              <w:t>不缴纳</w:t>
            </w:r>
          </w:p>
          <w:p>
            <w:pPr>
              <w:pStyle w:val="26"/>
              <w:spacing w:line="360" w:lineRule="auto"/>
              <w:rPr>
                <w:rFonts w:ascii="宋体" w:hAnsi="宋体" w:eastAsia="宋体" w:cs="宋体"/>
                <w:sz w:val="24"/>
              </w:rPr>
            </w:pPr>
            <w:bookmarkStart w:id="46" w:name="EBd65399319f7a40bbb8fb3e004ca97d66"/>
            <w:bookmarkEnd w:id="46"/>
            <w:r>
              <w:rPr>
                <w:rFonts w:hint="eastAsia" w:ascii="宋体" w:hAnsi="宋体" w:eastAsia="宋体" w:cs="宋体"/>
                <w:sz w:val="24"/>
                <w:highlight w:val="white"/>
              </w:rPr>
              <w:t>☐缴纳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26</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合同公证费</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sz w:val="24"/>
              </w:rPr>
            </w:pPr>
            <w:bookmarkStart w:id="47" w:name="EBc76fa37fba724b3f91217c2faa8df057"/>
            <w:bookmarkEnd w:id="47"/>
            <w:r>
              <w:rPr>
                <w:rFonts w:hint="eastAsia" w:ascii="宋体" w:hAnsi="宋体" w:eastAsia="宋体" w:cs="宋体"/>
                <w:kern w:val="0"/>
                <w:sz w:val="24"/>
                <w:highlight w:val="white"/>
              </w:rPr>
              <w:t>☑</w:t>
            </w:r>
            <w:r>
              <w:rPr>
                <w:rFonts w:hint="eastAsia" w:ascii="宋体" w:hAnsi="宋体" w:eastAsia="宋体" w:cs="宋体"/>
                <w:sz w:val="24"/>
                <w:highlight w:val="white"/>
              </w:rPr>
              <w:t>不缴纳</w:t>
            </w:r>
          </w:p>
          <w:p>
            <w:pPr>
              <w:pStyle w:val="26"/>
              <w:spacing w:line="360" w:lineRule="auto"/>
              <w:rPr>
                <w:rFonts w:ascii="宋体" w:hAnsi="宋体" w:eastAsia="宋体" w:cs="宋体"/>
                <w:sz w:val="24"/>
              </w:rPr>
            </w:pPr>
            <w:r>
              <w:rPr>
                <w:rFonts w:hint="eastAsia" w:ascii="宋体" w:hAnsi="宋体" w:eastAsia="宋体" w:cs="宋体"/>
                <w:kern w:val="0"/>
                <w:sz w:val="24"/>
                <w:highlight w:val="white"/>
              </w:rPr>
              <w:t>□</w:t>
            </w:r>
            <w:r>
              <w:rPr>
                <w:rFonts w:hint="eastAsia" w:ascii="宋体" w:hAnsi="宋体" w:eastAsia="宋体" w:cs="宋体"/>
                <w:sz w:val="24"/>
                <w:highlight w:val="white"/>
              </w:rPr>
              <w:t>缴纳</w:t>
            </w:r>
          </w:p>
          <w:p>
            <w:pPr>
              <w:pStyle w:val="26"/>
              <w:spacing w:line="360" w:lineRule="auto"/>
              <w:rPr>
                <w:rFonts w:ascii="宋体" w:hAnsi="宋体" w:eastAsia="宋体" w:cs="宋体"/>
                <w:kern w:val="0"/>
                <w:sz w:val="24"/>
              </w:rPr>
            </w:pPr>
            <w:r>
              <w:rPr>
                <w:rFonts w:hint="eastAsia" w:ascii="宋体" w:hAnsi="宋体" w:eastAsia="宋体" w:cs="宋体"/>
                <w:kern w:val="0"/>
                <w:sz w:val="24"/>
                <w:highlight w:val="white"/>
              </w:rPr>
              <w:t>金额：</w:t>
            </w:r>
            <w:bookmarkStart w:id="48" w:name="EB486cb0ff06a64e9a9f6d6a7786f604ae"/>
            <w:bookmarkEnd w:id="48"/>
            <w:r>
              <w:rPr>
                <w:rFonts w:hint="eastAsia" w:ascii="宋体" w:hAnsi="宋体" w:eastAsia="宋体" w:cs="宋体"/>
                <w:kern w:val="0"/>
                <w:sz w:val="24"/>
                <w:highlight w:val="white"/>
                <w:u w:val="single"/>
              </w:rPr>
              <w:t xml:space="preserve">             </w:t>
            </w:r>
          </w:p>
          <w:p>
            <w:pPr>
              <w:pStyle w:val="26"/>
              <w:spacing w:line="360" w:lineRule="auto"/>
              <w:rPr>
                <w:rFonts w:ascii="宋体" w:hAnsi="宋体" w:eastAsia="宋体" w:cs="宋体"/>
                <w:kern w:val="0"/>
                <w:sz w:val="24"/>
              </w:rPr>
            </w:pPr>
            <w:r>
              <w:rPr>
                <w:rFonts w:hint="eastAsia" w:ascii="宋体" w:hAnsi="宋体" w:eastAsia="宋体" w:cs="宋体"/>
                <w:kern w:val="0"/>
                <w:sz w:val="24"/>
                <w:highlight w:val="white"/>
              </w:rPr>
              <w:t>中标人于获取中标通知书前向公证处交纳。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27</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争议的解决</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sz w:val="24"/>
              </w:rPr>
            </w:pPr>
            <w:bookmarkStart w:id="49" w:name="EB99761000dd4b46ac86a3f3daaf46418a"/>
            <w:bookmarkEnd w:id="49"/>
            <w:r>
              <w:rPr>
                <w:rFonts w:hint="eastAsia" w:ascii="宋体" w:hAnsi="宋体" w:eastAsia="宋体" w:cs="宋体"/>
                <w:kern w:val="0"/>
                <w:sz w:val="24"/>
                <w:highlight w:val="white"/>
                <w:u w:val="single"/>
              </w:rPr>
              <w:t xml:space="preserve">  1双方通过协商、调解；2、通过仲裁解决；3、通过甲方所在地诉讼解决。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1"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28</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现场陈述</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宋体" w:hAnsi="宋体" w:eastAsia="宋体" w:cs="宋体"/>
                <w:sz w:val="24"/>
              </w:rPr>
            </w:pPr>
            <w:bookmarkStart w:id="50" w:name="EBb04aba7a60c0423082f0862a0509ef85"/>
            <w:bookmarkEnd w:id="50"/>
            <w:r>
              <w:rPr>
                <w:rFonts w:hint="eastAsia" w:ascii="宋体" w:hAnsi="宋体" w:eastAsia="宋体" w:cs="宋体"/>
                <w:kern w:val="0"/>
                <w:sz w:val="24"/>
              </w:rPr>
              <w:t>☑</w:t>
            </w:r>
            <w:r>
              <w:rPr>
                <w:rFonts w:hint="eastAsia" w:ascii="宋体" w:hAnsi="宋体" w:eastAsia="宋体" w:cs="宋体"/>
                <w:sz w:val="24"/>
              </w:rPr>
              <w:t>不需要</w:t>
            </w:r>
          </w:p>
          <w:p>
            <w:pPr>
              <w:pStyle w:val="26"/>
              <w:spacing w:line="360" w:lineRule="auto"/>
              <w:rPr>
                <w:rFonts w:ascii="宋体" w:hAnsi="宋体" w:eastAsia="宋体" w:cs="宋体"/>
                <w:sz w:val="24"/>
              </w:rPr>
            </w:pPr>
            <w:r>
              <w:rPr>
                <w:rFonts w:hint="eastAsia" w:ascii="宋体" w:hAnsi="宋体" w:eastAsia="宋体" w:cs="宋体"/>
                <w:sz w:val="24"/>
              </w:rPr>
              <w:t>☐需要,陈述要求如下：</w:t>
            </w:r>
          </w:p>
          <w:p>
            <w:pPr>
              <w:pStyle w:val="26"/>
              <w:autoSpaceDE w:val="0"/>
              <w:autoSpaceDN w:val="0"/>
              <w:adjustRightInd w:val="0"/>
              <w:spacing w:line="360" w:lineRule="auto"/>
              <w:rPr>
                <w:rFonts w:ascii="宋体" w:hAnsi="宋体" w:eastAsia="宋体" w:cs="宋体"/>
                <w:sz w:val="24"/>
                <w:lang w:val="zh-CN"/>
              </w:rPr>
            </w:pPr>
            <w:r>
              <w:rPr>
                <w:rFonts w:hint="eastAsia" w:ascii="宋体" w:hAnsi="宋体" w:eastAsia="宋体" w:cs="宋体"/>
                <w:sz w:val="24"/>
                <w:lang w:val="zh-CN"/>
              </w:rPr>
              <w:t>1、陈述内容：</w:t>
            </w:r>
            <w:bookmarkStart w:id="51" w:name="EB6c95caea33e547a589927e2dd5ae55fd"/>
            <w:bookmarkEnd w:id="51"/>
            <w:r>
              <w:rPr>
                <w:rFonts w:hint="eastAsia" w:ascii="宋体" w:hAnsi="宋体" w:eastAsia="宋体" w:cs="宋体"/>
                <w:kern w:val="0"/>
                <w:sz w:val="24"/>
                <w:u w:val="single"/>
              </w:rPr>
              <w:t xml:space="preserve">                             </w:t>
            </w:r>
          </w:p>
          <w:p>
            <w:pPr>
              <w:pStyle w:val="26"/>
              <w:autoSpaceDE w:val="0"/>
              <w:autoSpaceDN w:val="0"/>
              <w:adjustRightInd w:val="0"/>
              <w:spacing w:line="360" w:lineRule="auto"/>
              <w:rPr>
                <w:rFonts w:ascii="宋体" w:hAnsi="宋体" w:eastAsia="宋体" w:cs="宋体"/>
                <w:sz w:val="24"/>
                <w:lang w:val="zh-CN"/>
              </w:rPr>
            </w:pPr>
            <w:r>
              <w:rPr>
                <w:rFonts w:hint="eastAsia" w:ascii="宋体" w:hAnsi="宋体" w:eastAsia="宋体" w:cs="宋体"/>
                <w:sz w:val="24"/>
                <w:lang w:val="zh-CN"/>
              </w:rPr>
              <w:t>2、陈述人员：</w:t>
            </w:r>
            <w:bookmarkStart w:id="52" w:name="EBa27f1c313730476694c9ea5ce6c46000"/>
            <w:bookmarkEnd w:id="52"/>
            <w:r>
              <w:rPr>
                <w:rFonts w:hint="eastAsia" w:ascii="宋体" w:hAnsi="宋体" w:eastAsia="宋体" w:cs="宋体"/>
                <w:kern w:val="0"/>
                <w:sz w:val="24"/>
                <w:u w:val="single"/>
              </w:rPr>
              <w:t xml:space="preserve">                             </w:t>
            </w:r>
          </w:p>
          <w:p>
            <w:pPr>
              <w:pStyle w:val="26"/>
              <w:autoSpaceDE w:val="0"/>
              <w:autoSpaceDN w:val="0"/>
              <w:adjustRightInd w:val="0"/>
              <w:spacing w:line="360" w:lineRule="auto"/>
              <w:rPr>
                <w:rFonts w:ascii="宋体" w:hAnsi="宋体" w:eastAsia="宋体" w:cs="宋体"/>
                <w:sz w:val="24"/>
                <w:lang w:val="zh-CN"/>
              </w:rPr>
            </w:pPr>
            <w:r>
              <w:rPr>
                <w:rFonts w:hint="eastAsia" w:ascii="宋体" w:hAnsi="宋体" w:eastAsia="宋体" w:cs="宋体"/>
                <w:sz w:val="24"/>
                <w:lang w:val="zh-CN"/>
              </w:rPr>
              <w:t>3、陈述时限：</w:t>
            </w:r>
            <w:bookmarkStart w:id="53" w:name="EB8e002186df5a41cc8dccc91c8be5ff9e"/>
            <w:bookmarkEnd w:id="53"/>
            <w:r>
              <w:rPr>
                <w:rFonts w:hint="eastAsia" w:ascii="宋体" w:hAnsi="宋体" w:eastAsia="宋体" w:cs="宋体"/>
                <w:kern w:val="0"/>
                <w:sz w:val="24"/>
                <w:u w:val="single"/>
              </w:rPr>
              <w:t xml:space="preserve">     </w:t>
            </w:r>
            <w:r>
              <w:rPr>
                <w:rFonts w:hint="eastAsia" w:ascii="宋体" w:hAnsi="宋体" w:eastAsia="宋体" w:cs="宋体"/>
                <w:sz w:val="24"/>
                <w:lang w:val="zh-CN"/>
              </w:rPr>
              <w:t>分钟。</w:t>
            </w:r>
          </w:p>
          <w:p>
            <w:pPr>
              <w:pStyle w:val="26"/>
              <w:autoSpaceDE w:val="0"/>
              <w:autoSpaceDN w:val="0"/>
              <w:adjustRightInd w:val="0"/>
              <w:spacing w:line="360" w:lineRule="auto"/>
              <w:rPr>
                <w:rFonts w:ascii="宋体" w:hAnsi="宋体" w:eastAsia="宋体" w:cs="宋体"/>
                <w:sz w:val="24"/>
                <w:lang w:val="zh-CN"/>
              </w:rPr>
            </w:pPr>
            <w:r>
              <w:rPr>
                <w:rFonts w:hint="eastAsia" w:ascii="宋体" w:hAnsi="宋体" w:eastAsia="宋体" w:cs="宋体"/>
                <w:sz w:val="24"/>
                <w:lang w:val="zh-CN"/>
              </w:rPr>
              <w:t>4、陈述形式：</w:t>
            </w:r>
            <w:bookmarkStart w:id="54" w:name="EB3b477031c8e448868dc45629f84f0896"/>
            <w:bookmarkEnd w:id="54"/>
            <w:r>
              <w:rPr>
                <w:rFonts w:hint="eastAsia" w:ascii="宋体" w:hAnsi="宋体" w:eastAsia="宋体" w:cs="宋体"/>
                <w:kern w:val="0"/>
                <w:sz w:val="24"/>
                <w:u w:val="single"/>
              </w:rPr>
              <w:t xml:space="preserve">                             </w:t>
            </w:r>
          </w:p>
          <w:p>
            <w:pPr>
              <w:pStyle w:val="26"/>
              <w:spacing w:line="360" w:lineRule="auto"/>
              <w:rPr>
                <w:rFonts w:ascii="宋体" w:hAnsi="宋体" w:eastAsia="宋体" w:cs="宋体"/>
                <w:sz w:val="24"/>
              </w:rPr>
            </w:pPr>
            <w:r>
              <w:rPr>
                <w:rFonts w:hint="eastAsia" w:ascii="宋体" w:hAnsi="宋体" w:eastAsia="宋体" w:cs="宋体"/>
                <w:sz w:val="24"/>
                <w:lang w:val="zh-CN"/>
              </w:rPr>
              <w:t>5、其他：(1)依照签到顺序依次进行；(2)投标人可放弃陈述，但需要签字确认。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29</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autoSpaceDE w:val="0"/>
              <w:autoSpaceDN w:val="0"/>
              <w:adjustRightInd w:val="0"/>
              <w:spacing w:line="360" w:lineRule="auto"/>
              <w:jc w:val="center"/>
              <w:rPr>
                <w:rFonts w:ascii="宋体" w:hAnsi="宋体" w:eastAsia="宋体" w:cs="宋体"/>
                <w:b/>
                <w:kern w:val="0"/>
                <w:sz w:val="24"/>
              </w:rPr>
            </w:pPr>
            <w:r>
              <w:rPr>
                <w:rFonts w:hint="eastAsia" w:ascii="宋体" w:hAnsi="宋体" w:eastAsia="宋体" w:cs="宋体"/>
                <w:b/>
                <w:color w:val="000000"/>
                <w:kern w:val="0"/>
                <w:sz w:val="24"/>
              </w:rPr>
              <w:t>项目预算</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autoSpaceDE w:val="0"/>
              <w:autoSpaceDN w:val="0"/>
              <w:adjustRightInd w:val="0"/>
              <w:spacing w:line="360" w:lineRule="auto"/>
              <w:rPr>
                <w:rFonts w:ascii="宋体" w:hAnsi="宋体" w:eastAsia="宋体" w:cs="宋体"/>
                <w:sz w:val="24"/>
                <w:highlight w:val="none"/>
                <w:lang w:val="zh-CN"/>
              </w:rPr>
            </w:pPr>
            <w:r>
              <w:rPr>
                <w:rFonts w:hint="eastAsia" w:ascii="宋体" w:hAnsi="宋体" w:eastAsia="宋体" w:cs="宋体"/>
                <w:color w:val="000000"/>
                <w:sz w:val="24"/>
                <w:highlight w:val="none"/>
                <w:lang w:val="zh-CN"/>
              </w:rPr>
              <w:t>本项目预算为</w:t>
            </w:r>
            <w:bookmarkStart w:id="55" w:name="EB6ff913d7fe684300aae0adca6e231c96"/>
            <w:bookmarkEnd w:id="55"/>
            <w:r>
              <w:rPr>
                <w:rFonts w:hint="eastAsia" w:ascii="宋体" w:hAnsi="宋体" w:eastAsia="宋体" w:cs="宋体"/>
                <w:color w:val="000000"/>
                <w:sz w:val="24"/>
                <w:highlight w:val="none"/>
              </w:rPr>
              <w:t>：</w:t>
            </w:r>
            <w:r>
              <w:rPr>
                <w:rFonts w:hint="eastAsia" w:ascii="宋体" w:hAnsi="宋体" w:eastAsia="宋体" w:cs="宋体"/>
                <w:color w:val="000000"/>
                <w:sz w:val="24"/>
                <w:highlight w:val="none"/>
                <w:u w:val="single"/>
                <w:lang w:val="en-US" w:eastAsia="zh-CN"/>
              </w:rPr>
              <w:t xml:space="preserve"> 379895.87 </w:t>
            </w:r>
            <w:r>
              <w:rPr>
                <w:rFonts w:hint="eastAsia" w:ascii="宋体" w:hAnsi="宋体" w:eastAsia="宋体" w:cs="宋体"/>
                <w:kern w:val="0"/>
                <w:sz w:val="24"/>
                <w:highlight w:val="none"/>
                <w:u w:val="single"/>
              </w:rPr>
              <w:t>元</w:t>
            </w:r>
          </w:p>
          <w:p>
            <w:pPr>
              <w:pStyle w:val="26"/>
              <w:autoSpaceDE w:val="0"/>
              <w:autoSpaceDN w:val="0"/>
              <w:adjustRightInd w:val="0"/>
              <w:spacing w:line="360" w:lineRule="auto"/>
              <w:rPr>
                <w:rFonts w:ascii="宋体" w:hAnsi="宋体" w:eastAsia="宋体" w:cs="宋体"/>
                <w:sz w:val="24"/>
                <w:highlight w:val="none"/>
                <w:u w:val="single"/>
                <w:lang w:val="zh-CN"/>
              </w:rPr>
            </w:pPr>
            <w:r>
              <w:rPr>
                <w:rFonts w:hint="eastAsia" w:ascii="宋体" w:hAnsi="宋体" w:eastAsia="宋体" w:cs="宋体"/>
                <w:sz w:val="24"/>
                <w:highlight w:val="none"/>
                <w:lang w:val="zh-CN"/>
              </w:rPr>
              <w:t>最高限价</w:t>
            </w:r>
            <w:bookmarkStart w:id="56" w:name="EBce6b0e6ab77b41a59f46888836ff3623"/>
            <w:bookmarkEnd w:id="56"/>
            <w:r>
              <w:rPr>
                <w:rFonts w:hint="eastAsia" w:ascii="宋体" w:hAnsi="宋体" w:eastAsia="宋体" w:cs="宋体"/>
                <w:sz w:val="24"/>
                <w:highlight w:val="none"/>
              </w:rPr>
              <w:t>：</w:t>
            </w:r>
            <w:r>
              <w:rPr>
                <w:rFonts w:hint="eastAsia" w:ascii="宋体" w:hAnsi="宋体" w:eastAsia="宋体" w:cs="宋体"/>
                <w:color w:val="000000"/>
                <w:sz w:val="24"/>
                <w:highlight w:val="none"/>
                <w:u w:val="single"/>
                <w:lang w:val="en-US" w:eastAsia="zh-CN"/>
              </w:rPr>
              <w:t xml:space="preserve">  379895.87 </w:t>
            </w:r>
            <w:r>
              <w:rPr>
                <w:rFonts w:hint="eastAsia" w:ascii="宋体" w:hAnsi="宋体" w:eastAsia="宋体" w:cs="宋体"/>
                <w:kern w:val="0"/>
                <w:sz w:val="24"/>
                <w:highlight w:val="none"/>
                <w:u w:val="single"/>
              </w:rPr>
              <w:t>元</w:t>
            </w:r>
          </w:p>
          <w:p>
            <w:pPr>
              <w:pStyle w:val="26"/>
              <w:autoSpaceDE w:val="0"/>
              <w:autoSpaceDN w:val="0"/>
              <w:adjustRightInd w:val="0"/>
              <w:spacing w:line="360" w:lineRule="auto"/>
              <w:rPr>
                <w:rFonts w:ascii="宋体" w:hAnsi="宋体" w:eastAsia="宋体" w:cs="宋体"/>
                <w:sz w:val="24"/>
              </w:rPr>
            </w:pPr>
            <w:r>
              <w:rPr>
                <w:rFonts w:hint="eastAsia" w:ascii="宋体" w:hAnsi="宋体" w:eastAsia="宋体" w:cs="宋体"/>
                <w:color w:val="000000"/>
                <w:sz w:val="24"/>
                <w:highlight w:val="none"/>
                <w:lang w:val="zh-CN"/>
              </w:rPr>
              <w:t>投标人投标报价超过项目预算的按</w:t>
            </w:r>
            <w:r>
              <w:rPr>
                <w:rFonts w:hint="eastAsia" w:ascii="宋体" w:hAnsi="宋体" w:eastAsia="宋体" w:cs="宋体"/>
                <w:color w:val="000000"/>
                <w:sz w:val="24"/>
                <w:lang w:val="zh-CN"/>
              </w:rPr>
              <w:t>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30</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autoSpaceDE w:val="0"/>
              <w:autoSpaceDN w:val="0"/>
              <w:adjustRightInd w:val="0"/>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highlight w:val="white"/>
              </w:rPr>
              <w:t>其他</w:t>
            </w:r>
          </w:p>
        </w:tc>
        <w:tc>
          <w:tcPr>
            <w:tcW w:w="6518" w:type="dxa"/>
            <w:tcBorders>
              <w:top w:val="single" w:color="auto" w:sz="4" w:space="0"/>
              <w:left w:val="single" w:color="auto" w:sz="4" w:space="0"/>
              <w:bottom w:val="single" w:color="auto" w:sz="4" w:space="0"/>
              <w:right w:val="single" w:color="auto" w:sz="4" w:space="0"/>
            </w:tcBorders>
            <w:vAlign w:val="center"/>
          </w:tcPr>
          <w:p>
            <w:pPr>
              <w:pStyle w:val="26"/>
              <w:autoSpaceDE w:val="0"/>
              <w:autoSpaceDN w:val="0"/>
              <w:adjustRightInd w:val="0"/>
              <w:spacing w:line="360" w:lineRule="auto"/>
              <w:rPr>
                <w:rFonts w:ascii="宋体" w:hAnsi="宋体" w:eastAsia="宋体" w:cs="宋体"/>
                <w:sz w:val="24"/>
              </w:rPr>
            </w:pPr>
            <w:r>
              <w:rPr>
                <w:rFonts w:hint="eastAsia" w:ascii="宋体" w:hAnsi="宋体" w:eastAsia="宋体" w:cs="宋体"/>
                <w:sz w:val="24"/>
                <w:highlight w:val="white"/>
              </w:rPr>
              <w:t>1、</w:t>
            </w:r>
            <w:r>
              <w:rPr>
                <w:rFonts w:hint="eastAsia" w:ascii="宋体" w:hAnsi="宋体" w:eastAsia="宋体" w:cs="宋体"/>
                <w:color w:val="000000"/>
                <w:sz w:val="24"/>
                <w:highlight w:val="white"/>
                <w:lang w:val="zh-CN"/>
              </w:rPr>
              <w:t>本项目的招标投标活动以及相关当事人须接受财政监督部门依法实施的监督。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highlight w:val="white"/>
              </w:rPr>
              <w:t>31</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autoSpaceDE w:val="0"/>
              <w:autoSpaceDN w:val="0"/>
              <w:adjustRightInd w:val="0"/>
              <w:spacing w:line="360" w:lineRule="auto"/>
              <w:jc w:val="center"/>
              <w:rPr>
                <w:rFonts w:ascii="宋体" w:hAnsi="宋体" w:eastAsia="宋体" w:cs="宋体"/>
                <w:b/>
                <w:bCs/>
                <w:kern w:val="0"/>
                <w:sz w:val="24"/>
              </w:rPr>
            </w:pPr>
            <w:r>
              <w:rPr>
                <w:rFonts w:hint="eastAsia" w:ascii="宋体" w:hAnsi="宋体" w:eastAsia="宋体" w:cs="宋体"/>
                <w:b/>
                <w:bCs/>
                <w:kern w:val="0"/>
                <w:sz w:val="24"/>
                <w:highlight w:val="white"/>
              </w:rPr>
              <w:t>采购人补充的其他内容</w:t>
            </w:r>
          </w:p>
        </w:tc>
        <w:tc>
          <w:tcPr>
            <w:tcW w:w="6518" w:type="dxa"/>
            <w:tcBorders>
              <w:top w:val="single" w:color="auto" w:sz="4" w:space="0"/>
              <w:left w:val="single" w:color="auto" w:sz="4" w:space="0"/>
              <w:bottom w:val="single" w:color="auto" w:sz="4" w:space="0"/>
              <w:right w:val="single" w:color="auto" w:sz="4" w:space="0"/>
            </w:tcBorders>
            <w:vAlign w:val="center"/>
          </w:tcPr>
          <w:p>
            <w:pPr>
              <w:pStyle w:val="29"/>
              <w:autoSpaceDE w:val="0"/>
              <w:autoSpaceDN w:val="0"/>
              <w:adjustRightInd w:val="0"/>
              <w:spacing w:line="360" w:lineRule="auto"/>
              <w:rPr>
                <w:rFonts w:ascii="宋体" w:hAnsi="宋体" w:cs="宋体"/>
                <w:b/>
                <w:sz w:val="24"/>
              </w:rPr>
            </w:pPr>
            <w:bookmarkStart w:id="57" w:name="EB5de6db3070cf40db8b4846f11f653c14"/>
            <w:bookmarkEnd w:id="57"/>
            <w:r>
              <w:rPr>
                <w:rFonts w:hint="eastAsia" w:ascii="宋体" w:hAnsi="宋体" w:cs="宋体"/>
                <w:b/>
                <w:sz w:val="24"/>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9"/>
              <w:spacing w:line="360" w:lineRule="auto"/>
              <w:jc w:val="center"/>
              <w:rPr>
                <w:rFonts w:ascii="宋体" w:hAnsi="宋体" w:cs="宋体"/>
                <w:b/>
                <w:kern w:val="0"/>
                <w:sz w:val="24"/>
              </w:rPr>
            </w:pPr>
            <w:r>
              <w:rPr>
                <w:rFonts w:hint="eastAsia" w:ascii="宋体" w:hAnsi="宋体" w:cs="宋体"/>
                <w:b/>
                <w:kern w:val="0"/>
                <w:sz w:val="24"/>
                <w:highlight w:val="white"/>
              </w:rPr>
              <w:t>32</w:t>
            </w:r>
          </w:p>
        </w:tc>
        <w:tc>
          <w:tcPr>
            <w:tcW w:w="266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b/>
                <w:bCs/>
                <w:color w:val="000000"/>
                <w:sz w:val="24"/>
                <w:lang w:val="zh-CN"/>
              </w:rPr>
            </w:pPr>
            <w:r>
              <w:rPr>
                <w:rFonts w:hint="eastAsia" w:ascii="宋体" w:hAnsi="宋体" w:cs="宋体"/>
                <w:b/>
                <w:bCs/>
                <w:color w:val="000000"/>
                <w:sz w:val="24"/>
                <w:lang w:val="zh-CN"/>
              </w:rPr>
              <w:t>项目地点</w:t>
            </w:r>
          </w:p>
        </w:tc>
        <w:tc>
          <w:tcPr>
            <w:tcW w:w="6518"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ascii="宋体" w:hAnsi="宋体" w:cs="宋体"/>
                <w:b/>
                <w:bCs/>
                <w:color w:val="000000"/>
                <w:sz w:val="24"/>
                <w:lang w:val="zh-CN"/>
              </w:rPr>
            </w:pPr>
            <w:r>
              <w:rPr>
                <w:rFonts w:hint="eastAsia" w:ascii="宋体" w:hAnsi="宋体" w:cs="宋体"/>
                <w:b/>
                <w:bCs/>
                <w:color w:val="000000"/>
                <w:sz w:val="24"/>
                <w:lang w:val="zh-CN"/>
              </w:rPr>
              <w:t>新疆吐鲁番市高昌区二二一团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9"/>
              <w:spacing w:line="360" w:lineRule="auto"/>
              <w:jc w:val="center"/>
              <w:rPr>
                <w:rFonts w:ascii="宋体" w:hAnsi="宋体" w:cs="宋体"/>
                <w:b/>
                <w:kern w:val="0"/>
                <w:sz w:val="24"/>
              </w:rPr>
            </w:pPr>
            <w:r>
              <w:rPr>
                <w:rFonts w:hint="eastAsia" w:ascii="宋体" w:hAnsi="宋体" w:cs="宋体"/>
                <w:b/>
                <w:kern w:val="0"/>
                <w:sz w:val="24"/>
                <w:highlight w:val="white"/>
              </w:rPr>
              <w:t>33</w:t>
            </w:r>
          </w:p>
        </w:tc>
        <w:tc>
          <w:tcPr>
            <w:tcW w:w="266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b/>
                <w:bCs/>
                <w:color w:val="000000"/>
                <w:sz w:val="24"/>
                <w:highlight w:val="none"/>
                <w:lang w:val="zh-CN"/>
              </w:rPr>
            </w:pPr>
            <w:r>
              <w:rPr>
                <w:rFonts w:hint="eastAsia" w:ascii="宋体" w:hAnsi="宋体" w:cs="宋体"/>
                <w:b/>
                <w:bCs/>
                <w:color w:val="000000"/>
                <w:sz w:val="24"/>
                <w:highlight w:val="none"/>
                <w:lang w:val="zh-CN"/>
              </w:rPr>
              <w:t>交货期</w:t>
            </w:r>
          </w:p>
        </w:tc>
        <w:tc>
          <w:tcPr>
            <w:tcW w:w="6518"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hint="default" w:ascii="宋体" w:hAnsi="宋体" w:eastAsia="宋体" w:cs="宋体"/>
                <w:color w:val="000000"/>
                <w:sz w:val="24"/>
                <w:highlight w:val="none"/>
                <w:lang w:val="en-US" w:eastAsia="zh-CN"/>
              </w:rPr>
            </w:pPr>
            <w:r>
              <w:rPr>
                <w:rFonts w:hint="eastAsia" w:ascii="宋体" w:hAnsi="宋体" w:cs="宋体"/>
                <w:b/>
                <w:bCs/>
                <w:color w:val="000000"/>
                <w:sz w:val="24"/>
                <w:highlight w:val="none"/>
                <w:lang w:val="zh-CN"/>
              </w:rPr>
              <w:t>合同签订后</w:t>
            </w:r>
            <w:r>
              <w:rPr>
                <w:rFonts w:hint="eastAsia" w:ascii="宋体" w:hAnsi="宋体" w:cs="宋体"/>
                <w:b/>
                <w:bCs/>
                <w:color w:val="000000"/>
                <w:sz w:val="24"/>
                <w:highlight w:val="none"/>
                <w:lang w:val="en-US" w:eastAsia="zh-CN"/>
              </w:rPr>
              <w:t>15个日历日交付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9"/>
              <w:spacing w:line="360" w:lineRule="auto"/>
              <w:jc w:val="center"/>
              <w:rPr>
                <w:rFonts w:ascii="宋体" w:hAnsi="宋体" w:cs="宋体"/>
                <w:b/>
                <w:kern w:val="0"/>
                <w:sz w:val="24"/>
              </w:rPr>
            </w:pPr>
            <w:r>
              <w:rPr>
                <w:rFonts w:hint="eastAsia" w:ascii="宋体" w:hAnsi="宋体" w:cs="宋体"/>
                <w:b/>
                <w:kern w:val="0"/>
                <w:sz w:val="24"/>
                <w:highlight w:val="white"/>
              </w:rPr>
              <w:t>34</w:t>
            </w:r>
          </w:p>
        </w:tc>
        <w:tc>
          <w:tcPr>
            <w:tcW w:w="266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b/>
                <w:bCs/>
                <w:color w:val="000000"/>
                <w:sz w:val="24"/>
                <w:highlight w:val="none"/>
                <w:lang w:val="zh-CN"/>
              </w:rPr>
            </w:pPr>
            <w:r>
              <w:rPr>
                <w:rFonts w:hint="eastAsia" w:ascii="宋体" w:hAnsi="宋体" w:cs="宋体"/>
                <w:b/>
                <w:bCs/>
                <w:color w:val="000000"/>
                <w:sz w:val="24"/>
                <w:highlight w:val="none"/>
                <w:lang w:val="zh-CN"/>
              </w:rPr>
              <w:t>付款方式</w:t>
            </w:r>
          </w:p>
        </w:tc>
        <w:tc>
          <w:tcPr>
            <w:tcW w:w="6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left"/>
              <w:rPr>
                <w:rFonts w:ascii="宋体" w:hAnsi="宋体" w:cs="宋体"/>
                <w:color w:val="000000"/>
                <w:sz w:val="24"/>
                <w:highlight w:val="none"/>
                <w:lang w:val="zh-CN"/>
              </w:rPr>
            </w:pPr>
            <w:r>
              <w:rPr>
                <w:rFonts w:hint="eastAsia" w:ascii="宋体" w:hAnsi="宋体"/>
                <w:b/>
                <w:bCs/>
                <w:sz w:val="24"/>
                <w:highlight w:val="none"/>
              </w:rPr>
              <w:t>具体以甲方签订合同为准。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9"/>
              <w:spacing w:line="360" w:lineRule="auto"/>
              <w:jc w:val="center"/>
              <w:rPr>
                <w:rFonts w:ascii="宋体" w:hAnsi="宋体" w:cs="宋体"/>
                <w:b/>
                <w:kern w:val="0"/>
                <w:sz w:val="24"/>
                <w:highlight w:val="white"/>
              </w:rPr>
            </w:pPr>
            <w:r>
              <w:rPr>
                <w:rFonts w:hint="eastAsia" w:ascii="宋体" w:hAnsi="宋体" w:cs="宋体"/>
                <w:b/>
                <w:kern w:val="0"/>
                <w:sz w:val="24"/>
                <w:highlight w:val="white"/>
              </w:rPr>
              <w:t>35</w:t>
            </w:r>
          </w:p>
        </w:tc>
        <w:tc>
          <w:tcPr>
            <w:tcW w:w="266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b/>
                <w:bCs/>
                <w:color w:val="000000"/>
                <w:sz w:val="24"/>
                <w:highlight w:val="none"/>
                <w:lang w:val="zh-CN"/>
              </w:rPr>
            </w:pPr>
            <w:r>
              <w:rPr>
                <w:rFonts w:hint="eastAsia" w:ascii="宋体" w:hAnsi="宋体" w:cs="宋体"/>
                <w:b/>
                <w:bCs/>
                <w:color w:val="000000"/>
                <w:sz w:val="24"/>
                <w:highlight w:val="none"/>
              </w:rPr>
              <w:t>质保期</w:t>
            </w:r>
          </w:p>
        </w:tc>
        <w:tc>
          <w:tcPr>
            <w:tcW w:w="6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ascii="宋体" w:hAnsi="宋体" w:cs="宋体"/>
                <w:b/>
                <w:bCs/>
                <w:color w:val="000000"/>
                <w:sz w:val="24"/>
                <w:highlight w:val="none"/>
                <w:lang w:val="en-US" w:eastAsia="zh-CN"/>
              </w:rPr>
              <w:t>3</w:t>
            </w:r>
            <w:r>
              <w:rPr>
                <w:rFonts w:hint="eastAsia" w:ascii="宋体" w:hAnsi="宋体" w:cs="宋体"/>
                <w:b/>
                <w:bCs/>
                <w:color w:val="000000"/>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bCs/>
                <w:kern w:val="0"/>
                <w:sz w:val="24"/>
                <w:highlight w:val="white"/>
              </w:rPr>
            </w:pPr>
            <w:r>
              <w:rPr>
                <w:rFonts w:hint="eastAsia" w:ascii="宋体" w:hAnsi="宋体" w:eastAsia="宋体" w:cs="宋体"/>
                <w:b/>
                <w:bCs/>
                <w:kern w:val="0"/>
                <w:sz w:val="24"/>
                <w:highlight w:val="white"/>
              </w:rPr>
              <w:t>36</w:t>
            </w:r>
          </w:p>
        </w:tc>
        <w:tc>
          <w:tcPr>
            <w:tcW w:w="266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b/>
                <w:bCs/>
                <w:sz w:val="24"/>
              </w:rPr>
            </w:pPr>
            <w:r>
              <w:rPr>
                <w:rFonts w:hint="eastAsia" w:ascii="宋体" w:hAnsi="宋体" w:cs="宋体"/>
                <w:b/>
                <w:bCs/>
                <w:sz w:val="24"/>
              </w:rPr>
              <w:t>合同及验收证明存档</w:t>
            </w:r>
          </w:p>
        </w:tc>
        <w:tc>
          <w:tcPr>
            <w:tcW w:w="6518"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b/>
                <w:sz w:val="24"/>
              </w:rPr>
            </w:pPr>
            <w:r>
              <w:rPr>
                <w:rFonts w:hint="eastAsia" w:ascii="宋体" w:hAnsi="宋体" w:cs="宋体"/>
                <w:sz w:val="24"/>
              </w:rPr>
              <w:t>合同及验收证明存档：政府采购合同双方自签订之日起七个工作日内将由中标人将合同复印件一份送交采购代理机构存档。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bCs/>
                <w:kern w:val="0"/>
                <w:sz w:val="24"/>
                <w:highlight w:val="white"/>
              </w:rPr>
            </w:pPr>
            <w:r>
              <w:rPr>
                <w:rFonts w:hint="eastAsia" w:ascii="宋体" w:hAnsi="宋体" w:eastAsia="宋体" w:cs="宋体"/>
                <w:b/>
                <w:bCs/>
                <w:kern w:val="0"/>
                <w:sz w:val="24"/>
                <w:highlight w:val="white"/>
              </w:rPr>
              <w:t>37</w:t>
            </w:r>
          </w:p>
        </w:tc>
        <w:tc>
          <w:tcPr>
            <w:tcW w:w="266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bCs/>
                <w:sz w:val="24"/>
                <w:highlight w:val="white"/>
              </w:rPr>
            </w:pPr>
            <w:r>
              <w:rPr>
                <w:rFonts w:hint="eastAsia" w:ascii="宋体" w:hAnsi="宋体" w:cs="宋体"/>
                <w:b/>
                <w:sz w:val="24"/>
              </w:rPr>
              <w:t>特别说明</w:t>
            </w:r>
          </w:p>
        </w:tc>
        <w:tc>
          <w:tcPr>
            <w:tcW w:w="6518"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宋体" w:hAnsi="宋体" w:cs="宋体"/>
                <w:b/>
                <w:sz w:val="24"/>
              </w:rPr>
            </w:pPr>
            <w:r>
              <w:rPr>
                <w:rFonts w:hint="eastAsia" w:ascii="宋体" w:hAnsi="宋体" w:cs="宋体"/>
                <w:b/>
                <w:sz w:val="24"/>
              </w:rPr>
              <w:t>特别说明：</w:t>
            </w:r>
          </w:p>
          <w:p>
            <w:pPr>
              <w:snapToGrid w:val="0"/>
              <w:spacing w:line="360" w:lineRule="auto"/>
              <w:rPr>
                <w:rFonts w:ascii="宋体" w:hAnsi="宋体" w:cs="宋体"/>
                <w:b/>
                <w:sz w:val="24"/>
              </w:rPr>
            </w:pPr>
            <w:r>
              <w:rPr>
                <w:rFonts w:hint="eastAsia" w:ascii="宋体" w:hAnsi="宋体" w:cs="宋体"/>
                <w:b/>
                <w:sz w:val="24"/>
              </w:rPr>
              <w:t>1.采购人若发现成交或中标候选投标人在投标过程中提供虚假证明文件，故意隐瞒公司不良信誉和财务状况，以及其他可能对合同圆满履行造成风险的因素等，则按规定取消其成交资格，监管部门依法进行处理。</w:t>
            </w:r>
          </w:p>
          <w:p>
            <w:pPr>
              <w:snapToGrid w:val="0"/>
              <w:spacing w:line="360" w:lineRule="auto"/>
              <w:rPr>
                <w:rFonts w:ascii="宋体" w:hAnsi="宋体" w:cs="宋体"/>
                <w:b/>
                <w:sz w:val="24"/>
              </w:rPr>
            </w:pPr>
            <w:r>
              <w:rPr>
                <w:rFonts w:hint="eastAsia" w:ascii="宋体" w:hAnsi="宋体" w:cs="宋体"/>
                <w:b/>
                <w:sz w:val="24"/>
              </w:rPr>
              <w:t>2.其它：</w:t>
            </w:r>
          </w:p>
          <w:p>
            <w:pPr>
              <w:snapToGrid w:val="0"/>
              <w:spacing w:line="360" w:lineRule="auto"/>
              <w:rPr>
                <w:rFonts w:ascii="宋体" w:hAnsi="宋体" w:cs="宋体"/>
                <w:b/>
                <w:sz w:val="24"/>
              </w:rPr>
            </w:pPr>
            <w:r>
              <w:rPr>
                <w:rFonts w:hint="eastAsia" w:ascii="宋体" w:hAnsi="宋体" w:cs="宋体"/>
                <w:b/>
                <w:sz w:val="24"/>
              </w:rPr>
              <w:t>（1）投标企业严格遵守国家的法律法规及招标纪律，无违法违纪及商业贿赂行为。</w:t>
            </w:r>
          </w:p>
          <w:p>
            <w:pPr>
              <w:snapToGrid w:val="0"/>
              <w:spacing w:line="360" w:lineRule="auto"/>
              <w:rPr>
                <w:rFonts w:ascii="宋体" w:hAnsi="宋体" w:cs="宋体"/>
                <w:b/>
                <w:sz w:val="24"/>
              </w:rPr>
            </w:pPr>
            <w:r>
              <w:rPr>
                <w:rFonts w:hint="eastAsia" w:ascii="宋体" w:hAnsi="宋体" w:cs="宋体"/>
                <w:b/>
                <w:sz w:val="24"/>
              </w:rPr>
              <w:t>（2）不管投标结果如何，投标人均应自行承担投标所需一切费用。</w:t>
            </w:r>
          </w:p>
          <w:p>
            <w:pPr>
              <w:snapToGrid w:val="0"/>
              <w:spacing w:line="360" w:lineRule="auto"/>
              <w:rPr>
                <w:rFonts w:ascii="宋体" w:hAnsi="宋体" w:cs="宋体"/>
                <w:b/>
                <w:sz w:val="24"/>
              </w:rPr>
            </w:pPr>
            <w:r>
              <w:rPr>
                <w:rFonts w:hint="eastAsia" w:ascii="宋体" w:hAnsi="宋体" w:cs="宋体"/>
                <w:b/>
                <w:sz w:val="24"/>
              </w:rPr>
              <w:t>（3）投标人应以书面形式保证中标后由本公司组织实施，不得以任何理由将项目转包给其他机构。</w:t>
            </w:r>
          </w:p>
          <w:p>
            <w:pPr>
              <w:snapToGrid w:val="0"/>
              <w:spacing w:line="360" w:lineRule="auto"/>
              <w:rPr>
                <w:rFonts w:ascii="宋体" w:hAnsi="宋体" w:cs="宋体"/>
                <w:color w:val="000000"/>
                <w:sz w:val="24"/>
                <w:highlight w:val="white"/>
              </w:rPr>
            </w:pPr>
            <w:r>
              <w:rPr>
                <w:rFonts w:hint="eastAsia" w:ascii="宋体" w:hAnsi="宋体" w:cs="宋体"/>
                <w:b/>
                <w:sz w:val="24"/>
              </w:rPr>
              <w:t>招标文件中如出现前后不一致情况，均以前附表内容为准。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Merge w:val="restart"/>
            <w:tcBorders>
              <w:top w:val="single" w:color="auto" w:sz="4" w:space="0"/>
              <w:left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r>
              <w:rPr>
                <w:rFonts w:hint="eastAsia" w:ascii="宋体" w:hAnsi="宋体" w:eastAsia="宋体" w:cs="宋体"/>
                <w:b/>
                <w:kern w:val="0"/>
                <w:sz w:val="24"/>
              </w:rPr>
              <w:t>38</w:t>
            </w:r>
          </w:p>
        </w:tc>
        <w:tc>
          <w:tcPr>
            <w:tcW w:w="2664" w:type="dxa"/>
            <w:tcBorders>
              <w:top w:val="single" w:color="auto" w:sz="4" w:space="0"/>
              <w:left w:val="single" w:color="auto" w:sz="4" w:space="0"/>
              <w:bottom w:val="single" w:color="auto" w:sz="4" w:space="0"/>
              <w:right w:val="single" w:color="auto" w:sz="4" w:space="0"/>
            </w:tcBorders>
            <w:vAlign w:val="center"/>
          </w:tcPr>
          <w:p>
            <w:pPr>
              <w:pStyle w:val="26"/>
              <w:autoSpaceDE w:val="0"/>
              <w:autoSpaceDN w:val="0"/>
              <w:adjustRightInd w:val="0"/>
              <w:spacing w:line="360" w:lineRule="auto"/>
              <w:jc w:val="center"/>
              <w:rPr>
                <w:rFonts w:ascii="宋体" w:hAnsi="宋体" w:eastAsia="宋体" w:cs="宋体"/>
                <w:b/>
                <w:bCs/>
                <w:color w:val="000000"/>
                <w:kern w:val="0"/>
                <w:sz w:val="24"/>
              </w:rPr>
            </w:pPr>
            <w:r>
              <w:rPr>
                <w:rFonts w:hint="eastAsia" w:ascii="宋体" w:hAnsi="宋体" w:eastAsia="宋体" w:cs="宋体"/>
                <w:b/>
                <w:bCs/>
                <w:kern w:val="0"/>
                <w:sz w:val="24"/>
                <w:highlight w:val="white"/>
              </w:rPr>
              <w:t>注意事项1</w:t>
            </w:r>
          </w:p>
        </w:tc>
        <w:tc>
          <w:tcPr>
            <w:tcW w:w="6518" w:type="dxa"/>
            <w:tcBorders>
              <w:top w:val="single" w:color="auto" w:sz="4" w:space="0"/>
              <w:left w:val="single" w:color="auto" w:sz="4" w:space="0"/>
              <w:bottom w:val="single" w:color="auto" w:sz="4" w:space="0"/>
              <w:right w:val="single" w:color="auto" w:sz="4" w:space="0"/>
            </w:tcBorders>
          </w:tcPr>
          <w:p>
            <w:pPr>
              <w:pStyle w:val="37"/>
              <w:spacing w:line="360" w:lineRule="auto"/>
              <w:rPr>
                <w:rFonts w:ascii="宋体" w:hAnsi="宋体" w:cs="宋体"/>
                <w:b/>
                <w:color w:val="0606EA"/>
                <w:sz w:val="24"/>
                <w:szCs w:val="24"/>
              </w:rPr>
            </w:pPr>
            <w:bookmarkStart w:id="58" w:name="EB41dfe38d81d947088300a87cef519167"/>
            <w:bookmarkEnd w:id="58"/>
            <w:r>
              <w:rPr>
                <w:rFonts w:hint="eastAsia" w:ascii="宋体" w:hAnsi="宋体" w:cs="宋体"/>
                <w:color w:val="000000"/>
                <w:sz w:val="24"/>
                <w:szCs w:val="24"/>
                <w:highlight w:val="white"/>
                <w:lang w:eastAsia="zh-CN"/>
              </w:rPr>
              <w:t>开标当天结束后</w:t>
            </w:r>
            <w:r>
              <w:rPr>
                <w:rFonts w:hint="eastAsia" w:ascii="宋体" w:hAnsi="宋体" w:cs="宋体"/>
                <w:color w:val="000000"/>
                <w:sz w:val="24"/>
                <w:szCs w:val="24"/>
                <w:highlight w:val="white"/>
              </w:rPr>
              <w:t>所有投标单位需将投标文件以纸质版的形式</w:t>
            </w:r>
            <w:r>
              <w:rPr>
                <w:rFonts w:hint="eastAsia" w:ascii="宋体" w:hAnsi="宋体" w:cs="宋体"/>
                <w:sz w:val="24"/>
              </w:rPr>
              <w:t>，正本1份、副本2份（加盖公章），电子版（光盘）1份</w:t>
            </w:r>
            <w:r>
              <w:rPr>
                <w:rFonts w:hint="eastAsia" w:ascii="宋体" w:hAnsi="宋体" w:cs="宋体"/>
                <w:color w:val="000000"/>
                <w:sz w:val="24"/>
                <w:szCs w:val="24"/>
                <w:highlight w:val="white"/>
              </w:rPr>
              <w:t>邮寄至：新疆乌鲁木齐市水磨沟区龙盛街浙商大厦15楼1505室，联系人：罗雅薇0991-2629781、18097782413。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Merge w:val="continue"/>
            <w:tcBorders>
              <w:left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p>
        </w:tc>
        <w:tc>
          <w:tcPr>
            <w:tcW w:w="2664" w:type="dxa"/>
            <w:tcBorders>
              <w:top w:val="single" w:color="auto" w:sz="4" w:space="0"/>
              <w:left w:val="single" w:color="auto" w:sz="4" w:space="0"/>
              <w:bottom w:val="single" w:color="auto" w:sz="4" w:space="0"/>
              <w:right w:val="single" w:color="auto" w:sz="4" w:space="0"/>
            </w:tcBorders>
            <w:vAlign w:val="center"/>
          </w:tcPr>
          <w:p>
            <w:pPr>
              <w:pStyle w:val="26"/>
              <w:autoSpaceDE w:val="0"/>
              <w:autoSpaceDN w:val="0"/>
              <w:adjustRightInd w:val="0"/>
              <w:spacing w:line="360" w:lineRule="auto"/>
              <w:jc w:val="center"/>
              <w:rPr>
                <w:rFonts w:ascii="宋体" w:hAnsi="宋体" w:eastAsia="宋体" w:cs="宋体"/>
                <w:b/>
                <w:bCs/>
                <w:kern w:val="0"/>
                <w:sz w:val="24"/>
                <w:highlight w:val="white"/>
              </w:rPr>
            </w:pPr>
            <w:r>
              <w:rPr>
                <w:rFonts w:hint="eastAsia" w:ascii="宋体" w:hAnsi="宋体" w:eastAsia="宋体" w:cs="宋体"/>
                <w:b/>
                <w:bCs/>
                <w:kern w:val="0"/>
                <w:sz w:val="24"/>
                <w:highlight w:val="white"/>
              </w:rPr>
              <w:t>注意事项2</w:t>
            </w:r>
          </w:p>
        </w:tc>
        <w:tc>
          <w:tcPr>
            <w:tcW w:w="6518" w:type="dxa"/>
            <w:tcBorders>
              <w:top w:val="single" w:color="auto" w:sz="4" w:space="0"/>
              <w:left w:val="single" w:color="auto" w:sz="4" w:space="0"/>
              <w:bottom w:val="single" w:color="auto" w:sz="4" w:space="0"/>
              <w:right w:val="single" w:color="auto" w:sz="4" w:space="0"/>
            </w:tcBorders>
          </w:tcPr>
          <w:p>
            <w:pPr>
              <w:pStyle w:val="37"/>
              <w:numPr>
                <w:ilvl w:val="0"/>
                <w:numId w:val="1"/>
              </w:numPr>
              <w:spacing w:line="360" w:lineRule="auto"/>
              <w:rPr>
                <w:rFonts w:ascii="宋体" w:hAnsi="宋体" w:cs="宋体"/>
                <w:color w:val="000000"/>
                <w:sz w:val="24"/>
                <w:szCs w:val="24"/>
                <w:highlight w:val="white"/>
              </w:rPr>
            </w:pPr>
            <w:r>
              <w:rPr>
                <w:rFonts w:hint="eastAsia" w:ascii="宋体" w:hAnsi="宋体" w:cs="宋体"/>
                <w:color w:val="000000"/>
                <w:sz w:val="24"/>
                <w:szCs w:val="24"/>
                <w:highlight w:val="white"/>
              </w:rPr>
              <w:t>本项目采用远程不见面电子标的方式开标。</w:t>
            </w:r>
          </w:p>
          <w:p>
            <w:pPr>
              <w:pStyle w:val="37"/>
              <w:spacing w:line="360" w:lineRule="auto"/>
              <w:rPr>
                <w:rFonts w:ascii="宋体" w:hAnsi="宋体" w:cs="宋体"/>
                <w:color w:val="000000"/>
                <w:sz w:val="24"/>
                <w:szCs w:val="24"/>
                <w:highlight w:val="white"/>
              </w:rPr>
            </w:pPr>
            <w:r>
              <w:rPr>
                <w:rFonts w:hint="eastAsia" w:ascii="宋体" w:hAnsi="宋体" w:cs="宋体"/>
                <w:color w:val="000000"/>
                <w:sz w:val="24"/>
                <w:szCs w:val="24"/>
                <w:highlight w:val="white"/>
              </w:rPr>
              <w:t>（2）潜在供应商领取文件须提前完成注册、CA证书和电子签章申领和绑定、下载投标客户端。因未注册入库、未办理CA数字证书、CA证书故障、操作不当等原因造成无法投标或投标失败等后果由供应商自行承担。CA证书办理可通过在线APP“新疆政务通”或新疆CA网点办理CA数字证书和电子签章；若单位已经办理过新疆CA证书且证书符合国产密码算法要求，可直接联系发证机构，申请增加“政采云”招投标电子签章，无需重新办理。</w:t>
            </w:r>
          </w:p>
          <w:p>
            <w:pPr>
              <w:pStyle w:val="37"/>
              <w:spacing w:line="360" w:lineRule="auto"/>
              <w:rPr>
                <w:rFonts w:ascii="宋体" w:hAnsi="宋体" w:cs="宋体"/>
                <w:color w:val="000000"/>
                <w:sz w:val="24"/>
                <w:szCs w:val="24"/>
                <w:highlight w:val="white"/>
              </w:rPr>
            </w:pPr>
            <w:r>
              <w:rPr>
                <w:rFonts w:hint="eastAsia" w:ascii="宋体" w:hAnsi="宋体" w:cs="宋体"/>
                <w:color w:val="000000"/>
                <w:sz w:val="24"/>
                <w:szCs w:val="24"/>
                <w:highlight w:val="white"/>
              </w:rPr>
              <w:t>（3）供应商操作指南详见兵团政府采购网（ccgp-bingtuan.gov.cn）—办事指南—操作指南</w:t>
            </w:r>
          </w:p>
          <w:p>
            <w:pPr>
              <w:pStyle w:val="37"/>
              <w:spacing w:line="360" w:lineRule="auto"/>
              <w:rPr>
                <w:rFonts w:ascii="宋体" w:hAnsi="宋体" w:cs="宋体"/>
                <w:color w:val="000000"/>
                <w:sz w:val="24"/>
                <w:szCs w:val="24"/>
                <w:highlight w:val="white"/>
              </w:rPr>
            </w:pPr>
            <w:r>
              <w:rPr>
                <w:rFonts w:hint="eastAsia" w:ascii="宋体" w:hAnsi="宋体" w:cs="宋体"/>
                <w:color w:val="000000"/>
                <w:sz w:val="24"/>
                <w:szCs w:val="24"/>
                <w:highlight w:val="white"/>
              </w:rPr>
              <w:t>（4）系统操作问题请咨询技术支持电话0991-2899144，CA办理问题请咨询新疆CA服务电话0991-2819290，或加QQ号800175577。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Merge w:val="continue"/>
            <w:tcBorders>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b/>
                <w:kern w:val="0"/>
                <w:sz w:val="24"/>
              </w:rPr>
            </w:pPr>
          </w:p>
        </w:tc>
        <w:tc>
          <w:tcPr>
            <w:tcW w:w="2664" w:type="dxa"/>
            <w:tcBorders>
              <w:top w:val="single" w:color="auto" w:sz="4" w:space="0"/>
              <w:left w:val="single" w:color="auto" w:sz="4" w:space="0"/>
              <w:bottom w:val="single" w:color="auto" w:sz="4" w:space="0"/>
              <w:right w:val="single" w:color="auto" w:sz="4" w:space="0"/>
            </w:tcBorders>
            <w:vAlign w:val="center"/>
          </w:tcPr>
          <w:p>
            <w:pPr>
              <w:pStyle w:val="26"/>
              <w:autoSpaceDE w:val="0"/>
              <w:autoSpaceDN w:val="0"/>
              <w:adjustRightInd w:val="0"/>
              <w:spacing w:line="360" w:lineRule="auto"/>
              <w:jc w:val="center"/>
              <w:rPr>
                <w:rFonts w:hint="default" w:ascii="宋体" w:hAnsi="宋体" w:eastAsia="宋体" w:cs="宋体"/>
                <w:b/>
                <w:bCs/>
                <w:kern w:val="0"/>
                <w:sz w:val="24"/>
                <w:highlight w:val="white"/>
                <w:lang w:val="en-US" w:eastAsia="zh-CN"/>
              </w:rPr>
            </w:pPr>
            <w:r>
              <w:rPr>
                <w:rFonts w:hint="eastAsia" w:ascii="宋体" w:hAnsi="宋体" w:eastAsia="宋体" w:cs="宋体"/>
                <w:b/>
                <w:bCs/>
                <w:kern w:val="0"/>
                <w:sz w:val="24"/>
                <w:highlight w:val="white"/>
                <w:lang w:eastAsia="zh-CN"/>
              </w:rPr>
              <w:t>注意事项</w:t>
            </w:r>
            <w:r>
              <w:rPr>
                <w:rFonts w:hint="eastAsia" w:ascii="宋体" w:hAnsi="宋体" w:eastAsia="宋体" w:cs="宋体"/>
                <w:b/>
                <w:bCs/>
                <w:kern w:val="0"/>
                <w:sz w:val="24"/>
                <w:highlight w:val="white"/>
                <w:lang w:val="en-US" w:eastAsia="zh-CN"/>
              </w:rPr>
              <w:t>3</w:t>
            </w:r>
          </w:p>
        </w:tc>
        <w:tc>
          <w:tcPr>
            <w:tcW w:w="6518" w:type="dxa"/>
            <w:tcBorders>
              <w:top w:val="single" w:color="auto" w:sz="4" w:space="0"/>
              <w:left w:val="single" w:color="auto" w:sz="4" w:space="0"/>
              <w:bottom w:val="single" w:color="auto" w:sz="4" w:space="0"/>
              <w:right w:val="single" w:color="auto" w:sz="4" w:space="0"/>
            </w:tcBorders>
          </w:tcPr>
          <w:p>
            <w:pPr>
              <w:pStyle w:val="37"/>
              <w:spacing w:line="360" w:lineRule="auto"/>
              <w:rPr>
                <w:rFonts w:hint="eastAsia" w:ascii="宋体" w:hAnsi="宋体" w:cs="宋体"/>
                <w:b/>
                <w:bCs/>
                <w:color w:val="000000"/>
                <w:sz w:val="24"/>
                <w:szCs w:val="24"/>
                <w:highlight w:val="white"/>
                <w:lang w:eastAsia="zh-CN"/>
              </w:rPr>
            </w:pPr>
            <w:r>
              <w:rPr>
                <w:rFonts w:hint="eastAsia" w:ascii="宋体" w:hAnsi="宋体" w:cs="宋体"/>
                <w:b/>
                <w:bCs/>
                <w:color w:val="000000"/>
                <w:sz w:val="24"/>
                <w:szCs w:val="24"/>
                <w:highlight w:val="white"/>
                <w:lang w:eastAsia="zh-CN"/>
              </w:rPr>
              <w:t>开标现场组织谈判，各投标单位须派一名谈判代表携带法人授权委托书到达开标现场。</w:t>
            </w:r>
          </w:p>
          <w:p>
            <w:pPr>
              <w:pStyle w:val="37"/>
              <w:spacing w:line="360" w:lineRule="auto"/>
              <w:rPr>
                <w:rFonts w:hint="eastAsia" w:ascii="宋体" w:hAnsi="宋体" w:cs="宋体"/>
                <w:b/>
                <w:bCs/>
                <w:color w:val="000000"/>
                <w:sz w:val="24"/>
                <w:szCs w:val="24"/>
                <w:highlight w:val="white"/>
                <w:lang w:val="en-US" w:eastAsia="zh-CN"/>
              </w:rPr>
            </w:pPr>
            <w:r>
              <w:rPr>
                <w:rFonts w:hint="eastAsia" w:ascii="宋体" w:hAnsi="宋体" w:cs="宋体"/>
                <w:b/>
                <w:bCs/>
                <w:color w:val="000000"/>
                <w:sz w:val="24"/>
                <w:szCs w:val="24"/>
                <w:highlight w:val="white"/>
                <w:lang w:eastAsia="zh-CN"/>
              </w:rPr>
              <w:t>到场截止时间：</w:t>
            </w:r>
            <w:r>
              <w:rPr>
                <w:rFonts w:hint="eastAsia" w:ascii="宋体" w:hAnsi="宋体" w:cs="宋体"/>
                <w:b/>
                <w:bCs/>
                <w:color w:val="000000"/>
                <w:sz w:val="24"/>
                <w:szCs w:val="24"/>
                <w:highlight w:val="white"/>
                <w:lang w:val="en-US" w:eastAsia="zh-CN"/>
              </w:rPr>
              <w:t>2021年9月30日16:00（北京时间）</w:t>
            </w:r>
          </w:p>
          <w:p>
            <w:pPr>
              <w:pStyle w:val="37"/>
              <w:spacing w:line="360" w:lineRule="auto"/>
              <w:rPr>
                <w:rFonts w:hint="eastAsia" w:ascii="宋体" w:hAnsi="宋体" w:eastAsia="宋体" w:cs="宋体"/>
                <w:b/>
                <w:bCs/>
                <w:color w:val="000000"/>
                <w:sz w:val="24"/>
                <w:szCs w:val="24"/>
                <w:highlight w:val="white"/>
                <w:lang w:val="en-US" w:eastAsia="zh-CN"/>
              </w:rPr>
            </w:pPr>
            <w:r>
              <w:rPr>
                <w:rFonts w:hint="eastAsia" w:ascii="宋体" w:hAnsi="宋体" w:cs="宋体"/>
                <w:b/>
                <w:bCs/>
                <w:color w:val="000000"/>
                <w:sz w:val="24"/>
                <w:szCs w:val="24"/>
                <w:highlight w:val="white"/>
                <w:lang w:val="en-US" w:eastAsia="zh-CN"/>
              </w:rPr>
              <w:t>注:未按时到场人员将视为自动放弃谈判。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pStyle w:val="26"/>
              <w:spacing w:line="360" w:lineRule="auto"/>
              <w:jc w:val="center"/>
              <w:rPr>
                <w:rFonts w:ascii="宋体" w:hAnsi="宋体" w:eastAsia="宋体" w:cs="宋体"/>
                <w:kern w:val="0"/>
                <w:sz w:val="24"/>
              </w:rPr>
            </w:pPr>
            <w:r>
              <w:rPr>
                <w:rFonts w:hint="eastAsia" w:ascii="宋体" w:hAnsi="宋体" w:eastAsia="宋体" w:cs="宋体"/>
                <w:kern w:val="0"/>
                <w:sz w:val="24"/>
                <w:highlight w:val="white"/>
              </w:rPr>
              <w:t>备注</w:t>
            </w:r>
          </w:p>
        </w:tc>
        <w:tc>
          <w:tcPr>
            <w:tcW w:w="9182" w:type="dxa"/>
            <w:gridSpan w:val="2"/>
            <w:tcBorders>
              <w:top w:val="single" w:color="auto" w:sz="4" w:space="0"/>
              <w:left w:val="single" w:color="auto" w:sz="4" w:space="0"/>
              <w:bottom w:val="single" w:color="auto" w:sz="4" w:space="0"/>
              <w:right w:val="single" w:color="auto" w:sz="4" w:space="0"/>
            </w:tcBorders>
            <w:vAlign w:val="center"/>
          </w:tcPr>
          <w:p>
            <w:pPr>
              <w:pStyle w:val="26"/>
              <w:widowControl/>
              <w:wordWrap w:val="0"/>
              <w:rPr>
                <w:rFonts w:ascii="宋体" w:hAnsi="宋体" w:eastAsia="宋体" w:cs="宋体"/>
                <w:b/>
                <w:bCs/>
                <w:color w:val="000000"/>
                <w:kern w:val="0"/>
                <w:sz w:val="24"/>
              </w:rPr>
            </w:pPr>
            <w:r>
              <w:rPr>
                <w:rFonts w:hint="eastAsia" w:ascii="宋体" w:hAnsi="宋体" w:eastAsia="宋体" w:cs="宋体"/>
                <w:b/>
                <w:bCs/>
                <w:color w:val="000000"/>
                <w:kern w:val="0"/>
                <w:sz w:val="24"/>
              </w:rPr>
              <w:t>/</w:t>
            </w:r>
          </w:p>
        </w:tc>
      </w:tr>
    </w:tbl>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center"/>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一、总则</w:t>
      </w:r>
      <w:bookmarkStart w:id="59" w:name="_Toc24105"/>
      <w:bookmarkStart w:id="60" w:name="_Toc12439"/>
    </w:p>
    <w:p>
      <w:pPr>
        <w:shd w:val="clear" w:color="auto" w:fill="FFFFFF"/>
        <w:spacing w:line="360" w:lineRule="auto"/>
        <w:ind w:firstLine="482" w:firstLineChars="200"/>
        <w:rPr>
          <w:rFonts w:ascii="宋体" w:hAnsi="宋体" w:cs="黑体"/>
          <w:b/>
          <w:sz w:val="24"/>
        </w:rPr>
      </w:pPr>
      <w:r>
        <w:rPr>
          <w:rFonts w:hint="eastAsia" w:ascii="宋体" w:hAnsi="宋体" w:cs="宋体"/>
          <w:b/>
          <w:bCs/>
          <w:sz w:val="24"/>
        </w:rPr>
        <w:t xml:space="preserve"> </w:t>
      </w:r>
      <w:bookmarkEnd w:id="59"/>
      <w:bookmarkEnd w:id="60"/>
      <w:r>
        <w:rPr>
          <w:rFonts w:hint="eastAsia" w:ascii="宋体" w:hAnsi="宋体" w:cs="黑体"/>
          <w:b/>
          <w:sz w:val="24"/>
        </w:rPr>
        <w:t>1. 项目说明</w:t>
      </w:r>
    </w:p>
    <w:p>
      <w:pPr>
        <w:shd w:val="clear" w:color="auto" w:fill="FFFFFF"/>
        <w:spacing w:line="360" w:lineRule="auto"/>
        <w:ind w:firstLine="484" w:firstLineChars="202"/>
        <w:rPr>
          <w:rFonts w:ascii="宋体" w:hAnsi="宋体" w:cs="黑体"/>
          <w:sz w:val="24"/>
        </w:rPr>
      </w:pPr>
      <w:r>
        <w:rPr>
          <w:rFonts w:hint="eastAsia" w:ascii="宋体" w:hAnsi="宋体" w:cs="黑体"/>
          <w:sz w:val="24"/>
        </w:rPr>
        <w:t>1.1 本项目的说明详见投标须知前附表（以下简称“前附表”）所述。</w:t>
      </w:r>
    </w:p>
    <w:p>
      <w:pPr>
        <w:shd w:val="clear" w:color="auto" w:fill="FFFFFF"/>
        <w:spacing w:line="360" w:lineRule="auto"/>
        <w:ind w:firstLine="484" w:firstLineChars="202"/>
        <w:rPr>
          <w:rFonts w:ascii="宋体" w:hAnsi="宋体" w:cs="黑体"/>
          <w:sz w:val="24"/>
        </w:rPr>
      </w:pPr>
      <w:r>
        <w:rPr>
          <w:rFonts w:hint="eastAsia" w:ascii="宋体" w:hAnsi="宋体" w:cs="黑体"/>
          <w:sz w:val="24"/>
        </w:rPr>
        <w:t>1.2本采购项目已经批准，采购单位为</w:t>
      </w:r>
      <w:r>
        <w:rPr>
          <w:rFonts w:hint="eastAsia" w:ascii="宋体" w:hAnsi="宋体" w:cs="黑体"/>
          <w:b/>
          <w:bCs/>
          <w:sz w:val="24"/>
          <w:lang w:eastAsia="zh-CN"/>
        </w:rPr>
        <w:t>二二一团农业发展服务中心</w:t>
      </w:r>
      <w:r>
        <w:rPr>
          <w:rFonts w:hint="eastAsia" w:ascii="宋体" w:hAnsi="宋体" w:cs="黑体"/>
          <w:sz w:val="24"/>
        </w:rPr>
        <w:t>，该项目已具备采购条件，现对该项目进行</w:t>
      </w:r>
      <w:r>
        <w:rPr>
          <w:rFonts w:hint="eastAsia" w:ascii="宋体" w:hAnsi="宋体" w:cs="黑体"/>
          <w:b/>
          <w:sz w:val="24"/>
          <w:u w:val="single"/>
        </w:rPr>
        <w:t>竞争性谈判</w:t>
      </w:r>
      <w:r>
        <w:rPr>
          <w:rFonts w:hint="eastAsia" w:ascii="宋体" w:hAnsi="宋体" w:cs="黑体"/>
          <w:sz w:val="24"/>
        </w:rPr>
        <w:t>采购。</w:t>
      </w:r>
    </w:p>
    <w:p>
      <w:pPr>
        <w:shd w:val="clear" w:color="auto" w:fill="FFFFFF"/>
        <w:spacing w:line="360" w:lineRule="auto"/>
        <w:ind w:firstLine="484" w:firstLineChars="202"/>
        <w:rPr>
          <w:rFonts w:ascii="宋体" w:hAnsi="宋体" w:cs="黑体"/>
          <w:sz w:val="24"/>
          <w:u w:val="single"/>
        </w:rPr>
      </w:pPr>
      <w:r>
        <w:rPr>
          <w:rFonts w:hint="eastAsia" w:ascii="宋体" w:hAnsi="宋体" w:cs="黑体"/>
          <w:kern w:val="0"/>
          <w:sz w:val="24"/>
        </w:rPr>
        <w:t>1.3</w:t>
      </w:r>
      <w:r>
        <w:rPr>
          <w:rFonts w:hint="eastAsia" w:ascii="宋体" w:hAnsi="宋体" w:cs="黑体"/>
          <w:sz w:val="24"/>
        </w:rPr>
        <w:t>本采购项目投标人的资格审查采取</w:t>
      </w:r>
      <w:r>
        <w:rPr>
          <w:rFonts w:hint="eastAsia" w:ascii="宋体" w:hAnsi="宋体" w:cs="黑体"/>
          <w:b/>
          <w:sz w:val="24"/>
          <w:u w:val="single"/>
        </w:rPr>
        <w:t>资格后审</w:t>
      </w:r>
      <w:r>
        <w:rPr>
          <w:rFonts w:hint="eastAsia" w:ascii="宋体" w:hAnsi="宋体" w:cs="黑体"/>
          <w:sz w:val="24"/>
        </w:rPr>
        <w:t>方式。</w:t>
      </w:r>
      <w:r>
        <w:rPr>
          <w:rFonts w:hint="eastAsia" w:ascii="宋体" w:hAnsi="宋体" w:cs="黑体"/>
          <w:b/>
          <w:sz w:val="24"/>
          <w:u w:val="single"/>
        </w:rPr>
        <w:t>本次采购不接受联合体投标、不接受备选方案</w:t>
      </w:r>
      <w:r>
        <w:rPr>
          <w:rFonts w:hint="eastAsia" w:ascii="宋体" w:hAnsi="宋体" w:cs="黑体"/>
          <w:sz w:val="24"/>
          <w:u w:val="single"/>
        </w:rPr>
        <w:t>。</w:t>
      </w:r>
    </w:p>
    <w:p>
      <w:pPr>
        <w:shd w:val="clear" w:color="auto" w:fill="FFFFFF"/>
        <w:spacing w:line="360" w:lineRule="auto"/>
        <w:ind w:firstLine="484" w:firstLineChars="202"/>
        <w:rPr>
          <w:rFonts w:ascii="宋体" w:hAnsi="宋体" w:cs="黑体"/>
          <w:sz w:val="24"/>
          <w:u w:val="single"/>
        </w:rPr>
      </w:pPr>
      <w:r>
        <w:rPr>
          <w:rFonts w:hint="eastAsia" w:ascii="宋体" w:hAnsi="宋体" w:cs="黑体"/>
          <w:sz w:val="24"/>
        </w:rPr>
        <w:t>投标人必须符合投标人须知前附表说明，通过资格后审的投标人为合格的投标人。</w:t>
      </w:r>
      <w:r>
        <w:rPr>
          <w:rFonts w:hint="eastAsia" w:ascii="宋体" w:hAnsi="宋体" w:cs="黑体"/>
          <w:sz w:val="24"/>
          <w:u w:val="single"/>
        </w:rPr>
        <w:t>合格的投标人必须符合采购文件中对投标人的规定，且具备独立完成所投项目或所投标段的</w:t>
      </w:r>
      <w:r>
        <w:rPr>
          <w:rFonts w:hint="eastAsia" w:ascii="宋体" w:hAnsi="宋体" w:cs="黑体"/>
          <w:kern w:val="10"/>
          <w:sz w:val="24"/>
          <w:u w:val="single"/>
        </w:rPr>
        <w:t>能</w:t>
      </w:r>
      <w:r>
        <w:rPr>
          <w:rFonts w:hint="eastAsia" w:ascii="宋体" w:hAnsi="宋体" w:cs="黑体"/>
          <w:sz w:val="24"/>
          <w:u w:val="single"/>
        </w:rPr>
        <w:t>力，中标后不允许转包、违法分包。</w:t>
      </w:r>
    </w:p>
    <w:p>
      <w:pPr>
        <w:shd w:val="clear" w:color="auto" w:fill="FFFFFF"/>
        <w:spacing w:line="360" w:lineRule="auto"/>
        <w:ind w:firstLine="480" w:firstLineChars="200"/>
        <w:rPr>
          <w:rFonts w:ascii="宋体" w:hAnsi="宋体" w:cs="黑体"/>
          <w:sz w:val="24"/>
        </w:rPr>
      </w:pPr>
      <w:r>
        <w:rPr>
          <w:rFonts w:hint="eastAsia" w:ascii="宋体" w:hAnsi="宋体" w:cs="黑体"/>
          <w:sz w:val="24"/>
        </w:rPr>
        <w:t>1.4 资格后审包括下列的内容</w:t>
      </w:r>
    </w:p>
    <w:p>
      <w:pPr>
        <w:shd w:val="clear" w:color="auto" w:fill="FFFFFF"/>
        <w:spacing w:line="360" w:lineRule="auto"/>
        <w:ind w:firstLine="484" w:firstLineChars="202"/>
        <w:rPr>
          <w:rFonts w:ascii="宋体" w:hAnsi="宋体" w:cs="黑体"/>
          <w:kern w:val="0"/>
          <w:sz w:val="24"/>
        </w:rPr>
      </w:pPr>
      <w:r>
        <w:rPr>
          <w:rFonts w:hint="eastAsia" w:ascii="宋体" w:hAnsi="宋体" w:cs="黑体"/>
          <w:kern w:val="0"/>
          <w:sz w:val="24"/>
        </w:rPr>
        <w:t>1.4.1 投标人具有独立法人资格并满足“前附表”规定的资格要求 ；</w:t>
      </w:r>
    </w:p>
    <w:p>
      <w:pPr>
        <w:shd w:val="clear" w:color="auto" w:fill="FFFFFF"/>
        <w:spacing w:line="360" w:lineRule="auto"/>
        <w:ind w:firstLine="484" w:firstLineChars="202"/>
        <w:rPr>
          <w:rFonts w:ascii="宋体" w:hAnsi="宋体" w:cs="黑体"/>
          <w:kern w:val="0"/>
          <w:sz w:val="24"/>
        </w:rPr>
      </w:pPr>
      <w:r>
        <w:rPr>
          <w:rFonts w:hint="eastAsia" w:ascii="宋体" w:hAnsi="宋体" w:cs="黑体"/>
          <w:kern w:val="0"/>
          <w:sz w:val="24"/>
        </w:rPr>
        <w:t>1.4.2谈判文件有要求投标人法定代表人或其授权代表签字或盖章和加盖投标人公章要求的，投标人须按采购文件要求签署；</w:t>
      </w:r>
    </w:p>
    <w:p>
      <w:pPr>
        <w:shd w:val="clear" w:color="auto" w:fill="FFFFFF"/>
        <w:spacing w:line="360" w:lineRule="auto"/>
        <w:ind w:firstLine="484" w:firstLineChars="202"/>
        <w:rPr>
          <w:rFonts w:ascii="宋体" w:hAnsi="宋体" w:cs="黑体"/>
          <w:kern w:val="0"/>
          <w:sz w:val="24"/>
        </w:rPr>
      </w:pPr>
      <w:r>
        <w:rPr>
          <w:rFonts w:hint="eastAsia" w:ascii="宋体" w:hAnsi="宋体" w:cs="黑体"/>
          <w:kern w:val="0"/>
          <w:sz w:val="24"/>
        </w:rPr>
        <w:t>1.4.3交货期符合谈判文件要求；</w:t>
      </w:r>
    </w:p>
    <w:p>
      <w:pPr>
        <w:shd w:val="clear" w:color="auto" w:fill="FFFFFF"/>
        <w:spacing w:line="360" w:lineRule="auto"/>
        <w:ind w:firstLine="484" w:firstLineChars="202"/>
        <w:rPr>
          <w:rFonts w:ascii="宋体" w:hAnsi="宋体" w:cs="黑体"/>
          <w:kern w:val="0"/>
          <w:sz w:val="24"/>
        </w:rPr>
      </w:pPr>
      <w:r>
        <w:rPr>
          <w:rFonts w:hint="eastAsia" w:ascii="宋体" w:hAnsi="宋体" w:cs="黑体"/>
          <w:kern w:val="0"/>
          <w:sz w:val="24"/>
        </w:rPr>
        <w:t>1.4.4交货地点符合谈判文件规定；</w:t>
      </w:r>
    </w:p>
    <w:p>
      <w:pPr>
        <w:shd w:val="clear" w:color="auto" w:fill="FFFFFF"/>
        <w:spacing w:line="360" w:lineRule="auto"/>
        <w:ind w:firstLine="484" w:firstLineChars="202"/>
        <w:rPr>
          <w:rFonts w:ascii="宋体" w:hAnsi="宋体" w:cs="黑体"/>
          <w:kern w:val="0"/>
          <w:sz w:val="24"/>
        </w:rPr>
      </w:pPr>
      <w:r>
        <w:rPr>
          <w:rFonts w:hint="eastAsia" w:ascii="宋体" w:hAnsi="宋体" w:cs="黑体"/>
          <w:kern w:val="0"/>
          <w:sz w:val="24"/>
        </w:rPr>
        <w:t>1.4.5投标内容、数量、质量、供货要求等满足谈判文件要求；</w:t>
      </w:r>
    </w:p>
    <w:p>
      <w:pPr>
        <w:shd w:val="clear" w:color="auto" w:fill="FFFFFF"/>
        <w:spacing w:line="360" w:lineRule="auto"/>
        <w:ind w:firstLine="484" w:firstLineChars="202"/>
        <w:rPr>
          <w:rFonts w:ascii="宋体" w:hAnsi="宋体" w:cs="黑体"/>
          <w:kern w:val="0"/>
          <w:sz w:val="24"/>
        </w:rPr>
      </w:pPr>
      <w:r>
        <w:rPr>
          <w:rFonts w:hint="eastAsia" w:ascii="宋体" w:hAnsi="宋体" w:cs="黑体"/>
          <w:kern w:val="0"/>
          <w:sz w:val="24"/>
        </w:rPr>
        <w:t>1.4.6谈判响应文件中所提条件均须符合采购人的要求；</w:t>
      </w:r>
    </w:p>
    <w:p>
      <w:pPr>
        <w:shd w:val="clear" w:color="auto" w:fill="FFFFFF"/>
        <w:spacing w:line="360" w:lineRule="auto"/>
        <w:ind w:firstLine="484" w:firstLineChars="202"/>
        <w:rPr>
          <w:rFonts w:ascii="宋体" w:hAnsi="宋体" w:cs="黑体"/>
          <w:kern w:val="0"/>
          <w:sz w:val="24"/>
        </w:rPr>
      </w:pPr>
      <w:r>
        <w:rPr>
          <w:rFonts w:hint="eastAsia" w:ascii="宋体" w:hAnsi="宋体" w:cs="黑体"/>
          <w:kern w:val="0"/>
          <w:sz w:val="24"/>
        </w:rPr>
        <w:t>1.4.7符合谈判文件中规定的其他实质性要求；</w:t>
      </w:r>
    </w:p>
    <w:p>
      <w:pPr>
        <w:shd w:val="clear" w:color="auto" w:fill="FFFFFF"/>
        <w:spacing w:line="360" w:lineRule="auto"/>
        <w:ind w:firstLine="484" w:firstLineChars="202"/>
        <w:rPr>
          <w:rFonts w:ascii="宋体" w:hAnsi="宋体" w:cs="黑体"/>
          <w:sz w:val="24"/>
        </w:rPr>
      </w:pPr>
      <w:r>
        <w:rPr>
          <w:rFonts w:hint="eastAsia" w:ascii="宋体" w:hAnsi="宋体" w:cs="黑体"/>
          <w:kern w:val="0"/>
          <w:sz w:val="24"/>
        </w:rPr>
        <w:t>1.4.8无法律、法规和规章禁止的其他情况。</w:t>
      </w:r>
    </w:p>
    <w:p>
      <w:pPr>
        <w:shd w:val="clear" w:color="auto" w:fill="FFFFFF"/>
        <w:spacing w:line="360" w:lineRule="auto"/>
        <w:ind w:firstLine="482" w:firstLineChars="200"/>
        <w:rPr>
          <w:rFonts w:ascii="宋体" w:hAnsi="宋体" w:cs="黑体"/>
          <w:b/>
          <w:sz w:val="24"/>
        </w:rPr>
      </w:pPr>
      <w:r>
        <w:rPr>
          <w:rFonts w:hint="eastAsia" w:ascii="宋体" w:hAnsi="宋体" w:cs="黑体"/>
          <w:b/>
          <w:sz w:val="24"/>
        </w:rPr>
        <w:t>2. 采购范围</w:t>
      </w:r>
    </w:p>
    <w:p>
      <w:pPr>
        <w:shd w:val="clear" w:color="auto" w:fill="FFFFFF"/>
        <w:spacing w:line="360" w:lineRule="auto"/>
        <w:ind w:firstLine="480" w:firstLineChars="200"/>
        <w:rPr>
          <w:rFonts w:ascii="宋体" w:hAnsi="宋体" w:cs="黑体"/>
          <w:sz w:val="24"/>
        </w:rPr>
      </w:pPr>
      <w:r>
        <w:rPr>
          <w:rFonts w:hint="eastAsia" w:ascii="宋体" w:hAnsi="宋体" w:cs="黑体"/>
          <w:sz w:val="24"/>
        </w:rPr>
        <w:t>2.1本采购项目采购范围</w:t>
      </w:r>
      <w:r>
        <w:rPr>
          <w:rFonts w:hint="eastAsia" w:ascii="宋体" w:hAnsi="宋体" w:cs="黑体"/>
          <w:kern w:val="0"/>
          <w:sz w:val="24"/>
        </w:rPr>
        <w:t>已通过谈判文件第四部分所述，</w:t>
      </w:r>
      <w:r>
        <w:rPr>
          <w:rFonts w:hint="eastAsia" w:ascii="宋体" w:hAnsi="宋体" w:cs="黑体"/>
          <w:sz w:val="24"/>
        </w:rPr>
        <w:t>指本项目</w:t>
      </w:r>
      <w:r>
        <w:rPr>
          <w:rFonts w:hint="eastAsia" w:ascii="宋体" w:hAnsi="宋体" w:cs="黑体"/>
          <w:kern w:val="0"/>
          <w:sz w:val="24"/>
        </w:rPr>
        <w:t>谈判</w:t>
      </w:r>
      <w:r>
        <w:rPr>
          <w:rFonts w:hint="eastAsia" w:ascii="宋体" w:hAnsi="宋体" w:cs="黑体"/>
          <w:sz w:val="24"/>
        </w:rPr>
        <w:t>文件中范围内所要求的所有工作内容。</w:t>
      </w:r>
    </w:p>
    <w:p>
      <w:pPr>
        <w:shd w:val="clear" w:color="auto" w:fill="FFFFFF"/>
        <w:spacing w:line="360" w:lineRule="auto"/>
        <w:ind w:firstLine="487" w:firstLineChars="202"/>
        <w:rPr>
          <w:rFonts w:ascii="宋体" w:hAnsi="宋体" w:cs="黑体"/>
          <w:b/>
          <w:sz w:val="24"/>
        </w:rPr>
      </w:pPr>
      <w:r>
        <w:rPr>
          <w:rFonts w:hint="eastAsia" w:ascii="宋体" w:hAnsi="宋体" w:cs="黑体"/>
          <w:b/>
          <w:sz w:val="24"/>
        </w:rPr>
        <w:t>3. 适用法律及约束力</w:t>
      </w:r>
    </w:p>
    <w:p>
      <w:pPr>
        <w:shd w:val="clear" w:color="auto" w:fill="FFFFFF"/>
        <w:spacing w:line="360" w:lineRule="auto"/>
        <w:ind w:firstLine="484" w:firstLineChars="202"/>
        <w:rPr>
          <w:rFonts w:ascii="宋体" w:hAnsi="宋体" w:cs="黑体"/>
          <w:sz w:val="24"/>
        </w:rPr>
      </w:pPr>
      <w:r>
        <w:rPr>
          <w:rFonts w:hint="eastAsia" w:ascii="宋体" w:hAnsi="宋体" w:cs="黑体"/>
          <w:sz w:val="24"/>
        </w:rPr>
        <w:t>3.1 本次采购及由本次采购产生的合同受中华人民共和国的相关法律、法规制约和保护。投标人一旦领取了</w:t>
      </w:r>
      <w:r>
        <w:rPr>
          <w:rFonts w:hint="eastAsia" w:ascii="宋体" w:hAnsi="宋体" w:cs="黑体"/>
          <w:kern w:val="0"/>
          <w:sz w:val="24"/>
        </w:rPr>
        <w:t>谈判</w:t>
      </w:r>
      <w:r>
        <w:rPr>
          <w:rFonts w:hint="eastAsia" w:ascii="宋体" w:hAnsi="宋体" w:cs="黑体"/>
          <w:sz w:val="24"/>
        </w:rPr>
        <w:t>文件并参加本项目，即被认为接受了</w:t>
      </w:r>
      <w:r>
        <w:rPr>
          <w:rFonts w:hint="eastAsia" w:ascii="宋体" w:hAnsi="宋体" w:cs="黑体"/>
          <w:kern w:val="0"/>
          <w:sz w:val="24"/>
        </w:rPr>
        <w:t>谈判</w:t>
      </w:r>
      <w:r>
        <w:rPr>
          <w:rFonts w:hint="eastAsia" w:ascii="宋体" w:hAnsi="宋体" w:cs="黑体"/>
          <w:sz w:val="24"/>
        </w:rPr>
        <w:t>文件中的所有条件和规定。</w:t>
      </w:r>
    </w:p>
    <w:p>
      <w:pPr>
        <w:shd w:val="clear" w:color="auto" w:fill="FFFFFF"/>
        <w:spacing w:line="360" w:lineRule="auto"/>
        <w:ind w:firstLine="487" w:firstLineChars="202"/>
        <w:rPr>
          <w:rFonts w:ascii="宋体" w:hAnsi="宋体" w:cs="黑体"/>
          <w:b/>
          <w:sz w:val="24"/>
        </w:rPr>
      </w:pPr>
      <w:r>
        <w:rPr>
          <w:rFonts w:hint="eastAsia" w:ascii="宋体" w:hAnsi="宋体" w:cs="黑体"/>
          <w:b/>
          <w:sz w:val="24"/>
        </w:rPr>
        <w:t>4. 采购项目实施要求</w:t>
      </w:r>
    </w:p>
    <w:p>
      <w:pPr>
        <w:shd w:val="clear" w:color="auto" w:fill="FFFFFF"/>
        <w:spacing w:line="360" w:lineRule="auto"/>
        <w:ind w:firstLine="484" w:firstLineChars="202"/>
        <w:rPr>
          <w:rFonts w:ascii="宋体" w:hAnsi="宋体" w:cs="黑体"/>
          <w:kern w:val="0"/>
          <w:sz w:val="24"/>
        </w:rPr>
      </w:pPr>
      <w:r>
        <w:rPr>
          <w:rFonts w:hint="eastAsia" w:ascii="宋体" w:hAnsi="宋体" w:cs="黑体"/>
          <w:kern w:val="0"/>
          <w:sz w:val="24"/>
        </w:rPr>
        <w:t>4.1服务/供货要求已在招标文件第四部分所述。</w:t>
      </w:r>
    </w:p>
    <w:p>
      <w:pPr>
        <w:shd w:val="clear" w:color="auto" w:fill="FFFFFF"/>
        <w:spacing w:line="360" w:lineRule="auto"/>
        <w:ind w:firstLine="484" w:firstLineChars="202"/>
        <w:rPr>
          <w:rFonts w:ascii="宋体" w:hAnsi="宋体" w:cs="黑体"/>
          <w:kern w:val="0"/>
          <w:sz w:val="24"/>
        </w:rPr>
      </w:pPr>
      <w:r>
        <w:rPr>
          <w:rFonts w:hint="eastAsia" w:ascii="宋体" w:hAnsi="宋体" w:cs="黑体"/>
          <w:sz w:val="24"/>
        </w:rPr>
        <w:t>4.2 供应方与采购人签订合同后，按照</w:t>
      </w:r>
      <w:r>
        <w:rPr>
          <w:rFonts w:hint="eastAsia" w:ascii="宋体" w:hAnsi="宋体" w:cs="黑体"/>
          <w:kern w:val="0"/>
          <w:sz w:val="24"/>
        </w:rPr>
        <w:t>谈判</w:t>
      </w:r>
      <w:r>
        <w:rPr>
          <w:rFonts w:hint="eastAsia" w:ascii="宋体" w:hAnsi="宋体" w:cs="黑体"/>
          <w:sz w:val="24"/>
        </w:rPr>
        <w:t>文件及合同相关的要求送货至采购人要求地点。</w:t>
      </w:r>
    </w:p>
    <w:p>
      <w:pPr>
        <w:shd w:val="clear" w:color="auto" w:fill="FFFFFF"/>
        <w:spacing w:line="360" w:lineRule="auto"/>
        <w:ind w:firstLine="487" w:firstLineChars="202"/>
        <w:rPr>
          <w:rFonts w:ascii="宋体" w:hAnsi="宋体" w:cs="黑体"/>
          <w:b/>
          <w:sz w:val="24"/>
        </w:rPr>
      </w:pPr>
      <w:r>
        <w:rPr>
          <w:rFonts w:hint="eastAsia" w:ascii="宋体" w:hAnsi="宋体" w:cs="黑体"/>
          <w:b/>
          <w:sz w:val="24"/>
        </w:rPr>
        <w:t>5.交货期</w:t>
      </w:r>
    </w:p>
    <w:p>
      <w:pPr>
        <w:shd w:val="clear" w:color="auto" w:fill="FFFFFF"/>
        <w:spacing w:line="360" w:lineRule="auto"/>
        <w:ind w:firstLine="484" w:firstLineChars="202"/>
        <w:rPr>
          <w:rFonts w:ascii="宋体" w:hAnsi="宋体" w:cs="黑体"/>
          <w:sz w:val="24"/>
        </w:rPr>
      </w:pPr>
      <w:r>
        <w:rPr>
          <w:rFonts w:hint="eastAsia" w:ascii="宋体" w:hAnsi="宋体" w:cs="黑体"/>
          <w:sz w:val="24"/>
        </w:rPr>
        <w:t>5.1 交货期已</w:t>
      </w:r>
      <w:r>
        <w:rPr>
          <w:rFonts w:hint="eastAsia" w:ascii="宋体" w:hAnsi="宋体" w:cs="黑体"/>
          <w:kern w:val="0"/>
          <w:sz w:val="24"/>
        </w:rPr>
        <w:t>通过“前附表”所述，</w:t>
      </w:r>
      <w:r>
        <w:rPr>
          <w:rFonts w:hint="eastAsia" w:ascii="宋体" w:hAnsi="宋体" w:cs="黑体"/>
          <w:sz w:val="24"/>
        </w:rPr>
        <w:t>是指项目验收合格并移交采购人的时间；项目地点已</w:t>
      </w:r>
      <w:r>
        <w:rPr>
          <w:rFonts w:hint="eastAsia" w:ascii="宋体" w:hAnsi="宋体" w:cs="黑体"/>
          <w:kern w:val="0"/>
          <w:sz w:val="24"/>
        </w:rPr>
        <w:t>通过“前附表”所述</w:t>
      </w:r>
      <w:r>
        <w:rPr>
          <w:rFonts w:hint="eastAsia" w:ascii="宋体" w:hAnsi="宋体" w:cs="黑体"/>
          <w:sz w:val="24"/>
        </w:rPr>
        <w:t>。</w:t>
      </w:r>
    </w:p>
    <w:p>
      <w:pPr>
        <w:shd w:val="clear" w:color="auto" w:fill="FFFFFF"/>
        <w:spacing w:line="360" w:lineRule="auto"/>
        <w:ind w:firstLine="482" w:firstLineChars="200"/>
        <w:rPr>
          <w:rFonts w:ascii="宋体" w:hAnsi="宋体" w:cs="黑体"/>
          <w:b/>
          <w:bCs/>
          <w:kern w:val="0"/>
          <w:sz w:val="24"/>
        </w:rPr>
      </w:pPr>
      <w:r>
        <w:rPr>
          <w:rFonts w:hint="eastAsia" w:ascii="宋体" w:hAnsi="宋体" w:cs="黑体"/>
          <w:b/>
          <w:bCs/>
          <w:kern w:val="0"/>
          <w:sz w:val="24"/>
        </w:rPr>
        <w:t>6. 资金来源</w:t>
      </w:r>
    </w:p>
    <w:p>
      <w:pPr>
        <w:shd w:val="clear" w:color="auto" w:fill="FFFFFF"/>
        <w:spacing w:line="360" w:lineRule="auto"/>
        <w:ind w:firstLine="480" w:firstLineChars="200"/>
        <w:rPr>
          <w:rFonts w:ascii="宋体" w:hAnsi="宋体" w:cs="黑体"/>
          <w:b/>
          <w:bCs/>
          <w:kern w:val="0"/>
          <w:sz w:val="24"/>
        </w:rPr>
      </w:pPr>
      <w:r>
        <w:rPr>
          <w:rFonts w:hint="eastAsia" w:ascii="宋体" w:hAnsi="宋体" w:cs="黑体"/>
          <w:bCs/>
          <w:kern w:val="0"/>
          <w:sz w:val="24"/>
        </w:rPr>
        <w:t>6.1</w:t>
      </w:r>
      <w:r>
        <w:rPr>
          <w:rFonts w:hint="eastAsia" w:ascii="宋体" w:hAnsi="宋体" w:cs="黑体"/>
          <w:kern w:val="0"/>
          <w:sz w:val="24"/>
        </w:rPr>
        <w:t>采购单位的资金通过“前附表”第 8 项所述的方式获得，并将部分资金用于本项目合同下的合格支付。</w:t>
      </w:r>
    </w:p>
    <w:p>
      <w:pPr>
        <w:shd w:val="clear" w:color="auto" w:fill="FFFFFF"/>
        <w:spacing w:line="360" w:lineRule="auto"/>
        <w:ind w:firstLine="487" w:firstLineChars="202"/>
        <w:rPr>
          <w:rFonts w:ascii="宋体" w:hAnsi="宋体" w:cs="黑体"/>
          <w:b/>
          <w:kern w:val="0"/>
          <w:sz w:val="24"/>
        </w:rPr>
      </w:pPr>
      <w:r>
        <w:rPr>
          <w:rFonts w:hint="eastAsia" w:ascii="宋体" w:hAnsi="宋体" w:cs="黑体"/>
          <w:b/>
          <w:kern w:val="0"/>
          <w:sz w:val="24"/>
        </w:rPr>
        <w:t>7. 投标人资格要求</w:t>
      </w:r>
    </w:p>
    <w:p>
      <w:pPr>
        <w:shd w:val="clear" w:color="auto" w:fill="FFFFFF"/>
        <w:spacing w:line="360" w:lineRule="auto"/>
        <w:ind w:firstLine="480" w:firstLineChars="200"/>
        <w:rPr>
          <w:rFonts w:ascii="宋体" w:hAnsi="宋体" w:cs="黑体"/>
          <w:sz w:val="24"/>
          <w:lang w:val="zh-CN"/>
        </w:rPr>
      </w:pPr>
      <w:r>
        <w:rPr>
          <w:rFonts w:ascii="宋体" w:hAnsi="宋体" w:cs="黑体"/>
          <w:sz w:val="24"/>
          <w:lang w:val="zh-CN"/>
        </w:rPr>
        <w:t>7.</w:t>
      </w:r>
      <w:r>
        <w:rPr>
          <w:rFonts w:hint="eastAsia" w:ascii="宋体" w:hAnsi="宋体" w:cs="黑体"/>
          <w:sz w:val="24"/>
          <w:lang w:val="zh-CN"/>
        </w:rPr>
        <w:t>1.满足《中华人民共和国政府采购法》第二十二条规定；</w:t>
      </w:r>
    </w:p>
    <w:p>
      <w:pPr>
        <w:pStyle w:val="15"/>
        <w:adjustRightInd w:val="0"/>
        <w:snapToGrid w:val="0"/>
        <w:spacing w:before="0" w:beforeAutospacing="0" w:after="0" w:afterAutospacing="0" w:line="360" w:lineRule="auto"/>
        <w:ind w:firstLine="480" w:firstLineChars="200"/>
      </w:pPr>
      <w:r>
        <w:rPr>
          <w:rFonts w:cs="黑体"/>
          <w:lang w:val="zh-CN"/>
        </w:rPr>
        <w:t>7.</w:t>
      </w:r>
      <w:r>
        <w:rPr>
          <w:rFonts w:hint="eastAsia" w:cs="黑体"/>
          <w:lang w:val="zh-CN"/>
        </w:rPr>
        <w:t>2.落实政府采购政策需满足的资格要求：</w:t>
      </w:r>
      <w:r>
        <w:rPr>
          <w:rFonts w:hint="eastAsia"/>
        </w:rPr>
        <w:t>扶持中小企业、残疾人福利性单位、监狱企业政策：《政府采购促进中小企业发展管理办法》的通知（财库【2020】46号）、关于促进残疾人就业政府采购政策的通知（财库【2017】141号）、财政部、司法部关于政府采购支持监狱企业发展有关问题的通知。（财库【2014】68号）（中小企业优惠、监狱企业、节能产品、环境标志产品等）</w:t>
      </w:r>
    </w:p>
    <w:p>
      <w:pPr>
        <w:shd w:val="clear" w:color="auto" w:fill="FFFFFF"/>
        <w:spacing w:line="360" w:lineRule="auto"/>
        <w:ind w:firstLine="480" w:firstLineChars="200"/>
        <w:rPr>
          <w:rFonts w:ascii="宋体" w:hAnsi="宋体" w:cs="黑体"/>
          <w:sz w:val="24"/>
          <w:lang w:val="zh-CN"/>
        </w:rPr>
      </w:pPr>
      <w:r>
        <w:rPr>
          <w:rFonts w:ascii="宋体" w:hAnsi="宋体" w:cs="黑体"/>
          <w:sz w:val="24"/>
          <w:lang w:val="zh-CN"/>
        </w:rPr>
        <w:t>7.</w:t>
      </w:r>
      <w:r>
        <w:rPr>
          <w:rFonts w:hint="eastAsia" w:ascii="宋体" w:hAnsi="宋体" w:cs="黑体"/>
          <w:sz w:val="24"/>
          <w:lang w:val="zh-CN"/>
        </w:rPr>
        <w:t>3.本项目的特定资格要求：</w:t>
      </w:r>
    </w:p>
    <w:p>
      <w:pPr>
        <w:pStyle w:val="15"/>
        <w:adjustRightInd w:val="0"/>
        <w:snapToGrid w:val="0"/>
        <w:spacing w:before="0" w:beforeAutospacing="0" w:after="0" w:afterAutospacing="0" w:line="360" w:lineRule="auto"/>
        <w:ind w:firstLine="480" w:firstLineChars="200"/>
      </w:pPr>
      <w:r>
        <w:rPr>
          <w:rFonts w:hint="eastAsia"/>
        </w:rPr>
        <w:t xml:space="preserve">（1）符合《中华人民共和国政府采购法》第二十二条相关规定且有承担本项目能力的投标人； </w:t>
      </w:r>
    </w:p>
    <w:p>
      <w:pPr>
        <w:pStyle w:val="15"/>
        <w:adjustRightInd w:val="0"/>
        <w:snapToGrid w:val="0"/>
        <w:spacing w:before="0" w:beforeAutospacing="0" w:after="0" w:afterAutospacing="0" w:line="360" w:lineRule="auto"/>
        <w:ind w:firstLine="480" w:firstLineChars="200"/>
      </w:pPr>
      <w:r>
        <w:rPr>
          <w:rFonts w:hint="eastAsia"/>
        </w:rPr>
        <w:t xml:space="preserve">（2）有效的工商营业执照（事业单位法人证书）、税务登记证、组织机构代码证或“三证合一”的营业执照（事业单位法人证书）或当地公证处出具的此资质的公证书； </w:t>
      </w:r>
    </w:p>
    <w:p>
      <w:pPr>
        <w:pStyle w:val="15"/>
        <w:adjustRightInd w:val="0"/>
        <w:snapToGrid w:val="0"/>
        <w:spacing w:before="0" w:beforeAutospacing="0" w:after="0" w:afterAutospacing="0" w:line="360" w:lineRule="auto"/>
        <w:ind w:firstLine="480" w:firstLineChars="200"/>
      </w:pPr>
      <w:r>
        <w:rPr>
          <w:rFonts w:hint="eastAsia"/>
        </w:rPr>
        <w:t xml:space="preserve">（3）投标人未被列入“信用中国”网站(www.creditchina.gov.cn)“记录失信被执行人或重大税收违法案件当事人名单或政府采购严重违法失信行为”记录名单；未处于中国政府采购 网(www.ccgp.gov.cn)“政府采购严重违法失信行为信息记录”中（以采购代理机构发布公告至递交投标文件截止日期间内在“信用中国”网站（www.creditchina.gov.cn） 及中国政府采购网(www.ccgp.gov.cn)查询结果为准，如相关失信记录已失效，投标人需提供相关证明资料）； </w:t>
      </w:r>
    </w:p>
    <w:p>
      <w:pPr>
        <w:pStyle w:val="15"/>
        <w:adjustRightInd w:val="0"/>
        <w:snapToGrid w:val="0"/>
        <w:spacing w:before="0" w:beforeAutospacing="0" w:after="0" w:afterAutospacing="0" w:line="360" w:lineRule="auto"/>
        <w:ind w:firstLine="480" w:firstLineChars="200"/>
      </w:pPr>
      <w:r>
        <w:rPr>
          <w:rFonts w:hint="eastAsia"/>
        </w:rPr>
        <w:t xml:space="preserve">（4）投标人近三年无因投标申请人违约或不恰当履约引起的合同终止、纠纷、争议、仲裁和公诉纪录；投标人必须提供无行贿犯罪记录证明网页打印件并加盖公章（以采购代理机构发布公告至递交投标文件截止日期间内在中国裁判文书网（http://wenshu.court.gov.cn/）查询结果为准）；   </w:t>
      </w:r>
    </w:p>
    <w:p>
      <w:pPr>
        <w:pStyle w:val="15"/>
        <w:adjustRightInd w:val="0"/>
        <w:snapToGrid w:val="0"/>
        <w:spacing w:before="0" w:beforeAutospacing="0" w:after="0" w:afterAutospacing="0" w:line="360" w:lineRule="auto"/>
        <w:ind w:firstLine="480" w:firstLineChars="200"/>
      </w:pPr>
      <w:r>
        <w:rPr>
          <w:rFonts w:hint="eastAsia"/>
        </w:rPr>
        <w:t>（5）单位负责人为同一人或者存在直接控股、管理关系的不同投标人，不得参加同一合同项下的政府采购活动；</w:t>
      </w:r>
    </w:p>
    <w:p>
      <w:pPr>
        <w:pStyle w:val="15"/>
        <w:adjustRightInd w:val="0"/>
        <w:snapToGrid w:val="0"/>
        <w:spacing w:before="0" w:beforeAutospacing="0" w:after="0" w:afterAutospacing="0" w:line="360" w:lineRule="auto"/>
        <w:ind w:firstLine="480" w:firstLineChars="200"/>
      </w:pPr>
      <w:r>
        <w:rPr>
          <w:rFonts w:hint="eastAsia"/>
        </w:rPr>
        <w:t>（6）本项目不接受联合体投标。</w:t>
      </w:r>
      <w:r>
        <w:rPr>
          <w:rFonts w:hint="eastAsia"/>
          <w:b/>
          <w:bCs/>
        </w:rPr>
        <w:t xml:space="preserve"> </w:t>
      </w:r>
    </w:p>
    <w:p>
      <w:pPr>
        <w:shd w:val="clear" w:color="auto" w:fill="FFFFFF"/>
        <w:spacing w:line="360" w:lineRule="auto"/>
        <w:ind w:firstLine="482" w:firstLineChars="200"/>
        <w:rPr>
          <w:rFonts w:ascii="宋体" w:hAnsi="宋体" w:cs="黑体"/>
          <w:b/>
          <w:kern w:val="0"/>
          <w:sz w:val="24"/>
        </w:rPr>
      </w:pPr>
      <w:r>
        <w:rPr>
          <w:rFonts w:hint="eastAsia" w:ascii="宋体" w:hAnsi="宋体" w:cs="黑体"/>
          <w:b/>
          <w:kern w:val="0"/>
          <w:sz w:val="24"/>
        </w:rPr>
        <w:t xml:space="preserve">8. </w:t>
      </w:r>
      <w:r>
        <w:rPr>
          <w:rFonts w:hint="eastAsia" w:ascii="宋体" w:hAnsi="宋体" w:cs="黑体"/>
          <w:b/>
          <w:bCs/>
          <w:kern w:val="0"/>
          <w:sz w:val="24"/>
        </w:rPr>
        <w:t>投标费用</w:t>
      </w:r>
    </w:p>
    <w:p>
      <w:pPr>
        <w:shd w:val="clear" w:color="auto" w:fill="FFFFFF"/>
        <w:spacing w:line="360" w:lineRule="auto"/>
        <w:ind w:firstLine="484" w:firstLineChars="202"/>
        <w:rPr>
          <w:rFonts w:ascii="宋体" w:hAnsi="宋体" w:cs="黑体"/>
          <w:kern w:val="0"/>
          <w:sz w:val="24"/>
        </w:rPr>
      </w:pPr>
      <w:r>
        <w:rPr>
          <w:rFonts w:hint="eastAsia" w:ascii="宋体" w:hAnsi="宋体" w:cs="黑体"/>
          <w:kern w:val="0"/>
          <w:sz w:val="24"/>
        </w:rPr>
        <w:t>投标人应承担其编制谈判响应文件与递交谈判响应文件所涉及的一切费用，不论投标结果如何，采购人或采购代理机构均无义务和责任承担这些费用。</w:t>
      </w:r>
    </w:p>
    <w:p>
      <w:pPr>
        <w:shd w:val="clear" w:color="auto" w:fill="FFFFFF"/>
        <w:spacing w:line="360" w:lineRule="auto"/>
        <w:ind w:firstLine="482" w:firstLineChars="200"/>
        <w:rPr>
          <w:rFonts w:ascii="宋体" w:hAnsi="宋体" w:cs="黑体"/>
          <w:b/>
          <w:bCs/>
          <w:kern w:val="0"/>
          <w:sz w:val="24"/>
        </w:rPr>
      </w:pPr>
      <w:r>
        <w:rPr>
          <w:rFonts w:hint="eastAsia" w:ascii="宋体" w:hAnsi="宋体" w:cs="黑体"/>
          <w:b/>
          <w:bCs/>
          <w:kern w:val="0"/>
          <w:sz w:val="24"/>
        </w:rPr>
        <w:t>9. 授权委托</w:t>
      </w:r>
    </w:p>
    <w:p>
      <w:pPr>
        <w:shd w:val="clear" w:color="auto" w:fill="FFFFFF"/>
        <w:spacing w:line="360" w:lineRule="auto"/>
        <w:ind w:firstLine="480" w:firstLineChars="200"/>
        <w:rPr>
          <w:rFonts w:ascii="宋体" w:hAnsi="宋体" w:cs="黑体"/>
          <w:bCs/>
          <w:kern w:val="0"/>
          <w:sz w:val="24"/>
        </w:rPr>
      </w:pPr>
      <w:r>
        <w:rPr>
          <w:rFonts w:hint="eastAsia" w:ascii="宋体" w:hAnsi="宋体" w:cs="黑体"/>
          <w:bCs/>
          <w:kern w:val="0"/>
          <w:sz w:val="24"/>
        </w:rPr>
        <w:t>9.1 投标人代表为法定代表人的，应持有法定代表人身份证明书和法定代表人身份证；投标人代表不是投标人的法定代表人的，应持有授权委托书和授权代表人的身份证。</w:t>
      </w:r>
    </w:p>
    <w:p>
      <w:pPr>
        <w:shd w:val="clear" w:color="auto" w:fill="FFFFFF"/>
        <w:spacing w:line="360" w:lineRule="auto"/>
        <w:ind w:firstLine="482" w:firstLineChars="200"/>
        <w:rPr>
          <w:rFonts w:ascii="宋体" w:hAnsi="宋体" w:cs="黑体"/>
          <w:b/>
          <w:bCs/>
          <w:kern w:val="0"/>
          <w:sz w:val="24"/>
        </w:rPr>
      </w:pPr>
      <w:r>
        <w:rPr>
          <w:rFonts w:hint="eastAsia" w:ascii="宋体" w:hAnsi="宋体" w:cs="黑体"/>
          <w:b/>
          <w:bCs/>
          <w:kern w:val="0"/>
          <w:sz w:val="24"/>
        </w:rPr>
        <w:t>10. 联合体投标</w:t>
      </w:r>
    </w:p>
    <w:p>
      <w:pPr>
        <w:shd w:val="clear" w:color="auto" w:fill="FFFFFF"/>
        <w:spacing w:line="360" w:lineRule="auto"/>
        <w:ind w:firstLine="480" w:firstLineChars="200"/>
        <w:rPr>
          <w:rFonts w:ascii="宋体" w:hAnsi="宋体" w:cs="黑体"/>
          <w:bCs/>
          <w:kern w:val="0"/>
          <w:sz w:val="24"/>
        </w:rPr>
      </w:pPr>
      <w:r>
        <w:rPr>
          <w:rFonts w:hint="eastAsia" w:ascii="宋体" w:hAnsi="宋体" w:cs="黑体"/>
          <w:bCs/>
          <w:kern w:val="0"/>
          <w:sz w:val="24"/>
        </w:rPr>
        <w:t>10.1投标须知前附表规定接受联合体投标的，投标人可以联合体形式投标；联合体投标的，除应符合本章第9</w:t>
      </w:r>
      <w:r>
        <w:rPr>
          <w:rFonts w:hint="eastAsia" w:ascii="宋体" w:hAnsi="宋体" w:cs="黑体"/>
          <w:bCs/>
          <w:kern w:val="0"/>
          <w:sz w:val="24"/>
          <w:lang w:val="zh-CN"/>
        </w:rPr>
        <w:t>款</w:t>
      </w:r>
      <w:r>
        <w:rPr>
          <w:rFonts w:hint="eastAsia" w:ascii="宋体" w:hAnsi="宋体" w:cs="黑体"/>
          <w:bCs/>
          <w:kern w:val="0"/>
          <w:sz w:val="24"/>
        </w:rPr>
        <w:t xml:space="preserve">规定外，还应遵守以下规定： </w:t>
      </w:r>
    </w:p>
    <w:p>
      <w:pPr>
        <w:shd w:val="clear" w:color="auto" w:fill="FFFFFF"/>
        <w:spacing w:line="360" w:lineRule="auto"/>
        <w:ind w:firstLine="480" w:firstLineChars="200"/>
        <w:rPr>
          <w:rFonts w:ascii="宋体" w:hAnsi="宋体" w:cs="黑体"/>
          <w:bCs/>
          <w:kern w:val="0"/>
          <w:sz w:val="24"/>
        </w:rPr>
      </w:pPr>
      <w:r>
        <w:rPr>
          <w:rFonts w:hint="eastAsia" w:ascii="宋体" w:hAnsi="宋体" w:cs="黑体"/>
          <w:bCs/>
          <w:kern w:val="0"/>
          <w:sz w:val="24"/>
        </w:rPr>
        <w:t>（l）联合体各方应按谈判文件提供的格式签订</w:t>
      </w:r>
      <w:r>
        <w:rPr>
          <w:rFonts w:hint="eastAsia" w:ascii="宋体" w:hAnsi="宋体" w:cs="黑体"/>
          <w:bCs/>
          <w:kern w:val="0"/>
          <w:sz w:val="24"/>
          <w:u w:val="single"/>
        </w:rPr>
        <w:t>联合协议</w:t>
      </w:r>
      <w:r>
        <w:rPr>
          <w:rFonts w:hint="eastAsia" w:ascii="宋体" w:hAnsi="宋体" w:cs="黑体"/>
          <w:bCs/>
          <w:kern w:val="0"/>
          <w:sz w:val="24"/>
        </w:rPr>
        <w:t>，明确联合体牵头人和各方的权利义务、合同工作量比例；</w:t>
      </w:r>
    </w:p>
    <w:p>
      <w:pPr>
        <w:shd w:val="clear" w:color="auto" w:fill="FFFFFF"/>
        <w:spacing w:line="360" w:lineRule="auto"/>
        <w:ind w:firstLine="480" w:firstLineChars="200"/>
        <w:rPr>
          <w:rFonts w:ascii="宋体" w:hAnsi="宋体" w:cs="黑体"/>
          <w:bCs/>
          <w:kern w:val="0"/>
          <w:sz w:val="24"/>
        </w:rPr>
      </w:pPr>
      <w:r>
        <w:rPr>
          <w:rFonts w:hint="eastAsia" w:ascii="宋体" w:hAnsi="宋体" w:cs="黑体"/>
          <w:bCs/>
          <w:kern w:val="0"/>
          <w:sz w:val="24"/>
        </w:rPr>
        <w:t>（2）联合体各方中至少应当有一方符合本章第7</w:t>
      </w:r>
      <w:r>
        <w:rPr>
          <w:rFonts w:ascii="宋体" w:hAnsi="宋体" w:cs="黑体"/>
          <w:bCs/>
          <w:kern w:val="0"/>
          <w:sz w:val="24"/>
        </w:rPr>
        <w:t>.3</w:t>
      </w:r>
      <w:r>
        <w:rPr>
          <w:rFonts w:hint="eastAsia" w:ascii="宋体" w:hAnsi="宋体" w:cs="黑体"/>
          <w:bCs/>
          <w:kern w:val="0"/>
          <w:sz w:val="24"/>
        </w:rPr>
        <w:t>款规定的投标人特定资格条件；</w:t>
      </w:r>
    </w:p>
    <w:p>
      <w:pPr>
        <w:spacing w:line="360" w:lineRule="auto"/>
        <w:ind w:firstLine="480" w:firstLineChars="200"/>
        <w:rPr>
          <w:rFonts w:ascii="宋体" w:hAnsi="宋体" w:cs="宋体"/>
          <w:sz w:val="24"/>
        </w:rPr>
      </w:pPr>
      <w:r>
        <w:rPr>
          <w:rFonts w:hint="eastAsia" w:ascii="宋体" w:hAnsi="宋体" w:cs="黑体"/>
          <w:bCs/>
          <w:kern w:val="0"/>
          <w:sz w:val="24"/>
        </w:rPr>
        <w:t>（3）联合体各方签订联合体协议书后，不得再单独参加或者与其他投标人组成新的联合体参加同一项目的采购活动。</w:t>
      </w:r>
    </w:p>
    <w:p>
      <w:pPr>
        <w:spacing w:line="360" w:lineRule="auto"/>
        <w:jc w:val="center"/>
        <w:rPr>
          <w:rFonts w:ascii="宋体" w:hAnsi="宋体" w:cs="宋体"/>
          <w:b/>
          <w:bCs/>
          <w:sz w:val="24"/>
        </w:rPr>
      </w:pPr>
      <w:r>
        <w:rPr>
          <w:rFonts w:hint="eastAsia" w:ascii="宋体" w:hAnsi="宋体" w:cs="宋体"/>
          <w:b/>
          <w:sz w:val="32"/>
          <w:szCs w:val="32"/>
        </w:rPr>
        <w:t>二、谈判文件</w:t>
      </w:r>
    </w:p>
    <w:p>
      <w:pPr>
        <w:spacing w:line="360" w:lineRule="auto"/>
        <w:ind w:firstLine="482" w:firstLineChars="200"/>
        <w:jc w:val="left"/>
        <w:outlineLvl w:val="0"/>
        <w:rPr>
          <w:rFonts w:ascii="宋体" w:hAnsi="宋体" w:cs="宋体"/>
          <w:sz w:val="24"/>
        </w:rPr>
      </w:pPr>
      <w:bookmarkStart w:id="61" w:name="_Toc489694828"/>
      <w:bookmarkStart w:id="62" w:name="_Toc8983598"/>
      <w:bookmarkStart w:id="63" w:name="_Toc30887"/>
      <w:bookmarkStart w:id="64" w:name="_Toc490155531"/>
      <w:bookmarkStart w:id="65" w:name="_Toc21951"/>
      <w:bookmarkStart w:id="66" w:name="_Toc22169"/>
      <w:r>
        <w:rPr>
          <w:rFonts w:hint="eastAsia" w:ascii="宋体" w:hAnsi="宋体" w:cs="宋体"/>
          <w:b/>
          <w:bCs/>
          <w:sz w:val="24"/>
        </w:rPr>
        <w:t>1.谈判文件构成</w:t>
      </w:r>
      <w:bookmarkEnd w:id="61"/>
      <w:bookmarkEnd w:id="62"/>
      <w:bookmarkEnd w:id="63"/>
      <w:bookmarkEnd w:id="64"/>
      <w:bookmarkEnd w:id="65"/>
      <w:bookmarkEnd w:id="66"/>
    </w:p>
    <w:p>
      <w:pPr>
        <w:spacing w:line="360" w:lineRule="auto"/>
        <w:jc w:val="left"/>
        <w:rPr>
          <w:rFonts w:ascii="宋体" w:hAnsi="宋体" w:cs="宋体"/>
          <w:sz w:val="24"/>
        </w:rPr>
      </w:pPr>
      <w:r>
        <w:rPr>
          <w:rFonts w:hint="eastAsia" w:ascii="宋体" w:hAnsi="宋体" w:cs="宋体"/>
          <w:sz w:val="24"/>
        </w:rPr>
        <w:t xml:space="preserve">    第一部分 谈判公告；</w:t>
      </w:r>
    </w:p>
    <w:p>
      <w:pPr>
        <w:spacing w:line="360" w:lineRule="auto"/>
        <w:jc w:val="left"/>
        <w:rPr>
          <w:rFonts w:ascii="宋体" w:hAnsi="宋体" w:cs="宋体"/>
          <w:sz w:val="24"/>
        </w:rPr>
      </w:pPr>
      <w:r>
        <w:rPr>
          <w:rFonts w:hint="eastAsia" w:ascii="宋体" w:hAnsi="宋体" w:cs="宋体"/>
          <w:sz w:val="24"/>
        </w:rPr>
        <w:t xml:space="preserve">    第二部分 投标人须知；</w:t>
      </w:r>
    </w:p>
    <w:p>
      <w:pPr>
        <w:spacing w:line="360" w:lineRule="auto"/>
        <w:ind w:firstLine="480" w:firstLineChars="200"/>
        <w:jc w:val="left"/>
        <w:rPr>
          <w:rFonts w:ascii="宋体" w:hAnsi="宋体" w:cs="宋体"/>
          <w:b/>
          <w:sz w:val="24"/>
        </w:rPr>
      </w:pPr>
      <w:r>
        <w:rPr>
          <w:rFonts w:hint="eastAsia" w:ascii="宋体" w:hAnsi="宋体" w:cs="宋体"/>
          <w:sz w:val="24"/>
        </w:rPr>
        <w:t>第三部分 授予合同；</w:t>
      </w:r>
    </w:p>
    <w:p>
      <w:pPr>
        <w:spacing w:line="360" w:lineRule="auto"/>
        <w:ind w:firstLine="480" w:firstLineChars="200"/>
        <w:jc w:val="left"/>
        <w:rPr>
          <w:rFonts w:ascii="宋体" w:hAnsi="宋体" w:cs="宋体"/>
          <w:sz w:val="24"/>
        </w:rPr>
      </w:pPr>
      <w:r>
        <w:rPr>
          <w:rFonts w:hint="eastAsia" w:ascii="宋体" w:hAnsi="宋体" w:cs="宋体"/>
          <w:sz w:val="24"/>
        </w:rPr>
        <w:t>第四部分 技术要求；</w:t>
      </w:r>
    </w:p>
    <w:p>
      <w:pPr>
        <w:spacing w:line="360" w:lineRule="auto"/>
        <w:ind w:firstLine="480" w:firstLineChars="200"/>
        <w:jc w:val="left"/>
        <w:rPr>
          <w:rFonts w:ascii="宋体" w:hAnsi="宋体" w:cs="宋体"/>
          <w:sz w:val="24"/>
        </w:rPr>
      </w:pPr>
      <w:r>
        <w:rPr>
          <w:rFonts w:hint="eastAsia" w:ascii="宋体" w:hAnsi="宋体" w:cs="宋体"/>
          <w:sz w:val="24"/>
        </w:rPr>
        <w:t xml:space="preserve">第五部分 </w:t>
      </w:r>
      <w:r>
        <w:rPr>
          <w:rFonts w:hint="eastAsia" w:ascii="宋体" w:hAnsi="宋体" w:cs="黑体"/>
          <w:kern w:val="0"/>
          <w:sz w:val="24"/>
        </w:rPr>
        <w:t>谈判响应文件</w:t>
      </w:r>
      <w:r>
        <w:rPr>
          <w:rFonts w:hint="eastAsia" w:ascii="宋体" w:hAnsi="宋体" w:cs="宋体"/>
          <w:sz w:val="24"/>
        </w:rPr>
        <w:t>格式。</w:t>
      </w:r>
    </w:p>
    <w:p>
      <w:pPr>
        <w:spacing w:line="360" w:lineRule="auto"/>
        <w:ind w:firstLine="480" w:firstLineChars="200"/>
        <w:jc w:val="left"/>
        <w:rPr>
          <w:rFonts w:ascii="宋体" w:hAnsi="宋体" w:cs="宋体"/>
          <w:sz w:val="24"/>
        </w:rPr>
      </w:pPr>
      <w:r>
        <w:rPr>
          <w:rFonts w:hint="eastAsia" w:ascii="宋体" w:hAnsi="宋体" w:cs="宋体"/>
          <w:sz w:val="24"/>
        </w:rPr>
        <w:t>投标人获取谈判文件后，应仔细检查招标文件页数和附件数量，如发现有缺漏，请及时与采购人联系补全。如果投标人不按上述要求操作而造成不良后果，采购人不承担责任。</w:t>
      </w:r>
    </w:p>
    <w:p>
      <w:pPr>
        <w:spacing w:line="360" w:lineRule="auto"/>
        <w:ind w:firstLine="482" w:firstLineChars="200"/>
        <w:outlineLvl w:val="0"/>
        <w:rPr>
          <w:rFonts w:ascii="宋体" w:hAnsi="宋体" w:cs="宋体"/>
          <w:sz w:val="24"/>
        </w:rPr>
      </w:pPr>
      <w:bookmarkStart w:id="67" w:name="_Toc11320"/>
      <w:bookmarkStart w:id="68" w:name="_Toc490155532"/>
      <w:bookmarkStart w:id="69" w:name="_Toc3299"/>
      <w:bookmarkStart w:id="70" w:name="_Toc8983599"/>
      <w:bookmarkStart w:id="71" w:name="_Toc11971"/>
      <w:bookmarkStart w:id="72" w:name="_Toc489694829"/>
      <w:r>
        <w:rPr>
          <w:rFonts w:hint="eastAsia" w:ascii="宋体" w:hAnsi="宋体" w:cs="宋体"/>
          <w:b/>
          <w:bCs/>
          <w:sz w:val="24"/>
        </w:rPr>
        <w:t>2.谈判文件的澄清</w:t>
      </w:r>
      <w:bookmarkEnd w:id="67"/>
      <w:bookmarkEnd w:id="68"/>
      <w:bookmarkEnd w:id="69"/>
      <w:bookmarkEnd w:id="70"/>
      <w:bookmarkEnd w:id="71"/>
      <w:bookmarkEnd w:id="72"/>
    </w:p>
    <w:p>
      <w:pPr>
        <w:spacing w:line="360" w:lineRule="auto"/>
        <w:ind w:firstLine="480" w:firstLineChars="200"/>
        <w:jc w:val="left"/>
        <w:outlineLvl w:val="0"/>
        <w:rPr>
          <w:rFonts w:ascii="宋体" w:hAnsi="宋体" w:cs="宋体"/>
          <w:sz w:val="24"/>
        </w:rPr>
      </w:pPr>
      <w:bookmarkStart w:id="73" w:name="_Toc490155533"/>
      <w:bookmarkStart w:id="74" w:name="_Toc489694830"/>
      <w:bookmarkStart w:id="75" w:name="_Toc8983600"/>
      <w:bookmarkStart w:id="76" w:name="_Toc8138"/>
      <w:bookmarkStart w:id="77" w:name="_Toc29687"/>
      <w:bookmarkStart w:id="78" w:name="_Toc25023"/>
      <w:r>
        <w:rPr>
          <w:rFonts w:hint="eastAsia" w:ascii="宋体" w:hAnsi="宋体" w:cs="宋体"/>
          <w:sz w:val="24"/>
        </w:rPr>
        <w:t>2.1 任何要求对谈判文件进行澄清的投标人，均应在投标截止时间至少3日前以书面形式通知采购代理机构，采购代理机构负责联络采购人，并将以书面形式答复所有投标人，答复中包括所提问题，但不包括问题的来源。</w:t>
      </w:r>
      <w:bookmarkEnd w:id="73"/>
      <w:bookmarkEnd w:id="74"/>
      <w:bookmarkEnd w:id="75"/>
    </w:p>
    <w:p>
      <w:pPr>
        <w:spacing w:line="360" w:lineRule="auto"/>
        <w:ind w:firstLine="480" w:firstLineChars="200"/>
        <w:jc w:val="left"/>
        <w:outlineLvl w:val="0"/>
        <w:rPr>
          <w:rFonts w:ascii="宋体" w:hAnsi="宋体" w:cs="宋体"/>
          <w:sz w:val="24"/>
        </w:rPr>
      </w:pPr>
      <w:bookmarkStart w:id="79" w:name="_Toc489694831"/>
      <w:bookmarkStart w:id="80" w:name="_Toc490155534"/>
      <w:bookmarkStart w:id="81" w:name="_Toc8983601"/>
      <w:r>
        <w:rPr>
          <w:rFonts w:hint="eastAsia" w:ascii="宋体" w:hAnsi="宋体" w:cs="宋体"/>
          <w:sz w:val="24"/>
        </w:rPr>
        <w:t>2.2 谈判文件的澄清内容可能影响谈判响应文件编制且澄清发出时间距投标截止时间不足3日的，为使投标人在准备投标文件时有合理的时间考虑招标文件的澄清，采购人/采购代理机构可顺延投标截止时间。</w:t>
      </w:r>
      <w:bookmarkEnd w:id="79"/>
      <w:bookmarkEnd w:id="80"/>
      <w:bookmarkEnd w:id="81"/>
    </w:p>
    <w:p>
      <w:pPr>
        <w:spacing w:line="360" w:lineRule="auto"/>
        <w:ind w:firstLine="482" w:firstLineChars="200"/>
        <w:jc w:val="left"/>
        <w:outlineLvl w:val="0"/>
        <w:rPr>
          <w:rFonts w:ascii="宋体" w:hAnsi="宋体" w:cs="宋体"/>
          <w:b/>
          <w:bCs/>
          <w:sz w:val="24"/>
        </w:rPr>
      </w:pPr>
      <w:bookmarkStart w:id="82" w:name="_Toc489694832"/>
      <w:bookmarkStart w:id="83" w:name="_Toc490155535"/>
      <w:bookmarkStart w:id="84" w:name="_Toc8983602"/>
      <w:r>
        <w:rPr>
          <w:rFonts w:hint="eastAsia" w:ascii="宋体" w:hAnsi="宋体" w:cs="宋体"/>
          <w:b/>
          <w:bCs/>
          <w:sz w:val="24"/>
        </w:rPr>
        <w:t>3.谈判文件的修改</w:t>
      </w:r>
      <w:bookmarkEnd w:id="76"/>
      <w:bookmarkEnd w:id="77"/>
      <w:bookmarkEnd w:id="78"/>
      <w:bookmarkEnd w:id="82"/>
      <w:bookmarkEnd w:id="83"/>
      <w:bookmarkEnd w:id="84"/>
    </w:p>
    <w:p>
      <w:pPr>
        <w:spacing w:line="360" w:lineRule="auto"/>
        <w:ind w:firstLine="480" w:firstLineChars="200"/>
        <w:jc w:val="left"/>
        <w:rPr>
          <w:rFonts w:ascii="宋体" w:hAnsi="宋体" w:cs="宋体"/>
          <w:sz w:val="24"/>
        </w:rPr>
      </w:pPr>
      <w:r>
        <w:rPr>
          <w:rFonts w:hint="eastAsia" w:ascii="宋体" w:hAnsi="宋体" w:cs="宋体"/>
          <w:sz w:val="24"/>
        </w:rPr>
        <w:t>3.1在谈判响应文件接收截止日期前，采购人可以更正公告或补充文件的形式对谈判文件进行修改。</w:t>
      </w:r>
    </w:p>
    <w:p>
      <w:pPr>
        <w:spacing w:line="360" w:lineRule="auto"/>
        <w:ind w:firstLine="480" w:firstLineChars="200"/>
        <w:jc w:val="left"/>
        <w:rPr>
          <w:rFonts w:ascii="宋体" w:hAnsi="宋体" w:cs="宋体"/>
          <w:sz w:val="24"/>
        </w:rPr>
      </w:pPr>
      <w:r>
        <w:rPr>
          <w:rFonts w:hint="eastAsia" w:ascii="宋体" w:hAnsi="宋体" w:cs="宋体"/>
          <w:sz w:val="24"/>
        </w:rPr>
        <w:t>3.2谈判文件的修改将以书面形式通知所有已报名投标人，并对投标人具有约束力。投标人收到修改文件后，应于1个工作日内回复代理机构，逾期不回的，视同已收。</w:t>
      </w:r>
    </w:p>
    <w:p>
      <w:pPr>
        <w:spacing w:line="360" w:lineRule="auto"/>
        <w:ind w:firstLine="480" w:firstLineChars="200"/>
        <w:jc w:val="left"/>
        <w:rPr>
          <w:rFonts w:ascii="宋体" w:hAnsi="宋体" w:cs="宋体"/>
          <w:sz w:val="24"/>
        </w:rPr>
      </w:pPr>
      <w:r>
        <w:rPr>
          <w:rFonts w:hint="eastAsia" w:ascii="宋体" w:hAnsi="宋体" w:cs="宋体"/>
          <w:sz w:val="24"/>
        </w:rPr>
        <w:t>3.3采购人或者采购代理机构可以对已发出的谈判文件进行必要的澄清或者修改。澄清或者修改的内容可能影响谈判响应文件编制的，采购人或者采购代理机构应当在投标截止时间至少3日前，以书面形式通知所有获取谈判文件的所有已经报名的投标人；不足3日的，采购人或者采购代理机构应当顺延提交谈判响应文件的截止时间。</w:t>
      </w:r>
    </w:p>
    <w:p>
      <w:pPr>
        <w:spacing w:line="360" w:lineRule="auto"/>
        <w:ind w:firstLine="480" w:firstLineChars="200"/>
        <w:jc w:val="left"/>
        <w:rPr>
          <w:rFonts w:ascii="宋体" w:hAnsi="宋体" w:cs="宋体"/>
          <w:sz w:val="24"/>
        </w:rPr>
      </w:pPr>
      <w:r>
        <w:rPr>
          <w:rFonts w:hint="eastAsia" w:ascii="宋体" w:hAnsi="宋体" w:cs="宋体"/>
          <w:sz w:val="24"/>
        </w:rPr>
        <w:t>3.4代理机构发出的所有补充、修改和变更文件均作为谈判文件的组成部分，与谈判文件具有同等法律效力。</w:t>
      </w:r>
    </w:p>
    <w:p>
      <w:pPr>
        <w:spacing w:line="360" w:lineRule="auto"/>
        <w:jc w:val="center"/>
        <w:rPr>
          <w:rFonts w:ascii="宋体" w:hAnsi="宋体" w:cs="宋体"/>
          <w:b/>
          <w:sz w:val="32"/>
          <w:szCs w:val="32"/>
        </w:rPr>
      </w:pPr>
      <w:r>
        <w:rPr>
          <w:rFonts w:hint="eastAsia" w:ascii="宋体" w:hAnsi="宋体" w:cs="宋体"/>
          <w:b/>
          <w:sz w:val="32"/>
          <w:szCs w:val="32"/>
        </w:rPr>
        <w:t>三、谈判响应文件的编制</w:t>
      </w:r>
    </w:p>
    <w:p>
      <w:pPr>
        <w:spacing w:line="360" w:lineRule="auto"/>
        <w:ind w:firstLine="482" w:firstLineChars="200"/>
        <w:jc w:val="left"/>
        <w:outlineLvl w:val="0"/>
        <w:rPr>
          <w:rFonts w:ascii="宋体" w:hAnsi="宋体" w:cs="宋体"/>
          <w:b/>
          <w:bCs/>
          <w:sz w:val="24"/>
        </w:rPr>
      </w:pPr>
      <w:bookmarkStart w:id="85" w:name="_Toc490155536"/>
      <w:bookmarkStart w:id="86" w:name="_Toc16774"/>
      <w:bookmarkStart w:id="87" w:name="_Toc8983603"/>
      <w:bookmarkStart w:id="88" w:name="_Toc29360"/>
      <w:bookmarkStart w:id="89" w:name="_Toc489694833"/>
      <w:bookmarkStart w:id="90" w:name="_Toc16886"/>
      <w:r>
        <w:rPr>
          <w:rFonts w:hint="eastAsia" w:ascii="宋体" w:hAnsi="宋体" w:cs="宋体"/>
          <w:b/>
          <w:bCs/>
          <w:sz w:val="24"/>
        </w:rPr>
        <w:t>1.谈判响应文件的编制要求</w:t>
      </w:r>
      <w:bookmarkEnd w:id="85"/>
      <w:bookmarkEnd w:id="86"/>
      <w:bookmarkEnd w:id="87"/>
      <w:bookmarkEnd w:id="88"/>
      <w:bookmarkEnd w:id="89"/>
      <w:bookmarkEnd w:id="90"/>
    </w:p>
    <w:p>
      <w:pPr>
        <w:spacing w:line="360" w:lineRule="auto"/>
        <w:ind w:firstLine="480" w:firstLineChars="200"/>
        <w:rPr>
          <w:rFonts w:ascii="宋体" w:hAnsi="宋体" w:cs="宋体"/>
          <w:b/>
          <w:bCs/>
          <w:sz w:val="24"/>
        </w:rPr>
      </w:pPr>
      <w:r>
        <w:rPr>
          <w:rFonts w:hint="eastAsia" w:ascii="宋体" w:hAnsi="宋体" w:cs="宋体"/>
          <w:sz w:val="24"/>
        </w:rPr>
        <w:t>投标人应仔细阅读“谈判文件”的所有内容，谈判响应文件应用中文编写。谈判响应文件的书面内容不得有加行、涂抹或改写。谈判响应文件应当采用书面方式；采购人及采购代理机构不接受电报、电话、传真投标。投标人应按“谈判文件”的要求编制“谈判响应文件”，并保证所提供的全部资料的真实性、完整性及有效性，以使其投标对“谈判文件”作出实质性响应。否则，谈判响应文件可能被拒绝。</w:t>
      </w:r>
      <w:r>
        <w:rPr>
          <w:rFonts w:hint="eastAsia" w:ascii="宋体" w:hAnsi="宋体" w:cs="宋体"/>
          <w:b/>
          <w:bCs/>
          <w:sz w:val="24"/>
        </w:rPr>
        <w:t>对同一包以同一投标人名义，递送两套或以上的</w:t>
      </w:r>
      <w:r>
        <w:rPr>
          <w:rFonts w:hint="eastAsia" w:ascii="宋体" w:hAnsi="宋体" w:cs="宋体"/>
          <w:sz w:val="24"/>
        </w:rPr>
        <w:t>谈判响应文件</w:t>
      </w:r>
      <w:r>
        <w:rPr>
          <w:rFonts w:hint="eastAsia" w:ascii="宋体" w:hAnsi="宋体" w:cs="宋体"/>
          <w:b/>
          <w:bCs/>
          <w:sz w:val="24"/>
        </w:rPr>
        <w:t>，其投标无效。</w:t>
      </w:r>
    </w:p>
    <w:p>
      <w:pPr>
        <w:spacing w:line="360" w:lineRule="auto"/>
        <w:ind w:firstLine="482" w:firstLineChars="200"/>
        <w:jc w:val="left"/>
        <w:outlineLvl w:val="0"/>
        <w:rPr>
          <w:rFonts w:ascii="宋体" w:hAnsi="宋体" w:cs="宋体"/>
          <w:b/>
          <w:bCs/>
          <w:sz w:val="24"/>
        </w:rPr>
      </w:pPr>
      <w:bookmarkStart w:id="91" w:name="_Toc490155537"/>
      <w:bookmarkStart w:id="92" w:name="_Toc11034"/>
      <w:bookmarkStart w:id="93" w:name="_Toc489694834"/>
      <w:bookmarkStart w:id="94" w:name="_Toc24459"/>
      <w:bookmarkStart w:id="95" w:name="_Toc10201"/>
      <w:bookmarkStart w:id="96" w:name="_Toc8983604"/>
      <w:r>
        <w:rPr>
          <w:rFonts w:hint="eastAsia" w:ascii="宋体" w:hAnsi="宋体" w:cs="宋体"/>
          <w:b/>
          <w:bCs/>
          <w:sz w:val="24"/>
        </w:rPr>
        <w:t>2.</w:t>
      </w:r>
      <w:bookmarkEnd w:id="91"/>
      <w:bookmarkEnd w:id="92"/>
      <w:bookmarkEnd w:id="93"/>
      <w:bookmarkEnd w:id="94"/>
      <w:bookmarkEnd w:id="95"/>
      <w:bookmarkEnd w:id="96"/>
      <w:r>
        <w:rPr>
          <w:rFonts w:hint="eastAsia" w:ascii="宋体" w:hAnsi="宋体" w:cs="宋体"/>
          <w:b/>
          <w:bCs/>
          <w:sz w:val="24"/>
        </w:rPr>
        <w:t>谈判响应文件的组成</w:t>
      </w:r>
    </w:p>
    <w:p>
      <w:pPr>
        <w:spacing w:line="360" w:lineRule="auto"/>
        <w:ind w:firstLine="360" w:firstLineChars="150"/>
        <w:jc w:val="left"/>
        <w:rPr>
          <w:rFonts w:ascii="宋体" w:hAnsi="宋体" w:cs="宋体"/>
          <w:sz w:val="24"/>
        </w:rPr>
      </w:pPr>
      <w:bookmarkStart w:id="97" w:name="_Toc8983605"/>
      <w:bookmarkStart w:id="98" w:name="_Toc489694836"/>
      <w:bookmarkStart w:id="99" w:name="_Toc490155539"/>
      <w:bookmarkStart w:id="100" w:name="_Toc18022"/>
      <w:bookmarkStart w:id="101" w:name="_Toc26401"/>
      <w:bookmarkStart w:id="102" w:name="_Toc24426"/>
      <w:r>
        <w:rPr>
          <w:rFonts w:hint="eastAsia" w:ascii="宋体" w:hAnsi="宋体" w:cs="宋体"/>
          <w:sz w:val="24"/>
        </w:rPr>
        <w:t>（1）投标报价表；</w:t>
      </w:r>
    </w:p>
    <w:p>
      <w:pPr>
        <w:spacing w:line="360" w:lineRule="auto"/>
        <w:ind w:firstLine="360" w:firstLineChars="150"/>
        <w:jc w:val="left"/>
        <w:rPr>
          <w:rFonts w:ascii="宋体" w:hAnsi="宋体" w:cs="宋体"/>
          <w:sz w:val="24"/>
        </w:rPr>
      </w:pPr>
      <w:r>
        <w:rPr>
          <w:rFonts w:hint="eastAsia" w:ascii="宋体" w:hAnsi="宋体" w:cs="宋体"/>
          <w:sz w:val="24"/>
        </w:rPr>
        <w:t>（2）法定代表人身份证明书(复印件加盖公章附入投标文件)；</w:t>
      </w:r>
    </w:p>
    <w:p>
      <w:pPr>
        <w:spacing w:line="360" w:lineRule="auto"/>
        <w:ind w:firstLine="360" w:firstLineChars="150"/>
        <w:jc w:val="left"/>
        <w:rPr>
          <w:rFonts w:ascii="宋体" w:hAnsi="宋体" w:cs="宋体"/>
          <w:sz w:val="24"/>
        </w:rPr>
      </w:pPr>
      <w:r>
        <w:rPr>
          <w:rFonts w:hint="eastAsia" w:ascii="宋体" w:hAnsi="宋体" w:cs="宋体"/>
          <w:sz w:val="24"/>
        </w:rPr>
        <w:t>（3）法定代表人授权书；</w:t>
      </w:r>
    </w:p>
    <w:p>
      <w:pPr>
        <w:spacing w:line="360" w:lineRule="auto"/>
        <w:ind w:firstLine="360" w:firstLineChars="150"/>
        <w:jc w:val="left"/>
        <w:rPr>
          <w:rFonts w:ascii="宋体" w:hAnsi="宋体" w:cs="宋体"/>
          <w:sz w:val="24"/>
        </w:rPr>
      </w:pPr>
      <w:r>
        <w:rPr>
          <w:rFonts w:hint="eastAsia" w:ascii="宋体" w:hAnsi="宋体" w:cs="宋体"/>
          <w:sz w:val="24"/>
        </w:rPr>
        <w:t>（4）投标函；</w:t>
      </w:r>
    </w:p>
    <w:p>
      <w:pPr>
        <w:spacing w:line="360" w:lineRule="auto"/>
        <w:ind w:firstLine="360" w:firstLineChars="150"/>
        <w:jc w:val="left"/>
        <w:rPr>
          <w:rFonts w:ascii="宋体" w:hAnsi="宋体" w:cs="宋体"/>
          <w:sz w:val="24"/>
        </w:rPr>
      </w:pPr>
      <w:r>
        <w:rPr>
          <w:rFonts w:hint="eastAsia" w:ascii="宋体" w:hAnsi="宋体" w:cs="宋体"/>
          <w:sz w:val="24"/>
        </w:rPr>
        <w:t>（5）投标人简介（包括营业执照、企业名称、经营范围、综合实力、技术实力、经济实力等）；</w:t>
      </w:r>
    </w:p>
    <w:p>
      <w:pPr>
        <w:spacing w:line="360" w:lineRule="auto"/>
        <w:ind w:firstLine="360" w:firstLineChars="150"/>
        <w:jc w:val="left"/>
        <w:rPr>
          <w:rFonts w:ascii="宋体" w:hAnsi="宋体" w:cs="宋体"/>
          <w:sz w:val="24"/>
        </w:rPr>
      </w:pPr>
      <w:r>
        <w:rPr>
          <w:rFonts w:hint="eastAsia" w:ascii="宋体" w:hAnsi="宋体" w:cs="宋体"/>
          <w:sz w:val="24"/>
        </w:rPr>
        <w:t>（6）反商业贿赂承诺书；</w:t>
      </w:r>
    </w:p>
    <w:p>
      <w:pPr>
        <w:spacing w:line="360" w:lineRule="auto"/>
        <w:ind w:firstLine="360" w:firstLineChars="150"/>
        <w:jc w:val="left"/>
        <w:rPr>
          <w:rFonts w:ascii="宋体" w:hAnsi="宋体" w:cs="宋体"/>
          <w:sz w:val="24"/>
        </w:rPr>
      </w:pPr>
      <w:r>
        <w:rPr>
          <w:rFonts w:hint="eastAsia" w:ascii="宋体" w:hAnsi="宋体" w:cs="宋体"/>
          <w:sz w:val="24"/>
        </w:rPr>
        <w:t>（7）提供相关业绩表并提供相应证明材料（中标通知书或合同复印件）；</w:t>
      </w:r>
    </w:p>
    <w:p>
      <w:pPr>
        <w:spacing w:line="360" w:lineRule="auto"/>
        <w:ind w:firstLine="360" w:firstLineChars="150"/>
        <w:jc w:val="left"/>
        <w:rPr>
          <w:rFonts w:ascii="宋体" w:hAnsi="宋体" w:cs="宋体"/>
          <w:sz w:val="24"/>
        </w:rPr>
      </w:pPr>
      <w:r>
        <w:rPr>
          <w:rFonts w:hint="eastAsia" w:ascii="宋体" w:hAnsi="宋体" w:cs="宋体"/>
          <w:sz w:val="24"/>
        </w:rPr>
        <w:t>（8）投标人响应截止时间前6个月内（至少提供1个月）依法缴纳税收、税费凭证复印件，依法免缴税费的证明材料；依法缴纳税收和社会保障资金的良好记录；(如是新成立的企业，提供从成立那年至今的相关材料）</w:t>
      </w:r>
    </w:p>
    <w:p>
      <w:pPr>
        <w:spacing w:line="360" w:lineRule="auto"/>
        <w:ind w:firstLine="424" w:firstLineChars="177"/>
        <w:jc w:val="left"/>
        <w:rPr>
          <w:rFonts w:ascii="宋体" w:hAnsi="宋体" w:cs="宋体"/>
          <w:sz w:val="24"/>
        </w:rPr>
      </w:pPr>
      <w:r>
        <w:rPr>
          <w:rFonts w:hint="eastAsia" w:ascii="宋体" w:hAnsi="宋体" w:cs="宋体"/>
          <w:sz w:val="24"/>
        </w:rPr>
        <w:t>（9）2020年财务状况报告；</w:t>
      </w:r>
    </w:p>
    <w:p>
      <w:pPr>
        <w:spacing w:line="360" w:lineRule="auto"/>
        <w:ind w:firstLine="360" w:firstLineChars="150"/>
        <w:jc w:val="left"/>
        <w:rPr>
          <w:rFonts w:ascii="宋体" w:hAnsi="宋体" w:cs="宋体"/>
          <w:sz w:val="24"/>
        </w:rPr>
      </w:pPr>
      <w:r>
        <w:rPr>
          <w:rFonts w:hint="eastAsia" w:ascii="宋体" w:hAnsi="宋体" w:cs="宋体"/>
          <w:sz w:val="24"/>
        </w:rPr>
        <w:t xml:space="preserve">（10）商务条款偏离表； </w:t>
      </w:r>
    </w:p>
    <w:p>
      <w:pPr>
        <w:spacing w:line="360" w:lineRule="auto"/>
        <w:ind w:firstLine="360" w:firstLineChars="150"/>
        <w:jc w:val="left"/>
        <w:rPr>
          <w:rFonts w:ascii="宋体" w:hAnsi="宋体" w:cs="宋体"/>
          <w:sz w:val="24"/>
        </w:rPr>
      </w:pPr>
      <w:r>
        <w:rPr>
          <w:rFonts w:hint="eastAsia" w:ascii="宋体" w:hAnsi="宋体" w:cs="宋体"/>
          <w:sz w:val="24"/>
        </w:rPr>
        <w:t>（11）投标人企业信用查询（查询渠道：“信用中国”网站（www.creditchina.gov.cn）、中国政府采购网（www.ccgp.gov.cn），中国裁判文书网（http://wenshu.court.gov.cn/））；</w:t>
      </w:r>
    </w:p>
    <w:p>
      <w:pPr>
        <w:spacing w:line="360" w:lineRule="auto"/>
        <w:ind w:firstLine="360" w:firstLineChars="150"/>
        <w:jc w:val="left"/>
        <w:rPr>
          <w:rFonts w:ascii="宋体" w:hAnsi="宋体" w:cs="宋体"/>
          <w:sz w:val="24"/>
        </w:rPr>
      </w:pPr>
      <w:r>
        <w:rPr>
          <w:rFonts w:hint="eastAsia" w:ascii="宋体" w:hAnsi="宋体" w:cs="宋体"/>
          <w:sz w:val="24"/>
        </w:rPr>
        <w:t>（12）其它需说明的事项；</w:t>
      </w:r>
    </w:p>
    <w:p>
      <w:pPr>
        <w:spacing w:line="360" w:lineRule="auto"/>
        <w:ind w:firstLine="360" w:firstLineChars="150"/>
        <w:jc w:val="left"/>
        <w:rPr>
          <w:rFonts w:ascii="宋体" w:hAnsi="宋体" w:cs="宋体"/>
          <w:sz w:val="24"/>
        </w:rPr>
      </w:pPr>
      <w:r>
        <w:rPr>
          <w:rFonts w:hint="eastAsia" w:ascii="宋体" w:hAnsi="宋体" w:cs="宋体"/>
          <w:sz w:val="24"/>
        </w:rPr>
        <w:t>（13）投标保证金缴纳凭证</w:t>
      </w:r>
    </w:p>
    <w:p>
      <w:pPr>
        <w:spacing w:line="360" w:lineRule="auto"/>
        <w:ind w:firstLine="360" w:firstLineChars="150"/>
        <w:jc w:val="left"/>
        <w:rPr>
          <w:rFonts w:ascii="宋体" w:hAnsi="宋体" w:cs="宋体"/>
          <w:sz w:val="24"/>
        </w:rPr>
      </w:pPr>
      <w:r>
        <w:rPr>
          <w:rFonts w:hint="eastAsia" w:ascii="宋体" w:hAnsi="宋体" w:cs="宋体"/>
          <w:sz w:val="24"/>
        </w:rPr>
        <w:t>（14）中小企业声明函（符合本声明函填写）；</w:t>
      </w:r>
    </w:p>
    <w:p>
      <w:pPr>
        <w:spacing w:line="360" w:lineRule="auto"/>
        <w:ind w:firstLine="360" w:firstLineChars="150"/>
        <w:jc w:val="left"/>
      </w:pPr>
      <w:r>
        <w:rPr>
          <w:rFonts w:hint="eastAsia" w:ascii="宋体" w:hAnsi="宋体" w:cs="宋体"/>
          <w:sz w:val="24"/>
        </w:rPr>
        <w:t>（15）残疾人福利性单位声明函（符合本声明函填写）；</w:t>
      </w:r>
    </w:p>
    <w:p>
      <w:pPr>
        <w:spacing w:line="360" w:lineRule="auto"/>
        <w:ind w:firstLine="360" w:firstLineChars="150"/>
        <w:jc w:val="left"/>
        <w:rPr>
          <w:rFonts w:ascii="宋体" w:hAnsi="宋体" w:cs="宋体"/>
          <w:sz w:val="24"/>
        </w:rPr>
      </w:pPr>
      <w:r>
        <w:rPr>
          <w:rFonts w:hint="eastAsia" w:ascii="宋体" w:hAnsi="宋体" w:cs="宋体"/>
          <w:sz w:val="24"/>
        </w:rPr>
        <w:t>（16）投标人须提供打款凭证等证明文件(复印件加盖公章附入投标文件)；</w:t>
      </w:r>
    </w:p>
    <w:p>
      <w:pPr>
        <w:spacing w:line="360" w:lineRule="auto"/>
        <w:ind w:firstLine="480" w:firstLineChars="200"/>
        <w:jc w:val="left"/>
        <w:rPr>
          <w:rFonts w:ascii="宋体" w:hAnsi="宋体"/>
          <w:sz w:val="24"/>
        </w:rPr>
      </w:pPr>
      <w:r>
        <w:rPr>
          <w:rFonts w:hint="eastAsia" w:ascii="宋体" w:hAnsi="宋体" w:cs="宋体"/>
          <w:sz w:val="24"/>
        </w:rPr>
        <w:t>(17）其他投标人认为有必要的内容。</w:t>
      </w:r>
    </w:p>
    <w:p>
      <w:pPr>
        <w:spacing w:line="360" w:lineRule="auto"/>
        <w:ind w:firstLine="482" w:firstLineChars="200"/>
        <w:jc w:val="left"/>
        <w:outlineLvl w:val="0"/>
        <w:rPr>
          <w:rFonts w:ascii="宋体" w:hAnsi="宋体" w:cs="宋体"/>
          <w:sz w:val="24"/>
        </w:rPr>
      </w:pPr>
      <w:r>
        <w:rPr>
          <w:rFonts w:hint="eastAsia" w:ascii="宋体" w:hAnsi="宋体" w:cs="宋体"/>
          <w:b/>
          <w:bCs/>
          <w:sz w:val="24"/>
        </w:rPr>
        <w:t>3.投标文件格式</w:t>
      </w:r>
      <w:bookmarkEnd w:id="97"/>
      <w:bookmarkEnd w:id="98"/>
      <w:bookmarkEnd w:id="99"/>
      <w:bookmarkEnd w:id="100"/>
      <w:bookmarkEnd w:id="101"/>
      <w:bookmarkEnd w:id="102"/>
    </w:p>
    <w:p>
      <w:pPr>
        <w:spacing w:line="360" w:lineRule="auto"/>
        <w:ind w:firstLine="480" w:firstLineChars="200"/>
        <w:jc w:val="left"/>
        <w:rPr>
          <w:rFonts w:ascii="宋体" w:hAnsi="宋体" w:cs="宋体"/>
          <w:sz w:val="24"/>
        </w:rPr>
      </w:pPr>
      <w:r>
        <w:rPr>
          <w:rFonts w:hint="eastAsia" w:ascii="宋体" w:hAnsi="宋体" w:cs="宋体"/>
          <w:sz w:val="24"/>
        </w:rPr>
        <w:t>投标人需按照上述投标文件构成顺序编制谈判响应文件，并按谈判文件中提供的格式填写投标函、授权委托书、投标报价表等材料。</w:t>
      </w:r>
    </w:p>
    <w:p>
      <w:pPr>
        <w:spacing w:line="360" w:lineRule="auto"/>
        <w:ind w:firstLine="482" w:firstLineChars="200"/>
        <w:outlineLvl w:val="0"/>
        <w:rPr>
          <w:rFonts w:ascii="宋体" w:hAnsi="宋体" w:cs="宋体"/>
          <w:b/>
          <w:bCs/>
          <w:sz w:val="24"/>
        </w:rPr>
      </w:pPr>
      <w:bookmarkStart w:id="103" w:name="_Toc8983606"/>
      <w:r>
        <w:rPr>
          <w:rFonts w:hint="eastAsia" w:ascii="宋体" w:hAnsi="宋体" w:cs="宋体"/>
          <w:b/>
          <w:bCs/>
          <w:sz w:val="24"/>
        </w:rPr>
        <w:t>4.投标报价</w:t>
      </w:r>
      <w:bookmarkEnd w:id="103"/>
    </w:p>
    <w:p>
      <w:pPr>
        <w:snapToGrid w:val="0"/>
        <w:spacing w:line="360" w:lineRule="auto"/>
        <w:ind w:firstLine="480" w:firstLineChars="200"/>
        <w:jc w:val="left"/>
        <w:rPr>
          <w:rFonts w:ascii="宋体" w:hAnsi="宋体" w:cs="宋体"/>
          <w:sz w:val="24"/>
        </w:rPr>
      </w:pPr>
      <w:r>
        <w:rPr>
          <w:rFonts w:hint="eastAsia" w:ascii="宋体" w:hAnsi="宋体" w:cs="宋体"/>
          <w:sz w:val="24"/>
        </w:rPr>
        <w:t>4.1投标报价为“招标范围”内的总报价。</w:t>
      </w:r>
    </w:p>
    <w:p>
      <w:pPr>
        <w:snapToGrid w:val="0"/>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4.2凡要求投标人考虑在报价中的内容投标人在投标文件中没有考虑、没有计入的或未单独列出，采购人认为投标人已将此项费用涵盖在其它费用价格中。</w:t>
      </w:r>
      <w:r>
        <w:rPr>
          <w:rFonts w:hint="eastAsia" w:ascii="宋体" w:hAnsi="宋体" w:cs="宋体"/>
          <w:sz w:val="24"/>
          <w:lang w:val="en-US" w:eastAsia="zh-CN"/>
        </w:rPr>
        <w:t xml:space="preserve"> </w:t>
      </w:r>
    </w:p>
    <w:p>
      <w:pPr>
        <w:snapToGrid w:val="0"/>
        <w:spacing w:line="360" w:lineRule="auto"/>
        <w:ind w:firstLine="480" w:firstLineChars="200"/>
        <w:jc w:val="left"/>
        <w:rPr>
          <w:rFonts w:ascii="宋体" w:hAnsi="宋体" w:cs="宋体"/>
          <w:sz w:val="24"/>
        </w:rPr>
      </w:pPr>
      <w:r>
        <w:rPr>
          <w:rFonts w:hint="eastAsia" w:ascii="宋体" w:hAnsi="宋体" w:cs="宋体"/>
          <w:sz w:val="24"/>
        </w:rPr>
        <w:t>4.</w:t>
      </w:r>
      <w:r>
        <w:rPr>
          <w:rFonts w:ascii="宋体" w:hAnsi="宋体" w:cs="宋体"/>
          <w:sz w:val="24"/>
        </w:rPr>
        <w:t>3</w:t>
      </w:r>
      <w:r>
        <w:rPr>
          <w:rFonts w:hint="eastAsia" w:ascii="宋体" w:hAnsi="宋体" w:cs="宋体"/>
          <w:sz w:val="24"/>
        </w:rPr>
        <w:t>投标报价应包含项目实施过程中涉及到的一切费用。</w:t>
      </w:r>
    </w:p>
    <w:p>
      <w:pPr>
        <w:snapToGrid w:val="0"/>
        <w:spacing w:line="360" w:lineRule="auto"/>
        <w:ind w:firstLine="480" w:firstLineChars="200"/>
        <w:jc w:val="left"/>
        <w:rPr>
          <w:rFonts w:ascii="宋体" w:hAnsi="宋体" w:cs="宋体"/>
          <w:sz w:val="24"/>
        </w:rPr>
      </w:pPr>
      <w:r>
        <w:rPr>
          <w:rFonts w:hint="eastAsia" w:ascii="宋体" w:hAnsi="宋体" w:cs="宋体"/>
          <w:sz w:val="24"/>
        </w:rPr>
        <w:t>4.</w:t>
      </w:r>
      <w:r>
        <w:rPr>
          <w:rFonts w:ascii="宋体" w:hAnsi="宋体" w:cs="宋体"/>
          <w:sz w:val="24"/>
        </w:rPr>
        <w:t>4</w:t>
      </w:r>
      <w:r>
        <w:rPr>
          <w:rFonts w:hint="eastAsia" w:ascii="宋体" w:hAnsi="宋体" w:cs="宋体"/>
          <w:sz w:val="24"/>
        </w:rPr>
        <w:t>报价注意事项：</w:t>
      </w:r>
    </w:p>
    <w:p>
      <w:pPr>
        <w:snapToGrid w:val="0"/>
        <w:spacing w:line="360" w:lineRule="auto"/>
        <w:ind w:firstLine="480" w:firstLineChars="200"/>
        <w:jc w:val="left"/>
        <w:rPr>
          <w:rFonts w:ascii="宋体" w:hAnsi="宋体" w:cs="宋体"/>
          <w:sz w:val="24"/>
        </w:rPr>
      </w:pPr>
      <w:r>
        <w:rPr>
          <w:rFonts w:hint="eastAsia" w:ascii="宋体" w:hAnsi="宋体" w:cs="宋体"/>
          <w:sz w:val="24"/>
        </w:rPr>
        <w:t>（1）价格一律以人民币计算，以元为单位标准；</w:t>
      </w:r>
    </w:p>
    <w:p>
      <w:pPr>
        <w:spacing w:line="360" w:lineRule="auto"/>
        <w:ind w:firstLine="480" w:firstLineChars="200"/>
        <w:jc w:val="left"/>
        <w:rPr>
          <w:rFonts w:ascii="宋体" w:hAnsi="宋体" w:cs="宋体"/>
          <w:sz w:val="24"/>
        </w:rPr>
      </w:pPr>
      <w:r>
        <w:rPr>
          <w:rFonts w:hint="eastAsia" w:ascii="宋体" w:hAnsi="宋体" w:cs="宋体"/>
          <w:sz w:val="24"/>
        </w:rPr>
        <w:t>（2）投标人报价时应充分考虑所有可能影响到报价的报价因素，一旦招标结束最终成交，总价将固定，不予调整。如发生漏、缺、少项，都将被认为是成交人的报价让利行为，损失自负。</w:t>
      </w:r>
    </w:p>
    <w:p>
      <w:pPr>
        <w:spacing w:line="360" w:lineRule="auto"/>
        <w:ind w:firstLine="482" w:firstLineChars="200"/>
        <w:outlineLvl w:val="0"/>
        <w:rPr>
          <w:rFonts w:ascii="宋体" w:hAnsi="宋体" w:cs="宋体"/>
          <w:sz w:val="24"/>
        </w:rPr>
      </w:pPr>
      <w:bookmarkStart w:id="104" w:name="_Toc489694837"/>
      <w:bookmarkStart w:id="105" w:name="_Toc12212"/>
      <w:bookmarkStart w:id="106" w:name="_Toc490155540"/>
      <w:bookmarkStart w:id="107" w:name="_Toc11554"/>
      <w:bookmarkStart w:id="108" w:name="_Toc8983607"/>
      <w:bookmarkStart w:id="109" w:name="_Toc14901"/>
      <w:r>
        <w:rPr>
          <w:rFonts w:hint="eastAsia" w:ascii="宋体" w:hAnsi="宋体" w:cs="宋体"/>
          <w:b/>
          <w:bCs/>
          <w:sz w:val="24"/>
        </w:rPr>
        <w:t>5.</w:t>
      </w:r>
      <w:r>
        <w:rPr>
          <w:rFonts w:hint="eastAsia" w:ascii="宋体" w:hAnsi="宋体" w:cs="宋体"/>
          <w:b/>
          <w:sz w:val="24"/>
        </w:rPr>
        <w:t>中标服务费</w:t>
      </w:r>
      <w:bookmarkEnd w:id="104"/>
      <w:bookmarkEnd w:id="105"/>
      <w:bookmarkEnd w:id="106"/>
      <w:bookmarkEnd w:id="107"/>
      <w:bookmarkEnd w:id="108"/>
      <w:bookmarkEnd w:id="109"/>
    </w:p>
    <w:p>
      <w:pPr>
        <w:spacing w:line="360" w:lineRule="auto"/>
        <w:ind w:firstLine="480" w:firstLineChars="200"/>
        <w:outlineLvl w:val="0"/>
        <w:rPr>
          <w:rFonts w:ascii="宋体" w:hAnsi="宋体" w:cs="宋体"/>
          <w:bCs/>
          <w:sz w:val="24"/>
        </w:rPr>
      </w:pPr>
      <w:bookmarkStart w:id="110" w:name="_Toc8983608"/>
      <w:bookmarkStart w:id="111" w:name="_Toc11585"/>
      <w:bookmarkStart w:id="112" w:name="_Toc25301"/>
      <w:bookmarkStart w:id="113" w:name="_Toc490155541"/>
      <w:bookmarkStart w:id="114" w:name="_Toc25070"/>
      <w:bookmarkStart w:id="115" w:name="_Toc489694838"/>
      <w:r>
        <w:rPr>
          <w:rFonts w:hint="eastAsia" w:ascii="宋体" w:hAnsi="宋体" w:cs="宋体"/>
          <w:bCs/>
          <w:sz w:val="24"/>
        </w:rPr>
        <w:t>按照前附表要求由中标企业向招标代理机构支付。</w:t>
      </w:r>
      <w:bookmarkEnd w:id="110"/>
    </w:p>
    <w:p>
      <w:pPr>
        <w:spacing w:line="360" w:lineRule="auto"/>
        <w:ind w:firstLine="482" w:firstLineChars="200"/>
        <w:outlineLvl w:val="0"/>
        <w:rPr>
          <w:rFonts w:ascii="宋体" w:hAnsi="宋体" w:cs="宋体"/>
          <w:sz w:val="24"/>
        </w:rPr>
      </w:pPr>
      <w:bookmarkStart w:id="116" w:name="_Toc8983609"/>
      <w:r>
        <w:rPr>
          <w:rFonts w:hint="eastAsia" w:ascii="宋体" w:hAnsi="宋体" w:cs="宋体"/>
          <w:b/>
          <w:bCs/>
          <w:sz w:val="24"/>
        </w:rPr>
        <w:t>6.谈判保证金</w:t>
      </w:r>
      <w:bookmarkEnd w:id="111"/>
      <w:bookmarkEnd w:id="112"/>
      <w:bookmarkEnd w:id="113"/>
      <w:bookmarkEnd w:id="114"/>
      <w:bookmarkEnd w:id="115"/>
      <w:bookmarkEnd w:id="116"/>
    </w:p>
    <w:p>
      <w:pPr>
        <w:snapToGrid w:val="0"/>
        <w:spacing w:line="360" w:lineRule="auto"/>
        <w:ind w:firstLine="480" w:firstLineChars="200"/>
        <w:jc w:val="left"/>
        <w:rPr>
          <w:rFonts w:ascii="宋体" w:hAnsi="宋体" w:cs="宋体"/>
          <w:sz w:val="24"/>
        </w:rPr>
      </w:pPr>
      <w:r>
        <w:rPr>
          <w:rFonts w:hint="eastAsia" w:ascii="宋体" w:hAnsi="宋体" w:cs="宋体"/>
          <w:sz w:val="24"/>
        </w:rPr>
        <w:t>6.1投标人需提交谈判保证金（详见投标须知前附表），并作为参与招标的组成部分之一。</w:t>
      </w:r>
    </w:p>
    <w:p>
      <w:pPr>
        <w:snapToGrid w:val="0"/>
        <w:spacing w:line="360" w:lineRule="auto"/>
        <w:ind w:firstLine="480" w:firstLineChars="200"/>
        <w:jc w:val="left"/>
        <w:rPr>
          <w:rFonts w:ascii="宋体" w:hAnsi="宋体" w:cs="宋体"/>
          <w:sz w:val="24"/>
        </w:rPr>
      </w:pPr>
      <w:r>
        <w:rPr>
          <w:rFonts w:hint="eastAsia" w:ascii="宋体" w:hAnsi="宋体" w:cs="宋体"/>
          <w:sz w:val="24"/>
        </w:rPr>
        <w:t>6.2对于未按要求提交谈判保证金的，将被视为非响应性投标而予以拒绝。</w:t>
      </w:r>
    </w:p>
    <w:p>
      <w:pPr>
        <w:snapToGrid w:val="0"/>
        <w:spacing w:line="360" w:lineRule="auto"/>
        <w:ind w:firstLine="480" w:firstLineChars="200"/>
        <w:jc w:val="left"/>
        <w:rPr>
          <w:rFonts w:ascii="宋体" w:hAnsi="宋体" w:cs="宋体"/>
          <w:sz w:val="24"/>
        </w:rPr>
      </w:pPr>
      <w:r>
        <w:rPr>
          <w:rFonts w:hint="eastAsia" w:ascii="宋体" w:hAnsi="宋体" w:cs="宋体"/>
          <w:sz w:val="24"/>
        </w:rPr>
        <w:t>6.3未中标人谈判保证金将在中标通知书签发后5个工作日内退还。</w:t>
      </w:r>
    </w:p>
    <w:p>
      <w:pPr>
        <w:snapToGrid w:val="0"/>
        <w:spacing w:line="360" w:lineRule="auto"/>
        <w:ind w:firstLine="480" w:firstLineChars="200"/>
        <w:jc w:val="left"/>
        <w:rPr>
          <w:rFonts w:ascii="宋体" w:hAnsi="宋体" w:cs="宋体"/>
          <w:sz w:val="24"/>
        </w:rPr>
      </w:pPr>
      <w:r>
        <w:rPr>
          <w:rFonts w:hint="eastAsia" w:ascii="宋体" w:hAnsi="宋体" w:cs="宋体"/>
          <w:sz w:val="24"/>
        </w:rPr>
        <w:t>（1）提交谈判保证金的收据原件以及投标人开具的收到退回谈判保证金的收款收据；</w:t>
      </w:r>
    </w:p>
    <w:p>
      <w:pPr>
        <w:snapToGrid w:val="0"/>
        <w:spacing w:line="360" w:lineRule="auto"/>
        <w:ind w:firstLine="480" w:firstLineChars="200"/>
        <w:jc w:val="left"/>
        <w:rPr>
          <w:rFonts w:ascii="宋体" w:hAnsi="宋体" w:cs="宋体"/>
          <w:sz w:val="24"/>
        </w:rPr>
      </w:pPr>
      <w:r>
        <w:rPr>
          <w:rFonts w:hint="eastAsia" w:ascii="宋体" w:hAnsi="宋体" w:cs="宋体"/>
          <w:sz w:val="24"/>
        </w:rPr>
        <w:t>（2）因投标人提供的开户行和银行账号信息不准确或错误导致保证金不能及时退付或退付出现问题和纠纷的，由投标人承担责任。</w:t>
      </w:r>
    </w:p>
    <w:p>
      <w:pPr>
        <w:snapToGrid w:val="0"/>
        <w:spacing w:line="360" w:lineRule="auto"/>
        <w:ind w:firstLine="480" w:firstLineChars="200"/>
        <w:jc w:val="left"/>
        <w:rPr>
          <w:rFonts w:ascii="宋体" w:hAnsi="宋体" w:cs="宋体"/>
          <w:sz w:val="24"/>
        </w:rPr>
      </w:pPr>
      <w:r>
        <w:rPr>
          <w:rFonts w:hint="eastAsia" w:ascii="宋体" w:hAnsi="宋体" w:cs="宋体"/>
          <w:sz w:val="24"/>
        </w:rPr>
        <w:t>6.4</w:t>
      </w:r>
      <w:r>
        <w:rPr>
          <w:rFonts w:hint="eastAsia" w:ascii="宋体" w:hAnsi="宋体" w:cs="宋体"/>
          <w:sz w:val="24"/>
          <w:lang w:eastAsia="zh-CN"/>
        </w:rPr>
        <w:t>中标单位</w:t>
      </w:r>
      <w:r>
        <w:rPr>
          <w:rFonts w:hint="eastAsia" w:ascii="宋体" w:hAnsi="宋体" w:cs="宋体"/>
          <w:sz w:val="24"/>
        </w:rPr>
        <w:t>的谈判保证金，在</w:t>
      </w:r>
      <w:r>
        <w:rPr>
          <w:rFonts w:hint="eastAsia" w:ascii="宋体" w:hAnsi="宋体" w:cs="宋体"/>
          <w:sz w:val="24"/>
          <w:lang w:eastAsia="zh-CN"/>
        </w:rPr>
        <w:t>中标单位</w:t>
      </w:r>
      <w:r>
        <w:rPr>
          <w:rFonts w:hint="eastAsia" w:ascii="宋体" w:hAnsi="宋体" w:cs="宋体"/>
          <w:sz w:val="24"/>
        </w:rPr>
        <w:t>按规定签订合同并交纳中标服务费后5个工作日内退还。中标投标人退还保证金时，还需提供采购合同（或相关证明文件）复印件加盖公章</w:t>
      </w:r>
    </w:p>
    <w:p>
      <w:pPr>
        <w:snapToGrid w:val="0"/>
        <w:spacing w:line="360" w:lineRule="auto"/>
        <w:ind w:firstLine="482" w:firstLineChars="200"/>
        <w:jc w:val="left"/>
        <w:rPr>
          <w:rFonts w:ascii="宋体" w:hAnsi="宋体"/>
          <w:b/>
          <w:sz w:val="24"/>
        </w:rPr>
      </w:pPr>
      <w:r>
        <w:rPr>
          <w:rFonts w:ascii="宋体" w:hAnsi="宋体"/>
          <w:b/>
          <w:sz w:val="24"/>
        </w:rPr>
        <w:t>6.5</w:t>
      </w:r>
      <w:r>
        <w:rPr>
          <w:rFonts w:hint="eastAsia" w:ascii="宋体" w:hAnsi="宋体"/>
          <w:b/>
          <w:sz w:val="24"/>
        </w:rPr>
        <w:t>中标公示截止之日起5个工作日退还所有未中标单位的谈判保证金</w:t>
      </w:r>
    </w:p>
    <w:p>
      <w:pPr>
        <w:snapToGrid w:val="0"/>
        <w:spacing w:line="360" w:lineRule="auto"/>
        <w:ind w:firstLine="482" w:firstLineChars="200"/>
        <w:jc w:val="left"/>
        <w:rPr>
          <w:rFonts w:ascii="宋体" w:hAnsi="宋体"/>
          <w:b/>
          <w:sz w:val="24"/>
        </w:rPr>
      </w:pPr>
      <w:r>
        <w:rPr>
          <w:rFonts w:ascii="宋体" w:hAnsi="宋体"/>
          <w:b/>
          <w:sz w:val="24"/>
        </w:rPr>
        <w:t>6.6</w:t>
      </w:r>
      <w:r>
        <w:rPr>
          <w:rFonts w:hint="eastAsia" w:ascii="宋体" w:hAnsi="宋体"/>
          <w:b/>
          <w:sz w:val="24"/>
        </w:rPr>
        <w:t>退还方式：</w:t>
      </w:r>
    </w:p>
    <w:p>
      <w:pPr>
        <w:snapToGrid w:val="0"/>
        <w:spacing w:line="360" w:lineRule="auto"/>
        <w:ind w:firstLine="480" w:firstLineChars="200"/>
        <w:jc w:val="left"/>
        <w:rPr>
          <w:rFonts w:ascii="宋体" w:hAnsi="宋体"/>
          <w:sz w:val="24"/>
        </w:rPr>
      </w:pPr>
      <w:r>
        <w:rPr>
          <w:rFonts w:hint="eastAsia" w:ascii="宋体" w:hAnsi="宋体"/>
          <w:sz w:val="24"/>
        </w:rPr>
        <w:t>（1）为了方便投标人办理退还保证金的手续，可在投标文件中附开户许可证。</w:t>
      </w:r>
    </w:p>
    <w:p>
      <w:pPr>
        <w:snapToGrid w:val="0"/>
        <w:spacing w:line="360" w:lineRule="auto"/>
        <w:ind w:firstLine="480" w:firstLineChars="200"/>
        <w:jc w:val="left"/>
        <w:rPr>
          <w:rFonts w:ascii="宋体" w:hAnsi="宋体"/>
          <w:sz w:val="24"/>
        </w:rPr>
      </w:pPr>
      <w:r>
        <w:rPr>
          <w:rFonts w:hint="eastAsia" w:ascii="宋体" w:hAnsi="宋体"/>
          <w:sz w:val="24"/>
        </w:rPr>
        <w:t>（2）投标保证金退还为公对公账户电汇业务，我单位不退还现金。</w:t>
      </w:r>
    </w:p>
    <w:p>
      <w:pPr>
        <w:snapToGrid w:val="0"/>
        <w:spacing w:line="360" w:lineRule="auto"/>
        <w:ind w:firstLine="480" w:firstLineChars="200"/>
        <w:jc w:val="left"/>
        <w:rPr>
          <w:rFonts w:ascii="宋体" w:hAnsi="宋体"/>
          <w:sz w:val="24"/>
        </w:rPr>
      </w:pPr>
      <w:r>
        <w:rPr>
          <w:rFonts w:hint="eastAsia" w:ascii="宋体" w:hAnsi="宋体"/>
          <w:sz w:val="24"/>
        </w:rPr>
        <w:t>（3）投标保证金将在资料齐全的5个工作日内无息退还。</w:t>
      </w:r>
    </w:p>
    <w:p>
      <w:pPr>
        <w:snapToGrid w:val="0"/>
        <w:spacing w:line="360" w:lineRule="auto"/>
        <w:ind w:firstLine="482" w:firstLineChars="200"/>
        <w:jc w:val="left"/>
        <w:rPr>
          <w:rFonts w:ascii="宋体" w:hAnsi="宋体"/>
          <w:sz w:val="24"/>
        </w:rPr>
      </w:pPr>
      <w:r>
        <w:rPr>
          <w:rFonts w:ascii="宋体" w:hAnsi="宋体"/>
          <w:b/>
          <w:sz w:val="24"/>
        </w:rPr>
        <w:t>6.7</w:t>
      </w:r>
      <w:r>
        <w:rPr>
          <w:rFonts w:hint="eastAsia" w:ascii="宋体" w:hAnsi="宋体"/>
          <w:b/>
          <w:sz w:val="24"/>
        </w:rPr>
        <w:t>退还保证金所需资料：</w:t>
      </w:r>
    </w:p>
    <w:p>
      <w:pPr>
        <w:snapToGrid w:val="0"/>
        <w:spacing w:line="360" w:lineRule="auto"/>
        <w:ind w:firstLine="480" w:firstLineChars="200"/>
        <w:jc w:val="left"/>
        <w:rPr>
          <w:rFonts w:ascii="宋体" w:hAnsi="宋体"/>
          <w:sz w:val="24"/>
        </w:rPr>
      </w:pPr>
      <w:r>
        <w:rPr>
          <w:rFonts w:hint="eastAsia" w:ascii="宋体" w:hAnsi="宋体"/>
          <w:sz w:val="24"/>
        </w:rPr>
        <w:t>（1）中标人需缴纳中标服务费并提供采购合同复印件或者扫描件，发送电子版PDF文件扫描件至指定邮箱，邮件需注明项目名称、项目编号及项目分包。邮箱：1105469124@qq.com。</w:t>
      </w:r>
    </w:p>
    <w:p>
      <w:pPr>
        <w:snapToGrid w:val="0"/>
        <w:spacing w:line="360" w:lineRule="auto"/>
        <w:ind w:firstLine="482" w:firstLineChars="200"/>
        <w:jc w:val="left"/>
        <w:rPr>
          <w:rFonts w:ascii="宋体" w:hAnsi="宋体"/>
          <w:b/>
          <w:sz w:val="24"/>
        </w:rPr>
      </w:pPr>
      <w:r>
        <w:rPr>
          <w:rFonts w:hint="eastAsia" w:ascii="宋体" w:hAnsi="宋体"/>
          <w:b/>
          <w:sz w:val="24"/>
        </w:rPr>
        <w:t>6.</w:t>
      </w:r>
      <w:r>
        <w:rPr>
          <w:rFonts w:ascii="宋体" w:hAnsi="宋体"/>
          <w:b/>
          <w:sz w:val="24"/>
        </w:rPr>
        <w:t>8</w:t>
      </w:r>
      <w:r>
        <w:rPr>
          <w:rFonts w:hint="eastAsia" w:ascii="宋体" w:hAnsi="宋体"/>
          <w:b/>
          <w:sz w:val="24"/>
        </w:rPr>
        <w:t>下列任何情况发生时，谈判保证金将被没收:</w:t>
      </w:r>
    </w:p>
    <w:p>
      <w:pPr>
        <w:snapToGrid w:val="0"/>
        <w:spacing w:line="360" w:lineRule="auto"/>
        <w:ind w:firstLine="480" w:firstLineChars="200"/>
        <w:jc w:val="left"/>
        <w:rPr>
          <w:rFonts w:ascii="宋体" w:hAnsi="宋体"/>
          <w:sz w:val="24"/>
        </w:rPr>
      </w:pPr>
      <w:r>
        <w:rPr>
          <w:rFonts w:hint="eastAsia" w:ascii="宋体" w:hAnsi="宋体"/>
          <w:sz w:val="24"/>
        </w:rPr>
        <w:t>（1）投标人在谈判有效期内撤回其谈判响应文件的；</w:t>
      </w:r>
    </w:p>
    <w:p>
      <w:pPr>
        <w:snapToGrid w:val="0"/>
        <w:spacing w:line="360" w:lineRule="auto"/>
        <w:ind w:firstLine="480" w:firstLineChars="200"/>
        <w:jc w:val="left"/>
        <w:rPr>
          <w:rFonts w:ascii="宋体" w:hAnsi="宋体"/>
          <w:sz w:val="24"/>
        </w:rPr>
      </w:pPr>
      <w:r>
        <w:rPr>
          <w:rFonts w:hint="eastAsia" w:ascii="宋体" w:hAnsi="宋体"/>
          <w:sz w:val="24"/>
        </w:rPr>
        <w:t>（2）成交投标人未在规定期限内及时签订项目合同的；</w:t>
      </w:r>
    </w:p>
    <w:p>
      <w:pPr>
        <w:snapToGrid w:val="0"/>
        <w:spacing w:line="360" w:lineRule="auto"/>
        <w:ind w:firstLine="480" w:firstLineChars="200"/>
        <w:jc w:val="left"/>
        <w:rPr>
          <w:rFonts w:ascii="宋体" w:hAnsi="宋体"/>
          <w:sz w:val="24"/>
        </w:rPr>
      </w:pPr>
      <w:r>
        <w:rPr>
          <w:rFonts w:hint="eastAsia" w:ascii="宋体" w:hAnsi="宋体"/>
          <w:sz w:val="24"/>
        </w:rPr>
        <w:t>（3）其它违反政府采购法律法规的有关情况。</w:t>
      </w:r>
    </w:p>
    <w:p>
      <w:pPr>
        <w:spacing w:line="360" w:lineRule="auto"/>
        <w:ind w:firstLine="482" w:firstLineChars="200"/>
        <w:jc w:val="left"/>
        <w:rPr>
          <w:rFonts w:ascii="宋体" w:hAnsi="宋体" w:cs="宋体"/>
          <w:sz w:val="24"/>
        </w:rPr>
      </w:pPr>
      <w:r>
        <w:rPr>
          <w:rFonts w:hint="eastAsia" w:ascii="宋体" w:hAnsi="宋体" w:cs="宋体"/>
          <w:b/>
          <w:bCs/>
          <w:sz w:val="24"/>
        </w:rPr>
        <w:t>7.谈判有效期</w:t>
      </w:r>
    </w:p>
    <w:p>
      <w:pPr>
        <w:spacing w:line="360" w:lineRule="auto"/>
        <w:ind w:firstLine="480" w:firstLineChars="200"/>
        <w:jc w:val="left"/>
        <w:rPr>
          <w:rFonts w:ascii="宋体" w:hAnsi="宋体" w:cs="宋体"/>
          <w:sz w:val="24"/>
        </w:rPr>
      </w:pPr>
      <w:r>
        <w:rPr>
          <w:rFonts w:hint="eastAsia" w:ascii="宋体" w:hAnsi="宋体" w:cs="宋体"/>
          <w:sz w:val="24"/>
        </w:rPr>
        <w:t>7.1谈判有效期为谈判文件规定的投标人提交谈判响应文件截止之日起</w:t>
      </w:r>
      <w:r>
        <w:rPr>
          <w:rFonts w:ascii="宋体" w:hAnsi="宋体" w:cs="宋体"/>
          <w:sz w:val="24"/>
          <w:u w:val="single"/>
        </w:rPr>
        <w:t>9</w:t>
      </w:r>
      <w:r>
        <w:rPr>
          <w:rFonts w:hint="eastAsia" w:ascii="宋体" w:hAnsi="宋体" w:cs="宋体"/>
          <w:sz w:val="24"/>
          <w:u w:val="single"/>
        </w:rPr>
        <w:t>0</w:t>
      </w:r>
      <w:r>
        <w:rPr>
          <w:rFonts w:hint="eastAsia" w:ascii="宋体" w:hAnsi="宋体" w:cs="宋体"/>
          <w:sz w:val="24"/>
        </w:rPr>
        <w:t>天。谈判有效期不满足谈判文件要求的将视为非响应性文件而予以拒绝。</w:t>
      </w:r>
    </w:p>
    <w:p>
      <w:pPr>
        <w:spacing w:line="360" w:lineRule="auto"/>
        <w:ind w:firstLine="480" w:firstLineChars="200"/>
        <w:jc w:val="left"/>
        <w:rPr>
          <w:rFonts w:ascii="宋体" w:hAnsi="宋体" w:cs="宋体"/>
          <w:sz w:val="24"/>
        </w:rPr>
      </w:pPr>
      <w:r>
        <w:rPr>
          <w:rFonts w:hint="eastAsia" w:ascii="宋体" w:hAnsi="宋体" w:cs="宋体"/>
          <w:sz w:val="24"/>
        </w:rPr>
        <w:t>7.2在特殊情况下，采购人于原投标有效期满之前，可向投标人提出延长谈判有效期的要求，这种要求与答复均应采用书面形式（如信件、传真或电报等），投标人可以拒绝采购人的这一要求而放弃投标，谈判保证金予以退回；同意延长的投标人既不能要求也不允许修改其谈判响应文件。有关谈判保证金的没收和退还的规定在延长期内继续有效。</w:t>
      </w:r>
    </w:p>
    <w:p>
      <w:pPr>
        <w:spacing w:line="360" w:lineRule="auto"/>
        <w:ind w:firstLine="482" w:firstLineChars="200"/>
        <w:jc w:val="left"/>
        <w:rPr>
          <w:rFonts w:ascii="宋体" w:hAnsi="宋体" w:cs="宋体"/>
          <w:sz w:val="24"/>
        </w:rPr>
      </w:pPr>
      <w:r>
        <w:rPr>
          <w:rFonts w:hint="eastAsia" w:ascii="宋体" w:hAnsi="宋体" w:cs="宋体"/>
          <w:b/>
          <w:bCs/>
          <w:sz w:val="24"/>
        </w:rPr>
        <w:t>8.谈判响应文件份数和签署</w:t>
      </w:r>
    </w:p>
    <w:p>
      <w:pPr>
        <w:spacing w:line="360" w:lineRule="auto"/>
        <w:ind w:firstLine="480" w:firstLineChars="200"/>
        <w:jc w:val="left"/>
        <w:rPr>
          <w:rFonts w:ascii="宋体" w:hAnsi="宋体" w:cs="宋体"/>
          <w:sz w:val="24"/>
        </w:rPr>
      </w:pPr>
      <w:bookmarkStart w:id="117" w:name="_Toc8983610"/>
      <w:bookmarkStart w:id="118" w:name="_Toc31802"/>
      <w:bookmarkStart w:id="119" w:name="_Toc490155542"/>
      <w:bookmarkStart w:id="120" w:name="_Toc489694839"/>
      <w:bookmarkStart w:id="121" w:name="_Toc12500"/>
      <w:bookmarkStart w:id="122" w:name="_Toc30721"/>
      <w:r>
        <w:rPr>
          <w:rFonts w:hint="eastAsia" w:ascii="宋体" w:hAnsi="宋体" w:cs="宋体"/>
          <w:sz w:val="24"/>
        </w:rPr>
        <w:t>8.1投标人应严格按照投标人须知的要求</w:t>
      </w:r>
      <w:r>
        <w:rPr>
          <w:rFonts w:hint="eastAsia" w:ascii="宋体" w:hAnsi="宋体" w:cs="宋体"/>
          <w:sz w:val="24"/>
          <w:lang w:eastAsia="zh-CN"/>
        </w:rPr>
        <w:t>开标当天结束后</w:t>
      </w:r>
      <w:r>
        <w:rPr>
          <w:rFonts w:hint="eastAsia" w:ascii="宋体" w:hAnsi="宋体" w:cs="宋体"/>
          <w:sz w:val="24"/>
        </w:rPr>
        <w:t>提供纸质版谈判响应文件，每份谈判响应文件封面显著处必须清楚地标明“正本”或“副本”字样。谈判响应文件的正本需打印，副本可为正本的复印件。谈判响应文件包括：电子版（光盘）1份，纸质版正本1份，副本2份。</w:t>
      </w:r>
    </w:p>
    <w:p>
      <w:pPr>
        <w:spacing w:line="360" w:lineRule="auto"/>
        <w:ind w:firstLine="480" w:firstLineChars="200"/>
        <w:jc w:val="left"/>
        <w:outlineLvl w:val="0"/>
        <w:rPr>
          <w:rFonts w:hint="eastAsia" w:ascii="宋体" w:hAnsi="宋体" w:cs="宋体"/>
          <w:sz w:val="24"/>
        </w:rPr>
      </w:pPr>
      <w:r>
        <w:rPr>
          <w:rFonts w:hint="eastAsia" w:ascii="宋体" w:hAnsi="宋体" w:cs="宋体"/>
          <w:sz w:val="24"/>
        </w:rPr>
        <w:t>8.2除投标人对错处做必要修改外，谈判响应文件不得行间插字、涂改或增删，必要的修改处必须有投标单位法定代表人或其被授权人签字并盖公章。</w:t>
      </w:r>
    </w:p>
    <w:p>
      <w:pPr>
        <w:spacing w:line="360" w:lineRule="auto"/>
        <w:ind w:firstLine="482" w:firstLineChars="200"/>
        <w:jc w:val="left"/>
        <w:outlineLvl w:val="0"/>
        <w:rPr>
          <w:rFonts w:ascii="宋体" w:hAnsi="宋体" w:cs="宋体"/>
          <w:b/>
          <w:bCs/>
          <w:sz w:val="24"/>
        </w:rPr>
      </w:pPr>
      <w:r>
        <w:rPr>
          <w:rFonts w:hint="eastAsia" w:ascii="宋体" w:hAnsi="宋体" w:cs="宋体"/>
          <w:b/>
          <w:bCs/>
          <w:sz w:val="24"/>
        </w:rPr>
        <w:t>9.</w:t>
      </w:r>
      <w:r>
        <w:rPr>
          <w:rFonts w:hint="eastAsia" w:ascii="宋体" w:hAnsi="宋体" w:eastAsia="宋体" w:cs="宋体"/>
          <w:b/>
          <w:bCs/>
          <w:color w:val="auto"/>
          <w:sz w:val="24"/>
          <w:highlight w:val="none"/>
        </w:rPr>
        <w:t>响应文件</w:t>
      </w:r>
      <w:r>
        <w:rPr>
          <w:rFonts w:hint="eastAsia" w:ascii="宋体" w:hAnsi="宋体" w:cs="宋体"/>
          <w:b/>
          <w:bCs/>
          <w:sz w:val="24"/>
        </w:rPr>
        <w:t>装订</w:t>
      </w:r>
      <w:bookmarkEnd w:id="117"/>
      <w:bookmarkEnd w:id="118"/>
      <w:bookmarkEnd w:id="119"/>
      <w:bookmarkEnd w:id="120"/>
      <w:bookmarkEnd w:id="121"/>
      <w:bookmarkEnd w:id="122"/>
    </w:p>
    <w:p>
      <w:pPr>
        <w:spacing w:line="360" w:lineRule="auto"/>
        <w:ind w:firstLine="480" w:firstLineChars="200"/>
        <w:rPr>
          <w:rFonts w:ascii="宋体" w:hAnsi="宋体" w:cs="宋体"/>
          <w:b/>
          <w:sz w:val="24"/>
        </w:rPr>
      </w:pPr>
      <w:r>
        <w:rPr>
          <w:rFonts w:hint="eastAsia" w:ascii="宋体" w:hAnsi="宋体" w:cs="宋体"/>
          <w:sz w:val="24"/>
        </w:rPr>
        <w:t>9.1除特别说明外，全套谈判响应文件的书面部分均使用A4规格纸张无线胶装方式装订，</w:t>
      </w:r>
      <w:r>
        <w:rPr>
          <w:rFonts w:hint="eastAsia" w:ascii="宋体" w:hAnsi="宋体" w:cs="宋体"/>
          <w:b/>
          <w:sz w:val="24"/>
        </w:rPr>
        <w:t>不得采用活页夹等可随时拆换的方式装订，不得不带页码，正本谈判响应文件必须逐页加盖公章，副本可为正本的复印件。</w:t>
      </w:r>
    </w:p>
    <w:p>
      <w:pPr>
        <w:spacing w:line="360" w:lineRule="auto"/>
        <w:ind w:firstLine="480" w:firstLineChars="200"/>
        <w:rPr>
          <w:rFonts w:ascii="宋体" w:hAnsi="宋体" w:cs="宋体"/>
          <w:sz w:val="24"/>
        </w:rPr>
      </w:pPr>
      <w:r>
        <w:rPr>
          <w:rFonts w:hint="eastAsia" w:ascii="宋体" w:hAnsi="宋体" w:cs="宋体"/>
          <w:sz w:val="24"/>
        </w:rPr>
        <w:t>9.2投标人应按项目分别装订、标记谈判响应文件。</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四、谈判响应文件的递交</w:t>
      </w:r>
    </w:p>
    <w:p>
      <w:pPr>
        <w:spacing w:line="360" w:lineRule="auto"/>
        <w:ind w:firstLine="482" w:firstLineChars="200"/>
        <w:jc w:val="left"/>
        <w:outlineLvl w:val="0"/>
        <w:rPr>
          <w:rFonts w:ascii="宋体" w:hAnsi="宋体" w:cs="宋体"/>
          <w:b/>
          <w:bCs/>
          <w:sz w:val="24"/>
        </w:rPr>
      </w:pPr>
      <w:bookmarkStart w:id="123" w:name="_Toc16321"/>
      <w:bookmarkStart w:id="124" w:name="_Toc14114"/>
      <w:bookmarkStart w:id="125" w:name="_Toc31171"/>
      <w:bookmarkStart w:id="126" w:name="_Toc490155545"/>
      <w:bookmarkStart w:id="127" w:name="_Toc8983611"/>
      <w:bookmarkStart w:id="128" w:name="_Toc489694842"/>
      <w:bookmarkStart w:id="129" w:name="_Toc213839734"/>
      <w:r>
        <w:rPr>
          <w:rFonts w:hint="eastAsia" w:ascii="宋体" w:hAnsi="宋体" w:cs="宋体"/>
          <w:b/>
          <w:bCs/>
          <w:sz w:val="24"/>
        </w:rPr>
        <w:t>1.谈判响应文件递交截止日期及方式</w:t>
      </w:r>
      <w:bookmarkEnd w:id="123"/>
      <w:bookmarkEnd w:id="124"/>
      <w:bookmarkEnd w:id="125"/>
      <w:bookmarkEnd w:id="126"/>
      <w:bookmarkEnd w:id="127"/>
      <w:bookmarkEnd w:id="128"/>
    </w:p>
    <w:p>
      <w:pPr>
        <w:spacing w:line="360" w:lineRule="auto"/>
        <w:ind w:firstLine="480" w:firstLineChars="200"/>
        <w:rPr>
          <w:rFonts w:ascii="宋体" w:hAnsi="宋体" w:cs="宋体"/>
          <w:sz w:val="24"/>
        </w:rPr>
      </w:pPr>
      <w:r>
        <w:rPr>
          <w:rFonts w:hint="eastAsia" w:ascii="宋体" w:hAnsi="宋体" w:cs="宋体"/>
          <w:sz w:val="24"/>
        </w:rPr>
        <w:t>1.1投标人需要递交电子投标文件，加密的电子投标文件，在投标截止时间前通过兵团政采云（http://ccgp-bingtuan.gov.cn/）上传到指定位置。无需递交纸质文件。</w:t>
      </w:r>
    </w:p>
    <w:p>
      <w:pPr>
        <w:spacing w:line="360" w:lineRule="auto"/>
        <w:ind w:firstLine="480" w:firstLineChars="200"/>
        <w:rPr>
          <w:rFonts w:ascii="宋体" w:hAnsi="宋体" w:cs="宋体"/>
          <w:b/>
          <w:sz w:val="24"/>
        </w:rPr>
      </w:pPr>
      <w:r>
        <w:rPr>
          <w:rFonts w:hint="eastAsia" w:ascii="宋体" w:hAnsi="宋体" w:cs="宋体"/>
          <w:sz w:val="24"/>
        </w:rPr>
        <w:t>1.2本项目采用远程不见面交易的模式。开标当日，投标人无需到达开标现场，仅需在任意地点通过兵团政采云（http://ccgp-bingtuan.gov.cn/）平台完成远程解密、提疑澄清、开标唱标、结果公布等交互环节。投标人必须使用能正确解密投标文件的“CA锁”在规定的时间内完成远程解密，因投标人原因未能解密、解密失败或解密超时，视为投标人撤销其投标文件，系统内投标文件将被退回；因采购人原因或网上招投标平台发生故障，导致无法按时完成投标文件解密或开、评标工作无法进行的，可根据实际情况相应延迟解密时间或调整开、评标时间（友情提示：若投标人已领取副锁（含多把副锁）请注意正副锁的使用差别，务必使用生成投标文件的那把锁解密）。</w:t>
      </w:r>
    </w:p>
    <w:p>
      <w:pPr>
        <w:spacing w:line="360" w:lineRule="auto"/>
        <w:ind w:firstLine="480" w:firstLineChars="200"/>
        <w:jc w:val="left"/>
        <w:rPr>
          <w:rFonts w:ascii="宋体" w:hAnsi="宋体" w:cs="宋体"/>
          <w:sz w:val="24"/>
        </w:rPr>
      </w:pPr>
      <w:r>
        <w:rPr>
          <w:rFonts w:hint="eastAsia" w:ascii="宋体" w:hAnsi="宋体" w:cs="宋体"/>
          <w:sz w:val="24"/>
        </w:rPr>
        <w:t>1.3采购人可以通过修改招标文件酌情延长投标文件接收截止日期，在此情况下，投标人的所有权利和义务以及投标人受制约的截止日期均应以延长后新的截止日期为准。</w:t>
      </w:r>
    </w:p>
    <w:p>
      <w:pPr>
        <w:spacing w:line="360" w:lineRule="auto"/>
        <w:ind w:firstLine="482" w:firstLineChars="200"/>
        <w:jc w:val="left"/>
        <w:outlineLvl w:val="0"/>
        <w:rPr>
          <w:rFonts w:ascii="宋体" w:hAnsi="宋体" w:cs="宋体"/>
          <w:sz w:val="24"/>
        </w:rPr>
      </w:pPr>
      <w:bookmarkStart w:id="130" w:name="_Toc18567"/>
      <w:bookmarkStart w:id="131" w:name="_Toc490155546"/>
      <w:bookmarkStart w:id="132" w:name="_Toc489694843"/>
      <w:bookmarkStart w:id="133" w:name="_Toc8983612"/>
      <w:bookmarkStart w:id="134" w:name="_Toc2527"/>
      <w:bookmarkStart w:id="135" w:name="_Toc15270"/>
      <w:r>
        <w:rPr>
          <w:rFonts w:hint="eastAsia" w:ascii="宋体" w:hAnsi="宋体" w:cs="宋体"/>
          <w:b/>
          <w:bCs/>
          <w:sz w:val="24"/>
        </w:rPr>
        <w:t>2.迟交的</w:t>
      </w:r>
      <w:bookmarkEnd w:id="130"/>
      <w:bookmarkEnd w:id="131"/>
      <w:bookmarkEnd w:id="132"/>
      <w:bookmarkEnd w:id="133"/>
      <w:bookmarkEnd w:id="134"/>
      <w:bookmarkEnd w:id="135"/>
      <w:r>
        <w:rPr>
          <w:rFonts w:hint="eastAsia" w:ascii="宋体" w:hAnsi="宋体" w:cs="宋体"/>
          <w:b/>
          <w:bCs/>
          <w:sz w:val="24"/>
        </w:rPr>
        <w:t>谈判响应文件</w:t>
      </w:r>
    </w:p>
    <w:p>
      <w:pPr>
        <w:spacing w:line="360" w:lineRule="auto"/>
        <w:ind w:firstLine="480" w:firstLineChars="200"/>
        <w:rPr>
          <w:rFonts w:ascii="宋体" w:hAnsi="宋体" w:cs="宋体"/>
          <w:sz w:val="24"/>
        </w:rPr>
      </w:pPr>
      <w:r>
        <w:rPr>
          <w:rFonts w:hint="eastAsia" w:ascii="宋体" w:hAnsi="宋体" w:cs="宋体"/>
          <w:sz w:val="24"/>
        </w:rPr>
        <w:t>采购人将拒绝接收在规定的截止日期后递交的任何谈判响应文件。</w:t>
      </w:r>
      <w:bookmarkStart w:id="136" w:name="_Toc213839733"/>
    </w:p>
    <w:p>
      <w:pPr>
        <w:spacing w:line="360" w:lineRule="auto"/>
        <w:ind w:firstLine="482" w:firstLineChars="200"/>
        <w:outlineLvl w:val="0"/>
        <w:rPr>
          <w:rFonts w:ascii="宋体" w:hAnsi="宋体" w:cs="宋体"/>
          <w:b/>
          <w:sz w:val="24"/>
        </w:rPr>
      </w:pPr>
      <w:bookmarkStart w:id="137" w:name="_Toc22149"/>
      <w:bookmarkStart w:id="138" w:name="_Toc490155547"/>
      <w:bookmarkStart w:id="139" w:name="_Toc17938"/>
      <w:bookmarkStart w:id="140" w:name="_Toc8983613"/>
      <w:bookmarkStart w:id="141" w:name="_Toc489694844"/>
      <w:bookmarkStart w:id="142" w:name="_Toc19922"/>
      <w:r>
        <w:rPr>
          <w:rFonts w:hint="eastAsia" w:ascii="宋体" w:hAnsi="宋体" w:cs="宋体"/>
          <w:b/>
          <w:sz w:val="24"/>
        </w:rPr>
        <w:t>3.谈判响应文件的修改</w:t>
      </w:r>
      <w:bookmarkEnd w:id="136"/>
      <w:bookmarkEnd w:id="137"/>
      <w:bookmarkEnd w:id="138"/>
      <w:bookmarkEnd w:id="139"/>
      <w:bookmarkEnd w:id="140"/>
      <w:bookmarkEnd w:id="141"/>
      <w:bookmarkEnd w:id="142"/>
    </w:p>
    <w:p>
      <w:pPr>
        <w:spacing w:line="360" w:lineRule="auto"/>
        <w:ind w:firstLine="480" w:firstLineChars="200"/>
        <w:rPr>
          <w:rFonts w:ascii="宋体" w:hAnsi="宋体" w:cs="宋体"/>
          <w:sz w:val="24"/>
        </w:rPr>
      </w:pPr>
      <w:r>
        <w:rPr>
          <w:rFonts w:hint="eastAsia" w:ascii="宋体" w:hAnsi="宋体" w:cs="宋体"/>
          <w:sz w:val="24"/>
        </w:rPr>
        <w:t>投标人在递交谈判响应文件截止时间之前，对所递交的谈判响应文件可以补充、修改，补充、修改的内容为谈判响应文件的组成部分，对投标人具有约束力。</w:t>
      </w:r>
    </w:p>
    <w:p>
      <w:pPr>
        <w:spacing w:line="360" w:lineRule="auto"/>
        <w:ind w:firstLine="480"/>
        <w:jc w:val="center"/>
        <w:rPr>
          <w:rFonts w:ascii="宋体" w:hAnsi="宋体" w:cs="宋体"/>
          <w:b/>
          <w:sz w:val="32"/>
          <w:szCs w:val="32"/>
        </w:rPr>
      </w:pPr>
      <w:r>
        <w:rPr>
          <w:rFonts w:hint="eastAsia" w:ascii="宋体" w:hAnsi="宋体" w:cs="宋体"/>
          <w:b/>
          <w:sz w:val="32"/>
          <w:szCs w:val="32"/>
        </w:rPr>
        <w:t>五、无效标、废标条款</w:t>
      </w:r>
    </w:p>
    <w:p>
      <w:pPr>
        <w:spacing w:line="360" w:lineRule="auto"/>
        <w:ind w:firstLine="482" w:firstLineChars="200"/>
        <w:jc w:val="left"/>
        <w:outlineLvl w:val="0"/>
        <w:rPr>
          <w:rFonts w:ascii="宋体" w:hAnsi="宋体" w:cs="宋体"/>
          <w:b/>
          <w:bCs/>
          <w:sz w:val="24"/>
        </w:rPr>
      </w:pPr>
      <w:bookmarkStart w:id="143" w:name="_Toc18383"/>
      <w:bookmarkStart w:id="144" w:name="_Toc490155548"/>
      <w:bookmarkStart w:id="145" w:name="_Toc147"/>
      <w:bookmarkStart w:id="146" w:name="_Toc8983614"/>
      <w:bookmarkStart w:id="147" w:name="_Toc4106"/>
      <w:bookmarkStart w:id="148" w:name="_Toc489694845"/>
      <w:r>
        <w:rPr>
          <w:rFonts w:hint="eastAsia" w:ascii="宋体" w:hAnsi="宋体" w:cs="宋体"/>
          <w:b/>
          <w:bCs/>
          <w:sz w:val="24"/>
        </w:rPr>
        <w:t>1.无效投标条款</w:t>
      </w:r>
      <w:bookmarkEnd w:id="143"/>
      <w:bookmarkEnd w:id="144"/>
      <w:bookmarkEnd w:id="145"/>
      <w:bookmarkEnd w:id="146"/>
      <w:bookmarkEnd w:id="147"/>
      <w:bookmarkEnd w:id="148"/>
    </w:p>
    <w:p>
      <w:pPr>
        <w:spacing w:line="360" w:lineRule="auto"/>
        <w:ind w:firstLine="480" w:firstLineChars="200"/>
        <w:jc w:val="left"/>
        <w:rPr>
          <w:rFonts w:ascii="宋体" w:hAnsi="宋体" w:cs="宋体"/>
          <w:sz w:val="24"/>
        </w:rPr>
      </w:pPr>
      <w:r>
        <w:rPr>
          <w:rFonts w:hint="eastAsia" w:ascii="宋体" w:hAnsi="宋体" w:cs="宋体"/>
          <w:sz w:val="24"/>
        </w:rPr>
        <w:t>1.1投标人资格不符合谈判文件规定或未按规定提交证件的；</w:t>
      </w:r>
    </w:p>
    <w:p>
      <w:pPr>
        <w:spacing w:line="360" w:lineRule="auto"/>
        <w:ind w:firstLine="480" w:firstLineChars="200"/>
        <w:jc w:val="left"/>
        <w:rPr>
          <w:rFonts w:ascii="宋体" w:hAnsi="宋体" w:cs="宋体"/>
          <w:sz w:val="24"/>
        </w:rPr>
      </w:pPr>
      <w:r>
        <w:rPr>
          <w:rFonts w:hint="eastAsia" w:ascii="宋体" w:hAnsi="宋体" w:cs="宋体"/>
          <w:sz w:val="24"/>
        </w:rPr>
        <w:t>1.2投标人未在规定的时间内提交谈判保证金的；</w:t>
      </w:r>
    </w:p>
    <w:p>
      <w:pPr>
        <w:spacing w:line="360" w:lineRule="auto"/>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3</w:t>
      </w:r>
      <w:r>
        <w:rPr>
          <w:rFonts w:hint="eastAsia" w:ascii="宋体" w:hAnsi="宋体" w:cs="宋体"/>
          <w:sz w:val="24"/>
        </w:rPr>
        <w:t>谈判响应文件出现重大偏差，未对谈判文件进行实质性响应；</w:t>
      </w:r>
    </w:p>
    <w:p>
      <w:pPr>
        <w:spacing w:line="360" w:lineRule="auto"/>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4</w:t>
      </w:r>
      <w:r>
        <w:rPr>
          <w:rFonts w:hint="eastAsia" w:ascii="宋体" w:hAnsi="宋体" w:cs="宋体"/>
          <w:sz w:val="24"/>
        </w:rPr>
        <w:t>被授权人不参加评标仪式及质询事宜的；</w:t>
      </w:r>
    </w:p>
    <w:p>
      <w:pPr>
        <w:spacing w:line="360" w:lineRule="auto"/>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5</w:t>
      </w:r>
      <w:r>
        <w:rPr>
          <w:rFonts w:hint="eastAsia" w:ascii="宋体" w:hAnsi="宋体" w:cs="宋体"/>
          <w:sz w:val="24"/>
        </w:rPr>
        <w:t>其它评标委员会认为有必要取消的投标；</w:t>
      </w:r>
    </w:p>
    <w:p>
      <w:pPr>
        <w:adjustRightInd w:val="0"/>
        <w:spacing w:line="360" w:lineRule="auto"/>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6</w:t>
      </w:r>
      <w:r>
        <w:rPr>
          <w:rFonts w:hint="eastAsia" w:ascii="宋体" w:hAnsi="宋体" w:cs="宋体"/>
          <w:sz w:val="24"/>
        </w:rPr>
        <w:t>法律、法规规定的其他情况。</w:t>
      </w:r>
    </w:p>
    <w:p>
      <w:pPr>
        <w:adjustRightInd w:val="0"/>
        <w:snapToGrid w:val="0"/>
        <w:spacing w:line="360" w:lineRule="auto"/>
        <w:ind w:firstLine="482" w:firstLineChars="200"/>
        <w:outlineLvl w:val="0"/>
        <w:rPr>
          <w:rFonts w:ascii="宋体" w:hAnsi="宋体" w:cs="宋体"/>
          <w:b/>
          <w:sz w:val="24"/>
        </w:rPr>
      </w:pPr>
      <w:bookmarkStart w:id="149" w:name="_Toc489694846"/>
      <w:bookmarkStart w:id="150" w:name="_Toc3014"/>
      <w:bookmarkStart w:id="151" w:name="_Toc8983615"/>
      <w:bookmarkStart w:id="152" w:name="_Toc490155549"/>
      <w:bookmarkStart w:id="153" w:name="_Toc24648"/>
      <w:bookmarkStart w:id="154" w:name="_Toc30360"/>
      <w:r>
        <w:rPr>
          <w:rFonts w:hint="eastAsia" w:ascii="宋体" w:hAnsi="宋体" w:cs="宋体"/>
          <w:b/>
          <w:sz w:val="24"/>
        </w:rPr>
        <w:t>2.废标条款</w:t>
      </w:r>
      <w:bookmarkEnd w:id="149"/>
      <w:bookmarkEnd w:id="150"/>
      <w:bookmarkEnd w:id="151"/>
      <w:bookmarkEnd w:id="152"/>
      <w:bookmarkEnd w:id="153"/>
      <w:bookmarkEnd w:id="154"/>
    </w:p>
    <w:p>
      <w:pPr>
        <w:adjustRightInd w:val="0"/>
        <w:spacing w:line="360" w:lineRule="auto"/>
        <w:ind w:firstLine="480" w:firstLineChars="200"/>
        <w:jc w:val="left"/>
        <w:rPr>
          <w:rFonts w:ascii="宋体" w:hAnsi="宋体" w:cs="宋体"/>
          <w:bCs/>
          <w:sz w:val="24"/>
        </w:rPr>
      </w:pPr>
      <w:r>
        <w:rPr>
          <w:rFonts w:hint="eastAsia" w:ascii="宋体" w:hAnsi="宋体" w:cs="宋体"/>
          <w:bCs/>
          <w:sz w:val="24"/>
        </w:rPr>
        <w:t>2.1符合专业条件的投标人或者对谈判文件作实质响应的投标人不足三家；</w:t>
      </w:r>
    </w:p>
    <w:p>
      <w:pPr>
        <w:snapToGrid w:val="0"/>
        <w:spacing w:line="360" w:lineRule="auto"/>
        <w:ind w:firstLine="480" w:firstLineChars="200"/>
        <w:rPr>
          <w:rFonts w:ascii="宋体" w:hAnsi="宋体" w:cs="宋体"/>
          <w:sz w:val="24"/>
        </w:rPr>
      </w:pPr>
      <w:r>
        <w:rPr>
          <w:rFonts w:hint="eastAsia" w:ascii="宋体" w:hAnsi="宋体" w:cs="宋体"/>
          <w:sz w:val="24"/>
        </w:rPr>
        <w:t xml:space="preserve">2.2出现影响采购公正的违法、违规行为的； </w:t>
      </w:r>
    </w:p>
    <w:p>
      <w:pPr>
        <w:snapToGrid w:val="0"/>
        <w:spacing w:line="360" w:lineRule="auto"/>
        <w:ind w:firstLine="480" w:firstLineChars="200"/>
        <w:rPr>
          <w:rFonts w:ascii="宋体" w:hAnsi="宋体"/>
          <w:sz w:val="24"/>
        </w:rPr>
      </w:pPr>
      <w:r>
        <w:rPr>
          <w:rFonts w:hint="eastAsia" w:ascii="宋体" w:hAnsi="宋体" w:cs="宋体"/>
          <w:sz w:val="24"/>
        </w:rPr>
        <w:t>2.3</w:t>
      </w:r>
      <w:r>
        <w:rPr>
          <w:rFonts w:hint="eastAsia" w:ascii="宋体" w:hAnsi="宋体"/>
          <w:sz w:val="24"/>
        </w:rPr>
        <w:t>投标人的报价均超过了采购预算，采购人不能支付的；</w:t>
      </w:r>
    </w:p>
    <w:p>
      <w:pPr>
        <w:snapToGrid w:val="0"/>
        <w:spacing w:line="360" w:lineRule="auto"/>
        <w:ind w:firstLine="480" w:firstLineChars="200"/>
        <w:rPr>
          <w:rFonts w:ascii="宋体" w:hAnsi="宋体" w:cs="宋体"/>
          <w:sz w:val="24"/>
        </w:rPr>
      </w:pPr>
      <w:r>
        <w:rPr>
          <w:rFonts w:hint="eastAsia" w:ascii="宋体" w:hAnsi="宋体" w:cs="宋体"/>
          <w:sz w:val="24"/>
        </w:rPr>
        <w:t>2.4因重大变故，采购任务取消的。</w:t>
      </w:r>
    </w:p>
    <w:p>
      <w:pPr>
        <w:spacing w:line="360" w:lineRule="auto"/>
        <w:ind w:firstLine="482" w:firstLineChars="200"/>
        <w:jc w:val="left"/>
        <w:outlineLvl w:val="0"/>
        <w:rPr>
          <w:rFonts w:ascii="宋体" w:hAnsi="宋体" w:cs="宋体"/>
          <w:b/>
          <w:bCs/>
          <w:sz w:val="24"/>
        </w:rPr>
      </w:pPr>
      <w:bookmarkStart w:id="155" w:name="_Toc26457"/>
      <w:bookmarkStart w:id="156" w:name="_Toc19310"/>
      <w:bookmarkStart w:id="157" w:name="_Toc15294"/>
      <w:bookmarkStart w:id="158" w:name="_Toc489694847"/>
      <w:bookmarkStart w:id="159" w:name="_Toc8983616"/>
      <w:bookmarkStart w:id="160" w:name="_Toc490155550"/>
      <w:r>
        <w:rPr>
          <w:rFonts w:hint="eastAsia" w:ascii="宋体" w:hAnsi="宋体" w:cs="宋体"/>
          <w:b/>
          <w:bCs/>
          <w:sz w:val="24"/>
        </w:rPr>
        <w:t>3.投标人不足三家情形处理</w:t>
      </w:r>
      <w:bookmarkEnd w:id="155"/>
      <w:bookmarkEnd w:id="156"/>
      <w:bookmarkEnd w:id="157"/>
      <w:bookmarkEnd w:id="158"/>
      <w:bookmarkEnd w:id="159"/>
      <w:bookmarkEnd w:id="160"/>
    </w:p>
    <w:p>
      <w:pPr>
        <w:snapToGrid w:val="0"/>
        <w:spacing w:line="360" w:lineRule="auto"/>
        <w:ind w:firstLine="480" w:firstLineChars="200"/>
        <w:rPr>
          <w:rFonts w:ascii="宋体" w:hAnsi="宋体" w:cs="宋体"/>
          <w:sz w:val="24"/>
        </w:rPr>
      </w:pPr>
      <w:r>
        <w:rPr>
          <w:rFonts w:hint="eastAsia" w:ascii="宋体" w:hAnsi="宋体" w:cs="宋体"/>
          <w:sz w:val="24"/>
        </w:rPr>
        <w:t>如出现投标截止时间结束后参加的投标人不足三家的，采购单位应当报告财政部门，按照以下原则处理：</w:t>
      </w:r>
    </w:p>
    <w:p>
      <w:pPr>
        <w:spacing w:line="360" w:lineRule="auto"/>
        <w:ind w:firstLine="480" w:firstLineChars="200"/>
        <w:rPr>
          <w:rFonts w:ascii="宋体" w:hAnsi="宋体" w:cs="宋体"/>
          <w:sz w:val="24"/>
        </w:rPr>
      </w:pPr>
      <w:r>
        <w:rPr>
          <w:rFonts w:hint="eastAsia" w:ascii="宋体" w:hAnsi="宋体" w:cs="宋体"/>
          <w:sz w:val="24"/>
        </w:rPr>
        <w:t>3.1有效投标人不足三家的，除采购任务取消外，可废标后重新组织采购。</w:t>
      </w:r>
    </w:p>
    <w:p>
      <w:pPr>
        <w:snapToGrid w:val="0"/>
        <w:spacing w:line="360" w:lineRule="auto"/>
        <w:ind w:firstLine="480" w:firstLineChars="200"/>
        <w:rPr>
          <w:rFonts w:ascii="宋体" w:hAnsi="宋体" w:cs="宋体"/>
          <w:sz w:val="24"/>
        </w:rPr>
      </w:pPr>
      <w:r>
        <w:rPr>
          <w:rFonts w:hint="eastAsia" w:ascii="宋体" w:hAnsi="宋体" w:cs="宋体"/>
          <w:sz w:val="24"/>
        </w:rPr>
        <w:t>3.2投标文件存在不合理条款的，采购公告时间及程序不符合规定的，应予以废标。</w:t>
      </w:r>
    </w:p>
    <w:p>
      <w:pPr>
        <w:snapToGrid w:val="0"/>
        <w:spacing w:line="360" w:lineRule="auto"/>
        <w:ind w:firstLine="482" w:firstLineChars="200"/>
        <w:outlineLvl w:val="0"/>
        <w:rPr>
          <w:rFonts w:ascii="宋体" w:hAnsi="宋体" w:cs="宋体"/>
          <w:sz w:val="24"/>
        </w:rPr>
      </w:pPr>
      <w:bookmarkStart w:id="161" w:name="_Toc5435"/>
      <w:bookmarkStart w:id="162" w:name="_Toc8983617"/>
      <w:bookmarkStart w:id="163" w:name="_Toc11755"/>
      <w:bookmarkStart w:id="164" w:name="_Toc21037"/>
      <w:bookmarkStart w:id="165" w:name="_Toc489694848"/>
      <w:bookmarkStart w:id="166" w:name="_Toc490155551"/>
      <w:r>
        <w:rPr>
          <w:rFonts w:hint="eastAsia" w:ascii="宋体" w:hAnsi="宋体" w:cs="宋体"/>
          <w:b/>
          <w:bCs/>
          <w:sz w:val="24"/>
        </w:rPr>
        <w:t>4.取消中标人资格条款</w:t>
      </w:r>
      <w:bookmarkEnd w:id="161"/>
      <w:bookmarkEnd w:id="162"/>
      <w:bookmarkEnd w:id="163"/>
      <w:bookmarkEnd w:id="164"/>
      <w:bookmarkEnd w:id="165"/>
      <w:bookmarkEnd w:id="166"/>
    </w:p>
    <w:p>
      <w:pPr>
        <w:snapToGrid w:val="0"/>
        <w:spacing w:line="360" w:lineRule="auto"/>
        <w:ind w:firstLine="480" w:firstLineChars="200"/>
        <w:rPr>
          <w:rFonts w:ascii="宋体" w:hAnsi="宋体" w:cs="宋体"/>
          <w:sz w:val="24"/>
        </w:rPr>
      </w:pPr>
      <w:r>
        <w:rPr>
          <w:rFonts w:hint="eastAsia" w:ascii="宋体" w:hAnsi="宋体" w:cs="宋体"/>
          <w:sz w:val="24"/>
        </w:rPr>
        <w:t>4.1提供虚假材料谋取成交的；</w:t>
      </w:r>
    </w:p>
    <w:p>
      <w:pPr>
        <w:snapToGrid w:val="0"/>
        <w:spacing w:line="360" w:lineRule="auto"/>
        <w:ind w:firstLine="480" w:firstLineChars="200"/>
        <w:rPr>
          <w:rFonts w:ascii="宋体" w:hAnsi="宋体" w:cs="宋体"/>
          <w:sz w:val="24"/>
        </w:rPr>
      </w:pPr>
      <w:r>
        <w:rPr>
          <w:rFonts w:hint="eastAsia" w:ascii="宋体" w:hAnsi="宋体" w:cs="宋体"/>
          <w:sz w:val="24"/>
        </w:rPr>
        <w:t>4.2采取不正当手段诋毁、排挤其他投标人的；</w:t>
      </w:r>
    </w:p>
    <w:p>
      <w:pPr>
        <w:snapToGrid w:val="0"/>
        <w:spacing w:line="360" w:lineRule="auto"/>
        <w:ind w:firstLine="480" w:firstLineChars="200"/>
        <w:rPr>
          <w:rFonts w:ascii="宋体" w:hAnsi="宋体" w:cs="宋体"/>
          <w:sz w:val="24"/>
        </w:rPr>
      </w:pPr>
      <w:r>
        <w:rPr>
          <w:rFonts w:hint="eastAsia" w:ascii="宋体" w:hAnsi="宋体" w:cs="宋体"/>
          <w:sz w:val="24"/>
        </w:rPr>
        <w:t>4.3与采购人、其他投标人或者采购代理机构恶意串通的；</w:t>
      </w:r>
    </w:p>
    <w:p>
      <w:pPr>
        <w:snapToGrid w:val="0"/>
        <w:spacing w:line="360" w:lineRule="auto"/>
        <w:ind w:firstLine="480" w:firstLineChars="200"/>
        <w:rPr>
          <w:rFonts w:ascii="宋体" w:hAnsi="宋体" w:cs="宋体"/>
          <w:sz w:val="24"/>
        </w:rPr>
      </w:pPr>
      <w:r>
        <w:rPr>
          <w:rFonts w:hint="eastAsia" w:ascii="宋体" w:hAnsi="宋体" w:cs="宋体"/>
          <w:sz w:val="24"/>
        </w:rPr>
        <w:t>4.4向采购人、采购代理机构行贿或者提供其他不正当利益的；</w:t>
      </w:r>
    </w:p>
    <w:p>
      <w:pPr>
        <w:snapToGrid w:val="0"/>
        <w:spacing w:line="360" w:lineRule="auto"/>
        <w:ind w:firstLine="480" w:firstLineChars="200"/>
        <w:rPr>
          <w:rFonts w:ascii="宋体" w:hAnsi="宋体" w:cs="宋体"/>
          <w:sz w:val="24"/>
        </w:rPr>
      </w:pPr>
      <w:r>
        <w:rPr>
          <w:rFonts w:hint="eastAsia" w:ascii="宋体" w:hAnsi="宋体" w:cs="宋体"/>
          <w:sz w:val="24"/>
        </w:rPr>
        <w:t>4.5在规定的时间内未与采购人签订采购合同的；</w:t>
      </w:r>
    </w:p>
    <w:p>
      <w:pPr>
        <w:snapToGrid w:val="0"/>
        <w:spacing w:line="360" w:lineRule="auto"/>
        <w:ind w:firstLine="480" w:firstLineChars="200"/>
        <w:rPr>
          <w:rFonts w:ascii="宋体" w:hAnsi="宋体" w:cs="宋体"/>
          <w:sz w:val="24"/>
        </w:rPr>
      </w:pPr>
      <w:r>
        <w:rPr>
          <w:rFonts w:hint="eastAsia" w:ascii="宋体" w:hAnsi="宋体" w:cs="宋体"/>
          <w:sz w:val="24"/>
        </w:rPr>
        <w:t>4.6法律、法规规定的其他情况。</w:t>
      </w:r>
    </w:p>
    <w:p>
      <w:pPr>
        <w:spacing w:line="360" w:lineRule="auto"/>
        <w:jc w:val="center"/>
        <w:rPr>
          <w:rFonts w:ascii="宋体" w:hAnsi="宋体" w:cs="宋体"/>
          <w:b/>
          <w:sz w:val="32"/>
          <w:szCs w:val="32"/>
        </w:rPr>
      </w:pPr>
      <w:r>
        <w:rPr>
          <w:rFonts w:hint="eastAsia" w:ascii="宋体" w:hAnsi="宋体" w:cs="宋体"/>
          <w:b/>
          <w:sz w:val="32"/>
          <w:szCs w:val="32"/>
        </w:rPr>
        <w:t>六、</w:t>
      </w:r>
      <w:bookmarkEnd w:id="129"/>
      <w:r>
        <w:rPr>
          <w:rFonts w:hint="eastAsia" w:ascii="宋体" w:hAnsi="宋体" w:cs="宋体"/>
          <w:b/>
          <w:sz w:val="32"/>
          <w:szCs w:val="32"/>
        </w:rPr>
        <w:t>开标和评标</w:t>
      </w:r>
    </w:p>
    <w:p>
      <w:pPr>
        <w:spacing w:line="460" w:lineRule="exact"/>
        <w:rPr>
          <w:rFonts w:ascii="宋体" w:hAnsi="宋体"/>
          <w:b/>
          <w:color w:val="000000"/>
          <w:sz w:val="24"/>
        </w:rPr>
      </w:pPr>
      <w:r>
        <w:rPr>
          <w:rFonts w:hint="eastAsia" w:ascii="宋体" w:hAnsi="宋体"/>
          <w:b/>
          <w:color w:val="000000"/>
          <w:sz w:val="24"/>
        </w:rPr>
        <w:t>1、开标</w:t>
      </w:r>
    </w:p>
    <w:p>
      <w:pPr>
        <w:spacing w:line="460" w:lineRule="exact"/>
        <w:rPr>
          <w:rFonts w:hint="eastAsia" w:ascii="宋体" w:hAnsi="宋体" w:eastAsia="宋体" w:cs="宋体"/>
          <w:color w:val="000000"/>
          <w:sz w:val="24"/>
        </w:rPr>
      </w:pPr>
      <w:r>
        <w:rPr>
          <w:rFonts w:hint="eastAsia" w:ascii="宋体" w:hAnsi="宋体" w:cs="宋体"/>
          <w:color w:val="000000"/>
          <w:sz w:val="24"/>
          <w:lang w:val="en-US" w:eastAsia="zh-CN"/>
        </w:rPr>
        <w:t>1</w:t>
      </w:r>
      <w:r>
        <w:rPr>
          <w:rFonts w:hint="eastAsia" w:ascii="宋体" w:hAnsi="宋体" w:eastAsia="宋体" w:cs="宋体"/>
          <w:color w:val="000000"/>
          <w:sz w:val="24"/>
        </w:rPr>
        <w:t>.1　本次谈判按竞争性谈判文件中规定的时间和地点进行开标，允许供应商的法定代表人或其授权人参加开标会。</w:t>
      </w:r>
    </w:p>
    <w:p>
      <w:pPr>
        <w:spacing w:line="460" w:lineRule="exact"/>
        <w:rPr>
          <w:rFonts w:hint="eastAsia" w:ascii="宋体" w:hAnsi="宋体" w:eastAsia="宋体" w:cs="宋体"/>
          <w:color w:val="000000"/>
          <w:sz w:val="24"/>
        </w:rPr>
      </w:pPr>
      <w:r>
        <w:rPr>
          <w:rFonts w:hint="eastAsia" w:ascii="宋体" w:hAnsi="宋体" w:cs="宋体"/>
          <w:color w:val="000000"/>
          <w:sz w:val="24"/>
          <w:lang w:val="en-US" w:eastAsia="zh-CN"/>
        </w:rPr>
        <w:t>1</w:t>
      </w:r>
      <w:r>
        <w:rPr>
          <w:rFonts w:hint="eastAsia" w:ascii="宋体" w:hAnsi="宋体" w:eastAsia="宋体" w:cs="宋体"/>
          <w:color w:val="000000"/>
          <w:sz w:val="24"/>
        </w:rPr>
        <w:t>.2　开标时将检查所有响应性文件的密封情况，并在确认无误后拆封。</w:t>
      </w:r>
    </w:p>
    <w:p>
      <w:pPr>
        <w:spacing w:line="460" w:lineRule="exact"/>
        <w:rPr>
          <w:rFonts w:hint="eastAsia" w:ascii="宋体" w:hAnsi="宋体" w:eastAsia="宋体" w:cs="宋体"/>
          <w:color w:val="000000"/>
          <w:sz w:val="24"/>
        </w:rPr>
      </w:pPr>
      <w:r>
        <w:rPr>
          <w:rFonts w:hint="eastAsia" w:ascii="宋体" w:hAnsi="宋体" w:cs="宋体"/>
          <w:color w:val="000000"/>
          <w:sz w:val="24"/>
          <w:lang w:val="en-US" w:eastAsia="zh-CN"/>
        </w:rPr>
        <w:t>1</w:t>
      </w:r>
      <w:r>
        <w:rPr>
          <w:rFonts w:hint="eastAsia" w:ascii="宋体" w:hAnsi="宋体" w:eastAsia="宋体" w:cs="宋体"/>
          <w:color w:val="000000"/>
          <w:sz w:val="24"/>
        </w:rPr>
        <w:t>.3　投标时间截止后，提交响应性文件的供应商不足三家时，按照招标的相关法规的处理。</w:t>
      </w:r>
    </w:p>
    <w:p>
      <w:pPr>
        <w:spacing w:line="460" w:lineRule="exact"/>
        <w:rPr>
          <w:rFonts w:hint="eastAsia" w:ascii="宋体" w:hAnsi="宋体" w:eastAsia="宋体"/>
          <w:b/>
          <w:color w:val="000000"/>
          <w:sz w:val="24"/>
          <w:lang w:val="en-US" w:eastAsia="zh-CN"/>
        </w:rPr>
      </w:pPr>
      <w:r>
        <w:rPr>
          <w:rFonts w:hint="eastAsia" w:ascii="宋体" w:hAnsi="宋体"/>
          <w:b/>
          <w:color w:val="000000"/>
          <w:sz w:val="24"/>
        </w:rPr>
        <w:t>2、谈判依据</w:t>
      </w:r>
      <w:r>
        <w:rPr>
          <w:rFonts w:hint="eastAsia" w:ascii="宋体" w:hAnsi="宋体"/>
          <w:b/>
          <w:color w:val="000000"/>
          <w:sz w:val="24"/>
          <w:lang w:val="en-US" w:eastAsia="zh-CN"/>
        </w:rPr>
        <w:t xml:space="preserve"> </w:t>
      </w:r>
    </w:p>
    <w:p>
      <w:pPr>
        <w:spacing w:line="460" w:lineRule="exact"/>
        <w:rPr>
          <w:rFonts w:ascii="宋体" w:hAnsi="宋体"/>
          <w:color w:val="000000"/>
          <w:sz w:val="24"/>
        </w:rPr>
      </w:pPr>
      <w:r>
        <w:rPr>
          <w:rFonts w:hint="eastAsia" w:ascii="宋体" w:hAnsi="宋体"/>
          <w:color w:val="000000"/>
          <w:sz w:val="24"/>
        </w:rPr>
        <w:t>2.1　谈判的依据为竞争性谈判文件（包括采购方的谈判文件和投标人的响应性文件）。谈判的因素主要包括下列内容：</w:t>
      </w:r>
    </w:p>
    <w:p>
      <w:pPr>
        <w:spacing w:line="460" w:lineRule="exact"/>
        <w:rPr>
          <w:rFonts w:ascii="宋体" w:hAnsi="宋体"/>
          <w:color w:val="000000"/>
          <w:sz w:val="24"/>
        </w:rPr>
      </w:pPr>
      <w:r>
        <w:rPr>
          <w:rFonts w:hint="eastAsia" w:ascii="宋体" w:hAnsi="宋体"/>
          <w:color w:val="000000"/>
          <w:sz w:val="24"/>
        </w:rPr>
        <w:t>(1)   对投标人响应性文件的审查和响应性的确定；</w:t>
      </w:r>
    </w:p>
    <w:p>
      <w:pPr>
        <w:spacing w:line="460" w:lineRule="exact"/>
        <w:rPr>
          <w:rFonts w:ascii="宋体" w:hAnsi="宋体"/>
          <w:color w:val="000000"/>
          <w:sz w:val="24"/>
        </w:rPr>
      </w:pPr>
      <w:r>
        <w:rPr>
          <w:rFonts w:hint="eastAsia" w:ascii="宋体" w:hAnsi="宋体"/>
          <w:color w:val="000000"/>
          <w:sz w:val="24"/>
        </w:rPr>
        <w:t>(2)   对投标人响应性文件中财务、技术和生产能力的确定；</w:t>
      </w:r>
    </w:p>
    <w:p>
      <w:pPr>
        <w:spacing w:line="460" w:lineRule="exact"/>
        <w:rPr>
          <w:rFonts w:ascii="宋体" w:hAnsi="宋体"/>
          <w:color w:val="000000"/>
          <w:sz w:val="24"/>
        </w:rPr>
      </w:pPr>
      <w:r>
        <w:rPr>
          <w:rFonts w:hint="eastAsia" w:ascii="宋体" w:hAnsi="宋体"/>
          <w:color w:val="000000"/>
          <w:sz w:val="24"/>
        </w:rPr>
        <w:t>(3)   对产品质量的评估确定；</w:t>
      </w:r>
    </w:p>
    <w:p>
      <w:pPr>
        <w:spacing w:line="460" w:lineRule="exact"/>
        <w:rPr>
          <w:rFonts w:ascii="宋体" w:hAnsi="宋体"/>
          <w:color w:val="000000"/>
          <w:sz w:val="24"/>
        </w:rPr>
      </w:pPr>
      <w:r>
        <w:rPr>
          <w:rFonts w:hint="eastAsia" w:ascii="宋体" w:hAnsi="宋体"/>
          <w:color w:val="000000"/>
          <w:sz w:val="24"/>
        </w:rPr>
        <w:t>(4)   对投标人投标报价的确定；</w:t>
      </w:r>
    </w:p>
    <w:p>
      <w:pPr>
        <w:spacing w:line="460" w:lineRule="exact"/>
        <w:rPr>
          <w:rFonts w:ascii="宋体" w:hAnsi="宋体"/>
          <w:color w:val="000000"/>
          <w:sz w:val="24"/>
        </w:rPr>
      </w:pPr>
      <w:r>
        <w:rPr>
          <w:rFonts w:hint="eastAsia" w:ascii="宋体" w:hAnsi="宋体"/>
          <w:color w:val="000000"/>
          <w:sz w:val="24"/>
        </w:rPr>
        <w:t>(5)   对投标人响应性文件技术规格偏差的确定；</w:t>
      </w:r>
    </w:p>
    <w:p>
      <w:pPr>
        <w:spacing w:line="460" w:lineRule="exact"/>
        <w:rPr>
          <w:rFonts w:ascii="宋体" w:hAnsi="宋体"/>
          <w:color w:val="000000"/>
          <w:sz w:val="24"/>
        </w:rPr>
      </w:pPr>
      <w:r>
        <w:rPr>
          <w:rFonts w:hint="eastAsia" w:ascii="宋体" w:hAnsi="宋体"/>
          <w:color w:val="000000"/>
          <w:sz w:val="24"/>
        </w:rPr>
        <w:t>(6)   对投标人递交文件商务偏差的调整确定；</w:t>
      </w:r>
    </w:p>
    <w:p>
      <w:pPr>
        <w:spacing w:line="460" w:lineRule="exact"/>
        <w:rPr>
          <w:rFonts w:ascii="宋体" w:hAnsi="宋体"/>
          <w:color w:val="000000"/>
          <w:sz w:val="24"/>
        </w:rPr>
      </w:pPr>
      <w:r>
        <w:rPr>
          <w:rFonts w:hint="eastAsia" w:ascii="宋体" w:hAnsi="宋体"/>
          <w:color w:val="000000"/>
          <w:sz w:val="24"/>
        </w:rPr>
        <w:t>(7)   对投标人的技术、商务澄清内容答复的确定；</w:t>
      </w:r>
    </w:p>
    <w:p>
      <w:pPr>
        <w:spacing w:line="460" w:lineRule="exact"/>
        <w:rPr>
          <w:rFonts w:ascii="宋体" w:hAnsi="宋体"/>
          <w:color w:val="000000"/>
          <w:sz w:val="24"/>
        </w:rPr>
      </w:pPr>
      <w:r>
        <w:rPr>
          <w:rFonts w:hint="eastAsia" w:ascii="宋体" w:hAnsi="宋体"/>
          <w:color w:val="000000"/>
          <w:sz w:val="24"/>
        </w:rPr>
        <w:t>(8)   对投标人近两年的经营业绩评估确定；</w:t>
      </w:r>
    </w:p>
    <w:p>
      <w:pPr>
        <w:spacing w:line="460" w:lineRule="exact"/>
        <w:rPr>
          <w:rFonts w:ascii="宋体" w:hAnsi="宋体"/>
          <w:color w:val="000000"/>
          <w:sz w:val="24"/>
        </w:rPr>
      </w:pPr>
      <w:r>
        <w:rPr>
          <w:rFonts w:hint="eastAsia" w:ascii="宋体" w:hAnsi="宋体"/>
          <w:color w:val="000000"/>
          <w:sz w:val="24"/>
        </w:rPr>
        <w:t>(9)  其他特殊要求因素（如节能、安全和环保等）。</w:t>
      </w:r>
    </w:p>
    <w:p>
      <w:pPr>
        <w:spacing w:line="460" w:lineRule="exact"/>
        <w:rPr>
          <w:rFonts w:ascii="宋体" w:hAnsi="宋体"/>
          <w:b/>
          <w:color w:val="000000"/>
          <w:sz w:val="24"/>
        </w:rPr>
      </w:pPr>
      <w:r>
        <w:rPr>
          <w:rFonts w:hint="eastAsia" w:ascii="宋体" w:hAnsi="宋体"/>
          <w:b/>
          <w:color w:val="000000"/>
          <w:sz w:val="24"/>
        </w:rPr>
        <w:t>3、谈判</w:t>
      </w:r>
    </w:p>
    <w:p>
      <w:pPr>
        <w:spacing w:line="460" w:lineRule="exact"/>
        <w:rPr>
          <w:rFonts w:ascii="宋体" w:hAnsi="宋体"/>
          <w:color w:val="000000"/>
          <w:sz w:val="24"/>
        </w:rPr>
      </w:pPr>
      <w:r>
        <w:rPr>
          <w:rFonts w:hint="eastAsia" w:ascii="宋体" w:hAnsi="宋体"/>
          <w:color w:val="000000"/>
          <w:sz w:val="24"/>
        </w:rPr>
        <w:t>3.1　谈判小组</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（1）采购方将根据《中华人民共和国政府采购法》的规定，依法组建本次招标的谈判小组，负责本次招标的谈判活动。谈判小组负责向采购方推荐中标候选人，由采购方确定中标供应商。</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（2）谈判小组人选于开标前确定。谈判小组成员名单在中标结果确定前保密。</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（3）谈判小组有关技术、经济等方面的专家和采购人熟悉相关业务的代表人员组成，成员为三人以上的单数，其中技术、经济等方面的成员人数不少于成员总数的三分之二。</w:t>
      </w:r>
    </w:p>
    <w:p>
      <w:pPr>
        <w:spacing w:line="460" w:lineRule="exact"/>
        <w:rPr>
          <w:rFonts w:hint="eastAsia" w:ascii="宋体" w:hAnsi="宋体" w:eastAsia="宋体" w:cs="宋体"/>
          <w:color w:val="000000"/>
          <w:spacing w:val="-2"/>
          <w:sz w:val="24"/>
        </w:rPr>
      </w:pPr>
      <w:r>
        <w:rPr>
          <w:rFonts w:hint="eastAsia" w:ascii="宋体" w:hAnsi="宋体" w:eastAsia="宋体" w:cs="宋体"/>
          <w:color w:val="000000"/>
          <w:sz w:val="24"/>
        </w:rPr>
        <w:t>（4）按前款规定，谈判小组的成员，由采购方从专家库中采取随机抽取的方式确定。</w:t>
      </w:r>
      <w:r>
        <w:rPr>
          <w:rFonts w:hint="eastAsia" w:ascii="宋体" w:hAnsi="宋体" w:eastAsia="宋体" w:cs="宋体"/>
          <w:color w:val="000000"/>
          <w:spacing w:val="-2"/>
          <w:sz w:val="24"/>
        </w:rPr>
        <w:t>对于技术复杂、专业性要求较高或者国家有特殊要求的招标项目，采取随机抽取的方式抽取的专家不能满足谈判工作需要时，将采取直接确定的方式选定谈判小组的人选。</w:t>
      </w:r>
    </w:p>
    <w:p>
      <w:pPr>
        <w:spacing w:line="460" w:lineRule="exact"/>
        <w:rPr>
          <w:rFonts w:hint="eastAsia" w:ascii="宋体" w:hAnsi="宋体" w:eastAsia="宋体" w:cs="宋体"/>
          <w:color w:val="000000"/>
          <w:spacing w:val="-2"/>
          <w:sz w:val="24"/>
        </w:rPr>
      </w:pPr>
      <w:r>
        <w:rPr>
          <w:rFonts w:hint="eastAsia" w:ascii="宋体" w:hAnsi="宋体" w:eastAsia="宋体" w:cs="宋体"/>
          <w:color w:val="000000"/>
          <w:spacing w:val="-2"/>
          <w:sz w:val="24"/>
        </w:rPr>
        <w:t>（5）谈判小组成员遵循法定的回避规定。</w:t>
      </w:r>
    </w:p>
    <w:p>
      <w:pPr>
        <w:spacing w:line="460" w:lineRule="exact"/>
        <w:rPr>
          <w:rFonts w:ascii="宋体" w:hAnsi="宋体"/>
          <w:color w:val="000000"/>
          <w:spacing w:val="-2"/>
          <w:sz w:val="24"/>
        </w:rPr>
      </w:pPr>
      <w:r>
        <w:rPr>
          <w:rFonts w:hint="eastAsia" w:ascii="宋体" w:hAnsi="宋体"/>
          <w:color w:val="000000"/>
          <w:spacing w:val="-2"/>
          <w:sz w:val="24"/>
        </w:rPr>
        <w:t>3.2　谈判小组应符合下列条件：</w:t>
      </w:r>
    </w:p>
    <w:p>
      <w:pPr>
        <w:spacing w:line="460" w:lineRule="exact"/>
        <w:rPr>
          <w:rFonts w:ascii="宋体" w:hAnsi="宋体"/>
          <w:color w:val="000000"/>
          <w:spacing w:val="-2"/>
          <w:sz w:val="24"/>
        </w:rPr>
      </w:pPr>
      <w:r>
        <w:rPr>
          <w:rFonts w:hint="eastAsia" w:ascii="宋体" w:hAnsi="宋体"/>
          <w:color w:val="000000"/>
          <w:sz w:val="24"/>
        </w:rPr>
        <w:t xml:space="preserve">（1） </w:t>
      </w:r>
      <w:r>
        <w:rPr>
          <w:rFonts w:hint="eastAsia" w:ascii="宋体" w:hAnsi="宋体"/>
          <w:color w:val="000000"/>
          <w:spacing w:val="-2"/>
          <w:sz w:val="24"/>
        </w:rPr>
        <w:t>熟悉有关政府采购和招标投标的法律法规；</w:t>
      </w:r>
    </w:p>
    <w:p>
      <w:pPr>
        <w:spacing w:line="460" w:lineRule="exact"/>
        <w:rPr>
          <w:rFonts w:ascii="宋体" w:hAnsi="宋体"/>
          <w:color w:val="000000"/>
          <w:spacing w:val="-2"/>
          <w:sz w:val="24"/>
        </w:rPr>
      </w:pPr>
      <w:r>
        <w:rPr>
          <w:rFonts w:hint="eastAsia" w:ascii="宋体" w:hAnsi="宋体"/>
          <w:color w:val="000000"/>
          <w:sz w:val="24"/>
        </w:rPr>
        <w:t xml:space="preserve">（2） </w:t>
      </w:r>
      <w:r>
        <w:rPr>
          <w:rFonts w:hint="eastAsia" w:ascii="宋体" w:hAnsi="宋体"/>
          <w:color w:val="000000"/>
          <w:spacing w:val="-2"/>
          <w:sz w:val="24"/>
        </w:rPr>
        <w:t>在相关专业领域工作满八年并具有高级职称或者同等专业水平；</w:t>
      </w:r>
    </w:p>
    <w:p>
      <w:pPr>
        <w:spacing w:line="460" w:lineRule="exact"/>
        <w:rPr>
          <w:rFonts w:ascii="宋体" w:hAnsi="宋体"/>
          <w:color w:val="000000"/>
          <w:spacing w:val="-2"/>
          <w:sz w:val="24"/>
        </w:rPr>
      </w:pPr>
      <w:r>
        <w:rPr>
          <w:rFonts w:hint="eastAsia" w:ascii="宋体" w:hAnsi="宋体"/>
          <w:color w:val="000000"/>
          <w:sz w:val="24"/>
        </w:rPr>
        <w:t xml:space="preserve">（3） </w:t>
      </w:r>
      <w:r>
        <w:rPr>
          <w:rFonts w:hint="eastAsia" w:ascii="宋体" w:hAnsi="宋体"/>
          <w:color w:val="000000"/>
          <w:spacing w:val="-2"/>
          <w:sz w:val="24"/>
        </w:rPr>
        <w:t>具有与招标项目相关的实践经验；</w:t>
      </w:r>
    </w:p>
    <w:p>
      <w:pPr>
        <w:spacing w:line="460" w:lineRule="exact"/>
        <w:rPr>
          <w:rFonts w:ascii="宋体" w:hAnsi="宋体"/>
          <w:color w:val="000000"/>
          <w:spacing w:val="-2"/>
          <w:sz w:val="24"/>
        </w:rPr>
      </w:pPr>
      <w:r>
        <w:rPr>
          <w:rFonts w:hint="eastAsia" w:ascii="宋体" w:hAnsi="宋体"/>
          <w:color w:val="000000"/>
          <w:sz w:val="24"/>
        </w:rPr>
        <w:t xml:space="preserve">（4） </w:t>
      </w:r>
      <w:r>
        <w:rPr>
          <w:rFonts w:hint="eastAsia" w:ascii="宋体" w:hAnsi="宋体"/>
          <w:color w:val="000000"/>
          <w:spacing w:val="-2"/>
          <w:sz w:val="24"/>
        </w:rPr>
        <w:t>能够认真、公正、诚实、廉洁的履行职责。</w:t>
      </w:r>
    </w:p>
    <w:p>
      <w:pPr>
        <w:spacing w:line="460" w:lineRule="exact"/>
        <w:rPr>
          <w:rFonts w:ascii="宋体" w:hAnsi="宋体"/>
          <w:color w:val="000000"/>
          <w:spacing w:val="-2"/>
          <w:sz w:val="24"/>
        </w:rPr>
      </w:pPr>
      <w:r>
        <w:rPr>
          <w:rFonts w:hint="eastAsia" w:ascii="宋体" w:hAnsi="宋体"/>
          <w:color w:val="000000"/>
          <w:spacing w:val="-2"/>
          <w:sz w:val="24"/>
        </w:rPr>
        <w:t>3.3  有下列情形之一的，不得担任谈判小组成员：</w:t>
      </w:r>
    </w:p>
    <w:p>
      <w:pPr>
        <w:spacing w:line="460" w:lineRule="exact"/>
        <w:rPr>
          <w:rFonts w:ascii="宋体" w:hAnsi="宋体"/>
          <w:color w:val="000000"/>
          <w:spacing w:val="-2"/>
          <w:sz w:val="24"/>
        </w:rPr>
      </w:pPr>
      <w:r>
        <w:rPr>
          <w:rFonts w:hint="eastAsia" w:ascii="宋体" w:hAnsi="宋体"/>
          <w:color w:val="000000"/>
          <w:sz w:val="24"/>
        </w:rPr>
        <w:t>（1）</w:t>
      </w:r>
      <w:r>
        <w:rPr>
          <w:rFonts w:hint="eastAsia" w:ascii="宋体" w:hAnsi="宋体"/>
          <w:color w:val="000000"/>
          <w:spacing w:val="-2"/>
          <w:sz w:val="24"/>
        </w:rPr>
        <w:t xml:space="preserve"> 与投标人或者供应商主要负责人有近亲关系的；</w:t>
      </w:r>
    </w:p>
    <w:p>
      <w:pPr>
        <w:spacing w:line="460" w:lineRule="exact"/>
        <w:rPr>
          <w:rFonts w:ascii="宋体" w:hAnsi="宋体"/>
          <w:color w:val="000000"/>
          <w:spacing w:val="-2"/>
          <w:sz w:val="24"/>
        </w:rPr>
      </w:pPr>
      <w:r>
        <w:rPr>
          <w:rFonts w:hint="eastAsia" w:ascii="宋体" w:hAnsi="宋体"/>
          <w:color w:val="000000"/>
          <w:sz w:val="24"/>
        </w:rPr>
        <w:t>（2）</w:t>
      </w:r>
      <w:r>
        <w:rPr>
          <w:rFonts w:hint="eastAsia" w:ascii="宋体" w:hAnsi="宋体"/>
          <w:color w:val="000000"/>
          <w:spacing w:val="-2"/>
          <w:sz w:val="24"/>
        </w:rPr>
        <w:t xml:space="preserve"> 与项目主管部门或者行政监督部门的人员有近亲关系的；</w:t>
      </w:r>
    </w:p>
    <w:p>
      <w:pPr>
        <w:spacing w:line="460" w:lineRule="exact"/>
        <w:rPr>
          <w:rFonts w:ascii="宋体" w:hAnsi="宋体"/>
          <w:color w:val="000000"/>
          <w:spacing w:val="-2"/>
          <w:sz w:val="24"/>
        </w:rPr>
      </w:pPr>
      <w:r>
        <w:rPr>
          <w:rFonts w:hint="eastAsia" w:ascii="宋体" w:hAnsi="宋体"/>
          <w:color w:val="000000"/>
          <w:sz w:val="24"/>
        </w:rPr>
        <w:t>（3）</w:t>
      </w:r>
      <w:r>
        <w:rPr>
          <w:rFonts w:hint="eastAsia" w:ascii="宋体" w:hAnsi="宋体"/>
          <w:color w:val="000000"/>
          <w:spacing w:val="-2"/>
          <w:sz w:val="24"/>
        </w:rPr>
        <w:t xml:space="preserve"> 与投标人有经济利益关系，可能影响对投标公正评审的；</w:t>
      </w:r>
    </w:p>
    <w:p>
      <w:pPr>
        <w:spacing w:line="460" w:lineRule="exact"/>
        <w:rPr>
          <w:rFonts w:ascii="宋体" w:hAnsi="宋体"/>
          <w:color w:val="000000"/>
          <w:spacing w:val="-2"/>
          <w:sz w:val="24"/>
        </w:rPr>
      </w:pPr>
      <w:r>
        <w:rPr>
          <w:rFonts w:hint="eastAsia" w:ascii="宋体" w:hAnsi="宋体"/>
          <w:color w:val="000000"/>
          <w:sz w:val="24"/>
        </w:rPr>
        <w:t xml:space="preserve">（4） </w:t>
      </w:r>
      <w:r>
        <w:rPr>
          <w:rFonts w:hint="eastAsia" w:ascii="宋体" w:hAnsi="宋体"/>
          <w:color w:val="000000"/>
          <w:spacing w:val="-2"/>
          <w:sz w:val="24"/>
        </w:rPr>
        <w:t>曾因在招标、评标以及其他与招标投标有关活动中从事违法行为而受过行政处罚或刑事处罚的。</w:t>
      </w:r>
    </w:p>
    <w:p>
      <w:pPr>
        <w:spacing w:line="460" w:lineRule="exact"/>
        <w:rPr>
          <w:rFonts w:ascii="宋体" w:hAnsi="宋体"/>
          <w:color w:val="000000"/>
          <w:spacing w:val="-2"/>
          <w:sz w:val="24"/>
        </w:rPr>
      </w:pPr>
      <w:r>
        <w:rPr>
          <w:rFonts w:hint="eastAsia" w:ascii="宋体" w:hAnsi="宋体"/>
          <w:color w:val="000000"/>
          <w:spacing w:val="-2"/>
          <w:sz w:val="24"/>
        </w:rPr>
        <w:t>谈判小组成员有前款规定情形之一的，应当主动提出回避。</w:t>
      </w:r>
    </w:p>
    <w:p>
      <w:pPr>
        <w:spacing w:line="460" w:lineRule="exact"/>
        <w:rPr>
          <w:rFonts w:ascii="宋体" w:hAnsi="宋体"/>
          <w:color w:val="000000"/>
          <w:spacing w:val="-2"/>
          <w:sz w:val="24"/>
        </w:rPr>
      </w:pPr>
      <w:r>
        <w:rPr>
          <w:rFonts w:hint="eastAsia" w:ascii="宋体" w:hAnsi="宋体"/>
          <w:bCs/>
          <w:color w:val="000000"/>
          <w:sz w:val="24"/>
        </w:rPr>
        <w:t>3.4</w:t>
      </w:r>
      <w:r>
        <w:rPr>
          <w:rFonts w:hint="eastAsia" w:ascii="宋体" w:hAnsi="宋体"/>
          <w:color w:val="000000"/>
          <w:spacing w:val="-2"/>
          <w:sz w:val="24"/>
        </w:rPr>
        <w:t xml:space="preserve">  谈判小组成员应当熟悉并认真研究谈判文件，至少应了解和熟悉以下内容：</w:t>
      </w:r>
    </w:p>
    <w:p>
      <w:pPr>
        <w:spacing w:line="460" w:lineRule="exact"/>
        <w:rPr>
          <w:rFonts w:ascii="宋体" w:hAnsi="宋体"/>
          <w:color w:val="000000"/>
          <w:spacing w:val="-2"/>
          <w:sz w:val="24"/>
        </w:rPr>
      </w:pPr>
      <w:r>
        <w:rPr>
          <w:rFonts w:hint="eastAsia" w:ascii="宋体" w:hAnsi="宋体"/>
          <w:color w:val="000000"/>
          <w:sz w:val="24"/>
        </w:rPr>
        <w:t>（1）</w:t>
      </w:r>
      <w:r>
        <w:rPr>
          <w:rFonts w:hint="eastAsia" w:ascii="宋体" w:hAnsi="宋体"/>
          <w:color w:val="000000"/>
          <w:spacing w:val="-2"/>
          <w:sz w:val="24"/>
        </w:rPr>
        <w:t>采购目的；</w:t>
      </w:r>
    </w:p>
    <w:p>
      <w:pPr>
        <w:spacing w:line="460" w:lineRule="exact"/>
        <w:rPr>
          <w:rFonts w:ascii="宋体" w:hAnsi="宋体"/>
          <w:color w:val="000000"/>
          <w:spacing w:val="-2"/>
          <w:sz w:val="24"/>
        </w:rPr>
      </w:pPr>
      <w:r>
        <w:rPr>
          <w:rFonts w:hint="eastAsia" w:ascii="宋体" w:hAnsi="宋体"/>
          <w:color w:val="000000"/>
          <w:sz w:val="24"/>
        </w:rPr>
        <w:t>（2）</w:t>
      </w:r>
      <w:r>
        <w:rPr>
          <w:rFonts w:hint="eastAsia" w:ascii="宋体" w:hAnsi="宋体"/>
          <w:color w:val="000000"/>
          <w:spacing w:val="-2"/>
          <w:sz w:val="24"/>
        </w:rPr>
        <w:t xml:space="preserve"> 招标项目的范围、性质；</w:t>
      </w:r>
    </w:p>
    <w:p>
      <w:pPr>
        <w:spacing w:line="460" w:lineRule="exact"/>
        <w:rPr>
          <w:rFonts w:ascii="宋体" w:hAnsi="宋体"/>
          <w:color w:val="000000"/>
          <w:spacing w:val="-2"/>
          <w:sz w:val="24"/>
        </w:rPr>
      </w:pPr>
      <w:r>
        <w:rPr>
          <w:rFonts w:hint="eastAsia" w:ascii="宋体" w:hAnsi="宋体"/>
          <w:color w:val="000000"/>
          <w:sz w:val="24"/>
        </w:rPr>
        <w:t>（3）</w:t>
      </w:r>
      <w:r>
        <w:rPr>
          <w:rFonts w:hint="eastAsia" w:ascii="宋体" w:hAnsi="宋体"/>
          <w:color w:val="000000"/>
          <w:spacing w:val="-2"/>
          <w:sz w:val="24"/>
        </w:rPr>
        <w:t xml:space="preserve"> 谈判文件中规定的主要技术要求、标准和商务条款；</w:t>
      </w:r>
    </w:p>
    <w:p>
      <w:pPr>
        <w:spacing w:line="460" w:lineRule="exact"/>
        <w:rPr>
          <w:rFonts w:ascii="宋体" w:hAnsi="宋体"/>
          <w:color w:val="000000"/>
          <w:spacing w:val="-2"/>
          <w:sz w:val="24"/>
        </w:rPr>
      </w:pPr>
      <w:r>
        <w:rPr>
          <w:rFonts w:hint="eastAsia" w:ascii="宋体" w:hAnsi="宋体"/>
          <w:color w:val="000000"/>
          <w:sz w:val="24"/>
        </w:rPr>
        <w:t>（4）</w:t>
      </w:r>
      <w:r>
        <w:rPr>
          <w:rFonts w:hint="eastAsia" w:ascii="宋体" w:hAnsi="宋体"/>
          <w:color w:val="000000"/>
          <w:spacing w:val="-2"/>
          <w:sz w:val="24"/>
        </w:rPr>
        <w:t xml:space="preserve"> 谈判文件规定的评分标准、评标方法和在谈判过程中应考虑的相关因素。</w:t>
      </w:r>
    </w:p>
    <w:p>
      <w:pPr>
        <w:spacing w:line="460" w:lineRule="exact"/>
        <w:rPr>
          <w:rFonts w:ascii="宋体" w:hAnsi="宋体"/>
          <w:color w:val="000000"/>
          <w:spacing w:val="-2"/>
          <w:sz w:val="24"/>
        </w:rPr>
      </w:pPr>
      <w:r>
        <w:rPr>
          <w:rFonts w:hint="eastAsia" w:ascii="宋体" w:hAnsi="宋体"/>
          <w:color w:val="000000"/>
          <w:spacing w:val="-2"/>
          <w:sz w:val="24"/>
        </w:rPr>
        <w:t>3.5  采购方应当向谈判小组提供谈判所需的重要信息和数据。</w:t>
      </w:r>
    </w:p>
    <w:p>
      <w:pPr>
        <w:spacing w:line="460" w:lineRule="exact"/>
        <w:rPr>
          <w:rFonts w:ascii="宋体" w:hAnsi="宋体"/>
          <w:color w:val="000000"/>
          <w:spacing w:val="-2"/>
          <w:sz w:val="24"/>
        </w:rPr>
      </w:pPr>
      <w:r>
        <w:rPr>
          <w:rFonts w:hint="eastAsia" w:ascii="宋体" w:hAnsi="宋体"/>
          <w:color w:val="000000"/>
          <w:spacing w:val="-2"/>
          <w:sz w:val="24"/>
        </w:rPr>
        <w:t>3.6  谈判小组应当根据谈判文件规定的评分标准和方法，对响应性文件进行系统地评审和比较。谈判文件中没有规定的标准和方法不得作为谈判的依据。</w:t>
      </w:r>
    </w:p>
    <w:p>
      <w:pPr>
        <w:spacing w:line="460" w:lineRule="exact"/>
        <w:rPr>
          <w:rFonts w:ascii="宋体" w:hAnsi="宋体"/>
          <w:color w:val="000000"/>
          <w:spacing w:val="-2"/>
          <w:sz w:val="24"/>
        </w:rPr>
      </w:pPr>
      <w:r>
        <w:rPr>
          <w:rFonts w:hint="eastAsia" w:ascii="宋体" w:hAnsi="宋体"/>
          <w:color w:val="000000"/>
          <w:spacing w:val="-2"/>
          <w:sz w:val="24"/>
        </w:rPr>
        <w:t>3.7  谈判小组成员应当客观、公正地履行职责，遵守职业道德，并对所提出的评审意见承担个人责任。谈判小组成员不得与任何供应商或者与招标结果有利害关系的人员进行私下接触，不得收受供应商、中介人或其他有利害关系人的财物或好处。</w:t>
      </w:r>
    </w:p>
    <w:p>
      <w:pPr>
        <w:spacing w:line="460" w:lineRule="exact"/>
        <w:rPr>
          <w:rFonts w:ascii="宋体" w:hAnsi="宋体"/>
          <w:color w:val="000000"/>
          <w:spacing w:val="-2"/>
          <w:sz w:val="24"/>
        </w:rPr>
      </w:pPr>
      <w:r>
        <w:rPr>
          <w:rFonts w:hint="eastAsia" w:ascii="宋体" w:hAnsi="宋体"/>
          <w:color w:val="000000"/>
          <w:spacing w:val="-2"/>
          <w:sz w:val="24"/>
        </w:rPr>
        <w:t>3.8  谈判小组成员和与本次谈判活动有关的工作人员，不得透露对响应性文件的评审和比较以及与谈判有关的其他情况。</w:t>
      </w:r>
    </w:p>
    <w:p>
      <w:pPr>
        <w:spacing w:line="460" w:lineRule="exact"/>
        <w:rPr>
          <w:rFonts w:ascii="宋体" w:hAnsi="宋体"/>
          <w:color w:val="000000"/>
          <w:spacing w:val="-2"/>
          <w:sz w:val="24"/>
        </w:rPr>
      </w:pPr>
      <w:r>
        <w:rPr>
          <w:rFonts w:hint="eastAsia" w:ascii="宋体" w:hAnsi="宋体"/>
          <w:color w:val="000000"/>
          <w:spacing w:val="-2"/>
          <w:sz w:val="24"/>
        </w:rPr>
        <w:t>3.9　与谈判活动有关的工作人员，是指谈判小组成员以外的、因参与谈判监督工作或者事务性工作而知悉有关评标情况的所有人员。</w:t>
      </w:r>
    </w:p>
    <w:p>
      <w:pPr>
        <w:spacing w:line="460" w:lineRule="exact"/>
        <w:rPr>
          <w:rFonts w:ascii="宋体" w:hAnsi="宋体"/>
          <w:b/>
          <w:color w:val="000000"/>
          <w:sz w:val="24"/>
        </w:rPr>
      </w:pPr>
      <w:r>
        <w:rPr>
          <w:rFonts w:hint="eastAsia" w:ascii="宋体" w:hAnsi="宋体"/>
          <w:b/>
          <w:color w:val="000000"/>
          <w:sz w:val="24"/>
        </w:rPr>
        <w:t>4、竞争性谈判的报价方式</w:t>
      </w:r>
    </w:p>
    <w:p>
      <w:pPr>
        <w:spacing w:line="460" w:lineRule="exact"/>
        <w:rPr>
          <w:rFonts w:hint="eastAsia" w:ascii="宋体" w:hAnsi="宋体" w:eastAsia="宋体" w:cs="宋体"/>
          <w:color w:val="000000"/>
          <w:sz w:val="24"/>
        </w:rPr>
      </w:pPr>
      <w:r>
        <w:rPr>
          <w:rFonts w:hint="eastAsia" w:ascii="宋体" w:hAnsi="宋体" w:cs="宋体"/>
          <w:color w:val="000000"/>
          <w:sz w:val="24"/>
          <w:lang w:val="en-US" w:eastAsia="zh-CN"/>
        </w:rPr>
        <w:t>4</w:t>
      </w:r>
      <w:r>
        <w:rPr>
          <w:rFonts w:hint="eastAsia" w:ascii="宋体" w:hAnsi="宋体" w:eastAsia="宋体" w:cs="宋体"/>
          <w:color w:val="000000"/>
          <w:sz w:val="24"/>
        </w:rPr>
        <w:t>.1 采用报价的方式：</w:t>
      </w:r>
    </w:p>
    <w:p>
      <w:pPr>
        <w:spacing w:line="460" w:lineRule="exact"/>
        <w:rPr>
          <w:rFonts w:hint="eastAsia" w:ascii="宋体" w:hAnsi="宋体" w:eastAsia="宋体" w:cs="宋体"/>
          <w:color w:val="000000"/>
          <w:sz w:val="24"/>
        </w:rPr>
      </w:pPr>
      <w:r>
        <w:rPr>
          <w:rFonts w:hint="eastAsia" w:ascii="宋体" w:hAnsi="宋体" w:eastAsia="宋体" w:cs="宋体"/>
          <w:color w:val="000000"/>
          <w:sz w:val="24"/>
        </w:rPr>
        <w:t>（1） 供应商提交的响应性文件中的报价，在开标现场不予公布。该报价只允许有一个报价，任何有选择性的报价将不予接受。</w:t>
      </w:r>
    </w:p>
    <w:p>
      <w:pPr>
        <w:spacing w:line="460" w:lineRule="exact"/>
        <w:rPr>
          <w:rFonts w:hint="eastAsia" w:ascii="宋体" w:hAnsi="宋体" w:eastAsia="宋体" w:cs="宋体"/>
          <w:kern w:val="0"/>
          <w:sz w:val="24"/>
        </w:rPr>
      </w:pPr>
      <w:r>
        <w:rPr>
          <w:rFonts w:hint="eastAsia" w:ascii="宋体" w:hAnsi="宋体" w:eastAsia="宋体" w:cs="宋体"/>
          <w:color w:val="000000"/>
          <w:kern w:val="0"/>
          <w:sz w:val="24"/>
        </w:rPr>
        <w:t>（2） 谈判小组所有成员与供应商分别进行单独谈判。在谈判中，谈判的任何一方不得透露与谈判有关的其他供应商的技术资料、价格和其他信息。竞争性谈判文件有实质性变动的，谈判小组</w:t>
      </w:r>
      <w:r>
        <w:rPr>
          <w:rFonts w:hint="eastAsia" w:ascii="宋体" w:hAnsi="宋体" w:eastAsia="宋体" w:cs="宋体"/>
          <w:kern w:val="0"/>
          <w:sz w:val="24"/>
        </w:rPr>
        <w:t>应以书面形式通知所有参加谈判的供应商。</w:t>
      </w:r>
    </w:p>
    <w:p>
      <w:pPr>
        <w:spacing w:line="460" w:lineRule="exact"/>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.2  供应商可根据谈判情况，进行第二次报价，该报价为谈判的最终报价。</w:t>
      </w:r>
    </w:p>
    <w:p>
      <w:pPr>
        <w:spacing w:line="460" w:lineRule="exact"/>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.3　供应商在进行二次报价时，报价应用小写和大写同时书写，大小写不相符时，以大写为准，同时二次报价上还应写明供应商名称，经授权委托人签字后，递交至谈判现场。所有供应商的二次报价一起收集齐全后，交评标委员会进行评审，二次报价不公开。</w:t>
      </w:r>
    </w:p>
    <w:p>
      <w:pPr>
        <w:spacing w:line="460" w:lineRule="exact"/>
        <w:rPr>
          <w:rFonts w:hint="eastAsia" w:ascii="宋体" w:hAnsi="宋体" w:eastAsia="宋体" w:cs="宋体"/>
          <w:b/>
          <w:sz w:val="24"/>
        </w:rPr>
      </w:pPr>
      <w:r>
        <w:rPr>
          <w:rFonts w:hint="eastAsia" w:ascii="宋体" w:hAnsi="宋体" w:eastAsia="宋体" w:cs="宋体"/>
          <w:b/>
          <w:sz w:val="24"/>
        </w:rPr>
        <w:t>二次修正错误的原则如下：大写金额与小写金额不一致的，以大写金额为准；总价金额与按单价汇总金额不一致的，以单价金额计算结果为准；单价金额小数点有明显错位的，以总价为准，并修改单价；对不同文字文本响应性文件的解释发生异议的，以中文文本为准。按上述原则调整后的价格为评标价，对供应商具有约束力。如果供应商不接受修正后的价格，则其报价将被拒绝，其谈判保证金将被没收。</w:t>
      </w:r>
    </w:p>
    <w:p>
      <w:pPr>
        <w:spacing w:line="460" w:lineRule="exact"/>
        <w:rPr>
          <w:rFonts w:hint="eastAsia" w:ascii="宋体" w:hAnsi="宋体" w:eastAsia="宋体" w:cs="宋体"/>
          <w:b/>
          <w:sz w:val="24"/>
        </w:rPr>
      </w:pPr>
      <w:r>
        <w:rPr>
          <w:rFonts w:hint="eastAsia" w:ascii="宋体" w:hAnsi="宋体" w:cs="宋体"/>
          <w:b/>
          <w:sz w:val="24"/>
          <w:lang w:val="en-US" w:eastAsia="zh-CN"/>
        </w:rPr>
        <w:t>5</w:t>
      </w:r>
      <w:r>
        <w:rPr>
          <w:rFonts w:hint="eastAsia" w:ascii="宋体" w:hAnsi="宋体" w:eastAsia="宋体" w:cs="宋体"/>
          <w:b/>
          <w:sz w:val="24"/>
        </w:rPr>
        <w:t>、谈判和评审过程的保密性</w:t>
      </w:r>
    </w:p>
    <w:p>
      <w:pPr>
        <w:spacing w:line="460" w:lineRule="exact"/>
        <w:rPr>
          <w:rFonts w:hint="eastAsia" w:ascii="宋体" w:hAnsi="宋体" w:eastAsia="宋体" w:cs="宋体"/>
          <w:color w:val="000000"/>
          <w:sz w:val="24"/>
        </w:rPr>
      </w:pPr>
      <w:r>
        <w:rPr>
          <w:rFonts w:hint="eastAsia" w:ascii="宋体" w:hAnsi="宋体" w:cs="宋体"/>
          <w:color w:val="000000"/>
          <w:sz w:val="24"/>
          <w:lang w:val="en-US" w:eastAsia="zh-CN"/>
        </w:rPr>
        <w:t>5</w:t>
      </w:r>
      <w:r>
        <w:rPr>
          <w:rFonts w:hint="eastAsia" w:ascii="宋体" w:hAnsi="宋体" w:eastAsia="宋体" w:cs="宋体"/>
          <w:color w:val="000000"/>
          <w:sz w:val="24"/>
        </w:rPr>
        <w:t>.1　所有与本次招标及谈判有关的人员，均不得向供应商及与谈判项目无关的其他人员，透露与谈判有关的资料等。</w:t>
      </w:r>
    </w:p>
    <w:p>
      <w:pPr>
        <w:spacing w:line="460" w:lineRule="exact"/>
        <w:rPr>
          <w:rFonts w:hint="eastAsia" w:ascii="宋体" w:hAnsi="宋体" w:eastAsia="宋体" w:cs="宋体"/>
          <w:color w:val="000000"/>
          <w:sz w:val="24"/>
        </w:rPr>
      </w:pPr>
      <w:r>
        <w:rPr>
          <w:rFonts w:hint="eastAsia" w:ascii="宋体" w:hAnsi="宋体" w:cs="宋体"/>
          <w:color w:val="000000"/>
          <w:sz w:val="24"/>
          <w:lang w:val="en-US" w:eastAsia="zh-CN"/>
        </w:rPr>
        <w:t>5</w:t>
      </w:r>
      <w:r>
        <w:rPr>
          <w:rFonts w:hint="eastAsia" w:ascii="宋体" w:hAnsi="宋体" w:eastAsia="宋体" w:cs="宋体"/>
          <w:color w:val="000000"/>
          <w:sz w:val="24"/>
        </w:rPr>
        <w:t>.2　在谈判过程中，供应商试图在响应性文件审查、澄清、比较等方面向采购人员施加影响的任何行为都可能导致其响应性文件被拒绝。</w:t>
      </w:r>
    </w:p>
    <w:p>
      <w:pPr>
        <w:spacing w:line="460" w:lineRule="exact"/>
        <w:rPr>
          <w:rFonts w:hint="eastAsia" w:ascii="宋体" w:hAnsi="宋体" w:eastAsia="宋体" w:cs="宋体"/>
          <w:b/>
          <w:color w:val="000000"/>
          <w:sz w:val="24"/>
        </w:rPr>
      </w:pPr>
      <w:r>
        <w:rPr>
          <w:rFonts w:hint="eastAsia" w:ascii="宋体" w:hAnsi="宋体" w:cs="宋体"/>
          <w:b/>
          <w:color w:val="000000"/>
          <w:sz w:val="24"/>
          <w:lang w:val="en-US" w:eastAsia="zh-CN"/>
        </w:rPr>
        <w:t>6</w:t>
      </w:r>
      <w:r>
        <w:rPr>
          <w:rFonts w:hint="eastAsia" w:ascii="宋体" w:hAnsi="宋体" w:eastAsia="宋体" w:cs="宋体"/>
          <w:b/>
          <w:color w:val="000000"/>
          <w:sz w:val="24"/>
        </w:rPr>
        <w:t>、谈判程序、报价确认和澄清及中标原则</w:t>
      </w:r>
    </w:p>
    <w:p>
      <w:pPr>
        <w:spacing w:line="460" w:lineRule="exact"/>
        <w:rPr>
          <w:rFonts w:ascii="宋体" w:hAnsi="宋体" w:cs="宋体"/>
          <w:b/>
          <w:sz w:val="32"/>
          <w:szCs w:val="32"/>
        </w:rPr>
      </w:pPr>
      <w:r>
        <w:rPr>
          <w:rFonts w:hint="eastAsia" w:ascii="宋体" w:hAnsi="宋体" w:eastAsia="宋体" w:cs="宋体"/>
          <w:color w:val="000000"/>
          <w:sz w:val="24"/>
        </w:rPr>
        <w:t>由谈判小组成员对参加竞争性谈判企业的资格性审查文件进行资格审查，资格性审查通过后对响应性文件进行符合性审查、商务审查、技术审查，审查内容见下表：</w:t>
      </w:r>
    </w:p>
    <w:p>
      <w:pPr>
        <w:spacing w:line="360" w:lineRule="auto"/>
        <w:jc w:val="center"/>
      </w:pPr>
      <w:r>
        <w:rPr>
          <w:rFonts w:hint="eastAsia" w:ascii="宋体" w:hAnsi="宋体" w:cs="宋体"/>
          <w:b/>
          <w:sz w:val="32"/>
          <w:szCs w:val="32"/>
        </w:rPr>
        <w:t>初步评审表</w:t>
      </w:r>
    </w:p>
    <w:p>
      <w:pPr>
        <w:spacing w:line="480" w:lineRule="exact"/>
        <w:jc w:val="center"/>
        <w:rPr>
          <w:rFonts w:ascii="宋体" w:hAnsi="宋体" w:cs="仿宋"/>
          <w:b/>
          <w:bCs/>
          <w:sz w:val="24"/>
          <w:szCs w:val="21"/>
        </w:rPr>
      </w:pPr>
      <w:r>
        <w:rPr>
          <w:rFonts w:hint="eastAsia" w:ascii="宋体" w:hAnsi="宋体" w:cs="仿宋"/>
          <w:b/>
          <w:bCs/>
          <w:sz w:val="24"/>
          <w:szCs w:val="21"/>
        </w:rPr>
        <w:t>资格性检查表</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909"/>
        <w:gridCol w:w="2469"/>
        <w:gridCol w:w="5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376" w:type="pct"/>
            <w:vAlign w:val="center"/>
          </w:tcPr>
          <w:p>
            <w:pPr>
              <w:jc w:val="center"/>
              <w:rPr>
                <w:rFonts w:ascii="宋体" w:hAnsi="宋体" w:cs="宋体"/>
                <w:sz w:val="24"/>
              </w:rPr>
            </w:pPr>
            <w:r>
              <w:rPr>
                <w:rFonts w:hint="eastAsia" w:ascii="宋体" w:hAnsi="宋体" w:cs="宋体"/>
                <w:sz w:val="24"/>
              </w:rPr>
              <w:t>序号</w:t>
            </w:r>
          </w:p>
        </w:tc>
        <w:tc>
          <w:tcPr>
            <w:tcW w:w="1840" w:type="pct"/>
            <w:gridSpan w:val="2"/>
            <w:vAlign w:val="center"/>
          </w:tcPr>
          <w:p>
            <w:pPr>
              <w:jc w:val="center"/>
              <w:rPr>
                <w:rFonts w:ascii="宋体" w:hAnsi="宋体" w:cs="宋体"/>
                <w:sz w:val="24"/>
              </w:rPr>
            </w:pPr>
            <w:r>
              <w:rPr>
                <w:rFonts w:hint="eastAsia" w:ascii="宋体" w:hAnsi="宋体" w:cs="宋体"/>
                <w:sz w:val="24"/>
              </w:rPr>
              <w:t>检查因素</w:t>
            </w:r>
          </w:p>
        </w:tc>
        <w:tc>
          <w:tcPr>
            <w:tcW w:w="2782" w:type="pct"/>
            <w:vAlign w:val="center"/>
          </w:tcPr>
          <w:p>
            <w:pPr>
              <w:jc w:val="center"/>
              <w:rPr>
                <w:rFonts w:ascii="宋体" w:hAnsi="宋体" w:cs="宋体"/>
                <w:sz w:val="24"/>
              </w:rPr>
            </w:pPr>
            <w:r>
              <w:rPr>
                <w:rFonts w:hint="eastAsia" w:ascii="宋体" w:hAnsi="宋体" w:cs="宋体"/>
                <w:sz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Merge w:val="restart"/>
            <w:vAlign w:val="center"/>
          </w:tcPr>
          <w:p>
            <w:pPr>
              <w:jc w:val="center"/>
              <w:rPr>
                <w:rFonts w:ascii="宋体" w:hAnsi="宋体" w:cs="宋体"/>
                <w:sz w:val="24"/>
              </w:rPr>
            </w:pPr>
            <w:r>
              <w:rPr>
                <w:rFonts w:hint="eastAsia" w:ascii="宋体" w:hAnsi="宋体" w:cs="宋体"/>
                <w:sz w:val="24"/>
              </w:rPr>
              <w:t>1</w:t>
            </w:r>
          </w:p>
        </w:tc>
        <w:tc>
          <w:tcPr>
            <w:tcW w:w="495" w:type="pct"/>
            <w:vMerge w:val="restart"/>
            <w:vAlign w:val="center"/>
          </w:tcPr>
          <w:p>
            <w:pPr>
              <w:rPr>
                <w:rFonts w:ascii="宋体" w:hAnsi="宋体" w:cs="宋体"/>
                <w:sz w:val="24"/>
              </w:rPr>
            </w:pPr>
            <w:r>
              <w:rPr>
                <w:rFonts w:hint="eastAsia" w:ascii="宋体" w:hAnsi="宋体" w:cs="宋体"/>
                <w:sz w:val="24"/>
              </w:rPr>
              <w:t>符合《中华人民共和国政府采购法》第二十二条规定，提供：</w:t>
            </w:r>
          </w:p>
        </w:tc>
        <w:tc>
          <w:tcPr>
            <w:tcW w:w="1345" w:type="pct"/>
            <w:vAlign w:val="center"/>
          </w:tcPr>
          <w:p>
            <w:pPr>
              <w:jc w:val="center"/>
              <w:rPr>
                <w:rFonts w:ascii="宋体" w:hAnsi="宋体" w:cs="宋体"/>
                <w:sz w:val="24"/>
              </w:rPr>
            </w:pPr>
            <w:r>
              <w:rPr>
                <w:rFonts w:hint="eastAsia" w:ascii="宋体" w:hAnsi="宋体" w:cs="宋体"/>
                <w:sz w:val="24"/>
              </w:rPr>
              <w:t>（1）具有独立承担民事责任的能力</w:t>
            </w:r>
          </w:p>
        </w:tc>
        <w:tc>
          <w:tcPr>
            <w:tcW w:w="2782" w:type="pct"/>
            <w:vAlign w:val="center"/>
          </w:tcPr>
          <w:p>
            <w:pPr>
              <w:rPr>
                <w:rFonts w:ascii="宋体" w:hAnsi="宋体" w:cs="宋体"/>
                <w:sz w:val="24"/>
              </w:rPr>
            </w:pPr>
            <w:r>
              <w:rPr>
                <w:rFonts w:hint="eastAsia" w:ascii="宋体" w:hAnsi="宋体" w:cs="宋体"/>
                <w:sz w:val="24"/>
              </w:rPr>
              <w:t>如投标人是企业（包括合伙企业），应提供在工商部门注册的有效“企业法人营业执照”或“营业执照”；如投标人是事业单位，应提供有效的“事业单位法人证书”；投标人是非企业专业服务机构的，应提供执业许可证等证明文件；如投标人是个体工商户，应提供有效的“个体工商户营业执照”；如投标人是自然人，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Merge w:val="continue"/>
            <w:vAlign w:val="center"/>
          </w:tcPr>
          <w:p>
            <w:pPr>
              <w:jc w:val="center"/>
              <w:rPr>
                <w:rFonts w:ascii="宋体" w:hAnsi="宋体" w:cs="宋体"/>
                <w:sz w:val="24"/>
              </w:rPr>
            </w:pPr>
          </w:p>
        </w:tc>
        <w:tc>
          <w:tcPr>
            <w:tcW w:w="495" w:type="pct"/>
            <w:vMerge w:val="continue"/>
            <w:vAlign w:val="center"/>
          </w:tcPr>
          <w:p>
            <w:pPr>
              <w:rPr>
                <w:rFonts w:ascii="宋体" w:hAnsi="宋体" w:cs="宋体"/>
                <w:sz w:val="24"/>
              </w:rPr>
            </w:pPr>
          </w:p>
        </w:tc>
        <w:tc>
          <w:tcPr>
            <w:tcW w:w="1345" w:type="pct"/>
            <w:vAlign w:val="center"/>
          </w:tcPr>
          <w:p>
            <w:pPr>
              <w:jc w:val="center"/>
              <w:rPr>
                <w:rFonts w:ascii="宋体" w:hAnsi="宋体" w:cs="宋体"/>
                <w:sz w:val="24"/>
              </w:rPr>
            </w:pPr>
            <w:r>
              <w:rPr>
                <w:rFonts w:hint="eastAsia" w:ascii="宋体" w:hAnsi="宋体" w:cs="宋体"/>
                <w:sz w:val="24"/>
              </w:rPr>
              <w:t>（2）具有良好的商业信誉和健全的财务会计制度</w:t>
            </w:r>
          </w:p>
        </w:tc>
        <w:tc>
          <w:tcPr>
            <w:tcW w:w="2782" w:type="pct"/>
            <w:vAlign w:val="center"/>
          </w:tcPr>
          <w:p>
            <w:pPr>
              <w:rPr>
                <w:rFonts w:ascii="宋体" w:hAnsi="宋体" w:cs="宋体"/>
                <w:sz w:val="24"/>
              </w:rPr>
            </w:pPr>
            <w:r>
              <w:rPr>
                <w:rFonts w:hint="eastAsia" w:ascii="宋体" w:hAnsi="宋体" w:cs="宋体"/>
                <w:sz w:val="24"/>
              </w:rPr>
              <w:t>投标人应提供上一年度（2020年）经审计的财务报告，或其基本开户银行出具的资信证明。其他组织和自然人，没有经审计的财务报告，提供银行出具的资信证明。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Merge w:val="continue"/>
            <w:vAlign w:val="center"/>
          </w:tcPr>
          <w:p>
            <w:pPr>
              <w:jc w:val="center"/>
              <w:rPr>
                <w:rFonts w:ascii="宋体" w:hAnsi="宋体" w:cs="宋体"/>
                <w:sz w:val="24"/>
              </w:rPr>
            </w:pPr>
          </w:p>
        </w:tc>
        <w:tc>
          <w:tcPr>
            <w:tcW w:w="495" w:type="pct"/>
            <w:vMerge w:val="continue"/>
            <w:vAlign w:val="center"/>
          </w:tcPr>
          <w:p>
            <w:pPr>
              <w:rPr>
                <w:rFonts w:ascii="宋体" w:hAnsi="宋体" w:cs="宋体"/>
                <w:sz w:val="24"/>
              </w:rPr>
            </w:pPr>
          </w:p>
        </w:tc>
        <w:tc>
          <w:tcPr>
            <w:tcW w:w="1345" w:type="pct"/>
            <w:vAlign w:val="center"/>
          </w:tcPr>
          <w:p>
            <w:pPr>
              <w:jc w:val="center"/>
              <w:rPr>
                <w:rFonts w:ascii="宋体" w:hAnsi="宋体" w:cs="宋体"/>
                <w:sz w:val="24"/>
              </w:rPr>
            </w:pPr>
            <w:r>
              <w:rPr>
                <w:rFonts w:hint="eastAsia" w:ascii="宋体" w:hAnsi="宋体" w:cs="宋体"/>
                <w:sz w:val="24"/>
              </w:rPr>
              <w:t>（3）具有履行合同所必须的设备和专业技术能力</w:t>
            </w:r>
          </w:p>
        </w:tc>
        <w:tc>
          <w:tcPr>
            <w:tcW w:w="2782" w:type="pct"/>
            <w:vAlign w:val="center"/>
          </w:tcPr>
          <w:p>
            <w:pPr>
              <w:rPr>
                <w:rFonts w:ascii="宋体" w:hAnsi="宋体" w:cs="宋体"/>
                <w:sz w:val="24"/>
              </w:rPr>
            </w:pPr>
            <w:r>
              <w:rPr>
                <w:rFonts w:hint="eastAsia" w:ascii="宋体" w:hAnsi="宋体" w:cs="宋体"/>
                <w:sz w:val="24"/>
              </w:rPr>
              <w:t>投标人履行合同所必须的设备和专业技术能力的证明材料或声明（格式自拟）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Merge w:val="continue"/>
            <w:vAlign w:val="center"/>
          </w:tcPr>
          <w:p>
            <w:pPr>
              <w:jc w:val="center"/>
              <w:rPr>
                <w:rFonts w:ascii="宋体" w:hAnsi="宋体" w:cs="宋体"/>
                <w:sz w:val="24"/>
              </w:rPr>
            </w:pPr>
          </w:p>
        </w:tc>
        <w:tc>
          <w:tcPr>
            <w:tcW w:w="495" w:type="pct"/>
            <w:vMerge w:val="continue"/>
            <w:vAlign w:val="center"/>
          </w:tcPr>
          <w:p>
            <w:pPr>
              <w:rPr>
                <w:rFonts w:ascii="宋体" w:hAnsi="宋体" w:cs="宋体"/>
                <w:sz w:val="24"/>
              </w:rPr>
            </w:pPr>
          </w:p>
        </w:tc>
        <w:tc>
          <w:tcPr>
            <w:tcW w:w="1345" w:type="pct"/>
            <w:vAlign w:val="center"/>
          </w:tcPr>
          <w:p>
            <w:pPr>
              <w:jc w:val="center"/>
              <w:rPr>
                <w:rFonts w:ascii="宋体" w:hAnsi="宋体" w:cs="宋体"/>
                <w:sz w:val="24"/>
              </w:rPr>
            </w:pPr>
            <w:r>
              <w:rPr>
                <w:rFonts w:hint="eastAsia" w:ascii="宋体" w:hAnsi="宋体" w:cs="宋体"/>
                <w:sz w:val="24"/>
              </w:rPr>
              <w:t>（4）有依法缴纳税收和社会保障金的良好记录</w:t>
            </w:r>
          </w:p>
        </w:tc>
        <w:tc>
          <w:tcPr>
            <w:tcW w:w="2782" w:type="pct"/>
            <w:vAlign w:val="center"/>
          </w:tcPr>
          <w:p>
            <w:pPr>
              <w:rPr>
                <w:rFonts w:ascii="宋体" w:hAnsi="宋体" w:cs="宋体"/>
                <w:sz w:val="24"/>
              </w:rPr>
            </w:pPr>
            <w:r>
              <w:rPr>
                <w:rFonts w:hint="eastAsia" w:ascii="宋体" w:hAnsi="宋体" w:cs="宋体"/>
                <w:sz w:val="24"/>
              </w:rPr>
              <w:t>投标人依法缴纳税收的证明材料：本项目响应截止时间前6个月内（至少提供1个月）缴纳税收的凭据（完税证、缴款书、印花税票、银行代扣（代缴）转账凭证等均可）；投标人依法缴纳社会保障资金的证明材料：本项目响应截止时间时间前6个月内（至少提供1个月）缴纳社会保险的凭据（专用收据或社会保险交纳清单）；投标人为其他组织或自然人的，也需要按此项规定提供缴纳税收的凭据和交纳社会保险的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Merge w:val="continue"/>
            <w:vAlign w:val="center"/>
          </w:tcPr>
          <w:p>
            <w:pPr>
              <w:jc w:val="center"/>
              <w:rPr>
                <w:rFonts w:ascii="宋体" w:hAnsi="宋体" w:cs="宋体"/>
                <w:sz w:val="24"/>
              </w:rPr>
            </w:pPr>
          </w:p>
        </w:tc>
        <w:tc>
          <w:tcPr>
            <w:tcW w:w="495" w:type="pct"/>
            <w:vMerge w:val="continue"/>
            <w:vAlign w:val="center"/>
          </w:tcPr>
          <w:p>
            <w:pPr>
              <w:rPr>
                <w:rFonts w:ascii="宋体" w:hAnsi="宋体" w:cs="宋体"/>
                <w:sz w:val="24"/>
              </w:rPr>
            </w:pPr>
          </w:p>
        </w:tc>
        <w:tc>
          <w:tcPr>
            <w:tcW w:w="1345" w:type="pct"/>
            <w:vAlign w:val="center"/>
          </w:tcPr>
          <w:p>
            <w:pPr>
              <w:jc w:val="center"/>
              <w:rPr>
                <w:rFonts w:ascii="宋体" w:hAnsi="宋体" w:cs="宋体"/>
                <w:sz w:val="24"/>
              </w:rPr>
            </w:pPr>
            <w:r>
              <w:rPr>
                <w:rFonts w:hint="eastAsia" w:ascii="宋体" w:hAnsi="宋体" w:cs="宋体"/>
                <w:sz w:val="24"/>
              </w:rPr>
              <w:t>（5）参加政府采购活动近3年内，在经营活动中没有重大违法记录</w:t>
            </w:r>
          </w:p>
        </w:tc>
        <w:tc>
          <w:tcPr>
            <w:tcW w:w="2782" w:type="pct"/>
            <w:vAlign w:val="center"/>
          </w:tcPr>
          <w:p>
            <w:pPr>
              <w:rPr>
                <w:rFonts w:ascii="宋体" w:hAnsi="宋体" w:cs="宋体"/>
                <w:sz w:val="24"/>
              </w:rPr>
            </w:pPr>
            <w:r>
              <w:rPr>
                <w:rFonts w:hint="eastAsia" w:ascii="宋体" w:hAnsi="宋体" w:cs="宋体"/>
                <w:sz w:val="24"/>
              </w:rPr>
              <w:t>参加政府采购活动前3年内在经营活动中没有重大违法记录的书面声明（格式自拟）</w:t>
            </w:r>
          </w:p>
          <w:p>
            <w:pPr>
              <w:pStyle w:val="5"/>
              <w:ind w:firstLine="0"/>
              <w:rPr>
                <w:rFonts w:ascii="宋体" w:hAnsi="宋体" w:cs="宋体"/>
                <w:sz w:val="24"/>
                <w:szCs w:val="24"/>
              </w:rPr>
            </w:pPr>
            <w:r>
              <w:rPr>
                <w:rFonts w:hint="eastAsia" w:ascii="宋体" w:hAnsi="宋体" w:cs="宋体"/>
                <w:sz w:val="24"/>
                <w:szCs w:val="24"/>
              </w:rPr>
              <w:t>未处于中国政府采购网(www.ccgp.gov.cn)“政府采购严重违法失信行为信息记录”中的禁止参加政府采购活动期间（以采购代理机构发布招标公告至递交投标文件截止日时间内在中国政府采购网(www.ccgp.gov.cn)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Align w:val="center"/>
          </w:tcPr>
          <w:p>
            <w:pPr>
              <w:jc w:val="center"/>
              <w:rPr>
                <w:rFonts w:ascii="宋体" w:hAnsi="宋体" w:cs="宋体"/>
                <w:sz w:val="24"/>
              </w:rPr>
            </w:pPr>
            <w:r>
              <w:rPr>
                <w:rFonts w:hint="eastAsia" w:ascii="宋体" w:hAnsi="宋体" w:cs="宋体"/>
                <w:sz w:val="24"/>
              </w:rPr>
              <w:t>2</w:t>
            </w:r>
          </w:p>
        </w:tc>
        <w:tc>
          <w:tcPr>
            <w:tcW w:w="1840" w:type="pct"/>
            <w:gridSpan w:val="2"/>
            <w:vAlign w:val="center"/>
          </w:tcPr>
          <w:p>
            <w:pPr>
              <w:jc w:val="center"/>
              <w:rPr>
                <w:rFonts w:ascii="宋体" w:hAnsi="宋体" w:cs="宋体"/>
                <w:sz w:val="24"/>
              </w:rPr>
            </w:pPr>
            <w:r>
              <w:rPr>
                <w:rFonts w:hint="eastAsia" w:ascii="宋体" w:hAnsi="宋体" w:cs="宋体"/>
                <w:sz w:val="24"/>
              </w:rPr>
              <w:t>信用查询</w:t>
            </w:r>
          </w:p>
        </w:tc>
        <w:tc>
          <w:tcPr>
            <w:tcW w:w="2782" w:type="pct"/>
            <w:vAlign w:val="center"/>
          </w:tcPr>
          <w:p>
            <w:pPr>
              <w:rPr>
                <w:rFonts w:ascii="宋体" w:hAnsi="宋体" w:cs="宋体"/>
                <w:sz w:val="24"/>
              </w:rPr>
            </w:pPr>
            <w:r>
              <w:rPr>
                <w:rFonts w:hint="eastAsia" w:ascii="宋体" w:hAnsi="宋体" w:cs="宋体"/>
                <w:sz w:val="24"/>
              </w:rPr>
              <w:t>投标人未被列入“信用中国”网站(www.creditchina.gov.cn)“记录失信被执行人或重大税收违法案件当事人名单或政府采购严重违法失信行为”记录名单；未处于中国政府采购 网(www.ccgp.gov.cn)“政府采购严重违法失信行为信息记录”中（以采购代理机构发布招标公告至递交投标文件截止日时间内在“信用中国”网站（www.creditchina.gov.cn） 及中国政府采购网(www.ccgp.gov.cn)查询结果为准，如相关失信记录已失效，投标人需提供相关证明资料）；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Merge w:val="restart"/>
            <w:vAlign w:val="center"/>
          </w:tcPr>
          <w:p>
            <w:pPr>
              <w:jc w:val="center"/>
              <w:rPr>
                <w:rFonts w:ascii="宋体" w:hAnsi="宋体" w:cs="宋体"/>
                <w:sz w:val="24"/>
              </w:rPr>
            </w:pPr>
            <w:r>
              <w:rPr>
                <w:rFonts w:hint="eastAsia" w:ascii="宋体" w:hAnsi="宋体" w:cs="宋体"/>
                <w:sz w:val="24"/>
              </w:rPr>
              <w:t>3</w:t>
            </w:r>
          </w:p>
        </w:tc>
        <w:tc>
          <w:tcPr>
            <w:tcW w:w="1840" w:type="pct"/>
            <w:gridSpan w:val="2"/>
            <w:vMerge w:val="restart"/>
            <w:vAlign w:val="center"/>
          </w:tcPr>
          <w:p>
            <w:pPr>
              <w:jc w:val="center"/>
              <w:rPr>
                <w:rFonts w:ascii="宋体" w:hAnsi="宋体" w:cs="宋体"/>
                <w:sz w:val="24"/>
              </w:rPr>
            </w:pPr>
            <w:r>
              <w:rPr>
                <w:rFonts w:hint="eastAsia" w:ascii="宋体" w:hAnsi="宋体" w:cs="宋体"/>
                <w:sz w:val="24"/>
              </w:rPr>
              <w:t>限制行为</w:t>
            </w:r>
          </w:p>
        </w:tc>
        <w:tc>
          <w:tcPr>
            <w:tcW w:w="2782" w:type="pct"/>
            <w:vAlign w:val="center"/>
          </w:tcPr>
          <w:p>
            <w:pPr>
              <w:rPr>
                <w:rFonts w:ascii="宋体" w:hAnsi="宋体" w:cs="宋体"/>
                <w:sz w:val="24"/>
              </w:rPr>
            </w:pPr>
            <w:r>
              <w:rPr>
                <w:rFonts w:hint="eastAsia" w:ascii="宋体" w:hAnsi="宋体" w:cs="宋体"/>
                <w:sz w:val="24"/>
              </w:rPr>
              <w:t>投标人近三年无因投标申请人违约或不恰当履约引起的合同终止、纠纷、争议、仲裁和公诉纪录；（以采购代理机构发布招标公告至递交投标文件截止日时间内在中国裁判文书网（http://wenshu.court.gov.cn/）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6" w:type="pct"/>
            <w:vMerge w:val="continue"/>
            <w:vAlign w:val="center"/>
          </w:tcPr>
          <w:p>
            <w:pPr>
              <w:jc w:val="center"/>
              <w:rPr>
                <w:rFonts w:ascii="宋体" w:hAnsi="宋体" w:cs="宋体"/>
                <w:sz w:val="24"/>
              </w:rPr>
            </w:pPr>
          </w:p>
        </w:tc>
        <w:tc>
          <w:tcPr>
            <w:tcW w:w="1840" w:type="pct"/>
            <w:gridSpan w:val="2"/>
            <w:vMerge w:val="continue"/>
            <w:vAlign w:val="center"/>
          </w:tcPr>
          <w:p>
            <w:pPr>
              <w:jc w:val="center"/>
              <w:rPr>
                <w:rFonts w:ascii="宋体" w:hAnsi="宋体" w:cs="宋体"/>
                <w:sz w:val="24"/>
              </w:rPr>
            </w:pPr>
          </w:p>
        </w:tc>
        <w:tc>
          <w:tcPr>
            <w:tcW w:w="2782" w:type="pct"/>
            <w:vAlign w:val="center"/>
          </w:tcPr>
          <w:p>
            <w:pPr>
              <w:rPr>
                <w:rFonts w:ascii="宋体" w:hAnsi="宋体" w:cs="宋体"/>
                <w:sz w:val="24"/>
              </w:rPr>
            </w:pPr>
            <w:r>
              <w:rPr>
                <w:rFonts w:hint="eastAsia" w:ascii="宋体" w:hAnsi="宋体" w:cs="宋体"/>
                <w:sz w:val="24"/>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 动；</w:t>
            </w:r>
            <w:r>
              <w:rPr>
                <w:rFonts w:hint="eastAsia" w:ascii="宋体" w:hAnsi="宋体" w:cs="宋体"/>
                <w:b/>
                <w:sz w:val="24"/>
              </w:rPr>
              <w:t>投标人提供相关承诺函并加盖投标人单位公章。</w:t>
            </w:r>
          </w:p>
        </w:tc>
      </w:tr>
    </w:tbl>
    <w:p>
      <w:pPr>
        <w:pStyle w:val="5"/>
        <w:ind w:firstLine="0"/>
      </w:pPr>
      <w:r>
        <w:rPr>
          <w:rFonts w:hint="eastAsia" w:ascii="宋体" w:hAnsi="宋体" w:cs="宋体"/>
          <w:b/>
          <w:color w:val="000000"/>
          <w:sz w:val="24"/>
        </w:rPr>
        <w:t>资格性审查不通过，不进行下面的评审。</w:t>
      </w:r>
    </w:p>
    <w:p>
      <w:pPr>
        <w:spacing w:line="480" w:lineRule="exact"/>
        <w:jc w:val="center"/>
        <w:rPr>
          <w:rFonts w:ascii="宋体" w:hAnsi="宋体" w:cs="仿宋"/>
          <w:b/>
          <w:bCs/>
          <w:sz w:val="24"/>
          <w:szCs w:val="21"/>
        </w:rPr>
      </w:pPr>
      <w:r>
        <w:rPr>
          <w:rFonts w:hint="eastAsia" w:ascii="宋体" w:hAnsi="宋体" w:cs="仿宋"/>
          <w:b/>
          <w:bCs/>
          <w:sz w:val="24"/>
          <w:szCs w:val="21"/>
        </w:rPr>
        <w:t>符合性检查表</w:t>
      </w:r>
    </w:p>
    <w:tbl>
      <w:tblPr>
        <w:tblStyle w:val="18"/>
        <w:tblW w:w="9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918"/>
        <w:gridCol w:w="2626"/>
        <w:gridCol w:w="5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0" w:type="dxa"/>
            <w:vAlign w:val="center"/>
          </w:tcPr>
          <w:p>
            <w:pPr>
              <w:jc w:val="center"/>
              <w:rPr>
                <w:rFonts w:ascii="宋体" w:hAnsi="宋体" w:cs="宋体"/>
                <w:sz w:val="24"/>
              </w:rPr>
            </w:pPr>
            <w:r>
              <w:rPr>
                <w:rFonts w:hint="eastAsia" w:ascii="宋体" w:hAnsi="宋体" w:cs="宋体"/>
                <w:sz w:val="24"/>
              </w:rPr>
              <w:t>序号</w:t>
            </w:r>
          </w:p>
        </w:tc>
        <w:tc>
          <w:tcPr>
            <w:tcW w:w="3544" w:type="dxa"/>
            <w:gridSpan w:val="2"/>
            <w:vAlign w:val="center"/>
          </w:tcPr>
          <w:p>
            <w:pPr>
              <w:jc w:val="center"/>
              <w:rPr>
                <w:rFonts w:ascii="宋体" w:hAnsi="宋体" w:cs="宋体"/>
                <w:sz w:val="24"/>
              </w:rPr>
            </w:pPr>
            <w:r>
              <w:rPr>
                <w:rFonts w:hint="eastAsia" w:ascii="宋体" w:hAnsi="宋体" w:cs="宋体"/>
                <w:sz w:val="24"/>
              </w:rPr>
              <w:t>评标因素</w:t>
            </w:r>
          </w:p>
        </w:tc>
        <w:tc>
          <w:tcPr>
            <w:tcW w:w="5512" w:type="dxa"/>
            <w:vAlign w:val="center"/>
          </w:tcPr>
          <w:p>
            <w:pPr>
              <w:jc w:val="center"/>
              <w:rPr>
                <w:rFonts w:ascii="宋体" w:hAnsi="宋体" w:cs="宋体"/>
                <w:sz w:val="24"/>
              </w:rPr>
            </w:pPr>
            <w:r>
              <w:rPr>
                <w:rFonts w:hint="eastAsia" w:ascii="宋体" w:hAnsi="宋体" w:cs="宋体"/>
                <w:sz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0" w:type="dxa"/>
            <w:vMerge w:val="restart"/>
            <w:vAlign w:val="center"/>
          </w:tcPr>
          <w:p>
            <w:pPr>
              <w:jc w:val="center"/>
              <w:rPr>
                <w:rFonts w:ascii="宋体" w:hAnsi="宋体" w:cs="宋体"/>
                <w:sz w:val="24"/>
              </w:rPr>
            </w:pPr>
            <w:r>
              <w:rPr>
                <w:rFonts w:hint="eastAsia" w:ascii="宋体" w:hAnsi="宋体" w:cs="宋体"/>
                <w:sz w:val="24"/>
              </w:rPr>
              <w:t>1</w:t>
            </w:r>
          </w:p>
        </w:tc>
        <w:tc>
          <w:tcPr>
            <w:tcW w:w="918" w:type="dxa"/>
            <w:vMerge w:val="restart"/>
            <w:vAlign w:val="center"/>
          </w:tcPr>
          <w:p>
            <w:pPr>
              <w:jc w:val="center"/>
              <w:rPr>
                <w:rFonts w:ascii="宋体" w:hAnsi="宋体" w:cs="宋体"/>
                <w:sz w:val="24"/>
              </w:rPr>
            </w:pPr>
            <w:r>
              <w:rPr>
                <w:rFonts w:hint="eastAsia" w:ascii="宋体" w:hAnsi="宋体" w:cs="宋体"/>
                <w:sz w:val="24"/>
              </w:rPr>
              <w:t>有效性</w:t>
            </w:r>
          </w:p>
          <w:p>
            <w:pPr>
              <w:jc w:val="center"/>
              <w:rPr>
                <w:rFonts w:ascii="宋体" w:hAnsi="宋体" w:cs="宋体"/>
                <w:sz w:val="24"/>
              </w:rPr>
            </w:pPr>
            <w:r>
              <w:rPr>
                <w:rFonts w:hint="eastAsia" w:ascii="宋体" w:hAnsi="宋体" w:cs="宋体"/>
                <w:sz w:val="24"/>
              </w:rPr>
              <w:t>审查</w:t>
            </w:r>
          </w:p>
        </w:tc>
        <w:tc>
          <w:tcPr>
            <w:tcW w:w="2626" w:type="dxa"/>
            <w:vAlign w:val="center"/>
          </w:tcPr>
          <w:p>
            <w:pPr>
              <w:rPr>
                <w:rFonts w:ascii="宋体" w:hAnsi="宋体" w:cs="宋体"/>
                <w:sz w:val="24"/>
              </w:rPr>
            </w:pPr>
            <w:r>
              <w:rPr>
                <w:rFonts w:hint="eastAsia" w:ascii="宋体" w:hAnsi="宋体" w:cs="宋体"/>
                <w:sz w:val="24"/>
              </w:rPr>
              <w:t>投标人名称</w:t>
            </w:r>
          </w:p>
        </w:tc>
        <w:tc>
          <w:tcPr>
            <w:tcW w:w="5512" w:type="dxa"/>
            <w:vAlign w:val="center"/>
          </w:tcPr>
          <w:p>
            <w:pPr>
              <w:rPr>
                <w:rFonts w:ascii="宋体" w:hAnsi="宋体" w:cs="宋体"/>
                <w:sz w:val="24"/>
              </w:rPr>
            </w:pPr>
            <w:r>
              <w:rPr>
                <w:rFonts w:hint="eastAsia" w:ascii="宋体" w:hAnsi="宋体" w:cs="宋体"/>
                <w:sz w:val="24"/>
              </w:rPr>
              <w:t>营业执照必须为报名时的单位。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vAlign w:val="center"/>
          </w:tcPr>
          <w:p>
            <w:pPr>
              <w:jc w:val="center"/>
              <w:rPr>
                <w:rFonts w:ascii="宋体" w:hAnsi="宋体" w:cs="宋体"/>
                <w:sz w:val="24"/>
              </w:rPr>
            </w:pPr>
          </w:p>
        </w:tc>
        <w:tc>
          <w:tcPr>
            <w:tcW w:w="918" w:type="dxa"/>
            <w:vMerge w:val="continue"/>
            <w:vAlign w:val="center"/>
          </w:tcPr>
          <w:p>
            <w:pPr>
              <w:jc w:val="center"/>
              <w:rPr>
                <w:rFonts w:ascii="宋体" w:hAnsi="宋体" w:cs="宋体"/>
                <w:sz w:val="24"/>
              </w:rPr>
            </w:pPr>
          </w:p>
        </w:tc>
        <w:tc>
          <w:tcPr>
            <w:tcW w:w="2626" w:type="dxa"/>
            <w:vAlign w:val="center"/>
          </w:tcPr>
          <w:p>
            <w:pPr>
              <w:rPr>
                <w:rFonts w:ascii="宋体" w:hAnsi="宋体" w:cs="宋体"/>
                <w:sz w:val="24"/>
              </w:rPr>
            </w:pPr>
            <w:r>
              <w:rPr>
                <w:rFonts w:hint="eastAsia" w:ascii="宋体" w:hAnsi="宋体" w:cs="宋体"/>
                <w:sz w:val="24"/>
              </w:rPr>
              <w:t>投标文件签署</w:t>
            </w:r>
          </w:p>
        </w:tc>
        <w:tc>
          <w:tcPr>
            <w:tcW w:w="5512" w:type="dxa"/>
            <w:vAlign w:val="center"/>
          </w:tcPr>
          <w:p>
            <w:pPr>
              <w:rPr>
                <w:rFonts w:ascii="宋体" w:hAnsi="宋体" w:cs="宋体"/>
                <w:sz w:val="24"/>
              </w:rPr>
            </w:pPr>
            <w:r>
              <w:rPr>
                <w:rFonts w:hint="eastAsia" w:ascii="宋体" w:hAnsi="宋体" w:cs="宋体"/>
                <w:sz w:val="24"/>
              </w:rPr>
              <w:t>投标文件上法定代表人或其授权代理人的盖章或签字、投标人的单位章齐全符合招标文件规定。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50" w:type="dxa"/>
            <w:vMerge w:val="continue"/>
            <w:vAlign w:val="center"/>
          </w:tcPr>
          <w:p>
            <w:pPr>
              <w:jc w:val="center"/>
              <w:rPr>
                <w:rFonts w:ascii="宋体" w:hAnsi="宋体" w:cs="宋体"/>
                <w:sz w:val="24"/>
              </w:rPr>
            </w:pPr>
          </w:p>
        </w:tc>
        <w:tc>
          <w:tcPr>
            <w:tcW w:w="918" w:type="dxa"/>
            <w:vMerge w:val="continue"/>
            <w:vAlign w:val="center"/>
          </w:tcPr>
          <w:p>
            <w:pPr>
              <w:jc w:val="center"/>
              <w:rPr>
                <w:rFonts w:ascii="宋体" w:hAnsi="宋体" w:cs="宋体"/>
                <w:sz w:val="24"/>
              </w:rPr>
            </w:pPr>
          </w:p>
        </w:tc>
        <w:tc>
          <w:tcPr>
            <w:tcW w:w="2626" w:type="dxa"/>
            <w:vAlign w:val="center"/>
          </w:tcPr>
          <w:p>
            <w:pPr>
              <w:rPr>
                <w:rFonts w:ascii="宋体" w:hAnsi="宋体" w:cs="宋体"/>
                <w:sz w:val="24"/>
              </w:rPr>
            </w:pPr>
            <w:r>
              <w:rPr>
                <w:rFonts w:hint="eastAsia" w:ascii="宋体" w:hAnsi="宋体" w:cs="宋体"/>
                <w:sz w:val="24"/>
              </w:rPr>
              <w:t>法定代表人身份证明及授权委托书</w:t>
            </w:r>
          </w:p>
        </w:tc>
        <w:tc>
          <w:tcPr>
            <w:tcW w:w="5512" w:type="dxa"/>
            <w:vAlign w:val="center"/>
          </w:tcPr>
          <w:p>
            <w:pPr>
              <w:rPr>
                <w:rFonts w:ascii="宋体" w:hAnsi="宋体" w:cs="宋体"/>
                <w:sz w:val="24"/>
              </w:rPr>
            </w:pPr>
            <w:r>
              <w:rPr>
                <w:rFonts w:hint="eastAsia" w:ascii="宋体" w:hAnsi="宋体" w:cs="宋体"/>
                <w:sz w:val="24"/>
              </w:rPr>
              <w:t>法定代表人身份证明及授权委托书有效，且符合招标文件规定的格式。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50" w:type="dxa"/>
            <w:vMerge w:val="continue"/>
            <w:vAlign w:val="center"/>
          </w:tcPr>
          <w:p>
            <w:pPr>
              <w:jc w:val="center"/>
              <w:rPr>
                <w:rFonts w:ascii="宋体" w:hAnsi="宋体" w:cs="宋体"/>
                <w:sz w:val="24"/>
              </w:rPr>
            </w:pPr>
          </w:p>
        </w:tc>
        <w:tc>
          <w:tcPr>
            <w:tcW w:w="918" w:type="dxa"/>
            <w:vMerge w:val="continue"/>
            <w:vAlign w:val="center"/>
          </w:tcPr>
          <w:p>
            <w:pPr>
              <w:jc w:val="center"/>
              <w:rPr>
                <w:rFonts w:ascii="宋体" w:hAnsi="宋体" w:cs="宋体"/>
                <w:sz w:val="24"/>
              </w:rPr>
            </w:pPr>
          </w:p>
        </w:tc>
        <w:tc>
          <w:tcPr>
            <w:tcW w:w="2626" w:type="dxa"/>
            <w:vAlign w:val="center"/>
          </w:tcPr>
          <w:p>
            <w:pPr>
              <w:rPr>
                <w:rFonts w:ascii="宋体" w:hAnsi="宋体" w:cs="宋体"/>
                <w:sz w:val="24"/>
              </w:rPr>
            </w:pPr>
            <w:r>
              <w:rPr>
                <w:rFonts w:hint="eastAsia" w:ascii="宋体" w:hAnsi="宋体" w:cs="宋体"/>
                <w:sz w:val="24"/>
              </w:rPr>
              <w:t>投标保证金</w:t>
            </w:r>
          </w:p>
        </w:tc>
        <w:tc>
          <w:tcPr>
            <w:tcW w:w="5512" w:type="dxa"/>
            <w:vAlign w:val="center"/>
          </w:tcPr>
          <w:p>
            <w:pPr>
              <w:rPr>
                <w:rFonts w:ascii="宋体" w:hAnsi="宋体" w:cs="宋体"/>
                <w:sz w:val="24"/>
              </w:rPr>
            </w:pPr>
            <w:r>
              <w:rPr>
                <w:rFonts w:hint="eastAsia" w:ascii="宋体" w:hAnsi="宋体" w:cs="宋体"/>
                <w:sz w:val="24"/>
              </w:rPr>
              <w:t>按时、足额缴纳投标保证金（提供打款凭证复印件加盖公章）。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ins w:id="0" w:author="园子" w:date="2021-08-24T15:59:24Z"/>
        </w:trPr>
        <w:tc>
          <w:tcPr>
            <w:tcW w:w="750" w:type="dxa"/>
            <w:vMerge w:val="continue"/>
            <w:vAlign w:val="center"/>
          </w:tcPr>
          <w:p>
            <w:pPr>
              <w:jc w:val="center"/>
              <w:rPr>
                <w:ins w:id="1" w:author="园子" w:date="2021-08-24T15:59:24Z"/>
                <w:rFonts w:ascii="宋体" w:hAnsi="宋体" w:cs="宋体"/>
                <w:sz w:val="24"/>
              </w:rPr>
            </w:pPr>
          </w:p>
        </w:tc>
        <w:tc>
          <w:tcPr>
            <w:tcW w:w="918" w:type="dxa"/>
            <w:vMerge w:val="continue"/>
            <w:vAlign w:val="center"/>
          </w:tcPr>
          <w:p>
            <w:pPr>
              <w:rPr>
                <w:ins w:id="2" w:author="园子" w:date="2021-08-24T15:59:24Z"/>
                <w:rFonts w:ascii="宋体" w:hAnsi="宋体" w:cs="宋体"/>
                <w:sz w:val="24"/>
              </w:rPr>
            </w:pPr>
          </w:p>
        </w:tc>
        <w:tc>
          <w:tcPr>
            <w:tcW w:w="2626" w:type="dxa"/>
            <w:vAlign w:val="center"/>
          </w:tcPr>
          <w:p>
            <w:pPr>
              <w:rPr>
                <w:rFonts w:hint="eastAsia" w:ascii="宋体" w:hAnsi="宋体" w:cs="宋体"/>
                <w:sz w:val="24"/>
              </w:rPr>
            </w:pPr>
            <w:r>
              <w:rPr>
                <w:rFonts w:hint="eastAsia" w:ascii="宋体" w:hAnsi="宋体" w:cs="宋体"/>
                <w:sz w:val="24"/>
              </w:rPr>
              <w:t>报价唯一</w:t>
            </w:r>
          </w:p>
        </w:tc>
        <w:tc>
          <w:tcPr>
            <w:tcW w:w="5512" w:type="dxa"/>
            <w:vAlign w:val="center"/>
          </w:tcPr>
          <w:p>
            <w:pPr>
              <w:rPr>
                <w:rFonts w:hint="eastAsia" w:ascii="宋体" w:hAnsi="宋体" w:cs="宋体"/>
                <w:sz w:val="24"/>
              </w:rPr>
            </w:pPr>
            <w:r>
              <w:rPr>
                <w:rFonts w:hint="eastAsia" w:ascii="宋体" w:hAnsi="宋体" w:cs="宋体"/>
                <w:sz w:val="24"/>
              </w:rPr>
              <w:t>其报价未超过采购预算金额，且只有一个有效报价，不得提交选择性报价。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vAlign w:val="center"/>
          </w:tcPr>
          <w:p>
            <w:pPr>
              <w:jc w:val="center"/>
              <w:rPr>
                <w:rFonts w:ascii="宋体" w:hAnsi="宋体" w:cs="宋体"/>
                <w:sz w:val="24"/>
              </w:rPr>
            </w:pPr>
          </w:p>
        </w:tc>
        <w:tc>
          <w:tcPr>
            <w:tcW w:w="918" w:type="dxa"/>
            <w:vMerge w:val="continue"/>
            <w:vAlign w:val="center"/>
          </w:tcPr>
          <w:p>
            <w:pPr>
              <w:rPr>
                <w:rFonts w:ascii="宋体" w:hAnsi="宋体" w:cs="宋体"/>
                <w:sz w:val="24"/>
              </w:rPr>
            </w:pPr>
          </w:p>
        </w:tc>
        <w:tc>
          <w:tcPr>
            <w:tcW w:w="2626" w:type="dxa"/>
            <w:vAlign w:val="center"/>
          </w:tcPr>
          <w:p>
            <w:pPr>
              <w:rPr>
                <w:rFonts w:ascii="宋体" w:hAnsi="宋体" w:cs="宋体"/>
                <w:sz w:val="24"/>
              </w:rPr>
            </w:pPr>
            <w:r>
              <w:rPr>
                <w:rFonts w:hint="eastAsia" w:ascii="宋体" w:hAnsi="宋体" w:cs="宋体"/>
                <w:sz w:val="24"/>
              </w:rPr>
              <w:t>格式要求</w:t>
            </w:r>
          </w:p>
        </w:tc>
        <w:tc>
          <w:tcPr>
            <w:tcW w:w="5512" w:type="dxa"/>
            <w:vAlign w:val="center"/>
          </w:tcPr>
          <w:p>
            <w:pPr>
              <w:rPr>
                <w:rFonts w:ascii="宋体" w:hAnsi="宋体" w:cs="宋体"/>
                <w:sz w:val="24"/>
              </w:rPr>
            </w:pPr>
            <w:r>
              <w:rPr>
                <w:rFonts w:hint="eastAsia" w:ascii="宋体" w:hAnsi="宋体" w:cs="宋体"/>
                <w:sz w:val="24"/>
              </w:rPr>
              <w:t>满足招标文件格式要求。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vAlign w:val="center"/>
          </w:tcPr>
          <w:p>
            <w:pPr>
              <w:jc w:val="center"/>
              <w:rPr>
                <w:rFonts w:ascii="宋体" w:hAnsi="宋体" w:cs="宋体"/>
                <w:sz w:val="24"/>
              </w:rPr>
            </w:pPr>
          </w:p>
        </w:tc>
        <w:tc>
          <w:tcPr>
            <w:tcW w:w="918" w:type="dxa"/>
            <w:vMerge w:val="continue"/>
            <w:vAlign w:val="center"/>
          </w:tcPr>
          <w:p>
            <w:pPr>
              <w:rPr>
                <w:rFonts w:ascii="宋体" w:hAnsi="宋体" w:cs="宋体"/>
                <w:sz w:val="24"/>
              </w:rPr>
            </w:pPr>
          </w:p>
        </w:tc>
        <w:tc>
          <w:tcPr>
            <w:tcW w:w="2626" w:type="dxa"/>
            <w:vAlign w:val="center"/>
          </w:tcPr>
          <w:p>
            <w:pPr>
              <w:rPr>
                <w:rFonts w:ascii="宋体" w:hAnsi="宋体" w:cs="宋体"/>
                <w:sz w:val="24"/>
              </w:rPr>
            </w:pPr>
            <w:r>
              <w:rPr>
                <w:rFonts w:hint="eastAsia" w:ascii="宋体" w:hAnsi="宋体" w:cs="宋体"/>
                <w:sz w:val="24"/>
              </w:rPr>
              <w:t>响应有效期</w:t>
            </w:r>
          </w:p>
        </w:tc>
        <w:tc>
          <w:tcPr>
            <w:tcW w:w="5512" w:type="dxa"/>
            <w:vAlign w:val="center"/>
          </w:tcPr>
          <w:p>
            <w:pPr>
              <w:rPr>
                <w:rFonts w:ascii="宋体" w:hAnsi="宋体" w:cs="宋体"/>
                <w:sz w:val="24"/>
              </w:rPr>
            </w:pPr>
            <w:r>
              <w:rPr>
                <w:rFonts w:hint="eastAsia" w:ascii="宋体" w:hAnsi="宋体" w:cs="宋体"/>
                <w:sz w:val="24"/>
              </w:rPr>
              <w:t>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50" w:type="dxa"/>
            <w:vMerge w:val="continue"/>
            <w:vAlign w:val="center"/>
          </w:tcPr>
          <w:p>
            <w:pPr>
              <w:jc w:val="center"/>
              <w:rPr>
                <w:rFonts w:ascii="宋体" w:hAnsi="宋体" w:cs="宋体"/>
                <w:sz w:val="24"/>
              </w:rPr>
            </w:pPr>
          </w:p>
        </w:tc>
        <w:tc>
          <w:tcPr>
            <w:tcW w:w="918" w:type="dxa"/>
            <w:vMerge w:val="continue"/>
            <w:vAlign w:val="center"/>
          </w:tcPr>
          <w:p>
            <w:pPr>
              <w:rPr>
                <w:rFonts w:ascii="宋体" w:hAnsi="宋体" w:cs="宋体"/>
                <w:sz w:val="24"/>
              </w:rPr>
            </w:pPr>
          </w:p>
        </w:tc>
        <w:tc>
          <w:tcPr>
            <w:tcW w:w="2626" w:type="dxa"/>
            <w:tcBorders>
              <w:bottom w:val="single" w:color="auto" w:sz="4" w:space="0"/>
            </w:tcBorders>
            <w:vAlign w:val="center"/>
          </w:tcPr>
          <w:p>
            <w:pPr>
              <w:rPr>
                <w:rFonts w:ascii="宋体" w:hAnsi="宋体" w:cs="宋体"/>
                <w:sz w:val="24"/>
              </w:rPr>
            </w:pPr>
            <w:r>
              <w:rPr>
                <w:rFonts w:hint="eastAsia" w:ascii="宋体" w:hAnsi="宋体" w:cs="宋体"/>
                <w:sz w:val="24"/>
              </w:rPr>
              <w:t>其他</w:t>
            </w:r>
          </w:p>
        </w:tc>
        <w:tc>
          <w:tcPr>
            <w:tcW w:w="5512" w:type="dxa"/>
            <w:tcBorders>
              <w:bottom w:val="single" w:color="auto" w:sz="4" w:space="0"/>
            </w:tcBorders>
            <w:vAlign w:val="center"/>
          </w:tcPr>
          <w:p>
            <w:pPr>
              <w:rPr>
                <w:rFonts w:ascii="宋体" w:hAnsi="宋体" w:cs="宋体"/>
                <w:sz w:val="24"/>
              </w:rPr>
            </w:pPr>
            <w:r>
              <w:rPr>
                <w:rFonts w:hint="eastAsia" w:ascii="宋体" w:hAnsi="宋体" w:cs="宋体"/>
                <w:sz w:val="24"/>
              </w:rPr>
              <w:t>投标文件未附有采购人不能接受的附加条件及法律、法规和招标文件规定的其他无效情形。</w:t>
            </w:r>
          </w:p>
        </w:tc>
      </w:tr>
    </w:tbl>
    <w:p>
      <w:pPr>
        <w:spacing w:line="480" w:lineRule="exact"/>
        <w:rPr>
          <w:rFonts w:ascii="宋体" w:hAnsi="宋体" w:cs="宋体"/>
          <w:color w:val="000000"/>
          <w:spacing w:val="-2"/>
          <w:sz w:val="24"/>
        </w:rPr>
      </w:pPr>
      <w:r>
        <w:rPr>
          <w:rFonts w:hint="eastAsia" w:ascii="宋体" w:hAnsi="宋体" w:cs="宋体"/>
          <w:color w:val="000000"/>
          <w:spacing w:val="-2"/>
          <w:sz w:val="24"/>
        </w:rPr>
        <w:t>响应性文件符合性审查通过的投标企业，进入下一步（商务标）详细评审阶段，未通过投标文件响应程度符合性审查的企业，其投标作为无效标，不进入后期评审阶段。</w:t>
      </w:r>
    </w:p>
    <w:p>
      <w:pPr>
        <w:spacing w:line="480" w:lineRule="exact"/>
        <w:rPr>
          <w:rFonts w:ascii="宋体" w:hAnsi="宋体" w:cs="仿宋"/>
          <w:b/>
          <w:bCs/>
          <w:sz w:val="24"/>
          <w:szCs w:val="21"/>
        </w:rPr>
      </w:pPr>
    </w:p>
    <w:p>
      <w:pPr>
        <w:spacing w:line="480" w:lineRule="exact"/>
        <w:rPr>
          <w:rFonts w:ascii="宋体" w:hAnsi="宋体" w:cs="仿宋"/>
          <w:b/>
          <w:bCs/>
          <w:sz w:val="24"/>
          <w:szCs w:val="21"/>
        </w:rPr>
      </w:pPr>
      <w:r>
        <w:rPr>
          <w:rFonts w:hint="eastAsia" w:ascii="宋体" w:hAnsi="宋体" w:cs="仿宋"/>
          <w:b/>
          <w:bCs/>
          <w:sz w:val="24"/>
          <w:szCs w:val="21"/>
        </w:rPr>
        <w:t>商务评审表</w:t>
      </w:r>
    </w:p>
    <w:tbl>
      <w:tblPr>
        <w:tblStyle w:val="18"/>
        <w:tblW w:w="45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811"/>
        <w:gridCol w:w="5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pct"/>
            <w:vAlign w:val="center"/>
          </w:tcPr>
          <w:p>
            <w:pPr>
              <w:jc w:val="center"/>
              <w:rPr>
                <w:rFonts w:ascii="宋体" w:hAnsi="宋体" w:cs="宋体"/>
                <w:sz w:val="24"/>
              </w:rPr>
            </w:pPr>
            <w:r>
              <w:rPr>
                <w:rFonts w:hint="eastAsia" w:ascii="宋体" w:hAnsi="宋体" w:cs="宋体"/>
                <w:sz w:val="24"/>
              </w:rPr>
              <w:t>序号</w:t>
            </w:r>
          </w:p>
        </w:tc>
        <w:tc>
          <w:tcPr>
            <w:tcW w:w="1081" w:type="pct"/>
            <w:vAlign w:val="center"/>
          </w:tcPr>
          <w:p>
            <w:pPr>
              <w:jc w:val="center"/>
              <w:rPr>
                <w:rFonts w:ascii="宋体" w:hAnsi="宋体" w:cs="宋体"/>
                <w:sz w:val="24"/>
              </w:rPr>
            </w:pPr>
            <w:r>
              <w:rPr>
                <w:rFonts w:hint="eastAsia" w:ascii="宋体" w:hAnsi="宋体" w:cs="宋体"/>
                <w:sz w:val="24"/>
              </w:rPr>
              <w:t>评审项目</w:t>
            </w:r>
          </w:p>
        </w:tc>
        <w:tc>
          <w:tcPr>
            <w:tcW w:w="3444" w:type="pct"/>
            <w:vAlign w:val="center"/>
          </w:tcPr>
          <w:p>
            <w:pPr>
              <w:jc w:val="center"/>
              <w:rPr>
                <w:rFonts w:ascii="宋体" w:hAnsi="宋体" w:cs="宋体"/>
                <w:sz w:val="24"/>
              </w:rPr>
            </w:pPr>
            <w:r>
              <w:rPr>
                <w:rFonts w:hint="eastAsia" w:ascii="宋体" w:hAnsi="宋体" w:cs="宋体"/>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pct"/>
            <w:vAlign w:val="center"/>
          </w:tcPr>
          <w:p>
            <w:pPr>
              <w:pStyle w:val="15"/>
              <w:widowControl w:val="0"/>
              <w:spacing w:before="0" w:beforeAutospacing="0" w:after="0" w:afterAutospacing="0" w:line="320" w:lineRule="exact"/>
              <w:ind w:right="-17"/>
              <w:jc w:val="center"/>
              <w:rPr>
                <w:color w:val="000000"/>
                <w:spacing w:val="-2"/>
                <w:lang w:eastAsia="en-US"/>
              </w:rPr>
            </w:pPr>
            <w:r>
              <w:rPr>
                <w:rFonts w:hint="eastAsia"/>
                <w:color w:val="000000"/>
                <w:spacing w:val="-2"/>
              </w:rPr>
              <w:t>1</w:t>
            </w:r>
          </w:p>
        </w:tc>
        <w:tc>
          <w:tcPr>
            <w:tcW w:w="1081" w:type="pct"/>
            <w:vAlign w:val="center"/>
          </w:tcPr>
          <w:p>
            <w:pPr>
              <w:pStyle w:val="15"/>
              <w:widowControl w:val="0"/>
              <w:spacing w:before="0" w:beforeAutospacing="0" w:after="0" w:afterAutospacing="0" w:line="320" w:lineRule="exact"/>
              <w:ind w:right="-17"/>
              <w:rPr>
                <w:color w:val="000000"/>
                <w:spacing w:val="-2"/>
                <w:lang w:eastAsia="en-US"/>
              </w:rPr>
            </w:pPr>
            <w:r>
              <w:rPr>
                <w:rFonts w:hint="eastAsia"/>
                <w:color w:val="000000"/>
                <w:spacing w:val="-2"/>
                <w:lang w:eastAsia="en-US"/>
              </w:rPr>
              <w:t>类似项目业绩</w:t>
            </w:r>
          </w:p>
        </w:tc>
        <w:tc>
          <w:tcPr>
            <w:tcW w:w="3444" w:type="pct"/>
            <w:vAlign w:val="center"/>
          </w:tcPr>
          <w:p>
            <w:pPr>
              <w:pStyle w:val="15"/>
              <w:widowControl w:val="0"/>
              <w:spacing w:before="0" w:beforeAutospacing="0" w:after="0" w:afterAutospacing="0" w:line="320" w:lineRule="exact"/>
              <w:ind w:right="-17"/>
              <w:rPr>
                <w:color w:val="000000"/>
                <w:spacing w:val="-2"/>
              </w:rPr>
            </w:pPr>
            <w:r>
              <w:rPr>
                <w:rFonts w:hint="eastAsia"/>
                <w:color w:val="000000"/>
                <w:spacing w:val="-2"/>
              </w:rPr>
              <w:t>投标供应商提供2018年</w:t>
            </w:r>
            <w:r>
              <w:rPr>
                <w:rFonts w:hint="eastAsia"/>
                <w:color w:val="000000"/>
                <w:spacing w:val="-2"/>
                <w:lang w:val="en-US" w:eastAsia="zh-CN"/>
              </w:rPr>
              <w:t>9</w:t>
            </w:r>
            <w:r>
              <w:rPr>
                <w:rFonts w:hint="eastAsia"/>
                <w:color w:val="000000"/>
                <w:spacing w:val="-2"/>
              </w:rPr>
              <w:t>月至今类似项目</w:t>
            </w:r>
            <w:r>
              <w:rPr>
                <w:rFonts w:hint="eastAsia"/>
                <w:color w:val="000000"/>
                <w:spacing w:val="-2"/>
                <w:highlight w:val="none"/>
                <w:lang w:val="en-US" w:eastAsia="zh-CN"/>
              </w:rPr>
              <w:t>3</w:t>
            </w:r>
            <w:r>
              <w:rPr>
                <w:rFonts w:hint="eastAsia"/>
                <w:color w:val="000000"/>
                <w:spacing w:val="-2"/>
                <w:highlight w:val="none"/>
              </w:rPr>
              <w:t>个</w:t>
            </w:r>
            <w:r>
              <w:rPr>
                <w:rFonts w:hint="eastAsia"/>
                <w:color w:val="000000"/>
                <w:spacing w:val="-2"/>
              </w:rPr>
              <w:t>（附成交或中标通知书或合同复印件）</w:t>
            </w:r>
          </w:p>
          <w:p>
            <w:pPr>
              <w:pStyle w:val="15"/>
              <w:widowControl w:val="0"/>
              <w:spacing w:before="0" w:beforeAutospacing="0" w:after="0" w:afterAutospacing="0" w:line="320" w:lineRule="exact"/>
              <w:ind w:right="-17"/>
              <w:rPr>
                <w:color w:val="000000"/>
                <w:spacing w:val="-2"/>
              </w:rPr>
            </w:pPr>
            <w:r>
              <w:rPr>
                <w:rFonts w:hint="eastAsia"/>
                <w:color w:val="000000"/>
                <w:spacing w:val="-2"/>
              </w:rPr>
              <w:t>注：合同要求必须提供与最终用户签订的合同首页、合同金额所在页、签字盖章页复印件作为证明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473" w:type="pct"/>
            <w:vAlign w:val="center"/>
          </w:tcPr>
          <w:p>
            <w:pPr>
              <w:pStyle w:val="15"/>
              <w:widowControl w:val="0"/>
              <w:spacing w:before="0" w:beforeAutospacing="0" w:after="0" w:afterAutospacing="0" w:line="320" w:lineRule="exact"/>
              <w:ind w:right="-17"/>
              <w:jc w:val="center"/>
              <w:rPr>
                <w:rFonts w:hint="eastAsia" w:eastAsia="宋体"/>
                <w:color w:val="000000"/>
                <w:spacing w:val="-2"/>
                <w:lang w:eastAsia="zh-CN"/>
              </w:rPr>
            </w:pPr>
            <w:r>
              <w:rPr>
                <w:rFonts w:hint="eastAsia"/>
                <w:color w:val="000000"/>
                <w:spacing w:val="-2"/>
                <w:lang w:val="en-US" w:eastAsia="zh-CN"/>
              </w:rPr>
              <w:t>2</w:t>
            </w:r>
          </w:p>
        </w:tc>
        <w:tc>
          <w:tcPr>
            <w:tcW w:w="1081" w:type="pct"/>
            <w:vAlign w:val="center"/>
          </w:tcPr>
          <w:p>
            <w:pPr>
              <w:pStyle w:val="15"/>
              <w:widowControl w:val="0"/>
              <w:spacing w:before="0" w:beforeAutospacing="0" w:after="0" w:afterAutospacing="0" w:line="320" w:lineRule="exact"/>
              <w:ind w:right="-17"/>
              <w:rPr>
                <w:color w:val="000000"/>
                <w:spacing w:val="-2"/>
              </w:rPr>
            </w:pPr>
            <w:r>
              <w:rPr>
                <w:rFonts w:hint="eastAsia"/>
                <w:color w:val="000000"/>
                <w:spacing w:val="-2"/>
              </w:rPr>
              <w:t>响应方案</w:t>
            </w:r>
          </w:p>
        </w:tc>
        <w:tc>
          <w:tcPr>
            <w:tcW w:w="3444" w:type="pct"/>
            <w:vAlign w:val="center"/>
          </w:tcPr>
          <w:p>
            <w:pPr>
              <w:pStyle w:val="15"/>
              <w:widowControl w:val="0"/>
              <w:spacing w:before="0" w:beforeAutospacing="0" w:after="0" w:afterAutospacing="0" w:line="320" w:lineRule="exact"/>
              <w:ind w:right="-17"/>
              <w:rPr>
                <w:color w:val="000000"/>
                <w:spacing w:val="-2"/>
              </w:rPr>
            </w:pPr>
            <w:r>
              <w:rPr>
                <w:rFonts w:hint="eastAsia"/>
                <w:color w:val="000000"/>
                <w:spacing w:val="-2"/>
              </w:rPr>
              <w:t>只能有一个方案响应。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3" w:type="pct"/>
            <w:vAlign w:val="center"/>
          </w:tcPr>
          <w:p>
            <w:pPr>
              <w:pStyle w:val="15"/>
              <w:widowControl w:val="0"/>
              <w:spacing w:before="0" w:beforeAutospacing="0" w:after="0" w:afterAutospacing="0" w:line="320" w:lineRule="exact"/>
              <w:ind w:right="-17"/>
              <w:jc w:val="center"/>
              <w:rPr>
                <w:rFonts w:hint="default" w:eastAsia="宋体"/>
                <w:color w:val="000000"/>
                <w:spacing w:val="-2"/>
                <w:lang w:val="en-US" w:eastAsia="zh-CN"/>
              </w:rPr>
            </w:pPr>
            <w:r>
              <w:rPr>
                <w:rFonts w:hint="eastAsia"/>
                <w:color w:val="000000"/>
                <w:spacing w:val="-2"/>
                <w:lang w:val="en-US" w:eastAsia="zh-CN"/>
              </w:rPr>
              <w:t>3</w:t>
            </w:r>
          </w:p>
        </w:tc>
        <w:tc>
          <w:tcPr>
            <w:tcW w:w="1081" w:type="pct"/>
            <w:vAlign w:val="center"/>
          </w:tcPr>
          <w:p>
            <w:pPr>
              <w:pStyle w:val="15"/>
              <w:widowControl w:val="0"/>
              <w:spacing w:before="0" w:beforeAutospacing="0" w:after="0" w:afterAutospacing="0" w:line="320" w:lineRule="exact"/>
              <w:ind w:right="-17"/>
              <w:rPr>
                <w:color w:val="000000"/>
                <w:spacing w:val="-2"/>
              </w:rPr>
            </w:pPr>
            <w:r>
              <w:rPr>
                <w:rFonts w:hint="eastAsia"/>
                <w:color w:val="000000"/>
                <w:spacing w:val="-2"/>
              </w:rPr>
              <w:t>交货期、质保期</w:t>
            </w:r>
          </w:p>
        </w:tc>
        <w:tc>
          <w:tcPr>
            <w:tcW w:w="3444" w:type="pct"/>
            <w:vAlign w:val="center"/>
          </w:tcPr>
          <w:p>
            <w:pPr>
              <w:pStyle w:val="15"/>
              <w:widowControl w:val="0"/>
              <w:spacing w:before="0" w:beforeAutospacing="0" w:after="0" w:afterAutospacing="0" w:line="320" w:lineRule="exact"/>
              <w:ind w:right="-17"/>
              <w:rPr>
                <w:color w:val="000000"/>
                <w:spacing w:val="-2"/>
              </w:rPr>
            </w:pPr>
            <w:r>
              <w:rPr>
                <w:rFonts w:hint="eastAsia"/>
                <w:color w:val="000000"/>
                <w:spacing w:val="-2"/>
              </w:rPr>
              <w:t>是否符合甲方要求；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473" w:type="pct"/>
            <w:vAlign w:val="center"/>
          </w:tcPr>
          <w:p>
            <w:pPr>
              <w:pStyle w:val="15"/>
              <w:widowControl w:val="0"/>
              <w:spacing w:before="0" w:beforeAutospacing="0" w:after="0" w:afterAutospacing="0" w:line="320" w:lineRule="exact"/>
              <w:ind w:right="-17"/>
              <w:jc w:val="center"/>
              <w:rPr>
                <w:rFonts w:hint="eastAsia" w:eastAsia="宋体"/>
                <w:color w:val="000000"/>
                <w:spacing w:val="-2"/>
                <w:lang w:eastAsia="zh-CN"/>
              </w:rPr>
            </w:pPr>
            <w:r>
              <w:rPr>
                <w:rFonts w:hint="eastAsia"/>
                <w:color w:val="000000"/>
                <w:spacing w:val="-2"/>
                <w:lang w:val="en-US" w:eastAsia="zh-CN"/>
              </w:rPr>
              <w:t>4</w:t>
            </w:r>
          </w:p>
        </w:tc>
        <w:tc>
          <w:tcPr>
            <w:tcW w:w="1081" w:type="pct"/>
            <w:vAlign w:val="center"/>
          </w:tcPr>
          <w:p>
            <w:pPr>
              <w:pStyle w:val="15"/>
              <w:widowControl w:val="0"/>
              <w:spacing w:before="0" w:beforeAutospacing="0" w:after="0" w:afterAutospacing="0" w:line="320" w:lineRule="exact"/>
              <w:ind w:right="-17"/>
              <w:rPr>
                <w:color w:val="000000"/>
                <w:spacing w:val="-2"/>
              </w:rPr>
            </w:pPr>
            <w:r>
              <w:rPr>
                <w:rFonts w:hint="eastAsia"/>
                <w:color w:val="000000"/>
                <w:spacing w:val="-2"/>
              </w:rPr>
              <w:t>付款条件和方式</w:t>
            </w:r>
          </w:p>
        </w:tc>
        <w:tc>
          <w:tcPr>
            <w:tcW w:w="3444" w:type="pct"/>
            <w:vAlign w:val="center"/>
          </w:tcPr>
          <w:p>
            <w:pPr>
              <w:pStyle w:val="15"/>
              <w:widowControl w:val="0"/>
              <w:spacing w:before="0" w:beforeAutospacing="0" w:after="0" w:afterAutospacing="0" w:line="320" w:lineRule="exact"/>
              <w:ind w:right="-17"/>
              <w:rPr>
                <w:color w:val="000000"/>
                <w:spacing w:val="-2"/>
              </w:rPr>
            </w:pPr>
            <w:r>
              <w:rPr>
                <w:rFonts w:hint="eastAsia"/>
                <w:color w:val="000000"/>
                <w:spacing w:val="-2"/>
              </w:rPr>
              <w:t>是否满足竞争性谈判文件。</w:t>
            </w:r>
          </w:p>
        </w:tc>
      </w:tr>
    </w:tbl>
    <w:p>
      <w:pPr>
        <w:spacing w:line="500" w:lineRule="exact"/>
        <w:rPr>
          <w:rFonts w:ascii="宋体" w:hAnsi="宋体" w:cs="宋体"/>
          <w:color w:val="000000"/>
          <w:kern w:val="0"/>
          <w:sz w:val="24"/>
        </w:rPr>
      </w:pPr>
      <w:r>
        <w:rPr>
          <w:rFonts w:hint="eastAsia" w:ascii="宋体" w:hAnsi="宋体" w:cs="宋体"/>
          <w:color w:val="000000"/>
          <w:kern w:val="0"/>
          <w:sz w:val="24"/>
        </w:rPr>
        <w:t>注：在结论栏中填写“合格”或“不合格”。</w:t>
      </w:r>
    </w:p>
    <w:p>
      <w:pPr>
        <w:spacing w:line="500" w:lineRule="exact"/>
        <w:rPr>
          <w:rFonts w:ascii="宋体" w:hAnsi="宋体" w:cs="仿宋"/>
          <w:b/>
          <w:bCs/>
          <w:sz w:val="24"/>
          <w:szCs w:val="21"/>
        </w:rPr>
      </w:pPr>
      <w:r>
        <w:rPr>
          <w:rFonts w:hint="eastAsia" w:ascii="宋体" w:hAnsi="宋体"/>
          <w:color w:val="000000"/>
          <w:spacing w:val="-2"/>
          <w:sz w:val="24"/>
        </w:rPr>
        <w:t>响应性文件通过商务标详细评审，则进入下一步（技术标）详细评审阶段，未通过商务标审查的企业，其投标作为无效标，不进入技术标评审阶段。</w:t>
      </w:r>
    </w:p>
    <w:p>
      <w:pPr>
        <w:pStyle w:val="8"/>
        <w:spacing w:line="360" w:lineRule="exact"/>
        <w:rPr>
          <w:rFonts w:ascii="宋体" w:hAnsi="宋体" w:eastAsia="宋体" w:cs="仿宋"/>
          <w:b/>
          <w:bCs/>
          <w:sz w:val="24"/>
          <w:szCs w:val="21"/>
        </w:rPr>
      </w:pPr>
    </w:p>
    <w:p>
      <w:pPr>
        <w:pStyle w:val="8"/>
        <w:spacing w:line="360" w:lineRule="exact"/>
        <w:rPr>
          <w:rFonts w:ascii="宋体" w:hAnsi="宋体" w:eastAsia="宋体" w:cs="仿宋"/>
          <w:b/>
          <w:bCs/>
          <w:sz w:val="24"/>
          <w:szCs w:val="21"/>
        </w:rPr>
      </w:pPr>
      <w:r>
        <w:rPr>
          <w:rFonts w:hint="eastAsia" w:ascii="宋体" w:hAnsi="宋体" w:eastAsia="宋体" w:cs="仿宋"/>
          <w:b/>
          <w:bCs/>
          <w:sz w:val="24"/>
          <w:szCs w:val="21"/>
        </w:rPr>
        <w:t>技术评审表</w:t>
      </w:r>
    </w:p>
    <w:p>
      <w:pPr>
        <w:pStyle w:val="8"/>
        <w:spacing w:line="360" w:lineRule="exact"/>
        <w:rPr>
          <w:rFonts w:ascii="宋体" w:hAnsi="宋体" w:eastAsia="宋体" w:cs="仿宋"/>
          <w:b/>
          <w:bCs/>
          <w:sz w:val="24"/>
          <w:szCs w:val="21"/>
        </w:rPr>
      </w:pPr>
    </w:p>
    <w:tbl>
      <w:tblPr>
        <w:tblStyle w:val="18"/>
        <w:tblW w:w="0" w:type="auto"/>
        <w:tblInd w:w="93" w:type="dxa"/>
        <w:tblLayout w:type="fixed"/>
        <w:tblCellMar>
          <w:top w:w="0" w:type="dxa"/>
          <w:left w:w="108" w:type="dxa"/>
          <w:bottom w:w="0" w:type="dxa"/>
          <w:right w:w="108" w:type="dxa"/>
        </w:tblCellMar>
      </w:tblPr>
      <w:tblGrid>
        <w:gridCol w:w="724"/>
        <w:gridCol w:w="2596"/>
        <w:gridCol w:w="1960"/>
        <w:gridCol w:w="2400"/>
        <w:gridCol w:w="1840"/>
      </w:tblGrid>
      <w:tr>
        <w:tblPrEx>
          <w:tblCellMar>
            <w:top w:w="0" w:type="dxa"/>
            <w:left w:w="108" w:type="dxa"/>
            <w:bottom w:w="0" w:type="dxa"/>
            <w:right w:w="108" w:type="dxa"/>
          </w:tblCellMar>
        </w:tblPrEx>
        <w:trPr>
          <w:trHeight w:val="615" w:hRule="atLeast"/>
        </w:trPr>
        <w:tc>
          <w:tcPr>
            <w:tcW w:w="724" w:type="dxa"/>
            <w:vMerge w:val="restart"/>
            <w:tcBorders>
              <w:top w:val="single" w:color="auto" w:sz="4" w:space="0"/>
              <w:left w:val="single" w:color="auto" w:sz="4" w:space="0"/>
              <w:bottom w:val="single" w:color="000000"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参数</w:t>
            </w:r>
          </w:p>
        </w:tc>
        <w:tc>
          <w:tcPr>
            <w:tcW w:w="2596"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供应商名称</w:t>
            </w:r>
          </w:p>
        </w:tc>
        <w:tc>
          <w:tcPr>
            <w:tcW w:w="1960"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响应性文件技术参数</w:t>
            </w:r>
          </w:p>
        </w:tc>
        <w:tc>
          <w:tcPr>
            <w:tcW w:w="2400"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评审（是否符合竞争性谈判文件技术要求）</w:t>
            </w:r>
          </w:p>
        </w:tc>
        <w:tc>
          <w:tcPr>
            <w:tcW w:w="1840"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结论</w:t>
            </w:r>
          </w:p>
        </w:tc>
      </w:tr>
      <w:tr>
        <w:tblPrEx>
          <w:tblCellMar>
            <w:top w:w="0" w:type="dxa"/>
            <w:left w:w="108" w:type="dxa"/>
            <w:bottom w:w="0" w:type="dxa"/>
            <w:right w:w="108" w:type="dxa"/>
          </w:tblCellMar>
        </w:tblPrEx>
        <w:trPr>
          <w:trHeight w:val="727" w:hRule="atLeast"/>
        </w:trPr>
        <w:tc>
          <w:tcPr>
            <w:tcW w:w="724"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cs="宋体"/>
                <w:color w:val="000000"/>
                <w:kern w:val="0"/>
                <w:sz w:val="24"/>
              </w:rPr>
            </w:pPr>
          </w:p>
        </w:tc>
        <w:tc>
          <w:tcPr>
            <w:tcW w:w="2596" w:type="dxa"/>
            <w:tcBorders>
              <w:top w:val="nil"/>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　</w:t>
            </w:r>
          </w:p>
        </w:tc>
        <w:tc>
          <w:tcPr>
            <w:tcW w:w="1960" w:type="dxa"/>
            <w:tcBorders>
              <w:top w:val="nil"/>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详见响应性文件</w:t>
            </w:r>
          </w:p>
        </w:tc>
        <w:tc>
          <w:tcPr>
            <w:tcW w:w="2400" w:type="dxa"/>
            <w:tcBorders>
              <w:top w:val="nil"/>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　</w:t>
            </w:r>
          </w:p>
        </w:tc>
        <w:tc>
          <w:tcPr>
            <w:tcW w:w="1840" w:type="dxa"/>
            <w:tcBorders>
              <w:top w:val="nil"/>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974" w:hRule="atLeast"/>
        </w:trPr>
        <w:tc>
          <w:tcPr>
            <w:tcW w:w="724"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cs="宋体"/>
                <w:color w:val="000000"/>
                <w:kern w:val="0"/>
                <w:sz w:val="24"/>
              </w:rPr>
            </w:pPr>
          </w:p>
        </w:tc>
        <w:tc>
          <w:tcPr>
            <w:tcW w:w="25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　</w:t>
            </w:r>
          </w:p>
        </w:tc>
        <w:tc>
          <w:tcPr>
            <w:tcW w:w="1960"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详见响应性文件</w:t>
            </w:r>
          </w:p>
        </w:tc>
        <w:tc>
          <w:tcPr>
            <w:tcW w:w="2400"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　</w:t>
            </w:r>
          </w:p>
        </w:tc>
        <w:tc>
          <w:tcPr>
            <w:tcW w:w="1840"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672" w:hRule="atLeast"/>
        </w:trPr>
        <w:tc>
          <w:tcPr>
            <w:tcW w:w="724"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cs="宋体"/>
                <w:color w:val="000000"/>
                <w:kern w:val="0"/>
                <w:sz w:val="24"/>
              </w:rPr>
            </w:pPr>
          </w:p>
        </w:tc>
        <w:tc>
          <w:tcPr>
            <w:tcW w:w="2596"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　</w:t>
            </w:r>
          </w:p>
        </w:tc>
        <w:tc>
          <w:tcPr>
            <w:tcW w:w="1960"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w:t>
            </w:r>
          </w:p>
        </w:tc>
        <w:tc>
          <w:tcPr>
            <w:tcW w:w="2400"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　</w:t>
            </w:r>
          </w:p>
        </w:tc>
        <w:tc>
          <w:tcPr>
            <w:tcW w:w="1840"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4"/>
              </w:rPr>
            </w:pPr>
            <w:r>
              <w:rPr>
                <w:rFonts w:hint="eastAsia" w:ascii="宋体" w:hAnsi="宋体" w:cs="宋体"/>
                <w:color w:val="000000"/>
                <w:kern w:val="0"/>
                <w:sz w:val="24"/>
              </w:rPr>
              <w:t>　</w:t>
            </w:r>
          </w:p>
        </w:tc>
      </w:tr>
    </w:tbl>
    <w:p>
      <w:pPr>
        <w:spacing w:line="460" w:lineRule="exact"/>
        <w:rPr>
          <w:rFonts w:ascii="宋体" w:hAnsi="宋体" w:cs="宋体"/>
          <w:color w:val="000000"/>
          <w:kern w:val="0"/>
          <w:sz w:val="24"/>
        </w:rPr>
      </w:pPr>
      <w:r>
        <w:rPr>
          <w:rFonts w:hint="eastAsia" w:ascii="宋体" w:hAnsi="宋体" w:cs="宋体"/>
          <w:color w:val="000000"/>
          <w:kern w:val="0"/>
          <w:sz w:val="24"/>
        </w:rPr>
        <w:t>注：1、“评审”栏中填写“符合”或“不符合”。</w:t>
      </w:r>
    </w:p>
    <w:p>
      <w:pPr>
        <w:spacing w:line="460" w:lineRule="exact"/>
        <w:rPr>
          <w:rFonts w:ascii="宋体" w:hAnsi="宋体" w:cs="宋体"/>
          <w:color w:val="000000"/>
          <w:kern w:val="0"/>
          <w:sz w:val="24"/>
        </w:rPr>
      </w:pPr>
      <w:r>
        <w:rPr>
          <w:rFonts w:hint="eastAsia" w:ascii="宋体" w:hAnsi="宋体" w:cs="宋体"/>
          <w:color w:val="000000"/>
          <w:kern w:val="0"/>
          <w:sz w:val="24"/>
        </w:rPr>
        <w:t>2、“结论”栏中填写“合格”或“不合格”。</w:t>
      </w:r>
    </w:p>
    <w:p>
      <w:pPr>
        <w:spacing w:line="360" w:lineRule="auto"/>
        <w:rPr>
          <w:rFonts w:ascii="宋体" w:hAnsi="宋体" w:cs="宋体"/>
          <w:b/>
          <w:sz w:val="32"/>
          <w:szCs w:val="32"/>
        </w:rPr>
      </w:pPr>
      <w:r>
        <w:rPr>
          <w:rFonts w:hint="eastAsia" w:ascii="宋体" w:hAnsi="宋体" w:cs="宋体"/>
          <w:color w:val="000000"/>
          <w:kern w:val="0"/>
          <w:sz w:val="24"/>
        </w:rPr>
        <w:t>3、凡有一项参数不符合者，其结论即为“不合格”。</w:t>
      </w:r>
    </w:p>
    <w:p>
      <w:pPr>
        <w:spacing w:line="480" w:lineRule="exact"/>
        <w:rPr>
          <w:rFonts w:ascii="宋体" w:hAnsi="宋体" w:cs="宋体"/>
          <w:color w:val="000000"/>
          <w:spacing w:val="-2"/>
          <w:sz w:val="24"/>
        </w:rPr>
      </w:pPr>
    </w:p>
    <w:p>
      <w:pPr>
        <w:spacing w:line="360" w:lineRule="auto"/>
        <w:jc w:val="center"/>
        <w:rPr>
          <w:rFonts w:ascii="宋体" w:hAnsi="宋体" w:cs="宋体"/>
          <w:b/>
          <w:sz w:val="32"/>
          <w:szCs w:val="32"/>
        </w:rPr>
      </w:pPr>
      <w:r>
        <w:rPr>
          <w:rFonts w:hint="eastAsia" w:ascii="宋体" w:hAnsi="宋体" w:cs="宋体"/>
          <w:b/>
          <w:sz w:val="32"/>
          <w:szCs w:val="32"/>
        </w:rPr>
        <w:t>七、成交及合同签订</w:t>
      </w:r>
    </w:p>
    <w:p>
      <w:pPr>
        <w:spacing w:line="360" w:lineRule="auto"/>
        <w:ind w:firstLine="482" w:firstLineChars="200"/>
        <w:jc w:val="left"/>
        <w:outlineLvl w:val="0"/>
        <w:rPr>
          <w:rFonts w:ascii="宋体" w:hAnsi="宋体" w:cs="宋体"/>
          <w:sz w:val="24"/>
        </w:rPr>
      </w:pPr>
      <w:bookmarkStart w:id="167" w:name="_Toc489694893"/>
      <w:bookmarkStart w:id="168" w:name="_Toc490155596"/>
      <w:bookmarkStart w:id="169" w:name="_Toc8983656"/>
      <w:bookmarkStart w:id="170" w:name="_Toc24108"/>
      <w:bookmarkStart w:id="171" w:name="_Toc4233"/>
      <w:bookmarkStart w:id="172" w:name="_Toc31101"/>
      <w:r>
        <w:rPr>
          <w:rFonts w:hint="eastAsia" w:ascii="宋体" w:hAnsi="宋体" w:cs="宋体"/>
          <w:b/>
          <w:bCs/>
          <w:sz w:val="24"/>
        </w:rPr>
        <w:t>1.中标人</w:t>
      </w:r>
      <w:bookmarkEnd w:id="167"/>
      <w:bookmarkEnd w:id="168"/>
      <w:bookmarkEnd w:id="169"/>
      <w:bookmarkEnd w:id="170"/>
      <w:bookmarkEnd w:id="171"/>
      <w:bookmarkEnd w:id="172"/>
    </w:p>
    <w:p>
      <w:pPr>
        <w:snapToGrid w:val="0"/>
        <w:spacing w:line="360" w:lineRule="auto"/>
        <w:ind w:firstLine="480" w:firstLineChars="200"/>
        <w:rPr>
          <w:rFonts w:ascii="宋体" w:hAnsi="宋体"/>
          <w:sz w:val="24"/>
        </w:rPr>
      </w:pPr>
      <w:r>
        <w:rPr>
          <w:rFonts w:hint="eastAsia" w:ascii="宋体" w:hAnsi="宋体"/>
          <w:sz w:val="24"/>
        </w:rPr>
        <w:t>根据评标小组对各投标人满足谈判文件实质性响应【</w:t>
      </w:r>
      <w:r>
        <w:rPr>
          <w:rFonts w:hint="eastAsia" w:ascii="宋体" w:hAnsi="宋体"/>
          <w:b/>
          <w:sz w:val="24"/>
        </w:rPr>
        <w:t>所谓实质性响应，是指谈判响应文件应与</w:t>
      </w:r>
      <w:r>
        <w:rPr>
          <w:rFonts w:hint="eastAsia" w:ascii="宋体" w:hAnsi="宋体"/>
          <w:b/>
          <w:bCs/>
          <w:sz w:val="24"/>
        </w:rPr>
        <w:t>谈判</w:t>
      </w:r>
      <w:r>
        <w:rPr>
          <w:rFonts w:hint="eastAsia" w:ascii="宋体" w:hAnsi="宋体"/>
          <w:b/>
          <w:sz w:val="24"/>
        </w:rPr>
        <w:t>文件的所有实质性条款、条件和要求相符，无显著差异或保留（由评标小组确定）、质量和交货期相</w:t>
      </w:r>
      <w:r>
        <w:rPr>
          <w:rFonts w:hint="eastAsia" w:ascii="宋体" w:hAnsi="宋体" w:eastAsia="宋体" w:cs="Times New Roman"/>
          <w:b/>
          <w:sz w:val="24"/>
        </w:rPr>
        <w:t>等</w:t>
      </w:r>
      <w:r>
        <w:rPr>
          <w:rFonts w:hint="eastAsia" w:ascii="宋体" w:hAnsi="宋体" w:eastAsia="宋体" w:cs="Times New Roman"/>
          <w:b/>
          <w:sz w:val="24"/>
          <w:lang w:eastAsia="zh-CN"/>
        </w:rPr>
        <w:t>且</w:t>
      </w:r>
      <w:r>
        <w:rPr>
          <w:rFonts w:hint="eastAsia" w:ascii="宋体" w:hAnsi="宋体" w:eastAsia="宋体" w:cs="Times New Roman"/>
          <w:b/>
          <w:spacing w:val="0"/>
          <w:sz w:val="24"/>
        </w:rPr>
        <w:t>符合谈判文件要求的、报价最低的供应商</w:t>
      </w:r>
      <w:r>
        <w:rPr>
          <w:rFonts w:hint="eastAsia" w:ascii="宋体" w:hAnsi="宋体" w:eastAsia="宋体" w:cs="Times New Roman"/>
          <w:b/>
          <w:sz w:val="24"/>
        </w:rPr>
        <w:t>。</w:t>
      </w:r>
      <w:r>
        <w:rPr>
          <w:rFonts w:hint="eastAsia" w:ascii="宋体" w:hAnsi="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采购人从评标委员会提出的中标候选人中根据符合采购需求、质量和交货期相关且综合</w:t>
      </w:r>
      <w:r>
        <w:rPr>
          <w:rFonts w:hint="eastAsia" w:ascii="宋体" w:hAnsi="宋体" w:cs="宋体"/>
          <w:sz w:val="24"/>
          <w:lang w:eastAsia="zh-CN"/>
        </w:rPr>
        <w:t>排名</w:t>
      </w:r>
      <w:r>
        <w:rPr>
          <w:rFonts w:hint="eastAsia" w:ascii="宋体" w:hAnsi="宋体" w:cs="宋体"/>
          <w:sz w:val="24"/>
        </w:rPr>
        <w:t>最高的确定中标人。</w:t>
      </w:r>
    </w:p>
    <w:p>
      <w:pPr>
        <w:snapToGrid w:val="0"/>
        <w:spacing w:line="360" w:lineRule="auto"/>
        <w:ind w:firstLine="482" w:firstLineChars="200"/>
        <w:outlineLvl w:val="0"/>
        <w:rPr>
          <w:rFonts w:ascii="宋体" w:hAnsi="宋体" w:cs="宋体"/>
          <w:sz w:val="24"/>
        </w:rPr>
      </w:pPr>
      <w:bookmarkStart w:id="173" w:name="_Toc489694894"/>
      <w:bookmarkStart w:id="174" w:name="_Toc3926"/>
      <w:bookmarkStart w:id="175" w:name="_Toc11718"/>
      <w:bookmarkStart w:id="176" w:name="_Toc490155597"/>
      <w:bookmarkStart w:id="177" w:name="_Toc8983657"/>
      <w:bookmarkStart w:id="178" w:name="_Toc3696"/>
      <w:r>
        <w:rPr>
          <w:rFonts w:hint="eastAsia" w:ascii="宋体" w:hAnsi="宋体" w:cs="宋体"/>
          <w:b/>
          <w:bCs/>
          <w:sz w:val="24"/>
        </w:rPr>
        <w:t>2.资格后审</w:t>
      </w:r>
      <w:bookmarkEnd w:id="173"/>
      <w:bookmarkEnd w:id="174"/>
      <w:bookmarkEnd w:id="175"/>
      <w:bookmarkEnd w:id="176"/>
      <w:bookmarkEnd w:id="177"/>
      <w:bookmarkEnd w:id="178"/>
    </w:p>
    <w:p>
      <w:pPr>
        <w:spacing w:line="360" w:lineRule="auto"/>
        <w:ind w:firstLine="480" w:firstLineChars="200"/>
        <w:jc w:val="left"/>
        <w:rPr>
          <w:rFonts w:ascii="宋体" w:hAnsi="宋体" w:cs="宋体"/>
          <w:sz w:val="24"/>
        </w:rPr>
      </w:pPr>
      <w:r>
        <w:rPr>
          <w:rFonts w:hint="eastAsia" w:ascii="宋体" w:hAnsi="宋体" w:cs="宋体"/>
          <w:sz w:val="24"/>
        </w:rPr>
        <w:t>2.1采购人将在签订合同前对中标候选人是否能圆满地履行合同进行审查。审查包括中标候选人谈判响应文件中提供的所有资格证明材料原件，中标候选人谈判响应文件及补充承诺中涉及的其他相关资料原件，以及对本项目实施可能存在风险的其他因素。</w:t>
      </w:r>
    </w:p>
    <w:p>
      <w:pPr>
        <w:spacing w:line="360" w:lineRule="auto"/>
        <w:ind w:firstLine="480" w:firstLineChars="200"/>
        <w:jc w:val="left"/>
        <w:rPr>
          <w:rFonts w:ascii="宋体" w:hAnsi="宋体" w:cs="宋体"/>
          <w:sz w:val="24"/>
        </w:rPr>
      </w:pPr>
      <w:r>
        <w:rPr>
          <w:rFonts w:hint="eastAsia" w:ascii="宋体" w:hAnsi="宋体" w:cs="宋体"/>
          <w:sz w:val="24"/>
        </w:rPr>
        <w:t>2.2采购人若发现中标候选人在投标过程中提供虚假证明文件，故意隐瞒公司不良信誉和财务状况，以及存在可能对合同圆满履行造成风险的其他因素等，则按规定取消其成交资格，监管部门依法进行处理。</w:t>
      </w:r>
    </w:p>
    <w:p>
      <w:pPr>
        <w:spacing w:line="360" w:lineRule="auto"/>
        <w:ind w:firstLine="480" w:firstLineChars="200"/>
        <w:jc w:val="left"/>
        <w:rPr>
          <w:rFonts w:ascii="宋体" w:hAnsi="宋体" w:cs="宋体"/>
          <w:sz w:val="24"/>
        </w:rPr>
      </w:pPr>
      <w:r>
        <w:rPr>
          <w:rFonts w:hint="eastAsia" w:ascii="宋体" w:hAnsi="宋体" w:cs="宋体"/>
          <w:sz w:val="24"/>
        </w:rPr>
        <w:t>2.3如果中标候选人被确认为不具备执行合同的能力，采购人将考虑按同样的程序审查下一个中标候选人。</w:t>
      </w:r>
    </w:p>
    <w:p>
      <w:pPr>
        <w:spacing w:line="360" w:lineRule="auto"/>
        <w:ind w:firstLine="482" w:firstLineChars="200"/>
        <w:jc w:val="left"/>
        <w:outlineLvl w:val="0"/>
        <w:rPr>
          <w:rFonts w:ascii="宋体" w:hAnsi="宋体" w:cs="宋体"/>
          <w:sz w:val="24"/>
        </w:rPr>
      </w:pPr>
      <w:bookmarkStart w:id="179" w:name="_Toc490155598"/>
      <w:bookmarkStart w:id="180" w:name="_Toc489694895"/>
      <w:bookmarkStart w:id="181" w:name="_Toc8983658"/>
      <w:bookmarkStart w:id="182" w:name="_Toc12865"/>
      <w:bookmarkStart w:id="183" w:name="_Toc16618"/>
      <w:bookmarkStart w:id="184" w:name="_Toc7149"/>
      <w:r>
        <w:rPr>
          <w:rFonts w:hint="eastAsia" w:ascii="宋体" w:hAnsi="宋体" w:cs="宋体"/>
          <w:b/>
          <w:bCs/>
          <w:sz w:val="24"/>
        </w:rPr>
        <w:t>3.中标通知书</w:t>
      </w:r>
      <w:bookmarkEnd w:id="179"/>
      <w:bookmarkEnd w:id="180"/>
      <w:bookmarkEnd w:id="181"/>
      <w:bookmarkEnd w:id="182"/>
      <w:bookmarkEnd w:id="183"/>
      <w:bookmarkEnd w:id="184"/>
    </w:p>
    <w:p>
      <w:pPr>
        <w:snapToGrid w:val="0"/>
        <w:spacing w:line="360" w:lineRule="auto"/>
        <w:ind w:firstLine="480" w:firstLineChars="200"/>
        <w:jc w:val="left"/>
        <w:rPr>
          <w:rFonts w:ascii="宋体" w:hAnsi="宋体"/>
          <w:sz w:val="24"/>
        </w:rPr>
      </w:pPr>
      <w:bookmarkStart w:id="185" w:name="_Toc490155599"/>
      <w:bookmarkStart w:id="186" w:name="_Toc19456"/>
      <w:bookmarkStart w:id="187" w:name="_Toc489694896"/>
      <w:bookmarkStart w:id="188" w:name="_Toc22669"/>
      <w:bookmarkStart w:id="189" w:name="_Toc20838"/>
      <w:r>
        <w:rPr>
          <w:rFonts w:hint="eastAsia" w:ascii="宋体" w:hAnsi="宋体"/>
          <w:sz w:val="24"/>
        </w:rPr>
        <w:t>3.1中标公示期1个工作日期满后，采购人或者采购代理机构应当向中标人发出中标通知书。</w:t>
      </w:r>
    </w:p>
    <w:p>
      <w:pPr>
        <w:snapToGrid w:val="0"/>
        <w:spacing w:line="360" w:lineRule="auto"/>
        <w:ind w:firstLine="480" w:firstLineChars="200"/>
        <w:jc w:val="left"/>
        <w:rPr>
          <w:rFonts w:ascii="宋体" w:hAnsi="宋体"/>
          <w:sz w:val="24"/>
        </w:rPr>
      </w:pPr>
      <w:r>
        <w:rPr>
          <w:rFonts w:hint="eastAsia" w:ascii="宋体" w:hAnsi="宋体"/>
          <w:sz w:val="24"/>
        </w:rPr>
        <w:t>3.2成交投标人应及时到采购代理机构领取中标通知书，中标通知书是签订合同的依据和组成部分。</w:t>
      </w:r>
    </w:p>
    <w:p>
      <w:pPr>
        <w:spacing w:line="360" w:lineRule="auto"/>
        <w:ind w:firstLine="482" w:firstLineChars="200"/>
        <w:jc w:val="left"/>
        <w:outlineLvl w:val="0"/>
        <w:rPr>
          <w:rFonts w:ascii="宋体" w:hAnsi="宋体" w:cs="宋体"/>
          <w:sz w:val="24"/>
        </w:rPr>
      </w:pPr>
      <w:bookmarkStart w:id="190" w:name="_Toc8983659"/>
      <w:r>
        <w:rPr>
          <w:rFonts w:hint="eastAsia" w:ascii="宋体" w:hAnsi="宋体" w:cs="宋体"/>
          <w:b/>
          <w:bCs/>
          <w:sz w:val="24"/>
        </w:rPr>
        <w:t>4.签订合同</w:t>
      </w:r>
      <w:bookmarkEnd w:id="185"/>
      <w:bookmarkEnd w:id="186"/>
      <w:bookmarkEnd w:id="187"/>
      <w:bookmarkEnd w:id="188"/>
      <w:bookmarkEnd w:id="189"/>
      <w:bookmarkEnd w:id="190"/>
    </w:p>
    <w:p>
      <w:pPr>
        <w:spacing w:line="360" w:lineRule="auto"/>
        <w:ind w:firstLine="480" w:firstLineChars="200"/>
        <w:rPr>
          <w:rFonts w:ascii="宋体" w:hAnsi="宋体" w:cs="宋体"/>
          <w:b/>
          <w:sz w:val="24"/>
        </w:rPr>
      </w:pPr>
      <w:r>
        <w:rPr>
          <w:rFonts w:hint="eastAsia" w:ascii="宋体" w:hAnsi="宋体" w:cs="宋体"/>
          <w:sz w:val="24"/>
        </w:rPr>
        <w:t>中标人应在规定的时间、地点与采购人签订合同，谈判文件、中标人的谈判响应文件、分次报价及服务承诺文件以及评标过程中有关澄清文件均作为合同附件，</w:t>
      </w:r>
      <w:r>
        <w:rPr>
          <w:rFonts w:hint="eastAsia" w:ascii="宋体" w:hAnsi="宋体" w:cs="宋体"/>
          <w:b/>
          <w:sz w:val="24"/>
        </w:rPr>
        <w:t>合同经采购人审核盖章后实施</w:t>
      </w:r>
      <w:r>
        <w:rPr>
          <w:rFonts w:hint="eastAsia" w:ascii="宋体" w:hAnsi="宋体" w:cs="宋体"/>
          <w:sz w:val="24"/>
        </w:rPr>
        <w:t>。</w:t>
      </w:r>
      <w:r>
        <w:rPr>
          <w:rFonts w:hint="eastAsia" w:ascii="宋体" w:hAnsi="宋体" w:cs="宋体"/>
          <w:b/>
          <w:sz w:val="24"/>
        </w:rPr>
        <w:t>项目数量增减、合同条款变更、预算追加等按规定报批后，另行签订补充合同。</w:t>
      </w:r>
    </w:p>
    <w:p>
      <w:pPr>
        <w:spacing w:line="360" w:lineRule="auto"/>
        <w:ind w:left="2" w:firstLine="480" w:firstLineChars="200"/>
        <w:rPr>
          <w:rFonts w:ascii="宋体" w:hAnsi="宋体" w:cs="宋体"/>
          <w:sz w:val="24"/>
        </w:rPr>
      </w:pPr>
      <w:r>
        <w:rPr>
          <w:rFonts w:hint="eastAsia" w:ascii="宋体" w:hAnsi="宋体" w:cs="宋体"/>
          <w:sz w:val="24"/>
        </w:rPr>
        <w:t>4.1中标人无正当理由未在规定时间内与采购人签订合同的，采购人有权建议取消其成交资格，监管部门将对其依法处理。</w:t>
      </w:r>
    </w:p>
    <w:p>
      <w:pPr>
        <w:spacing w:line="360" w:lineRule="auto"/>
        <w:ind w:left="2" w:firstLine="480" w:firstLineChars="200"/>
        <w:rPr>
          <w:rFonts w:ascii="宋体" w:hAnsi="宋体" w:cs="宋体"/>
          <w:sz w:val="24"/>
        </w:rPr>
      </w:pPr>
      <w:r>
        <w:rPr>
          <w:rFonts w:hint="eastAsia" w:ascii="宋体" w:hAnsi="宋体" w:cs="宋体"/>
          <w:sz w:val="24"/>
        </w:rPr>
        <w:t>4.2采购人不得向中标人提出任何不合理的要求，作为签订合同的条件；不得与中标人私下订立背离合同实质性内容的协议。</w:t>
      </w:r>
    </w:p>
    <w:p>
      <w:pPr>
        <w:spacing w:line="360" w:lineRule="auto"/>
        <w:ind w:left="1" w:firstLine="480" w:firstLineChars="200"/>
        <w:rPr>
          <w:rFonts w:ascii="宋体" w:hAnsi="宋体" w:cs="宋体"/>
          <w:sz w:val="24"/>
        </w:rPr>
      </w:pPr>
      <w:r>
        <w:rPr>
          <w:rFonts w:hint="eastAsia" w:ascii="宋体" w:hAnsi="宋体" w:cs="宋体"/>
          <w:sz w:val="24"/>
        </w:rPr>
        <w:t>4.3中标人因不可抗力或自身原因不能签订采购合同或者不能履行合同的，参照《中华人民共和国政府采购法实施条例》第四十九条，采购人可以按中标候选顺序确定新的中标人并签订合同，以此类推，或重新进行采购。</w:t>
      </w:r>
    </w:p>
    <w:p>
      <w:pPr>
        <w:spacing w:line="360" w:lineRule="auto"/>
        <w:ind w:firstLine="360" w:firstLineChars="150"/>
        <w:rPr>
          <w:rFonts w:ascii="宋体" w:hAnsi="宋体" w:cs="宋体"/>
          <w:sz w:val="24"/>
        </w:rPr>
      </w:pPr>
      <w:r>
        <w:rPr>
          <w:rFonts w:hint="eastAsia" w:ascii="宋体" w:hAnsi="宋体" w:cs="宋体"/>
          <w:sz w:val="24"/>
        </w:rPr>
        <w:t>4.4采购人在授予合同时有权对本文件规定的货物和服务予以适当的增加或减少，但不得改变单价或其他条款和条件。</w:t>
      </w:r>
    </w:p>
    <w:p>
      <w:pPr>
        <w:spacing w:line="360" w:lineRule="auto"/>
        <w:ind w:left="2" w:firstLine="360" w:firstLineChars="150"/>
        <w:rPr>
          <w:rFonts w:ascii="宋体" w:hAnsi="宋体" w:cs="宋体"/>
          <w:sz w:val="24"/>
        </w:rPr>
      </w:pPr>
      <w:r>
        <w:rPr>
          <w:rFonts w:hint="eastAsia" w:ascii="宋体" w:hAnsi="宋体" w:cs="宋体"/>
          <w:sz w:val="24"/>
        </w:rPr>
        <w:t>4.5中标人应当按照合同约定履行义务，完成中标项目，不得将中标项目转让给他人。除本文件另有规定外，也不得将中标项目进行分包给他人。</w:t>
      </w:r>
    </w:p>
    <w:p>
      <w:pPr>
        <w:spacing w:line="360" w:lineRule="auto"/>
        <w:jc w:val="center"/>
        <w:rPr>
          <w:rFonts w:ascii="宋体" w:hAnsi="宋体" w:cs="宋体"/>
          <w:b/>
          <w:sz w:val="32"/>
          <w:szCs w:val="32"/>
        </w:rPr>
      </w:pPr>
      <w:r>
        <w:rPr>
          <w:rFonts w:hint="eastAsia" w:ascii="宋体" w:hAnsi="宋体" w:cs="宋体"/>
          <w:b/>
          <w:sz w:val="32"/>
          <w:szCs w:val="32"/>
        </w:rPr>
        <w:t>八、验收及付款</w:t>
      </w:r>
    </w:p>
    <w:p>
      <w:pPr>
        <w:spacing w:line="360" w:lineRule="auto"/>
        <w:ind w:firstLine="482" w:firstLineChars="200"/>
        <w:jc w:val="left"/>
        <w:outlineLvl w:val="0"/>
        <w:rPr>
          <w:rFonts w:ascii="宋体" w:hAnsi="宋体" w:cs="宋体"/>
          <w:b/>
          <w:bCs/>
          <w:sz w:val="24"/>
        </w:rPr>
      </w:pPr>
      <w:bookmarkStart w:id="191" w:name="_Toc17247"/>
      <w:bookmarkStart w:id="192" w:name="_Toc8983660"/>
      <w:bookmarkStart w:id="193" w:name="_Toc490155600"/>
      <w:bookmarkStart w:id="194" w:name="_Toc4855"/>
      <w:bookmarkStart w:id="195" w:name="_Toc489694897"/>
      <w:bookmarkStart w:id="196" w:name="_Toc10138"/>
      <w:r>
        <w:rPr>
          <w:rFonts w:hint="eastAsia" w:ascii="宋体" w:hAnsi="宋体" w:cs="宋体"/>
          <w:b/>
          <w:bCs/>
          <w:sz w:val="24"/>
        </w:rPr>
        <w:t>1.验收</w:t>
      </w:r>
      <w:bookmarkEnd w:id="191"/>
      <w:bookmarkEnd w:id="192"/>
      <w:bookmarkEnd w:id="193"/>
      <w:bookmarkEnd w:id="194"/>
      <w:bookmarkEnd w:id="195"/>
      <w:bookmarkEnd w:id="196"/>
    </w:p>
    <w:p>
      <w:pPr>
        <w:spacing w:line="360" w:lineRule="auto"/>
        <w:ind w:right="105" w:rightChars="50" w:firstLine="480" w:firstLineChars="200"/>
        <w:jc w:val="left"/>
        <w:rPr>
          <w:rFonts w:ascii="宋体" w:hAnsi="宋体" w:cs="宋体"/>
          <w:sz w:val="24"/>
        </w:rPr>
      </w:pPr>
      <w:r>
        <w:rPr>
          <w:rFonts w:hint="eastAsia" w:ascii="宋体" w:hAnsi="宋体" w:cs="宋体"/>
          <w:sz w:val="24"/>
        </w:rPr>
        <w:t>中标单位根据初步验收的结果进行整改并满足合同技术要求后，由中标单位提交完备的项目实施文档及书面申请，经采购人审核通过后，由采购人组织开展验收工作，签署项目验收文件。</w:t>
      </w:r>
    </w:p>
    <w:p>
      <w:pPr>
        <w:spacing w:line="360" w:lineRule="auto"/>
        <w:ind w:firstLine="482" w:firstLineChars="200"/>
        <w:jc w:val="left"/>
        <w:outlineLvl w:val="0"/>
        <w:rPr>
          <w:rFonts w:ascii="宋体" w:hAnsi="宋体" w:cs="宋体"/>
          <w:b/>
          <w:bCs/>
          <w:sz w:val="24"/>
        </w:rPr>
      </w:pPr>
      <w:bookmarkStart w:id="197" w:name="_Toc12537"/>
      <w:bookmarkStart w:id="198" w:name="_Toc489694898"/>
      <w:bookmarkStart w:id="199" w:name="_Toc16133"/>
      <w:bookmarkStart w:id="200" w:name="_Toc3365"/>
      <w:bookmarkStart w:id="201" w:name="_Toc8983661"/>
      <w:bookmarkStart w:id="202" w:name="_Toc490155601"/>
      <w:r>
        <w:rPr>
          <w:rFonts w:hint="eastAsia" w:ascii="宋体" w:hAnsi="宋体" w:cs="宋体"/>
          <w:b/>
          <w:bCs/>
          <w:sz w:val="24"/>
        </w:rPr>
        <w:t>2.</w:t>
      </w:r>
      <w:bookmarkEnd w:id="197"/>
      <w:bookmarkEnd w:id="198"/>
      <w:bookmarkEnd w:id="199"/>
      <w:bookmarkEnd w:id="200"/>
      <w:r>
        <w:rPr>
          <w:rFonts w:hint="eastAsia" w:ascii="宋体" w:hAnsi="宋体" w:cs="宋体"/>
          <w:b/>
          <w:bCs/>
          <w:sz w:val="24"/>
        </w:rPr>
        <w:t>付款</w:t>
      </w:r>
      <w:bookmarkEnd w:id="201"/>
      <w:bookmarkEnd w:id="202"/>
    </w:p>
    <w:p>
      <w:pPr>
        <w:spacing w:line="360" w:lineRule="auto"/>
        <w:ind w:firstLine="480" w:firstLineChars="200"/>
        <w:jc w:val="left"/>
        <w:rPr>
          <w:rFonts w:ascii="宋体" w:hAnsi="宋体" w:cs="宋体"/>
          <w:sz w:val="24"/>
        </w:rPr>
      </w:pPr>
      <w:r>
        <w:rPr>
          <w:rFonts w:hint="eastAsia" w:ascii="宋体" w:hAnsi="宋体" w:cs="宋体"/>
          <w:sz w:val="24"/>
        </w:rPr>
        <w:t>采购人凭项目合同、验收报告合同约定的时间内办理采购款支付手续。</w:t>
      </w:r>
    </w:p>
    <w:p>
      <w:pPr>
        <w:spacing w:line="360" w:lineRule="auto"/>
        <w:jc w:val="center"/>
        <w:rPr>
          <w:rFonts w:ascii="宋体" w:hAnsi="宋体" w:cs="宋体"/>
          <w:b/>
          <w:sz w:val="32"/>
          <w:szCs w:val="32"/>
        </w:rPr>
      </w:pPr>
      <w:r>
        <w:rPr>
          <w:rFonts w:hint="eastAsia" w:ascii="宋体" w:hAnsi="宋体" w:cs="宋体"/>
          <w:b/>
          <w:sz w:val="32"/>
          <w:szCs w:val="32"/>
        </w:rPr>
        <w:t>九、法律责任</w:t>
      </w:r>
    </w:p>
    <w:p>
      <w:pPr>
        <w:spacing w:line="360" w:lineRule="auto"/>
        <w:ind w:firstLine="482" w:firstLineChars="200"/>
        <w:jc w:val="left"/>
        <w:outlineLvl w:val="0"/>
        <w:rPr>
          <w:rFonts w:ascii="宋体" w:hAnsi="宋体" w:cs="宋体"/>
          <w:b/>
          <w:sz w:val="24"/>
        </w:rPr>
      </w:pPr>
      <w:bookmarkStart w:id="203" w:name="_Toc15425"/>
      <w:bookmarkStart w:id="204" w:name="_Toc32052"/>
      <w:bookmarkStart w:id="205" w:name="_Toc490155602"/>
      <w:bookmarkStart w:id="206" w:name="_Toc23082"/>
      <w:bookmarkStart w:id="207" w:name="_Toc8983662"/>
      <w:bookmarkStart w:id="208" w:name="_Toc489694899"/>
      <w:r>
        <w:rPr>
          <w:rFonts w:hint="eastAsia" w:ascii="宋体" w:hAnsi="宋体" w:cs="宋体"/>
          <w:b/>
          <w:sz w:val="24"/>
        </w:rPr>
        <w:t>1.法律责任</w:t>
      </w:r>
      <w:bookmarkEnd w:id="203"/>
      <w:bookmarkEnd w:id="204"/>
      <w:bookmarkEnd w:id="205"/>
      <w:bookmarkEnd w:id="206"/>
      <w:bookmarkEnd w:id="207"/>
      <w:bookmarkEnd w:id="208"/>
    </w:p>
    <w:p>
      <w:pPr>
        <w:snapToGrid w:val="0"/>
        <w:spacing w:line="360" w:lineRule="auto"/>
        <w:ind w:firstLine="480" w:firstLineChars="200"/>
        <w:outlineLvl w:val="0"/>
        <w:rPr>
          <w:rFonts w:ascii="宋体" w:hAnsi="宋体"/>
          <w:sz w:val="24"/>
        </w:rPr>
      </w:pPr>
      <w:bookmarkStart w:id="209" w:name="_Toc8983663"/>
      <w:r>
        <w:rPr>
          <w:rFonts w:ascii="宋体" w:hAnsi="宋体"/>
          <w:sz w:val="24"/>
        </w:rPr>
        <w:t>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bookmarkEnd w:id="209"/>
    </w:p>
    <w:p>
      <w:pPr>
        <w:snapToGrid w:val="0"/>
        <w:spacing w:line="360" w:lineRule="auto"/>
        <w:ind w:firstLine="480" w:firstLineChars="200"/>
        <w:outlineLvl w:val="0"/>
        <w:rPr>
          <w:rFonts w:ascii="宋体" w:hAnsi="宋体"/>
          <w:sz w:val="24"/>
        </w:rPr>
      </w:pPr>
      <w:bookmarkStart w:id="210" w:name="_Toc8983664"/>
      <w:r>
        <w:rPr>
          <w:rFonts w:hint="eastAsia" w:ascii="宋体" w:hAnsi="宋体"/>
          <w:sz w:val="24"/>
        </w:rPr>
        <w:t>（1）</w:t>
      </w:r>
      <w:r>
        <w:rPr>
          <w:rFonts w:ascii="宋体" w:hAnsi="宋体"/>
          <w:sz w:val="24"/>
        </w:rPr>
        <w:t>提供虚假材料谋取中标的；</w:t>
      </w:r>
      <w:bookmarkEnd w:id="210"/>
    </w:p>
    <w:p>
      <w:pPr>
        <w:snapToGrid w:val="0"/>
        <w:spacing w:line="360" w:lineRule="auto"/>
        <w:ind w:firstLine="480" w:firstLineChars="200"/>
        <w:outlineLvl w:val="0"/>
        <w:rPr>
          <w:rFonts w:ascii="宋体" w:hAnsi="宋体"/>
          <w:sz w:val="24"/>
        </w:rPr>
      </w:pPr>
      <w:bookmarkStart w:id="211" w:name="_Toc8983665"/>
      <w:r>
        <w:rPr>
          <w:rFonts w:hint="eastAsia" w:ascii="宋体" w:hAnsi="宋体"/>
          <w:sz w:val="24"/>
        </w:rPr>
        <w:t>（2）</w:t>
      </w:r>
      <w:r>
        <w:rPr>
          <w:rFonts w:ascii="宋体" w:hAnsi="宋体"/>
          <w:sz w:val="24"/>
        </w:rPr>
        <w:t>采取不正当手段诋毁、排挤其他投标人的；</w:t>
      </w:r>
      <w:bookmarkEnd w:id="211"/>
    </w:p>
    <w:p>
      <w:pPr>
        <w:snapToGrid w:val="0"/>
        <w:spacing w:line="360" w:lineRule="auto"/>
        <w:ind w:firstLine="480" w:firstLineChars="200"/>
        <w:outlineLvl w:val="0"/>
        <w:rPr>
          <w:rFonts w:ascii="宋体" w:hAnsi="宋体"/>
          <w:sz w:val="24"/>
        </w:rPr>
      </w:pPr>
      <w:bookmarkStart w:id="212" w:name="_Toc8983666"/>
      <w:r>
        <w:rPr>
          <w:rFonts w:hint="eastAsia" w:ascii="宋体" w:hAnsi="宋体"/>
          <w:sz w:val="24"/>
        </w:rPr>
        <w:t>（3）</w:t>
      </w:r>
      <w:r>
        <w:rPr>
          <w:rFonts w:ascii="宋体" w:hAnsi="宋体"/>
          <w:sz w:val="24"/>
        </w:rPr>
        <w:t>与采购人、其他投标人或采购代理机构恶意串通的；</w:t>
      </w:r>
      <w:bookmarkEnd w:id="212"/>
    </w:p>
    <w:p>
      <w:pPr>
        <w:snapToGrid w:val="0"/>
        <w:spacing w:line="360" w:lineRule="auto"/>
        <w:ind w:firstLine="480" w:firstLineChars="200"/>
        <w:outlineLvl w:val="0"/>
        <w:rPr>
          <w:rFonts w:ascii="宋体" w:hAnsi="宋体"/>
          <w:sz w:val="24"/>
        </w:rPr>
      </w:pPr>
      <w:bookmarkStart w:id="213" w:name="_Toc8983667"/>
      <w:r>
        <w:rPr>
          <w:rFonts w:hint="eastAsia" w:ascii="宋体" w:hAnsi="宋体"/>
          <w:sz w:val="24"/>
        </w:rPr>
        <w:t>（4）</w:t>
      </w:r>
      <w:r>
        <w:rPr>
          <w:rFonts w:ascii="宋体" w:hAnsi="宋体"/>
          <w:sz w:val="24"/>
        </w:rPr>
        <w:t>向采购人、采购代理机构行贿或者提供其他不正当利益的；</w:t>
      </w:r>
      <w:bookmarkEnd w:id="213"/>
    </w:p>
    <w:p>
      <w:pPr>
        <w:snapToGrid w:val="0"/>
        <w:spacing w:line="360" w:lineRule="auto"/>
        <w:ind w:firstLine="480" w:firstLineChars="200"/>
        <w:outlineLvl w:val="0"/>
        <w:rPr>
          <w:rFonts w:ascii="宋体" w:hAnsi="宋体"/>
          <w:sz w:val="24"/>
        </w:rPr>
      </w:pPr>
      <w:bookmarkStart w:id="214" w:name="_Toc8983668"/>
      <w:r>
        <w:rPr>
          <w:rFonts w:hint="eastAsia" w:ascii="宋体" w:hAnsi="宋体"/>
          <w:sz w:val="24"/>
        </w:rPr>
        <w:t>（5）</w:t>
      </w:r>
      <w:r>
        <w:rPr>
          <w:rFonts w:ascii="宋体" w:hAnsi="宋体"/>
          <w:sz w:val="24"/>
        </w:rPr>
        <w:t>在招标过程中与招标采购单位进行协商谈判、不按照</w:t>
      </w:r>
      <w:r>
        <w:rPr>
          <w:rFonts w:hint="eastAsia" w:ascii="宋体" w:hAnsi="宋体"/>
          <w:bCs/>
          <w:sz w:val="24"/>
        </w:rPr>
        <w:t>招标</w:t>
      </w:r>
      <w:r>
        <w:rPr>
          <w:rFonts w:ascii="宋体" w:hAnsi="宋体"/>
          <w:sz w:val="24"/>
        </w:rPr>
        <w:t>文件和中标投标人的投标文件订立合同，或者与采购人另行订立背离合同实质性内容的协议的；</w:t>
      </w:r>
      <w:bookmarkEnd w:id="214"/>
    </w:p>
    <w:p>
      <w:pPr>
        <w:snapToGrid w:val="0"/>
        <w:spacing w:line="360" w:lineRule="auto"/>
        <w:ind w:firstLine="480" w:firstLineChars="200"/>
        <w:outlineLvl w:val="0"/>
        <w:rPr>
          <w:rFonts w:ascii="宋体" w:hAnsi="宋体"/>
          <w:sz w:val="24"/>
        </w:rPr>
      </w:pPr>
      <w:bookmarkStart w:id="215" w:name="_Toc8983669"/>
      <w:r>
        <w:rPr>
          <w:rFonts w:hint="eastAsia" w:ascii="宋体" w:hAnsi="宋体"/>
          <w:sz w:val="24"/>
        </w:rPr>
        <w:t>（6）</w:t>
      </w:r>
      <w:r>
        <w:rPr>
          <w:rFonts w:ascii="宋体" w:hAnsi="宋体"/>
          <w:sz w:val="24"/>
        </w:rPr>
        <w:t>拒绝有关部门监督检查或者提供虚假情况的。投标人有前款情形之一的，中标无效。</w:t>
      </w:r>
      <w:bookmarkEnd w:id="215"/>
    </w:p>
    <w:p>
      <w:pPr>
        <w:snapToGrid w:val="0"/>
        <w:spacing w:line="360" w:lineRule="auto"/>
        <w:ind w:firstLine="480" w:firstLineChars="200"/>
        <w:outlineLvl w:val="0"/>
        <w:rPr>
          <w:rFonts w:ascii="宋体" w:hAnsi="宋体"/>
          <w:sz w:val="24"/>
        </w:rPr>
      </w:pPr>
      <w:bookmarkStart w:id="216" w:name="_Toc8983670"/>
      <w:r>
        <w:rPr>
          <w:rFonts w:hint="eastAsia" w:ascii="宋体" w:hAnsi="宋体"/>
          <w:sz w:val="24"/>
        </w:rPr>
        <w:t>2、</w:t>
      </w:r>
      <w:r>
        <w:rPr>
          <w:rFonts w:ascii="宋体" w:hAnsi="宋体"/>
          <w:sz w:val="24"/>
        </w:rPr>
        <w:t>中标人有下列情形之一的，招标采购单位不予退还其交纳的投标保证金；情节严重的，由财政部门将其列入不良行为记录名单，在一至三年内禁止参加政府采购活动，并予以通报：</w:t>
      </w:r>
      <w:bookmarkEnd w:id="216"/>
    </w:p>
    <w:p>
      <w:pPr>
        <w:snapToGrid w:val="0"/>
        <w:spacing w:line="360" w:lineRule="auto"/>
        <w:ind w:firstLine="480" w:firstLineChars="200"/>
        <w:outlineLvl w:val="0"/>
        <w:rPr>
          <w:rFonts w:ascii="宋体" w:hAnsi="宋体"/>
          <w:sz w:val="24"/>
        </w:rPr>
      </w:pPr>
      <w:bookmarkStart w:id="217" w:name="_Toc8983671"/>
      <w:r>
        <w:rPr>
          <w:rFonts w:hint="eastAsia" w:ascii="宋体" w:hAnsi="宋体"/>
          <w:sz w:val="24"/>
        </w:rPr>
        <w:t>（1）</w:t>
      </w:r>
      <w:r>
        <w:rPr>
          <w:rFonts w:ascii="宋体" w:hAnsi="宋体"/>
          <w:sz w:val="24"/>
        </w:rPr>
        <w:t>中标后无正当理由不与采购人签订合同，或者与采购人另行订立背离合同实质性内容的协议的；</w:t>
      </w:r>
      <w:bookmarkEnd w:id="217"/>
    </w:p>
    <w:p>
      <w:pPr>
        <w:snapToGrid w:val="0"/>
        <w:spacing w:line="360" w:lineRule="auto"/>
        <w:ind w:firstLine="480" w:firstLineChars="200"/>
        <w:outlineLvl w:val="0"/>
        <w:rPr>
          <w:rFonts w:ascii="宋体" w:hAnsi="宋体"/>
          <w:sz w:val="24"/>
        </w:rPr>
      </w:pPr>
      <w:bookmarkStart w:id="218" w:name="_Toc8983672"/>
      <w:r>
        <w:rPr>
          <w:rFonts w:hint="eastAsia" w:ascii="宋体" w:hAnsi="宋体"/>
          <w:sz w:val="24"/>
        </w:rPr>
        <w:t>（2）</w:t>
      </w:r>
      <w:r>
        <w:rPr>
          <w:rFonts w:ascii="宋体" w:hAnsi="宋体"/>
          <w:sz w:val="24"/>
        </w:rPr>
        <w:t>将中标项目转让给他人，或者在投标文件中未说明，且未经采购人同意，将中标项目分包给他人的；</w:t>
      </w:r>
      <w:bookmarkEnd w:id="218"/>
    </w:p>
    <w:p>
      <w:pPr>
        <w:snapToGrid w:val="0"/>
        <w:spacing w:line="360" w:lineRule="auto"/>
        <w:ind w:firstLine="480" w:firstLineChars="200"/>
        <w:outlineLvl w:val="0"/>
        <w:rPr>
          <w:rFonts w:ascii="宋体" w:hAnsi="宋体"/>
          <w:sz w:val="24"/>
        </w:rPr>
      </w:pPr>
      <w:bookmarkStart w:id="219" w:name="_Toc8983673"/>
      <w:r>
        <w:rPr>
          <w:rFonts w:hint="eastAsia" w:ascii="宋体" w:hAnsi="宋体"/>
          <w:sz w:val="24"/>
        </w:rPr>
        <w:t>（3）</w:t>
      </w:r>
      <w:r>
        <w:rPr>
          <w:rFonts w:ascii="宋体" w:hAnsi="宋体"/>
          <w:sz w:val="24"/>
        </w:rPr>
        <w:t>拒绝履行合同义务的。</w:t>
      </w:r>
      <w:bookmarkEnd w:id="219"/>
    </w:p>
    <w:p>
      <w:pPr>
        <w:snapToGrid w:val="0"/>
        <w:spacing w:line="360" w:lineRule="auto"/>
        <w:ind w:firstLine="480" w:firstLineChars="200"/>
        <w:outlineLvl w:val="0"/>
        <w:rPr>
          <w:rFonts w:ascii="宋体" w:hAnsi="宋体"/>
          <w:sz w:val="24"/>
        </w:rPr>
      </w:pPr>
      <w:bookmarkStart w:id="220" w:name="_Toc8983674"/>
      <w:r>
        <w:rPr>
          <w:rFonts w:ascii="宋体" w:hAnsi="宋体"/>
          <w:sz w:val="24"/>
        </w:rPr>
        <w:t>中标人有前款情形之一的，中标无效。</w:t>
      </w:r>
      <w:bookmarkEnd w:id="220"/>
    </w:p>
    <w:p>
      <w:pPr>
        <w:adjustRightInd w:val="0"/>
        <w:snapToGrid w:val="0"/>
        <w:spacing w:line="360" w:lineRule="auto"/>
        <w:ind w:firstLine="480" w:firstLineChars="200"/>
        <w:outlineLvl w:val="0"/>
        <w:rPr>
          <w:rFonts w:ascii="宋体" w:hAnsi="宋体"/>
          <w:sz w:val="24"/>
        </w:rPr>
      </w:pPr>
      <w:bookmarkStart w:id="221" w:name="_Toc8983675"/>
      <w:r>
        <w:rPr>
          <w:rFonts w:ascii="宋体" w:hAnsi="宋体"/>
          <w:sz w:val="24"/>
        </w:rPr>
        <w:t>按照以上条款规定，经同级或其上级财政部门认定中标无效的，可按中标候选顺序重新确定，或重新进行采购。</w:t>
      </w:r>
      <w:bookmarkEnd w:id="221"/>
    </w:p>
    <w:p>
      <w:pPr>
        <w:adjustRightInd w:val="0"/>
        <w:snapToGrid w:val="0"/>
        <w:spacing w:line="360" w:lineRule="auto"/>
        <w:ind w:firstLine="482" w:firstLineChars="200"/>
        <w:rPr>
          <w:rFonts w:ascii="宋体" w:hAnsi="宋体"/>
          <w:b/>
          <w:sz w:val="24"/>
        </w:rPr>
      </w:pPr>
      <w:r>
        <w:rPr>
          <w:rFonts w:ascii="宋体" w:hAnsi="宋体"/>
          <w:b/>
          <w:sz w:val="24"/>
        </w:rPr>
        <w:t>3</w:t>
      </w:r>
      <w:r>
        <w:rPr>
          <w:rFonts w:hint="eastAsia" w:ascii="宋体" w:hAnsi="宋体"/>
          <w:b/>
          <w:sz w:val="24"/>
        </w:rPr>
        <w:t>、发生下列情况之一，投标人将被列入不良记录名单，在1～3年内禁止参加政府采购活动，并予以公告：</w:t>
      </w:r>
    </w:p>
    <w:p>
      <w:pPr>
        <w:adjustRightInd w:val="0"/>
        <w:snapToGrid w:val="0"/>
        <w:spacing w:line="360" w:lineRule="auto"/>
        <w:ind w:firstLine="482" w:firstLineChars="200"/>
        <w:rPr>
          <w:rFonts w:ascii="宋体" w:hAnsi="宋体"/>
          <w:b/>
          <w:sz w:val="24"/>
        </w:rPr>
      </w:pPr>
      <w:r>
        <w:rPr>
          <w:rFonts w:hint="eastAsia" w:ascii="宋体" w:hAnsi="宋体"/>
          <w:b/>
          <w:sz w:val="24"/>
        </w:rPr>
        <w:t>(1)开标后在投标有效期内，投标人撤回其投标；</w:t>
      </w:r>
    </w:p>
    <w:p>
      <w:pPr>
        <w:adjustRightInd w:val="0"/>
        <w:snapToGrid w:val="0"/>
        <w:spacing w:line="360" w:lineRule="auto"/>
        <w:ind w:firstLine="482" w:firstLineChars="200"/>
        <w:rPr>
          <w:rFonts w:ascii="宋体" w:hAnsi="宋体"/>
          <w:b/>
          <w:sz w:val="24"/>
        </w:rPr>
      </w:pPr>
      <w:r>
        <w:rPr>
          <w:rFonts w:hint="eastAsia" w:ascii="宋体" w:hAnsi="宋体"/>
          <w:b/>
          <w:sz w:val="24"/>
        </w:rPr>
        <w:t>(2)中标后无正当理由不与采购人签订政府采购合同；</w:t>
      </w:r>
    </w:p>
    <w:p>
      <w:pPr>
        <w:adjustRightInd w:val="0"/>
        <w:snapToGrid w:val="0"/>
        <w:spacing w:line="360" w:lineRule="auto"/>
        <w:ind w:firstLine="482" w:firstLineChars="200"/>
        <w:rPr>
          <w:rFonts w:ascii="宋体" w:hAnsi="宋体"/>
          <w:b/>
          <w:sz w:val="24"/>
        </w:rPr>
      </w:pPr>
      <w:r>
        <w:rPr>
          <w:rFonts w:hint="eastAsia" w:ascii="宋体" w:hAnsi="宋体"/>
          <w:b/>
          <w:sz w:val="24"/>
        </w:rPr>
        <w:t>(3)中标后未按照招标文件和中标投标人的投标文件订立政府采购合同，或者与采购人另行订立背离合同实质性内容的协议的；</w:t>
      </w:r>
    </w:p>
    <w:p>
      <w:pPr>
        <w:adjustRightInd w:val="0"/>
        <w:snapToGrid w:val="0"/>
        <w:spacing w:line="360" w:lineRule="auto"/>
        <w:ind w:firstLine="482" w:firstLineChars="200"/>
        <w:rPr>
          <w:rFonts w:ascii="宋体" w:hAnsi="宋体"/>
          <w:b/>
          <w:sz w:val="24"/>
        </w:rPr>
      </w:pPr>
      <w:r>
        <w:rPr>
          <w:rFonts w:hint="eastAsia" w:ascii="宋体" w:hAnsi="宋体"/>
          <w:b/>
          <w:sz w:val="24"/>
        </w:rPr>
        <w:t>(4)将中标项目转让给他人，或者在投标文件中未说明，且未经采购招标机构同意，将中标项目分包给他人；</w:t>
      </w:r>
    </w:p>
    <w:p>
      <w:pPr>
        <w:adjustRightInd w:val="0"/>
        <w:snapToGrid w:val="0"/>
        <w:spacing w:line="360" w:lineRule="auto"/>
        <w:ind w:firstLine="482" w:firstLineChars="200"/>
        <w:rPr>
          <w:rFonts w:ascii="宋体" w:hAnsi="宋体"/>
          <w:b/>
          <w:sz w:val="24"/>
        </w:rPr>
      </w:pPr>
      <w:r>
        <w:rPr>
          <w:rFonts w:hint="eastAsia" w:ascii="宋体" w:hAnsi="宋体"/>
          <w:b/>
          <w:sz w:val="24"/>
        </w:rPr>
        <w:t>(5)拒绝履行合同义务的；</w:t>
      </w:r>
    </w:p>
    <w:p>
      <w:pPr>
        <w:adjustRightInd w:val="0"/>
        <w:snapToGrid w:val="0"/>
        <w:spacing w:line="360" w:lineRule="auto"/>
        <w:ind w:firstLine="482" w:firstLineChars="200"/>
        <w:rPr>
          <w:rFonts w:ascii="宋体" w:hAnsi="宋体"/>
          <w:b/>
          <w:sz w:val="24"/>
        </w:rPr>
      </w:pPr>
      <w:r>
        <w:rPr>
          <w:rFonts w:hint="eastAsia" w:ascii="宋体" w:hAnsi="宋体"/>
          <w:b/>
          <w:sz w:val="24"/>
        </w:rPr>
        <w:t>(6)《政府采购法》第七十七条和《政府采购法实施条例》第七十二条规定的其他情形；</w:t>
      </w:r>
    </w:p>
    <w:p>
      <w:pPr>
        <w:adjustRightInd w:val="0"/>
        <w:snapToGrid w:val="0"/>
        <w:spacing w:line="360" w:lineRule="auto"/>
        <w:ind w:firstLine="482" w:firstLineChars="200"/>
        <w:rPr>
          <w:rFonts w:ascii="宋体" w:hAnsi="宋体"/>
          <w:b/>
          <w:sz w:val="24"/>
        </w:rPr>
      </w:pPr>
      <w:r>
        <w:rPr>
          <w:rFonts w:hint="eastAsia" w:ascii="宋体" w:hAnsi="宋体"/>
          <w:b/>
          <w:sz w:val="24"/>
        </w:rPr>
        <w:t>(7)其他违反法律法规相关规定的情形。</w:t>
      </w:r>
    </w:p>
    <w:p>
      <w:pPr>
        <w:adjustRightInd w:val="0"/>
        <w:snapToGrid w:val="0"/>
        <w:spacing w:line="360" w:lineRule="auto"/>
        <w:ind w:firstLine="482" w:firstLineChars="200"/>
        <w:rPr>
          <w:rFonts w:ascii="宋体" w:hAnsi="宋体"/>
          <w:b/>
          <w:sz w:val="24"/>
        </w:rPr>
      </w:pPr>
      <w:r>
        <w:rPr>
          <w:rFonts w:ascii="宋体" w:hAnsi="宋体"/>
          <w:b/>
          <w:sz w:val="24"/>
        </w:rPr>
        <w:t>3.1</w:t>
      </w:r>
      <w:r>
        <w:rPr>
          <w:rFonts w:hint="eastAsia" w:ascii="宋体" w:hAnsi="宋体"/>
          <w:b/>
          <w:sz w:val="24"/>
        </w:rPr>
        <w:t xml:space="preserve"> 《政府采购法》七十七条：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2" w:firstLineChars="200"/>
        <w:rPr>
          <w:rFonts w:ascii="宋体" w:hAnsi="宋体"/>
          <w:b/>
          <w:sz w:val="24"/>
        </w:rPr>
      </w:pPr>
      <w:r>
        <w:rPr>
          <w:rFonts w:hint="eastAsia" w:ascii="宋体" w:hAnsi="宋体"/>
          <w:b/>
          <w:sz w:val="24"/>
        </w:rPr>
        <w:t>（1）提供虚假材料谋取中标、成交的；</w:t>
      </w:r>
    </w:p>
    <w:p>
      <w:pPr>
        <w:adjustRightInd w:val="0"/>
        <w:snapToGrid w:val="0"/>
        <w:spacing w:line="360" w:lineRule="auto"/>
        <w:ind w:firstLine="482" w:firstLineChars="200"/>
        <w:rPr>
          <w:rFonts w:ascii="宋体" w:hAnsi="宋体"/>
          <w:b/>
          <w:sz w:val="24"/>
        </w:rPr>
      </w:pPr>
      <w:r>
        <w:rPr>
          <w:rFonts w:hint="eastAsia" w:ascii="宋体" w:hAnsi="宋体"/>
          <w:b/>
          <w:sz w:val="24"/>
        </w:rPr>
        <w:t>（2）采取不正当手段诋毁、排挤其他投标人的；</w:t>
      </w:r>
    </w:p>
    <w:p>
      <w:pPr>
        <w:adjustRightInd w:val="0"/>
        <w:snapToGrid w:val="0"/>
        <w:spacing w:line="360" w:lineRule="auto"/>
        <w:ind w:firstLine="482" w:firstLineChars="200"/>
        <w:rPr>
          <w:rFonts w:ascii="宋体" w:hAnsi="宋体"/>
          <w:b/>
          <w:sz w:val="24"/>
        </w:rPr>
      </w:pPr>
      <w:r>
        <w:rPr>
          <w:rFonts w:hint="eastAsia" w:ascii="宋体" w:hAnsi="宋体"/>
          <w:b/>
          <w:sz w:val="24"/>
        </w:rPr>
        <w:t>（3）与采购人、其他投标人或者采购代理机构恶意串通的；</w:t>
      </w:r>
    </w:p>
    <w:p>
      <w:pPr>
        <w:adjustRightInd w:val="0"/>
        <w:snapToGrid w:val="0"/>
        <w:spacing w:line="360" w:lineRule="auto"/>
        <w:ind w:firstLine="482" w:firstLineChars="200"/>
        <w:rPr>
          <w:rFonts w:ascii="宋体" w:hAnsi="宋体"/>
          <w:b/>
          <w:sz w:val="24"/>
        </w:rPr>
      </w:pPr>
      <w:r>
        <w:rPr>
          <w:rFonts w:hint="eastAsia" w:ascii="宋体" w:hAnsi="宋体"/>
          <w:b/>
          <w:sz w:val="24"/>
        </w:rPr>
        <w:t>（4）向采购人、采购代理机构行贿或者提供其他不正当利益的；</w:t>
      </w:r>
    </w:p>
    <w:p>
      <w:pPr>
        <w:adjustRightInd w:val="0"/>
        <w:snapToGrid w:val="0"/>
        <w:spacing w:line="360" w:lineRule="auto"/>
        <w:ind w:firstLine="482" w:firstLineChars="200"/>
        <w:rPr>
          <w:rFonts w:ascii="宋体" w:hAnsi="宋体"/>
          <w:b/>
          <w:sz w:val="24"/>
        </w:rPr>
      </w:pPr>
      <w:r>
        <w:rPr>
          <w:rFonts w:hint="eastAsia" w:ascii="宋体" w:hAnsi="宋体"/>
          <w:b/>
          <w:sz w:val="24"/>
        </w:rPr>
        <w:t>（5）在招标采购过程中与采购人进行协商谈判的；</w:t>
      </w:r>
    </w:p>
    <w:p>
      <w:pPr>
        <w:adjustRightInd w:val="0"/>
        <w:snapToGrid w:val="0"/>
        <w:spacing w:line="360" w:lineRule="auto"/>
        <w:ind w:firstLine="482" w:firstLineChars="200"/>
        <w:rPr>
          <w:rFonts w:ascii="宋体" w:hAnsi="宋体"/>
          <w:b/>
          <w:sz w:val="24"/>
        </w:rPr>
      </w:pPr>
      <w:r>
        <w:rPr>
          <w:rFonts w:hint="eastAsia" w:ascii="宋体" w:hAnsi="宋体"/>
          <w:b/>
          <w:sz w:val="24"/>
        </w:rPr>
        <w:t>（6）拒绝有关部门监督检查或者提供虚假情况的。</w:t>
      </w:r>
    </w:p>
    <w:p>
      <w:pPr>
        <w:adjustRightInd w:val="0"/>
        <w:snapToGrid w:val="0"/>
        <w:spacing w:line="360" w:lineRule="auto"/>
        <w:ind w:firstLine="482" w:firstLineChars="200"/>
        <w:rPr>
          <w:rFonts w:ascii="宋体" w:hAnsi="宋体"/>
          <w:b/>
          <w:sz w:val="24"/>
        </w:rPr>
      </w:pPr>
      <w:r>
        <w:rPr>
          <w:rFonts w:ascii="宋体" w:hAnsi="宋体"/>
          <w:b/>
          <w:sz w:val="24"/>
        </w:rPr>
        <w:t>3.2</w:t>
      </w:r>
      <w:r>
        <w:rPr>
          <w:rFonts w:hint="eastAsia" w:ascii="宋体" w:hAnsi="宋体"/>
          <w:b/>
          <w:sz w:val="24"/>
        </w:rPr>
        <w:t>《政府采购法实施条例》第七十二条：投标人有下列情形之一的，依照政府采购法第七十七条第一款的规定追究法律责任：</w:t>
      </w:r>
    </w:p>
    <w:p>
      <w:pPr>
        <w:adjustRightInd w:val="0"/>
        <w:snapToGrid w:val="0"/>
        <w:spacing w:line="360" w:lineRule="auto"/>
        <w:ind w:firstLine="482" w:firstLineChars="200"/>
        <w:rPr>
          <w:rFonts w:ascii="宋体" w:hAnsi="宋体"/>
          <w:b/>
          <w:sz w:val="24"/>
        </w:rPr>
      </w:pPr>
      <w:r>
        <w:rPr>
          <w:rFonts w:hint="eastAsia" w:ascii="宋体" w:hAnsi="宋体"/>
          <w:b/>
          <w:sz w:val="24"/>
        </w:rPr>
        <w:t>（1）向评标委员会、竞争性谈判小组或者询价小组成员行贿或者提供其他不正当利益；</w:t>
      </w:r>
    </w:p>
    <w:p>
      <w:pPr>
        <w:adjustRightInd w:val="0"/>
        <w:snapToGrid w:val="0"/>
        <w:spacing w:line="360" w:lineRule="auto"/>
        <w:ind w:firstLine="482" w:firstLineChars="200"/>
        <w:rPr>
          <w:rFonts w:ascii="宋体" w:hAnsi="宋体"/>
          <w:b/>
          <w:sz w:val="24"/>
        </w:rPr>
      </w:pPr>
      <w:r>
        <w:rPr>
          <w:rFonts w:hint="eastAsia" w:ascii="宋体" w:hAnsi="宋体"/>
          <w:b/>
          <w:sz w:val="24"/>
        </w:rPr>
        <w:t>（2）中标或者成交后无正当理由拒不与采购人签订政府采购合同；</w:t>
      </w:r>
    </w:p>
    <w:p>
      <w:pPr>
        <w:adjustRightInd w:val="0"/>
        <w:snapToGrid w:val="0"/>
        <w:spacing w:line="360" w:lineRule="auto"/>
        <w:ind w:firstLine="482" w:firstLineChars="200"/>
        <w:rPr>
          <w:rFonts w:ascii="宋体" w:hAnsi="宋体"/>
          <w:b/>
          <w:sz w:val="24"/>
        </w:rPr>
      </w:pPr>
      <w:r>
        <w:rPr>
          <w:rFonts w:hint="eastAsia" w:ascii="宋体" w:hAnsi="宋体"/>
          <w:b/>
          <w:sz w:val="24"/>
        </w:rPr>
        <w:t>（3）未按照采购文件确定的事项签订政府采购合同；</w:t>
      </w:r>
    </w:p>
    <w:p>
      <w:pPr>
        <w:adjustRightInd w:val="0"/>
        <w:snapToGrid w:val="0"/>
        <w:spacing w:line="360" w:lineRule="auto"/>
        <w:ind w:firstLine="482" w:firstLineChars="200"/>
        <w:rPr>
          <w:rFonts w:ascii="宋体" w:hAnsi="宋体"/>
          <w:b/>
          <w:sz w:val="24"/>
        </w:rPr>
      </w:pPr>
      <w:r>
        <w:rPr>
          <w:rFonts w:hint="eastAsia" w:ascii="宋体" w:hAnsi="宋体"/>
          <w:b/>
          <w:sz w:val="24"/>
        </w:rPr>
        <w:t>（4）将政府采购合同转包；</w:t>
      </w:r>
    </w:p>
    <w:p>
      <w:pPr>
        <w:adjustRightInd w:val="0"/>
        <w:snapToGrid w:val="0"/>
        <w:spacing w:line="360" w:lineRule="auto"/>
        <w:ind w:firstLine="482" w:firstLineChars="200"/>
        <w:rPr>
          <w:rFonts w:ascii="宋体" w:hAnsi="宋体"/>
          <w:b/>
          <w:sz w:val="24"/>
        </w:rPr>
      </w:pPr>
      <w:r>
        <w:rPr>
          <w:rFonts w:hint="eastAsia" w:ascii="宋体" w:hAnsi="宋体"/>
          <w:b/>
          <w:sz w:val="24"/>
        </w:rPr>
        <w:t>（5）提供假冒伪劣产品；</w:t>
      </w:r>
    </w:p>
    <w:p>
      <w:pPr>
        <w:adjustRightInd w:val="0"/>
        <w:snapToGrid w:val="0"/>
        <w:spacing w:line="360" w:lineRule="auto"/>
        <w:ind w:firstLine="482" w:firstLineChars="200"/>
        <w:rPr>
          <w:rFonts w:ascii="宋体" w:hAnsi="宋体"/>
          <w:b/>
          <w:sz w:val="24"/>
        </w:rPr>
      </w:pPr>
      <w:r>
        <w:rPr>
          <w:rFonts w:hint="eastAsia" w:ascii="宋体" w:hAnsi="宋体"/>
          <w:b/>
          <w:sz w:val="24"/>
        </w:rPr>
        <w:t>（6）擅自变更、中止或者终止政府采购合同。</w:t>
      </w:r>
    </w:p>
    <w:p>
      <w:pPr>
        <w:adjustRightInd w:val="0"/>
        <w:snapToGrid w:val="0"/>
        <w:spacing w:line="360" w:lineRule="auto"/>
        <w:ind w:firstLine="482" w:firstLineChars="200"/>
        <w:rPr>
          <w:rFonts w:ascii="宋体" w:hAnsi="宋体"/>
          <w:b/>
          <w:kern w:val="0"/>
          <w:sz w:val="22"/>
          <w:szCs w:val="20"/>
        </w:rPr>
      </w:pPr>
      <w:r>
        <w:rPr>
          <w:rFonts w:hint="eastAsia" w:ascii="宋体" w:hAnsi="宋体"/>
          <w:b/>
          <w:sz w:val="24"/>
        </w:rPr>
        <w:t>投标人有前款第一项规定情形的，中标、成交无效，列入不良行为记录名单。</w:t>
      </w:r>
    </w:p>
    <w:p>
      <w:pPr>
        <w:spacing w:line="360" w:lineRule="auto"/>
        <w:ind w:firstLine="1928" w:firstLineChars="800"/>
        <w:rPr>
          <w:rFonts w:ascii="宋体" w:hAnsi="宋体" w:cs="宋体"/>
          <w:b/>
          <w:bCs/>
          <w:sz w:val="24"/>
        </w:rPr>
      </w:pPr>
    </w:p>
    <w:p>
      <w:pPr>
        <w:rPr>
          <w:rFonts w:hint="eastAsia" w:ascii="宋体" w:hAnsi="宋体" w:eastAsia="宋体"/>
        </w:rPr>
      </w:pPr>
      <w:bookmarkStart w:id="222" w:name="_Toc8983676"/>
      <w:bookmarkStart w:id="223" w:name="_Toc6109"/>
      <w:bookmarkStart w:id="224" w:name="_Toc28778"/>
      <w:r>
        <w:rPr>
          <w:rFonts w:hint="eastAsia" w:ascii="宋体" w:hAnsi="宋体" w:eastAsia="宋体"/>
        </w:rPr>
        <w:br w:type="page"/>
      </w:r>
    </w:p>
    <w:p>
      <w:pPr>
        <w:pStyle w:val="3"/>
        <w:rPr>
          <w:rFonts w:ascii="宋体" w:hAnsi="宋体" w:eastAsia="宋体"/>
        </w:rPr>
      </w:pPr>
      <w:r>
        <w:rPr>
          <w:rFonts w:hint="eastAsia" w:ascii="宋体" w:hAnsi="宋体" w:eastAsia="宋体"/>
        </w:rPr>
        <w:t>第三部分  授予合同</w:t>
      </w:r>
      <w:bookmarkEnd w:id="222"/>
      <w:bookmarkEnd w:id="223"/>
      <w:bookmarkEnd w:id="224"/>
    </w:p>
    <w:p>
      <w:pPr>
        <w:jc w:val="center"/>
        <w:rPr>
          <w:rFonts w:ascii="宋体" w:hAnsi="宋体"/>
          <w:sz w:val="30"/>
          <w:szCs w:val="30"/>
        </w:rPr>
      </w:pPr>
    </w:p>
    <w:p>
      <w:pPr>
        <w:pStyle w:val="33"/>
        <w:jc w:val="center"/>
        <w:rPr>
          <w:rFonts w:ascii="宋体" w:hAnsi="宋体" w:cs="宋体"/>
          <w:b/>
          <w:color w:val="000000"/>
          <w:sz w:val="32"/>
          <w:szCs w:val="32"/>
          <w:highlight w:val="yellow"/>
        </w:rPr>
      </w:pPr>
    </w:p>
    <w:p>
      <w:pPr>
        <w:pStyle w:val="29"/>
        <w:jc w:val="center"/>
        <w:rPr>
          <w:rFonts w:eastAsia="黑体"/>
          <w:b/>
          <w:bCs/>
          <w:color w:val="000000"/>
          <w:sz w:val="52"/>
          <w:szCs w:val="52"/>
        </w:rPr>
      </w:pPr>
      <w:r>
        <w:rPr>
          <w:rFonts w:hint="eastAsia" w:ascii="黑体" w:hAnsi="黑体" w:eastAsia="黑体"/>
          <w:b/>
          <w:bCs/>
          <w:color w:val="000000"/>
          <w:sz w:val="52"/>
          <w:szCs w:val="52"/>
        </w:rPr>
        <w:t>政府买卖合同</w:t>
      </w:r>
    </w:p>
    <w:p>
      <w:pPr>
        <w:pStyle w:val="29"/>
        <w:jc w:val="center"/>
        <w:rPr>
          <w:rFonts w:eastAsia="黑体"/>
          <w:b/>
          <w:bCs/>
          <w:color w:val="000000"/>
          <w:sz w:val="52"/>
          <w:szCs w:val="52"/>
        </w:rPr>
      </w:pPr>
      <w:r>
        <w:rPr>
          <w:rFonts w:eastAsia="黑体"/>
          <w:b/>
          <w:bCs/>
          <w:color w:val="000000"/>
          <w:sz w:val="52"/>
          <w:szCs w:val="52"/>
        </w:rPr>
        <w:t xml:space="preserve"> </w:t>
      </w:r>
    </w:p>
    <w:p>
      <w:pPr>
        <w:pStyle w:val="29"/>
        <w:jc w:val="center"/>
        <w:rPr>
          <w:rFonts w:eastAsia="黑体"/>
          <w:b/>
          <w:bCs/>
          <w:color w:val="000000"/>
          <w:sz w:val="52"/>
          <w:szCs w:val="52"/>
        </w:rPr>
      </w:pPr>
      <w:r>
        <w:rPr>
          <w:rFonts w:eastAsia="黑体"/>
          <w:b/>
          <w:bCs/>
          <w:color w:val="000000"/>
          <w:sz w:val="52"/>
          <w:szCs w:val="52"/>
        </w:rPr>
        <w:t xml:space="preserve"> </w:t>
      </w:r>
    </w:p>
    <w:p>
      <w:pPr>
        <w:pStyle w:val="29"/>
        <w:jc w:val="center"/>
        <w:rPr>
          <w:rFonts w:eastAsia="黑体"/>
          <w:b/>
          <w:bCs/>
          <w:color w:val="000000"/>
          <w:sz w:val="52"/>
          <w:szCs w:val="52"/>
        </w:rPr>
      </w:pPr>
      <w:r>
        <w:rPr>
          <w:rFonts w:eastAsia="黑体"/>
          <w:b/>
          <w:bCs/>
          <w:color w:val="000000"/>
          <w:sz w:val="52"/>
          <w:szCs w:val="52"/>
        </w:rPr>
        <w:t xml:space="preserve"> </w:t>
      </w:r>
    </w:p>
    <w:p>
      <w:pPr>
        <w:pStyle w:val="29"/>
        <w:ind w:left="3205" w:leftChars="760" w:hanging="1609" w:hangingChars="501"/>
        <w:rPr>
          <w:rFonts w:eastAsia="黑体"/>
          <w:b/>
          <w:bCs/>
          <w:color w:val="000000"/>
          <w:sz w:val="32"/>
          <w:szCs w:val="32"/>
        </w:rPr>
      </w:pPr>
      <w:r>
        <w:rPr>
          <w:rFonts w:hint="eastAsia" w:ascii="黑体" w:hAnsi="黑体" w:eastAsia="黑体"/>
          <w:b/>
          <w:bCs/>
          <w:color w:val="000000"/>
          <w:sz w:val="32"/>
          <w:szCs w:val="32"/>
        </w:rPr>
        <w:t>项目名称</w:t>
      </w:r>
      <w:r>
        <w:rPr>
          <w:rFonts w:eastAsia="黑体"/>
          <w:b/>
          <w:bCs/>
          <w:color w:val="000000"/>
          <w:sz w:val="32"/>
          <w:szCs w:val="32"/>
        </w:rPr>
        <w:t>:</w:t>
      </w:r>
      <w:r>
        <w:rPr>
          <w:rFonts w:hint="eastAsia" w:ascii="宋体" w:hAnsi="宋体" w:eastAsia="黑体"/>
          <w:b/>
          <w:bCs/>
          <w:color w:val="000000"/>
          <w:sz w:val="32"/>
          <w:szCs w:val="32"/>
        </w:rPr>
        <w:t xml:space="preserve"> </w:t>
      </w:r>
      <w:r>
        <w:rPr>
          <w:rFonts w:hint="eastAsia" w:ascii="宋体" w:hAnsi="宋体" w:cs="宋体"/>
          <w:b/>
          <w:bCs/>
          <w:color w:val="000000"/>
          <w:sz w:val="24"/>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黑体"/>
          <w:sz w:val="24"/>
          <w:u w:val="single"/>
        </w:rPr>
        <w:t xml:space="preserve">  </w:t>
      </w:r>
      <w:r>
        <w:rPr>
          <w:rFonts w:hint="eastAsia" w:ascii="宋体" w:hAnsi="宋体" w:eastAsia="黑体"/>
          <w:sz w:val="24"/>
          <w:u w:val="single"/>
          <w:lang w:val="en-US" w:eastAsia="zh-CN"/>
        </w:rPr>
        <w:t xml:space="preserve"> </w:t>
      </w:r>
      <w:r>
        <w:rPr>
          <w:rFonts w:hint="eastAsia" w:ascii="宋体" w:hAnsi="宋体" w:eastAsia="黑体"/>
          <w:sz w:val="24"/>
          <w:u w:val="single"/>
        </w:rPr>
        <w:t xml:space="preserve">                   </w:t>
      </w:r>
    </w:p>
    <w:p>
      <w:pPr>
        <w:pStyle w:val="29"/>
        <w:spacing w:before="312" w:beforeLines="100"/>
        <w:ind w:firstLine="1597" w:firstLineChars="497"/>
        <w:rPr>
          <w:rFonts w:ascii="宋体" w:hAnsi="宋体"/>
          <w:b/>
          <w:bCs/>
          <w:color w:val="000000"/>
          <w:sz w:val="32"/>
          <w:szCs w:val="32"/>
          <w:u w:val="single"/>
        </w:rPr>
      </w:pPr>
      <w:r>
        <w:rPr>
          <w:rFonts w:hint="eastAsia" w:ascii="黑体" w:hAnsi="黑体" w:eastAsia="黑体"/>
          <w:b/>
          <w:bCs/>
          <w:color w:val="000000"/>
          <w:sz w:val="32"/>
          <w:szCs w:val="32"/>
        </w:rPr>
        <w:t>项目编号</w:t>
      </w:r>
      <w:r>
        <w:rPr>
          <w:rFonts w:eastAsia="黑体"/>
          <w:b/>
          <w:bCs/>
          <w:color w:val="000000"/>
          <w:sz w:val="32"/>
          <w:szCs w:val="32"/>
        </w:rPr>
        <w:t>:</w:t>
      </w:r>
      <w:r>
        <w:rPr>
          <w:rFonts w:hint="eastAsia" w:ascii="宋体" w:hAnsi="宋体" w:eastAsia="黑体"/>
          <w:b/>
          <w:bCs/>
          <w:color w:val="000000"/>
          <w:sz w:val="32"/>
          <w:szCs w:val="32"/>
        </w:rPr>
        <w:t xml:space="preserve">  </w:t>
      </w:r>
      <w:r>
        <w:rPr>
          <w:rFonts w:hint="eastAsia" w:ascii="宋体" w:hAnsi="宋体" w:eastAsia="黑体"/>
          <w:b/>
          <w:bCs/>
          <w:color w:val="000000"/>
          <w:sz w:val="32"/>
          <w:szCs w:val="32"/>
          <w:u w:val="single"/>
        </w:rPr>
        <w:t xml:space="preserve">                  </w:t>
      </w:r>
      <w:r>
        <w:rPr>
          <w:rFonts w:hint="eastAsia" w:ascii="宋体" w:hAnsi="宋体" w:eastAsia="黑体"/>
          <w:b/>
          <w:bCs/>
          <w:color w:val="000000"/>
          <w:sz w:val="32"/>
          <w:szCs w:val="32"/>
          <w:u w:val="single"/>
          <w:lang w:val="en-US" w:eastAsia="zh-CN"/>
        </w:rPr>
        <w:t xml:space="preserve">    </w:t>
      </w:r>
      <w:r>
        <w:rPr>
          <w:rFonts w:hint="eastAsia" w:ascii="宋体" w:hAnsi="宋体" w:eastAsia="黑体"/>
          <w:b/>
          <w:bCs/>
          <w:color w:val="000000"/>
          <w:sz w:val="32"/>
          <w:szCs w:val="32"/>
          <w:u w:val="single"/>
        </w:rPr>
        <w:t xml:space="preserve">     </w:t>
      </w:r>
      <w:r>
        <w:rPr>
          <w:rFonts w:hint="eastAsia" w:ascii="宋体" w:hAnsi="宋体" w:eastAsia="黑体"/>
          <w:color w:val="000000"/>
          <w:sz w:val="32"/>
          <w:szCs w:val="32"/>
          <w:u w:val="single"/>
        </w:rPr>
        <w:t xml:space="preserve"> </w:t>
      </w:r>
      <w:r>
        <w:rPr>
          <w:rFonts w:hint="eastAsia" w:ascii="宋体" w:hAnsi="宋体" w:eastAsia="黑体"/>
          <w:b/>
          <w:bCs/>
          <w:color w:val="000000"/>
          <w:sz w:val="32"/>
          <w:szCs w:val="32"/>
          <w:u w:val="single"/>
        </w:rPr>
        <w:t xml:space="preserve">       </w:t>
      </w:r>
    </w:p>
    <w:p>
      <w:pPr>
        <w:pStyle w:val="29"/>
        <w:spacing w:before="312" w:beforeLines="100"/>
        <w:ind w:firstLine="1597" w:firstLineChars="497"/>
        <w:rPr>
          <w:rFonts w:ascii="宋体" w:hAnsi="宋体" w:eastAsia="黑体"/>
          <w:b/>
          <w:bCs/>
          <w:color w:val="000000"/>
          <w:sz w:val="32"/>
          <w:szCs w:val="32"/>
          <w:u w:val="single"/>
        </w:rPr>
      </w:pPr>
      <w:r>
        <w:rPr>
          <w:rFonts w:hint="eastAsia" w:ascii="黑体" w:hAnsi="黑体" w:eastAsia="黑体"/>
          <w:b/>
          <w:bCs/>
          <w:color w:val="000000"/>
          <w:kern w:val="0"/>
          <w:sz w:val="32"/>
          <w:szCs w:val="32"/>
        </w:rPr>
        <w:t>合同编号</w:t>
      </w:r>
      <w:r>
        <w:rPr>
          <w:b/>
          <w:bCs/>
          <w:color w:val="000000"/>
          <w:kern w:val="0"/>
          <w:sz w:val="32"/>
          <w:szCs w:val="32"/>
        </w:rPr>
        <w:t>:</w:t>
      </w:r>
      <w:r>
        <w:rPr>
          <w:rFonts w:hint="eastAsia" w:ascii="宋体" w:hAnsi="宋体" w:eastAsia="黑体"/>
          <w:b/>
          <w:bCs/>
          <w:color w:val="000000"/>
          <w:sz w:val="32"/>
          <w:szCs w:val="32"/>
        </w:rPr>
        <w:t xml:space="preserve">  </w:t>
      </w:r>
      <w:r>
        <w:rPr>
          <w:rFonts w:hint="eastAsia" w:ascii="宋体" w:hAnsi="宋体" w:eastAsia="黑体"/>
          <w:b/>
          <w:bCs/>
          <w:color w:val="000000"/>
          <w:sz w:val="32"/>
          <w:szCs w:val="32"/>
          <w:u w:val="single"/>
        </w:rPr>
        <w:t xml:space="preserve">                  </w:t>
      </w:r>
      <w:r>
        <w:rPr>
          <w:rFonts w:hint="eastAsia" w:ascii="宋体" w:hAnsi="宋体" w:eastAsia="黑体"/>
          <w:b/>
          <w:bCs/>
          <w:color w:val="000000"/>
          <w:sz w:val="32"/>
          <w:szCs w:val="32"/>
          <w:u w:val="single"/>
          <w:lang w:val="en-US" w:eastAsia="zh-CN"/>
        </w:rPr>
        <w:t xml:space="preserve">    </w:t>
      </w:r>
      <w:r>
        <w:rPr>
          <w:rFonts w:hint="eastAsia" w:ascii="宋体" w:hAnsi="宋体" w:eastAsia="黑体"/>
          <w:b/>
          <w:bCs/>
          <w:color w:val="000000"/>
          <w:sz w:val="32"/>
          <w:szCs w:val="32"/>
          <w:u w:val="single"/>
        </w:rPr>
        <w:t xml:space="preserve">             </w:t>
      </w:r>
      <w:r>
        <w:rPr>
          <w:rFonts w:hint="eastAsia" w:ascii="宋体" w:hAnsi="宋体" w:eastAsia="黑体"/>
          <w:b/>
          <w:bCs/>
          <w:color w:val="000000"/>
          <w:sz w:val="32"/>
          <w:szCs w:val="32"/>
        </w:rPr>
        <w:t xml:space="preserve">                  </w:t>
      </w:r>
    </w:p>
    <w:p>
      <w:pPr>
        <w:pStyle w:val="29"/>
        <w:rPr>
          <w:rFonts w:ascii="黑体" w:hAnsi="黑体" w:eastAsia="黑体"/>
          <w:b/>
          <w:bCs/>
          <w:color w:val="000000"/>
          <w:sz w:val="32"/>
          <w:szCs w:val="32"/>
        </w:rPr>
      </w:pPr>
    </w:p>
    <w:p>
      <w:pPr>
        <w:pStyle w:val="29"/>
        <w:ind w:firstLine="1606" w:firstLineChars="500"/>
        <w:rPr>
          <w:rFonts w:ascii="黑体" w:hAnsi="黑体" w:eastAsia="黑体"/>
          <w:b/>
          <w:bCs/>
          <w:color w:val="000000"/>
          <w:sz w:val="32"/>
          <w:szCs w:val="32"/>
          <w:u w:val="single"/>
        </w:rPr>
      </w:pPr>
      <w:r>
        <w:rPr>
          <w:rFonts w:hint="eastAsia" w:ascii="黑体" w:hAnsi="黑体" w:eastAsia="黑体"/>
          <w:b/>
          <w:bCs/>
          <w:color w:val="000000"/>
          <w:sz w:val="32"/>
          <w:szCs w:val="32"/>
        </w:rPr>
        <w:t>甲</w:t>
      </w:r>
      <w:r>
        <w:rPr>
          <w:rFonts w:eastAsia="黑体"/>
          <w:b/>
          <w:bCs/>
          <w:color w:val="000000"/>
          <w:sz w:val="32"/>
          <w:szCs w:val="32"/>
        </w:rPr>
        <w:t xml:space="preserve">    </w:t>
      </w:r>
      <w:r>
        <w:rPr>
          <w:rFonts w:hint="eastAsia" w:ascii="黑体" w:hAnsi="黑体" w:eastAsia="黑体"/>
          <w:b/>
          <w:bCs/>
          <w:color w:val="000000"/>
          <w:sz w:val="32"/>
          <w:szCs w:val="32"/>
        </w:rPr>
        <w:t>方</w:t>
      </w:r>
      <w:r>
        <w:rPr>
          <w:rFonts w:eastAsia="黑体"/>
          <w:b/>
          <w:bCs/>
          <w:color w:val="000000"/>
          <w:sz w:val="32"/>
          <w:szCs w:val="32"/>
        </w:rPr>
        <w:t>:</w:t>
      </w:r>
      <w:r>
        <w:rPr>
          <w:rFonts w:hint="eastAsia" w:ascii="宋体" w:hAnsi="宋体" w:eastAsia="黑体"/>
          <w:b/>
          <w:bCs/>
          <w:color w:val="000000"/>
          <w:sz w:val="32"/>
          <w:szCs w:val="32"/>
        </w:rPr>
        <w:t xml:space="preserve">  </w:t>
      </w:r>
      <w:r>
        <w:rPr>
          <w:rFonts w:hint="eastAsia" w:ascii="宋体" w:hAnsi="宋体" w:eastAsia="黑体"/>
          <w:b/>
          <w:bCs/>
          <w:color w:val="000000"/>
          <w:sz w:val="32"/>
          <w:szCs w:val="32"/>
          <w:u w:val="single"/>
        </w:rPr>
        <w:t xml:space="preserve">        </w:t>
      </w:r>
      <w:r>
        <w:rPr>
          <w:rFonts w:hint="eastAsia" w:ascii="宋体" w:hAnsi="宋体" w:eastAsia="黑体"/>
          <w:sz w:val="24"/>
          <w:u w:val="single"/>
          <w:lang w:val="en-US" w:eastAsia="zh-CN"/>
        </w:rPr>
        <w:t xml:space="preserve">                    </w:t>
      </w:r>
      <w:r>
        <w:rPr>
          <w:rFonts w:hint="eastAsia" w:ascii="宋体" w:hAnsi="宋体" w:eastAsia="黑体"/>
          <w:b/>
          <w:bCs/>
          <w:color w:val="000000"/>
          <w:sz w:val="32"/>
          <w:szCs w:val="32"/>
          <w:u w:val="single"/>
        </w:rPr>
        <w:t xml:space="preserve">          </w:t>
      </w:r>
    </w:p>
    <w:p>
      <w:pPr>
        <w:pStyle w:val="29"/>
        <w:spacing w:before="312" w:beforeLines="100"/>
        <w:ind w:firstLine="1606" w:firstLineChars="500"/>
        <w:rPr>
          <w:rFonts w:ascii="宋体" w:hAnsi="宋体" w:eastAsia="黑体"/>
          <w:b/>
          <w:bCs/>
          <w:color w:val="000000"/>
          <w:sz w:val="32"/>
          <w:szCs w:val="32"/>
          <w:u w:val="single"/>
        </w:rPr>
      </w:pPr>
      <w:r>
        <w:rPr>
          <w:rFonts w:hint="eastAsia" w:ascii="黑体" w:hAnsi="黑体" w:eastAsia="黑体"/>
          <w:b/>
          <w:bCs/>
          <w:color w:val="000000"/>
          <w:sz w:val="32"/>
          <w:szCs w:val="32"/>
        </w:rPr>
        <w:t>乙</w:t>
      </w:r>
      <w:r>
        <w:rPr>
          <w:rFonts w:eastAsia="黑体"/>
          <w:b/>
          <w:bCs/>
          <w:color w:val="000000"/>
          <w:sz w:val="32"/>
          <w:szCs w:val="32"/>
        </w:rPr>
        <w:t xml:space="preserve">    </w:t>
      </w:r>
      <w:r>
        <w:rPr>
          <w:rFonts w:hint="eastAsia" w:ascii="黑体" w:hAnsi="黑体" w:eastAsia="黑体"/>
          <w:b/>
          <w:bCs/>
          <w:color w:val="000000"/>
          <w:sz w:val="32"/>
          <w:szCs w:val="32"/>
        </w:rPr>
        <w:t>方</w:t>
      </w:r>
      <w:r>
        <w:rPr>
          <w:rFonts w:eastAsia="黑体"/>
          <w:b/>
          <w:bCs/>
          <w:color w:val="000000"/>
          <w:sz w:val="32"/>
          <w:szCs w:val="32"/>
        </w:rPr>
        <w:t>:</w:t>
      </w:r>
      <w:r>
        <w:rPr>
          <w:rFonts w:hint="eastAsia" w:ascii="宋体" w:hAnsi="宋体" w:eastAsia="黑体"/>
          <w:b/>
          <w:bCs/>
          <w:color w:val="000000"/>
          <w:sz w:val="32"/>
          <w:szCs w:val="32"/>
        </w:rPr>
        <w:t xml:space="preserve">  </w:t>
      </w:r>
      <w:r>
        <w:rPr>
          <w:rFonts w:hint="eastAsia" w:ascii="宋体" w:hAnsi="宋体" w:eastAsia="黑体"/>
          <w:b/>
          <w:bCs/>
          <w:color w:val="000000"/>
          <w:sz w:val="32"/>
          <w:szCs w:val="32"/>
          <w:u w:val="single"/>
        </w:rPr>
        <w:t xml:space="preserve">                                    </w:t>
      </w:r>
    </w:p>
    <w:p>
      <w:pPr>
        <w:pStyle w:val="29"/>
        <w:widowControl/>
        <w:snapToGrid w:val="0"/>
        <w:spacing w:line="360" w:lineRule="auto"/>
        <w:ind w:firstLine="960" w:firstLineChars="400"/>
        <w:jc w:val="left"/>
        <w:rPr>
          <w:rFonts w:ascii="宋体" w:hAnsi="宋体"/>
          <w:color w:val="000000"/>
          <w:sz w:val="24"/>
          <w:u w:val="single"/>
        </w:rPr>
      </w:pPr>
    </w:p>
    <w:p>
      <w:pPr>
        <w:pStyle w:val="29"/>
        <w:widowControl/>
        <w:snapToGrid w:val="0"/>
        <w:spacing w:line="360" w:lineRule="auto"/>
        <w:ind w:firstLine="960" w:firstLineChars="400"/>
        <w:jc w:val="left"/>
        <w:rPr>
          <w:rFonts w:ascii="宋体" w:hAnsi="宋体"/>
          <w:color w:val="000000"/>
          <w:sz w:val="24"/>
          <w:u w:val="single"/>
        </w:rPr>
      </w:pPr>
    </w:p>
    <w:p>
      <w:pPr>
        <w:pStyle w:val="29"/>
        <w:widowControl/>
        <w:snapToGrid w:val="0"/>
        <w:spacing w:line="360" w:lineRule="auto"/>
        <w:ind w:firstLine="960" w:firstLineChars="400"/>
        <w:jc w:val="left"/>
        <w:rPr>
          <w:rFonts w:ascii="宋体" w:hAnsi="宋体"/>
          <w:color w:val="000000"/>
          <w:sz w:val="24"/>
          <w:u w:val="single"/>
        </w:rPr>
        <w:sectPr>
          <w:footerReference r:id="rId6" w:type="default"/>
          <w:pgSz w:w="11906" w:h="16838"/>
          <w:pgMar w:top="1247" w:right="1474" w:bottom="1984" w:left="1474" w:header="851" w:footer="992" w:gutter="0"/>
          <w:cols w:space="720" w:num="1"/>
          <w:docGrid w:type="lines" w:linePitch="312" w:charSpace="0"/>
        </w:sectPr>
      </w:pPr>
    </w:p>
    <w:p>
      <w:pPr>
        <w:pStyle w:val="29"/>
        <w:widowControl/>
        <w:snapToGrid w:val="0"/>
        <w:spacing w:line="360" w:lineRule="auto"/>
        <w:ind w:firstLine="988" w:firstLineChars="400"/>
        <w:jc w:val="left"/>
        <w:rPr>
          <w:rFonts w:ascii="宋体" w:hAnsi="宋体"/>
          <w:color w:val="000000"/>
          <w:sz w:val="24"/>
          <w:u w:val="single"/>
        </w:rPr>
      </w:pPr>
    </w:p>
    <w:p>
      <w:pPr>
        <w:pStyle w:val="29"/>
        <w:widowControl/>
        <w:snapToGrid w:val="0"/>
        <w:spacing w:line="360" w:lineRule="auto"/>
        <w:ind w:firstLine="494" w:firstLineChars="200"/>
        <w:jc w:val="left"/>
        <w:rPr>
          <w:rFonts w:ascii="宋体" w:hAnsi="宋体"/>
          <w:color w:val="000000"/>
          <w:kern w:val="0"/>
          <w:sz w:val="24"/>
        </w:rPr>
      </w:pPr>
      <w:r>
        <w:rPr>
          <w:rFonts w:hint="eastAsia" w:ascii="宋体" w:hAnsi="宋体"/>
          <w:color w:val="000000"/>
          <w:kern w:val="0"/>
          <w:sz w:val="24"/>
          <w:u w:val="single"/>
          <w:lang w:eastAsia="zh-CN"/>
        </w:rPr>
        <w:t>二二一团农业发展服务中心</w:t>
      </w:r>
      <w:r>
        <w:rPr>
          <w:rFonts w:hint="eastAsia" w:ascii="宋体" w:hAnsi="宋体"/>
          <w:color w:val="000000"/>
          <w:kern w:val="0"/>
          <w:sz w:val="24"/>
        </w:rPr>
        <w:t xml:space="preserve">（甲方）所需 </w:t>
      </w:r>
      <w:r>
        <w:rPr>
          <w:rFonts w:hint="eastAsia" w:ascii="宋体" w:hAnsi="宋体"/>
          <w:sz w:val="24"/>
          <w:u w:val="single"/>
          <w:lang w:val="en-US" w:eastAsia="zh-CN"/>
        </w:rPr>
        <w:t xml:space="preserve">               </w:t>
      </w:r>
      <w:r>
        <w:rPr>
          <w:rFonts w:hint="eastAsia" w:ascii="宋体" w:hAnsi="宋体"/>
          <w:color w:val="000000"/>
          <w:kern w:val="0"/>
          <w:sz w:val="24"/>
          <w:u w:val="single"/>
        </w:rPr>
        <w:t xml:space="preserve"> </w:t>
      </w:r>
      <w:r>
        <w:rPr>
          <w:rFonts w:hint="eastAsia" w:ascii="宋体" w:hAnsi="宋体"/>
          <w:color w:val="000000"/>
          <w:kern w:val="0"/>
          <w:sz w:val="24"/>
        </w:rPr>
        <w:t>(项目名称)经</w:t>
      </w:r>
      <w:r>
        <w:rPr>
          <w:rFonts w:hint="eastAsia" w:ascii="宋体" w:hAnsi="宋体"/>
          <w:color w:val="000000"/>
          <w:kern w:val="0"/>
          <w:sz w:val="24"/>
          <w:u w:val="single"/>
        </w:rPr>
        <w:t xml:space="preserve"> 华春建设工程项目管理有限公司 </w:t>
      </w:r>
      <w:r>
        <w:rPr>
          <w:rFonts w:hint="eastAsia" w:ascii="宋体" w:hAnsi="宋体"/>
          <w:color w:val="000000"/>
          <w:kern w:val="0"/>
          <w:sz w:val="24"/>
          <w:u w:val="single"/>
          <w:lang w:eastAsia="zh-CN"/>
        </w:rPr>
        <w:t>hcxjbt-2021-307</w:t>
      </w:r>
      <w:r>
        <w:rPr>
          <w:rFonts w:hint="eastAsia" w:ascii="宋体" w:hAnsi="宋体"/>
          <w:sz w:val="24"/>
          <w:u w:val="single"/>
        </w:rPr>
        <w:t xml:space="preserve"> </w:t>
      </w:r>
      <w:r>
        <w:rPr>
          <w:rFonts w:hint="eastAsia" w:ascii="宋体" w:hAnsi="宋体"/>
          <w:color w:val="000000"/>
          <w:kern w:val="0"/>
          <w:sz w:val="24"/>
        </w:rPr>
        <w:t>（项目编号）谈判文件在国内以竞争性谈判方式进行采购。经评标委员会确定</w:t>
      </w:r>
      <w:r>
        <w:rPr>
          <w:rFonts w:hint="eastAsia" w:ascii="宋体" w:hAnsi="宋体"/>
          <w:sz w:val="24"/>
          <w:u w:val="single"/>
        </w:rPr>
        <w:t xml:space="preserve">             </w:t>
      </w:r>
      <w:r>
        <w:rPr>
          <w:rFonts w:hint="eastAsia" w:ascii="宋体" w:hAnsi="宋体"/>
          <w:color w:val="000000"/>
          <w:kern w:val="0"/>
          <w:sz w:val="24"/>
          <w:u w:val="single"/>
        </w:rPr>
        <w:t xml:space="preserve"> </w:t>
      </w:r>
      <w:r>
        <w:rPr>
          <w:rFonts w:hint="eastAsia" w:ascii="宋体" w:hAnsi="宋体"/>
          <w:color w:val="000000"/>
          <w:kern w:val="0"/>
          <w:sz w:val="24"/>
        </w:rPr>
        <w:t>（乙方）为中标人。甲、乙双方根据《中华人民共和国政府采购法》、《中华人民共和国民法典》等相关法律以及本项目招标文件的规定，经甲乙双方依法平等协商达成合同如下：</w:t>
      </w:r>
    </w:p>
    <w:p>
      <w:pPr>
        <w:pStyle w:val="29"/>
        <w:widowControl/>
        <w:snapToGrid w:val="0"/>
        <w:spacing w:line="360" w:lineRule="auto"/>
        <w:ind w:firstLine="494" w:firstLineChars="200"/>
        <w:jc w:val="left"/>
        <w:rPr>
          <w:rFonts w:ascii="宋体" w:hAnsi="宋体"/>
          <w:color w:val="000000"/>
          <w:kern w:val="0"/>
          <w:sz w:val="24"/>
        </w:rPr>
      </w:pPr>
      <w:r>
        <w:rPr>
          <w:rFonts w:hint="eastAsia" w:ascii="宋体" w:hAnsi="宋体"/>
          <w:b/>
          <w:bCs/>
          <w:color w:val="000000"/>
          <w:sz w:val="24"/>
        </w:rPr>
        <w:t>一、合同文件</w:t>
      </w:r>
    </w:p>
    <w:p>
      <w:pPr>
        <w:pStyle w:val="29"/>
        <w:widowControl/>
        <w:snapToGrid w:val="0"/>
        <w:spacing w:line="360" w:lineRule="auto"/>
        <w:ind w:firstLine="494" w:firstLineChars="200"/>
        <w:jc w:val="left"/>
        <w:rPr>
          <w:rFonts w:ascii="宋体" w:hAnsi="宋体"/>
          <w:color w:val="000000"/>
          <w:kern w:val="0"/>
          <w:sz w:val="24"/>
        </w:rPr>
      </w:pPr>
      <w:r>
        <w:rPr>
          <w:rFonts w:hint="eastAsia" w:ascii="宋体" w:hAnsi="宋体"/>
          <w:color w:val="000000"/>
          <w:sz w:val="24"/>
        </w:rPr>
        <w:t>本合同所附下列文件是构成本合同不可分割的部分：</w:t>
      </w:r>
    </w:p>
    <w:p>
      <w:pPr>
        <w:pStyle w:val="29"/>
        <w:widowControl/>
        <w:snapToGrid w:val="0"/>
        <w:spacing w:line="360" w:lineRule="auto"/>
        <w:ind w:firstLine="494" w:firstLineChars="200"/>
        <w:jc w:val="left"/>
        <w:rPr>
          <w:rFonts w:ascii="宋体" w:hAnsi="宋体"/>
          <w:color w:val="000000"/>
          <w:kern w:val="0"/>
          <w:sz w:val="24"/>
        </w:rPr>
      </w:pPr>
      <w:r>
        <w:rPr>
          <w:rFonts w:hint="eastAsia" w:ascii="宋体" w:hAnsi="宋体"/>
          <w:color w:val="000000"/>
          <w:sz w:val="24"/>
        </w:rPr>
        <w:t>（一）本项目招标文件</w:t>
      </w:r>
    </w:p>
    <w:p>
      <w:pPr>
        <w:pStyle w:val="29"/>
        <w:widowControl/>
        <w:snapToGrid w:val="0"/>
        <w:spacing w:line="360" w:lineRule="auto"/>
        <w:ind w:firstLine="494" w:firstLineChars="200"/>
        <w:jc w:val="left"/>
        <w:rPr>
          <w:rFonts w:ascii="宋体" w:hAnsi="宋体"/>
          <w:color w:val="000000"/>
          <w:kern w:val="0"/>
          <w:sz w:val="24"/>
        </w:rPr>
      </w:pPr>
      <w:r>
        <w:rPr>
          <w:rFonts w:hint="eastAsia" w:ascii="宋体" w:hAnsi="宋体"/>
          <w:color w:val="000000"/>
          <w:sz w:val="24"/>
        </w:rPr>
        <w:t>（二）中标人投标文件</w:t>
      </w:r>
    </w:p>
    <w:p>
      <w:pPr>
        <w:pStyle w:val="29"/>
        <w:widowControl/>
        <w:snapToGrid w:val="0"/>
        <w:spacing w:line="360" w:lineRule="auto"/>
        <w:ind w:firstLine="494" w:firstLineChars="200"/>
        <w:jc w:val="left"/>
        <w:rPr>
          <w:rFonts w:ascii="宋体" w:hAnsi="宋体"/>
          <w:color w:val="000000"/>
          <w:kern w:val="0"/>
          <w:sz w:val="24"/>
        </w:rPr>
      </w:pPr>
      <w:r>
        <w:rPr>
          <w:rFonts w:hint="eastAsia" w:ascii="宋体" w:hAnsi="宋体"/>
          <w:color w:val="000000"/>
          <w:sz w:val="24"/>
        </w:rPr>
        <w:t>（三）本合同格式、本合同条款</w:t>
      </w:r>
    </w:p>
    <w:p>
      <w:pPr>
        <w:pStyle w:val="29"/>
        <w:widowControl/>
        <w:snapToGrid w:val="0"/>
        <w:spacing w:line="360" w:lineRule="auto"/>
        <w:ind w:firstLine="494" w:firstLineChars="200"/>
        <w:jc w:val="left"/>
        <w:rPr>
          <w:rFonts w:ascii="宋体" w:hAnsi="宋体"/>
          <w:color w:val="000000"/>
          <w:kern w:val="0"/>
          <w:sz w:val="24"/>
        </w:rPr>
      </w:pPr>
      <w:r>
        <w:rPr>
          <w:rFonts w:hint="eastAsia" w:ascii="宋体" w:hAnsi="宋体"/>
          <w:color w:val="000000"/>
          <w:sz w:val="24"/>
        </w:rPr>
        <w:t>（四）乙方在评标过程中做出的有关澄清、说明或者补正文件</w:t>
      </w:r>
    </w:p>
    <w:p>
      <w:pPr>
        <w:pStyle w:val="29"/>
        <w:widowControl/>
        <w:snapToGrid w:val="0"/>
        <w:spacing w:line="360" w:lineRule="auto"/>
        <w:ind w:firstLine="494" w:firstLineChars="200"/>
        <w:jc w:val="left"/>
        <w:rPr>
          <w:rFonts w:ascii="宋体" w:hAnsi="宋体"/>
          <w:color w:val="000000"/>
          <w:kern w:val="0"/>
          <w:sz w:val="24"/>
        </w:rPr>
      </w:pPr>
      <w:r>
        <w:rPr>
          <w:rFonts w:hint="eastAsia" w:ascii="宋体" w:hAnsi="宋体"/>
          <w:color w:val="000000"/>
          <w:sz w:val="24"/>
        </w:rPr>
        <w:t>（五）中标通知书</w:t>
      </w:r>
    </w:p>
    <w:p>
      <w:pPr>
        <w:pStyle w:val="29"/>
        <w:widowControl/>
        <w:snapToGrid w:val="0"/>
        <w:spacing w:line="360" w:lineRule="auto"/>
        <w:ind w:firstLine="494" w:firstLineChars="200"/>
        <w:jc w:val="left"/>
        <w:rPr>
          <w:rFonts w:ascii="宋体" w:hAnsi="宋体"/>
          <w:color w:val="000000"/>
          <w:kern w:val="0"/>
          <w:sz w:val="24"/>
        </w:rPr>
      </w:pPr>
      <w:r>
        <w:rPr>
          <w:rFonts w:hint="eastAsia" w:ascii="宋体" w:hAnsi="宋体"/>
          <w:color w:val="000000"/>
          <w:sz w:val="24"/>
        </w:rPr>
        <w:t>（六）本合同附件</w:t>
      </w:r>
    </w:p>
    <w:p>
      <w:pPr>
        <w:pStyle w:val="29"/>
        <w:widowControl/>
        <w:snapToGrid w:val="0"/>
        <w:spacing w:line="360" w:lineRule="auto"/>
        <w:ind w:firstLine="494" w:firstLineChars="200"/>
        <w:jc w:val="left"/>
        <w:rPr>
          <w:rFonts w:ascii="宋体" w:hAnsi="宋体"/>
          <w:color w:val="000000"/>
          <w:kern w:val="0"/>
          <w:sz w:val="24"/>
        </w:rPr>
      </w:pPr>
      <w:r>
        <w:rPr>
          <w:rFonts w:hint="eastAsia" w:ascii="宋体" w:hAnsi="宋体"/>
          <w:b/>
          <w:bCs/>
          <w:color w:val="000000"/>
          <w:sz w:val="24"/>
        </w:rPr>
        <w:t>二、合同的范围和条件</w:t>
      </w:r>
    </w:p>
    <w:p>
      <w:pPr>
        <w:pStyle w:val="29"/>
        <w:widowControl/>
        <w:snapToGrid w:val="0"/>
        <w:spacing w:line="360" w:lineRule="auto"/>
        <w:ind w:firstLine="494" w:firstLineChars="200"/>
        <w:jc w:val="left"/>
        <w:rPr>
          <w:rFonts w:ascii="宋体" w:hAnsi="宋体"/>
          <w:color w:val="000000"/>
          <w:kern w:val="0"/>
          <w:sz w:val="24"/>
        </w:rPr>
      </w:pPr>
      <w:r>
        <w:rPr>
          <w:rFonts w:hint="eastAsia" w:ascii="宋体" w:hAnsi="宋体"/>
          <w:color w:val="000000"/>
          <w:sz w:val="24"/>
        </w:rPr>
        <w:t>本合同的范围和条件应与上述合同文件的规定相一致。</w:t>
      </w:r>
    </w:p>
    <w:p>
      <w:pPr>
        <w:pStyle w:val="29"/>
        <w:widowControl/>
        <w:snapToGrid w:val="0"/>
        <w:spacing w:line="360" w:lineRule="auto"/>
        <w:ind w:firstLine="494" w:firstLineChars="200"/>
        <w:jc w:val="left"/>
        <w:rPr>
          <w:rFonts w:ascii="宋体" w:hAnsi="宋体"/>
          <w:color w:val="000000"/>
          <w:kern w:val="0"/>
          <w:sz w:val="24"/>
        </w:rPr>
      </w:pPr>
      <w:r>
        <w:rPr>
          <w:rFonts w:hint="eastAsia" w:ascii="宋体" w:hAnsi="宋体"/>
          <w:b/>
          <w:bCs/>
          <w:color w:val="000000"/>
          <w:sz w:val="24"/>
        </w:rPr>
        <w:t>三、货物、数量及规格</w:t>
      </w:r>
    </w:p>
    <w:p>
      <w:pPr>
        <w:pStyle w:val="29"/>
        <w:widowControl/>
        <w:snapToGrid w:val="0"/>
        <w:spacing w:line="360" w:lineRule="auto"/>
        <w:ind w:firstLine="494" w:firstLineChars="200"/>
        <w:jc w:val="left"/>
        <w:rPr>
          <w:rFonts w:ascii="宋体" w:hAnsi="宋体"/>
          <w:color w:val="000000"/>
          <w:kern w:val="0"/>
          <w:sz w:val="24"/>
        </w:rPr>
      </w:pPr>
      <w:r>
        <w:rPr>
          <w:rFonts w:hint="eastAsia" w:ascii="宋体" w:hAnsi="宋体"/>
          <w:color w:val="000000"/>
          <w:sz w:val="24"/>
        </w:rPr>
        <w:t>乙方按本合同约定给甲方提供的货物、数量及规格详见本合同货物清单（附件）（同投标文件中报价明细表，下同）。</w:t>
      </w:r>
    </w:p>
    <w:p>
      <w:pPr>
        <w:pStyle w:val="29"/>
        <w:widowControl/>
        <w:snapToGrid w:val="0"/>
        <w:spacing w:line="360" w:lineRule="auto"/>
        <w:ind w:firstLine="494" w:firstLineChars="200"/>
        <w:jc w:val="left"/>
        <w:rPr>
          <w:rFonts w:ascii="宋体" w:hAnsi="宋体"/>
          <w:b/>
          <w:bCs/>
          <w:color w:val="000000"/>
          <w:sz w:val="24"/>
        </w:rPr>
      </w:pPr>
      <w:r>
        <w:rPr>
          <w:rFonts w:hint="eastAsia" w:ascii="宋体" w:hAnsi="宋体"/>
          <w:b/>
          <w:bCs/>
          <w:color w:val="000000"/>
          <w:sz w:val="24"/>
        </w:rPr>
        <w:t>四、合同金额</w:t>
      </w:r>
    </w:p>
    <w:p>
      <w:pPr>
        <w:pStyle w:val="29"/>
        <w:widowControl/>
        <w:snapToGrid w:val="0"/>
        <w:spacing w:line="360" w:lineRule="auto"/>
        <w:ind w:firstLine="494" w:firstLineChars="200"/>
        <w:jc w:val="left"/>
        <w:rPr>
          <w:rFonts w:ascii="宋体" w:hAnsi="宋体"/>
          <w:color w:val="000000"/>
          <w:sz w:val="24"/>
        </w:rPr>
      </w:pPr>
      <w:r>
        <w:rPr>
          <w:rFonts w:hint="eastAsia" w:ascii="宋体" w:hAnsi="宋体"/>
          <w:color w:val="000000"/>
          <w:sz w:val="24"/>
        </w:rPr>
        <w:t>根据本合同文件要求，本合同约定货款总金额为人民币</w:t>
      </w: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。（分项价格详见本合同货物清单）。</w:t>
      </w:r>
    </w:p>
    <w:p>
      <w:pPr>
        <w:pStyle w:val="29"/>
        <w:widowControl/>
        <w:snapToGrid w:val="0"/>
        <w:spacing w:line="360" w:lineRule="auto"/>
        <w:ind w:firstLine="494" w:firstLineChars="200"/>
        <w:jc w:val="left"/>
        <w:rPr>
          <w:rFonts w:hint="eastAsia" w:ascii="宋体" w:hAnsi="宋体"/>
          <w:color w:val="000000"/>
          <w:sz w:val="24"/>
        </w:rPr>
      </w:pPr>
      <w:r>
        <w:rPr>
          <w:rFonts w:hint="eastAsia" w:ascii="宋体" w:hAnsi="宋体"/>
          <w:color w:val="000000"/>
          <w:sz w:val="24"/>
        </w:rPr>
        <w:t>除合同约定的货款总额外，甲方无需再向乙方支付任何额外费用。乙方为履行本合同所产生的所有费用均由乙方自行承担。</w:t>
      </w:r>
    </w:p>
    <w:p>
      <w:pPr>
        <w:pStyle w:val="29"/>
        <w:widowControl/>
        <w:snapToGrid w:val="0"/>
        <w:spacing w:line="360" w:lineRule="auto"/>
        <w:ind w:firstLine="494" w:firstLineChars="200"/>
        <w:jc w:val="left"/>
        <w:rPr>
          <w:rFonts w:ascii="宋体" w:hAnsi="宋体"/>
          <w:color w:val="000000"/>
          <w:sz w:val="24"/>
        </w:rPr>
      </w:pPr>
      <w:r>
        <w:rPr>
          <w:rFonts w:hint="eastAsia" w:ascii="宋体" w:hAnsi="宋体"/>
          <w:color w:val="000000"/>
          <w:sz w:val="24"/>
        </w:rPr>
        <w:t>乙方开户单位：</w:t>
      </w:r>
      <w:r>
        <w:rPr>
          <w:rFonts w:hint="eastAsia" w:ascii="宋体" w:hAnsi="宋体"/>
          <w:sz w:val="24"/>
          <w:u w:val="single"/>
        </w:rPr>
        <w:t xml:space="preserve">                       </w:t>
      </w:r>
    </w:p>
    <w:p>
      <w:pPr>
        <w:adjustRightInd w:val="0"/>
        <w:snapToGrid w:val="0"/>
        <w:spacing w:line="360" w:lineRule="auto"/>
        <w:ind w:firstLine="988" w:firstLineChars="400"/>
        <w:jc w:val="left"/>
        <w:rPr>
          <w:rFonts w:ascii="宋体" w:hAnsi="宋体" w:cs="仿宋_GB2312"/>
          <w:kern w:val="0"/>
          <w:sz w:val="24"/>
        </w:rPr>
      </w:pPr>
      <w:r>
        <w:rPr>
          <w:rFonts w:hint="eastAsia" w:ascii="宋体" w:hAnsi="宋体"/>
          <w:color w:val="000000"/>
          <w:sz w:val="24"/>
        </w:rPr>
        <w:t>开户银行：</w:t>
      </w:r>
      <w:r>
        <w:rPr>
          <w:rFonts w:hint="eastAsia" w:ascii="宋体" w:hAnsi="宋体" w:cs="仿宋_GB2312"/>
          <w:kern w:val="0"/>
          <w:sz w:val="24"/>
          <w:u w:val="single"/>
        </w:rPr>
        <w:t xml:space="preserve">                          </w:t>
      </w:r>
    </w:p>
    <w:p>
      <w:pPr>
        <w:pStyle w:val="29"/>
        <w:widowControl/>
        <w:snapToGrid w:val="0"/>
        <w:spacing w:line="360" w:lineRule="auto"/>
        <w:ind w:firstLine="494" w:firstLineChars="200"/>
        <w:jc w:val="left"/>
        <w:rPr>
          <w:rFonts w:ascii="宋体" w:hAnsi="宋体"/>
          <w:color w:val="000000"/>
          <w:sz w:val="24"/>
        </w:rPr>
      </w:pPr>
      <w:r>
        <w:rPr>
          <w:rFonts w:hint="eastAsia" w:ascii="宋体" w:hAnsi="宋体"/>
          <w:color w:val="000000"/>
          <w:sz w:val="24"/>
        </w:rPr>
        <w:t xml:space="preserve">        帐号：</w:t>
      </w:r>
      <w:r>
        <w:rPr>
          <w:rFonts w:hint="eastAsia" w:ascii="宋体" w:hAnsi="宋体" w:cs="仿宋_GB2312"/>
          <w:kern w:val="0"/>
          <w:sz w:val="24"/>
          <w:u w:val="single"/>
        </w:rPr>
        <w:t xml:space="preserve">                             </w:t>
      </w:r>
    </w:p>
    <w:p>
      <w:pPr>
        <w:pStyle w:val="29"/>
        <w:widowControl/>
        <w:snapToGrid w:val="0"/>
        <w:spacing w:line="360" w:lineRule="auto"/>
        <w:ind w:firstLine="494" w:firstLineChars="200"/>
        <w:jc w:val="left"/>
        <w:rPr>
          <w:rFonts w:ascii="宋体" w:hAnsi="宋体"/>
          <w:b/>
          <w:bCs/>
          <w:color w:val="000000"/>
          <w:sz w:val="24"/>
        </w:rPr>
      </w:pPr>
      <w:r>
        <w:rPr>
          <w:rFonts w:hint="eastAsia" w:ascii="宋体" w:hAnsi="宋体"/>
          <w:b/>
          <w:bCs/>
          <w:color w:val="000000"/>
          <w:sz w:val="24"/>
        </w:rPr>
        <w:t>五、付款途径</w:t>
      </w:r>
    </w:p>
    <w:p>
      <w:pPr>
        <w:pStyle w:val="29"/>
        <w:widowControl/>
        <w:snapToGrid w:val="0"/>
        <w:spacing w:line="360" w:lineRule="auto"/>
        <w:ind w:firstLine="494" w:firstLineChars="200"/>
        <w:jc w:val="left"/>
        <w:rPr>
          <w:rFonts w:ascii="宋体" w:hAnsi="宋体"/>
          <w:b/>
          <w:bCs/>
          <w:color w:val="000000"/>
          <w:sz w:val="24"/>
        </w:rPr>
      </w:pPr>
      <w:r>
        <w:rPr>
          <w:rFonts w:hint="eastAsia" w:ascii="宋体" w:hAnsi="宋体"/>
          <w:color w:val="000000"/>
          <w:sz w:val="24"/>
        </w:rPr>
        <w:t>□ 国库集中支付   □甲方支付    □ 国库与甲方共同支付</w:t>
      </w:r>
    </w:p>
    <w:p>
      <w:pPr>
        <w:pStyle w:val="29"/>
        <w:widowControl/>
        <w:snapToGrid w:val="0"/>
        <w:spacing w:line="360" w:lineRule="auto"/>
        <w:ind w:firstLine="494" w:firstLineChars="200"/>
        <w:jc w:val="left"/>
        <w:rPr>
          <w:rFonts w:ascii="宋体" w:hAnsi="宋体"/>
          <w:b/>
          <w:bCs/>
          <w:color w:val="000000"/>
          <w:sz w:val="24"/>
        </w:rPr>
      </w:pPr>
      <w:r>
        <w:rPr>
          <w:rFonts w:hint="eastAsia" w:ascii="宋体" w:hAnsi="宋体"/>
          <w:color w:val="000000"/>
          <w:sz w:val="24"/>
        </w:rPr>
        <w:t xml:space="preserve">□ 财政性资金 </w:t>
      </w:r>
      <w:r>
        <w:rPr>
          <w:rFonts w:hint="eastAsia" w:ascii="宋体" w:hAnsi="宋体"/>
          <w:color w:val="000000"/>
          <w:sz w:val="24"/>
          <w:u w:val="single"/>
        </w:rPr>
        <w:t xml:space="preserve">         </w:t>
      </w:r>
      <w:r>
        <w:rPr>
          <w:rFonts w:hint="eastAsia" w:ascii="宋体" w:hAnsi="宋体"/>
          <w:color w:val="000000"/>
          <w:sz w:val="24"/>
        </w:rPr>
        <w:t>元       □ 自筹性资金</w:t>
      </w:r>
      <w:r>
        <w:rPr>
          <w:rFonts w:hint="eastAsia" w:ascii="宋体" w:hAnsi="宋体"/>
          <w:color w:val="000000"/>
          <w:sz w:val="24"/>
          <w:u w:val="single"/>
        </w:rPr>
        <w:t xml:space="preserve">         </w:t>
      </w:r>
      <w:r>
        <w:rPr>
          <w:rFonts w:hint="eastAsia" w:ascii="宋体" w:hAnsi="宋体"/>
          <w:color w:val="000000"/>
          <w:sz w:val="24"/>
        </w:rPr>
        <w:t>元</w:t>
      </w:r>
    </w:p>
    <w:p>
      <w:pPr>
        <w:pStyle w:val="29"/>
        <w:widowControl/>
        <w:snapToGrid w:val="0"/>
        <w:spacing w:line="360" w:lineRule="auto"/>
        <w:ind w:firstLine="494" w:firstLineChars="200"/>
        <w:jc w:val="left"/>
        <w:rPr>
          <w:b/>
          <w:bCs/>
          <w:color w:val="000000"/>
          <w:sz w:val="24"/>
        </w:rPr>
      </w:pPr>
      <w:r>
        <w:rPr>
          <w:color w:val="000000"/>
          <w:sz w:val="24"/>
        </w:rPr>
        <w:t>属国库集中支付的财政性资金，甲方应按合同约定的付款期限，通过《新疆兵团政府采购管理系统》及时向财政部门报送资金支付申请，财政部门对支付申请审核无误后，甲方将货款直接支付至乙方账户。</w:t>
      </w:r>
    </w:p>
    <w:p>
      <w:pPr>
        <w:pStyle w:val="29"/>
        <w:widowControl/>
        <w:snapToGrid w:val="0"/>
        <w:spacing w:line="360" w:lineRule="auto"/>
        <w:ind w:firstLine="494" w:firstLineChars="200"/>
        <w:jc w:val="left"/>
        <w:rPr>
          <w:b/>
          <w:bCs/>
          <w:color w:val="000000"/>
          <w:sz w:val="24"/>
        </w:rPr>
      </w:pPr>
      <w:r>
        <w:rPr>
          <w:b/>
          <w:bCs/>
          <w:color w:val="000000"/>
          <w:sz w:val="24"/>
        </w:rPr>
        <w:t>六、付款方式</w:t>
      </w:r>
    </w:p>
    <w:p>
      <w:pPr>
        <w:pStyle w:val="29"/>
        <w:spacing w:line="360" w:lineRule="auto"/>
        <w:ind w:firstLine="494" w:firstLineChars="200"/>
        <w:rPr>
          <w:color w:val="000000"/>
          <w:sz w:val="24"/>
        </w:rPr>
      </w:pPr>
      <w:r>
        <w:rPr>
          <w:color w:val="000000"/>
          <w:sz w:val="24"/>
        </w:rPr>
        <w:t>付款方式</w:t>
      </w:r>
      <w:r>
        <w:rPr>
          <w:color w:val="000000"/>
          <w:sz w:val="20"/>
          <w:szCs w:val="20"/>
        </w:rPr>
        <w:t>：</w:t>
      </w:r>
      <w:r>
        <w:rPr>
          <w:rFonts w:hint="eastAsia"/>
          <w:sz w:val="24"/>
          <w:u w:val="single"/>
        </w:rPr>
        <w:t xml:space="preserve">  </w:t>
      </w:r>
      <w:r>
        <w:rPr>
          <w:color w:val="000000"/>
          <w:sz w:val="24"/>
          <w:u w:val="single"/>
        </w:rPr>
        <w:t xml:space="preserve"> </w:t>
      </w:r>
      <w:r>
        <w:rPr>
          <w:sz w:val="24"/>
          <w:u w:val="single"/>
        </w:rPr>
        <w:t xml:space="preserve">                                           </w:t>
      </w:r>
      <w:r>
        <w:rPr>
          <w:b/>
          <w:bCs/>
          <w:sz w:val="24"/>
          <w:u w:val="single"/>
        </w:rPr>
        <w:t xml:space="preserve">      </w:t>
      </w:r>
    </w:p>
    <w:p>
      <w:pPr>
        <w:pStyle w:val="29"/>
        <w:spacing w:line="360" w:lineRule="auto"/>
        <w:ind w:firstLine="494" w:firstLineChars="200"/>
        <w:rPr>
          <w:b/>
          <w:bCs/>
          <w:color w:val="000000"/>
          <w:sz w:val="24"/>
        </w:rPr>
      </w:pPr>
      <w:r>
        <w:rPr>
          <w:b/>
          <w:bCs/>
          <w:color w:val="000000"/>
          <w:sz w:val="24"/>
        </w:rPr>
        <w:t>七、交付货物日期、地点</w:t>
      </w:r>
    </w:p>
    <w:p>
      <w:pPr>
        <w:pStyle w:val="29"/>
        <w:spacing w:line="360" w:lineRule="auto"/>
        <w:ind w:firstLine="494" w:firstLineChars="200"/>
        <w:rPr>
          <w:color w:val="000000"/>
          <w:sz w:val="24"/>
        </w:rPr>
      </w:pPr>
      <w:r>
        <w:rPr>
          <w:color w:val="000000"/>
          <w:sz w:val="24"/>
        </w:rPr>
        <w:t>1、交付日期：乙方在本合同生效之日起</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日内给甲方交付货物完毕。</w:t>
      </w:r>
    </w:p>
    <w:p>
      <w:pPr>
        <w:pStyle w:val="29"/>
        <w:spacing w:line="360" w:lineRule="auto"/>
        <w:ind w:firstLine="494" w:firstLineChars="200"/>
        <w:rPr>
          <w:color w:val="000000"/>
          <w:sz w:val="24"/>
          <w:u w:val="single"/>
        </w:rPr>
      </w:pPr>
      <w:r>
        <w:rPr>
          <w:color w:val="000000"/>
          <w:sz w:val="24"/>
        </w:rPr>
        <w:t>2、交付地点：</w:t>
      </w:r>
      <w:r>
        <w:rPr>
          <w:color w:val="000000"/>
          <w:sz w:val="24"/>
          <w:u w:val="single"/>
        </w:rPr>
        <w:t xml:space="preserve">  </w:t>
      </w:r>
      <w:r>
        <w:rPr>
          <w:rFonts w:hint="eastAsia"/>
          <w:color w:val="000000"/>
          <w:sz w:val="24"/>
          <w:u w:val="single"/>
        </w:rPr>
        <w:t xml:space="preserve">                                         </w:t>
      </w:r>
      <w:r>
        <w:rPr>
          <w:color w:val="000000"/>
          <w:sz w:val="24"/>
          <w:u w:val="single"/>
        </w:rPr>
        <w:t xml:space="preserve">  </w:t>
      </w:r>
    </w:p>
    <w:p>
      <w:pPr>
        <w:pStyle w:val="29"/>
        <w:spacing w:line="360" w:lineRule="auto"/>
        <w:ind w:firstLine="494" w:firstLineChars="200"/>
        <w:rPr>
          <w:b/>
          <w:bCs/>
          <w:color w:val="000000"/>
          <w:sz w:val="24"/>
        </w:rPr>
      </w:pPr>
      <w:r>
        <w:rPr>
          <w:b/>
          <w:bCs/>
          <w:color w:val="000000"/>
          <w:sz w:val="24"/>
        </w:rPr>
        <w:t>八、履约保证金</w:t>
      </w:r>
    </w:p>
    <w:p>
      <w:pPr>
        <w:pStyle w:val="29"/>
        <w:spacing w:line="360" w:lineRule="auto"/>
        <w:ind w:firstLine="494" w:firstLineChars="200"/>
        <w:rPr>
          <w:color w:val="000000"/>
          <w:sz w:val="24"/>
        </w:rPr>
      </w:pPr>
      <w:r>
        <w:rPr>
          <w:color w:val="000000"/>
          <w:sz w:val="24"/>
        </w:rPr>
        <w:t>乙方交纳的履约保证金在项目交付验收合格无质量问题后，填写《履约保证金退付表》、《政府采购项目验收单》和资金往来收款收据交新疆兵团公共资源交易中心后20个工作日内退还。</w:t>
      </w:r>
    </w:p>
    <w:p>
      <w:pPr>
        <w:pStyle w:val="29"/>
        <w:spacing w:line="360" w:lineRule="auto"/>
        <w:ind w:firstLine="494" w:firstLineChars="200"/>
        <w:rPr>
          <w:b/>
          <w:bCs/>
          <w:color w:val="000000"/>
          <w:sz w:val="24"/>
        </w:rPr>
      </w:pPr>
      <w:r>
        <w:rPr>
          <w:b/>
          <w:bCs/>
          <w:color w:val="000000"/>
          <w:sz w:val="24"/>
        </w:rPr>
        <w:t>九、合同生效</w:t>
      </w:r>
    </w:p>
    <w:p>
      <w:pPr>
        <w:pStyle w:val="29"/>
        <w:spacing w:line="360" w:lineRule="auto"/>
        <w:ind w:firstLine="494" w:firstLineChars="200"/>
        <w:rPr>
          <w:color w:val="000000"/>
          <w:sz w:val="24"/>
        </w:rPr>
      </w:pPr>
      <w:r>
        <w:rPr>
          <w:color w:val="000000"/>
          <w:sz w:val="24"/>
        </w:rPr>
        <w:t>本合同经甲乙双方</w:t>
      </w:r>
      <w:r>
        <w:rPr>
          <w:rFonts w:hint="eastAsia"/>
          <w:color w:val="000000"/>
          <w:sz w:val="24"/>
        </w:rPr>
        <w:t>法定代表人或授权代表</w:t>
      </w:r>
      <w:r>
        <w:rPr>
          <w:color w:val="000000"/>
          <w:sz w:val="24"/>
        </w:rPr>
        <w:t>签字</w:t>
      </w:r>
      <w:r>
        <w:rPr>
          <w:rFonts w:hint="eastAsia"/>
          <w:color w:val="000000"/>
          <w:sz w:val="24"/>
        </w:rPr>
        <w:t>并加</w:t>
      </w:r>
      <w:r>
        <w:rPr>
          <w:color w:val="000000"/>
          <w:sz w:val="24"/>
        </w:rPr>
        <w:t>盖</w:t>
      </w:r>
      <w:r>
        <w:rPr>
          <w:rFonts w:hint="eastAsia"/>
          <w:color w:val="000000"/>
          <w:sz w:val="24"/>
        </w:rPr>
        <w:t>公</w:t>
      </w:r>
      <w:r>
        <w:rPr>
          <w:color w:val="000000"/>
          <w:sz w:val="24"/>
        </w:rPr>
        <w:t>章</w:t>
      </w:r>
      <w:r>
        <w:rPr>
          <w:rFonts w:hint="eastAsia"/>
          <w:color w:val="000000"/>
          <w:sz w:val="24"/>
        </w:rPr>
        <w:t>（合同专用章）</w:t>
      </w:r>
      <w:r>
        <w:rPr>
          <w:color w:val="000000"/>
          <w:sz w:val="24"/>
        </w:rPr>
        <w:t>，乙方提交履约保证金后，经</w:t>
      </w:r>
      <w:r>
        <w:rPr>
          <w:rFonts w:hint="eastAsia"/>
          <w:color w:val="000000"/>
          <w:sz w:val="24"/>
          <w:u w:val="single"/>
        </w:rPr>
        <w:t xml:space="preserve">            </w:t>
      </w:r>
      <w:r>
        <w:rPr>
          <w:rFonts w:hint="eastAsia"/>
          <w:color w:val="000000"/>
          <w:sz w:val="24"/>
        </w:rPr>
        <w:t>备案</w:t>
      </w:r>
      <w:r>
        <w:rPr>
          <w:color w:val="000000"/>
          <w:sz w:val="24"/>
        </w:rPr>
        <w:t>后生效。</w:t>
      </w:r>
    </w:p>
    <w:p>
      <w:pPr>
        <w:pStyle w:val="29"/>
        <w:spacing w:line="360" w:lineRule="auto"/>
        <w:ind w:firstLine="494" w:firstLineChars="200"/>
        <w:rPr>
          <w:b/>
          <w:bCs/>
          <w:color w:val="000000"/>
          <w:sz w:val="24"/>
        </w:rPr>
      </w:pPr>
      <w:r>
        <w:rPr>
          <w:b/>
          <w:bCs/>
          <w:color w:val="000000"/>
          <w:sz w:val="24"/>
        </w:rPr>
        <w:t>十、合同保存</w:t>
      </w:r>
    </w:p>
    <w:p>
      <w:pPr>
        <w:pStyle w:val="29"/>
        <w:spacing w:line="360" w:lineRule="auto"/>
        <w:ind w:firstLine="494" w:firstLineChars="200"/>
        <w:rPr>
          <w:color w:val="000000"/>
          <w:sz w:val="24"/>
        </w:rPr>
      </w:pPr>
      <w:r>
        <w:rPr>
          <w:color w:val="000000"/>
          <w:sz w:val="24"/>
        </w:rPr>
        <w:t>本合同一式</w:t>
      </w:r>
      <w:r>
        <w:rPr>
          <w:rFonts w:hint="eastAsia"/>
          <w:color w:val="000000"/>
          <w:sz w:val="24"/>
          <w:u w:val="single"/>
        </w:rPr>
        <w:t>肆</w:t>
      </w:r>
      <w:r>
        <w:rPr>
          <w:color w:val="000000"/>
          <w:sz w:val="24"/>
        </w:rPr>
        <w:t>份，甲方</w:t>
      </w:r>
      <w:r>
        <w:rPr>
          <w:rFonts w:hint="eastAsia"/>
          <w:color w:val="000000"/>
          <w:sz w:val="24"/>
          <w:u w:val="single"/>
          <w:lang w:eastAsia="zh-CN"/>
        </w:rPr>
        <w:t>叁</w:t>
      </w:r>
      <w:r>
        <w:rPr>
          <w:color w:val="000000"/>
          <w:sz w:val="24"/>
        </w:rPr>
        <w:t>份，乙方</w:t>
      </w:r>
      <w:r>
        <w:rPr>
          <w:rFonts w:hint="eastAsia"/>
          <w:color w:val="000000"/>
          <w:sz w:val="24"/>
          <w:u w:val="single"/>
        </w:rPr>
        <w:t>壹</w:t>
      </w:r>
      <w:r>
        <w:rPr>
          <w:color w:val="000000"/>
          <w:sz w:val="24"/>
        </w:rPr>
        <w:t>份</w:t>
      </w:r>
      <w:r>
        <w:rPr>
          <w:rFonts w:hint="eastAsia"/>
          <w:color w:val="000000"/>
          <w:sz w:val="24"/>
        </w:rPr>
        <w:t>，每份具有同等效力</w:t>
      </w:r>
      <w:r>
        <w:rPr>
          <w:color w:val="000000"/>
          <w:sz w:val="24"/>
        </w:rPr>
        <w:t>。</w:t>
      </w:r>
    </w:p>
    <w:p>
      <w:pPr>
        <w:pStyle w:val="29"/>
        <w:spacing w:line="360" w:lineRule="auto"/>
        <w:ind w:firstLine="494" w:firstLineChars="200"/>
        <w:jc w:val="left"/>
        <w:rPr>
          <w:b/>
          <w:bCs/>
          <w:color w:val="000000"/>
          <w:sz w:val="24"/>
        </w:rPr>
      </w:pPr>
      <w:r>
        <w:rPr>
          <w:b/>
          <w:bCs/>
          <w:color w:val="000000"/>
          <w:sz w:val="24"/>
        </w:rPr>
        <w:t>十</w:t>
      </w:r>
      <w:r>
        <w:rPr>
          <w:rFonts w:hint="eastAsia"/>
          <w:b/>
          <w:bCs/>
          <w:color w:val="000000"/>
          <w:sz w:val="24"/>
        </w:rPr>
        <w:t>一</w:t>
      </w:r>
      <w:r>
        <w:rPr>
          <w:b/>
          <w:bCs/>
          <w:color w:val="000000"/>
          <w:sz w:val="24"/>
        </w:rPr>
        <w:t>、其他约定事项</w:t>
      </w:r>
    </w:p>
    <w:p>
      <w:pPr>
        <w:pStyle w:val="29"/>
        <w:spacing w:line="360" w:lineRule="auto"/>
        <w:ind w:firstLine="494" w:firstLineChars="200"/>
        <w:jc w:val="left"/>
        <w:rPr>
          <w:color w:val="000000"/>
          <w:sz w:val="24"/>
        </w:rPr>
      </w:pPr>
      <w:r>
        <w:rPr>
          <w:color w:val="000000"/>
          <w:sz w:val="24"/>
        </w:rPr>
        <w:t>1、乙方按本合同约定给甲方提供的各种货物若发生货物质量问题，乙方无条件承担全部法律责任。</w:t>
      </w:r>
    </w:p>
    <w:p>
      <w:pPr>
        <w:pStyle w:val="29"/>
        <w:spacing w:line="360" w:lineRule="auto"/>
        <w:ind w:firstLine="494" w:firstLineChars="200"/>
        <w:jc w:val="left"/>
        <w:rPr>
          <w:color w:val="000000"/>
          <w:sz w:val="24"/>
        </w:rPr>
      </w:pPr>
      <w:r>
        <w:rPr>
          <w:color w:val="000000"/>
          <w:sz w:val="24"/>
        </w:rPr>
        <w:t>2、甲方未按本合同约定的日期、数额给乙方支付货款，逾期一日，甲方按本合同约定的货款总额的日万分之五给乙方支付违约金。</w:t>
      </w:r>
    </w:p>
    <w:p>
      <w:pPr>
        <w:pStyle w:val="29"/>
        <w:spacing w:line="360" w:lineRule="auto"/>
        <w:ind w:firstLine="494" w:firstLineChars="200"/>
        <w:jc w:val="left"/>
        <w:rPr>
          <w:color w:val="000000"/>
          <w:sz w:val="24"/>
        </w:rPr>
      </w:pPr>
      <w:r>
        <w:rPr>
          <w:color w:val="000000"/>
          <w:sz w:val="24"/>
        </w:rPr>
        <w:t>3、乙方未按本合同约定的日期、质量、数量</w:t>
      </w:r>
      <w:r>
        <w:rPr>
          <w:rFonts w:hint="eastAsia"/>
          <w:color w:val="000000"/>
          <w:sz w:val="24"/>
        </w:rPr>
        <w:t>、规格</w:t>
      </w:r>
      <w:r>
        <w:rPr>
          <w:color w:val="000000"/>
          <w:sz w:val="24"/>
        </w:rPr>
        <w:t>给甲方供货完毕。逾期一日，乙方按本合同约定的货款总额的日万分之五给甲方支付违约金</w:t>
      </w:r>
      <w:r>
        <w:rPr>
          <w:rFonts w:hint="eastAsia"/>
          <w:color w:val="000000"/>
          <w:sz w:val="24"/>
        </w:rPr>
        <w:t>，甲方有权从应付货款中直接扣除</w:t>
      </w:r>
      <w:r>
        <w:rPr>
          <w:color w:val="000000"/>
          <w:sz w:val="24"/>
        </w:rPr>
        <w:t>。</w:t>
      </w:r>
    </w:p>
    <w:p>
      <w:pPr>
        <w:pStyle w:val="29"/>
        <w:spacing w:line="360" w:lineRule="auto"/>
        <w:ind w:firstLine="494" w:firstLineChars="200"/>
        <w:jc w:val="left"/>
        <w:rPr>
          <w:color w:val="000000"/>
          <w:sz w:val="24"/>
        </w:rPr>
      </w:pPr>
      <w:r>
        <w:rPr>
          <w:color w:val="000000"/>
          <w:sz w:val="24"/>
        </w:rPr>
        <w:t>4、乙方按本合同约定日期、金额向甲方收取货款时，乙方须给甲方提供国家正规发票。否则，甲方有权拒付货款。</w:t>
      </w:r>
    </w:p>
    <w:p>
      <w:pPr>
        <w:pStyle w:val="29"/>
        <w:spacing w:line="360" w:lineRule="auto"/>
        <w:ind w:firstLine="494" w:firstLineChars="200"/>
        <w:jc w:val="left"/>
        <w:rPr>
          <w:color w:val="000000"/>
          <w:sz w:val="24"/>
        </w:rPr>
      </w:pPr>
      <w:r>
        <w:rPr>
          <w:color w:val="000000"/>
          <w:sz w:val="24"/>
        </w:rPr>
        <w:t>5、本合同执行过程中，甲乙双方发生争议，由甲乙双方协商解决。达不成一致，甲乙双方任何一方</w:t>
      </w:r>
      <w:r>
        <w:rPr>
          <w:rFonts w:hint="eastAsia"/>
          <w:color w:val="000000"/>
          <w:sz w:val="24"/>
        </w:rPr>
        <w:t>均有权</w:t>
      </w:r>
      <w:r>
        <w:rPr>
          <w:color w:val="000000"/>
          <w:sz w:val="24"/>
        </w:rPr>
        <w:t>向甲方所在地</w:t>
      </w:r>
      <w:r>
        <w:rPr>
          <w:rFonts w:hint="eastAsia"/>
          <w:color w:val="000000"/>
          <w:sz w:val="24"/>
        </w:rPr>
        <w:t>有管辖权的</w:t>
      </w:r>
      <w:r>
        <w:rPr>
          <w:color w:val="000000"/>
          <w:sz w:val="24"/>
        </w:rPr>
        <w:t>人民法院</w:t>
      </w:r>
      <w:r>
        <w:rPr>
          <w:rFonts w:hint="eastAsia"/>
          <w:color w:val="000000"/>
          <w:sz w:val="24"/>
        </w:rPr>
        <w:t>提起</w:t>
      </w:r>
      <w:r>
        <w:rPr>
          <w:color w:val="000000"/>
          <w:sz w:val="24"/>
        </w:rPr>
        <w:t>诉讼。</w:t>
      </w:r>
    </w:p>
    <w:p>
      <w:pPr>
        <w:pStyle w:val="29"/>
        <w:spacing w:line="360" w:lineRule="auto"/>
        <w:ind w:firstLine="494" w:firstLineChars="200"/>
        <w:jc w:val="left"/>
        <w:rPr>
          <w:color w:val="000000"/>
          <w:sz w:val="24"/>
        </w:rPr>
      </w:pPr>
      <w:r>
        <w:rPr>
          <w:rFonts w:hint="eastAsia"/>
          <w:color w:val="000000"/>
          <w:sz w:val="24"/>
        </w:rPr>
        <w:t>6、本合同未尽事宜，双方可签订补充协议，补充协议是本合同不可分割的组成部分，具有同等效力。</w:t>
      </w:r>
    </w:p>
    <w:p>
      <w:pPr>
        <w:pStyle w:val="29"/>
        <w:spacing w:line="360" w:lineRule="auto"/>
        <w:ind w:firstLine="494" w:firstLineChars="200"/>
        <w:jc w:val="left"/>
        <w:rPr>
          <w:color w:val="000000"/>
          <w:sz w:val="24"/>
        </w:rPr>
      </w:pPr>
      <w:r>
        <w:rPr>
          <w:rFonts w:hint="eastAsia"/>
          <w:color w:val="000000"/>
          <w:sz w:val="24"/>
        </w:rPr>
        <w:t>十二、验收</w:t>
      </w:r>
    </w:p>
    <w:p>
      <w:pPr>
        <w:pStyle w:val="29"/>
        <w:spacing w:line="360" w:lineRule="auto"/>
        <w:ind w:firstLine="494" w:firstLineChars="200"/>
        <w:jc w:val="left"/>
        <w:rPr>
          <w:color w:val="000000"/>
          <w:sz w:val="24"/>
        </w:rPr>
      </w:pPr>
      <w:r>
        <w:rPr>
          <w:rFonts w:hint="eastAsia"/>
          <w:color w:val="000000"/>
          <w:sz w:val="24"/>
        </w:rPr>
        <w:t xml:space="preserve">1、甲方应于到货后 </w:t>
      </w:r>
      <w:r>
        <w:rPr>
          <w:color w:val="000000"/>
          <w:sz w:val="24"/>
        </w:rPr>
        <w:t xml:space="preserve">     </w:t>
      </w:r>
      <w:r>
        <w:rPr>
          <w:rFonts w:hint="eastAsia"/>
          <w:color w:val="000000"/>
          <w:sz w:val="24"/>
        </w:rPr>
        <w:t>个工作日内对货物进行验收，乙方应派员在场。甲方对货物的名称、数量、规格等外观进行核对后，向乙方出具验收证明，视为乙方完成交付。甲方对货物外观的验收确认不视为甲方对货物质量的确认，发生质量问题时，乙方仍应承担相应责任。</w:t>
      </w:r>
    </w:p>
    <w:p>
      <w:pPr>
        <w:pStyle w:val="29"/>
        <w:spacing w:line="360" w:lineRule="auto"/>
        <w:ind w:firstLine="494" w:firstLineChars="200"/>
        <w:jc w:val="left"/>
        <w:rPr>
          <w:rFonts w:hint="eastAsia"/>
          <w:color w:val="000000"/>
          <w:sz w:val="24"/>
        </w:rPr>
      </w:pPr>
      <w:r>
        <w:rPr>
          <w:rFonts w:hint="eastAsia"/>
          <w:color w:val="000000"/>
          <w:sz w:val="24"/>
        </w:rPr>
        <w:t>2、如甲方验收后确认货物名称、数量、规格等与合同不符，有权拒收不符部分或全部货物，乙方应立即更换、补足相应货物，直至通过甲方验收，导致逾期交付的，乙方还应承担逾期交付的违约责任。</w:t>
      </w:r>
    </w:p>
    <w:p>
      <w:pPr>
        <w:pStyle w:val="29"/>
        <w:spacing w:line="360" w:lineRule="auto"/>
        <w:ind w:firstLine="494" w:firstLineChars="200"/>
        <w:jc w:val="left"/>
        <w:rPr>
          <w:color w:val="000000"/>
          <w:sz w:val="24"/>
        </w:rPr>
      </w:pPr>
      <w:r>
        <w:rPr>
          <w:rFonts w:hint="eastAsia"/>
          <w:color w:val="000000"/>
          <w:sz w:val="24"/>
        </w:rPr>
        <w:t>十三、质量标准</w:t>
      </w:r>
    </w:p>
    <w:p>
      <w:pPr>
        <w:pStyle w:val="29"/>
        <w:spacing w:line="360" w:lineRule="auto"/>
        <w:ind w:firstLine="494" w:firstLineChars="200"/>
        <w:jc w:val="left"/>
        <w:rPr>
          <w:rFonts w:hint="eastAsia"/>
          <w:color w:val="000000"/>
          <w:sz w:val="24"/>
        </w:rPr>
      </w:pPr>
      <w:r>
        <w:rPr>
          <w:rFonts w:hint="eastAsia"/>
          <w:color w:val="000000"/>
          <w:sz w:val="24"/>
        </w:rPr>
        <w:t xml:space="preserve">乙方保证所供货物符合 </w:t>
      </w:r>
      <w:r>
        <w:rPr>
          <w:color w:val="000000"/>
          <w:sz w:val="24"/>
        </w:rPr>
        <w:t xml:space="preserve">       </w:t>
      </w:r>
      <w:r>
        <w:rPr>
          <w:rFonts w:hint="eastAsia"/>
          <w:color w:val="000000"/>
          <w:sz w:val="24"/>
        </w:rPr>
        <w:t>质量标准。</w:t>
      </w:r>
    </w:p>
    <w:p>
      <w:pPr>
        <w:pStyle w:val="29"/>
        <w:spacing w:line="360" w:lineRule="auto"/>
        <w:rPr>
          <w:color w:val="000000"/>
          <w:sz w:val="24"/>
        </w:rPr>
      </w:pPr>
    </w:p>
    <w:p>
      <w:pPr>
        <w:pStyle w:val="29"/>
        <w:spacing w:line="360" w:lineRule="auto"/>
        <w:rPr>
          <w:color w:val="000000"/>
          <w:sz w:val="24"/>
        </w:rPr>
      </w:pPr>
    </w:p>
    <w:p>
      <w:pPr>
        <w:pStyle w:val="29"/>
        <w:spacing w:line="360" w:lineRule="auto"/>
        <w:rPr>
          <w:b/>
          <w:bCs/>
          <w:color w:val="000000"/>
          <w:sz w:val="24"/>
        </w:rPr>
      </w:pPr>
      <w:r>
        <w:rPr>
          <w:b/>
          <w:bCs/>
          <w:color w:val="000000"/>
          <w:sz w:val="24"/>
        </w:rPr>
        <w:t>甲    方：                            乙    方：</w:t>
      </w:r>
    </w:p>
    <w:p>
      <w:pPr>
        <w:pStyle w:val="29"/>
        <w:spacing w:line="360" w:lineRule="auto"/>
        <w:rPr>
          <w:color w:val="000000"/>
          <w:sz w:val="24"/>
        </w:rPr>
      </w:pPr>
    </w:p>
    <w:p>
      <w:pPr>
        <w:pStyle w:val="29"/>
        <w:spacing w:line="360" w:lineRule="auto"/>
        <w:rPr>
          <w:color w:val="000000"/>
          <w:sz w:val="24"/>
        </w:rPr>
      </w:pPr>
      <w:r>
        <w:rPr>
          <w:color w:val="000000"/>
          <w:sz w:val="24"/>
        </w:rPr>
        <w:t>单位名称(公章)：                      单位名称(公章)：</w:t>
      </w:r>
    </w:p>
    <w:p>
      <w:pPr>
        <w:pStyle w:val="29"/>
        <w:spacing w:line="360" w:lineRule="auto"/>
        <w:rPr>
          <w:color w:val="000000"/>
          <w:sz w:val="24"/>
        </w:rPr>
      </w:pPr>
      <w:r>
        <w:rPr>
          <w:color w:val="000000"/>
          <w:sz w:val="24"/>
        </w:rPr>
        <w:t xml:space="preserve"> </w:t>
      </w:r>
    </w:p>
    <w:p>
      <w:pPr>
        <w:pStyle w:val="29"/>
        <w:spacing w:line="360" w:lineRule="auto"/>
        <w:rPr>
          <w:color w:val="000000"/>
          <w:sz w:val="24"/>
        </w:rPr>
      </w:pPr>
      <w:r>
        <w:rPr>
          <w:color w:val="000000"/>
          <w:sz w:val="24"/>
        </w:rPr>
        <w:t>法定代表人或授权代理人：（签字）       法定代表人或授权代理人：（签字）</w:t>
      </w:r>
    </w:p>
    <w:p>
      <w:pPr>
        <w:pStyle w:val="29"/>
        <w:spacing w:line="360" w:lineRule="auto"/>
        <w:rPr>
          <w:color w:val="000000"/>
          <w:sz w:val="24"/>
        </w:rPr>
      </w:pPr>
      <w:r>
        <w:rPr>
          <w:color w:val="000000"/>
          <w:sz w:val="24"/>
        </w:rPr>
        <w:t xml:space="preserve"> </w:t>
      </w:r>
    </w:p>
    <w:p>
      <w:pPr>
        <w:pStyle w:val="29"/>
        <w:spacing w:line="360" w:lineRule="auto"/>
        <w:rPr>
          <w:color w:val="000000"/>
          <w:sz w:val="24"/>
        </w:rPr>
      </w:pPr>
      <w:r>
        <w:rPr>
          <w:color w:val="000000"/>
          <w:sz w:val="24"/>
        </w:rPr>
        <w:t>电    话：                            电    话：</w:t>
      </w:r>
    </w:p>
    <w:p>
      <w:pPr>
        <w:pStyle w:val="29"/>
        <w:spacing w:line="360" w:lineRule="auto"/>
        <w:rPr>
          <w:color w:val="000000"/>
          <w:sz w:val="24"/>
        </w:rPr>
      </w:pPr>
    </w:p>
    <w:p>
      <w:pPr>
        <w:pStyle w:val="29"/>
        <w:spacing w:line="360" w:lineRule="auto"/>
        <w:rPr>
          <w:color w:val="000000"/>
          <w:sz w:val="24"/>
        </w:rPr>
      </w:pPr>
      <w:r>
        <w:rPr>
          <w:color w:val="000000"/>
          <w:sz w:val="24"/>
        </w:rPr>
        <w:t>签订日期：                            签订日期：</w:t>
      </w:r>
    </w:p>
    <w:p>
      <w:pPr>
        <w:pStyle w:val="10"/>
        <w:jc w:val="both"/>
        <w:rPr>
          <w:rFonts w:ascii="宋体" w:hAnsi="宋体" w:eastAsia="宋体" w:cs="宋体"/>
          <w:sz w:val="28"/>
          <w:szCs w:val="28"/>
        </w:rPr>
      </w:pPr>
    </w:p>
    <w:p>
      <w:pPr>
        <w:pStyle w:val="3"/>
        <w:numPr>
          <w:ilvl w:val="0"/>
          <w:numId w:val="2"/>
        </w:numPr>
        <w:rPr>
          <w:rFonts w:ascii="宋体" w:hAnsi="宋体" w:eastAsia="宋体"/>
        </w:rPr>
      </w:pPr>
      <w:bookmarkStart w:id="225" w:name="_Toc8983677"/>
      <w:r>
        <w:rPr>
          <w:rFonts w:hint="eastAsia" w:ascii="宋体" w:hAnsi="宋体" w:eastAsia="宋体"/>
        </w:rPr>
        <w:t>技术要求</w:t>
      </w:r>
      <w:bookmarkEnd w:id="225"/>
    </w:p>
    <w:p>
      <w:pPr>
        <w:pStyle w:val="31"/>
        <w:spacing w:line="360" w:lineRule="auto"/>
        <w:rPr>
          <w:rFonts w:hint="eastAsia"/>
          <w:b/>
          <w:sz w:val="24"/>
        </w:rPr>
      </w:pPr>
      <w:bookmarkStart w:id="226" w:name="EBe6f29cfd18e6459587ecf2aa36a0140e"/>
      <w:r>
        <w:rPr>
          <w:rFonts w:hint="eastAsia"/>
          <w:b/>
          <w:sz w:val="24"/>
          <w:lang w:val="en-US" w:eastAsia="zh-CN"/>
        </w:rPr>
        <w:t xml:space="preserve">                                 </w:t>
      </w:r>
    </w:p>
    <w:p>
      <w:pPr>
        <w:pStyle w:val="31"/>
        <w:spacing w:line="360" w:lineRule="auto"/>
        <w:rPr>
          <w:rFonts w:hint="eastAsia"/>
          <w:b/>
          <w:sz w:val="24"/>
        </w:rPr>
      </w:pPr>
      <w:r>
        <w:rPr>
          <w:rFonts w:hint="eastAsia"/>
          <w:lang w:val="en-US" w:eastAsia="zh-CN"/>
        </w:rPr>
        <w:t xml:space="preserve">                  </w:t>
      </w:r>
      <w:r>
        <w:drawing>
          <wp:inline distT="0" distB="0" distL="114300" distR="114300">
            <wp:extent cx="3952875" cy="6534150"/>
            <wp:effectExtent l="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3952875" cy="6534150"/>
                    </a:xfrm>
                    <a:prstGeom prst="rect">
                      <a:avLst/>
                    </a:prstGeom>
                    <a:noFill/>
                    <a:ln>
                      <a:noFill/>
                    </a:ln>
                  </pic:spPr>
                </pic:pic>
              </a:graphicData>
            </a:graphic>
          </wp:inline>
        </w:drawing>
      </w:r>
    </w:p>
    <w:p>
      <w:pPr>
        <w:pStyle w:val="31"/>
        <w:spacing w:line="360" w:lineRule="auto"/>
        <w:rPr>
          <w:rFonts w:hint="eastAsia"/>
          <w:b/>
          <w:sz w:val="24"/>
        </w:rPr>
      </w:pPr>
    </w:p>
    <w:tbl>
      <w:tblPr>
        <w:tblStyle w:val="18"/>
        <w:tblW w:w="8556" w:type="dxa"/>
        <w:tblInd w:w="93" w:type="dxa"/>
        <w:shd w:val="clear" w:color="auto" w:fill="auto"/>
        <w:tblLayout w:type="fixed"/>
        <w:tblCellMar>
          <w:top w:w="0" w:type="dxa"/>
          <w:left w:w="108" w:type="dxa"/>
          <w:bottom w:w="0" w:type="dxa"/>
          <w:right w:w="108" w:type="dxa"/>
        </w:tblCellMar>
      </w:tblPr>
      <w:tblGrid>
        <w:gridCol w:w="1999"/>
        <w:gridCol w:w="3587"/>
        <w:gridCol w:w="1650"/>
        <w:gridCol w:w="1320"/>
      </w:tblGrid>
      <w:tr>
        <w:tblPrEx>
          <w:shd w:val="clear" w:color="auto" w:fill="auto"/>
          <w:tblCellMar>
            <w:top w:w="0" w:type="dxa"/>
            <w:left w:w="108" w:type="dxa"/>
            <w:bottom w:w="0" w:type="dxa"/>
            <w:right w:w="108" w:type="dxa"/>
          </w:tblCellMar>
        </w:tblPrEx>
        <w:trPr>
          <w:trHeight w:val="285" w:hRule="atLeast"/>
        </w:trPr>
        <w:tc>
          <w:tcPr>
            <w:tcW w:w="5586"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MingLiU" w:hAnsi="MingLiU" w:eastAsia="MingLiU" w:cs="MingLiU"/>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MingLiU" w:hAnsi="MingLiU" w:eastAsia="MingLiU" w:cs="MingLiU"/>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MingLiU" w:hAnsi="MingLiU" w:eastAsia="MingLiU" w:cs="MingLiU"/>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MingLiU" w:hAnsi="MingLiU" w:eastAsia="MingLiU" w:cs="MingLiU"/>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一.不锈钢造型制作</w:t>
            </w:r>
          </w:p>
        </w:tc>
        <w:tc>
          <w:tcPr>
            <w:tcW w:w="1650" w:type="dxa"/>
            <w:tcBorders>
              <w:top w:val="nil"/>
              <w:left w:val="nil"/>
              <w:bottom w:val="nil"/>
              <w:right w:val="nil"/>
            </w:tcBorders>
            <w:shd w:val="clear" w:color="auto" w:fill="auto"/>
            <w:noWrap/>
            <w:vAlign w:val="center"/>
          </w:tcPr>
          <w:p>
            <w:pPr>
              <w:jc w:val="center"/>
              <w:rPr>
                <w:rFonts w:hint="default" w:ascii="Arial" w:hAnsi="Arial" w:cs="Arial"/>
                <w:i w:val="0"/>
                <w:iCs w:val="0"/>
                <w:color w:val="000000"/>
                <w:sz w:val="20"/>
                <w:szCs w:val="20"/>
                <w:u w:val="none"/>
              </w:rPr>
            </w:pPr>
          </w:p>
        </w:tc>
        <w:tc>
          <w:tcPr>
            <w:tcW w:w="1320" w:type="dxa"/>
            <w:tcBorders>
              <w:top w:val="nil"/>
              <w:left w:val="nil"/>
              <w:bottom w:val="nil"/>
              <w:right w:val="nil"/>
            </w:tcBorders>
            <w:shd w:val="clear" w:color="auto" w:fill="auto"/>
            <w:noWrap/>
            <w:vAlign w:val="center"/>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70" w:hRule="atLeast"/>
        </w:trPr>
        <w:tc>
          <w:tcPr>
            <w:tcW w:w="1999" w:type="dxa"/>
            <w:tcBorders>
              <w:top w:val="nil"/>
              <w:left w:val="nil"/>
              <w:bottom w:val="nil"/>
              <w:right w:val="nil"/>
            </w:tcBorders>
            <w:shd w:val="clear" w:color="auto" w:fill="auto"/>
            <w:noWrap/>
            <w:vAlign w:val="center"/>
          </w:tcPr>
          <w:p>
            <w:pPr>
              <w:rPr>
                <w:rFonts w:hint="default" w:ascii="Arial" w:hAnsi="Arial" w:cs="Arial"/>
                <w:i w:val="0"/>
                <w:iCs w:val="0"/>
                <w:color w:val="000000"/>
                <w:sz w:val="20"/>
                <w:szCs w:val="20"/>
                <w:u w:val="none"/>
              </w:rPr>
            </w:pPr>
          </w:p>
        </w:tc>
        <w:tc>
          <w:tcPr>
            <w:tcW w:w="3587" w:type="dxa"/>
            <w:tcBorders>
              <w:top w:val="nil"/>
              <w:left w:val="nil"/>
              <w:bottom w:val="nil"/>
              <w:right w:val="nil"/>
            </w:tcBorders>
            <w:shd w:val="clear" w:color="auto" w:fill="auto"/>
            <w:noWrap/>
            <w:vAlign w:val="center"/>
          </w:tcPr>
          <w:p>
            <w:pPr>
              <w:jc w:val="center"/>
              <w:rPr>
                <w:rFonts w:hint="default" w:ascii="Arial" w:hAnsi="Arial" w:cs="Arial"/>
                <w:i w:val="0"/>
                <w:iCs w:val="0"/>
                <w:color w:val="000000"/>
                <w:sz w:val="20"/>
                <w:szCs w:val="20"/>
                <w:u w:val="none"/>
              </w:rPr>
            </w:pPr>
          </w:p>
        </w:tc>
        <w:tc>
          <w:tcPr>
            <w:tcW w:w="1650" w:type="dxa"/>
            <w:tcBorders>
              <w:top w:val="nil"/>
              <w:left w:val="nil"/>
              <w:bottom w:val="nil"/>
              <w:right w:val="nil"/>
            </w:tcBorders>
            <w:shd w:val="clear" w:color="auto" w:fill="auto"/>
            <w:noWrap/>
            <w:vAlign w:val="center"/>
          </w:tcPr>
          <w:p>
            <w:pPr>
              <w:jc w:val="center"/>
              <w:rPr>
                <w:rFonts w:hint="default" w:ascii="Arial" w:hAnsi="Arial" w:cs="Arial"/>
                <w:i w:val="0"/>
                <w:iCs w:val="0"/>
                <w:color w:val="000000"/>
                <w:sz w:val="20"/>
                <w:szCs w:val="20"/>
                <w:u w:val="none"/>
              </w:rPr>
            </w:pPr>
          </w:p>
        </w:tc>
        <w:tc>
          <w:tcPr>
            <w:tcW w:w="1320" w:type="dxa"/>
            <w:tcBorders>
              <w:top w:val="nil"/>
              <w:left w:val="nil"/>
              <w:bottom w:val="nil"/>
              <w:right w:val="nil"/>
            </w:tcBorders>
            <w:shd w:val="clear" w:color="auto" w:fill="auto"/>
            <w:noWrap/>
            <w:vAlign w:val="center"/>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Style w:val="49"/>
                <w:lang w:val="en-US" w:eastAsia="zh-CN" w:bidi="ar"/>
              </w:rPr>
              <w:t>类 别</w:t>
            </w: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名称</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单位</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备注</w:t>
            </w:r>
          </w:p>
        </w:tc>
      </w:tr>
      <w:tr>
        <w:tblPrEx>
          <w:tblCellMar>
            <w:top w:w="0" w:type="dxa"/>
            <w:left w:w="108" w:type="dxa"/>
            <w:bottom w:w="0" w:type="dxa"/>
            <w:right w:w="108" w:type="dxa"/>
          </w:tblCellMar>
        </w:tblPrEx>
        <w:trPr>
          <w:trHeight w:val="300" w:hRule="atLeast"/>
        </w:trPr>
        <w:tc>
          <w:tcPr>
            <w:tcW w:w="1999"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Style w:val="49"/>
                <w:lang w:val="en-US" w:eastAsia="zh-CN" w:bidi="ar"/>
              </w:rPr>
              <w:t>直接材料费用</w:t>
            </w: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不锈钢板</w:t>
            </w:r>
            <w:r>
              <w:rPr>
                <w:rFonts w:hint="default" w:ascii="Arial" w:hAnsi="Arial" w:eastAsia="MingLiU" w:cs="Arial"/>
                <w:i w:val="0"/>
                <w:iCs w:val="0"/>
                <w:color w:val="000000"/>
                <w:kern w:val="0"/>
                <w:sz w:val="20"/>
                <w:szCs w:val="20"/>
                <w:u w:val="none"/>
                <w:lang w:val="en-US" w:eastAsia="zh-CN" w:bidi="ar"/>
              </w:rPr>
              <w:t>2.0mm</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张</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不锈钢板</w:t>
            </w:r>
            <w:r>
              <w:rPr>
                <w:rFonts w:hint="default" w:ascii="Arial" w:hAnsi="Arial" w:eastAsia="MingLiU" w:cs="Arial"/>
                <w:i w:val="0"/>
                <w:iCs w:val="0"/>
                <w:color w:val="000000"/>
                <w:kern w:val="0"/>
                <w:sz w:val="20"/>
                <w:szCs w:val="20"/>
                <w:u w:val="none"/>
                <w:lang w:val="en-US" w:eastAsia="zh-CN" w:bidi="ar"/>
              </w:rPr>
              <w:t>1.5mm</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张</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模型费</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个</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镀钛</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个</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不锈钢球</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个</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石材</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近米</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螺纹钢</w:t>
            </w:r>
            <w:r>
              <w:rPr>
                <w:rFonts w:hint="default" w:ascii="Arial" w:hAnsi="Arial" w:eastAsia="MingLiU" w:cs="Arial"/>
                <w:i w:val="0"/>
                <w:iCs w:val="0"/>
                <w:color w:val="000000"/>
                <w:kern w:val="0"/>
                <w:sz w:val="20"/>
                <w:szCs w:val="20"/>
                <w:u w:val="none"/>
                <w:lang w:val="en-US" w:eastAsia="zh-CN" w:bidi="ar"/>
              </w:rPr>
              <w:t>12mm</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吨</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螺纹钢</w:t>
            </w:r>
            <w:r>
              <w:rPr>
                <w:rFonts w:hint="default" w:ascii="Arial" w:hAnsi="Arial" w:eastAsia="MingLiU" w:cs="Arial"/>
                <w:i w:val="0"/>
                <w:iCs w:val="0"/>
                <w:color w:val="000000"/>
                <w:kern w:val="0"/>
                <w:sz w:val="20"/>
                <w:szCs w:val="20"/>
                <w:u w:val="none"/>
                <w:lang w:val="en-US" w:eastAsia="zh-CN" w:bidi="ar"/>
              </w:rPr>
              <w:t>14mm</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吨</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MingLiU" w:hAnsi="MingLiU" w:eastAsia="MingLiU" w:cs="MingLiU"/>
                <w:i w:val="0"/>
                <w:iCs w:val="0"/>
                <w:color w:val="000000"/>
                <w:sz w:val="20"/>
                <w:szCs w:val="20"/>
                <w:u w:val="none"/>
              </w:rPr>
            </w:pPr>
            <w:r>
              <w:rPr>
                <w:rStyle w:val="49"/>
                <w:lang w:val="en-US" w:eastAsia="zh-CN" w:bidi="ar"/>
              </w:rPr>
              <w:t>金属漆</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MingLiU" w:hAnsi="MingLiU" w:eastAsia="MingLiU" w:cs="MingLiU"/>
                <w:i w:val="0"/>
                <w:iCs w:val="0"/>
                <w:color w:val="000000"/>
                <w:sz w:val="20"/>
                <w:szCs w:val="20"/>
                <w:u w:val="none"/>
              </w:rPr>
            </w:pPr>
            <w:r>
              <w:rPr>
                <w:rStyle w:val="49"/>
                <w:lang w:val="en-US" w:eastAsia="zh-CN" w:bidi="ar"/>
              </w:rPr>
              <w:t>干克</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MingLiU" w:hAnsi="MingLiU" w:eastAsia="MingLiU" w:cs="MingLiU"/>
                <w:i w:val="0"/>
                <w:iCs w:val="0"/>
                <w:color w:val="000000"/>
                <w:sz w:val="20"/>
                <w:szCs w:val="20"/>
                <w:u w:val="none"/>
              </w:rPr>
            </w:pPr>
            <w:r>
              <w:rPr>
                <w:rStyle w:val="49"/>
                <w:lang w:val="en-US" w:eastAsia="zh-CN" w:bidi="ar"/>
              </w:rPr>
              <w:t>防锈漆</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MingLiU" w:hAnsi="MingLiU" w:eastAsia="MingLiU" w:cs="MingLiU"/>
                <w:i w:val="0"/>
                <w:iCs w:val="0"/>
                <w:color w:val="000000"/>
                <w:sz w:val="20"/>
                <w:szCs w:val="20"/>
                <w:u w:val="none"/>
              </w:rPr>
            </w:pPr>
            <w:r>
              <w:rPr>
                <w:rStyle w:val="49"/>
                <w:lang w:val="en-US" w:eastAsia="zh-CN" w:bidi="ar"/>
              </w:rPr>
              <w:t>干克</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普通焊</w:t>
            </w:r>
            <w:r>
              <w:rPr>
                <w:rStyle w:val="49"/>
                <w:lang w:val="en-US" w:eastAsia="zh-CN" w:bidi="ar"/>
              </w:rPr>
              <w:t>条</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件</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Style w:val="49"/>
                <w:lang w:val="en-US" w:eastAsia="zh-CN" w:bidi="ar"/>
              </w:rPr>
              <w:t>间接材料费用</w:t>
            </w: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不锈钢焊条</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件</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不锈钢焊</w:t>
            </w:r>
            <w:r>
              <w:rPr>
                <w:rFonts w:hint="eastAsia" w:ascii="宋体" w:hAnsi="宋体" w:eastAsia="宋体" w:cs="宋体"/>
                <w:i w:val="0"/>
                <w:iCs w:val="0"/>
                <w:color w:val="000000"/>
                <w:kern w:val="0"/>
                <w:sz w:val="20"/>
                <w:szCs w:val="20"/>
                <w:u w:val="none"/>
                <w:lang w:val="en-US" w:eastAsia="zh-CN" w:bidi="ar"/>
              </w:rPr>
              <w:t>丝</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千克</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氩气</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瓶</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氧气</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Style w:val="49"/>
                <w:lang w:val="en-US" w:eastAsia="zh-CN" w:bidi="ar"/>
              </w:rPr>
              <w:t>瓶</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乙块气</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瓶</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乌极</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干克</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割嘴</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套</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砂轮片</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箱</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切割片</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箱</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纱布片</w:t>
            </w:r>
            <w:r>
              <w:rPr>
                <w:rFonts w:hint="default" w:ascii="Arial" w:hAnsi="Arial" w:eastAsia="MingLiU" w:cs="Arial"/>
                <w:i w:val="0"/>
                <w:iCs w:val="0"/>
                <w:color w:val="000000"/>
                <w:kern w:val="0"/>
                <w:sz w:val="20"/>
                <w:szCs w:val="20"/>
                <w:u w:val="none"/>
                <w:lang w:val="en-US" w:eastAsia="zh-CN" w:bidi="ar"/>
              </w:rPr>
              <w:t>80#</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箱</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15"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纱布片</w:t>
            </w:r>
            <w:r>
              <w:rPr>
                <w:rFonts w:hint="default" w:ascii="Arial" w:hAnsi="Arial" w:eastAsia="MingLiU" w:cs="Arial"/>
                <w:i w:val="0"/>
                <w:iCs w:val="0"/>
                <w:color w:val="000000"/>
                <w:kern w:val="0"/>
                <w:sz w:val="20"/>
                <w:szCs w:val="20"/>
                <w:u w:val="none"/>
                <w:lang w:val="en-US" w:eastAsia="zh-CN" w:bidi="ar"/>
              </w:rPr>
              <w:t>320#</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箱</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毛毡轮</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箱</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大布轮</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箱</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人工骨架焊接</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工</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人工</w:t>
            </w:r>
            <w:r>
              <w:rPr>
                <w:rFonts w:hint="eastAsia" w:ascii="宋体" w:hAnsi="宋体" w:eastAsia="宋体" w:cs="宋体"/>
                <w:i w:val="0"/>
                <w:iCs w:val="0"/>
                <w:color w:val="000000"/>
                <w:kern w:val="0"/>
                <w:sz w:val="20"/>
                <w:szCs w:val="20"/>
                <w:u w:val="none"/>
                <w:lang w:val="en-US" w:eastAsia="zh-CN" w:bidi="ar"/>
              </w:rPr>
              <w:t>锻造雕刻</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工</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人工焊接</w:t>
            </w:r>
          </w:p>
        </w:tc>
        <w:tc>
          <w:tcPr>
            <w:tcW w:w="1650" w:type="dxa"/>
            <w:tcBorders>
              <w:top w:val="single" w:color="000000" w:sz="8" w:space="0"/>
              <w:left w:val="single" w:color="000000" w:sz="8" w:space="0"/>
              <w:bottom w:val="single" w:color="000000" w:sz="8" w:space="0"/>
              <w:right w:val="nil"/>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工</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MingLiU" w:hAnsi="MingLiU" w:eastAsia="MingLiU" w:cs="MingLiU"/>
                <w:i w:val="0"/>
                <w:iCs w:val="0"/>
                <w:color w:val="000000"/>
                <w:sz w:val="20"/>
                <w:szCs w:val="20"/>
                <w:u w:val="none"/>
              </w:rPr>
            </w:pPr>
            <w:r>
              <w:rPr>
                <w:rStyle w:val="49"/>
                <w:lang w:val="en-US" w:eastAsia="zh-CN" w:bidi="ar"/>
              </w:rPr>
              <w:t>打磨上色</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MingLiU" w:hAnsi="MingLiU" w:eastAsia="MingLiU" w:cs="MingLiU"/>
                <w:i w:val="0"/>
                <w:iCs w:val="0"/>
                <w:color w:val="000000"/>
                <w:sz w:val="20"/>
                <w:szCs w:val="20"/>
                <w:u w:val="none"/>
              </w:rPr>
            </w:pPr>
            <w:r>
              <w:rPr>
                <w:rStyle w:val="49"/>
                <w:lang w:val="en-US" w:eastAsia="zh-CN" w:bidi="ar"/>
              </w:rPr>
              <w:t>工</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Style w:val="49"/>
                <w:lang w:val="en-US" w:eastAsia="zh-CN" w:bidi="ar"/>
              </w:rPr>
              <w:t>其 他</w:t>
            </w: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r>
              <w:rPr>
                <w:rStyle w:val="49"/>
                <w:lang w:val="en-US" w:eastAsia="zh-CN" w:bidi="ar"/>
              </w:rPr>
              <w:t>吨吊车费</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MingLiU" w:hAnsi="MingLiU" w:eastAsia="MingLiU" w:cs="MingLiU"/>
                <w:i w:val="0"/>
                <w:iCs w:val="0"/>
                <w:color w:val="000000"/>
                <w:sz w:val="20"/>
                <w:szCs w:val="20"/>
                <w:u w:val="none"/>
              </w:rPr>
            </w:pPr>
            <w:r>
              <w:rPr>
                <w:rStyle w:val="49"/>
                <w:lang w:val="en-US" w:eastAsia="zh-CN" w:bidi="ar"/>
              </w:rPr>
              <w:t>天</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MingLiU" w:hAnsi="MingLiU" w:eastAsia="MingLiU" w:cs="MingLiU"/>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w:t>
            </w:r>
            <w:r>
              <w:rPr>
                <w:rStyle w:val="49"/>
                <w:lang w:val="en-US" w:eastAsia="zh-CN" w:bidi="ar"/>
              </w:rPr>
              <w:t>吨平板车运费</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台</w:t>
            </w: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99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hint="default" w:ascii="Arial" w:hAnsi="Arial" w:cs="Arial"/>
                <w:i w:val="0"/>
                <w:iCs w:val="0"/>
                <w:color w:val="000000"/>
                <w:sz w:val="20"/>
                <w:szCs w:val="20"/>
                <w:u w:val="none"/>
              </w:rPr>
            </w:pPr>
          </w:p>
        </w:tc>
        <w:tc>
          <w:tcPr>
            <w:tcW w:w="358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keepNext w:val="0"/>
              <w:keepLines w:val="0"/>
              <w:widowControl/>
              <w:suppressLineNumbers w:val="0"/>
              <w:jc w:val="center"/>
              <w:textAlignment w:val="top"/>
              <w:rPr>
                <w:rFonts w:hint="eastAsia" w:ascii="MingLiU" w:hAnsi="MingLiU" w:eastAsia="MingLiU" w:cs="MingLiU"/>
                <w:i w:val="0"/>
                <w:iCs w:val="0"/>
                <w:color w:val="000000"/>
                <w:sz w:val="20"/>
                <w:szCs w:val="20"/>
                <w:u w:val="none"/>
              </w:rPr>
            </w:pPr>
            <w:r>
              <w:rPr>
                <w:rStyle w:val="49"/>
                <w:lang w:val="en-US" w:eastAsia="zh-CN" w:bidi="ar"/>
              </w:rPr>
              <w:t>小计</w:t>
            </w:r>
          </w:p>
        </w:tc>
        <w:tc>
          <w:tcPr>
            <w:tcW w:w="165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center"/>
              <w:rPr>
                <w:rFonts w:hint="default" w:ascii="Arial" w:hAnsi="Arial" w:cs="Arial"/>
                <w:i w:val="0"/>
                <w:iCs w:val="0"/>
                <w:color w:val="000000"/>
                <w:sz w:val="20"/>
                <w:szCs w:val="20"/>
                <w:u w:val="none"/>
              </w:rPr>
            </w:pPr>
          </w:p>
        </w:tc>
        <w:tc>
          <w:tcPr>
            <w:tcW w:w="132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jc w:val="left"/>
              <w:rPr>
                <w:rFonts w:hint="default" w:ascii="Arial" w:hAnsi="Arial" w:cs="Arial"/>
                <w:i w:val="0"/>
                <w:iCs w:val="0"/>
                <w:color w:val="000000"/>
                <w:sz w:val="20"/>
                <w:szCs w:val="20"/>
                <w:u w:val="none"/>
              </w:rPr>
            </w:pPr>
          </w:p>
        </w:tc>
      </w:tr>
    </w:tbl>
    <w:p>
      <w:pPr>
        <w:pStyle w:val="31"/>
        <w:spacing w:line="360" w:lineRule="auto"/>
        <w:rPr>
          <w:rFonts w:hint="eastAsia"/>
          <w:b/>
          <w:sz w:val="24"/>
        </w:rPr>
      </w:pPr>
    </w:p>
    <w:tbl>
      <w:tblPr>
        <w:tblStyle w:val="18"/>
        <w:tblW w:w="9645" w:type="dxa"/>
        <w:tblInd w:w="93" w:type="dxa"/>
        <w:shd w:val="clear" w:color="auto" w:fill="auto"/>
        <w:tblLayout w:type="autofit"/>
        <w:tblCellMar>
          <w:top w:w="0" w:type="dxa"/>
          <w:left w:w="108" w:type="dxa"/>
          <w:bottom w:w="0" w:type="dxa"/>
          <w:right w:w="108" w:type="dxa"/>
        </w:tblCellMar>
      </w:tblPr>
      <w:tblGrid>
        <w:gridCol w:w="1025"/>
        <w:gridCol w:w="1326"/>
        <w:gridCol w:w="903"/>
        <w:gridCol w:w="846"/>
        <w:gridCol w:w="727"/>
        <w:gridCol w:w="930"/>
        <w:gridCol w:w="930"/>
        <w:gridCol w:w="963"/>
        <w:gridCol w:w="1040"/>
        <w:gridCol w:w="963"/>
      </w:tblGrid>
      <w:tr>
        <w:tblPrEx>
          <w:shd w:val="clear" w:color="auto" w:fill="auto"/>
          <w:tblCellMar>
            <w:top w:w="0" w:type="dxa"/>
            <w:left w:w="108" w:type="dxa"/>
            <w:bottom w:w="0" w:type="dxa"/>
            <w:right w:w="108" w:type="dxa"/>
          </w:tblCellMar>
        </w:tblPrEx>
        <w:trPr>
          <w:trHeight w:val="285" w:hRule="atLeast"/>
        </w:trPr>
        <w:tc>
          <w:tcPr>
            <w:tcW w:w="9653"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二.</w:t>
            </w:r>
            <w:r>
              <w:rPr>
                <w:rFonts w:hint="eastAsia" w:ascii="宋体" w:hAnsi="宋体" w:eastAsia="宋体" w:cs="宋体"/>
                <w:i w:val="0"/>
                <w:iCs w:val="0"/>
                <w:color w:val="000000"/>
                <w:kern w:val="0"/>
                <w:sz w:val="20"/>
                <w:szCs w:val="20"/>
                <w:u w:val="none"/>
                <w:lang w:val="en-US" w:eastAsia="zh-CN" w:bidi="ar"/>
              </w:rPr>
              <w:t>雕塑</w:t>
            </w:r>
            <w:r>
              <w:rPr>
                <w:rFonts w:hint="eastAsia" w:ascii="MingLiU" w:hAnsi="MingLiU" w:eastAsia="MingLiU" w:cs="MingLiU"/>
                <w:i w:val="0"/>
                <w:iCs w:val="0"/>
                <w:color w:val="000000"/>
                <w:kern w:val="0"/>
                <w:sz w:val="20"/>
                <w:szCs w:val="20"/>
                <w:u w:val="none"/>
                <w:lang w:val="en-US" w:eastAsia="zh-CN" w:bidi="ar"/>
              </w:rPr>
              <w:t>基座制作</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center"/>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3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序 号</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子目名称</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0" w:type="auto"/>
            <w:gridSpan w:val="3"/>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价值（元）</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其中（元）</w:t>
            </w:r>
          </w:p>
        </w:tc>
      </w:tr>
      <w:tr>
        <w:tblPrEx>
          <w:tblCellMar>
            <w:top w:w="0" w:type="dxa"/>
            <w:left w:w="108" w:type="dxa"/>
            <w:bottom w:w="0" w:type="dxa"/>
            <w:right w:w="108" w:type="dxa"/>
          </w:tblCellMar>
        </w:tblPrEx>
        <w:trPr>
          <w:trHeight w:val="300" w:hRule="atLeast"/>
        </w:trPr>
        <w:tc>
          <w:tcPr>
            <w:tcW w:w="13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MingLiU" w:hAnsi="MingLiU" w:eastAsia="MingLiU" w:cs="MingLiU"/>
                <w:i w:val="0"/>
                <w:iCs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MingLiU" w:hAnsi="MingLiU" w:eastAsia="MingLiU" w:cs="MingLiU"/>
                <w:i w:val="0"/>
                <w:iCs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单 位</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单价</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合价</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人工费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材料费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机械费</w:t>
            </w:r>
          </w:p>
        </w:tc>
      </w:tr>
      <w:tr>
        <w:tblPrEx>
          <w:tblCellMar>
            <w:top w:w="0" w:type="dxa"/>
            <w:left w:w="108" w:type="dxa"/>
            <w:bottom w:w="0" w:type="dxa"/>
            <w:right w:w="108" w:type="dxa"/>
          </w:tblCellMar>
        </w:tblPrEx>
        <w:trPr>
          <w:trHeight w:val="3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基础制作</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96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具体数量以甲方后期要求为主，此数量仅作为参考</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立柱结构制作</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58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钢骨架上干挂石板  钢骨架</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 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花岗岩板墙面</w:t>
            </w:r>
          </w:p>
        </w:tc>
        <w:tc>
          <w:tcPr>
            <w:tcW w:w="10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M 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MingLiU" w:hAnsi="MingLiU" w:eastAsia="MingLiU" w:cs="MingLiU"/>
                <w:i w:val="0"/>
                <w:iCs w:val="0"/>
                <w:color w:val="000000"/>
                <w:sz w:val="20"/>
                <w:szCs w:val="20"/>
                <w:u w:val="none"/>
              </w:rPr>
            </w:pPr>
            <w:r>
              <w:rPr>
                <w:rFonts w:hint="eastAsia" w:ascii="MingLiU" w:hAnsi="MingLiU" w:eastAsia="MingLiU" w:cs="MingLiU"/>
                <w:i w:val="0"/>
                <w:iCs w:val="0"/>
                <w:color w:val="000000"/>
                <w:kern w:val="0"/>
                <w:sz w:val="20"/>
                <w:szCs w:val="20"/>
                <w:u w:val="none"/>
                <w:lang w:val="en-US" w:eastAsia="zh-CN" w:bidi="ar"/>
              </w:rPr>
              <w:t>小计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Arial" w:hAnsi="Arial" w:cs="Arial"/>
                <w:i w:val="0"/>
                <w:iCs w:val="0"/>
                <w:color w:val="000000"/>
                <w:sz w:val="20"/>
                <w:szCs w:val="20"/>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Arial" w:hAnsi="Arial" w:cs="Arial"/>
                <w:i w:val="0"/>
                <w:iCs w:val="0"/>
                <w:color w:val="00000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Arial" w:hAnsi="Arial" w:cs="Arial"/>
                <w:i w:val="0"/>
                <w:iCs w:val="0"/>
                <w:color w:val="000000"/>
                <w:sz w:val="20"/>
                <w:szCs w:val="20"/>
                <w:u w:val="none"/>
              </w:rPr>
            </w:pPr>
          </w:p>
        </w:tc>
      </w:tr>
    </w:tbl>
    <w:p>
      <w:pPr>
        <w:pStyle w:val="31"/>
        <w:spacing w:line="360" w:lineRule="auto"/>
        <w:rPr>
          <w:rFonts w:hint="eastAsia"/>
          <w:b/>
          <w:sz w:val="24"/>
        </w:rPr>
      </w:pPr>
    </w:p>
    <w:p>
      <w:pPr>
        <w:pStyle w:val="31"/>
        <w:spacing w:line="360" w:lineRule="auto"/>
        <w:rPr>
          <w:b/>
          <w:sz w:val="24"/>
        </w:rPr>
      </w:pPr>
      <w:r>
        <w:rPr>
          <w:rFonts w:hint="eastAsia"/>
          <w:b/>
          <w:sz w:val="24"/>
        </w:rPr>
        <w:t>注：</w:t>
      </w:r>
    </w:p>
    <w:p>
      <w:pPr>
        <w:pStyle w:val="30"/>
        <w:spacing w:line="360" w:lineRule="auto"/>
        <w:ind w:left="434" w:leftChars="200"/>
        <w:rPr>
          <w:rFonts w:hint="eastAsia" w:eastAsia="宋体"/>
          <w:b/>
          <w:sz w:val="24"/>
          <w:lang w:eastAsia="zh-CN"/>
        </w:rPr>
      </w:pPr>
      <w:r>
        <w:rPr>
          <w:rFonts w:hint="eastAsia"/>
          <w:b/>
          <w:sz w:val="24"/>
        </w:rPr>
        <w:t>1、</w:t>
      </w:r>
      <w:r>
        <w:rPr>
          <w:rFonts w:hint="eastAsia"/>
          <w:b/>
          <w:sz w:val="24"/>
          <w:lang w:eastAsia="zh-CN"/>
        </w:rPr>
        <w:t>项目所需的所有材料及数量，最终以项目实际情况及甲方要求为准。</w:t>
      </w:r>
    </w:p>
    <w:p>
      <w:pPr>
        <w:pStyle w:val="30"/>
        <w:spacing w:line="360" w:lineRule="auto"/>
        <w:ind w:left="434" w:leftChars="200"/>
        <w:rPr>
          <w:rFonts w:ascii="宋体" w:hAnsi="宋体"/>
          <w:sz w:val="24"/>
        </w:rPr>
      </w:pPr>
      <w:r>
        <w:rPr>
          <w:rFonts w:hint="eastAsia"/>
          <w:b/>
          <w:sz w:val="24"/>
          <w:lang w:val="en-US" w:eastAsia="zh-CN"/>
        </w:rPr>
        <w:t>2、</w:t>
      </w:r>
      <w:r>
        <w:rPr>
          <w:rFonts w:hint="eastAsia"/>
          <w:b/>
          <w:sz w:val="24"/>
        </w:rPr>
        <w:t>内容为本项目的实质性技术或服务要求，如不满足，</w:t>
      </w:r>
      <w:r>
        <w:rPr>
          <w:rFonts w:hint="eastAsia" w:ascii="宋体" w:hAnsi="宋体"/>
          <w:b/>
          <w:bCs/>
          <w:sz w:val="24"/>
        </w:rPr>
        <w:t>按无效投标处理。</w:t>
      </w:r>
    </w:p>
    <w:p>
      <w:pPr>
        <w:pStyle w:val="6"/>
        <w:ind w:firstLine="494" w:firstLineChars="200"/>
        <w:rPr>
          <w:rFonts w:hint="eastAsia" w:eastAsia="宋体"/>
          <w:lang w:val="en-US" w:eastAsia="zh-CN"/>
        </w:rPr>
        <w:sectPr>
          <w:footerReference r:id="rId7" w:type="default"/>
          <w:pgSz w:w="11906" w:h="16838"/>
          <w:pgMar w:top="1417" w:right="1134" w:bottom="1417" w:left="1417" w:header="851" w:footer="850" w:gutter="0"/>
          <w:pgNumType w:fmt="numberInDash"/>
          <w:cols w:space="720" w:num="1"/>
          <w:docGrid w:type="linesAndChars" w:linePitch="322" w:charSpace="1547"/>
        </w:sectPr>
      </w:pPr>
      <w:r>
        <w:rPr>
          <w:rFonts w:hint="eastAsia" w:ascii="宋体" w:hAnsi="宋体"/>
          <w:b/>
          <w:sz w:val="24"/>
          <w:lang w:val="en-US" w:eastAsia="zh-CN"/>
        </w:rPr>
        <w:t>3、供应商提供的产品必须为全新产品。</w:t>
      </w:r>
    </w:p>
    <w:bookmarkEnd w:id="226"/>
    <w:p>
      <w:pPr>
        <w:rPr>
          <w:rFonts w:ascii="宋体" w:hAnsi="宋体"/>
        </w:rPr>
      </w:pPr>
      <w:bookmarkStart w:id="227" w:name="_Toc490155606"/>
      <w:bookmarkStart w:id="228" w:name="_Toc9210"/>
      <w:bookmarkStart w:id="229" w:name="_Toc8983678"/>
      <w:bookmarkStart w:id="230" w:name="_Toc6110"/>
    </w:p>
    <w:p>
      <w:pPr>
        <w:pStyle w:val="3"/>
        <w:rPr>
          <w:rFonts w:ascii="宋体" w:hAnsi="宋体" w:eastAsia="宋体"/>
        </w:rPr>
      </w:pPr>
      <w:r>
        <w:rPr>
          <w:rFonts w:hint="eastAsia" w:ascii="宋体" w:hAnsi="宋体" w:eastAsia="宋体"/>
        </w:rPr>
        <w:t>第五部分 投标文件格式</w:t>
      </w:r>
      <w:bookmarkEnd w:id="227"/>
      <w:bookmarkEnd w:id="228"/>
      <w:bookmarkEnd w:id="229"/>
      <w:bookmarkEnd w:id="230"/>
    </w:p>
    <w:p>
      <w:pPr>
        <w:spacing w:line="360" w:lineRule="auto"/>
        <w:jc w:val="center"/>
        <w:rPr>
          <w:rFonts w:ascii="宋体" w:hAnsi="宋体" w:cs="宋体"/>
          <w:b/>
          <w:bCs/>
          <w:sz w:val="36"/>
          <w:szCs w:val="36"/>
        </w:rPr>
      </w:pPr>
    </w:p>
    <w:p>
      <w:pPr>
        <w:spacing w:line="360" w:lineRule="auto"/>
        <w:ind w:left="540"/>
        <w:jc w:val="center"/>
        <w:rPr>
          <w:rFonts w:ascii="宋体" w:hAnsi="宋体" w:cs="宋体"/>
          <w:sz w:val="32"/>
          <w:szCs w:val="32"/>
        </w:rPr>
      </w:pPr>
      <w:r>
        <w:rPr>
          <w:rFonts w:hint="eastAsia" w:ascii="宋体" w:hAnsi="宋体" w:cs="宋体"/>
          <w:sz w:val="32"/>
          <w:szCs w:val="32"/>
        </w:rPr>
        <w:t>投标文件封面</w:t>
      </w:r>
    </w:p>
    <w:p>
      <w:pPr>
        <w:spacing w:line="360" w:lineRule="auto"/>
        <w:jc w:val="right"/>
        <w:rPr>
          <w:rFonts w:ascii="宋体" w:hAnsi="宋体" w:cs="宋体"/>
          <w:sz w:val="24"/>
          <w:bdr w:val="single" w:color="auto" w:sz="4" w:space="0"/>
        </w:rPr>
      </w:pPr>
      <w:r>
        <w:rPr>
          <w:rFonts w:hint="eastAsia" w:ascii="宋体" w:hAnsi="宋体" w:cs="宋体"/>
          <w:sz w:val="24"/>
          <w:bdr w:val="single" w:color="auto" w:sz="4" w:space="0"/>
        </w:rPr>
        <w:t>正本/副本</w:t>
      </w:r>
    </w:p>
    <w:p>
      <w:pPr>
        <w:spacing w:line="360" w:lineRule="auto"/>
        <w:ind w:firstLine="899" w:firstLineChars="281"/>
        <w:rPr>
          <w:rFonts w:ascii="宋体" w:hAnsi="宋体" w:cs="宋体"/>
          <w:sz w:val="32"/>
          <w:szCs w:val="32"/>
        </w:rPr>
      </w:pPr>
      <w:r>
        <w:rPr>
          <w:rFonts w:hint="eastAsia" w:ascii="宋体" w:hAnsi="宋体" w:cs="宋体"/>
          <w:bCs/>
          <w:sz w:val="32"/>
          <w:szCs w:val="32"/>
        </w:rPr>
        <w:t>项目名称：</w:t>
      </w:r>
      <w:r>
        <w:rPr>
          <w:rFonts w:hint="eastAsia" w:ascii="宋体" w:hAnsi="宋体" w:cs="宋体"/>
          <w:sz w:val="32"/>
          <w:szCs w:val="32"/>
        </w:rPr>
        <w:t xml:space="preserve"> </w:t>
      </w:r>
    </w:p>
    <w:p>
      <w:pPr>
        <w:spacing w:line="360" w:lineRule="auto"/>
        <w:ind w:firstLine="899" w:firstLineChars="281"/>
        <w:rPr>
          <w:rFonts w:ascii="宋体" w:hAnsi="宋体" w:cs="宋体"/>
          <w:sz w:val="32"/>
          <w:szCs w:val="32"/>
        </w:rPr>
      </w:pPr>
    </w:p>
    <w:p>
      <w:pPr>
        <w:spacing w:line="360" w:lineRule="auto"/>
        <w:ind w:firstLine="899" w:firstLineChars="281"/>
        <w:rPr>
          <w:rFonts w:ascii="宋体" w:hAnsi="宋体" w:cs="宋体"/>
          <w:sz w:val="32"/>
          <w:szCs w:val="32"/>
        </w:rPr>
      </w:pPr>
      <w:r>
        <w:rPr>
          <w:rFonts w:hint="eastAsia" w:ascii="宋体" w:hAnsi="宋体" w:cs="宋体"/>
          <w:sz w:val="32"/>
          <w:szCs w:val="32"/>
        </w:rPr>
        <w:t>项目编号：</w:t>
      </w:r>
    </w:p>
    <w:p>
      <w:pPr>
        <w:spacing w:line="360" w:lineRule="auto"/>
        <w:ind w:firstLine="899" w:firstLineChars="281"/>
        <w:rPr>
          <w:rFonts w:ascii="宋体" w:hAnsi="宋体" w:cs="宋体"/>
          <w:sz w:val="32"/>
          <w:szCs w:val="32"/>
        </w:rPr>
      </w:pPr>
    </w:p>
    <w:p>
      <w:pPr>
        <w:spacing w:line="360" w:lineRule="auto"/>
        <w:ind w:firstLine="899" w:firstLineChars="281"/>
        <w:rPr>
          <w:rFonts w:ascii="宋体" w:hAnsi="宋体" w:cs="宋体"/>
          <w:sz w:val="32"/>
          <w:szCs w:val="32"/>
        </w:rPr>
      </w:pPr>
    </w:p>
    <w:p>
      <w:pPr>
        <w:spacing w:line="360" w:lineRule="auto"/>
        <w:jc w:val="center"/>
        <w:rPr>
          <w:rFonts w:ascii="宋体" w:hAnsi="宋体" w:cs="宋体"/>
          <w:b/>
          <w:sz w:val="52"/>
          <w:szCs w:val="52"/>
        </w:rPr>
      </w:pPr>
      <w:r>
        <w:rPr>
          <w:rFonts w:hint="eastAsia" w:ascii="宋体" w:hAnsi="宋体" w:cs="宋体"/>
          <w:b/>
          <w:sz w:val="52"/>
          <w:szCs w:val="52"/>
        </w:rPr>
        <w:t>投 标 文 件</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w:t>
      </w:r>
      <w:r>
        <w:rPr>
          <w:rFonts w:hint="eastAsia" w:ascii="宋体" w:hAnsi="宋体" w:cs="宋体"/>
          <w:sz w:val="24"/>
        </w:rPr>
        <w:t>（盖单位章）</w:t>
      </w:r>
    </w:p>
    <w:p>
      <w:pPr>
        <w:spacing w:line="360" w:lineRule="auto"/>
        <w:ind w:firstLine="1800" w:firstLineChars="750"/>
        <w:rPr>
          <w:rFonts w:ascii="宋体" w:hAnsi="宋体" w:cs="宋体"/>
          <w:sz w:val="24"/>
        </w:rPr>
      </w:pPr>
      <w:r>
        <w:rPr>
          <w:rFonts w:hint="eastAsia" w:ascii="宋体" w:hAnsi="宋体" w:cs="宋体"/>
          <w:sz w:val="24"/>
        </w:rPr>
        <w:t>单位地址：</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 xml:space="preserve">     法定代表人或其委托代理人：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ind w:firstLine="1800" w:firstLineChars="75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                              </w:t>
      </w: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b/>
          <w:sz w:val="24"/>
        </w:rPr>
      </w:pPr>
    </w:p>
    <w:p>
      <w:pPr>
        <w:spacing w:line="360" w:lineRule="auto"/>
        <w:ind w:firstLine="482" w:firstLineChars="200"/>
        <w:rPr>
          <w:rFonts w:ascii="宋体" w:hAnsi="宋体"/>
          <w:b/>
          <w:sz w:val="24"/>
        </w:rPr>
      </w:pPr>
      <w:r>
        <w:rPr>
          <w:rFonts w:hint="eastAsia" w:ascii="宋体" w:hAnsi="宋体"/>
          <w:b/>
          <w:sz w:val="24"/>
        </w:rPr>
        <w:t>商务标目录</w:t>
      </w:r>
    </w:p>
    <w:p>
      <w:pPr>
        <w:spacing w:line="360" w:lineRule="auto"/>
        <w:ind w:firstLine="480" w:firstLineChars="200"/>
        <w:rPr>
          <w:rFonts w:ascii="宋体" w:hAnsi="宋体"/>
          <w:sz w:val="24"/>
        </w:rPr>
      </w:pPr>
      <w:r>
        <w:rPr>
          <w:rFonts w:hint="eastAsia" w:ascii="宋体" w:hAnsi="宋体"/>
          <w:sz w:val="24"/>
        </w:rPr>
        <w:t>商务标主要包括但不限于以下内容：</w:t>
      </w:r>
    </w:p>
    <w:p>
      <w:pPr>
        <w:spacing w:line="360" w:lineRule="auto"/>
        <w:ind w:firstLine="360" w:firstLineChars="150"/>
        <w:jc w:val="left"/>
        <w:rPr>
          <w:rFonts w:ascii="宋体" w:hAnsi="宋体" w:cs="宋体"/>
          <w:sz w:val="24"/>
        </w:rPr>
      </w:pPr>
      <w:r>
        <w:rPr>
          <w:rFonts w:hint="eastAsia" w:ascii="宋体" w:hAnsi="宋体" w:cs="宋体"/>
          <w:sz w:val="24"/>
        </w:rPr>
        <w:t>（1）投标报价表；</w:t>
      </w:r>
    </w:p>
    <w:p>
      <w:pPr>
        <w:spacing w:line="360" w:lineRule="auto"/>
        <w:ind w:firstLine="360" w:firstLineChars="150"/>
        <w:jc w:val="left"/>
        <w:rPr>
          <w:rFonts w:ascii="宋体" w:hAnsi="宋体" w:cs="宋体"/>
          <w:sz w:val="24"/>
        </w:rPr>
      </w:pPr>
      <w:r>
        <w:rPr>
          <w:rFonts w:hint="eastAsia" w:ascii="宋体" w:hAnsi="宋体" w:cs="宋体"/>
          <w:sz w:val="24"/>
        </w:rPr>
        <w:t>（2）法定代表人身份证明书(复印件加盖公章附入投标文件)；</w:t>
      </w:r>
    </w:p>
    <w:p>
      <w:pPr>
        <w:spacing w:line="360" w:lineRule="auto"/>
        <w:ind w:firstLine="360" w:firstLineChars="150"/>
        <w:jc w:val="left"/>
        <w:rPr>
          <w:rFonts w:ascii="宋体" w:hAnsi="宋体" w:cs="宋体"/>
          <w:sz w:val="24"/>
        </w:rPr>
      </w:pPr>
      <w:r>
        <w:rPr>
          <w:rFonts w:hint="eastAsia" w:ascii="宋体" w:hAnsi="宋体" w:cs="宋体"/>
          <w:sz w:val="24"/>
        </w:rPr>
        <w:t>（3）法定代表人授权书；</w:t>
      </w:r>
    </w:p>
    <w:p>
      <w:pPr>
        <w:spacing w:line="360" w:lineRule="auto"/>
        <w:ind w:firstLine="360" w:firstLineChars="150"/>
        <w:jc w:val="left"/>
        <w:rPr>
          <w:rFonts w:ascii="宋体" w:hAnsi="宋体" w:cs="宋体"/>
          <w:sz w:val="24"/>
        </w:rPr>
      </w:pPr>
      <w:r>
        <w:rPr>
          <w:rFonts w:hint="eastAsia" w:ascii="宋体" w:hAnsi="宋体" w:cs="宋体"/>
          <w:sz w:val="24"/>
        </w:rPr>
        <w:t>（4）投标函；</w:t>
      </w:r>
    </w:p>
    <w:p>
      <w:pPr>
        <w:spacing w:line="360" w:lineRule="auto"/>
        <w:ind w:firstLine="360" w:firstLineChars="150"/>
        <w:jc w:val="left"/>
        <w:rPr>
          <w:rFonts w:ascii="宋体" w:hAnsi="宋体" w:cs="宋体"/>
          <w:sz w:val="24"/>
        </w:rPr>
      </w:pPr>
      <w:r>
        <w:rPr>
          <w:rFonts w:hint="eastAsia" w:ascii="宋体" w:hAnsi="宋体" w:cs="宋体"/>
          <w:sz w:val="24"/>
        </w:rPr>
        <w:t>（5）投标人简介（包括营业执照、企业名称、经营范围、综合实力、技术实力、经济实力等）；</w:t>
      </w:r>
    </w:p>
    <w:p>
      <w:pPr>
        <w:spacing w:line="360" w:lineRule="auto"/>
        <w:ind w:firstLine="360" w:firstLineChars="150"/>
        <w:jc w:val="left"/>
        <w:rPr>
          <w:rFonts w:ascii="宋体" w:hAnsi="宋体" w:cs="宋体"/>
          <w:sz w:val="24"/>
        </w:rPr>
      </w:pPr>
      <w:r>
        <w:rPr>
          <w:rFonts w:hint="eastAsia" w:ascii="宋体" w:hAnsi="宋体" w:cs="宋体"/>
          <w:sz w:val="24"/>
        </w:rPr>
        <w:t>（6）反商业贿赂承诺书；</w:t>
      </w:r>
    </w:p>
    <w:p>
      <w:pPr>
        <w:spacing w:line="360" w:lineRule="auto"/>
        <w:ind w:firstLine="360" w:firstLineChars="150"/>
        <w:jc w:val="left"/>
        <w:rPr>
          <w:rFonts w:ascii="宋体" w:hAnsi="宋体" w:cs="宋体"/>
          <w:sz w:val="24"/>
        </w:rPr>
      </w:pPr>
      <w:r>
        <w:rPr>
          <w:rFonts w:hint="eastAsia" w:ascii="宋体" w:hAnsi="宋体" w:cs="宋体"/>
          <w:sz w:val="24"/>
        </w:rPr>
        <w:t>（7）提供相关业绩表并提供相应证明材料（中标通知书或合同复印件）；</w:t>
      </w:r>
    </w:p>
    <w:p>
      <w:pPr>
        <w:spacing w:line="360" w:lineRule="auto"/>
        <w:ind w:firstLine="360" w:firstLineChars="150"/>
        <w:jc w:val="left"/>
        <w:rPr>
          <w:rFonts w:ascii="宋体" w:hAnsi="宋体" w:cs="宋体"/>
          <w:sz w:val="24"/>
        </w:rPr>
      </w:pPr>
      <w:r>
        <w:rPr>
          <w:rFonts w:hint="eastAsia" w:ascii="宋体" w:hAnsi="宋体" w:cs="宋体"/>
          <w:sz w:val="24"/>
        </w:rPr>
        <w:t>（8）投标人响应截止时间前6个月内（至少提供1个月）依法缴纳税收、税费凭证复印件，依法免缴税费的证明材料；依法缴纳税收和社会保障资金的良好记录；(如是新成立的企业，提供从成立那年至今的相关材料）</w:t>
      </w:r>
    </w:p>
    <w:p>
      <w:pPr>
        <w:spacing w:line="360" w:lineRule="auto"/>
        <w:ind w:firstLine="424" w:firstLineChars="177"/>
        <w:jc w:val="left"/>
        <w:rPr>
          <w:rFonts w:ascii="宋体" w:hAnsi="宋体" w:cs="宋体"/>
          <w:sz w:val="24"/>
        </w:rPr>
      </w:pPr>
      <w:r>
        <w:rPr>
          <w:rFonts w:hint="eastAsia" w:ascii="宋体" w:hAnsi="宋体" w:cs="宋体"/>
          <w:sz w:val="24"/>
        </w:rPr>
        <w:t>（9）2020年财务状况报告；</w:t>
      </w:r>
    </w:p>
    <w:p>
      <w:pPr>
        <w:spacing w:line="360" w:lineRule="auto"/>
        <w:ind w:firstLine="360" w:firstLineChars="150"/>
        <w:jc w:val="left"/>
        <w:rPr>
          <w:rFonts w:ascii="宋体" w:hAnsi="宋体" w:cs="宋体"/>
          <w:sz w:val="24"/>
        </w:rPr>
      </w:pPr>
      <w:r>
        <w:rPr>
          <w:rFonts w:hint="eastAsia" w:ascii="宋体" w:hAnsi="宋体" w:cs="宋体"/>
          <w:sz w:val="24"/>
        </w:rPr>
        <w:t xml:space="preserve">（10）商务条款偏离表； </w:t>
      </w:r>
    </w:p>
    <w:p>
      <w:pPr>
        <w:spacing w:line="360" w:lineRule="auto"/>
        <w:ind w:firstLine="360" w:firstLineChars="150"/>
        <w:jc w:val="left"/>
        <w:rPr>
          <w:rFonts w:ascii="宋体" w:hAnsi="宋体" w:cs="宋体"/>
          <w:sz w:val="24"/>
        </w:rPr>
      </w:pPr>
      <w:r>
        <w:rPr>
          <w:rFonts w:hint="eastAsia" w:ascii="宋体" w:hAnsi="宋体" w:cs="宋体"/>
          <w:sz w:val="24"/>
        </w:rPr>
        <w:t>（11）投标人企业信用查询（查询渠道：“信用中国”网站（www.creditchina.gov.cn）、中国政府采购网（www.ccgp.gov.cn），中国裁判文书网（http://wenshu.court.gov.cn/））；</w:t>
      </w:r>
    </w:p>
    <w:p>
      <w:pPr>
        <w:spacing w:line="360" w:lineRule="auto"/>
        <w:ind w:firstLine="360" w:firstLineChars="150"/>
        <w:jc w:val="left"/>
        <w:rPr>
          <w:rFonts w:ascii="宋体" w:hAnsi="宋体" w:cs="宋体"/>
          <w:sz w:val="24"/>
        </w:rPr>
      </w:pPr>
      <w:r>
        <w:rPr>
          <w:rFonts w:hint="eastAsia" w:ascii="宋体" w:hAnsi="宋体" w:cs="宋体"/>
          <w:sz w:val="24"/>
        </w:rPr>
        <w:t>（12）其它需说明的事项；</w:t>
      </w:r>
    </w:p>
    <w:p>
      <w:pPr>
        <w:spacing w:line="360" w:lineRule="auto"/>
        <w:ind w:firstLine="360" w:firstLineChars="150"/>
        <w:jc w:val="left"/>
        <w:rPr>
          <w:rFonts w:ascii="宋体" w:hAnsi="宋体" w:cs="宋体"/>
          <w:sz w:val="24"/>
        </w:rPr>
      </w:pPr>
      <w:r>
        <w:rPr>
          <w:rFonts w:hint="eastAsia" w:ascii="宋体" w:hAnsi="宋体" w:cs="宋体"/>
          <w:sz w:val="24"/>
        </w:rPr>
        <w:t>（13）投标保证金缴纳凭证</w:t>
      </w:r>
    </w:p>
    <w:p>
      <w:pPr>
        <w:spacing w:line="360" w:lineRule="auto"/>
        <w:ind w:firstLine="360" w:firstLineChars="150"/>
        <w:jc w:val="left"/>
        <w:rPr>
          <w:rFonts w:ascii="宋体" w:hAnsi="宋体" w:cs="宋体"/>
          <w:sz w:val="24"/>
        </w:rPr>
      </w:pPr>
      <w:r>
        <w:rPr>
          <w:rFonts w:hint="eastAsia" w:ascii="宋体" w:hAnsi="宋体" w:cs="宋体"/>
          <w:sz w:val="24"/>
        </w:rPr>
        <w:t>（14）中小企业声明函（符合本声明函填写）；</w:t>
      </w:r>
    </w:p>
    <w:p>
      <w:pPr>
        <w:spacing w:line="360" w:lineRule="auto"/>
        <w:ind w:firstLine="360" w:firstLineChars="150"/>
        <w:jc w:val="left"/>
      </w:pPr>
      <w:r>
        <w:rPr>
          <w:rFonts w:hint="eastAsia" w:ascii="宋体" w:hAnsi="宋体" w:cs="宋体"/>
          <w:sz w:val="24"/>
        </w:rPr>
        <w:t>（15）残疾人福利性单位声明函（符合本声明函填写）；</w:t>
      </w:r>
    </w:p>
    <w:p>
      <w:pPr>
        <w:spacing w:line="360" w:lineRule="auto"/>
        <w:ind w:firstLine="360" w:firstLineChars="150"/>
        <w:jc w:val="left"/>
        <w:rPr>
          <w:rFonts w:ascii="宋体" w:hAnsi="宋体" w:cs="宋体"/>
          <w:sz w:val="24"/>
        </w:rPr>
      </w:pPr>
      <w:r>
        <w:rPr>
          <w:rFonts w:hint="eastAsia" w:ascii="宋体" w:hAnsi="宋体" w:cs="宋体"/>
          <w:sz w:val="24"/>
        </w:rPr>
        <w:t>（16）投标人须提供打款凭证等证明文件(复印件加盖公章附入投标文件)；</w:t>
      </w:r>
    </w:p>
    <w:p>
      <w:pPr>
        <w:spacing w:line="360" w:lineRule="auto"/>
        <w:ind w:firstLine="480" w:firstLineChars="200"/>
        <w:jc w:val="left"/>
        <w:rPr>
          <w:rFonts w:ascii="宋体" w:hAnsi="宋体"/>
          <w:sz w:val="24"/>
        </w:rPr>
      </w:pPr>
      <w:r>
        <w:rPr>
          <w:rFonts w:hint="eastAsia" w:ascii="宋体" w:hAnsi="宋体" w:cs="宋体"/>
          <w:sz w:val="24"/>
        </w:rPr>
        <w:t>(17）其他投标人认为有必要的内容。</w:t>
      </w:r>
    </w:p>
    <w:p>
      <w:pPr>
        <w:spacing w:line="360" w:lineRule="auto"/>
        <w:ind w:firstLine="480" w:firstLineChars="200"/>
        <w:rPr>
          <w:rFonts w:ascii="宋体" w:hAnsi="宋体"/>
          <w:sz w:val="24"/>
        </w:rPr>
      </w:pPr>
      <w:r>
        <w:rPr>
          <w:rFonts w:hint="eastAsia" w:ascii="宋体" w:hAnsi="宋体"/>
          <w:sz w:val="24"/>
        </w:rPr>
        <w:t>（注：投标人须按采购要求提供，投标文件应当使用采购文件所提供投标文件格式（表格可按照同样格式扩展）。未提供格式的，需要时由投标人用文字或者表格、图片等其它形式提供。）</w:t>
      </w:r>
    </w:p>
    <w:p>
      <w:pPr>
        <w:spacing w:line="360" w:lineRule="auto"/>
        <w:rPr>
          <w:rFonts w:ascii="宋体" w:hAnsi="宋体"/>
          <w:sz w:val="24"/>
        </w:rPr>
      </w:pPr>
    </w:p>
    <w:p>
      <w:pPr>
        <w:pStyle w:val="10"/>
        <w:rPr>
          <w:rFonts w:ascii="宋体" w:hAnsi="宋体"/>
          <w:sz w:val="24"/>
        </w:rPr>
      </w:pPr>
    </w:p>
    <w:p>
      <w:pPr>
        <w:shd w:val="clear" w:color="auto" w:fill="FFFFFF"/>
        <w:spacing w:line="360" w:lineRule="auto"/>
        <w:rPr>
          <w:rFonts w:ascii="宋体" w:hAnsi="宋体" w:cs="黑体"/>
          <w:b/>
          <w:bCs/>
          <w:sz w:val="24"/>
        </w:rPr>
      </w:pPr>
    </w:p>
    <w:p>
      <w:pPr>
        <w:shd w:val="clear" w:color="auto" w:fill="FFFFFF"/>
        <w:spacing w:line="360" w:lineRule="auto"/>
        <w:jc w:val="center"/>
        <w:rPr>
          <w:rFonts w:ascii="宋体" w:hAnsi="宋体" w:cs="黑体"/>
          <w:b/>
          <w:bCs/>
          <w:sz w:val="24"/>
        </w:rPr>
      </w:pPr>
      <w:r>
        <w:rPr>
          <w:rFonts w:hint="eastAsia" w:ascii="宋体" w:hAnsi="宋体" w:cs="黑体"/>
          <w:b/>
          <w:bCs/>
          <w:sz w:val="24"/>
        </w:rPr>
        <w:t>投标报价表</w:t>
      </w:r>
    </w:p>
    <w:p>
      <w:pPr>
        <w:shd w:val="clear" w:color="auto" w:fill="FFFFFF"/>
        <w:spacing w:line="360" w:lineRule="auto"/>
        <w:ind w:firstLine="480" w:firstLineChars="200"/>
        <w:rPr>
          <w:rFonts w:ascii="宋体" w:hAnsi="宋体" w:cs="黑体"/>
          <w:sz w:val="24"/>
        </w:rPr>
      </w:pPr>
      <w:r>
        <w:rPr>
          <w:rFonts w:hint="eastAsia" w:ascii="宋体" w:hAnsi="宋体" w:cs="黑体"/>
          <w:sz w:val="24"/>
        </w:rPr>
        <w:t>项目名称：                              项目编号：</w:t>
      </w:r>
    </w:p>
    <w:tbl>
      <w:tblPr>
        <w:tblStyle w:val="18"/>
        <w:tblW w:w="9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905"/>
        <w:gridCol w:w="1350"/>
        <w:gridCol w:w="1530"/>
        <w:gridCol w:w="180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jc w:val="center"/>
        </w:trPr>
        <w:tc>
          <w:tcPr>
            <w:tcW w:w="830" w:type="dxa"/>
            <w:vAlign w:val="center"/>
          </w:tcPr>
          <w:p>
            <w:pPr>
              <w:tabs>
                <w:tab w:val="left" w:pos="9135"/>
              </w:tabs>
              <w:spacing w:line="400" w:lineRule="atLeast"/>
              <w:jc w:val="center"/>
              <w:rPr>
                <w:rFonts w:ascii="宋体" w:hAnsi="宋体" w:cs="Arial"/>
                <w:sz w:val="24"/>
              </w:rPr>
            </w:pPr>
            <w:r>
              <w:rPr>
                <w:rFonts w:hint="eastAsia" w:ascii="宋体" w:hAnsi="宋体" w:cs="Arial"/>
                <w:sz w:val="24"/>
              </w:rPr>
              <w:t>序号</w:t>
            </w:r>
          </w:p>
        </w:tc>
        <w:tc>
          <w:tcPr>
            <w:tcW w:w="1905" w:type="dxa"/>
            <w:vAlign w:val="center"/>
          </w:tcPr>
          <w:p>
            <w:pPr>
              <w:tabs>
                <w:tab w:val="left" w:pos="9135"/>
              </w:tabs>
              <w:spacing w:line="400" w:lineRule="atLeast"/>
              <w:jc w:val="center"/>
              <w:rPr>
                <w:rFonts w:ascii="宋体" w:hAnsi="宋体" w:cs="Arial"/>
                <w:sz w:val="24"/>
              </w:rPr>
            </w:pPr>
            <w:r>
              <w:rPr>
                <w:rFonts w:hint="eastAsia" w:ascii="宋体" w:hAnsi="宋体" w:cs="Arial"/>
                <w:sz w:val="24"/>
              </w:rPr>
              <w:t>投标人</w:t>
            </w:r>
            <w:r>
              <w:rPr>
                <w:rFonts w:ascii="宋体" w:hAnsi="宋体" w:cs="Arial"/>
                <w:sz w:val="24"/>
              </w:rPr>
              <w:t>名称</w:t>
            </w:r>
          </w:p>
        </w:tc>
        <w:tc>
          <w:tcPr>
            <w:tcW w:w="1350" w:type="dxa"/>
            <w:vAlign w:val="center"/>
          </w:tcPr>
          <w:p>
            <w:pPr>
              <w:tabs>
                <w:tab w:val="left" w:pos="9135"/>
              </w:tabs>
              <w:spacing w:line="400" w:lineRule="atLeast"/>
              <w:jc w:val="center"/>
              <w:rPr>
                <w:rFonts w:ascii="宋体" w:hAnsi="宋体" w:cs="Arial"/>
                <w:sz w:val="24"/>
              </w:rPr>
            </w:pPr>
            <w:r>
              <w:rPr>
                <w:rFonts w:hint="eastAsia" w:ascii="宋体" w:hAnsi="宋体" w:cs="Arial"/>
                <w:sz w:val="24"/>
              </w:rPr>
              <w:t>投标报价</w:t>
            </w:r>
          </w:p>
        </w:tc>
        <w:tc>
          <w:tcPr>
            <w:tcW w:w="1530" w:type="dxa"/>
            <w:vAlign w:val="center"/>
          </w:tcPr>
          <w:p>
            <w:pPr>
              <w:tabs>
                <w:tab w:val="left" w:pos="9135"/>
              </w:tabs>
              <w:spacing w:line="400" w:lineRule="atLeast"/>
              <w:jc w:val="center"/>
              <w:rPr>
                <w:rFonts w:ascii="宋体" w:hAnsi="宋体" w:cs="Arial"/>
                <w:sz w:val="24"/>
              </w:rPr>
            </w:pPr>
            <w:r>
              <w:rPr>
                <w:rFonts w:ascii="宋体" w:hAnsi="宋体" w:cs="Arial"/>
                <w:sz w:val="24"/>
              </w:rPr>
              <w:t>投标</w:t>
            </w:r>
          </w:p>
          <w:p>
            <w:pPr>
              <w:tabs>
                <w:tab w:val="left" w:pos="9135"/>
              </w:tabs>
              <w:spacing w:line="400" w:lineRule="atLeast"/>
              <w:jc w:val="center"/>
              <w:rPr>
                <w:rFonts w:ascii="宋体" w:hAnsi="宋体" w:cs="Arial"/>
                <w:sz w:val="24"/>
              </w:rPr>
            </w:pPr>
            <w:r>
              <w:rPr>
                <w:rFonts w:ascii="宋体" w:hAnsi="宋体" w:cs="Arial"/>
                <w:sz w:val="24"/>
              </w:rPr>
              <w:t>保证金</w:t>
            </w:r>
          </w:p>
        </w:tc>
        <w:tc>
          <w:tcPr>
            <w:tcW w:w="1800" w:type="dxa"/>
            <w:vAlign w:val="center"/>
          </w:tcPr>
          <w:p>
            <w:pPr>
              <w:tabs>
                <w:tab w:val="left" w:pos="9135"/>
              </w:tabs>
              <w:spacing w:line="400" w:lineRule="atLeast"/>
              <w:jc w:val="center"/>
              <w:rPr>
                <w:rFonts w:ascii="宋体" w:hAnsi="宋体" w:cs="Arial"/>
                <w:sz w:val="24"/>
              </w:rPr>
            </w:pPr>
            <w:r>
              <w:rPr>
                <w:rFonts w:hint="eastAsia" w:ascii="宋体" w:hAnsi="宋体" w:cs="Arial"/>
                <w:sz w:val="24"/>
              </w:rPr>
              <w:t>交货</w:t>
            </w:r>
            <w:r>
              <w:rPr>
                <w:rFonts w:ascii="宋体" w:hAnsi="宋体" w:cs="Arial"/>
                <w:sz w:val="24"/>
              </w:rPr>
              <w:t>期</w:t>
            </w:r>
          </w:p>
        </w:tc>
        <w:tc>
          <w:tcPr>
            <w:tcW w:w="1020" w:type="dxa"/>
            <w:vAlign w:val="center"/>
          </w:tcPr>
          <w:p>
            <w:pPr>
              <w:tabs>
                <w:tab w:val="left" w:pos="9135"/>
              </w:tabs>
              <w:spacing w:line="400" w:lineRule="atLeast"/>
              <w:jc w:val="center"/>
              <w:rPr>
                <w:rFonts w:ascii="宋体" w:hAnsi="宋体" w:cs="Arial"/>
                <w:sz w:val="24"/>
              </w:rPr>
            </w:pPr>
            <w:r>
              <w:rPr>
                <w:rFonts w:hint="eastAsia" w:ascii="宋体" w:hAnsi="宋体" w:cs="Arial"/>
                <w:sz w:val="24"/>
                <w:lang w:eastAsia="zh-CN"/>
              </w:rPr>
              <w:t>质保</w:t>
            </w:r>
            <w:r>
              <w:rPr>
                <w:rFonts w:hint="eastAsia" w:ascii="宋体" w:hAnsi="宋体" w:cs="Arial"/>
                <w:sz w:val="24"/>
              </w:rPr>
              <w:t>期</w:t>
            </w:r>
          </w:p>
        </w:tc>
        <w:tc>
          <w:tcPr>
            <w:tcW w:w="1020" w:type="dxa"/>
            <w:vAlign w:val="center"/>
          </w:tcPr>
          <w:p>
            <w:pPr>
              <w:tabs>
                <w:tab w:val="left" w:pos="9135"/>
              </w:tabs>
              <w:spacing w:line="400" w:lineRule="atLeast"/>
              <w:jc w:val="center"/>
              <w:rPr>
                <w:rFonts w:ascii="宋体" w:hAnsi="宋体" w:cs="Arial"/>
                <w:sz w:val="24"/>
              </w:rPr>
            </w:pPr>
            <w:r>
              <w:rPr>
                <w:rFonts w:hint="eastAsia" w:ascii="宋体" w:hAnsi="宋体" w:cs="Arial"/>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830" w:type="dxa"/>
            <w:vAlign w:val="center"/>
          </w:tcPr>
          <w:p>
            <w:pPr>
              <w:spacing w:line="400" w:lineRule="atLeast"/>
              <w:jc w:val="center"/>
              <w:rPr>
                <w:rFonts w:ascii="宋体" w:hAnsi="宋体" w:cs="Arial"/>
                <w:sz w:val="24"/>
              </w:rPr>
            </w:pPr>
          </w:p>
        </w:tc>
        <w:tc>
          <w:tcPr>
            <w:tcW w:w="1905" w:type="dxa"/>
            <w:vAlign w:val="center"/>
          </w:tcPr>
          <w:p>
            <w:pPr>
              <w:spacing w:line="400" w:lineRule="atLeast"/>
              <w:jc w:val="center"/>
              <w:rPr>
                <w:rFonts w:ascii="宋体" w:hAnsi="宋体" w:cs="Arial"/>
                <w:sz w:val="24"/>
              </w:rPr>
            </w:pPr>
          </w:p>
          <w:p>
            <w:pPr>
              <w:spacing w:line="400" w:lineRule="atLeast"/>
              <w:rPr>
                <w:rFonts w:ascii="宋体" w:hAnsi="宋体" w:cs="Arial"/>
                <w:sz w:val="24"/>
              </w:rPr>
            </w:pPr>
          </w:p>
        </w:tc>
        <w:tc>
          <w:tcPr>
            <w:tcW w:w="1350" w:type="dxa"/>
            <w:vAlign w:val="center"/>
          </w:tcPr>
          <w:p>
            <w:pPr>
              <w:tabs>
                <w:tab w:val="left" w:pos="9135"/>
              </w:tabs>
              <w:spacing w:line="400" w:lineRule="atLeast"/>
              <w:jc w:val="center"/>
              <w:rPr>
                <w:rFonts w:ascii="宋体" w:hAnsi="宋体" w:cs="Arial"/>
                <w:sz w:val="24"/>
              </w:rPr>
            </w:pPr>
            <w:r>
              <w:rPr>
                <w:rFonts w:hint="eastAsia" w:ascii="宋体" w:hAnsi="宋体" w:cs="Arial"/>
                <w:sz w:val="24"/>
              </w:rPr>
              <w:t>大写：</w:t>
            </w:r>
          </w:p>
          <w:p>
            <w:pPr>
              <w:tabs>
                <w:tab w:val="left" w:pos="9135"/>
              </w:tabs>
              <w:spacing w:line="400" w:lineRule="atLeast"/>
              <w:jc w:val="center"/>
              <w:rPr>
                <w:rFonts w:ascii="宋体" w:hAnsi="宋体" w:cs="Arial"/>
                <w:sz w:val="24"/>
              </w:rPr>
            </w:pPr>
            <w:r>
              <w:rPr>
                <w:rFonts w:hint="eastAsia" w:ascii="宋体" w:hAnsi="宋体" w:cs="Arial"/>
                <w:sz w:val="24"/>
              </w:rPr>
              <w:t>小写：</w:t>
            </w:r>
          </w:p>
        </w:tc>
        <w:tc>
          <w:tcPr>
            <w:tcW w:w="1530" w:type="dxa"/>
            <w:vAlign w:val="center"/>
          </w:tcPr>
          <w:p>
            <w:pPr>
              <w:tabs>
                <w:tab w:val="left" w:pos="9135"/>
              </w:tabs>
              <w:spacing w:line="400" w:lineRule="atLeast"/>
              <w:jc w:val="center"/>
              <w:rPr>
                <w:rFonts w:ascii="宋体" w:hAnsi="宋体" w:cs="Arial"/>
                <w:sz w:val="24"/>
              </w:rPr>
            </w:pPr>
            <w:r>
              <w:rPr>
                <w:rFonts w:hint="eastAsia" w:ascii="宋体" w:hAnsi="宋体" w:cs="Arial"/>
                <w:sz w:val="24"/>
              </w:rPr>
              <w:t>（是/否满足招标文件要求）</w:t>
            </w:r>
          </w:p>
        </w:tc>
        <w:tc>
          <w:tcPr>
            <w:tcW w:w="1800" w:type="dxa"/>
            <w:vAlign w:val="center"/>
          </w:tcPr>
          <w:p>
            <w:pPr>
              <w:tabs>
                <w:tab w:val="left" w:pos="9135"/>
              </w:tabs>
              <w:spacing w:line="400" w:lineRule="atLeast"/>
              <w:jc w:val="center"/>
              <w:rPr>
                <w:rFonts w:ascii="宋体" w:hAnsi="宋体" w:cs="Arial"/>
                <w:sz w:val="24"/>
              </w:rPr>
            </w:pPr>
            <w:r>
              <w:rPr>
                <w:rFonts w:hint="eastAsia" w:ascii="宋体" w:hAnsi="宋体" w:cs="Arial"/>
                <w:sz w:val="24"/>
              </w:rPr>
              <w:t>（是/否满足招标文件要求）</w:t>
            </w:r>
          </w:p>
        </w:tc>
        <w:tc>
          <w:tcPr>
            <w:tcW w:w="1020" w:type="dxa"/>
            <w:vAlign w:val="center"/>
          </w:tcPr>
          <w:p>
            <w:pPr>
              <w:tabs>
                <w:tab w:val="left" w:pos="9135"/>
              </w:tabs>
              <w:spacing w:line="400" w:lineRule="atLeast"/>
              <w:jc w:val="center"/>
              <w:rPr>
                <w:rFonts w:ascii="宋体" w:hAnsi="宋体" w:cs="Arial"/>
                <w:sz w:val="24"/>
              </w:rPr>
            </w:pPr>
          </w:p>
        </w:tc>
        <w:tc>
          <w:tcPr>
            <w:tcW w:w="1020" w:type="dxa"/>
            <w:vAlign w:val="center"/>
          </w:tcPr>
          <w:p>
            <w:pPr>
              <w:tabs>
                <w:tab w:val="left" w:pos="9135"/>
              </w:tabs>
              <w:spacing w:line="400" w:lineRule="atLeast"/>
              <w:rPr>
                <w:rFonts w:ascii="宋体" w:hAnsi="宋体" w:cs="Arial"/>
                <w:sz w:val="24"/>
              </w:rPr>
            </w:pPr>
          </w:p>
        </w:tc>
      </w:tr>
    </w:tbl>
    <w:p>
      <w:pPr>
        <w:shd w:val="clear" w:color="auto" w:fill="FFFFFF"/>
        <w:spacing w:line="360" w:lineRule="auto"/>
        <w:ind w:firstLine="480" w:firstLineChars="200"/>
        <w:rPr>
          <w:rFonts w:ascii="宋体" w:hAnsi="宋体" w:cs="黑体"/>
          <w:sz w:val="24"/>
        </w:rPr>
      </w:pPr>
    </w:p>
    <w:p>
      <w:pPr>
        <w:pStyle w:val="6"/>
        <w:spacing w:line="380" w:lineRule="exact"/>
        <w:rPr>
          <w:rFonts w:ascii="宋体" w:hAnsi="宋体"/>
        </w:rPr>
      </w:pPr>
      <w:r>
        <w:rPr>
          <w:rFonts w:hint="eastAsia" w:ascii="宋体" w:hAnsi="宋体"/>
          <w:b/>
          <w:bCs/>
        </w:rPr>
        <w:t>注</w:t>
      </w:r>
      <w:r>
        <w:rPr>
          <w:rFonts w:ascii="宋体" w:hAnsi="宋体"/>
          <w:b/>
          <w:bCs/>
        </w:rPr>
        <w:t xml:space="preserve">: </w:t>
      </w:r>
      <w:r>
        <w:rPr>
          <w:rFonts w:hint="eastAsia" w:ascii="宋体" w:hAnsi="宋体"/>
        </w:rPr>
        <w:t>1、报价一经涂改，应在涂改处加盖单位公章或者由法定代表人或授权委托人签字或盖章，否则其投标作无效标处理。</w:t>
      </w:r>
    </w:p>
    <w:p>
      <w:pPr>
        <w:pStyle w:val="40"/>
        <w:spacing w:line="500" w:lineRule="exact"/>
        <w:ind w:firstLine="480" w:firstLineChars="200"/>
        <w:jc w:val="both"/>
      </w:pPr>
      <w:r>
        <w:rPr>
          <w:rFonts w:hint="eastAsia" w:ascii="宋体" w:hAnsi="宋体"/>
        </w:rPr>
        <w:t>2、报价包括项目实施所需的</w:t>
      </w:r>
      <w:r>
        <w:rPr>
          <w:rFonts w:hint="eastAsia"/>
        </w:rPr>
        <w:t>设备费、运输费、安装费、税费及其他一切费用。</w:t>
      </w:r>
    </w:p>
    <w:p>
      <w:pPr>
        <w:pStyle w:val="40"/>
        <w:spacing w:line="500" w:lineRule="exact"/>
        <w:ind w:firstLine="480" w:firstLineChars="200"/>
        <w:jc w:val="both"/>
        <w:rPr>
          <w:rFonts w:ascii="宋体" w:hAnsi="宋体"/>
        </w:rPr>
      </w:pPr>
      <w:r>
        <w:rPr>
          <w:rFonts w:hint="eastAsia" w:ascii="宋体" w:hAnsi="宋体"/>
        </w:rPr>
        <w:t>3、上报价应与“投标分项报价明细表”中的“投标总报价”相一致。</w:t>
      </w:r>
    </w:p>
    <w:p>
      <w:pPr>
        <w:shd w:val="clear" w:color="auto" w:fill="FFFFFF"/>
        <w:spacing w:line="360" w:lineRule="auto"/>
        <w:rPr>
          <w:rFonts w:ascii="宋体" w:hAnsi="宋体" w:cs="黑体"/>
          <w:sz w:val="24"/>
        </w:rPr>
      </w:pPr>
    </w:p>
    <w:p>
      <w:pPr>
        <w:shd w:val="clear" w:color="auto" w:fill="FFFFFF"/>
        <w:tabs>
          <w:tab w:val="left" w:pos="3780"/>
        </w:tabs>
        <w:spacing w:line="360" w:lineRule="auto"/>
        <w:ind w:firstLine="480" w:firstLineChars="200"/>
        <w:rPr>
          <w:rFonts w:ascii="宋体" w:hAnsi="宋体" w:cs="黑体"/>
          <w:sz w:val="24"/>
        </w:rPr>
      </w:pPr>
    </w:p>
    <w:p>
      <w:pPr>
        <w:shd w:val="clear" w:color="auto" w:fill="FFFFFF"/>
        <w:tabs>
          <w:tab w:val="left" w:pos="3780"/>
        </w:tabs>
        <w:spacing w:line="360" w:lineRule="auto"/>
        <w:ind w:firstLine="480" w:firstLineChars="200"/>
        <w:rPr>
          <w:rFonts w:ascii="宋体" w:hAnsi="宋体" w:cs="黑体"/>
          <w:sz w:val="24"/>
        </w:rPr>
      </w:pPr>
      <w:r>
        <w:rPr>
          <w:rFonts w:hint="eastAsia" w:ascii="宋体" w:hAnsi="宋体" w:cs="黑体"/>
          <w:sz w:val="24"/>
        </w:rPr>
        <w:t>投标人（盖公章）：</w:t>
      </w:r>
    </w:p>
    <w:p>
      <w:pPr>
        <w:shd w:val="clear" w:color="auto" w:fill="FFFFFF"/>
        <w:tabs>
          <w:tab w:val="left" w:pos="3780"/>
        </w:tabs>
        <w:spacing w:line="360" w:lineRule="auto"/>
        <w:ind w:firstLine="480" w:firstLineChars="200"/>
        <w:rPr>
          <w:rFonts w:ascii="宋体" w:hAnsi="宋体" w:cs="黑体"/>
          <w:sz w:val="24"/>
        </w:rPr>
      </w:pPr>
      <w:r>
        <w:rPr>
          <w:rFonts w:hint="eastAsia" w:ascii="宋体" w:hAnsi="宋体" w:cs="黑体"/>
          <w:sz w:val="24"/>
        </w:rPr>
        <w:t>法定代表人（签字或盖章）：</w:t>
      </w:r>
    </w:p>
    <w:p>
      <w:pPr>
        <w:shd w:val="clear" w:color="auto" w:fill="FFFFFF"/>
        <w:tabs>
          <w:tab w:val="left" w:pos="3780"/>
        </w:tabs>
        <w:spacing w:line="360" w:lineRule="auto"/>
        <w:ind w:firstLine="480" w:firstLineChars="200"/>
        <w:rPr>
          <w:rFonts w:ascii="宋体" w:hAnsi="宋体" w:cs="黑体"/>
          <w:sz w:val="24"/>
        </w:rPr>
      </w:pPr>
      <w:r>
        <w:rPr>
          <w:rFonts w:hint="eastAsia" w:ascii="宋体" w:hAnsi="宋体" w:cs="黑体"/>
          <w:sz w:val="24"/>
        </w:rPr>
        <w:t>授权代理人（签字）：</w:t>
      </w:r>
    </w:p>
    <w:p>
      <w:pPr>
        <w:shd w:val="clear" w:color="auto" w:fill="FFFFFF"/>
        <w:tabs>
          <w:tab w:val="left" w:pos="3780"/>
        </w:tabs>
        <w:spacing w:line="360" w:lineRule="auto"/>
        <w:ind w:firstLine="480" w:firstLineChars="200"/>
        <w:jc w:val="left"/>
        <w:rPr>
          <w:rFonts w:ascii="宋体" w:hAnsi="宋体" w:cs="黑体"/>
          <w:sz w:val="24"/>
        </w:rPr>
      </w:pPr>
      <w:r>
        <w:rPr>
          <w:rFonts w:hint="eastAsia" w:ascii="宋体" w:hAnsi="宋体" w:cs="黑体"/>
          <w:sz w:val="24"/>
        </w:rPr>
        <w:t>日期： 年  月  日</w:t>
      </w:r>
    </w:p>
    <w:p>
      <w:pPr>
        <w:shd w:val="clear" w:color="auto" w:fill="FFFFFF"/>
        <w:tabs>
          <w:tab w:val="left" w:pos="3780"/>
        </w:tabs>
        <w:spacing w:line="360" w:lineRule="auto"/>
        <w:ind w:firstLine="5400" w:firstLineChars="2250"/>
        <w:rPr>
          <w:rFonts w:ascii="宋体" w:hAnsi="宋体" w:cs="黑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0" w:firstLineChars="0"/>
        <w:rPr>
          <w:rFonts w:ascii="宋体" w:hAnsi="宋体"/>
          <w:sz w:val="24"/>
        </w:rPr>
      </w:pPr>
    </w:p>
    <w:p>
      <w:pPr>
        <w:spacing w:line="500" w:lineRule="exact"/>
        <w:jc w:val="center"/>
        <w:outlineLvl w:val="1"/>
        <w:rPr>
          <w:rFonts w:hint="eastAsia" w:ascii="宋体" w:hAnsi="宋体" w:cs="宋体"/>
          <w:b/>
          <w:bCs/>
          <w:sz w:val="24"/>
        </w:rPr>
      </w:pPr>
    </w:p>
    <w:p>
      <w:pPr>
        <w:spacing w:line="500" w:lineRule="exact"/>
        <w:jc w:val="center"/>
        <w:outlineLvl w:val="1"/>
        <w:rPr>
          <w:rFonts w:ascii="宋体" w:hAnsi="宋体" w:cs="宋体"/>
          <w:b/>
          <w:bCs/>
          <w:sz w:val="24"/>
        </w:rPr>
      </w:pPr>
      <w:r>
        <w:rPr>
          <w:rFonts w:hint="eastAsia" w:ascii="宋体" w:hAnsi="宋体" w:cs="宋体"/>
          <w:b/>
          <w:bCs/>
          <w:sz w:val="24"/>
        </w:rPr>
        <w:t>投标分项报价明细表</w:t>
      </w:r>
    </w:p>
    <w:p>
      <w:pPr>
        <w:spacing w:line="500" w:lineRule="exact"/>
        <w:ind w:firstLine="480" w:firstLineChars="200"/>
        <w:rPr>
          <w:rFonts w:ascii="宋体" w:hAnsi="宋体" w:cs="宋体"/>
          <w:sz w:val="24"/>
        </w:rPr>
      </w:pPr>
      <w:r>
        <w:rPr>
          <w:rFonts w:hint="eastAsia" w:ascii="宋体" w:hAnsi="宋体" w:cs="宋体"/>
          <w:sz w:val="24"/>
        </w:rPr>
        <w:t xml:space="preserve">项目名称： </w:t>
      </w:r>
    </w:p>
    <w:p>
      <w:pPr>
        <w:spacing w:line="500" w:lineRule="exact"/>
        <w:ind w:firstLine="480" w:firstLineChars="200"/>
        <w:rPr>
          <w:rFonts w:ascii="宋体" w:hAnsi="宋体" w:cs="宋体"/>
          <w:sz w:val="24"/>
        </w:rPr>
      </w:pPr>
      <w:r>
        <w:rPr>
          <w:rFonts w:hint="eastAsia" w:ascii="宋体" w:hAnsi="宋体" w:cs="宋体"/>
          <w:sz w:val="24"/>
        </w:rPr>
        <w:t xml:space="preserve">项目编号： </w:t>
      </w:r>
    </w:p>
    <w:tbl>
      <w:tblPr>
        <w:tblStyle w:val="18"/>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2" w:hRule="atLeast"/>
          <w:jc w:val="center"/>
        </w:trPr>
        <w:tc>
          <w:tcPr>
            <w:tcW w:w="9337" w:type="dxa"/>
          </w:tcPr>
          <w:p>
            <w:pPr>
              <w:spacing w:line="500" w:lineRule="exact"/>
              <w:rPr>
                <w:rFonts w:ascii="宋体" w:hAnsi="宋体" w:cs="宋体"/>
                <w:sz w:val="24"/>
              </w:rPr>
            </w:pPr>
            <w:r>
              <w:rPr>
                <w:rFonts w:hint="eastAsia" w:ascii="宋体" w:hAnsi="宋体" w:cs="宋体"/>
                <w:sz w:val="24"/>
              </w:rPr>
              <w:t>注：格式自拟，内容包括：规格、型号、技术参数、</w:t>
            </w:r>
            <w:r>
              <w:rPr>
                <w:rFonts w:hint="eastAsia" w:ascii="宋体" w:hAnsi="宋体" w:cs="宋体"/>
                <w:bCs/>
                <w:sz w:val="24"/>
              </w:rPr>
              <w:t>产地、品牌、</w:t>
            </w:r>
            <w:r>
              <w:rPr>
                <w:rFonts w:hint="eastAsia" w:ascii="宋体" w:hAnsi="宋体" w:cs="宋体"/>
                <w:sz w:val="24"/>
              </w:rPr>
              <w:t>供货厂商名称、</w:t>
            </w:r>
            <w:r>
              <w:rPr>
                <w:rFonts w:hint="eastAsia" w:ascii="宋体" w:hAnsi="宋体" w:cs="宋体"/>
                <w:bCs/>
                <w:sz w:val="24"/>
              </w:rPr>
              <w:t>价格、运保、安装、调试费等</w:t>
            </w:r>
            <w:r>
              <w:rPr>
                <w:rFonts w:hint="eastAsia" w:ascii="宋体" w:hAnsi="宋体" w:cs="宋体"/>
                <w:sz w:val="24"/>
              </w:rPr>
              <w:t>，如果不提供详细报价将视为没有实质性响应招标文件。</w:t>
            </w:r>
          </w:p>
        </w:tc>
      </w:tr>
    </w:tbl>
    <w:p>
      <w:pPr>
        <w:spacing w:line="500" w:lineRule="exact"/>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sz w:val="24"/>
        </w:rPr>
      </w:pPr>
      <w:r>
        <w:rPr>
          <w:rFonts w:hint="eastAsia" w:ascii="宋体" w:hAnsi="宋体"/>
          <w:sz w:val="24"/>
        </w:rPr>
        <w:t>投标人（盖公章）：</w:t>
      </w:r>
    </w:p>
    <w:p>
      <w:pPr>
        <w:spacing w:line="360" w:lineRule="auto"/>
        <w:ind w:firstLine="480" w:firstLineChars="200"/>
        <w:rPr>
          <w:rFonts w:ascii="宋体" w:hAnsi="宋体"/>
          <w:sz w:val="24"/>
        </w:rPr>
      </w:pPr>
      <w:r>
        <w:rPr>
          <w:rFonts w:hint="eastAsia" w:ascii="宋体" w:hAnsi="宋体"/>
          <w:sz w:val="24"/>
        </w:rPr>
        <w:t>法定代表人（签字或盖章）：</w:t>
      </w:r>
    </w:p>
    <w:p>
      <w:pPr>
        <w:spacing w:line="360" w:lineRule="auto"/>
        <w:ind w:firstLine="480" w:firstLineChars="200"/>
        <w:rPr>
          <w:rFonts w:ascii="宋体" w:hAnsi="宋体"/>
          <w:sz w:val="24"/>
        </w:rPr>
      </w:pPr>
      <w:r>
        <w:rPr>
          <w:rFonts w:hint="eastAsia" w:ascii="宋体" w:hAnsi="宋体"/>
          <w:sz w:val="24"/>
        </w:rPr>
        <w:t>授权代理人（签字）：</w:t>
      </w:r>
    </w:p>
    <w:p>
      <w:pPr>
        <w:spacing w:line="360" w:lineRule="auto"/>
        <w:ind w:firstLine="480" w:firstLineChars="200"/>
        <w:rPr>
          <w:rFonts w:ascii="宋体" w:hAnsi="宋体"/>
          <w:sz w:val="24"/>
        </w:rPr>
      </w:pPr>
      <w:r>
        <w:rPr>
          <w:rFonts w:hint="eastAsia" w:ascii="宋体" w:hAnsi="宋体"/>
          <w:sz w:val="24"/>
        </w:rPr>
        <w:t>日期： 年  月  日</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jc w:val="center"/>
        <w:rPr>
          <w:rFonts w:ascii="宋体" w:hAnsi="宋体"/>
          <w:b/>
          <w:sz w:val="28"/>
          <w:szCs w:val="30"/>
        </w:rPr>
      </w:pPr>
      <w:r>
        <w:rPr>
          <w:rFonts w:hint="eastAsia" w:ascii="宋体" w:hAnsi="宋体"/>
          <w:b/>
          <w:sz w:val="28"/>
          <w:szCs w:val="30"/>
        </w:rPr>
        <w:t>法定代表人身份证明书</w:t>
      </w:r>
    </w:p>
    <w:p>
      <w:pPr>
        <w:spacing w:line="360" w:lineRule="auto"/>
        <w:jc w:val="center"/>
        <w:rPr>
          <w:rFonts w:ascii="宋体" w:hAnsi="宋体"/>
          <w:sz w:val="24"/>
        </w:rPr>
      </w:pPr>
    </w:p>
    <w:p>
      <w:pPr>
        <w:spacing w:line="360" w:lineRule="auto"/>
        <w:rPr>
          <w:rFonts w:ascii="宋体" w:hAnsi="宋体"/>
          <w:sz w:val="24"/>
          <w:u w:val="single"/>
        </w:rPr>
      </w:pPr>
      <w:r>
        <w:rPr>
          <w:rFonts w:hint="eastAsia" w:ascii="宋体" w:hAnsi="宋体"/>
          <w:sz w:val="24"/>
        </w:rPr>
        <w:t>单位名称：</w:t>
      </w:r>
    </w:p>
    <w:p>
      <w:pPr>
        <w:spacing w:line="360" w:lineRule="auto"/>
        <w:rPr>
          <w:rFonts w:ascii="宋体" w:hAnsi="宋体"/>
          <w:sz w:val="24"/>
          <w:u w:val="single"/>
        </w:rPr>
      </w:pPr>
      <w:r>
        <w:rPr>
          <w:rFonts w:hint="eastAsia" w:ascii="宋体" w:hAnsi="宋体"/>
          <w:sz w:val="24"/>
        </w:rPr>
        <w:t>类    型：</w:t>
      </w:r>
    </w:p>
    <w:p>
      <w:pPr>
        <w:spacing w:line="360" w:lineRule="auto"/>
        <w:rPr>
          <w:rFonts w:ascii="宋体" w:hAnsi="宋体"/>
          <w:sz w:val="24"/>
          <w:u w:val="single"/>
        </w:rPr>
      </w:pPr>
      <w:r>
        <w:rPr>
          <w:rFonts w:hint="eastAsia" w:ascii="宋体" w:hAnsi="宋体"/>
          <w:sz w:val="24"/>
        </w:rPr>
        <w:t>地    址：</w:t>
      </w:r>
    </w:p>
    <w:p>
      <w:pPr>
        <w:spacing w:line="360" w:lineRule="auto"/>
        <w:rPr>
          <w:rFonts w:ascii="宋体" w:hAnsi="宋体"/>
          <w:sz w:val="24"/>
          <w:u w:val="single"/>
        </w:rPr>
      </w:pPr>
      <w:r>
        <w:rPr>
          <w:rFonts w:hint="eastAsia" w:ascii="宋体" w:hAnsi="宋体"/>
          <w:sz w:val="24"/>
        </w:rPr>
        <w:t>营业期限：</w:t>
      </w:r>
    </w:p>
    <w:p>
      <w:pPr>
        <w:spacing w:line="360" w:lineRule="auto"/>
        <w:rPr>
          <w:rFonts w:ascii="宋体" w:hAnsi="宋体"/>
          <w:sz w:val="24"/>
          <w:u w:val="single"/>
        </w:rPr>
      </w:pPr>
      <w:r>
        <w:rPr>
          <w:rFonts w:hint="eastAsia" w:ascii="宋体" w:hAnsi="宋体"/>
          <w:sz w:val="24"/>
        </w:rPr>
        <w:t>成立时间：</w:t>
      </w:r>
    </w:p>
    <w:p>
      <w:pPr>
        <w:spacing w:line="360" w:lineRule="auto"/>
        <w:rPr>
          <w:rFonts w:ascii="宋体" w:hAnsi="宋体"/>
          <w:sz w:val="24"/>
          <w:u w:val="single"/>
        </w:rPr>
      </w:pPr>
    </w:p>
    <w:p>
      <w:pPr>
        <w:spacing w:line="360" w:lineRule="auto"/>
        <w:rPr>
          <w:rFonts w:ascii="宋体" w:hAnsi="宋体"/>
          <w:sz w:val="24"/>
          <w:u w:val="single"/>
        </w:rPr>
      </w:pPr>
      <w:r>
        <w:rPr>
          <w:rFonts w:hint="eastAsia" w:ascii="宋体" w:hAnsi="宋体"/>
          <w:sz w:val="24"/>
        </w:rPr>
        <w:t>姓名：   性别：   年龄：  职务：</w:t>
      </w:r>
    </w:p>
    <w:p>
      <w:pPr>
        <w:spacing w:line="360" w:lineRule="auto"/>
        <w:rPr>
          <w:rFonts w:ascii="宋体" w:hAnsi="宋体"/>
          <w:sz w:val="24"/>
        </w:rPr>
      </w:pPr>
      <w:r>
        <w:rPr>
          <w:rFonts w:hint="eastAsia" w:ascii="宋体" w:hAnsi="宋体"/>
          <w:sz w:val="24"/>
        </w:rPr>
        <w:t xml:space="preserve">系 </w:t>
      </w:r>
      <w:r>
        <w:rPr>
          <w:rFonts w:hint="eastAsia" w:ascii="宋体" w:hAnsi="宋体"/>
          <w:sz w:val="24"/>
          <w:u w:val="single"/>
        </w:rPr>
        <w:t xml:space="preserve">         （投标单位名称）               </w:t>
      </w:r>
      <w:r>
        <w:rPr>
          <w:rFonts w:hint="eastAsia" w:ascii="宋体" w:hAnsi="宋体"/>
          <w:sz w:val="24"/>
        </w:rPr>
        <w:t>的法定代表人。</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特此证明。</w:t>
      </w:r>
    </w:p>
    <w:tbl>
      <w:tblPr>
        <w:tblStyle w:val="18"/>
        <w:tblW w:w="8019"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trPr>
        <w:tc>
          <w:tcPr>
            <w:tcW w:w="4050" w:type="dxa"/>
          </w:tcPr>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法定代表人身份证正面</w:t>
            </w:r>
          </w:p>
        </w:tc>
        <w:tc>
          <w:tcPr>
            <w:tcW w:w="3969" w:type="dxa"/>
          </w:tcPr>
          <w:p>
            <w:pPr>
              <w:spacing w:line="360" w:lineRule="auto"/>
              <w:rPr>
                <w:rFonts w:ascii="宋体" w:hAnsi="宋体"/>
                <w:sz w:val="24"/>
              </w:rPr>
            </w:pPr>
          </w:p>
          <w:p>
            <w:pPr>
              <w:spacing w:line="360" w:lineRule="auto"/>
              <w:rPr>
                <w:rFonts w:ascii="宋体" w:hAnsi="宋体"/>
                <w:sz w:val="24"/>
              </w:rPr>
            </w:pPr>
          </w:p>
          <w:p>
            <w:pPr>
              <w:spacing w:line="360" w:lineRule="auto"/>
              <w:ind w:firstLine="240" w:firstLineChars="100"/>
              <w:rPr>
                <w:rFonts w:ascii="宋体" w:hAnsi="宋体"/>
                <w:sz w:val="24"/>
              </w:rPr>
            </w:pPr>
            <w:r>
              <w:rPr>
                <w:rFonts w:hint="eastAsia" w:ascii="宋体" w:hAnsi="宋体"/>
                <w:sz w:val="24"/>
              </w:rPr>
              <w:t>法定代表人身份证反面</w:t>
            </w:r>
          </w:p>
        </w:tc>
      </w:tr>
    </w:tbl>
    <w:p>
      <w:pPr>
        <w:wordWrap w:val="0"/>
        <w:spacing w:line="360" w:lineRule="auto"/>
        <w:jc w:val="right"/>
        <w:rPr>
          <w:rFonts w:ascii="宋体" w:hAnsi="宋体"/>
          <w:sz w:val="24"/>
        </w:rPr>
      </w:pPr>
    </w:p>
    <w:p>
      <w:pPr>
        <w:spacing w:line="360" w:lineRule="auto"/>
        <w:jc w:val="center"/>
        <w:rPr>
          <w:rFonts w:ascii="宋体" w:hAnsi="宋体"/>
          <w:sz w:val="24"/>
          <w:u w:val="single"/>
        </w:rPr>
      </w:pPr>
      <w:r>
        <w:rPr>
          <w:rFonts w:hint="eastAsia" w:ascii="宋体" w:hAnsi="宋体"/>
          <w:sz w:val="24"/>
        </w:rPr>
        <w:t xml:space="preserve">                              投标人：（盖章）</w:t>
      </w:r>
    </w:p>
    <w:p>
      <w:pPr>
        <w:spacing w:line="360" w:lineRule="auto"/>
        <w:ind w:firstLine="570"/>
        <w:jc w:val="center"/>
        <w:rPr>
          <w:rFonts w:ascii="宋体" w:hAnsi="宋体"/>
          <w:sz w:val="24"/>
        </w:rPr>
      </w:pPr>
      <w:r>
        <w:rPr>
          <w:rFonts w:hint="eastAsia" w:ascii="宋体" w:hAnsi="宋体"/>
          <w:sz w:val="24"/>
        </w:rPr>
        <w:t xml:space="preserve">                         日  期：20 年 月 日</w:t>
      </w:r>
    </w:p>
    <w:p>
      <w:pPr>
        <w:spacing w:line="360" w:lineRule="auto"/>
        <w:ind w:firstLine="570"/>
        <w:jc w:val="center"/>
        <w:rPr>
          <w:rFonts w:ascii="宋体" w:hAnsi="宋体"/>
          <w:sz w:val="24"/>
        </w:rPr>
      </w:pPr>
    </w:p>
    <w:p>
      <w:pPr>
        <w:spacing w:line="360" w:lineRule="auto"/>
        <w:ind w:firstLine="570"/>
        <w:jc w:val="center"/>
        <w:rPr>
          <w:rFonts w:ascii="宋体" w:hAnsi="宋体"/>
          <w:sz w:val="24"/>
        </w:rPr>
      </w:pPr>
    </w:p>
    <w:p>
      <w:pPr>
        <w:spacing w:line="360" w:lineRule="auto"/>
        <w:ind w:firstLine="570"/>
        <w:jc w:val="center"/>
        <w:rPr>
          <w:rFonts w:ascii="宋体" w:hAnsi="宋体"/>
          <w:sz w:val="24"/>
        </w:rPr>
      </w:pPr>
    </w:p>
    <w:p>
      <w:pPr>
        <w:spacing w:line="360" w:lineRule="auto"/>
        <w:ind w:firstLine="570"/>
        <w:jc w:val="center"/>
        <w:rPr>
          <w:rFonts w:ascii="宋体" w:hAnsi="宋体"/>
          <w:sz w:val="24"/>
        </w:rPr>
      </w:pPr>
    </w:p>
    <w:p>
      <w:pPr>
        <w:spacing w:line="360" w:lineRule="auto"/>
        <w:ind w:firstLine="570"/>
        <w:jc w:val="center"/>
        <w:rPr>
          <w:rFonts w:ascii="宋体" w:hAnsi="宋体"/>
          <w:sz w:val="24"/>
        </w:rPr>
      </w:pPr>
    </w:p>
    <w:p>
      <w:pPr>
        <w:spacing w:line="360" w:lineRule="auto"/>
        <w:ind w:firstLine="570"/>
        <w:jc w:val="center"/>
        <w:rPr>
          <w:rFonts w:ascii="宋体" w:hAnsi="宋体"/>
          <w:sz w:val="24"/>
        </w:rPr>
      </w:pPr>
    </w:p>
    <w:p>
      <w:pPr>
        <w:spacing w:line="360" w:lineRule="auto"/>
        <w:ind w:firstLine="570"/>
        <w:jc w:val="center"/>
        <w:rPr>
          <w:rFonts w:ascii="宋体" w:hAnsi="宋体"/>
          <w:sz w:val="24"/>
        </w:rPr>
      </w:pPr>
    </w:p>
    <w:p>
      <w:pPr>
        <w:spacing w:line="360" w:lineRule="auto"/>
        <w:ind w:firstLine="570"/>
        <w:jc w:val="center"/>
        <w:rPr>
          <w:rFonts w:ascii="宋体" w:hAnsi="宋体"/>
          <w:sz w:val="24"/>
        </w:rPr>
      </w:pPr>
    </w:p>
    <w:p>
      <w:pPr>
        <w:spacing w:line="360" w:lineRule="auto"/>
        <w:jc w:val="center"/>
        <w:rPr>
          <w:rFonts w:ascii="宋体" w:hAnsi="宋体"/>
          <w:b/>
          <w:sz w:val="28"/>
          <w:szCs w:val="30"/>
        </w:rPr>
      </w:pPr>
      <w:r>
        <w:rPr>
          <w:rFonts w:hint="eastAsia" w:ascii="宋体" w:hAnsi="宋体"/>
          <w:b/>
          <w:sz w:val="28"/>
          <w:szCs w:val="30"/>
        </w:rPr>
        <w:t>法定代表人授权书格式</w:t>
      </w:r>
    </w:p>
    <w:p>
      <w:pPr>
        <w:spacing w:line="360" w:lineRule="auto"/>
        <w:jc w:val="center"/>
        <w:rPr>
          <w:rFonts w:ascii="宋体" w:hAnsi="宋体"/>
          <w:b/>
          <w:sz w:val="24"/>
        </w:rPr>
      </w:pPr>
    </w:p>
    <w:p>
      <w:pPr>
        <w:spacing w:line="360" w:lineRule="auto"/>
        <w:ind w:firstLine="435"/>
        <w:rPr>
          <w:rFonts w:ascii="宋体" w:hAnsi="宋体"/>
          <w:sz w:val="24"/>
        </w:rPr>
      </w:pPr>
      <w:r>
        <w:rPr>
          <w:rFonts w:hint="eastAsia" w:ascii="宋体" w:hAnsi="宋体"/>
          <w:sz w:val="24"/>
        </w:rPr>
        <w:t xml:space="preserve"> 本授权书声明：注册于</w:t>
      </w:r>
      <w:r>
        <w:rPr>
          <w:rFonts w:hint="eastAsia" w:ascii="宋体" w:hAnsi="宋体"/>
          <w:sz w:val="24"/>
          <w:u w:val="single"/>
        </w:rPr>
        <w:t>（地区的名称）</w:t>
      </w:r>
      <w:r>
        <w:rPr>
          <w:rFonts w:hint="eastAsia" w:ascii="宋体" w:hAnsi="宋体"/>
          <w:sz w:val="24"/>
        </w:rPr>
        <w:t>的（</w:t>
      </w:r>
      <w:r>
        <w:rPr>
          <w:rFonts w:hint="eastAsia" w:ascii="宋体" w:hAnsi="宋体"/>
          <w:sz w:val="24"/>
          <w:u w:val="single"/>
        </w:rPr>
        <w:t>单位名称），</w:t>
      </w:r>
      <w:r>
        <w:rPr>
          <w:rFonts w:hint="eastAsia" w:ascii="宋体" w:hAnsi="宋体"/>
          <w:sz w:val="24"/>
        </w:rPr>
        <w:t>在下面签字的法定代表人</w:t>
      </w:r>
      <w:r>
        <w:rPr>
          <w:rFonts w:hint="eastAsia" w:ascii="宋体" w:hAnsi="宋体"/>
          <w:sz w:val="24"/>
          <w:u w:val="single"/>
        </w:rPr>
        <w:t>（姓名、职务、身份证号码），</w:t>
      </w:r>
      <w:r>
        <w:rPr>
          <w:rFonts w:hint="eastAsia" w:ascii="宋体" w:hAnsi="宋体"/>
          <w:sz w:val="24"/>
        </w:rPr>
        <w:t>代表本公司授权在下面签字的</w:t>
      </w:r>
      <w:r>
        <w:rPr>
          <w:rFonts w:hint="eastAsia" w:ascii="宋体" w:hAnsi="宋体"/>
          <w:sz w:val="24"/>
          <w:u w:val="single"/>
        </w:rPr>
        <w:t>（被授权人的姓名、职务、身份证号码）</w:t>
      </w:r>
      <w:r>
        <w:rPr>
          <w:rFonts w:hint="eastAsia" w:ascii="宋体" w:hAnsi="宋体"/>
          <w:sz w:val="24"/>
        </w:rPr>
        <w:t>为本公司的合法代理人，就</w:t>
      </w:r>
      <w:r>
        <w:rPr>
          <w:rFonts w:hint="eastAsia" w:ascii="宋体" w:hAnsi="宋体"/>
          <w:sz w:val="24"/>
          <w:u w:val="single"/>
        </w:rPr>
        <w:t>（项目名称/编号）</w:t>
      </w:r>
      <w:r>
        <w:rPr>
          <w:rFonts w:hint="eastAsia" w:ascii="宋体" w:hAnsi="宋体"/>
          <w:sz w:val="24"/>
        </w:rPr>
        <w:t>的投标，以本公司的名义处理一切与之有关的事务。</w:t>
      </w:r>
    </w:p>
    <w:p>
      <w:pPr>
        <w:spacing w:line="360" w:lineRule="auto"/>
        <w:ind w:firstLine="435"/>
        <w:rPr>
          <w:rFonts w:ascii="宋体" w:hAnsi="宋体"/>
          <w:sz w:val="24"/>
        </w:rPr>
      </w:pPr>
      <w:r>
        <w:rPr>
          <w:rFonts w:hint="eastAsia" w:ascii="宋体" w:hAnsi="宋体"/>
          <w:sz w:val="24"/>
        </w:rPr>
        <w:t>本授权书于20年月日签字生效，特此声明。</w:t>
      </w:r>
    </w:p>
    <w:tbl>
      <w:tblPr>
        <w:tblStyle w:val="18"/>
        <w:tblW w:w="8929"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4"/>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4464" w:type="dxa"/>
          </w:tcPr>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法定代表人身份证正面</w:t>
            </w:r>
          </w:p>
        </w:tc>
        <w:tc>
          <w:tcPr>
            <w:tcW w:w="4465" w:type="dxa"/>
          </w:tcPr>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法定代表人身份证反面</w:t>
            </w:r>
          </w:p>
        </w:tc>
      </w:tr>
    </w:tbl>
    <w:p>
      <w:pPr>
        <w:spacing w:line="360" w:lineRule="auto"/>
        <w:ind w:firstLine="435"/>
        <w:rPr>
          <w:rFonts w:ascii="宋体" w:hAnsi="宋体"/>
          <w:sz w:val="24"/>
        </w:rPr>
      </w:pPr>
    </w:p>
    <w:tbl>
      <w:tblPr>
        <w:tblStyle w:val="18"/>
        <w:tblW w:w="8869"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trPr>
        <w:tc>
          <w:tcPr>
            <w:tcW w:w="4475" w:type="dxa"/>
          </w:tcPr>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被授权人身份证正面</w:t>
            </w:r>
          </w:p>
        </w:tc>
        <w:tc>
          <w:tcPr>
            <w:tcW w:w="4394" w:type="dxa"/>
          </w:tcPr>
          <w:p>
            <w:pPr>
              <w:spacing w:line="360" w:lineRule="auto"/>
              <w:ind w:firstLine="435"/>
              <w:rPr>
                <w:rFonts w:ascii="宋体" w:hAnsi="宋体"/>
                <w:sz w:val="24"/>
              </w:rPr>
            </w:pP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被授权人身份证反面</w:t>
            </w:r>
          </w:p>
        </w:tc>
      </w:tr>
    </w:tbl>
    <w:p>
      <w:pPr>
        <w:spacing w:line="360" w:lineRule="auto"/>
        <w:ind w:firstLine="480" w:firstLineChars="200"/>
        <w:rPr>
          <w:rFonts w:ascii="宋体" w:hAnsi="宋体"/>
          <w:sz w:val="24"/>
        </w:rPr>
      </w:pPr>
      <w:r>
        <w:rPr>
          <w:rFonts w:hint="eastAsia" w:ascii="宋体" w:hAnsi="宋体"/>
          <w:sz w:val="24"/>
        </w:rPr>
        <w:t>法定代表人盖章：</w:t>
      </w:r>
    </w:p>
    <w:p>
      <w:pPr>
        <w:spacing w:line="360" w:lineRule="auto"/>
        <w:ind w:firstLine="435"/>
        <w:rPr>
          <w:rFonts w:ascii="宋体" w:hAnsi="宋体"/>
          <w:sz w:val="24"/>
          <w:u w:val="single"/>
        </w:rPr>
      </w:pPr>
      <w:r>
        <w:rPr>
          <w:rFonts w:hint="eastAsia" w:ascii="宋体" w:hAnsi="宋体"/>
          <w:sz w:val="24"/>
        </w:rPr>
        <w:t>被授权人签字或盖章：</w:t>
      </w:r>
    </w:p>
    <w:p>
      <w:pPr>
        <w:spacing w:line="360" w:lineRule="auto"/>
        <w:ind w:firstLine="435"/>
        <w:rPr>
          <w:rFonts w:ascii="宋体" w:hAnsi="宋体"/>
          <w:sz w:val="24"/>
          <w:u w:val="single"/>
        </w:rPr>
      </w:pPr>
      <w:r>
        <w:rPr>
          <w:rFonts w:hint="eastAsia" w:ascii="宋体" w:hAnsi="宋体"/>
          <w:sz w:val="24"/>
        </w:rPr>
        <w:t>公      章：</w:t>
      </w:r>
    </w:p>
    <w:p>
      <w:pPr>
        <w:spacing w:line="360" w:lineRule="auto"/>
        <w:ind w:firstLine="435"/>
        <w:jc w:val="center"/>
        <w:rPr>
          <w:rFonts w:ascii="宋体" w:hAnsi="宋体"/>
          <w:sz w:val="24"/>
          <w:u w:val="single"/>
        </w:rPr>
      </w:pPr>
      <w:r>
        <w:rPr>
          <w:rFonts w:hint="eastAsia" w:ascii="宋体" w:hAnsi="宋体"/>
          <w:sz w:val="24"/>
        </w:rPr>
        <w:t xml:space="preserve">                        授权日期：20 年 月 日 </w:t>
      </w: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overflowPunct w:val="0"/>
        <w:spacing w:after="314" w:afterLines="100" w:line="500" w:lineRule="exact"/>
        <w:jc w:val="center"/>
        <w:rPr>
          <w:rFonts w:ascii="宋体" w:hAnsi="宋体" w:cs="宋体"/>
          <w:b/>
          <w:bCs/>
          <w:sz w:val="28"/>
          <w:szCs w:val="28"/>
        </w:rPr>
      </w:pPr>
    </w:p>
    <w:p>
      <w:pPr>
        <w:pStyle w:val="4"/>
        <w:jc w:val="center"/>
        <w:rPr>
          <w:rFonts w:ascii="宋体" w:hAnsi="宋体" w:eastAsia="宋体" w:cs="宋体"/>
          <w:sz w:val="28"/>
          <w:szCs w:val="28"/>
        </w:rPr>
      </w:pPr>
      <w:bookmarkStart w:id="231" w:name="_Toc24220"/>
      <w:r>
        <w:rPr>
          <w:rFonts w:hint="eastAsia" w:ascii="宋体" w:hAnsi="宋体" w:eastAsia="宋体" w:cs="宋体"/>
          <w:sz w:val="28"/>
          <w:szCs w:val="28"/>
        </w:rPr>
        <w:t>投 标 函</w:t>
      </w:r>
      <w:bookmarkEnd w:id="231"/>
    </w:p>
    <w:p>
      <w:pPr>
        <w:spacing w:line="360" w:lineRule="auto"/>
        <w:rPr>
          <w:rFonts w:ascii="宋体" w:hAnsi="宋体" w:cs="宋体"/>
          <w:sz w:val="24"/>
        </w:rPr>
      </w:pPr>
      <w:r>
        <w:rPr>
          <w:rFonts w:hint="eastAsia" w:ascii="宋体" w:hAnsi="宋体" w:cs="宋体"/>
          <w:sz w:val="24"/>
        </w:rPr>
        <w:t>华春建设工程项目管理有限责任公司：</w:t>
      </w:r>
    </w:p>
    <w:p>
      <w:pPr>
        <w:spacing w:line="360" w:lineRule="auto"/>
        <w:ind w:firstLine="480" w:firstLineChars="200"/>
        <w:rPr>
          <w:rFonts w:ascii="宋体" w:hAnsi="宋体" w:cs="宋体"/>
          <w:sz w:val="24"/>
        </w:rPr>
      </w:pPr>
      <w:r>
        <w:rPr>
          <w:rFonts w:hint="eastAsia" w:ascii="宋体" w:hAnsi="宋体" w:cs="宋体"/>
          <w:sz w:val="24"/>
        </w:rPr>
        <w:t>我们收到你单位竞争性谈判文件，经认真研究，我们决定参加投标。</w:t>
      </w:r>
    </w:p>
    <w:p>
      <w:pPr>
        <w:spacing w:line="360" w:lineRule="auto"/>
        <w:ind w:firstLine="448" w:firstLineChars="187"/>
        <w:rPr>
          <w:rFonts w:ascii="宋体" w:hAnsi="宋体" w:cs="宋体"/>
          <w:sz w:val="24"/>
        </w:rPr>
      </w:pPr>
      <w:r>
        <w:rPr>
          <w:rFonts w:hint="eastAsia" w:ascii="宋体" w:hAnsi="宋体" w:cs="宋体"/>
          <w:sz w:val="24"/>
        </w:rPr>
        <w:t>⒈按照竞争性谈判文件中的一切要求，提供招标货物、规格、性能指标及服务投标总价（人民币大写）￥：</w:t>
      </w:r>
      <w:r>
        <w:rPr>
          <w:rFonts w:hint="eastAsia" w:ascii="宋体" w:hAnsi="宋体" w:cs="宋体"/>
          <w:sz w:val="24"/>
          <w:u w:val="single"/>
        </w:rPr>
        <w:t xml:space="preserve">        </w:t>
      </w:r>
      <w:r>
        <w:rPr>
          <w:rFonts w:hint="eastAsia" w:ascii="宋体" w:hAnsi="宋体" w:cs="宋体"/>
          <w:sz w:val="24"/>
        </w:rPr>
        <w:t>元人民币。</w:t>
      </w:r>
    </w:p>
    <w:p>
      <w:pPr>
        <w:spacing w:line="360" w:lineRule="auto"/>
        <w:ind w:firstLine="448" w:firstLineChars="187"/>
        <w:rPr>
          <w:rFonts w:ascii="宋体" w:hAnsi="宋体" w:cs="宋体"/>
          <w:sz w:val="24"/>
        </w:rPr>
      </w:pPr>
      <w:r>
        <w:rPr>
          <w:rFonts w:hint="eastAsia" w:ascii="宋体" w:hAnsi="宋体" w:cs="宋体"/>
          <w:sz w:val="24"/>
        </w:rPr>
        <w:t>⒉如果我们投标书被接受，我们将履行竞争性谈判文件中规定的每一项要求，按期、按质、按量完成交货和完工任务。</w:t>
      </w:r>
    </w:p>
    <w:p>
      <w:pPr>
        <w:spacing w:line="360" w:lineRule="auto"/>
        <w:ind w:firstLine="448" w:firstLineChars="187"/>
        <w:rPr>
          <w:rFonts w:ascii="宋体" w:hAnsi="宋体" w:cs="宋体"/>
          <w:sz w:val="24"/>
        </w:rPr>
      </w:pPr>
      <w:r>
        <w:rPr>
          <w:rFonts w:hint="eastAsia" w:ascii="宋体" w:hAnsi="宋体" w:cs="宋体"/>
          <w:sz w:val="24"/>
        </w:rPr>
        <w:t>⒊我们同意按竞争性谈判文件的规定，本投标书的有效期为开标后</w:t>
      </w:r>
      <w:r>
        <w:rPr>
          <w:rFonts w:hint="eastAsia" w:ascii="宋体" w:hAnsi="宋体" w:cs="宋体"/>
          <w:b/>
          <w:sz w:val="24"/>
          <w:u w:val="single"/>
        </w:rPr>
        <w:t>90</w:t>
      </w:r>
      <w:r>
        <w:rPr>
          <w:rFonts w:hint="eastAsia" w:ascii="宋体" w:hAnsi="宋体" w:cs="宋体"/>
          <w:sz w:val="24"/>
        </w:rPr>
        <w:t>天。</w:t>
      </w:r>
    </w:p>
    <w:p>
      <w:pPr>
        <w:spacing w:line="360" w:lineRule="auto"/>
        <w:ind w:firstLine="448" w:firstLineChars="187"/>
        <w:rPr>
          <w:rFonts w:ascii="宋体" w:hAnsi="宋体" w:cs="宋体"/>
          <w:sz w:val="24"/>
        </w:rPr>
      </w:pPr>
      <w:r>
        <w:rPr>
          <w:rFonts w:hint="eastAsia" w:ascii="宋体" w:hAnsi="宋体" w:cs="宋体"/>
          <w:sz w:val="24"/>
        </w:rPr>
        <w:t>⒋我们愿意提供采购人在竞争性谈判文件中要求的所有资料。</w:t>
      </w:r>
    </w:p>
    <w:p>
      <w:pPr>
        <w:spacing w:line="360" w:lineRule="auto"/>
        <w:ind w:firstLine="448" w:firstLineChars="187"/>
        <w:rPr>
          <w:rFonts w:ascii="宋体" w:hAnsi="宋体" w:cs="宋体"/>
          <w:sz w:val="24"/>
        </w:rPr>
      </w:pPr>
      <w:r>
        <w:rPr>
          <w:rFonts w:hint="eastAsia" w:ascii="宋体" w:hAnsi="宋体" w:cs="宋体"/>
          <w:sz w:val="24"/>
        </w:rPr>
        <w:t>⒌我们认为你们有选择或拒绝任何投标者中标的权力。我们理解，最低报价不是中标的唯一条件。</w:t>
      </w:r>
    </w:p>
    <w:p>
      <w:pPr>
        <w:spacing w:line="360" w:lineRule="auto"/>
        <w:ind w:firstLine="448" w:firstLineChars="187"/>
        <w:rPr>
          <w:rFonts w:ascii="宋体" w:hAnsi="宋体" w:cs="宋体"/>
          <w:sz w:val="24"/>
        </w:rPr>
      </w:pPr>
      <w:r>
        <w:rPr>
          <w:rFonts w:hint="eastAsia" w:ascii="宋体" w:hAnsi="宋体" w:cs="宋体"/>
          <w:sz w:val="24"/>
        </w:rPr>
        <w:t>⒍我们愿按合同法履行自己的全部责任。</w:t>
      </w:r>
    </w:p>
    <w:p>
      <w:pPr>
        <w:spacing w:line="360" w:lineRule="auto"/>
        <w:ind w:firstLine="448" w:firstLineChars="187"/>
        <w:rPr>
          <w:rFonts w:ascii="宋体" w:hAnsi="宋体" w:cs="宋体"/>
          <w:sz w:val="24"/>
        </w:rPr>
      </w:pPr>
      <w:r>
        <w:rPr>
          <w:rFonts w:hint="eastAsia" w:ascii="宋体" w:hAnsi="宋体" w:cs="宋体"/>
          <w:sz w:val="24"/>
        </w:rPr>
        <w:t>⒎我方愿意遵守国家有关规定及竞争性谈判文件中规定的收费标准，承付中标服务费。</w:t>
      </w:r>
    </w:p>
    <w:p>
      <w:pPr>
        <w:spacing w:line="360" w:lineRule="auto"/>
        <w:ind w:firstLine="448" w:firstLineChars="187"/>
        <w:rPr>
          <w:rFonts w:ascii="宋体" w:hAnsi="宋体" w:cs="宋体"/>
          <w:sz w:val="24"/>
        </w:rPr>
      </w:pPr>
      <w:r>
        <w:rPr>
          <w:rFonts w:hint="eastAsia" w:ascii="宋体" w:hAnsi="宋体" w:cs="宋体"/>
          <w:sz w:val="24"/>
        </w:rPr>
        <w:t>⒏该项投标在开标后的全过程中保持有效，不作任何更改和变动。</w:t>
      </w:r>
    </w:p>
    <w:p>
      <w:pPr>
        <w:spacing w:line="360" w:lineRule="auto"/>
        <w:ind w:firstLine="448" w:firstLineChars="187"/>
        <w:rPr>
          <w:rFonts w:ascii="宋体" w:hAnsi="宋体" w:cs="宋体"/>
          <w:sz w:val="24"/>
        </w:rPr>
      </w:pPr>
      <w:r>
        <w:rPr>
          <w:rFonts w:hint="eastAsia" w:ascii="宋体" w:hAnsi="宋体" w:cs="宋体"/>
          <w:sz w:val="24"/>
        </w:rPr>
        <w:t>⒐我们同意按竞争性谈判文件规定，交纳</w:t>
      </w:r>
      <w:r>
        <w:rPr>
          <w:rFonts w:hint="eastAsia" w:ascii="宋体" w:hAnsi="宋体" w:cs="宋体"/>
          <w:sz w:val="24"/>
          <w:u w:val="single"/>
        </w:rPr>
        <w:t xml:space="preserve">        </w:t>
      </w:r>
      <w:r>
        <w:rPr>
          <w:rFonts w:hint="eastAsia" w:ascii="宋体" w:hAnsi="宋体" w:cs="宋体"/>
          <w:sz w:val="24"/>
        </w:rPr>
        <w:t>元的投标保证金。</w:t>
      </w:r>
    </w:p>
    <w:p>
      <w:pPr>
        <w:spacing w:line="360" w:lineRule="auto"/>
        <w:ind w:firstLine="448" w:firstLineChars="187"/>
        <w:rPr>
          <w:rFonts w:ascii="宋体" w:hAnsi="宋体" w:cs="宋体"/>
          <w:sz w:val="24"/>
        </w:rPr>
      </w:pPr>
      <w:r>
        <w:rPr>
          <w:rFonts w:hint="eastAsia" w:ascii="宋体" w:hAnsi="宋体" w:cs="宋体"/>
          <w:sz w:val="24"/>
        </w:rPr>
        <w:t>⒑综合说明：</w:t>
      </w:r>
    </w:p>
    <w:p>
      <w:pPr>
        <w:spacing w:line="360" w:lineRule="auto"/>
        <w:ind w:firstLine="448" w:firstLineChars="187"/>
        <w:rPr>
          <w:rFonts w:ascii="宋体" w:hAnsi="宋体" w:cs="宋体"/>
          <w:sz w:val="24"/>
        </w:rPr>
      </w:pPr>
      <w:r>
        <w:rPr>
          <w:rFonts w:hint="eastAsia" w:ascii="宋体" w:hAnsi="宋体" w:cs="宋体"/>
          <w:sz w:val="24"/>
        </w:rPr>
        <w:t>（1）货物的详细技术参数、规格、性能指标、配置方案和采购要求。</w:t>
      </w:r>
    </w:p>
    <w:p>
      <w:pPr>
        <w:spacing w:line="360" w:lineRule="auto"/>
        <w:ind w:firstLine="448" w:firstLineChars="187"/>
        <w:rPr>
          <w:rFonts w:ascii="宋体" w:hAnsi="宋体" w:cs="宋体"/>
          <w:sz w:val="24"/>
        </w:rPr>
      </w:pPr>
      <w:r>
        <w:rPr>
          <w:rFonts w:hint="eastAsia" w:ascii="宋体" w:hAnsi="宋体" w:cs="宋体"/>
          <w:sz w:val="24"/>
        </w:rPr>
        <w:t>（2）技术服务。</w:t>
      </w:r>
    </w:p>
    <w:p>
      <w:pPr>
        <w:spacing w:line="360" w:lineRule="auto"/>
        <w:ind w:firstLine="448" w:firstLineChars="187"/>
        <w:rPr>
          <w:rFonts w:ascii="宋体" w:hAnsi="宋体" w:cs="宋体"/>
          <w:sz w:val="24"/>
        </w:rPr>
      </w:pPr>
      <w:r>
        <w:rPr>
          <w:rFonts w:hint="eastAsia" w:ascii="宋体" w:hAnsi="宋体" w:cs="宋体"/>
          <w:sz w:val="24"/>
        </w:rPr>
        <w:t>（3）运输方式。</w:t>
      </w:r>
    </w:p>
    <w:p>
      <w:pPr>
        <w:spacing w:line="360" w:lineRule="auto"/>
        <w:ind w:firstLine="448" w:firstLineChars="187"/>
        <w:rPr>
          <w:rFonts w:ascii="宋体" w:hAnsi="宋体" w:cs="宋体"/>
          <w:sz w:val="24"/>
        </w:rPr>
      </w:pPr>
      <w:r>
        <w:rPr>
          <w:rFonts w:hint="eastAsia" w:ascii="宋体" w:hAnsi="宋体" w:cs="宋体"/>
          <w:sz w:val="24"/>
        </w:rPr>
        <w:t>（4）要求采购人提供的配合。</w:t>
      </w:r>
    </w:p>
    <w:p>
      <w:pPr>
        <w:spacing w:line="360" w:lineRule="auto"/>
        <w:ind w:firstLine="448" w:firstLineChars="187"/>
        <w:rPr>
          <w:rFonts w:ascii="宋体" w:hAnsi="宋体" w:cs="宋体"/>
          <w:sz w:val="24"/>
        </w:rPr>
      </w:pPr>
      <w:r>
        <w:rPr>
          <w:rFonts w:hint="eastAsia" w:ascii="宋体" w:hAnsi="宋体" w:cs="宋体"/>
          <w:sz w:val="24"/>
        </w:rPr>
        <w:t>（5）对竞争性谈判文件内容有不同意见的偏离说明。</w:t>
      </w:r>
    </w:p>
    <w:p>
      <w:pPr>
        <w:spacing w:line="360" w:lineRule="auto"/>
        <w:ind w:firstLine="448" w:firstLineChars="187"/>
        <w:rPr>
          <w:rFonts w:ascii="宋体" w:hAnsi="宋体" w:cs="宋体"/>
          <w:sz w:val="24"/>
        </w:rPr>
      </w:pPr>
      <w:r>
        <w:rPr>
          <w:rFonts w:hint="eastAsia" w:ascii="宋体" w:hAnsi="宋体" w:cs="宋体"/>
          <w:sz w:val="24"/>
        </w:rPr>
        <w:t>（6）其它。</w:t>
      </w:r>
    </w:p>
    <w:p>
      <w:pPr>
        <w:spacing w:line="360" w:lineRule="auto"/>
        <w:ind w:firstLine="448" w:firstLineChars="187"/>
        <w:rPr>
          <w:rFonts w:ascii="宋体" w:hAnsi="宋体" w:cs="宋体"/>
          <w:sz w:val="24"/>
        </w:rPr>
      </w:pPr>
      <w:r>
        <w:rPr>
          <w:rFonts w:hint="eastAsia" w:ascii="宋体" w:hAnsi="宋体" w:cs="宋体"/>
          <w:sz w:val="24"/>
        </w:rPr>
        <w:t>11.所有有关本标书的函电，请按下列地址联系：</w:t>
      </w:r>
    </w:p>
    <w:p>
      <w:pPr>
        <w:spacing w:line="360" w:lineRule="auto"/>
        <w:ind w:firstLine="448" w:firstLineChars="187"/>
        <w:rPr>
          <w:rFonts w:ascii="宋体" w:hAnsi="宋体" w:cs="宋体"/>
          <w:sz w:val="24"/>
        </w:rPr>
      </w:pPr>
      <w:r>
        <w:rPr>
          <w:rFonts w:hint="eastAsia" w:ascii="宋体" w:hAnsi="宋体" w:cs="宋体"/>
          <w:sz w:val="24"/>
        </w:rPr>
        <w:t>单位：                                   地址：</w:t>
      </w:r>
    </w:p>
    <w:p>
      <w:pPr>
        <w:spacing w:line="360" w:lineRule="auto"/>
        <w:ind w:firstLine="448" w:firstLineChars="187"/>
        <w:rPr>
          <w:rFonts w:ascii="宋体" w:hAnsi="宋体" w:cs="宋体"/>
          <w:sz w:val="24"/>
        </w:rPr>
      </w:pPr>
      <w:r>
        <w:rPr>
          <w:rFonts w:hint="eastAsia" w:ascii="宋体" w:hAnsi="宋体" w:cs="宋体"/>
          <w:sz w:val="24"/>
        </w:rPr>
        <w:t>联系人、电话：                           邮 政 编 码：</w:t>
      </w:r>
    </w:p>
    <w:p>
      <w:pPr>
        <w:spacing w:line="360" w:lineRule="auto"/>
        <w:rPr>
          <w:rFonts w:ascii="宋体" w:hAnsi="宋体" w:cs="宋体"/>
          <w:sz w:val="24"/>
        </w:rPr>
      </w:pPr>
      <w:r>
        <w:rPr>
          <w:rFonts w:hint="eastAsia" w:ascii="宋体" w:hAnsi="宋体" w:cs="宋体"/>
          <w:sz w:val="24"/>
        </w:rPr>
        <w:t>投标单位（公章）：                   法定代表人或授权代表（签字或盖章）：</w:t>
      </w:r>
    </w:p>
    <w:p>
      <w:pPr>
        <w:spacing w:line="360" w:lineRule="auto"/>
        <w:rPr>
          <w:rFonts w:ascii="宋体" w:hAnsi="宋体" w:cs="宋体"/>
          <w:sz w:val="24"/>
        </w:rPr>
      </w:pPr>
      <w:r>
        <w:rPr>
          <w:rFonts w:hint="eastAsia" w:ascii="宋体" w:hAnsi="宋体" w:cs="宋体"/>
          <w:sz w:val="24"/>
        </w:rPr>
        <w:t xml:space="preserve">                                           年   月   日</w:t>
      </w:r>
    </w:p>
    <w:p>
      <w:pPr>
        <w:pStyle w:val="8"/>
        <w:spacing w:line="480" w:lineRule="exact"/>
        <w:jc w:val="center"/>
        <w:rPr>
          <w:rFonts w:ascii="宋体" w:hAnsi="宋体" w:eastAsia="宋体" w:cs="宋体"/>
          <w:b/>
          <w:bCs/>
          <w:sz w:val="28"/>
          <w:szCs w:val="28"/>
        </w:rPr>
      </w:pPr>
      <w:r>
        <w:rPr>
          <w:rFonts w:hint="eastAsia" w:ascii="宋体" w:hAnsi="宋体" w:eastAsia="宋体" w:cs="宋体"/>
          <w:b/>
          <w:bCs/>
          <w:sz w:val="28"/>
          <w:szCs w:val="28"/>
        </w:rPr>
        <w:t>谈判保证金缴纳凭证</w:t>
      </w:r>
    </w:p>
    <w:p>
      <w:pPr>
        <w:pStyle w:val="8"/>
        <w:spacing w:line="480" w:lineRule="exact"/>
        <w:rPr>
          <w:rFonts w:ascii="宋体" w:hAnsi="宋体" w:eastAsia="宋体" w:cs="宋体"/>
          <w:bCs/>
          <w:sz w:val="24"/>
        </w:rPr>
      </w:pPr>
    </w:p>
    <w:p>
      <w:pPr>
        <w:pStyle w:val="8"/>
        <w:spacing w:line="480" w:lineRule="exact"/>
        <w:rPr>
          <w:rFonts w:ascii="宋体" w:hAnsi="宋体" w:eastAsia="宋体" w:cs="宋体"/>
          <w:bCs/>
          <w:sz w:val="24"/>
        </w:rPr>
      </w:pPr>
      <w:r>
        <w:rPr>
          <w:rFonts w:hint="eastAsia" w:ascii="宋体" w:hAnsi="宋体" w:eastAsia="宋体" w:cs="宋体"/>
          <w:bCs/>
          <w:sz w:val="24"/>
        </w:rPr>
        <w:t>致：（采购人）</w:t>
      </w:r>
    </w:p>
    <w:p>
      <w:pPr>
        <w:pStyle w:val="8"/>
        <w:spacing w:line="480" w:lineRule="exact"/>
        <w:ind w:firstLine="480" w:firstLineChars="200"/>
        <w:rPr>
          <w:rFonts w:ascii="宋体" w:hAnsi="宋体" w:eastAsia="宋体" w:cs="宋体"/>
          <w:bCs/>
          <w:sz w:val="24"/>
        </w:rPr>
      </w:pPr>
      <w:r>
        <w:rPr>
          <w:rFonts w:hint="eastAsia" w:ascii="宋体" w:hAnsi="宋体" w:eastAsia="宋体" w:cs="宋体"/>
          <w:bCs/>
          <w:sz w:val="24"/>
        </w:rPr>
        <w:t>我方于</w:t>
      </w:r>
      <w:r>
        <w:rPr>
          <w:rFonts w:hint="eastAsia" w:ascii="宋体" w:hAnsi="宋体" w:eastAsia="宋体" w:cs="宋体"/>
          <w:bCs/>
          <w:sz w:val="24"/>
        </w:rPr>
        <w:tab/>
      </w:r>
      <w:r>
        <w:rPr>
          <w:rFonts w:hint="eastAsia" w:ascii="宋体" w:hAnsi="宋体" w:eastAsia="宋体" w:cs="宋体"/>
          <w:bCs/>
          <w:sz w:val="24"/>
        </w:rPr>
        <w:t>年</w:t>
      </w:r>
      <w:r>
        <w:rPr>
          <w:rFonts w:hint="eastAsia" w:ascii="宋体" w:hAnsi="宋体" w:eastAsia="宋体" w:cs="宋体"/>
          <w:bCs/>
          <w:sz w:val="24"/>
          <w:u w:val="single"/>
        </w:rPr>
        <w:tab/>
      </w:r>
      <w:r>
        <w:rPr>
          <w:rFonts w:hint="eastAsia" w:ascii="宋体" w:hAnsi="宋体" w:eastAsia="宋体" w:cs="宋体"/>
          <w:bCs/>
          <w:sz w:val="24"/>
        </w:rPr>
        <w:t>月</w:t>
      </w:r>
      <w:r>
        <w:rPr>
          <w:rFonts w:hint="eastAsia" w:ascii="宋体" w:hAnsi="宋体" w:eastAsia="宋体" w:cs="宋体"/>
          <w:bCs/>
          <w:sz w:val="24"/>
          <w:u w:val="single"/>
        </w:rPr>
        <w:tab/>
      </w:r>
      <w:r>
        <w:rPr>
          <w:rFonts w:hint="eastAsia" w:ascii="宋体" w:hAnsi="宋体" w:eastAsia="宋体" w:cs="宋体"/>
          <w:bCs/>
          <w:sz w:val="24"/>
        </w:rPr>
        <w:t xml:space="preserve"> 日参加</w:t>
      </w:r>
      <w:r>
        <w:rPr>
          <w:rFonts w:hint="eastAsia" w:ascii="宋体" w:hAnsi="宋体" w:eastAsia="宋体" w:cs="宋体"/>
          <w:bCs/>
          <w:sz w:val="24"/>
          <w:u w:val="single"/>
        </w:rPr>
        <w:tab/>
      </w:r>
      <w:r>
        <w:rPr>
          <w:rFonts w:hint="eastAsia" w:ascii="宋体" w:hAnsi="宋体" w:eastAsia="宋体" w:cs="宋体"/>
          <w:bCs/>
          <w:sz w:val="24"/>
          <w:u w:val="single"/>
        </w:rPr>
        <w:t xml:space="preserve">（项目名称）   </w:t>
      </w:r>
      <w:r>
        <w:rPr>
          <w:rFonts w:hint="eastAsia" w:ascii="宋体" w:hAnsi="宋体" w:eastAsia="宋体" w:cs="宋体"/>
          <w:bCs/>
          <w:sz w:val="24"/>
        </w:rPr>
        <w:t>的投标，现保证：我方在规定的投标有效期内撤销或修改谈判响应文件的，或者在收到成交通知书后无正当理由拒签合同或拒交规定履约担保的，谈判保证金不予退还。</w:t>
      </w:r>
    </w:p>
    <w:p>
      <w:pPr>
        <w:pStyle w:val="8"/>
        <w:spacing w:line="480" w:lineRule="exact"/>
        <w:ind w:firstLine="480" w:firstLineChars="200"/>
        <w:rPr>
          <w:rFonts w:ascii="宋体" w:hAnsi="宋体" w:eastAsia="宋体" w:cs="宋体"/>
          <w:bCs/>
          <w:sz w:val="24"/>
        </w:rPr>
      </w:pPr>
    </w:p>
    <w:p>
      <w:pPr>
        <w:pStyle w:val="8"/>
        <w:spacing w:line="480" w:lineRule="exact"/>
        <w:ind w:firstLine="480" w:firstLineChars="200"/>
        <w:rPr>
          <w:rFonts w:ascii="宋体" w:hAnsi="宋体" w:eastAsia="宋体" w:cs="宋体"/>
          <w:bCs/>
          <w:sz w:val="24"/>
        </w:rPr>
      </w:pPr>
    </w:p>
    <w:p>
      <w:pPr>
        <w:pStyle w:val="8"/>
        <w:spacing w:line="480" w:lineRule="exact"/>
        <w:rPr>
          <w:rFonts w:ascii="宋体" w:hAnsi="宋体" w:eastAsia="宋体" w:cs="宋体"/>
          <w:bCs/>
          <w:sz w:val="24"/>
        </w:rPr>
      </w:pPr>
    </w:p>
    <w:p>
      <w:pPr>
        <w:pStyle w:val="8"/>
        <w:spacing w:line="480" w:lineRule="exact"/>
        <w:rPr>
          <w:rFonts w:ascii="宋体" w:hAnsi="宋体" w:eastAsia="宋体" w:cs="宋体"/>
          <w:bCs/>
          <w:sz w:val="24"/>
        </w:rPr>
      </w:pPr>
    </w:p>
    <w:p>
      <w:pPr>
        <w:pStyle w:val="8"/>
        <w:spacing w:line="480" w:lineRule="exact"/>
        <w:rPr>
          <w:rFonts w:ascii="宋体" w:hAnsi="宋体" w:eastAsia="宋体" w:cs="宋体"/>
          <w:bCs/>
          <w:sz w:val="24"/>
        </w:rPr>
      </w:pPr>
    </w:p>
    <w:p>
      <w:pPr>
        <w:pStyle w:val="8"/>
        <w:spacing w:line="480" w:lineRule="exact"/>
        <w:jc w:val="center"/>
        <w:rPr>
          <w:rFonts w:ascii="宋体" w:hAnsi="宋体" w:eastAsia="宋体" w:cs="宋体"/>
          <w:bCs/>
          <w:sz w:val="24"/>
        </w:rPr>
      </w:pPr>
      <w:r>
        <w:rPr>
          <w:rFonts w:hint="eastAsia" w:ascii="宋体" w:hAnsi="宋体" w:eastAsia="宋体" w:cs="宋体"/>
          <w:bCs/>
          <w:sz w:val="24"/>
        </w:rPr>
        <w:t>保证金打款凭证（复印件应附在投标文件中）</w:t>
      </w:r>
    </w:p>
    <w:p>
      <w:pPr>
        <w:pStyle w:val="8"/>
        <w:spacing w:line="480" w:lineRule="exact"/>
        <w:rPr>
          <w:rFonts w:ascii="宋体" w:hAnsi="宋体" w:eastAsia="宋体" w:cs="宋体"/>
          <w:bCs/>
          <w:sz w:val="24"/>
        </w:rPr>
      </w:pPr>
    </w:p>
    <w:p>
      <w:pPr>
        <w:pStyle w:val="8"/>
        <w:spacing w:line="480" w:lineRule="exact"/>
        <w:rPr>
          <w:rFonts w:ascii="宋体" w:hAnsi="宋体" w:eastAsia="宋体" w:cs="宋体"/>
          <w:bCs/>
          <w:sz w:val="24"/>
        </w:rPr>
      </w:pPr>
    </w:p>
    <w:p>
      <w:pPr>
        <w:pStyle w:val="8"/>
        <w:spacing w:line="480" w:lineRule="exact"/>
        <w:rPr>
          <w:rFonts w:ascii="宋体" w:hAnsi="宋体" w:eastAsia="宋体" w:cs="宋体"/>
          <w:bCs/>
          <w:sz w:val="24"/>
        </w:rPr>
      </w:pPr>
    </w:p>
    <w:p>
      <w:pPr>
        <w:pStyle w:val="8"/>
        <w:spacing w:line="480" w:lineRule="exact"/>
        <w:rPr>
          <w:rFonts w:ascii="宋体" w:hAnsi="宋体" w:eastAsia="宋体" w:cs="宋体"/>
          <w:bCs/>
          <w:sz w:val="24"/>
        </w:rPr>
      </w:pPr>
      <w:r>
        <w:rPr>
          <w:rFonts w:ascii="宋体" w:hAnsi="宋体" w:eastAsia="宋体" w:cs="宋体"/>
          <w:bCs/>
          <w:sz w:val="24"/>
        </w:rPr>
        <mc:AlternateContent>
          <mc:Choice Requires="wpg">
            <w:drawing>
              <wp:inline distT="0" distB="0" distL="114300" distR="114300">
                <wp:extent cx="5753100" cy="2279650"/>
                <wp:effectExtent l="0" t="0" r="0" b="0"/>
                <wp:docPr id="85" name="组合 85"/>
                <wp:cNvGraphicFramePr/>
                <a:graphic xmlns:a="http://schemas.openxmlformats.org/drawingml/2006/main">
                  <a:graphicData uri="http://schemas.microsoft.com/office/word/2010/wordprocessingGroup">
                    <wpg:wgp>
                      <wpg:cNvGrpSpPr>
                        <a:grpSpLocks noRot="1"/>
                      </wpg:cNvGrpSpPr>
                      <wpg:grpSpPr>
                        <a:xfrm>
                          <a:off x="0" y="0"/>
                          <a:ext cx="5753100" cy="2279650"/>
                          <a:chOff x="0" y="0"/>
                          <a:chExt cx="7425" cy="5060203"/>
                        </a:xfrm>
                      </wpg:grpSpPr>
                      <wpg:grpSp>
                        <wpg:cNvPr id="84" name="组合 84"/>
                        <wpg:cNvGrpSpPr/>
                        <wpg:grpSpPr>
                          <a:xfrm>
                            <a:off x="0" y="0"/>
                            <a:ext cx="7425" cy="5060"/>
                            <a:chOff x="0" y="0"/>
                            <a:chExt cx="7425" cy="5060203"/>
                          </a:xfrm>
                        </wpg:grpSpPr>
                        <wps:wsp>
                          <wps:cNvPr id="5" name="任意多边形 5"/>
                          <wps:cNvSpPr/>
                          <wps:spPr>
                            <a:xfrm>
                              <a:off x="0" y="0"/>
                              <a:ext cx="7425" cy="5060"/>
                            </a:xfrm>
                            <a:custGeom>
                              <a:avLst/>
                              <a:gdLst>
                                <a:gd name="A1" fmla="val 0"/>
                                <a:gd name="A2" fmla="val 0"/>
                              </a:gdLst>
                              <a:ahLst/>
                              <a:cxnLst/>
                              <a:rect l="0" t="0" r="0" b="0"/>
                              <a:pathLst>
                                <a:path w="7425" h="5060">
                                  <a:moveTo>
                                    <a:pt x="483" y="19"/>
                                  </a:moveTo>
                                  <a:lnTo>
                                    <a:pt x="412" y="19"/>
                                  </a:lnTo>
                                  <a:lnTo>
                                    <a:pt x="426" y="0"/>
                                  </a:lnTo>
                                  <a:lnTo>
                                    <a:pt x="497" y="0"/>
                                  </a:lnTo>
                                  <a:lnTo>
                                    <a:pt x="483" y="19"/>
                                  </a:lnTo>
                                  <a:close/>
                                </a:path>
                              </a:pathLst>
                            </a:custGeom>
                            <a:solidFill>
                              <a:srgbClr val="000000"/>
                            </a:solidFill>
                            <a:ln>
                              <a:noFill/>
                            </a:ln>
                          </wps:spPr>
                          <wps:bodyPr upright="1"/>
                        </wps:wsp>
                        <wps:wsp>
                          <wps:cNvPr id="6" name="任意多边形 6"/>
                          <wps:cNvSpPr/>
                          <wps:spPr>
                            <a:xfrm>
                              <a:off x="0" y="0"/>
                              <a:ext cx="7425" cy="5060"/>
                            </a:xfrm>
                            <a:custGeom>
                              <a:avLst/>
                              <a:gdLst>
                                <a:gd name="A1" fmla="val 0"/>
                                <a:gd name="A2" fmla="val 0"/>
                              </a:gdLst>
                              <a:ahLst/>
                              <a:cxnLst/>
                              <a:rect l="0" t="0" r="0" b="0"/>
                              <a:pathLst>
                                <a:path w="7425" h="5060">
                                  <a:moveTo>
                                    <a:pt x="7011" y="19"/>
                                  </a:moveTo>
                                  <a:lnTo>
                                    <a:pt x="6940" y="19"/>
                                  </a:lnTo>
                                  <a:lnTo>
                                    <a:pt x="6926" y="0"/>
                                  </a:lnTo>
                                  <a:lnTo>
                                    <a:pt x="6998" y="0"/>
                                  </a:lnTo>
                                  <a:lnTo>
                                    <a:pt x="7011" y="19"/>
                                  </a:lnTo>
                                  <a:close/>
                                </a:path>
                              </a:pathLst>
                            </a:custGeom>
                            <a:solidFill>
                              <a:srgbClr val="000000"/>
                            </a:solidFill>
                            <a:ln>
                              <a:noFill/>
                            </a:ln>
                          </wps:spPr>
                          <wps:bodyPr upright="1"/>
                        </wps:wsp>
                        <wps:wsp>
                          <wps:cNvPr id="7" name="任意多边形 7"/>
                          <wps:cNvSpPr/>
                          <wps:spPr>
                            <a:xfrm>
                              <a:off x="0" y="0"/>
                              <a:ext cx="7425" cy="5060"/>
                            </a:xfrm>
                            <a:custGeom>
                              <a:avLst/>
                              <a:gdLst>
                                <a:gd name="A1" fmla="val 0"/>
                                <a:gd name="A2" fmla="val 0"/>
                              </a:gdLst>
                              <a:ahLst/>
                              <a:cxnLst/>
                              <a:rect l="0" t="0" r="0" b="0"/>
                              <a:pathLst>
                                <a:path w="7425" h="5060">
                                  <a:moveTo>
                                    <a:pt x="390" y="39"/>
                                  </a:moveTo>
                                  <a:lnTo>
                                    <a:pt x="346" y="39"/>
                                  </a:lnTo>
                                  <a:lnTo>
                                    <a:pt x="359" y="19"/>
                                  </a:lnTo>
                                  <a:lnTo>
                                    <a:pt x="403" y="19"/>
                                  </a:lnTo>
                                  <a:lnTo>
                                    <a:pt x="390" y="39"/>
                                  </a:lnTo>
                                  <a:close/>
                                </a:path>
                              </a:pathLst>
                            </a:custGeom>
                            <a:solidFill>
                              <a:srgbClr val="000000"/>
                            </a:solidFill>
                            <a:ln>
                              <a:noFill/>
                            </a:ln>
                          </wps:spPr>
                          <wps:bodyPr upright="1"/>
                        </wps:wsp>
                        <wps:wsp>
                          <wps:cNvPr id="8" name="任意多边形 8"/>
                          <wps:cNvSpPr/>
                          <wps:spPr>
                            <a:xfrm>
                              <a:off x="0" y="0"/>
                              <a:ext cx="7425" cy="5060"/>
                            </a:xfrm>
                            <a:custGeom>
                              <a:avLst/>
                              <a:gdLst>
                                <a:gd name="A1" fmla="val 0"/>
                                <a:gd name="A2" fmla="val 0"/>
                              </a:gdLst>
                              <a:ahLst/>
                              <a:cxnLst/>
                              <a:rect l="0" t="0" r="0" b="0"/>
                              <a:pathLst>
                                <a:path w="7425" h="5060">
                                  <a:moveTo>
                                    <a:pt x="7077" y="39"/>
                                  </a:moveTo>
                                  <a:lnTo>
                                    <a:pt x="7033" y="39"/>
                                  </a:lnTo>
                                  <a:lnTo>
                                    <a:pt x="7020" y="19"/>
                                  </a:lnTo>
                                  <a:lnTo>
                                    <a:pt x="7064" y="19"/>
                                  </a:lnTo>
                                  <a:lnTo>
                                    <a:pt x="7077" y="39"/>
                                  </a:lnTo>
                                  <a:close/>
                                </a:path>
                              </a:pathLst>
                            </a:custGeom>
                            <a:solidFill>
                              <a:srgbClr val="000000"/>
                            </a:solidFill>
                            <a:ln>
                              <a:noFill/>
                            </a:ln>
                          </wps:spPr>
                          <wps:bodyPr upright="1"/>
                        </wps:wsp>
                        <wps:wsp>
                          <wps:cNvPr id="9" name="任意多边形 9"/>
                          <wps:cNvSpPr/>
                          <wps:spPr>
                            <a:xfrm>
                              <a:off x="0" y="0"/>
                              <a:ext cx="7425" cy="5060"/>
                            </a:xfrm>
                            <a:custGeom>
                              <a:avLst/>
                              <a:gdLst>
                                <a:gd name="A1" fmla="val 0"/>
                                <a:gd name="A2" fmla="val 0"/>
                              </a:gdLst>
                              <a:ahLst/>
                              <a:cxnLst/>
                              <a:rect l="0" t="0" r="0" b="0"/>
                              <a:pathLst>
                                <a:path w="7425" h="5060">
                                  <a:moveTo>
                                    <a:pt x="340" y="59"/>
                                  </a:moveTo>
                                  <a:lnTo>
                                    <a:pt x="309" y="59"/>
                                  </a:lnTo>
                                  <a:lnTo>
                                    <a:pt x="321" y="39"/>
                                  </a:lnTo>
                                  <a:lnTo>
                                    <a:pt x="352" y="39"/>
                                  </a:lnTo>
                                  <a:lnTo>
                                    <a:pt x="340" y="59"/>
                                  </a:lnTo>
                                  <a:close/>
                                </a:path>
                              </a:pathLst>
                            </a:custGeom>
                            <a:solidFill>
                              <a:srgbClr val="000000"/>
                            </a:solidFill>
                            <a:ln>
                              <a:noFill/>
                            </a:ln>
                          </wps:spPr>
                          <wps:bodyPr upright="1"/>
                        </wps:wsp>
                        <wps:wsp>
                          <wps:cNvPr id="10" name="任意多边形 10"/>
                          <wps:cNvSpPr/>
                          <wps:spPr>
                            <a:xfrm>
                              <a:off x="0" y="0"/>
                              <a:ext cx="7425" cy="5060"/>
                            </a:xfrm>
                            <a:custGeom>
                              <a:avLst/>
                              <a:gdLst>
                                <a:gd name="A1" fmla="val 0"/>
                                <a:gd name="A2" fmla="val 0"/>
                              </a:gdLst>
                              <a:ahLst/>
                              <a:cxnLst/>
                              <a:rect l="0" t="0" r="0" b="0"/>
                              <a:pathLst>
                                <a:path w="7425" h="5060">
                                  <a:moveTo>
                                    <a:pt x="7115" y="59"/>
                                  </a:moveTo>
                                  <a:lnTo>
                                    <a:pt x="7084" y="59"/>
                                  </a:lnTo>
                                  <a:lnTo>
                                    <a:pt x="7071" y="39"/>
                                  </a:lnTo>
                                  <a:lnTo>
                                    <a:pt x="7102" y="39"/>
                                  </a:lnTo>
                                  <a:lnTo>
                                    <a:pt x="7115" y="59"/>
                                  </a:lnTo>
                                  <a:close/>
                                </a:path>
                              </a:pathLst>
                            </a:custGeom>
                            <a:solidFill>
                              <a:srgbClr val="000000"/>
                            </a:solidFill>
                            <a:ln>
                              <a:noFill/>
                            </a:ln>
                          </wps:spPr>
                          <wps:bodyPr upright="1"/>
                        </wps:wsp>
                        <wps:wsp>
                          <wps:cNvPr id="11" name="任意多边形 11"/>
                          <wps:cNvSpPr/>
                          <wps:spPr>
                            <a:xfrm>
                              <a:off x="0" y="0"/>
                              <a:ext cx="7425" cy="5060"/>
                            </a:xfrm>
                            <a:custGeom>
                              <a:avLst/>
                              <a:gdLst>
                                <a:gd name="A1" fmla="val 0"/>
                                <a:gd name="A2" fmla="val 0"/>
                              </a:gdLst>
                              <a:ahLst/>
                              <a:cxnLst/>
                              <a:rect l="0" t="0" r="0" b="0"/>
                              <a:pathLst>
                                <a:path w="7425" h="5060">
                                  <a:moveTo>
                                    <a:pt x="304" y="79"/>
                                  </a:moveTo>
                                  <a:lnTo>
                                    <a:pt x="273" y="79"/>
                                  </a:lnTo>
                                  <a:lnTo>
                                    <a:pt x="285" y="59"/>
                                  </a:lnTo>
                                  <a:lnTo>
                                    <a:pt x="316" y="59"/>
                                  </a:lnTo>
                                  <a:lnTo>
                                    <a:pt x="304" y="79"/>
                                  </a:lnTo>
                                  <a:close/>
                                </a:path>
                              </a:pathLst>
                            </a:custGeom>
                            <a:solidFill>
                              <a:srgbClr val="000000"/>
                            </a:solidFill>
                            <a:ln>
                              <a:noFill/>
                            </a:ln>
                          </wps:spPr>
                          <wps:bodyPr upright="1"/>
                        </wps:wsp>
                        <wps:wsp>
                          <wps:cNvPr id="12" name="任意多边形 12"/>
                          <wps:cNvSpPr/>
                          <wps:spPr>
                            <a:xfrm>
                              <a:off x="0" y="0"/>
                              <a:ext cx="7425" cy="5060"/>
                            </a:xfrm>
                            <a:custGeom>
                              <a:avLst/>
                              <a:gdLst>
                                <a:gd name="A1" fmla="val 0"/>
                                <a:gd name="A2" fmla="val 0"/>
                              </a:gdLst>
                              <a:ahLst/>
                              <a:cxnLst/>
                              <a:rect l="0" t="0" r="0" b="0"/>
                              <a:pathLst>
                                <a:path w="7425" h="5060">
                                  <a:moveTo>
                                    <a:pt x="7151" y="79"/>
                                  </a:moveTo>
                                  <a:lnTo>
                                    <a:pt x="7120" y="79"/>
                                  </a:lnTo>
                                  <a:lnTo>
                                    <a:pt x="7108" y="59"/>
                                  </a:lnTo>
                                  <a:lnTo>
                                    <a:pt x="7139" y="59"/>
                                  </a:lnTo>
                                  <a:lnTo>
                                    <a:pt x="7151" y="79"/>
                                  </a:lnTo>
                                  <a:close/>
                                </a:path>
                              </a:pathLst>
                            </a:custGeom>
                            <a:solidFill>
                              <a:srgbClr val="000000"/>
                            </a:solidFill>
                            <a:ln>
                              <a:noFill/>
                            </a:ln>
                          </wps:spPr>
                          <wps:bodyPr upright="1"/>
                        </wps:wsp>
                        <wps:wsp>
                          <wps:cNvPr id="13" name="任意多边形 13"/>
                          <wps:cNvSpPr/>
                          <wps:spPr>
                            <a:xfrm>
                              <a:off x="0" y="0"/>
                              <a:ext cx="7425" cy="5060"/>
                            </a:xfrm>
                            <a:custGeom>
                              <a:avLst/>
                              <a:gdLst>
                                <a:gd name="A1" fmla="val 0"/>
                                <a:gd name="A2" fmla="val 0"/>
                              </a:gdLst>
                              <a:ahLst/>
                              <a:cxnLst/>
                              <a:rect l="0" t="0" r="0" b="0"/>
                              <a:pathLst>
                                <a:path w="7425" h="5060">
                                  <a:moveTo>
                                    <a:pt x="269" y="99"/>
                                  </a:moveTo>
                                  <a:lnTo>
                                    <a:pt x="239" y="99"/>
                                  </a:lnTo>
                                  <a:lnTo>
                                    <a:pt x="250" y="79"/>
                                  </a:lnTo>
                                  <a:lnTo>
                                    <a:pt x="281" y="79"/>
                                  </a:lnTo>
                                  <a:lnTo>
                                    <a:pt x="269" y="99"/>
                                  </a:lnTo>
                                  <a:close/>
                                </a:path>
                              </a:pathLst>
                            </a:custGeom>
                            <a:solidFill>
                              <a:srgbClr val="000000"/>
                            </a:solidFill>
                            <a:ln>
                              <a:noFill/>
                            </a:ln>
                          </wps:spPr>
                          <wps:bodyPr upright="1"/>
                        </wps:wsp>
                        <wps:wsp>
                          <wps:cNvPr id="14" name="任意多边形 14"/>
                          <wps:cNvSpPr/>
                          <wps:spPr>
                            <a:xfrm>
                              <a:off x="0" y="0"/>
                              <a:ext cx="7425" cy="5060"/>
                            </a:xfrm>
                            <a:custGeom>
                              <a:avLst/>
                              <a:gdLst>
                                <a:gd name="A1" fmla="val 0"/>
                                <a:gd name="A2" fmla="val 0"/>
                              </a:gdLst>
                              <a:ahLst/>
                              <a:cxnLst/>
                              <a:rect l="0" t="0" r="0" b="0"/>
                              <a:pathLst>
                                <a:path w="7425" h="5060">
                                  <a:moveTo>
                                    <a:pt x="7185" y="99"/>
                                  </a:moveTo>
                                  <a:lnTo>
                                    <a:pt x="7154" y="99"/>
                                  </a:lnTo>
                                  <a:lnTo>
                                    <a:pt x="7143" y="79"/>
                                  </a:lnTo>
                                  <a:lnTo>
                                    <a:pt x="7174" y="79"/>
                                  </a:lnTo>
                                  <a:lnTo>
                                    <a:pt x="7185" y="99"/>
                                  </a:lnTo>
                                  <a:close/>
                                </a:path>
                              </a:pathLst>
                            </a:custGeom>
                            <a:solidFill>
                              <a:srgbClr val="000000"/>
                            </a:solidFill>
                            <a:ln>
                              <a:noFill/>
                            </a:ln>
                          </wps:spPr>
                          <wps:bodyPr upright="1"/>
                        </wps:wsp>
                        <wps:wsp>
                          <wps:cNvPr id="15" name="任意多边形 15"/>
                          <wps:cNvSpPr/>
                          <wps:spPr>
                            <a:xfrm>
                              <a:off x="0" y="0"/>
                              <a:ext cx="7425" cy="5060"/>
                            </a:xfrm>
                            <a:custGeom>
                              <a:avLst/>
                              <a:gdLst>
                                <a:gd name="A1" fmla="val 0"/>
                                <a:gd name="A2" fmla="val 0"/>
                              </a:gdLst>
                              <a:ahLst/>
                              <a:cxnLst/>
                              <a:rect l="0" t="0" r="0" b="0"/>
                              <a:pathLst>
                                <a:path w="7425" h="5060">
                                  <a:moveTo>
                                    <a:pt x="237" y="119"/>
                                  </a:moveTo>
                                  <a:lnTo>
                                    <a:pt x="217" y="119"/>
                                  </a:lnTo>
                                  <a:lnTo>
                                    <a:pt x="228" y="99"/>
                                  </a:lnTo>
                                  <a:lnTo>
                                    <a:pt x="247" y="99"/>
                                  </a:lnTo>
                                  <a:lnTo>
                                    <a:pt x="237" y="119"/>
                                  </a:lnTo>
                                  <a:close/>
                                </a:path>
                              </a:pathLst>
                            </a:custGeom>
                            <a:solidFill>
                              <a:srgbClr val="000000"/>
                            </a:solidFill>
                            <a:ln>
                              <a:noFill/>
                            </a:ln>
                          </wps:spPr>
                          <wps:bodyPr upright="1"/>
                        </wps:wsp>
                        <wps:wsp>
                          <wps:cNvPr id="16" name="任意多边形 16"/>
                          <wps:cNvSpPr/>
                          <wps:spPr>
                            <a:xfrm>
                              <a:off x="0" y="0"/>
                              <a:ext cx="7425" cy="5060"/>
                            </a:xfrm>
                            <a:custGeom>
                              <a:avLst/>
                              <a:gdLst>
                                <a:gd name="A1" fmla="val 0"/>
                                <a:gd name="A2" fmla="val 0"/>
                              </a:gdLst>
                              <a:ahLst/>
                              <a:cxnLst/>
                              <a:rect l="0" t="0" r="0" b="0"/>
                              <a:pathLst>
                                <a:path w="7425" h="5060">
                                  <a:moveTo>
                                    <a:pt x="7207" y="119"/>
                                  </a:moveTo>
                                  <a:lnTo>
                                    <a:pt x="7187" y="119"/>
                                  </a:lnTo>
                                  <a:lnTo>
                                    <a:pt x="7176" y="99"/>
                                  </a:lnTo>
                                  <a:lnTo>
                                    <a:pt x="7196" y="99"/>
                                  </a:lnTo>
                                  <a:lnTo>
                                    <a:pt x="7207" y="119"/>
                                  </a:lnTo>
                                  <a:close/>
                                </a:path>
                              </a:pathLst>
                            </a:custGeom>
                            <a:solidFill>
                              <a:srgbClr val="000000"/>
                            </a:solidFill>
                            <a:ln>
                              <a:noFill/>
                            </a:ln>
                          </wps:spPr>
                          <wps:bodyPr upright="1"/>
                        </wps:wsp>
                        <wps:wsp>
                          <wps:cNvPr id="17" name="任意多边形 17"/>
                          <wps:cNvSpPr/>
                          <wps:spPr>
                            <a:xfrm>
                              <a:off x="0" y="0"/>
                              <a:ext cx="7425" cy="5060"/>
                            </a:xfrm>
                            <a:custGeom>
                              <a:avLst/>
                              <a:gdLst>
                                <a:gd name="A1" fmla="val 0"/>
                                <a:gd name="A2" fmla="val 0"/>
                              </a:gdLst>
                              <a:ahLst/>
                              <a:cxnLst/>
                              <a:rect l="0" t="0" r="0" b="0"/>
                              <a:pathLst>
                                <a:path w="7425" h="5060">
                                  <a:moveTo>
                                    <a:pt x="216" y="139"/>
                                  </a:moveTo>
                                  <a:lnTo>
                                    <a:pt x="186" y="139"/>
                                  </a:lnTo>
                                  <a:lnTo>
                                    <a:pt x="196" y="119"/>
                                  </a:lnTo>
                                  <a:lnTo>
                                    <a:pt x="226" y="119"/>
                                  </a:lnTo>
                                  <a:lnTo>
                                    <a:pt x="216" y="139"/>
                                  </a:lnTo>
                                  <a:close/>
                                </a:path>
                              </a:pathLst>
                            </a:custGeom>
                            <a:solidFill>
                              <a:srgbClr val="000000"/>
                            </a:solidFill>
                            <a:ln>
                              <a:noFill/>
                            </a:ln>
                          </wps:spPr>
                          <wps:bodyPr upright="1"/>
                        </wps:wsp>
                        <wps:wsp>
                          <wps:cNvPr id="18" name="任意多边形 18"/>
                          <wps:cNvSpPr/>
                          <wps:spPr>
                            <a:xfrm>
                              <a:off x="0" y="0"/>
                              <a:ext cx="7425" cy="5060"/>
                            </a:xfrm>
                            <a:custGeom>
                              <a:avLst/>
                              <a:gdLst>
                                <a:gd name="A1" fmla="val 0"/>
                                <a:gd name="A2" fmla="val 0"/>
                              </a:gdLst>
                              <a:ahLst/>
                              <a:cxnLst/>
                              <a:rect l="0" t="0" r="0" b="0"/>
                              <a:pathLst>
                                <a:path w="7425" h="5060">
                                  <a:moveTo>
                                    <a:pt x="7238" y="139"/>
                                  </a:moveTo>
                                  <a:lnTo>
                                    <a:pt x="7208" y="139"/>
                                  </a:lnTo>
                                  <a:lnTo>
                                    <a:pt x="7197" y="119"/>
                                  </a:lnTo>
                                  <a:lnTo>
                                    <a:pt x="7228" y="119"/>
                                  </a:lnTo>
                                  <a:lnTo>
                                    <a:pt x="7238" y="139"/>
                                  </a:lnTo>
                                  <a:close/>
                                </a:path>
                              </a:pathLst>
                            </a:custGeom>
                            <a:solidFill>
                              <a:srgbClr val="000000"/>
                            </a:solidFill>
                            <a:ln>
                              <a:noFill/>
                            </a:ln>
                          </wps:spPr>
                          <wps:bodyPr upright="1"/>
                        </wps:wsp>
                        <wps:wsp>
                          <wps:cNvPr id="19" name="任意多边形 19"/>
                          <wps:cNvSpPr/>
                          <wps:spPr>
                            <a:xfrm>
                              <a:off x="0" y="0"/>
                              <a:ext cx="7425" cy="5060"/>
                            </a:xfrm>
                            <a:custGeom>
                              <a:avLst/>
                              <a:gdLst>
                                <a:gd name="A1" fmla="val 0"/>
                                <a:gd name="A2" fmla="val 0"/>
                              </a:gdLst>
                              <a:ahLst/>
                              <a:cxnLst/>
                              <a:rect l="0" t="0" r="0" b="0"/>
                              <a:pathLst>
                                <a:path w="7425" h="5060">
                                  <a:moveTo>
                                    <a:pt x="186" y="159"/>
                                  </a:moveTo>
                                  <a:lnTo>
                                    <a:pt x="166" y="159"/>
                                  </a:lnTo>
                                  <a:lnTo>
                                    <a:pt x="176" y="139"/>
                                  </a:lnTo>
                                  <a:lnTo>
                                    <a:pt x="196" y="139"/>
                                  </a:lnTo>
                                  <a:lnTo>
                                    <a:pt x="186" y="159"/>
                                  </a:lnTo>
                                  <a:close/>
                                </a:path>
                              </a:pathLst>
                            </a:custGeom>
                            <a:solidFill>
                              <a:srgbClr val="000000"/>
                            </a:solidFill>
                            <a:ln>
                              <a:noFill/>
                            </a:ln>
                          </wps:spPr>
                          <wps:bodyPr upright="1"/>
                        </wps:wsp>
                        <wps:wsp>
                          <wps:cNvPr id="20" name="任意多边形 20"/>
                          <wps:cNvSpPr/>
                          <wps:spPr>
                            <a:xfrm>
                              <a:off x="0" y="0"/>
                              <a:ext cx="7425" cy="5060"/>
                            </a:xfrm>
                            <a:custGeom>
                              <a:avLst/>
                              <a:gdLst>
                                <a:gd name="A1" fmla="val 0"/>
                                <a:gd name="A2" fmla="val 0"/>
                              </a:gdLst>
                              <a:ahLst/>
                              <a:cxnLst/>
                              <a:rect l="0" t="0" r="0" b="0"/>
                              <a:pathLst>
                                <a:path w="7425" h="5060">
                                  <a:moveTo>
                                    <a:pt x="7258" y="159"/>
                                  </a:moveTo>
                                  <a:lnTo>
                                    <a:pt x="7238" y="159"/>
                                  </a:lnTo>
                                  <a:lnTo>
                                    <a:pt x="7228" y="139"/>
                                  </a:lnTo>
                                  <a:lnTo>
                                    <a:pt x="7248" y="139"/>
                                  </a:lnTo>
                                  <a:lnTo>
                                    <a:pt x="7258" y="159"/>
                                  </a:lnTo>
                                  <a:close/>
                                </a:path>
                              </a:pathLst>
                            </a:custGeom>
                            <a:solidFill>
                              <a:srgbClr val="000000"/>
                            </a:solidFill>
                            <a:ln>
                              <a:noFill/>
                            </a:ln>
                          </wps:spPr>
                          <wps:bodyPr upright="1"/>
                        </wps:wsp>
                        <wps:wsp>
                          <wps:cNvPr id="21" name="任意多边形 21"/>
                          <wps:cNvSpPr/>
                          <wps:spPr>
                            <a:xfrm>
                              <a:off x="0" y="0"/>
                              <a:ext cx="7425" cy="5060"/>
                            </a:xfrm>
                            <a:custGeom>
                              <a:avLst/>
                              <a:gdLst>
                                <a:gd name="A1" fmla="val 0"/>
                                <a:gd name="A2" fmla="val 0"/>
                              </a:gdLst>
                              <a:ahLst/>
                              <a:cxnLst/>
                              <a:rect l="0" t="0" r="0" b="0"/>
                              <a:pathLst>
                                <a:path w="7425" h="5060">
                                  <a:moveTo>
                                    <a:pt x="167" y="179"/>
                                  </a:moveTo>
                                  <a:lnTo>
                                    <a:pt x="147" y="179"/>
                                  </a:lnTo>
                                  <a:lnTo>
                                    <a:pt x="156" y="159"/>
                                  </a:lnTo>
                                  <a:lnTo>
                                    <a:pt x="176" y="159"/>
                                  </a:lnTo>
                                  <a:lnTo>
                                    <a:pt x="167" y="179"/>
                                  </a:lnTo>
                                  <a:close/>
                                </a:path>
                              </a:pathLst>
                            </a:custGeom>
                            <a:solidFill>
                              <a:srgbClr val="000000"/>
                            </a:solidFill>
                            <a:ln>
                              <a:noFill/>
                            </a:ln>
                          </wps:spPr>
                          <wps:bodyPr upright="1"/>
                        </wps:wsp>
                        <wps:wsp>
                          <wps:cNvPr id="22" name="任意多边形 22"/>
                          <wps:cNvSpPr/>
                          <wps:spPr>
                            <a:xfrm>
                              <a:off x="0" y="0"/>
                              <a:ext cx="7425" cy="5060"/>
                            </a:xfrm>
                            <a:custGeom>
                              <a:avLst/>
                              <a:gdLst>
                                <a:gd name="A1" fmla="val 0"/>
                                <a:gd name="A2" fmla="val 0"/>
                              </a:gdLst>
                              <a:ahLst/>
                              <a:cxnLst/>
                              <a:rect l="0" t="0" r="0" b="0"/>
                              <a:pathLst>
                                <a:path w="7425" h="5060">
                                  <a:moveTo>
                                    <a:pt x="7277" y="179"/>
                                  </a:moveTo>
                                  <a:lnTo>
                                    <a:pt x="7256" y="179"/>
                                  </a:lnTo>
                                  <a:lnTo>
                                    <a:pt x="7247" y="159"/>
                                  </a:lnTo>
                                  <a:lnTo>
                                    <a:pt x="7267" y="159"/>
                                  </a:lnTo>
                                  <a:lnTo>
                                    <a:pt x="7277" y="179"/>
                                  </a:lnTo>
                                  <a:close/>
                                </a:path>
                              </a:pathLst>
                            </a:custGeom>
                            <a:solidFill>
                              <a:srgbClr val="000000"/>
                            </a:solidFill>
                            <a:ln>
                              <a:noFill/>
                            </a:ln>
                          </wps:spPr>
                          <wps:bodyPr upright="1"/>
                        </wps:wsp>
                        <wps:wsp>
                          <wps:cNvPr id="23" name="任意多边形 23"/>
                          <wps:cNvSpPr/>
                          <wps:spPr>
                            <a:xfrm>
                              <a:off x="0" y="0"/>
                              <a:ext cx="7425" cy="5060"/>
                            </a:xfrm>
                            <a:custGeom>
                              <a:avLst/>
                              <a:gdLst>
                                <a:gd name="A1" fmla="val 0"/>
                                <a:gd name="A2" fmla="val 0"/>
                              </a:gdLst>
                              <a:ahLst/>
                              <a:cxnLst/>
                              <a:rect l="0" t="0" r="0" b="0"/>
                              <a:pathLst>
                                <a:path w="7425" h="5060">
                                  <a:moveTo>
                                    <a:pt x="149" y="199"/>
                                  </a:moveTo>
                                  <a:lnTo>
                                    <a:pt x="129" y="199"/>
                                  </a:lnTo>
                                  <a:lnTo>
                                    <a:pt x="138" y="179"/>
                                  </a:lnTo>
                                  <a:lnTo>
                                    <a:pt x="158" y="179"/>
                                  </a:lnTo>
                                  <a:lnTo>
                                    <a:pt x="149" y="199"/>
                                  </a:lnTo>
                                  <a:close/>
                                </a:path>
                              </a:pathLst>
                            </a:custGeom>
                            <a:solidFill>
                              <a:srgbClr val="000000"/>
                            </a:solidFill>
                            <a:ln>
                              <a:noFill/>
                            </a:ln>
                          </wps:spPr>
                          <wps:bodyPr upright="1"/>
                        </wps:wsp>
                        <wps:wsp>
                          <wps:cNvPr id="24" name="任意多边形 24"/>
                          <wps:cNvSpPr/>
                          <wps:spPr>
                            <a:xfrm>
                              <a:off x="0" y="0"/>
                              <a:ext cx="7425" cy="5060"/>
                            </a:xfrm>
                            <a:custGeom>
                              <a:avLst/>
                              <a:gdLst>
                                <a:gd name="A1" fmla="val 0"/>
                                <a:gd name="A2" fmla="val 0"/>
                              </a:gdLst>
                              <a:ahLst/>
                              <a:cxnLst/>
                              <a:rect l="0" t="0" r="0" b="0"/>
                              <a:pathLst>
                                <a:path w="7425" h="5060">
                                  <a:moveTo>
                                    <a:pt x="7294" y="199"/>
                                  </a:moveTo>
                                  <a:lnTo>
                                    <a:pt x="7274" y="199"/>
                                  </a:lnTo>
                                  <a:lnTo>
                                    <a:pt x="7265" y="179"/>
                                  </a:lnTo>
                                  <a:lnTo>
                                    <a:pt x="7286" y="179"/>
                                  </a:lnTo>
                                  <a:lnTo>
                                    <a:pt x="7294" y="199"/>
                                  </a:lnTo>
                                  <a:close/>
                                </a:path>
                              </a:pathLst>
                            </a:custGeom>
                            <a:solidFill>
                              <a:srgbClr val="000000"/>
                            </a:solidFill>
                            <a:ln>
                              <a:noFill/>
                            </a:ln>
                          </wps:spPr>
                          <wps:bodyPr upright="1"/>
                        </wps:wsp>
                        <wps:wsp>
                          <wps:cNvPr id="25" name="任意多边形 25"/>
                          <wps:cNvSpPr/>
                          <wps:spPr>
                            <a:xfrm>
                              <a:off x="0" y="0"/>
                              <a:ext cx="7425" cy="5060"/>
                            </a:xfrm>
                            <a:custGeom>
                              <a:avLst/>
                              <a:gdLst>
                                <a:gd name="A1" fmla="val 0"/>
                                <a:gd name="A2" fmla="val 0"/>
                              </a:gdLst>
                              <a:ahLst/>
                              <a:cxnLst/>
                              <a:rect l="0" t="0" r="0" b="0"/>
                              <a:pathLst>
                                <a:path w="7425" h="5060">
                                  <a:moveTo>
                                    <a:pt x="132" y="219"/>
                                  </a:moveTo>
                                  <a:lnTo>
                                    <a:pt x="112" y="219"/>
                                  </a:lnTo>
                                  <a:lnTo>
                                    <a:pt x="121" y="199"/>
                                  </a:lnTo>
                                  <a:lnTo>
                                    <a:pt x="141" y="199"/>
                                  </a:lnTo>
                                  <a:lnTo>
                                    <a:pt x="132" y="219"/>
                                  </a:lnTo>
                                  <a:close/>
                                </a:path>
                              </a:pathLst>
                            </a:custGeom>
                            <a:solidFill>
                              <a:srgbClr val="000000"/>
                            </a:solidFill>
                            <a:ln>
                              <a:noFill/>
                            </a:ln>
                          </wps:spPr>
                          <wps:bodyPr upright="1"/>
                        </wps:wsp>
                        <wps:wsp>
                          <wps:cNvPr id="26" name="任意多边形 26"/>
                          <wps:cNvSpPr/>
                          <wps:spPr>
                            <a:xfrm>
                              <a:off x="0" y="0"/>
                              <a:ext cx="7425" cy="5060"/>
                            </a:xfrm>
                            <a:custGeom>
                              <a:avLst/>
                              <a:gdLst>
                                <a:gd name="A1" fmla="val 0"/>
                                <a:gd name="A2" fmla="val 0"/>
                              </a:gdLst>
                              <a:ahLst/>
                              <a:cxnLst/>
                              <a:rect l="0" t="0" r="0" b="0"/>
                              <a:pathLst>
                                <a:path w="7425" h="5060">
                                  <a:moveTo>
                                    <a:pt x="7311" y="219"/>
                                  </a:moveTo>
                                  <a:lnTo>
                                    <a:pt x="7291" y="219"/>
                                  </a:lnTo>
                                  <a:lnTo>
                                    <a:pt x="7283" y="199"/>
                                  </a:lnTo>
                                  <a:lnTo>
                                    <a:pt x="7303" y="199"/>
                                  </a:lnTo>
                                  <a:lnTo>
                                    <a:pt x="7311" y="219"/>
                                  </a:lnTo>
                                  <a:close/>
                                </a:path>
                              </a:pathLst>
                            </a:custGeom>
                            <a:solidFill>
                              <a:srgbClr val="000000"/>
                            </a:solidFill>
                            <a:ln>
                              <a:noFill/>
                            </a:ln>
                          </wps:spPr>
                          <wps:bodyPr upright="1"/>
                        </wps:wsp>
                        <wps:wsp>
                          <wps:cNvPr id="27" name="任意多边形 27"/>
                          <wps:cNvSpPr/>
                          <wps:spPr>
                            <a:xfrm>
                              <a:off x="0" y="0"/>
                              <a:ext cx="7425" cy="5060"/>
                            </a:xfrm>
                            <a:custGeom>
                              <a:avLst/>
                              <a:gdLst>
                                <a:gd name="A1" fmla="val 0"/>
                                <a:gd name="A2" fmla="val 0"/>
                              </a:gdLst>
                              <a:ahLst/>
                              <a:cxnLst/>
                              <a:rect l="0" t="0" r="0" b="0"/>
                              <a:pathLst>
                                <a:path w="7425" h="5060">
                                  <a:moveTo>
                                    <a:pt x="101" y="259"/>
                                  </a:moveTo>
                                  <a:lnTo>
                                    <a:pt x="89" y="259"/>
                                  </a:lnTo>
                                  <a:lnTo>
                                    <a:pt x="96" y="239"/>
                                  </a:lnTo>
                                  <a:lnTo>
                                    <a:pt x="104" y="219"/>
                                  </a:lnTo>
                                  <a:lnTo>
                                    <a:pt x="124" y="219"/>
                                  </a:lnTo>
                                  <a:lnTo>
                                    <a:pt x="116" y="239"/>
                                  </a:lnTo>
                                  <a:lnTo>
                                    <a:pt x="109" y="239"/>
                                  </a:lnTo>
                                  <a:lnTo>
                                    <a:pt x="101" y="259"/>
                                  </a:lnTo>
                                  <a:close/>
                                </a:path>
                              </a:pathLst>
                            </a:custGeom>
                            <a:solidFill>
                              <a:srgbClr val="000000"/>
                            </a:solidFill>
                            <a:ln>
                              <a:noFill/>
                            </a:ln>
                          </wps:spPr>
                          <wps:bodyPr upright="1"/>
                        </wps:wsp>
                        <wps:wsp>
                          <wps:cNvPr id="28" name="任意多边形 28"/>
                          <wps:cNvSpPr/>
                          <wps:spPr>
                            <a:xfrm>
                              <a:off x="0" y="0"/>
                              <a:ext cx="7425" cy="5060"/>
                            </a:xfrm>
                            <a:custGeom>
                              <a:avLst/>
                              <a:gdLst>
                                <a:gd name="A1" fmla="val 0"/>
                                <a:gd name="A2" fmla="val 0"/>
                              </a:gdLst>
                              <a:ahLst/>
                              <a:cxnLst/>
                              <a:rect l="0" t="0" r="0" b="0"/>
                              <a:pathLst>
                                <a:path w="7425" h="5060">
                                  <a:moveTo>
                                    <a:pt x="7335" y="259"/>
                                  </a:moveTo>
                                  <a:lnTo>
                                    <a:pt x="7322" y="259"/>
                                  </a:lnTo>
                                  <a:lnTo>
                                    <a:pt x="7315" y="239"/>
                                  </a:lnTo>
                                  <a:lnTo>
                                    <a:pt x="7307" y="239"/>
                                  </a:lnTo>
                                  <a:lnTo>
                                    <a:pt x="7299" y="219"/>
                                  </a:lnTo>
                                  <a:lnTo>
                                    <a:pt x="7319" y="219"/>
                                  </a:lnTo>
                                  <a:lnTo>
                                    <a:pt x="7327" y="239"/>
                                  </a:lnTo>
                                  <a:lnTo>
                                    <a:pt x="7335" y="259"/>
                                  </a:lnTo>
                                  <a:close/>
                                </a:path>
                              </a:pathLst>
                            </a:custGeom>
                            <a:solidFill>
                              <a:srgbClr val="000000"/>
                            </a:solidFill>
                            <a:ln>
                              <a:noFill/>
                            </a:ln>
                          </wps:spPr>
                          <wps:bodyPr upright="1"/>
                        </wps:wsp>
                        <wps:wsp>
                          <wps:cNvPr id="29" name="任意多边形 29"/>
                          <wps:cNvSpPr/>
                          <wps:spPr>
                            <a:xfrm>
                              <a:off x="0" y="0"/>
                              <a:ext cx="7425" cy="5060"/>
                            </a:xfrm>
                            <a:custGeom>
                              <a:avLst/>
                              <a:gdLst>
                                <a:gd name="A1" fmla="val 0"/>
                                <a:gd name="A2" fmla="val 0"/>
                              </a:gdLst>
                              <a:ahLst/>
                              <a:cxnLst/>
                              <a:rect l="0" t="0" r="0" b="0"/>
                              <a:pathLst>
                                <a:path w="7425" h="5060">
                                  <a:moveTo>
                                    <a:pt x="94" y="279"/>
                                  </a:moveTo>
                                  <a:lnTo>
                                    <a:pt x="75" y="279"/>
                                  </a:lnTo>
                                  <a:lnTo>
                                    <a:pt x="82" y="259"/>
                                  </a:lnTo>
                                  <a:lnTo>
                                    <a:pt x="102" y="259"/>
                                  </a:lnTo>
                                  <a:lnTo>
                                    <a:pt x="94" y="279"/>
                                  </a:lnTo>
                                  <a:close/>
                                </a:path>
                              </a:pathLst>
                            </a:custGeom>
                            <a:solidFill>
                              <a:srgbClr val="000000"/>
                            </a:solidFill>
                            <a:ln>
                              <a:noFill/>
                            </a:ln>
                          </wps:spPr>
                          <wps:bodyPr upright="1"/>
                        </wps:wsp>
                        <wps:wsp>
                          <wps:cNvPr id="30" name="任意多边形 30"/>
                          <wps:cNvSpPr/>
                          <wps:spPr>
                            <a:xfrm>
                              <a:off x="0" y="0"/>
                              <a:ext cx="7425" cy="5060"/>
                            </a:xfrm>
                            <a:custGeom>
                              <a:avLst/>
                              <a:gdLst>
                                <a:gd name="A1" fmla="val 0"/>
                                <a:gd name="A2" fmla="val 0"/>
                              </a:gdLst>
                              <a:ahLst/>
                              <a:cxnLst/>
                              <a:rect l="0" t="0" r="0" b="0"/>
                              <a:pathLst>
                                <a:path w="7425" h="5060">
                                  <a:moveTo>
                                    <a:pt x="7349" y="279"/>
                                  </a:moveTo>
                                  <a:lnTo>
                                    <a:pt x="7329" y="279"/>
                                  </a:lnTo>
                                  <a:lnTo>
                                    <a:pt x="7322" y="259"/>
                                  </a:lnTo>
                                  <a:lnTo>
                                    <a:pt x="7342" y="259"/>
                                  </a:lnTo>
                                  <a:lnTo>
                                    <a:pt x="7349" y="279"/>
                                  </a:lnTo>
                                  <a:close/>
                                </a:path>
                              </a:pathLst>
                            </a:custGeom>
                            <a:solidFill>
                              <a:srgbClr val="000000"/>
                            </a:solidFill>
                            <a:ln>
                              <a:noFill/>
                            </a:ln>
                          </wps:spPr>
                          <wps:bodyPr upright="1"/>
                        </wps:wsp>
                        <wps:wsp>
                          <wps:cNvPr id="31" name="任意多边形 31"/>
                          <wps:cNvSpPr/>
                          <wps:spPr>
                            <a:xfrm>
                              <a:off x="0" y="0"/>
                              <a:ext cx="7425" cy="5060"/>
                            </a:xfrm>
                            <a:custGeom>
                              <a:avLst/>
                              <a:gdLst>
                                <a:gd name="A1" fmla="val 0"/>
                                <a:gd name="A2" fmla="val 0"/>
                              </a:gdLst>
                              <a:ahLst/>
                              <a:cxnLst/>
                              <a:rect l="0" t="0" r="0" b="0"/>
                              <a:pathLst>
                                <a:path w="7425" h="5060">
                                  <a:moveTo>
                                    <a:pt x="69" y="319"/>
                                  </a:moveTo>
                                  <a:lnTo>
                                    <a:pt x="55" y="319"/>
                                  </a:lnTo>
                                  <a:lnTo>
                                    <a:pt x="62" y="299"/>
                                  </a:lnTo>
                                  <a:lnTo>
                                    <a:pt x="68" y="279"/>
                                  </a:lnTo>
                                  <a:lnTo>
                                    <a:pt x="88" y="279"/>
                                  </a:lnTo>
                                  <a:lnTo>
                                    <a:pt x="81" y="299"/>
                                  </a:lnTo>
                                  <a:lnTo>
                                    <a:pt x="75" y="299"/>
                                  </a:lnTo>
                                  <a:lnTo>
                                    <a:pt x="69" y="319"/>
                                  </a:lnTo>
                                  <a:close/>
                                </a:path>
                              </a:pathLst>
                            </a:custGeom>
                            <a:solidFill>
                              <a:srgbClr val="000000"/>
                            </a:solidFill>
                            <a:ln>
                              <a:noFill/>
                            </a:ln>
                          </wps:spPr>
                          <wps:bodyPr upright="1"/>
                        </wps:wsp>
                        <wps:wsp>
                          <wps:cNvPr id="32" name="任意多边形 32"/>
                          <wps:cNvSpPr/>
                          <wps:spPr>
                            <a:xfrm>
                              <a:off x="0" y="0"/>
                              <a:ext cx="7425" cy="5060"/>
                            </a:xfrm>
                            <a:custGeom>
                              <a:avLst/>
                              <a:gdLst>
                                <a:gd name="A1" fmla="val 0"/>
                                <a:gd name="A2" fmla="val 0"/>
                              </a:gdLst>
                              <a:ahLst/>
                              <a:cxnLst/>
                              <a:rect l="0" t="0" r="0" b="0"/>
                              <a:pathLst>
                                <a:path w="7425" h="5060">
                                  <a:moveTo>
                                    <a:pt x="7368" y="319"/>
                                  </a:moveTo>
                                  <a:lnTo>
                                    <a:pt x="7355" y="319"/>
                                  </a:lnTo>
                                  <a:lnTo>
                                    <a:pt x="7349" y="299"/>
                                  </a:lnTo>
                                  <a:lnTo>
                                    <a:pt x="7342" y="299"/>
                                  </a:lnTo>
                                  <a:lnTo>
                                    <a:pt x="7336" y="279"/>
                                  </a:lnTo>
                                  <a:lnTo>
                                    <a:pt x="7356" y="279"/>
                                  </a:lnTo>
                                  <a:lnTo>
                                    <a:pt x="7362" y="299"/>
                                  </a:lnTo>
                                  <a:lnTo>
                                    <a:pt x="7368" y="319"/>
                                  </a:lnTo>
                                  <a:close/>
                                </a:path>
                              </a:pathLst>
                            </a:custGeom>
                            <a:solidFill>
                              <a:srgbClr val="000000"/>
                            </a:solidFill>
                            <a:ln>
                              <a:noFill/>
                            </a:ln>
                          </wps:spPr>
                          <wps:bodyPr upright="1"/>
                        </wps:wsp>
                        <wps:wsp>
                          <wps:cNvPr id="33" name="任意多边形 33"/>
                          <wps:cNvSpPr/>
                          <wps:spPr>
                            <a:xfrm>
                              <a:off x="0" y="0"/>
                              <a:ext cx="7425" cy="5060"/>
                            </a:xfrm>
                            <a:custGeom>
                              <a:avLst/>
                              <a:gdLst>
                                <a:gd name="A1" fmla="val 0"/>
                                <a:gd name="A2" fmla="val 0"/>
                              </a:gdLst>
                              <a:ahLst/>
                              <a:cxnLst/>
                              <a:rect l="0" t="0" r="0" b="0"/>
                              <a:pathLst>
                                <a:path w="7425" h="5060">
                                  <a:moveTo>
                                    <a:pt x="63" y="339"/>
                                  </a:moveTo>
                                  <a:lnTo>
                                    <a:pt x="44" y="339"/>
                                  </a:lnTo>
                                  <a:lnTo>
                                    <a:pt x="50" y="319"/>
                                  </a:lnTo>
                                  <a:lnTo>
                                    <a:pt x="69" y="319"/>
                                  </a:lnTo>
                                  <a:lnTo>
                                    <a:pt x="63" y="339"/>
                                  </a:lnTo>
                                  <a:close/>
                                </a:path>
                              </a:pathLst>
                            </a:custGeom>
                            <a:solidFill>
                              <a:srgbClr val="000000"/>
                            </a:solidFill>
                            <a:ln>
                              <a:noFill/>
                            </a:ln>
                          </wps:spPr>
                          <wps:bodyPr upright="1"/>
                        </wps:wsp>
                        <wps:wsp>
                          <wps:cNvPr id="34" name="任意多边形 34"/>
                          <wps:cNvSpPr/>
                          <wps:spPr>
                            <a:xfrm>
                              <a:off x="0" y="0"/>
                              <a:ext cx="7425" cy="5060"/>
                            </a:xfrm>
                            <a:custGeom>
                              <a:avLst/>
                              <a:gdLst>
                                <a:gd name="A1" fmla="val 0"/>
                                <a:gd name="A2" fmla="val 0"/>
                              </a:gdLst>
                              <a:ahLst/>
                              <a:cxnLst/>
                              <a:rect l="0" t="0" r="0" b="0"/>
                              <a:pathLst>
                                <a:path w="7425" h="5060">
                                  <a:moveTo>
                                    <a:pt x="7380" y="339"/>
                                  </a:moveTo>
                                  <a:lnTo>
                                    <a:pt x="7360" y="339"/>
                                  </a:lnTo>
                                  <a:lnTo>
                                    <a:pt x="7355" y="319"/>
                                  </a:lnTo>
                                  <a:lnTo>
                                    <a:pt x="7374" y="319"/>
                                  </a:lnTo>
                                  <a:lnTo>
                                    <a:pt x="7380" y="339"/>
                                  </a:lnTo>
                                  <a:close/>
                                </a:path>
                              </a:pathLst>
                            </a:custGeom>
                            <a:solidFill>
                              <a:srgbClr val="000000"/>
                            </a:solidFill>
                            <a:ln>
                              <a:noFill/>
                            </a:ln>
                          </wps:spPr>
                          <wps:bodyPr upright="1"/>
                        </wps:wsp>
                        <wps:wsp>
                          <wps:cNvPr id="35" name="任意多边形 35"/>
                          <wps:cNvSpPr/>
                          <wps:spPr>
                            <a:xfrm>
                              <a:off x="0" y="0"/>
                              <a:ext cx="7425" cy="5060"/>
                            </a:xfrm>
                            <a:custGeom>
                              <a:avLst/>
                              <a:gdLst>
                                <a:gd name="A1" fmla="val 0"/>
                                <a:gd name="A2" fmla="val 0"/>
                              </a:gdLst>
                              <a:ahLst/>
                              <a:cxnLst/>
                              <a:rect l="0" t="0" r="0" b="0"/>
                              <a:pathLst>
                                <a:path w="7425" h="5060">
                                  <a:moveTo>
                                    <a:pt x="43" y="379"/>
                                  </a:moveTo>
                                  <a:lnTo>
                                    <a:pt x="29" y="379"/>
                                  </a:lnTo>
                                  <a:lnTo>
                                    <a:pt x="34" y="359"/>
                                  </a:lnTo>
                                  <a:lnTo>
                                    <a:pt x="39" y="339"/>
                                  </a:lnTo>
                                  <a:lnTo>
                                    <a:pt x="58" y="339"/>
                                  </a:lnTo>
                                  <a:lnTo>
                                    <a:pt x="53" y="359"/>
                                  </a:lnTo>
                                  <a:lnTo>
                                    <a:pt x="48" y="359"/>
                                  </a:lnTo>
                                  <a:lnTo>
                                    <a:pt x="43" y="379"/>
                                  </a:lnTo>
                                  <a:close/>
                                </a:path>
                              </a:pathLst>
                            </a:custGeom>
                            <a:solidFill>
                              <a:srgbClr val="000000"/>
                            </a:solidFill>
                            <a:ln>
                              <a:noFill/>
                            </a:ln>
                          </wps:spPr>
                          <wps:bodyPr upright="1"/>
                        </wps:wsp>
                        <wps:wsp>
                          <wps:cNvPr id="36" name="任意多边形 36"/>
                          <wps:cNvSpPr/>
                          <wps:spPr>
                            <a:xfrm>
                              <a:off x="0" y="0"/>
                              <a:ext cx="7425" cy="5060"/>
                            </a:xfrm>
                            <a:custGeom>
                              <a:avLst/>
                              <a:gdLst>
                                <a:gd name="A1" fmla="val 0"/>
                                <a:gd name="A2" fmla="val 0"/>
                              </a:gdLst>
                              <a:ahLst/>
                              <a:cxnLst/>
                              <a:rect l="0" t="0" r="0" b="0"/>
                              <a:pathLst>
                                <a:path w="7425" h="5060">
                                  <a:moveTo>
                                    <a:pt x="7394" y="379"/>
                                  </a:moveTo>
                                  <a:lnTo>
                                    <a:pt x="7380" y="379"/>
                                  </a:lnTo>
                                  <a:lnTo>
                                    <a:pt x="7376" y="359"/>
                                  </a:lnTo>
                                  <a:lnTo>
                                    <a:pt x="7371" y="359"/>
                                  </a:lnTo>
                                  <a:lnTo>
                                    <a:pt x="7366" y="339"/>
                                  </a:lnTo>
                                  <a:lnTo>
                                    <a:pt x="7385" y="339"/>
                                  </a:lnTo>
                                  <a:lnTo>
                                    <a:pt x="7390" y="359"/>
                                  </a:lnTo>
                                  <a:lnTo>
                                    <a:pt x="7394" y="379"/>
                                  </a:lnTo>
                                  <a:close/>
                                </a:path>
                              </a:pathLst>
                            </a:custGeom>
                            <a:solidFill>
                              <a:srgbClr val="000000"/>
                            </a:solidFill>
                            <a:ln>
                              <a:noFill/>
                            </a:ln>
                          </wps:spPr>
                          <wps:bodyPr upright="1"/>
                        </wps:wsp>
                        <wps:wsp>
                          <wps:cNvPr id="37" name="任意多边形 37"/>
                          <wps:cNvSpPr/>
                          <wps:spPr>
                            <a:xfrm>
                              <a:off x="0" y="0"/>
                              <a:ext cx="7425" cy="5060"/>
                            </a:xfrm>
                            <a:custGeom>
                              <a:avLst/>
                              <a:gdLst>
                                <a:gd name="A1" fmla="val 0"/>
                                <a:gd name="A2" fmla="val 0"/>
                              </a:gdLst>
                              <a:ahLst/>
                              <a:cxnLst/>
                              <a:rect l="0" t="0" r="0" b="0"/>
                              <a:pathLst>
                                <a:path w="7425" h="5060">
                                  <a:moveTo>
                                    <a:pt x="32" y="419"/>
                                  </a:moveTo>
                                  <a:lnTo>
                                    <a:pt x="17" y="419"/>
                                  </a:lnTo>
                                  <a:lnTo>
                                    <a:pt x="21" y="399"/>
                                  </a:lnTo>
                                  <a:lnTo>
                                    <a:pt x="25" y="379"/>
                                  </a:lnTo>
                                  <a:lnTo>
                                    <a:pt x="43" y="379"/>
                                  </a:lnTo>
                                  <a:lnTo>
                                    <a:pt x="39" y="399"/>
                                  </a:lnTo>
                                  <a:lnTo>
                                    <a:pt x="35" y="399"/>
                                  </a:lnTo>
                                  <a:lnTo>
                                    <a:pt x="32" y="419"/>
                                  </a:lnTo>
                                  <a:close/>
                                </a:path>
                              </a:pathLst>
                            </a:custGeom>
                            <a:solidFill>
                              <a:srgbClr val="000000"/>
                            </a:solidFill>
                            <a:ln>
                              <a:noFill/>
                            </a:ln>
                          </wps:spPr>
                          <wps:bodyPr upright="1"/>
                        </wps:wsp>
                        <wps:wsp>
                          <wps:cNvPr id="38" name="任意多边形 38"/>
                          <wps:cNvSpPr/>
                          <wps:spPr>
                            <a:xfrm>
                              <a:off x="0" y="0"/>
                              <a:ext cx="7425" cy="5060"/>
                            </a:xfrm>
                            <a:custGeom>
                              <a:avLst/>
                              <a:gdLst>
                                <a:gd name="A1" fmla="val 0"/>
                                <a:gd name="A2" fmla="val 0"/>
                              </a:gdLst>
                              <a:ahLst/>
                              <a:cxnLst/>
                              <a:rect l="0" t="0" r="0" b="0"/>
                              <a:pathLst>
                                <a:path w="7425" h="5060">
                                  <a:moveTo>
                                    <a:pt x="7406" y="419"/>
                                  </a:moveTo>
                                  <a:lnTo>
                                    <a:pt x="7392" y="419"/>
                                  </a:lnTo>
                                  <a:lnTo>
                                    <a:pt x="7388" y="399"/>
                                  </a:lnTo>
                                  <a:lnTo>
                                    <a:pt x="7384" y="399"/>
                                  </a:lnTo>
                                  <a:lnTo>
                                    <a:pt x="7380" y="379"/>
                                  </a:lnTo>
                                  <a:lnTo>
                                    <a:pt x="7399" y="379"/>
                                  </a:lnTo>
                                  <a:lnTo>
                                    <a:pt x="7403" y="399"/>
                                  </a:lnTo>
                                  <a:lnTo>
                                    <a:pt x="7406" y="419"/>
                                  </a:lnTo>
                                  <a:close/>
                                </a:path>
                              </a:pathLst>
                            </a:custGeom>
                            <a:solidFill>
                              <a:srgbClr val="000000"/>
                            </a:solidFill>
                            <a:ln>
                              <a:noFill/>
                            </a:ln>
                          </wps:spPr>
                          <wps:bodyPr upright="1"/>
                        </wps:wsp>
                        <wps:wsp>
                          <wps:cNvPr id="39" name="任意多边形 39"/>
                          <wps:cNvSpPr/>
                          <wps:spPr>
                            <a:xfrm>
                              <a:off x="0" y="0"/>
                              <a:ext cx="7425" cy="5060"/>
                            </a:xfrm>
                            <a:custGeom>
                              <a:avLst/>
                              <a:gdLst>
                                <a:gd name="A1" fmla="val 0"/>
                                <a:gd name="A2" fmla="val 0"/>
                              </a:gdLst>
                              <a:ahLst/>
                              <a:cxnLst/>
                              <a:rect l="0" t="0" r="0" b="0"/>
                              <a:pathLst>
                                <a:path w="7425" h="5060">
                                  <a:moveTo>
                                    <a:pt x="21" y="479"/>
                                  </a:moveTo>
                                  <a:lnTo>
                                    <a:pt x="6" y="479"/>
                                  </a:lnTo>
                                  <a:lnTo>
                                    <a:pt x="8" y="459"/>
                                  </a:lnTo>
                                  <a:lnTo>
                                    <a:pt x="11" y="439"/>
                                  </a:lnTo>
                                  <a:lnTo>
                                    <a:pt x="14" y="419"/>
                                  </a:lnTo>
                                  <a:lnTo>
                                    <a:pt x="32" y="419"/>
                                  </a:lnTo>
                                  <a:lnTo>
                                    <a:pt x="28" y="439"/>
                                  </a:lnTo>
                                  <a:lnTo>
                                    <a:pt x="26" y="439"/>
                                  </a:lnTo>
                                  <a:lnTo>
                                    <a:pt x="23" y="459"/>
                                  </a:lnTo>
                                  <a:lnTo>
                                    <a:pt x="23" y="459"/>
                                  </a:lnTo>
                                  <a:lnTo>
                                    <a:pt x="21" y="479"/>
                                  </a:lnTo>
                                  <a:close/>
                                </a:path>
                              </a:pathLst>
                            </a:custGeom>
                            <a:solidFill>
                              <a:srgbClr val="000000"/>
                            </a:solidFill>
                            <a:ln>
                              <a:noFill/>
                            </a:ln>
                          </wps:spPr>
                          <wps:bodyPr upright="1"/>
                        </wps:wsp>
                        <wps:wsp>
                          <wps:cNvPr id="40" name="任意多边形 40"/>
                          <wps:cNvSpPr/>
                          <wps:spPr>
                            <a:xfrm>
                              <a:off x="0" y="0"/>
                              <a:ext cx="7425" cy="5060"/>
                            </a:xfrm>
                            <a:custGeom>
                              <a:avLst/>
                              <a:gdLst>
                                <a:gd name="A1" fmla="val 0"/>
                                <a:gd name="A2" fmla="val 0"/>
                              </a:gdLst>
                              <a:ahLst/>
                              <a:cxnLst/>
                              <a:rect l="0" t="0" r="0" b="0"/>
                              <a:pathLst>
                                <a:path w="7425" h="5060">
                                  <a:moveTo>
                                    <a:pt x="7418" y="479"/>
                                  </a:moveTo>
                                  <a:lnTo>
                                    <a:pt x="7403" y="479"/>
                                  </a:lnTo>
                                  <a:lnTo>
                                    <a:pt x="7401" y="459"/>
                                  </a:lnTo>
                                  <a:lnTo>
                                    <a:pt x="7401" y="459"/>
                                  </a:lnTo>
                                  <a:lnTo>
                                    <a:pt x="7398" y="439"/>
                                  </a:lnTo>
                                  <a:lnTo>
                                    <a:pt x="7395" y="439"/>
                                  </a:lnTo>
                                  <a:lnTo>
                                    <a:pt x="7392" y="419"/>
                                  </a:lnTo>
                                  <a:lnTo>
                                    <a:pt x="7410" y="419"/>
                                  </a:lnTo>
                                  <a:lnTo>
                                    <a:pt x="7413" y="439"/>
                                  </a:lnTo>
                                  <a:lnTo>
                                    <a:pt x="7415" y="459"/>
                                  </a:lnTo>
                                  <a:lnTo>
                                    <a:pt x="7418" y="479"/>
                                  </a:lnTo>
                                  <a:close/>
                                </a:path>
                              </a:pathLst>
                            </a:custGeom>
                            <a:solidFill>
                              <a:srgbClr val="000000"/>
                            </a:solidFill>
                            <a:ln>
                              <a:noFill/>
                            </a:ln>
                          </wps:spPr>
                          <wps:bodyPr upright="1"/>
                        </wps:wsp>
                        <wps:wsp>
                          <wps:cNvPr id="41" name="任意多边形 41"/>
                          <wps:cNvSpPr/>
                          <wps:spPr>
                            <a:xfrm>
                              <a:off x="0" y="0"/>
                              <a:ext cx="7425" cy="5060"/>
                            </a:xfrm>
                            <a:custGeom>
                              <a:avLst/>
                              <a:gdLst>
                                <a:gd name="A1" fmla="val 0"/>
                                <a:gd name="A2" fmla="val 0"/>
                              </a:gdLst>
                              <a:ahLst/>
                              <a:cxnLst/>
                              <a:rect l="0" t="0" r="0" b="0"/>
                              <a:pathLst>
                                <a:path w="7425" h="5060">
                                  <a:moveTo>
                                    <a:pt x="16" y="519"/>
                                  </a:moveTo>
                                  <a:lnTo>
                                    <a:pt x="1" y="519"/>
                                  </a:lnTo>
                                  <a:lnTo>
                                    <a:pt x="2" y="499"/>
                                  </a:lnTo>
                                  <a:lnTo>
                                    <a:pt x="4" y="479"/>
                                  </a:lnTo>
                                  <a:lnTo>
                                    <a:pt x="19" y="479"/>
                                  </a:lnTo>
                                  <a:lnTo>
                                    <a:pt x="17" y="499"/>
                                  </a:lnTo>
                                  <a:lnTo>
                                    <a:pt x="17" y="499"/>
                                  </a:lnTo>
                                  <a:lnTo>
                                    <a:pt x="16" y="519"/>
                                  </a:lnTo>
                                  <a:close/>
                                </a:path>
                              </a:pathLst>
                            </a:custGeom>
                            <a:solidFill>
                              <a:srgbClr val="000000"/>
                            </a:solidFill>
                            <a:ln>
                              <a:noFill/>
                            </a:ln>
                          </wps:spPr>
                          <wps:bodyPr upright="1"/>
                        </wps:wsp>
                        <wps:wsp>
                          <wps:cNvPr id="42" name="任意多边形 42"/>
                          <wps:cNvSpPr/>
                          <wps:spPr>
                            <a:xfrm>
                              <a:off x="0" y="0"/>
                              <a:ext cx="7425" cy="5060"/>
                            </a:xfrm>
                            <a:custGeom>
                              <a:avLst/>
                              <a:gdLst>
                                <a:gd name="A1" fmla="val 0"/>
                                <a:gd name="A2" fmla="val 0"/>
                              </a:gdLst>
                              <a:ahLst/>
                              <a:cxnLst/>
                              <a:rect l="0" t="0" r="0" b="0"/>
                              <a:pathLst>
                                <a:path w="7425" h="5060">
                                  <a:moveTo>
                                    <a:pt x="7423" y="519"/>
                                  </a:moveTo>
                                  <a:lnTo>
                                    <a:pt x="7408" y="519"/>
                                  </a:lnTo>
                                  <a:lnTo>
                                    <a:pt x="7406" y="499"/>
                                  </a:lnTo>
                                  <a:lnTo>
                                    <a:pt x="7406" y="499"/>
                                  </a:lnTo>
                                  <a:lnTo>
                                    <a:pt x="7405" y="479"/>
                                  </a:lnTo>
                                  <a:lnTo>
                                    <a:pt x="7420" y="479"/>
                                  </a:lnTo>
                                  <a:lnTo>
                                    <a:pt x="7421" y="499"/>
                                  </a:lnTo>
                                  <a:lnTo>
                                    <a:pt x="7423" y="519"/>
                                  </a:lnTo>
                                  <a:close/>
                                </a:path>
                              </a:pathLst>
                            </a:custGeom>
                            <a:solidFill>
                              <a:srgbClr val="000000"/>
                            </a:solidFill>
                            <a:ln>
                              <a:noFill/>
                            </a:ln>
                          </wps:spPr>
                          <wps:bodyPr upright="1"/>
                        </wps:wsp>
                        <wps:wsp>
                          <wps:cNvPr id="43" name="任意多边形 43"/>
                          <wps:cNvSpPr/>
                          <wps:spPr>
                            <a:xfrm>
                              <a:off x="0" y="0"/>
                              <a:ext cx="7425" cy="5060"/>
                            </a:xfrm>
                            <a:custGeom>
                              <a:avLst/>
                              <a:gdLst>
                                <a:gd name="A1" fmla="val 0"/>
                                <a:gd name="A2" fmla="val 0"/>
                              </a:gdLst>
                              <a:ahLst/>
                              <a:cxnLst/>
                              <a:rect l="0" t="0" r="0" b="0"/>
                              <a:pathLst>
                                <a:path w="7425" h="5060">
                                  <a:moveTo>
                                    <a:pt x="19" y="4559"/>
                                  </a:moveTo>
                                  <a:lnTo>
                                    <a:pt x="2" y="4559"/>
                                  </a:lnTo>
                                  <a:lnTo>
                                    <a:pt x="1" y="4539"/>
                                  </a:lnTo>
                                  <a:lnTo>
                                    <a:pt x="0" y="4519"/>
                                  </a:lnTo>
                                  <a:lnTo>
                                    <a:pt x="0" y="4499"/>
                                  </a:lnTo>
                                  <a:lnTo>
                                    <a:pt x="0" y="539"/>
                                  </a:lnTo>
                                  <a:lnTo>
                                    <a:pt x="0" y="519"/>
                                  </a:lnTo>
                                  <a:lnTo>
                                    <a:pt x="15" y="519"/>
                                  </a:lnTo>
                                  <a:lnTo>
                                    <a:pt x="15" y="539"/>
                                  </a:lnTo>
                                  <a:lnTo>
                                    <a:pt x="15" y="4499"/>
                                  </a:lnTo>
                                  <a:lnTo>
                                    <a:pt x="15" y="4519"/>
                                  </a:lnTo>
                                  <a:lnTo>
                                    <a:pt x="16" y="4539"/>
                                  </a:lnTo>
                                  <a:lnTo>
                                    <a:pt x="17" y="4539"/>
                                  </a:lnTo>
                                  <a:lnTo>
                                    <a:pt x="19" y="4559"/>
                                  </a:lnTo>
                                  <a:close/>
                                </a:path>
                              </a:pathLst>
                            </a:custGeom>
                            <a:solidFill>
                              <a:srgbClr val="000000"/>
                            </a:solidFill>
                            <a:ln>
                              <a:noFill/>
                            </a:ln>
                          </wps:spPr>
                          <wps:bodyPr upright="1"/>
                        </wps:wsp>
                        <wps:wsp>
                          <wps:cNvPr id="44" name="任意多边形 44"/>
                          <wps:cNvSpPr/>
                          <wps:spPr>
                            <a:xfrm>
                              <a:off x="0" y="0"/>
                              <a:ext cx="7425" cy="5060"/>
                            </a:xfrm>
                            <a:custGeom>
                              <a:avLst/>
                              <a:gdLst>
                                <a:gd name="A1" fmla="val 0"/>
                                <a:gd name="A2" fmla="val 0"/>
                              </a:gdLst>
                              <a:ahLst/>
                              <a:cxnLst/>
                              <a:rect l="0" t="0" r="0" b="0"/>
                              <a:pathLst>
                                <a:path w="7425" h="5060">
                                  <a:moveTo>
                                    <a:pt x="7421" y="4559"/>
                                  </a:moveTo>
                                  <a:lnTo>
                                    <a:pt x="7405" y="4559"/>
                                  </a:lnTo>
                                  <a:lnTo>
                                    <a:pt x="7406" y="4539"/>
                                  </a:lnTo>
                                  <a:lnTo>
                                    <a:pt x="7408" y="4539"/>
                                  </a:lnTo>
                                  <a:lnTo>
                                    <a:pt x="7408" y="4519"/>
                                  </a:lnTo>
                                  <a:lnTo>
                                    <a:pt x="7408" y="4519"/>
                                  </a:lnTo>
                                  <a:lnTo>
                                    <a:pt x="7409" y="4499"/>
                                  </a:lnTo>
                                  <a:lnTo>
                                    <a:pt x="7409" y="539"/>
                                  </a:lnTo>
                                  <a:lnTo>
                                    <a:pt x="7408" y="519"/>
                                  </a:lnTo>
                                  <a:lnTo>
                                    <a:pt x="7423" y="519"/>
                                  </a:lnTo>
                                  <a:lnTo>
                                    <a:pt x="7424" y="539"/>
                                  </a:lnTo>
                                  <a:lnTo>
                                    <a:pt x="7424" y="4499"/>
                                  </a:lnTo>
                                  <a:lnTo>
                                    <a:pt x="7423" y="4519"/>
                                  </a:lnTo>
                                  <a:lnTo>
                                    <a:pt x="7423" y="4539"/>
                                  </a:lnTo>
                                  <a:lnTo>
                                    <a:pt x="7421" y="4559"/>
                                  </a:lnTo>
                                  <a:close/>
                                </a:path>
                              </a:pathLst>
                            </a:custGeom>
                            <a:solidFill>
                              <a:srgbClr val="000000"/>
                            </a:solidFill>
                            <a:ln>
                              <a:noFill/>
                            </a:ln>
                          </wps:spPr>
                          <wps:bodyPr upright="1"/>
                        </wps:wsp>
                        <wps:wsp>
                          <wps:cNvPr id="45" name="任意多边形 45"/>
                          <wps:cNvSpPr/>
                          <wps:spPr>
                            <a:xfrm>
                              <a:off x="0" y="0"/>
                              <a:ext cx="7425" cy="5060"/>
                            </a:xfrm>
                            <a:custGeom>
                              <a:avLst/>
                              <a:gdLst>
                                <a:gd name="A1" fmla="val 0"/>
                                <a:gd name="A2" fmla="val 0"/>
                              </a:gdLst>
                              <a:ahLst/>
                              <a:cxnLst/>
                              <a:rect l="0" t="0" r="0" b="0"/>
                              <a:pathLst>
                                <a:path w="7425" h="5060">
                                  <a:moveTo>
                                    <a:pt x="23" y="4599"/>
                                  </a:moveTo>
                                  <a:lnTo>
                                    <a:pt x="8" y="4599"/>
                                  </a:lnTo>
                                  <a:lnTo>
                                    <a:pt x="6" y="4579"/>
                                  </a:lnTo>
                                  <a:lnTo>
                                    <a:pt x="4" y="4559"/>
                                  </a:lnTo>
                                  <a:lnTo>
                                    <a:pt x="19" y="4559"/>
                                  </a:lnTo>
                                  <a:lnTo>
                                    <a:pt x="21" y="4579"/>
                                  </a:lnTo>
                                  <a:lnTo>
                                    <a:pt x="21" y="4579"/>
                                  </a:lnTo>
                                  <a:lnTo>
                                    <a:pt x="23" y="4599"/>
                                  </a:lnTo>
                                  <a:close/>
                                </a:path>
                              </a:pathLst>
                            </a:custGeom>
                            <a:solidFill>
                              <a:srgbClr val="000000"/>
                            </a:solidFill>
                            <a:ln>
                              <a:noFill/>
                            </a:ln>
                          </wps:spPr>
                          <wps:bodyPr upright="1"/>
                        </wps:wsp>
                        <wps:wsp>
                          <wps:cNvPr id="46" name="任意多边形 46"/>
                          <wps:cNvSpPr/>
                          <wps:spPr>
                            <a:xfrm>
                              <a:off x="0" y="0"/>
                              <a:ext cx="7425" cy="5060"/>
                            </a:xfrm>
                            <a:custGeom>
                              <a:avLst/>
                              <a:gdLst>
                                <a:gd name="A1" fmla="val 0"/>
                                <a:gd name="A2" fmla="val 0"/>
                              </a:gdLst>
                              <a:ahLst/>
                              <a:cxnLst/>
                              <a:rect l="0" t="0" r="0" b="0"/>
                              <a:pathLst>
                                <a:path w="7425" h="5060">
                                  <a:moveTo>
                                    <a:pt x="7415" y="4599"/>
                                  </a:moveTo>
                                  <a:lnTo>
                                    <a:pt x="7401" y="4599"/>
                                  </a:lnTo>
                                  <a:lnTo>
                                    <a:pt x="7403" y="4579"/>
                                  </a:lnTo>
                                  <a:lnTo>
                                    <a:pt x="7403" y="4579"/>
                                  </a:lnTo>
                                  <a:lnTo>
                                    <a:pt x="7405" y="4559"/>
                                  </a:lnTo>
                                  <a:lnTo>
                                    <a:pt x="7420" y="4559"/>
                                  </a:lnTo>
                                  <a:lnTo>
                                    <a:pt x="7418" y="4579"/>
                                  </a:lnTo>
                                  <a:lnTo>
                                    <a:pt x="7415" y="4599"/>
                                  </a:lnTo>
                                  <a:close/>
                                </a:path>
                              </a:pathLst>
                            </a:custGeom>
                            <a:solidFill>
                              <a:srgbClr val="000000"/>
                            </a:solidFill>
                            <a:ln>
                              <a:noFill/>
                            </a:ln>
                          </wps:spPr>
                          <wps:bodyPr upright="1"/>
                        </wps:wsp>
                        <wps:wsp>
                          <wps:cNvPr id="47" name="任意多边形 47"/>
                          <wps:cNvSpPr/>
                          <wps:spPr>
                            <a:xfrm>
                              <a:off x="0" y="0"/>
                              <a:ext cx="7425" cy="5060"/>
                            </a:xfrm>
                            <a:custGeom>
                              <a:avLst/>
                              <a:gdLst>
                                <a:gd name="A1" fmla="val 0"/>
                                <a:gd name="A2" fmla="val 0"/>
                              </a:gdLst>
                              <a:ahLst/>
                              <a:cxnLst/>
                              <a:rect l="0" t="0" r="0" b="0"/>
                              <a:pathLst>
                                <a:path w="7425" h="5060">
                                  <a:moveTo>
                                    <a:pt x="32" y="4639"/>
                                  </a:moveTo>
                                  <a:lnTo>
                                    <a:pt x="17" y="4639"/>
                                  </a:lnTo>
                                  <a:lnTo>
                                    <a:pt x="14" y="4619"/>
                                  </a:lnTo>
                                  <a:lnTo>
                                    <a:pt x="11" y="4599"/>
                                  </a:lnTo>
                                  <a:lnTo>
                                    <a:pt x="26" y="4599"/>
                                  </a:lnTo>
                                  <a:lnTo>
                                    <a:pt x="29" y="4619"/>
                                  </a:lnTo>
                                  <a:lnTo>
                                    <a:pt x="28" y="4619"/>
                                  </a:lnTo>
                                  <a:lnTo>
                                    <a:pt x="32" y="4639"/>
                                  </a:lnTo>
                                  <a:close/>
                                </a:path>
                              </a:pathLst>
                            </a:custGeom>
                            <a:solidFill>
                              <a:srgbClr val="000000"/>
                            </a:solidFill>
                            <a:ln>
                              <a:noFill/>
                            </a:ln>
                          </wps:spPr>
                          <wps:bodyPr upright="1"/>
                        </wps:wsp>
                        <wps:wsp>
                          <wps:cNvPr id="48" name="任意多边形 48"/>
                          <wps:cNvSpPr/>
                          <wps:spPr>
                            <a:xfrm>
                              <a:off x="0" y="0"/>
                              <a:ext cx="7425" cy="5060"/>
                            </a:xfrm>
                            <a:custGeom>
                              <a:avLst/>
                              <a:gdLst>
                                <a:gd name="A1" fmla="val 0"/>
                                <a:gd name="A2" fmla="val 0"/>
                              </a:gdLst>
                              <a:ahLst/>
                              <a:cxnLst/>
                              <a:rect l="0" t="0" r="0" b="0"/>
                              <a:pathLst>
                                <a:path w="7425" h="5060">
                                  <a:moveTo>
                                    <a:pt x="7406" y="4639"/>
                                  </a:moveTo>
                                  <a:lnTo>
                                    <a:pt x="7392" y="4639"/>
                                  </a:lnTo>
                                  <a:lnTo>
                                    <a:pt x="7395" y="4619"/>
                                  </a:lnTo>
                                  <a:lnTo>
                                    <a:pt x="7395" y="4619"/>
                                  </a:lnTo>
                                  <a:lnTo>
                                    <a:pt x="7398" y="4599"/>
                                  </a:lnTo>
                                  <a:lnTo>
                                    <a:pt x="7413" y="4599"/>
                                  </a:lnTo>
                                  <a:lnTo>
                                    <a:pt x="7410" y="4619"/>
                                  </a:lnTo>
                                  <a:lnTo>
                                    <a:pt x="7406" y="4639"/>
                                  </a:lnTo>
                                  <a:close/>
                                </a:path>
                              </a:pathLst>
                            </a:custGeom>
                            <a:solidFill>
                              <a:srgbClr val="000000"/>
                            </a:solidFill>
                            <a:ln>
                              <a:noFill/>
                            </a:ln>
                          </wps:spPr>
                          <wps:bodyPr upright="1"/>
                        </wps:wsp>
                        <wps:wsp>
                          <wps:cNvPr id="49" name="任意多边形 49"/>
                          <wps:cNvSpPr/>
                          <wps:spPr>
                            <a:xfrm>
                              <a:off x="0" y="0"/>
                              <a:ext cx="7425" cy="5060"/>
                            </a:xfrm>
                            <a:custGeom>
                              <a:avLst/>
                              <a:gdLst>
                                <a:gd name="A1" fmla="val 0"/>
                                <a:gd name="A2" fmla="val 0"/>
                              </a:gdLst>
                              <a:ahLst/>
                              <a:cxnLst/>
                              <a:rect l="0" t="0" r="0" b="0"/>
                              <a:pathLst>
                                <a:path w="7425" h="5060">
                                  <a:moveTo>
                                    <a:pt x="43" y="4679"/>
                                  </a:moveTo>
                                  <a:lnTo>
                                    <a:pt x="29" y="4679"/>
                                  </a:lnTo>
                                  <a:lnTo>
                                    <a:pt x="25" y="4659"/>
                                  </a:lnTo>
                                  <a:lnTo>
                                    <a:pt x="21" y="4639"/>
                                  </a:lnTo>
                                  <a:lnTo>
                                    <a:pt x="35" y="4639"/>
                                  </a:lnTo>
                                  <a:lnTo>
                                    <a:pt x="39" y="4659"/>
                                  </a:lnTo>
                                  <a:lnTo>
                                    <a:pt x="39" y="4659"/>
                                  </a:lnTo>
                                  <a:lnTo>
                                    <a:pt x="43" y="4679"/>
                                  </a:lnTo>
                                  <a:close/>
                                </a:path>
                              </a:pathLst>
                            </a:custGeom>
                            <a:solidFill>
                              <a:srgbClr val="000000"/>
                            </a:solidFill>
                            <a:ln>
                              <a:noFill/>
                            </a:ln>
                          </wps:spPr>
                          <wps:bodyPr upright="1"/>
                        </wps:wsp>
                        <wps:wsp>
                          <wps:cNvPr id="50" name="任意多边形 50"/>
                          <wps:cNvSpPr/>
                          <wps:spPr>
                            <a:xfrm>
                              <a:off x="0" y="0"/>
                              <a:ext cx="7425" cy="5060"/>
                            </a:xfrm>
                            <a:custGeom>
                              <a:avLst/>
                              <a:gdLst>
                                <a:gd name="A1" fmla="val 0"/>
                                <a:gd name="A2" fmla="val 0"/>
                              </a:gdLst>
                              <a:ahLst/>
                              <a:cxnLst/>
                              <a:rect l="0" t="0" r="0" b="0"/>
                              <a:pathLst>
                                <a:path w="7425" h="5060">
                                  <a:moveTo>
                                    <a:pt x="7394" y="4679"/>
                                  </a:moveTo>
                                  <a:lnTo>
                                    <a:pt x="7380" y="4679"/>
                                  </a:lnTo>
                                  <a:lnTo>
                                    <a:pt x="7384" y="4659"/>
                                  </a:lnTo>
                                  <a:lnTo>
                                    <a:pt x="7384" y="4659"/>
                                  </a:lnTo>
                                  <a:lnTo>
                                    <a:pt x="7388" y="4639"/>
                                  </a:lnTo>
                                  <a:lnTo>
                                    <a:pt x="7403" y="4639"/>
                                  </a:lnTo>
                                  <a:lnTo>
                                    <a:pt x="7399" y="4659"/>
                                  </a:lnTo>
                                  <a:lnTo>
                                    <a:pt x="7394" y="4679"/>
                                  </a:lnTo>
                                  <a:close/>
                                </a:path>
                              </a:pathLst>
                            </a:custGeom>
                            <a:solidFill>
                              <a:srgbClr val="000000"/>
                            </a:solidFill>
                            <a:ln>
                              <a:noFill/>
                            </a:ln>
                          </wps:spPr>
                          <wps:bodyPr upright="1"/>
                        </wps:wsp>
                        <wps:wsp>
                          <wps:cNvPr id="51" name="任意多边形 51"/>
                          <wps:cNvSpPr/>
                          <wps:spPr>
                            <a:xfrm>
                              <a:off x="0" y="0"/>
                              <a:ext cx="7425" cy="5060"/>
                            </a:xfrm>
                            <a:custGeom>
                              <a:avLst/>
                              <a:gdLst>
                                <a:gd name="A1" fmla="val 0"/>
                                <a:gd name="A2" fmla="val 0"/>
                              </a:gdLst>
                              <a:ahLst/>
                              <a:cxnLst/>
                              <a:rect l="0" t="0" r="0" b="0"/>
                              <a:pathLst>
                                <a:path w="7425" h="5060">
                                  <a:moveTo>
                                    <a:pt x="48" y="4679"/>
                                  </a:moveTo>
                                  <a:lnTo>
                                    <a:pt x="43" y="4679"/>
                                  </a:lnTo>
                                  <a:lnTo>
                                    <a:pt x="43" y="4659"/>
                                  </a:lnTo>
                                  <a:lnTo>
                                    <a:pt x="48" y="4679"/>
                                  </a:lnTo>
                                  <a:close/>
                                </a:path>
                              </a:pathLst>
                            </a:custGeom>
                            <a:solidFill>
                              <a:srgbClr val="000000"/>
                            </a:solidFill>
                            <a:ln>
                              <a:noFill/>
                            </a:ln>
                          </wps:spPr>
                          <wps:bodyPr upright="1"/>
                        </wps:wsp>
                        <wps:wsp>
                          <wps:cNvPr id="52" name="任意多边形 52"/>
                          <wps:cNvSpPr/>
                          <wps:spPr>
                            <a:xfrm>
                              <a:off x="0" y="0"/>
                              <a:ext cx="7425" cy="5060"/>
                            </a:xfrm>
                            <a:custGeom>
                              <a:avLst/>
                              <a:gdLst>
                                <a:gd name="A1" fmla="val 0"/>
                                <a:gd name="A2" fmla="val 0"/>
                              </a:gdLst>
                              <a:ahLst/>
                              <a:cxnLst/>
                              <a:rect l="0" t="0" r="0" b="0"/>
                              <a:pathLst>
                                <a:path w="7425" h="5060">
                                  <a:moveTo>
                                    <a:pt x="7380" y="4679"/>
                                  </a:moveTo>
                                  <a:lnTo>
                                    <a:pt x="7376" y="4679"/>
                                  </a:lnTo>
                                  <a:lnTo>
                                    <a:pt x="7380" y="4659"/>
                                  </a:lnTo>
                                  <a:lnTo>
                                    <a:pt x="7380" y="4679"/>
                                  </a:lnTo>
                                  <a:close/>
                                </a:path>
                              </a:pathLst>
                            </a:custGeom>
                            <a:solidFill>
                              <a:srgbClr val="000000"/>
                            </a:solidFill>
                            <a:ln>
                              <a:noFill/>
                            </a:ln>
                          </wps:spPr>
                          <wps:bodyPr upright="1"/>
                        </wps:wsp>
                        <wps:wsp>
                          <wps:cNvPr id="53" name="任意多边形 53"/>
                          <wps:cNvSpPr/>
                          <wps:spPr>
                            <a:xfrm>
                              <a:off x="0" y="0"/>
                              <a:ext cx="7425" cy="5060"/>
                            </a:xfrm>
                            <a:custGeom>
                              <a:avLst/>
                              <a:gdLst>
                                <a:gd name="A1" fmla="val 0"/>
                                <a:gd name="A2" fmla="val 0"/>
                              </a:gdLst>
                              <a:ahLst/>
                              <a:cxnLst/>
                              <a:rect l="0" t="0" r="0" b="0"/>
                              <a:pathLst>
                                <a:path w="7425" h="5060">
                                  <a:moveTo>
                                    <a:pt x="63" y="4719"/>
                                  </a:moveTo>
                                  <a:lnTo>
                                    <a:pt x="44" y="4719"/>
                                  </a:lnTo>
                                  <a:lnTo>
                                    <a:pt x="39" y="4699"/>
                                  </a:lnTo>
                                  <a:lnTo>
                                    <a:pt x="34" y="4679"/>
                                  </a:lnTo>
                                  <a:lnTo>
                                    <a:pt x="48" y="4679"/>
                                  </a:lnTo>
                                  <a:lnTo>
                                    <a:pt x="53" y="4699"/>
                                  </a:lnTo>
                                  <a:lnTo>
                                    <a:pt x="58" y="4699"/>
                                  </a:lnTo>
                                  <a:lnTo>
                                    <a:pt x="63" y="4719"/>
                                  </a:lnTo>
                                  <a:close/>
                                </a:path>
                              </a:pathLst>
                            </a:custGeom>
                            <a:solidFill>
                              <a:srgbClr val="000000"/>
                            </a:solidFill>
                            <a:ln>
                              <a:noFill/>
                            </a:ln>
                          </wps:spPr>
                          <wps:bodyPr upright="1"/>
                        </wps:wsp>
                        <wps:wsp>
                          <wps:cNvPr id="54" name="任意多边形 54"/>
                          <wps:cNvSpPr/>
                          <wps:spPr>
                            <a:xfrm>
                              <a:off x="0" y="0"/>
                              <a:ext cx="7425" cy="5060"/>
                            </a:xfrm>
                            <a:custGeom>
                              <a:avLst/>
                              <a:gdLst>
                                <a:gd name="A1" fmla="val 0"/>
                                <a:gd name="A2" fmla="val 0"/>
                              </a:gdLst>
                              <a:ahLst/>
                              <a:cxnLst/>
                              <a:rect l="0" t="0" r="0" b="0"/>
                              <a:pathLst>
                                <a:path w="7425" h="5060">
                                  <a:moveTo>
                                    <a:pt x="7380" y="4719"/>
                                  </a:moveTo>
                                  <a:lnTo>
                                    <a:pt x="7360" y="4719"/>
                                  </a:lnTo>
                                  <a:lnTo>
                                    <a:pt x="7366" y="4699"/>
                                  </a:lnTo>
                                  <a:lnTo>
                                    <a:pt x="7371" y="4699"/>
                                  </a:lnTo>
                                  <a:lnTo>
                                    <a:pt x="7376" y="4679"/>
                                  </a:lnTo>
                                  <a:lnTo>
                                    <a:pt x="7390" y="4679"/>
                                  </a:lnTo>
                                  <a:lnTo>
                                    <a:pt x="7385" y="4699"/>
                                  </a:lnTo>
                                  <a:lnTo>
                                    <a:pt x="7380" y="4719"/>
                                  </a:lnTo>
                                  <a:close/>
                                </a:path>
                              </a:pathLst>
                            </a:custGeom>
                            <a:solidFill>
                              <a:srgbClr val="000000"/>
                            </a:solidFill>
                            <a:ln>
                              <a:noFill/>
                            </a:ln>
                          </wps:spPr>
                          <wps:bodyPr upright="1"/>
                        </wps:wsp>
                        <wps:wsp>
                          <wps:cNvPr id="55" name="任意多边形 55"/>
                          <wps:cNvSpPr/>
                          <wps:spPr>
                            <a:xfrm>
                              <a:off x="0" y="0"/>
                              <a:ext cx="7425" cy="5060"/>
                            </a:xfrm>
                            <a:custGeom>
                              <a:avLst/>
                              <a:gdLst>
                                <a:gd name="A1" fmla="val 0"/>
                                <a:gd name="A2" fmla="val 0"/>
                              </a:gdLst>
                              <a:ahLst/>
                              <a:cxnLst/>
                              <a:rect l="0" t="0" r="0" b="0"/>
                              <a:pathLst>
                                <a:path w="7425" h="5060">
                                  <a:moveTo>
                                    <a:pt x="81" y="4759"/>
                                  </a:moveTo>
                                  <a:lnTo>
                                    <a:pt x="62" y="4759"/>
                                  </a:lnTo>
                                  <a:lnTo>
                                    <a:pt x="55" y="4739"/>
                                  </a:lnTo>
                                  <a:lnTo>
                                    <a:pt x="50" y="4719"/>
                                  </a:lnTo>
                                  <a:lnTo>
                                    <a:pt x="63" y="4719"/>
                                  </a:lnTo>
                                  <a:lnTo>
                                    <a:pt x="69" y="4739"/>
                                  </a:lnTo>
                                  <a:lnTo>
                                    <a:pt x="75" y="4739"/>
                                  </a:lnTo>
                                  <a:lnTo>
                                    <a:pt x="81" y="4759"/>
                                  </a:lnTo>
                                  <a:close/>
                                </a:path>
                              </a:pathLst>
                            </a:custGeom>
                            <a:solidFill>
                              <a:srgbClr val="000000"/>
                            </a:solidFill>
                            <a:ln>
                              <a:noFill/>
                            </a:ln>
                          </wps:spPr>
                          <wps:bodyPr upright="1"/>
                        </wps:wsp>
                        <wps:wsp>
                          <wps:cNvPr id="56" name="任意多边形 56"/>
                          <wps:cNvSpPr/>
                          <wps:spPr>
                            <a:xfrm>
                              <a:off x="0" y="0"/>
                              <a:ext cx="7425" cy="5060"/>
                            </a:xfrm>
                            <a:custGeom>
                              <a:avLst/>
                              <a:gdLst>
                                <a:gd name="A1" fmla="val 0"/>
                                <a:gd name="A2" fmla="val 0"/>
                              </a:gdLst>
                              <a:ahLst/>
                              <a:cxnLst/>
                              <a:rect l="0" t="0" r="0" b="0"/>
                              <a:pathLst>
                                <a:path w="7425" h="5060">
                                  <a:moveTo>
                                    <a:pt x="7362" y="4759"/>
                                  </a:moveTo>
                                  <a:lnTo>
                                    <a:pt x="7342" y="4759"/>
                                  </a:lnTo>
                                  <a:lnTo>
                                    <a:pt x="7349" y="4739"/>
                                  </a:lnTo>
                                  <a:lnTo>
                                    <a:pt x="7355" y="4739"/>
                                  </a:lnTo>
                                  <a:lnTo>
                                    <a:pt x="7360" y="4719"/>
                                  </a:lnTo>
                                  <a:lnTo>
                                    <a:pt x="7374" y="4719"/>
                                  </a:lnTo>
                                  <a:lnTo>
                                    <a:pt x="7368" y="4739"/>
                                  </a:lnTo>
                                  <a:lnTo>
                                    <a:pt x="7362" y="4759"/>
                                  </a:lnTo>
                                  <a:close/>
                                </a:path>
                              </a:pathLst>
                            </a:custGeom>
                            <a:solidFill>
                              <a:srgbClr val="000000"/>
                            </a:solidFill>
                            <a:ln>
                              <a:noFill/>
                            </a:ln>
                          </wps:spPr>
                          <wps:bodyPr upright="1"/>
                        </wps:wsp>
                        <wps:wsp>
                          <wps:cNvPr id="57" name="任意多边形 57"/>
                          <wps:cNvSpPr/>
                          <wps:spPr>
                            <a:xfrm>
                              <a:off x="0" y="0"/>
                              <a:ext cx="7425" cy="5060"/>
                            </a:xfrm>
                            <a:custGeom>
                              <a:avLst/>
                              <a:gdLst>
                                <a:gd name="A1" fmla="val 0"/>
                                <a:gd name="A2" fmla="val 0"/>
                              </a:gdLst>
                              <a:ahLst/>
                              <a:cxnLst/>
                              <a:rect l="0" t="0" r="0" b="0"/>
                              <a:pathLst>
                                <a:path w="7425" h="5060">
                                  <a:moveTo>
                                    <a:pt x="94" y="4779"/>
                                  </a:moveTo>
                                  <a:lnTo>
                                    <a:pt x="75" y="4779"/>
                                  </a:lnTo>
                                  <a:lnTo>
                                    <a:pt x="68" y="4759"/>
                                  </a:lnTo>
                                  <a:lnTo>
                                    <a:pt x="88" y="4759"/>
                                  </a:lnTo>
                                  <a:lnTo>
                                    <a:pt x="94" y="4779"/>
                                  </a:lnTo>
                                  <a:close/>
                                </a:path>
                              </a:pathLst>
                            </a:custGeom>
                            <a:solidFill>
                              <a:srgbClr val="000000"/>
                            </a:solidFill>
                            <a:ln>
                              <a:noFill/>
                            </a:ln>
                          </wps:spPr>
                          <wps:bodyPr upright="1"/>
                        </wps:wsp>
                        <wps:wsp>
                          <wps:cNvPr id="58" name="任意多边形 58"/>
                          <wps:cNvSpPr/>
                          <wps:spPr>
                            <a:xfrm>
                              <a:off x="0" y="0"/>
                              <a:ext cx="7425" cy="5060"/>
                            </a:xfrm>
                            <a:custGeom>
                              <a:avLst/>
                              <a:gdLst>
                                <a:gd name="A1" fmla="val 0"/>
                                <a:gd name="A2" fmla="val 0"/>
                              </a:gdLst>
                              <a:ahLst/>
                              <a:cxnLst/>
                              <a:rect l="0" t="0" r="0" b="0"/>
                              <a:pathLst>
                                <a:path w="7425" h="5060">
                                  <a:moveTo>
                                    <a:pt x="7349" y="4779"/>
                                  </a:moveTo>
                                  <a:lnTo>
                                    <a:pt x="7329" y="4779"/>
                                  </a:lnTo>
                                  <a:lnTo>
                                    <a:pt x="7336" y="4759"/>
                                  </a:lnTo>
                                  <a:lnTo>
                                    <a:pt x="7356" y="4759"/>
                                  </a:lnTo>
                                  <a:lnTo>
                                    <a:pt x="7349" y="4779"/>
                                  </a:lnTo>
                                  <a:close/>
                                </a:path>
                              </a:pathLst>
                            </a:custGeom>
                            <a:solidFill>
                              <a:srgbClr val="000000"/>
                            </a:solidFill>
                            <a:ln>
                              <a:noFill/>
                            </a:ln>
                          </wps:spPr>
                          <wps:bodyPr upright="1"/>
                        </wps:wsp>
                        <wps:wsp>
                          <wps:cNvPr id="59" name="任意多边形 59"/>
                          <wps:cNvSpPr/>
                          <wps:spPr>
                            <a:xfrm>
                              <a:off x="0" y="0"/>
                              <a:ext cx="7425" cy="5060"/>
                            </a:xfrm>
                            <a:custGeom>
                              <a:avLst/>
                              <a:gdLst>
                                <a:gd name="A1" fmla="val 0"/>
                                <a:gd name="A2" fmla="val 0"/>
                              </a:gdLst>
                              <a:ahLst/>
                              <a:cxnLst/>
                              <a:rect l="0" t="0" r="0" b="0"/>
                              <a:pathLst>
                                <a:path w="7425" h="5060">
                                  <a:moveTo>
                                    <a:pt x="116" y="4819"/>
                                  </a:moveTo>
                                  <a:lnTo>
                                    <a:pt x="96" y="4819"/>
                                  </a:lnTo>
                                  <a:lnTo>
                                    <a:pt x="89" y="4799"/>
                                  </a:lnTo>
                                  <a:lnTo>
                                    <a:pt x="82" y="4779"/>
                                  </a:lnTo>
                                  <a:lnTo>
                                    <a:pt x="94" y="4779"/>
                                  </a:lnTo>
                                  <a:lnTo>
                                    <a:pt x="102" y="4799"/>
                                  </a:lnTo>
                                  <a:lnTo>
                                    <a:pt x="109" y="4799"/>
                                  </a:lnTo>
                                  <a:lnTo>
                                    <a:pt x="116" y="4819"/>
                                  </a:lnTo>
                                  <a:close/>
                                </a:path>
                              </a:pathLst>
                            </a:custGeom>
                            <a:solidFill>
                              <a:srgbClr val="000000"/>
                            </a:solidFill>
                            <a:ln>
                              <a:noFill/>
                            </a:ln>
                          </wps:spPr>
                          <wps:bodyPr upright="1"/>
                        </wps:wsp>
                        <wps:wsp>
                          <wps:cNvPr id="60" name="任意多边形 60"/>
                          <wps:cNvSpPr/>
                          <wps:spPr>
                            <a:xfrm>
                              <a:off x="0" y="0"/>
                              <a:ext cx="7425" cy="5060"/>
                            </a:xfrm>
                            <a:custGeom>
                              <a:avLst/>
                              <a:gdLst>
                                <a:gd name="A1" fmla="val 0"/>
                                <a:gd name="A2" fmla="val 0"/>
                              </a:gdLst>
                              <a:ahLst/>
                              <a:cxnLst/>
                              <a:rect l="0" t="0" r="0" b="0"/>
                              <a:pathLst>
                                <a:path w="7425" h="5060">
                                  <a:moveTo>
                                    <a:pt x="7327" y="4819"/>
                                  </a:moveTo>
                                  <a:lnTo>
                                    <a:pt x="7307" y="4819"/>
                                  </a:lnTo>
                                  <a:lnTo>
                                    <a:pt x="7315" y="4799"/>
                                  </a:lnTo>
                                  <a:lnTo>
                                    <a:pt x="7322" y="4799"/>
                                  </a:lnTo>
                                  <a:lnTo>
                                    <a:pt x="7329" y="4779"/>
                                  </a:lnTo>
                                  <a:lnTo>
                                    <a:pt x="7342" y="4779"/>
                                  </a:lnTo>
                                  <a:lnTo>
                                    <a:pt x="7335" y="4799"/>
                                  </a:lnTo>
                                  <a:lnTo>
                                    <a:pt x="7327" y="4819"/>
                                  </a:lnTo>
                                  <a:close/>
                                </a:path>
                              </a:pathLst>
                            </a:custGeom>
                            <a:solidFill>
                              <a:srgbClr val="000000"/>
                            </a:solidFill>
                            <a:ln>
                              <a:noFill/>
                            </a:ln>
                          </wps:spPr>
                          <wps:bodyPr upright="1"/>
                        </wps:wsp>
                        <wps:wsp>
                          <wps:cNvPr id="61" name="任意多边形 61"/>
                          <wps:cNvSpPr/>
                          <wps:spPr>
                            <a:xfrm>
                              <a:off x="0" y="0"/>
                              <a:ext cx="7425" cy="5060"/>
                            </a:xfrm>
                            <a:custGeom>
                              <a:avLst/>
                              <a:gdLst>
                                <a:gd name="A1" fmla="val 0"/>
                                <a:gd name="A2" fmla="val 0"/>
                              </a:gdLst>
                              <a:ahLst/>
                              <a:cxnLst/>
                              <a:rect l="0" t="0" r="0" b="0"/>
                              <a:pathLst>
                                <a:path w="7425" h="5060">
                                  <a:moveTo>
                                    <a:pt x="132" y="4839"/>
                                  </a:moveTo>
                                  <a:lnTo>
                                    <a:pt x="112" y="4839"/>
                                  </a:lnTo>
                                  <a:lnTo>
                                    <a:pt x="104" y="4819"/>
                                  </a:lnTo>
                                  <a:lnTo>
                                    <a:pt x="124" y="4819"/>
                                  </a:lnTo>
                                  <a:lnTo>
                                    <a:pt x="132" y="4839"/>
                                  </a:lnTo>
                                  <a:close/>
                                </a:path>
                              </a:pathLst>
                            </a:custGeom>
                            <a:solidFill>
                              <a:srgbClr val="000000"/>
                            </a:solidFill>
                            <a:ln>
                              <a:noFill/>
                            </a:ln>
                          </wps:spPr>
                          <wps:bodyPr upright="1"/>
                        </wps:wsp>
                        <wps:wsp>
                          <wps:cNvPr id="62" name="任意多边形 62"/>
                          <wps:cNvSpPr/>
                          <wps:spPr>
                            <a:xfrm>
                              <a:off x="0" y="0"/>
                              <a:ext cx="7425" cy="5060"/>
                            </a:xfrm>
                            <a:custGeom>
                              <a:avLst/>
                              <a:gdLst>
                                <a:gd name="A1" fmla="val 0"/>
                                <a:gd name="A2" fmla="val 0"/>
                              </a:gdLst>
                              <a:ahLst/>
                              <a:cxnLst/>
                              <a:rect l="0" t="0" r="0" b="0"/>
                              <a:pathLst>
                                <a:path w="7425" h="5060">
                                  <a:moveTo>
                                    <a:pt x="7311" y="4839"/>
                                  </a:moveTo>
                                  <a:lnTo>
                                    <a:pt x="7291" y="4839"/>
                                  </a:lnTo>
                                  <a:lnTo>
                                    <a:pt x="7299" y="4819"/>
                                  </a:lnTo>
                                  <a:lnTo>
                                    <a:pt x="7319" y="4819"/>
                                  </a:lnTo>
                                  <a:lnTo>
                                    <a:pt x="7311" y="4839"/>
                                  </a:lnTo>
                                  <a:close/>
                                </a:path>
                              </a:pathLst>
                            </a:custGeom>
                            <a:solidFill>
                              <a:srgbClr val="000000"/>
                            </a:solidFill>
                            <a:ln>
                              <a:noFill/>
                            </a:ln>
                          </wps:spPr>
                          <wps:bodyPr upright="1"/>
                        </wps:wsp>
                        <wps:wsp>
                          <wps:cNvPr id="63" name="任意多边形 63"/>
                          <wps:cNvSpPr/>
                          <wps:spPr>
                            <a:xfrm>
                              <a:off x="0" y="0"/>
                              <a:ext cx="7425" cy="5060"/>
                            </a:xfrm>
                            <a:custGeom>
                              <a:avLst/>
                              <a:gdLst>
                                <a:gd name="A1" fmla="val 0"/>
                                <a:gd name="A2" fmla="val 0"/>
                              </a:gdLst>
                              <a:ahLst/>
                              <a:cxnLst/>
                              <a:rect l="0" t="0" r="0" b="0"/>
                              <a:pathLst>
                                <a:path w="7425" h="5060">
                                  <a:moveTo>
                                    <a:pt x="149" y="4859"/>
                                  </a:moveTo>
                                  <a:lnTo>
                                    <a:pt x="129" y="4859"/>
                                  </a:lnTo>
                                  <a:lnTo>
                                    <a:pt x="121" y="4839"/>
                                  </a:lnTo>
                                  <a:lnTo>
                                    <a:pt x="141" y="4839"/>
                                  </a:lnTo>
                                  <a:lnTo>
                                    <a:pt x="149" y="4859"/>
                                  </a:lnTo>
                                  <a:close/>
                                </a:path>
                              </a:pathLst>
                            </a:custGeom>
                            <a:solidFill>
                              <a:srgbClr val="000000"/>
                            </a:solidFill>
                            <a:ln>
                              <a:noFill/>
                            </a:ln>
                          </wps:spPr>
                          <wps:bodyPr upright="1"/>
                        </wps:wsp>
                        <wps:wsp>
                          <wps:cNvPr id="64" name="任意多边形 64"/>
                          <wps:cNvSpPr/>
                          <wps:spPr>
                            <a:xfrm>
                              <a:off x="0" y="0"/>
                              <a:ext cx="7425" cy="5060"/>
                            </a:xfrm>
                            <a:custGeom>
                              <a:avLst/>
                              <a:gdLst>
                                <a:gd name="A1" fmla="val 0"/>
                                <a:gd name="A2" fmla="val 0"/>
                              </a:gdLst>
                              <a:ahLst/>
                              <a:cxnLst/>
                              <a:rect l="0" t="0" r="0" b="0"/>
                              <a:pathLst>
                                <a:path w="7425" h="5060">
                                  <a:moveTo>
                                    <a:pt x="7294" y="4859"/>
                                  </a:moveTo>
                                  <a:lnTo>
                                    <a:pt x="7274" y="4859"/>
                                  </a:lnTo>
                                  <a:lnTo>
                                    <a:pt x="7283" y="4839"/>
                                  </a:lnTo>
                                  <a:lnTo>
                                    <a:pt x="7303" y="4839"/>
                                  </a:lnTo>
                                  <a:lnTo>
                                    <a:pt x="7294" y="4859"/>
                                  </a:lnTo>
                                  <a:close/>
                                </a:path>
                              </a:pathLst>
                            </a:custGeom>
                            <a:solidFill>
                              <a:srgbClr val="000000"/>
                            </a:solidFill>
                            <a:ln>
                              <a:noFill/>
                            </a:ln>
                          </wps:spPr>
                          <wps:bodyPr upright="1"/>
                        </wps:wsp>
                        <wps:wsp>
                          <wps:cNvPr id="65" name="任意多边形 65"/>
                          <wps:cNvSpPr/>
                          <wps:spPr>
                            <a:xfrm>
                              <a:off x="0" y="0"/>
                              <a:ext cx="7425" cy="5060"/>
                            </a:xfrm>
                            <a:custGeom>
                              <a:avLst/>
                              <a:gdLst>
                                <a:gd name="A1" fmla="val 0"/>
                                <a:gd name="A2" fmla="val 0"/>
                              </a:gdLst>
                              <a:ahLst/>
                              <a:cxnLst/>
                              <a:rect l="0" t="0" r="0" b="0"/>
                              <a:pathLst>
                                <a:path w="7425" h="5060">
                                  <a:moveTo>
                                    <a:pt x="167" y="4879"/>
                                  </a:moveTo>
                                  <a:lnTo>
                                    <a:pt x="147" y="4879"/>
                                  </a:lnTo>
                                  <a:lnTo>
                                    <a:pt x="138" y="4859"/>
                                  </a:lnTo>
                                  <a:lnTo>
                                    <a:pt x="158" y="4859"/>
                                  </a:lnTo>
                                  <a:lnTo>
                                    <a:pt x="167" y="4879"/>
                                  </a:lnTo>
                                  <a:close/>
                                </a:path>
                              </a:pathLst>
                            </a:custGeom>
                            <a:solidFill>
                              <a:srgbClr val="000000"/>
                            </a:solidFill>
                            <a:ln>
                              <a:noFill/>
                            </a:ln>
                          </wps:spPr>
                          <wps:bodyPr upright="1"/>
                        </wps:wsp>
                        <wps:wsp>
                          <wps:cNvPr id="66" name="任意多边形 66"/>
                          <wps:cNvSpPr/>
                          <wps:spPr>
                            <a:xfrm>
                              <a:off x="0" y="0"/>
                              <a:ext cx="7425" cy="5060"/>
                            </a:xfrm>
                            <a:custGeom>
                              <a:avLst/>
                              <a:gdLst>
                                <a:gd name="A1" fmla="val 0"/>
                                <a:gd name="A2" fmla="val 0"/>
                              </a:gdLst>
                              <a:ahLst/>
                              <a:cxnLst/>
                              <a:rect l="0" t="0" r="0" b="0"/>
                              <a:pathLst>
                                <a:path w="7425" h="5060">
                                  <a:moveTo>
                                    <a:pt x="7277" y="4879"/>
                                  </a:moveTo>
                                  <a:lnTo>
                                    <a:pt x="7256" y="4879"/>
                                  </a:lnTo>
                                  <a:lnTo>
                                    <a:pt x="7265" y="4859"/>
                                  </a:lnTo>
                                  <a:lnTo>
                                    <a:pt x="7286" y="4859"/>
                                  </a:lnTo>
                                  <a:lnTo>
                                    <a:pt x="7277" y="4879"/>
                                  </a:lnTo>
                                  <a:close/>
                                </a:path>
                              </a:pathLst>
                            </a:custGeom>
                            <a:solidFill>
                              <a:srgbClr val="000000"/>
                            </a:solidFill>
                            <a:ln>
                              <a:noFill/>
                            </a:ln>
                          </wps:spPr>
                          <wps:bodyPr upright="1"/>
                        </wps:wsp>
                        <wps:wsp>
                          <wps:cNvPr id="67" name="任意多边形 67"/>
                          <wps:cNvSpPr/>
                          <wps:spPr>
                            <a:xfrm>
                              <a:off x="0" y="0"/>
                              <a:ext cx="7425" cy="5060"/>
                            </a:xfrm>
                            <a:custGeom>
                              <a:avLst/>
                              <a:gdLst>
                                <a:gd name="A1" fmla="val 0"/>
                                <a:gd name="A2" fmla="val 0"/>
                              </a:gdLst>
                              <a:ahLst/>
                              <a:cxnLst/>
                              <a:rect l="0" t="0" r="0" b="0"/>
                              <a:pathLst>
                                <a:path w="7425" h="5060">
                                  <a:moveTo>
                                    <a:pt x="186" y="4899"/>
                                  </a:moveTo>
                                  <a:lnTo>
                                    <a:pt x="166" y="4899"/>
                                  </a:lnTo>
                                  <a:lnTo>
                                    <a:pt x="156" y="4879"/>
                                  </a:lnTo>
                                  <a:lnTo>
                                    <a:pt x="176" y="4879"/>
                                  </a:lnTo>
                                  <a:lnTo>
                                    <a:pt x="186" y="4899"/>
                                  </a:lnTo>
                                  <a:close/>
                                </a:path>
                              </a:pathLst>
                            </a:custGeom>
                            <a:solidFill>
                              <a:srgbClr val="000000"/>
                            </a:solidFill>
                            <a:ln>
                              <a:noFill/>
                            </a:ln>
                          </wps:spPr>
                          <wps:bodyPr upright="1"/>
                        </wps:wsp>
                        <wps:wsp>
                          <wps:cNvPr id="68" name="任意多边形 68"/>
                          <wps:cNvSpPr/>
                          <wps:spPr>
                            <a:xfrm>
                              <a:off x="0" y="0"/>
                              <a:ext cx="7425" cy="5060"/>
                            </a:xfrm>
                            <a:custGeom>
                              <a:avLst/>
                              <a:gdLst>
                                <a:gd name="A1" fmla="val 0"/>
                                <a:gd name="A2" fmla="val 0"/>
                              </a:gdLst>
                              <a:ahLst/>
                              <a:cxnLst/>
                              <a:rect l="0" t="0" r="0" b="0"/>
                              <a:pathLst>
                                <a:path w="7425" h="5060">
                                  <a:moveTo>
                                    <a:pt x="7258" y="4899"/>
                                  </a:moveTo>
                                  <a:lnTo>
                                    <a:pt x="7238" y="4899"/>
                                  </a:lnTo>
                                  <a:lnTo>
                                    <a:pt x="7247" y="4879"/>
                                  </a:lnTo>
                                  <a:lnTo>
                                    <a:pt x="7267" y="4879"/>
                                  </a:lnTo>
                                  <a:lnTo>
                                    <a:pt x="7258" y="4899"/>
                                  </a:lnTo>
                                  <a:close/>
                                </a:path>
                              </a:pathLst>
                            </a:custGeom>
                            <a:solidFill>
                              <a:srgbClr val="000000"/>
                            </a:solidFill>
                            <a:ln>
                              <a:noFill/>
                            </a:ln>
                          </wps:spPr>
                          <wps:bodyPr upright="1"/>
                        </wps:wsp>
                        <wps:wsp>
                          <wps:cNvPr id="69" name="任意多边形 69"/>
                          <wps:cNvSpPr/>
                          <wps:spPr>
                            <a:xfrm>
                              <a:off x="0" y="0"/>
                              <a:ext cx="7425" cy="5060"/>
                            </a:xfrm>
                            <a:custGeom>
                              <a:avLst/>
                              <a:gdLst>
                                <a:gd name="A1" fmla="val 0"/>
                                <a:gd name="A2" fmla="val 0"/>
                              </a:gdLst>
                              <a:ahLst/>
                              <a:cxnLst/>
                              <a:rect l="0" t="0" r="0" b="0"/>
                              <a:pathLst>
                                <a:path w="7425" h="5060">
                                  <a:moveTo>
                                    <a:pt x="206" y="4919"/>
                                  </a:moveTo>
                                  <a:lnTo>
                                    <a:pt x="186" y="4919"/>
                                  </a:lnTo>
                                  <a:lnTo>
                                    <a:pt x="176" y="4899"/>
                                  </a:lnTo>
                                  <a:lnTo>
                                    <a:pt x="196" y="4899"/>
                                  </a:lnTo>
                                  <a:lnTo>
                                    <a:pt x="206" y="4919"/>
                                  </a:lnTo>
                                  <a:close/>
                                </a:path>
                              </a:pathLst>
                            </a:custGeom>
                            <a:solidFill>
                              <a:srgbClr val="000000"/>
                            </a:solidFill>
                            <a:ln>
                              <a:noFill/>
                            </a:ln>
                          </wps:spPr>
                          <wps:bodyPr upright="1"/>
                        </wps:wsp>
                        <wps:wsp>
                          <wps:cNvPr id="70" name="任意多边形 70"/>
                          <wps:cNvSpPr/>
                          <wps:spPr>
                            <a:xfrm>
                              <a:off x="0" y="0"/>
                              <a:ext cx="7425" cy="5060"/>
                            </a:xfrm>
                            <a:custGeom>
                              <a:avLst/>
                              <a:gdLst>
                                <a:gd name="A1" fmla="val 0"/>
                                <a:gd name="A2" fmla="val 0"/>
                              </a:gdLst>
                              <a:ahLst/>
                              <a:cxnLst/>
                              <a:rect l="0" t="0" r="0" b="0"/>
                              <a:pathLst>
                                <a:path w="7425" h="5060">
                                  <a:moveTo>
                                    <a:pt x="7238" y="4919"/>
                                  </a:moveTo>
                                  <a:lnTo>
                                    <a:pt x="7218" y="4919"/>
                                  </a:lnTo>
                                  <a:lnTo>
                                    <a:pt x="7228" y="4899"/>
                                  </a:lnTo>
                                  <a:lnTo>
                                    <a:pt x="7248" y="4899"/>
                                  </a:lnTo>
                                  <a:lnTo>
                                    <a:pt x="7238" y="4919"/>
                                  </a:lnTo>
                                  <a:close/>
                                </a:path>
                              </a:pathLst>
                            </a:custGeom>
                            <a:solidFill>
                              <a:srgbClr val="000000"/>
                            </a:solidFill>
                            <a:ln>
                              <a:noFill/>
                            </a:ln>
                          </wps:spPr>
                          <wps:bodyPr upright="1"/>
                        </wps:wsp>
                        <wps:wsp>
                          <wps:cNvPr id="71" name="任意多边形 71"/>
                          <wps:cNvSpPr/>
                          <wps:spPr>
                            <a:xfrm>
                              <a:off x="0" y="0"/>
                              <a:ext cx="7425" cy="5060"/>
                            </a:xfrm>
                            <a:custGeom>
                              <a:avLst/>
                              <a:gdLst>
                                <a:gd name="A1" fmla="val 0"/>
                                <a:gd name="A2" fmla="val 0"/>
                              </a:gdLst>
                              <a:ahLst/>
                              <a:cxnLst/>
                              <a:rect l="0" t="0" r="0" b="0"/>
                              <a:pathLst>
                                <a:path w="7425" h="5060">
                                  <a:moveTo>
                                    <a:pt x="237" y="4939"/>
                                  </a:moveTo>
                                  <a:lnTo>
                                    <a:pt x="206" y="4939"/>
                                  </a:lnTo>
                                  <a:lnTo>
                                    <a:pt x="196" y="4919"/>
                                  </a:lnTo>
                                  <a:lnTo>
                                    <a:pt x="226" y="4919"/>
                                  </a:lnTo>
                                  <a:lnTo>
                                    <a:pt x="237" y="4939"/>
                                  </a:lnTo>
                                  <a:close/>
                                </a:path>
                              </a:pathLst>
                            </a:custGeom>
                            <a:solidFill>
                              <a:srgbClr val="000000"/>
                            </a:solidFill>
                            <a:ln>
                              <a:noFill/>
                            </a:ln>
                          </wps:spPr>
                          <wps:bodyPr upright="1"/>
                        </wps:wsp>
                        <wps:wsp>
                          <wps:cNvPr id="72" name="任意多边形 72"/>
                          <wps:cNvSpPr/>
                          <wps:spPr>
                            <a:xfrm>
                              <a:off x="0" y="0"/>
                              <a:ext cx="7425" cy="5060"/>
                            </a:xfrm>
                            <a:custGeom>
                              <a:avLst/>
                              <a:gdLst>
                                <a:gd name="A1" fmla="val 0"/>
                                <a:gd name="A2" fmla="val 0"/>
                              </a:gdLst>
                              <a:ahLst/>
                              <a:cxnLst/>
                              <a:rect l="0" t="0" r="0" b="0"/>
                              <a:pathLst>
                                <a:path w="7425" h="5060">
                                  <a:moveTo>
                                    <a:pt x="7217" y="4939"/>
                                  </a:moveTo>
                                  <a:lnTo>
                                    <a:pt x="7187" y="4939"/>
                                  </a:lnTo>
                                  <a:lnTo>
                                    <a:pt x="7198" y="4919"/>
                                  </a:lnTo>
                                  <a:lnTo>
                                    <a:pt x="7228" y="4919"/>
                                  </a:lnTo>
                                  <a:lnTo>
                                    <a:pt x="7217" y="4939"/>
                                  </a:lnTo>
                                  <a:close/>
                                </a:path>
                              </a:pathLst>
                            </a:custGeom>
                            <a:solidFill>
                              <a:srgbClr val="000000"/>
                            </a:solidFill>
                            <a:ln>
                              <a:noFill/>
                            </a:ln>
                          </wps:spPr>
                          <wps:bodyPr upright="1"/>
                        </wps:wsp>
                        <wps:wsp>
                          <wps:cNvPr id="73" name="任意多边形 73"/>
                          <wps:cNvSpPr/>
                          <wps:spPr>
                            <a:xfrm>
                              <a:off x="0" y="0"/>
                              <a:ext cx="7425" cy="5060"/>
                            </a:xfrm>
                            <a:custGeom>
                              <a:avLst/>
                              <a:gdLst>
                                <a:gd name="A1" fmla="val 0"/>
                                <a:gd name="A2" fmla="val 0"/>
                              </a:gdLst>
                              <a:ahLst/>
                              <a:cxnLst/>
                              <a:rect l="0" t="0" r="0" b="0"/>
                              <a:pathLst>
                                <a:path w="7425" h="5060">
                                  <a:moveTo>
                                    <a:pt x="258" y="4959"/>
                                  </a:moveTo>
                                  <a:lnTo>
                                    <a:pt x="239" y="4959"/>
                                  </a:lnTo>
                                  <a:lnTo>
                                    <a:pt x="228" y="4939"/>
                                  </a:lnTo>
                                  <a:lnTo>
                                    <a:pt x="247" y="4939"/>
                                  </a:lnTo>
                                  <a:lnTo>
                                    <a:pt x="258" y="4959"/>
                                  </a:lnTo>
                                  <a:close/>
                                </a:path>
                              </a:pathLst>
                            </a:custGeom>
                            <a:solidFill>
                              <a:srgbClr val="000000"/>
                            </a:solidFill>
                            <a:ln>
                              <a:noFill/>
                            </a:ln>
                          </wps:spPr>
                          <wps:bodyPr upright="1"/>
                        </wps:wsp>
                        <wps:wsp>
                          <wps:cNvPr id="74" name="任意多边形 74"/>
                          <wps:cNvSpPr/>
                          <wps:spPr>
                            <a:xfrm>
                              <a:off x="0" y="0"/>
                              <a:ext cx="7425" cy="5060"/>
                            </a:xfrm>
                            <a:custGeom>
                              <a:avLst/>
                              <a:gdLst>
                                <a:gd name="A1" fmla="val 0"/>
                                <a:gd name="A2" fmla="val 0"/>
                              </a:gdLst>
                              <a:ahLst/>
                              <a:cxnLst/>
                              <a:rect l="0" t="0" r="0" b="0"/>
                              <a:pathLst>
                                <a:path w="7425" h="5060">
                                  <a:moveTo>
                                    <a:pt x="7185" y="4959"/>
                                  </a:moveTo>
                                  <a:lnTo>
                                    <a:pt x="7165" y="4959"/>
                                  </a:lnTo>
                                  <a:lnTo>
                                    <a:pt x="7176" y="4939"/>
                                  </a:lnTo>
                                  <a:lnTo>
                                    <a:pt x="7196" y="4939"/>
                                  </a:lnTo>
                                  <a:lnTo>
                                    <a:pt x="7185" y="4959"/>
                                  </a:lnTo>
                                  <a:close/>
                                </a:path>
                              </a:pathLst>
                            </a:custGeom>
                            <a:solidFill>
                              <a:srgbClr val="000000"/>
                            </a:solidFill>
                            <a:ln>
                              <a:noFill/>
                            </a:ln>
                          </wps:spPr>
                          <wps:bodyPr upright="1"/>
                        </wps:wsp>
                        <wps:wsp>
                          <wps:cNvPr id="75" name="任意多边形 75"/>
                          <wps:cNvSpPr/>
                          <wps:spPr>
                            <a:xfrm>
                              <a:off x="0" y="0"/>
                              <a:ext cx="7425" cy="5060"/>
                            </a:xfrm>
                            <a:custGeom>
                              <a:avLst/>
                              <a:gdLst>
                                <a:gd name="A1" fmla="val 0"/>
                                <a:gd name="A2" fmla="val 0"/>
                              </a:gdLst>
                              <a:ahLst/>
                              <a:cxnLst/>
                              <a:rect l="0" t="0" r="0" b="0"/>
                              <a:pathLst>
                                <a:path w="7425" h="5060">
                                  <a:moveTo>
                                    <a:pt x="292" y="4979"/>
                                  </a:moveTo>
                                  <a:lnTo>
                                    <a:pt x="261" y="4979"/>
                                  </a:lnTo>
                                  <a:lnTo>
                                    <a:pt x="250" y="4959"/>
                                  </a:lnTo>
                                  <a:lnTo>
                                    <a:pt x="281" y="4959"/>
                                  </a:lnTo>
                                  <a:lnTo>
                                    <a:pt x="292" y="4979"/>
                                  </a:lnTo>
                                  <a:close/>
                                </a:path>
                              </a:pathLst>
                            </a:custGeom>
                            <a:solidFill>
                              <a:srgbClr val="000000"/>
                            </a:solidFill>
                            <a:ln>
                              <a:noFill/>
                            </a:ln>
                          </wps:spPr>
                          <wps:bodyPr upright="1"/>
                        </wps:wsp>
                        <wps:wsp>
                          <wps:cNvPr id="76" name="任意多边形 76"/>
                          <wps:cNvSpPr/>
                          <wps:spPr>
                            <a:xfrm>
                              <a:off x="0" y="0"/>
                              <a:ext cx="7425" cy="5060"/>
                            </a:xfrm>
                            <a:custGeom>
                              <a:avLst/>
                              <a:gdLst>
                                <a:gd name="A1" fmla="val 0"/>
                                <a:gd name="A2" fmla="val 0"/>
                              </a:gdLst>
                              <a:ahLst/>
                              <a:cxnLst/>
                              <a:rect l="0" t="0" r="0" b="0"/>
                              <a:pathLst>
                                <a:path w="7425" h="5060">
                                  <a:moveTo>
                                    <a:pt x="7162" y="4979"/>
                                  </a:moveTo>
                                  <a:lnTo>
                                    <a:pt x="7131" y="4979"/>
                                  </a:lnTo>
                                  <a:lnTo>
                                    <a:pt x="7143" y="4959"/>
                                  </a:lnTo>
                                  <a:lnTo>
                                    <a:pt x="7174" y="4959"/>
                                  </a:lnTo>
                                  <a:lnTo>
                                    <a:pt x="7162" y="4979"/>
                                  </a:lnTo>
                                  <a:close/>
                                </a:path>
                              </a:pathLst>
                            </a:custGeom>
                            <a:solidFill>
                              <a:srgbClr val="000000"/>
                            </a:solidFill>
                            <a:ln>
                              <a:noFill/>
                            </a:ln>
                          </wps:spPr>
                          <wps:bodyPr upright="1"/>
                        </wps:wsp>
                        <wps:wsp>
                          <wps:cNvPr id="77" name="任意多边形 77"/>
                          <wps:cNvSpPr/>
                          <wps:spPr>
                            <a:xfrm>
                              <a:off x="0" y="0"/>
                              <a:ext cx="7425" cy="5060"/>
                            </a:xfrm>
                            <a:custGeom>
                              <a:avLst/>
                              <a:gdLst>
                                <a:gd name="A1" fmla="val 0"/>
                                <a:gd name="A2" fmla="val 0"/>
                              </a:gdLst>
                              <a:ahLst/>
                              <a:cxnLst/>
                              <a:rect l="0" t="0" r="0" b="0"/>
                              <a:pathLst>
                                <a:path w="7425" h="5060">
                                  <a:moveTo>
                                    <a:pt x="328" y="4999"/>
                                  </a:moveTo>
                                  <a:lnTo>
                                    <a:pt x="297" y="4999"/>
                                  </a:lnTo>
                                  <a:lnTo>
                                    <a:pt x="285" y="4979"/>
                                  </a:lnTo>
                                  <a:lnTo>
                                    <a:pt x="316" y="4979"/>
                                  </a:lnTo>
                                  <a:lnTo>
                                    <a:pt x="328" y="4999"/>
                                  </a:lnTo>
                                  <a:close/>
                                </a:path>
                              </a:pathLst>
                            </a:custGeom>
                            <a:solidFill>
                              <a:srgbClr val="000000"/>
                            </a:solidFill>
                            <a:ln>
                              <a:noFill/>
                            </a:ln>
                          </wps:spPr>
                          <wps:bodyPr upright="1"/>
                        </wps:wsp>
                        <wps:wsp>
                          <wps:cNvPr id="78" name="任意多边形 78"/>
                          <wps:cNvSpPr/>
                          <wps:spPr>
                            <a:xfrm>
                              <a:off x="0" y="0"/>
                              <a:ext cx="7425" cy="5060"/>
                            </a:xfrm>
                            <a:custGeom>
                              <a:avLst/>
                              <a:gdLst>
                                <a:gd name="A1" fmla="val 0"/>
                                <a:gd name="A2" fmla="val 0"/>
                              </a:gdLst>
                              <a:ahLst/>
                              <a:cxnLst/>
                              <a:rect l="0" t="0" r="0" b="0"/>
                              <a:pathLst>
                                <a:path w="7425" h="5060">
                                  <a:moveTo>
                                    <a:pt x="7127" y="4999"/>
                                  </a:moveTo>
                                  <a:lnTo>
                                    <a:pt x="7096" y="4999"/>
                                  </a:lnTo>
                                  <a:lnTo>
                                    <a:pt x="7108" y="4979"/>
                                  </a:lnTo>
                                  <a:lnTo>
                                    <a:pt x="7139" y="4979"/>
                                  </a:lnTo>
                                  <a:lnTo>
                                    <a:pt x="7127" y="4999"/>
                                  </a:lnTo>
                                  <a:close/>
                                </a:path>
                              </a:pathLst>
                            </a:custGeom>
                            <a:solidFill>
                              <a:srgbClr val="000000"/>
                            </a:solidFill>
                            <a:ln>
                              <a:noFill/>
                            </a:ln>
                          </wps:spPr>
                          <wps:bodyPr upright="1"/>
                        </wps:wsp>
                        <wps:wsp>
                          <wps:cNvPr id="79" name="任意多边形 79"/>
                          <wps:cNvSpPr/>
                          <wps:spPr>
                            <a:xfrm>
                              <a:off x="0" y="0"/>
                              <a:ext cx="7425" cy="5060"/>
                            </a:xfrm>
                            <a:custGeom>
                              <a:avLst/>
                              <a:gdLst>
                                <a:gd name="A1" fmla="val 0"/>
                                <a:gd name="A2" fmla="val 0"/>
                              </a:gdLst>
                              <a:ahLst/>
                              <a:cxnLst/>
                              <a:rect l="0" t="0" r="0" b="0"/>
                              <a:pathLst>
                                <a:path w="7425" h="5060">
                                  <a:moveTo>
                                    <a:pt x="378" y="5019"/>
                                  </a:moveTo>
                                  <a:lnTo>
                                    <a:pt x="334" y="5019"/>
                                  </a:lnTo>
                                  <a:lnTo>
                                    <a:pt x="321" y="4999"/>
                                  </a:lnTo>
                                  <a:lnTo>
                                    <a:pt x="365" y="4999"/>
                                  </a:lnTo>
                                  <a:lnTo>
                                    <a:pt x="378" y="5019"/>
                                  </a:lnTo>
                                  <a:close/>
                                </a:path>
                              </a:pathLst>
                            </a:custGeom>
                            <a:solidFill>
                              <a:srgbClr val="000000"/>
                            </a:solidFill>
                            <a:ln>
                              <a:noFill/>
                            </a:ln>
                          </wps:spPr>
                          <wps:bodyPr upright="1"/>
                        </wps:wsp>
                        <wps:wsp>
                          <wps:cNvPr id="80" name="任意多边形 80"/>
                          <wps:cNvSpPr/>
                          <wps:spPr>
                            <a:xfrm>
                              <a:off x="0" y="0"/>
                              <a:ext cx="7425" cy="5060"/>
                            </a:xfrm>
                            <a:custGeom>
                              <a:avLst/>
                              <a:gdLst>
                                <a:gd name="A1" fmla="val 0"/>
                                <a:gd name="A2" fmla="val 0"/>
                              </a:gdLst>
                              <a:ahLst/>
                              <a:cxnLst/>
                              <a:rect l="0" t="0" r="0" b="0"/>
                              <a:pathLst>
                                <a:path w="7425" h="5060">
                                  <a:moveTo>
                                    <a:pt x="7090" y="5019"/>
                                  </a:moveTo>
                                  <a:lnTo>
                                    <a:pt x="7046" y="5019"/>
                                  </a:lnTo>
                                  <a:lnTo>
                                    <a:pt x="7059" y="4999"/>
                                  </a:lnTo>
                                  <a:lnTo>
                                    <a:pt x="7102" y="4999"/>
                                  </a:lnTo>
                                  <a:lnTo>
                                    <a:pt x="7090" y="5019"/>
                                  </a:lnTo>
                                  <a:close/>
                                </a:path>
                              </a:pathLst>
                            </a:custGeom>
                            <a:solidFill>
                              <a:srgbClr val="000000"/>
                            </a:solidFill>
                            <a:ln>
                              <a:noFill/>
                            </a:ln>
                          </wps:spPr>
                          <wps:bodyPr upright="1"/>
                        </wps:wsp>
                        <wps:wsp>
                          <wps:cNvPr id="81" name="任意多边形 81"/>
                          <wps:cNvSpPr/>
                          <wps:spPr>
                            <a:xfrm>
                              <a:off x="0" y="0"/>
                              <a:ext cx="7425" cy="5060"/>
                            </a:xfrm>
                            <a:custGeom>
                              <a:avLst/>
                              <a:gdLst>
                                <a:gd name="A1" fmla="val 0"/>
                                <a:gd name="A2" fmla="val 0"/>
                              </a:gdLst>
                              <a:ahLst/>
                              <a:cxnLst/>
                              <a:rect l="0" t="0" r="0" b="0"/>
                              <a:pathLst>
                                <a:path w="7425" h="5060">
                                  <a:moveTo>
                                    <a:pt x="443" y="5039"/>
                                  </a:moveTo>
                                  <a:lnTo>
                                    <a:pt x="385" y="5039"/>
                                  </a:lnTo>
                                  <a:lnTo>
                                    <a:pt x="372" y="5019"/>
                                  </a:lnTo>
                                  <a:lnTo>
                                    <a:pt x="429" y="5019"/>
                                  </a:lnTo>
                                  <a:lnTo>
                                    <a:pt x="443" y="5039"/>
                                  </a:lnTo>
                                  <a:close/>
                                </a:path>
                              </a:pathLst>
                            </a:custGeom>
                            <a:solidFill>
                              <a:srgbClr val="000000"/>
                            </a:solidFill>
                            <a:ln>
                              <a:noFill/>
                            </a:ln>
                          </wps:spPr>
                          <wps:bodyPr upright="1"/>
                        </wps:wsp>
                        <wps:wsp>
                          <wps:cNvPr id="82" name="任意多边形 82"/>
                          <wps:cNvSpPr/>
                          <wps:spPr>
                            <a:xfrm>
                              <a:off x="0" y="0"/>
                              <a:ext cx="7425" cy="5060"/>
                            </a:xfrm>
                            <a:custGeom>
                              <a:avLst/>
                              <a:gdLst>
                                <a:gd name="A1" fmla="val 0"/>
                                <a:gd name="A2" fmla="val 0"/>
                              </a:gdLst>
                              <a:ahLst/>
                              <a:cxnLst/>
                              <a:rect l="0" t="0" r="0" b="0"/>
                              <a:pathLst>
                                <a:path w="7425" h="5060">
                                  <a:moveTo>
                                    <a:pt x="7038" y="5039"/>
                                  </a:moveTo>
                                  <a:lnTo>
                                    <a:pt x="6981" y="5039"/>
                                  </a:lnTo>
                                  <a:lnTo>
                                    <a:pt x="6994" y="5019"/>
                                  </a:lnTo>
                                  <a:lnTo>
                                    <a:pt x="7051" y="5019"/>
                                  </a:lnTo>
                                  <a:lnTo>
                                    <a:pt x="7038" y="5039"/>
                                  </a:lnTo>
                                  <a:close/>
                                </a:path>
                              </a:pathLst>
                            </a:custGeom>
                            <a:solidFill>
                              <a:srgbClr val="000000"/>
                            </a:solidFill>
                            <a:ln>
                              <a:noFill/>
                            </a:ln>
                          </wps:spPr>
                          <wps:bodyPr upright="1"/>
                        </wps:wsp>
                        <wps:wsp>
                          <wps:cNvPr id="83" name="任意多边形 83"/>
                          <wps:cNvSpPr/>
                          <wps:spPr>
                            <a:xfrm>
                              <a:off x="0" y="0"/>
                              <a:ext cx="7425" cy="5060"/>
                            </a:xfrm>
                            <a:custGeom>
                              <a:avLst/>
                              <a:gdLst>
                                <a:gd name="A1" fmla="val 0"/>
                                <a:gd name="A2" fmla="val 0"/>
                              </a:gdLst>
                              <a:ahLst/>
                              <a:cxnLst/>
                              <a:rect l="0" t="0" r="0" b="0"/>
                              <a:pathLst>
                                <a:path w="7425" h="5060">
                                  <a:moveTo>
                                    <a:pt x="6956" y="5059"/>
                                  </a:moveTo>
                                  <a:lnTo>
                                    <a:pt x="467" y="5059"/>
                                  </a:lnTo>
                                  <a:lnTo>
                                    <a:pt x="453" y="5039"/>
                                  </a:lnTo>
                                  <a:lnTo>
                                    <a:pt x="6970" y="5039"/>
                                  </a:lnTo>
                                  <a:lnTo>
                                    <a:pt x="6956" y="5059"/>
                                  </a:lnTo>
                                  <a:close/>
                                </a:path>
                              </a:pathLst>
                            </a:custGeom>
                            <a:solidFill>
                              <a:srgbClr val="000000"/>
                            </a:solidFill>
                            <a:ln>
                              <a:noFill/>
                            </a:ln>
                          </wps:spPr>
                          <wps:bodyPr upright="1"/>
                        </wps:wsp>
                      </wpg:grpSp>
                    </wpg:wgp>
                  </a:graphicData>
                </a:graphic>
              </wp:inline>
            </w:drawing>
          </mc:Choice>
          <mc:Fallback>
            <w:pict>
              <v:group id="_x0000_s1026" o:spid="_x0000_s1026" o:spt="203" style="height:179.5pt;width:453pt;" coordsize="7425,5060203" o:gfxdata="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">
                <o:lock v:ext="edit" rotation="t" aspectratio="f"/>
                <v:group id="_x0000_s1026" o:spid="_x0000_s1026" o:spt="203" style="position:absolute;left:0;top:0;height:5060;width:7425;" coordsize="7425,5060203"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0;top:0;height:5060;width:7425;" fillcolor="#000000" filled="t" stroked="f" coordsize="7425,5060" o:gfxdata="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DLE0ugAAANoA&#10;AAAPAAAAAAAAAAEAIAAAACIAAABkcnMvZG93bnJldi54bWxQSwECFAAUAAAACACHTuJAMy8FnjsA&#10;AAA5AAAAEAAAAAAAAAABACAAAAAJAQAAZHJzL3NoYXBleG1sLnhtbFBLBQYAAAAABgAGAFsBAACz&#10;AwAAAAA=&#10;" path="m483,19l412,19,426,0,497,0,483,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0N4vQ70AAADa&#10;AAAADwAAAGRycy9kb3ducmV2LnhtbEWPwWrDMBBE74X+g9hCL6WRbYgpTpRgCgEfHEKd9r5YG9vU&#10;WglLjdN+fRQI9DjMzBtmvb2YUZxp8oNlBekiAUHcWj1wp+DzuHt9A+EDssbRMin4JQ/bzePDGgtt&#10;Z/6gcxM6ESHsC1TQh+AKKX3bk0G/sI44eic7GQxRTp3UE84RbkaZJUkuDQ4cF3p09N5T+938GAVf&#10;TV3/ud2Lq/aHzAdfl/mSSqWen9JkBSLQJfyH7+1KK8jhdiXeALm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3i9DvQAA&#10;ANoAAAAPAAAAAAAAAAEAIAAAACIAAABkcnMvZG93bnJldi54bWxQSwECFAAUAAAACACHTuJAMy8F&#10;njsAAAA5AAAAEAAAAAAAAAABACAAAAAMAQAAZHJzL3NoYXBleG1sLnhtbFBLBQYAAAAABgAGAFsB&#10;AAC2AwAAAAA=&#10;" path="m7011,19l6940,19,6926,0,6998,0,7011,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v5KK2LsAAADa&#10;AAAADwAAAGRycy9kb3ducmV2LnhtbEWPT4vCMBTE7wt+h/CEvSyaKuhKNYoIgoeK2NX7o3m2xeYl&#10;NFn/fXojCB6HmfkNM1vcTCMu1PrasoJBPwFBXFhdc6ng8LfuTUD4gKyxsUwK7uRhMe98zTDV9sp7&#10;uuShFBHCPkUFVQguldIXFRn0feuIo3eyrcEQZVtK3eI1wk0jh0kylgZrjgsVOlpVVJzzf6PgmGfZ&#10;w61/3Ga7G/rgs+V4REulvruDZAoi0C18wu/2Riv4hdeVe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5KK2LsAAADa&#10;AAAADwAAAAAAAAABACAAAAAiAAAAZHJzL2Rvd25yZXYueG1sUEsBAhQAFAAAAAgAh07iQDMvBZ47&#10;AAAAOQAAABAAAAAAAAAAAQAgAAAACgEAAGRycy9zaGFwZXhtbC54bWxQSwUGAAAAAAYABgBbAQAA&#10;tAMAAAAA&#10;" path="m390,39l346,39,359,19,403,19,390,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zg0eqroAAADa&#10;AAAADwAAAGRycy9kb3ducmV2LnhtbEVPz2vCMBS+D/Y/hDfwMmxqwSLVVEQQPHSMdfP+aN7asuYl&#10;NNHW/fXLQdjx4/u9289mEDcafW9ZwSpJQRA3VvfcKvj6PC03IHxA1jhYJgV38rAvn592WGg78Qfd&#10;6tCKGMK+QAVdCK6Q0jcdGfSJdcSR+7ajwRDh2Eo94hTDzSCzNM2lwZ5jQ4eOjh01P/XVKLjUVfXr&#10;Tq/u/Pae+eCrQ76mg1KLl1W6BRFoDv/ih/usFcSt8Uq8AbL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DR6qugAAANoA&#10;AAAPAAAAAAAAAAEAIAAAACIAAABkcnMvZG93bnJldi54bWxQSwECFAAUAAAACACHTuJAMy8FnjsA&#10;AAA5AAAAEAAAAAAAAAABACAAAAAJAQAAZHJzL3NoYXBleG1sLnhtbFBLBQYAAAAABgAGAFsBAACz&#10;AwAAAAA=&#10;" path="m7077,39l7033,39,7020,19,7064,19,7077,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oUG7MbsAAADa&#10;AAAADwAAAGRycy9kb3ducmV2LnhtbEWPT4vCMBTE7wt+h/CEvSyaKihrNYoIgoeK2NX7o3m2xeYl&#10;NFn/fXojCB6HmfkNM1vcTCMu1PrasoJBPwFBXFhdc6ng8Lfu/YLwAVljY5kU3MnDYt75mmGq7ZX3&#10;dMlDKSKEfYoKqhBcKqUvKjLo+9YRR+9kW4MhyraUusVrhJtGDpNkLA3WHBcqdLSqqDjn/0bBMc+y&#10;h1v/uM12N/TBZ8vxiJZKfXcHyRREoFv4hN/tjVYwgdeVe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G7MbsAAADa&#10;AAAADwAAAAAAAAABACAAAAAiAAAAZHJzL2Rvd25yZXYueG1sUEsBAhQAFAAAAAgAh07iQDMvBZ47&#10;AAAAOQAAABAAAAAAAAAAAQAgAAAACgEAAGRycy9zaGFwZXhtbC54bWxQSwUGAAAAAAYABgBbAQAA&#10;tAMAAAAA&#10;" path="m340,59l309,59,321,39,352,39,340,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4WPYeb4AAADb&#10;AAAADwAAAGRycy9kb3ducmV2LnhtbEWPT2vCQBDF70K/wzKFXkQ3ChWJriKCkEOKmNb7kJ0modnZ&#10;Jbv+aT+9cyh4m+G9ee836+3d9epKQ+w8G5hNM1DEtbcdNwa+Pg+TJaiYkC32nsnAL0XYbl5Ga8yt&#10;v/GJrlVqlIRwzNFAm1LItY51Sw7j1Adi0b794DDJOjTaDniTcNfreZYttMOOpaHFQPuW6p/q4gyc&#10;q7L8C4dxKD6O85hiuVu8086Yt9dZtgKV6J6e5v/rwgq+0MsvMoDe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WPYeb4A&#10;AADbAAAADwAAAAAAAAABACAAAAAiAAAAZHJzL2Rvd25yZXYueG1sUEsBAhQAFAAAAAgAh07iQDMv&#10;BZ47AAAAOQAAABAAAAAAAAAAAQAgAAAADQEAAGRycy9zaGFwZXhtbC54bWxQSwUGAAAAAAYABgBb&#10;AQAAtwMAAAAA&#10;" path="m7115,59l7084,59,7071,39,7102,39,7115,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ji994rsAAADb&#10;AAAADwAAAGRycy9kb3ducmV2LnhtbEVPTWvDMAy9F/YfjAa9lNVJYGWkcUsZBHJIGUu3u4jVJCyW&#10;Teym3X59PRjspsf7VLG/mVHMNPnBsoJ0nYAgbq0euFPwcSqfXkD4gKxxtEwKvsnDfvewKDDX9srv&#10;NDehEzGEfY4K+hBcLqVvezLo19YRR+5sJ4MhwqmTesJrDDejzJJkIw0OHBt6dPTaU/vVXIyCz6au&#10;f1y5ctXxLfPB14fNMx2UWj6myRZEoFv4F/+5Kx3np/D7SzxA7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i994rsAAADb&#10;AAAADwAAAAAAAAABACAAAAAiAAAAZHJzL2Rvd25yZXYueG1sUEsBAhQAFAAAAAgAh07iQDMvBZ47&#10;AAAAOQAAABAAAAAAAAAAAQAgAAAACgEAAGRycy9zaGFwZXhtbC54bWxQSwUGAAAAAAYABgBbAQAA&#10;tAMAAAAA&#10;" path="m304,79l273,79,285,59,316,59,304,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fv3jlbsAAADb&#10;AAAADwAAAGRycy9kb3ducmV2LnhtbEVPTWvDMAy9F/YfjAa9lNVpYGWkdUsZBHJIGUu3u4jVJCyW&#10;Tewm2X59PRjspsf71P44m16MNPjOsoLNOgFBXFvdcaPg45I/vYDwAVljb5kUfJOH4+FhscdM24nf&#10;aaxCI2II+wwVtCG4TEpft2TQr60jjtzVDgZDhEMj9YBTDDe9TJNkKw12HBtadPTaUv1V3YyCz6os&#10;f1y+csX5LfXBl6ftM52UWj5ukh2IQHP4F/+5Cx3np/D7SzxAH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3jlbsAAADb&#10;AAAADwAAAAAAAAABACAAAAAiAAAAZHJzL2Rvd25yZXYueG1sUEsBAhQAFAAAAAgAh07iQDMvBZ47&#10;AAAAOQAAABAAAAAAAAAAAQAgAAAACgEAAGRycy9zaGFwZXhtbC54bWxQSwUGAAAAAAYABgBbAQAA&#10;tAMAAAAA&#10;" path="m7151,79l7120,79,7108,59,7139,59,7151,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EbFGDrkAAADb&#10;AAAADwAAAGRycy9kb3ducmV2LnhtbEVPS4vCMBC+L/gfwgheFk1VVqQaRQTBQ0W26n1oxrbYTEIT&#10;n7/eCAt7m4/vOfPlwzTiRq2vLSsYDhIQxIXVNZcKjodNfwrCB2SNjWVS8CQPy0Xna46ptnf+pVse&#10;ShFD2KeooArBpVL6oiKDfmAdceTOtjUYImxLqVu8x3DTyFGSTKTBmmNDhY7WFRWX/GoUnPIse7nN&#10;t9vu9iMffLaa/NBKqV53mMxABHqEf/Gfe6vj/DF8fokHyM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GxRg65AAAA2wAA&#10;AA8AAAAAAAAAAQAgAAAAIgAAAGRycy9kb3ducmV2LnhtbFBLAQIUABQAAAAIAIdO4kAzLwWeOwAA&#10;ADkAAAAQAAAAAAAAAAEAIAAAAAgBAABkcnMvc2hhcGV4bWwueG1sUEsFBgAAAAAGAAYAWwEAALID&#10;AAAAAA==&#10;" path="m269,99l239,99,250,79,281,79,269,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nljeerkAAADb&#10;AAAADwAAAGRycy9kb3ducmV2LnhtbEVPS4vCMBC+L/gfwgheFk0VV6QaRQTBQ0W26n1oxrbYTEIT&#10;n7/eCAt7m4/vOfPlwzTiRq2vLSsYDhIQxIXVNZcKjodNfwrCB2SNjWVS8CQPy0Xna46ptnf+pVse&#10;ShFD2KeooArBpVL6oiKDfmAdceTOtjUYImxLqVu8x3DTyFGSTKTBmmNDhY7WFRWX/GoUnPIse7nN&#10;t9vu9iMffLaa/NBKqV53mMxABHqEf/Gfe6vj/DF8fokHyM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Y3nq5AAAA2wAA&#10;AA8AAAAAAAAAAQAgAAAAIgAAAGRycy9kb3ducmV2LnhtbFBLAQIUABQAAAAIAIdO4kAzLwWeOwAA&#10;ADkAAAAQAAAAAAAAAAEAIAAAAAgBAABkcnMvc2hhcGV4bWwueG1sUEsFBgAAAAAGAAYAWwEAALID&#10;AAAAAA==&#10;" path="m7185,99l7154,99,7143,79,7174,79,7185,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8RR74bsAAADb&#10;AAAADwAAAGRycy9kb3ducmV2LnhtbEVPTWvCQBC9F/wPywheSt0oJEjqKiIIHiKlab0P2WkSmp1d&#10;squJ/vquIPQ2j/c56+1oOnGl3reWFSzmCQjiyuqWawXfX4e3FQgfkDV2lknBjTxsN5OXNebaDvxJ&#10;1zLUIoawz1FBE4LLpfRVQwb93DriyP3Y3mCIsK+l7nGI4aaTyyTJpMGWY0ODjvYNVb/lxSg4l0Vx&#10;d4dXdzx9LH3wxS5LaafUbLpI3kEEGsO/+Ok+6jg/hcc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RR74bsAAADb&#10;AAAADwAAAAAAAAABACAAAAAiAAAAZHJzL2Rvd25yZXYueG1sUEsBAhQAFAAAAAgAh07iQDMvBZ47&#10;AAAAOQAAABAAAAAAAAAAAQAgAAAACgEAAGRycy9zaGFwZXhtbC54bWxQSwUGAAAAAAYABgBbAQAA&#10;tAMAAAAA&#10;" path="m237,119l217,119,228,99,247,99,237,1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AcbllrkAAADb&#10;AAAADwAAAGRycy9kb3ducmV2LnhtbEVPS4vCMBC+C/6HMIIX0VRhi1SjiCB46LJY9T40Y1tsJqGJ&#10;z1+/WVjwNh/fc5brp2nFnTrfWFYwnSQgiEurG64UnI678RyED8gaW8uk4EUe1qt+b4mZtg8+0L0I&#10;lYgh7DNUUIfgMil9WZNBP7GOOHIX2xkMEXaV1B0+Yrhp5SxJUmmw4dhQo6NtTeW1uBkF5yLP3243&#10;cvvvn5kPPt+kX7RRajiYJgsQgZ7hI/5373Wcn8LfL/EAuf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HG5Za5AAAA2wAA&#10;AA8AAAAAAAAAAQAgAAAAIgAAAGRycy9kb3ducmV2LnhtbFBLAQIUABQAAAAIAIdO4kAzLwWeOwAA&#10;ADkAAAAQAAAAAAAAAAEAIAAAAAgBAABkcnMvc2hhcGV4bWwueG1sUEsFBgAAAAAGAAYAWwEAALID&#10;AAAAAA==&#10;" path="m7207,119l7187,119,7176,99,7196,99,7207,1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bopADbkAAADb&#10;AAAADwAAAGRycy9kb3ducmV2LnhtbEVPS4vCMBC+L/gfwgh7WTRV0JVqFBEEDxWxq/ehGdtiMwlN&#10;1tevN4LgbT6+58wWN9OIC7W+tqxg0E9AEBdW11wqOPytexMQPiBrbCyTgjt5WMw7XzNMtb3yni55&#10;KEUMYZ+igioEl0rpi4oM+r51xJE72dZgiLAtpW7xGsNNI4dJMpYGa44NFTpaVVSc83+j4Jhn2cOt&#10;f9xmuxv64LPleERLpb67g2QKItAtfMRv90bH+b/w+iUeIO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6KQA25AAAA2wAA&#10;AA8AAAAAAAAAAQAgAAAAIgAAAGRycy9kb3ducmV2LnhtbFBLAQIUABQAAAAIAIdO4kAzLwWeOwAA&#10;ADkAAAAQAAAAAAAAAAEAIAAAAAgBAABkcnMvc2hhcGV4bWwueG1sUEsFBgAAAAAGAAYAWwEAALID&#10;AAAAAA==&#10;" path="m216,139l186,139,196,119,226,119,216,1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HxXUf74AAADb&#10;AAAADwAAAGRycy9kb3ducmV2LnhtbEWPT2vCQBDF70K/wzKFXkQ3ChWJriKCkEOKmNb7kJ0modnZ&#10;Jbv+aT+9cyh4m+G9ee836+3d9epKQ+w8G5hNM1DEtbcdNwa+Pg+TJaiYkC32nsnAL0XYbl5Ga8yt&#10;v/GJrlVqlIRwzNFAm1LItY51Sw7j1Adi0b794DDJOjTaDniTcNfreZYttMOOpaHFQPuW6p/q4gyc&#10;q7L8C4dxKD6O85hiuVu8086Yt9dZtgKV6J6e5v/rwgq+wMovMoDe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XUf74A&#10;AADbAAAADwAAAAAAAAABACAAAAAiAAAAZHJzL2Rvd25yZXYueG1sUEsBAhQAFAAAAAgAh07iQDMv&#10;BZ47AAAAOQAAABAAAAAAAAAAAQAgAAAADQEAAGRycy9zaGFwZXhtbC54bWxQSwUGAAAAAAYABgBb&#10;AQAAtwMAAAAA&#10;" path="m7238,139l7208,139,7197,119,7228,119,7238,1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cFlx5LkAAADb&#10;AAAADwAAAGRycy9kb3ducmV2LnhtbEVPS4vCMBC+L/gfwgh7WTRVUNZqFBEEDxWxq/ehGdtiMwlN&#10;1tevN4LgbT6+58wWN9OIC7W+tqxg0E9AEBdW11wqOPyte78gfEDW2FgmBXfysJh3vmaYanvlPV3y&#10;UIoYwj5FBVUILpXSFxUZ9H3riCN3sq3BEGFbSt3iNYabRg6TZCwN1hwbKnS0qqg45/9GwTHPsodb&#10;/7jNdjf0wWfL8YiWSn13B8kURKBb+Ijf7o2O8yfw+iUeIO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BZceS5AAAA2wAA&#10;AA8AAAAAAAAAAQAgAAAAIgAAAGRycy9kb3ducmV2LnhtbFBLAQIUABQAAAAIAIdO4kAzLwWeOwAA&#10;ADkAAAAQAAAAAAAAAAEAIAAAAAgBAABkcnMvc2hhcGV4bWwueG1sUEsFBgAAAAAGAAYAWwEAALID&#10;AAAAAA==&#10;" path="m186,159l166,159,176,139,196,139,186,1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Lw8SxLgAAADb&#10;AAAADwAAAGRycy9kb3ducmV2LnhtbEVPy4rCMBTdC/5DuIIbGVMLinSMIoLgoiJW3V+aO22Z5iY0&#10;8fn1ZiG4PJz3YvUwrbhR5xvLCibjBARxaXXDlYLzafszB+EDssbWMil4kofVst9bYKbtnY90K0Il&#10;Ygj7DBXUIbhMSl/WZNCPrSOO3J/tDIYIu0rqDu8x3LQyTZKZNNhwbKjR0aam8r+4GgWXIs9fbjty&#10;u/0h9cHn69mU1koNB5PkF0SgR/iKP+6dVpDG9fFL/A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w8SxLgAAADbAAAA&#10;DwAAAAAAAAABACAAAAAiAAAAZHJzL2Rvd25yZXYueG1sUEsBAhQAFAAAAAgAh07iQDMvBZ47AAAA&#10;OQAAABAAAAAAAAAAAQAgAAAABwEAAGRycy9zaGFwZXhtbC54bWxQSwUGAAAAAAYABgBbAQAAsQMA&#10;AAAA&#10;" path="m7258,159l7238,159,7228,139,7248,139,7258,1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QEO3X7wAAADb&#10;AAAADwAAAGRycy9kb3ducmV2LnhtbEWPT4vCMBTE78J+h/AWvIimLShLNYosCB4qYl3vj+bZlm1e&#10;QhP/7H56Iwgeh5n5DbNY3U0nrtT71rKCdJKAIK6sbrlW8HPcjL9A+ICssbNMCv7Iw2r5MVhgru2N&#10;D3QtQy0ihH2OCpoQXC6lrxoy6CfWEUfvbHuDIcq+lrrHW4SbTmZJMpMGW44LDTr6bqj6LS9Gwaks&#10;in+3Gbntbp/54Iv1bEprpYafaTIHEege3uFXe6sVZCk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Dt1+8AAAA&#10;2wAAAA8AAAAAAAAAAQAgAAAAIgAAAGRycy9kb3ducmV2LnhtbFBLAQIUABQAAAAIAIdO4kAzLwWe&#10;OwAAADkAAAAQAAAAAAAAAAEAIAAAAAsBAABkcnMvc2hhcGV4bWwueG1sUEsFBgAAAAAGAAYAWwEA&#10;ALUDAAAAAA==&#10;" path="m167,179l147,179,156,159,176,159,167,1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sJEpKL0AAADb&#10;AAAADwAAAGRycy9kb3ducmV2LnhtbEWPwWrDMBBE74H+g9hCLqGRY2goTpQQCgYfHEqd9r5YG9vU&#10;WglLsd1+fVQo9DjMzBtmf5xNL0YafGdZwWadgCCure64UfBxyZ9eQPiArLG3TAq+ycPx8LDYY6bt&#10;xO80VqEREcI+QwVtCC6T0tctGfRr64ijd7WDwRDl0Eg94BThppdpkmylwY7jQouOXluqv6qbUfBZ&#10;leWPy1euOL+lPvjytH2mk1LLx02yAxFoDv/hv3ahFaQp/H6JP0Ae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kSkovQAA&#10;ANsAAAAPAAAAAAAAAAEAIAAAACIAAABkcnMvZG93bnJldi54bWxQSwECFAAUAAAACACHTuJAMy8F&#10;njsAAAA5AAAAEAAAAAAAAAABACAAAAAMAQAAZHJzL3NoYXBleG1sLnhtbFBLBQYAAAAABgAGAFsB&#10;AAC2AwAAAAA=&#10;" path="m7277,179l7256,179,7247,159,7267,159,7277,1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392Ms7wAAADb&#10;AAAADwAAAGRycy9kb3ducmV2LnhtbEWPT4vCMBTE7wt+h/AEL4umVlakGkUEwUNl2ar3R/Nsi81L&#10;aOLfT28WFvY4zMxvmMXqYVpxo843lhWMRwkI4tLqhisFx8N2OAPhA7LG1jIpeJKH1bL3scBM2zv/&#10;0K0IlYgQ9hkqqENwmZS+rMmgH1lHHL2z7QyGKLtK6g7vEW5amSbJVBpsOC7U6GhTU3kprkbBqcjz&#10;l9t+ut3+O/XB5+vpF62VGvTHyRxEoEf4D/+1d1pBOoH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jLO8AAAA&#10;2wAAAA8AAAAAAAAAAQAgAAAAIgAAAGRycy9kb3ducmV2LnhtbFBLAQIUABQAAAAIAIdO4kAzLwWe&#10;OwAAADkAAAAQAAAAAAAAAAEAIAAAAAsBAABkcnMvc2hhcGV4bWwueG1sUEsFBgAAAAAGAAYAWwEA&#10;ALUDAAAAAA==&#10;" path="m149,199l129,199,138,179,158,179,149,1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UDQUx7wAAADb&#10;AAAADwAAAGRycy9kb3ducmV2LnhtbEWPT4vCMBTE7wt+h/AEL4umFlekGkUEwUNl2ar3R/Nsi81L&#10;aOLfT28WFvY4zMxvmMXqYVpxo843lhWMRwkI4tLqhisFx8N2OAPhA7LG1jIpeJKH1bL3scBM2zv/&#10;0K0IlYgQ9hkqqENwmZS+rMmgH1lHHL2z7QyGKLtK6g7vEW5amSbJVBpsOC7U6GhTU3kprkbBqcjz&#10;l9t+ut3+O/XB5+vpF62VGvTHyRxEoEf4D/+1d1pBOoH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0FMe8AAAA&#10;2wAAAA8AAAAAAAAAAQAgAAAAIgAAAGRycy9kb3ducmV2LnhtbFBLAQIUABQAAAAIAIdO4kAzLwWe&#10;OwAAADkAAAAQAAAAAAAAAAEAIAAAAAsBAABkcnMvc2hhcGV4bWwueG1sUEsFBgAAAAAGAAYAWwEA&#10;ALUDAAAAAA==&#10;" path="m7294,199l7274,199,7265,179,7286,179,7294,1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P3ixXLwAAADb&#10;AAAADwAAAGRycy9kb3ducmV2LnhtbEWPQYvCMBSE78L+h/AW9iKaWlCWahRZEHqoiNW9P5pnW2xe&#10;QpNV119vBMHjMDPfMIvVzXTiQr1vLSuYjBMQxJXVLdcKjofN6BuED8gaO8uk4J88rJYfgwVm2l55&#10;T5cy1CJC2GeooAnBZVL6qiGDfmwdcfROtjcYouxrqXu8RrjpZJokM2mw5bjQoKOfhqpz+WcU/JZF&#10;cXebocu3u9QHX6xnU1or9fU5SeYgAt3CO/xq51pBOoXnl/g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94sVy8AAAA&#10;2wAAAA8AAAAAAAAAAQAgAAAAIgAAAGRycy9kb3ducmV2LnhtbFBLAQIUABQAAAAIAIdO4kAzLwWe&#10;OwAAADkAAAAQAAAAAAAAAAEAIAAAAAsBAABkcnMvc2hhcGV4bWwueG1sUEsFBgAAAAAGAAYAWwEA&#10;ALUDAAAAAA==&#10;" path="m132,219l112,219,121,199,141,199,132,2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z6ovK7wAAADb&#10;AAAADwAAAGRycy9kb3ducmV2LnhtbEWPT4vCMBTE7wt+h/CEvSyaWrBI1ygiCB66iFXvj+ZtW2xe&#10;QpP136ffCILHYWZ+w8yXN9OJC/W+taxgMk5AEFdWt1wrOB42oxkIH5A1dpZJwZ08LBeDjznm2l55&#10;T5cy1CJC2OeooAnB5VL6qiGDfmwdcfR+bW8wRNnXUvd4jXDTyTRJMmmw5bjQoKN1Q9W5/DMKTmVR&#10;PNzmy21/dqkPvlhlU1op9TmcJN8gAt3CO/xqb7WCNIPn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Lyu8AAAA&#10;2wAAAA8AAAAAAAAAAQAgAAAAIgAAAGRycy9kb3ducmV2LnhtbFBLAQIUABQAAAAIAIdO4kAzLwWe&#10;OwAAADkAAAAQAAAAAAAAAAEAIAAAAAsBAABkcnMvc2hhcGV4bWwueG1sUEsFBgAAAAAGAAYAWwEA&#10;ALUDAAAAAA==&#10;" path="m7311,219l7291,219,7283,199,7303,199,7311,2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oOaKsL4AAADb&#10;AAAADwAAAGRycy9kb3ducmV2LnhtbEWPQWvCQBSE7wX/w/IKvRTdGDCV1FVECHhIKU31/si+JqHZ&#10;t0t2G6O/visUehxm5htms5tML0YafGdZwXKRgCCure64UXD6LOZrED4ga+wtk4IredhtZw8bzLW9&#10;8AeNVWhEhLDPUUEbgsul9HVLBv3COuLofdnBYIhyaKQe8BLhppdpkmTSYMdxoUVHh5bq7+rHKDhX&#10;ZXlzxbM7vr2nPvhyn61or9TT4zJ5BRFoCv/hv/ZRK0hf4P4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OaKsL4A&#10;AADbAAAADwAAAAAAAAABACAAAAAiAAAAZHJzL2Rvd25yZXYueG1sUEsBAhQAFAAAAAgAh07iQDMv&#10;BZ47AAAAOQAAABAAAAAAAAAAAQAgAAAADQEAAGRycy9zaGFwZXhtbC54bWxQSwUGAAAAAAYABgBb&#10;AQAAtwMAAAAA&#10;" path="m101,259l89,259,96,239,104,219,124,219,116,239,109,239,101,2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0XkewrgAAADb&#10;AAAADwAAAGRycy9kb3ducmV2LnhtbEVPy4rCMBTdC/5DuIIbGVMLinSMIoLgoiJW3V+aO22Z5iY0&#10;8fn1ZiG4PJz3YvUwrbhR5xvLCibjBARxaXXDlYLzafszB+EDssbWMil4kofVst9bYKbtnY90K0Il&#10;Ygj7DBXUIbhMSl/WZNCPrSOO3J/tDIYIu0rqDu8x3LQyTZKZNNhwbKjR0aam8r+4GgWXIs9fbjty&#10;u/0h9cHn69mU1koNB5PkF0SgR/iKP+6dVpDGsfFL/A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XkewrgAAADbAAAA&#10;DwAAAAAAAAABACAAAAAiAAAAZHJzL2Rvd25yZXYueG1sUEsBAhQAFAAAAAgAh07iQDMvBZ47AAAA&#10;OQAAABAAAAAAAAAAAQAgAAAABwEAAGRycy9zaGFwZXhtbC54bWxQSwUGAAAAAAYABgBbAQAAsQMA&#10;AAAA&#10;" path="m7335,259l7322,259,7315,239,7307,239,7299,219,7319,219,7327,239,7335,2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vjW7Wb4AAADb&#10;AAAADwAAAGRycy9kb3ducmV2LnhtbEWPQWvCQBSE7wX/w/IKvRTdGDDU1FVECHhIKU31/si+JqHZ&#10;t0t2G6O/visUehxm5htms5tML0YafGdZwXKRgCCure64UXD6LOYvIHxA1thbJgVX8rDbzh42mGt7&#10;4Q8aq9CICGGfo4I2BJdL6euWDPqFdcTR+7KDwRDl0Eg94CXCTS/TJMmkwY7jQouODi3V39WPUXCu&#10;yvLmimd3fHtPffDlPlvRXqmnx2XyCiLQFP7Df+2jVpCu4f4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W7Wb4A&#10;AADbAAAADwAAAAAAAAABACAAAAAiAAAAZHJzL2Rvd25yZXYueG1sUEsBAhQAFAAAAAgAh07iQDMv&#10;BZ47AAAAOQAAABAAAAAAAAAAAQAgAAAADQEAAGRycy9zaGFwZXhtbC54bWxQSwUGAAAAAAYABgBb&#10;AQAAtwMAAAAA&#10;" path="m94,279l75,279,82,259,102,259,94,2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qtaEGbkAAADb&#10;AAAADwAAAGRycy9kb3ducmV2LnhtbEVPy4rCMBTdC/MP4Q64kTFVUYaOaZEBwUVFrLq/NHfaMs1N&#10;aOLz681CcHk472V+M524UO9bywom4wQEcWV1y7WC42H99Q3CB2SNnWVScCcPefYxWGKq7ZX3dClD&#10;LWII+xQVNCG4VEpfNWTQj60jjtyf7Q2GCPta6h6vMdx0cpokC2mw5djQoKPfhqr/8mwUnMqieLj1&#10;yG22u6kPvlgt5rRSavg5SX5ABLqFt/jl3mgFs7g+fo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rWhBm5AAAA2wAA&#10;AA8AAAAAAAAAAQAgAAAAIgAAAGRycy9kb3ducmV2LnhtbFBLAQIUABQAAAAIAIdO4kAzLwWeOwAA&#10;ADkAAAAQAAAAAAAAAAEAIAAAAAgBAABkcnMvc2hhcGV4bWwueG1sUEsFBgAAAAAGAAYAWwEAALID&#10;AAAAAA==&#10;" path="m7349,279l7329,279,7322,259,7342,259,7349,2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xZohgr0AAADb&#10;AAAADwAAAGRycy9kb3ducmV2LnhtbEWPT4vCMBTE78J+h/AWvIimVZSlGkUWBA8Vsbr3R/Nsi81L&#10;aLL+2U+/EQSPw8z8hlms7qYVV+p8Y1lBOkpAEJdWN1wpOB03wy8QPiBrbC2Tggd5WC0/egvMtL3x&#10;ga5FqESEsM9QQR2Cy6T0ZU0G/cg64uidbWcwRNlVUnd4i3DTynGSzKTBhuNCjY6+ayovxa9R8FPk&#10;+Z/bDNx2tx/74PP1bEprpfqfaTIHEege3uFXe6sVTFJ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miGCvQAA&#10;ANsAAAAPAAAAAAAAAAEAIAAAACIAAABkcnMvZG93bnJldi54bWxQSwECFAAUAAAACACHTuJAMy8F&#10;njsAAAA5AAAAEAAAAAAAAAABACAAAAAMAQAAZHJzL3NoYXBleG1sLnhtbFBLBQYAAAAABgAGAFsB&#10;AAC2AwAAAAA=&#10;" path="m69,319l55,319,62,299,68,279,88,279,81,299,75,299,69,3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NUi/9bwAAADb&#10;AAAADwAAAGRycy9kb3ducmV2LnhtbEWPT4vCMBTE7wt+h/AEL4umVlakGkUEwUNl2ar3R/Nsi81L&#10;aOLfT28WFvY4zMxvmMXqYVpxo843lhWMRwkI4tLqhisFx8N2OAPhA7LG1jIpeJKH1bL3scBM2zv/&#10;0K0IlYgQ9hkqqENwmZS+rMmgH1lHHL2z7QyGKLtK6g7vEW5amSbJVBpsOC7U6GhTU3kprkbBqcjz&#10;l9t+ut3+O/XB5+vpF62VGvTHyRxEoEf4D/+1d1rBJI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Iv/W8AAAA&#10;2wAAAA8AAAAAAAAAAQAgAAAAIgAAAGRycy9kb3ducmV2LnhtbFBLAQIUABQAAAAIAIdO4kAzLwWe&#10;OwAAADkAAAAQAAAAAAAAAAEAIAAAAAsBAABkcnMvc2hhcGV4bWwueG1sUEsFBgAAAAAGAAYAWwEA&#10;ALUDAAAAAA==&#10;" path="m7368,319l7355,319,7349,299,7342,299,7336,279,7356,279,7362,299,7368,3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WgQabr4AAADb&#10;AAAADwAAAGRycy9kb3ducmV2LnhtbEWPQWvCQBSE7wX/w/KEXorZJFKR6CoiBDykSGN7f2SfSTD7&#10;dslu1fbXd4VCj8PMfMOst3cziCuNvresIEtSEMSN1T23Cj5O5WwJwgdkjYNlUvBNHrabydMaC21v&#10;/E7XOrQiQtgXqKALwRVS+qYjgz6xjjh6ZzsaDFGOrdQj3iLcDDJP04U02HNc6NDRvqPmUn8ZBZ91&#10;Vf248sUd3o65D77aLV5pp9TzNEtXIALdw3/4r33QCuZzeHyJP0B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gQabr4A&#10;AADbAAAADwAAAAAAAAABACAAAAAiAAAAZHJzL2Rvd25yZXYueG1sUEsBAhQAFAAAAAgAh07iQDMv&#10;BZ47AAAAOQAAABAAAAAAAAAAAQAgAAAADQEAAGRycy9zaGFwZXhtbC54bWxQSwUGAAAAAAYABgBb&#10;AQAAtwMAAAAA&#10;" path="m63,339l44,339,50,319,69,319,63,3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1e2CGr4AAADb&#10;AAAADwAAAGRycy9kb3ducmV2LnhtbEWPQWvCQBSE7wX/w/IKvZS6MVaR1FVEEDykFGO9P7KvSWj2&#10;7ZLdJtFf7xYKPQ4z8w2z3o6mFT11vrGsYDZNQBCXVjdcKfg8H15WIHxA1thaJgVX8rDdTB7WmGk7&#10;8In6IlQiQthnqKAOwWVS+rImg35qHXH0vmxnMETZVVJ3OES4aWWaJEtpsOG4UKOjfU3ld/FjFFyK&#10;PL+5w7M7vn+kPvh8t1zQTqmnx1nyBiLQGP7Df+2jVjB/hd8v8Qf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e2CGr4A&#10;AADbAAAADwAAAAAAAAABACAAAAAiAAAAZHJzL2Rvd25yZXYueG1sUEsBAhQAFAAAAAgAh07iQDMv&#10;BZ47AAAAOQAAABAAAAAAAAAAAQAgAAAADQEAAGRycy9zaGFwZXhtbC54bWxQSwUGAAAAAAYABgBb&#10;AQAAtwMAAAAA&#10;" path="m7380,339l7360,339,7355,319,7374,319,7380,3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uqEngbwAAADb&#10;AAAADwAAAGRycy9kb3ducmV2LnhtbEWPT4vCMBTE78J+h/AWvIimKhbpGkUWBA8Vse7eH83btmzz&#10;Epr499MbQfA4zMxvmMXqalpxps43lhWMRwkI4tLqhisFP8fNcA7CB2SNrWVScCMPq+VHb4GZthc+&#10;0LkIlYgQ9hkqqENwmZS+rMmgH1lHHL0/2xkMUXaV1B1eIty0cpIkqTTYcFyo0dF3TeV/cTIKfos8&#10;v7vNwG13+4kPPl+nM1or1f8cJ18gAl3DO/xqb7WC6Qy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hJ4G8AAAA&#10;2wAAAA8AAAAAAAAAAQAgAAAAIgAAAGRycy9kb3ducmV2LnhtbFBLAQIUABQAAAAIAIdO4kAzLwWe&#10;OwAAADkAAAAQAAAAAAAAAAEAIAAAAAsBAABkcnMvc2hhcGV4bWwueG1sUEsFBgAAAAAGAAYAWwEA&#10;ALUDAAAAAA==&#10;" path="m43,379l29,379,34,359,39,339,58,339,53,359,48,359,43,3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SnO59rwAAADb&#10;AAAADwAAAGRycy9kb3ducmV2LnhtbEWPT4vCMBTE7wt+h/AEL4umKlukGkUEwUNl2ar3R/Nsi81L&#10;aOLfT28WFvY4zMxvmMXqYVpxo843lhWMRwkI4tLqhisFx8N2OAPhA7LG1jIpeJKH1bL3scBM2zv/&#10;0K0IlYgQ9hkqqENwmZS+rMmgH1lHHL2z7QyGKLtK6g7vEW5aOUmSVBpsOC7U6GhTU3kprkbBqcjz&#10;l9t+ut3+e+KDz9fpF62VGvTHyRxEoEf4D/+1d1rBNI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zufa8AAAA&#10;2wAAAA8AAAAAAAAAAQAgAAAAIgAAAGRycy9kb3ducmV2LnhtbFBLAQIUABQAAAAIAIdO4kAzLwWe&#10;OwAAADkAAAAQAAAAAAAAAAEAIAAAAAsBAABkcnMvc2hhcGV4bWwueG1sUEsFBgAAAAAGAAYAWwEA&#10;ALUDAAAAAA==&#10;" path="m7394,379l7380,379,7376,359,7371,359,7366,339,7385,339,7390,359,7394,3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JT8cbbwAAADb&#10;AAAADwAAAGRycy9kb3ducmV2LnhtbEWPT4vCMBTE78J+h/AWvIimKrrSNYoIgocuYl3vj+bZlm1e&#10;QhP/fvqNIHgcZuY3zHx5M424UOtrywqGgwQEcWF1zaWC38OmPwPhA7LGxjIpuJOH5eKjM8dU2yvv&#10;6ZKHUkQI+xQVVCG4VEpfVGTQD6wjjt7JtgZDlG0pdYvXCDeNHCXJVBqsOS5U6GhdUfGXn42CY55l&#10;D7fpue3PbuSDz1bTCa2U6n4Ok28QgW7hHX61t1rB+Au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HG28AAAA&#10;2wAAAA8AAAAAAAAAAQAgAAAAIgAAAGRycy9kb3ducmV2LnhtbFBLAQIUABQAAAAIAIdO4kAzLwWe&#10;OwAAADkAAAAQAAAAAAAAAAEAIAAAAAsBAABkcnMvc2hhcGV4bWwueG1sUEsFBgAAAAAGAAYAWwEA&#10;ALUDAAAAAA==&#10;" path="m32,419l17,419,21,399,25,379,43,379,39,399,35,399,32,4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VKCIH7kAAADb&#10;AAAADwAAAGRycy9kb3ducmV2LnhtbEVPy4rCMBTdC/MP4Q64kTFVUYaOaZEBwUVFrLq/NHfaMs1N&#10;aOLz681CcHk472V+M524UO9bywom4wQEcWV1y7WC42H99Q3CB2SNnWVScCcPefYxWGKq7ZX3dClD&#10;LWII+xQVNCG4VEpfNWTQj60jjtyf7Q2GCPta6h6vMdx0cpokC2mw5djQoKPfhqr/8mwUnMqieLj1&#10;yG22u6kPvlgt5rRSavg5SX5ABLqFt/jl3mgFszg2fo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SgiB+5AAAA2wAA&#10;AA8AAAAAAAAAAQAgAAAAIgAAAGRycy9kb3ducmV2LnhtbFBLAQIUABQAAAAIAIdO4kAzLwWeOwAA&#10;ADkAAAAQAAAAAAAAAAEAIAAAAAgBAABkcnMvc2hhcGV4bWwueG1sUEsFBgAAAAAGAAYAWwEAALID&#10;AAAAAA==&#10;" path="m7406,419l7392,419,7388,399,7384,399,7380,379,7399,379,7403,399,7406,4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O+wthLwAAADb&#10;AAAADwAAAGRycy9kb3ducmV2LnhtbEWPT4vCMBTE78J+h/AWvIimKsraNYoIgocuYl3vj+bZlm1e&#10;QhP/fvqNIHgcZuY3zHx5M424UOtrywqGgwQEcWF1zaWC38Om/wXCB2SNjWVScCcPy8VHZ46ptlfe&#10;0yUPpYgQ9ikqqEJwqZS+qMigH1hHHL2TbQ2GKNtS6havEW4aOUqSqTRYc1yo0NG6ouIvPxsFxzzL&#10;Hm7Tc9uf3cgHn62mE1op1f0cJt8gAt3CO/xqb7WC8Qy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sLYS8AAAA&#10;2wAAAA8AAAAAAAAAAQAgAAAAIgAAAGRycy9kb3ducmV2LnhtbFBLAQIUABQAAAAIAIdO4kAzLwWe&#10;OwAAADkAAAAQAAAAAAAAAAEAIAAAAAsBAABkcnMvc2hhcGV4bWwueG1sUEsFBgAAAAAGAAYAWwEA&#10;ALUDAAAAAA==&#10;" path="m21,479l6,479,8,459,11,439,14,419,32,419,28,439,26,439,23,459,23,459,21,4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8tD3ZLkAAADb&#10;AAAADwAAAGRycy9kb3ducmV2LnhtbEVPy4rCMBTdC/MP4Q64kTFVVIaOaZEBwUVFrLq/NHfaMs1N&#10;aOLz681CcHk472V+M524UO9bywom4wQEcWV1y7WC42H99Q3CB2SNnWVScCcPefYxWGKq7ZX3dClD&#10;LWII+xQVNCG4VEpfNWTQj60jjtyf7Q2GCPta6h6vMdx0cpokC2mw5djQoKPfhqr/8mwUnMqieLj1&#10;yG22u6kPvlgt5rRSavg5SX5ABLqFt/jl3mgFs7g+fo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LQ92S5AAAA2wAA&#10;AA8AAAAAAAAAAQAgAAAAIgAAAGRycy9kb3ducmV2LnhtbFBLAQIUABQAAAAIAIdO4kAzLwWeOwAA&#10;ADkAAAAQAAAAAAAAAAEAIAAAAAgBAABkcnMvc2hhcGV4bWwueG1sUEsFBgAAAAAGAAYAWwEAALID&#10;AAAAAA==&#10;" path="m7418,479l7403,479,7401,459,7401,459,7398,439,7395,439,7392,419,7410,419,7413,439,7415,459,7418,4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nZxS/70AAADb&#10;AAAADwAAAGRycy9kb3ducmV2LnhtbEWPT4vCMBTE78J+h/AWvIimFZWlGkUWBA8Vsbr3R/Nsi81L&#10;aLL+2U+/EQSPw8z8hlms7qYVV+p8Y1lBOkpAEJdWN1wpOB03wy8QPiBrbC2Tggd5WC0/egvMtL3x&#10;ga5FqESEsM9QQR2Cy6T0ZU0G/cg64uidbWcwRNlVUnd4i3DTynGSzKTBhuNCjY6+ayovxa9R8FPk&#10;+Z/bDNx2tx/74PP1bEprpfqfaTIHEege3uFXe6sVTFJ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nFL/vQAA&#10;ANsAAAAPAAAAAAAAAAEAIAAAACIAAABkcnMvZG93bnJldi54bWxQSwECFAAUAAAACACHTuJAMy8F&#10;njsAAAA5AAAAEAAAAAAAAAABACAAAAAMAQAAZHJzL3NoYXBleG1sLnhtbFBLBQYAAAAABgAGAFsB&#10;AAC2AwAAAAA=&#10;" path="m16,519l1,519,2,499,4,479,19,479,17,499,17,499,16,5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bU7MiLwAAADb&#10;AAAADwAAAGRycy9kb3ducmV2LnhtbEWPT4vCMBTE7wt+h/AEL4umFlekGkUEwUNl2ar3R/Nsi81L&#10;aOLfT28WFvY4zMxvmMXqYVpxo843lhWMRwkI4tLqhisFx8N2OAPhA7LG1jIpeJKH1bL3scBM2zv/&#10;0K0IlYgQ9hkqqENwmZS+rMmgH1lHHL2z7QyGKLtK6g7vEW5amSbJVBpsOC7U6GhTU3kprkbBqcjz&#10;l9t+ut3+O/XB5+vpF62VGvTHyRxEoEf4D/+1d1rBJI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1OzIi8AAAA&#10;2wAAAA8AAAAAAAAAAQAgAAAAIgAAAGRycy9kb3ducmV2LnhtbFBLAQIUABQAAAAIAIdO4kAzLwWe&#10;OwAAADkAAAAQAAAAAAAAAAEAIAAAAAsBAABkcnMvc2hhcGV4bWwueG1sUEsFBgAAAAAGAAYAWwEA&#10;ALUDAAAAAA==&#10;" path="m7423,519l7408,519,7406,499,7406,499,7405,479,7420,479,7421,499,7423,5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AgJpE74AAADb&#10;AAAADwAAAGRycy9kb3ducmV2LnhtbEWPQWvCQBSE7wX/w/IKvZS6MVaR1FVEEDykFGO9P7KvSWj2&#10;7ZLdJtFf7xYKPQ4z8w2z3o6mFT11vrGsYDZNQBCXVjdcKfg8H15WIHxA1thaJgVX8rDdTB7WmGk7&#10;8In6IlQiQthnqKAOwWVS+rImg35qHXH0vmxnMETZVVJ3OES4aWWaJEtpsOG4UKOjfU3ld/FjFFyK&#10;PL+5w7M7vn+kPvh8t1zQTqmnx1nyBiLQGP7Df+2jVvA6h98v8Qf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JpE74A&#10;AADbAAAADwAAAAAAAAABACAAAAAiAAAAZHJzL2Rvd25yZXYueG1sUEsBAhQAFAAAAAgAh07iQDMv&#10;BZ47AAAAOQAAABAAAAAAAAAAAQAgAAAADQEAAGRycy9zaGFwZXhtbC54bWxQSwUGAAAAAAYABgBb&#10;AQAAtwMAAAAA&#10;" path="m19,4559l2,4559,1,4539,0,4519,0,4499,0,539,0,519,15,519,15,539,15,4499,15,4519,16,4539,17,4539,19,45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jevxZ74AAADb&#10;AAAADwAAAGRycy9kb3ducmV2LnhtbEWPQWvCQBSE7wX/w/KEXorZJFiR6CoiBDykSGN7f2SfSTD7&#10;dslu1fbXd4VCj8PMfMOst3cziCuNvresIEtSEMSN1T23Cj5O5WwJwgdkjYNlUvBNHrabydMaC21v&#10;/E7XOrQiQtgXqKALwRVS+qYjgz6xjjh6ZzsaDFGOrdQj3iLcDDJP04U02HNc6NDRvqPmUn8ZBZ91&#10;Vf248sUd3o65D77aLV5pp9TzNEtXIALdw3/4r33QCuZzeHyJP0B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evxZ74A&#10;AADbAAAADwAAAAAAAAABACAAAAAiAAAAZHJzL2Rvd25yZXYueG1sUEsBAhQAFAAAAAgAh07iQDMv&#10;BZ47AAAAOQAAABAAAAAAAAAAAQAgAAAADQEAAGRycy9zaGFwZXhtbC54bWxQSwUGAAAAAAYABgBb&#10;AQAAtwMAAAAA&#10;" path="m7421,4559l7405,4559,7406,4539,7408,4539,7408,4519,7408,4519,7409,4499,7409,539,7408,519,7423,519,7424,539,7424,4499,7423,4519,7423,4539,7421,45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4qdU/LwAAADb&#10;AAAADwAAAGRycy9kb3ducmV2LnhtbEWPT4vCMBTE78J+h/AWvIimihbpGkUWBA8Vse7eH83btmzz&#10;Epr499MbQfA4zMxvmMXqalpxps43lhWMRwkI4tLqhisFP8fNcA7CB2SNrWVScCMPq+VHb4GZthc+&#10;0LkIlYgQ9hkqqENwmZS+rMmgH1lHHL0/2xkMUXaV1B1eIty0cpIkqTTYcFyo0dF3TeV/cTIKfos8&#10;v7vNwG13+4kPPl+nM1or1f8cJ18gAl3DO/xqb7WC6Qy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nVPy8AAAA&#10;2wAAAA8AAAAAAAAAAQAgAAAAIgAAAGRycy9kb3ducmV2LnhtbFBLAQIUABQAAAAIAIdO4kAzLwWe&#10;OwAAADkAAAAQAAAAAAAAAAEAIAAAAAsBAABkcnMvc2hhcGV4bWwueG1sUEsFBgAAAAAGAAYAWwEA&#10;ALUDAAAAAA==&#10;" path="m23,4599l8,4599,6,4579,4,4559,19,4559,21,4579,21,4579,23,45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EnXKi7wAAADb&#10;AAAADwAAAGRycy9kb3ducmV2LnhtbEWPT4vCMBTE7wt+h/AEL4umilukGkUEwUNl2ar3R/Nsi81L&#10;aOLfT28WFvY4zMxvmMXqYVpxo843lhWMRwkI4tLqhisFx8N2OAPhA7LG1jIpeJKH1bL3scBM2zv/&#10;0K0IlYgQ9hkqqENwmZS+rMmgH1lHHL2z7QyGKLtK6g7vEW5aOUmSVBpsOC7U6GhTU3kprkbBqcjz&#10;l9t+ut3+e+KDz9fpF62VGvTHyRxEoEf4D/+1d1rBNI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1you8AAAA&#10;2wAAAA8AAAAAAAAAAQAgAAAAIgAAAGRycy9kb3ducmV2LnhtbFBLAQIUABQAAAAIAIdO4kAzLwWe&#10;OwAAADkAAAAQAAAAAAAAAAEAIAAAAAsBAABkcnMvc2hhcGV4bWwueG1sUEsFBgAAAAAGAAYAWwEA&#10;ALUDAAAAAA==&#10;" path="m7415,4599l7401,4599,7403,4579,7403,4579,7405,4559,7420,4559,7418,4579,7415,45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fTlvELwAAADb&#10;AAAADwAAAGRycy9kb3ducmV2LnhtbEWPT4vCMBTE78J+h/AWvIimirrSNYoIgocuYl3vj+bZlm1e&#10;QhP/fvqNIHgcZuY3zHx5M424UOtrywqGgwQEcWF1zaWC38OmPwPhA7LGxjIpuJOH5eKjM8dU2yvv&#10;6ZKHUkQI+xQVVCG4VEpfVGTQD6wjjt7JtgZDlG0pdYvXCDeNHCXJVBqsOS5U6GhdUfGXn42CY55l&#10;D7fpue3PbuSDz1bTCa2U6n4Ok28QgW7hHX61t1rB+Au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5bxC8AAAA&#10;2wAAAA8AAAAAAAAAAQAgAAAAIgAAAGRycy9kb3ducmV2LnhtbFBLAQIUABQAAAAIAIdO4kAzLwWe&#10;OwAAADkAAAAQAAAAAAAAAAEAIAAAAAsBAABkcnMvc2hhcGV4bWwueG1sUEsFBgAAAAAGAAYAWwEA&#10;ALUDAAAAAA==&#10;" path="m32,4639l17,4639,14,4619,11,4599,26,4599,29,4619,28,4619,32,46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DKb7YrkAAADb&#10;AAAADwAAAGRycy9kb3ducmV2LnhtbEVPy4rCMBTdC/MP4Q64kTFVVIaOaZEBwUVFrLq/NHfaMs1N&#10;aOLz681CcHk472V+M524UO9bywom4wQEcWV1y7WC42H99Q3CB2SNnWVScCcPefYxWGKq7ZX3dClD&#10;LWII+xQVNCG4VEpfNWTQj60jjtyf7Q2GCPta6h6vMdx0cpokC2mw5djQoKPfhqr/8mwUnMqieLj1&#10;yG22u6kPvlgt5rRSavg5SX5ABLqFt/jl3mgFszg2fo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ym+2K5AAAA2wAA&#10;AA8AAAAAAAAAAQAgAAAAIgAAAGRycy9kb3ducmV2LnhtbFBLAQIUABQAAAAIAIdO4kAzLwWeOwAA&#10;ADkAAAAQAAAAAAAAAAEAIAAAAAgBAABkcnMvc2hhcGV4bWwueG1sUEsFBgAAAAAGAAYAWwEAALID&#10;AAAAAA==&#10;" path="m7406,4639l7392,4639,7395,4619,7395,4619,7398,4599,7413,4599,7410,4619,7406,46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Y+pe+bwAAADb&#10;AAAADwAAAGRycy9kb3ducmV2LnhtbEWPT4vCMBTE78J+h/AWvIimisraNYoIgocuYl3vj+bZlm1e&#10;QhP/fvqNIHgcZuY3zHx5M424UOtrywqGgwQEcWF1zaWC38Om/wXCB2SNjWVScCcPy8VHZ46ptlfe&#10;0yUPpYgQ9ikqqEJwqZS+qMigH1hHHL2TbQ2GKNtS6havEW4aOUqSqTRYc1yo0NG6ouIvPxsFxzzL&#10;Hm7Tc9uf3cgHn62mE1op1f0cJt8gAt3CO/xqb7WC8Qy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qXvm8AAAA&#10;2wAAAA8AAAAAAAAAAQAgAAAAIgAAAGRycy9kb3ducmV2LnhtbFBLAQIUABQAAAAIAIdO4kAzLwWe&#10;OwAAADkAAAAQAAAAAAAAAAEAIAAAAAsBAABkcnMvc2hhcGV4bWwueG1sUEsFBgAAAAAGAAYAWwEA&#10;ALUDAAAAAA==&#10;" path="m43,4679l29,4679,25,4659,21,4639,35,4639,39,4659,39,4659,43,46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dwlhubkAAADb&#10;AAAADwAAAGRycy9kb3ducmV2LnhtbEVPy4rCMBTdC/5DuIIbmaYKinRMRQTBRQexOvtLc6ctNjeh&#10;ic+vnywEl4fzXq0fphM36n1rWcE0SUEQV1a3XCs4n3ZfSxA+IGvsLJOCJ3lY58PBCjNt73ykWxlq&#10;EUPYZ6igCcFlUvqqIYM+sY44cn+2Nxgi7Gupe7zHcNPJWZoupMGWY0ODjrYNVZfyahT8lkXxcruJ&#10;2/8cZj74YrOY00ap8WiafoMI9Agf8du91wrmcX38En+Az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JYbm5AAAA2wAA&#10;AA8AAAAAAAAAAQAgAAAAIgAAAGRycy9kb3ducmV2LnhtbFBLAQIUABQAAAAIAIdO4kAzLwWeOwAA&#10;ADkAAAAQAAAAAAAAAAEAIAAAAAgBAABkcnMvc2hhcGV4bWwueG1sUEsFBgAAAAAGAAYAWwEAALID&#10;AAAAAA==&#10;" path="m7394,4679l7380,4679,7384,4659,7384,4659,7388,4639,7403,4639,7399,4659,7394,46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GEXEIr0AAADb&#10;AAAADwAAAGRycy9kb3ducmV2LnhtbEWPzWrDMBCE74W8g9hALiWRbUgIjpUQAgYfXErd5r5YW9vU&#10;WglL+evTV4VCj8PMfMMUh7sZxZUmP1hWkK4SEMSt1QN3Cj7ey+UWhA/IGkfLpOBBHg772VOBubY3&#10;fqNrEzoRIexzVNCH4HIpfduTQb+yjjh6n3YyGKKcOqknvEW4GWWWJBtpcOC40KOjU0/tV3MxCs5N&#10;XX+78tlVL6+ZD74+btZ0VGoxT5MdiED38B/+a1dawTqF3y/xB8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RcQivQAA&#10;ANsAAAAPAAAAAAAAAAEAIAAAACIAAABkcnMvZG93bnJldi54bWxQSwECFAAUAAAACACHTuJAMy8F&#10;njsAAAA5AAAAEAAAAAAAAAABACAAAAAMAQAAZHJzL3NoYXBleG1sLnhtbFBLBQYAAAAABgAGAFsB&#10;AAC2AwAAAAA=&#10;" path="m48,4679l43,4679,43,4659,48,46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6JdaVbwAAADb&#10;AAAADwAAAGRycy9kb3ducmV2LnhtbEWPQYvCMBSE78L+h/AW9iKaWlCWahRZEHqoiNW9P5pnW2xe&#10;QpNV119vBMHjMDPfMIvVzXTiQr1vLSuYjBMQxJXVLdcKjofN6BuED8gaO8uk4J88rJYfgwVm2l55&#10;T5cy1CJC2GeooAnBZVL6qiGDfmwdcfROtjcYouxrqXu8RrjpZJokM2mw5bjQoKOfhqpz+WcU/JZF&#10;cXebocu3u9QHX6xnU1or9fU5SeYgAt3CO/xq51rBNIXnl/g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XWlW8AAAA&#10;2wAAAA8AAAAAAAAAAQAgAAAAIgAAAGRycy9kb3ducmV2LnhtbFBLAQIUABQAAAAIAIdO4kAzLwWe&#10;OwAAADkAAAAQAAAAAAAAAAEAIAAAAAsBAABkcnMvc2hhcGV4bWwueG1sUEsFBgAAAAAGAAYAWwEA&#10;ALUDAAAAAA==&#10;" path="m7380,4679l7376,4679,7380,4659,7380,46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h9v/zrwAAADb&#10;AAAADwAAAGRycy9kb3ducmV2LnhtbEWPT4vCMBTE78J+h/AWvIimKhbpGkUWBA8Vse7eH83btmzz&#10;Epr499MbQfA4zMxvmMXqalpxps43lhWMRwkI4tLqhisFP8fNcA7CB2SNrWVScCMPq+VHb4GZthc+&#10;0LkIlYgQ9hkqqENwmZS+rMmgH1lHHL0/2xkMUXaV1B1eIty0cpIkqTTYcFyo0dF3TeV/cTIKfos8&#10;v7vNwG13+4kPPl+nM1or1f8cJ18gAl3DO/xqb7WC2R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b/868AAAA&#10;2wAAAA8AAAAAAAAAAQAgAAAAIgAAAGRycy9kb3ducmV2LnhtbFBLAQIUABQAAAAIAIdO4kAzLwWe&#10;OwAAADkAAAAQAAAAAAAAAAEAIAAAAAsBAABkcnMvc2hhcGV4bWwueG1sUEsFBgAAAAAGAAYAWwEA&#10;ALUDAAAAAA==&#10;" path="m63,4719l44,4719,39,4699,34,4679,48,4679,53,4699,58,4699,63,47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CDJnurwAAADb&#10;AAAADwAAAGRycy9kb3ducmV2LnhtbEWPT4vCMBTE78J+h/AWvIimihbpGkUWBA8Vse7eH83btmzz&#10;Epr499MbQfA4zMxvmMXqalpxps43lhWMRwkI4tLqhisFP8fNcA7CB2SNrWVScCMPq+VHb4GZthc+&#10;0LkIlYgQ9hkqqENwmZS+rMmgH1lHHL0/2xkMUXaV1B1eIty0cpIkqTTYcFyo0dF3TeV/cTIKfos8&#10;v7vNwG13+4kPPl+nM1or1f8cJ18gAl3DO/xqb7WC2R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yZ7q8AAAA&#10;2wAAAA8AAAAAAAAAAQAgAAAAIgAAAGRycy9kb3ducmV2LnhtbFBLAQIUABQAAAAIAIdO4kAzLwWe&#10;OwAAADkAAAAQAAAAAAAAAAEAIAAAAAsBAABkcnMvc2hhcGV4bWwueG1sUEsFBgAAAAAGAAYAWwEA&#10;ALUDAAAAAA==&#10;" path="m7380,4719l7360,4719,7366,4699,7371,4699,7376,4679,7390,4679,7385,4699,7380,47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Z37CIbwAAADb&#10;AAAADwAAAGRycy9kb3ducmV2LnhtbEWPT4vCMBTE78J+h/AWvIimCpWlGkUWBA8Vsbt7fzTPtti8&#10;hCZb/3x6Iwgeh5n5DbNcX00reup8Y1nBdJKAIC6tbrhS8PuzHX+B8AFZY2uZFNzIw3r1MVhipu2F&#10;j9QXoRIRwj5DBXUILpPSlzUZ9BPriKN3sp3BEGVXSd3hJcJNK2dJMpcGG44LNTr6rqk8F/9GwV+R&#10;53e3Hbnd/jDzweebeUobpYaf02QBItA1vMOv9k4rSFN4fok/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wiG8AAAA&#10;2wAAAA8AAAAAAAAAAQAgAAAAIgAAAGRycy9kb3ducmV2LnhtbFBLAQIUABQAAAAIAIdO4kAzLwWe&#10;OwAAADkAAAAQAAAAAAAAAAEAIAAAAAsBAABkcnMvc2hhcGV4bWwueG1sUEsFBgAAAAAGAAYAWwEA&#10;ALUDAAAAAA==&#10;" path="m81,4759l62,4759,55,4739,50,4719,63,4719,69,4739,75,4739,81,47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l6xcVr4AAADb&#10;AAAADwAAAGRycy9kb3ducmV2LnhtbEWPwWrDMBBE74H+g9hCLiGRHYgpjpUQCgYfXErd9r5YW9vU&#10;WglLdZJ+fRUI9DjMzBumOF7MKGaa/GBZQbpJQBC3Vg/cKfh4L9dPIHxA1jhaJgVX8nA8PCwKzLU9&#10;8xvNTehEhLDPUUEfgsul9G1PBv3GOuLofdnJYIhy6qSe8BzhZpTbJMmkwYHjQo+Onntqv5sfo+Cz&#10;qetfV65c9fK69cHXp2xHJ6WWj2myBxHoEv7D93alFewyuH2JP0A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6xcVr4A&#10;AADbAAAADwAAAAAAAAABACAAAAAiAAAAZHJzL2Rvd25yZXYueG1sUEsBAhQAFAAAAAgAh07iQDMv&#10;BZ47AAAAOQAAABAAAAAAAAAAAQAgAAAADQEAAGRycy9zaGFwZXhtbC54bWxQSwUGAAAAAAYABgBb&#10;AQAAtwMAAAAA&#10;" path="m7362,4759l7342,4759,7349,4739,7355,4739,7360,4719,7374,4719,7368,4739,7362,47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OD5zb4AAADb&#10;AAAADwAAAGRycy9kb3ducmV2LnhtbEWPQWvCQBSE70L/w/IKvYhuDGhLdBUpBHJIEWN7f2Rfk9Ds&#10;2yW7TWx/fbcgeBxm5htmd7iaXow0+M6ygtUyAUFcW91xo+D9ki9eQPiArLG3TAp+yMNh/zDbYabt&#10;xGcaq9CICGGfoYI2BJdJ6euWDPqldcTR+7SDwRDl0Eg94BThppdpkmykwY7jQouOXluqv6pvo+Cj&#10;Kstfl89d8XZKffDlcbOmo1JPj6tkCyLQNdzDt3ahFayf4f9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5zb4A&#10;AADbAAAADwAAAAAAAAABACAAAAAiAAAAZHJzL2Rvd25yZXYueG1sUEsBAhQAFAAAAAgAh07iQDMv&#10;BZ47AAAAOQAAABAAAAAAAAAAAQAgAAAADQEAAGRycy9zaGFwZXhtbC54bWxQSwUGAAAAAAYABgBb&#10;AQAAtwMAAAAA&#10;" path="m94,4779l75,4779,68,4759,88,4759,94,47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iX9tv7kAAADb&#10;AAAADwAAAGRycy9kb3ducmV2LnhtbEVPy4rCMBTdC/5DuIIbmaYKinRMRQTBRQexOvtLc6ctNjeh&#10;ic+vnywEl4fzXq0fphM36n1rWcE0SUEQV1a3XCs4n3ZfSxA+IGvsLJOCJ3lY58PBCjNt73ykWxlq&#10;EUPYZ6igCcFlUvqqIYM+sY44cn+2Nxgi7Gupe7zHcNPJWZoupMGWY0ODjrYNVZfyahT8lkXxcruJ&#10;2/8cZj74YrOY00ap8WiafoMI9Agf8du91wrmcWz8En+Az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bb+5AAAA2wAA&#10;AA8AAAAAAAAAAQAgAAAAIgAAAGRycy9kb3ducmV2LnhtbFBLAQIUABQAAAAIAIdO4kAzLwWeOwAA&#10;ADkAAAAQAAAAAAAAAAEAIAAAAAgBAABkcnMvc2hhcGV4bWwueG1sUEsFBgAAAAAGAAYAWwEAALID&#10;AAAAAA==&#10;" path="m7349,4779l7329,4779,7336,4759,7356,4759,7349,47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5jPIJL4AAADb&#10;AAAADwAAAGRycy9kb3ducmV2LnhtbEWPQWvCQBSE70L/w/IKvYhuDChtdBUpBHJIEWN7f2Rfk9Ds&#10;2yW7TWx/fbcgeBxm5htmd7iaXow0+M6ygtUyAUFcW91xo+D9ki+eQfiArLG3TAp+yMNh/zDbYabt&#10;xGcaq9CICGGfoYI2BJdJ6euWDPqldcTR+7SDwRDl0Eg94BThppdpkmykwY7jQouOXluqv6pvo+Cj&#10;Kstfl89d8XZKffDlcbOmo1JPj6tkCyLQNdzDt3ahFaxf4P9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jPIJL4A&#10;AADbAAAADwAAAAAAAAABACAAAAAiAAAAZHJzL2Rvd25yZXYueG1sUEsBAhQAFAAAAAgAh07iQDMv&#10;BZ47AAAAOQAAABAAAAAAAAAAAQAgAAAADQEAAGRycy9zaGFwZXhtbC54bWxQSwUGAAAAAAYABgBb&#10;AQAAtwMAAAAA&#10;" path="m116,4819l96,4819,89,4799,82,4779,94,4779,102,4799,109,4799,116,48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uWWrBLgAAADb&#10;AAAADwAAAGRycy9kb3ducmV2LnhtbEVPy4rCMBTdC/5DuIIbGVMFi3SMIoLgoiJW3V+aO22Z5iY0&#10;8fn1ZiG4PJz3YvUwrbhR5xvLCibjBARxaXXDlYLzafszB+EDssbWMil4kofVst9bYKbtnY90K0Il&#10;Ygj7DBXUIbhMSl/WZNCPrSOO3J/tDIYIu0rqDu8x3LRymiSpNNhwbKjR0aam8r+4GgWXIs9fbjty&#10;u/1h6oPP1+mM1koNB5PkF0SgR/iKP+6dVpDG9fFL/A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WWrBLgAAADbAAAA&#10;DwAAAAAAAAABACAAAAAiAAAAZHJzL2Rvd25yZXYueG1sUEsBAhQAFAAAAAgAh07iQDMvBZ47AAAA&#10;OQAAABAAAAAAAAAAAQAgAAAABwEAAGRycy9zaGFwZXhtbC54bWxQSwUGAAAAAAYABgBbAQAAsQMA&#10;AAAA&#10;" path="m7327,4819l7307,4819,7315,4799,7322,4799,7329,4779,7342,4779,7335,4799,7327,48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1ikOn70AAADb&#10;AAAADwAAAGRycy9kb3ducmV2LnhtbEWPwWrDMBBE74X8g9hALyWRbagJrpUQAgEfXEqd5L5YW9vE&#10;WglLjdN+fVUo9DjMzBum3N3NKG40+cGygnSdgCBurR64U3A+HVcbED4gaxwtk4Iv8rDbLh5KLLSd&#10;+Z1uTehEhLAvUEEfgiuk9G1PBv3aOuLofdjJYIhy6qSecI5wM8osSXJpcOC40KOjQ0/ttfk0Ci5N&#10;XX+745OrXt8yH3y9z59pr9TjMk1eQAS6h//wX7vSCvIU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KQ6fvQAA&#10;ANsAAAAPAAAAAAAAAAEAIAAAACIAAABkcnMvZG93bnJldi54bWxQSwECFAAUAAAACACHTuJAMy8F&#10;njsAAAA5AAAAEAAAAAAAAAABACAAAAAMAQAAZHJzL3NoYXBleG1sLnhtbFBLBQYAAAAABgAGAFsB&#10;AAC2AwAAAAA=&#10;" path="m132,4839l112,4839,104,4819,124,4819,132,48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JvuQ6LwAAADb&#10;AAAADwAAAGRycy9kb3ducmV2LnhtbEWPT4vCMBTE7wt+h/CEvSyaWrBI1ygiCB66iFXvj+ZtW2xe&#10;QpP136ffCILHYWZ+w8yXN9OJC/W+taxgMk5AEFdWt1wrOB42oxkIH5A1dpZJwZ08LBeDjznm2l55&#10;T5cy1CJC2OeooAnB5VL6qiGDfmwdcfR+bW8wRNnXUvd4jXDTyTRJMmmw5bjQoKN1Q9W5/DMKTmVR&#10;PNzmy21/dqkPvlhlU1op9TmcJN8gAt3CO/xqb7WCLIXn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7kOi8AAAA&#10;2wAAAA8AAAAAAAAAAQAgAAAAIgAAAGRycy9kb3ducmV2LnhtbFBLAQIUABQAAAAIAIdO4kAzLwWe&#10;OwAAADkAAAAQAAAAAAAAAAEAIAAAAAsBAABkcnMvc2hhcGV4bWwueG1sUEsFBgAAAAAGAAYAWwEA&#10;ALUDAAAAAA==&#10;" path="m7311,4839l7291,4839,7299,4819,7319,4819,7311,48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Sbc1c7wAAADb&#10;AAAADwAAAGRycy9kb3ducmV2LnhtbEWPT4vCMBTE7wt+h/AEL4umKlukGkUEwUNl2ar3R/Nsi81L&#10;aOLfT28WFvY4zMxvmMXqYVpxo843lhWMRwkI4tLqhisFx8N2OAPhA7LG1jIpeJKH1bL3scBM2zv/&#10;0K0IlYgQ9hkqqENwmZS+rMmgH1lHHL2z7QyGKLtK6g7vEW5aOUmSVBpsOC7U6GhTU3kprkbBqcjz&#10;l9t+ut3+e+KDz9fpF62VGvTHyRxEoEf4D/+1d1pBOo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3NXO8AAAA&#10;2wAAAA8AAAAAAAAAAQAgAAAAIgAAAGRycy9kb3ducmV2LnhtbFBLAQIUABQAAAAIAIdO4kAzLwWe&#10;OwAAADkAAAAQAAAAAAAAAAEAIAAAAAsBAABkcnMvc2hhcGV4bWwueG1sUEsFBgAAAAAGAAYAWwEA&#10;ALUDAAAAAA==&#10;" path="m149,4859l129,4859,121,4839,141,4839,149,48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xl6tB7wAAADb&#10;AAAADwAAAGRycy9kb3ducmV2LnhtbEWPT4vCMBTE7wt+h/AEL4umilukGkUEwUNl2ar3R/Nsi81L&#10;aOLfT28WFvY4zMxvmMXqYVpxo843lhWMRwkI4tLqhisFx8N2OAPhA7LG1jIpeJKH1bL3scBM2zv/&#10;0K0IlYgQ9hkqqENwmZS+rMmgH1lHHL2z7QyGKLtK6g7vEW5aOUmSVBpsOC7U6GhTU3kprkbBqcjz&#10;l9t+ut3+e+KDz9fpF62VGvTHyRxEoEf4D/+1d1pBOo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erQe8AAAA&#10;2wAAAA8AAAAAAAAAAQAgAAAAIgAAAGRycy9kb3ducmV2LnhtbFBLAQIUABQAAAAIAIdO4kAzLwWe&#10;OwAAADkAAAAQAAAAAAAAAAEAIAAAAAsBAABkcnMvc2hhcGV4bWwueG1sUEsFBgAAAAAGAAYAWwEA&#10;ALUDAAAAAA==&#10;" path="m7294,4859l7274,4859,7283,4839,7303,4839,7294,48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qRIInL4AAADb&#10;AAAADwAAAGRycy9kb3ducmV2LnhtbEWPwWrDMBBE74H+g9hCLiGRHYgpjpUQCgYfXErd9r5YW9vU&#10;WglLdZJ+fRUI9DjMzBumOF7MKGaa/GBZQbpJQBC3Vg/cKfh4L9dPIHxA1jhaJgVX8nA8PCwKzLU9&#10;8xvNTehEhLDPUUEfgsul9G1PBv3GOuLofdnJYIhy6qSe8BzhZpTbJMmkwYHjQo+Onntqv5sfo+Cz&#10;qetfV65c9fK69cHXp2xHJ6WWj2myBxHoEv7D93alFWQ7uH2JP0A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IInL4A&#10;AADbAAAADwAAAAAAAAABACAAAAAiAAAAZHJzL2Rvd25yZXYueG1sUEsBAhQAFAAAAAgAh07iQDMv&#10;BZ47AAAAOQAAABAAAAAAAAAAAQAgAAAADQEAAGRycy9zaGFwZXhtbC54bWxQSwUGAAAAAAYABgBb&#10;AQAAtwMAAAAA&#10;" path="m167,4879l147,4879,138,4859,158,4859,167,48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WcCW670AAADb&#10;AAAADwAAAGRycy9kb3ducmV2LnhtbEWPwWrDMBBE74X+g9hCL6WRbYgpTpRgCgEfHEKd9r5YG9vU&#10;WglLjdN+fRQI9DjMzBtmvb2YUZxp8oNlBekiAUHcWj1wp+DzuHt9A+EDssbRMin4JQ/bzePDGgtt&#10;Z/6gcxM6ESHsC1TQh+AKKX3bk0G/sI44eic7GQxRTp3UE84RbkaZJUkuDQ4cF3p09N5T+938GAVf&#10;TV3/ud2Lq/aHzAdfl/mSSqWen9JkBSLQJfyH7+1KK8hzuH2JP0B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wJbrvQAA&#10;ANsAAAAPAAAAAAAAAAEAIAAAACIAAABkcnMvZG93bnJldi54bWxQSwECFAAUAAAACACHTuJAMy8F&#10;njsAAAA5AAAAEAAAAAAAAAABACAAAAAMAQAAZHJzL3NoYXBleG1sLnhtbFBLBQYAAAAABgAGAFsB&#10;AAC2AwAAAAA=&#10;" path="m7277,4879l7256,4879,7265,4859,7286,4859,7277,48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NowzcL4AAADb&#10;AAAADwAAAGRycy9kb3ducmV2LnhtbEWPzWrDMBCE74W8g9hCLyWWbagT3CghBAw5uJQ6yX2xtrap&#10;tRKWmr+nrwqFHoeZ+YZZba5mFGea/GBZQZakIIhbqwfuFBwP1XwJwgdkjaNlUnAjD5v17GGFpbYX&#10;/qBzEzoRIexLVNCH4EopfduTQZ9YRxy9TzsZDFFOndQTXiLcjDJP00IaHDgu9Oho11P71XwbBaem&#10;ru+uenb7t/fcB19vixfaKvX0mKWvIAJdw3/4r73XCooF/H6J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wzcL4A&#10;AADbAAAADwAAAAAAAAABACAAAAAiAAAAZHJzL2Rvd25yZXYueG1sUEsBAhQAFAAAAAgAh07iQDMv&#10;BZ47AAAAOQAAABAAAAAAAAAAAQAgAAAADQEAAGRycy9zaGFwZXhtbC54bWxQSwUGAAAAAAYABgBb&#10;AQAAtwMAAAAA&#10;" path="m186,4899l166,4899,156,4879,176,4879,186,48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RxOnArgAAADb&#10;AAAADwAAAGRycy9kb3ducmV2LnhtbEVPy4rCMBTdC/5DuIIbGVMFi3SMIoLgoiJW3V+aO22Z5iY0&#10;8fn1ZiG4PJz3YvUwrbhR5xvLCibjBARxaXXDlYLzafszB+EDssbWMil4kofVst9bYKbtnY90K0Il&#10;Ygj7DBXUIbhMSl/WZNCPrSOO3J/tDIYIu0rqDu8x3LRymiSpNNhwbKjR0aam8r+4GgWXIs9fbjty&#10;u/1h6oPP1+mM1koNB5PkF0SgR/iKP+6dVpDGsfFL/A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xOnArgAAADbAAAA&#10;DwAAAAAAAAABACAAAAAiAAAAZHJzL2Rvd25yZXYueG1sUEsBAhQAFAAAAAgAh07iQDMvBZ47AAAA&#10;OQAAABAAAAAAAAAAAQAgAAAABwEAAGRycy9zaGFwZXhtbC54bWxQSwUGAAAAAAYABgBbAQAAsQMA&#10;AAAA&#10;" path="m7258,4899l7238,4899,7247,4879,7267,4879,7258,48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KF8Cmb4AAADb&#10;AAAADwAAAGRycy9kb3ducmV2LnhtbEWPzWrDMBCE74W8g9hCLyWWbahJ3CghBAw5uJQ6yX2xtrap&#10;tRKWmr+nrwqFHoeZ+YZZba5mFGea/GBZQZakIIhbqwfuFBwP1XwBwgdkjaNlUnAjD5v17GGFpbYX&#10;/qBzEzoRIexLVNCH4EopfduTQZ9YRxy9TzsZDFFOndQTXiLcjDJP00IaHDgu9Oho11P71XwbBaem&#10;ru+uenb7t/fcB19vixfaKvX0mKWvIAJdw3/4r73XCool/H6J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8Cmb4A&#10;AADbAAAADwAAAAAAAAABACAAAAAiAAAAZHJzL2Rvd25yZXYueG1sUEsBAhQAFAAAAAgAh07iQDMv&#10;BZ47AAAAOQAAABAAAAAAAAAAAQAgAAAADQEAAGRycy9zaGFwZXhtbC54bWxQSwUGAAAAAAYABgBb&#10;AQAAtwMAAAAA&#10;" path="m206,4919l186,4919,176,4899,196,4899,206,49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PLw92bsAAADb&#10;AAAADwAAAGRycy9kb3ducmV2LnhtbEVPz2vCMBS+C/4P4Qm7yJoqzI2uqcig0EPHsG73R/PWljUv&#10;ocm08683h4HHj+93vp/NKM40+cGygk2SgiBurR64U/B5Kh9fQPiArHG0TAr+yMO+WC5yzLS98JHO&#10;TehEDGGfoYI+BJdJ6dueDPrEOuLIfdvJYIhw6qSe8BLDzSi3abqTBgeODT06euup/Wl+jYKvpq6v&#10;rly76v1j64OvD7snOij1sNqkryACzeEu/ndXWsFzXB+/xB8g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w92bsAAADb&#10;AAAADwAAAAAAAAABACAAAAAiAAAAZHJzL2Rvd25yZXYueG1sUEsBAhQAFAAAAAgAh07iQDMvBZ47&#10;AAAAOQAAABAAAAAAAAAAAQAgAAAACgEAAGRycy9zaGFwZXhtbC54bWxQSwUGAAAAAAYABgBbAQAA&#10;tAMAAAAA&#10;" path="m7238,4919l7218,4919,7228,4899,7248,4899,7238,49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U/CYQr4AAADb&#10;AAAADwAAAGRycy9kb3ducmV2LnhtbEWPQWvCQBSE70L/w/IKvYjZRGiU1FWkEPAQKcb2/si+JqHZ&#10;t0t2q2l/vVsoeBxm5htms5vMIC40+t6ygixJQRA3VvfcKng/l4s1CB+QNQ6WScEPedhtH2YbLLS9&#10;8okudWhFhLAvUEEXgiuk9E1HBn1iHXH0Pu1oMEQ5tlKPeI1wM8hlmubSYM9xoUNHrx01X/W3UfBR&#10;V9WvK+fucHxb+uCrff5Me6WeHrP0BUSgKdzD/+2DVrDK4O9L/AF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YQr4A&#10;AADbAAAADwAAAAAAAAABACAAAAAiAAAAZHJzL2Rvd25yZXYueG1sUEsBAhQAFAAAAAgAh07iQDMv&#10;BZ47AAAAOQAAABAAAAAAAAAAAQAgAAAADQEAAGRycy9zaGFwZXhtbC54bWxQSwUGAAAAAAYABgBb&#10;AQAAtwMAAAAA&#10;" path="m237,4939l206,4939,196,4919,226,4919,237,49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oyIGNb4AAADb&#10;AAAADwAAAGRycy9kb3ducmV2LnhtbEWPQWvCQBSE7wX/w/IKvRTdGDCV1FVECHhIKU31/si+JqHZ&#10;t0t2G6O/visUehxm5htms5tML0YafGdZwXKRgCCure64UXD6LOZrED4ga+wtk4IredhtZw8bzLW9&#10;8AeNVWhEhLDPUUEbgsul9HVLBv3COuLofdnBYIhyaKQe8BLhppdpkmTSYMdxoUVHh5bq7+rHKDhX&#10;ZXlzxbM7vr2nPvhyn61or9TT4zJ5BRFoCv/hv/ZRK3hJ4f4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yIGNb4A&#10;AADbAAAADwAAAAAAAAABACAAAAAiAAAAZHJzL2Rvd25yZXYueG1sUEsBAhQAFAAAAAgAh07iQDMv&#10;BZ47AAAAOQAAABAAAAAAAAAAAQAgAAAADQEAAGRycy9zaGFwZXhtbC54bWxQSwUGAAAAAAYABgBb&#10;AQAAtwMAAAAA&#10;" path="m7217,4939l7187,4939,7198,4919,7228,4919,7217,49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zG6jrrwAAADb&#10;AAAADwAAAGRycy9kb3ducmV2LnhtbEWPT4vCMBTE78J+h/AWvIimKrrSNYoIgocuYl3vj+bZlm1e&#10;QhP/fvqNIHgcZuY3zHx5M424UOtrywqGgwQEcWF1zaWC38OmPwPhA7LGxjIpuJOH5eKjM8dU2yvv&#10;6ZKHUkQI+xQVVCG4VEpfVGTQD6wjjt7JtgZDlG0pdYvXCDeNHCXJVBqsOS5U6GhdUfGXn42CY55l&#10;D7fpue3PbuSDz1bTCa2U6n4Ok28QgW7hHX61t1rB1xi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uo668AAAA&#10;2wAAAA8AAAAAAAAAAQAgAAAAIgAAAGRycy9kb3ducmV2LnhtbFBLAQIUABQAAAAIAIdO4kAzLwWe&#10;OwAAADkAAAAQAAAAAAAAAAEAIAAAAAsBAABkcnMvc2hhcGV4bWwueG1sUEsFBgAAAAAGAAYAWwEA&#10;ALUDAAAAAA==&#10;" path="m258,4959l239,4959,228,4939,247,4939,258,49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Q4c72rwAAADb&#10;AAAADwAAAGRycy9kb3ducmV2LnhtbEWPT4vCMBTE78J+h/AWvIimirrSNYoIgocuYl3vj+bZlm1e&#10;QhP/fvqNIHgcZuY3zHx5M424UOtrywqGgwQEcWF1zaWC38OmPwPhA7LGxjIpuJOH5eKjM8dU2yvv&#10;6ZKHUkQI+xQVVCG4VEpfVGTQD6wjjt7JtgZDlG0pdYvXCDeNHCXJVBqsOS5U6GhdUfGXn42CY55l&#10;D7fpue3PbuSDz1bTCa2U6n4Ok28QgW7hHX61t1rB1xi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HO9q8AAAA&#10;2wAAAA8AAAAAAAAAAQAgAAAAIgAAAGRycy9kb3ducmV2LnhtbFBLAQIUABQAAAAIAIdO4kAzLwWe&#10;OwAAADkAAAAQAAAAAAAAAAEAIAAAAAsBAABkcnMvc2hhcGV4bWwueG1sUEsFBgAAAAAGAAYAWwEA&#10;ALUDAAAAAA==&#10;" path="m7185,4959l7165,4959,7176,4939,7196,4939,7185,495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LMueQb4AAADb&#10;AAAADwAAAGRycy9kb3ducmV2LnhtbEWPQWvCQBSE70L/w/IKvYhuDGhLdBUpBHJIEWN7f2Rfk9Ds&#10;2yW7TWx/fbcgeBxm5htmd7iaXow0+M6ygtUyAUFcW91xo+D9ki9eQPiArLG3TAp+yMNh/zDbYabt&#10;xGcaq9CICGGfoYI2BJdJ6euWDPqldcTR+7SDwRDl0Eg94BThppdpkmykwY7jQouOXluqv6pvo+Cj&#10;Kstfl89d8XZKffDlcbOmo1JPj6tkCyLQNdzDt3ahFTyv4f9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ueQb4A&#10;AADbAAAADwAAAAAAAAABACAAAAAiAAAAZHJzL2Rvd25yZXYueG1sUEsBAhQAFAAAAAgAh07iQDMv&#10;BZ47AAAAOQAAABAAAAAAAAAAAQAgAAAADQEAAGRycy9zaGFwZXhtbC54bWxQSwUGAAAAAAYABgBb&#10;AQAAtwMAAAAA&#10;" path="m292,4979l261,4979,250,4959,281,4959,292,49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3BkANr4AAADb&#10;AAAADwAAAGRycy9kb3ducmV2LnhtbEWPzWrDMBCE74W8g9hCLyWWbagT3CghBAw5uJQ6yX2xtrap&#10;tRKWmr+nrwqFHoeZ+YZZba5mFGea/GBZQZakIIhbqwfuFBwP1XwJwgdkjaNlUnAjD5v17GGFpbYX&#10;/qBzEzoRIexLVNCH4EopfduTQZ9YRxy9TzsZDFFOndQTXiLcjDJP00IaHDgu9Oho11P71XwbBaem&#10;ru+uenb7t/fcB19vixfaKvX0mKWvIAJdw3/4r73XChYF/H6J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BkANr4A&#10;AADbAAAADwAAAAAAAAABACAAAAAiAAAAZHJzL2Rvd25yZXYueG1sUEsBAhQAFAAAAAgAh07iQDMv&#10;BZ47AAAAOQAAABAAAAAAAAAAAQAgAAAADQEAAGRycy9zaGFwZXhtbC54bWxQSwUGAAAAAAYABgBb&#10;AQAAtwMAAAAA&#10;" path="m7162,4979l7131,4979,7143,4959,7174,4959,7162,497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s1WlrbwAAADb&#10;AAAADwAAAGRycy9kb3ducmV2LnhtbEWPT4vCMBTE78J+h/AWvIimClrpGkUWBA8Vse7eH83btmzz&#10;Epr499MbQfA4zMxvmMXqalpxps43lhWMRwkI4tLqhisFP8fNcA7CB2SNrWVScCMPq+VHb4GZthc+&#10;0LkIlYgQ9hkqqENwmZS+rMmgH1lHHL0/2xkMUXaV1B1eIty0cpIkM2mw4bhQo6Pvmsr/4mQU/BZ5&#10;fnebgdvu9hMffL6eTWmtVP9znHyBCHQN7/CrvdUK0h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Vpa28AAAA&#10;2wAAAA8AAAAAAAAAAQAgAAAAIgAAAGRycy9kb3ducmV2LnhtbFBLAQIUABQAAAAIAIdO4kAzLwWe&#10;OwAAADkAAAAQAAAAAAAAAAEAIAAAAAsBAABkcnMvc2hhcGV4bWwueG1sUEsFBgAAAAAGAAYAWwEA&#10;ALUDAAAAAA==&#10;" path="m328,4999l297,4999,285,4979,316,4979,328,49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wsox37sAAADb&#10;AAAADwAAAGRycy9kb3ducmV2LnhtbEVPz2vCMBS+C/4P4Qm7yJoqzI2uqcig0EPHsG73R/PWljUv&#10;ocm08683h4HHj+93vp/NKM40+cGygk2SgiBurR64U/B5Kh9fQPiArHG0TAr+yMO+WC5yzLS98JHO&#10;TehEDGGfoYI+BJdJ6dueDPrEOuLIfdvJYIhw6qSe8BLDzSi3abqTBgeODT06euup/Wl+jYKvpq6v&#10;rly76v1j64OvD7snOij1sNqkryACzeEu/ndXWsFzHBu/xB8g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sox37sAAADb&#10;AAAADwAAAAAAAAABACAAAAAiAAAAZHJzL2Rvd25yZXYueG1sUEsBAhQAFAAAAAgAh07iQDMvBZ47&#10;AAAAOQAAABAAAAAAAAAAAQAgAAAACgEAAGRycy9zaGFwZXhtbC54bWxQSwUGAAAAAAYABgBbAQAA&#10;tAMAAAAA&#10;" path="m7127,4999l7096,4999,7108,4979,7139,4979,7127,499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rYaURLwAAADb&#10;AAAADwAAAGRycy9kb3ducmV2LnhtbEWPT4vCMBTE78J+h/AWvIimCuraNYoIgocuYl3vj+bZlm1e&#10;QhP/fvqNIHgcZuY3zHx5M424UOtrywqGgwQEcWF1zaWC38Om/wXCB2SNjWVScCcPy8VHZ46ptlfe&#10;0yUPpYgQ9ikqqEJwqZS+qMigH1hHHL2TbQ2GKNtS6havEW4aOUqSiTRYc1yo0NG6ouIvPxsFxzzL&#10;Hm7Tc9uf3cgHn60mY1op1f0cJt8gAt3CO/xqb7WC6Qy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GlES8AAAA&#10;2wAAAA8AAAAAAAAAAQAgAAAAIgAAAGRycy9kb3ducmV2LnhtbFBLAQIUABQAAAAIAIdO4kAzLwWe&#10;OwAAADkAAAAQAAAAAAAAAAEAIAAAAAsBAABkcnMvc2hhcGV4bWwueG1sUEsFBgAAAAAGAAYAWwEA&#10;ALUDAAAAAA==&#10;" path="m378,5019l334,5019,321,4999,365,4999,378,50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CWlN/rgAAADb&#10;AAAADwAAAGRycy9kb3ducmV2LnhtbEVPy4rCMBTdC/5DuIIb0VRBKdUoIgguOoh1Zn9prm2xuQlN&#10;fM3Xm4Xg8nDeq83TtOJOnW8sK5hOEhDEpdUNVwp+z/txCsIHZI2tZVLwIg+bdb+3wkzbB5/oXoRK&#10;xBD2GSqoQ3CZlL6syaCfWEccuYvtDIYIu0rqDh8x3LRyliQLabDh2FCjo11N5bW4GQV/RZ7/u/3I&#10;HX6OMx98vl3MaavUcDBNliACPcNX/HEftII0ro9f4g+Q6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WlN/rgAAADbAAAA&#10;DwAAAAAAAAABACAAAAAiAAAAZHJzL2Rvd25yZXYueG1sUEsBAhQAFAAAAAgAh07iQDMvBZ47AAAA&#10;OQAAABAAAAAAAAAAAQAgAAAABwEAAGRycy9zaGFwZXhtbC54bWxQSwUGAAAAAAYABgBbAQAAsQMA&#10;AAAA&#10;" path="m7090,5019l7046,5019,7059,4999,7102,4999,7090,501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ZiXoZb4AAADb&#10;AAAADwAAAGRycy9kb3ducmV2LnhtbEWPwWrDMBBE74X+g9hCLqWRHUgwTpRgCgYfXELc9r5YG9vU&#10;WglLcdJ+fVUo5DjMzBtmd7iZUcw0+cGygnSZgCBurR64U/DxXr5kIHxA1jhaJgXf5OGwf3zYYa7t&#10;lU80N6ETEcI+RwV9CC6X0rc9GfRL64ijd7aTwRDl1Ek94TXCzShXSbKRBgeOCz06eu2p/WouRsFn&#10;U9c/rnx21dtx5YOvi82aCqUWT2myBRHoFu7h/3alFWQp/H2JP0D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iXoZb4A&#10;AADbAAAADwAAAAAAAAABACAAAAAiAAAAZHJzL2Rvd25yZXYueG1sUEsBAhQAFAAAAAgAh07iQDMv&#10;BZ47AAAAOQAAABAAAAAAAAAAAQAgAAAADQEAAGRycy9zaGFwZXhtbC54bWxQSwUGAAAAAAYABgBb&#10;AQAAtwMAAAAA&#10;" path="m443,5039l385,5039,372,5019,429,5019,443,50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lvd2ErwAAADb&#10;AAAADwAAAGRycy9kb3ducmV2LnhtbEWPT4vCMBTE78J+h/AWvMiaWlBKNYosCB4qYnXvj+bZlm1e&#10;QhP/7H56Iwgeh5n5DbNY3U0nrtT71rKCyTgBQVxZ3XKt4HTcfGUgfEDW2FkmBX/kYbX8GCww1/bG&#10;B7qWoRYRwj5HBU0ILpfSVw0Z9GPriKN3tr3BEGVfS93jLcJNJ9MkmUmDLceFBh19N1T9lhej4Kcs&#10;in+3Gbntbp/64Iv1bEprpYafk2QOItA9vMOv9lYryFJ4fo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3dhK8AAAA&#10;2wAAAA8AAAAAAAAAAQAgAAAAIgAAAGRycy9kb3ducmV2LnhtbFBLAQIUABQAAAAIAIdO4kAzLwWe&#10;OwAAADkAAAAQAAAAAAAAAAEAIAAAAAsBAABkcnMvc2hhcGV4bWwueG1sUEsFBgAAAAAGAAYAWwEA&#10;ALUDAAAAAA==&#10;" path="m7038,5039l6981,5039,6994,5019,7051,5019,7038,5039xe">
                    <v:fill on="t" focussize="0,0"/>
                    <v:stroke on="f"/>
                    <v:imagedata o:title=""/>
                    <o:lock v:ext="edit" aspectratio="f"/>
                  </v:shape>
                  <v:shape id="_x0000_s1026" o:spid="_x0000_s1026" o:spt="100" style="position:absolute;left:0;top:0;height:5060;width:7425;" fillcolor="#000000" filled="t" stroked="f" coordsize="7425,5060" o:gfxdata="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vTib4A&#10;AADbAAAADwAAAAAAAAABACAAAAAiAAAAZHJzL2Rvd25yZXYueG1sUEsBAhQAFAAAAAgAh07iQDMv&#10;BZ47AAAAOQAAABAAAAAAAAAAAQAgAAAADQEAAGRycy9zaGFwZXhtbC54bWxQSwUGAAAAAAYABgBb&#10;AQAAtwMAAAAA&#10;" path="m6956,5059l467,5059,453,5039,6970,5039,6956,5059xe">
                    <v:fill on="t" focussize="0,0"/>
                    <v:stroke on="f"/>
                    <v:imagedata o:title=""/>
                    <o:lock v:ext="edit" aspectratio="f"/>
                  </v:shape>
                </v:group>
                <w10:wrap type="none"/>
                <w10:anchorlock/>
              </v:group>
            </w:pict>
          </mc:Fallback>
        </mc:AlternateContent>
      </w:r>
    </w:p>
    <w:p>
      <w:pPr>
        <w:pStyle w:val="8"/>
        <w:spacing w:line="480" w:lineRule="exact"/>
        <w:rPr>
          <w:rFonts w:ascii="宋体" w:hAnsi="宋体" w:eastAsia="宋体" w:cs="宋体"/>
          <w:bCs/>
          <w:sz w:val="24"/>
        </w:rPr>
      </w:pPr>
    </w:p>
    <w:p>
      <w:pPr>
        <w:pStyle w:val="8"/>
        <w:spacing w:line="480" w:lineRule="exact"/>
        <w:rPr>
          <w:rFonts w:ascii="宋体" w:hAnsi="宋体" w:eastAsia="宋体" w:cs="宋体"/>
          <w:bCs/>
          <w:sz w:val="24"/>
        </w:rPr>
      </w:pPr>
    </w:p>
    <w:p>
      <w:pPr>
        <w:pStyle w:val="8"/>
        <w:spacing w:line="480" w:lineRule="exact"/>
        <w:rPr>
          <w:rFonts w:ascii="宋体" w:hAnsi="宋体" w:eastAsia="宋体" w:cs="宋体"/>
          <w:bCs/>
          <w:sz w:val="24"/>
        </w:rPr>
      </w:pPr>
    </w:p>
    <w:p>
      <w:pPr>
        <w:pStyle w:val="8"/>
        <w:wordWrap w:val="0"/>
        <w:spacing w:line="480" w:lineRule="exact"/>
        <w:jc w:val="right"/>
        <w:rPr>
          <w:rFonts w:ascii="宋体" w:hAnsi="宋体" w:eastAsia="宋体" w:cs="宋体"/>
          <w:bCs/>
          <w:sz w:val="24"/>
        </w:rPr>
      </w:pPr>
      <w:r>
        <w:rPr>
          <w:rFonts w:hint="eastAsia" w:ascii="宋体" w:hAnsi="宋体" w:eastAsia="宋体" w:cs="宋体"/>
          <w:bCs/>
          <w:sz w:val="24"/>
        </w:rPr>
        <w:t>投标人：</w:t>
      </w:r>
      <w:r>
        <w:rPr>
          <w:rFonts w:hint="eastAsia" w:ascii="宋体" w:hAnsi="宋体" w:eastAsia="宋体" w:cs="宋体"/>
          <w:bCs/>
          <w:sz w:val="24"/>
          <w:u w:val="single"/>
        </w:rPr>
        <w:tab/>
      </w:r>
      <w:r>
        <w:rPr>
          <w:rFonts w:hint="eastAsia" w:ascii="宋体" w:hAnsi="宋体" w:eastAsia="宋体" w:cs="宋体"/>
          <w:bCs/>
          <w:sz w:val="24"/>
        </w:rPr>
        <w:t xml:space="preserve">（盖章） </w:t>
      </w:r>
    </w:p>
    <w:p>
      <w:pPr>
        <w:pStyle w:val="8"/>
        <w:wordWrap w:val="0"/>
        <w:spacing w:line="480" w:lineRule="exact"/>
        <w:jc w:val="right"/>
        <w:rPr>
          <w:rFonts w:ascii="宋体" w:hAnsi="宋体" w:eastAsia="宋体" w:cs="宋体"/>
          <w:bCs/>
          <w:sz w:val="24"/>
        </w:rPr>
      </w:pPr>
      <w:r>
        <w:rPr>
          <w:rFonts w:hint="eastAsia" w:ascii="宋体" w:hAnsi="宋体" w:eastAsia="宋体" w:cs="宋体"/>
          <w:bCs/>
          <w:sz w:val="24"/>
        </w:rPr>
        <w:t>法定代表人或被授权人：</w:t>
      </w:r>
      <w:r>
        <w:rPr>
          <w:rFonts w:hint="eastAsia" w:ascii="宋体" w:hAnsi="宋体" w:eastAsia="宋体" w:cs="宋体"/>
          <w:bCs/>
          <w:sz w:val="24"/>
          <w:u w:val="single"/>
        </w:rPr>
        <w:tab/>
      </w:r>
      <w:r>
        <w:rPr>
          <w:rFonts w:hint="eastAsia" w:ascii="宋体" w:hAnsi="宋体" w:eastAsia="宋体" w:cs="宋体"/>
          <w:bCs/>
          <w:sz w:val="24"/>
        </w:rPr>
        <w:t>（签字或盖章）</w:t>
      </w:r>
    </w:p>
    <w:p>
      <w:pPr>
        <w:pStyle w:val="8"/>
        <w:spacing w:line="480" w:lineRule="exact"/>
        <w:jc w:val="right"/>
        <w:rPr>
          <w:rFonts w:ascii="宋体" w:hAnsi="宋体" w:eastAsia="宋体" w:cs="宋体"/>
          <w:bCs/>
          <w:sz w:val="24"/>
        </w:rPr>
      </w:pPr>
      <w:r>
        <w:rPr>
          <w:rFonts w:hint="eastAsia" w:ascii="宋体" w:hAnsi="宋体" w:eastAsia="宋体" w:cs="宋体"/>
          <w:bCs/>
          <w:sz w:val="24"/>
        </w:rPr>
        <w:t>日</w:t>
      </w:r>
      <w:r>
        <w:rPr>
          <w:rFonts w:hint="eastAsia" w:ascii="宋体" w:hAnsi="宋体" w:eastAsia="宋体" w:cs="宋体"/>
          <w:bCs/>
          <w:sz w:val="24"/>
        </w:rPr>
        <w:tab/>
      </w:r>
      <w:r>
        <w:rPr>
          <w:rFonts w:hint="eastAsia" w:ascii="宋体" w:hAnsi="宋体" w:eastAsia="宋体" w:cs="宋体"/>
          <w:bCs/>
          <w:sz w:val="24"/>
        </w:rPr>
        <w:t>期：</w:t>
      </w:r>
      <w:r>
        <w:rPr>
          <w:rFonts w:hint="eastAsia" w:ascii="宋体" w:hAnsi="宋体" w:eastAsia="宋体" w:cs="宋体"/>
          <w:bCs/>
          <w:sz w:val="24"/>
          <w:u w:val="single"/>
        </w:rPr>
        <w:tab/>
      </w:r>
      <w:r>
        <w:rPr>
          <w:rFonts w:hint="eastAsia" w:ascii="宋体" w:hAnsi="宋体" w:eastAsia="宋体" w:cs="宋体"/>
          <w:bCs/>
          <w:sz w:val="24"/>
        </w:rPr>
        <w:t>年</w:t>
      </w:r>
      <w:r>
        <w:rPr>
          <w:rFonts w:hint="eastAsia" w:ascii="宋体" w:hAnsi="宋体" w:eastAsia="宋体" w:cs="宋体"/>
          <w:bCs/>
          <w:sz w:val="24"/>
          <w:u w:val="single"/>
        </w:rPr>
        <w:tab/>
      </w:r>
      <w:r>
        <w:rPr>
          <w:rFonts w:hint="eastAsia" w:ascii="宋体" w:hAnsi="宋体" w:eastAsia="宋体" w:cs="宋体"/>
          <w:bCs/>
          <w:sz w:val="24"/>
        </w:rPr>
        <w:t>月</w:t>
      </w:r>
      <w:r>
        <w:rPr>
          <w:rFonts w:hint="eastAsia" w:ascii="宋体" w:hAnsi="宋体" w:eastAsia="宋体" w:cs="宋体"/>
          <w:bCs/>
          <w:sz w:val="24"/>
          <w:u w:val="single"/>
        </w:rPr>
        <w:tab/>
      </w:r>
      <w:r>
        <w:rPr>
          <w:rFonts w:hint="eastAsia" w:ascii="宋体" w:hAnsi="宋体" w:eastAsia="宋体" w:cs="宋体"/>
          <w:bCs/>
          <w:sz w:val="24"/>
        </w:rPr>
        <w:t>日</w:t>
      </w:r>
    </w:p>
    <w:p>
      <w:pPr>
        <w:pStyle w:val="8"/>
        <w:spacing w:line="480" w:lineRule="exact"/>
        <w:rPr>
          <w:rFonts w:ascii="宋体" w:hAnsi="宋体" w:eastAsia="宋体" w:cs="宋体"/>
          <w:bCs/>
          <w:sz w:val="24"/>
        </w:rPr>
      </w:pPr>
    </w:p>
    <w:p>
      <w:pPr>
        <w:pStyle w:val="8"/>
        <w:spacing w:line="480" w:lineRule="exact"/>
        <w:rPr>
          <w:rFonts w:ascii="宋体" w:hAnsi="宋体" w:eastAsia="宋体" w:cs="宋体"/>
          <w:bCs/>
          <w:sz w:val="24"/>
        </w:rPr>
      </w:pPr>
    </w:p>
    <w:p>
      <w:pPr>
        <w:pStyle w:val="8"/>
        <w:spacing w:line="480" w:lineRule="exact"/>
        <w:rPr>
          <w:rFonts w:ascii="宋体" w:hAnsi="宋体" w:eastAsia="宋体" w:cs="宋体"/>
          <w:bCs/>
          <w:sz w:val="24"/>
        </w:rPr>
      </w:pPr>
      <w:r>
        <w:rPr>
          <w:rFonts w:hint="eastAsia" w:ascii="宋体" w:hAnsi="宋体" w:eastAsia="宋体" w:cs="宋体"/>
          <w:bCs/>
          <w:sz w:val="24"/>
        </w:rPr>
        <w:t>★备注：谈判保证金打款凭证复印件加盖公章</w:t>
      </w:r>
    </w:p>
    <w:p>
      <w:pPr>
        <w:pStyle w:val="8"/>
        <w:spacing w:before="157" w:beforeLines="50" w:line="360" w:lineRule="auto"/>
        <w:jc w:val="center"/>
        <w:rPr>
          <w:rFonts w:ascii="宋体" w:hAnsi="宋体" w:eastAsia="宋体" w:cs="宋体"/>
          <w:b/>
          <w:sz w:val="24"/>
        </w:rPr>
      </w:pPr>
    </w:p>
    <w:p>
      <w:pPr>
        <w:pStyle w:val="8"/>
        <w:spacing w:before="157" w:beforeLines="50" w:line="360" w:lineRule="auto"/>
        <w:jc w:val="center"/>
        <w:rPr>
          <w:rFonts w:ascii="宋体" w:hAnsi="宋体" w:eastAsia="宋体" w:cs="宋体"/>
          <w:b/>
          <w:sz w:val="24"/>
        </w:rPr>
      </w:pPr>
    </w:p>
    <w:p>
      <w:pPr>
        <w:pStyle w:val="8"/>
        <w:spacing w:before="157" w:beforeLines="50" w:line="360" w:lineRule="auto"/>
        <w:jc w:val="center"/>
        <w:rPr>
          <w:rFonts w:ascii="宋体" w:hAnsi="宋体" w:eastAsia="宋体" w:cs="宋体"/>
          <w:b/>
          <w:sz w:val="24"/>
        </w:rPr>
      </w:pPr>
      <w:r>
        <w:rPr>
          <w:rFonts w:hint="eastAsia" w:ascii="宋体" w:hAnsi="宋体" w:eastAsia="宋体" w:cs="宋体"/>
          <w:b/>
          <w:sz w:val="24"/>
        </w:rPr>
        <w:t>投标人基本情况表</w:t>
      </w:r>
    </w:p>
    <w:p>
      <w:pPr>
        <w:rPr>
          <w:rFonts w:ascii="宋体" w:hAnsi="宋体"/>
          <w:sz w:val="24"/>
        </w:rPr>
      </w:pPr>
    </w:p>
    <w:tbl>
      <w:tblPr>
        <w:tblStyle w:val="18"/>
        <w:tblW w:w="9651" w:type="dxa"/>
        <w:tblInd w:w="0" w:type="dxa"/>
        <w:tblLayout w:type="fixed"/>
        <w:tblCellMar>
          <w:top w:w="0" w:type="dxa"/>
          <w:left w:w="108" w:type="dxa"/>
          <w:bottom w:w="0" w:type="dxa"/>
          <w:right w:w="108" w:type="dxa"/>
        </w:tblCellMar>
      </w:tblPr>
      <w:tblGrid>
        <w:gridCol w:w="2716"/>
        <w:gridCol w:w="2109"/>
        <w:gridCol w:w="2417"/>
        <w:gridCol w:w="2409"/>
      </w:tblGrid>
      <w:tr>
        <w:tblPrEx>
          <w:tblCellMar>
            <w:top w:w="0" w:type="dxa"/>
            <w:left w:w="108" w:type="dxa"/>
            <w:bottom w:w="0" w:type="dxa"/>
            <w:right w:w="108" w:type="dxa"/>
          </w:tblCellMar>
        </w:tblPrEx>
        <w:trPr>
          <w:trHeight w:val="579" w:hRule="atLeast"/>
        </w:trPr>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单位名称</w:t>
            </w:r>
          </w:p>
        </w:tc>
        <w:tc>
          <w:tcPr>
            <w:tcW w:w="69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579" w:hRule="atLeast"/>
        </w:trPr>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资质等级</w:t>
            </w:r>
          </w:p>
        </w:tc>
        <w:tc>
          <w:tcPr>
            <w:tcW w:w="69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579" w:hRule="atLeast"/>
        </w:trPr>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营业范围</w:t>
            </w:r>
          </w:p>
        </w:tc>
        <w:tc>
          <w:tcPr>
            <w:tcW w:w="69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579" w:hRule="atLeast"/>
        </w:trPr>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单位地址</w:t>
            </w:r>
          </w:p>
        </w:tc>
        <w:tc>
          <w:tcPr>
            <w:tcW w:w="69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579" w:hRule="atLeast"/>
        </w:trPr>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法定代表人</w:t>
            </w:r>
          </w:p>
        </w:tc>
        <w:tc>
          <w:tcPr>
            <w:tcW w:w="69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579" w:hRule="atLeast"/>
        </w:trPr>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经济类型</w:t>
            </w:r>
          </w:p>
        </w:tc>
        <w:tc>
          <w:tcPr>
            <w:tcW w:w="69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579" w:hRule="atLeast"/>
        </w:trPr>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工商登记号</w:t>
            </w:r>
          </w:p>
        </w:tc>
        <w:tc>
          <w:tcPr>
            <w:tcW w:w="69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579" w:hRule="atLeast"/>
        </w:trPr>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税务登记号</w:t>
            </w:r>
          </w:p>
        </w:tc>
        <w:tc>
          <w:tcPr>
            <w:tcW w:w="69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579" w:hRule="atLeast"/>
        </w:trPr>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开户银行及帐号</w:t>
            </w:r>
          </w:p>
        </w:tc>
        <w:tc>
          <w:tcPr>
            <w:tcW w:w="69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579" w:hRule="atLeast"/>
        </w:trPr>
        <w:tc>
          <w:tcPr>
            <w:tcW w:w="2716"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宋体" w:hAnsi="宋体"/>
              </w:rPr>
            </w:pPr>
            <w:r>
              <w:rPr>
                <w:rFonts w:hint="eastAsia" w:ascii="宋体" w:hAnsi="宋体"/>
              </w:rPr>
              <w:t>单位信用等级</w:t>
            </w:r>
          </w:p>
        </w:tc>
        <w:tc>
          <w:tcPr>
            <w:tcW w:w="69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579" w:hRule="atLeast"/>
        </w:trPr>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联系人</w:t>
            </w:r>
          </w:p>
        </w:tc>
        <w:tc>
          <w:tcPr>
            <w:tcW w:w="2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联系电话</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579" w:hRule="atLeast"/>
        </w:trPr>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传真号</w:t>
            </w:r>
          </w:p>
        </w:tc>
        <w:tc>
          <w:tcPr>
            <w:tcW w:w="2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电子邮箱</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CellMar>
            <w:top w:w="0" w:type="dxa"/>
            <w:left w:w="108" w:type="dxa"/>
            <w:bottom w:w="0" w:type="dxa"/>
            <w:right w:w="108" w:type="dxa"/>
          </w:tblCellMar>
        </w:tblPrEx>
        <w:trPr>
          <w:trHeight w:val="680" w:hRule="atLeast"/>
        </w:trPr>
        <w:tc>
          <w:tcPr>
            <w:tcW w:w="2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说明</w:t>
            </w:r>
          </w:p>
        </w:tc>
        <w:tc>
          <w:tcPr>
            <w:tcW w:w="69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rPr>
                <w:rFonts w:ascii="宋体" w:hAnsi="宋体"/>
              </w:rPr>
            </w:pPr>
          </w:p>
        </w:tc>
      </w:tr>
    </w:tbl>
    <w:p>
      <w:pPr>
        <w:pStyle w:val="8"/>
        <w:spacing w:line="480" w:lineRule="exact"/>
        <w:rPr>
          <w:rFonts w:ascii="宋体" w:hAnsi="宋体" w:eastAsia="宋体"/>
          <w:sz w:val="24"/>
        </w:rPr>
      </w:pPr>
      <w:r>
        <w:rPr>
          <w:rFonts w:hint="eastAsia" w:ascii="宋体" w:hAnsi="宋体" w:eastAsia="宋体"/>
          <w:sz w:val="24"/>
        </w:rPr>
        <w:t>附：法人营业执照</w:t>
      </w:r>
      <w:r>
        <w:rPr>
          <w:rFonts w:hint="eastAsia" w:ascii="宋体" w:hAnsi="宋体" w:eastAsia="宋体" w:cs="Arial"/>
          <w:bCs/>
          <w:kern w:val="0"/>
          <w:sz w:val="24"/>
        </w:rPr>
        <w:t>（事业单位法人证书）等相关材料</w:t>
      </w: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spacing w:line="360" w:lineRule="auto"/>
        <w:jc w:val="center"/>
        <w:rPr>
          <w:rFonts w:ascii="宋体" w:hAnsi="宋体"/>
          <w:b/>
          <w:sz w:val="28"/>
          <w:szCs w:val="28"/>
        </w:rPr>
      </w:pPr>
      <w:r>
        <w:rPr>
          <w:rFonts w:hint="eastAsia" w:ascii="宋体" w:hAnsi="宋体"/>
          <w:b/>
          <w:sz w:val="28"/>
          <w:szCs w:val="28"/>
        </w:rPr>
        <w:t>关于资格的声明函</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致采购人：</w:t>
      </w:r>
    </w:p>
    <w:p>
      <w:pPr>
        <w:spacing w:line="360" w:lineRule="auto"/>
        <w:ind w:firstLine="570"/>
        <w:rPr>
          <w:rFonts w:ascii="宋体" w:hAnsi="宋体"/>
          <w:sz w:val="24"/>
        </w:rPr>
      </w:pPr>
      <w:r>
        <w:rPr>
          <w:rFonts w:hint="eastAsia" w:ascii="宋体" w:hAnsi="宋体"/>
          <w:sz w:val="24"/>
        </w:rPr>
        <w:t>关于贵方  年 月 日第（项目编号）招标公告关于</w:t>
      </w:r>
      <w:r>
        <w:rPr>
          <w:rFonts w:hint="eastAsia" w:ascii="宋体" w:hAnsi="宋体"/>
          <w:sz w:val="24"/>
          <w:u w:val="single"/>
        </w:rPr>
        <w:t>“     ”</w:t>
      </w:r>
      <w:r>
        <w:rPr>
          <w:rFonts w:hint="eastAsia" w:ascii="宋体" w:hAnsi="宋体"/>
          <w:sz w:val="24"/>
        </w:rPr>
        <w:t>的项目，本签字人愿意参加投标，并有能力提供</w:t>
      </w:r>
      <w:r>
        <w:rPr>
          <w:rFonts w:hint="eastAsia" w:ascii="宋体" w:hAnsi="宋体"/>
          <w:sz w:val="24"/>
          <w:u w:val="single"/>
        </w:rPr>
        <w:t>（项目名称）</w:t>
      </w:r>
      <w:r>
        <w:rPr>
          <w:rFonts w:hint="eastAsia" w:ascii="宋体" w:hAnsi="宋体"/>
          <w:sz w:val="24"/>
        </w:rPr>
        <w:t>项目中的</w:t>
      </w:r>
      <w:r>
        <w:rPr>
          <w:rFonts w:hint="eastAsia" w:ascii="宋体" w:hAnsi="宋体"/>
          <w:sz w:val="24"/>
          <w:u w:val="single"/>
        </w:rPr>
        <w:t>（分包编号）</w:t>
      </w:r>
      <w:r>
        <w:rPr>
          <w:rFonts w:hint="eastAsia" w:ascii="宋体" w:hAnsi="宋体"/>
          <w:sz w:val="24"/>
        </w:rPr>
        <w:t>的相关服务及供货，并保证所提交的所有文件和说明是真实和准确的。</w:t>
      </w:r>
    </w:p>
    <w:p>
      <w:pPr>
        <w:spacing w:line="360" w:lineRule="auto"/>
        <w:ind w:firstLine="570"/>
        <w:rPr>
          <w:rFonts w:ascii="宋体" w:hAnsi="宋体"/>
          <w:sz w:val="24"/>
          <w:u w:val="single"/>
        </w:rPr>
      </w:pPr>
      <w:r>
        <w:rPr>
          <w:rFonts w:hint="eastAsia" w:ascii="宋体" w:hAnsi="宋体"/>
          <w:sz w:val="24"/>
        </w:rPr>
        <w:t>投标人</w:t>
      </w:r>
      <w:r>
        <w:rPr>
          <w:rFonts w:hint="eastAsia" w:ascii="宋体" w:hAnsi="宋体"/>
          <w:sz w:val="24"/>
          <w:u w:val="single"/>
        </w:rPr>
        <w:t xml:space="preserve">  投标人名称  </w:t>
      </w:r>
      <w:r>
        <w:rPr>
          <w:rFonts w:hint="eastAsia" w:ascii="宋体" w:hAnsi="宋体"/>
          <w:sz w:val="24"/>
        </w:rPr>
        <w:t xml:space="preserve">   签字人姓名、职务：</w:t>
      </w:r>
    </w:p>
    <w:p>
      <w:pPr>
        <w:spacing w:line="360" w:lineRule="auto"/>
        <w:ind w:firstLine="570"/>
        <w:rPr>
          <w:rFonts w:ascii="宋体" w:hAnsi="宋体"/>
          <w:sz w:val="24"/>
          <w:u w:val="single"/>
        </w:rPr>
      </w:pPr>
      <w:r>
        <w:rPr>
          <w:rFonts w:hint="eastAsia" w:ascii="宋体" w:hAnsi="宋体"/>
          <w:sz w:val="24"/>
        </w:rPr>
        <w:t>地址：授权签署本资格文件人：</w:t>
      </w:r>
      <w:r>
        <w:rPr>
          <w:rFonts w:hint="eastAsia" w:ascii="宋体" w:hAnsi="宋体"/>
          <w:sz w:val="24"/>
          <w:u w:val="single"/>
        </w:rPr>
        <w:t>授权人姓名</w:t>
      </w:r>
    </w:p>
    <w:p>
      <w:pPr>
        <w:spacing w:line="360" w:lineRule="auto"/>
        <w:ind w:firstLine="570"/>
        <w:rPr>
          <w:rFonts w:ascii="宋体" w:hAnsi="宋体"/>
          <w:sz w:val="24"/>
          <w:u w:val="single"/>
        </w:rPr>
      </w:pPr>
      <w:r>
        <w:rPr>
          <w:rFonts w:hint="eastAsia" w:ascii="宋体" w:hAnsi="宋体"/>
          <w:sz w:val="24"/>
        </w:rPr>
        <w:t>传真：邮编：电话：</w:t>
      </w:r>
    </w:p>
    <w:p>
      <w:pPr>
        <w:spacing w:line="360" w:lineRule="auto"/>
        <w:ind w:firstLine="570"/>
        <w:rPr>
          <w:rFonts w:ascii="宋体" w:hAnsi="宋体"/>
          <w:sz w:val="24"/>
        </w:rPr>
      </w:pPr>
      <w:r>
        <w:rPr>
          <w:rFonts w:hint="eastAsia" w:ascii="宋体" w:hAnsi="宋体"/>
          <w:sz w:val="24"/>
        </w:rPr>
        <w:t>投 标 人 盖 章：</w:t>
      </w:r>
    </w:p>
    <w:p>
      <w:pPr>
        <w:spacing w:line="360" w:lineRule="auto"/>
        <w:ind w:firstLine="570"/>
        <w:rPr>
          <w:rFonts w:ascii="宋体" w:hAnsi="宋体"/>
          <w:sz w:val="24"/>
          <w:u w:val="single"/>
        </w:rPr>
      </w:pPr>
      <w:r>
        <w:rPr>
          <w:rFonts w:hint="eastAsia" w:ascii="宋体" w:hAnsi="宋体"/>
          <w:sz w:val="24"/>
        </w:rPr>
        <w:t xml:space="preserve">投标人法定代表人（签字或盖章）： </w:t>
      </w:r>
    </w:p>
    <w:p>
      <w:pPr>
        <w:spacing w:line="360" w:lineRule="auto"/>
        <w:ind w:firstLine="570"/>
        <w:rPr>
          <w:rFonts w:ascii="宋体" w:hAnsi="宋体"/>
          <w:sz w:val="24"/>
          <w:u w:val="single"/>
        </w:rPr>
      </w:pPr>
      <w:r>
        <w:rPr>
          <w:rFonts w:hint="eastAsia" w:ascii="宋体" w:hAnsi="宋体"/>
          <w:sz w:val="24"/>
        </w:rPr>
        <w:t xml:space="preserve"> </w:t>
      </w:r>
    </w:p>
    <w:p>
      <w:pPr>
        <w:spacing w:line="360" w:lineRule="auto"/>
        <w:rPr>
          <w:rFonts w:ascii="宋体" w:hAnsi="宋体"/>
          <w:sz w:val="24"/>
          <w:u w:val="single"/>
        </w:rPr>
      </w:pPr>
    </w:p>
    <w:p>
      <w:pPr>
        <w:pStyle w:val="8"/>
        <w:spacing w:line="480" w:lineRule="exact"/>
        <w:rPr>
          <w:rFonts w:ascii="宋体" w:hAnsi="宋体" w:eastAsia="宋体"/>
          <w:sz w:val="24"/>
        </w:rPr>
      </w:pPr>
      <w:r>
        <w:rPr>
          <w:rFonts w:hint="eastAsia" w:ascii="宋体" w:hAnsi="宋体" w:eastAsia="宋体"/>
          <w:sz w:val="24"/>
        </w:rPr>
        <w:t xml:space="preserve">                                            20 年 月  日</w:t>
      </w: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sz w:val="24"/>
        </w:rPr>
      </w:pPr>
    </w:p>
    <w:p>
      <w:pPr>
        <w:pStyle w:val="8"/>
        <w:spacing w:line="480" w:lineRule="exact"/>
        <w:rPr>
          <w:rFonts w:ascii="宋体" w:hAnsi="宋体" w:eastAsia="宋体" w:cs="宋体"/>
          <w:bCs/>
          <w:sz w:val="24"/>
        </w:rPr>
      </w:pPr>
    </w:p>
    <w:p>
      <w:pPr>
        <w:spacing w:line="360" w:lineRule="auto"/>
        <w:jc w:val="center"/>
        <w:rPr>
          <w:rFonts w:ascii="宋体" w:hAnsi="宋体"/>
          <w:b/>
          <w:sz w:val="28"/>
          <w:szCs w:val="28"/>
        </w:rPr>
      </w:pPr>
      <w:r>
        <w:rPr>
          <w:rFonts w:hint="eastAsia" w:ascii="宋体" w:hAnsi="宋体"/>
          <w:b/>
          <w:sz w:val="24"/>
          <w:szCs w:val="28"/>
        </w:rPr>
        <w:t>（投标人）《反商业贿赂承诺书》</w:t>
      </w:r>
    </w:p>
    <w:p>
      <w:pPr>
        <w:pStyle w:val="9"/>
        <w:spacing w:line="360" w:lineRule="auto"/>
        <w:ind w:firstLine="540"/>
        <w:rPr>
          <w:rFonts w:ascii="宋体" w:hAnsi="宋体" w:eastAsia="宋体"/>
          <w:sz w:val="24"/>
        </w:rPr>
      </w:pPr>
    </w:p>
    <w:p>
      <w:pPr>
        <w:pStyle w:val="9"/>
        <w:spacing w:line="360" w:lineRule="auto"/>
        <w:ind w:firstLine="540"/>
        <w:rPr>
          <w:rFonts w:ascii="宋体" w:hAnsi="宋体" w:eastAsia="宋体"/>
          <w:sz w:val="24"/>
        </w:rPr>
      </w:pPr>
      <w:r>
        <w:rPr>
          <w:rFonts w:hint="eastAsia" w:ascii="宋体" w:hAnsi="宋体" w:eastAsia="宋体"/>
          <w:sz w:val="24"/>
        </w:rPr>
        <w:t>我公司承诺在</w:t>
      </w:r>
      <w:r>
        <w:rPr>
          <w:rFonts w:hint="eastAsia" w:ascii="宋体" w:hAnsi="宋体" w:eastAsia="宋体"/>
          <w:sz w:val="24"/>
          <w:u w:val="single"/>
        </w:rPr>
        <w:t>（项目名称、项目编号、合同包号）</w:t>
      </w:r>
      <w:r>
        <w:rPr>
          <w:rFonts w:hint="eastAsia" w:ascii="宋体" w:hAnsi="宋体" w:eastAsia="宋体"/>
          <w:sz w:val="24"/>
        </w:rPr>
        <w:t xml:space="preserve">招标活动中，不给予国家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pStyle w:val="9"/>
        <w:spacing w:line="360" w:lineRule="auto"/>
        <w:ind w:firstLine="540"/>
        <w:rPr>
          <w:rFonts w:ascii="宋体" w:hAnsi="宋体" w:eastAsia="宋体"/>
          <w:sz w:val="24"/>
        </w:rPr>
      </w:pPr>
    </w:p>
    <w:p>
      <w:pPr>
        <w:pStyle w:val="9"/>
        <w:spacing w:line="360" w:lineRule="auto"/>
        <w:ind w:firstLine="540"/>
        <w:jc w:val="center"/>
        <w:rPr>
          <w:rFonts w:ascii="宋体" w:hAnsi="宋体" w:eastAsia="宋体"/>
          <w:sz w:val="24"/>
        </w:rPr>
      </w:pPr>
      <w:r>
        <w:rPr>
          <w:rFonts w:hint="eastAsia" w:ascii="宋体" w:hAnsi="宋体" w:eastAsia="宋体"/>
          <w:sz w:val="24"/>
        </w:rPr>
        <w:t xml:space="preserve">                         投标人（单位盖章）：</w:t>
      </w:r>
    </w:p>
    <w:p>
      <w:pPr>
        <w:pStyle w:val="9"/>
        <w:spacing w:line="360" w:lineRule="auto"/>
        <w:ind w:firstLine="540"/>
        <w:jc w:val="center"/>
        <w:rPr>
          <w:rFonts w:ascii="宋体" w:hAnsi="宋体" w:eastAsia="宋体"/>
          <w:sz w:val="24"/>
        </w:rPr>
      </w:pPr>
      <w:r>
        <w:rPr>
          <w:rFonts w:hint="eastAsia" w:ascii="宋体" w:hAnsi="宋体" w:eastAsia="宋体"/>
          <w:sz w:val="24"/>
        </w:rPr>
        <w:t xml:space="preserve">                           法定代表人或授权代理人（签字或盖章）：</w:t>
      </w:r>
    </w:p>
    <w:p>
      <w:pPr>
        <w:pStyle w:val="38"/>
        <w:spacing w:line="360" w:lineRule="exact"/>
        <w:rPr>
          <w:rFonts w:ascii="宋体" w:hAnsi="宋体"/>
        </w:rPr>
      </w:pPr>
      <w:r>
        <w:rPr>
          <w:rFonts w:hint="eastAsia" w:ascii="宋体" w:hAnsi="宋体"/>
          <w:b/>
          <w:szCs w:val="24"/>
        </w:rPr>
        <w:t xml:space="preserve">　　　　　　　　　　　              </w:t>
      </w:r>
      <w:r>
        <w:rPr>
          <w:rFonts w:hint="eastAsia" w:ascii="宋体" w:hAnsi="宋体"/>
        </w:rPr>
        <w:t xml:space="preserve">             20 年 月 日</w:t>
      </w: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9"/>
        <w:spacing w:line="360" w:lineRule="auto"/>
        <w:jc w:val="center"/>
        <w:rPr>
          <w:rFonts w:ascii="宋体" w:hAnsi="宋体"/>
          <w:b/>
          <w:color w:val="auto"/>
          <w:szCs w:val="28"/>
        </w:rPr>
      </w:pPr>
    </w:p>
    <w:p>
      <w:pPr>
        <w:pStyle w:val="39"/>
        <w:spacing w:line="360" w:lineRule="auto"/>
        <w:jc w:val="center"/>
        <w:rPr>
          <w:rFonts w:ascii="宋体" w:hAnsi="宋体"/>
          <w:b/>
          <w:color w:val="auto"/>
          <w:szCs w:val="28"/>
        </w:rPr>
      </w:pPr>
    </w:p>
    <w:p>
      <w:pPr>
        <w:pStyle w:val="39"/>
        <w:spacing w:line="360" w:lineRule="auto"/>
        <w:jc w:val="center"/>
        <w:rPr>
          <w:rFonts w:ascii="宋体" w:hAnsi="宋体"/>
          <w:b/>
          <w:szCs w:val="28"/>
        </w:rPr>
      </w:pPr>
      <w:r>
        <w:rPr>
          <w:rFonts w:hint="eastAsia" w:ascii="宋体" w:hAnsi="宋体"/>
          <w:b/>
          <w:color w:val="auto"/>
          <w:szCs w:val="28"/>
        </w:rPr>
        <w:t>投标人2018年</w:t>
      </w:r>
      <w:r>
        <w:rPr>
          <w:rFonts w:hint="eastAsia" w:ascii="宋体" w:hAnsi="宋体"/>
          <w:b/>
          <w:color w:val="auto"/>
          <w:szCs w:val="28"/>
          <w:lang w:val="en-US" w:eastAsia="zh-CN"/>
        </w:rPr>
        <w:t>9</w:t>
      </w:r>
      <w:r>
        <w:rPr>
          <w:rFonts w:hint="eastAsia" w:ascii="宋体" w:hAnsi="宋体"/>
          <w:b/>
          <w:color w:val="auto"/>
          <w:szCs w:val="28"/>
        </w:rPr>
        <w:t>月至今项目业绩表</w:t>
      </w:r>
    </w:p>
    <w:p>
      <w:pPr>
        <w:pStyle w:val="39"/>
        <w:spacing w:line="360" w:lineRule="auto"/>
        <w:rPr>
          <w:rFonts w:ascii="宋体" w:hAnsi="宋体"/>
        </w:rPr>
      </w:pPr>
      <w:r>
        <w:rPr>
          <w:rFonts w:hint="eastAsia" w:ascii="宋体" w:hAnsi="宋体"/>
          <w:color w:val="auto"/>
        </w:rPr>
        <w:t xml:space="preserve">项目名称：                             </w:t>
      </w:r>
    </w:p>
    <w:p>
      <w:pPr>
        <w:pStyle w:val="39"/>
        <w:spacing w:line="360" w:lineRule="auto"/>
        <w:rPr>
          <w:rFonts w:ascii="宋体" w:hAnsi="宋体"/>
        </w:rPr>
      </w:pPr>
      <w:r>
        <w:rPr>
          <w:rFonts w:hint="eastAsia" w:ascii="宋体" w:hAnsi="宋体"/>
          <w:color w:val="auto"/>
        </w:rPr>
        <w:t>项目编号：                                          填表日期：   年   月   日</w:t>
      </w:r>
    </w:p>
    <w:tbl>
      <w:tblPr>
        <w:tblStyle w:val="18"/>
        <w:tblW w:w="9214"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0"/>
        <w:gridCol w:w="1961"/>
        <w:gridCol w:w="2373"/>
        <w:gridCol w:w="2059"/>
        <w:gridCol w:w="185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2" w:hRule="atLeast"/>
        </w:trPr>
        <w:tc>
          <w:tcPr>
            <w:tcW w:w="970"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cs="宋体"/>
                <w:bCs/>
                <w:kern w:val="0"/>
              </w:rPr>
            </w:pPr>
            <w:r>
              <w:rPr>
                <w:rFonts w:hint="eastAsia" w:ascii="宋体" w:hAnsi="宋体" w:cs="宋体"/>
                <w:bCs/>
                <w:kern w:val="0"/>
              </w:rPr>
              <w:t>序号</w:t>
            </w:r>
          </w:p>
        </w:tc>
        <w:tc>
          <w:tcPr>
            <w:tcW w:w="1961" w:type="dxa"/>
            <w:tcBorders>
              <w:top w:val="double" w:color="auto" w:sz="4" w:space="0"/>
              <w:left w:val="single" w:color="auto" w:sz="6" w:space="0"/>
              <w:bottom w:val="single" w:color="auto" w:sz="6" w:space="0"/>
              <w:right w:val="single" w:color="auto" w:sz="6" w:space="0"/>
            </w:tcBorders>
            <w:vAlign w:val="center"/>
          </w:tcPr>
          <w:p>
            <w:pPr>
              <w:widowControl/>
              <w:jc w:val="center"/>
              <w:rPr>
                <w:rFonts w:ascii="宋体" w:hAnsi="宋体" w:cs="宋体"/>
                <w:bCs/>
                <w:kern w:val="0"/>
              </w:rPr>
            </w:pPr>
            <w:r>
              <w:rPr>
                <w:rFonts w:hint="eastAsia" w:ascii="宋体" w:hAnsi="宋体" w:cs="宋体"/>
                <w:bCs/>
                <w:kern w:val="0"/>
              </w:rPr>
              <w:t>委托单位</w:t>
            </w:r>
          </w:p>
        </w:tc>
        <w:tc>
          <w:tcPr>
            <w:tcW w:w="2373" w:type="dxa"/>
            <w:tcBorders>
              <w:top w:val="double" w:color="auto" w:sz="4" w:space="0"/>
              <w:left w:val="single" w:color="auto" w:sz="6" w:space="0"/>
              <w:bottom w:val="single" w:color="auto" w:sz="6" w:space="0"/>
              <w:right w:val="single" w:color="auto" w:sz="6" w:space="0"/>
            </w:tcBorders>
            <w:vAlign w:val="center"/>
          </w:tcPr>
          <w:p>
            <w:pPr>
              <w:widowControl/>
              <w:jc w:val="center"/>
              <w:rPr>
                <w:rFonts w:ascii="宋体" w:hAnsi="宋体" w:cs="宋体"/>
                <w:bCs/>
                <w:kern w:val="0"/>
              </w:rPr>
            </w:pPr>
            <w:r>
              <w:rPr>
                <w:rFonts w:hint="eastAsia" w:ascii="宋体" w:hAnsi="宋体" w:cs="宋体"/>
                <w:bCs/>
                <w:kern w:val="0"/>
              </w:rPr>
              <w:t>项目名称</w:t>
            </w:r>
          </w:p>
        </w:tc>
        <w:tc>
          <w:tcPr>
            <w:tcW w:w="2059" w:type="dxa"/>
            <w:tcBorders>
              <w:top w:val="double" w:color="auto" w:sz="4" w:space="0"/>
              <w:left w:val="single" w:color="auto" w:sz="6" w:space="0"/>
              <w:bottom w:val="single" w:color="auto" w:sz="6" w:space="0"/>
              <w:right w:val="single" w:color="auto" w:sz="6" w:space="0"/>
            </w:tcBorders>
            <w:vAlign w:val="center"/>
          </w:tcPr>
          <w:p>
            <w:pPr>
              <w:widowControl/>
              <w:jc w:val="center"/>
              <w:rPr>
                <w:rFonts w:ascii="宋体" w:hAnsi="宋体" w:cs="宋体"/>
                <w:bCs/>
                <w:kern w:val="0"/>
              </w:rPr>
            </w:pPr>
            <w:r>
              <w:rPr>
                <w:rFonts w:hint="eastAsia" w:ascii="宋体" w:hAnsi="宋体" w:cs="宋体"/>
                <w:bCs/>
                <w:kern w:val="0"/>
              </w:rPr>
              <w:t>项目金额</w:t>
            </w:r>
          </w:p>
        </w:tc>
        <w:tc>
          <w:tcPr>
            <w:tcW w:w="1851" w:type="dxa"/>
            <w:tcBorders>
              <w:top w:val="double" w:color="auto" w:sz="4" w:space="0"/>
              <w:left w:val="single" w:color="auto" w:sz="6" w:space="0"/>
              <w:bottom w:val="single" w:color="auto" w:sz="6" w:space="0"/>
              <w:right w:val="double" w:color="auto" w:sz="4" w:space="0"/>
            </w:tcBorders>
            <w:vAlign w:val="center"/>
          </w:tcPr>
          <w:p>
            <w:pPr>
              <w:pStyle w:val="40"/>
              <w:spacing w:line="360" w:lineRule="auto"/>
              <w:jc w:val="center"/>
              <w:rPr>
                <w:rFonts w:ascii="宋体" w:hAnsi="宋体"/>
                <w:color w:val="auto"/>
                <w:sz w:val="21"/>
              </w:rPr>
            </w:pPr>
            <w:r>
              <w:rPr>
                <w:rFonts w:hint="eastAsia" w:ascii="宋体" w:hAnsi="宋体"/>
                <w:color w:val="auto"/>
                <w:sz w:val="21"/>
              </w:rPr>
              <w:t xml:space="preserve">合同签订时间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0"/>
              <w:spacing w:line="360" w:lineRule="auto"/>
              <w:jc w:val="center"/>
              <w:rPr>
                <w:rFonts w:ascii="宋体" w:hAnsi="宋体"/>
                <w:color w:val="auto"/>
                <w:sz w:val="21"/>
              </w:rPr>
            </w:pPr>
            <w:r>
              <w:rPr>
                <w:rFonts w:hint="eastAsia" w:ascii="宋体" w:hAnsi="宋体"/>
                <w:color w:val="auto"/>
                <w:sz w:val="21"/>
              </w:rPr>
              <w:t>1</w:t>
            </w:r>
          </w:p>
        </w:tc>
        <w:tc>
          <w:tcPr>
            <w:tcW w:w="1961"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hAnsi="宋体"/>
                <w:color w:val="auto"/>
                <w:sz w:val="21"/>
              </w:rPr>
            </w:pPr>
          </w:p>
        </w:tc>
        <w:tc>
          <w:tcPr>
            <w:tcW w:w="2373"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hAnsi="宋体"/>
                <w:color w:val="auto"/>
                <w:sz w:val="21"/>
              </w:rPr>
            </w:pPr>
          </w:p>
        </w:tc>
        <w:tc>
          <w:tcPr>
            <w:tcW w:w="2059"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hAnsi="宋体"/>
                <w:color w:val="auto"/>
                <w:sz w:val="21"/>
              </w:rPr>
            </w:pPr>
          </w:p>
        </w:tc>
        <w:tc>
          <w:tcPr>
            <w:tcW w:w="1851" w:type="dxa"/>
            <w:tcBorders>
              <w:top w:val="single" w:color="auto" w:sz="6" w:space="0"/>
              <w:left w:val="single" w:color="auto" w:sz="6" w:space="0"/>
              <w:bottom w:val="single" w:color="auto" w:sz="6" w:space="0"/>
              <w:right w:val="double" w:color="auto" w:sz="4" w:space="0"/>
            </w:tcBorders>
            <w:vAlign w:val="center"/>
          </w:tcPr>
          <w:p>
            <w:pPr>
              <w:pStyle w:val="40"/>
              <w:spacing w:line="360" w:lineRule="auto"/>
              <w:jc w:val="center"/>
              <w:rPr>
                <w:rFonts w:ascii="宋体" w:hAnsi="宋体"/>
                <w:color w:val="auto"/>
                <w:sz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0"/>
              <w:spacing w:line="360" w:lineRule="auto"/>
              <w:jc w:val="center"/>
              <w:rPr>
                <w:rFonts w:ascii="宋体" w:hAnsi="宋体"/>
                <w:color w:val="auto"/>
                <w:sz w:val="21"/>
              </w:rPr>
            </w:pPr>
            <w:r>
              <w:rPr>
                <w:rFonts w:hint="eastAsia" w:ascii="宋体" w:hAnsi="宋体"/>
                <w:color w:val="auto"/>
                <w:sz w:val="21"/>
              </w:rPr>
              <w:t>2</w:t>
            </w:r>
          </w:p>
        </w:tc>
        <w:tc>
          <w:tcPr>
            <w:tcW w:w="1961"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hAnsi="宋体"/>
                <w:color w:val="auto"/>
                <w:sz w:val="21"/>
              </w:rPr>
            </w:pPr>
          </w:p>
        </w:tc>
        <w:tc>
          <w:tcPr>
            <w:tcW w:w="2373"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hAnsi="宋体"/>
                <w:color w:val="auto"/>
                <w:sz w:val="21"/>
              </w:rPr>
            </w:pPr>
          </w:p>
        </w:tc>
        <w:tc>
          <w:tcPr>
            <w:tcW w:w="2059" w:type="dxa"/>
            <w:tcBorders>
              <w:top w:val="single" w:color="auto" w:sz="6" w:space="0"/>
              <w:left w:val="single" w:color="auto" w:sz="6" w:space="0"/>
              <w:bottom w:val="single" w:color="auto" w:sz="6" w:space="0"/>
              <w:right w:val="single" w:color="auto" w:sz="6" w:space="0"/>
            </w:tcBorders>
            <w:vAlign w:val="center"/>
          </w:tcPr>
          <w:p>
            <w:pPr>
              <w:pStyle w:val="40"/>
              <w:spacing w:line="360" w:lineRule="auto"/>
              <w:jc w:val="center"/>
              <w:rPr>
                <w:rFonts w:ascii="宋体" w:hAnsi="宋体"/>
                <w:color w:val="auto"/>
                <w:sz w:val="21"/>
              </w:rPr>
            </w:pPr>
          </w:p>
        </w:tc>
        <w:tc>
          <w:tcPr>
            <w:tcW w:w="1851" w:type="dxa"/>
            <w:tcBorders>
              <w:top w:val="single" w:color="auto" w:sz="6" w:space="0"/>
              <w:left w:val="single" w:color="auto" w:sz="6" w:space="0"/>
              <w:bottom w:val="single" w:color="auto" w:sz="6" w:space="0"/>
              <w:right w:val="double" w:color="auto" w:sz="4" w:space="0"/>
            </w:tcBorders>
            <w:vAlign w:val="center"/>
          </w:tcPr>
          <w:p>
            <w:pPr>
              <w:pStyle w:val="40"/>
              <w:spacing w:line="360" w:lineRule="auto"/>
              <w:jc w:val="center"/>
              <w:rPr>
                <w:rFonts w:ascii="宋体" w:hAnsi="宋体"/>
                <w:color w:val="auto"/>
                <w:sz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double" w:color="auto" w:sz="4" w:space="0"/>
              <w:right w:val="single" w:color="auto" w:sz="6" w:space="0"/>
            </w:tcBorders>
            <w:vAlign w:val="center"/>
          </w:tcPr>
          <w:p>
            <w:pPr>
              <w:pStyle w:val="40"/>
              <w:spacing w:line="360" w:lineRule="auto"/>
              <w:jc w:val="center"/>
              <w:rPr>
                <w:rFonts w:ascii="宋体" w:hAnsi="宋体"/>
                <w:color w:val="auto"/>
                <w:sz w:val="21"/>
              </w:rPr>
            </w:pPr>
            <w:r>
              <w:rPr>
                <w:rFonts w:hint="eastAsia" w:ascii="宋体" w:hAnsi="宋体"/>
                <w:color w:val="auto"/>
                <w:sz w:val="21"/>
              </w:rPr>
              <w:t>...</w:t>
            </w:r>
          </w:p>
        </w:tc>
        <w:tc>
          <w:tcPr>
            <w:tcW w:w="1961" w:type="dxa"/>
            <w:tcBorders>
              <w:top w:val="single" w:color="auto" w:sz="6" w:space="0"/>
              <w:left w:val="single" w:color="auto" w:sz="6" w:space="0"/>
              <w:bottom w:val="double" w:color="auto" w:sz="4" w:space="0"/>
              <w:right w:val="single" w:color="auto" w:sz="6" w:space="0"/>
            </w:tcBorders>
            <w:vAlign w:val="center"/>
          </w:tcPr>
          <w:p>
            <w:pPr>
              <w:pStyle w:val="40"/>
              <w:spacing w:line="360" w:lineRule="auto"/>
              <w:jc w:val="center"/>
              <w:rPr>
                <w:rFonts w:ascii="宋体" w:hAnsi="宋体"/>
                <w:color w:val="auto"/>
                <w:sz w:val="21"/>
              </w:rPr>
            </w:pPr>
          </w:p>
        </w:tc>
        <w:tc>
          <w:tcPr>
            <w:tcW w:w="2373" w:type="dxa"/>
            <w:tcBorders>
              <w:top w:val="single" w:color="auto" w:sz="6" w:space="0"/>
              <w:left w:val="single" w:color="auto" w:sz="6" w:space="0"/>
              <w:bottom w:val="double" w:color="auto" w:sz="4" w:space="0"/>
              <w:right w:val="single" w:color="auto" w:sz="6" w:space="0"/>
            </w:tcBorders>
            <w:vAlign w:val="center"/>
          </w:tcPr>
          <w:p>
            <w:pPr>
              <w:pStyle w:val="40"/>
              <w:spacing w:line="360" w:lineRule="auto"/>
              <w:jc w:val="center"/>
              <w:rPr>
                <w:rFonts w:ascii="宋体" w:hAnsi="宋体"/>
                <w:color w:val="auto"/>
                <w:sz w:val="21"/>
              </w:rPr>
            </w:pPr>
          </w:p>
        </w:tc>
        <w:tc>
          <w:tcPr>
            <w:tcW w:w="2059" w:type="dxa"/>
            <w:tcBorders>
              <w:top w:val="single" w:color="auto" w:sz="6" w:space="0"/>
              <w:left w:val="single" w:color="auto" w:sz="6" w:space="0"/>
              <w:bottom w:val="double" w:color="auto" w:sz="4" w:space="0"/>
              <w:right w:val="single" w:color="auto" w:sz="6" w:space="0"/>
            </w:tcBorders>
            <w:vAlign w:val="center"/>
          </w:tcPr>
          <w:p>
            <w:pPr>
              <w:pStyle w:val="40"/>
              <w:spacing w:line="360" w:lineRule="auto"/>
              <w:jc w:val="center"/>
              <w:rPr>
                <w:rFonts w:ascii="宋体" w:hAnsi="宋体"/>
                <w:color w:val="auto"/>
                <w:sz w:val="21"/>
              </w:rPr>
            </w:pPr>
          </w:p>
        </w:tc>
        <w:tc>
          <w:tcPr>
            <w:tcW w:w="1851" w:type="dxa"/>
            <w:tcBorders>
              <w:top w:val="single" w:color="auto" w:sz="6" w:space="0"/>
              <w:left w:val="single" w:color="auto" w:sz="6" w:space="0"/>
              <w:bottom w:val="double" w:color="auto" w:sz="4" w:space="0"/>
              <w:right w:val="double" w:color="auto" w:sz="4" w:space="0"/>
            </w:tcBorders>
            <w:vAlign w:val="center"/>
          </w:tcPr>
          <w:p>
            <w:pPr>
              <w:pStyle w:val="40"/>
              <w:spacing w:line="360" w:lineRule="auto"/>
              <w:jc w:val="center"/>
              <w:rPr>
                <w:rFonts w:ascii="宋体" w:hAnsi="宋体"/>
                <w:color w:val="auto"/>
                <w:sz w:val="21"/>
              </w:rPr>
            </w:pPr>
          </w:p>
        </w:tc>
      </w:tr>
    </w:tbl>
    <w:p>
      <w:pPr>
        <w:pStyle w:val="8"/>
        <w:spacing w:before="157" w:beforeLines="50" w:line="360" w:lineRule="auto"/>
        <w:rPr>
          <w:rFonts w:ascii="宋体" w:hAnsi="宋体" w:eastAsia="宋体"/>
          <w:sz w:val="24"/>
        </w:rPr>
      </w:pPr>
      <w:r>
        <w:rPr>
          <w:rFonts w:hint="eastAsia" w:ascii="宋体" w:hAnsi="宋体" w:eastAsia="宋体"/>
          <w:sz w:val="24"/>
        </w:rPr>
        <w:t>附：承接项目</w:t>
      </w:r>
      <w:r>
        <w:rPr>
          <w:rFonts w:hint="eastAsia" w:ascii="宋体" w:hAnsi="宋体" w:eastAsia="宋体" w:cs="宋体"/>
          <w:color w:val="000000"/>
          <w:spacing w:val="-2"/>
          <w:sz w:val="24"/>
        </w:rPr>
        <w:t>附成交或中标通知书或合同复印件</w:t>
      </w:r>
      <w:r>
        <w:rPr>
          <w:rFonts w:hint="eastAsia" w:ascii="宋体" w:hAnsi="宋体" w:eastAsia="宋体"/>
          <w:sz w:val="24"/>
        </w:rPr>
        <w:t>。</w:t>
      </w:r>
    </w:p>
    <w:p>
      <w:pPr>
        <w:spacing w:line="360" w:lineRule="auto"/>
        <w:rPr>
          <w:rFonts w:ascii="宋体" w:hAnsi="宋体"/>
          <w:sz w:val="24"/>
          <w:u w:val="single"/>
        </w:rPr>
      </w:pPr>
      <w:r>
        <w:rPr>
          <w:rFonts w:hint="eastAsia" w:ascii="宋体" w:hAnsi="宋体"/>
          <w:sz w:val="24"/>
        </w:rPr>
        <w:t>投标人法定代表人或授权代理人（盖章或签字）：</w:t>
      </w:r>
    </w:p>
    <w:p>
      <w:pPr>
        <w:spacing w:line="360" w:lineRule="auto"/>
        <w:rPr>
          <w:rFonts w:ascii="宋体" w:hAnsi="宋体"/>
          <w:sz w:val="24"/>
        </w:rPr>
      </w:pPr>
      <w:r>
        <w:rPr>
          <w:rFonts w:hint="eastAsia" w:ascii="宋体" w:hAnsi="宋体"/>
          <w:sz w:val="24"/>
        </w:rPr>
        <w:t>投标人盖章：</w:t>
      </w:r>
    </w:p>
    <w:p>
      <w:pPr>
        <w:spacing w:line="360" w:lineRule="auto"/>
        <w:ind w:firstLine="570"/>
        <w:jc w:val="center"/>
        <w:rPr>
          <w:rFonts w:ascii="宋体" w:hAnsi="宋体"/>
          <w:sz w:val="24"/>
        </w:rPr>
      </w:pPr>
      <w:r>
        <w:rPr>
          <w:rFonts w:hint="eastAsia" w:ascii="宋体" w:hAnsi="宋体"/>
          <w:sz w:val="24"/>
        </w:rPr>
        <w:t xml:space="preserve">                                         20年  月  日</w:t>
      </w:r>
    </w:p>
    <w:p>
      <w:pPr>
        <w:pStyle w:val="38"/>
        <w:spacing w:line="360" w:lineRule="exact"/>
        <w:rPr>
          <w:rFonts w:ascii="宋体" w:hAnsi="宋体" w:cs="Arial"/>
          <w:szCs w:val="28"/>
        </w:rPr>
      </w:pPr>
      <w:r>
        <w:rPr>
          <w:rFonts w:hint="eastAsia" w:ascii="宋体" w:hAnsi="宋体" w:cs="Arial"/>
          <w:b/>
          <w:bCs/>
          <w:szCs w:val="24"/>
        </w:rPr>
        <w:t>注：业绩按填写顺序附成交或中标通知书或合同复印件</w:t>
      </w:r>
      <w:r>
        <w:rPr>
          <w:rFonts w:hint="eastAsia" w:ascii="宋体" w:hAnsi="宋体"/>
          <w:b/>
          <w:bCs/>
        </w:rPr>
        <w:t>。投标单位须对提交的业绩真实性做出承诺（格式自拟），如不真实，将按照有关规定处理。</w:t>
      </w:r>
    </w:p>
    <w:p>
      <w:pPr>
        <w:pStyle w:val="2"/>
        <w:jc w:val="center"/>
        <w:rPr>
          <w:rFonts w:ascii="宋体" w:hAnsi="宋体" w:eastAsia="宋体" w:cs="Arial"/>
          <w:sz w:val="24"/>
          <w:szCs w:val="28"/>
        </w:rPr>
      </w:pPr>
    </w:p>
    <w:p>
      <w:pPr>
        <w:rPr>
          <w:rFonts w:ascii="宋体" w:hAnsi="宋体" w:cs="Arial"/>
          <w:sz w:val="24"/>
          <w:szCs w:val="28"/>
        </w:rPr>
      </w:pPr>
    </w:p>
    <w:p>
      <w:pPr>
        <w:pStyle w:val="10"/>
        <w:rPr>
          <w:rFonts w:ascii="宋体" w:hAnsi="宋体" w:eastAsia="宋体" w:cs="Arial"/>
          <w:sz w:val="24"/>
          <w:szCs w:val="28"/>
        </w:rPr>
      </w:pPr>
    </w:p>
    <w:p>
      <w:pPr>
        <w:pStyle w:val="10"/>
        <w:rPr>
          <w:rFonts w:ascii="宋体" w:hAnsi="宋体" w:eastAsia="宋体" w:cs="Arial"/>
          <w:sz w:val="24"/>
          <w:szCs w:val="28"/>
        </w:rPr>
      </w:pPr>
    </w:p>
    <w:p>
      <w:pPr>
        <w:pStyle w:val="2"/>
        <w:jc w:val="center"/>
        <w:rPr>
          <w:rFonts w:ascii="宋体" w:hAnsi="宋体" w:eastAsia="宋体" w:cs="Arial"/>
          <w:sz w:val="24"/>
          <w:szCs w:val="28"/>
        </w:rPr>
      </w:pPr>
    </w:p>
    <w:p>
      <w:pPr>
        <w:pStyle w:val="2"/>
        <w:jc w:val="center"/>
        <w:rPr>
          <w:rFonts w:ascii="宋体" w:hAnsi="宋体" w:eastAsia="宋体" w:cs="Arial"/>
          <w:sz w:val="24"/>
          <w:szCs w:val="28"/>
        </w:rPr>
      </w:pPr>
    </w:p>
    <w:p>
      <w:pPr>
        <w:pStyle w:val="2"/>
        <w:jc w:val="center"/>
        <w:rPr>
          <w:rFonts w:ascii="宋体" w:hAnsi="宋体" w:eastAsia="宋体" w:cs="Arial"/>
          <w:sz w:val="24"/>
          <w:szCs w:val="28"/>
        </w:rPr>
      </w:pPr>
    </w:p>
    <w:p>
      <w:pPr>
        <w:pStyle w:val="2"/>
        <w:jc w:val="center"/>
        <w:rPr>
          <w:rFonts w:ascii="宋体" w:hAnsi="宋体" w:eastAsia="宋体" w:cs="Arial"/>
          <w:sz w:val="24"/>
          <w:szCs w:val="28"/>
        </w:rPr>
      </w:pPr>
    </w:p>
    <w:p>
      <w:pPr>
        <w:rPr>
          <w:rFonts w:ascii="宋体" w:hAnsi="宋体" w:cs="Arial"/>
          <w:sz w:val="24"/>
          <w:szCs w:val="28"/>
        </w:rPr>
      </w:pPr>
      <w:r>
        <w:rPr>
          <w:rFonts w:ascii="宋体" w:hAnsi="宋体" w:cs="Arial"/>
          <w:sz w:val="24"/>
          <w:szCs w:val="28"/>
        </w:rPr>
        <w:br w:type="page"/>
      </w:r>
    </w:p>
    <w:p>
      <w:pPr>
        <w:pStyle w:val="2"/>
        <w:jc w:val="center"/>
        <w:rPr>
          <w:rFonts w:ascii="宋体" w:hAnsi="宋体" w:eastAsia="宋体" w:cs="Arial"/>
          <w:sz w:val="24"/>
          <w:szCs w:val="28"/>
        </w:rPr>
      </w:pPr>
      <w:r>
        <w:rPr>
          <w:rFonts w:ascii="宋体" w:hAnsi="宋体" w:eastAsia="宋体" w:cs="Arial"/>
          <w:sz w:val="24"/>
          <w:szCs w:val="28"/>
        </w:rPr>
        <w:t>商务条款偏离表</w:t>
      </w:r>
    </w:p>
    <w:tbl>
      <w:tblPr>
        <w:tblStyle w:val="18"/>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251"/>
        <w:gridCol w:w="3064"/>
        <w:gridCol w:w="1605"/>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92" w:type="dxa"/>
            <w:vAlign w:val="center"/>
          </w:tcPr>
          <w:p>
            <w:pPr>
              <w:jc w:val="center"/>
              <w:rPr>
                <w:rFonts w:ascii="宋体" w:hAnsi="宋体" w:cs="宋体"/>
                <w:sz w:val="24"/>
              </w:rPr>
            </w:pPr>
            <w:r>
              <w:rPr>
                <w:rFonts w:hint="eastAsia" w:ascii="宋体" w:hAnsi="宋体" w:cs="宋体"/>
                <w:sz w:val="24"/>
              </w:rPr>
              <w:t>序号</w:t>
            </w:r>
          </w:p>
        </w:tc>
        <w:tc>
          <w:tcPr>
            <w:tcW w:w="3251" w:type="dxa"/>
            <w:vAlign w:val="center"/>
          </w:tcPr>
          <w:p>
            <w:pPr>
              <w:jc w:val="center"/>
              <w:rPr>
                <w:rFonts w:ascii="宋体" w:hAnsi="宋体" w:cs="宋体"/>
                <w:sz w:val="24"/>
              </w:rPr>
            </w:pPr>
            <w:r>
              <w:rPr>
                <w:rFonts w:hint="eastAsia" w:ascii="宋体" w:hAnsi="宋体" w:cs="宋体"/>
                <w:sz w:val="24"/>
              </w:rPr>
              <w:t>竞争性谈判文件的商务条款</w:t>
            </w:r>
          </w:p>
        </w:tc>
        <w:tc>
          <w:tcPr>
            <w:tcW w:w="3064" w:type="dxa"/>
            <w:vAlign w:val="center"/>
          </w:tcPr>
          <w:p>
            <w:pPr>
              <w:jc w:val="center"/>
              <w:rPr>
                <w:rFonts w:ascii="宋体" w:hAnsi="宋体" w:cs="宋体"/>
                <w:sz w:val="24"/>
              </w:rPr>
            </w:pPr>
            <w:r>
              <w:rPr>
                <w:rFonts w:hint="eastAsia" w:ascii="宋体" w:hAnsi="宋体" w:cs="宋体"/>
                <w:sz w:val="24"/>
              </w:rPr>
              <w:t>响应性文件的商务条款</w:t>
            </w:r>
          </w:p>
        </w:tc>
        <w:tc>
          <w:tcPr>
            <w:tcW w:w="1605" w:type="dxa"/>
            <w:vAlign w:val="center"/>
          </w:tcPr>
          <w:p>
            <w:pPr>
              <w:jc w:val="center"/>
              <w:rPr>
                <w:rFonts w:ascii="宋体" w:hAnsi="宋体" w:cs="宋体"/>
                <w:sz w:val="24"/>
              </w:rPr>
            </w:pPr>
            <w:r>
              <w:rPr>
                <w:rFonts w:hint="eastAsia" w:ascii="宋体" w:hAnsi="宋体" w:cs="宋体"/>
                <w:sz w:val="24"/>
              </w:rPr>
              <w:t>偏离</w:t>
            </w:r>
          </w:p>
        </w:tc>
        <w:tc>
          <w:tcPr>
            <w:tcW w:w="1046"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2" w:type="dxa"/>
            <w:vAlign w:val="center"/>
          </w:tcPr>
          <w:p>
            <w:pPr>
              <w:jc w:val="center"/>
              <w:rPr>
                <w:rFonts w:ascii="宋体" w:hAnsi="宋体" w:cs="宋体"/>
                <w:sz w:val="24"/>
              </w:rPr>
            </w:pPr>
            <w:r>
              <w:rPr>
                <w:rFonts w:hint="eastAsia" w:ascii="宋体" w:hAnsi="宋体" w:cs="宋体"/>
                <w:sz w:val="24"/>
              </w:rPr>
              <w:t>1</w:t>
            </w:r>
          </w:p>
        </w:tc>
        <w:tc>
          <w:tcPr>
            <w:tcW w:w="3251" w:type="dxa"/>
            <w:vAlign w:val="center"/>
          </w:tcPr>
          <w:p>
            <w:pPr>
              <w:pStyle w:val="15"/>
              <w:widowControl w:val="0"/>
              <w:spacing w:before="0" w:beforeAutospacing="0" w:after="0" w:afterAutospacing="0" w:line="320" w:lineRule="exact"/>
              <w:ind w:right="-17"/>
            </w:pPr>
            <w:r>
              <w:rPr>
                <w:rFonts w:hint="eastAsia"/>
                <w:color w:val="000000"/>
                <w:spacing w:val="-2"/>
                <w:lang w:eastAsia="en-US"/>
              </w:rPr>
              <w:t>类似项目业绩</w:t>
            </w:r>
          </w:p>
        </w:tc>
        <w:tc>
          <w:tcPr>
            <w:tcW w:w="3064" w:type="dxa"/>
          </w:tcPr>
          <w:p>
            <w:pPr>
              <w:rPr>
                <w:rFonts w:ascii="宋体" w:hAnsi="宋体" w:cs="宋体"/>
                <w:sz w:val="24"/>
              </w:rPr>
            </w:pPr>
          </w:p>
        </w:tc>
        <w:tc>
          <w:tcPr>
            <w:tcW w:w="1605" w:type="dxa"/>
          </w:tcPr>
          <w:p>
            <w:pPr>
              <w:rPr>
                <w:rFonts w:ascii="宋体" w:hAnsi="宋体" w:cs="宋体"/>
                <w:sz w:val="24"/>
              </w:rPr>
            </w:pPr>
          </w:p>
        </w:tc>
        <w:tc>
          <w:tcPr>
            <w:tcW w:w="104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92" w:type="dxa"/>
            <w:vAlign w:val="center"/>
          </w:tcPr>
          <w:p>
            <w:pPr>
              <w:jc w:val="center"/>
              <w:rPr>
                <w:rFonts w:ascii="宋体" w:hAnsi="宋体" w:cs="宋体"/>
                <w:sz w:val="24"/>
              </w:rPr>
            </w:pPr>
            <w:r>
              <w:rPr>
                <w:rFonts w:hint="eastAsia" w:ascii="宋体" w:hAnsi="宋体" w:cs="宋体"/>
                <w:sz w:val="24"/>
              </w:rPr>
              <w:t>2</w:t>
            </w:r>
          </w:p>
        </w:tc>
        <w:tc>
          <w:tcPr>
            <w:tcW w:w="3251" w:type="dxa"/>
            <w:vAlign w:val="center"/>
          </w:tcPr>
          <w:p>
            <w:pPr>
              <w:pStyle w:val="15"/>
              <w:widowControl w:val="0"/>
              <w:spacing w:before="0" w:beforeAutospacing="0" w:after="0" w:afterAutospacing="0" w:line="320" w:lineRule="exact"/>
              <w:ind w:right="-17"/>
            </w:pPr>
            <w:r>
              <w:rPr>
                <w:rFonts w:hint="eastAsia"/>
                <w:color w:val="000000"/>
                <w:spacing w:val="-2"/>
              </w:rPr>
              <w:t>报价唯一</w:t>
            </w:r>
          </w:p>
        </w:tc>
        <w:tc>
          <w:tcPr>
            <w:tcW w:w="3064" w:type="dxa"/>
          </w:tcPr>
          <w:p>
            <w:pPr>
              <w:rPr>
                <w:rFonts w:ascii="宋体" w:hAnsi="宋体" w:cs="宋体"/>
                <w:sz w:val="24"/>
              </w:rPr>
            </w:pPr>
          </w:p>
        </w:tc>
        <w:tc>
          <w:tcPr>
            <w:tcW w:w="1605" w:type="dxa"/>
          </w:tcPr>
          <w:p>
            <w:pPr>
              <w:rPr>
                <w:rFonts w:ascii="宋体" w:hAnsi="宋体" w:cs="宋体"/>
                <w:sz w:val="24"/>
              </w:rPr>
            </w:pPr>
          </w:p>
        </w:tc>
        <w:tc>
          <w:tcPr>
            <w:tcW w:w="104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92" w:type="dxa"/>
            <w:vAlign w:val="center"/>
          </w:tcPr>
          <w:p>
            <w:pPr>
              <w:jc w:val="center"/>
              <w:rPr>
                <w:rFonts w:ascii="宋体" w:hAnsi="宋体" w:cs="宋体"/>
                <w:sz w:val="24"/>
              </w:rPr>
            </w:pPr>
            <w:r>
              <w:rPr>
                <w:rFonts w:hint="eastAsia" w:ascii="宋体" w:hAnsi="宋体" w:cs="宋体"/>
                <w:sz w:val="24"/>
              </w:rPr>
              <w:t>3</w:t>
            </w:r>
          </w:p>
        </w:tc>
        <w:tc>
          <w:tcPr>
            <w:tcW w:w="3251" w:type="dxa"/>
            <w:vAlign w:val="center"/>
          </w:tcPr>
          <w:p>
            <w:pPr>
              <w:pStyle w:val="15"/>
              <w:widowControl w:val="0"/>
              <w:spacing w:before="0" w:beforeAutospacing="0" w:after="0" w:afterAutospacing="0" w:line="320" w:lineRule="exact"/>
              <w:ind w:right="-17"/>
            </w:pPr>
            <w:r>
              <w:rPr>
                <w:rFonts w:hint="eastAsia"/>
                <w:color w:val="000000"/>
                <w:spacing w:val="-2"/>
              </w:rPr>
              <w:t>响应方案</w:t>
            </w:r>
          </w:p>
        </w:tc>
        <w:tc>
          <w:tcPr>
            <w:tcW w:w="3064" w:type="dxa"/>
          </w:tcPr>
          <w:p>
            <w:pPr>
              <w:rPr>
                <w:rFonts w:ascii="宋体" w:hAnsi="宋体" w:cs="宋体"/>
                <w:sz w:val="24"/>
              </w:rPr>
            </w:pPr>
          </w:p>
        </w:tc>
        <w:tc>
          <w:tcPr>
            <w:tcW w:w="1605" w:type="dxa"/>
          </w:tcPr>
          <w:p>
            <w:pPr>
              <w:rPr>
                <w:rFonts w:ascii="宋体" w:hAnsi="宋体" w:cs="宋体"/>
                <w:sz w:val="24"/>
              </w:rPr>
            </w:pPr>
          </w:p>
        </w:tc>
        <w:tc>
          <w:tcPr>
            <w:tcW w:w="104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92" w:type="dxa"/>
            <w:vAlign w:val="center"/>
          </w:tcPr>
          <w:p>
            <w:pPr>
              <w:jc w:val="center"/>
              <w:rPr>
                <w:rFonts w:ascii="宋体" w:hAnsi="宋体" w:cs="宋体"/>
                <w:sz w:val="24"/>
              </w:rPr>
            </w:pPr>
            <w:r>
              <w:rPr>
                <w:rFonts w:hint="eastAsia" w:ascii="宋体" w:hAnsi="宋体" w:cs="宋体"/>
                <w:sz w:val="24"/>
              </w:rPr>
              <w:t>4</w:t>
            </w:r>
          </w:p>
        </w:tc>
        <w:tc>
          <w:tcPr>
            <w:tcW w:w="3251" w:type="dxa"/>
            <w:vAlign w:val="center"/>
          </w:tcPr>
          <w:p>
            <w:pPr>
              <w:pStyle w:val="15"/>
              <w:widowControl w:val="0"/>
              <w:spacing w:before="0" w:beforeAutospacing="0" w:after="0" w:afterAutospacing="0" w:line="320" w:lineRule="exact"/>
              <w:ind w:right="-17"/>
            </w:pPr>
            <w:r>
              <w:rPr>
                <w:rFonts w:hint="eastAsia"/>
                <w:color w:val="000000"/>
                <w:spacing w:val="-2"/>
              </w:rPr>
              <w:t>交货期、质保期</w:t>
            </w:r>
          </w:p>
        </w:tc>
        <w:tc>
          <w:tcPr>
            <w:tcW w:w="3064" w:type="dxa"/>
          </w:tcPr>
          <w:p>
            <w:pPr>
              <w:rPr>
                <w:rFonts w:ascii="宋体" w:hAnsi="宋体" w:cs="宋体"/>
                <w:sz w:val="24"/>
              </w:rPr>
            </w:pPr>
          </w:p>
        </w:tc>
        <w:tc>
          <w:tcPr>
            <w:tcW w:w="1605" w:type="dxa"/>
          </w:tcPr>
          <w:p>
            <w:pPr>
              <w:rPr>
                <w:rFonts w:ascii="宋体" w:hAnsi="宋体" w:cs="宋体"/>
                <w:sz w:val="24"/>
              </w:rPr>
            </w:pPr>
          </w:p>
        </w:tc>
        <w:tc>
          <w:tcPr>
            <w:tcW w:w="104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92" w:type="dxa"/>
            <w:vAlign w:val="center"/>
          </w:tcPr>
          <w:p>
            <w:pPr>
              <w:jc w:val="center"/>
              <w:rPr>
                <w:rFonts w:ascii="宋体" w:hAnsi="宋体" w:cs="宋体"/>
                <w:sz w:val="24"/>
              </w:rPr>
            </w:pPr>
            <w:r>
              <w:rPr>
                <w:rFonts w:hint="eastAsia" w:ascii="宋体" w:hAnsi="宋体" w:cs="宋体"/>
                <w:sz w:val="24"/>
              </w:rPr>
              <w:t>5</w:t>
            </w:r>
          </w:p>
        </w:tc>
        <w:tc>
          <w:tcPr>
            <w:tcW w:w="3251" w:type="dxa"/>
            <w:vAlign w:val="center"/>
          </w:tcPr>
          <w:p>
            <w:pPr>
              <w:pStyle w:val="15"/>
              <w:widowControl w:val="0"/>
              <w:spacing w:before="0" w:beforeAutospacing="0" w:after="0" w:afterAutospacing="0" w:line="320" w:lineRule="exact"/>
              <w:ind w:right="-17"/>
            </w:pPr>
            <w:r>
              <w:rPr>
                <w:rFonts w:hint="eastAsia"/>
                <w:color w:val="000000"/>
                <w:spacing w:val="-2"/>
              </w:rPr>
              <w:t>付款条件和方式</w:t>
            </w:r>
          </w:p>
        </w:tc>
        <w:tc>
          <w:tcPr>
            <w:tcW w:w="3064" w:type="dxa"/>
          </w:tcPr>
          <w:p>
            <w:pPr>
              <w:rPr>
                <w:rFonts w:ascii="宋体" w:hAnsi="宋体" w:cs="宋体"/>
                <w:sz w:val="24"/>
              </w:rPr>
            </w:pPr>
          </w:p>
        </w:tc>
        <w:tc>
          <w:tcPr>
            <w:tcW w:w="1605" w:type="dxa"/>
          </w:tcPr>
          <w:p>
            <w:pPr>
              <w:rPr>
                <w:rFonts w:ascii="宋体" w:hAnsi="宋体" w:cs="宋体"/>
                <w:sz w:val="24"/>
              </w:rPr>
            </w:pPr>
          </w:p>
        </w:tc>
        <w:tc>
          <w:tcPr>
            <w:tcW w:w="1046" w:type="dxa"/>
          </w:tcPr>
          <w:p>
            <w:pPr>
              <w:rPr>
                <w:rFonts w:ascii="宋体" w:hAnsi="宋体" w:cs="宋体"/>
                <w:sz w:val="24"/>
              </w:rPr>
            </w:pPr>
          </w:p>
        </w:tc>
      </w:tr>
    </w:tbl>
    <w:p>
      <w:pPr>
        <w:spacing w:before="100" w:beforeAutospacing="1"/>
        <w:rPr>
          <w:rFonts w:ascii="宋体" w:hAnsi="宋体" w:cs="Arial"/>
          <w:b/>
          <w:sz w:val="24"/>
        </w:rPr>
      </w:pPr>
    </w:p>
    <w:p>
      <w:pPr>
        <w:rPr>
          <w:rFonts w:ascii="宋体" w:hAnsi="宋体" w:cs="Arial"/>
          <w:sz w:val="24"/>
        </w:rPr>
      </w:pPr>
    </w:p>
    <w:p>
      <w:pPr>
        <w:rPr>
          <w:rFonts w:ascii="宋体" w:hAnsi="宋体" w:cs="Arial"/>
          <w:sz w:val="24"/>
        </w:rPr>
      </w:pPr>
    </w:p>
    <w:p>
      <w:pPr>
        <w:autoSpaceDE w:val="0"/>
        <w:autoSpaceDN w:val="0"/>
        <w:adjustRightInd w:val="0"/>
        <w:snapToGrid w:val="0"/>
        <w:spacing w:line="360" w:lineRule="auto"/>
        <w:rPr>
          <w:rFonts w:ascii="宋体" w:hAnsi="宋体" w:cs="Arial"/>
          <w:sz w:val="24"/>
        </w:rPr>
      </w:pPr>
      <w:r>
        <w:rPr>
          <w:rFonts w:ascii="宋体" w:hAnsi="宋体" w:cs="Arial"/>
          <w:kern w:val="0"/>
          <w:sz w:val="24"/>
        </w:rPr>
        <w:t>投标人：</w:t>
      </w:r>
      <w:r>
        <w:rPr>
          <w:rFonts w:ascii="宋体" w:hAnsi="宋体" w:cs="Arial"/>
          <w:spacing w:val="14"/>
          <w:kern w:val="0"/>
          <w:sz w:val="24"/>
          <w:u w:val="single"/>
        </w:rPr>
        <w:t xml:space="preserve">（单位全称） （盖章）        </w:t>
      </w:r>
    </w:p>
    <w:p>
      <w:pPr>
        <w:autoSpaceDE w:val="0"/>
        <w:autoSpaceDN w:val="0"/>
        <w:adjustRightInd w:val="0"/>
        <w:snapToGrid w:val="0"/>
        <w:spacing w:line="360" w:lineRule="auto"/>
        <w:rPr>
          <w:rFonts w:ascii="宋体" w:hAnsi="宋体" w:cs="Arial"/>
          <w:spacing w:val="11"/>
          <w:kern w:val="0"/>
          <w:sz w:val="24"/>
        </w:rPr>
      </w:pPr>
      <w:r>
        <w:rPr>
          <w:rFonts w:ascii="宋体" w:hAnsi="宋体" w:cs="Arial"/>
          <w:spacing w:val="11"/>
          <w:kern w:val="0"/>
          <w:sz w:val="24"/>
        </w:rPr>
        <w:t>法定代表人或授权委托人：</w:t>
      </w:r>
      <w:r>
        <w:rPr>
          <w:rFonts w:ascii="宋体" w:hAnsi="宋体" w:cs="Arial"/>
          <w:spacing w:val="11"/>
          <w:kern w:val="0"/>
          <w:sz w:val="24"/>
          <w:u w:val="single"/>
        </w:rPr>
        <w:t xml:space="preserve">         （签字或盖章）         </w:t>
      </w:r>
    </w:p>
    <w:p>
      <w:pPr>
        <w:autoSpaceDE w:val="0"/>
        <w:autoSpaceDN w:val="0"/>
        <w:adjustRightInd w:val="0"/>
        <w:snapToGrid w:val="0"/>
        <w:spacing w:line="360" w:lineRule="auto"/>
        <w:rPr>
          <w:rFonts w:ascii="宋体" w:hAnsi="宋体" w:cs="Arial"/>
          <w:sz w:val="24"/>
        </w:rPr>
      </w:pPr>
      <w:r>
        <w:rPr>
          <w:rFonts w:ascii="宋体" w:hAnsi="宋体" w:cs="Arial"/>
          <w:sz w:val="24"/>
        </w:rPr>
        <w:t>日期：年月日</w:t>
      </w:r>
    </w:p>
    <w:p>
      <w:pPr>
        <w:rPr>
          <w:rFonts w:ascii="宋体" w:hAnsi="宋体" w:cs="Arial"/>
          <w:sz w:val="24"/>
        </w:rPr>
      </w:pPr>
    </w:p>
    <w:p>
      <w:pPr>
        <w:rPr>
          <w:rFonts w:ascii="宋体" w:hAnsi="宋体" w:cs="Arial"/>
          <w:sz w:val="24"/>
        </w:rPr>
      </w:pPr>
    </w:p>
    <w:p>
      <w:pPr>
        <w:spacing w:line="300" w:lineRule="auto"/>
        <w:rPr>
          <w:rFonts w:ascii="宋体" w:hAnsi="宋体" w:cs="Arial"/>
          <w:b/>
          <w:sz w:val="24"/>
        </w:rPr>
      </w:pPr>
      <w:r>
        <w:rPr>
          <w:rFonts w:ascii="宋体" w:hAnsi="宋体" w:cs="Arial"/>
          <w:b/>
          <w:sz w:val="24"/>
        </w:rPr>
        <w:t>注：如无偏差，投标人不需要填表，但应声明：“本</w:t>
      </w:r>
      <w:r>
        <w:rPr>
          <w:rFonts w:hint="eastAsia" w:ascii="宋体" w:hAnsi="宋体" w:cs="Arial"/>
          <w:b/>
          <w:sz w:val="24"/>
        </w:rPr>
        <w:t>谈判响应</w:t>
      </w:r>
      <w:r>
        <w:rPr>
          <w:rFonts w:ascii="宋体" w:hAnsi="宋体" w:cs="Arial"/>
          <w:b/>
          <w:sz w:val="24"/>
        </w:rPr>
        <w:t>文件完全响应</w:t>
      </w:r>
      <w:r>
        <w:rPr>
          <w:rFonts w:hint="eastAsia" w:ascii="宋体" w:hAnsi="宋体" w:cs="Arial"/>
          <w:b/>
          <w:sz w:val="24"/>
        </w:rPr>
        <w:t>谈判</w:t>
      </w:r>
      <w:r>
        <w:rPr>
          <w:rFonts w:ascii="宋体" w:hAnsi="宋体" w:cs="Arial"/>
          <w:b/>
          <w:sz w:val="24"/>
        </w:rPr>
        <w:t>文件所有条款的要求，无偏差。”</w:t>
      </w:r>
    </w:p>
    <w:p>
      <w:pPr>
        <w:spacing w:line="300" w:lineRule="auto"/>
        <w:rPr>
          <w:rFonts w:ascii="宋体" w:hAnsi="宋体" w:cs="Arial"/>
          <w:b/>
          <w:sz w:val="24"/>
        </w:rPr>
      </w:pPr>
    </w:p>
    <w:p>
      <w:pPr>
        <w:pStyle w:val="2"/>
        <w:jc w:val="center"/>
        <w:rPr>
          <w:rFonts w:ascii="宋体" w:hAnsi="宋体" w:eastAsia="宋体" w:cs="Arial"/>
          <w:sz w:val="24"/>
          <w:szCs w:val="28"/>
        </w:rPr>
      </w:pPr>
    </w:p>
    <w:p>
      <w:pPr>
        <w:rPr>
          <w:rFonts w:ascii="宋体" w:hAnsi="宋体" w:cs="Arial"/>
          <w:sz w:val="24"/>
          <w:szCs w:val="28"/>
        </w:rPr>
      </w:pPr>
    </w:p>
    <w:p>
      <w:pPr>
        <w:pStyle w:val="10"/>
        <w:rPr>
          <w:rFonts w:ascii="宋体" w:hAnsi="宋体" w:eastAsia="宋体" w:cs="Arial"/>
          <w:sz w:val="24"/>
          <w:szCs w:val="28"/>
        </w:rPr>
      </w:pPr>
    </w:p>
    <w:p>
      <w:pPr>
        <w:pStyle w:val="10"/>
        <w:rPr>
          <w:rFonts w:ascii="宋体" w:hAnsi="宋体" w:eastAsia="宋体" w:cs="Arial"/>
          <w:sz w:val="24"/>
          <w:szCs w:val="28"/>
        </w:rPr>
      </w:pPr>
    </w:p>
    <w:p>
      <w:pPr>
        <w:pStyle w:val="10"/>
        <w:rPr>
          <w:rFonts w:ascii="宋体" w:hAnsi="宋体" w:eastAsia="宋体" w:cs="Arial"/>
          <w:sz w:val="24"/>
          <w:szCs w:val="28"/>
        </w:rPr>
      </w:pPr>
    </w:p>
    <w:p>
      <w:pPr>
        <w:pStyle w:val="10"/>
        <w:rPr>
          <w:rFonts w:ascii="宋体" w:hAnsi="宋体" w:eastAsia="宋体" w:cs="Arial"/>
          <w:sz w:val="24"/>
          <w:szCs w:val="28"/>
        </w:rPr>
      </w:pPr>
    </w:p>
    <w:p>
      <w:pPr>
        <w:pStyle w:val="10"/>
        <w:rPr>
          <w:rFonts w:ascii="宋体" w:hAnsi="宋体" w:eastAsia="宋体" w:cs="Arial"/>
          <w:sz w:val="24"/>
          <w:szCs w:val="28"/>
        </w:rPr>
      </w:pPr>
    </w:p>
    <w:p>
      <w:pPr>
        <w:pStyle w:val="10"/>
        <w:rPr>
          <w:rFonts w:ascii="宋体" w:hAnsi="宋体" w:eastAsia="宋体" w:cs="Arial"/>
          <w:sz w:val="24"/>
          <w:szCs w:val="28"/>
        </w:rPr>
      </w:pPr>
    </w:p>
    <w:p>
      <w:pPr>
        <w:pStyle w:val="10"/>
        <w:rPr>
          <w:rFonts w:ascii="宋体" w:hAnsi="宋体" w:eastAsia="宋体" w:cs="Arial"/>
          <w:sz w:val="24"/>
          <w:szCs w:val="28"/>
        </w:rPr>
      </w:pPr>
    </w:p>
    <w:p>
      <w:pPr>
        <w:rPr>
          <w:rFonts w:ascii="宋体" w:hAnsi="宋体" w:cs="Arial"/>
          <w:sz w:val="24"/>
          <w:szCs w:val="28"/>
        </w:rPr>
      </w:pPr>
      <w:r>
        <w:rPr>
          <w:rFonts w:hint="eastAsia" w:ascii="宋体" w:hAnsi="宋体" w:cs="Arial"/>
          <w:sz w:val="24"/>
          <w:szCs w:val="28"/>
        </w:rPr>
        <w:br w:type="page"/>
      </w:r>
    </w:p>
    <w:p>
      <w:pPr>
        <w:pStyle w:val="2"/>
        <w:jc w:val="center"/>
        <w:rPr>
          <w:rFonts w:ascii="宋体" w:hAnsi="宋体" w:eastAsia="宋体" w:cs="Arial"/>
          <w:sz w:val="24"/>
          <w:szCs w:val="28"/>
        </w:rPr>
      </w:pPr>
      <w:r>
        <w:rPr>
          <w:rFonts w:hint="eastAsia" w:ascii="宋体" w:hAnsi="宋体" w:eastAsia="宋体" w:cs="Arial"/>
          <w:sz w:val="24"/>
          <w:szCs w:val="28"/>
        </w:rPr>
        <w:t>技术</w:t>
      </w:r>
      <w:r>
        <w:rPr>
          <w:rFonts w:ascii="宋体" w:hAnsi="宋体" w:eastAsia="宋体" w:cs="Arial"/>
          <w:sz w:val="24"/>
          <w:szCs w:val="28"/>
        </w:rPr>
        <w:t>偏离表</w:t>
      </w:r>
    </w:p>
    <w:p>
      <w:pPr>
        <w:spacing w:before="100" w:beforeAutospacing="1"/>
        <w:rPr>
          <w:rFonts w:hint="eastAsia" w:ascii="宋体" w:hAnsi="宋体" w:eastAsia="宋体" w:cs="Arial"/>
          <w:b/>
          <w:sz w:val="24"/>
          <w:lang w:val="en-US" w:eastAsia="zh-CN"/>
        </w:rPr>
      </w:pPr>
      <w:r>
        <w:rPr>
          <w:rFonts w:hint="eastAsia" w:ascii="宋体" w:hAnsi="宋体" w:cs="Arial"/>
          <w:b/>
          <w:sz w:val="24"/>
          <w:lang w:val="en-US" w:eastAsia="zh-CN"/>
        </w:rPr>
        <w:t>格式自拟</w:t>
      </w:r>
    </w:p>
    <w:p>
      <w:pPr>
        <w:pStyle w:val="10"/>
        <w:rPr>
          <w:rFonts w:ascii="宋体" w:hAnsi="宋体" w:cs="Arial"/>
          <w:b/>
          <w:sz w:val="24"/>
        </w:rPr>
      </w:pPr>
    </w:p>
    <w:p>
      <w:pPr>
        <w:pStyle w:val="10"/>
        <w:rPr>
          <w:rFonts w:ascii="宋体" w:hAnsi="宋体" w:cs="Arial"/>
          <w:b/>
          <w:sz w:val="24"/>
        </w:rPr>
      </w:pPr>
    </w:p>
    <w:p>
      <w:pPr>
        <w:rPr>
          <w:rFonts w:ascii="宋体" w:hAnsi="宋体" w:cs="Arial"/>
          <w:sz w:val="24"/>
        </w:rPr>
      </w:pPr>
    </w:p>
    <w:p>
      <w:pPr>
        <w:rPr>
          <w:rFonts w:ascii="宋体" w:hAnsi="宋体" w:cs="Arial"/>
          <w:sz w:val="24"/>
        </w:rPr>
      </w:pPr>
    </w:p>
    <w:p>
      <w:pPr>
        <w:autoSpaceDE w:val="0"/>
        <w:autoSpaceDN w:val="0"/>
        <w:adjustRightInd w:val="0"/>
        <w:snapToGrid w:val="0"/>
        <w:spacing w:line="360" w:lineRule="auto"/>
        <w:rPr>
          <w:rFonts w:ascii="宋体" w:hAnsi="宋体" w:cs="Arial"/>
          <w:sz w:val="24"/>
        </w:rPr>
      </w:pPr>
      <w:r>
        <w:rPr>
          <w:rFonts w:ascii="宋体" w:hAnsi="宋体" w:cs="Arial"/>
          <w:kern w:val="0"/>
          <w:sz w:val="24"/>
        </w:rPr>
        <w:t>投标人：</w:t>
      </w:r>
      <w:r>
        <w:rPr>
          <w:rFonts w:ascii="宋体" w:hAnsi="宋体" w:cs="Arial"/>
          <w:spacing w:val="14"/>
          <w:kern w:val="0"/>
          <w:sz w:val="24"/>
          <w:u w:val="single"/>
        </w:rPr>
        <w:t xml:space="preserve">（单位全称） （盖章）        </w:t>
      </w:r>
    </w:p>
    <w:p>
      <w:pPr>
        <w:autoSpaceDE w:val="0"/>
        <w:autoSpaceDN w:val="0"/>
        <w:adjustRightInd w:val="0"/>
        <w:snapToGrid w:val="0"/>
        <w:spacing w:line="360" w:lineRule="auto"/>
        <w:rPr>
          <w:rFonts w:ascii="宋体" w:hAnsi="宋体" w:cs="Arial"/>
          <w:spacing w:val="11"/>
          <w:kern w:val="0"/>
          <w:sz w:val="24"/>
        </w:rPr>
      </w:pPr>
      <w:r>
        <w:rPr>
          <w:rFonts w:ascii="宋体" w:hAnsi="宋体" w:cs="Arial"/>
          <w:spacing w:val="11"/>
          <w:kern w:val="0"/>
          <w:sz w:val="24"/>
        </w:rPr>
        <w:t>法定代表人或授权委托人：</w:t>
      </w:r>
      <w:r>
        <w:rPr>
          <w:rFonts w:ascii="宋体" w:hAnsi="宋体" w:cs="Arial"/>
          <w:spacing w:val="11"/>
          <w:kern w:val="0"/>
          <w:sz w:val="24"/>
          <w:u w:val="single"/>
        </w:rPr>
        <w:t xml:space="preserve">         （签字或盖章）         </w:t>
      </w:r>
    </w:p>
    <w:p>
      <w:pPr>
        <w:autoSpaceDE w:val="0"/>
        <w:autoSpaceDN w:val="0"/>
        <w:adjustRightInd w:val="0"/>
        <w:snapToGrid w:val="0"/>
        <w:spacing w:line="360" w:lineRule="auto"/>
        <w:rPr>
          <w:rFonts w:ascii="宋体" w:hAnsi="宋体" w:cs="Arial"/>
          <w:sz w:val="24"/>
        </w:rPr>
      </w:pPr>
      <w:r>
        <w:rPr>
          <w:rFonts w:ascii="宋体" w:hAnsi="宋体" w:cs="Arial"/>
          <w:sz w:val="24"/>
        </w:rPr>
        <w:t>日期：年月日</w:t>
      </w:r>
    </w:p>
    <w:p>
      <w:pPr>
        <w:rPr>
          <w:rFonts w:ascii="宋体" w:hAnsi="宋体" w:cs="Arial"/>
          <w:sz w:val="24"/>
        </w:rPr>
      </w:pPr>
    </w:p>
    <w:p>
      <w:pPr>
        <w:rPr>
          <w:rFonts w:ascii="宋体" w:hAnsi="宋体" w:cs="Arial"/>
          <w:sz w:val="24"/>
        </w:rPr>
      </w:pPr>
    </w:p>
    <w:p>
      <w:pPr>
        <w:spacing w:line="300" w:lineRule="auto"/>
        <w:rPr>
          <w:rFonts w:ascii="宋体" w:hAnsi="宋体" w:cs="Arial"/>
          <w:b/>
          <w:sz w:val="24"/>
        </w:rPr>
      </w:pPr>
      <w:r>
        <w:rPr>
          <w:rFonts w:ascii="宋体" w:hAnsi="宋体" w:cs="Arial"/>
          <w:b/>
          <w:sz w:val="24"/>
        </w:rPr>
        <w:t>注：如无偏差，投标人不需要填表，但应声明：“本</w:t>
      </w:r>
      <w:r>
        <w:rPr>
          <w:rFonts w:hint="eastAsia" w:ascii="宋体" w:hAnsi="宋体" w:cs="Arial"/>
          <w:b/>
          <w:sz w:val="24"/>
        </w:rPr>
        <w:t>谈判响应</w:t>
      </w:r>
      <w:r>
        <w:rPr>
          <w:rFonts w:ascii="宋体" w:hAnsi="宋体" w:cs="Arial"/>
          <w:b/>
          <w:sz w:val="24"/>
        </w:rPr>
        <w:t>文件完全响应</w:t>
      </w:r>
      <w:r>
        <w:rPr>
          <w:rFonts w:hint="eastAsia" w:ascii="宋体" w:hAnsi="宋体" w:cs="Arial"/>
          <w:b/>
          <w:sz w:val="24"/>
        </w:rPr>
        <w:t>谈判</w:t>
      </w:r>
      <w:r>
        <w:rPr>
          <w:rFonts w:ascii="宋体" w:hAnsi="宋体" w:cs="Arial"/>
          <w:b/>
          <w:sz w:val="24"/>
        </w:rPr>
        <w:t>文件所有条款的要求，无偏差。”</w:t>
      </w:r>
    </w:p>
    <w:p>
      <w:pPr>
        <w:pStyle w:val="8"/>
        <w:spacing w:line="480" w:lineRule="exact"/>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p>
    <w:p>
      <w:pPr>
        <w:pStyle w:val="8"/>
        <w:spacing w:line="480" w:lineRule="exact"/>
        <w:jc w:val="center"/>
        <w:rPr>
          <w:rFonts w:ascii="宋体" w:hAnsi="宋体" w:eastAsia="宋体" w:cs="宋体"/>
          <w:b/>
          <w:bCs/>
          <w:sz w:val="24"/>
          <w:szCs w:val="28"/>
        </w:rPr>
      </w:pPr>
      <w:r>
        <w:rPr>
          <w:rFonts w:hint="eastAsia" w:ascii="宋体" w:hAnsi="宋体" w:eastAsia="宋体" w:cs="宋体"/>
          <w:b/>
          <w:bCs/>
          <w:sz w:val="24"/>
          <w:szCs w:val="28"/>
        </w:rPr>
        <w:t>中小企业声明函（符合本声明函填写）</w:t>
      </w:r>
    </w:p>
    <w:p>
      <w:pPr>
        <w:pStyle w:val="8"/>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pStyle w:val="8"/>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1. （标的名称） ，属于（采购文件中明确的所属行业）行业；制造商为（企业名称），从业人员 人，营业收入为 万元，资产总额为 万元1，属于（中型企业、小型企业、微型企业）；</w:t>
      </w:r>
    </w:p>
    <w:p>
      <w:pPr>
        <w:pStyle w:val="8"/>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2. （标的名称） ，属于（采购文件中明确的所属行业）行业；制造商为（企业名称），从业人员 人，营业收入为 万元，资产总额为 万元，属于（中型企业、小型企业、微型企业）；……</w:t>
      </w:r>
    </w:p>
    <w:p>
      <w:pPr>
        <w:pStyle w:val="8"/>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以上企业，不属于大企业的分支机构，不存在控股股东为大企业的情形，也不存在与大企业的负责人为同一人的情形。</w:t>
      </w:r>
    </w:p>
    <w:p>
      <w:pPr>
        <w:pStyle w:val="8"/>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本企业对上述声明内容的真实性负责。如有虚假，将依法承担相应责任。</w:t>
      </w:r>
    </w:p>
    <w:p>
      <w:pPr>
        <w:pStyle w:val="8"/>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1从业人员、营业收入、资产总额填报上一年度数据，无上一年度数据的新成立企业可不填报。</w:t>
      </w:r>
    </w:p>
    <w:p>
      <w:pPr>
        <w:pStyle w:val="8"/>
        <w:spacing w:line="480" w:lineRule="exact"/>
        <w:ind w:firstLine="480" w:firstLineChars="200"/>
        <w:rPr>
          <w:rFonts w:ascii="宋体" w:hAnsi="宋体" w:eastAsia="宋体" w:cs="宋体"/>
          <w:bCs/>
          <w:sz w:val="24"/>
        </w:rPr>
      </w:pPr>
      <w:r>
        <w:rPr>
          <w:rFonts w:hint="eastAsia" w:ascii="宋体" w:hAnsi="宋体" w:eastAsia="宋体" w:cs="宋体"/>
          <w:bCs/>
          <w:sz w:val="24"/>
        </w:rPr>
        <w:t>本公司对上述声明的真实性负责。如有虚假，将依法承担相应责任。</w:t>
      </w:r>
    </w:p>
    <w:p>
      <w:pPr>
        <w:pStyle w:val="8"/>
        <w:spacing w:line="480" w:lineRule="exact"/>
        <w:ind w:firstLine="480" w:firstLineChars="200"/>
        <w:jc w:val="right"/>
        <w:rPr>
          <w:rFonts w:ascii="宋体" w:hAnsi="宋体" w:eastAsia="宋体" w:cs="宋体"/>
          <w:bCs/>
          <w:sz w:val="24"/>
        </w:rPr>
      </w:pPr>
      <w:r>
        <w:rPr>
          <w:rFonts w:hint="eastAsia" w:ascii="宋体" w:hAnsi="宋体" w:eastAsia="宋体" w:cs="宋体"/>
          <w:bCs/>
          <w:sz w:val="24"/>
        </w:rPr>
        <w:t>投标单位：</w:t>
      </w:r>
      <w:r>
        <w:rPr>
          <w:rFonts w:hint="eastAsia" w:ascii="宋体" w:hAnsi="宋体" w:eastAsia="宋体" w:cs="宋体"/>
          <w:bCs/>
          <w:sz w:val="24"/>
          <w:u w:val="single"/>
        </w:rPr>
        <w:tab/>
      </w:r>
      <w:r>
        <w:rPr>
          <w:rFonts w:hint="eastAsia" w:ascii="宋体" w:hAnsi="宋体" w:eastAsia="宋体" w:cs="宋体"/>
          <w:bCs/>
          <w:sz w:val="24"/>
        </w:rPr>
        <w:t xml:space="preserve">（盖章） </w:t>
      </w:r>
    </w:p>
    <w:p>
      <w:pPr>
        <w:pStyle w:val="8"/>
        <w:spacing w:line="480" w:lineRule="exact"/>
        <w:ind w:firstLine="480" w:firstLineChars="200"/>
        <w:jc w:val="right"/>
        <w:rPr>
          <w:rFonts w:ascii="宋体" w:hAnsi="宋体" w:eastAsia="宋体" w:cs="宋体"/>
          <w:bCs/>
          <w:sz w:val="24"/>
        </w:rPr>
      </w:pPr>
      <w:r>
        <w:rPr>
          <w:rFonts w:hint="eastAsia" w:ascii="宋体" w:hAnsi="宋体" w:eastAsia="宋体" w:cs="宋体"/>
          <w:bCs/>
          <w:sz w:val="24"/>
        </w:rPr>
        <w:t>法定代表人或被授权人：</w:t>
      </w:r>
      <w:r>
        <w:rPr>
          <w:rFonts w:hint="eastAsia" w:ascii="宋体" w:hAnsi="宋体" w:eastAsia="宋体" w:cs="宋体"/>
          <w:bCs/>
          <w:sz w:val="24"/>
          <w:u w:val="single"/>
        </w:rPr>
        <w:tab/>
      </w:r>
      <w:r>
        <w:rPr>
          <w:rFonts w:hint="eastAsia" w:ascii="宋体" w:hAnsi="宋体" w:eastAsia="宋体" w:cs="宋体"/>
          <w:bCs/>
          <w:sz w:val="24"/>
          <w:u w:val="single"/>
        </w:rPr>
        <w:tab/>
      </w:r>
      <w:r>
        <w:rPr>
          <w:rFonts w:hint="eastAsia" w:ascii="宋体" w:hAnsi="宋体" w:eastAsia="宋体" w:cs="宋体"/>
          <w:bCs/>
          <w:sz w:val="24"/>
        </w:rPr>
        <w:t>（签字</w:t>
      </w:r>
      <w:r>
        <w:rPr>
          <w:rFonts w:hint="eastAsia" w:ascii="宋体" w:hAnsi="宋体" w:eastAsia="宋体" w:cs="宋体"/>
          <w:bCs/>
          <w:sz w:val="24"/>
          <w:lang w:eastAsia="zh-CN"/>
        </w:rPr>
        <w:t>或盖章</w:t>
      </w:r>
      <w:r>
        <w:rPr>
          <w:rFonts w:hint="eastAsia" w:ascii="宋体" w:hAnsi="宋体" w:eastAsia="宋体" w:cs="宋体"/>
          <w:bCs/>
          <w:sz w:val="24"/>
        </w:rPr>
        <w:t>）</w:t>
      </w:r>
    </w:p>
    <w:p>
      <w:pPr>
        <w:pStyle w:val="8"/>
        <w:spacing w:line="480" w:lineRule="exact"/>
        <w:ind w:firstLine="480" w:firstLineChars="200"/>
        <w:jc w:val="right"/>
        <w:rPr>
          <w:rFonts w:hint="eastAsia" w:ascii="宋体" w:hAnsi="宋体" w:eastAsia="宋体" w:cs="宋体"/>
          <w:bCs/>
          <w:sz w:val="24"/>
        </w:rPr>
      </w:pPr>
      <w:r>
        <w:rPr>
          <w:rFonts w:hint="eastAsia" w:ascii="宋体" w:hAnsi="宋体" w:eastAsia="宋体" w:cs="宋体"/>
          <w:bCs/>
          <w:sz w:val="24"/>
        </w:rPr>
        <w:t>日</w:t>
      </w:r>
      <w:r>
        <w:rPr>
          <w:rFonts w:hint="eastAsia" w:ascii="宋体" w:hAnsi="宋体" w:eastAsia="宋体" w:cs="宋体"/>
          <w:bCs/>
          <w:sz w:val="24"/>
        </w:rPr>
        <w:tab/>
      </w:r>
      <w:r>
        <w:rPr>
          <w:rFonts w:hint="eastAsia" w:ascii="宋体" w:hAnsi="宋体" w:eastAsia="宋体" w:cs="宋体"/>
          <w:bCs/>
          <w:sz w:val="24"/>
        </w:rPr>
        <w:t>期：</w:t>
      </w:r>
      <w:r>
        <w:rPr>
          <w:rFonts w:hint="eastAsia" w:ascii="宋体" w:hAnsi="宋体" w:eastAsia="宋体" w:cs="宋体"/>
          <w:bCs/>
          <w:sz w:val="24"/>
          <w:u w:val="single"/>
        </w:rPr>
        <w:tab/>
      </w:r>
      <w:r>
        <w:rPr>
          <w:rFonts w:hint="eastAsia" w:ascii="宋体" w:hAnsi="宋体" w:eastAsia="宋体" w:cs="宋体"/>
          <w:bCs/>
          <w:sz w:val="24"/>
        </w:rPr>
        <w:t>年</w:t>
      </w:r>
      <w:r>
        <w:rPr>
          <w:rFonts w:hint="eastAsia" w:ascii="宋体" w:hAnsi="宋体" w:eastAsia="宋体" w:cs="宋体"/>
          <w:bCs/>
          <w:sz w:val="24"/>
          <w:u w:val="single"/>
        </w:rPr>
        <w:tab/>
      </w:r>
      <w:r>
        <w:rPr>
          <w:rFonts w:hint="eastAsia" w:ascii="宋体" w:hAnsi="宋体" w:eastAsia="宋体" w:cs="宋体"/>
          <w:bCs/>
          <w:sz w:val="24"/>
        </w:rPr>
        <w:t>月</w:t>
      </w:r>
      <w:r>
        <w:rPr>
          <w:rFonts w:hint="eastAsia" w:ascii="宋体" w:hAnsi="宋体" w:eastAsia="宋体" w:cs="宋体"/>
          <w:bCs/>
          <w:sz w:val="24"/>
          <w:u w:val="single"/>
        </w:rPr>
        <w:tab/>
      </w:r>
      <w:r>
        <w:rPr>
          <w:rFonts w:hint="eastAsia" w:ascii="宋体" w:hAnsi="宋体" w:eastAsia="宋体" w:cs="宋体"/>
          <w:bCs/>
          <w:sz w:val="24"/>
        </w:rPr>
        <w:t>日</w:t>
      </w:r>
    </w:p>
    <w:p>
      <w:pPr>
        <w:pStyle w:val="8"/>
        <w:spacing w:line="480" w:lineRule="exact"/>
        <w:ind w:firstLine="480" w:firstLineChars="200"/>
        <w:rPr>
          <w:rFonts w:ascii="宋体" w:hAnsi="宋体" w:eastAsia="宋体" w:cs="宋体"/>
          <w:bCs/>
          <w:sz w:val="24"/>
        </w:rPr>
      </w:pPr>
      <w:r>
        <w:rPr>
          <w:rFonts w:hint="eastAsia" w:ascii="宋体" w:hAnsi="宋体" w:eastAsia="宋体" w:cs="宋体"/>
          <w:bCs/>
          <w:sz w:val="24"/>
        </w:rPr>
        <w:t>说明：1、填写前请认真阅读《政府采购促进中小企业发展管理办法》（财库〔2020〕46号）相关规定。</w:t>
      </w:r>
    </w:p>
    <w:p>
      <w:pPr>
        <w:pStyle w:val="8"/>
        <w:spacing w:line="480" w:lineRule="exact"/>
        <w:ind w:firstLine="480" w:firstLineChars="200"/>
        <w:rPr>
          <w:rFonts w:ascii="宋体" w:hAnsi="宋体" w:eastAsia="宋体" w:cs="宋体"/>
          <w:bCs/>
          <w:sz w:val="24"/>
        </w:rPr>
      </w:pPr>
      <w:r>
        <w:rPr>
          <w:rFonts w:hint="eastAsia" w:ascii="宋体" w:hAnsi="宋体" w:eastAsia="宋体" w:cs="宋体"/>
          <w:bCs/>
          <w:sz w:val="24"/>
        </w:rPr>
        <w:t>2、中小企业部分提供其他中小企业制造货物的应另附说明，并与开标一览表保持一致。</w:t>
      </w:r>
    </w:p>
    <w:p>
      <w:pPr>
        <w:pStyle w:val="8"/>
        <w:spacing w:line="480" w:lineRule="exact"/>
        <w:ind w:firstLine="480" w:firstLineChars="200"/>
        <w:rPr>
          <w:rFonts w:ascii="宋体" w:hAnsi="宋体" w:eastAsia="宋体" w:cs="宋体"/>
          <w:bCs/>
          <w:sz w:val="24"/>
        </w:rPr>
      </w:pPr>
      <w:r>
        <w:rPr>
          <w:rFonts w:hint="eastAsia" w:ascii="宋体" w:hAnsi="宋体" w:eastAsia="宋体" w:cs="宋体"/>
          <w:bCs/>
          <w:sz w:val="24"/>
        </w:rPr>
        <w:t>3、未按上述要求提供、填写的，评审时不予以考虑。</w:t>
      </w:r>
    </w:p>
    <w:p>
      <w:pPr>
        <w:pStyle w:val="8"/>
        <w:spacing w:line="480" w:lineRule="exact"/>
        <w:ind w:firstLine="480" w:firstLineChars="200"/>
        <w:rPr>
          <w:rFonts w:ascii="宋体" w:hAnsi="宋体" w:eastAsia="宋体" w:cs="宋体"/>
          <w:bCs/>
          <w:sz w:val="24"/>
        </w:rPr>
      </w:pPr>
    </w:p>
    <w:p>
      <w:pPr>
        <w:pStyle w:val="8"/>
        <w:spacing w:line="480" w:lineRule="exact"/>
        <w:rPr>
          <w:rFonts w:ascii="宋体" w:hAnsi="宋体" w:eastAsia="宋体" w:cs="仿宋"/>
          <w:b/>
          <w:sz w:val="28"/>
          <w:szCs w:val="28"/>
        </w:rPr>
      </w:pPr>
    </w:p>
    <w:p>
      <w:pPr>
        <w:pStyle w:val="8"/>
        <w:spacing w:line="480" w:lineRule="exact"/>
        <w:rPr>
          <w:rFonts w:ascii="宋体" w:hAnsi="宋体" w:eastAsia="宋体" w:cs="仿宋"/>
          <w:b/>
          <w:sz w:val="28"/>
          <w:szCs w:val="28"/>
        </w:rPr>
      </w:pPr>
    </w:p>
    <w:p>
      <w:pPr>
        <w:pStyle w:val="8"/>
        <w:spacing w:line="480" w:lineRule="exact"/>
        <w:rPr>
          <w:rFonts w:ascii="宋体" w:hAnsi="宋体" w:eastAsia="宋体" w:cs="仿宋"/>
          <w:b/>
          <w:sz w:val="28"/>
          <w:szCs w:val="28"/>
        </w:rPr>
      </w:pPr>
    </w:p>
    <w:p>
      <w:pPr>
        <w:pStyle w:val="8"/>
        <w:spacing w:line="480" w:lineRule="exact"/>
        <w:rPr>
          <w:rFonts w:ascii="宋体" w:hAnsi="宋体" w:eastAsia="宋体" w:cs="仿宋"/>
          <w:b/>
          <w:sz w:val="28"/>
          <w:szCs w:val="28"/>
        </w:rPr>
      </w:pPr>
    </w:p>
    <w:p>
      <w:pPr>
        <w:pStyle w:val="8"/>
        <w:spacing w:line="480" w:lineRule="exact"/>
        <w:jc w:val="center"/>
        <w:rPr>
          <w:rFonts w:ascii="宋体" w:hAnsi="宋体" w:eastAsia="宋体" w:cs="宋体"/>
          <w:b/>
          <w:bCs/>
          <w:sz w:val="24"/>
          <w:szCs w:val="28"/>
        </w:rPr>
      </w:pPr>
      <w:r>
        <w:rPr>
          <w:rFonts w:hint="eastAsia" w:ascii="宋体" w:hAnsi="宋体" w:eastAsia="宋体" w:cs="宋体"/>
          <w:b/>
          <w:bCs/>
          <w:sz w:val="24"/>
          <w:szCs w:val="28"/>
        </w:rPr>
        <w:t>残疾人福利性单位声明函（符合本声明函填写）</w:t>
      </w:r>
    </w:p>
    <w:p>
      <w:pPr>
        <w:pStyle w:val="8"/>
        <w:spacing w:line="480" w:lineRule="exact"/>
        <w:ind w:firstLine="480" w:firstLineChars="200"/>
        <w:rPr>
          <w:rFonts w:ascii="宋体" w:hAnsi="宋体" w:eastAsia="宋体" w:cs="宋体"/>
          <w:bCs/>
          <w:sz w:val="24"/>
        </w:rPr>
      </w:pPr>
      <w:r>
        <w:rPr>
          <w:rFonts w:hint="eastAsia" w:ascii="宋体" w:hAnsi="宋体" w:eastAsia="宋体" w:cs="宋体"/>
          <w:bCs/>
          <w:sz w:val="24"/>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eastAsia="宋体" w:cs="宋体"/>
          <w:bCs/>
          <w:sz w:val="24"/>
          <w:u w:val="single"/>
        </w:rPr>
        <w:tab/>
      </w:r>
      <w:r>
        <w:rPr>
          <w:rFonts w:hint="eastAsia" w:ascii="宋体" w:hAnsi="宋体" w:eastAsia="宋体" w:cs="宋体"/>
          <w:bCs/>
          <w:sz w:val="24"/>
        </w:rPr>
        <w:t>单位的</w:t>
      </w:r>
      <w:r>
        <w:rPr>
          <w:rFonts w:hint="eastAsia" w:ascii="宋体" w:hAnsi="宋体" w:eastAsia="宋体" w:cs="宋体"/>
          <w:bCs/>
          <w:sz w:val="24"/>
          <w:u w:val="single"/>
        </w:rPr>
        <w:tab/>
      </w:r>
      <w:r>
        <w:rPr>
          <w:rFonts w:hint="eastAsia" w:ascii="宋体" w:hAnsi="宋体" w:eastAsia="宋体" w:cs="宋体"/>
          <w:bCs/>
          <w:sz w:val="24"/>
        </w:rPr>
        <w:t>项目采购活动提供本单位制造的货物（由本单位承担工程/提供服务及供货），或者提供其他残疾人福利性单位制造的货物（不包括使用非残疾人福利性单位注册商标的货物）。 本单位对上述声明的真实性负责，如有虚假，将依法承担相应责任。</w:t>
      </w:r>
    </w:p>
    <w:p>
      <w:pPr>
        <w:pStyle w:val="8"/>
        <w:spacing w:line="480" w:lineRule="exact"/>
        <w:ind w:firstLine="480" w:firstLineChars="200"/>
        <w:rPr>
          <w:rFonts w:ascii="宋体" w:hAnsi="宋体" w:eastAsia="宋体" w:cs="宋体"/>
          <w:bCs/>
          <w:sz w:val="24"/>
        </w:rPr>
      </w:pPr>
    </w:p>
    <w:p>
      <w:pPr>
        <w:pStyle w:val="8"/>
        <w:spacing w:line="480" w:lineRule="exact"/>
        <w:ind w:firstLine="480" w:firstLineChars="200"/>
        <w:rPr>
          <w:rFonts w:ascii="宋体" w:hAnsi="宋体" w:eastAsia="宋体" w:cs="宋体"/>
          <w:bCs/>
          <w:sz w:val="24"/>
        </w:rPr>
      </w:pPr>
    </w:p>
    <w:p>
      <w:pPr>
        <w:pStyle w:val="8"/>
        <w:spacing w:line="480" w:lineRule="exact"/>
        <w:ind w:firstLine="480" w:firstLineChars="200"/>
        <w:rPr>
          <w:rFonts w:ascii="宋体" w:hAnsi="宋体" w:eastAsia="宋体" w:cs="宋体"/>
          <w:bCs/>
          <w:sz w:val="24"/>
        </w:rPr>
      </w:pPr>
    </w:p>
    <w:p>
      <w:pPr>
        <w:pStyle w:val="8"/>
        <w:spacing w:line="480" w:lineRule="exact"/>
        <w:ind w:firstLine="480" w:firstLineChars="200"/>
        <w:jc w:val="right"/>
        <w:rPr>
          <w:rFonts w:ascii="宋体" w:hAnsi="宋体" w:eastAsia="宋体" w:cs="宋体"/>
          <w:bCs/>
          <w:sz w:val="24"/>
        </w:rPr>
      </w:pPr>
      <w:r>
        <w:rPr>
          <w:rFonts w:hint="eastAsia" w:ascii="宋体" w:hAnsi="宋体" w:eastAsia="宋体" w:cs="宋体"/>
          <w:bCs/>
          <w:sz w:val="24"/>
        </w:rPr>
        <w:t>投标单位：</w:t>
      </w:r>
      <w:r>
        <w:rPr>
          <w:rFonts w:hint="eastAsia" w:ascii="宋体" w:hAnsi="宋体" w:eastAsia="宋体" w:cs="宋体"/>
          <w:bCs/>
          <w:sz w:val="24"/>
          <w:u w:val="single"/>
        </w:rPr>
        <w:tab/>
      </w:r>
      <w:r>
        <w:rPr>
          <w:rFonts w:hint="eastAsia" w:ascii="宋体" w:hAnsi="宋体" w:eastAsia="宋体" w:cs="宋体"/>
          <w:bCs/>
          <w:sz w:val="24"/>
        </w:rPr>
        <w:t xml:space="preserve">（盖章） </w:t>
      </w:r>
    </w:p>
    <w:p>
      <w:pPr>
        <w:pStyle w:val="8"/>
        <w:spacing w:line="480" w:lineRule="exact"/>
        <w:ind w:firstLine="480" w:firstLineChars="200"/>
        <w:jc w:val="right"/>
        <w:rPr>
          <w:rFonts w:ascii="宋体" w:hAnsi="宋体" w:eastAsia="宋体" w:cs="宋体"/>
          <w:bCs/>
          <w:sz w:val="24"/>
        </w:rPr>
      </w:pPr>
      <w:r>
        <w:rPr>
          <w:rFonts w:hint="eastAsia" w:ascii="宋体" w:hAnsi="宋体" w:eastAsia="宋体" w:cs="宋体"/>
          <w:bCs/>
          <w:sz w:val="24"/>
        </w:rPr>
        <w:t>法定代表人或被授权人：</w:t>
      </w:r>
      <w:r>
        <w:rPr>
          <w:rFonts w:hint="eastAsia" w:ascii="宋体" w:hAnsi="宋体" w:eastAsia="宋体" w:cs="宋体"/>
          <w:bCs/>
          <w:sz w:val="24"/>
          <w:u w:val="single"/>
        </w:rPr>
        <w:tab/>
      </w:r>
      <w:r>
        <w:rPr>
          <w:rFonts w:hint="eastAsia" w:ascii="宋体" w:hAnsi="宋体" w:eastAsia="宋体" w:cs="宋体"/>
          <w:bCs/>
          <w:sz w:val="24"/>
          <w:u w:val="single"/>
        </w:rPr>
        <w:tab/>
      </w:r>
      <w:r>
        <w:rPr>
          <w:rFonts w:hint="eastAsia" w:ascii="宋体" w:hAnsi="宋体" w:eastAsia="宋体" w:cs="宋体"/>
          <w:bCs/>
          <w:sz w:val="24"/>
        </w:rPr>
        <w:t>（签字或盖章）</w:t>
      </w:r>
    </w:p>
    <w:p>
      <w:pPr>
        <w:pStyle w:val="8"/>
        <w:spacing w:line="480" w:lineRule="exact"/>
        <w:ind w:firstLine="480" w:firstLineChars="200"/>
        <w:jc w:val="right"/>
        <w:rPr>
          <w:rFonts w:ascii="宋体" w:hAnsi="宋体" w:eastAsia="宋体" w:cs="宋体"/>
          <w:bCs/>
          <w:sz w:val="24"/>
        </w:rPr>
      </w:pPr>
      <w:r>
        <w:rPr>
          <w:rFonts w:hint="eastAsia" w:ascii="宋体" w:hAnsi="宋体" w:eastAsia="宋体" w:cs="宋体"/>
          <w:bCs/>
          <w:sz w:val="24"/>
        </w:rPr>
        <w:t>日</w:t>
      </w:r>
      <w:r>
        <w:rPr>
          <w:rFonts w:hint="eastAsia" w:ascii="宋体" w:hAnsi="宋体" w:eastAsia="宋体" w:cs="宋体"/>
          <w:bCs/>
          <w:sz w:val="24"/>
        </w:rPr>
        <w:tab/>
      </w:r>
      <w:r>
        <w:rPr>
          <w:rFonts w:hint="eastAsia" w:ascii="宋体" w:hAnsi="宋体" w:eastAsia="宋体" w:cs="宋体"/>
          <w:bCs/>
          <w:sz w:val="24"/>
        </w:rPr>
        <w:t>期：</w:t>
      </w:r>
      <w:r>
        <w:rPr>
          <w:rFonts w:hint="eastAsia" w:ascii="宋体" w:hAnsi="宋体" w:eastAsia="宋体" w:cs="宋体"/>
          <w:bCs/>
          <w:sz w:val="24"/>
          <w:u w:val="single"/>
        </w:rPr>
        <w:tab/>
      </w:r>
      <w:r>
        <w:rPr>
          <w:rFonts w:hint="eastAsia" w:ascii="宋体" w:hAnsi="宋体" w:eastAsia="宋体" w:cs="宋体"/>
          <w:bCs/>
          <w:sz w:val="24"/>
        </w:rPr>
        <w:t>年</w:t>
      </w:r>
      <w:r>
        <w:rPr>
          <w:rFonts w:hint="eastAsia" w:ascii="宋体" w:hAnsi="宋体" w:eastAsia="宋体" w:cs="宋体"/>
          <w:bCs/>
          <w:sz w:val="24"/>
          <w:u w:val="single"/>
        </w:rPr>
        <w:tab/>
      </w:r>
      <w:r>
        <w:rPr>
          <w:rFonts w:hint="eastAsia" w:ascii="宋体" w:hAnsi="宋体" w:eastAsia="宋体" w:cs="宋体"/>
          <w:bCs/>
          <w:sz w:val="24"/>
        </w:rPr>
        <w:t>月</w:t>
      </w:r>
      <w:r>
        <w:rPr>
          <w:rFonts w:hint="eastAsia" w:ascii="宋体" w:hAnsi="宋体" w:eastAsia="宋体" w:cs="宋体"/>
          <w:bCs/>
          <w:sz w:val="24"/>
          <w:u w:val="single"/>
        </w:rPr>
        <w:tab/>
      </w:r>
      <w:r>
        <w:rPr>
          <w:rFonts w:hint="eastAsia" w:ascii="宋体" w:hAnsi="宋体" w:eastAsia="宋体" w:cs="宋体"/>
          <w:bCs/>
          <w:sz w:val="24"/>
        </w:rPr>
        <w:t>日</w:t>
      </w:r>
    </w:p>
    <w:p>
      <w:pPr>
        <w:pStyle w:val="8"/>
        <w:spacing w:line="480" w:lineRule="exact"/>
        <w:ind w:firstLine="480" w:firstLineChars="200"/>
        <w:rPr>
          <w:rFonts w:ascii="宋体" w:hAnsi="宋体" w:eastAsia="宋体" w:cs="宋体"/>
          <w:bCs/>
          <w:sz w:val="24"/>
        </w:rPr>
      </w:pPr>
    </w:p>
    <w:p>
      <w:pPr>
        <w:pStyle w:val="8"/>
        <w:spacing w:line="480" w:lineRule="exact"/>
        <w:ind w:firstLine="480" w:firstLineChars="200"/>
        <w:rPr>
          <w:rFonts w:ascii="宋体" w:hAnsi="宋体" w:eastAsia="宋体" w:cs="宋体"/>
          <w:bCs/>
          <w:sz w:val="24"/>
        </w:rPr>
      </w:pPr>
    </w:p>
    <w:p>
      <w:pPr>
        <w:pStyle w:val="8"/>
        <w:spacing w:line="480" w:lineRule="exact"/>
        <w:ind w:firstLine="480" w:firstLineChars="200"/>
        <w:rPr>
          <w:rFonts w:ascii="宋体" w:hAnsi="宋体" w:eastAsia="宋体" w:cs="宋体"/>
          <w:bCs/>
          <w:sz w:val="24"/>
        </w:rPr>
      </w:pPr>
    </w:p>
    <w:p>
      <w:pPr>
        <w:pStyle w:val="8"/>
        <w:spacing w:line="480" w:lineRule="exact"/>
        <w:ind w:firstLine="480" w:firstLineChars="200"/>
        <w:rPr>
          <w:rFonts w:ascii="宋体" w:hAnsi="宋体" w:eastAsia="宋体" w:cs="宋体"/>
          <w:bCs/>
          <w:sz w:val="24"/>
        </w:rPr>
      </w:pPr>
      <w:r>
        <w:rPr>
          <w:rFonts w:hint="eastAsia" w:ascii="宋体" w:hAnsi="宋体" w:eastAsia="宋体" w:cs="宋体"/>
          <w:bCs/>
          <w:sz w:val="24"/>
        </w:rPr>
        <w:t>说明：1.填写前请认真阅读《财政部 民政部 中国残疾人联合会关于促进残疾人就业政府采购政策的通知》（财库〔2017〕141 号）相关规定。</w:t>
      </w:r>
    </w:p>
    <w:p>
      <w:pPr>
        <w:pStyle w:val="8"/>
        <w:spacing w:line="480" w:lineRule="exact"/>
        <w:ind w:firstLine="480" w:firstLineChars="200"/>
        <w:rPr>
          <w:rFonts w:ascii="宋体" w:hAnsi="宋体" w:eastAsia="宋体" w:cs="宋体"/>
          <w:bCs/>
          <w:sz w:val="24"/>
        </w:rPr>
      </w:pPr>
      <w:r>
        <w:rPr>
          <w:rFonts w:hint="eastAsia" w:ascii="宋体" w:hAnsi="宋体" w:eastAsia="宋体" w:cs="宋体"/>
          <w:bCs/>
          <w:sz w:val="24"/>
        </w:rPr>
        <w:t xml:space="preserve"> 2.残疾人福利性单位应在本声明函后提供相关证明材料。</w:t>
      </w:r>
    </w:p>
    <w:p>
      <w:pPr>
        <w:pStyle w:val="8"/>
        <w:spacing w:line="480" w:lineRule="exact"/>
        <w:ind w:firstLine="480" w:firstLineChars="200"/>
        <w:rPr>
          <w:rFonts w:ascii="宋体" w:hAnsi="宋体" w:eastAsia="宋体" w:cs="宋体"/>
          <w:bCs/>
          <w:sz w:val="24"/>
        </w:rPr>
      </w:pPr>
      <w:r>
        <w:rPr>
          <w:rFonts w:hint="eastAsia" w:ascii="宋体" w:hAnsi="宋体" w:eastAsia="宋体" w:cs="宋体"/>
          <w:bCs/>
          <w:sz w:val="24"/>
        </w:rPr>
        <w:t>3.未按上述要求提供、填写的，评审时不予以考虑。</w:t>
      </w:r>
    </w:p>
    <w:p>
      <w:pPr>
        <w:rPr>
          <w:rFonts w:ascii="宋体" w:hAnsi="宋体" w:cs="Arial"/>
          <w:sz w:val="15"/>
          <w:szCs w:val="15"/>
        </w:rPr>
      </w:pPr>
    </w:p>
    <w:p>
      <w:pPr>
        <w:widowControl/>
        <w:jc w:val="center"/>
        <w:rPr>
          <w:rFonts w:ascii="宋体" w:hAnsi="宋体" w:cs="仿宋"/>
          <w:b/>
          <w:sz w:val="28"/>
          <w:szCs w:val="28"/>
        </w:rPr>
      </w:pPr>
      <w:r>
        <w:rPr>
          <w:rFonts w:ascii="宋体" w:hAnsi="宋体" w:cs="仿宋"/>
          <w:b/>
          <w:sz w:val="28"/>
          <w:szCs w:val="28"/>
        </w:rPr>
        <w:br w:type="page"/>
      </w:r>
    </w:p>
    <w:p>
      <w:pPr>
        <w:widowControl/>
        <w:jc w:val="center"/>
        <w:rPr>
          <w:rFonts w:ascii="宋体" w:hAnsi="宋体" w:cs="宋体"/>
          <w:b/>
          <w:bCs/>
          <w:sz w:val="28"/>
          <w:szCs w:val="28"/>
        </w:rPr>
      </w:pPr>
      <w:r>
        <w:rPr>
          <w:rFonts w:hint="eastAsia" w:ascii="宋体" w:hAnsi="宋体" w:cs="宋体"/>
          <w:b/>
          <w:bCs/>
          <w:sz w:val="24"/>
        </w:rPr>
        <w:t>投标人须具有履行合同所必需的设备和专业技术能力，须附相关证明材料或声明</w:t>
      </w:r>
    </w:p>
    <w:p>
      <w:pPr>
        <w:pStyle w:val="41"/>
        <w:autoSpaceDE w:val="0"/>
        <w:autoSpaceDN w:val="0"/>
        <w:adjustRightInd w:val="0"/>
        <w:spacing w:line="440" w:lineRule="exact"/>
        <w:ind w:firstLine="120" w:firstLineChars="50"/>
        <w:jc w:val="left"/>
        <w:rPr>
          <w:rFonts w:ascii="宋体" w:hAnsi="宋体" w:cs="宋体"/>
          <w:kern w:val="0"/>
          <w:sz w:val="24"/>
          <w:szCs w:val="24"/>
        </w:rPr>
      </w:pPr>
    </w:p>
    <w:p>
      <w:pPr>
        <w:pStyle w:val="41"/>
        <w:autoSpaceDE w:val="0"/>
        <w:autoSpaceDN w:val="0"/>
        <w:adjustRightInd w:val="0"/>
        <w:spacing w:line="440" w:lineRule="exact"/>
        <w:ind w:firstLine="240" w:firstLineChars="100"/>
        <w:jc w:val="center"/>
        <w:rPr>
          <w:rFonts w:ascii="宋体" w:hAnsi="宋体" w:cs="宋体"/>
          <w:bCs/>
          <w:sz w:val="24"/>
          <w:szCs w:val="24"/>
        </w:rPr>
      </w:pPr>
      <w:r>
        <w:rPr>
          <w:rFonts w:hint="eastAsia" w:ascii="宋体" w:hAnsi="宋体" w:cs="宋体"/>
          <w:bCs/>
          <w:sz w:val="24"/>
          <w:szCs w:val="24"/>
        </w:rPr>
        <w:t>本投标人郑重声明：</w:t>
      </w:r>
    </w:p>
    <w:p>
      <w:pPr>
        <w:pStyle w:val="41"/>
        <w:autoSpaceDE w:val="0"/>
        <w:autoSpaceDN w:val="0"/>
        <w:adjustRightInd w:val="0"/>
        <w:spacing w:line="440" w:lineRule="exact"/>
        <w:ind w:firstLine="240" w:firstLineChars="100"/>
        <w:jc w:val="left"/>
        <w:rPr>
          <w:rFonts w:ascii="宋体" w:hAnsi="宋体" w:cs="宋体"/>
          <w:bCs/>
          <w:sz w:val="24"/>
          <w:szCs w:val="24"/>
        </w:rPr>
      </w:pPr>
      <w:r>
        <w:rPr>
          <w:rFonts w:hint="eastAsia" w:ascii="宋体" w:hAnsi="宋体" w:cs="宋体"/>
          <w:bCs/>
          <w:sz w:val="24"/>
          <w:szCs w:val="24"/>
        </w:rPr>
        <w:t xml:space="preserve">本公司（或单位）具备本项目履行合同所必需的设备和专业技术能力，特此承诺。 </w:t>
      </w:r>
    </w:p>
    <w:p>
      <w:pPr>
        <w:pStyle w:val="41"/>
        <w:autoSpaceDE w:val="0"/>
        <w:autoSpaceDN w:val="0"/>
        <w:adjustRightInd w:val="0"/>
        <w:spacing w:line="440" w:lineRule="exact"/>
        <w:ind w:firstLine="120" w:firstLineChars="50"/>
        <w:jc w:val="left"/>
        <w:rPr>
          <w:rFonts w:ascii="宋体" w:hAnsi="宋体" w:cs="宋体"/>
          <w:bCs/>
          <w:sz w:val="24"/>
          <w:szCs w:val="24"/>
        </w:rPr>
      </w:pPr>
    </w:p>
    <w:p>
      <w:pPr>
        <w:pStyle w:val="41"/>
        <w:adjustRightInd w:val="0"/>
        <w:snapToGrid w:val="0"/>
        <w:spacing w:line="360" w:lineRule="auto"/>
        <w:rPr>
          <w:rFonts w:ascii="宋体" w:hAnsi="宋体" w:cs="宋体"/>
          <w:sz w:val="24"/>
          <w:szCs w:val="24"/>
        </w:rPr>
      </w:pPr>
      <w:r>
        <w:rPr>
          <w:rFonts w:hint="eastAsia" w:ascii="宋体" w:hAnsi="宋体" w:cs="宋体"/>
          <w:sz w:val="24"/>
          <w:szCs w:val="24"/>
        </w:rPr>
        <w:t>投标人（盖单位章）：</w:t>
      </w:r>
    </w:p>
    <w:p>
      <w:pPr>
        <w:pStyle w:val="41"/>
        <w:adjustRightInd w:val="0"/>
        <w:snapToGrid w:val="0"/>
        <w:spacing w:line="360" w:lineRule="auto"/>
        <w:rPr>
          <w:rFonts w:ascii="宋体" w:hAnsi="宋体" w:cs="宋体"/>
          <w:sz w:val="24"/>
          <w:szCs w:val="24"/>
        </w:rPr>
      </w:pPr>
      <w:r>
        <w:rPr>
          <w:rFonts w:hint="eastAsia" w:ascii="宋体" w:hAnsi="宋体" w:cs="宋体"/>
          <w:sz w:val="24"/>
          <w:szCs w:val="24"/>
        </w:rPr>
        <w:t>法定代表人或其委托代理人（签字或盖章）：</w:t>
      </w:r>
      <w:r>
        <w:rPr>
          <w:rFonts w:hint="eastAsia" w:ascii="宋体" w:hAnsi="宋体" w:cs="宋体"/>
          <w:sz w:val="24"/>
          <w:szCs w:val="24"/>
          <w:u w:val="single"/>
        </w:rPr>
        <w:t xml:space="preserve">       </w:t>
      </w:r>
    </w:p>
    <w:p>
      <w:pPr>
        <w:pStyle w:val="41"/>
        <w:adjustRightInd w:val="0"/>
        <w:snapToGrid w:val="0"/>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rPr>
          <w:rFonts w:ascii="宋体" w:hAnsi="宋体" w:cs="宋体"/>
          <w:sz w:val="24"/>
        </w:rPr>
      </w:pPr>
    </w:p>
    <w:p>
      <w:pPr>
        <w:jc w:val="center"/>
        <w:rPr>
          <w:rFonts w:ascii="宋体" w:hAnsi="宋体" w:cs="宋体"/>
          <w:b/>
          <w:sz w:val="28"/>
          <w:szCs w:val="28"/>
        </w:rPr>
      </w:pPr>
      <w:r>
        <w:rPr>
          <w:rFonts w:hint="eastAsia" w:ascii="宋体" w:hAnsi="宋体" w:cs="宋体"/>
          <w:b/>
          <w:sz w:val="28"/>
          <w:szCs w:val="28"/>
        </w:rPr>
        <w:br w:type="page"/>
      </w:r>
    </w:p>
    <w:p>
      <w:pPr>
        <w:jc w:val="center"/>
        <w:rPr>
          <w:rFonts w:ascii="宋体" w:hAnsi="宋体" w:cs="宋体"/>
          <w:b/>
          <w:bCs/>
          <w:sz w:val="28"/>
          <w:szCs w:val="28"/>
        </w:rPr>
      </w:pPr>
      <w:r>
        <w:rPr>
          <w:rFonts w:hint="eastAsia" w:ascii="宋体" w:hAnsi="宋体" w:cs="宋体"/>
          <w:b/>
          <w:sz w:val="24"/>
        </w:rPr>
        <w:t>参加政府采购活动前三年内，在经营活动中没有重大违法记录的书面声明</w:t>
      </w:r>
    </w:p>
    <w:p>
      <w:pPr>
        <w:pStyle w:val="41"/>
        <w:adjustRightInd w:val="0"/>
        <w:snapToGrid w:val="0"/>
        <w:spacing w:line="360" w:lineRule="auto"/>
        <w:rPr>
          <w:rFonts w:ascii="宋体" w:hAnsi="宋体" w:cs="宋体"/>
          <w:sz w:val="24"/>
          <w:szCs w:val="24"/>
        </w:rPr>
      </w:pPr>
      <w:r>
        <w:rPr>
          <w:rFonts w:hint="eastAsia" w:ascii="宋体" w:hAnsi="宋体" w:cs="宋体"/>
          <w:sz w:val="24"/>
          <w:szCs w:val="24"/>
          <w:u w:val="single"/>
        </w:rPr>
        <w:t xml:space="preserve">（采购人）         </w:t>
      </w:r>
      <w:r>
        <w:rPr>
          <w:rFonts w:hint="eastAsia" w:ascii="宋体" w:hAnsi="宋体" w:cs="宋体"/>
          <w:sz w:val="24"/>
          <w:szCs w:val="24"/>
        </w:rPr>
        <w:t>：</w:t>
      </w:r>
    </w:p>
    <w:p>
      <w:pPr>
        <w:pStyle w:val="41"/>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我公司参与</w:t>
      </w:r>
      <w:r>
        <w:rPr>
          <w:rFonts w:hint="eastAsia" w:ascii="宋体" w:hAnsi="宋体" w:cs="宋体"/>
          <w:sz w:val="24"/>
          <w:szCs w:val="24"/>
          <w:u w:val="single"/>
        </w:rPr>
        <w:t xml:space="preserve">                          （</w:t>
      </w:r>
      <w:r>
        <w:rPr>
          <w:rFonts w:hint="eastAsia" w:ascii="宋体" w:hAnsi="宋体" w:cs="宋体"/>
          <w:sz w:val="24"/>
          <w:szCs w:val="24"/>
        </w:rPr>
        <w:t>项目名称、编号）投标，本公司郑重声明，我方参加本项目政府采购活动前三年内无重大违法记录，符合《政府采购法》规定的投标人条件。若贵方在本项目采购过程中发现我方政府采购活动前三年内有重大违法记录，我公司将无条件退出本项目的投标，并承担因此引起的一切后果。我方对此声明负全部法律责任。</w:t>
      </w:r>
    </w:p>
    <w:p>
      <w:pPr>
        <w:pStyle w:val="41"/>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特此声明  </w:t>
      </w:r>
    </w:p>
    <w:p>
      <w:pPr>
        <w:pStyle w:val="41"/>
        <w:adjustRightInd w:val="0"/>
        <w:snapToGrid w:val="0"/>
        <w:spacing w:line="360" w:lineRule="auto"/>
        <w:rPr>
          <w:rFonts w:ascii="宋体" w:hAnsi="宋体" w:cs="宋体"/>
          <w:sz w:val="24"/>
          <w:szCs w:val="24"/>
        </w:rPr>
      </w:pPr>
    </w:p>
    <w:p>
      <w:pPr>
        <w:pStyle w:val="41"/>
        <w:adjustRightInd w:val="0"/>
        <w:snapToGrid w:val="0"/>
        <w:spacing w:line="360" w:lineRule="auto"/>
        <w:rPr>
          <w:rFonts w:ascii="宋体" w:hAnsi="宋体" w:cs="宋体"/>
          <w:sz w:val="24"/>
          <w:szCs w:val="24"/>
        </w:rPr>
      </w:pPr>
      <w:r>
        <w:rPr>
          <w:rFonts w:hint="eastAsia" w:ascii="宋体" w:hAnsi="宋体" w:cs="宋体"/>
          <w:sz w:val="24"/>
          <w:szCs w:val="24"/>
        </w:rPr>
        <w:t>投标人（盖单位章）：</w:t>
      </w:r>
    </w:p>
    <w:p>
      <w:pPr>
        <w:pStyle w:val="41"/>
        <w:adjustRightInd w:val="0"/>
        <w:snapToGrid w:val="0"/>
        <w:spacing w:line="360" w:lineRule="auto"/>
        <w:rPr>
          <w:rFonts w:ascii="宋体" w:hAnsi="宋体" w:cs="宋体"/>
          <w:sz w:val="24"/>
          <w:szCs w:val="24"/>
        </w:rPr>
      </w:pPr>
      <w:r>
        <w:rPr>
          <w:rFonts w:hint="eastAsia" w:ascii="宋体" w:hAnsi="宋体" w:cs="宋体"/>
          <w:sz w:val="24"/>
          <w:szCs w:val="24"/>
        </w:rPr>
        <w:t>法定代表人或其委托代理人（签字或盖章）：</w:t>
      </w:r>
      <w:r>
        <w:rPr>
          <w:rFonts w:hint="eastAsia" w:ascii="宋体" w:hAnsi="宋体" w:cs="宋体"/>
          <w:sz w:val="24"/>
          <w:szCs w:val="24"/>
          <w:u w:val="single"/>
        </w:rPr>
        <w:t xml:space="preserve">       </w:t>
      </w:r>
    </w:p>
    <w:p>
      <w:pPr>
        <w:spacing w:line="300" w:lineRule="auto"/>
        <w:rPr>
          <w:rFonts w:ascii="宋体" w:hAnsi="宋体" w:cs="Arial"/>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Arial"/>
          <w:szCs w:val="21"/>
        </w:rPr>
      </w:pPr>
    </w:p>
    <w:p>
      <w:pPr>
        <w:pStyle w:val="38"/>
        <w:spacing w:line="360" w:lineRule="exact"/>
        <w:rPr>
          <w:rFonts w:ascii="宋体" w:hAnsi="宋体"/>
          <w:b/>
          <w:bCs/>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Pr>
        <w:pStyle w:val="38"/>
        <w:spacing w:line="360" w:lineRule="exact"/>
        <w:rPr>
          <w:rFonts w:ascii="宋体" w:hAnsi="宋体"/>
        </w:rPr>
      </w:pPr>
    </w:p>
    <w:p/>
    <w:p>
      <w:pPr>
        <w:jc w:val="center"/>
        <w:rPr>
          <w:rFonts w:hint="eastAsia" w:ascii="宋体" w:hAnsi="宋体" w:cs="宋体"/>
          <w:b/>
          <w:sz w:val="24"/>
        </w:rPr>
      </w:pPr>
      <w:r>
        <w:rPr>
          <w:rFonts w:hint="eastAsia" w:ascii="宋体" w:hAnsi="宋体" w:cs="宋体"/>
          <w:b/>
          <w:sz w:val="24"/>
        </w:rPr>
        <w:t>供应商认为需要说明的其它问题</w:t>
      </w: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pStyle w:val="2"/>
        <w:jc w:val="center"/>
        <w:rPr>
          <w:rFonts w:hint="default"/>
          <w:lang w:val="en-US" w:eastAsia="zh-CN"/>
        </w:rPr>
      </w:pPr>
      <w:r>
        <w:rPr>
          <w:rFonts w:hint="eastAsia"/>
          <w:lang w:val="en-US" w:eastAsia="zh-CN"/>
        </w:rPr>
        <w:t>工程量清单（后附）</w:t>
      </w:r>
    </w:p>
    <w:p>
      <w:pPr>
        <w:rPr>
          <w:lang w:val="en-US" w:eastAsia="zh-CN"/>
        </w:rPr>
      </w:pPr>
    </w:p>
    <w:sectPr>
      <w:footerReference r:id="rId8" w:type="default"/>
      <w:pgSz w:w="11906" w:h="16838"/>
      <w:pgMar w:top="1440" w:right="1083" w:bottom="1440" w:left="1083" w:header="851" w:footer="992"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Style w:val="21"/>
                            </w:rPr>
                          </w:pPr>
                          <w:r>
                            <w:fldChar w:fldCharType="begin"/>
                          </w:r>
                          <w:r>
                            <w:rPr>
                              <w:rStyle w:val="21"/>
                            </w:rPr>
                            <w:instrText xml:space="preserve">PAGE  </w:instrText>
                          </w:r>
                          <w:r>
                            <w:fldChar w:fldCharType="separate"/>
                          </w:r>
                          <w:r>
                            <w:rPr>
                              <w:rStyle w:val="21"/>
                            </w:rPr>
                            <w:t>- 32 -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2"/>
                      <w:rPr>
                        <w:rStyle w:val="21"/>
                      </w:rPr>
                    </w:pPr>
                    <w:r>
                      <w:fldChar w:fldCharType="begin"/>
                    </w:r>
                    <w:r>
                      <w:rPr>
                        <w:rStyle w:val="21"/>
                      </w:rPr>
                      <w:instrText xml:space="preserve">PAGE  </w:instrText>
                    </w:r>
                    <w:r>
                      <w:fldChar w:fldCharType="separate"/>
                    </w:r>
                    <w:r>
                      <w:rPr>
                        <w:rStyle w:val="21"/>
                      </w:rPr>
                      <w:t>- 32 -</w:t>
                    </w:r>
                    <w:r>
                      <w:fldChar w:fldCharType="end"/>
                    </w:r>
                  </w:p>
                </w:txbxContent>
              </v:textbox>
            </v:shape>
          </w:pict>
        </mc:Fallback>
      </mc:AlternateContent>
    </w:r>
    <w:r>
      <w:rPr>
        <w:rFonts w:hint="eastAsia"/>
        <w:b/>
        <w:bCs/>
        <w:i/>
        <w:iCs/>
      </w:rPr>
      <w:t xml:space="preserve">电话：0991-2629781  传真：0991-8897121       </w:t>
    </w:r>
    <w:r>
      <w:rPr>
        <w:rFonts w:hint="eastAsia"/>
      </w:rPr>
      <w:t xml:space="preserve">      </w:t>
    </w:r>
    <w:r>
      <w:rPr>
        <w:rFonts w:hint="eastAsia"/>
        <w:b/>
        <w:bCs/>
        <w:i/>
        <w:iCs/>
      </w:rPr>
      <w:t>华春建设工程项目管理有限责任公司</w:t>
    </w:r>
    <w:r>
      <w:rPr>
        <w:rFonts w:hint="eastAsia"/>
        <w:b/>
        <w:i/>
      </w:rPr>
      <w:t>编制</w: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2Nxr6MwBAACZAwAADgAAAAAAAAABACAAAAAiAQAAZHJz&#10;L2Uyb0RvYy54bWxQSwUGAAAAAAYABgBZAQAAY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pPr>
    <w:r>
      <w:rPr>
        <w:rFonts w:ascii="宋体" w:hAnsi="宋体" w:cs="宋体"/>
      </w:rPr>
      <w:drawing>
        <wp:inline distT="0" distB="0" distL="114300" distR="114300">
          <wp:extent cx="362585" cy="609600"/>
          <wp:effectExtent l="0" t="0" r="18415" b="0"/>
          <wp:docPr id="1" name="图片 1" descr="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商标"/>
                  <pic:cNvPicPr>
                    <a:picLocks noChangeAspect="1"/>
                  </pic:cNvPicPr>
                </pic:nvPicPr>
                <pic:blipFill>
                  <a:blip r:embed="rId1"/>
                  <a:stretch>
                    <a:fillRect/>
                  </a:stretch>
                </pic:blipFill>
                <pic:spPr>
                  <a:xfrm>
                    <a:off x="0" y="0"/>
                    <a:ext cx="362585" cy="609600"/>
                  </a:xfrm>
                  <a:prstGeom prst="rect">
                    <a:avLst/>
                  </a:prstGeom>
                  <a:noFill/>
                  <a:ln>
                    <a:noFill/>
                  </a:ln>
                </pic:spPr>
              </pic:pic>
            </a:graphicData>
          </a:graphic>
        </wp:inline>
      </w:drawing>
    </w:r>
    <w:r>
      <w:rPr>
        <w:rFonts w:hint="eastAsia" w:ascii="仿宋_GB2312" w:eastAsia="仿宋_GB2312"/>
        <w:b/>
        <w:bCs/>
        <w:spacing w:val="20"/>
        <w:sz w:val="28"/>
        <w:szCs w:val="28"/>
      </w:rPr>
      <w:t>华春建设工程项目管理有限责任公司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4921AE"/>
    <w:multiLevelType w:val="singleLevel"/>
    <w:tmpl w:val="E74921AE"/>
    <w:lvl w:ilvl="0" w:tentative="0">
      <w:start w:val="4"/>
      <w:numFmt w:val="chineseCounting"/>
      <w:suff w:val="space"/>
      <w:lvlText w:val="第%1部分"/>
      <w:lvlJc w:val="left"/>
      <w:rPr>
        <w:rFonts w:hint="eastAsia"/>
      </w:rPr>
    </w:lvl>
  </w:abstractNum>
  <w:abstractNum w:abstractNumId="1">
    <w:nsid w:val="3634F61A"/>
    <w:multiLevelType w:val="singleLevel"/>
    <w:tmpl w:val="3634F61A"/>
    <w:lvl w:ilvl="0" w:tentative="0">
      <w:start w:val="1"/>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园子">
    <w15:presenceInfo w15:providerId="WPS Office" w15:userId="1148705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F364C7"/>
    <w:rsid w:val="00062170"/>
    <w:rsid w:val="000A17C1"/>
    <w:rsid w:val="002D2946"/>
    <w:rsid w:val="002D7E46"/>
    <w:rsid w:val="003024D8"/>
    <w:rsid w:val="00356A27"/>
    <w:rsid w:val="00573CDD"/>
    <w:rsid w:val="005D0C2A"/>
    <w:rsid w:val="007F12B1"/>
    <w:rsid w:val="008D5127"/>
    <w:rsid w:val="00B67F40"/>
    <w:rsid w:val="00CA580B"/>
    <w:rsid w:val="00E25248"/>
    <w:rsid w:val="00FA7C83"/>
    <w:rsid w:val="010E5246"/>
    <w:rsid w:val="02896D23"/>
    <w:rsid w:val="04195F19"/>
    <w:rsid w:val="0424201A"/>
    <w:rsid w:val="04813D62"/>
    <w:rsid w:val="0579374A"/>
    <w:rsid w:val="06286486"/>
    <w:rsid w:val="07E93C4C"/>
    <w:rsid w:val="097A4BB4"/>
    <w:rsid w:val="09B87DA9"/>
    <w:rsid w:val="0A0D1A50"/>
    <w:rsid w:val="0AB05ECE"/>
    <w:rsid w:val="0AC7437E"/>
    <w:rsid w:val="0B1669F7"/>
    <w:rsid w:val="0B630E65"/>
    <w:rsid w:val="0BE40F62"/>
    <w:rsid w:val="0DCE24FE"/>
    <w:rsid w:val="0E1F1557"/>
    <w:rsid w:val="0E7263A9"/>
    <w:rsid w:val="0E9B16D6"/>
    <w:rsid w:val="0FD21AE8"/>
    <w:rsid w:val="0FD516DF"/>
    <w:rsid w:val="108B4B31"/>
    <w:rsid w:val="10960278"/>
    <w:rsid w:val="10D41719"/>
    <w:rsid w:val="115A5C69"/>
    <w:rsid w:val="11954E68"/>
    <w:rsid w:val="11C627B9"/>
    <w:rsid w:val="123F3C81"/>
    <w:rsid w:val="12766490"/>
    <w:rsid w:val="130B24BA"/>
    <w:rsid w:val="145A49D7"/>
    <w:rsid w:val="15B04B8A"/>
    <w:rsid w:val="15BA3DA8"/>
    <w:rsid w:val="167E1EB4"/>
    <w:rsid w:val="16F5610D"/>
    <w:rsid w:val="175D573C"/>
    <w:rsid w:val="18DE2D50"/>
    <w:rsid w:val="199240D4"/>
    <w:rsid w:val="1A264C53"/>
    <w:rsid w:val="1CF77DED"/>
    <w:rsid w:val="1D4A6916"/>
    <w:rsid w:val="1F096E5F"/>
    <w:rsid w:val="1F914DBB"/>
    <w:rsid w:val="2142070F"/>
    <w:rsid w:val="21C20D4C"/>
    <w:rsid w:val="22595D24"/>
    <w:rsid w:val="235C6D33"/>
    <w:rsid w:val="23C02107"/>
    <w:rsid w:val="25241AC6"/>
    <w:rsid w:val="253B210F"/>
    <w:rsid w:val="254D53DF"/>
    <w:rsid w:val="25700997"/>
    <w:rsid w:val="25BF3991"/>
    <w:rsid w:val="25D568EB"/>
    <w:rsid w:val="262F5CA4"/>
    <w:rsid w:val="26A461EC"/>
    <w:rsid w:val="28411E9F"/>
    <w:rsid w:val="2A2E0BE6"/>
    <w:rsid w:val="2A971642"/>
    <w:rsid w:val="2B2E28F7"/>
    <w:rsid w:val="2DAA331F"/>
    <w:rsid w:val="2E3D2305"/>
    <w:rsid w:val="2F4F129A"/>
    <w:rsid w:val="2FE9748B"/>
    <w:rsid w:val="31272161"/>
    <w:rsid w:val="31BF7BC9"/>
    <w:rsid w:val="31FB56A4"/>
    <w:rsid w:val="32317762"/>
    <w:rsid w:val="328468BB"/>
    <w:rsid w:val="344778C7"/>
    <w:rsid w:val="36CF7C8C"/>
    <w:rsid w:val="372F6D3F"/>
    <w:rsid w:val="37D5045C"/>
    <w:rsid w:val="385971DA"/>
    <w:rsid w:val="385F24EC"/>
    <w:rsid w:val="38793A92"/>
    <w:rsid w:val="394F4851"/>
    <w:rsid w:val="3A1B4DA3"/>
    <w:rsid w:val="3C462C18"/>
    <w:rsid w:val="3C6F4812"/>
    <w:rsid w:val="3C950E7A"/>
    <w:rsid w:val="3D734907"/>
    <w:rsid w:val="3D981E20"/>
    <w:rsid w:val="3FF94912"/>
    <w:rsid w:val="415034FB"/>
    <w:rsid w:val="416A51B0"/>
    <w:rsid w:val="43F45C54"/>
    <w:rsid w:val="446949D0"/>
    <w:rsid w:val="46AF5157"/>
    <w:rsid w:val="46F364C7"/>
    <w:rsid w:val="47CF431B"/>
    <w:rsid w:val="47CF63F6"/>
    <w:rsid w:val="48017C23"/>
    <w:rsid w:val="48361286"/>
    <w:rsid w:val="483F61E8"/>
    <w:rsid w:val="48BB3FCA"/>
    <w:rsid w:val="491364E6"/>
    <w:rsid w:val="49BE45E7"/>
    <w:rsid w:val="4AC47435"/>
    <w:rsid w:val="4C9359EE"/>
    <w:rsid w:val="4DD75B8A"/>
    <w:rsid w:val="4E9B25D0"/>
    <w:rsid w:val="4F8A5F30"/>
    <w:rsid w:val="50483F54"/>
    <w:rsid w:val="52F53208"/>
    <w:rsid w:val="54E621D7"/>
    <w:rsid w:val="55AF43B3"/>
    <w:rsid w:val="56727A06"/>
    <w:rsid w:val="568571B0"/>
    <w:rsid w:val="573817F8"/>
    <w:rsid w:val="58F9108F"/>
    <w:rsid w:val="5BCA2953"/>
    <w:rsid w:val="5BD7333D"/>
    <w:rsid w:val="5CFF37D0"/>
    <w:rsid w:val="5D8338DF"/>
    <w:rsid w:val="5EF70509"/>
    <w:rsid w:val="5F394324"/>
    <w:rsid w:val="5F7851C7"/>
    <w:rsid w:val="5FD62A55"/>
    <w:rsid w:val="5FE45C78"/>
    <w:rsid w:val="608775C6"/>
    <w:rsid w:val="60BC66B4"/>
    <w:rsid w:val="60E369E7"/>
    <w:rsid w:val="6199699C"/>
    <w:rsid w:val="632D40C5"/>
    <w:rsid w:val="635C2454"/>
    <w:rsid w:val="63E72FE7"/>
    <w:rsid w:val="66A441C7"/>
    <w:rsid w:val="684D6B13"/>
    <w:rsid w:val="685D6BD7"/>
    <w:rsid w:val="6A9B3C36"/>
    <w:rsid w:val="6B165B6C"/>
    <w:rsid w:val="6BCD07B2"/>
    <w:rsid w:val="6C1F1C09"/>
    <w:rsid w:val="6C7813F5"/>
    <w:rsid w:val="6C785DF4"/>
    <w:rsid w:val="6F132B29"/>
    <w:rsid w:val="71714F9D"/>
    <w:rsid w:val="71742199"/>
    <w:rsid w:val="718A4A21"/>
    <w:rsid w:val="71D216F8"/>
    <w:rsid w:val="72735C3E"/>
    <w:rsid w:val="737127BF"/>
    <w:rsid w:val="73B139FB"/>
    <w:rsid w:val="742A5576"/>
    <w:rsid w:val="74A04393"/>
    <w:rsid w:val="74C4061D"/>
    <w:rsid w:val="753A2A43"/>
    <w:rsid w:val="75DC397E"/>
    <w:rsid w:val="75EC5EA7"/>
    <w:rsid w:val="75FB7893"/>
    <w:rsid w:val="78E270D6"/>
    <w:rsid w:val="78F02B51"/>
    <w:rsid w:val="79754C55"/>
    <w:rsid w:val="79D01BCA"/>
    <w:rsid w:val="7A052EA1"/>
    <w:rsid w:val="7A927B04"/>
    <w:rsid w:val="7BF55E84"/>
    <w:rsid w:val="7C4F5CA5"/>
    <w:rsid w:val="7C7747B3"/>
    <w:rsid w:val="7C9B0569"/>
    <w:rsid w:val="7EE147E5"/>
    <w:rsid w:val="7FFD6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rFonts w:eastAsia="黑体"/>
      <w:b/>
      <w:bCs/>
      <w:kern w:val="44"/>
      <w:sz w:val="32"/>
      <w:szCs w:val="44"/>
    </w:rPr>
  </w:style>
  <w:style w:type="paragraph" w:styleId="4">
    <w:name w:val="heading 2"/>
    <w:basedOn w:val="1"/>
    <w:next w:val="1"/>
    <w:qFormat/>
    <w:uiPriority w:val="0"/>
    <w:pPr>
      <w:keepNext/>
      <w:keepLines/>
      <w:spacing w:before="260" w:after="260" w:line="416" w:lineRule="auto"/>
      <w:outlineLvl w:val="1"/>
    </w:pPr>
    <w:rPr>
      <w:rFonts w:ascii="Arial Black" w:hAnsi="Arial Black" w:eastAsia="黑体"/>
      <w:b/>
      <w:bCs/>
      <w:sz w:val="32"/>
      <w:szCs w:val="32"/>
    </w:rPr>
  </w:style>
  <w:style w:type="paragraph" w:styleId="2">
    <w:name w:val="heading 3"/>
    <w:basedOn w:val="1"/>
    <w:next w:val="1"/>
    <w:qFormat/>
    <w:uiPriority w:val="0"/>
    <w:pPr>
      <w:keepNext/>
      <w:keepLines/>
      <w:spacing w:before="260" w:after="260" w:line="416" w:lineRule="auto"/>
      <w:outlineLvl w:val="2"/>
    </w:pPr>
    <w:rPr>
      <w:rFonts w:eastAsia="黑体"/>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spacing w:after="120"/>
      <w:ind w:firstLine="420"/>
    </w:pPr>
    <w:rPr>
      <w:szCs w:val="20"/>
    </w:rPr>
  </w:style>
  <w:style w:type="paragraph" w:styleId="6">
    <w:name w:val="toa heading"/>
    <w:basedOn w:val="1"/>
    <w:next w:val="1"/>
    <w:qFormat/>
    <w:uiPriority w:val="0"/>
    <w:pPr>
      <w:spacing w:before="120"/>
    </w:pPr>
    <w:rPr>
      <w:rFonts w:ascii="Arial" w:hAnsi="Arial"/>
      <w:sz w:val="24"/>
      <w:szCs w:val="20"/>
    </w:rPr>
  </w:style>
  <w:style w:type="paragraph" w:styleId="7">
    <w:name w:val="annotation text"/>
    <w:basedOn w:val="1"/>
    <w:link w:val="43"/>
    <w:qFormat/>
    <w:uiPriority w:val="0"/>
    <w:pPr>
      <w:jc w:val="left"/>
    </w:pPr>
  </w:style>
  <w:style w:type="paragraph" w:styleId="8">
    <w:name w:val="Body Text"/>
    <w:basedOn w:val="1"/>
    <w:next w:val="1"/>
    <w:qFormat/>
    <w:uiPriority w:val="0"/>
    <w:pPr>
      <w:spacing w:line="60" w:lineRule="auto"/>
    </w:pPr>
    <w:rPr>
      <w:rFonts w:ascii="仿宋_GB2312" w:eastAsia="仿宋_GB2312"/>
      <w:sz w:val="32"/>
    </w:rPr>
  </w:style>
  <w:style w:type="paragraph" w:styleId="9">
    <w:name w:val="Body Text Indent"/>
    <w:basedOn w:val="1"/>
    <w:qFormat/>
    <w:uiPriority w:val="0"/>
    <w:pPr>
      <w:ind w:firstLine="720" w:firstLineChars="225"/>
    </w:pPr>
    <w:rPr>
      <w:rFonts w:ascii="仿宋_GB2312" w:eastAsia="仿宋_GB2312"/>
      <w:sz w:val="32"/>
    </w:rPr>
  </w:style>
  <w:style w:type="paragraph" w:styleId="10">
    <w:name w:val="Block Text"/>
    <w:basedOn w:val="8"/>
    <w:qFormat/>
    <w:uiPriority w:val="0"/>
    <w:pPr>
      <w:jc w:val="left"/>
    </w:pPr>
    <w:rPr>
      <w:rFonts w:ascii="Times New Roman"/>
      <w:szCs w:val="30"/>
    </w:rPr>
  </w:style>
  <w:style w:type="paragraph" w:styleId="11">
    <w:name w:val="Plain Text"/>
    <w:basedOn w:val="1"/>
    <w:qFormat/>
    <w:uiPriority w:val="0"/>
    <w:rPr>
      <w:rFonts w:ascii="宋体" w:hAnsi="Courier New"/>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jc w:val="left"/>
    </w:pPr>
    <w:rPr>
      <w:b/>
      <w:caps/>
      <w:sz w:val="20"/>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qFormat/>
    <w:uiPriority w:val="0"/>
    <w:pPr>
      <w:widowControl/>
      <w:spacing w:before="240" w:after="60" w:line="351" w:lineRule="atLeast"/>
      <w:ind w:firstLine="419"/>
      <w:jc w:val="center"/>
      <w:textAlignment w:val="baseline"/>
      <w:outlineLvl w:val="0"/>
    </w:pPr>
    <w:rPr>
      <w:rFonts w:ascii="Cambria" w:hAnsi="Cambria"/>
      <w:b/>
      <w:bCs/>
      <w:color w:val="000000"/>
      <w:kern w:val="0"/>
      <w:sz w:val="32"/>
      <w:szCs w:val="32"/>
      <w:u w:color="000000"/>
    </w:rPr>
  </w:style>
  <w:style w:type="paragraph" w:styleId="17">
    <w:name w:val="annotation subject"/>
    <w:basedOn w:val="7"/>
    <w:next w:val="7"/>
    <w:link w:val="44"/>
    <w:qFormat/>
    <w:uiPriority w:val="0"/>
    <w:rPr>
      <w:b/>
      <w:bCs/>
    </w:rPr>
  </w:style>
  <w:style w:type="character" w:styleId="20">
    <w:name w:val="Strong"/>
    <w:qFormat/>
    <w:uiPriority w:val="22"/>
    <w:rPr>
      <w:b/>
      <w:bCs/>
    </w:rPr>
  </w:style>
  <w:style w:type="character" w:styleId="21">
    <w:name w:val="page number"/>
    <w:basedOn w:val="19"/>
    <w:qFormat/>
    <w:uiPriority w:val="0"/>
  </w:style>
  <w:style w:type="character" w:styleId="22">
    <w:name w:val="Hyperlink"/>
    <w:basedOn w:val="19"/>
    <w:qFormat/>
    <w:uiPriority w:val="0"/>
    <w:rPr>
      <w:color w:val="000000"/>
      <w:u w:val="none"/>
    </w:rPr>
  </w:style>
  <w:style w:type="character" w:styleId="23">
    <w:name w:val="annotation reference"/>
    <w:basedOn w:val="19"/>
    <w:qFormat/>
    <w:uiPriority w:val="0"/>
    <w:rPr>
      <w:sz w:val="21"/>
      <w:szCs w:val="21"/>
    </w:rPr>
  </w:style>
  <w:style w:type="character" w:styleId="24">
    <w:name w:val="HTML Sample"/>
    <w:unhideWhenUsed/>
    <w:qFormat/>
    <w:uiPriority w:val="99"/>
    <w:rPr>
      <w:rFonts w:ascii="宋体" w:hAnsi="宋体" w:eastAsia="宋体" w:cs="宋体"/>
    </w:rPr>
  </w:style>
  <w:style w:type="character" w:customStyle="1" w:styleId="25">
    <w:name w:val="bookmark-item"/>
    <w:qFormat/>
    <w:uiPriority w:val="0"/>
  </w:style>
  <w:style w:type="paragraph" w:customStyle="1" w:styleId="26">
    <w:name w:val="正文_0_3"/>
    <w:qFormat/>
    <w:uiPriority w:val="0"/>
    <w:pPr>
      <w:widowControl w:val="0"/>
      <w:jc w:val="both"/>
    </w:pPr>
    <w:rPr>
      <w:rFonts w:ascii="Calibri" w:hAnsi="Calibri" w:eastAsia="仿宋_GB2312" w:cs="Times New Roman"/>
      <w:kern w:val="2"/>
      <w:sz w:val="28"/>
      <w:szCs w:val="24"/>
      <w:lang w:val="en-US" w:eastAsia="zh-CN" w:bidi="ar-SA"/>
    </w:rPr>
  </w:style>
  <w:style w:type="paragraph" w:customStyle="1" w:styleId="27">
    <w:name w:val="Normal_0_0"/>
    <w:qFormat/>
    <w:uiPriority w:val="0"/>
    <w:pPr>
      <w:widowControl w:val="0"/>
      <w:jc w:val="both"/>
    </w:pPr>
    <w:rPr>
      <w:rFonts w:ascii="Calibri" w:hAnsi="Calibri" w:eastAsia="Times New Roman" w:cs="Times New Roman"/>
      <w:lang w:val="en-US" w:eastAsia="zh-CN" w:bidi="ar-SA"/>
    </w:rPr>
  </w:style>
  <w:style w:type="paragraph" w:customStyle="1" w:styleId="28">
    <w:name w:val="正文_0_1"/>
    <w:qFormat/>
    <w:uiPriority w:val="0"/>
    <w:pPr>
      <w:widowControl w:val="0"/>
      <w:jc w:val="both"/>
    </w:pPr>
    <w:rPr>
      <w:rFonts w:ascii="Calibri" w:hAnsi="Calibri" w:eastAsia="宋体" w:cs="Times New Roman"/>
      <w:lang w:val="en-US" w:eastAsia="zh-CN" w:bidi="ar-SA"/>
    </w:rPr>
  </w:style>
  <w:style w:type="paragraph" w:customStyle="1" w:styleId="2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_2_0"/>
    <w:basedOn w:val="31"/>
    <w:qFormat/>
    <w:uiPriority w:val="0"/>
  </w:style>
  <w:style w:type="paragraph" w:customStyle="1" w:styleId="31">
    <w:name w:val="正文_2"/>
    <w:basedOn w:val="32"/>
    <w:next w:val="6"/>
    <w:qFormat/>
    <w:uiPriority w:val="0"/>
  </w:style>
  <w:style w:type="paragraph" w:customStyle="1" w:styleId="32">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正文_0"/>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5">
    <w:name w:val="批注文字_0"/>
    <w:basedOn w:val="36"/>
    <w:unhideWhenUsed/>
    <w:qFormat/>
    <w:uiPriority w:val="99"/>
    <w:pPr>
      <w:jc w:val="left"/>
    </w:pPr>
  </w:style>
  <w:style w:type="paragraph" w:customStyle="1" w:styleId="36">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_0_0_1"/>
    <w:qFormat/>
    <w:uiPriority w:val="0"/>
    <w:pPr>
      <w:widowControl w:val="0"/>
      <w:jc w:val="both"/>
    </w:pPr>
    <w:rPr>
      <w:rFonts w:ascii="Calibri" w:hAnsi="Calibri" w:eastAsia="宋体" w:cs="Times New Roman"/>
      <w:kern w:val="2"/>
      <w:sz w:val="28"/>
      <w:szCs w:val="22"/>
      <w:lang w:val="en-US" w:eastAsia="zh-CN" w:bidi="ar-SA"/>
    </w:rPr>
  </w:style>
  <w:style w:type="paragraph" w:customStyle="1" w:styleId="38">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9">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40">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1">
    <w:name w:val="正文_0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正文文本_0"/>
    <w:basedOn w:val="33"/>
    <w:qFormat/>
    <w:uiPriority w:val="0"/>
    <w:pPr>
      <w:spacing w:after="120"/>
    </w:pPr>
    <w:rPr>
      <w:kern w:val="0"/>
      <w:sz w:val="20"/>
    </w:rPr>
  </w:style>
  <w:style w:type="character" w:customStyle="1" w:styleId="43">
    <w:name w:val="批注文字 字符"/>
    <w:basedOn w:val="19"/>
    <w:link w:val="7"/>
    <w:qFormat/>
    <w:uiPriority w:val="0"/>
    <w:rPr>
      <w:rFonts w:ascii="Times New Roman" w:hAnsi="Times New Roman" w:eastAsia="宋体" w:cs="Times New Roman"/>
      <w:kern w:val="2"/>
      <w:sz w:val="21"/>
      <w:szCs w:val="24"/>
    </w:rPr>
  </w:style>
  <w:style w:type="character" w:customStyle="1" w:styleId="44">
    <w:name w:val="批注主题 字符"/>
    <w:basedOn w:val="43"/>
    <w:link w:val="17"/>
    <w:qFormat/>
    <w:uiPriority w:val="0"/>
    <w:rPr>
      <w:rFonts w:ascii="Times New Roman" w:hAnsi="Times New Roman" w:eastAsia="宋体" w:cs="Times New Roman"/>
      <w:b/>
      <w:bCs/>
      <w:kern w:val="2"/>
      <w:sz w:val="21"/>
      <w:szCs w:val="24"/>
    </w:rPr>
  </w:style>
  <w:style w:type="character" w:customStyle="1" w:styleId="45">
    <w:name w:val="font11"/>
    <w:basedOn w:val="19"/>
    <w:qFormat/>
    <w:uiPriority w:val="0"/>
    <w:rPr>
      <w:rFonts w:hint="default" w:ascii="Times New Roman" w:hAnsi="Times New Roman" w:cs="Times New Roman"/>
      <w:color w:val="000000"/>
      <w:sz w:val="24"/>
      <w:szCs w:val="24"/>
      <w:u w:val="none"/>
    </w:rPr>
  </w:style>
  <w:style w:type="character" w:customStyle="1" w:styleId="46">
    <w:name w:val="font31"/>
    <w:basedOn w:val="19"/>
    <w:qFormat/>
    <w:uiPriority w:val="0"/>
    <w:rPr>
      <w:rFonts w:hint="eastAsia" w:ascii="宋体" w:hAnsi="宋体" w:eastAsia="宋体" w:cs="宋体"/>
      <w:color w:val="000000"/>
      <w:sz w:val="24"/>
      <w:szCs w:val="24"/>
      <w:u w:val="none"/>
    </w:rPr>
  </w:style>
  <w:style w:type="character" w:customStyle="1" w:styleId="47">
    <w:name w:val="font21"/>
    <w:basedOn w:val="19"/>
    <w:qFormat/>
    <w:uiPriority w:val="0"/>
    <w:rPr>
      <w:rFonts w:ascii="仿宋_GB2312" w:eastAsia="仿宋_GB2312" w:cs="仿宋_GB2312"/>
      <w:color w:val="000000"/>
      <w:sz w:val="24"/>
      <w:szCs w:val="24"/>
      <w:u w:val="none"/>
    </w:rPr>
  </w:style>
  <w:style w:type="character" w:customStyle="1" w:styleId="48">
    <w:name w:val="font01"/>
    <w:basedOn w:val="19"/>
    <w:qFormat/>
    <w:uiPriority w:val="0"/>
    <w:rPr>
      <w:rFonts w:hint="default" w:ascii="Arial" w:hAnsi="Arial" w:cs="Arial"/>
      <w:color w:val="000000"/>
      <w:sz w:val="20"/>
      <w:szCs w:val="20"/>
      <w:u w:val="none"/>
    </w:rPr>
  </w:style>
  <w:style w:type="character" w:customStyle="1" w:styleId="49">
    <w:name w:val="font41"/>
    <w:basedOn w:val="19"/>
    <w:qFormat/>
    <w:uiPriority w:val="0"/>
    <w:rPr>
      <w:rFonts w:hint="eastAsia" w:ascii="MingLiU" w:hAnsi="MingLiU" w:eastAsia="MingLiU" w:cs="MingLiU"/>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5185</Words>
  <Characters>29555</Characters>
  <Lines>246</Lines>
  <Paragraphs>69</Paragraphs>
  <TotalTime>3</TotalTime>
  <ScaleCrop>false</ScaleCrop>
  <LinksUpToDate>false</LinksUpToDate>
  <CharactersWithSpaces>34671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2021-08-19T03:22:00Z</dcterms:created>
  <dc:creator>园子</dc:creator>
  <cp:lastModifiedBy>园子</cp:lastModifiedBy>
  <dcterms:modified xsi:type="dcterms:W3CDTF">2021-09-26T14:10:16Z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BBA1793542FA4EDF8DBAD9706EA03682</vt:lpwstr>
  </property>
</Properties>
</file>