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b/>
          <w:color w:val="000000"/>
          <w:sz w:val="44"/>
          <w:szCs w:val="44"/>
          <w:highlight w:val="none"/>
        </w:rPr>
      </w:pPr>
      <w:r>
        <w:rPr>
          <w:rFonts w:hint="eastAsia" w:ascii="宋体" w:hAnsi="宋体"/>
          <w:b/>
          <w:color w:val="000000"/>
          <w:sz w:val="84"/>
          <w:szCs w:val="84"/>
          <w:highlight w:val="none"/>
        </w:rPr>
        <w:t xml:space="preserve">  </w:t>
      </w:r>
    </w:p>
    <w:p>
      <w:pPr>
        <w:pStyle w:val="14"/>
        <w:ind w:firstLine="0" w:firstLineChars="0"/>
        <w:rPr>
          <w:rFonts w:ascii="宋体" w:hAnsi="宋体" w:cs="宋体"/>
          <w:b/>
          <w:bCs w:val="0"/>
          <w:color w:val="000000"/>
          <w:sz w:val="48"/>
          <w:szCs w:val="48"/>
          <w:highlight w:val="none"/>
        </w:rPr>
      </w:pPr>
    </w:p>
    <w:p>
      <w:pPr>
        <w:pStyle w:val="14"/>
        <w:ind w:firstLine="0" w:firstLineChars="0"/>
        <w:jc w:val="center"/>
        <w:rPr>
          <w:rFonts w:ascii="宋体" w:hAnsi="宋体" w:cs="宋体"/>
          <w:b/>
          <w:bCs w:val="0"/>
          <w:color w:val="000000" w:themeColor="text1"/>
          <w:sz w:val="52"/>
          <w:szCs w:val="52"/>
          <w:highlight w:val="none"/>
          <w14:textFill>
            <w14:solidFill>
              <w14:schemeClr w14:val="tx1"/>
            </w14:solidFill>
          </w14:textFill>
        </w:rPr>
      </w:pPr>
      <w:r>
        <w:rPr>
          <w:rFonts w:hint="eastAsia" w:ascii="宋体" w:hAnsi="宋体" w:cs="宋体"/>
          <w:b/>
          <w:bCs w:val="0"/>
          <w:color w:val="000000" w:themeColor="text1"/>
          <w:sz w:val="52"/>
          <w:szCs w:val="52"/>
          <w:highlight w:val="none"/>
          <w14:textFill>
            <w14:solidFill>
              <w14:schemeClr w14:val="tx1"/>
            </w14:solidFill>
          </w14:textFill>
        </w:rPr>
        <w:t>衢江区集镇污水处理厂运维项目运维单位采购公开招标采购文件</w:t>
      </w:r>
    </w:p>
    <w:p>
      <w:pPr>
        <w:spacing w:line="1040" w:lineRule="exact"/>
        <w:ind w:firstLine="483" w:firstLineChars="150"/>
        <w:rPr>
          <w:rFonts w:ascii="宋体" w:hAnsi="宋体"/>
          <w:b/>
          <w:bCs/>
          <w:color w:val="000000" w:themeColor="text1"/>
          <w:sz w:val="32"/>
          <w:szCs w:val="32"/>
          <w:highlight w:val="none"/>
          <w14:textFill>
            <w14:solidFill>
              <w14:schemeClr w14:val="tx1"/>
            </w14:solidFill>
          </w14:textFill>
        </w:rPr>
      </w:pPr>
      <w:r>
        <w:rPr>
          <w:rFonts w:hint="eastAsia" w:ascii="宋体" w:hAnsi="宋体"/>
          <w:color w:val="000000" w:themeColor="text1"/>
          <w:sz w:val="32"/>
          <w:szCs w:val="32"/>
          <w:highlight w:val="none"/>
          <w14:textFill>
            <w14:solidFill>
              <w14:schemeClr w14:val="tx1"/>
            </w14:solidFill>
          </w14:textFill>
        </w:rPr>
        <w:t xml:space="preserve">　           </w:t>
      </w:r>
      <w:r>
        <w:rPr>
          <w:rFonts w:hint="eastAsia" w:ascii="宋体" w:hAnsi="宋体"/>
          <w:b/>
          <w:bCs/>
          <w:color w:val="000000" w:themeColor="text1"/>
          <w:sz w:val="32"/>
          <w:szCs w:val="32"/>
          <w:highlight w:val="none"/>
          <w14:textFill>
            <w14:solidFill>
              <w14:schemeClr w14:val="tx1"/>
            </w14:solidFill>
          </w14:textFill>
        </w:rPr>
        <w:t xml:space="preserve">      (线上电子招投标）</w:t>
      </w:r>
    </w:p>
    <w:p>
      <w:pPr>
        <w:spacing w:line="1040" w:lineRule="exact"/>
        <w:ind w:firstLine="483" w:firstLineChars="150"/>
        <w:rPr>
          <w:rFonts w:ascii="宋体" w:hAnsi="宋体"/>
          <w:color w:val="000000" w:themeColor="text1"/>
          <w:sz w:val="32"/>
          <w:szCs w:val="32"/>
          <w:highlight w:val="none"/>
          <w14:textFill>
            <w14:solidFill>
              <w14:schemeClr w14:val="tx1"/>
            </w14:solidFill>
          </w14:textFill>
        </w:rPr>
      </w:pPr>
    </w:p>
    <w:p>
      <w:pPr>
        <w:spacing w:line="480" w:lineRule="auto"/>
        <w:ind w:firstLine="1288" w:firstLineChars="400"/>
        <w:rPr>
          <w:rFonts w:ascii="宋体" w:hAnsi="宋体"/>
          <w:color w:val="000000" w:themeColor="text1"/>
          <w:sz w:val="32"/>
          <w:szCs w:val="32"/>
          <w:highlight w:val="none"/>
          <w14:textFill>
            <w14:solidFill>
              <w14:schemeClr w14:val="tx1"/>
            </w14:solidFill>
          </w14:textFill>
        </w:rPr>
      </w:pPr>
      <w:r>
        <w:rPr>
          <w:rFonts w:hint="eastAsia" w:ascii="宋体" w:hAnsi="宋体"/>
          <w:color w:val="000000" w:themeColor="text1"/>
          <w:sz w:val="32"/>
          <w:szCs w:val="32"/>
          <w:highlight w:val="none"/>
          <w14:textFill>
            <w14:solidFill>
              <w14:schemeClr w14:val="tx1"/>
            </w14:solidFill>
          </w14:textFill>
        </w:rPr>
        <w:t xml:space="preserve">项目编号：HKJ20-0608-ZJM-018 </w:t>
      </w:r>
    </w:p>
    <w:p>
      <w:pPr>
        <w:spacing w:line="480" w:lineRule="auto"/>
        <w:ind w:firstLine="1288" w:firstLineChars="400"/>
        <w:rPr>
          <w:rFonts w:ascii="宋体" w:hAnsi="宋体"/>
          <w:color w:val="000000" w:themeColor="text1"/>
          <w:sz w:val="32"/>
          <w:szCs w:val="32"/>
          <w:highlight w:val="none"/>
          <w14:textFill>
            <w14:solidFill>
              <w14:schemeClr w14:val="tx1"/>
            </w14:solidFill>
          </w14:textFill>
        </w:rPr>
      </w:pPr>
      <w:r>
        <w:rPr>
          <w:rFonts w:hint="eastAsia" w:ascii="宋体" w:hAnsi="宋体"/>
          <w:color w:val="000000" w:themeColor="text1"/>
          <w:sz w:val="32"/>
          <w:szCs w:val="32"/>
          <w:highlight w:val="none"/>
          <w14:textFill>
            <w14:solidFill>
              <w14:schemeClr w14:val="tx1"/>
            </w14:solidFill>
          </w14:textFill>
        </w:rPr>
        <w:t>项目名称：衢江区集镇污水处理厂运维项目运维单位采购</w:t>
      </w:r>
    </w:p>
    <w:p>
      <w:pPr>
        <w:pStyle w:val="24"/>
        <w:spacing w:line="480" w:lineRule="auto"/>
        <w:rPr>
          <w:rFonts w:ascii="宋体" w:hAnsi="宋体" w:eastAsia="宋体"/>
          <w:color w:val="000000" w:themeColor="text1"/>
          <w:sz w:val="32"/>
          <w:szCs w:val="32"/>
          <w:highlight w:val="none"/>
          <w:lang w:val="en-US"/>
          <w14:textFill>
            <w14:solidFill>
              <w14:schemeClr w14:val="tx1"/>
            </w14:solidFill>
          </w14:textFill>
        </w:rPr>
      </w:pPr>
      <w:r>
        <w:rPr>
          <w:rFonts w:hint="eastAsia" w:ascii="宋体" w:hAnsi="宋体" w:eastAsia="宋体"/>
          <w:color w:val="000000" w:themeColor="text1"/>
          <w:sz w:val="32"/>
          <w:szCs w:val="32"/>
          <w:highlight w:val="none"/>
          <w:lang w:val="en-US"/>
          <w14:textFill>
            <w14:solidFill>
              <w14:schemeClr w14:val="tx1"/>
            </w14:solidFill>
          </w14:textFill>
        </w:rPr>
        <w:t xml:space="preserve">      采购人：衢州市衢江区住房和城乡建设局（盖章）</w:t>
      </w:r>
    </w:p>
    <w:p>
      <w:pPr>
        <w:spacing w:line="480" w:lineRule="auto"/>
        <w:ind w:firstLine="483" w:firstLineChars="150"/>
        <w:rPr>
          <w:rFonts w:ascii="宋体" w:hAnsi="宋体"/>
          <w:color w:val="000000" w:themeColor="text1"/>
          <w:sz w:val="32"/>
          <w:szCs w:val="32"/>
          <w:highlight w:val="none"/>
          <w14:textFill>
            <w14:solidFill>
              <w14:schemeClr w14:val="tx1"/>
            </w14:solidFill>
          </w14:textFill>
        </w:rPr>
      </w:pPr>
      <w:r>
        <w:rPr>
          <w:rFonts w:hint="eastAsia" w:ascii="宋体" w:hAnsi="宋体"/>
          <w:color w:val="000000" w:themeColor="text1"/>
          <w:sz w:val="32"/>
          <w:szCs w:val="32"/>
          <w:highlight w:val="none"/>
          <w14:textFill>
            <w14:solidFill>
              <w14:schemeClr w14:val="tx1"/>
            </w14:solidFill>
          </w14:textFill>
        </w:rPr>
        <w:t xml:space="preserve">　   </w:t>
      </w:r>
    </w:p>
    <w:p>
      <w:pPr>
        <w:spacing w:line="480" w:lineRule="auto"/>
        <w:ind w:firstLine="483" w:firstLineChars="150"/>
        <w:rPr>
          <w:rFonts w:ascii="宋体" w:hAnsi="宋体"/>
          <w:color w:val="000000" w:themeColor="text1"/>
          <w:sz w:val="32"/>
          <w:szCs w:val="32"/>
          <w:highlight w:val="none"/>
          <w14:textFill>
            <w14:solidFill>
              <w14:schemeClr w14:val="tx1"/>
            </w14:solidFill>
          </w14:textFill>
        </w:rPr>
      </w:pPr>
    </w:p>
    <w:p>
      <w:pPr>
        <w:spacing w:line="480" w:lineRule="auto"/>
        <w:ind w:firstLine="483" w:firstLineChars="150"/>
        <w:rPr>
          <w:rFonts w:ascii="宋体" w:hAnsi="宋体"/>
          <w:color w:val="000000" w:themeColor="text1"/>
          <w:sz w:val="32"/>
          <w:szCs w:val="32"/>
          <w:highlight w:val="none"/>
          <w14:textFill>
            <w14:solidFill>
              <w14:schemeClr w14:val="tx1"/>
            </w14:solidFill>
          </w14:textFill>
        </w:rPr>
      </w:pPr>
    </w:p>
    <w:p>
      <w:pPr>
        <w:spacing w:line="480" w:lineRule="auto"/>
        <w:ind w:firstLine="483" w:firstLineChars="150"/>
        <w:rPr>
          <w:rFonts w:ascii="宋体" w:hAnsi="宋体"/>
          <w:color w:val="000000" w:themeColor="text1"/>
          <w:sz w:val="32"/>
          <w:szCs w:val="32"/>
          <w:highlight w:val="none"/>
          <w14:textFill>
            <w14:solidFill>
              <w14:schemeClr w14:val="tx1"/>
            </w14:solidFill>
          </w14:textFill>
        </w:rPr>
      </w:pPr>
    </w:p>
    <w:p>
      <w:pPr>
        <w:spacing w:line="480" w:lineRule="auto"/>
        <w:ind w:firstLine="483" w:firstLineChars="150"/>
        <w:rPr>
          <w:rFonts w:ascii="宋体" w:hAnsi="宋体"/>
          <w:color w:val="000000" w:themeColor="text1"/>
          <w:sz w:val="32"/>
          <w:szCs w:val="32"/>
          <w:highlight w:val="none"/>
          <w14:textFill>
            <w14:solidFill>
              <w14:schemeClr w14:val="tx1"/>
            </w14:solidFill>
          </w14:textFill>
        </w:rPr>
      </w:pPr>
    </w:p>
    <w:p>
      <w:pPr>
        <w:spacing w:line="480" w:lineRule="auto"/>
        <w:ind w:firstLine="483" w:firstLineChars="150"/>
        <w:rPr>
          <w:rFonts w:ascii="宋体" w:hAnsi="宋体"/>
          <w:color w:val="000000" w:themeColor="text1"/>
          <w:sz w:val="32"/>
          <w:szCs w:val="32"/>
          <w:highlight w:val="none"/>
          <w14:textFill>
            <w14:solidFill>
              <w14:schemeClr w14:val="tx1"/>
            </w14:solidFill>
          </w14:textFill>
        </w:rPr>
      </w:pPr>
    </w:p>
    <w:p>
      <w:pPr>
        <w:spacing w:line="480" w:lineRule="auto"/>
        <w:ind w:firstLine="1127" w:firstLineChars="350"/>
        <w:rPr>
          <w:rFonts w:ascii="宋体" w:hAnsi="宋体"/>
          <w:color w:val="000000" w:themeColor="text1"/>
          <w:sz w:val="32"/>
          <w:szCs w:val="32"/>
          <w:highlight w:val="none"/>
          <w14:textFill>
            <w14:solidFill>
              <w14:schemeClr w14:val="tx1"/>
            </w14:solidFill>
          </w14:textFill>
        </w:rPr>
      </w:pPr>
      <w:r>
        <w:rPr>
          <w:rFonts w:hint="eastAsia" w:ascii="宋体" w:hAnsi="宋体"/>
          <w:color w:val="000000" w:themeColor="text1"/>
          <w:sz w:val="32"/>
          <w:szCs w:val="32"/>
          <w:highlight w:val="none"/>
          <w14:textFill>
            <w14:solidFill>
              <w14:schemeClr w14:val="tx1"/>
            </w14:solidFill>
          </w14:textFill>
        </w:rPr>
        <w:t>采购代理机构：浙江华耀建设咨询有限公司（盖章）</w:t>
      </w:r>
    </w:p>
    <w:p>
      <w:pPr>
        <w:spacing w:line="600" w:lineRule="exact"/>
        <w:rPr>
          <w:rFonts w:ascii="宋体" w:hAnsi="宋体"/>
          <w:color w:val="000000" w:themeColor="text1"/>
          <w:sz w:val="32"/>
          <w:highlight w:val="none"/>
          <w14:textFill>
            <w14:solidFill>
              <w14:schemeClr w14:val="tx1"/>
            </w14:solidFill>
          </w14:textFill>
        </w:rPr>
      </w:pPr>
      <w:r>
        <w:rPr>
          <w:rFonts w:hint="eastAsia" w:ascii="宋体" w:hAnsi="宋体"/>
          <w:color w:val="000000" w:themeColor="text1"/>
          <w:sz w:val="32"/>
          <w:highlight w:val="none"/>
          <w14:textFill>
            <w14:solidFill>
              <w14:schemeClr w14:val="tx1"/>
            </w14:solidFill>
          </w14:textFill>
        </w:rPr>
        <w:t xml:space="preserve"> </w:t>
      </w:r>
    </w:p>
    <w:p>
      <w:pPr>
        <w:spacing w:line="600" w:lineRule="exact"/>
        <w:ind w:firstLine="3542" w:firstLineChars="1100"/>
        <w:rPr>
          <w:rFonts w:ascii="宋体" w:hAnsi="宋体"/>
          <w:color w:val="000000" w:themeColor="text1"/>
          <w:sz w:val="32"/>
          <w:szCs w:val="32"/>
          <w:highlight w:val="none"/>
          <w14:textFill>
            <w14:solidFill>
              <w14:schemeClr w14:val="tx1"/>
            </w14:solidFill>
          </w14:textFill>
        </w:rPr>
      </w:pPr>
      <w:r>
        <w:rPr>
          <w:rFonts w:hint="eastAsia" w:ascii="宋体" w:hAnsi="宋体"/>
          <w:color w:val="000000" w:themeColor="text1"/>
          <w:sz w:val="32"/>
          <w:highlight w:val="none"/>
          <w14:textFill>
            <w14:solidFill>
              <w14:schemeClr w14:val="tx1"/>
            </w14:solidFill>
          </w14:textFill>
        </w:rPr>
        <w:t>二0二0年九月</w:t>
      </w:r>
    </w:p>
    <w:p>
      <w:pPr>
        <w:pStyle w:val="2"/>
        <w:jc w:val="both"/>
        <w:rPr>
          <w:rFonts w:hAnsi="宋体" w:cs="宋体"/>
          <w:bCs/>
          <w:color w:val="000000" w:themeColor="text1"/>
          <w:sz w:val="44"/>
          <w:szCs w:val="44"/>
          <w:highlight w:val="none"/>
          <w14:textFill>
            <w14:solidFill>
              <w14:schemeClr w14:val="tx1"/>
            </w14:solidFill>
          </w14:textFill>
        </w:rPr>
      </w:pPr>
    </w:p>
    <w:p>
      <w:pPr>
        <w:pStyle w:val="2"/>
        <w:jc w:val="center"/>
        <w:rPr>
          <w:rFonts w:hAnsi="宋体" w:cs="宋体"/>
          <w:bCs/>
          <w:color w:val="000000" w:themeColor="text1"/>
          <w:sz w:val="44"/>
          <w:szCs w:val="44"/>
          <w:highlight w:val="none"/>
          <w14:textFill>
            <w14:solidFill>
              <w14:schemeClr w14:val="tx1"/>
            </w14:solidFill>
          </w14:textFill>
        </w:rPr>
      </w:pPr>
    </w:p>
    <w:p>
      <w:pPr>
        <w:pStyle w:val="2"/>
        <w:jc w:val="center"/>
        <w:rPr>
          <w:rFonts w:hAnsi="宋体" w:cs="宋体"/>
          <w:bCs/>
          <w:color w:val="000000" w:themeColor="text1"/>
          <w:sz w:val="44"/>
          <w:szCs w:val="44"/>
          <w:highlight w:val="none"/>
          <w14:textFill>
            <w14:solidFill>
              <w14:schemeClr w14:val="tx1"/>
            </w14:solidFill>
          </w14:textFill>
        </w:rPr>
      </w:pPr>
    </w:p>
    <w:p>
      <w:pPr>
        <w:pStyle w:val="2"/>
        <w:jc w:val="center"/>
        <w:rPr>
          <w:rFonts w:hAnsi="宋体" w:cs="宋体"/>
          <w:bCs/>
          <w:color w:val="000000" w:themeColor="text1"/>
          <w:sz w:val="44"/>
          <w:szCs w:val="44"/>
          <w:highlight w:val="none"/>
          <w14:textFill>
            <w14:solidFill>
              <w14:schemeClr w14:val="tx1"/>
            </w14:solidFill>
          </w14:textFill>
        </w:rPr>
      </w:pPr>
    </w:p>
    <w:p>
      <w:pPr>
        <w:pStyle w:val="2"/>
        <w:jc w:val="center"/>
        <w:rPr>
          <w:rFonts w:hAnsi="宋体" w:cs="宋体"/>
          <w:bCs/>
          <w:color w:val="000000" w:themeColor="text1"/>
          <w:sz w:val="44"/>
          <w:szCs w:val="44"/>
          <w:highlight w:val="none"/>
          <w14:textFill>
            <w14:solidFill>
              <w14:schemeClr w14:val="tx1"/>
            </w14:solidFill>
          </w14:textFill>
        </w:rPr>
      </w:pPr>
      <w:r>
        <w:rPr>
          <w:rFonts w:hint="eastAsia" w:hAnsi="宋体" w:cs="宋体"/>
          <w:bCs/>
          <w:color w:val="000000" w:themeColor="text1"/>
          <w:sz w:val="44"/>
          <w:szCs w:val="44"/>
          <w:highlight w:val="none"/>
          <w14:textFill>
            <w14:solidFill>
              <w14:schemeClr w14:val="tx1"/>
            </w14:solidFill>
          </w14:textFill>
        </w:rPr>
        <w:t>目    录</w:t>
      </w:r>
    </w:p>
    <w:p>
      <w:pPr>
        <w:pStyle w:val="2"/>
        <w:jc w:val="center"/>
        <w:rPr>
          <w:rFonts w:hAnsi="宋体" w:cs="宋体"/>
          <w:b/>
          <w:bCs/>
          <w:color w:val="000000" w:themeColor="text1"/>
          <w:sz w:val="32"/>
          <w:szCs w:val="32"/>
          <w:highlight w:val="none"/>
          <w14:textFill>
            <w14:solidFill>
              <w14:schemeClr w14:val="tx1"/>
            </w14:solidFill>
          </w14:textFill>
        </w:rPr>
      </w:pPr>
    </w:p>
    <w:p>
      <w:pPr>
        <w:pStyle w:val="23"/>
        <w:spacing w:line="700" w:lineRule="exact"/>
        <w:ind w:firstLine="425" w:firstLineChars="141"/>
        <w:jc w:val="both"/>
        <w:outlineLvl w:val="0"/>
        <w:rPr>
          <w:rFonts w:ascii="宋体" w:hAnsi="宋体" w:cs="宋体"/>
          <w:b w:val="0"/>
          <w:color w:val="000000" w:themeColor="text1"/>
          <w:sz w:val="30"/>
          <w:szCs w:val="30"/>
          <w:highlight w:val="none"/>
          <w:lang w:eastAsia="zh-CN"/>
          <w14:textFill>
            <w14:solidFill>
              <w14:schemeClr w14:val="tx1"/>
            </w14:solidFill>
          </w14:textFill>
        </w:rPr>
      </w:pPr>
      <w:r>
        <w:rPr>
          <w:rFonts w:hint="eastAsia" w:ascii="宋体" w:hAnsi="宋体" w:cs="宋体"/>
          <w:b w:val="0"/>
          <w:color w:val="000000" w:themeColor="text1"/>
          <w:sz w:val="30"/>
          <w:szCs w:val="30"/>
          <w:highlight w:val="none"/>
          <w:lang w:eastAsia="zh-CN"/>
          <w14:textFill>
            <w14:solidFill>
              <w14:schemeClr w14:val="tx1"/>
            </w14:solidFill>
          </w14:textFill>
        </w:rPr>
        <w:t>第一章  采购公告……………………………………………03</w:t>
      </w:r>
    </w:p>
    <w:p>
      <w:pPr>
        <w:pStyle w:val="23"/>
        <w:spacing w:line="700" w:lineRule="exact"/>
        <w:ind w:firstLine="425" w:firstLineChars="141"/>
        <w:jc w:val="both"/>
        <w:outlineLvl w:val="0"/>
        <w:rPr>
          <w:rFonts w:ascii="宋体" w:hAnsi="宋体" w:cs="宋体"/>
          <w:b w:val="0"/>
          <w:color w:val="000000" w:themeColor="text1"/>
          <w:sz w:val="30"/>
          <w:szCs w:val="30"/>
          <w:highlight w:val="none"/>
          <w:lang w:eastAsia="zh-CN"/>
          <w14:textFill>
            <w14:solidFill>
              <w14:schemeClr w14:val="tx1"/>
            </w14:solidFill>
          </w14:textFill>
        </w:rPr>
      </w:pPr>
      <w:r>
        <w:rPr>
          <w:rFonts w:hint="eastAsia" w:ascii="宋体" w:hAnsi="宋体" w:cs="宋体"/>
          <w:b w:val="0"/>
          <w:color w:val="000000" w:themeColor="text1"/>
          <w:sz w:val="30"/>
          <w:szCs w:val="30"/>
          <w:highlight w:val="none"/>
          <w:lang w:eastAsia="zh-CN"/>
          <w14:textFill>
            <w14:solidFill>
              <w14:schemeClr w14:val="tx1"/>
            </w14:solidFill>
          </w14:textFill>
        </w:rPr>
        <w:t>第二章  投标人须知…………………………………………06</w:t>
      </w:r>
    </w:p>
    <w:p>
      <w:pPr>
        <w:pStyle w:val="23"/>
        <w:spacing w:line="700" w:lineRule="exact"/>
        <w:ind w:firstLine="425" w:firstLineChars="141"/>
        <w:jc w:val="both"/>
        <w:outlineLvl w:val="0"/>
        <w:rPr>
          <w:rFonts w:ascii="宋体" w:hAnsi="宋体" w:cs="宋体"/>
          <w:b w:val="0"/>
          <w:color w:val="000000" w:themeColor="text1"/>
          <w:sz w:val="30"/>
          <w:szCs w:val="30"/>
          <w:highlight w:val="none"/>
          <w:lang w:eastAsia="zh-CN"/>
          <w14:textFill>
            <w14:solidFill>
              <w14:schemeClr w14:val="tx1"/>
            </w14:solidFill>
          </w14:textFill>
        </w:rPr>
      </w:pPr>
      <w:r>
        <w:rPr>
          <w:rFonts w:hint="eastAsia" w:ascii="宋体" w:hAnsi="宋体" w:cs="宋体"/>
          <w:b w:val="0"/>
          <w:color w:val="000000" w:themeColor="text1"/>
          <w:sz w:val="30"/>
          <w:szCs w:val="30"/>
          <w:highlight w:val="none"/>
          <w:lang w:eastAsia="zh-CN"/>
          <w14:textFill>
            <w14:solidFill>
              <w14:schemeClr w14:val="tx1"/>
            </w14:solidFill>
          </w14:textFill>
        </w:rPr>
        <w:t>第三章  采购内容及要求……………………………………2</w:t>
      </w:r>
      <w:r>
        <w:rPr>
          <w:rFonts w:hint="eastAsia" w:ascii="宋体" w:hAnsi="宋体" w:cs="宋体"/>
          <w:b w:val="0"/>
          <w:color w:val="000000" w:themeColor="text1"/>
          <w:sz w:val="30"/>
          <w:szCs w:val="30"/>
          <w:highlight w:val="none"/>
          <w:lang w:val="en-US" w:eastAsia="zh-CN"/>
          <w14:textFill>
            <w14:solidFill>
              <w14:schemeClr w14:val="tx1"/>
            </w14:solidFill>
          </w14:textFill>
        </w:rPr>
        <w:t>1</w:t>
      </w:r>
    </w:p>
    <w:p>
      <w:pPr>
        <w:pStyle w:val="23"/>
        <w:spacing w:line="700" w:lineRule="exact"/>
        <w:ind w:firstLine="425" w:firstLineChars="141"/>
        <w:jc w:val="both"/>
        <w:outlineLvl w:val="0"/>
        <w:rPr>
          <w:rFonts w:hint="default" w:ascii="宋体" w:hAnsi="宋体" w:cs="宋体"/>
          <w:b w:val="0"/>
          <w:color w:val="000000" w:themeColor="text1"/>
          <w:sz w:val="30"/>
          <w:szCs w:val="30"/>
          <w:highlight w:val="none"/>
          <w:lang w:val="en-US" w:eastAsia="zh-CN"/>
          <w14:textFill>
            <w14:solidFill>
              <w14:schemeClr w14:val="tx1"/>
            </w14:solidFill>
          </w14:textFill>
        </w:rPr>
      </w:pPr>
      <w:r>
        <w:rPr>
          <w:rFonts w:hint="eastAsia" w:ascii="宋体" w:hAnsi="宋体" w:cs="宋体"/>
          <w:b w:val="0"/>
          <w:color w:val="000000" w:themeColor="text1"/>
          <w:sz w:val="30"/>
          <w:szCs w:val="30"/>
          <w:highlight w:val="none"/>
          <w:lang w:eastAsia="zh-CN"/>
          <w14:textFill>
            <w14:solidFill>
              <w14:schemeClr w14:val="tx1"/>
            </w14:solidFill>
          </w14:textFill>
        </w:rPr>
        <w:t>第四章  评标办法……………………………………………</w:t>
      </w:r>
      <w:r>
        <w:rPr>
          <w:rFonts w:hint="eastAsia" w:ascii="宋体" w:hAnsi="宋体" w:cs="宋体"/>
          <w:b w:val="0"/>
          <w:color w:val="000000" w:themeColor="text1"/>
          <w:sz w:val="30"/>
          <w:szCs w:val="30"/>
          <w:highlight w:val="none"/>
          <w:lang w:val="en-US" w:eastAsia="zh-CN"/>
          <w14:textFill>
            <w14:solidFill>
              <w14:schemeClr w14:val="tx1"/>
            </w14:solidFill>
          </w14:textFill>
        </w:rPr>
        <w:t>27</w:t>
      </w:r>
    </w:p>
    <w:p>
      <w:pPr>
        <w:pStyle w:val="23"/>
        <w:spacing w:line="700" w:lineRule="exact"/>
        <w:ind w:firstLine="425" w:firstLineChars="141"/>
        <w:jc w:val="both"/>
        <w:outlineLvl w:val="0"/>
        <w:rPr>
          <w:rFonts w:ascii="宋体" w:hAnsi="宋体" w:cs="宋体"/>
          <w:b w:val="0"/>
          <w:color w:val="000000" w:themeColor="text1"/>
          <w:sz w:val="30"/>
          <w:szCs w:val="30"/>
          <w:highlight w:val="none"/>
          <w:lang w:eastAsia="zh-CN"/>
          <w14:textFill>
            <w14:solidFill>
              <w14:schemeClr w14:val="tx1"/>
            </w14:solidFill>
          </w14:textFill>
        </w:rPr>
      </w:pPr>
      <w:r>
        <w:rPr>
          <w:rFonts w:hint="eastAsia" w:ascii="宋体" w:hAnsi="宋体" w:cs="宋体"/>
          <w:b w:val="0"/>
          <w:color w:val="000000" w:themeColor="text1"/>
          <w:sz w:val="30"/>
          <w:szCs w:val="30"/>
          <w:highlight w:val="none"/>
          <w:lang w:eastAsia="zh-CN"/>
          <w14:textFill>
            <w14:solidFill>
              <w14:schemeClr w14:val="tx1"/>
            </w14:solidFill>
          </w14:textFill>
        </w:rPr>
        <w:t>第五章  拟签订的合同文本…………………………………3</w:t>
      </w:r>
      <w:r>
        <w:rPr>
          <w:rFonts w:hint="eastAsia" w:ascii="宋体" w:hAnsi="宋体" w:cs="宋体"/>
          <w:b w:val="0"/>
          <w:color w:val="000000" w:themeColor="text1"/>
          <w:sz w:val="30"/>
          <w:szCs w:val="30"/>
          <w:highlight w:val="none"/>
          <w:lang w:val="en-US" w:eastAsia="zh-CN"/>
          <w14:textFill>
            <w14:solidFill>
              <w14:schemeClr w14:val="tx1"/>
            </w14:solidFill>
          </w14:textFill>
        </w:rPr>
        <w:t>2</w:t>
      </w:r>
    </w:p>
    <w:p>
      <w:pPr>
        <w:pStyle w:val="23"/>
        <w:spacing w:line="700" w:lineRule="exact"/>
        <w:ind w:firstLine="425" w:firstLineChars="141"/>
        <w:jc w:val="both"/>
        <w:outlineLvl w:val="0"/>
        <w:rPr>
          <w:rFonts w:ascii="宋体" w:hAnsi="宋体" w:cs="宋体"/>
          <w:b w:val="0"/>
          <w:color w:val="000000" w:themeColor="text1"/>
          <w:sz w:val="30"/>
          <w:szCs w:val="30"/>
          <w:highlight w:val="none"/>
          <w:lang w:eastAsia="zh-CN"/>
          <w14:textFill>
            <w14:solidFill>
              <w14:schemeClr w14:val="tx1"/>
            </w14:solidFill>
          </w14:textFill>
        </w:rPr>
      </w:pPr>
      <w:r>
        <w:rPr>
          <w:rFonts w:hint="eastAsia" w:ascii="宋体" w:hAnsi="宋体" w:cs="宋体"/>
          <w:b w:val="0"/>
          <w:color w:val="000000" w:themeColor="text1"/>
          <w:sz w:val="30"/>
          <w:szCs w:val="30"/>
          <w:highlight w:val="none"/>
          <w:lang w:eastAsia="zh-CN"/>
          <w14:textFill>
            <w14:solidFill>
              <w14:schemeClr w14:val="tx1"/>
            </w14:solidFill>
          </w14:textFill>
        </w:rPr>
        <w:t>第六章  投标文件格式………………………………………9</w:t>
      </w:r>
      <w:r>
        <w:rPr>
          <w:rFonts w:hint="eastAsia" w:ascii="宋体" w:hAnsi="宋体" w:cs="宋体"/>
          <w:b w:val="0"/>
          <w:color w:val="000000" w:themeColor="text1"/>
          <w:sz w:val="30"/>
          <w:szCs w:val="30"/>
          <w:highlight w:val="none"/>
          <w:lang w:val="en-US" w:eastAsia="zh-CN"/>
          <w14:textFill>
            <w14:solidFill>
              <w14:schemeClr w14:val="tx1"/>
            </w14:solidFill>
          </w14:textFill>
        </w:rPr>
        <w:t>6</w:t>
      </w:r>
    </w:p>
    <w:p>
      <w:pPr>
        <w:autoSpaceDE w:val="0"/>
        <w:autoSpaceDN w:val="0"/>
        <w:adjustRightInd w:val="0"/>
        <w:spacing w:line="440" w:lineRule="exact"/>
        <w:ind w:firstLine="2862" w:firstLineChars="1350"/>
        <w:rPr>
          <w:rFonts w:ascii="仿宋_GB2312" w:eastAsia="仿宋_GB2312"/>
          <w:b/>
          <w:color w:val="000000" w:themeColor="text1"/>
          <w:sz w:val="32"/>
          <w:szCs w:val="32"/>
          <w:highlight w:val="none"/>
          <w:lang w:val="zh-CN"/>
          <w14:textFill>
            <w14:solidFill>
              <w14:schemeClr w14:val="tx1"/>
            </w14:solidFill>
          </w14:textFill>
        </w:rPr>
      </w:pPr>
      <w:r>
        <w:rPr>
          <w:color w:val="000000" w:themeColor="text1"/>
          <w:szCs w:val="21"/>
          <w:highlight w:val="none"/>
          <w14:textFill>
            <w14:solidFill>
              <w14:schemeClr w14:val="tx1"/>
            </w14:solidFill>
          </w14:textFill>
        </w:rPr>
        <w:br w:type="page"/>
      </w:r>
    </w:p>
    <w:p>
      <w:pPr>
        <w:tabs>
          <w:tab w:val="left" w:pos="900"/>
        </w:tabs>
        <w:spacing w:line="440" w:lineRule="exact"/>
        <w:ind w:firstLine="2896" w:firstLineChars="800"/>
        <w:rPr>
          <w:rFonts w:ascii="宋体" w:hAnsi="宋体" w:cs="宋体"/>
          <w:b/>
          <w:color w:val="000000" w:themeColor="text1"/>
          <w:sz w:val="36"/>
          <w:szCs w:val="36"/>
          <w:highlight w:val="none"/>
          <w:lang w:val="zh-CN"/>
          <w14:textFill>
            <w14:solidFill>
              <w14:schemeClr w14:val="tx1"/>
            </w14:solidFill>
          </w14:textFill>
        </w:rPr>
      </w:pPr>
      <w:r>
        <w:rPr>
          <w:rFonts w:hint="eastAsia" w:ascii="宋体" w:hAnsi="宋体" w:cs="宋体"/>
          <w:b/>
          <w:color w:val="000000" w:themeColor="text1"/>
          <w:sz w:val="36"/>
          <w:szCs w:val="36"/>
          <w:highlight w:val="none"/>
          <w:lang w:val="zh-CN"/>
          <w14:textFill>
            <w14:solidFill>
              <w14:schemeClr w14:val="tx1"/>
            </w14:solidFill>
          </w14:textFill>
        </w:rPr>
        <w:t>第一章</w:t>
      </w:r>
      <w:r>
        <w:rPr>
          <w:rFonts w:hint="eastAsia" w:ascii="宋体" w:hAnsi="宋体" w:cs="宋体"/>
          <w:b/>
          <w:color w:val="000000" w:themeColor="text1"/>
          <w:sz w:val="36"/>
          <w:szCs w:val="36"/>
          <w:highlight w:val="none"/>
          <w14:textFill>
            <w14:solidFill>
              <w14:schemeClr w14:val="tx1"/>
            </w14:solidFill>
          </w14:textFill>
        </w:rPr>
        <w:t xml:space="preserve">   </w:t>
      </w:r>
      <w:r>
        <w:rPr>
          <w:rFonts w:hint="eastAsia" w:ascii="宋体" w:hAnsi="宋体" w:cs="宋体"/>
          <w:b/>
          <w:color w:val="000000" w:themeColor="text1"/>
          <w:sz w:val="36"/>
          <w:szCs w:val="36"/>
          <w:highlight w:val="none"/>
          <w:lang w:val="zh-CN"/>
          <w14:textFill>
            <w14:solidFill>
              <w14:schemeClr w14:val="tx1"/>
            </w14:solidFill>
          </w14:textFill>
        </w:rPr>
        <w:t>采购公告</w:t>
      </w:r>
    </w:p>
    <w:p>
      <w:pPr>
        <w:pBdr>
          <w:top w:val="single" w:color="auto" w:sz="4" w:space="1"/>
          <w:left w:val="single" w:color="auto" w:sz="4" w:space="4"/>
          <w:bottom w:val="single" w:color="auto" w:sz="4" w:space="1"/>
          <w:right w:val="single" w:color="auto" w:sz="4" w:space="4"/>
        </w:pBdr>
        <w:rPr>
          <w:rFonts w:ascii="宋体" w:hAnsi="宋体" w:cs="宋体"/>
          <w:b/>
          <w:bCs/>
          <w:szCs w:val="21"/>
          <w:highlight w:val="none"/>
        </w:rPr>
      </w:pPr>
      <w:r>
        <w:rPr>
          <w:rFonts w:hint="eastAsia" w:ascii="宋体" w:hAnsi="宋体" w:cs="宋体"/>
          <w:b/>
          <w:bCs/>
          <w:szCs w:val="21"/>
          <w:highlight w:val="none"/>
        </w:rPr>
        <w:t>项目概况</w:t>
      </w:r>
    </w:p>
    <w:p>
      <w:pPr>
        <w:pBdr>
          <w:top w:val="single" w:color="auto" w:sz="4" w:space="1"/>
          <w:left w:val="single" w:color="auto" w:sz="4" w:space="4"/>
          <w:bottom w:val="single" w:color="auto" w:sz="4" w:space="1"/>
          <w:right w:val="single" w:color="auto" w:sz="4" w:space="4"/>
        </w:pBdr>
        <w:ind w:firstLine="424" w:firstLineChars="200"/>
        <w:rPr>
          <w:rFonts w:ascii="宋体" w:hAnsi="宋体" w:cs="宋体"/>
          <w:szCs w:val="21"/>
          <w:highlight w:val="none"/>
        </w:rPr>
      </w:pPr>
      <w:r>
        <w:rPr>
          <w:rFonts w:hint="eastAsia" w:ascii="宋体" w:hAnsi="宋体" w:cs="宋体"/>
          <w:color w:val="000000" w:themeColor="text1"/>
          <w:szCs w:val="21"/>
          <w:highlight w:val="none"/>
          <w:u w:val="single"/>
          <w14:textFill>
            <w14:solidFill>
              <w14:schemeClr w14:val="tx1"/>
            </w14:solidFill>
          </w14:textFill>
        </w:rPr>
        <w:t>衢江区集镇污水处理厂运维项目运维单位采购</w:t>
      </w:r>
      <w:r>
        <w:rPr>
          <w:rFonts w:hint="eastAsia" w:ascii="宋体" w:hAnsi="宋体" w:cs="宋体"/>
          <w:szCs w:val="21"/>
          <w:highlight w:val="none"/>
          <w:u w:val="single"/>
        </w:rPr>
        <w:t xml:space="preserve"> </w:t>
      </w:r>
      <w:r>
        <w:rPr>
          <w:rFonts w:hint="eastAsia" w:ascii="宋体" w:hAnsi="宋体" w:cs="宋体"/>
          <w:szCs w:val="21"/>
          <w:highlight w:val="none"/>
        </w:rPr>
        <w:t>招标项目的潜在投标人应在</w:t>
      </w:r>
      <w:r>
        <w:rPr>
          <w:rFonts w:hint="eastAsia" w:ascii="宋体" w:hAnsi="宋体" w:cs="宋体"/>
          <w:color w:val="000000"/>
          <w:szCs w:val="21"/>
          <w:highlight w:val="none"/>
          <w:u w:val="single"/>
        </w:rPr>
        <w:t>政府采购云平台（http://zfcg.czt.zj.gov.cn/）</w:t>
      </w:r>
      <w:r>
        <w:rPr>
          <w:rFonts w:hint="eastAsia" w:ascii="宋体" w:hAnsi="宋体" w:cs="宋体"/>
          <w:szCs w:val="21"/>
          <w:highlight w:val="none"/>
        </w:rPr>
        <w:t>获取招标文件，并于</w:t>
      </w:r>
      <w:r>
        <w:rPr>
          <w:rFonts w:hint="eastAsia" w:ascii="宋体" w:hAnsi="宋体" w:cs="宋体"/>
          <w:color w:val="FF0000"/>
          <w:szCs w:val="21"/>
          <w:highlight w:val="none"/>
          <w:u w:val="single"/>
          <w:shd w:val="clear" w:color="FFFFFF" w:fill="D9D9D9"/>
        </w:rPr>
        <w:t>2020</w:t>
      </w:r>
      <w:r>
        <w:rPr>
          <w:rFonts w:hint="eastAsia" w:ascii="宋体" w:hAnsi="宋体" w:cs="宋体"/>
          <w:bCs/>
          <w:color w:val="FF0000"/>
          <w:szCs w:val="21"/>
          <w:highlight w:val="none"/>
          <w:u w:val="single"/>
          <w:shd w:val="clear" w:color="FFFFFF" w:fill="D9D9D9"/>
        </w:rPr>
        <w:t>年</w:t>
      </w:r>
      <w:r>
        <w:rPr>
          <w:rFonts w:hint="eastAsia" w:ascii="宋体" w:hAnsi="宋体" w:cs="宋体"/>
          <w:color w:val="FF0000"/>
          <w:szCs w:val="21"/>
          <w:highlight w:val="none"/>
          <w:u w:val="single"/>
          <w:shd w:val="clear" w:color="FFFFFF" w:fill="D9D9D9"/>
        </w:rPr>
        <w:t>9月</w:t>
      </w:r>
      <w:r>
        <w:rPr>
          <w:rFonts w:hint="eastAsia" w:ascii="宋体" w:hAnsi="宋体" w:cs="宋体"/>
          <w:color w:val="FF0000"/>
          <w:szCs w:val="21"/>
          <w:highlight w:val="none"/>
          <w:u w:val="single"/>
          <w:shd w:val="clear" w:color="FFFFFF" w:fill="D9D9D9"/>
          <w:lang w:val="en-US" w:eastAsia="zh-CN"/>
        </w:rPr>
        <w:t>15</w:t>
      </w:r>
      <w:r>
        <w:rPr>
          <w:rFonts w:hint="eastAsia" w:ascii="宋体" w:hAnsi="宋体" w:cs="宋体"/>
          <w:color w:val="FF0000"/>
          <w:szCs w:val="21"/>
          <w:highlight w:val="none"/>
          <w:u w:val="single"/>
          <w:shd w:val="clear" w:color="FFFFFF" w:fill="D9D9D9"/>
        </w:rPr>
        <w:t>日 9点 30 分</w:t>
      </w:r>
      <w:r>
        <w:rPr>
          <w:rFonts w:hint="eastAsia" w:ascii="宋体" w:hAnsi="宋体" w:cs="宋体"/>
          <w:color w:val="000000" w:themeColor="text1"/>
          <w:szCs w:val="21"/>
          <w:highlight w:val="none"/>
          <w:u w:val="single"/>
          <w:shd w:val="clear" w:color="FFFFFF" w:fill="D9D9D9"/>
          <w14:textFill>
            <w14:solidFill>
              <w14:schemeClr w14:val="tx1"/>
            </w14:solidFill>
          </w14:textFill>
        </w:rPr>
        <w:t>（</w:t>
      </w:r>
      <w:r>
        <w:rPr>
          <w:rFonts w:hint="eastAsia" w:ascii="宋体" w:hAnsi="宋体" w:cs="宋体"/>
          <w:bCs/>
          <w:szCs w:val="21"/>
          <w:highlight w:val="none"/>
          <w:shd w:val="clear" w:color="FFFFFF" w:fill="D9D9D9"/>
        </w:rPr>
        <w:t>北京时间）</w:t>
      </w:r>
      <w:r>
        <w:rPr>
          <w:rFonts w:hint="eastAsia" w:ascii="宋体" w:hAnsi="宋体" w:cs="宋体"/>
          <w:bCs/>
          <w:szCs w:val="21"/>
          <w:highlight w:val="none"/>
        </w:rPr>
        <w:t>前递交（上传）投标文件</w:t>
      </w:r>
      <w:r>
        <w:rPr>
          <w:rFonts w:hint="eastAsia" w:ascii="宋体" w:hAnsi="宋体" w:cs="宋体"/>
          <w:szCs w:val="21"/>
          <w:highlight w:val="none"/>
        </w:rPr>
        <w:t>。</w:t>
      </w:r>
    </w:p>
    <w:p>
      <w:pPr>
        <w:pStyle w:val="4"/>
        <w:spacing w:before="0" w:after="0" w:line="440" w:lineRule="exact"/>
        <w:rPr>
          <w:rFonts w:ascii="宋体" w:hAnsi="宋体" w:eastAsia="宋体" w:cs="宋体"/>
          <w:bCs w:val="0"/>
          <w:sz w:val="21"/>
          <w:szCs w:val="21"/>
          <w:highlight w:val="none"/>
        </w:rPr>
      </w:pPr>
      <w:bookmarkStart w:id="0" w:name="_Toc35393621"/>
      <w:bookmarkStart w:id="1" w:name="_Toc35393790"/>
      <w:bookmarkStart w:id="2" w:name="_Toc28359079"/>
      <w:bookmarkStart w:id="3" w:name="_Toc28359002"/>
      <w:bookmarkStart w:id="4" w:name="_Hlk24379207"/>
      <w:r>
        <w:rPr>
          <w:rFonts w:hint="eastAsia" w:ascii="宋体" w:hAnsi="宋体" w:eastAsia="宋体" w:cs="宋体"/>
          <w:bCs w:val="0"/>
          <w:sz w:val="21"/>
          <w:szCs w:val="21"/>
          <w:highlight w:val="none"/>
        </w:rPr>
        <w:t>一、项目基本情况</w:t>
      </w:r>
      <w:bookmarkEnd w:id="0"/>
      <w:bookmarkEnd w:id="1"/>
      <w:bookmarkEnd w:id="2"/>
      <w:bookmarkEnd w:id="3"/>
    </w:p>
    <w:p>
      <w:pPr>
        <w:spacing w:line="440" w:lineRule="exact"/>
        <w:ind w:firstLine="212" w:firstLineChars="100"/>
        <w:rPr>
          <w:rFonts w:ascii="宋体" w:hAnsi="宋体" w:cs="宋体"/>
          <w:color w:val="FF0000"/>
          <w:szCs w:val="21"/>
          <w:highlight w:val="none"/>
        </w:rPr>
      </w:pPr>
      <w:r>
        <w:rPr>
          <w:rFonts w:hint="eastAsia" w:ascii="宋体" w:hAnsi="宋体" w:cs="宋体"/>
          <w:szCs w:val="21"/>
          <w:highlight w:val="none"/>
        </w:rPr>
        <w:t xml:space="preserve">项目编号：HKJ20-0608-ZJM-018 </w:t>
      </w:r>
    </w:p>
    <w:p>
      <w:pPr>
        <w:spacing w:line="440" w:lineRule="exact"/>
        <w:ind w:firstLine="212" w:firstLineChars="100"/>
        <w:rPr>
          <w:rFonts w:ascii="宋体" w:hAnsi="宋体" w:cs="宋体"/>
          <w:szCs w:val="21"/>
          <w:highlight w:val="none"/>
        </w:rPr>
      </w:pPr>
      <w:r>
        <w:rPr>
          <w:rFonts w:hint="eastAsia" w:ascii="宋体" w:hAnsi="宋体" w:cs="宋体"/>
          <w:szCs w:val="21"/>
          <w:highlight w:val="none"/>
        </w:rPr>
        <w:t>项目名称：</w:t>
      </w:r>
      <w:r>
        <w:rPr>
          <w:rFonts w:hint="eastAsia" w:ascii="宋体" w:hAnsi="宋体" w:cs="宋体"/>
          <w:color w:val="000000" w:themeColor="text1"/>
          <w:szCs w:val="21"/>
          <w:highlight w:val="none"/>
          <w14:textFill>
            <w14:solidFill>
              <w14:schemeClr w14:val="tx1"/>
            </w14:solidFill>
          </w14:textFill>
        </w:rPr>
        <w:t>衢江区集镇污水处理厂运维项目运维单位采购</w:t>
      </w:r>
      <w:r>
        <w:rPr>
          <w:rFonts w:hint="eastAsia" w:ascii="宋体" w:hAnsi="宋体" w:cs="宋体"/>
          <w:szCs w:val="21"/>
          <w:highlight w:val="none"/>
        </w:rPr>
        <w:t xml:space="preserve"> </w:t>
      </w:r>
    </w:p>
    <w:bookmarkEnd w:id="4"/>
    <w:p>
      <w:pPr>
        <w:spacing w:line="440" w:lineRule="exact"/>
        <w:ind w:firstLine="212" w:firstLineChars="1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预算金额：421.47万元/年</w:t>
      </w:r>
    </w:p>
    <w:p>
      <w:pPr>
        <w:spacing w:line="440" w:lineRule="exact"/>
        <w:ind w:firstLine="212" w:firstLineChars="1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最高限价：421.47万元/年</w:t>
      </w:r>
    </w:p>
    <w:p>
      <w:pPr>
        <w:spacing w:line="440" w:lineRule="exact"/>
        <w:ind w:firstLine="212" w:firstLineChars="100"/>
        <w:rPr>
          <w:rFonts w:ascii="宋体" w:hAnsi="宋体" w:cs="宋体"/>
          <w:szCs w:val="21"/>
          <w:highlight w:val="none"/>
        </w:rPr>
      </w:pPr>
      <w:r>
        <w:rPr>
          <w:rFonts w:hint="eastAsia" w:ascii="宋体" w:hAnsi="宋体" w:cs="宋体"/>
          <w:szCs w:val="21"/>
          <w:highlight w:val="none"/>
        </w:rPr>
        <w:t>采购需求：</w:t>
      </w:r>
    </w:p>
    <w:tbl>
      <w:tblPr>
        <w:tblStyle w:val="25"/>
        <w:tblW w:w="9464"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
        <w:gridCol w:w="2558"/>
        <w:gridCol w:w="843"/>
        <w:gridCol w:w="807"/>
        <w:gridCol w:w="1661"/>
        <w:gridCol w:w="872"/>
        <w:gridCol w:w="2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685"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序号</w:t>
            </w:r>
          </w:p>
        </w:tc>
        <w:tc>
          <w:tcPr>
            <w:tcW w:w="2558"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采购内容</w:t>
            </w:r>
          </w:p>
        </w:tc>
        <w:tc>
          <w:tcPr>
            <w:tcW w:w="843"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数量</w:t>
            </w:r>
          </w:p>
        </w:tc>
        <w:tc>
          <w:tcPr>
            <w:tcW w:w="8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单位</w:t>
            </w:r>
          </w:p>
        </w:tc>
        <w:tc>
          <w:tcPr>
            <w:tcW w:w="166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预算金额</w:t>
            </w:r>
          </w:p>
        </w:tc>
        <w:tc>
          <w:tcPr>
            <w:tcW w:w="872"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服务期</w:t>
            </w:r>
          </w:p>
        </w:tc>
        <w:tc>
          <w:tcPr>
            <w:tcW w:w="2038"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szCs w:val="21"/>
                <w:highlight w:val="none"/>
              </w:rPr>
              <w:t>简要的技术规格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685" w:type="dxa"/>
            <w:tcBorders>
              <w:top w:val="single" w:color="auto" w:sz="4" w:space="0"/>
              <w:left w:val="single" w:color="auto" w:sz="4" w:space="0"/>
              <w:right w:val="single" w:color="auto" w:sz="4" w:space="0"/>
            </w:tcBorders>
            <w:vAlign w:val="center"/>
          </w:tcPr>
          <w:p>
            <w:pPr>
              <w:widowControl/>
              <w:spacing w:line="440" w:lineRule="exact"/>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2558" w:type="dxa"/>
            <w:tcBorders>
              <w:top w:val="single" w:color="auto" w:sz="4" w:space="0"/>
              <w:left w:val="single" w:color="auto" w:sz="4" w:space="0"/>
              <w:right w:val="single" w:color="auto" w:sz="4" w:space="0"/>
            </w:tcBorders>
            <w:vAlign w:val="center"/>
          </w:tcPr>
          <w:p>
            <w:pPr>
              <w:widowControl/>
              <w:spacing w:line="440" w:lineRule="exact"/>
              <w:jc w:val="center"/>
              <w:rPr>
                <w:rFonts w:ascii="宋体" w:hAnsi="宋体" w:cs="宋体"/>
                <w:bCs/>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衢江区集镇污水处理厂运维项目运维单位采购</w:t>
            </w:r>
          </w:p>
        </w:tc>
        <w:tc>
          <w:tcPr>
            <w:tcW w:w="843" w:type="dxa"/>
            <w:tcBorders>
              <w:top w:val="single" w:color="auto" w:sz="4" w:space="0"/>
              <w:left w:val="single" w:color="auto" w:sz="4" w:space="0"/>
              <w:right w:val="single" w:color="auto" w:sz="4" w:space="0"/>
            </w:tcBorders>
            <w:vAlign w:val="center"/>
          </w:tcPr>
          <w:p>
            <w:pPr>
              <w:widowControl/>
              <w:spacing w:line="440" w:lineRule="exact"/>
              <w:ind w:firstLine="212" w:firstLineChars="10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07" w:type="dxa"/>
            <w:tcBorders>
              <w:top w:val="single" w:color="auto" w:sz="4" w:space="0"/>
              <w:left w:val="single" w:color="auto" w:sz="4" w:space="0"/>
              <w:right w:val="single" w:color="auto" w:sz="4" w:space="0"/>
            </w:tcBorders>
            <w:vAlign w:val="center"/>
          </w:tcPr>
          <w:p>
            <w:pPr>
              <w:spacing w:line="440" w:lineRule="exact"/>
              <w:ind w:firstLine="212" w:firstLineChars="1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项</w:t>
            </w:r>
          </w:p>
        </w:tc>
        <w:tc>
          <w:tcPr>
            <w:tcW w:w="1661" w:type="dxa"/>
            <w:tcBorders>
              <w:top w:val="single" w:color="auto" w:sz="4" w:space="0"/>
              <w:left w:val="single" w:color="auto" w:sz="4" w:space="0"/>
              <w:right w:val="single" w:color="auto" w:sz="4" w:space="0"/>
            </w:tcBorders>
            <w:vAlign w:val="center"/>
          </w:tcPr>
          <w:p>
            <w:pPr>
              <w:spacing w:line="44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421.47万元/年</w:t>
            </w:r>
          </w:p>
        </w:tc>
        <w:tc>
          <w:tcPr>
            <w:tcW w:w="872" w:type="dxa"/>
            <w:tcBorders>
              <w:top w:val="single" w:color="auto" w:sz="4" w:space="0"/>
              <w:left w:val="single" w:color="auto" w:sz="4" w:space="0"/>
              <w:right w:val="single" w:color="auto" w:sz="4" w:space="0"/>
            </w:tcBorders>
            <w:vAlign w:val="center"/>
          </w:tcPr>
          <w:p>
            <w:pPr>
              <w:spacing w:line="44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3年</w:t>
            </w:r>
          </w:p>
        </w:tc>
        <w:tc>
          <w:tcPr>
            <w:tcW w:w="2038" w:type="dxa"/>
            <w:tcBorders>
              <w:top w:val="single" w:color="auto" w:sz="4" w:space="0"/>
              <w:left w:val="single" w:color="auto" w:sz="4" w:space="0"/>
              <w:right w:val="single" w:color="auto" w:sz="4" w:space="0"/>
            </w:tcBorders>
            <w:vAlign w:val="center"/>
          </w:tcPr>
          <w:p>
            <w:pPr>
              <w:spacing w:line="44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详见采购需求</w:t>
            </w:r>
          </w:p>
        </w:tc>
      </w:tr>
    </w:tbl>
    <w:p>
      <w:pPr>
        <w:spacing w:line="440" w:lineRule="exact"/>
        <w:ind w:firstLine="212" w:firstLineChars="100"/>
        <w:rPr>
          <w:rFonts w:ascii="宋体" w:hAnsi="宋体" w:cs="宋体"/>
          <w:szCs w:val="21"/>
          <w:highlight w:val="none"/>
        </w:rPr>
      </w:pPr>
      <w:r>
        <w:rPr>
          <w:rFonts w:hint="eastAsia" w:ascii="宋体" w:hAnsi="宋体" w:cs="宋体"/>
          <w:szCs w:val="21"/>
          <w:highlight w:val="none"/>
        </w:rPr>
        <w:t>合同履行期限：三年</w:t>
      </w:r>
    </w:p>
    <w:p>
      <w:pPr>
        <w:spacing w:line="440" w:lineRule="exact"/>
        <w:ind w:firstLine="212" w:firstLineChars="100"/>
        <w:rPr>
          <w:rFonts w:ascii="宋体" w:hAnsi="宋体" w:cs="宋体"/>
          <w:szCs w:val="21"/>
          <w:highlight w:val="none"/>
        </w:rPr>
      </w:pPr>
      <w:r>
        <w:rPr>
          <w:rFonts w:hint="eastAsia" w:ascii="宋体" w:hAnsi="宋体" w:cs="宋体"/>
          <w:szCs w:val="21"/>
          <w:highlight w:val="none"/>
        </w:rPr>
        <w:t>本项目（否）接受联合体投标。</w:t>
      </w:r>
    </w:p>
    <w:p>
      <w:pPr>
        <w:pStyle w:val="4"/>
        <w:spacing w:before="0" w:after="0" w:line="420" w:lineRule="exact"/>
        <w:rPr>
          <w:rFonts w:ascii="宋体" w:hAnsi="宋体" w:eastAsia="宋体" w:cs="宋体"/>
          <w:bCs w:val="0"/>
          <w:sz w:val="21"/>
          <w:szCs w:val="21"/>
          <w:highlight w:val="none"/>
        </w:rPr>
      </w:pPr>
      <w:bookmarkStart w:id="5" w:name="_Toc35393622"/>
      <w:bookmarkStart w:id="6" w:name="_Toc35393791"/>
      <w:bookmarkStart w:id="7" w:name="_Toc28359080"/>
      <w:bookmarkStart w:id="8" w:name="_Toc28359003"/>
      <w:r>
        <w:rPr>
          <w:rFonts w:hint="eastAsia" w:ascii="宋体" w:hAnsi="宋体" w:eastAsia="宋体" w:cs="宋体"/>
          <w:bCs w:val="0"/>
          <w:sz w:val="21"/>
          <w:szCs w:val="21"/>
          <w:highlight w:val="none"/>
        </w:rPr>
        <w:t>二、申请人的资格要求：</w:t>
      </w:r>
      <w:bookmarkEnd w:id="5"/>
      <w:bookmarkEnd w:id="6"/>
      <w:bookmarkEnd w:id="7"/>
      <w:bookmarkEnd w:id="8"/>
    </w:p>
    <w:p>
      <w:pPr>
        <w:spacing w:line="420" w:lineRule="exact"/>
        <w:ind w:firstLine="212" w:firstLineChars="100"/>
        <w:rPr>
          <w:rFonts w:ascii="宋体" w:hAnsi="宋体" w:cs="宋体"/>
          <w:szCs w:val="21"/>
          <w:highlight w:val="none"/>
        </w:rPr>
      </w:pPr>
      <w:r>
        <w:rPr>
          <w:rFonts w:hint="eastAsia" w:ascii="宋体" w:hAnsi="宋体" w:cs="宋体"/>
          <w:szCs w:val="21"/>
          <w:highlight w:val="none"/>
        </w:rPr>
        <w:t>1.满足《中华人民共和国政府采购法》第二十二条规定；</w:t>
      </w:r>
    </w:p>
    <w:p>
      <w:pPr>
        <w:spacing w:line="420" w:lineRule="exact"/>
        <w:ind w:firstLine="212" w:firstLineChars="100"/>
        <w:rPr>
          <w:rFonts w:ascii="宋体" w:hAnsi="宋体" w:cs="宋体"/>
          <w:szCs w:val="21"/>
          <w:highlight w:val="none"/>
        </w:rPr>
      </w:pPr>
      <w:r>
        <w:rPr>
          <w:rFonts w:hint="eastAsia" w:ascii="宋体" w:hAnsi="宋体" w:cs="宋体"/>
          <w:szCs w:val="21"/>
          <w:highlight w:val="none"/>
        </w:rPr>
        <w:t>2.必须为未被列入“信用中国”网站(</w:t>
      </w:r>
      <w:r>
        <w:rPr>
          <w:highlight w:val="none"/>
        </w:rPr>
        <w:fldChar w:fldCharType="begin"/>
      </w:r>
      <w:r>
        <w:rPr>
          <w:highlight w:val="none"/>
        </w:rPr>
        <w:instrText xml:space="preserve"> HYPERLINK "http://www.creditchina.gov.cn/" \t "_blank" </w:instrText>
      </w:r>
      <w:r>
        <w:rPr>
          <w:highlight w:val="none"/>
        </w:rPr>
        <w:fldChar w:fldCharType="separate"/>
      </w:r>
      <w:r>
        <w:rPr>
          <w:rFonts w:hint="eastAsia" w:ascii="宋体" w:hAnsi="宋体" w:cs="宋体"/>
          <w:szCs w:val="21"/>
          <w:highlight w:val="none"/>
        </w:rPr>
        <w:t>www.creditchina.gov.cn</w:t>
      </w:r>
      <w:r>
        <w:rPr>
          <w:rFonts w:hint="eastAsia" w:ascii="宋体" w:hAnsi="宋体" w:cs="宋体"/>
          <w:szCs w:val="21"/>
          <w:highlight w:val="none"/>
        </w:rPr>
        <w:fldChar w:fldCharType="end"/>
      </w:r>
      <w:r>
        <w:rPr>
          <w:rFonts w:hint="eastAsia" w:ascii="宋体" w:hAnsi="宋体" w:cs="宋体"/>
          <w:szCs w:val="21"/>
          <w:highlight w:val="none"/>
        </w:rPr>
        <w:t>)、中国政府采购网(</w:t>
      </w:r>
      <w:r>
        <w:rPr>
          <w:highlight w:val="none"/>
        </w:rPr>
        <w:fldChar w:fldCharType="begin"/>
      </w:r>
      <w:r>
        <w:rPr>
          <w:highlight w:val="none"/>
        </w:rPr>
        <w:instrText xml:space="preserve"> HYPERLINK "http://www.ccgp.gov.cn/" \t "_blank" </w:instrText>
      </w:r>
      <w:r>
        <w:rPr>
          <w:highlight w:val="none"/>
        </w:rPr>
        <w:fldChar w:fldCharType="separate"/>
      </w:r>
      <w:r>
        <w:rPr>
          <w:rFonts w:hint="eastAsia" w:ascii="宋体" w:hAnsi="宋体" w:cs="宋体"/>
          <w:szCs w:val="21"/>
          <w:highlight w:val="none"/>
        </w:rPr>
        <w:t>www.ccgp.gov.cn</w:t>
      </w:r>
      <w:r>
        <w:rPr>
          <w:rFonts w:hint="eastAsia" w:ascii="宋体" w:hAnsi="宋体" w:cs="宋体"/>
          <w:szCs w:val="21"/>
          <w:highlight w:val="none"/>
        </w:rPr>
        <w:fldChar w:fldCharType="end"/>
      </w:r>
      <w:r>
        <w:rPr>
          <w:rFonts w:hint="eastAsia" w:ascii="宋体" w:hAnsi="宋体" w:cs="宋体"/>
          <w:szCs w:val="21"/>
          <w:highlight w:val="none"/>
        </w:rPr>
        <w:t>)渠道信用记录失信被执行人、重大税收违法案件当事人名单、政府采购严重违法失信行为记录名单的投标人。</w:t>
      </w:r>
    </w:p>
    <w:p>
      <w:pPr>
        <w:spacing w:line="420" w:lineRule="exact"/>
        <w:ind w:firstLine="212" w:firstLineChars="100"/>
        <w:rPr>
          <w:rFonts w:ascii="宋体" w:hAnsi="宋体" w:cs="宋体"/>
          <w:szCs w:val="21"/>
          <w:highlight w:val="none"/>
        </w:rPr>
      </w:pPr>
      <w:bookmarkStart w:id="9" w:name="_Toc28359081"/>
      <w:bookmarkStart w:id="10" w:name="_Toc28359004"/>
      <w:r>
        <w:rPr>
          <w:rFonts w:hint="eastAsia" w:ascii="宋体" w:hAnsi="宋体" w:cs="宋体"/>
          <w:szCs w:val="21"/>
          <w:highlight w:val="none"/>
        </w:rPr>
        <w:t>3.落实政府采购政策需满足的资格要求：《关于促进残疾人就业政府采购政策的通知》（财库[2017]141号）、《政府采购促进中小企业发展暂行办法》（财库[2011]181号）、《关于政府采购支持监狱企业发展有关问题的通知》(财库[2014]68号)。</w:t>
      </w:r>
    </w:p>
    <w:p>
      <w:pPr>
        <w:spacing w:line="420" w:lineRule="exact"/>
        <w:ind w:firstLine="212" w:firstLineChars="100"/>
        <w:rPr>
          <w:rFonts w:ascii="宋体" w:hAnsi="宋体" w:cs="宋体"/>
          <w:szCs w:val="21"/>
          <w:highlight w:val="none"/>
        </w:rPr>
      </w:pPr>
      <w:r>
        <w:rPr>
          <w:rFonts w:hint="eastAsia" w:ascii="宋体" w:hAnsi="宋体" w:cs="宋体"/>
          <w:szCs w:val="21"/>
          <w:highlight w:val="none"/>
        </w:rPr>
        <w:t>4.本项目的特定资格要求：无</w:t>
      </w:r>
    </w:p>
    <w:p>
      <w:pPr>
        <w:pStyle w:val="4"/>
        <w:spacing w:before="0" w:after="0" w:line="420" w:lineRule="exact"/>
        <w:rPr>
          <w:rFonts w:ascii="宋体" w:hAnsi="宋体" w:eastAsia="宋体" w:cs="宋体"/>
          <w:bCs w:val="0"/>
          <w:sz w:val="21"/>
          <w:szCs w:val="21"/>
          <w:highlight w:val="none"/>
        </w:rPr>
      </w:pPr>
      <w:bookmarkStart w:id="11" w:name="_Toc35393623"/>
      <w:bookmarkStart w:id="12" w:name="_Toc35393792"/>
      <w:r>
        <w:rPr>
          <w:rFonts w:hint="eastAsia" w:ascii="宋体" w:hAnsi="宋体" w:eastAsia="宋体" w:cs="宋体"/>
          <w:bCs w:val="0"/>
          <w:sz w:val="21"/>
          <w:szCs w:val="21"/>
          <w:highlight w:val="none"/>
        </w:rPr>
        <w:t>三、获取招标文件</w:t>
      </w:r>
      <w:bookmarkEnd w:id="9"/>
      <w:bookmarkEnd w:id="10"/>
      <w:bookmarkEnd w:id="11"/>
      <w:bookmarkEnd w:id="12"/>
    </w:p>
    <w:p>
      <w:pPr>
        <w:spacing w:line="420" w:lineRule="exact"/>
        <w:ind w:firstLine="212" w:firstLineChars="100"/>
        <w:rPr>
          <w:rFonts w:ascii="宋体" w:hAnsi="宋体" w:cs="宋体"/>
          <w:szCs w:val="21"/>
          <w:highlight w:val="none"/>
        </w:rPr>
      </w:pPr>
      <w:r>
        <w:rPr>
          <w:rFonts w:hint="eastAsia" w:ascii="宋体" w:hAnsi="宋体" w:cs="宋体"/>
          <w:b/>
          <w:bCs/>
          <w:szCs w:val="21"/>
          <w:highlight w:val="none"/>
        </w:rPr>
        <w:t>时间：</w:t>
      </w:r>
      <w:r>
        <w:rPr>
          <w:rFonts w:hint="eastAsia" w:ascii="宋体" w:hAnsi="宋体" w:cs="宋体"/>
          <w:b/>
          <w:bCs/>
          <w:szCs w:val="21"/>
          <w:highlight w:val="none"/>
          <w:u w:val="single"/>
        </w:rPr>
        <w:t xml:space="preserve"> </w:t>
      </w:r>
      <w:r>
        <w:rPr>
          <w:rFonts w:hint="eastAsia" w:ascii="宋体" w:hAnsi="宋体" w:cs="宋体"/>
          <w:szCs w:val="21"/>
          <w:highlight w:val="none"/>
          <w:u w:val="single"/>
        </w:rPr>
        <w:t xml:space="preserve">2020年9月 </w:t>
      </w:r>
      <w:r>
        <w:rPr>
          <w:rFonts w:hint="eastAsia" w:ascii="宋体" w:hAnsi="宋体" w:cs="宋体"/>
          <w:szCs w:val="21"/>
          <w:highlight w:val="none"/>
          <w:u w:val="single"/>
          <w:lang w:val="en-US" w:eastAsia="zh-CN"/>
        </w:rPr>
        <w:t>25</w:t>
      </w:r>
      <w:r>
        <w:rPr>
          <w:rFonts w:hint="eastAsia" w:ascii="宋体" w:hAnsi="宋体" w:cs="宋体"/>
          <w:szCs w:val="21"/>
          <w:highlight w:val="none"/>
          <w:u w:val="single"/>
        </w:rPr>
        <w:t xml:space="preserve"> 日</w:t>
      </w:r>
      <w:r>
        <w:rPr>
          <w:rFonts w:hint="eastAsia" w:ascii="宋体" w:hAnsi="宋体" w:cs="宋体"/>
          <w:szCs w:val="21"/>
          <w:highlight w:val="none"/>
        </w:rPr>
        <w:t>至</w:t>
      </w:r>
      <w:r>
        <w:rPr>
          <w:rFonts w:hint="eastAsia" w:ascii="宋体" w:hAnsi="宋体" w:cs="宋体"/>
          <w:szCs w:val="21"/>
          <w:highlight w:val="none"/>
          <w:u w:val="single"/>
        </w:rPr>
        <w:t xml:space="preserve"> 2020 年</w:t>
      </w:r>
      <w:r>
        <w:rPr>
          <w:rFonts w:hint="eastAsia" w:ascii="宋体" w:hAnsi="宋体" w:cs="宋体"/>
          <w:szCs w:val="21"/>
          <w:highlight w:val="none"/>
          <w:u w:val="single"/>
          <w:lang w:val="en-US" w:eastAsia="zh-CN"/>
        </w:rPr>
        <w:t>10</w:t>
      </w:r>
      <w:r>
        <w:rPr>
          <w:rFonts w:hint="eastAsia" w:ascii="宋体" w:hAnsi="宋体" w:cs="宋体"/>
          <w:szCs w:val="21"/>
          <w:highlight w:val="none"/>
          <w:u w:val="single"/>
        </w:rPr>
        <w:t xml:space="preserve">月 </w:t>
      </w:r>
      <w:r>
        <w:rPr>
          <w:rFonts w:hint="eastAsia" w:ascii="宋体" w:hAnsi="宋体" w:cs="宋体"/>
          <w:szCs w:val="21"/>
          <w:highlight w:val="none"/>
          <w:u w:val="single"/>
          <w:lang w:val="en-US" w:eastAsia="zh-CN"/>
        </w:rPr>
        <w:t>10</w:t>
      </w:r>
      <w:r>
        <w:rPr>
          <w:rFonts w:hint="eastAsia" w:ascii="宋体" w:hAnsi="宋体" w:cs="宋体"/>
          <w:szCs w:val="21"/>
          <w:highlight w:val="none"/>
          <w:u w:val="single"/>
        </w:rPr>
        <w:t xml:space="preserve"> 日</w:t>
      </w:r>
      <w:r>
        <w:rPr>
          <w:rFonts w:hint="eastAsia" w:ascii="宋体" w:hAnsi="宋体" w:cs="宋体"/>
          <w:szCs w:val="21"/>
          <w:highlight w:val="none"/>
        </w:rPr>
        <w:t>，每天上午</w:t>
      </w:r>
      <w:r>
        <w:rPr>
          <w:rFonts w:hint="eastAsia" w:ascii="宋体" w:hAnsi="宋体" w:cs="宋体"/>
          <w:szCs w:val="21"/>
          <w:highlight w:val="none"/>
          <w:u w:val="single"/>
        </w:rPr>
        <w:t>00：00</w:t>
      </w:r>
      <w:r>
        <w:rPr>
          <w:rFonts w:hint="eastAsia" w:ascii="宋体" w:hAnsi="宋体" w:cs="宋体"/>
          <w:szCs w:val="21"/>
          <w:highlight w:val="none"/>
        </w:rPr>
        <w:t>至</w:t>
      </w:r>
      <w:r>
        <w:rPr>
          <w:rFonts w:hint="eastAsia" w:ascii="宋体" w:hAnsi="宋体" w:cs="宋体"/>
          <w:szCs w:val="21"/>
          <w:highlight w:val="none"/>
          <w:u w:val="single"/>
        </w:rPr>
        <w:t>12：00</w:t>
      </w:r>
      <w:r>
        <w:rPr>
          <w:rFonts w:hint="eastAsia" w:ascii="宋体" w:hAnsi="宋体" w:cs="宋体"/>
          <w:szCs w:val="21"/>
          <w:highlight w:val="none"/>
        </w:rPr>
        <w:t>，下午</w:t>
      </w:r>
      <w:r>
        <w:rPr>
          <w:rFonts w:hint="eastAsia" w:ascii="宋体" w:hAnsi="宋体" w:cs="宋体"/>
          <w:szCs w:val="21"/>
          <w:highlight w:val="none"/>
          <w:u w:val="single"/>
        </w:rPr>
        <w:t>12：00</w:t>
      </w:r>
      <w:r>
        <w:rPr>
          <w:rFonts w:hint="eastAsia" w:ascii="宋体" w:hAnsi="宋体" w:cs="宋体"/>
          <w:szCs w:val="21"/>
          <w:highlight w:val="none"/>
        </w:rPr>
        <w:t>至</w:t>
      </w:r>
      <w:r>
        <w:rPr>
          <w:rFonts w:hint="eastAsia" w:ascii="宋体" w:hAnsi="宋体" w:cs="宋体"/>
          <w:szCs w:val="21"/>
          <w:highlight w:val="none"/>
          <w:u w:val="single"/>
        </w:rPr>
        <w:t>23：59</w:t>
      </w:r>
      <w:r>
        <w:rPr>
          <w:rFonts w:hint="eastAsia" w:ascii="宋体" w:hAnsi="宋体" w:cs="宋体"/>
          <w:szCs w:val="21"/>
          <w:highlight w:val="none"/>
        </w:rPr>
        <w:t>（北京时间）</w:t>
      </w:r>
    </w:p>
    <w:p>
      <w:pPr>
        <w:spacing w:line="420" w:lineRule="exact"/>
        <w:ind w:firstLine="212" w:firstLineChars="100"/>
        <w:rPr>
          <w:rFonts w:ascii="宋体" w:hAnsi="宋体" w:cs="宋体"/>
          <w:szCs w:val="21"/>
          <w:highlight w:val="none"/>
          <w:u w:val="single"/>
        </w:rPr>
      </w:pPr>
      <w:r>
        <w:rPr>
          <w:rFonts w:hint="eastAsia" w:ascii="宋体" w:hAnsi="宋体" w:cs="宋体"/>
          <w:b/>
          <w:bCs/>
          <w:szCs w:val="21"/>
          <w:highlight w:val="none"/>
        </w:rPr>
        <w:t>地点：</w:t>
      </w:r>
      <w:r>
        <w:rPr>
          <w:rStyle w:val="28"/>
          <w:rFonts w:hint="eastAsia" w:ascii="宋体" w:hAnsi="宋体" w:cs="宋体"/>
          <w:b w:val="0"/>
          <w:bCs/>
          <w:color w:val="000000"/>
          <w:szCs w:val="21"/>
          <w:highlight w:val="none"/>
        </w:rPr>
        <w:t>“政府采购云平台（http://zfcg.czt.zj.gov.cn/）</w:t>
      </w:r>
    </w:p>
    <w:p>
      <w:pPr>
        <w:spacing w:line="380" w:lineRule="exact"/>
        <w:ind w:firstLine="212" w:firstLineChars="100"/>
        <w:jc w:val="left"/>
        <w:rPr>
          <w:rFonts w:ascii="宋体" w:hAnsi="宋体" w:cs="宋体"/>
          <w:szCs w:val="21"/>
          <w:highlight w:val="none"/>
          <w:lang w:val="zh-CN"/>
        </w:rPr>
      </w:pPr>
      <w:r>
        <w:rPr>
          <w:rFonts w:hint="eastAsia" w:ascii="宋体" w:hAnsi="宋体" w:cs="宋体"/>
          <w:b/>
          <w:bCs/>
          <w:szCs w:val="21"/>
          <w:highlight w:val="none"/>
        </w:rPr>
        <w:t>方式：</w:t>
      </w:r>
      <w:r>
        <w:rPr>
          <w:rFonts w:hint="eastAsia" w:ascii="宋体" w:hAnsi="宋体" w:cs="宋体"/>
          <w:szCs w:val="21"/>
          <w:highlight w:val="none"/>
        </w:rPr>
        <w:t>供应商按下述要求获取招标文件，如未在“政采云”系统内完成相关流程，引起的投标无效责任自负。</w:t>
      </w:r>
    </w:p>
    <w:p>
      <w:pPr>
        <w:spacing w:line="420" w:lineRule="exact"/>
        <w:ind w:firstLine="212" w:firstLineChars="100"/>
        <w:rPr>
          <w:rFonts w:ascii="宋体" w:hAnsi="宋体" w:cs="宋体"/>
          <w:szCs w:val="21"/>
          <w:highlight w:val="none"/>
        </w:rPr>
      </w:pPr>
      <w:r>
        <w:rPr>
          <w:rFonts w:hint="eastAsia" w:ascii="宋体" w:hAnsi="宋体" w:cs="宋体"/>
          <w:szCs w:val="21"/>
          <w:highlight w:val="none"/>
        </w:rPr>
        <w:t>1.本项目招标文件实行“政府采购云平台”在线获取，不提供招标文件纸质版。供应商获取招标文件前应先完成“政府采购云平台”的账号注册同时办理CA领取。</w:t>
      </w:r>
    </w:p>
    <w:p>
      <w:pPr>
        <w:spacing w:line="420" w:lineRule="exact"/>
        <w:ind w:firstLine="212" w:firstLineChars="100"/>
        <w:rPr>
          <w:rFonts w:ascii="宋体" w:hAnsi="宋体" w:cs="宋体"/>
          <w:szCs w:val="21"/>
          <w:highlight w:val="none"/>
        </w:rPr>
      </w:pPr>
      <w:r>
        <w:rPr>
          <w:rFonts w:hint="eastAsia" w:ascii="宋体" w:hAnsi="宋体" w:cs="宋体"/>
          <w:szCs w:val="21"/>
          <w:highlight w:val="none"/>
        </w:rPr>
        <w:t>2.潜在供应商登陆政采云平台，在线申请获取招标文件（进入“项目采购”应用，在获取招标文件菜单中选择项目，申请获取招标文件，本项目招标文件不收取工本费；仅需浏览招标文件的供应商可点击“游客，浏览招标文件”直接下载招标文件浏览）</w:t>
      </w:r>
    </w:p>
    <w:p>
      <w:pPr>
        <w:spacing w:line="420" w:lineRule="exact"/>
        <w:ind w:firstLine="212" w:firstLineChars="100"/>
        <w:rPr>
          <w:rFonts w:ascii="宋体" w:hAnsi="宋体" w:cs="宋体"/>
          <w:szCs w:val="21"/>
          <w:highlight w:val="none"/>
        </w:rPr>
      </w:pPr>
      <w:r>
        <w:rPr>
          <w:rFonts w:hint="eastAsia" w:ascii="宋体" w:hAnsi="宋体" w:cs="宋体"/>
          <w:szCs w:val="21"/>
          <w:highlight w:val="none"/>
        </w:rPr>
        <w:t>3.提示：招标公告内的招标文件（免费）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pPr>
        <w:spacing w:line="380" w:lineRule="exact"/>
        <w:ind w:firstLine="424" w:firstLineChars="200"/>
        <w:jc w:val="left"/>
        <w:rPr>
          <w:rFonts w:ascii="宋体" w:hAnsi="宋体" w:cs="宋体"/>
          <w:b/>
          <w:bCs/>
          <w:szCs w:val="21"/>
          <w:highlight w:val="none"/>
        </w:rPr>
      </w:pPr>
      <w:r>
        <w:rPr>
          <w:rFonts w:hint="eastAsia" w:ascii="宋体" w:hAnsi="宋体" w:cs="宋体"/>
          <w:b/>
          <w:bCs/>
          <w:szCs w:val="21"/>
          <w:highlight w:val="none"/>
        </w:rPr>
        <w:t>售价：免费</w:t>
      </w:r>
    </w:p>
    <w:p>
      <w:pPr>
        <w:pStyle w:val="4"/>
        <w:numPr>
          <w:ilvl w:val="0"/>
          <w:numId w:val="2"/>
        </w:numPr>
        <w:spacing w:before="0" w:after="0" w:line="420" w:lineRule="exact"/>
        <w:rPr>
          <w:rFonts w:ascii="宋体" w:hAnsi="宋体" w:eastAsia="宋体" w:cs="宋体"/>
          <w:bCs w:val="0"/>
          <w:sz w:val="21"/>
          <w:szCs w:val="21"/>
          <w:highlight w:val="none"/>
        </w:rPr>
      </w:pPr>
      <w:bookmarkStart w:id="13" w:name="_Toc28359082"/>
      <w:bookmarkStart w:id="14" w:name="_Toc28359005"/>
      <w:bookmarkStart w:id="15" w:name="_Toc35393624"/>
      <w:bookmarkStart w:id="16" w:name="_Toc35393793"/>
      <w:r>
        <w:rPr>
          <w:rFonts w:hint="eastAsia" w:ascii="宋体" w:hAnsi="宋体" w:eastAsia="宋体" w:cs="宋体"/>
          <w:bCs w:val="0"/>
          <w:sz w:val="21"/>
          <w:szCs w:val="21"/>
          <w:highlight w:val="none"/>
        </w:rPr>
        <w:t>提交投标文件</w:t>
      </w:r>
      <w:bookmarkEnd w:id="13"/>
      <w:bookmarkEnd w:id="14"/>
      <w:r>
        <w:rPr>
          <w:rFonts w:hint="eastAsia" w:ascii="宋体" w:hAnsi="宋体" w:eastAsia="宋体" w:cs="宋体"/>
          <w:bCs w:val="0"/>
          <w:sz w:val="21"/>
          <w:szCs w:val="21"/>
          <w:highlight w:val="none"/>
        </w:rPr>
        <w:t>截止时间、开标时间和地点</w:t>
      </w:r>
      <w:bookmarkEnd w:id="15"/>
      <w:bookmarkEnd w:id="16"/>
    </w:p>
    <w:p>
      <w:pPr>
        <w:spacing w:line="420" w:lineRule="exact"/>
        <w:ind w:firstLine="212" w:firstLineChars="100"/>
        <w:rPr>
          <w:rFonts w:ascii="宋体" w:hAnsi="宋体" w:cs="宋体"/>
          <w:szCs w:val="21"/>
          <w:highlight w:val="none"/>
        </w:rPr>
      </w:pPr>
      <w:r>
        <w:rPr>
          <w:rFonts w:hint="eastAsia" w:ascii="宋体" w:hAnsi="宋体" w:cs="宋体"/>
          <w:szCs w:val="21"/>
          <w:highlight w:val="none"/>
        </w:rPr>
        <w:t>1.投标截止时间：2020年</w:t>
      </w:r>
      <w:r>
        <w:rPr>
          <w:rFonts w:hint="eastAsia" w:ascii="宋体" w:hAnsi="宋体" w:cs="宋体"/>
          <w:szCs w:val="21"/>
          <w:highlight w:val="none"/>
          <w:lang w:val="en-US" w:eastAsia="zh-CN"/>
        </w:rPr>
        <w:t>10</w:t>
      </w:r>
      <w:r>
        <w:rPr>
          <w:rFonts w:hint="eastAsia" w:ascii="宋体" w:hAnsi="宋体" w:cs="宋体"/>
          <w:szCs w:val="21"/>
          <w:highlight w:val="none"/>
        </w:rPr>
        <w:t xml:space="preserve">月 </w:t>
      </w:r>
      <w:r>
        <w:rPr>
          <w:rFonts w:hint="eastAsia" w:ascii="宋体" w:hAnsi="宋体" w:cs="宋体"/>
          <w:szCs w:val="21"/>
          <w:highlight w:val="none"/>
          <w:lang w:val="en-US" w:eastAsia="zh-CN"/>
        </w:rPr>
        <w:t>15</w:t>
      </w:r>
      <w:r>
        <w:rPr>
          <w:rFonts w:hint="eastAsia" w:ascii="宋体" w:hAnsi="宋体" w:cs="宋体"/>
          <w:szCs w:val="21"/>
          <w:highlight w:val="none"/>
        </w:rPr>
        <w:t xml:space="preserve"> 日09:30（北京时间）</w:t>
      </w:r>
    </w:p>
    <w:p>
      <w:pPr>
        <w:spacing w:line="420" w:lineRule="exact"/>
        <w:ind w:firstLine="212" w:firstLineChars="100"/>
        <w:rPr>
          <w:rFonts w:ascii="宋体" w:hAnsi="宋体" w:cs="宋体"/>
          <w:szCs w:val="21"/>
          <w:highlight w:val="none"/>
        </w:rPr>
      </w:pPr>
      <w:r>
        <w:rPr>
          <w:rFonts w:hint="eastAsia" w:ascii="宋体" w:hAnsi="宋体" w:cs="宋体"/>
          <w:szCs w:val="21"/>
          <w:highlight w:val="none"/>
        </w:rPr>
        <w:t>2.投标地点：“政府采购云平台（http://zfcg.czt.zj.gov.cn/）”在线递交。</w:t>
      </w:r>
    </w:p>
    <w:p>
      <w:pPr>
        <w:spacing w:line="420" w:lineRule="exact"/>
        <w:ind w:firstLine="212" w:firstLineChars="100"/>
        <w:rPr>
          <w:rFonts w:ascii="宋体" w:hAnsi="宋体" w:cs="宋体"/>
          <w:color w:val="FF0000"/>
          <w:szCs w:val="21"/>
          <w:highlight w:val="none"/>
        </w:rPr>
      </w:pPr>
      <w:r>
        <w:rPr>
          <w:rFonts w:hint="eastAsia" w:ascii="宋体" w:hAnsi="宋体" w:cs="宋体"/>
          <w:szCs w:val="21"/>
          <w:highlight w:val="none"/>
        </w:rPr>
        <w:t>3.开标时间：</w:t>
      </w:r>
      <w:r>
        <w:rPr>
          <w:rFonts w:hint="eastAsia" w:ascii="宋体" w:hAnsi="宋体" w:cs="宋体"/>
          <w:color w:val="FF0000"/>
          <w:szCs w:val="21"/>
          <w:highlight w:val="none"/>
        </w:rPr>
        <w:t>2020年</w:t>
      </w:r>
      <w:r>
        <w:rPr>
          <w:rFonts w:hint="eastAsia" w:ascii="宋体" w:hAnsi="宋体" w:cs="宋体"/>
          <w:color w:val="FF0000"/>
          <w:szCs w:val="21"/>
          <w:highlight w:val="none"/>
          <w:lang w:val="en-US" w:eastAsia="zh-CN"/>
        </w:rPr>
        <w:t>10</w:t>
      </w:r>
      <w:r>
        <w:rPr>
          <w:rFonts w:hint="eastAsia" w:ascii="宋体" w:hAnsi="宋体" w:cs="宋体"/>
          <w:color w:val="FF0000"/>
          <w:szCs w:val="21"/>
          <w:highlight w:val="none"/>
        </w:rPr>
        <w:t xml:space="preserve">月 </w:t>
      </w:r>
      <w:r>
        <w:rPr>
          <w:rFonts w:hint="eastAsia" w:ascii="宋体" w:hAnsi="宋体" w:cs="宋体"/>
          <w:color w:val="FF0000"/>
          <w:szCs w:val="21"/>
          <w:highlight w:val="none"/>
          <w:lang w:val="en-US" w:eastAsia="zh-CN"/>
        </w:rPr>
        <w:t>15</w:t>
      </w:r>
      <w:r>
        <w:rPr>
          <w:rFonts w:hint="eastAsia" w:ascii="宋体" w:hAnsi="宋体" w:cs="宋体"/>
          <w:color w:val="FF0000"/>
          <w:szCs w:val="21"/>
          <w:highlight w:val="none"/>
        </w:rPr>
        <w:t xml:space="preserve"> 日09:30（北京时间）</w:t>
      </w:r>
    </w:p>
    <w:p>
      <w:pPr>
        <w:spacing w:line="420" w:lineRule="exact"/>
        <w:ind w:firstLine="212" w:firstLineChars="100"/>
        <w:rPr>
          <w:rFonts w:ascii="宋体" w:hAnsi="宋体" w:cs="宋体"/>
          <w:b/>
          <w:bCs/>
          <w:szCs w:val="21"/>
          <w:highlight w:val="none"/>
        </w:rPr>
      </w:pPr>
      <w:bookmarkStart w:id="17" w:name="_Toc35393625"/>
      <w:bookmarkStart w:id="18" w:name="_Toc35393794"/>
      <w:bookmarkStart w:id="19" w:name="_Toc28359084"/>
      <w:bookmarkStart w:id="20" w:name="_Toc28359007"/>
      <w:r>
        <w:rPr>
          <w:rFonts w:hint="eastAsia" w:ascii="宋体" w:hAnsi="宋体" w:cs="宋体"/>
          <w:b/>
          <w:bCs/>
          <w:szCs w:val="21"/>
          <w:highlight w:val="none"/>
        </w:rPr>
        <w:t>4.</w:t>
      </w:r>
      <w:r>
        <w:rPr>
          <w:rFonts w:hint="eastAsia" w:ascii="宋体" w:hAnsi="宋体" w:cs="宋体"/>
          <w:b/>
          <w:bCs/>
          <w:szCs w:val="21"/>
          <w:highlight w:val="none"/>
          <w:lang w:eastAsia="zh-CN"/>
        </w:rPr>
        <w:t>评审</w:t>
      </w:r>
      <w:r>
        <w:rPr>
          <w:rFonts w:hint="eastAsia" w:ascii="宋体" w:hAnsi="宋体" w:cs="宋体"/>
          <w:b/>
          <w:bCs/>
          <w:szCs w:val="21"/>
          <w:highlight w:val="none"/>
        </w:rPr>
        <w:t>地点：</w:t>
      </w:r>
      <w:r>
        <w:rPr>
          <w:rFonts w:hint="eastAsia" w:ascii="宋体" w:hAnsi="宋体" w:cs="宋体"/>
          <w:b/>
          <w:bCs/>
          <w:szCs w:val="21"/>
          <w:highlight w:val="none"/>
          <w:lang w:eastAsia="zh-CN"/>
        </w:rPr>
        <w:t>衢州市衢江区公共资源交易中心1号评标室（衢江区振兴东路268号五楼）</w:t>
      </w:r>
      <w:r>
        <w:rPr>
          <w:rFonts w:hint="eastAsia" w:ascii="宋体" w:hAnsi="宋体" w:cs="宋体"/>
          <w:b/>
          <w:bCs/>
          <w:szCs w:val="21"/>
          <w:highlight w:val="none"/>
        </w:rPr>
        <w:t>。同步在“政采云远程开标大厅”在线开标。</w:t>
      </w:r>
    </w:p>
    <w:p>
      <w:pPr>
        <w:pStyle w:val="4"/>
        <w:spacing w:before="0" w:after="0" w:line="420" w:lineRule="exact"/>
        <w:rPr>
          <w:rFonts w:ascii="宋体" w:hAnsi="宋体" w:eastAsia="宋体" w:cs="宋体"/>
          <w:bCs w:val="0"/>
          <w:sz w:val="21"/>
          <w:szCs w:val="21"/>
          <w:highlight w:val="none"/>
        </w:rPr>
      </w:pPr>
      <w:r>
        <w:rPr>
          <w:rFonts w:hint="eastAsia" w:ascii="宋体" w:hAnsi="宋体" w:eastAsia="宋体" w:cs="宋体"/>
          <w:bCs w:val="0"/>
          <w:sz w:val="21"/>
          <w:szCs w:val="21"/>
          <w:highlight w:val="none"/>
        </w:rPr>
        <w:t>五、公告期限</w:t>
      </w:r>
      <w:bookmarkEnd w:id="17"/>
      <w:bookmarkEnd w:id="18"/>
      <w:bookmarkEnd w:id="19"/>
      <w:bookmarkEnd w:id="20"/>
    </w:p>
    <w:p>
      <w:pPr>
        <w:spacing w:line="420" w:lineRule="exact"/>
        <w:ind w:firstLine="424" w:firstLineChars="200"/>
        <w:rPr>
          <w:rFonts w:ascii="宋体" w:hAnsi="宋体" w:cs="宋体"/>
          <w:kern w:val="0"/>
          <w:szCs w:val="21"/>
          <w:highlight w:val="none"/>
        </w:rPr>
      </w:pPr>
      <w:r>
        <w:rPr>
          <w:rFonts w:hint="eastAsia" w:ascii="宋体" w:hAnsi="宋体" w:cs="宋体"/>
          <w:kern w:val="0"/>
          <w:szCs w:val="21"/>
          <w:highlight w:val="none"/>
        </w:rPr>
        <w:t>自本公告发布之日起5个工作日。</w:t>
      </w:r>
    </w:p>
    <w:p>
      <w:pPr>
        <w:pStyle w:val="4"/>
        <w:numPr>
          <w:ilvl w:val="0"/>
          <w:numId w:val="3"/>
        </w:numPr>
        <w:spacing w:before="0" w:after="0" w:line="420" w:lineRule="exact"/>
        <w:rPr>
          <w:rFonts w:ascii="宋体" w:hAnsi="宋体" w:eastAsia="宋体" w:cs="宋体"/>
          <w:bCs w:val="0"/>
          <w:sz w:val="21"/>
          <w:szCs w:val="21"/>
          <w:highlight w:val="none"/>
        </w:rPr>
      </w:pPr>
      <w:bookmarkStart w:id="21" w:name="_Toc35393626"/>
      <w:bookmarkStart w:id="22" w:name="_Toc35393795"/>
      <w:r>
        <w:rPr>
          <w:rFonts w:hint="eastAsia" w:ascii="宋体" w:hAnsi="宋体" w:eastAsia="宋体" w:cs="宋体"/>
          <w:bCs w:val="0"/>
          <w:sz w:val="21"/>
          <w:szCs w:val="21"/>
          <w:highlight w:val="none"/>
        </w:rPr>
        <w:t>其他补充事宜</w:t>
      </w:r>
      <w:bookmarkEnd w:id="21"/>
      <w:bookmarkEnd w:id="22"/>
    </w:p>
    <w:p>
      <w:pPr>
        <w:spacing w:line="420" w:lineRule="exact"/>
        <w:ind w:firstLine="212" w:firstLineChars="100"/>
        <w:rPr>
          <w:rFonts w:ascii="宋体" w:hAnsi="宋体" w:cs="宋体"/>
          <w:szCs w:val="21"/>
          <w:highlight w:val="none"/>
        </w:rPr>
      </w:pPr>
      <w:r>
        <w:rPr>
          <w:rFonts w:hint="eastAsia" w:ascii="宋体" w:hAnsi="宋体" w:cs="宋体"/>
          <w:szCs w:val="21"/>
          <w:highlight w:val="none"/>
        </w:rPr>
        <w:t>1.投标人认为招标文件、采购过程、中标结果使自己的权益受到损害的，可以在知道或者应知其权益受到损害之日起七个工作日内，以书面形式向采购人和采购代理机构提出质疑（投标人在法定质疑期内一次性提出针对同一采购程序环节的质疑）。质疑投标人对采购人、采购代理机构的答复不满意或者采购人、采购代理机构未在规定的时间内作出答复的，可以在答复期满后十五个工作日内向同级政府采购监管部门投诉。质疑函范本、投诉书范本请到浙江政府采购网下载专区下载。</w:t>
      </w:r>
    </w:p>
    <w:p>
      <w:pPr>
        <w:spacing w:line="420" w:lineRule="exact"/>
        <w:ind w:firstLine="212" w:firstLineChars="100"/>
        <w:rPr>
          <w:rFonts w:ascii="宋体" w:hAnsi="宋体" w:cs="宋体"/>
          <w:b/>
          <w:color w:val="000000" w:themeColor="text1"/>
          <w:szCs w:val="21"/>
          <w:highlight w:val="none"/>
          <w14:textFill>
            <w14:solidFill>
              <w14:schemeClr w14:val="tx1"/>
            </w14:solidFill>
          </w14:textFill>
        </w:rPr>
      </w:pPr>
      <w:r>
        <w:rPr>
          <w:rFonts w:hint="eastAsia" w:ascii="宋体" w:hAnsi="宋体" w:cs="宋体"/>
          <w:szCs w:val="21"/>
          <w:highlight w:val="none"/>
        </w:rPr>
        <w:t>2.采购信息发布媒介：浙江政府采购网（http://zfcg.czt.zj.gov.cn/）、衢江区公共资源交易网（ www.qjggzy.com  ）。</w:t>
      </w:r>
    </w:p>
    <w:p>
      <w:pPr>
        <w:widowControl/>
        <w:adjustRightInd w:val="0"/>
        <w:snapToGrid w:val="0"/>
        <w:spacing w:line="420" w:lineRule="exact"/>
        <w:ind w:firstLine="212" w:firstLineChars="100"/>
        <w:jc w:val="left"/>
        <w:rPr>
          <w:rFonts w:ascii="宋体" w:hAnsi="宋体" w:cs="宋体"/>
          <w:b/>
          <w:color w:val="000000" w:themeColor="text1"/>
          <w:kern w:val="0"/>
          <w:szCs w:val="21"/>
          <w:highlight w:val="none"/>
          <w14:textFill>
            <w14:solidFill>
              <w14:schemeClr w14:val="tx1"/>
            </w14:solidFill>
          </w14:textFill>
        </w:rPr>
      </w:pPr>
      <w:r>
        <w:rPr>
          <w:rFonts w:hint="eastAsia" w:ascii="宋体" w:hAnsi="宋体" w:cs="宋体"/>
          <w:b/>
          <w:color w:val="000000" w:themeColor="text1"/>
          <w:kern w:val="0"/>
          <w:szCs w:val="21"/>
          <w:highlight w:val="none"/>
          <w14:textFill>
            <w14:solidFill>
              <w14:schemeClr w14:val="tx1"/>
            </w14:solidFill>
          </w14:textFill>
        </w:rPr>
        <w:t>3.在线投标（电子投标）说明</w:t>
      </w:r>
    </w:p>
    <w:p>
      <w:pPr>
        <w:pStyle w:val="22"/>
        <w:spacing w:beforeAutospacing="0" w:afterAutospacing="0" w:line="420" w:lineRule="exact"/>
        <w:ind w:firstLine="424" w:firstLineChars="200"/>
        <w:rPr>
          <w:rFonts w:cs="宋体"/>
          <w:sz w:val="21"/>
          <w:szCs w:val="21"/>
          <w:highlight w:val="none"/>
        </w:rPr>
      </w:pPr>
      <w:r>
        <w:rPr>
          <w:rFonts w:hint="eastAsia" w:cs="宋体"/>
          <w:sz w:val="21"/>
          <w:szCs w:val="21"/>
          <w:highlight w:val="none"/>
        </w:rPr>
        <w:t>3.1本项目实行电子招投标，投标人应按照本项目招标文件和政采云平台的要求编制、加密并递交投标文件。投标人在使用系统进行投标的过程中遇到涉及平台使用的任何问题，可致电政采云平台技术支持热线咨询，联系方式：400-881-7190。</w:t>
      </w:r>
    </w:p>
    <w:p>
      <w:pPr>
        <w:pStyle w:val="22"/>
        <w:spacing w:beforeAutospacing="0" w:afterAutospacing="0" w:line="420" w:lineRule="exact"/>
        <w:ind w:firstLine="424" w:firstLineChars="200"/>
        <w:rPr>
          <w:rFonts w:cs="宋体"/>
          <w:b/>
          <w:bCs/>
          <w:color w:val="000000" w:themeColor="text1"/>
          <w:sz w:val="21"/>
          <w:szCs w:val="21"/>
          <w:highlight w:val="none"/>
          <w14:textFill>
            <w14:solidFill>
              <w14:schemeClr w14:val="tx1"/>
            </w14:solidFill>
          </w14:textFill>
        </w:rPr>
      </w:pPr>
      <w:r>
        <w:rPr>
          <w:rFonts w:hint="eastAsia" w:cs="宋体"/>
          <w:b/>
          <w:bCs/>
          <w:color w:val="000000" w:themeColor="text1"/>
          <w:sz w:val="21"/>
          <w:szCs w:val="21"/>
          <w:highlight w:val="none"/>
          <w14:textFill>
            <w14:solidFill>
              <w14:schemeClr w14:val="tx1"/>
            </w14:solidFill>
          </w14:textFill>
        </w:rPr>
        <w:t>3.2电子交易平台为“政府采购云平台（http://zfcg.czt.zj.gov.cn/）”，供应商在投标前，应注册成为政府采购云平台正式供应商。编制电子投标文件前还需申领CA证书并绑定帐号，确保在电子投标过程中能够对相关数据电文进行加密和使用电子签章。供应商应充分考虑完成平台注册、申领CA证书等所需的时间。CA数字证书办理流程详见</w:t>
      </w:r>
      <w:r>
        <w:rPr>
          <w:highlight w:val="none"/>
        </w:rPr>
        <w:fldChar w:fldCharType="begin"/>
      </w:r>
      <w:r>
        <w:rPr>
          <w:highlight w:val="none"/>
        </w:rPr>
        <w:instrText xml:space="preserve"> HYPERLINK "http://zfcg.czt.zj.gov.cn/bidClientTemplate/2019-05-27/12945.html" </w:instrText>
      </w:r>
      <w:r>
        <w:rPr>
          <w:highlight w:val="none"/>
        </w:rPr>
        <w:fldChar w:fldCharType="separate"/>
      </w:r>
      <w:r>
        <w:rPr>
          <w:rStyle w:val="30"/>
          <w:rFonts w:hint="eastAsia" w:cs="宋体"/>
          <w:color w:val="000000" w:themeColor="text1"/>
          <w:sz w:val="21"/>
          <w:szCs w:val="21"/>
          <w:highlight w:val="none"/>
          <w14:textFill>
            <w14:solidFill>
              <w14:schemeClr w14:val="tx1"/>
            </w14:solidFill>
          </w14:textFill>
        </w:rPr>
        <w:t>http://zfcg.czt.zj.gov.cn/bidClientTemplate/2019-05-27/12945.html</w:t>
      </w:r>
      <w:r>
        <w:rPr>
          <w:rStyle w:val="30"/>
          <w:rFonts w:hint="eastAsia" w:cs="宋体"/>
          <w:color w:val="000000" w:themeColor="text1"/>
          <w:sz w:val="21"/>
          <w:szCs w:val="21"/>
          <w:highlight w:val="none"/>
          <w14:textFill>
            <w14:solidFill>
              <w14:schemeClr w14:val="tx1"/>
            </w14:solidFill>
          </w14:textFill>
        </w:rPr>
        <w:fldChar w:fldCharType="end"/>
      </w:r>
      <w:r>
        <w:rPr>
          <w:rFonts w:hint="eastAsia" w:cs="宋体"/>
          <w:b/>
          <w:bCs/>
          <w:color w:val="000000" w:themeColor="text1"/>
          <w:sz w:val="21"/>
          <w:szCs w:val="21"/>
          <w:highlight w:val="none"/>
          <w14:textFill>
            <w14:solidFill>
              <w14:schemeClr w14:val="tx1"/>
            </w14:solidFill>
          </w14:textFill>
        </w:rPr>
        <w:t>。完成CA数字证书办理预计一周左右，建议各投标人抓紧时间办理。</w:t>
      </w:r>
    </w:p>
    <w:p>
      <w:pPr>
        <w:pStyle w:val="22"/>
        <w:spacing w:beforeAutospacing="0" w:afterAutospacing="0" w:line="420" w:lineRule="exact"/>
        <w:ind w:firstLine="424" w:firstLineChars="200"/>
        <w:rPr>
          <w:rFonts w:cs="宋体"/>
          <w:b/>
          <w:bCs/>
          <w:color w:val="000000" w:themeColor="text1"/>
          <w:sz w:val="21"/>
          <w:szCs w:val="21"/>
          <w:highlight w:val="none"/>
          <w14:textFill>
            <w14:solidFill>
              <w14:schemeClr w14:val="tx1"/>
            </w14:solidFill>
          </w14:textFill>
        </w:rPr>
      </w:pPr>
      <w:r>
        <w:rPr>
          <w:rFonts w:hint="eastAsia" w:cs="宋体"/>
          <w:b/>
          <w:bCs/>
          <w:color w:val="000000" w:themeColor="text1"/>
          <w:sz w:val="21"/>
          <w:szCs w:val="21"/>
          <w:highlight w:val="none"/>
          <w14:textFill>
            <w14:solidFill>
              <w14:schemeClr w14:val="tx1"/>
            </w14:solidFill>
          </w14:textFill>
        </w:rPr>
        <w:t>3.3供应商编制电子投标文件应安装“电子交易客户端”软件，并按照本招标文件和电子交易平台的要求编制并加密投标文件。未按规定加密的投标文件，将被电子交易平台拒收。“电子交易客户端”请供应商自行前往“浙江政府采购网— 下载专区 — 电子交易客户端”版块获取（下载网址：</w:t>
      </w:r>
      <w:r>
        <w:rPr>
          <w:highlight w:val="none"/>
        </w:rPr>
        <w:fldChar w:fldCharType="begin"/>
      </w:r>
      <w:r>
        <w:rPr>
          <w:highlight w:val="none"/>
        </w:rPr>
        <w:instrText xml:space="preserve"> HYPERLINK "http://zfcg.czt.zj.gov.cn/bidClientTemplate/2019-09-24/12975.html）。" </w:instrText>
      </w:r>
      <w:r>
        <w:rPr>
          <w:highlight w:val="none"/>
        </w:rPr>
        <w:fldChar w:fldCharType="separate"/>
      </w:r>
      <w:r>
        <w:rPr>
          <w:rStyle w:val="30"/>
          <w:rFonts w:hint="eastAsia" w:cs="宋体"/>
          <w:b/>
          <w:bCs/>
          <w:color w:val="000000" w:themeColor="text1"/>
          <w:sz w:val="21"/>
          <w:szCs w:val="21"/>
          <w:highlight w:val="none"/>
          <w14:textFill>
            <w14:solidFill>
              <w14:schemeClr w14:val="tx1"/>
            </w14:solidFill>
          </w14:textFill>
        </w:rPr>
        <w:t>http://zfcg.czt.zj.gov.cn/bidClientTemplate/2019-09-24/12975.html）。</w:t>
      </w:r>
      <w:r>
        <w:rPr>
          <w:rStyle w:val="30"/>
          <w:rFonts w:hint="eastAsia" w:cs="宋体"/>
          <w:b/>
          <w:bCs/>
          <w:color w:val="000000" w:themeColor="text1"/>
          <w:sz w:val="21"/>
          <w:szCs w:val="21"/>
          <w:highlight w:val="none"/>
          <w14:textFill>
            <w14:solidFill>
              <w14:schemeClr w14:val="tx1"/>
            </w14:solidFill>
          </w14:textFill>
        </w:rPr>
        <w:fldChar w:fldCharType="end"/>
      </w:r>
    </w:p>
    <w:p>
      <w:pPr>
        <w:pStyle w:val="22"/>
        <w:spacing w:beforeAutospacing="0" w:afterAutospacing="0" w:line="420" w:lineRule="exact"/>
        <w:ind w:firstLine="424" w:firstLineChars="200"/>
        <w:rPr>
          <w:rFonts w:cs="宋体"/>
          <w:bCs/>
          <w:sz w:val="21"/>
          <w:szCs w:val="21"/>
          <w:highlight w:val="none"/>
        </w:rPr>
      </w:pPr>
      <w:r>
        <w:rPr>
          <w:rFonts w:hint="eastAsia" w:cs="宋体"/>
          <w:bCs/>
          <w:sz w:val="21"/>
          <w:szCs w:val="21"/>
          <w:highlight w:val="none"/>
        </w:rPr>
        <w:t>3.4电子投标制作具体流程详见政府采购项目电子交易管理操作指南：【请投标供应商点击链接</w:t>
      </w:r>
      <w:r>
        <w:rPr>
          <w:rFonts w:hint="eastAsia" w:cs="宋体"/>
          <w:bCs/>
          <w:sz w:val="21"/>
          <w:szCs w:val="21"/>
          <w:highlight w:val="none"/>
          <w:u w:val="single"/>
        </w:rPr>
        <w:t>https://service.zcygov.cn/#/knowledges/CW1EtGwBFdiHxlNd6I3m/6IMVAG0BFdiHxlNdQ8Na</w:t>
      </w:r>
      <w:r>
        <w:rPr>
          <w:rFonts w:hint="eastAsia" w:cs="宋体"/>
          <w:bCs/>
          <w:sz w:val="21"/>
          <w:szCs w:val="21"/>
          <w:highlight w:val="none"/>
        </w:rPr>
        <w:t>或登录“政府采购云平台（http://zfcg.czt.zj.gov.cn/）”，从首页-服务中心-帮助文档-项目采购-操作流程-电子招投标，查看文档和视频】。</w:t>
      </w:r>
    </w:p>
    <w:p>
      <w:pPr>
        <w:pStyle w:val="22"/>
        <w:spacing w:beforeAutospacing="0" w:afterAutospacing="0" w:line="420" w:lineRule="exact"/>
        <w:ind w:firstLine="424" w:firstLineChars="200"/>
        <w:rPr>
          <w:rFonts w:cs="宋体"/>
          <w:bCs/>
          <w:sz w:val="21"/>
          <w:szCs w:val="21"/>
          <w:highlight w:val="none"/>
        </w:rPr>
      </w:pPr>
      <w:r>
        <w:rPr>
          <w:rFonts w:hint="eastAsia" w:cs="宋体"/>
          <w:b/>
          <w:sz w:val="21"/>
          <w:szCs w:val="21"/>
          <w:highlight w:val="none"/>
        </w:rPr>
        <w:t>3.5本项目投标文件的解密、报价文件确认等所使用的CA必须和制作</w:t>
      </w:r>
      <w:r>
        <w:rPr>
          <w:rFonts w:hint="eastAsia" w:cs="宋体"/>
          <w:b/>
          <w:color w:val="000000"/>
          <w:sz w:val="21"/>
          <w:szCs w:val="21"/>
          <w:highlight w:val="none"/>
          <w:lang w:val="zh-CN"/>
        </w:rPr>
        <w:t>电子加密投标文件时使用的</w:t>
      </w:r>
      <w:r>
        <w:rPr>
          <w:rFonts w:hint="eastAsia" w:cs="宋体"/>
          <w:b/>
          <w:color w:val="000000"/>
          <w:sz w:val="21"/>
          <w:szCs w:val="21"/>
          <w:highlight w:val="none"/>
        </w:rPr>
        <w:t>CA为</w:t>
      </w:r>
      <w:r>
        <w:rPr>
          <w:rFonts w:hint="eastAsia" w:cs="宋体"/>
          <w:b/>
          <w:color w:val="000000"/>
          <w:sz w:val="21"/>
          <w:szCs w:val="21"/>
          <w:highlight w:val="none"/>
          <w:lang w:val="zh-CN"/>
        </w:rPr>
        <w:t>同一个。</w:t>
      </w:r>
    </w:p>
    <w:p>
      <w:pPr>
        <w:pStyle w:val="4"/>
        <w:spacing w:before="0" w:after="0" w:line="420" w:lineRule="exact"/>
        <w:rPr>
          <w:rFonts w:ascii="宋体" w:hAnsi="宋体" w:eastAsia="宋体" w:cs="宋体"/>
          <w:b w:val="0"/>
          <w:sz w:val="21"/>
          <w:szCs w:val="21"/>
          <w:highlight w:val="none"/>
        </w:rPr>
      </w:pPr>
      <w:bookmarkStart w:id="23" w:name="_Toc35393796"/>
      <w:bookmarkStart w:id="24" w:name="_Toc35393627"/>
      <w:bookmarkStart w:id="25" w:name="_Toc28359008"/>
      <w:bookmarkStart w:id="26" w:name="_Toc28359085"/>
      <w:r>
        <w:rPr>
          <w:rFonts w:hint="eastAsia" w:ascii="宋体" w:hAnsi="宋体" w:eastAsia="宋体" w:cs="宋体"/>
          <w:bCs w:val="0"/>
          <w:sz w:val="21"/>
          <w:szCs w:val="21"/>
          <w:highlight w:val="none"/>
        </w:rPr>
        <w:t>七、</w:t>
      </w:r>
      <w:bookmarkEnd w:id="23"/>
      <w:bookmarkEnd w:id="24"/>
      <w:bookmarkEnd w:id="25"/>
      <w:bookmarkEnd w:id="26"/>
      <w:r>
        <w:rPr>
          <w:rStyle w:val="28"/>
          <w:rFonts w:hint="eastAsia" w:ascii="宋体" w:hAnsi="宋体" w:eastAsia="宋体" w:cs="宋体"/>
          <w:b/>
          <w:bCs w:val="0"/>
          <w:color w:val="000000"/>
          <w:sz w:val="21"/>
          <w:szCs w:val="21"/>
          <w:highlight w:val="none"/>
        </w:rPr>
        <w:t>对本次招标提出询问、质疑、投诉，请按以下方式联系。</w:t>
      </w:r>
      <w:r>
        <w:rPr>
          <w:rFonts w:hint="eastAsia" w:ascii="宋体" w:hAnsi="宋体" w:eastAsia="宋体" w:cs="宋体"/>
          <w:bCs w:val="0"/>
          <w:color w:val="000000"/>
          <w:sz w:val="21"/>
          <w:szCs w:val="21"/>
          <w:highlight w:val="none"/>
        </w:rPr>
        <w:t>　</w:t>
      </w:r>
      <w:r>
        <w:rPr>
          <w:rFonts w:hint="eastAsia" w:ascii="宋体" w:hAnsi="宋体" w:eastAsia="宋体" w:cs="宋体"/>
          <w:b w:val="0"/>
          <w:color w:val="000000"/>
          <w:sz w:val="21"/>
          <w:szCs w:val="21"/>
          <w:highlight w:val="none"/>
        </w:rPr>
        <w:t>　</w:t>
      </w:r>
      <w:r>
        <w:rPr>
          <w:rFonts w:hint="eastAsia" w:ascii="宋体" w:hAnsi="宋体" w:eastAsia="宋体" w:cs="宋体"/>
          <w:color w:val="000000"/>
          <w:sz w:val="21"/>
          <w:szCs w:val="21"/>
          <w:highlight w:val="none"/>
        </w:rPr>
        <w:t>　</w:t>
      </w:r>
    </w:p>
    <w:p>
      <w:pPr>
        <w:spacing w:line="420" w:lineRule="exact"/>
        <w:ind w:firstLine="212" w:firstLineChars="100"/>
        <w:rPr>
          <w:rFonts w:ascii="宋体" w:hAnsi="宋体" w:cs="宋体"/>
          <w:szCs w:val="21"/>
          <w:highlight w:val="none"/>
        </w:rPr>
      </w:pPr>
      <w:r>
        <w:rPr>
          <w:rFonts w:hint="eastAsia" w:ascii="宋体" w:hAnsi="宋体" w:cs="宋体"/>
          <w:szCs w:val="21"/>
          <w:highlight w:val="none"/>
        </w:rPr>
        <w:t>　1.采购人信息</w:t>
      </w:r>
    </w:p>
    <w:p>
      <w:pPr>
        <w:spacing w:line="420" w:lineRule="exact"/>
        <w:ind w:firstLine="212" w:firstLineChars="100"/>
        <w:rPr>
          <w:rFonts w:ascii="宋体" w:hAnsi="宋体" w:cs="宋体"/>
          <w:szCs w:val="21"/>
          <w:highlight w:val="none"/>
        </w:rPr>
      </w:pPr>
      <w:r>
        <w:rPr>
          <w:rFonts w:hint="eastAsia" w:ascii="宋体" w:hAnsi="宋体" w:cs="宋体"/>
          <w:szCs w:val="21"/>
          <w:highlight w:val="none"/>
        </w:rPr>
        <w:t>名 称：衢州市衢江区住房和城乡建设局　　　　　　　　　　　</w:t>
      </w:r>
    </w:p>
    <w:p>
      <w:pPr>
        <w:spacing w:line="420" w:lineRule="exact"/>
        <w:ind w:firstLine="212" w:firstLineChars="100"/>
        <w:rPr>
          <w:rFonts w:ascii="宋体" w:hAnsi="宋体" w:cs="宋体"/>
          <w:szCs w:val="21"/>
          <w:highlight w:val="none"/>
        </w:rPr>
      </w:pPr>
      <w:r>
        <w:rPr>
          <w:rFonts w:hint="eastAsia" w:ascii="宋体" w:hAnsi="宋体" w:cs="宋体"/>
          <w:szCs w:val="21"/>
          <w:highlight w:val="none"/>
        </w:rPr>
        <w:t xml:space="preserve">地址：衢州市衢江区仙岩路32号 </w:t>
      </w:r>
    </w:p>
    <w:p>
      <w:pPr>
        <w:spacing w:line="420" w:lineRule="exact"/>
        <w:ind w:firstLine="212" w:firstLineChars="100"/>
        <w:rPr>
          <w:rFonts w:ascii="宋体" w:hAnsi="宋体" w:cs="宋体"/>
          <w:szCs w:val="21"/>
          <w:highlight w:val="none"/>
        </w:rPr>
      </w:pPr>
      <w:r>
        <w:rPr>
          <w:rFonts w:hint="eastAsia" w:ascii="宋体" w:hAnsi="宋体" w:cs="宋体"/>
          <w:szCs w:val="21"/>
          <w:highlight w:val="none"/>
        </w:rPr>
        <w:t>项目联系人（询问）：李工   　　　　　　　　　　</w:t>
      </w:r>
    </w:p>
    <w:p>
      <w:pPr>
        <w:spacing w:line="420" w:lineRule="exact"/>
        <w:ind w:firstLine="212" w:firstLineChars="100"/>
        <w:rPr>
          <w:rFonts w:ascii="宋体" w:hAnsi="宋体" w:cs="宋体"/>
          <w:szCs w:val="21"/>
          <w:highlight w:val="none"/>
        </w:rPr>
      </w:pPr>
      <w:r>
        <w:rPr>
          <w:rFonts w:hint="eastAsia" w:ascii="宋体" w:hAnsi="宋体" w:cs="宋体"/>
          <w:szCs w:val="21"/>
          <w:highlight w:val="none"/>
        </w:rPr>
        <w:t>项目联系方式（询问）：13600506026</w:t>
      </w:r>
    </w:p>
    <w:p>
      <w:pPr>
        <w:spacing w:line="420" w:lineRule="exact"/>
        <w:ind w:firstLine="212" w:firstLineChars="100"/>
        <w:rPr>
          <w:rFonts w:ascii="宋体" w:hAnsi="宋体" w:cs="宋体"/>
          <w:szCs w:val="21"/>
          <w:highlight w:val="none"/>
        </w:rPr>
      </w:pPr>
      <w:r>
        <w:rPr>
          <w:rFonts w:hint="eastAsia" w:ascii="宋体" w:hAnsi="宋体" w:cs="宋体"/>
          <w:szCs w:val="21"/>
          <w:highlight w:val="none"/>
        </w:rPr>
        <w:t>质疑联系人：李建明  </w:t>
      </w:r>
    </w:p>
    <w:p>
      <w:pPr>
        <w:spacing w:line="420" w:lineRule="exact"/>
        <w:ind w:firstLine="212" w:firstLineChars="100"/>
        <w:rPr>
          <w:rFonts w:ascii="宋体" w:hAnsi="宋体" w:cs="宋体"/>
          <w:szCs w:val="21"/>
          <w:highlight w:val="none"/>
        </w:rPr>
      </w:pPr>
      <w:r>
        <w:rPr>
          <w:rFonts w:hint="eastAsia" w:ascii="宋体" w:hAnsi="宋体" w:cs="宋体"/>
          <w:szCs w:val="21"/>
          <w:highlight w:val="none"/>
        </w:rPr>
        <w:t xml:space="preserve">质疑联系方式：0570-2298672　　　　　　　　　　　　　　　　　　　　　 </w:t>
      </w:r>
      <w:bookmarkStart w:id="27" w:name="_Toc28359009"/>
      <w:bookmarkStart w:id="28" w:name="_Toc28359086"/>
    </w:p>
    <w:p>
      <w:pPr>
        <w:spacing w:line="420" w:lineRule="exact"/>
        <w:ind w:firstLine="424" w:firstLineChars="200"/>
        <w:rPr>
          <w:rFonts w:ascii="宋体" w:hAnsi="宋体" w:cs="宋体"/>
          <w:szCs w:val="21"/>
          <w:highlight w:val="none"/>
        </w:rPr>
      </w:pPr>
      <w:r>
        <w:rPr>
          <w:rFonts w:hint="eastAsia" w:ascii="宋体" w:hAnsi="宋体" w:cs="宋体"/>
          <w:szCs w:val="21"/>
          <w:highlight w:val="none"/>
        </w:rPr>
        <w:t>2.采购代理机构信息</w:t>
      </w:r>
      <w:bookmarkEnd w:id="27"/>
      <w:bookmarkEnd w:id="28"/>
    </w:p>
    <w:p>
      <w:pPr>
        <w:spacing w:line="420" w:lineRule="exact"/>
        <w:ind w:firstLine="212" w:firstLineChars="100"/>
        <w:rPr>
          <w:rFonts w:ascii="宋体" w:hAnsi="宋体" w:cs="宋体"/>
          <w:szCs w:val="21"/>
          <w:highlight w:val="none"/>
        </w:rPr>
      </w:pPr>
      <w:r>
        <w:rPr>
          <w:rFonts w:hint="eastAsia" w:ascii="宋体" w:hAnsi="宋体" w:cs="宋体"/>
          <w:szCs w:val="21"/>
          <w:highlight w:val="none"/>
        </w:rPr>
        <w:t>名 称：浙江华耀建设咨询有限公司　　　　　　　　　　</w:t>
      </w:r>
    </w:p>
    <w:p>
      <w:pPr>
        <w:spacing w:line="420" w:lineRule="exact"/>
        <w:ind w:firstLine="212" w:firstLineChars="100"/>
        <w:rPr>
          <w:rFonts w:ascii="宋体" w:hAnsi="宋体" w:cs="宋体"/>
          <w:szCs w:val="21"/>
          <w:highlight w:val="none"/>
        </w:rPr>
      </w:pPr>
      <w:r>
        <w:rPr>
          <w:rFonts w:hint="eastAsia" w:ascii="宋体" w:hAnsi="宋体" w:cs="宋体"/>
          <w:szCs w:val="21"/>
          <w:highlight w:val="none"/>
        </w:rPr>
        <w:t>地　址：衢州市衢江区衢州花园42幢202室</w:t>
      </w:r>
    </w:p>
    <w:p>
      <w:pPr>
        <w:spacing w:line="420" w:lineRule="exact"/>
        <w:ind w:firstLine="212" w:firstLineChars="100"/>
        <w:rPr>
          <w:rFonts w:ascii="宋体" w:hAnsi="宋体" w:cs="宋体"/>
          <w:szCs w:val="21"/>
          <w:highlight w:val="none"/>
        </w:rPr>
      </w:pPr>
      <w:r>
        <w:rPr>
          <w:rFonts w:hint="eastAsia" w:ascii="宋体" w:hAnsi="宋体" w:cs="宋体"/>
          <w:szCs w:val="21"/>
          <w:highlight w:val="none"/>
        </w:rPr>
        <w:t>项目联系人（询问）：张工 　   　　　　　　　　　　　</w:t>
      </w:r>
    </w:p>
    <w:p>
      <w:pPr>
        <w:spacing w:line="420" w:lineRule="exact"/>
        <w:ind w:firstLine="212" w:firstLineChars="100"/>
        <w:rPr>
          <w:rFonts w:ascii="宋体" w:hAnsi="宋体" w:cs="宋体"/>
          <w:szCs w:val="21"/>
          <w:highlight w:val="none"/>
        </w:rPr>
      </w:pPr>
      <w:r>
        <w:rPr>
          <w:rFonts w:hint="eastAsia" w:ascii="宋体" w:hAnsi="宋体" w:cs="宋体"/>
          <w:szCs w:val="21"/>
          <w:highlight w:val="none"/>
        </w:rPr>
        <w:t>项目联系方式（询问）：15157026780</w:t>
      </w:r>
    </w:p>
    <w:p>
      <w:pPr>
        <w:spacing w:line="420" w:lineRule="exact"/>
        <w:ind w:firstLine="212" w:firstLineChars="100"/>
        <w:rPr>
          <w:rFonts w:ascii="宋体" w:hAnsi="宋体" w:cs="宋体"/>
          <w:szCs w:val="21"/>
          <w:highlight w:val="none"/>
        </w:rPr>
      </w:pPr>
      <w:r>
        <w:rPr>
          <w:rFonts w:hint="eastAsia" w:ascii="宋体" w:hAnsi="宋体" w:cs="宋体"/>
          <w:szCs w:val="21"/>
          <w:highlight w:val="none"/>
        </w:rPr>
        <w:t xml:space="preserve">质疑联系人：莫广彦   </w:t>
      </w:r>
    </w:p>
    <w:p>
      <w:pPr>
        <w:spacing w:line="420" w:lineRule="exact"/>
        <w:ind w:firstLine="212" w:firstLineChars="100"/>
        <w:rPr>
          <w:rFonts w:ascii="宋体" w:hAnsi="宋体" w:cs="宋体"/>
          <w:szCs w:val="21"/>
          <w:highlight w:val="none"/>
        </w:rPr>
      </w:pPr>
      <w:r>
        <w:rPr>
          <w:rFonts w:hint="eastAsia" w:ascii="宋体" w:hAnsi="宋体" w:cs="宋体"/>
          <w:szCs w:val="21"/>
          <w:highlight w:val="none"/>
        </w:rPr>
        <w:t>质疑联系方式：13957015082 　　　　　</w:t>
      </w:r>
    </w:p>
    <w:p>
      <w:pPr>
        <w:spacing w:line="420" w:lineRule="exact"/>
        <w:ind w:firstLine="424" w:firstLineChars="200"/>
        <w:rPr>
          <w:rFonts w:ascii="宋体" w:hAnsi="宋体" w:cs="宋体"/>
          <w:szCs w:val="21"/>
          <w:highlight w:val="none"/>
        </w:rPr>
      </w:pPr>
      <w:r>
        <w:rPr>
          <w:rFonts w:hint="eastAsia" w:ascii="宋体" w:hAnsi="宋体" w:cs="宋体"/>
          <w:szCs w:val="21"/>
          <w:highlight w:val="none"/>
        </w:rPr>
        <w:t>3.同级政府采购监管部门：</w:t>
      </w:r>
    </w:p>
    <w:p>
      <w:pPr>
        <w:spacing w:line="420" w:lineRule="exact"/>
        <w:ind w:firstLine="212" w:firstLineChars="100"/>
        <w:rPr>
          <w:rFonts w:ascii="宋体" w:hAnsi="宋体" w:cs="宋体"/>
          <w:szCs w:val="21"/>
          <w:highlight w:val="none"/>
        </w:rPr>
      </w:pPr>
      <w:r>
        <w:rPr>
          <w:rFonts w:hint="eastAsia" w:ascii="宋体" w:hAnsi="宋体" w:cs="宋体"/>
          <w:szCs w:val="21"/>
          <w:highlight w:val="none"/>
        </w:rPr>
        <w:t>名 称：衢州市衢江区政府采购管理办公室</w:t>
      </w:r>
    </w:p>
    <w:p>
      <w:pPr>
        <w:spacing w:line="420" w:lineRule="exact"/>
        <w:ind w:firstLine="212" w:firstLineChars="100"/>
        <w:rPr>
          <w:rFonts w:ascii="宋体" w:hAnsi="宋体" w:cs="宋体"/>
          <w:szCs w:val="21"/>
          <w:highlight w:val="none"/>
        </w:rPr>
      </w:pPr>
      <w:r>
        <w:rPr>
          <w:rFonts w:hint="eastAsia" w:ascii="宋体" w:hAnsi="宋体" w:cs="宋体"/>
          <w:szCs w:val="21"/>
          <w:highlight w:val="none"/>
        </w:rPr>
        <w:t>联系人：杨女士</w:t>
      </w:r>
    </w:p>
    <w:p>
      <w:pPr>
        <w:spacing w:line="420" w:lineRule="exact"/>
        <w:ind w:firstLine="212" w:firstLineChars="100"/>
        <w:rPr>
          <w:rFonts w:ascii="宋体" w:hAnsi="宋体" w:cs="宋体"/>
          <w:szCs w:val="21"/>
          <w:highlight w:val="none"/>
        </w:rPr>
      </w:pPr>
      <w:r>
        <w:rPr>
          <w:rFonts w:hint="eastAsia" w:ascii="宋体" w:hAnsi="宋体" w:cs="宋体"/>
          <w:szCs w:val="21"/>
          <w:highlight w:val="none"/>
        </w:rPr>
        <w:t>监督投诉电话：0570-8762709</w:t>
      </w:r>
    </w:p>
    <w:p>
      <w:pPr>
        <w:wordWrap w:val="0"/>
        <w:spacing w:line="420" w:lineRule="exact"/>
        <w:ind w:right="420"/>
        <w:rPr>
          <w:rFonts w:ascii="宋体" w:hAnsi="宋体" w:cs="宋体"/>
          <w:b/>
          <w:color w:val="000000" w:themeColor="text1"/>
          <w:sz w:val="36"/>
          <w:szCs w:val="36"/>
          <w:highlight w:val="none"/>
          <w:lang w:val="zh-CN"/>
          <w14:textFill>
            <w14:solidFill>
              <w14:schemeClr w14:val="tx1"/>
            </w14:solidFill>
          </w14:textFill>
        </w:rPr>
      </w:pPr>
    </w:p>
    <w:p>
      <w:pPr>
        <w:pStyle w:val="9"/>
        <w:rPr>
          <w:highlight w:val="none"/>
        </w:rPr>
      </w:pPr>
    </w:p>
    <w:p>
      <w:pPr>
        <w:rPr>
          <w:highlight w:val="none"/>
          <w:lang w:val="zh-CN"/>
        </w:rPr>
      </w:pPr>
    </w:p>
    <w:p>
      <w:pPr>
        <w:pStyle w:val="24"/>
        <w:rPr>
          <w:highlight w:val="none"/>
        </w:rPr>
      </w:pPr>
    </w:p>
    <w:p>
      <w:pPr>
        <w:pStyle w:val="24"/>
        <w:rPr>
          <w:highlight w:val="none"/>
        </w:rPr>
      </w:pPr>
    </w:p>
    <w:p>
      <w:pPr>
        <w:pStyle w:val="24"/>
        <w:rPr>
          <w:highlight w:val="none"/>
        </w:rPr>
      </w:pPr>
    </w:p>
    <w:p>
      <w:pPr>
        <w:rPr>
          <w:highlight w:val="none"/>
          <w:lang w:val="zh-CN"/>
        </w:rPr>
      </w:pPr>
    </w:p>
    <w:p>
      <w:pPr>
        <w:numPr>
          <w:ilvl w:val="0"/>
          <w:numId w:val="4"/>
        </w:numPr>
        <w:tabs>
          <w:tab w:val="left" w:pos="900"/>
        </w:tabs>
        <w:spacing w:line="440" w:lineRule="exact"/>
        <w:rPr>
          <w:rFonts w:ascii="宋体" w:hAnsi="宋体" w:cs="宋体"/>
          <w:b/>
          <w:color w:val="000000" w:themeColor="text1"/>
          <w:sz w:val="36"/>
          <w:szCs w:val="36"/>
          <w:highlight w:val="none"/>
          <w:lang w:val="zh-CN"/>
          <w14:textFill>
            <w14:solidFill>
              <w14:schemeClr w14:val="tx1"/>
            </w14:solidFill>
          </w14:textFill>
        </w:rPr>
      </w:pPr>
      <w:r>
        <w:rPr>
          <w:rFonts w:hint="eastAsia" w:ascii="宋体" w:hAnsi="宋体" w:cs="宋体"/>
          <w:b/>
          <w:color w:val="000000" w:themeColor="text1"/>
          <w:sz w:val="36"/>
          <w:szCs w:val="36"/>
          <w:highlight w:val="none"/>
          <w14:textFill>
            <w14:solidFill>
              <w14:schemeClr w14:val="tx1"/>
            </w14:solidFill>
          </w14:textFill>
        </w:rPr>
        <w:t xml:space="preserve"> </w:t>
      </w:r>
      <w:r>
        <w:rPr>
          <w:rFonts w:hint="eastAsia" w:ascii="宋体" w:hAnsi="宋体" w:cs="宋体"/>
          <w:b/>
          <w:color w:val="000000" w:themeColor="text1"/>
          <w:sz w:val="36"/>
          <w:szCs w:val="36"/>
          <w:highlight w:val="none"/>
          <w:lang w:val="zh-CN"/>
          <w14:textFill>
            <w14:solidFill>
              <w14:schemeClr w14:val="tx1"/>
            </w14:solidFill>
          </w14:textFill>
        </w:rPr>
        <w:t>投标人须知</w:t>
      </w:r>
    </w:p>
    <w:p>
      <w:pPr>
        <w:pStyle w:val="24"/>
        <w:spacing w:line="240" w:lineRule="atLeast"/>
        <w:ind w:firstLine="212" w:firstLineChars="100"/>
        <w:rPr>
          <w:rFonts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须知前附表</w:t>
      </w:r>
    </w:p>
    <w:tbl>
      <w:tblPr>
        <w:tblStyle w:val="25"/>
        <w:tblpPr w:leftFromText="180" w:rightFromText="180" w:vertAnchor="text" w:horzAnchor="page" w:tblpX="1091" w:tblpY="424"/>
        <w:tblOverlap w:val="never"/>
        <w:tblW w:w="961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3"/>
        <w:gridCol w:w="1787"/>
        <w:gridCol w:w="70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63"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序号</w:t>
            </w:r>
          </w:p>
        </w:tc>
        <w:tc>
          <w:tcPr>
            <w:tcW w:w="1787"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名称</w:t>
            </w:r>
          </w:p>
        </w:tc>
        <w:tc>
          <w:tcPr>
            <w:tcW w:w="706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1</w:t>
            </w:r>
          </w:p>
        </w:tc>
        <w:tc>
          <w:tcPr>
            <w:tcW w:w="17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项目名称</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cstheme="minorEastAsia"/>
                <w:bCs/>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衢江区集镇污水处理厂运维项目运维单位采购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2</w:t>
            </w:r>
          </w:p>
        </w:tc>
        <w:tc>
          <w:tcPr>
            <w:tcW w:w="17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采购预算价</w:t>
            </w:r>
          </w:p>
        </w:tc>
        <w:tc>
          <w:tcPr>
            <w:tcW w:w="7060" w:type="dxa"/>
            <w:tcBorders>
              <w:top w:val="single" w:color="auto" w:sz="4" w:space="0"/>
              <w:left w:val="single" w:color="auto" w:sz="4" w:space="0"/>
              <w:bottom w:val="single" w:color="auto" w:sz="4" w:space="0"/>
              <w:right w:val="single" w:color="auto" w:sz="4" w:space="0"/>
            </w:tcBorders>
            <w:vAlign w:val="center"/>
          </w:tcPr>
          <w:p>
            <w:pPr>
              <w:snapToGrid w:val="0"/>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421.47万元/年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3</w:t>
            </w:r>
          </w:p>
        </w:tc>
        <w:tc>
          <w:tcPr>
            <w:tcW w:w="17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合同期限</w:t>
            </w:r>
          </w:p>
        </w:tc>
        <w:tc>
          <w:tcPr>
            <w:tcW w:w="7060" w:type="dxa"/>
            <w:tcBorders>
              <w:top w:val="single" w:color="auto" w:sz="4" w:space="0"/>
              <w:left w:val="single" w:color="auto" w:sz="4" w:space="0"/>
              <w:bottom w:val="single" w:color="auto" w:sz="4" w:space="0"/>
              <w:right w:val="single" w:color="auto" w:sz="4" w:space="0"/>
            </w:tcBorders>
            <w:vAlign w:val="center"/>
          </w:tcPr>
          <w:p>
            <w:pPr>
              <w:snapToGrid w:val="0"/>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3年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4</w:t>
            </w:r>
          </w:p>
        </w:tc>
        <w:tc>
          <w:tcPr>
            <w:tcW w:w="17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现场踏勘</w:t>
            </w:r>
          </w:p>
        </w:tc>
        <w:tc>
          <w:tcPr>
            <w:tcW w:w="7060" w:type="dxa"/>
            <w:tcBorders>
              <w:top w:val="single" w:color="auto" w:sz="4" w:space="0"/>
              <w:left w:val="single" w:color="auto" w:sz="4" w:space="0"/>
              <w:bottom w:val="single" w:color="auto" w:sz="4" w:space="0"/>
              <w:right w:val="single" w:color="auto" w:sz="4" w:space="0"/>
            </w:tcBorders>
            <w:vAlign w:val="center"/>
          </w:tcPr>
          <w:p>
            <w:pPr>
              <w:snapToGrid w:val="0"/>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5</w:t>
            </w:r>
          </w:p>
        </w:tc>
        <w:tc>
          <w:tcPr>
            <w:tcW w:w="17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投标报价</w:t>
            </w:r>
          </w:p>
        </w:tc>
        <w:tc>
          <w:tcPr>
            <w:tcW w:w="7060" w:type="dxa"/>
            <w:tcBorders>
              <w:top w:val="single" w:color="auto" w:sz="4" w:space="0"/>
              <w:left w:val="single" w:color="auto" w:sz="4" w:space="0"/>
              <w:bottom w:val="single" w:color="auto" w:sz="4" w:space="0"/>
              <w:right w:val="single" w:color="auto" w:sz="4" w:space="0"/>
            </w:tcBorders>
            <w:vAlign w:val="center"/>
          </w:tcPr>
          <w:p>
            <w:pPr>
              <w:snapToGrid w:val="0"/>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5.1本项目投标应以人民币报价；</w:t>
            </w:r>
          </w:p>
          <w:p>
            <w:pPr>
              <w:snapToGrid w:val="0"/>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5.2不论投标结果如何，投标人均应自行承担所有与投标有关的全部费用。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6</w:t>
            </w:r>
          </w:p>
        </w:tc>
        <w:tc>
          <w:tcPr>
            <w:tcW w:w="178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heme="minorEastAsia" w:hAnsiTheme="minorEastAsia" w:eastAsiaTheme="minorEastAsia" w:cstheme="minorEastAsia"/>
                <w:bCs/>
                <w:color w:val="000000" w:themeColor="text1"/>
                <w:kern w:val="0"/>
                <w:szCs w:val="21"/>
                <w:highlight w:val="none"/>
                <w:lang w:val="zh-CN"/>
                <w14:textFill>
                  <w14:solidFill>
                    <w14:schemeClr w14:val="tx1"/>
                  </w14:solidFill>
                </w14:textFill>
              </w:rPr>
            </w:pPr>
            <w:r>
              <w:rPr>
                <w:rFonts w:hint="eastAsia" w:asciiTheme="minorEastAsia" w:hAnsiTheme="minorEastAsia" w:eastAsiaTheme="minorEastAsia" w:cstheme="minorEastAsia"/>
                <w:bCs/>
                <w:color w:val="000000" w:themeColor="text1"/>
                <w:kern w:val="0"/>
                <w:szCs w:val="21"/>
                <w:highlight w:val="none"/>
                <w:lang w:val="zh-CN"/>
                <w14:textFill>
                  <w14:solidFill>
                    <w14:schemeClr w14:val="tx1"/>
                  </w14:solidFill>
                </w14:textFill>
              </w:rPr>
              <w:t>评标委员会</w:t>
            </w:r>
          </w:p>
          <w:p>
            <w:pPr>
              <w:autoSpaceDE w:val="0"/>
              <w:autoSpaceDN w:val="0"/>
              <w:adjustRightInd w:val="0"/>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kern w:val="0"/>
                <w:szCs w:val="21"/>
                <w:highlight w:val="none"/>
                <w:lang w:val="zh-CN"/>
                <w14:textFill>
                  <w14:solidFill>
                    <w14:schemeClr w14:val="tx1"/>
                  </w14:solidFill>
                </w14:textFill>
              </w:rPr>
              <w:t>的组建</w:t>
            </w:r>
          </w:p>
        </w:tc>
        <w:tc>
          <w:tcPr>
            <w:tcW w:w="706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cstheme="minorEastAsia"/>
                <w:bCs/>
                <w:color w:val="000000" w:themeColor="text1"/>
                <w:kern w:val="0"/>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kern w:val="0"/>
                <w:szCs w:val="21"/>
                <w:highlight w:val="none"/>
                <w14:textFill>
                  <w14:solidFill>
                    <w14:schemeClr w14:val="tx1"/>
                  </w14:solidFill>
                </w14:textFill>
              </w:rPr>
              <w:t>6.1按规定组建评标委员会。</w:t>
            </w:r>
          </w:p>
          <w:p>
            <w:pPr>
              <w:snapToGrid w:val="0"/>
              <w:spacing w:line="320" w:lineRule="exact"/>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kern w:val="0"/>
                <w:szCs w:val="21"/>
                <w:highlight w:val="none"/>
                <w14:textFill>
                  <w14:solidFill>
                    <w14:schemeClr w14:val="tx1"/>
                  </w14:solidFill>
                </w14:textFill>
              </w:rPr>
              <w:t>6.2评标专家确定方式：共7人组成，从政采云平台专家库中随机抽取产生。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7</w:t>
            </w:r>
          </w:p>
        </w:tc>
        <w:tc>
          <w:tcPr>
            <w:tcW w:w="178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heme="minorEastAsia" w:hAnsiTheme="minorEastAsia" w:eastAsiaTheme="minorEastAsia" w:cstheme="minorEastAsia"/>
                <w:bCs/>
                <w:color w:val="000000" w:themeColor="text1"/>
                <w:kern w:val="0"/>
                <w:szCs w:val="21"/>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投标文件组成</w:t>
            </w:r>
          </w:p>
        </w:tc>
        <w:tc>
          <w:tcPr>
            <w:tcW w:w="7060" w:type="dxa"/>
            <w:tcBorders>
              <w:top w:val="single" w:color="auto" w:sz="4" w:space="0"/>
              <w:left w:val="single" w:color="auto" w:sz="4" w:space="0"/>
              <w:bottom w:val="single" w:color="auto" w:sz="4" w:space="0"/>
              <w:right w:val="single" w:color="auto" w:sz="4" w:space="0"/>
            </w:tcBorders>
            <w:vAlign w:val="center"/>
          </w:tcPr>
          <w:p>
            <w:pPr>
              <w:pStyle w:val="24"/>
              <w:spacing w:line="360" w:lineRule="auto"/>
              <w:ind w:firstLine="0"/>
              <w:rPr>
                <w:rFonts w:asciiTheme="minorEastAsia" w:hAnsiTheme="minorEastAsia" w:eastAsiaTheme="minorEastAsia" w:cstheme="minorEastAsia"/>
                <w:bCs/>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投标文件由资格证明文件、商务及技术文件、报价文件组成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8</w:t>
            </w:r>
          </w:p>
        </w:tc>
        <w:tc>
          <w:tcPr>
            <w:tcW w:w="178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投标文件编制</w:t>
            </w:r>
          </w:p>
        </w:tc>
        <w:tc>
          <w:tcPr>
            <w:tcW w:w="70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left="320" w:hanging="318" w:hangingChars="150"/>
              <w:jc w:val="left"/>
              <w:rPr>
                <w:rFonts w:asciiTheme="minorEastAsia" w:hAnsiTheme="minorEastAsia" w:eastAsiaTheme="minorEastAsia" w:cstheme="minorEastAsia"/>
                <w:b/>
                <w:bCs/>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Cs w:val="21"/>
                <w:highlight w:val="none"/>
                <w14:textFill>
                  <w14:solidFill>
                    <w14:schemeClr w14:val="tx1"/>
                  </w14:solidFill>
                </w14:textFill>
              </w:rPr>
              <w:t>8.1“电子加密投标文件”：</w:t>
            </w:r>
          </w:p>
          <w:p>
            <w:pPr>
              <w:autoSpaceDE w:val="0"/>
              <w:autoSpaceDN w:val="0"/>
              <w:adjustRightInd w:val="0"/>
              <w:spacing w:line="400" w:lineRule="exact"/>
              <w:ind w:left="531" w:hanging="530" w:hangingChars="250"/>
              <w:jc w:val="left"/>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8.1.1“电子加密投标文件”是指通过“政采云电子交易客户端”完成投标文件编制后生成并加密的数据电文形式的投标文件。</w:t>
            </w:r>
          </w:p>
          <w:p>
            <w:pPr>
              <w:spacing w:line="400" w:lineRule="exact"/>
              <w:ind w:left="531" w:hanging="530" w:hangingChars="250"/>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8.1.2供应商应先安装“政采云电子交易客户端”，并按照本招标文件和“政府采购云平台”的要求，通过“政采云电子交易客户端”编制并加密投标文件。</w:t>
            </w:r>
          </w:p>
          <w:p>
            <w:pPr>
              <w:spacing w:line="400" w:lineRule="exact"/>
              <w:ind w:left="320" w:hanging="318" w:hangingChars="150"/>
              <w:rPr>
                <w:rFonts w:asciiTheme="minorEastAsia" w:hAnsiTheme="minorEastAsia" w:eastAsiaTheme="minorEastAsia" w:cstheme="minorEastAsia"/>
                <w:b/>
                <w:bCs/>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Cs w:val="21"/>
                <w:highlight w:val="none"/>
                <w14:textFill>
                  <w14:solidFill>
                    <w14:schemeClr w14:val="tx1"/>
                  </w14:solidFill>
                </w14:textFill>
              </w:rPr>
              <w:t>8.2“电子备份投标文件”：</w:t>
            </w:r>
          </w:p>
          <w:p>
            <w:pPr>
              <w:spacing w:line="400" w:lineRule="exact"/>
              <w:ind w:left="531" w:hanging="530" w:hangingChars="250"/>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8.2.1“电子备份投标文件”是指与“电子加密投标文件”同时生成的数据电文形式的电子文件。</w:t>
            </w:r>
          </w:p>
          <w:p>
            <w:pPr>
              <w:spacing w:line="400" w:lineRule="exact"/>
              <w:ind w:left="319" w:hanging="318" w:hangingChars="150"/>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8.2.2供应商可自主选择是否编制“电子备份投标文件”。</w:t>
            </w:r>
          </w:p>
          <w:p>
            <w:pPr>
              <w:snapToGrid w:val="0"/>
              <w:spacing w:line="400" w:lineRule="exact"/>
              <w:rPr>
                <w:rFonts w:asciiTheme="minorEastAsia" w:hAnsiTheme="minorEastAsia" w:eastAsiaTheme="minorEastAsia" w:cstheme="minorEastAsia"/>
                <w:bCs/>
                <w:color w:val="000000" w:themeColor="text1"/>
                <w:kern w:val="0"/>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8.2.3其他方式编制的备份投标文件视为无效备份投标文件。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76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left="319" w:hanging="318" w:hangingChars="150"/>
              <w:jc w:val="left"/>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9</w:t>
            </w:r>
          </w:p>
        </w:tc>
        <w:tc>
          <w:tcPr>
            <w:tcW w:w="178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left="319" w:hanging="318" w:hangingChars="150"/>
              <w:jc w:val="left"/>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投标文件签章</w:t>
            </w:r>
          </w:p>
        </w:tc>
        <w:tc>
          <w:tcPr>
            <w:tcW w:w="70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left="319" w:hanging="318" w:hangingChars="150"/>
              <w:jc w:val="left"/>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采用电子签章。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6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10</w:t>
            </w:r>
          </w:p>
        </w:tc>
        <w:tc>
          <w:tcPr>
            <w:tcW w:w="178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投标文件递交</w:t>
            </w:r>
          </w:p>
        </w:tc>
        <w:tc>
          <w:tcPr>
            <w:tcW w:w="7060"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left"/>
              <w:rPr>
                <w:rFonts w:asciiTheme="minorEastAsia" w:hAnsiTheme="minorEastAsia" w:eastAsiaTheme="minorEastAsia" w:cstheme="minorEastAsia"/>
                <w:b/>
                <w:bCs/>
                <w:color w:val="000000" w:themeColor="text1"/>
                <w:szCs w:val="21"/>
                <w:highlight w:val="none"/>
                <w:lang w:val="zh-CN"/>
                <w14:textFill>
                  <w14:solidFill>
                    <w14:schemeClr w14:val="tx1"/>
                  </w14:solidFill>
                </w14:textFill>
              </w:rPr>
            </w:pPr>
            <w:r>
              <w:rPr>
                <w:rFonts w:hint="eastAsia" w:asciiTheme="minorEastAsia" w:hAnsiTheme="minorEastAsia" w:eastAsiaTheme="minorEastAsia" w:cstheme="minorEastAsia"/>
                <w:b/>
                <w:bCs/>
                <w:color w:val="000000" w:themeColor="text1"/>
                <w:szCs w:val="21"/>
                <w:highlight w:val="none"/>
                <w14:textFill>
                  <w14:solidFill>
                    <w14:schemeClr w14:val="tx1"/>
                  </w14:solidFill>
                </w14:textFill>
              </w:rPr>
              <w:t>10.1</w:t>
            </w:r>
            <w:r>
              <w:rPr>
                <w:rFonts w:hint="eastAsia" w:asciiTheme="minorEastAsia" w:hAnsiTheme="minorEastAsia" w:eastAsiaTheme="minorEastAsia" w:cstheme="minorEastAsia"/>
                <w:b/>
                <w:bCs/>
                <w:color w:val="000000" w:themeColor="text1"/>
                <w:szCs w:val="21"/>
                <w:highlight w:val="none"/>
                <w:lang w:val="zh-CN"/>
                <w14:textFill>
                  <w14:solidFill>
                    <w14:schemeClr w14:val="tx1"/>
                  </w14:solidFill>
                </w14:textFill>
              </w:rPr>
              <w:t>“电子加密投标文件”的上传、递交：</w:t>
            </w:r>
          </w:p>
          <w:p>
            <w:pPr>
              <w:widowControl/>
              <w:spacing w:line="300" w:lineRule="atLeast"/>
              <w:jc w:val="left"/>
              <w:rPr>
                <w:rFonts w:asciiTheme="minorEastAsia" w:hAnsiTheme="minorEastAsia" w:eastAsiaTheme="minorEastAsia" w:cstheme="minorEastAsia"/>
                <w:color w:val="000000" w:themeColor="text1"/>
                <w:szCs w:val="21"/>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供应商应在投标截止时间前将“电子加密投标文件”成功上传递交至“政府采购云平台”，否则投标无效。</w:t>
            </w:r>
          </w:p>
          <w:p>
            <w:pPr>
              <w:widowControl/>
              <w:spacing w:line="300" w:lineRule="atLeast"/>
              <w:jc w:val="left"/>
              <w:rPr>
                <w:rFonts w:asciiTheme="minorEastAsia" w:hAnsiTheme="minorEastAsia" w:eastAsiaTheme="minorEastAsia" w:cstheme="minorEastAsia"/>
                <w:b/>
                <w:bCs/>
                <w:color w:val="000000" w:themeColor="text1"/>
                <w:szCs w:val="21"/>
                <w:highlight w:val="none"/>
                <w:lang w:val="zh-CN"/>
                <w14:textFill>
                  <w14:solidFill>
                    <w14:schemeClr w14:val="tx1"/>
                  </w14:solidFill>
                </w14:textFill>
              </w:rPr>
            </w:pPr>
            <w:r>
              <w:rPr>
                <w:rFonts w:hint="eastAsia" w:asciiTheme="minorEastAsia" w:hAnsiTheme="minorEastAsia" w:eastAsiaTheme="minorEastAsia" w:cstheme="minorEastAsia"/>
                <w:b/>
                <w:bCs/>
                <w:color w:val="000000" w:themeColor="text1"/>
                <w:szCs w:val="21"/>
                <w:highlight w:val="none"/>
                <w14:textFill>
                  <w14:solidFill>
                    <w14:schemeClr w14:val="tx1"/>
                  </w14:solidFill>
                </w14:textFill>
              </w:rPr>
              <w:t>10.2</w:t>
            </w:r>
            <w:r>
              <w:rPr>
                <w:rFonts w:hint="eastAsia" w:asciiTheme="minorEastAsia" w:hAnsiTheme="minorEastAsia" w:eastAsiaTheme="minorEastAsia" w:cstheme="minorEastAsia"/>
                <w:b/>
                <w:bCs/>
                <w:color w:val="000000" w:themeColor="text1"/>
                <w:szCs w:val="21"/>
                <w:highlight w:val="none"/>
                <w:lang w:val="zh-CN"/>
                <w14:textFill>
                  <w14:solidFill>
                    <w14:schemeClr w14:val="tx1"/>
                  </w14:solidFill>
                </w14:textFill>
              </w:rPr>
              <w:t>“备份投标文件”的递交：</w:t>
            </w:r>
          </w:p>
          <w:p>
            <w:pPr>
              <w:widowControl/>
              <w:spacing w:line="300" w:lineRule="atLeast"/>
              <w:jc w:val="left"/>
              <w:rPr>
                <w:rFonts w:asciiTheme="minorEastAsia" w:hAnsiTheme="minorEastAsia" w:eastAsiaTheme="minorEastAsia" w:cstheme="minorEastAsia"/>
                <w:color w:val="000000" w:themeColor="text1"/>
                <w:szCs w:val="21"/>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a.投标供应商在“政府采购云平台”完成“电子加密投标文件”的上传递交后，还可以（建议顺丰快递形式）在投标截止时间前递交以介质（U盘）存储形式的 “备份投标文件”；</w:t>
            </w:r>
            <w:r>
              <w:rPr>
                <w:rFonts w:hint="eastAsia" w:asciiTheme="minorEastAsia" w:hAnsiTheme="minorEastAsia" w:eastAsiaTheme="minorEastAsia" w:cstheme="minorEastAsia"/>
                <w:b/>
                <w:bCs/>
                <w:color w:val="000000" w:themeColor="text1"/>
                <w:szCs w:val="21"/>
                <w:highlight w:val="none"/>
                <w:lang w:val="zh-CN"/>
                <w14:textFill>
                  <w14:solidFill>
                    <w14:schemeClr w14:val="tx1"/>
                  </w14:solidFill>
                </w14:textFill>
              </w:rPr>
              <w:t>（衢州市衢江区衢州花园42幢202室张工15157026780收</w:t>
            </w:r>
            <w:r>
              <w:rPr>
                <w:rFonts w:hint="eastAsia" w:asciiTheme="minorEastAsia" w:hAnsiTheme="minorEastAsia" w:eastAsiaTheme="minorEastAsia" w:cstheme="minorEastAsia"/>
                <w:b/>
                <w:bCs/>
                <w:color w:val="000000" w:themeColor="text1"/>
                <w:szCs w:val="21"/>
                <w:highlight w:val="none"/>
                <w14:textFill>
                  <w14:solidFill>
                    <w14:schemeClr w14:val="tx1"/>
                  </w14:solidFill>
                </w14:textFill>
              </w:rPr>
              <w:t>,在开标截至时间前工作日送达</w:t>
            </w:r>
            <w:r>
              <w:rPr>
                <w:rFonts w:hint="eastAsia" w:asciiTheme="minorEastAsia" w:hAnsiTheme="minorEastAsia" w:eastAsiaTheme="minorEastAsia" w:cstheme="minorEastAsia"/>
                <w:b/>
                <w:bCs/>
                <w:color w:val="000000" w:themeColor="text1"/>
                <w:szCs w:val="21"/>
                <w:highlight w:val="none"/>
                <w:lang w:val="zh-CN"/>
                <w14:textFill>
                  <w14:solidFill>
                    <w14:schemeClr w14:val="tx1"/>
                  </w14:solidFill>
                </w14:textFill>
              </w:rPr>
              <w:t>）</w:t>
            </w: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；解密CA必须是上传并制作电子投标文件CA锁。</w:t>
            </w:r>
          </w:p>
          <w:p>
            <w:pPr>
              <w:widowControl/>
              <w:spacing w:line="300" w:lineRule="atLeast"/>
              <w:jc w:val="left"/>
              <w:rPr>
                <w:rFonts w:asciiTheme="minorEastAsia" w:hAnsiTheme="minorEastAsia" w:eastAsiaTheme="minorEastAsia" w:cstheme="minorEastAsia"/>
                <w:color w:val="000000" w:themeColor="text1"/>
                <w:szCs w:val="21"/>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b.“备份投标文件”应当密封包装，并在包装上标注投标项目名称、投标单位名称并加盖公章。没有密封包装或者逾期邮寄送达至投标地点的“备份投标文件”将不予接收；</w:t>
            </w:r>
            <w:r>
              <w:rPr>
                <w:rFonts w:hint="eastAsia" w:asciiTheme="minorEastAsia" w:hAnsiTheme="minorEastAsia" w:eastAsiaTheme="minorEastAsia" w:cstheme="minorEastAsia"/>
                <w:b/>
                <w:bCs/>
                <w:color w:val="000000" w:themeColor="text1"/>
                <w:szCs w:val="21"/>
                <w:highlight w:val="none"/>
                <w:lang w:val="zh-CN"/>
                <w14:textFill>
                  <w14:solidFill>
                    <w14:schemeClr w14:val="tx1"/>
                  </w14:solidFill>
                </w14:textFill>
              </w:rPr>
              <w:t>（邮寄时间为开标截至前工作日）</w:t>
            </w:r>
          </w:p>
          <w:p>
            <w:pPr>
              <w:widowControl/>
              <w:spacing w:line="300" w:lineRule="atLeast"/>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c.通过“政府采购云平台”成功上传递交的“电子加密投标文件”已按时解密的，“备份投标文件”自动失效。投标截止时间前，投标供应商仅递交了“备份投标文件”而未将“电子加密投标文件”成功上传至“政府采购云平台”的，投标无效。投标截止后，在投标有效期内，供应商不能撤销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6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11</w:t>
            </w:r>
          </w:p>
        </w:tc>
        <w:tc>
          <w:tcPr>
            <w:tcW w:w="178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电子加密投标文件的解密和异常情况处理</w:t>
            </w:r>
          </w:p>
        </w:tc>
        <w:tc>
          <w:tcPr>
            <w:tcW w:w="7060"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left"/>
              <w:rPr>
                <w:rFonts w:asciiTheme="minorEastAsia" w:hAnsiTheme="minorEastAsia" w:eastAsiaTheme="minorEastAsia" w:cstheme="minorEastAsia"/>
                <w:color w:val="000000" w:themeColor="text1"/>
                <w:szCs w:val="21"/>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 xml:space="preserve">11.1  </w:t>
            </w: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开标后，采购组织机构将向各供应商发出“电子加密投标文件”的解密通知，各供应商代表应当在接到解密通知后</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30</w:t>
            </w: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分钟内自行完成“电子加密投标文件”的在线解密，超过解密时限，默认供应商自动放弃。</w:t>
            </w:r>
          </w:p>
          <w:p>
            <w:pPr>
              <w:widowControl/>
              <w:spacing w:line="300" w:lineRule="atLeast"/>
              <w:jc w:val="left"/>
              <w:rPr>
                <w:rFonts w:asciiTheme="minorEastAsia" w:hAnsiTheme="minorEastAsia" w:eastAsiaTheme="minorEastAsia" w:cstheme="minorEastAsia"/>
                <w:color w:val="000000" w:themeColor="text1"/>
                <w:szCs w:val="21"/>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 xml:space="preserve">11.2  </w:t>
            </w: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通过“政府采购云平台”成功上传递交的“电子加密投标文件”无法按时解密，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widowControl/>
              <w:spacing w:line="300" w:lineRule="atLeast"/>
              <w:jc w:val="left"/>
              <w:rPr>
                <w:rFonts w:asciiTheme="minorEastAsia" w:hAnsiTheme="minorEastAsia" w:eastAsiaTheme="minorEastAsia" w:cstheme="minorEastAsia"/>
                <w:b/>
                <w:bCs/>
                <w:color w:val="000000" w:themeColor="text1"/>
                <w:szCs w:val="21"/>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 xml:space="preserve">11.3  </w:t>
            </w: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投标截止时间前，供应商仅递交了“备份投标文件”而未将电子加密投标文件上传至“政府采购云平台”的，投标无效。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7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12</w:t>
            </w:r>
          </w:p>
        </w:tc>
        <w:tc>
          <w:tcPr>
            <w:tcW w:w="17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评标办法</w:t>
            </w:r>
          </w:p>
        </w:tc>
        <w:tc>
          <w:tcPr>
            <w:tcW w:w="706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13</w:t>
            </w:r>
          </w:p>
        </w:tc>
        <w:tc>
          <w:tcPr>
            <w:tcW w:w="17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开标时间</w:t>
            </w:r>
          </w:p>
        </w:tc>
        <w:tc>
          <w:tcPr>
            <w:tcW w:w="7060" w:type="dxa"/>
            <w:tcBorders>
              <w:top w:val="single" w:color="auto" w:sz="4" w:space="0"/>
              <w:left w:val="single" w:color="auto" w:sz="4" w:space="0"/>
              <w:bottom w:val="single" w:color="auto" w:sz="4" w:space="0"/>
              <w:right w:val="single" w:color="auto" w:sz="4" w:space="0"/>
            </w:tcBorders>
            <w:vAlign w:val="center"/>
          </w:tcPr>
          <w:p>
            <w:pPr>
              <w:pStyle w:val="22"/>
              <w:spacing w:beforeAutospacing="0" w:afterAutospacing="0" w:line="420" w:lineRule="exact"/>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FF0000"/>
                <w:kern w:val="2"/>
                <w:sz w:val="21"/>
                <w:szCs w:val="21"/>
                <w:highlight w:val="none"/>
                <w:lang w:val="zh-CN"/>
              </w:rPr>
              <w:t>2020年</w:t>
            </w:r>
            <w:r>
              <w:rPr>
                <w:rFonts w:hint="eastAsia" w:asciiTheme="minorEastAsia" w:hAnsiTheme="minorEastAsia" w:eastAsiaTheme="minorEastAsia" w:cstheme="minorEastAsia"/>
                <w:color w:val="FF0000"/>
                <w:kern w:val="2"/>
                <w:sz w:val="21"/>
                <w:szCs w:val="21"/>
                <w:highlight w:val="none"/>
                <w:lang w:val="zh-CN" w:eastAsia="zh-CN"/>
              </w:rPr>
              <w:t>10</w:t>
            </w:r>
            <w:r>
              <w:rPr>
                <w:rFonts w:hint="eastAsia" w:asciiTheme="minorEastAsia" w:hAnsiTheme="minorEastAsia" w:eastAsiaTheme="minorEastAsia" w:cstheme="minorEastAsia"/>
                <w:color w:val="FF0000"/>
                <w:kern w:val="2"/>
                <w:sz w:val="21"/>
                <w:szCs w:val="21"/>
                <w:highlight w:val="none"/>
                <w:lang w:val="zh-CN"/>
              </w:rPr>
              <w:t>月</w:t>
            </w:r>
            <w:r>
              <w:rPr>
                <w:rFonts w:hint="eastAsia" w:asciiTheme="minorEastAsia" w:hAnsiTheme="minorEastAsia" w:eastAsiaTheme="minorEastAsia" w:cstheme="minorEastAsia"/>
                <w:color w:val="FF0000"/>
                <w:kern w:val="2"/>
                <w:sz w:val="21"/>
                <w:szCs w:val="21"/>
                <w:highlight w:val="none"/>
                <w:lang w:val="zh-CN" w:eastAsia="zh-CN"/>
              </w:rPr>
              <w:t>15</w:t>
            </w:r>
            <w:r>
              <w:rPr>
                <w:rFonts w:hint="eastAsia" w:asciiTheme="minorEastAsia" w:hAnsiTheme="minorEastAsia" w:eastAsiaTheme="minorEastAsia" w:cstheme="minorEastAsia"/>
                <w:color w:val="FF0000"/>
                <w:kern w:val="2"/>
                <w:sz w:val="21"/>
                <w:szCs w:val="21"/>
                <w:highlight w:val="none"/>
                <w:lang w:val="zh-CN"/>
              </w:rPr>
              <w:t xml:space="preserve"> 日09:30（</w:t>
            </w:r>
            <w:r>
              <w:rPr>
                <w:rFonts w:hint="eastAsia" w:cs="宋体"/>
                <w:color w:val="FF0000"/>
                <w:sz w:val="21"/>
                <w:szCs w:val="21"/>
                <w:highlight w:val="none"/>
              </w:rPr>
              <w:t>北京时间）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2" w:hRule="atLeast"/>
        </w:trPr>
        <w:tc>
          <w:tcPr>
            <w:tcW w:w="7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14</w:t>
            </w:r>
          </w:p>
        </w:tc>
        <w:tc>
          <w:tcPr>
            <w:tcW w:w="17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开标地点</w:t>
            </w:r>
          </w:p>
        </w:tc>
        <w:tc>
          <w:tcPr>
            <w:tcW w:w="706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szCs w:val="21"/>
                <w:highlight w:val="none"/>
                <w:lang w:eastAsia="zh-CN"/>
              </w:rPr>
              <w:t>衢州市衢江区公共资源交易中心1号开标厅（衢江区振兴东路268号六楼）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7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15</w:t>
            </w:r>
          </w:p>
        </w:tc>
        <w:tc>
          <w:tcPr>
            <w:tcW w:w="1787"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投标文件有效期</w:t>
            </w:r>
          </w:p>
        </w:tc>
        <w:tc>
          <w:tcPr>
            <w:tcW w:w="7060"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投标文件递交截止之日起90天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7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16</w:t>
            </w:r>
          </w:p>
        </w:tc>
        <w:tc>
          <w:tcPr>
            <w:tcW w:w="1787" w:type="dxa"/>
            <w:tcBorders>
              <w:top w:val="single" w:color="auto" w:sz="4" w:space="0"/>
              <w:left w:val="single" w:color="auto" w:sz="4" w:space="0"/>
              <w:bottom w:val="single" w:color="auto" w:sz="4" w:space="0"/>
              <w:right w:val="single" w:color="auto" w:sz="4" w:space="0"/>
            </w:tcBorders>
            <w:vAlign w:val="center"/>
          </w:tcPr>
          <w:p>
            <w:pPr>
              <w:snapToGrid w:val="0"/>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签订合同时间</w:t>
            </w:r>
          </w:p>
        </w:tc>
        <w:tc>
          <w:tcPr>
            <w:tcW w:w="706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17</w:t>
            </w:r>
          </w:p>
        </w:tc>
        <w:tc>
          <w:tcPr>
            <w:tcW w:w="17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履约保证金的收取及退还</w:t>
            </w:r>
          </w:p>
        </w:tc>
        <w:tc>
          <w:tcPr>
            <w:tcW w:w="7060"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left"/>
              <w:rPr>
                <w:rFonts w:asciiTheme="minorEastAsia" w:hAnsiTheme="minorEastAsia" w:eastAsiaTheme="minorEastAsia" w:cstheme="minorEastAsia"/>
                <w:szCs w:val="21"/>
                <w:highlight w:val="none"/>
                <w:lang w:val="zh-CN"/>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17.1</w:t>
            </w:r>
            <w:r>
              <w:rPr>
                <w:rFonts w:hint="eastAsia" w:asciiTheme="minorEastAsia" w:hAnsiTheme="minorEastAsia" w:eastAsiaTheme="minorEastAsia" w:cstheme="minorEastAsia"/>
                <w:szCs w:val="21"/>
                <w:highlight w:val="none"/>
                <w:lang w:val="zh-CN"/>
              </w:rPr>
              <w:t>履约担保的形式：中标人通过基本账户以银行转账方式</w:t>
            </w:r>
            <w:r>
              <w:rPr>
                <w:rFonts w:hint="eastAsia" w:asciiTheme="minorEastAsia" w:hAnsiTheme="minorEastAsia" w:eastAsiaTheme="minorEastAsia" w:cstheme="minorEastAsia"/>
                <w:szCs w:val="21"/>
                <w:highlight w:val="none"/>
                <w:lang w:val="zh-TW"/>
              </w:rPr>
              <w:t>交纳</w:t>
            </w:r>
            <w:r>
              <w:rPr>
                <w:rFonts w:hint="eastAsia" w:asciiTheme="minorEastAsia" w:hAnsiTheme="minorEastAsia" w:eastAsiaTheme="minorEastAsia" w:cstheme="minorEastAsia"/>
                <w:szCs w:val="21"/>
                <w:highlight w:val="none"/>
                <w:lang w:val="zh-CN"/>
              </w:rPr>
              <w:t>或采用银行保函或采用保险保函，银行保函或保险保函必须由在衢州设有分支机构的银行或保险公司出具，银行转账</w:t>
            </w:r>
            <w:r>
              <w:rPr>
                <w:rFonts w:hint="eastAsia" w:asciiTheme="minorEastAsia" w:hAnsiTheme="minorEastAsia" w:eastAsiaTheme="minorEastAsia" w:cstheme="minorEastAsia"/>
                <w:szCs w:val="21"/>
                <w:highlight w:val="none"/>
                <w:lang w:val="zh-TW"/>
              </w:rPr>
              <w:t>交纳</w:t>
            </w:r>
            <w:r>
              <w:rPr>
                <w:rFonts w:hint="eastAsia" w:asciiTheme="minorEastAsia" w:hAnsiTheme="minorEastAsia" w:eastAsiaTheme="minorEastAsia" w:cstheme="minorEastAsia"/>
                <w:szCs w:val="21"/>
                <w:highlight w:val="none"/>
                <w:lang w:val="zh-CN"/>
              </w:rPr>
              <w:t>的在项目履约完成后</w:t>
            </w:r>
            <w:r>
              <w:rPr>
                <w:rFonts w:hint="eastAsia" w:asciiTheme="minorEastAsia" w:hAnsiTheme="minorEastAsia" w:eastAsiaTheme="minorEastAsia" w:cstheme="minorEastAsia"/>
                <w:szCs w:val="21"/>
                <w:highlight w:val="none"/>
                <w:lang w:val="zh-TW"/>
              </w:rPr>
              <w:t>30天内无息退还，</w:t>
            </w:r>
            <w:r>
              <w:rPr>
                <w:rFonts w:hint="eastAsia" w:asciiTheme="minorEastAsia" w:hAnsiTheme="minorEastAsia" w:eastAsiaTheme="minorEastAsia" w:cstheme="minorEastAsia"/>
                <w:szCs w:val="21"/>
                <w:highlight w:val="none"/>
                <w:lang w:val="zh-CN"/>
              </w:rPr>
              <w:t>保函</w:t>
            </w:r>
            <w:r>
              <w:rPr>
                <w:rFonts w:hint="eastAsia" w:asciiTheme="minorEastAsia" w:hAnsiTheme="minorEastAsia" w:eastAsiaTheme="minorEastAsia" w:cstheme="minorEastAsia"/>
                <w:szCs w:val="21"/>
                <w:highlight w:val="none"/>
                <w:lang w:val="zh-TW"/>
              </w:rPr>
              <w:t>交纳</w:t>
            </w:r>
            <w:r>
              <w:rPr>
                <w:rFonts w:hint="eastAsia" w:asciiTheme="minorEastAsia" w:hAnsiTheme="minorEastAsia" w:eastAsiaTheme="minorEastAsia" w:cstheme="minorEastAsia"/>
                <w:szCs w:val="21"/>
                <w:highlight w:val="none"/>
                <w:lang w:val="zh-CN"/>
              </w:rPr>
              <w:t>的保函有效期在合同工期的基础上延长6个月，否则招标人将不予接收。</w:t>
            </w:r>
          </w:p>
          <w:p>
            <w:pPr>
              <w:widowControl/>
              <w:spacing w:line="300" w:lineRule="atLeast"/>
              <w:jc w:val="left"/>
              <w:rPr>
                <w:rFonts w:asciiTheme="minorEastAsia" w:hAnsiTheme="minorEastAsia" w:eastAsiaTheme="minorEastAsia" w:cstheme="minorEastAsia"/>
                <w:szCs w:val="21"/>
                <w:highlight w:val="none"/>
                <w:lang w:val="zh-CN"/>
              </w:rPr>
            </w:pPr>
            <w:r>
              <w:rPr>
                <w:rFonts w:hint="eastAsia" w:asciiTheme="minorEastAsia" w:hAnsiTheme="minorEastAsia" w:eastAsiaTheme="minorEastAsia" w:cstheme="minorEastAsia"/>
                <w:szCs w:val="21"/>
                <w:highlight w:val="none"/>
              </w:rPr>
              <w:t>17.2</w:t>
            </w:r>
            <w:r>
              <w:rPr>
                <w:rFonts w:hint="eastAsia" w:asciiTheme="minorEastAsia" w:hAnsiTheme="minorEastAsia" w:eastAsiaTheme="minorEastAsia" w:cstheme="minorEastAsia"/>
                <w:szCs w:val="21"/>
                <w:highlight w:val="none"/>
                <w:lang w:val="zh-CN"/>
              </w:rPr>
              <w:t>履约担保的金额：中标价5%的履约担保。</w:t>
            </w:r>
          </w:p>
          <w:p>
            <w:pPr>
              <w:widowControl/>
              <w:spacing w:line="300" w:lineRule="atLeast"/>
              <w:jc w:val="left"/>
              <w:rPr>
                <w:rFonts w:asciiTheme="minorEastAsia" w:hAnsiTheme="minorEastAsia" w:eastAsiaTheme="minorEastAsia" w:cstheme="minorEastAsia"/>
                <w:szCs w:val="21"/>
                <w:highlight w:val="none"/>
                <w:lang w:val="zh-CN"/>
              </w:rPr>
            </w:pPr>
            <w:r>
              <w:rPr>
                <w:rFonts w:hint="eastAsia" w:asciiTheme="minorEastAsia" w:hAnsiTheme="minorEastAsia" w:eastAsiaTheme="minorEastAsia" w:cstheme="minorEastAsia"/>
                <w:szCs w:val="21"/>
                <w:highlight w:val="none"/>
              </w:rPr>
              <w:t>17.3</w:t>
            </w:r>
            <w:r>
              <w:rPr>
                <w:rFonts w:hint="eastAsia" w:asciiTheme="minorEastAsia" w:hAnsiTheme="minorEastAsia" w:eastAsiaTheme="minorEastAsia" w:cstheme="minorEastAsia"/>
                <w:szCs w:val="21"/>
                <w:highlight w:val="none"/>
                <w:lang w:val="zh-CN"/>
              </w:rPr>
              <w:t>履约担保的缴纳时间：以银行转账方式</w:t>
            </w:r>
            <w:r>
              <w:rPr>
                <w:rFonts w:hint="eastAsia" w:asciiTheme="minorEastAsia" w:hAnsiTheme="minorEastAsia" w:eastAsiaTheme="minorEastAsia" w:cstheme="minorEastAsia"/>
                <w:szCs w:val="21"/>
                <w:highlight w:val="none"/>
                <w:lang w:val="zh-TW"/>
              </w:rPr>
              <w:t>交纳</w:t>
            </w:r>
            <w:r>
              <w:rPr>
                <w:rFonts w:hint="eastAsia" w:asciiTheme="minorEastAsia" w:hAnsiTheme="minorEastAsia" w:eastAsiaTheme="minorEastAsia" w:cstheme="minorEastAsia"/>
                <w:szCs w:val="21"/>
                <w:highlight w:val="none"/>
                <w:lang w:val="zh-CN"/>
              </w:rPr>
              <w:t>的，在中标通知书发出后7个工作日内汇入采购人指定账户；采用履约保函的，</w:t>
            </w:r>
            <w:r>
              <w:rPr>
                <w:rFonts w:hint="eastAsia" w:asciiTheme="minorEastAsia" w:hAnsiTheme="minorEastAsia" w:eastAsiaTheme="minorEastAsia" w:cstheme="minorEastAsia"/>
                <w:sz w:val="21"/>
                <w:szCs w:val="21"/>
                <w:highlight w:val="none"/>
                <w:u w:val="none"/>
                <w:lang w:val="zh-CN"/>
              </w:rPr>
              <w:t>应在本运营服务协议正式签署后十（10）个日历天内</w:t>
            </w:r>
            <w:r>
              <w:rPr>
                <w:rFonts w:hint="eastAsia" w:asciiTheme="minorEastAsia" w:hAnsiTheme="minorEastAsia" w:eastAsiaTheme="minorEastAsia" w:cstheme="minorEastAsia"/>
                <w:szCs w:val="21"/>
                <w:highlight w:val="none"/>
                <w:lang w:val="zh-CN"/>
              </w:rPr>
              <w:t>提交。</w:t>
            </w:r>
          </w:p>
          <w:p>
            <w:pPr>
              <w:widowControl/>
              <w:spacing w:line="300" w:lineRule="atLeast"/>
              <w:jc w:val="left"/>
              <w:rPr>
                <w:rFonts w:asciiTheme="minorEastAsia" w:hAnsiTheme="minorEastAsia" w:eastAsiaTheme="minorEastAsia" w:cstheme="minorEastAsia"/>
                <w:szCs w:val="21"/>
                <w:highlight w:val="none"/>
                <w:lang w:val="zh-TW"/>
              </w:rPr>
            </w:pPr>
            <w:r>
              <w:rPr>
                <w:rFonts w:hint="eastAsia" w:asciiTheme="minorEastAsia" w:hAnsiTheme="minorEastAsia" w:eastAsiaTheme="minorEastAsia" w:cstheme="minorEastAsia"/>
                <w:szCs w:val="21"/>
                <w:highlight w:val="none"/>
              </w:rPr>
              <w:t>17.4</w:t>
            </w:r>
            <w:r>
              <w:rPr>
                <w:rFonts w:hint="eastAsia" w:asciiTheme="minorEastAsia" w:hAnsiTheme="minorEastAsia" w:eastAsiaTheme="minorEastAsia" w:cstheme="minorEastAsia"/>
                <w:szCs w:val="21"/>
                <w:highlight w:val="none"/>
                <w:lang w:val="zh-TW"/>
              </w:rPr>
              <w:t>交纳保证金在合同专用条款约定期间内或者货物质量保证期内不予退还或者应完全有效，待服务期满后，无质量、服务问题，由招标人向中标人无息退还</w:t>
            </w:r>
            <w:r>
              <w:rPr>
                <w:rFonts w:hint="eastAsia" w:asciiTheme="minorEastAsia" w:hAnsiTheme="minorEastAsia" w:eastAsiaTheme="minorEastAsia" w:cstheme="minorEastAsia"/>
                <w:szCs w:val="21"/>
                <w:highlight w:val="none"/>
                <w:lang w:val="zh-CN"/>
              </w:rPr>
              <w:t>。</w:t>
            </w:r>
          </w:p>
          <w:p>
            <w:pPr>
              <w:widowControl/>
              <w:spacing w:line="300" w:lineRule="atLeast"/>
              <w:jc w:val="left"/>
              <w:rPr>
                <w:highlight w:val="none"/>
              </w:rPr>
            </w:pPr>
            <w:r>
              <w:rPr>
                <w:rFonts w:hint="eastAsia" w:asciiTheme="minorEastAsia" w:hAnsiTheme="minorEastAsia" w:eastAsiaTheme="minorEastAsia" w:cstheme="minorEastAsia"/>
                <w:szCs w:val="21"/>
                <w:highlight w:val="none"/>
                <w:lang w:val="zh-TW"/>
              </w:rPr>
              <w:t>*</w:t>
            </w:r>
            <w:r>
              <w:rPr>
                <w:rFonts w:hint="eastAsia" w:asciiTheme="minorEastAsia" w:hAnsiTheme="minorEastAsia" w:eastAsiaTheme="minorEastAsia" w:cstheme="minorEastAsia"/>
                <w:szCs w:val="21"/>
                <w:highlight w:val="none"/>
                <w:lang w:val="zh-CN"/>
              </w:rPr>
              <w:t>以上根据采购人对项目的实际需要确定是否</w:t>
            </w:r>
            <w:r>
              <w:rPr>
                <w:rFonts w:hint="eastAsia" w:asciiTheme="minorEastAsia" w:hAnsiTheme="minorEastAsia" w:eastAsiaTheme="minorEastAsia" w:cstheme="minorEastAsia"/>
                <w:szCs w:val="21"/>
                <w:highlight w:val="none"/>
                <w:lang w:val="zh-TW"/>
              </w:rPr>
              <w:t>交纳</w:t>
            </w:r>
            <w:r>
              <w:rPr>
                <w:rFonts w:hint="eastAsia" w:asciiTheme="minorEastAsia" w:hAnsiTheme="minorEastAsia" w:eastAsiaTheme="minorEastAsia" w:cstheme="minorEastAsia"/>
                <w:szCs w:val="21"/>
                <w:highlight w:val="none"/>
                <w:lang w:val="zh-CN"/>
              </w:rPr>
              <w:t>履约担保。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18</w:t>
            </w:r>
          </w:p>
        </w:tc>
        <w:tc>
          <w:tcPr>
            <w:tcW w:w="17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项目相关费用</w:t>
            </w:r>
          </w:p>
        </w:tc>
        <w:tc>
          <w:tcPr>
            <w:tcW w:w="7060" w:type="dxa"/>
            <w:tcBorders>
              <w:top w:val="single" w:color="auto" w:sz="4" w:space="0"/>
              <w:left w:val="single" w:color="auto" w:sz="4" w:space="0"/>
              <w:bottom w:val="single" w:color="auto" w:sz="4" w:space="0"/>
              <w:right w:val="single" w:color="auto" w:sz="4" w:space="0"/>
            </w:tcBorders>
            <w:vAlign w:val="center"/>
          </w:tcPr>
          <w:p>
            <w:pPr>
              <w:pStyle w:val="24"/>
              <w:spacing w:line="360" w:lineRule="auto"/>
              <w:ind w:firstLine="0"/>
              <w:rPr>
                <w:rFonts w:asciiTheme="minorEastAsia" w:hAnsiTheme="minorEastAsia" w:eastAsiaTheme="minorEastAsia" w:cstheme="minorEastAsia"/>
                <w:snapToGrid w:val="0"/>
                <w:color w:val="000000" w:themeColor="text1"/>
                <w:kern w:val="0"/>
                <w:sz w:val="21"/>
                <w:szCs w:val="21"/>
                <w:highlight w:val="none"/>
                <w:lang w:val="en-US"/>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1"/>
                <w:szCs w:val="21"/>
                <w:highlight w:val="none"/>
                <w:lang w:val="en-US"/>
                <w14:textFill>
                  <w14:solidFill>
                    <w14:schemeClr w14:val="tx1"/>
                  </w14:solidFill>
                </w14:textFill>
              </w:rPr>
              <w:t>18.1本项目的采购代理服务费以中标金额为计算基数：按国家计委计价格[2002]1980号规定；按差额定律累法计算+开标过程中产生的其他费用。以上费用均由中标单位在领取中标通知书时，一次性支付给代理公司，上述费用应含在投标报价中（不得单独列项），投标人在投标报价让利中考虑上述费用。代理服务费缴纳账户：浙江华耀建设咨询有限公司衢州分公司  纳税人识别号：913308037864337717 地址、电话：衢州市衢江区衢州花园42-5号0570-2911777  开户行及账号：中国农业银行衢州绿色专营支行19-720101040008448</w:t>
            </w:r>
          </w:p>
          <w:p>
            <w:pPr>
              <w:pStyle w:val="24"/>
              <w:spacing w:line="360" w:lineRule="auto"/>
              <w:ind w:firstLine="0"/>
              <w:rPr>
                <w:rFonts w:hint="eastAsia" w:asciiTheme="minorEastAsia" w:hAnsiTheme="minorEastAsia" w:eastAsiaTheme="minorEastAsia" w:cstheme="minorEastAsia"/>
                <w:b/>
                <w:bCs/>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1"/>
                <w:szCs w:val="21"/>
                <w:highlight w:val="none"/>
                <w:lang w:val="en-US"/>
                <w14:textFill>
                  <w14:solidFill>
                    <w14:schemeClr w14:val="tx1"/>
                  </w14:solidFill>
                </w14:textFill>
              </w:rPr>
              <w:t>18.2 公证费按实结算，由中标供应商结算给公证处。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19</w:t>
            </w:r>
          </w:p>
        </w:tc>
        <w:tc>
          <w:tcPr>
            <w:tcW w:w="17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采购公告、更正公告，中标结果公告发布网址</w:t>
            </w:r>
          </w:p>
        </w:tc>
        <w:tc>
          <w:tcPr>
            <w:tcW w:w="706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40" w:lineRule="exact"/>
              <w:textAlignment w:val="bottom"/>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浙江政府采购网（http://zfcg.czt.zj.gov.cn/）</w:t>
            </w:r>
          </w:p>
          <w:p>
            <w:pPr>
              <w:autoSpaceDE w:val="0"/>
              <w:autoSpaceDN w:val="0"/>
              <w:snapToGrid w:val="0"/>
              <w:spacing w:line="440" w:lineRule="exact"/>
              <w:textAlignment w:val="bottom"/>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衢江区公共资源交易网（ www.qjggzy.com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20</w:t>
            </w:r>
          </w:p>
        </w:tc>
        <w:tc>
          <w:tcPr>
            <w:tcW w:w="1787"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采购文件</w:t>
            </w:r>
          </w:p>
          <w:p>
            <w:pPr>
              <w:widowControl/>
              <w:spacing w:line="300" w:lineRule="atLeast"/>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szCs w:val="21"/>
                <w:highlight w:val="none"/>
              </w:rPr>
              <w:t>的澄清与修改</w:t>
            </w:r>
          </w:p>
        </w:tc>
        <w:tc>
          <w:tcPr>
            <w:tcW w:w="7060"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left"/>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szCs w:val="21"/>
                <w:highlight w:val="none"/>
                <w:lang w:val="zh-TW"/>
              </w:rPr>
              <w:t>采购人或者采购代理机构可以对已发出的采购文件进行必要的澄清或者修改。澄清或者修改的内容可能影响投标文件编制的，采购人或者采购代理机构应当在投标截止时间至少15日前，将以更正公告的形式在采购公告发布的同一媒体发布。采购文件的修改和澄清（答疑）答复的文件作为</w:t>
            </w:r>
            <w:r>
              <w:rPr>
                <w:rFonts w:hint="eastAsia" w:asciiTheme="minorEastAsia" w:hAnsiTheme="minorEastAsia" w:eastAsiaTheme="minorEastAsia" w:cstheme="minorEastAsia"/>
                <w:szCs w:val="21"/>
                <w:highlight w:val="none"/>
                <w:lang w:val="zh-TW" w:eastAsia="zh-CN"/>
              </w:rPr>
              <w:t>采购文件</w:t>
            </w:r>
            <w:r>
              <w:rPr>
                <w:rFonts w:hint="eastAsia" w:asciiTheme="minorEastAsia" w:hAnsiTheme="minorEastAsia" w:eastAsiaTheme="minorEastAsia" w:cstheme="minorEastAsia"/>
                <w:szCs w:val="21"/>
                <w:highlight w:val="none"/>
                <w:lang w:val="zh-TW"/>
              </w:rPr>
              <w:t>的补充和组成部分，对所有供应商均有约束力。若后续仍有更正内容，将继续以更正公告形式在本网站发布，请供应商密切关注更正公告。</w:t>
            </w:r>
            <w:r>
              <w:rPr>
                <w:rFonts w:hint="eastAsia" w:asciiTheme="minorEastAsia" w:hAnsiTheme="minorEastAsia" w:eastAsiaTheme="minorEastAsia" w:cstheme="minorEastAsia"/>
                <w:szCs w:val="21"/>
                <w:highlight w:val="none"/>
              </w:rPr>
              <w:t>（</w:t>
            </w:r>
            <w:r>
              <w:rPr>
                <w:rFonts w:hint="eastAsia" w:asciiTheme="minorEastAsia" w:hAnsiTheme="minorEastAsia" w:eastAsiaTheme="minorEastAsia" w:cstheme="minorEastAsia"/>
                <w:szCs w:val="21"/>
                <w:highlight w:val="none"/>
                <w:lang w:val="zh-TW" w:eastAsia="zh-TW"/>
              </w:rPr>
              <w:t>不另行通知，如有遗漏采购人、采购代理机构概不负责。</w:t>
            </w:r>
            <w:r>
              <w:rPr>
                <w:rFonts w:hint="eastAsia" w:asciiTheme="minorEastAsia" w:hAnsiTheme="minorEastAsia" w:eastAsiaTheme="minorEastAsia" w:cstheme="minorEastAsia"/>
                <w:szCs w:val="21"/>
                <w:highlight w:val="none"/>
                <w:lang w:val="zh-TW"/>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21</w:t>
            </w:r>
          </w:p>
        </w:tc>
        <w:tc>
          <w:tcPr>
            <w:tcW w:w="17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政府采购扶持</w:t>
            </w:r>
          </w:p>
          <w:p>
            <w:pPr>
              <w:snapToGrid w:val="0"/>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政策</w:t>
            </w:r>
          </w:p>
        </w:tc>
        <w:tc>
          <w:tcPr>
            <w:tcW w:w="7060"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szCs w:val="21"/>
                <w:highlight w:val="none"/>
                <w:lang w:val="zh-TW"/>
              </w:rPr>
              <w:t>根据《政府采购促进中小企业发展暂行办法》（财库[2011]181 号）、《财政部、司法部关于政府采购支持监狱企业发展有关问题的通知》（财库〔2014〕68号）及《关于促进残疾人就业政府采购政策的通知》（财库〔2017〕141号）规定，本项目对小型和微型企业（含监狱企业、残疾人福利性企业）制造的产品（提供的服务）的价格给予6%的扣除，用扣除后的价格参与评审。小型、微型企业提供中型企业制造的货物（服务）的，视同中型企业）；上述政策扶持待遇不重复享受，欢迎符合规定的投标人参与本项目投标</w:t>
            </w:r>
            <w:r>
              <w:rPr>
                <w:rFonts w:hint="eastAsia" w:asciiTheme="minorEastAsia" w:hAnsiTheme="minorEastAsia" w:eastAsiaTheme="minorEastAsia" w:cstheme="minorEastAsia"/>
                <w:szCs w:val="21"/>
                <w:highlight w:val="none"/>
                <w:lang w:val="zh-TW"/>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22</w:t>
            </w:r>
          </w:p>
        </w:tc>
        <w:tc>
          <w:tcPr>
            <w:tcW w:w="17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其它政策</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Cs w:val="21"/>
                <w:highlight w:val="none"/>
                <w:lang w:val="zh-TW"/>
              </w:rPr>
            </w:pPr>
            <w:r>
              <w:rPr>
                <w:rFonts w:hint="eastAsia" w:ascii="宋体" w:hAnsi="宋体" w:cs="宋体"/>
                <w:szCs w:val="21"/>
                <w:highlight w:val="none"/>
              </w:rPr>
              <w:t>22.1</w:t>
            </w:r>
            <w:r>
              <w:rPr>
                <w:rFonts w:hint="eastAsia" w:ascii="宋体" w:hAnsi="宋体" w:cs="宋体"/>
                <w:szCs w:val="21"/>
                <w:highlight w:val="none"/>
                <w:lang w:val="zh-TW"/>
              </w:rPr>
              <w:t>取得衢州市政府采购合同的供应商，均可凭政府采购合同及应收账款收益权，向银行申请质押融资。</w:t>
            </w:r>
            <w:r>
              <w:rPr>
                <w:rFonts w:hint="eastAsia" w:ascii="宋体" w:hAnsi="宋体" w:cs="宋体"/>
                <w:szCs w:val="21"/>
                <w:highlight w:val="none"/>
                <w:lang w:val="zh-TW" w:eastAsia="zh-CN"/>
              </w:rPr>
              <w:t>申请质押融资时</w:t>
            </w:r>
            <w:r>
              <w:rPr>
                <w:rFonts w:hint="eastAsia" w:ascii="宋体" w:hAnsi="宋体" w:cs="宋体"/>
                <w:szCs w:val="21"/>
                <w:highlight w:val="none"/>
                <w:lang w:val="zh-TW"/>
              </w:rPr>
              <w:t>，供应商需先注册“衢州金融服务信用信息平台”用户，登录后通过“中征融资”模块进入“中征应收账款融资服务平台”，完善企业信息后，向合作银行推送中标采购信息。</w:t>
            </w:r>
          </w:p>
          <w:p>
            <w:pPr>
              <w:spacing w:line="380" w:lineRule="exact"/>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宋体" w:hAnsi="宋体" w:cs="宋体"/>
                <w:szCs w:val="21"/>
                <w:highlight w:val="none"/>
              </w:rPr>
              <w:t>22.2</w:t>
            </w:r>
            <w:r>
              <w:rPr>
                <w:rFonts w:hint="eastAsia" w:ascii="宋体" w:hAnsi="宋体" w:cs="宋体"/>
                <w:szCs w:val="21"/>
                <w:highlight w:val="none"/>
                <w:lang w:val="zh-TW"/>
              </w:rPr>
              <w:t>采购合同签订前已与银行机构达成融资意向的，供应商应向采购单位或采购代理机构申明该合同将用于质押融资，并在合同中注明融资银行机构名称及在该银行机构的唯一收款账号。供应商在合同签订后出现融资需求的，供应商应根据银行机构要求向采购单位中请修改合同收款账号，并在开具发票时提供给采购人用于支付合同款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42" w:hRule="atLeast"/>
        </w:trPr>
        <w:tc>
          <w:tcPr>
            <w:tcW w:w="7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23</w:t>
            </w:r>
          </w:p>
        </w:tc>
        <w:tc>
          <w:tcPr>
            <w:tcW w:w="17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信用查询</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80" w:lineRule="exact"/>
              <w:ind w:firstLine="420"/>
              <w:rPr>
                <w:rFonts w:ascii="宋体" w:hAnsi="宋体" w:cs="宋体"/>
                <w:szCs w:val="21"/>
                <w:highlight w:val="none"/>
                <w:lang w:val="zh-CN"/>
              </w:rPr>
            </w:pPr>
            <w:r>
              <w:rPr>
                <w:rFonts w:hint="eastAsia" w:ascii="宋体" w:hAnsi="宋体" w:cs="宋体"/>
                <w:szCs w:val="21"/>
                <w:highlight w:val="none"/>
                <w:lang w:val="zh-CN"/>
              </w:rPr>
              <w:t>提供“信用中国”( www.creditchina.gov.cn)中“①失信被执行人查询②重大税收违法案件当事人名单”，“中国政府采购网”（www.ccgp.gov.cn）中“政府采购严重违法失信行为记录名单”查询结果；</w:t>
            </w:r>
          </w:p>
          <w:p>
            <w:pPr>
              <w:spacing w:line="380" w:lineRule="exact"/>
              <w:rPr>
                <w:rFonts w:ascii="宋体" w:hAnsi="宋体" w:cs="宋体"/>
                <w:szCs w:val="21"/>
                <w:highlight w:val="none"/>
                <w:lang w:val="zh-CN"/>
              </w:rPr>
            </w:pPr>
            <w:r>
              <w:rPr>
                <w:rFonts w:hint="eastAsia" w:ascii="宋体" w:hAnsi="宋体" w:cs="宋体"/>
                <w:b/>
                <w:bCs/>
                <w:szCs w:val="21"/>
                <w:highlight w:val="none"/>
                <w:lang w:val="zh-CN"/>
              </w:rPr>
              <w:t>截止时点：</w:t>
            </w:r>
            <w:r>
              <w:rPr>
                <w:rFonts w:hint="eastAsia" w:ascii="宋体" w:hAnsi="宋体" w:cs="宋体"/>
                <w:szCs w:val="21"/>
                <w:highlight w:val="none"/>
                <w:lang w:val="zh-CN"/>
              </w:rPr>
              <w:t>提交投标文件截止时间前3年内；</w:t>
            </w:r>
          </w:p>
          <w:p>
            <w:pPr>
              <w:spacing w:line="380" w:lineRule="exact"/>
              <w:rPr>
                <w:rFonts w:ascii="宋体" w:hAnsi="宋体" w:cs="宋体"/>
                <w:szCs w:val="21"/>
                <w:highlight w:val="none"/>
                <w:lang w:val="zh-CN"/>
              </w:rPr>
            </w:pPr>
            <w:r>
              <w:rPr>
                <w:rFonts w:hint="eastAsia" w:ascii="宋体" w:hAnsi="宋体" w:cs="宋体"/>
                <w:b/>
                <w:bCs/>
                <w:szCs w:val="21"/>
                <w:highlight w:val="none"/>
                <w:lang w:val="zh-CN"/>
              </w:rPr>
              <w:t>查询记录和证据的留存：</w:t>
            </w:r>
            <w:r>
              <w:rPr>
                <w:rFonts w:hint="eastAsia" w:ascii="宋体" w:hAnsi="宋体" w:cs="宋体"/>
                <w:szCs w:val="21"/>
                <w:highlight w:val="none"/>
                <w:lang w:val="zh-CN"/>
              </w:rPr>
              <w:t>信用信息查询记录和证据以网页截图等方式留存；</w:t>
            </w:r>
          </w:p>
          <w:p>
            <w:pPr>
              <w:spacing w:line="380" w:lineRule="exact"/>
              <w:rPr>
                <w:rFonts w:asciiTheme="minorEastAsia" w:hAnsiTheme="minorEastAsia" w:eastAsiaTheme="minorEastAsia" w:cstheme="minorEastAsia"/>
                <w:szCs w:val="21"/>
                <w:highlight w:val="none"/>
                <w:lang w:val="zh-TW"/>
              </w:rPr>
            </w:pPr>
            <w:r>
              <w:rPr>
                <w:rFonts w:hint="eastAsia" w:ascii="宋体" w:hAnsi="宋体" w:cs="宋体"/>
                <w:b/>
                <w:bCs/>
                <w:szCs w:val="21"/>
                <w:highlight w:val="none"/>
                <w:lang w:val="zh-CN"/>
              </w:rPr>
              <w:t>使用规则：</w:t>
            </w:r>
            <w:r>
              <w:rPr>
                <w:rFonts w:hint="eastAsia" w:ascii="宋体" w:hAnsi="宋体" w:cs="宋体"/>
                <w:szCs w:val="21"/>
                <w:highlight w:val="none"/>
                <w:lang w:val="zh-CN"/>
              </w:rPr>
              <w:t>被列入失信被执行人、重大税收违法案件当事人名单、政府采购严重违法失信行为记录名单及其它不符合《中华人民共和国政府采购法》第二十二条规定条件的，将被拒绝。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7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24</w:t>
            </w:r>
          </w:p>
        </w:tc>
        <w:tc>
          <w:tcPr>
            <w:tcW w:w="17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解释权</w:t>
            </w:r>
          </w:p>
        </w:tc>
        <w:tc>
          <w:tcPr>
            <w:tcW w:w="7060" w:type="dxa"/>
            <w:tcBorders>
              <w:top w:val="single" w:color="auto" w:sz="4" w:space="0"/>
              <w:left w:val="single" w:color="auto" w:sz="4" w:space="0"/>
              <w:bottom w:val="single" w:color="auto" w:sz="4" w:space="0"/>
              <w:right w:val="single" w:color="auto" w:sz="4" w:space="0"/>
            </w:tcBorders>
            <w:vAlign w:val="center"/>
          </w:tcPr>
          <w:p>
            <w:pPr>
              <w:pStyle w:val="38"/>
              <w:jc w:val="both"/>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本招标文件的解释权属于采购人。</w:t>
            </w:r>
          </w:p>
        </w:tc>
      </w:tr>
    </w:tbl>
    <w:p>
      <w:pPr>
        <w:autoSpaceDE w:val="0"/>
        <w:autoSpaceDN w:val="0"/>
        <w:adjustRightInd w:val="0"/>
        <w:spacing w:line="440" w:lineRule="exact"/>
        <w:ind w:firstLine="3666" w:firstLineChars="1300"/>
        <w:outlineLvl w:val="0"/>
        <w:rPr>
          <w:rFonts w:ascii="宋体" w:hAnsi="宋体"/>
          <w:b/>
          <w:bCs/>
          <w:color w:val="000000" w:themeColor="text1"/>
          <w:sz w:val="28"/>
          <w:szCs w:val="28"/>
          <w:highlight w:val="none"/>
          <w14:textFill>
            <w14:solidFill>
              <w14:schemeClr w14:val="tx1"/>
            </w14:solidFill>
          </w14:textFill>
        </w:rPr>
      </w:pPr>
      <w:r>
        <w:rPr>
          <w:rFonts w:hint="eastAsia" w:ascii="宋体" w:hAnsi="宋体"/>
          <w:b/>
          <w:bCs/>
          <w:color w:val="000000" w:themeColor="text1"/>
          <w:sz w:val="28"/>
          <w:szCs w:val="28"/>
          <w:highlight w:val="none"/>
          <w:lang w:val="zh-CN"/>
          <w14:textFill>
            <w14:solidFill>
              <w14:schemeClr w14:val="tx1"/>
            </w14:solidFill>
          </w14:textFill>
        </w:rPr>
        <w:t>一</w:t>
      </w:r>
      <w:r>
        <w:rPr>
          <w:rFonts w:ascii="宋体" w:hAnsi="宋体"/>
          <w:b/>
          <w:bCs/>
          <w:color w:val="000000" w:themeColor="text1"/>
          <w:sz w:val="28"/>
          <w:szCs w:val="28"/>
          <w:highlight w:val="none"/>
          <w:lang w:val="zh-CN"/>
          <w14:textFill>
            <w14:solidFill>
              <w14:schemeClr w14:val="tx1"/>
            </w14:solidFill>
          </w14:textFill>
        </w:rPr>
        <w:t xml:space="preserve"> </w:t>
      </w:r>
      <w:r>
        <w:rPr>
          <w:rFonts w:hint="eastAsia" w:ascii="宋体" w:hAnsi="宋体"/>
          <w:b/>
          <w:bCs/>
          <w:color w:val="000000" w:themeColor="text1"/>
          <w:sz w:val="28"/>
          <w:szCs w:val="28"/>
          <w:highlight w:val="none"/>
          <w:lang w:val="zh-CN"/>
          <w14:textFill>
            <w14:solidFill>
              <w14:schemeClr w14:val="tx1"/>
            </w14:solidFill>
          </w14:textFill>
        </w:rPr>
        <w:t>、综合说明</w:t>
      </w:r>
    </w:p>
    <w:p>
      <w:pPr>
        <w:autoSpaceDE w:val="0"/>
        <w:autoSpaceDN w:val="0"/>
        <w:adjustRightInd w:val="0"/>
        <w:spacing w:line="400" w:lineRule="exact"/>
        <w:ind w:firstLine="212" w:firstLineChars="100"/>
        <w:jc w:val="left"/>
        <w:rPr>
          <w:rFonts w:ascii="宋体" w:hAnsi="宋体"/>
          <w:b/>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w:t>
      </w:r>
      <w:r>
        <w:rPr>
          <w:rFonts w:hint="eastAsia" w:ascii="宋体" w:hAnsi="宋体"/>
          <w:b/>
          <w:color w:val="000000" w:themeColor="text1"/>
          <w:szCs w:val="21"/>
          <w:highlight w:val="none"/>
          <w:lang w:val="zh-CN"/>
          <w14:textFill>
            <w14:solidFill>
              <w14:schemeClr w14:val="tx1"/>
            </w14:solidFill>
          </w14:textFill>
        </w:rPr>
        <w:t>（一）适用范围</w:t>
      </w:r>
    </w:p>
    <w:p>
      <w:pPr>
        <w:spacing w:line="400" w:lineRule="exact"/>
        <w:ind w:firstLine="42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val="zh-CN"/>
          <w14:textFill>
            <w14:solidFill>
              <w14:schemeClr w14:val="tx1"/>
            </w14:solidFill>
          </w14:textFill>
        </w:rPr>
        <w:t>本招标文件仅适用于</w:t>
      </w:r>
      <w:r>
        <w:rPr>
          <w:rFonts w:hint="eastAsia" w:ascii="宋体" w:hAnsi="宋体"/>
          <w:color w:val="000000" w:themeColor="text1"/>
          <w:szCs w:val="21"/>
          <w:highlight w:val="none"/>
          <w14:textFill>
            <w14:solidFill>
              <w14:schemeClr w14:val="tx1"/>
            </w14:solidFill>
          </w14:textFill>
        </w:rPr>
        <w:t>本项目</w:t>
      </w:r>
      <w:r>
        <w:rPr>
          <w:rFonts w:hint="eastAsia" w:ascii="宋体" w:hAnsi="宋体" w:cs="宋体"/>
          <w:color w:val="000000" w:themeColor="text1"/>
          <w:szCs w:val="21"/>
          <w:highlight w:val="none"/>
          <w14:textFill>
            <w14:solidFill>
              <w14:schemeClr w14:val="tx1"/>
            </w14:solidFill>
          </w14:textFill>
        </w:rPr>
        <w:t>投标、评标、定标、验收、合同履约、付款等行为（法律、法规另有规定的，从其规定）。</w:t>
      </w:r>
    </w:p>
    <w:p>
      <w:pPr>
        <w:snapToGrid w:val="0"/>
        <w:spacing w:line="400" w:lineRule="exact"/>
        <w:ind w:firstLine="310" w:firstLineChars="147"/>
        <w:jc w:val="left"/>
        <w:outlineLvl w:val="1"/>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（二）定义</w:t>
      </w:r>
    </w:p>
    <w:p>
      <w:pPr>
        <w:snapToGrid w:val="0"/>
        <w:spacing w:line="400" w:lineRule="exact"/>
        <w:ind w:firstLine="424"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1.“采购人”系指衢州市衢江区住房和城乡建设局。</w:t>
      </w:r>
    </w:p>
    <w:p>
      <w:pPr>
        <w:snapToGrid w:val="0"/>
        <w:spacing w:line="400" w:lineRule="exact"/>
        <w:ind w:firstLine="424"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2.“投标人”系指向采购人提交投标文件的单位。</w:t>
      </w:r>
    </w:p>
    <w:p>
      <w:pPr>
        <w:spacing w:line="400" w:lineRule="exact"/>
        <w:ind w:right="-231" w:rightChars="-109"/>
        <w:rPr>
          <w:rFonts w:ascii="宋体"/>
          <w:color w:val="000000" w:themeColor="text1"/>
          <w:szCs w:val="21"/>
          <w:highlight w:val="none"/>
          <w14:textFill>
            <w14:solidFill>
              <w14:schemeClr w14:val="tx1"/>
            </w14:solidFill>
          </w14:textFill>
        </w:rPr>
      </w:pPr>
      <w:r>
        <w:rPr>
          <w:rFonts w:hint="eastAsia" w:ascii="宋体" w:hAnsi="宋体"/>
          <w:bCs/>
          <w:color w:val="000000" w:themeColor="text1"/>
          <w:kern w:val="0"/>
          <w:szCs w:val="21"/>
          <w:highlight w:val="none"/>
          <w14:textFill>
            <w14:solidFill>
              <w14:schemeClr w14:val="tx1"/>
            </w14:solidFill>
          </w14:textFill>
        </w:rPr>
        <w:t xml:space="preserve">    3.“货物”系指按招标文件要求配置的</w:t>
      </w:r>
      <w:r>
        <w:rPr>
          <w:rFonts w:hint="eastAsia" w:ascii="宋体" w:hAnsi="宋体"/>
          <w:color w:val="000000" w:themeColor="text1"/>
          <w:szCs w:val="21"/>
          <w:highlight w:val="none"/>
          <w14:textFill>
            <w14:solidFill>
              <w14:schemeClr w14:val="tx1"/>
            </w14:solidFill>
          </w14:textFill>
        </w:rPr>
        <w:t>设备、技术资料、相关使用手册等。</w:t>
      </w:r>
    </w:p>
    <w:p>
      <w:pPr>
        <w:pStyle w:val="13"/>
        <w:numPr>
          <w:ilvl w:val="0"/>
          <w:numId w:val="5"/>
        </w:numPr>
        <w:spacing w:after="0" w:line="400" w:lineRule="exact"/>
        <w:ind w:left="129" w:leftChars="61" w:firstLine="318" w:firstLineChars="15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“服务”系指招标文件规定中标人须承担的运输、技术支持及其它类似的服务。</w:t>
      </w:r>
    </w:p>
    <w:p>
      <w:pPr>
        <w:pStyle w:val="13"/>
        <w:numPr>
          <w:ilvl w:val="0"/>
          <w:numId w:val="5"/>
        </w:numPr>
        <w:spacing w:after="0" w:line="400" w:lineRule="exact"/>
        <w:ind w:left="129" w:leftChars="61" w:firstLine="318" w:firstLineChars="1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“书面形式”包括信函、传真、电报等。</w:t>
      </w:r>
    </w:p>
    <w:p>
      <w:pPr>
        <w:snapToGrid w:val="0"/>
        <w:spacing w:line="400" w:lineRule="exact"/>
        <w:ind w:firstLine="424"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6.“▲”系指实质性要求条款</w:t>
      </w:r>
      <w:r>
        <w:rPr>
          <w:rFonts w:hint="eastAsia" w:ascii="ˎ̥" w:hAnsi="宋体"/>
          <w:color w:val="000000" w:themeColor="text1"/>
          <w:szCs w:val="21"/>
          <w:highlight w:val="none"/>
          <w14:textFill>
            <w14:solidFill>
              <w14:schemeClr w14:val="tx1"/>
            </w14:solidFill>
          </w14:textFill>
        </w:rPr>
        <w:t>。</w:t>
      </w:r>
    </w:p>
    <w:p>
      <w:pPr>
        <w:snapToGrid w:val="0"/>
        <w:spacing w:line="400" w:lineRule="exact"/>
        <w:ind w:firstLine="414" w:firstLineChars="196"/>
        <w:jc w:val="left"/>
        <w:outlineLvl w:val="1"/>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（三）采购方式</w:t>
      </w:r>
    </w:p>
    <w:p>
      <w:pPr>
        <w:snapToGrid w:val="0"/>
        <w:spacing w:line="400" w:lineRule="exact"/>
        <w:ind w:firstLine="424"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本次采购采用公开招标方式进行。</w:t>
      </w:r>
    </w:p>
    <w:p>
      <w:pPr>
        <w:snapToGrid w:val="0"/>
        <w:spacing w:line="400" w:lineRule="exact"/>
        <w:ind w:firstLine="414" w:firstLineChars="196"/>
        <w:jc w:val="left"/>
        <w:outlineLvl w:val="1"/>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（四）投标费用</w:t>
      </w:r>
    </w:p>
    <w:p>
      <w:pPr>
        <w:tabs>
          <w:tab w:val="left" w:pos="7350"/>
          <w:tab w:val="right" w:pos="8306"/>
        </w:tabs>
        <w:spacing w:line="400" w:lineRule="exact"/>
        <w:ind w:firstLine="424" w:firstLineChars="200"/>
        <w:rPr>
          <w:rFonts w:ascii="宋体" w:hAnsi="宋体" w:cs="仿宋_GB2312"/>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不论投标结果如何，投标人均应自行承担所有与投标有关的全部费用（招标文件有相应规定除外）。</w:t>
      </w:r>
    </w:p>
    <w:p>
      <w:pPr>
        <w:snapToGrid w:val="0"/>
        <w:spacing w:line="400" w:lineRule="exact"/>
        <w:ind w:firstLine="414" w:firstLineChars="196"/>
        <w:jc w:val="left"/>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（五）联合体投标</w:t>
      </w:r>
    </w:p>
    <w:p>
      <w:pPr>
        <w:snapToGrid w:val="0"/>
        <w:spacing w:line="400" w:lineRule="exact"/>
        <w:ind w:firstLine="636" w:firstLineChars="3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本项目不接受联合体参加投标。</w:t>
      </w:r>
    </w:p>
    <w:p>
      <w:pPr>
        <w:snapToGrid w:val="0"/>
        <w:spacing w:line="400" w:lineRule="exact"/>
        <w:ind w:firstLine="414" w:firstLineChars="196"/>
        <w:rPr>
          <w:rFonts w:ascii="宋体" w:hAnsi="宋体" w:cs="宋体"/>
          <w:b/>
          <w:color w:val="000000" w:themeColor="text1"/>
          <w:kern w:val="0"/>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（六）</w:t>
      </w:r>
      <w:r>
        <w:rPr>
          <w:rFonts w:hint="eastAsia" w:ascii="宋体" w:hAnsi="宋体" w:cs="宋体"/>
          <w:b/>
          <w:color w:val="000000" w:themeColor="text1"/>
          <w:kern w:val="0"/>
          <w:szCs w:val="21"/>
          <w:highlight w:val="none"/>
          <w14:textFill>
            <w14:solidFill>
              <w14:schemeClr w14:val="tx1"/>
            </w14:solidFill>
          </w14:textFill>
        </w:rPr>
        <w:t>转包与分包</w:t>
      </w:r>
    </w:p>
    <w:p>
      <w:pPr>
        <w:snapToGrid w:val="0"/>
        <w:spacing w:line="400" w:lineRule="exact"/>
        <w:ind w:firstLine="414" w:firstLineChars="196"/>
        <w:jc w:val="left"/>
        <w:outlineLvl w:val="1"/>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1、污泥清理</w:t>
      </w:r>
    </w:p>
    <w:p>
      <w:pPr>
        <w:snapToGrid w:val="0"/>
        <w:spacing w:line="400" w:lineRule="exact"/>
        <w:ind w:firstLine="414" w:firstLineChars="196"/>
        <w:jc w:val="left"/>
        <w:outlineLvl w:val="1"/>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1.1经项目设施处理后的排放污水及外运污泥，其所有权和使用支配权归采购方所有。未经采购方的事先书面同意，不得将收纳和处理后的污水及污泥提供给任何第三方；</w:t>
      </w:r>
    </w:p>
    <w:p>
      <w:pPr>
        <w:snapToGrid w:val="0"/>
        <w:spacing w:line="400" w:lineRule="exact"/>
        <w:ind w:firstLine="414" w:firstLineChars="196"/>
        <w:jc w:val="left"/>
        <w:outlineLvl w:val="1"/>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1.2根据《浙江省清废行动实施方案》浙政办发〔2018〕86号文件规定“按照危险废物不出市、固体废物不出县的原则，”污泥处理由衢江区具有相关资质的单位处理，费用由中标人承担。</w:t>
      </w:r>
    </w:p>
    <w:p>
      <w:pPr>
        <w:snapToGrid w:val="0"/>
        <w:spacing w:line="400" w:lineRule="exact"/>
        <w:ind w:firstLine="414" w:firstLineChars="196"/>
        <w:jc w:val="left"/>
        <w:outlineLvl w:val="1"/>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2、监测设备运维</w:t>
      </w:r>
    </w:p>
    <w:p>
      <w:pPr>
        <w:snapToGrid w:val="0"/>
        <w:spacing w:line="400" w:lineRule="exact"/>
        <w:ind w:firstLine="414" w:firstLineChars="196"/>
        <w:jc w:val="left"/>
        <w:outlineLvl w:val="1"/>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三方监测设备运维单位营业执照具备监测设备运维范围，且为衢州市生态环境局衢州市社会在线监测运维从业机构注册的单位，费用由中标人承担。</w:t>
      </w:r>
    </w:p>
    <w:p>
      <w:pPr>
        <w:snapToGrid w:val="0"/>
        <w:spacing w:line="400" w:lineRule="exact"/>
        <w:ind w:firstLine="414" w:firstLineChars="196"/>
        <w:jc w:val="left"/>
        <w:outlineLvl w:val="1"/>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（七）特别说明：</w:t>
      </w:r>
    </w:p>
    <w:p>
      <w:pPr>
        <w:snapToGrid w:val="0"/>
        <w:spacing w:line="400" w:lineRule="exact"/>
        <w:ind w:firstLine="424"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▲1.多家投标人参加投标，单位负责人为同一人或者存在直接控股、管理关系的不同投标人，不得参加同一合同项下的政府采购活动。</w:t>
      </w:r>
    </w:p>
    <w:p>
      <w:pPr>
        <w:shd w:val="clear" w:color="auto" w:fill="FFFFFF"/>
        <w:spacing w:line="400" w:lineRule="exact"/>
        <w:ind w:firstLine="424"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提供相同品牌产品且通过资格审查、符合性审查的不同投标人参加同一合同项下投标的，按一家投标人计算，评审后得分最高的同品牌投标人获得中标人推荐资格；评审得分相同时，以报价低者获得中标人推荐资格。</w:t>
      </w:r>
    </w:p>
    <w:p>
      <w:pPr>
        <w:shd w:val="clear" w:color="auto" w:fill="FFFFFF"/>
        <w:spacing w:line="400" w:lineRule="exact"/>
        <w:ind w:firstLine="424"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非单一产品采购项目中，多家投标人提供的核心产品品牌相同的，按一家投标人认定。</w:t>
      </w:r>
    </w:p>
    <w:p>
      <w:pPr>
        <w:snapToGrid w:val="0"/>
        <w:spacing w:line="400" w:lineRule="exact"/>
        <w:ind w:firstLine="424"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▲2.投标人投标所使用的资格、信誉、荣誉、业绩与企业认证必须为本法人所拥有。</w:t>
      </w:r>
    </w:p>
    <w:p>
      <w:pPr>
        <w:snapToGrid w:val="0"/>
        <w:spacing w:line="400" w:lineRule="exact"/>
        <w:ind w:firstLine="424"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▲3.投标人应仔细阅读招标文件的所有内容，按照招标文件的要求提交投标文件，并对所提供的全部资料的真实性承担法律责任。</w:t>
      </w:r>
    </w:p>
    <w:p>
      <w:pPr>
        <w:snapToGrid w:val="0"/>
        <w:spacing w:line="400" w:lineRule="exact"/>
        <w:ind w:firstLine="424" w:firstLineChars="200"/>
        <w:rPr>
          <w:rFonts w:ascii="宋体" w:hAnsi="宋体" w:cs="宋体"/>
          <w:b/>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snapToGrid w:val="0"/>
        <w:spacing w:line="400" w:lineRule="exact"/>
        <w:rPr>
          <w:rFonts w:ascii="宋体" w:hAnsi="宋体" w:cs="宋体"/>
          <w:bCs/>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w:t>
      </w:r>
      <w:r>
        <w:rPr>
          <w:rFonts w:hint="eastAsia" w:ascii="宋体" w:hAnsi="宋体" w:cs="宋体"/>
          <w:bCs/>
          <w:color w:val="000000" w:themeColor="text1"/>
          <w:szCs w:val="21"/>
          <w:highlight w:val="none"/>
          <w14:textFill>
            <w14:solidFill>
              <w14:schemeClr w14:val="tx1"/>
            </w14:solidFill>
          </w14:textFill>
        </w:rPr>
        <w:t>5.关于中小企业参与政府采购活动的规定</w:t>
      </w:r>
    </w:p>
    <w:p>
      <w:pPr>
        <w:spacing w:line="400" w:lineRule="exact"/>
        <w:ind w:firstLine="424" w:firstLineChars="200"/>
        <w:rPr>
          <w:rFonts w:ascii="宋体" w:cs="宋体"/>
          <w:b/>
          <w:color w:val="000000" w:themeColor="text1"/>
          <w:szCs w:val="21"/>
          <w:highlight w:val="none"/>
          <w14:textFill>
            <w14:solidFill>
              <w14:schemeClr w14:val="tx1"/>
            </w14:solidFill>
          </w14:textFill>
        </w:rPr>
      </w:pPr>
      <w:r>
        <w:rPr>
          <w:rFonts w:hint="eastAsia" w:ascii="宋体" w:cs="宋体"/>
          <w:b/>
          <w:bCs/>
          <w:color w:val="000000" w:themeColor="text1"/>
          <w:szCs w:val="21"/>
          <w:highlight w:val="none"/>
          <w14:textFill>
            <w14:solidFill>
              <w14:schemeClr w14:val="tx1"/>
            </w14:solidFill>
          </w14:textFill>
        </w:rPr>
        <w:t>5.1根据</w:t>
      </w:r>
      <w:r>
        <w:rPr>
          <w:rFonts w:hint="eastAsia" w:ascii="宋体" w:cs="宋体"/>
          <w:b/>
          <w:color w:val="000000" w:themeColor="text1"/>
          <w:szCs w:val="21"/>
          <w:highlight w:val="none"/>
          <w14:textFill>
            <w14:solidFill>
              <w14:schemeClr w14:val="tx1"/>
            </w14:solidFill>
          </w14:textFill>
        </w:rPr>
        <w:t>《政府采购促进中小企业发展暂行办法》（财库[2011]181 号）、《财政部、司法部关于政府采购支持监狱企业发展有关问题的通知》（财库〔2014〕68号）及《关于促进残疾人就业政府采购政策的通知》（财库〔2017〕141号）规定，本项目对小型和微型企业（含监狱企业、残疾人福利性企业）制造的产品的价格给予6%的扣除，用扣除后的价格参与评审。小型、微型企业提供中型企业制造的货物的，视同中型企业）；上述政策扶持待遇不重复享受，欢迎符合规定的投标人参与本项目投标。</w:t>
      </w:r>
    </w:p>
    <w:p>
      <w:pPr>
        <w:spacing w:line="400" w:lineRule="exact"/>
        <w:ind w:firstLine="424" w:firstLineChars="200"/>
        <w:rPr>
          <w:rFonts w:ascii="宋体" w:cs="宋体"/>
          <w:b/>
          <w:color w:val="000000" w:themeColor="text1"/>
          <w:szCs w:val="21"/>
          <w:highlight w:val="none"/>
          <w:lang w:val="zh-TW"/>
          <w14:textFill>
            <w14:solidFill>
              <w14:schemeClr w14:val="tx1"/>
            </w14:solidFill>
          </w14:textFill>
        </w:rPr>
      </w:pPr>
      <w:r>
        <w:rPr>
          <w:rFonts w:hint="eastAsia" w:ascii="宋体" w:cs="宋体"/>
          <w:b/>
          <w:color w:val="000000" w:themeColor="text1"/>
          <w:szCs w:val="21"/>
          <w:highlight w:val="none"/>
          <w14:textFill>
            <w14:solidFill>
              <w14:schemeClr w14:val="tx1"/>
            </w14:solidFill>
          </w14:textFill>
        </w:rPr>
        <w:t>5.2</w:t>
      </w:r>
      <w:r>
        <w:rPr>
          <w:rFonts w:hint="eastAsia" w:ascii="宋体" w:cs="宋体"/>
          <w:b/>
          <w:color w:val="000000" w:themeColor="text1"/>
          <w:szCs w:val="21"/>
          <w:highlight w:val="none"/>
          <w:lang w:val="zh-TW"/>
          <w14:textFill>
            <w14:solidFill>
              <w14:schemeClr w14:val="tx1"/>
            </w14:solidFill>
          </w14:textFill>
        </w:rPr>
        <w:t>取得衢州市政府采购合同的供应商，均可凭政府采购合同及应收账款收益权，向银行申请质押融资。</w:t>
      </w:r>
      <w:r>
        <w:rPr>
          <w:rFonts w:hint="eastAsia" w:ascii="宋体" w:cs="宋体"/>
          <w:b/>
          <w:color w:val="000000" w:themeColor="text1"/>
          <w:szCs w:val="21"/>
          <w:highlight w:val="none"/>
          <w:lang w:val="zh-TW" w:eastAsia="zh-CN"/>
          <w14:textFill>
            <w14:solidFill>
              <w14:schemeClr w14:val="tx1"/>
            </w14:solidFill>
          </w14:textFill>
        </w:rPr>
        <w:t>申请质押融资时</w:t>
      </w:r>
      <w:r>
        <w:rPr>
          <w:rFonts w:hint="eastAsia" w:ascii="宋体" w:cs="宋体"/>
          <w:b/>
          <w:color w:val="000000" w:themeColor="text1"/>
          <w:szCs w:val="21"/>
          <w:highlight w:val="none"/>
          <w:lang w:val="zh-TW"/>
          <w14:textFill>
            <w14:solidFill>
              <w14:schemeClr w14:val="tx1"/>
            </w14:solidFill>
          </w14:textFill>
        </w:rPr>
        <w:t>，供应商需先注册“衢州金融服务信用信息平台”用户，登录后通过“中征融资”模块进入“中征应收账款融资服务平台”，完善企业信息后，向合作银行推送中标采购信息。</w:t>
      </w:r>
    </w:p>
    <w:p>
      <w:pPr>
        <w:spacing w:line="400" w:lineRule="exact"/>
        <w:ind w:firstLine="424" w:firstLineChars="200"/>
        <w:rPr>
          <w:rFonts w:ascii="宋体" w:cs="宋体"/>
          <w:b/>
          <w:color w:val="000000" w:themeColor="text1"/>
          <w:szCs w:val="21"/>
          <w:highlight w:val="none"/>
          <w14:textFill>
            <w14:solidFill>
              <w14:schemeClr w14:val="tx1"/>
            </w14:solidFill>
          </w14:textFill>
        </w:rPr>
      </w:pPr>
      <w:r>
        <w:rPr>
          <w:rFonts w:hint="eastAsia" w:ascii="宋体" w:cs="宋体"/>
          <w:b/>
          <w:color w:val="000000" w:themeColor="text1"/>
          <w:szCs w:val="21"/>
          <w:highlight w:val="none"/>
          <w:lang w:val="zh-TW"/>
          <w14:textFill>
            <w14:solidFill>
              <w14:schemeClr w14:val="tx1"/>
            </w14:solidFill>
          </w14:textFill>
        </w:rPr>
        <w:t>采购合同签订前已与银行机构达成融资意向的，供应商应向采购单位或采购代理机构申明该合同将用于质押融资，并在合同中注明融资银行机构名称及在该银行机构的唯一收款账号。供应商在合同签订后出现融资需求的，供应商应根据银行机构要求向采购单位中请修改合同收款账号，并在开具发票时提供给采购人用于支付合同款项。</w:t>
      </w:r>
    </w:p>
    <w:p>
      <w:pPr>
        <w:pStyle w:val="2"/>
        <w:snapToGrid w:val="0"/>
        <w:spacing w:line="400" w:lineRule="exact"/>
        <w:ind w:firstLine="414" w:firstLineChars="196"/>
        <w:outlineLvl w:val="1"/>
        <w:rPr>
          <w:rFonts w:hAnsi="宋体" w:cs="宋体"/>
          <w:b/>
          <w:bCs/>
          <w:color w:val="000000" w:themeColor="text1"/>
          <w:szCs w:val="21"/>
          <w:highlight w:val="none"/>
          <w14:textFill>
            <w14:solidFill>
              <w14:schemeClr w14:val="tx1"/>
            </w14:solidFill>
          </w14:textFill>
        </w:rPr>
      </w:pPr>
      <w:r>
        <w:rPr>
          <w:rFonts w:hint="eastAsia" w:hAnsi="宋体" w:cs="宋体"/>
          <w:b/>
          <w:bCs/>
          <w:color w:val="000000" w:themeColor="text1"/>
          <w:szCs w:val="21"/>
          <w:highlight w:val="none"/>
          <w14:textFill>
            <w14:solidFill>
              <w14:schemeClr w14:val="tx1"/>
            </w14:solidFill>
          </w14:textFill>
        </w:rPr>
        <w:t>（八）质疑和投诉</w:t>
      </w:r>
    </w:p>
    <w:p>
      <w:pPr>
        <w:pStyle w:val="2"/>
        <w:snapToGrid w:val="0"/>
        <w:spacing w:line="400" w:lineRule="exact"/>
        <w:ind w:firstLine="424" w:firstLineChars="200"/>
        <w:rPr>
          <w:rFonts w:hAnsi="宋体" w:cs="宋体"/>
          <w:color w:val="000000" w:themeColor="text1"/>
          <w:szCs w:val="21"/>
          <w:highlight w:val="none"/>
          <w14:textFill>
            <w14:solidFill>
              <w14:schemeClr w14:val="tx1"/>
            </w14:solidFill>
          </w14:textFill>
        </w:rPr>
      </w:pPr>
      <w:r>
        <w:rPr>
          <w:rFonts w:hint="eastAsia" w:hAnsi="宋体" w:cs="宋体"/>
          <w:bCs/>
          <w:color w:val="000000" w:themeColor="text1"/>
          <w:szCs w:val="21"/>
          <w:highlight w:val="none"/>
          <w14:textFill>
            <w14:solidFill>
              <w14:schemeClr w14:val="tx1"/>
            </w14:solidFill>
          </w14:textFill>
        </w:rPr>
        <w:t>1.投标人认为招标文件、采购过程或中标结果使自己的合法权益受到损害的，可以在知道或者应知其权益受到损害之日起七个工作日内，以书面形式向采购人、采购代理机构提出质疑。</w:t>
      </w:r>
      <w:r>
        <w:rPr>
          <w:rFonts w:hint="eastAsia" w:hAnsi="宋体" w:cs="宋体"/>
          <w:color w:val="000000" w:themeColor="text1"/>
          <w:szCs w:val="21"/>
          <w:highlight w:val="none"/>
          <w14:textFill>
            <w14:solidFill>
              <w14:schemeClr w14:val="tx1"/>
            </w14:solidFill>
          </w14:textFill>
        </w:rPr>
        <w:t>投标人对采购人的质疑答复不满意或者采购人未在规定时间内作出答复的，可以在答复期满后十五个工作日内向同级采购监管部门投诉。</w:t>
      </w:r>
    </w:p>
    <w:p>
      <w:pPr>
        <w:pStyle w:val="2"/>
        <w:spacing w:line="400" w:lineRule="exact"/>
        <w:ind w:firstLine="424" w:firstLineChars="200"/>
        <w:outlineLvl w:val="1"/>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2.质疑书应明确阐述招标文件、投标过程或中标结果中使自己合法权益受到损害的实质性内容，提供相关事实、依据和证据及其来源或线索，便于有关单位调查、答复和处理。</w:t>
      </w:r>
    </w:p>
    <w:p>
      <w:pPr>
        <w:pStyle w:val="2"/>
        <w:spacing w:line="400" w:lineRule="exact"/>
        <w:ind w:firstLine="424" w:firstLineChars="200"/>
        <w:outlineLvl w:val="1"/>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3.投标人须在法定质疑期内一次性提出针对同一采购程序环节的质疑，否则采购代理机构有权拒绝第一次质疑以外其他所有质疑。</w:t>
      </w:r>
    </w:p>
    <w:p>
      <w:pPr>
        <w:pStyle w:val="2"/>
        <w:spacing w:line="400" w:lineRule="exact"/>
        <w:ind w:firstLine="424" w:firstLineChars="200"/>
        <w:outlineLvl w:val="1"/>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4.质疑函须采用财政部发布的政府采购投标人质疑函范本（参考样式可从浙江政府采购网下载专区下载），否则采购代理机构有权要求质疑投标人改正后重新提出。</w:t>
      </w:r>
    </w:p>
    <w:p>
      <w:pPr>
        <w:pStyle w:val="2"/>
        <w:spacing w:line="400" w:lineRule="exact"/>
        <w:ind w:firstLine="530" w:firstLineChars="250"/>
        <w:outlineLvl w:val="1"/>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5.疫情防控期间，政府采购投标人可以通过登录“浙江政务服务网”（</w:t>
      </w:r>
      <w:r>
        <w:rPr>
          <w:highlight w:val="none"/>
        </w:rPr>
        <w:fldChar w:fldCharType="begin"/>
      </w:r>
      <w:r>
        <w:rPr>
          <w:highlight w:val="none"/>
        </w:rPr>
        <w:instrText xml:space="preserve"> HYPERLINK "http://www.zjzwfw.gov.cn/" </w:instrText>
      </w:r>
      <w:r>
        <w:rPr>
          <w:highlight w:val="none"/>
        </w:rPr>
        <w:fldChar w:fldCharType="separate"/>
      </w:r>
      <w:r>
        <w:rPr>
          <w:rStyle w:val="30"/>
          <w:rFonts w:hint="eastAsia" w:hAnsi="宋体" w:cs="宋体"/>
          <w:color w:val="000000" w:themeColor="text1"/>
          <w:szCs w:val="21"/>
          <w:highlight w:val="none"/>
          <w14:textFill>
            <w14:solidFill>
              <w14:schemeClr w14:val="tx1"/>
            </w14:solidFill>
          </w14:textFill>
        </w:rPr>
        <w:t>http://www.zjzwfw.gov.cn/</w:t>
      </w:r>
      <w:r>
        <w:rPr>
          <w:rStyle w:val="30"/>
          <w:rFonts w:hint="eastAsia" w:hAnsi="宋体" w:cs="宋体"/>
          <w:color w:val="000000" w:themeColor="text1"/>
          <w:szCs w:val="21"/>
          <w:highlight w:val="none"/>
          <w14:textFill>
            <w14:solidFill>
              <w14:schemeClr w14:val="tx1"/>
            </w14:solidFill>
          </w14:textFill>
        </w:rPr>
        <w:fldChar w:fldCharType="end"/>
      </w:r>
      <w:r>
        <w:rPr>
          <w:rFonts w:hint="eastAsia" w:hAnsi="宋体" w:cs="宋体"/>
          <w:color w:val="000000" w:themeColor="text1"/>
          <w:szCs w:val="21"/>
          <w:highlight w:val="none"/>
          <w14:textFill>
            <w14:solidFill>
              <w14:schemeClr w14:val="tx1"/>
            </w14:solidFill>
          </w14:textFill>
        </w:rPr>
        <w:t>），搜索关键字“政府采购投诉处理”，或者选择“部门窗口—省财政厅—行政裁决—政府采购投诉处理”，点击“在线办理”，即可进行在线投诉。财政部门审查受理、处理决定等政府采购投诉处理相关文书均在线送达，政府采购投诉投标人明确表示需要邮寄的除外。</w:t>
      </w:r>
      <w:r>
        <w:rPr>
          <w:rFonts w:hint="eastAsia" w:hAnsi="宋体" w:cs="宋体"/>
          <w:color w:val="000000" w:themeColor="text1"/>
          <w:szCs w:val="21"/>
          <w:highlight w:val="none"/>
          <w14:textFill>
            <w14:solidFill>
              <w14:schemeClr w14:val="tx1"/>
            </w14:solidFill>
          </w14:textFill>
        </w:rPr>
        <w:br w:type="textWrapping"/>
      </w:r>
      <w:r>
        <w:rPr>
          <w:rFonts w:hint="eastAsia" w:hAnsi="宋体" w:cs="宋体"/>
          <w:color w:val="000000" w:themeColor="text1"/>
          <w:szCs w:val="21"/>
          <w:highlight w:val="none"/>
          <w14:textFill>
            <w14:solidFill>
              <w14:schemeClr w14:val="tx1"/>
            </w14:solidFill>
          </w14:textFill>
        </w:rPr>
        <w:t>  6.投标人也可通过邮寄方式寄递政府采购投诉材料，邮寄地址为涉及政府采购项目采购人预算级次相应的财政部门。政府采购投诉材料中须写明邮箱地址、传真号码，财政部门审查受理、处理决定等相关文书可通过电子邮件、传真等形式送达 ，投标人明确表示需要邮寄的除外。</w:t>
      </w:r>
      <w:r>
        <w:rPr>
          <w:rFonts w:hint="eastAsia" w:hAnsi="宋体" w:cs="宋体"/>
          <w:color w:val="000000" w:themeColor="text1"/>
          <w:szCs w:val="21"/>
          <w:highlight w:val="none"/>
          <w14:textFill>
            <w14:solidFill>
              <w14:schemeClr w14:val="tx1"/>
            </w14:solidFill>
          </w14:textFill>
        </w:rPr>
        <w:br w:type="textWrapping"/>
      </w:r>
      <w:r>
        <w:rPr>
          <w:rFonts w:hint="eastAsia" w:hAnsi="宋体" w:cs="宋体"/>
          <w:color w:val="000000" w:themeColor="text1"/>
          <w:szCs w:val="21"/>
          <w:highlight w:val="none"/>
          <w14:textFill>
            <w14:solidFill>
              <w14:schemeClr w14:val="tx1"/>
            </w14:solidFill>
          </w14:textFill>
        </w:rPr>
        <w:t>  7.在线或者邮寄政府采购投诉材料当日下班时间点后收到的视为下一个工作日收到。</w:t>
      </w:r>
    </w:p>
    <w:p>
      <w:pPr>
        <w:rPr>
          <w:color w:val="000000" w:themeColor="text1"/>
          <w:highlight w:val="none"/>
          <w14:textFill>
            <w14:solidFill>
              <w14:schemeClr w14:val="tx1"/>
            </w14:solidFill>
          </w14:textFill>
        </w:rPr>
      </w:pPr>
    </w:p>
    <w:p>
      <w:pPr>
        <w:pStyle w:val="2"/>
        <w:snapToGrid w:val="0"/>
        <w:spacing w:line="400" w:lineRule="exact"/>
        <w:ind w:firstLine="3102" w:firstLineChars="1100"/>
        <w:outlineLvl w:val="0"/>
        <w:rPr>
          <w:color w:val="000000" w:themeColor="text1"/>
          <w:sz w:val="30"/>
          <w:szCs w:val="30"/>
          <w:highlight w:val="none"/>
          <w14:textFill>
            <w14:solidFill>
              <w14:schemeClr w14:val="tx1"/>
            </w14:solidFill>
          </w14:textFill>
        </w:rPr>
      </w:pPr>
      <w:r>
        <w:rPr>
          <w:rFonts w:hint="eastAsia" w:hAnsi="宋体" w:cs="宋体"/>
          <w:b/>
          <w:bCs/>
          <w:color w:val="000000" w:themeColor="text1"/>
          <w:sz w:val="28"/>
          <w:szCs w:val="28"/>
          <w:highlight w:val="none"/>
          <w14:textFill>
            <w14:solidFill>
              <w14:schemeClr w14:val="tx1"/>
            </w14:solidFill>
          </w14:textFill>
        </w:rPr>
        <w:t>二、 招标文件</w:t>
      </w:r>
    </w:p>
    <w:p>
      <w:pPr>
        <w:snapToGrid w:val="0"/>
        <w:spacing w:line="440" w:lineRule="exact"/>
        <w:ind w:firstLine="310" w:firstLineChars="147"/>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（一）招标文件的构成。本招标文件由以下部份组成</w:t>
      </w:r>
      <w:r>
        <w:rPr>
          <w:rFonts w:hint="eastAsia" w:ascii="宋体" w:hAnsi="宋体" w:cs="宋体"/>
          <w:color w:val="000000" w:themeColor="text1"/>
          <w:szCs w:val="21"/>
          <w:highlight w:val="none"/>
          <w14:textFill>
            <w14:solidFill>
              <w14:schemeClr w14:val="tx1"/>
            </w14:solidFill>
          </w14:textFill>
        </w:rPr>
        <w:t>：</w:t>
      </w:r>
    </w:p>
    <w:p>
      <w:pPr>
        <w:snapToGrid w:val="0"/>
        <w:spacing w:line="440" w:lineRule="exact"/>
        <w:ind w:firstLine="424"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1.采购公告</w:t>
      </w:r>
    </w:p>
    <w:p>
      <w:pPr>
        <w:snapToGrid w:val="0"/>
        <w:spacing w:line="440" w:lineRule="exact"/>
        <w:ind w:firstLine="424"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2.投标须知</w:t>
      </w:r>
    </w:p>
    <w:p>
      <w:pPr>
        <w:snapToGrid w:val="0"/>
        <w:spacing w:line="440" w:lineRule="exact"/>
        <w:ind w:firstLine="424"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3.采购内容及要求</w:t>
      </w:r>
    </w:p>
    <w:p>
      <w:pPr>
        <w:snapToGrid w:val="0"/>
        <w:spacing w:line="440" w:lineRule="exact"/>
        <w:ind w:firstLine="424"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4.评标办法</w:t>
      </w:r>
    </w:p>
    <w:p>
      <w:pPr>
        <w:snapToGrid w:val="0"/>
        <w:spacing w:line="440" w:lineRule="exact"/>
        <w:ind w:firstLine="424"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5.拟签订的合同文本</w:t>
      </w:r>
    </w:p>
    <w:p>
      <w:pPr>
        <w:snapToGrid w:val="0"/>
        <w:spacing w:line="440" w:lineRule="exact"/>
        <w:ind w:firstLine="424"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6.投标文件格式</w:t>
      </w:r>
    </w:p>
    <w:p>
      <w:pPr>
        <w:snapToGrid w:val="0"/>
        <w:spacing w:line="440" w:lineRule="exact"/>
        <w:ind w:firstLine="424"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7.本项目招标文件的澄清、答复、修改、补充的内容</w:t>
      </w:r>
    </w:p>
    <w:p>
      <w:pPr>
        <w:snapToGrid w:val="0"/>
        <w:spacing w:line="360" w:lineRule="auto"/>
        <w:ind w:firstLine="414" w:firstLineChars="196"/>
        <w:jc w:val="left"/>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（二）投标人的风险</w:t>
      </w:r>
    </w:p>
    <w:p>
      <w:pPr>
        <w:pStyle w:val="20"/>
        <w:spacing w:line="360" w:lineRule="auto"/>
        <w:ind w:firstLine="425"/>
        <w:rPr>
          <w:rFonts w:ascii="宋体" w:eastAsia="宋体"/>
          <w:color w:val="000000" w:themeColor="text1"/>
          <w:sz w:val="21"/>
          <w:szCs w:val="21"/>
          <w:highlight w:val="none"/>
          <w14:textFill>
            <w14:solidFill>
              <w14:schemeClr w14:val="tx1"/>
            </w14:solidFill>
          </w14:textFill>
        </w:rPr>
      </w:pPr>
      <w:r>
        <w:rPr>
          <w:rFonts w:hint="eastAsia" w:ascii="宋体" w:eastAsia="宋体"/>
          <w:color w:val="000000" w:themeColor="text1"/>
          <w:sz w:val="21"/>
          <w:szCs w:val="21"/>
          <w:highlight w:val="none"/>
          <w14:textFill>
            <w14:solidFill>
              <w14:schemeClr w14:val="tx1"/>
            </w14:solidFill>
          </w14:textFill>
        </w:rPr>
        <w:t>1. 投标截止时间前，投标供应商仅递交了“ 电子备份投标文件”而未将“电子加密投标文件” 成功上传至“政府采购云平台”的，投标无效；通过“政府采购云平台”上传递交的“电子加密投标文件”无法按时解密的，如投标供应商未按规定递交“ 电子备份投标文件”的，视为投标文件撤回。</w:t>
      </w:r>
    </w:p>
    <w:p>
      <w:pPr>
        <w:pStyle w:val="20"/>
        <w:spacing w:line="360" w:lineRule="auto"/>
        <w:ind w:firstLine="425"/>
        <w:rPr>
          <w:color w:val="000000" w:themeColor="text1"/>
          <w:highlight w:val="none"/>
          <w14:textFill>
            <w14:solidFill>
              <w14:schemeClr w14:val="tx1"/>
            </w14:solidFill>
          </w14:textFill>
        </w:rPr>
      </w:pPr>
      <w:r>
        <w:rPr>
          <w:rFonts w:hint="eastAsia" w:ascii="宋体" w:eastAsia="宋体"/>
          <w:color w:val="000000" w:themeColor="text1"/>
          <w:sz w:val="21"/>
          <w:szCs w:val="21"/>
          <w:highlight w:val="none"/>
          <w14:textFill>
            <w14:solidFill>
              <w14:schemeClr w14:val="tx1"/>
            </w14:solidFill>
          </w14:textFill>
        </w:rPr>
        <w:t>2.投标人没有按照招标文件要求提供全部资料，或者投标人没有对招标文件在各方面作出实质性响应是投标人的风险，并可能导致其投标无效。</w:t>
      </w:r>
    </w:p>
    <w:p>
      <w:pPr>
        <w:pStyle w:val="7"/>
        <w:numPr>
          <w:ilvl w:val="0"/>
          <w:numId w:val="0"/>
        </w:numPr>
        <w:tabs>
          <w:tab w:val="left" w:pos="1004"/>
        </w:tabs>
        <w:snapToGrid w:val="0"/>
        <w:spacing w:line="440" w:lineRule="exact"/>
        <w:ind w:firstLine="414" w:firstLineChars="196"/>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 xml:space="preserve">（三）招标文件的澄清与修改 </w:t>
      </w:r>
    </w:p>
    <w:p>
      <w:pPr>
        <w:pStyle w:val="3"/>
        <w:spacing w:line="440" w:lineRule="exact"/>
        <w:ind w:firstLine="424" w:firstLineChars="200"/>
        <w:rPr>
          <w:rFonts w:ascii="宋体" w:hAnsi="宋体" w:cs="宋体"/>
          <w:b w:val="0"/>
          <w:bCs w:val="0"/>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1</w:t>
      </w:r>
      <w:r>
        <w:rPr>
          <w:rFonts w:hint="eastAsia" w:ascii="宋体" w:hAnsi="宋体" w:cs="宋体"/>
          <w:b w:val="0"/>
          <w:bCs w:val="0"/>
          <w:color w:val="000000" w:themeColor="text1"/>
          <w:sz w:val="21"/>
          <w:szCs w:val="21"/>
          <w:highlight w:val="none"/>
          <w14:textFill>
            <w14:solidFill>
              <w14:schemeClr w14:val="tx1"/>
            </w14:solidFill>
          </w14:textFill>
        </w:rPr>
        <w:t>.采购人或者采购代理机构可以对已发出的采购文件进行必要的澄清或者修改。澄清或者修改的内容可能影响投标文件编制的，采购人或者采购代理机构应当在投标截止时间至少15日前，将以更正公告的形式在采购公告发布的同一媒体发布。采购文件的修改和澄清（答疑）答复的文件作为</w:t>
      </w:r>
      <w:r>
        <w:rPr>
          <w:rFonts w:hint="eastAsia" w:ascii="宋体" w:hAnsi="宋体" w:cs="宋体"/>
          <w:b w:val="0"/>
          <w:bCs w:val="0"/>
          <w:color w:val="000000" w:themeColor="text1"/>
          <w:sz w:val="21"/>
          <w:szCs w:val="21"/>
          <w:highlight w:val="none"/>
          <w:lang w:eastAsia="zh-CN"/>
          <w14:textFill>
            <w14:solidFill>
              <w14:schemeClr w14:val="tx1"/>
            </w14:solidFill>
          </w14:textFill>
        </w:rPr>
        <w:t>采购文件</w:t>
      </w:r>
      <w:r>
        <w:rPr>
          <w:rFonts w:hint="eastAsia" w:ascii="宋体" w:hAnsi="宋体" w:cs="宋体"/>
          <w:b w:val="0"/>
          <w:bCs w:val="0"/>
          <w:color w:val="000000" w:themeColor="text1"/>
          <w:sz w:val="21"/>
          <w:szCs w:val="21"/>
          <w:highlight w:val="none"/>
          <w14:textFill>
            <w14:solidFill>
              <w14:schemeClr w14:val="tx1"/>
            </w14:solidFill>
          </w14:textFill>
        </w:rPr>
        <w:t>的补充和组成部分，对所有供应商均有约束力。若后续仍有更正内容，将继续以更正公告形式在本网站发布，请供应商密切关注更正公告。</w:t>
      </w:r>
    </w:p>
    <w:p>
      <w:pPr>
        <w:pStyle w:val="3"/>
        <w:spacing w:line="440" w:lineRule="exact"/>
        <w:ind w:firstLine="424" w:firstLineChars="200"/>
        <w:rPr>
          <w:rFonts w:ascii="宋体" w:hAnsi="宋体" w:cs="宋体"/>
          <w:b w:val="0"/>
          <w:bCs w:val="0"/>
          <w:color w:val="000000" w:themeColor="text1"/>
          <w:sz w:val="21"/>
          <w:szCs w:val="21"/>
          <w:highlight w:val="none"/>
          <w:lang w:val="zh-CN"/>
          <w14:textFill>
            <w14:solidFill>
              <w14:schemeClr w14:val="tx1"/>
            </w14:solidFill>
          </w14:textFill>
        </w:rPr>
      </w:pPr>
      <w:r>
        <w:rPr>
          <w:rFonts w:hint="eastAsia" w:ascii="宋体" w:hAnsi="宋体" w:cs="宋体"/>
          <w:b w:val="0"/>
          <w:bCs w:val="0"/>
          <w:color w:val="000000" w:themeColor="text1"/>
          <w:sz w:val="21"/>
          <w:szCs w:val="21"/>
          <w:highlight w:val="none"/>
          <w14:textFill>
            <w14:solidFill>
              <w14:schemeClr w14:val="tx1"/>
            </w14:solidFill>
          </w14:textFill>
        </w:rPr>
        <w:t>2.</w:t>
      </w:r>
      <w:r>
        <w:rPr>
          <w:rFonts w:hint="eastAsia" w:ascii="宋体" w:hAnsi="宋体" w:cs="宋体"/>
          <w:b w:val="0"/>
          <w:bCs w:val="0"/>
          <w:color w:val="000000" w:themeColor="text1"/>
          <w:sz w:val="21"/>
          <w:szCs w:val="21"/>
          <w:highlight w:val="none"/>
          <w:lang w:val="zh-CN"/>
          <w14:textFill>
            <w14:solidFill>
              <w14:schemeClr w14:val="tx1"/>
            </w14:solidFill>
          </w14:textFill>
        </w:rPr>
        <w:t>不论</w:t>
      </w:r>
      <w:r>
        <w:rPr>
          <w:rFonts w:hint="eastAsia" w:ascii="宋体" w:hAnsi="宋体" w:cs="宋体"/>
          <w:b w:val="0"/>
          <w:bCs w:val="0"/>
          <w:color w:val="000000" w:themeColor="text1"/>
          <w:sz w:val="21"/>
          <w:szCs w:val="21"/>
          <w:highlight w:val="none"/>
          <w14:textFill>
            <w14:solidFill>
              <w14:schemeClr w14:val="tx1"/>
            </w14:solidFill>
          </w14:textFill>
        </w:rPr>
        <w:t>采购人、采购代理机构</w:t>
      </w:r>
      <w:r>
        <w:rPr>
          <w:rFonts w:hint="eastAsia" w:ascii="宋体" w:hAnsi="宋体" w:cs="宋体"/>
          <w:b w:val="0"/>
          <w:bCs w:val="0"/>
          <w:color w:val="000000" w:themeColor="text1"/>
          <w:sz w:val="21"/>
          <w:szCs w:val="21"/>
          <w:highlight w:val="none"/>
          <w:lang w:val="zh-CN"/>
          <w14:textFill>
            <w14:solidFill>
              <w14:schemeClr w14:val="tx1"/>
            </w14:solidFill>
          </w14:textFill>
        </w:rPr>
        <w:t>向投标人发送的资料文件，还是投标人提出的问题，均采用书面形式，任何口头提问及答复一律无效。</w:t>
      </w:r>
    </w:p>
    <w:p>
      <w:pPr>
        <w:pStyle w:val="2"/>
        <w:snapToGrid w:val="0"/>
        <w:spacing w:line="440" w:lineRule="exact"/>
        <w:ind w:firstLine="424" w:firstLineChars="20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3.各供应商自行在浙江政府采购网下载或查阅采购文件和相关更正公告等，不另行通知，如有遗漏采购人、采购代理机构概不负责。</w:t>
      </w:r>
    </w:p>
    <w:p>
      <w:pPr>
        <w:pStyle w:val="2"/>
        <w:snapToGrid w:val="0"/>
        <w:spacing w:line="440" w:lineRule="exact"/>
        <w:ind w:firstLine="2820" w:firstLineChars="1000"/>
        <w:outlineLvl w:val="1"/>
        <w:rPr>
          <w:rFonts w:hAnsi="宋体" w:cs="宋体"/>
          <w:b/>
          <w:color w:val="000000" w:themeColor="text1"/>
          <w:sz w:val="28"/>
          <w:szCs w:val="28"/>
          <w:highlight w:val="none"/>
          <w14:textFill>
            <w14:solidFill>
              <w14:schemeClr w14:val="tx1"/>
            </w14:solidFill>
          </w14:textFill>
        </w:rPr>
      </w:pPr>
      <w:r>
        <w:rPr>
          <w:rFonts w:hint="eastAsia" w:hAnsi="宋体" w:cs="宋体"/>
          <w:b/>
          <w:color w:val="000000" w:themeColor="text1"/>
          <w:sz w:val="28"/>
          <w:szCs w:val="28"/>
          <w:highlight w:val="none"/>
          <w14:textFill>
            <w14:solidFill>
              <w14:schemeClr w14:val="tx1"/>
            </w14:solidFill>
          </w14:textFill>
        </w:rPr>
        <w:t>三、投标文件的编制、递交</w:t>
      </w:r>
    </w:p>
    <w:p>
      <w:pPr>
        <w:snapToGrid w:val="0"/>
        <w:spacing w:line="440" w:lineRule="exact"/>
        <w:ind w:firstLine="414" w:firstLineChars="196"/>
        <w:jc w:val="left"/>
        <w:outlineLvl w:val="0"/>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（一）投标文件的组成</w:t>
      </w:r>
    </w:p>
    <w:p>
      <w:pPr>
        <w:snapToGrid w:val="0"/>
        <w:spacing w:line="440" w:lineRule="exact"/>
        <w:ind w:firstLine="424"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投标文件由资格证明文件、商务及技术文件和报价文件三部份组成。</w:t>
      </w:r>
      <w:r>
        <w:rPr>
          <w:rFonts w:hint="eastAsia" w:ascii="宋体" w:hAnsi="宋体" w:cs="宋体"/>
          <w:b/>
          <w:color w:val="000000" w:themeColor="text1"/>
          <w:szCs w:val="21"/>
          <w:highlight w:val="none"/>
          <w14:textFill>
            <w14:solidFill>
              <w14:schemeClr w14:val="tx1"/>
            </w14:solidFill>
          </w14:textFill>
        </w:rPr>
        <w:t>其中投标文件中所须加盖公章部分均采用CA签章。</w:t>
      </w:r>
    </w:p>
    <w:p>
      <w:pPr>
        <w:autoSpaceDE w:val="0"/>
        <w:autoSpaceDN w:val="0"/>
        <w:adjustRightInd w:val="0"/>
        <w:spacing w:line="440" w:lineRule="exact"/>
        <w:ind w:firstLine="424" w:firstLineChars="200"/>
        <w:rPr>
          <w:rFonts w:ascii="宋体" w:hAnsi="宋体" w:cs="宋体"/>
          <w:color w:val="000000" w:themeColor="text1"/>
          <w:szCs w:val="21"/>
          <w:highlight w:val="none"/>
          <w:lang w:val="zh-CN"/>
          <w14:textFill>
            <w14:solidFill>
              <w14:schemeClr w14:val="tx1"/>
            </w14:solidFill>
          </w14:textFill>
        </w:rPr>
      </w:pPr>
      <w:r>
        <w:rPr>
          <w:rFonts w:hint="eastAsia" w:ascii="宋体" w:hAnsi="宋体" w:cs="宋体"/>
          <w:b/>
          <w:bCs/>
          <w:color w:val="000000" w:themeColor="text1"/>
          <w:szCs w:val="21"/>
          <w:highlight w:val="none"/>
          <w:lang w:val="zh-CN"/>
          <w14:textFill>
            <w14:solidFill>
              <w14:schemeClr w14:val="tx1"/>
            </w14:solidFill>
          </w14:textFill>
        </w:rPr>
        <w:t>1</w:t>
      </w:r>
      <w:r>
        <w:rPr>
          <w:rFonts w:hint="eastAsia" w:ascii="宋体" w:hAnsi="宋体" w:cs="宋体"/>
          <w:b/>
          <w:bCs/>
          <w:color w:val="000000" w:themeColor="text1"/>
          <w:szCs w:val="21"/>
          <w:highlight w:val="none"/>
          <w14:textFill>
            <w14:solidFill>
              <w14:schemeClr w14:val="tx1"/>
            </w14:solidFill>
          </w14:textFill>
        </w:rPr>
        <w:t>.</w:t>
      </w:r>
      <w:r>
        <w:rPr>
          <w:rFonts w:hint="eastAsia" w:ascii="宋体" w:hAnsi="宋体" w:cs="宋体"/>
          <w:b/>
          <w:bCs/>
          <w:color w:val="000000" w:themeColor="text1"/>
          <w:szCs w:val="21"/>
          <w:highlight w:val="none"/>
          <w:lang w:val="zh-CN"/>
          <w14:textFill>
            <w14:solidFill>
              <w14:schemeClr w14:val="tx1"/>
            </w14:solidFill>
          </w14:textFill>
        </w:rPr>
        <w:t>【资</w:t>
      </w:r>
      <w:r>
        <w:rPr>
          <w:rFonts w:hint="eastAsia" w:ascii="宋体" w:hAnsi="宋体" w:cs="宋体"/>
          <w:b/>
          <w:bCs/>
          <w:color w:val="000000" w:themeColor="text1"/>
          <w:szCs w:val="21"/>
          <w:highlight w:val="none"/>
          <w14:textFill>
            <w14:solidFill>
              <w14:schemeClr w14:val="tx1"/>
            </w14:solidFill>
          </w14:textFill>
        </w:rPr>
        <w:t>格证明文件</w:t>
      </w:r>
      <w:r>
        <w:rPr>
          <w:rFonts w:hint="eastAsia" w:ascii="宋体" w:hAnsi="宋体" w:cs="宋体"/>
          <w:b/>
          <w:bCs/>
          <w:color w:val="000000" w:themeColor="text1"/>
          <w:szCs w:val="21"/>
          <w:highlight w:val="none"/>
          <w:lang w:val="zh-CN"/>
          <w14:textFill>
            <w14:solidFill>
              <w14:schemeClr w14:val="tx1"/>
            </w14:solidFill>
          </w14:textFill>
        </w:rPr>
        <w:t>】</w:t>
      </w:r>
    </w:p>
    <w:p>
      <w:pPr>
        <w:tabs>
          <w:tab w:val="left" w:pos="720"/>
          <w:tab w:val="left" w:pos="5355"/>
        </w:tabs>
        <w:spacing w:line="420" w:lineRule="exact"/>
        <w:ind w:firstLine="212" w:firstLineChars="100"/>
        <w:rPr>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（1）投标声明书（格式见附件）；</w:t>
      </w:r>
    </w:p>
    <w:p>
      <w:pPr>
        <w:pStyle w:val="24"/>
        <w:spacing w:line="420" w:lineRule="exact"/>
        <w:ind w:firstLine="204" w:firstLineChars="100"/>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pacing w:val="-4"/>
          <w:sz w:val="21"/>
          <w:szCs w:val="21"/>
          <w:highlight w:val="none"/>
          <w14:textFill>
            <w14:solidFill>
              <w14:schemeClr w14:val="tx1"/>
            </w14:solidFill>
          </w14:textFill>
        </w:rPr>
        <w:t>（</w:t>
      </w:r>
      <w:r>
        <w:rPr>
          <w:rFonts w:hint="eastAsia" w:ascii="宋体" w:hAnsi="宋体" w:eastAsia="宋体" w:cs="宋体"/>
          <w:color w:val="000000" w:themeColor="text1"/>
          <w:spacing w:val="-4"/>
          <w:sz w:val="21"/>
          <w:szCs w:val="21"/>
          <w:highlight w:val="none"/>
          <w:lang w:val="en-US"/>
          <w14:textFill>
            <w14:solidFill>
              <w14:schemeClr w14:val="tx1"/>
            </w14:solidFill>
          </w14:textFill>
        </w:rPr>
        <w:t>2</w:t>
      </w:r>
      <w:r>
        <w:rPr>
          <w:rFonts w:hint="eastAsia" w:ascii="宋体" w:hAnsi="宋体" w:eastAsia="宋体" w:cs="宋体"/>
          <w:color w:val="000000" w:themeColor="text1"/>
          <w:spacing w:val="-4"/>
          <w:sz w:val="21"/>
          <w:szCs w:val="21"/>
          <w:highlight w:val="none"/>
          <w14:textFill>
            <w14:solidFill>
              <w14:schemeClr w14:val="tx1"/>
            </w14:solidFill>
          </w14:textFill>
        </w:rPr>
        <w:t>）法定代表人身份证明</w:t>
      </w:r>
      <w:r>
        <w:rPr>
          <w:rFonts w:hint="eastAsia" w:ascii="宋体" w:hAnsi="宋体" w:eastAsia="宋体" w:cs="宋体"/>
          <w:color w:val="000000" w:themeColor="text1"/>
          <w:spacing w:val="-5"/>
          <w:sz w:val="21"/>
          <w:szCs w:val="21"/>
          <w:highlight w:val="none"/>
          <w14:textFill>
            <w14:solidFill>
              <w14:schemeClr w14:val="tx1"/>
            </w14:solidFill>
          </w14:textFill>
        </w:rPr>
        <w:t>或法定代表人授权委托书</w:t>
      </w:r>
      <w:r>
        <w:rPr>
          <w:rFonts w:hint="eastAsia" w:ascii="宋体" w:hAnsi="宋体" w:eastAsia="宋体" w:cs="宋体"/>
          <w:color w:val="000000" w:themeColor="text1"/>
          <w:sz w:val="21"/>
          <w:szCs w:val="21"/>
          <w:highlight w:val="none"/>
          <w14:textFill>
            <w14:solidFill>
              <w14:schemeClr w14:val="tx1"/>
            </w14:solidFill>
          </w14:textFill>
        </w:rPr>
        <w:t>（格式见附件）</w:t>
      </w:r>
      <w:r>
        <w:rPr>
          <w:rFonts w:hint="eastAsia" w:ascii="宋体" w:hAnsi="宋体" w:eastAsia="宋体" w:cs="宋体"/>
          <w:b/>
          <w:bCs/>
          <w:sz w:val="21"/>
          <w:szCs w:val="21"/>
          <w:highlight w:val="none"/>
        </w:rPr>
        <w:t>（电子标书内法定代表人授权委托书需签字的可线下签字后再将其上传至线上投标文件内）</w:t>
      </w:r>
      <w:r>
        <w:rPr>
          <w:rFonts w:hint="eastAsia" w:ascii="宋体" w:hAnsi="宋体" w:eastAsia="宋体" w:cs="宋体"/>
          <w:color w:val="000000" w:themeColor="text1"/>
          <w:sz w:val="21"/>
          <w:szCs w:val="21"/>
          <w:highlight w:val="none"/>
          <w14:textFill>
            <w14:solidFill>
              <w14:schemeClr w14:val="tx1"/>
            </w14:solidFill>
          </w14:textFill>
        </w:rPr>
        <w:t>；</w:t>
      </w:r>
    </w:p>
    <w:p>
      <w:pPr>
        <w:spacing w:line="420" w:lineRule="exact"/>
        <w:ind w:firstLine="212" w:firstLineChars="1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（3）有效期内的营业执照扫描件；</w:t>
      </w:r>
      <w:bookmarkStart w:id="29" w:name="_Toc27119254"/>
      <w:bookmarkStart w:id="30" w:name="_Toc28052"/>
    </w:p>
    <w:p>
      <w:pPr>
        <w:spacing w:line="420" w:lineRule="exact"/>
        <w:ind w:firstLine="212" w:firstLineChars="10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w:t>
      </w:r>
      <w:r>
        <w:rPr>
          <w:rFonts w:hint="eastAsia" w:ascii="宋体" w:hAnsi="宋体" w:cs="宋体"/>
          <w:color w:val="000000" w:themeColor="text1"/>
          <w:kern w:val="0"/>
          <w:szCs w:val="21"/>
          <w:highlight w:val="none"/>
          <w14:textFill>
            <w14:solidFill>
              <w14:schemeClr w14:val="tx1"/>
            </w14:solidFill>
          </w14:textFill>
        </w:rPr>
        <w:t>2018年或2019年财务报表</w:t>
      </w:r>
      <w:r>
        <w:rPr>
          <w:rFonts w:hint="eastAsia" w:ascii="宋体" w:hAnsi="宋体" w:cs="宋体"/>
          <w:color w:val="000000" w:themeColor="text1"/>
          <w:szCs w:val="21"/>
          <w:highlight w:val="none"/>
          <w14:textFill>
            <w14:solidFill>
              <w14:schemeClr w14:val="tx1"/>
            </w14:solidFill>
          </w14:textFill>
        </w:rPr>
        <w:t>扫描件</w:t>
      </w:r>
      <w:r>
        <w:rPr>
          <w:rFonts w:hint="eastAsia" w:ascii="宋体" w:hAnsi="宋体" w:cs="宋体"/>
          <w:color w:val="000000" w:themeColor="text1"/>
          <w:kern w:val="0"/>
          <w:szCs w:val="21"/>
          <w:highlight w:val="none"/>
          <w14:textFill>
            <w14:solidFill>
              <w14:schemeClr w14:val="tx1"/>
            </w14:solidFill>
          </w14:textFill>
        </w:rPr>
        <w:t>，</w:t>
      </w:r>
      <w:r>
        <w:rPr>
          <w:rFonts w:hint="eastAsia" w:ascii="宋体" w:hAnsi="宋体" w:cs="宋体"/>
          <w:szCs w:val="21"/>
          <w:highlight w:val="none"/>
        </w:rPr>
        <w:t>新成立公司出具银行资信证明扫描件</w:t>
      </w:r>
      <w:r>
        <w:rPr>
          <w:rFonts w:hint="eastAsia" w:ascii="宋体" w:hAnsi="宋体" w:cs="宋体"/>
          <w:color w:val="000000" w:themeColor="text1"/>
          <w:szCs w:val="21"/>
          <w:highlight w:val="none"/>
          <w14:textFill>
            <w14:solidFill>
              <w14:schemeClr w14:val="tx1"/>
            </w14:solidFill>
          </w14:textFill>
        </w:rPr>
        <w:t>；</w:t>
      </w:r>
    </w:p>
    <w:p>
      <w:pPr>
        <w:spacing w:line="420" w:lineRule="exact"/>
        <w:ind w:firstLine="212" w:firstLineChars="1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w:t>
      </w:r>
      <w:r>
        <w:rPr>
          <w:rFonts w:hint="eastAsia" w:ascii="宋体" w:hAnsi="宋体"/>
          <w:color w:val="000000" w:themeColor="text1"/>
          <w:szCs w:val="21"/>
          <w:highlight w:val="none"/>
          <w14:textFill>
            <w14:solidFill>
              <w14:schemeClr w14:val="tx1"/>
            </w14:solidFill>
          </w14:textFill>
        </w:rPr>
        <w:t>具有履行合同所必需的设备和专业技术能力的承诺函</w:t>
      </w:r>
      <w:bookmarkEnd w:id="29"/>
      <w:bookmarkEnd w:id="30"/>
      <w:r>
        <w:rPr>
          <w:rFonts w:hint="eastAsia" w:ascii="宋体" w:hAnsi="宋体" w:cs="宋体"/>
          <w:color w:val="000000" w:themeColor="text1"/>
          <w:szCs w:val="21"/>
          <w:highlight w:val="none"/>
          <w14:textFill>
            <w14:solidFill>
              <w14:schemeClr w14:val="tx1"/>
            </w14:solidFill>
          </w14:textFill>
        </w:rPr>
        <w:t>（格式见附件）；</w:t>
      </w:r>
    </w:p>
    <w:p>
      <w:pPr>
        <w:pStyle w:val="34"/>
        <w:spacing w:line="420" w:lineRule="exact"/>
        <w:ind w:firstLine="212" w:firstLineChars="100"/>
        <w:rPr>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（6）参加政府采购活动前3年内在经营活动中没有重大违法记录的声明函（格式见附件）</w:t>
      </w:r>
      <w:r>
        <w:rPr>
          <w:rFonts w:ascii="宋体" w:hAnsi="宋体" w:cs="宋体"/>
          <w:color w:val="000000" w:themeColor="text1"/>
          <w:szCs w:val="21"/>
          <w:highlight w:val="none"/>
          <w14:textFill>
            <w14:solidFill>
              <w14:schemeClr w14:val="tx1"/>
            </w14:solidFill>
          </w14:textFill>
        </w:rPr>
        <w:t>；</w:t>
      </w:r>
    </w:p>
    <w:p>
      <w:pPr>
        <w:spacing w:line="440" w:lineRule="exact"/>
        <w:ind w:firstLine="212" w:firstLineChars="100"/>
        <w:rPr>
          <w:rFonts w:ascii="宋体" w:hAnsi="宋体" w:cs="宋体"/>
          <w:szCs w:val="21"/>
          <w:highlight w:val="none"/>
        </w:rPr>
      </w:pPr>
      <w:r>
        <w:rPr>
          <w:rFonts w:hint="eastAsia" w:ascii="宋体" w:hAnsi="宋体" w:cs="宋体"/>
          <w:color w:val="000000" w:themeColor="text1"/>
          <w:szCs w:val="21"/>
          <w:highlight w:val="none"/>
          <w14:textFill>
            <w14:solidFill>
              <w14:schemeClr w14:val="tx1"/>
            </w14:solidFill>
          </w14:textFill>
        </w:rPr>
        <w:t>（7）</w:t>
      </w:r>
      <w:r>
        <w:rPr>
          <w:rFonts w:hint="eastAsia" w:ascii="宋体" w:hAnsi="宋体" w:cs="宋体"/>
          <w:szCs w:val="21"/>
          <w:highlight w:val="none"/>
        </w:rPr>
        <w:t>提供依法缴纳税收的证明或者《依法纳税或依法免税证明》</w:t>
      </w:r>
      <w:r>
        <w:rPr>
          <w:rFonts w:hint="eastAsia" w:ascii="宋体" w:hAnsi="宋体" w:cs="宋体"/>
          <w:b/>
          <w:bCs/>
          <w:szCs w:val="21"/>
          <w:highlight w:val="none"/>
        </w:rPr>
        <w:t>（可以为税务机构官方网站查询结果）</w:t>
      </w:r>
      <w:r>
        <w:rPr>
          <w:rFonts w:hint="eastAsia" w:ascii="宋体" w:hAnsi="宋体" w:cs="宋体"/>
          <w:szCs w:val="21"/>
          <w:highlight w:val="none"/>
        </w:rPr>
        <w:t>和社保费缴纳的证明</w:t>
      </w:r>
      <w:r>
        <w:rPr>
          <w:rFonts w:hint="eastAsia" w:ascii="宋体" w:hAnsi="宋体" w:cs="宋体"/>
          <w:b/>
          <w:bCs/>
          <w:szCs w:val="21"/>
          <w:highlight w:val="none"/>
        </w:rPr>
        <w:t>（可以为税务或社保机构官方网站查询结果）（最近一季度的）</w:t>
      </w:r>
      <w:r>
        <w:rPr>
          <w:rFonts w:hint="eastAsia" w:ascii="宋体" w:hAnsi="宋体" w:cs="宋体"/>
          <w:szCs w:val="21"/>
          <w:highlight w:val="none"/>
        </w:rPr>
        <w:t>；</w:t>
      </w:r>
    </w:p>
    <w:p>
      <w:pPr>
        <w:spacing w:line="440" w:lineRule="exact"/>
        <w:ind w:firstLine="212" w:firstLineChars="1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（8）提供投标文件（投标文件）截止时间前3年内的“信用中国”网站（www.creditchina.gov.cn）、中国政府采购网（www.ccgp.gov.cn）投标人信用查询网页截图；</w:t>
      </w:r>
    </w:p>
    <w:p>
      <w:pPr>
        <w:tabs>
          <w:tab w:val="center" w:pos="4156"/>
        </w:tabs>
        <w:autoSpaceDE w:val="0"/>
        <w:autoSpaceDN w:val="0"/>
        <w:adjustRightInd w:val="0"/>
        <w:spacing w:line="440" w:lineRule="exact"/>
        <w:rPr>
          <w:rFonts w:ascii="宋体" w:hAnsi="宋体" w:cs="宋体"/>
          <w:color w:val="000000" w:themeColor="text1"/>
          <w:szCs w:val="21"/>
          <w:highlight w:val="none"/>
          <w:lang w:val="zh-CN"/>
          <w14:textFill>
            <w14:solidFill>
              <w14:schemeClr w14:val="tx1"/>
            </w14:solidFill>
          </w14:textFill>
        </w:rPr>
      </w:pPr>
      <w:r>
        <w:rPr>
          <w:rFonts w:hint="eastAsia" w:ascii="宋体" w:hAnsi="宋体" w:cs="宋体"/>
          <w:color w:val="000000" w:themeColor="text1"/>
          <w:szCs w:val="21"/>
          <w:highlight w:val="none"/>
          <w:lang w:val="zh-CN"/>
          <w14:textFill>
            <w14:solidFill>
              <w14:schemeClr w14:val="tx1"/>
            </w14:solidFill>
          </w14:textFill>
        </w:rPr>
        <w:t>　</w:t>
      </w:r>
      <w:r>
        <w:rPr>
          <w:rFonts w:hint="eastAsia" w:ascii="宋体" w:hAnsi="宋体" w:cs="宋体"/>
          <w:color w:val="000000" w:themeColor="text1"/>
          <w:szCs w:val="21"/>
          <w:highlight w:val="none"/>
          <w14:textFill>
            <w14:solidFill>
              <w14:schemeClr w14:val="tx1"/>
            </w14:solidFill>
          </w14:textFill>
        </w:rPr>
        <w:t>（9）</w:t>
      </w:r>
      <w:r>
        <w:rPr>
          <w:rFonts w:hint="eastAsia" w:ascii="宋体" w:hAnsi="宋体" w:cs="宋体"/>
          <w:color w:val="000000" w:themeColor="text1"/>
          <w:szCs w:val="21"/>
          <w:highlight w:val="none"/>
          <w:lang w:val="zh-CN"/>
          <w14:textFill>
            <w14:solidFill>
              <w14:schemeClr w14:val="tx1"/>
            </w14:solidFill>
          </w14:textFill>
        </w:rPr>
        <w:t>投标人认为需要提供的其他投标文件和资料（可自行阐述项目，做出说明）。</w:t>
      </w:r>
    </w:p>
    <w:p>
      <w:pPr>
        <w:overflowPunct w:val="0"/>
        <w:spacing w:line="440" w:lineRule="exact"/>
        <w:rPr>
          <w:rFonts w:ascii="宋体" w:hAnsi="宋体" w:cs="宋体"/>
          <w:b/>
          <w:bCs/>
          <w:color w:val="000000" w:themeColor="text1"/>
          <w:szCs w:val="21"/>
          <w:highlight w:val="none"/>
          <w14:textFill>
            <w14:solidFill>
              <w14:schemeClr w14:val="tx1"/>
            </w14:solidFill>
          </w14:textFill>
        </w:rPr>
      </w:pPr>
      <w:r>
        <w:rPr>
          <w:rFonts w:hint="eastAsia" w:ascii="宋体" w:hAnsi="宋体" w:cs="宋体"/>
          <w:b/>
          <w:color w:val="000000" w:themeColor="text1"/>
          <w:kern w:val="0"/>
          <w:szCs w:val="21"/>
          <w:highlight w:val="none"/>
          <w14:textFill>
            <w14:solidFill>
              <w14:schemeClr w14:val="tx1"/>
            </w14:solidFill>
          </w14:textFill>
        </w:rPr>
        <w:t xml:space="preserve">    </w:t>
      </w:r>
      <w:r>
        <w:rPr>
          <w:rFonts w:hint="eastAsia" w:ascii="宋体" w:hAnsi="宋体" w:cs="宋体"/>
          <w:b/>
          <w:color w:val="000000" w:themeColor="text1"/>
          <w:szCs w:val="21"/>
          <w:highlight w:val="none"/>
          <w14:textFill>
            <w14:solidFill>
              <w14:schemeClr w14:val="tx1"/>
            </w14:solidFill>
          </w14:textFill>
        </w:rPr>
        <w:t>由于本项目为电子标，投标人的法定代表人（或其委托代理人）无需出席开标现场会议，上传的扫描件</w:t>
      </w:r>
      <w:r>
        <w:rPr>
          <w:rFonts w:hint="eastAsia" w:ascii="宋体" w:hAnsi="宋体" w:cs="宋体"/>
          <w:b/>
          <w:bCs/>
          <w:color w:val="000000" w:themeColor="text1"/>
          <w:szCs w:val="21"/>
          <w:highlight w:val="none"/>
          <w14:textFill>
            <w14:solidFill>
              <w14:schemeClr w14:val="tx1"/>
            </w14:solidFill>
          </w14:textFill>
        </w:rPr>
        <w:t>需清晰可辩，并为原件扫描件（彩色）。</w:t>
      </w:r>
    </w:p>
    <w:p>
      <w:pPr>
        <w:overflowPunct w:val="0"/>
        <w:spacing w:line="440" w:lineRule="exact"/>
        <w:ind w:firstLine="424" w:firstLineChars="200"/>
        <w:rPr>
          <w:rFonts w:ascii="宋体" w:hAnsi="宋体" w:cs="宋体"/>
          <w:b/>
          <w:color w:val="FF0000"/>
          <w:szCs w:val="21"/>
          <w:highlight w:val="none"/>
        </w:rPr>
      </w:pPr>
      <w:r>
        <w:rPr>
          <w:rFonts w:hint="eastAsia" w:ascii="宋体" w:hAnsi="宋体" w:cs="宋体"/>
          <w:b/>
          <w:color w:val="FF0000"/>
          <w:szCs w:val="21"/>
          <w:highlight w:val="none"/>
        </w:rPr>
        <w:t>注：资格审查资料应包含以上所有内容，投标人的提供资格审查资料不完整或不符合招标文件要求的，则资格审查不予通过。</w:t>
      </w:r>
    </w:p>
    <w:p>
      <w:pPr>
        <w:numPr>
          <w:ilvl w:val="0"/>
          <w:numId w:val="6"/>
        </w:numPr>
        <w:autoSpaceDE w:val="0"/>
        <w:autoSpaceDN w:val="0"/>
        <w:adjustRightInd w:val="0"/>
        <w:spacing w:line="440" w:lineRule="exact"/>
        <w:ind w:left="426"/>
        <w:rPr>
          <w:rFonts w:ascii="宋体" w:hAnsi="宋体" w:cs="宋体"/>
          <w:b/>
          <w:bCs/>
          <w:color w:val="000000" w:themeColor="text1"/>
          <w:szCs w:val="21"/>
          <w:highlight w:val="none"/>
          <w:lang w:val="zh-CN"/>
          <w14:textFill>
            <w14:solidFill>
              <w14:schemeClr w14:val="tx1"/>
            </w14:solidFill>
          </w14:textFill>
        </w:rPr>
      </w:pPr>
      <w:r>
        <w:rPr>
          <w:rFonts w:hint="eastAsia" w:ascii="宋体" w:hAnsi="宋体" w:cs="宋体"/>
          <w:b/>
          <w:bCs/>
          <w:color w:val="000000" w:themeColor="text1"/>
          <w:szCs w:val="21"/>
          <w:highlight w:val="none"/>
          <w:lang w:val="zh-CN"/>
          <w14:textFill>
            <w14:solidFill>
              <w14:schemeClr w14:val="tx1"/>
            </w14:solidFill>
          </w14:textFill>
        </w:rPr>
        <w:t>【</w:t>
      </w:r>
      <w:r>
        <w:rPr>
          <w:rFonts w:hint="eastAsia" w:ascii="宋体" w:hAnsi="宋体" w:cs="宋体"/>
          <w:b/>
          <w:bCs/>
          <w:color w:val="000000" w:themeColor="text1"/>
          <w:szCs w:val="21"/>
          <w:highlight w:val="none"/>
          <w14:textFill>
            <w14:solidFill>
              <w14:schemeClr w14:val="tx1"/>
            </w14:solidFill>
          </w14:textFill>
        </w:rPr>
        <w:t>商务及</w:t>
      </w:r>
      <w:r>
        <w:rPr>
          <w:rFonts w:hint="eastAsia" w:ascii="宋体" w:hAnsi="宋体" w:cs="宋体"/>
          <w:b/>
          <w:bCs/>
          <w:color w:val="000000" w:themeColor="text1"/>
          <w:szCs w:val="21"/>
          <w:highlight w:val="none"/>
          <w:lang w:val="zh-CN"/>
          <w14:textFill>
            <w14:solidFill>
              <w14:schemeClr w14:val="tx1"/>
            </w14:solidFill>
          </w14:textFill>
        </w:rPr>
        <w:t>技术文件】</w:t>
      </w:r>
    </w:p>
    <w:p>
      <w:pPr>
        <w:autoSpaceDE w:val="0"/>
        <w:autoSpaceDN w:val="0"/>
        <w:adjustRightInd w:val="0"/>
        <w:spacing w:line="440" w:lineRule="exact"/>
        <w:ind w:firstLine="424" w:firstLineChars="200"/>
        <w:rPr>
          <w:rFonts w:ascii="宋体" w:hAnsi="宋体" w:cs="宋体"/>
          <w:b/>
          <w:color w:val="000000" w:themeColor="text1"/>
          <w:szCs w:val="21"/>
          <w:highlight w:val="none"/>
          <w:lang w:val="zh-CN"/>
          <w14:textFill>
            <w14:solidFill>
              <w14:schemeClr w14:val="tx1"/>
            </w14:solidFill>
          </w14:textFill>
        </w:rPr>
      </w:pPr>
      <w:r>
        <w:rPr>
          <w:rFonts w:hint="eastAsia" w:ascii="宋体" w:hAnsi="宋体" w:cs="宋体"/>
          <w:b/>
          <w:color w:val="000000" w:themeColor="text1"/>
          <w:szCs w:val="21"/>
          <w:highlight w:val="none"/>
          <w:lang w:val="zh-CN"/>
          <w14:textFill>
            <w14:solidFill>
              <w14:schemeClr w14:val="tx1"/>
            </w14:solidFill>
          </w14:textFill>
        </w:rPr>
        <w:t>（</w:t>
      </w:r>
      <w:r>
        <w:rPr>
          <w:rFonts w:hint="eastAsia" w:ascii="宋体" w:hAnsi="宋体" w:cs="宋体"/>
          <w:b/>
          <w:color w:val="000000" w:themeColor="text1"/>
          <w:szCs w:val="21"/>
          <w:highlight w:val="none"/>
          <w14:textFill>
            <w14:solidFill>
              <w14:schemeClr w14:val="tx1"/>
            </w14:solidFill>
          </w14:textFill>
        </w:rPr>
        <w:t>1</w:t>
      </w:r>
      <w:r>
        <w:rPr>
          <w:rFonts w:hint="eastAsia" w:ascii="宋体" w:hAnsi="宋体" w:cs="宋体"/>
          <w:b/>
          <w:color w:val="000000" w:themeColor="text1"/>
          <w:szCs w:val="21"/>
          <w:highlight w:val="none"/>
          <w:lang w:val="zh-CN"/>
          <w14:textFill>
            <w14:solidFill>
              <w14:schemeClr w14:val="tx1"/>
            </w14:solidFill>
          </w14:textFill>
        </w:rPr>
        <w:t>）供应商自评表（格式见附件）</w:t>
      </w:r>
    </w:p>
    <w:p>
      <w:pPr>
        <w:autoSpaceDE w:val="0"/>
        <w:autoSpaceDN w:val="0"/>
        <w:adjustRightInd w:val="0"/>
        <w:spacing w:line="440" w:lineRule="exact"/>
        <w:ind w:firstLine="424" w:firstLineChars="200"/>
        <w:rPr>
          <w:rFonts w:ascii="宋体" w:hAnsi="宋体" w:cs="宋体"/>
          <w:b/>
          <w:color w:val="000000" w:themeColor="text1"/>
          <w:szCs w:val="21"/>
          <w:highlight w:val="none"/>
          <w:lang w:val="zh-CN"/>
          <w14:textFill>
            <w14:solidFill>
              <w14:schemeClr w14:val="tx1"/>
            </w14:solidFill>
          </w14:textFill>
        </w:rPr>
      </w:pPr>
      <w:r>
        <w:rPr>
          <w:rFonts w:hint="eastAsia" w:ascii="宋体" w:hAnsi="宋体" w:cs="宋体"/>
          <w:b/>
          <w:color w:val="000000" w:themeColor="text1"/>
          <w:szCs w:val="21"/>
          <w:highlight w:val="none"/>
          <w:lang w:val="zh-CN"/>
          <w14:textFill>
            <w14:solidFill>
              <w14:schemeClr w14:val="tx1"/>
            </w14:solidFill>
          </w14:textFill>
        </w:rPr>
        <w:t>（</w:t>
      </w:r>
      <w:r>
        <w:rPr>
          <w:rFonts w:hint="eastAsia" w:ascii="宋体" w:hAnsi="宋体" w:cs="宋体"/>
          <w:b/>
          <w:color w:val="000000" w:themeColor="text1"/>
          <w:szCs w:val="21"/>
          <w:highlight w:val="none"/>
          <w14:textFill>
            <w14:solidFill>
              <w14:schemeClr w14:val="tx1"/>
            </w14:solidFill>
          </w14:textFill>
        </w:rPr>
        <w:t>2</w:t>
      </w:r>
      <w:r>
        <w:rPr>
          <w:rFonts w:hint="eastAsia" w:ascii="宋体" w:hAnsi="宋体" w:cs="宋体"/>
          <w:b/>
          <w:color w:val="000000" w:themeColor="text1"/>
          <w:szCs w:val="21"/>
          <w:highlight w:val="none"/>
          <w:lang w:val="zh-CN"/>
          <w14:textFill>
            <w14:solidFill>
              <w14:schemeClr w14:val="tx1"/>
            </w14:solidFill>
          </w14:textFill>
        </w:rPr>
        <w:t>）企业实力</w:t>
      </w:r>
      <w:r>
        <w:rPr>
          <w:rFonts w:hint="eastAsia" w:ascii="宋体" w:hAnsi="宋体" w:cs="宋体"/>
          <w:b/>
          <w:color w:val="000000" w:themeColor="text1"/>
          <w:szCs w:val="21"/>
          <w:highlight w:val="none"/>
          <w:lang w:val="zh-CN"/>
          <w14:textFill>
            <w14:solidFill>
              <w14:schemeClr w14:val="tx1"/>
            </w14:solidFill>
          </w14:textFill>
        </w:rPr>
        <w:tab/>
      </w:r>
    </w:p>
    <w:p>
      <w:pPr>
        <w:autoSpaceDE w:val="0"/>
        <w:autoSpaceDN w:val="0"/>
        <w:adjustRightInd w:val="0"/>
        <w:spacing w:line="440" w:lineRule="exact"/>
        <w:ind w:firstLine="424" w:firstLineChars="200"/>
        <w:rPr>
          <w:rFonts w:ascii="宋体" w:hAnsi="宋体" w:cs="宋体"/>
          <w:bCs/>
          <w:color w:val="000000" w:themeColor="text1"/>
          <w:szCs w:val="21"/>
          <w:highlight w:val="none"/>
          <w:lang w:val="zh-CN"/>
          <w14:textFill>
            <w14:solidFill>
              <w14:schemeClr w14:val="tx1"/>
            </w14:solidFill>
          </w14:textFill>
        </w:rPr>
      </w:pPr>
      <w:r>
        <w:rPr>
          <w:rFonts w:hint="eastAsia" w:ascii="宋体" w:hAnsi="宋体" w:cs="宋体"/>
          <w:bCs/>
          <w:color w:val="000000" w:themeColor="text1"/>
          <w:szCs w:val="21"/>
          <w:highlight w:val="none"/>
          <w:lang w:val="zh-CN"/>
          <w14:textFill>
            <w14:solidFill>
              <w14:schemeClr w14:val="tx1"/>
            </w14:solidFill>
          </w14:textFill>
        </w:rPr>
        <w:t>（</w:t>
      </w:r>
      <w:r>
        <w:rPr>
          <w:rFonts w:hint="eastAsia" w:ascii="宋体" w:hAnsi="宋体" w:cs="宋体"/>
          <w:bCs/>
          <w:color w:val="000000" w:themeColor="text1"/>
          <w:szCs w:val="21"/>
          <w:highlight w:val="none"/>
          <w14:textFill>
            <w14:solidFill>
              <w14:schemeClr w14:val="tx1"/>
            </w14:solidFill>
          </w14:textFill>
        </w:rPr>
        <w:t>2.1</w:t>
      </w:r>
      <w:r>
        <w:rPr>
          <w:rFonts w:hint="eastAsia" w:ascii="宋体" w:hAnsi="宋体" w:cs="宋体"/>
          <w:bCs/>
          <w:color w:val="000000" w:themeColor="text1"/>
          <w:szCs w:val="21"/>
          <w:highlight w:val="none"/>
          <w:lang w:val="zh-CN"/>
          <w14:textFill>
            <w14:solidFill>
              <w14:schemeClr w14:val="tx1"/>
            </w14:solidFill>
          </w14:textFill>
        </w:rPr>
        <w:t>）提供质量管理体系认证、环境管理体系认证、职业健康安全管理体系认证，且认证证书服务范围含环保、环境检测等范围；提供证书原件扫描件（彩色）。</w:t>
      </w:r>
    </w:p>
    <w:p>
      <w:pPr>
        <w:autoSpaceDE w:val="0"/>
        <w:autoSpaceDN w:val="0"/>
        <w:adjustRightInd w:val="0"/>
        <w:spacing w:line="440" w:lineRule="exact"/>
        <w:ind w:firstLine="424" w:firstLineChars="200"/>
        <w:rPr>
          <w:rFonts w:ascii="宋体" w:hAnsi="宋体" w:cs="宋体"/>
          <w:bCs/>
          <w:color w:val="000000" w:themeColor="text1"/>
          <w:szCs w:val="21"/>
          <w:highlight w:val="none"/>
          <w:lang w:val="zh-CN"/>
          <w14:textFill>
            <w14:solidFill>
              <w14:schemeClr w14:val="tx1"/>
            </w14:solidFill>
          </w14:textFill>
        </w:rPr>
      </w:pPr>
      <w:r>
        <w:rPr>
          <w:rFonts w:hint="eastAsia" w:ascii="宋体" w:hAnsi="宋体" w:cs="宋体"/>
          <w:bCs/>
          <w:color w:val="000000" w:themeColor="text1"/>
          <w:szCs w:val="21"/>
          <w:highlight w:val="none"/>
          <w:lang w:val="zh-CN"/>
          <w14:textFill>
            <w14:solidFill>
              <w14:schemeClr w14:val="tx1"/>
            </w14:solidFill>
          </w14:textFill>
        </w:rPr>
        <w:t>（</w:t>
      </w:r>
      <w:r>
        <w:rPr>
          <w:rFonts w:hint="eastAsia" w:ascii="宋体" w:hAnsi="宋体" w:cs="宋体"/>
          <w:bCs/>
          <w:color w:val="000000" w:themeColor="text1"/>
          <w:szCs w:val="21"/>
          <w:highlight w:val="none"/>
          <w14:textFill>
            <w14:solidFill>
              <w14:schemeClr w14:val="tx1"/>
            </w14:solidFill>
          </w14:textFill>
        </w:rPr>
        <w:t>2.2</w:t>
      </w:r>
      <w:r>
        <w:rPr>
          <w:rFonts w:hint="eastAsia" w:ascii="宋体" w:hAnsi="宋体" w:cs="宋体"/>
          <w:bCs/>
          <w:color w:val="000000" w:themeColor="text1"/>
          <w:szCs w:val="21"/>
          <w:highlight w:val="none"/>
          <w:lang w:val="zh-CN"/>
          <w14:textFill>
            <w14:solidFill>
              <w14:schemeClr w14:val="tx1"/>
            </w14:solidFill>
          </w14:textFill>
        </w:rPr>
        <w:t xml:space="preserve">）获得生态与环境协会颁发的运营服务能力评价证书乙级及以上（含生活污水处理设施运营服务），同时具有总承包服务能力评价证书（含水污染治理工程）乙级及以上的得3分。提供证书原件扫描件（彩色）。 </w:t>
      </w:r>
    </w:p>
    <w:p>
      <w:pPr>
        <w:autoSpaceDE w:val="0"/>
        <w:autoSpaceDN w:val="0"/>
        <w:adjustRightInd w:val="0"/>
        <w:spacing w:line="440" w:lineRule="exact"/>
        <w:ind w:firstLine="424" w:firstLineChars="200"/>
        <w:rPr>
          <w:rFonts w:ascii="宋体" w:hAnsi="宋体" w:cs="宋体"/>
          <w:b/>
          <w:color w:val="000000" w:themeColor="text1"/>
          <w:szCs w:val="21"/>
          <w:highlight w:val="none"/>
          <w:lang w:val="zh-CN"/>
          <w14:textFill>
            <w14:solidFill>
              <w14:schemeClr w14:val="tx1"/>
            </w14:solidFill>
          </w14:textFill>
        </w:rPr>
      </w:pPr>
      <w:r>
        <w:rPr>
          <w:rFonts w:hint="eastAsia" w:ascii="宋体" w:hAnsi="宋体" w:cs="宋体"/>
          <w:b/>
          <w:color w:val="000000" w:themeColor="text1"/>
          <w:szCs w:val="21"/>
          <w:highlight w:val="none"/>
          <w:lang w:val="zh-CN"/>
          <w14:textFill>
            <w14:solidFill>
              <w14:schemeClr w14:val="tx1"/>
            </w14:solidFill>
          </w14:textFill>
        </w:rPr>
        <w:t>（</w:t>
      </w:r>
      <w:r>
        <w:rPr>
          <w:rFonts w:hint="eastAsia" w:ascii="宋体" w:hAnsi="宋体" w:cs="宋体"/>
          <w:b/>
          <w:color w:val="000000" w:themeColor="text1"/>
          <w:szCs w:val="21"/>
          <w:highlight w:val="none"/>
          <w14:textFill>
            <w14:solidFill>
              <w14:schemeClr w14:val="tx1"/>
            </w14:solidFill>
          </w14:textFill>
        </w:rPr>
        <w:t>3</w:t>
      </w:r>
      <w:r>
        <w:rPr>
          <w:rFonts w:hint="eastAsia" w:ascii="宋体" w:hAnsi="宋体" w:cs="宋体"/>
          <w:b/>
          <w:color w:val="000000" w:themeColor="text1"/>
          <w:szCs w:val="21"/>
          <w:highlight w:val="none"/>
          <w:lang w:val="zh-CN"/>
          <w14:textFill>
            <w14:solidFill>
              <w14:schemeClr w14:val="tx1"/>
            </w14:solidFill>
          </w14:textFill>
        </w:rPr>
        <w:t>）企业业绩</w:t>
      </w:r>
      <w:r>
        <w:rPr>
          <w:rFonts w:hint="eastAsia" w:ascii="宋体" w:hAnsi="宋体" w:cs="宋体"/>
          <w:b/>
          <w:color w:val="000000" w:themeColor="text1"/>
          <w:szCs w:val="21"/>
          <w:highlight w:val="none"/>
          <w:lang w:val="zh-CN"/>
          <w14:textFill>
            <w14:solidFill>
              <w14:schemeClr w14:val="tx1"/>
            </w14:solidFill>
          </w14:textFill>
        </w:rPr>
        <w:tab/>
      </w:r>
    </w:p>
    <w:p>
      <w:pPr>
        <w:autoSpaceDE w:val="0"/>
        <w:autoSpaceDN w:val="0"/>
        <w:adjustRightInd w:val="0"/>
        <w:spacing w:line="440" w:lineRule="exact"/>
        <w:ind w:firstLine="424" w:firstLineChars="200"/>
        <w:rPr>
          <w:rFonts w:ascii="宋体" w:hAnsi="宋体" w:cs="宋体"/>
          <w:bCs/>
          <w:color w:val="000000" w:themeColor="text1"/>
          <w:szCs w:val="21"/>
          <w:highlight w:val="none"/>
          <w:lang w:val="zh-CN"/>
          <w14:textFill>
            <w14:solidFill>
              <w14:schemeClr w14:val="tx1"/>
            </w14:solidFill>
          </w14:textFill>
        </w:rPr>
      </w:pPr>
      <w:r>
        <w:rPr>
          <w:rFonts w:hint="eastAsia" w:ascii="宋体" w:hAnsi="宋体" w:cs="宋体"/>
          <w:bCs/>
          <w:color w:val="000000" w:themeColor="text1"/>
          <w:szCs w:val="21"/>
          <w:highlight w:val="none"/>
          <w:lang w:val="zh-CN"/>
          <w14:textFill>
            <w14:solidFill>
              <w14:schemeClr w14:val="tx1"/>
            </w14:solidFill>
          </w14:textFill>
        </w:rPr>
        <w:t>提供2017年1月1日起有过污水处理站（</w:t>
      </w:r>
      <w:r>
        <w:rPr>
          <w:rFonts w:hint="eastAsia" w:ascii="宋体" w:hAnsi="宋体" w:cs="宋体"/>
          <w:bCs/>
          <w:color w:val="000000" w:themeColor="text1"/>
          <w:szCs w:val="21"/>
          <w:highlight w:val="none"/>
          <w14:textFill>
            <w14:solidFill>
              <w14:schemeClr w14:val="tx1"/>
            </w14:solidFill>
          </w14:textFill>
        </w:rPr>
        <w:t>79</w:t>
      </w:r>
      <w:r>
        <w:rPr>
          <w:rFonts w:hint="eastAsia" w:ascii="宋体" w:hAnsi="宋体" w:cs="宋体"/>
          <w:bCs/>
          <w:color w:val="000000" w:themeColor="text1"/>
          <w:szCs w:val="21"/>
          <w:highlight w:val="none"/>
          <w:lang w:val="zh-CN"/>
          <w14:textFill>
            <w14:solidFill>
              <w14:schemeClr w14:val="tx1"/>
            </w14:solidFill>
          </w14:textFill>
        </w:rPr>
        <w:t>00吨每日）托管运营业绩。提供中标通知书及合同原件扫描件（彩色）。</w:t>
      </w:r>
    </w:p>
    <w:p>
      <w:pPr>
        <w:autoSpaceDE w:val="0"/>
        <w:autoSpaceDN w:val="0"/>
        <w:adjustRightInd w:val="0"/>
        <w:spacing w:line="440" w:lineRule="exact"/>
        <w:ind w:firstLine="424" w:firstLineChars="200"/>
        <w:rPr>
          <w:rFonts w:ascii="宋体" w:hAnsi="宋体" w:cs="宋体"/>
          <w:b/>
          <w:color w:val="000000" w:themeColor="text1"/>
          <w:szCs w:val="21"/>
          <w:highlight w:val="none"/>
          <w:lang w:val="zh-CN"/>
          <w14:textFill>
            <w14:solidFill>
              <w14:schemeClr w14:val="tx1"/>
            </w14:solidFill>
          </w14:textFill>
        </w:rPr>
      </w:pPr>
      <w:r>
        <w:rPr>
          <w:rFonts w:hint="eastAsia" w:ascii="宋体" w:hAnsi="宋体" w:cs="宋体"/>
          <w:b/>
          <w:color w:val="000000" w:themeColor="text1"/>
          <w:szCs w:val="21"/>
          <w:highlight w:val="none"/>
          <w:lang w:val="zh-CN"/>
          <w14:textFill>
            <w14:solidFill>
              <w14:schemeClr w14:val="tx1"/>
            </w14:solidFill>
          </w14:textFill>
        </w:rPr>
        <w:t>（</w:t>
      </w:r>
      <w:r>
        <w:rPr>
          <w:rFonts w:hint="eastAsia" w:ascii="宋体" w:hAnsi="宋体" w:cs="宋体"/>
          <w:b/>
          <w:color w:val="000000" w:themeColor="text1"/>
          <w:szCs w:val="21"/>
          <w:highlight w:val="none"/>
          <w14:textFill>
            <w14:solidFill>
              <w14:schemeClr w14:val="tx1"/>
            </w14:solidFill>
          </w14:textFill>
        </w:rPr>
        <w:t>4</w:t>
      </w:r>
      <w:r>
        <w:rPr>
          <w:rFonts w:hint="eastAsia" w:ascii="宋体" w:hAnsi="宋体" w:cs="宋体"/>
          <w:b/>
          <w:color w:val="000000" w:themeColor="text1"/>
          <w:szCs w:val="21"/>
          <w:highlight w:val="none"/>
          <w:lang w:val="zh-CN"/>
          <w14:textFill>
            <w14:solidFill>
              <w14:schemeClr w14:val="tx1"/>
            </w14:solidFill>
          </w14:textFill>
        </w:rPr>
        <w:t>）投入本项目的设备</w:t>
      </w:r>
      <w:r>
        <w:rPr>
          <w:rFonts w:hint="eastAsia" w:ascii="宋体" w:hAnsi="宋体" w:cs="宋体"/>
          <w:b/>
          <w:color w:val="000000" w:themeColor="text1"/>
          <w:szCs w:val="21"/>
          <w:highlight w:val="none"/>
          <w:lang w:val="zh-CN"/>
          <w14:textFill>
            <w14:solidFill>
              <w14:schemeClr w14:val="tx1"/>
            </w14:solidFill>
          </w14:textFill>
        </w:rPr>
        <w:tab/>
      </w:r>
    </w:p>
    <w:p>
      <w:pPr>
        <w:autoSpaceDE w:val="0"/>
        <w:autoSpaceDN w:val="0"/>
        <w:adjustRightInd w:val="0"/>
        <w:spacing w:line="440" w:lineRule="exact"/>
        <w:ind w:firstLine="424" w:firstLineChars="200"/>
        <w:jc w:val="left"/>
        <w:rPr>
          <w:rFonts w:hint="eastAsia" w:ascii="宋体" w:hAnsi="宋体" w:cs="宋体"/>
          <w:bCs/>
          <w:color w:val="000000" w:themeColor="text1"/>
          <w:szCs w:val="21"/>
          <w:highlight w:val="none"/>
          <w:lang w:val="zh-CN"/>
          <w14:textFill>
            <w14:solidFill>
              <w14:schemeClr w14:val="tx1"/>
            </w14:solidFill>
          </w14:textFill>
        </w:rPr>
      </w:pPr>
      <w:r>
        <w:rPr>
          <w:rFonts w:hint="eastAsia" w:ascii="宋体" w:hAnsi="宋体" w:cs="宋体"/>
          <w:bCs/>
          <w:color w:val="000000" w:themeColor="text1"/>
          <w:szCs w:val="21"/>
          <w:highlight w:val="none"/>
          <w:lang w:val="zh-CN"/>
          <w14:textFill>
            <w14:solidFill>
              <w14:schemeClr w14:val="tx1"/>
            </w14:solidFill>
          </w14:textFill>
        </w:rPr>
        <w:t>自有核定载质量500kg及以上的运维作业轻型货车</w:t>
      </w:r>
      <w:r>
        <w:rPr>
          <w:rFonts w:hint="eastAsia" w:ascii="宋体" w:hAnsi="宋体" w:cs="宋体"/>
          <w:bCs/>
          <w:color w:val="000000" w:themeColor="text1"/>
          <w:szCs w:val="21"/>
          <w:highlight w:val="none"/>
          <w:lang w:val="en-US" w:eastAsia="zh-CN"/>
          <w14:textFill>
            <w14:solidFill>
              <w14:schemeClr w14:val="tx1"/>
            </w14:solidFill>
          </w14:textFill>
        </w:rPr>
        <w:t>及</w:t>
      </w:r>
      <w:r>
        <w:rPr>
          <w:rFonts w:hint="eastAsia" w:ascii="宋体" w:hAnsi="宋体" w:cs="宋体"/>
          <w:bCs/>
          <w:color w:val="000000" w:themeColor="text1"/>
          <w:szCs w:val="21"/>
          <w:highlight w:val="none"/>
          <w:lang w:val="zh-CN"/>
          <w14:textFill>
            <w14:solidFill>
              <w14:schemeClr w14:val="tx1"/>
            </w14:solidFill>
          </w14:textFill>
        </w:rPr>
        <w:t>自有核定载质量4000kg及以上的清洗吸污专项作业车；</w:t>
      </w:r>
    </w:p>
    <w:p>
      <w:pPr>
        <w:autoSpaceDE w:val="0"/>
        <w:autoSpaceDN w:val="0"/>
        <w:adjustRightInd w:val="0"/>
        <w:spacing w:line="440" w:lineRule="exact"/>
        <w:ind w:firstLine="424" w:firstLineChars="200"/>
        <w:rPr>
          <w:rFonts w:ascii="宋体" w:hAnsi="宋体" w:cs="宋体"/>
          <w:b/>
          <w:color w:val="000000" w:themeColor="text1"/>
          <w:szCs w:val="21"/>
          <w:highlight w:val="none"/>
          <w:lang w:val="zh-CN"/>
          <w14:textFill>
            <w14:solidFill>
              <w14:schemeClr w14:val="tx1"/>
            </w14:solidFill>
          </w14:textFill>
        </w:rPr>
      </w:pPr>
      <w:r>
        <w:rPr>
          <w:rFonts w:hint="eastAsia" w:ascii="宋体" w:hAnsi="宋体" w:cs="宋体"/>
          <w:bCs/>
          <w:color w:val="000000" w:themeColor="text1"/>
          <w:szCs w:val="21"/>
          <w:highlight w:val="none"/>
          <w:lang w:val="zh-CN"/>
          <w14:textFill>
            <w14:solidFill>
              <w14:schemeClr w14:val="tx1"/>
            </w14:solidFill>
          </w14:textFill>
        </w:rPr>
        <w:t>证明材料：提供投标人企业或投标人企业法定代表人（负责人）名下的行驶证原件扫描件（彩色）。</w:t>
      </w:r>
      <w:r>
        <w:rPr>
          <w:rFonts w:hint="eastAsia" w:ascii="宋体" w:hAnsi="宋体" w:cs="宋体"/>
          <w:b/>
          <w:color w:val="000000" w:themeColor="text1"/>
          <w:szCs w:val="21"/>
          <w:highlight w:val="none"/>
          <w:lang w:val="zh-CN"/>
          <w14:textFill>
            <w14:solidFill>
              <w14:schemeClr w14:val="tx1"/>
            </w14:solidFill>
          </w14:textFill>
        </w:rPr>
        <w:t>（</w:t>
      </w:r>
      <w:r>
        <w:rPr>
          <w:rFonts w:hint="eastAsia" w:ascii="宋体" w:hAnsi="宋体" w:cs="宋体"/>
          <w:b/>
          <w:color w:val="000000" w:themeColor="text1"/>
          <w:szCs w:val="21"/>
          <w:highlight w:val="none"/>
          <w14:textFill>
            <w14:solidFill>
              <w14:schemeClr w14:val="tx1"/>
            </w14:solidFill>
          </w14:textFill>
        </w:rPr>
        <w:t>5</w:t>
      </w:r>
      <w:r>
        <w:rPr>
          <w:rFonts w:hint="eastAsia" w:ascii="宋体" w:hAnsi="宋体" w:cs="宋体"/>
          <w:b/>
          <w:color w:val="000000" w:themeColor="text1"/>
          <w:szCs w:val="21"/>
          <w:highlight w:val="none"/>
          <w:lang w:val="zh-CN"/>
          <w14:textFill>
            <w14:solidFill>
              <w14:schemeClr w14:val="tx1"/>
            </w14:solidFill>
          </w14:textFill>
        </w:rPr>
        <w:t>）投入本项目的主要人员</w:t>
      </w:r>
    </w:p>
    <w:p>
      <w:pPr>
        <w:autoSpaceDE w:val="0"/>
        <w:autoSpaceDN w:val="0"/>
        <w:adjustRightInd w:val="0"/>
        <w:spacing w:line="440" w:lineRule="exact"/>
        <w:ind w:firstLine="424" w:firstLineChars="200"/>
        <w:rPr>
          <w:rFonts w:hint="eastAsia" w:ascii="宋体" w:hAnsi="宋体" w:cs="宋体"/>
          <w:b w:val="0"/>
          <w:bCs/>
          <w:color w:val="000000" w:themeColor="text1"/>
          <w:szCs w:val="21"/>
          <w:highlight w:val="none"/>
          <w:lang w:val="zh-CN"/>
          <w14:textFill>
            <w14:solidFill>
              <w14:schemeClr w14:val="tx1"/>
            </w14:solidFill>
          </w14:textFill>
        </w:rPr>
      </w:pPr>
      <w:r>
        <w:rPr>
          <w:rFonts w:hint="eastAsia" w:ascii="宋体" w:hAnsi="宋体" w:cs="宋体"/>
          <w:b w:val="0"/>
          <w:bCs/>
          <w:color w:val="000000" w:themeColor="text1"/>
          <w:szCs w:val="21"/>
          <w:highlight w:val="none"/>
          <w:lang w:val="zh-CN"/>
          <w14:textFill>
            <w14:solidFill>
              <w14:schemeClr w14:val="tx1"/>
            </w14:solidFill>
          </w14:textFill>
        </w:rPr>
        <w:t>（</w:t>
      </w:r>
      <w:r>
        <w:rPr>
          <w:rFonts w:hint="eastAsia" w:ascii="宋体" w:hAnsi="宋体" w:cs="宋体"/>
          <w:b w:val="0"/>
          <w:bCs/>
          <w:color w:val="000000" w:themeColor="text1"/>
          <w:szCs w:val="21"/>
          <w:highlight w:val="none"/>
          <w:lang w:val="en-US" w:eastAsia="zh-CN"/>
          <w14:textFill>
            <w14:solidFill>
              <w14:schemeClr w14:val="tx1"/>
            </w14:solidFill>
          </w14:textFill>
        </w:rPr>
        <w:t>5.1</w:t>
      </w:r>
      <w:r>
        <w:rPr>
          <w:rFonts w:hint="eastAsia" w:ascii="宋体" w:hAnsi="宋体" w:cs="宋体"/>
          <w:b w:val="0"/>
          <w:bCs/>
          <w:color w:val="000000" w:themeColor="text1"/>
          <w:szCs w:val="21"/>
          <w:highlight w:val="none"/>
          <w:lang w:val="zh-CN"/>
          <w14:textFill>
            <w14:solidFill>
              <w14:schemeClr w14:val="tx1"/>
            </w14:solidFill>
          </w14:textFill>
        </w:rPr>
        <w:t>）拟派项目运营负责人（厂长）具备环保类中级工程师及以上职称。</w:t>
      </w:r>
    </w:p>
    <w:p>
      <w:pPr>
        <w:autoSpaceDE w:val="0"/>
        <w:autoSpaceDN w:val="0"/>
        <w:adjustRightInd w:val="0"/>
        <w:spacing w:line="440" w:lineRule="exact"/>
        <w:ind w:firstLine="424" w:firstLineChars="200"/>
        <w:rPr>
          <w:rFonts w:hint="eastAsia" w:ascii="宋体" w:hAnsi="宋体" w:cs="宋体"/>
          <w:b w:val="0"/>
          <w:bCs/>
          <w:color w:val="000000" w:themeColor="text1"/>
          <w:szCs w:val="21"/>
          <w:highlight w:val="none"/>
          <w:lang w:val="zh-CN"/>
          <w14:textFill>
            <w14:solidFill>
              <w14:schemeClr w14:val="tx1"/>
            </w14:solidFill>
          </w14:textFill>
        </w:rPr>
      </w:pPr>
      <w:r>
        <w:rPr>
          <w:rFonts w:hint="eastAsia" w:ascii="宋体" w:hAnsi="宋体" w:cs="宋体"/>
          <w:b w:val="0"/>
          <w:bCs/>
          <w:color w:val="000000" w:themeColor="text1"/>
          <w:szCs w:val="21"/>
          <w:highlight w:val="none"/>
          <w:lang w:val="zh-CN"/>
          <w14:textFill>
            <w14:solidFill>
              <w14:schemeClr w14:val="tx1"/>
            </w14:solidFill>
          </w14:textFill>
        </w:rPr>
        <w:t xml:space="preserve">证明材料：同时提供职称证书原件扫描件（彩色）及近三个月的社保证明（可以为税务或社保机构官方网站查询结果）。 </w:t>
      </w:r>
    </w:p>
    <w:p>
      <w:pPr>
        <w:autoSpaceDE w:val="0"/>
        <w:autoSpaceDN w:val="0"/>
        <w:adjustRightInd w:val="0"/>
        <w:spacing w:line="440" w:lineRule="exact"/>
        <w:ind w:firstLine="424" w:firstLineChars="200"/>
        <w:rPr>
          <w:rFonts w:hint="eastAsia" w:ascii="宋体" w:hAnsi="宋体" w:cs="宋体"/>
          <w:b w:val="0"/>
          <w:bCs/>
          <w:color w:val="000000" w:themeColor="text1"/>
          <w:szCs w:val="21"/>
          <w:highlight w:val="none"/>
          <w:lang w:val="zh-CN"/>
          <w14:textFill>
            <w14:solidFill>
              <w14:schemeClr w14:val="tx1"/>
            </w14:solidFill>
          </w14:textFill>
        </w:rPr>
      </w:pPr>
      <w:r>
        <w:rPr>
          <w:rFonts w:hint="eastAsia" w:ascii="宋体" w:hAnsi="宋体" w:cs="宋体"/>
          <w:b w:val="0"/>
          <w:bCs/>
          <w:color w:val="000000" w:themeColor="text1"/>
          <w:szCs w:val="21"/>
          <w:highlight w:val="none"/>
          <w:lang w:val="zh-CN"/>
          <w14:textFill>
            <w14:solidFill>
              <w14:schemeClr w14:val="tx1"/>
            </w14:solidFill>
          </w14:textFill>
        </w:rPr>
        <w:t>（</w:t>
      </w:r>
      <w:r>
        <w:rPr>
          <w:rFonts w:hint="eastAsia" w:ascii="宋体" w:hAnsi="宋体" w:cs="宋体"/>
          <w:b w:val="0"/>
          <w:bCs/>
          <w:color w:val="000000" w:themeColor="text1"/>
          <w:szCs w:val="21"/>
          <w:highlight w:val="none"/>
          <w:lang w:val="en-US" w:eastAsia="zh-CN"/>
          <w14:textFill>
            <w14:solidFill>
              <w14:schemeClr w14:val="tx1"/>
            </w14:solidFill>
          </w14:textFill>
        </w:rPr>
        <w:t>5.2</w:t>
      </w:r>
      <w:r>
        <w:rPr>
          <w:rFonts w:hint="eastAsia" w:ascii="宋体" w:hAnsi="宋体" w:cs="宋体"/>
          <w:b w:val="0"/>
          <w:bCs/>
          <w:color w:val="000000" w:themeColor="text1"/>
          <w:szCs w:val="21"/>
          <w:highlight w:val="none"/>
          <w:lang w:val="zh-CN"/>
          <w14:textFill>
            <w14:solidFill>
              <w14:schemeClr w14:val="tx1"/>
            </w14:solidFill>
          </w14:textFill>
        </w:rPr>
        <w:t>）项目组主要实施人员：投标人拟派具有水生产、输排和水处理人员3名，电工1名，水质化验员1名，以上人员具有相关专业资格；巡查员1名。具有安全生产协会颁发的有毒有害有限空间作业证书。</w:t>
      </w:r>
    </w:p>
    <w:p>
      <w:pPr>
        <w:autoSpaceDE w:val="0"/>
        <w:autoSpaceDN w:val="0"/>
        <w:adjustRightInd w:val="0"/>
        <w:spacing w:line="440" w:lineRule="exact"/>
        <w:ind w:firstLine="424" w:firstLineChars="200"/>
        <w:rPr>
          <w:rFonts w:hint="eastAsia" w:ascii="宋体" w:hAnsi="宋体" w:cs="宋体"/>
          <w:b w:val="0"/>
          <w:bCs/>
          <w:color w:val="000000" w:themeColor="text1"/>
          <w:szCs w:val="21"/>
          <w:highlight w:val="none"/>
          <w:lang w:val="zh-CN"/>
          <w14:textFill>
            <w14:solidFill>
              <w14:schemeClr w14:val="tx1"/>
            </w14:solidFill>
          </w14:textFill>
        </w:rPr>
      </w:pPr>
      <w:r>
        <w:rPr>
          <w:rFonts w:hint="eastAsia" w:ascii="宋体" w:hAnsi="宋体" w:cs="宋体"/>
          <w:b w:val="0"/>
          <w:bCs/>
          <w:color w:val="000000" w:themeColor="text1"/>
          <w:szCs w:val="21"/>
          <w:highlight w:val="none"/>
          <w:lang w:val="zh-CN"/>
          <w14:textFill>
            <w14:solidFill>
              <w14:schemeClr w14:val="tx1"/>
            </w14:solidFill>
          </w14:textFill>
        </w:rPr>
        <w:t xml:space="preserve">证明材料：同时提供证书（或专业能力证书）原件扫描件（彩色）及近三个月的社保证明（可以为税务或社保机构官方网站查询结果）。 </w:t>
      </w:r>
    </w:p>
    <w:p>
      <w:pPr>
        <w:autoSpaceDE w:val="0"/>
        <w:autoSpaceDN w:val="0"/>
        <w:adjustRightInd w:val="0"/>
        <w:spacing w:line="440" w:lineRule="exact"/>
        <w:ind w:firstLine="424" w:firstLineChars="200"/>
        <w:rPr>
          <w:rFonts w:ascii="宋体" w:hAnsi="宋体" w:cs="宋体"/>
          <w:b/>
          <w:color w:val="000000" w:themeColor="text1"/>
          <w:szCs w:val="21"/>
          <w:highlight w:val="none"/>
          <w:lang w:val="zh-CN"/>
          <w14:textFill>
            <w14:solidFill>
              <w14:schemeClr w14:val="tx1"/>
            </w14:solidFill>
          </w14:textFill>
        </w:rPr>
      </w:pPr>
      <w:r>
        <w:rPr>
          <w:rFonts w:hint="eastAsia" w:ascii="宋体" w:hAnsi="宋体" w:cs="宋体"/>
          <w:b/>
          <w:color w:val="000000" w:themeColor="text1"/>
          <w:szCs w:val="21"/>
          <w:highlight w:val="none"/>
          <w:lang w:val="zh-CN"/>
          <w14:textFill>
            <w14:solidFill>
              <w14:schemeClr w14:val="tx1"/>
            </w14:solidFill>
          </w14:textFill>
        </w:rPr>
        <w:t>（</w:t>
      </w:r>
      <w:r>
        <w:rPr>
          <w:rFonts w:hint="eastAsia" w:ascii="宋体" w:hAnsi="宋体" w:cs="宋体"/>
          <w:b/>
          <w:color w:val="000000" w:themeColor="text1"/>
          <w:szCs w:val="21"/>
          <w:highlight w:val="none"/>
          <w14:textFill>
            <w14:solidFill>
              <w14:schemeClr w14:val="tx1"/>
            </w14:solidFill>
          </w14:textFill>
        </w:rPr>
        <w:t>6</w:t>
      </w:r>
      <w:r>
        <w:rPr>
          <w:rFonts w:hint="eastAsia" w:ascii="宋体" w:hAnsi="宋体" w:cs="宋体"/>
          <w:b/>
          <w:color w:val="000000" w:themeColor="text1"/>
          <w:szCs w:val="21"/>
          <w:highlight w:val="none"/>
          <w:lang w:val="zh-CN"/>
          <w14:textFill>
            <w14:solidFill>
              <w14:schemeClr w14:val="tx1"/>
            </w14:solidFill>
          </w14:textFill>
        </w:rPr>
        <w:t>）技术力量及响应时效</w:t>
      </w:r>
      <w:r>
        <w:rPr>
          <w:rFonts w:hint="eastAsia" w:ascii="宋体" w:hAnsi="宋体" w:cs="宋体"/>
          <w:b/>
          <w:color w:val="000000" w:themeColor="text1"/>
          <w:szCs w:val="21"/>
          <w:highlight w:val="none"/>
          <w:lang w:val="zh-CN"/>
          <w14:textFill>
            <w14:solidFill>
              <w14:schemeClr w14:val="tx1"/>
            </w14:solidFill>
          </w14:textFill>
        </w:rPr>
        <w:tab/>
      </w:r>
    </w:p>
    <w:p>
      <w:pPr>
        <w:numPr>
          <w:ilvl w:val="-1"/>
          <w:numId w:val="0"/>
        </w:numPr>
        <w:autoSpaceDE w:val="0"/>
        <w:autoSpaceDN w:val="0"/>
        <w:adjustRightInd w:val="0"/>
        <w:spacing w:line="440" w:lineRule="exact"/>
        <w:ind w:firstLine="424" w:firstLineChars="200"/>
        <w:jc w:val="left"/>
        <w:rPr>
          <w:rFonts w:hint="eastAsia" w:ascii="宋体" w:hAnsi="宋体" w:cs="宋体"/>
          <w:bCs/>
          <w:color w:val="000000" w:themeColor="text1"/>
          <w:szCs w:val="21"/>
          <w:highlight w:val="none"/>
          <w:lang w:val="zh-CN"/>
          <w14:textFill>
            <w14:solidFill>
              <w14:schemeClr w14:val="tx1"/>
            </w14:solidFill>
          </w14:textFill>
        </w:rPr>
      </w:pPr>
      <w:r>
        <w:rPr>
          <w:rFonts w:hint="eastAsia" w:ascii="宋体" w:hAnsi="宋体" w:cs="宋体"/>
          <w:bCs/>
          <w:color w:val="000000" w:themeColor="text1"/>
          <w:szCs w:val="21"/>
          <w:highlight w:val="none"/>
          <w:lang w:val="zh-CN"/>
          <w14:textFill>
            <w14:solidFill>
              <w14:schemeClr w14:val="tx1"/>
            </w14:solidFill>
          </w14:textFill>
        </w:rPr>
        <w:t>（</w:t>
      </w:r>
      <w:r>
        <w:rPr>
          <w:rFonts w:hint="eastAsia" w:ascii="宋体" w:hAnsi="宋体" w:cs="宋体"/>
          <w:bCs/>
          <w:color w:val="000000" w:themeColor="text1"/>
          <w:szCs w:val="21"/>
          <w:highlight w:val="none"/>
          <w:lang w:val="zh-CN" w:eastAsia="zh-CN"/>
          <w14:textFill>
            <w14:solidFill>
              <w14:schemeClr w14:val="tx1"/>
            </w14:solidFill>
          </w14:textFill>
        </w:rPr>
        <w:t>6</w:t>
      </w:r>
      <w:r>
        <w:rPr>
          <w:rFonts w:hint="eastAsia" w:ascii="宋体" w:hAnsi="宋体" w:cs="宋体"/>
          <w:bCs/>
          <w:color w:val="000000" w:themeColor="text1"/>
          <w:szCs w:val="21"/>
          <w:highlight w:val="none"/>
          <w:lang w:val="zh-CN"/>
          <w14:textFill>
            <w14:solidFill>
              <w14:schemeClr w14:val="tx1"/>
            </w14:solidFill>
          </w14:textFill>
        </w:rPr>
        <w:t>.1</w:t>
      </w:r>
      <w:r>
        <w:rPr>
          <w:rFonts w:hint="eastAsia" w:ascii="宋体" w:hAnsi="宋体" w:cs="宋体"/>
          <w:bCs/>
          <w:color w:val="000000" w:themeColor="text1"/>
          <w:szCs w:val="21"/>
          <w:highlight w:val="none"/>
          <w:lang w:val="en-US" w:eastAsia="zh-CN"/>
          <w14:textFill>
            <w14:solidFill>
              <w14:schemeClr w14:val="tx1"/>
            </w14:solidFill>
          </w14:textFill>
        </w:rPr>
        <w:t>A</w:t>
      </w:r>
      <w:r>
        <w:rPr>
          <w:rFonts w:hint="eastAsia" w:ascii="宋体" w:hAnsi="宋体" w:cs="宋体"/>
          <w:bCs/>
          <w:color w:val="000000" w:themeColor="text1"/>
          <w:szCs w:val="21"/>
          <w:highlight w:val="none"/>
          <w:lang w:val="zh-CN"/>
          <w14:textFill>
            <w14:solidFill>
              <w14:schemeClr w14:val="tx1"/>
            </w14:solidFill>
          </w14:textFill>
        </w:rPr>
        <w:t>）投标人2017年1月1日起至招标公告日前具有水质检测实验室（检测设备清单具有分光光度计，消解器，COD恒温加热器，电子天平，隔膜真空泵，PH酸度计，通风柜等水检测设备），且能够到达现场快速响应</w:t>
      </w:r>
      <w:r>
        <w:rPr>
          <w:rFonts w:hint="eastAsia" w:ascii="宋体" w:hAnsi="宋体" w:cs="宋体"/>
          <w:bCs/>
          <w:color w:val="000000" w:themeColor="text1"/>
          <w:szCs w:val="21"/>
          <w:highlight w:val="none"/>
          <w:lang w:val="zh-CN" w:eastAsia="zh-CN"/>
          <w14:textFill>
            <w14:solidFill>
              <w14:schemeClr w14:val="tx1"/>
            </w14:solidFill>
          </w14:textFill>
        </w:rPr>
        <w:t>。</w:t>
      </w:r>
    </w:p>
    <w:p>
      <w:pPr>
        <w:numPr>
          <w:ilvl w:val="-1"/>
          <w:numId w:val="0"/>
        </w:numPr>
        <w:autoSpaceDE w:val="0"/>
        <w:autoSpaceDN w:val="0"/>
        <w:adjustRightInd w:val="0"/>
        <w:spacing w:line="440" w:lineRule="exact"/>
        <w:ind w:firstLine="424" w:firstLineChars="200"/>
        <w:jc w:val="left"/>
        <w:rPr>
          <w:rFonts w:hint="eastAsia" w:ascii="宋体" w:hAnsi="宋体" w:cs="宋体"/>
          <w:bCs/>
          <w:color w:val="000000" w:themeColor="text1"/>
          <w:szCs w:val="21"/>
          <w:highlight w:val="none"/>
          <w:lang w:val="zh-CN"/>
          <w14:textFill>
            <w14:solidFill>
              <w14:schemeClr w14:val="tx1"/>
            </w14:solidFill>
          </w14:textFill>
        </w:rPr>
      </w:pPr>
      <w:r>
        <w:rPr>
          <w:rFonts w:hint="eastAsia" w:ascii="宋体" w:hAnsi="宋体" w:cs="宋体"/>
          <w:bCs/>
          <w:color w:val="000000" w:themeColor="text1"/>
          <w:szCs w:val="21"/>
          <w:highlight w:val="none"/>
          <w:lang w:val="zh-CN" w:eastAsia="zh-CN"/>
          <w14:textFill>
            <w14:solidFill>
              <w14:schemeClr w14:val="tx1"/>
            </w14:solidFill>
          </w14:textFill>
        </w:rPr>
        <w:t>证明材料：提供</w:t>
      </w:r>
      <w:r>
        <w:rPr>
          <w:rFonts w:hint="eastAsia" w:ascii="宋体" w:hAnsi="宋体" w:cs="宋体"/>
          <w:bCs/>
          <w:color w:val="000000" w:themeColor="text1"/>
          <w:szCs w:val="21"/>
          <w:highlight w:val="none"/>
          <w:lang w:val="zh-CN"/>
          <w14:textFill>
            <w14:solidFill>
              <w14:schemeClr w14:val="tx1"/>
            </w14:solidFill>
          </w14:textFill>
        </w:rPr>
        <w:t>投标人名下购置发票原件</w:t>
      </w:r>
      <w:r>
        <w:rPr>
          <w:rFonts w:hint="eastAsia" w:ascii="宋体" w:hAnsi="宋体" w:cs="宋体"/>
          <w:bCs/>
          <w:color w:val="000000" w:themeColor="text1"/>
          <w:kern w:val="2"/>
          <w:szCs w:val="21"/>
          <w:highlight w:val="none"/>
          <w:lang w:val="zh-CN"/>
          <w14:textFill>
            <w14:solidFill>
              <w14:schemeClr w14:val="tx1"/>
            </w14:solidFill>
          </w14:textFill>
        </w:rPr>
        <w:t>描件（彩色）</w:t>
      </w:r>
      <w:r>
        <w:rPr>
          <w:rFonts w:hint="eastAsia" w:ascii="宋体" w:hAnsi="宋体" w:cs="宋体"/>
          <w:bCs/>
          <w:color w:val="000000" w:themeColor="text1"/>
          <w:szCs w:val="21"/>
          <w:highlight w:val="none"/>
          <w:lang w:val="zh-CN"/>
          <w14:textFill>
            <w14:solidFill>
              <w14:schemeClr w14:val="tx1"/>
            </w14:solidFill>
          </w14:textFill>
        </w:rPr>
        <w:t>，不提供不得分，如有虚假，一经查实做废标处理。提供响应时效承诺书（格式自拟，对应技术力量及响应时效评分细则要求提供所需内容）。</w:t>
      </w:r>
    </w:p>
    <w:p>
      <w:pPr>
        <w:numPr>
          <w:ilvl w:val="-1"/>
          <w:numId w:val="0"/>
        </w:numPr>
        <w:autoSpaceDE w:val="0"/>
        <w:autoSpaceDN w:val="0"/>
        <w:adjustRightInd w:val="0"/>
        <w:spacing w:line="440" w:lineRule="exact"/>
        <w:ind w:firstLine="424" w:firstLineChars="200"/>
        <w:jc w:val="left"/>
        <w:rPr>
          <w:rFonts w:hint="eastAsia" w:ascii="宋体" w:hAnsi="宋体" w:eastAsia="宋体" w:cs="宋体"/>
          <w:bCs/>
          <w:color w:val="000000" w:themeColor="text1"/>
          <w:szCs w:val="21"/>
          <w:highlight w:val="none"/>
          <w:lang w:val="zh-CN" w:eastAsia="zh-CN"/>
          <w14:textFill>
            <w14:solidFill>
              <w14:schemeClr w14:val="tx1"/>
            </w14:solidFill>
          </w14:textFill>
        </w:rPr>
      </w:pPr>
      <w:r>
        <w:rPr>
          <w:rFonts w:hint="eastAsia" w:ascii="宋体" w:hAnsi="宋体" w:cs="宋体"/>
          <w:bCs/>
          <w:color w:val="000000" w:themeColor="text1"/>
          <w:szCs w:val="21"/>
          <w:highlight w:val="none"/>
          <w:lang w:val="zh-CN"/>
          <w14:textFill>
            <w14:solidFill>
              <w14:schemeClr w14:val="tx1"/>
            </w14:solidFill>
          </w14:textFill>
        </w:rPr>
        <w:t>（</w:t>
      </w:r>
      <w:r>
        <w:rPr>
          <w:rFonts w:hint="eastAsia" w:ascii="宋体" w:hAnsi="宋体" w:cs="宋体"/>
          <w:bCs/>
          <w:color w:val="000000" w:themeColor="text1"/>
          <w:szCs w:val="21"/>
          <w:highlight w:val="none"/>
          <w:lang w:val="zh-CN" w:eastAsia="zh-CN"/>
          <w14:textFill>
            <w14:solidFill>
              <w14:schemeClr w14:val="tx1"/>
            </w14:solidFill>
          </w14:textFill>
        </w:rPr>
        <w:t>6</w:t>
      </w:r>
      <w:r>
        <w:rPr>
          <w:rFonts w:hint="eastAsia" w:ascii="宋体" w:hAnsi="宋体" w:cs="宋体"/>
          <w:bCs/>
          <w:color w:val="000000" w:themeColor="text1"/>
          <w:szCs w:val="21"/>
          <w:highlight w:val="none"/>
          <w:lang w:val="zh-CN"/>
          <w14:textFill>
            <w14:solidFill>
              <w14:schemeClr w14:val="tx1"/>
            </w14:solidFill>
          </w14:textFill>
        </w:rPr>
        <w:t>.1</w:t>
      </w:r>
      <w:r>
        <w:rPr>
          <w:rFonts w:hint="eastAsia" w:ascii="宋体" w:hAnsi="宋体" w:cs="宋体"/>
          <w:bCs/>
          <w:color w:val="000000" w:themeColor="text1"/>
          <w:szCs w:val="21"/>
          <w:highlight w:val="none"/>
          <w:lang w:val="en-US" w:eastAsia="zh-CN"/>
          <w14:textFill>
            <w14:solidFill>
              <w14:schemeClr w14:val="tx1"/>
            </w14:solidFill>
          </w14:textFill>
        </w:rPr>
        <w:t>B</w:t>
      </w:r>
      <w:r>
        <w:rPr>
          <w:rFonts w:hint="eastAsia" w:ascii="宋体" w:hAnsi="宋体" w:cs="宋体"/>
          <w:bCs/>
          <w:color w:val="000000" w:themeColor="text1"/>
          <w:szCs w:val="21"/>
          <w:highlight w:val="none"/>
          <w:lang w:val="zh-CN"/>
          <w14:textFill>
            <w14:solidFill>
              <w14:schemeClr w14:val="tx1"/>
            </w14:solidFill>
          </w14:textFill>
        </w:rPr>
        <w:t>）投标人2017年1月1日起至招标公告日前具有水质检测实验室（检测设备清单具有分光光度计，消解器，COD恒温加热器，电子天平，隔膜真空泵，PH酸度计，通风柜等水检测设备）</w:t>
      </w:r>
      <w:r>
        <w:rPr>
          <w:rFonts w:hint="eastAsia" w:ascii="宋体" w:hAnsi="宋体" w:cs="宋体"/>
          <w:bCs/>
          <w:color w:val="000000" w:themeColor="text1"/>
          <w:szCs w:val="21"/>
          <w:highlight w:val="none"/>
          <w:lang w:val="zh-CN" w:eastAsia="zh-CN"/>
          <w14:textFill>
            <w14:solidFill>
              <w14:schemeClr w14:val="tx1"/>
            </w14:solidFill>
          </w14:textFill>
        </w:rPr>
        <w:t>，获得质量技术监督行政主管部门颁发的计量认证证书。</w:t>
      </w:r>
    </w:p>
    <w:p>
      <w:pPr>
        <w:autoSpaceDE w:val="0"/>
        <w:autoSpaceDN w:val="0"/>
        <w:adjustRightInd w:val="0"/>
        <w:spacing w:line="440" w:lineRule="exact"/>
        <w:ind w:firstLine="424" w:firstLineChars="200"/>
        <w:rPr>
          <w:rFonts w:ascii="宋体" w:hAnsi="宋体" w:cs="宋体"/>
          <w:bCs/>
          <w:color w:val="000000" w:themeColor="text1"/>
          <w:szCs w:val="21"/>
          <w:highlight w:val="none"/>
          <w:lang w:val="zh-CN"/>
          <w14:textFill>
            <w14:solidFill>
              <w14:schemeClr w14:val="tx1"/>
            </w14:solidFill>
          </w14:textFill>
        </w:rPr>
      </w:pPr>
      <w:r>
        <w:rPr>
          <w:rFonts w:hint="eastAsia" w:ascii="宋体" w:hAnsi="宋体" w:cs="宋体"/>
          <w:bCs/>
          <w:color w:val="000000" w:themeColor="text1"/>
          <w:szCs w:val="21"/>
          <w:highlight w:val="none"/>
          <w:lang w:val="zh-CN" w:eastAsia="zh-CN"/>
          <w14:textFill>
            <w14:solidFill>
              <w14:schemeClr w14:val="tx1"/>
            </w14:solidFill>
          </w14:textFill>
        </w:rPr>
        <w:t>证明材料：有效的计量认证证书原件扫描件（彩色）。</w:t>
      </w:r>
    </w:p>
    <w:p>
      <w:pPr>
        <w:autoSpaceDE w:val="0"/>
        <w:autoSpaceDN w:val="0"/>
        <w:adjustRightInd w:val="0"/>
        <w:spacing w:line="440" w:lineRule="exact"/>
        <w:ind w:firstLine="424" w:firstLineChars="200"/>
        <w:rPr>
          <w:rFonts w:hint="eastAsia" w:ascii="宋体" w:hAnsi="宋体" w:cs="宋体"/>
          <w:b/>
          <w:color w:val="000000" w:themeColor="text1"/>
          <w:szCs w:val="21"/>
          <w:highlight w:val="none"/>
          <w:lang w:val="zh-CN"/>
          <w14:textFill>
            <w14:solidFill>
              <w14:schemeClr w14:val="tx1"/>
            </w14:solidFill>
          </w14:textFill>
        </w:rPr>
      </w:pPr>
      <w:r>
        <w:rPr>
          <w:rFonts w:hint="eastAsia" w:ascii="宋体" w:hAnsi="宋体" w:cs="宋体"/>
          <w:bCs/>
          <w:color w:val="000000" w:themeColor="text1"/>
          <w:szCs w:val="21"/>
          <w:highlight w:val="none"/>
          <w:lang w:val="zh-CN"/>
          <w14:textFill>
            <w14:solidFill>
              <w14:schemeClr w14:val="tx1"/>
            </w14:solidFill>
          </w14:textFill>
        </w:rPr>
        <w:t>（</w:t>
      </w:r>
      <w:r>
        <w:rPr>
          <w:rFonts w:hint="eastAsia" w:ascii="宋体" w:hAnsi="宋体" w:cs="宋体"/>
          <w:bCs/>
          <w:color w:val="000000" w:themeColor="text1"/>
          <w:szCs w:val="21"/>
          <w:highlight w:val="none"/>
          <w:lang w:val="en-US" w:eastAsia="zh-CN"/>
          <w14:textFill>
            <w14:solidFill>
              <w14:schemeClr w14:val="tx1"/>
            </w14:solidFill>
          </w14:textFill>
        </w:rPr>
        <w:t>6</w:t>
      </w:r>
      <w:r>
        <w:rPr>
          <w:rFonts w:hint="eastAsia" w:ascii="宋体" w:hAnsi="宋体" w:cs="宋体"/>
          <w:bCs/>
          <w:color w:val="000000" w:themeColor="text1"/>
          <w:szCs w:val="21"/>
          <w:highlight w:val="none"/>
          <w14:textFill>
            <w14:solidFill>
              <w14:schemeClr w14:val="tx1"/>
            </w14:solidFill>
          </w14:textFill>
        </w:rPr>
        <w:t>.2</w:t>
      </w:r>
      <w:r>
        <w:rPr>
          <w:rFonts w:hint="eastAsia" w:ascii="宋体" w:hAnsi="宋体" w:cs="宋体"/>
          <w:bCs/>
          <w:color w:val="000000" w:themeColor="text1"/>
          <w:szCs w:val="21"/>
          <w:highlight w:val="none"/>
          <w:lang w:val="zh-CN"/>
          <w14:textFill>
            <w14:solidFill>
              <w14:schemeClr w14:val="tx1"/>
            </w14:solidFill>
          </w14:textFill>
        </w:rPr>
        <w:t>）投标人2017年1月1日起至招标公告日前具有监控管理平台（含平台服务器、大屏图像拼接处理器、2*3以上拼接屏及通信服务VPN专线20M及以上）；提供投标人名下购置发票原件扫描件（彩色）；响应时效承诺书（格式自拟，对应技术力量及响应时效评分细则要求提供所需内容）。</w:t>
      </w:r>
    </w:p>
    <w:p>
      <w:pPr>
        <w:autoSpaceDE w:val="0"/>
        <w:autoSpaceDN w:val="0"/>
        <w:adjustRightInd w:val="0"/>
        <w:spacing w:line="440" w:lineRule="exact"/>
        <w:ind w:firstLine="424" w:firstLineChars="200"/>
        <w:rPr>
          <w:rFonts w:ascii="宋体" w:hAnsi="宋体" w:cs="宋体"/>
          <w:b/>
          <w:color w:val="000000" w:themeColor="text1"/>
          <w:szCs w:val="21"/>
          <w:highlight w:val="none"/>
          <w:lang w:val="zh-CN"/>
          <w14:textFill>
            <w14:solidFill>
              <w14:schemeClr w14:val="tx1"/>
            </w14:solidFill>
          </w14:textFill>
        </w:rPr>
      </w:pPr>
      <w:r>
        <w:rPr>
          <w:rFonts w:hint="eastAsia" w:ascii="宋体" w:hAnsi="宋体" w:cs="宋体"/>
          <w:b/>
          <w:color w:val="000000" w:themeColor="text1"/>
          <w:szCs w:val="21"/>
          <w:highlight w:val="none"/>
          <w:lang w:val="zh-CN"/>
          <w14:textFill>
            <w14:solidFill>
              <w14:schemeClr w14:val="tx1"/>
            </w14:solidFill>
          </w14:textFill>
        </w:rPr>
        <w:t>（</w:t>
      </w:r>
      <w:r>
        <w:rPr>
          <w:rFonts w:hint="eastAsia" w:ascii="宋体" w:hAnsi="宋体" w:cs="宋体"/>
          <w:b/>
          <w:color w:val="000000" w:themeColor="text1"/>
          <w:szCs w:val="21"/>
          <w:highlight w:val="none"/>
          <w:lang w:val="en-US" w:eastAsia="zh-CN"/>
          <w14:textFill>
            <w14:solidFill>
              <w14:schemeClr w14:val="tx1"/>
            </w14:solidFill>
          </w14:textFill>
        </w:rPr>
        <w:t>7</w:t>
      </w:r>
      <w:r>
        <w:rPr>
          <w:rFonts w:hint="eastAsia" w:ascii="宋体" w:hAnsi="宋体" w:cs="宋体"/>
          <w:b/>
          <w:color w:val="000000" w:themeColor="text1"/>
          <w:szCs w:val="21"/>
          <w:highlight w:val="none"/>
          <w:lang w:val="zh-CN"/>
          <w14:textFill>
            <w14:solidFill>
              <w14:schemeClr w14:val="tx1"/>
            </w14:solidFill>
          </w14:textFill>
        </w:rPr>
        <w:t>）实施方案</w:t>
      </w:r>
      <w:r>
        <w:rPr>
          <w:rFonts w:hint="eastAsia" w:ascii="宋体" w:hAnsi="宋体" w:cs="宋体"/>
          <w:b/>
          <w:color w:val="000000" w:themeColor="text1"/>
          <w:szCs w:val="21"/>
          <w:highlight w:val="none"/>
          <w:lang w:val="zh-CN"/>
          <w14:textFill>
            <w14:solidFill>
              <w14:schemeClr w14:val="tx1"/>
            </w14:solidFill>
          </w14:textFill>
        </w:rPr>
        <w:tab/>
      </w:r>
    </w:p>
    <w:p>
      <w:pPr>
        <w:autoSpaceDE w:val="0"/>
        <w:autoSpaceDN w:val="0"/>
        <w:adjustRightInd w:val="0"/>
        <w:spacing w:line="440" w:lineRule="exact"/>
        <w:ind w:firstLine="424" w:firstLineChars="200"/>
        <w:rPr>
          <w:rFonts w:ascii="宋体" w:hAnsi="宋体" w:cs="宋体"/>
          <w:bCs/>
          <w:color w:val="000000" w:themeColor="text1"/>
          <w:szCs w:val="21"/>
          <w:highlight w:val="none"/>
          <w:lang w:val="zh-CN"/>
          <w14:textFill>
            <w14:solidFill>
              <w14:schemeClr w14:val="tx1"/>
            </w14:solidFill>
          </w14:textFill>
        </w:rPr>
      </w:pPr>
      <w:r>
        <w:rPr>
          <w:rFonts w:hint="eastAsia" w:ascii="宋体" w:hAnsi="宋体" w:cs="宋体"/>
          <w:bCs/>
          <w:color w:val="000000" w:themeColor="text1"/>
          <w:szCs w:val="21"/>
          <w:highlight w:val="none"/>
          <w:lang w:val="zh-CN"/>
          <w14:textFill>
            <w14:solidFill>
              <w14:schemeClr w14:val="tx1"/>
            </w14:solidFill>
          </w14:textFill>
        </w:rPr>
        <w:t>（</w:t>
      </w:r>
      <w:r>
        <w:rPr>
          <w:rFonts w:hint="eastAsia" w:ascii="宋体" w:hAnsi="宋体" w:cs="宋体"/>
          <w:bCs/>
          <w:color w:val="000000" w:themeColor="text1"/>
          <w:szCs w:val="21"/>
          <w:highlight w:val="none"/>
          <w:lang w:val="en-US" w:eastAsia="zh-CN"/>
          <w14:textFill>
            <w14:solidFill>
              <w14:schemeClr w14:val="tx1"/>
            </w14:solidFill>
          </w14:textFill>
        </w:rPr>
        <w:t>7</w:t>
      </w:r>
      <w:r>
        <w:rPr>
          <w:rFonts w:hint="eastAsia" w:ascii="宋体" w:hAnsi="宋体" w:cs="宋体"/>
          <w:bCs/>
          <w:color w:val="000000" w:themeColor="text1"/>
          <w:szCs w:val="21"/>
          <w:highlight w:val="none"/>
          <w14:textFill>
            <w14:solidFill>
              <w14:schemeClr w14:val="tx1"/>
            </w14:solidFill>
          </w14:textFill>
        </w:rPr>
        <w:t>.1</w:t>
      </w:r>
      <w:r>
        <w:rPr>
          <w:rFonts w:hint="eastAsia" w:ascii="宋体" w:hAnsi="宋体" w:cs="宋体"/>
          <w:bCs/>
          <w:color w:val="000000" w:themeColor="text1"/>
          <w:szCs w:val="21"/>
          <w:highlight w:val="none"/>
          <w:lang w:val="zh-CN"/>
          <w14:textFill>
            <w14:solidFill>
              <w14:schemeClr w14:val="tx1"/>
            </w14:solidFill>
          </w14:textFill>
        </w:rPr>
        <w:t>）投标人针对项目具体实施拟定的运维实施方案：（方案是否详实、运维保障措施是否健全，人员职责是否明确，是否有完善的质量管理体系，并能有效实施。）</w:t>
      </w:r>
    </w:p>
    <w:p>
      <w:pPr>
        <w:autoSpaceDE w:val="0"/>
        <w:autoSpaceDN w:val="0"/>
        <w:adjustRightInd w:val="0"/>
        <w:spacing w:line="440" w:lineRule="exact"/>
        <w:ind w:firstLine="424" w:firstLineChars="200"/>
        <w:rPr>
          <w:rFonts w:ascii="宋体" w:hAnsi="宋体" w:cs="宋体"/>
          <w:bCs/>
          <w:color w:val="000000" w:themeColor="text1"/>
          <w:szCs w:val="21"/>
          <w:highlight w:val="none"/>
          <w:lang w:val="zh-CN"/>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w:t>
      </w:r>
      <w:r>
        <w:rPr>
          <w:rFonts w:hint="eastAsia" w:ascii="宋体" w:hAnsi="宋体" w:cs="宋体"/>
          <w:bCs/>
          <w:color w:val="000000" w:themeColor="text1"/>
          <w:szCs w:val="21"/>
          <w:highlight w:val="none"/>
          <w:lang w:val="en-US" w:eastAsia="zh-CN"/>
          <w14:textFill>
            <w14:solidFill>
              <w14:schemeClr w14:val="tx1"/>
            </w14:solidFill>
          </w14:textFill>
        </w:rPr>
        <w:t>7</w:t>
      </w:r>
      <w:r>
        <w:rPr>
          <w:rFonts w:hint="eastAsia" w:ascii="宋体" w:hAnsi="宋体" w:cs="宋体"/>
          <w:bCs/>
          <w:color w:val="000000" w:themeColor="text1"/>
          <w:szCs w:val="21"/>
          <w:highlight w:val="none"/>
          <w14:textFill>
            <w14:solidFill>
              <w14:schemeClr w14:val="tx1"/>
            </w14:solidFill>
          </w14:textFill>
        </w:rPr>
        <w:t>.2）</w:t>
      </w:r>
      <w:r>
        <w:rPr>
          <w:rFonts w:hint="eastAsia" w:ascii="宋体" w:hAnsi="宋体" w:cs="宋体"/>
          <w:bCs/>
          <w:color w:val="000000" w:themeColor="text1"/>
          <w:szCs w:val="21"/>
          <w:highlight w:val="none"/>
          <w:lang w:val="zh-CN"/>
          <w14:textFill>
            <w14:solidFill>
              <w14:schemeClr w14:val="tx1"/>
            </w14:solidFill>
          </w14:textFill>
        </w:rPr>
        <w:t>投标人是否具有完备的管理组织、项目实施规范和管理制度。</w:t>
      </w:r>
    </w:p>
    <w:p>
      <w:pPr>
        <w:autoSpaceDE w:val="0"/>
        <w:autoSpaceDN w:val="0"/>
        <w:adjustRightInd w:val="0"/>
        <w:spacing w:line="440" w:lineRule="exact"/>
        <w:ind w:firstLine="424" w:firstLineChars="200"/>
        <w:rPr>
          <w:rFonts w:ascii="宋体" w:hAnsi="宋体" w:cs="宋体"/>
          <w:bCs/>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lang w:val="zh-CN"/>
          <w14:textFill>
            <w14:solidFill>
              <w14:schemeClr w14:val="tx1"/>
            </w14:solidFill>
          </w14:textFill>
        </w:rPr>
        <w:t>（</w:t>
      </w:r>
      <w:r>
        <w:rPr>
          <w:rFonts w:hint="eastAsia" w:ascii="宋体" w:hAnsi="宋体" w:cs="宋体"/>
          <w:b/>
          <w:color w:val="000000" w:themeColor="text1"/>
          <w:szCs w:val="21"/>
          <w:highlight w:val="none"/>
          <w:lang w:val="en-US" w:eastAsia="zh-CN"/>
          <w14:textFill>
            <w14:solidFill>
              <w14:schemeClr w14:val="tx1"/>
            </w14:solidFill>
          </w14:textFill>
        </w:rPr>
        <w:t>8</w:t>
      </w:r>
      <w:r>
        <w:rPr>
          <w:rFonts w:hint="eastAsia" w:ascii="宋体" w:hAnsi="宋体" w:cs="宋体"/>
          <w:b/>
          <w:color w:val="000000" w:themeColor="text1"/>
          <w:szCs w:val="21"/>
          <w:highlight w:val="none"/>
          <w:lang w:val="zh-CN"/>
          <w14:textFill>
            <w14:solidFill>
              <w14:schemeClr w14:val="tx1"/>
            </w14:solidFill>
          </w14:textFill>
        </w:rPr>
        <w:t>）项目技术方案</w:t>
      </w:r>
      <w:r>
        <w:rPr>
          <w:rFonts w:hint="eastAsia" w:ascii="宋体" w:hAnsi="宋体" w:cs="宋体"/>
          <w:b/>
          <w:color w:val="000000" w:themeColor="text1"/>
          <w:szCs w:val="21"/>
          <w:highlight w:val="none"/>
          <w:lang w:val="zh-CN"/>
          <w14:textFill>
            <w14:solidFill>
              <w14:schemeClr w14:val="tx1"/>
            </w14:solidFill>
          </w14:textFill>
        </w:rPr>
        <w:tab/>
      </w:r>
      <w:r>
        <w:rPr>
          <w:rFonts w:hint="eastAsia" w:ascii="宋体" w:hAnsi="宋体" w:cs="宋体"/>
          <w:bCs/>
          <w:color w:val="000000" w:themeColor="text1"/>
          <w:szCs w:val="21"/>
          <w:highlight w:val="none"/>
          <w14:textFill>
            <w14:solidFill>
              <w14:schemeClr w14:val="tx1"/>
            </w14:solidFill>
          </w14:textFill>
        </w:rPr>
        <w:t xml:space="preserve">  </w:t>
      </w:r>
    </w:p>
    <w:p>
      <w:pPr>
        <w:autoSpaceDE w:val="0"/>
        <w:autoSpaceDN w:val="0"/>
        <w:adjustRightInd w:val="0"/>
        <w:spacing w:line="440" w:lineRule="exact"/>
        <w:ind w:firstLine="424" w:firstLineChars="200"/>
        <w:rPr>
          <w:rFonts w:ascii="宋体" w:hAnsi="宋体" w:cs="宋体"/>
          <w:bCs/>
          <w:color w:val="000000" w:themeColor="text1"/>
          <w:szCs w:val="21"/>
          <w:highlight w:val="none"/>
          <w:lang w:val="zh-CN"/>
          <w14:textFill>
            <w14:solidFill>
              <w14:schemeClr w14:val="tx1"/>
            </w14:solidFill>
          </w14:textFill>
        </w:rPr>
      </w:pPr>
      <w:r>
        <w:rPr>
          <w:rFonts w:hint="eastAsia" w:ascii="宋体" w:hAnsi="宋体" w:cs="宋体"/>
          <w:bCs/>
          <w:color w:val="000000" w:themeColor="text1"/>
          <w:szCs w:val="21"/>
          <w:highlight w:val="none"/>
          <w:lang w:val="zh-CN"/>
          <w14:textFill>
            <w14:solidFill>
              <w14:schemeClr w14:val="tx1"/>
            </w14:solidFill>
          </w14:textFill>
        </w:rPr>
        <w:t>投标技术方案总体设计的科学性、合理性、可行性，包括技术路线正确性、完整性、项目特点和重点难点分析及应对措施等及工作方案是否周密，思路清晰合理，有明确的工作程序，可操作性强。</w:t>
      </w:r>
    </w:p>
    <w:p>
      <w:pPr>
        <w:autoSpaceDE w:val="0"/>
        <w:autoSpaceDN w:val="0"/>
        <w:adjustRightInd w:val="0"/>
        <w:spacing w:line="440" w:lineRule="exact"/>
        <w:ind w:firstLine="424" w:firstLineChars="200"/>
        <w:rPr>
          <w:rFonts w:ascii="宋体" w:hAnsi="宋体" w:cs="宋体"/>
          <w:b/>
          <w:color w:val="000000" w:themeColor="text1"/>
          <w:szCs w:val="21"/>
          <w:highlight w:val="none"/>
          <w:lang w:val="zh-CN"/>
          <w14:textFill>
            <w14:solidFill>
              <w14:schemeClr w14:val="tx1"/>
            </w14:solidFill>
          </w14:textFill>
        </w:rPr>
      </w:pPr>
      <w:r>
        <w:rPr>
          <w:rFonts w:hint="eastAsia" w:ascii="宋体" w:hAnsi="宋体" w:cs="宋体"/>
          <w:b/>
          <w:color w:val="000000" w:themeColor="text1"/>
          <w:szCs w:val="21"/>
          <w:highlight w:val="none"/>
          <w:lang w:val="zh-CN"/>
          <w14:textFill>
            <w14:solidFill>
              <w14:schemeClr w14:val="tx1"/>
            </w14:solidFill>
          </w14:textFill>
        </w:rPr>
        <w:t>（</w:t>
      </w:r>
      <w:r>
        <w:rPr>
          <w:rFonts w:hint="eastAsia" w:ascii="宋体" w:hAnsi="宋体" w:cs="宋体"/>
          <w:b/>
          <w:color w:val="000000" w:themeColor="text1"/>
          <w:szCs w:val="21"/>
          <w:highlight w:val="none"/>
          <w:lang w:val="en-US" w:eastAsia="zh-CN"/>
          <w14:textFill>
            <w14:solidFill>
              <w14:schemeClr w14:val="tx1"/>
            </w14:solidFill>
          </w14:textFill>
        </w:rPr>
        <w:t>9</w:t>
      </w:r>
      <w:r>
        <w:rPr>
          <w:rFonts w:hint="eastAsia" w:ascii="宋体" w:hAnsi="宋体" w:cs="宋体"/>
          <w:b/>
          <w:color w:val="000000" w:themeColor="text1"/>
          <w:szCs w:val="21"/>
          <w:highlight w:val="none"/>
          <w:lang w:val="zh-CN"/>
          <w14:textFill>
            <w14:solidFill>
              <w14:schemeClr w14:val="tx1"/>
            </w14:solidFill>
          </w14:textFill>
        </w:rPr>
        <w:t>）安全保证措施</w:t>
      </w:r>
      <w:r>
        <w:rPr>
          <w:rFonts w:hint="eastAsia" w:ascii="宋体" w:hAnsi="宋体" w:cs="宋体"/>
          <w:b/>
          <w:color w:val="000000" w:themeColor="text1"/>
          <w:szCs w:val="21"/>
          <w:highlight w:val="none"/>
          <w:lang w:val="zh-CN"/>
          <w14:textFill>
            <w14:solidFill>
              <w14:schemeClr w14:val="tx1"/>
            </w14:solidFill>
          </w14:textFill>
        </w:rPr>
        <w:tab/>
      </w:r>
    </w:p>
    <w:p>
      <w:pPr>
        <w:autoSpaceDE w:val="0"/>
        <w:autoSpaceDN w:val="0"/>
        <w:adjustRightInd w:val="0"/>
        <w:spacing w:line="440" w:lineRule="exact"/>
        <w:ind w:firstLine="424" w:firstLineChars="200"/>
        <w:rPr>
          <w:rFonts w:ascii="宋体" w:hAnsi="宋体" w:cs="宋体"/>
          <w:bCs/>
          <w:color w:val="000000" w:themeColor="text1"/>
          <w:szCs w:val="21"/>
          <w:highlight w:val="none"/>
          <w:lang w:val="zh-CN"/>
          <w14:textFill>
            <w14:solidFill>
              <w14:schemeClr w14:val="tx1"/>
            </w14:solidFill>
          </w14:textFill>
        </w:rPr>
      </w:pPr>
      <w:r>
        <w:rPr>
          <w:rFonts w:hint="eastAsia" w:ascii="宋体" w:hAnsi="宋体" w:cs="宋体"/>
          <w:bCs/>
          <w:color w:val="000000" w:themeColor="text1"/>
          <w:szCs w:val="21"/>
          <w:highlight w:val="none"/>
          <w:lang w:val="zh-CN"/>
          <w14:textFill>
            <w14:solidFill>
              <w14:schemeClr w14:val="tx1"/>
            </w14:solidFill>
          </w14:textFill>
        </w:rPr>
        <w:t>投标人针对设施运行维护服务过程中对安全监管的措施、可靠性及管理安全的科学合理性是否合理；</w:t>
      </w:r>
    </w:p>
    <w:p>
      <w:pPr>
        <w:autoSpaceDE w:val="0"/>
        <w:autoSpaceDN w:val="0"/>
        <w:adjustRightInd w:val="0"/>
        <w:spacing w:line="440" w:lineRule="exact"/>
        <w:ind w:firstLine="424" w:firstLineChars="200"/>
        <w:rPr>
          <w:rFonts w:ascii="宋体" w:hAnsi="宋体" w:cs="宋体"/>
          <w:b/>
          <w:color w:val="000000" w:themeColor="text1"/>
          <w:szCs w:val="21"/>
          <w:highlight w:val="none"/>
          <w:lang w:val="zh-CN"/>
          <w14:textFill>
            <w14:solidFill>
              <w14:schemeClr w14:val="tx1"/>
            </w14:solidFill>
          </w14:textFill>
        </w:rPr>
      </w:pPr>
      <w:r>
        <w:rPr>
          <w:rFonts w:hint="eastAsia" w:ascii="宋体" w:hAnsi="宋体" w:cs="宋体"/>
          <w:b/>
          <w:color w:val="000000" w:themeColor="text1"/>
          <w:szCs w:val="21"/>
          <w:highlight w:val="none"/>
          <w:lang w:val="zh-CN"/>
          <w14:textFill>
            <w14:solidFill>
              <w14:schemeClr w14:val="tx1"/>
            </w14:solidFill>
          </w14:textFill>
        </w:rPr>
        <w:t>（</w:t>
      </w:r>
      <w:r>
        <w:rPr>
          <w:rFonts w:hint="eastAsia" w:ascii="宋体" w:hAnsi="宋体" w:cs="宋体"/>
          <w:b/>
          <w:color w:val="000000" w:themeColor="text1"/>
          <w:szCs w:val="21"/>
          <w:highlight w:val="none"/>
          <w14:textFill>
            <w14:solidFill>
              <w14:schemeClr w14:val="tx1"/>
            </w14:solidFill>
          </w14:textFill>
        </w:rPr>
        <w:t>1</w:t>
      </w:r>
      <w:r>
        <w:rPr>
          <w:rFonts w:hint="eastAsia" w:ascii="宋体" w:hAnsi="宋体" w:cs="宋体"/>
          <w:b/>
          <w:color w:val="000000" w:themeColor="text1"/>
          <w:szCs w:val="21"/>
          <w:highlight w:val="none"/>
          <w:lang w:val="en-US" w:eastAsia="zh-CN"/>
          <w14:textFill>
            <w14:solidFill>
              <w14:schemeClr w14:val="tx1"/>
            </w14:solidFill>
          </w14:textFill>
        </w:rPr>
        <w:t>0</w:t>
      </w:r>
      <w:r>
        <w:rPr>
          <w:rFonts w:hint="eastAsia" w:ascii="宋体" w:hAnsi="宋体" w:cs="宋体"/>
          <w:b/>
          <w:color w:val="000000" w:themeColor="text1"/>
          <w:szCs w:val="21"/>
          <w:highlight w:val="none"/>
          <w:lang w:val="zh-CN"/>
          <w14:textFill>
            <w14:solidFill>
              <w14:schemeClr w14:val="tx1"/>
            </w14:solidFill>
          </w14:textFill>
        </w:rPr>
        <w:t>）服务质量保证承诺</w:t>
      </w:r>
      <w:r>
        <w:rPr>
          <w:rFonts w:hint="eastAsia" w:ascii="宋体" w:hAnsi="宋体" w:cs="宋体"/>
          <w:b/>
          <w:color w:val="000000" w:themeColor="text1"/>
          <w:szCs w:val="21"/>
          <w:highlight w:val="none"/>
          <w:lang w:val="zh-CN"/>
          <w14:textFill>
            <w14:solidFill>
              <w14:schemeClr w14:val="tx1"/>
            </w14:solidFill>
          </w14:textFill>
        </w:rPr>
        <w:tab/>
      </w:r>
    </w:p>
    <w:p>
      <w:pPr>
        <w:autoSpaceDE w:val="0"/>
        <w:autoSpaceDN w:val="0"/>
        <w:adjustRightInd w:val="0"/>
        <w:spacing w:line="440" w:lineRule="exact"/>
        <w:ind w:firstLine="424" w:firstLineChars="200"/>
        <w:rPr>
          <w:rFonts w:ascii="宋体" w:hAnsi="宋体" w:cs="宋体"/>
          <w:bCs/>
          <w:color w:val="000000" w:themeColor="text1"/>
          <w:szCs w:val="21"/>
          <w:highlight w:val="none"/>
          <w:lang w:val="zh-CN"/>
          <w14:textFill>
            <w14:solidFill>
              <w14:schemeClr w14:val="tx1"/>
            </w14:solidFill>
          </w14:textFill>
        </w:rPr>
      </w:pPr>
      <w:r>
        <w:rPr>
          <w:rFonts w:hint="eastAsia" w:ascii="宋体" w:hAnsi="宋体" w:cs="宋体"/>
          <w:bCs/>
          <w:color w:val="000000" w:themeColor="text1"/>
          <w:szCs w:val="21"/>
          <w:highlight w:val="none"/>
          <w:lang w:val="zh-CN"/>
          <w14:textFill>
            <w14:solidFill>
              <w14:schemeClr w14:val="tx1"/>
            </w14:solidFill>
          </w14:textFill>
        </w:rPr>
        <w:t>投标人所做的售后服务承诺和技术服务，有利于招标人的服务质量保证等的保障承诺措施。</w:t>
      </w:r>
    </w:p>
    <w:p>
      <w:pPr>
        <w:autoSpaceDE w:val="0"/>
        <w:autoSpaceDN w:val="0"/>
        <w:adjustRightInd w:val="0"/>
        <w:spacing w:line="440" w:lineRule="exact"/>
        <w:ind w:firstLine="424" w:firstLineChars="200"/>
        <w:rPr>
          <w:rFonts w:ascii="宋体" w:hAnsi="宋体" w:cs="宋体"/>
          <w:b/>
          <w:color w:val="000000" w:themeColor="text1"/>
          <w:szCs w:val="21"/>
          <w:highlight w:val="none"/>
          <w:lang w:val="zh-CN"/>
          <w14:textFill>
            <w14:solidFill>
              <w14:schemeClr w14:val="tx1"/>
            </w14:solidFill>
          </w14:textFill>
        </w:rPr>
      </w:pPr>
      <w:r>
        <w:rPr>
          <w:rFonts w:hint="eastAsia" w:ascii="宋体" w:hAnsi="宋体" w:cs="宋体"/>
          <w:b/>
          <w:color w:val="000000" w:themeColor="text1"/>
          <w:szCs w:val="21"/>
          <w:highlight w:val="none"/>
          <w:lang w:val="zh-CN"/>
          <w14:textFill>
            <w14:solidFill>
              <w14:schemeClr w14:val="tx1"/>
            </w14:solidFill>
          </w14:textFill>
        </w:rPr>
        <w:t>（</w:t>
      </w:r>
      <w:r>
        <w:rPr>
          <w:rFonts w:hint="eastAsia" w:ascii="宋体" w:hAnsi="宋体" w:cs="宋体"/>
          <w:b/>
          <w:color w:val="000000" w:themeColor="text1"/>
          <w:szCs w:val="21"/>
          <w:highlight w:val="none"/>
          <w14:textFill>
            <w14:solidFill>
              <w14:schemeClr w14:val="tx1"/>
            </w14:solidFill>
          </w14:textFill>
        </w:rPr>
        <w:t>1</w:t>
      </w:r>
      <w:r>
        <w:rPr>
          <w:rFonts w:hint="eastAsia" w:ascii="宋体" w:hAnsi="宋体" w:cs="宋体"/>
          <w:b/>
          <w:color w:val="000000" w:themeColor="text1"/>
          <w:szCs w:val="21"/>
          <w:highlight w:val="none"/>
          <w:lang w:val="en-US" w:eastAsia="zh-CN"/>
          <w14:textFill>
            <w14:solidFill>
              <w14:schemeClr w14:val="tx1"/>
            </w14:solidFill>
          </w14:textFill>
        </w:rPr>
        <w:t>1</w:t>
      </w:r>
      <w:r>
        <w:rPr>
          <w:rFonts w:hint="eastAsia" w:ascii="宋体" w:hAnsi="宋体" w:cs="宋体"/>
          <w:b/>
          <w:color w:val="000000" w:themeColor="text1"/>
          <w:szCs w:val="21"/>
          <w:highlight w:val="none"/>
          <w:lang w:val="zh-CN"/>
          <w14:textFill>
            <w14:solidFill>
              <w14:schemeClr w14:val="tx1"/>
            </w14:solidFill>
          </w14:textFill>
        </w:rPr>
        <w:t>）认为需要的其他技术文件或说明（可根据评标办法提供及自拟）。</w:t>
      </w:r>
    </w:p>
    <w:p>
      <w:pPr>
        <w:tabs>
          <w:tab w:val="left" w:pos="720"/>
          <w:tab w:val="left" w:pos="5355"/>
        </w:tabs>
        <w:spacing w:line="360" w:lineRule="auto"/>
        <w:ind w:firstLine="424" w:firstLineChars="200"/>
        <w:rPr>
          <w:color w:val="FF0000"/>
          <w:highlight w:val="none"/>
        </w:rPr>
      </w:pPr>
      <w:r>
        <w:rPr>
          <w:rFonts w:hint="eastAsia" w:ascii="宋体" w:hAnsi="宋体" w:cs="宋体"/>
          <w:b/>
          <w:bCs/>
          <w:color w:val="FF0000"/>
          <w:szCs w:val="21"/>
          <w:highlight w:val="none"/>
        </w:rPr>
        <w:t>注：以上资料涉及各类证书、合同等，投标文件中请上传原件扫描件（彩色），以便核查。</w:t>
      </w:r>
    </w:p>
    <w:p>
      <w:pPr>
        <w:autoSpaceDE w:val="0"/>
        <w:autoSpaceDN w:val="0"/>
        <w:adjustRightInd w:val="0"/>
        <w:spacing w:line="400" w:lineRule="exact"/>
        <w:rPr>
          <w:rFonts w:ascii="宋体" w:hAnsi="宋体" w:cs="宋体"/>
          <w:color w:val="000000" w:themeColor="text1"/>
          <w:szCs w:val="21"/>
          <w:highlight w:val="none"/>
          <w:lang w:val="zh-CN"/>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 xml:space="preserve">    </w:t>
      </w:r>
      <w:r>
        <w:rPr>
          <w:rFonts w:hint="eastAsia" w:ascii="宋体" w:hAnsi="宋体" w:cs="宋体"/>
          <w:b/>
          <w:bCs/>
          <w:color w:val="000000" w:themeColor="text1"/>
          <w:szCs w:val="21"/>
          <w:highlight w:val="none"/>
          <w:lang w:val="zh-CN"/>
          <w14:textFill>
            <w14:solidFill>
              <w14:schemeClr w14:val="tx1"/>
            </w14:solidFill>
          </w14:textFill>
        </w:rPr>
        <w:t>3</w:t>
      </w:r>
      <w:r>
        <w:rPr>
          <w:rFonts w:hint="eastAsia" w:ascii="宋体" w:hAnsi="宋体" w:cs="宋体"/>
          <w:b/>
          <w:bCs/>
          <w:color w:val="000000" w:themeColor="text1"/>
          <w:szCs w:val="21"/>
          <w:highlight w:val="none"/>
          <w14:textFill>
            <w14:solidFill>
              <w14:schemeClr w14:val="tx1"/>
            </w14:solidFill>
          </w14:textFill>
        </w:rPr>
        <w:t>.</w:t>
      </w:r>
      <w:r>
        <w:rPr>
          <w:rFonts w:hint="eastAsia" w:ascii="宋体" w:hAnsi="宋体" w:cs="宋体"/>
          <w:b/>
          <w:bCs/>
          <w:color w:val="000000" w:themeColor="text1"/>
          <w:szCs w:val="21"/>
          <w:highlight w:val="none"/>
          <w:lang w:val="zh-CN"/>
          <w14:textFill>
            <w14:solidFill>
              <w14:schemeClr w14:val="tx1"/>
            </w14:solidFill>
          </w14:textFill>
        </w:rPr>
        <w:t>【报价文件】</w:t>
      </w:r>
    </w:p>
    <w:p>
      <w:pPr>
        <w:autoSpaceDE w:val="0"/>
        <w:autoSpaceDN w:val="0"/>
        <w:adjustRightInd w:val="0"/>
        <w:spacing w:line="440" w:lineRule="exact"/>
        <w:ind w:firstLine="424" w:firstLineChars="200"/>
        <w:rPr>
          <w:rFonts w:ascii="宋体" w:hAnsi="宋体" w:cs="宋体"/>
          <w:color w:val="000000" w:themeColor="text1"/>
          <w:szCs w:val="21"/>
          <w:highlight w:val="none"/>
          <w:lang w:val="zh-CN"/>
          <w14:textFill>
            <w14:solidFill>
              <w14:schemeClr w14:val="tx1"/>
            </w14:solidFill>
          </w14:textFill>
        </w:rPr>
      </w:pPr>
      <w:r>
        <w:rPr>
          <w:rFonts w:hint="eastAsia" w:ascii="宋体" w:hAnsi="宋体" w:cs="宋体"/>
          <w:bCs/>
          <w:color w:val="000000" w:themeColor="text1"/>
          <w:szCs w:val="21"/>
          <w:highlight w:val="none"/>
          <w:lang w:val="zh-CN"/>
          <w14:textFill>
            <w14:solidFill>
              <w14:schemeClr w14:val="tx1"/>
            </w14:solidFill>
          </w14:textFill>
        </w:rPr>
        <w:t>（1）</w:t>
      </w:r>
      <w:r>
        <w:rPr>
          <w:rFonts w:hint="eastAsia" w:ascii="宋体" w:hAnsi="宋体" w:cs="宋体"/>
          <w:color w:val="000000" w:themeColor="text1"/>
          <w:szCs w:val="21"/>
          <w:highlight w:val="none"/>
          <w:lang w:val="zh-CN"/>
          <w14:textFill>
            <w14:solidFill>
              <w14:schemeClr w14:val="tx1"/>
            </w14:solidFill>
          </w14:textFill>
        </w:rPr>
        <w:t>投标函</w:t>
      </w:r>
      <w:r>
        <w:rPr>
          <w:rFonts w:hint="eastAsia" w:ascii="宋体" w:hAnsi="宋体" w:cs="宋体"/>
          <w:color w:val="000000" w:themeColor="text1"/>
          <w:szCs w:val="21"/>
          <w:highlight w:val="none"/>
          <w14:textFill>
            <w14:solidFill>
              <w14:schemeClr w14:val="tx1"/>
            </w14:solidFill>
          </w14:textFill>
        </w:rPr>
        <w:t>（格式见附件）</w:t>
      </w:r>
      <w:r>
        <w:rPr>
          <w:rFonts w:hint="eastAsia" w:ascii="宋体" w:hAnsi="宋体" w:cs="宋体"/>
          <w:color w:val="000000" w:themeColor="text1"/>
          <w:szCs w:val="21"/>
          <w:highlight w:val="none"/>
          <w:lang w:val="zh-CN"/>
          <w14:textFill>
            <w14:solidFill>
              <w14:schemeClr w14:val="tx1"/>
            </w14:solidFill>
          </w14:textFill>
        </w:rPr>
        <w:t>；</w:t>
      </w:r>
    </w:p>
    <w:p>
      <w:pPr>
        <w:autoSpaceDE w:val="0"/>
        <w:autoSpaceDN w:val="0"/>
        <w:adjustRightInd w:val="0"/>
        <w:spacing w:line="440" w:lineRule="exact"/>
        <w:ind w:firstLine="424" w:firstLineChars="200"/>
        <w:rPr>
          <w:rFonts w:ascii="宋体" w:hAnsi="宋体" w:cs="宋体"/>
          <w:color w:val="000000" w:themeColor="text1"/>
          <w:szCs w:val="21"/>
          <w:highlight w:val="none"/>
          <w:lang w:val="zh-CN"/>
          <w14:textFill>
            <w14:solidFill>
              <w14:schemeClr w14:val="tx1"/>
            </w14:solidFill>
          </w14:textFill>
        </w:rPr>
      </w:pPr>
      <w:r>
        <w:rPr>
          <w:rFonts w:hint="eastAsia" w:ascii="宋体" w:hAnsi="宋体" w:cs="宋体"/>
          <w:bCs/>
          <w:color w:val="000000" w:themeColor="text1"/>
          <w:szCs w:val="21"/>
          <w:highlight w:val="none"/>
          <w:lang w:val="zh-CN"/>
          <w14:textFill>
            <w14:solidFill>
              <w14:schemeClr w14:val="tx1"/>
            </w14:solidFill>
          </w14:textFill>
        </w:rPr>
        <w:t>（2）</w:t>
      </w:r>
      <w:r>
        <w:rPr>
          <w:rFonts w:hint="eastAsia" w:ascii="宋体" w:hAnsi="宋体" w:cs="宋体"/>
          <w:color w:val="000000" w:themeColor="text1"/>
          <w:szCs w:val="21"/>
          <w:highlight w:val="none"/>
          <w14:textFill>
            <w14:solidFill>
              <w14:schemeClr w14:val="tx1"/>
            </w14:solidFill>
          </w14:textFill>
        </w:rPr>
        <w:t>开标</w:t>
      </w:r>
      <w:r>
        <w:rPr>
          <w:rFonts w:hint="eastAsia" w:ascii="宋体" w:hAnsi="宋体" w:cs="宋体"/>
          <w:color w:val="000000" w:themeColor="text1"/>
          <w:szCs w:val="21"/>
          <w:highlight w:val="none"/>
          <w:lang w:val="zh-CN"/>
          <w14:textFill>
            <w14:solidFill>
              <w14:schemeClr w14:val="tx1"/>
            </w14:solidFill>
          </w14:textFill>
        </w:rPr>
        <w:t>一览表</w:t>
      </w:r>
      <w:r>
        <w:rPr>
          <w:rFonts w:hint="eastAsia" w:ascii="宋体" w:hAnsi="宋体" w:cs="宋体"/>
          <w:color w:val="000000" w:themeColor="text1"/>
          <w:szCs w:val="21"/>
          <w:highlight w:val="none"/>
          <w14:textFill>
            <w14:solidFill>
              <w14:schemeClr w14:val="tx1"/>
            </w14:solidFill>
          </w14:textFill>
        </w:rPr>
        <w:t>（格式见附件）</w:t>
      </w:r>
      <w:r>
        <w:rPr>
          <w:rFonts w:hint="eastAsia" w:ascii="宋体" w:hAnsi="宋体" w:cs="宋体"/>
          <w:color w:val="000000" w:themeColor="text1"/>
          <w:szCs w:val="21"/>
          <w:highlight w:val="none"/>
          <w:lang w:val="zh-CN"/>
          <w14:textFill>
            <w14:solidFill>
              <w14:schemeClr w14:val="tx1"/>
            </w14:solidFill>
          </w14:textFill>
        </w:rPr>
        <w:t>；</w:t>
      </w:r>
    </w:p>
    <w:p>
      <w:pPr>
        <w:autoSpaceDE w:val="0"/>
        <w:autoSpaceDN w:val="0"/>
        <w:adjustRightInd w:val="0"/>
        <w:spacing w:line="440" w:lineRule="exact"/>
        <w:ind w:firstLine="424" w:firstLineChars="200"/>
        <w:rPr>
          <w:rFonts w:ascii="宋体" w:hAnsi="宋体" w:cs="宋体"/>
          <w:color w:val="000000" w:themeColor="text1"/>
          <w:szCs w:val="21"/>
          <w:highlight w:val="none"/>
          <w:lang w:val="zh-CN"/>
          <w14:textFill>
            <w14:solidFill>
              <w14:schemeClr w14:val="tx1"/>
            </w14:solidFill>
          </w14:textFill>
        </w:rPr>
      </w:pPr>
      <w:r>
        <w:rPr>
          <w:rFonts w:hint="eastAsia" w:ascii="宋体" w:hAnsi="宋体" w:cs="宋体"/>
          <w:color w:val="000000" w:themeColor="text1"/>
          <w:szCs w:val="21"/>
          <w:highlight w:val="none"/>
          <w:lang w:val="zh-CN"/>
          <w14:textFill>
            <w14:solidFill>
              <w14:schemeClr w14:val="tx1"/>
            </w14:solidFill>
          </w14:textFill>
        </w:rPr>
        <w:t>（3）报价明细表</w:t>
      </w:r>
      <w:r>
        <w:rPr>
          <w:rFonts w:hint="eastAsia" w:ascii="宋体" w:hAnsi="宋体" w:cs="宋体"/>
          <w:color w:val="000000" w:themeColor="text1"/>
          <w:szCs w:val="21"/>
          <w:highlight w:val="none"/>
          <w14:textFill>
            <w14:solidFill>
              <w14:schemeClr w14:val="tx1"/>
            </w14:solidFill>
          </w14:textFill>
        </w:rPr>
        <w:t>（格式见附件）</w:t>
      </w:r>
      <w:r>
        <w:rPr>
          <w:rFonts w:hint="eastAsia" w:ascii="宋体" w:hAnsi="宋体" w:cs="宋体"/>
          <w:color w:val="000000" w:themeColor="text1"/>
          <w:szCs w:val="21"/>
          <w:highlight w:val="none"/>
          <w:lang w:val="zh-CN"/>
          <w14:textFill>
            <w14:solidFill>
              <w14:schemeClr w14:val="tx1"/>
            </w14:solidFill>
          </w14:textFill>
        </w:rPr>
        <w:t>；</w:t>
      </w:r>
    </w:p>
    <w:p>
      <w:pPr>
        <w:spacing w:line="440" w:lineRule="exact"/>
        <w:ind w:firstLine="424" w:firstLineChars="200"/>
        <w:rPr>
          <w:rFonts w:ascii="宋体" w:hAnsi="宋体" w:cs="宋体"/>
          <w:color w:val="000000" w:themeColor="text1"/>
          <w:szCs w:val="21"/>
          <w:highlight w:val="none"/>
          <w:lang w:val="zh-CN"/>
          <w14:textFill>
            <w14:solidFill>
              <w14:schemeClr w14:val="tx1"/>
            </w14:solidFill>
          </w14:textFill>
        </w:rPr>
      </w:pPr>
      <w:r>
        <w:rPr>
          <w:highlight w:val="none"/>
        </w:rPr>
        <w:fldChar w:fldCharType="begin"/>
      </w:r>
      <w:r>
        <w:rPr>
          <w:highlight w:val="none"/>
        </w:rPr>
        <w:instrText xml:space="preserve"> HYPERLINK \l "_Toc476230529" </w:instrText>
      </w:r>
      <w:r>
        <w:rPr>
          <w:highlight w:val="none"/>
        </w:rPr>
        <w:fldChar w:fldCharType="separate"/>
      </w:r>
      <w:r>
        <w:rPr>
          <w:rFonts w:hint="eastAsia" w:ascii="宋体" w:hAnsi="宋体" w:cs="宋体"/>
          <w:color w:val="000000" w:themeColor="text1"/>
          <w:szCs w:val="21"/>
          <w:highlight w:val="none"/>
          <w:lang w:val="zh-CN"/>
          <w14:textFill>
            <w14:solidFill>
              <w14:schemeClr w14:val="tx1"/>
            </w14:solidFill>
          </w14:textFill>
        </w:rPr>
        <w:t>（4）</w:t>
      </w:r>
      <w:r>
        <w:rPr>
          <w:rFonts w:hint="eastAsia" w:ascii="宋体" w:hAnsi="宋体" w:cs="宋体"/>
          <w:color w:val="000000" w:themeColor="text1"/>
          <w:szCs w:val="21"/>
          <w:highlight w:val="none"/>
          <w14:textFill>
            <w14:solidFill>
              <w14:schemeClr w14:val="tx1"/>
            </w14:solidFill>
          </w14:textFill>
        </w:rPr>
        <w:t>享受小微企业（含监狱企业、残疾人福利性企业）价格扶持政策的证明材料（</w:t>
      </w:r>
      <w:r>
        <w:rPr>
          <w:rFonts w:hint="eastAsia" w:ascii="宋体" w:hAnsi="宋体" w:cs="宋体"/>
          <w:b/>
          <w:bCs/>
          <w:color w:val="000000" w:themeColor="text1"/>
          <w:szCs w:val="21"/>
          <w:highlight w:val="none"/>
          <w14:textFill>
            <w14:solidFill>
              <w14:schemeClr w14:val="tx1"/>
            </w14:solidFill>
          </w14:textFill>
        </w:rPr>
        <w:t>详见“</w:t>
      </w:r>
      <w:r>
        <w:rPr>
          <w:rFonts w:hint="eastAsia"/>
          <w:b/>
          <w:bCs/>
          <w:color w:val="000000" w:themeColor="text1"/>
          <w:highlight w:val="none"/>
          <w14:textFill>
            <w14:solidFill>
              <w14:schemeClr w14:val="tx1"/>
            </w14:solidFill>
          </w14:textFill>
        </w:rPr>
        <w:t>政府采购扶持政策说明”</w:t>
      </w:r>
      <w:r>
        <w:rPr>
          <w:rFonts w:hint="eastAsia" w:ascii="宋体" w:hAnsi="宋体" w:cs="宋体"/>
          <w:b/>
          <w:bCs/>
          <w:color w:val="000000" w:themeColor="text1"/>
          <w:szCs w:val="21"/>
          <w:highlight w:val="none"/>
          <w14:textFill>
            <w14:solidFill>
              <w14:schemeClr w14:val="tx1"/>
            </w14:solidFill>
          </w14:textFill>
        </w:rPr>
        <w:t>，非小微企业、监狱企业、残疾人福利性企业的，无需提供</w:t>
      </w: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fldChar w:fldCharType="end"/>
      </w:r>
      <w:r>
        <w:rPr>
          <w:rFonts w:hint="eastAsia" w:ascii="宋体" w:hAnsi="宋体" w:cs="宋体"/>
          <w:color w:val="000000" w:themeColor="text1"/>
          <w:szCs w:val="21"/>
          <w:highlight w:val="none"/>
          <w:lang w:val="zh-CN"/>
          <w14:textFill>
            <w14:solidFill>
              <w14:schemeClr w14:val="tx1"/>
            </w14:solidFill>
          </w14:textFill>
        </w:rPr>
        <w:t>。</w:t>
      </w:r>
    </w:p>
    <w:p>
      <w:pPr>
        <w:tabs>
          <w:tab w:val="left" w:pos="720"/>
          <w:tab w:val="left" w:pos="5355"/>
        </w:tabs>
        <w:spacing w:line="440" w:lineRule="exact"/>
        <w:ind w:firstLine="424" w:firstLineChars="200"/>
        <w:rPr>
          <w:color w:val="000000" w:themeColor="text1"/>
          <w:highlight w:val="none"/>
          <w:lang w:val="zh-CN"/>
          <w14:textFill>
            <w14:solidFill>
              <w14:schemeClr w14:val="tx1"/>
            </w14:solidFill>
          </w14:textFill>
        </w:rPr>
      </w:pPr>
      <w:r>
        <w:rPr>
          <w:rFonts w:hint="eastAsia" w:ascii="宋体" w:hAnsi="宋体" w:cs="宋体"/>
          <w:color w:val="000000" w:themeColor="text1"/>
          <w:szCs w:val="21"/>
          <w:highlight w:val="none"/>
          <w:lang w:val="zh-CN"/>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5</w:t>
      </w:r>
      <w:r>
        <w:rPr>
          <w:rFonts w:hint="eastAsia" w:ascii="宋体" w:hAnsi="宋体" w:cs="宋体"/>
          <w:color w:val="000000" w:themeColor="text1"/>
          <w:szCs w:val="21"/>
          <w:highlight w:val="none"/>
          <w:lang w:val="zh-CN"/>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投标人针对报价需要说明的其他文件和资料（格式自拟）。</w:t>
      </w:r>
    </w:p>
    <w:p>
      <w:pPr>
        <w:snapToGrid w:val="0"/>
        <w:spacing w:line="440" w:lineRule="exact"/>
        <w:ind w:firstLine="414" w:firstLineChars="196"/>
        <w:jc w:val="left"/>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（二）投标文件的语言及计量</w:t>
      </w:r>
    </w:p>
    <w:p>
      <w:pPr>
        <w:snapToGrid w:val="0"/>
        <w:spacing w:line="440" w:lineRule="exact"/>
        <w:ind w:firstLine="424" w:firstLineChars="200"/>
        <w:jc w:val="left"/>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1</w:t>
      </w: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投标文件以及投标方与招标方就有关投标事宜的所有来往函电，均应以中文汉语书写。除签名、盖章、专用名称等特殊情形外，以中文汉语以外的文字表述的投标文件视同未提供。</w:t>
      </w:r>
    </w:p>
    <w:p>
      <w:pPr>
        <w:snapToGrid w:val="0"/>
        <w:spacing w:line="440" w:lineRule="exact"/>
        <w:ind w:firstLine="424" w:firstLineChars="200"/>
        <w:jc w:val="left"/>
        <w:rPr>
          <w:color w:val="000000" w:themeColor="text1"/>
          <w:highlight w:val="none"/>
          <w:lang w:val="zh-CN"/>
          <w14:textFill>
            <w14:solidFill>
              <w14:schemeClr w14:val="tx1"/>
            </w14:solidFill>
          </w14:textFill>
        </w:rPr>
      </w:pPr>
      <w:r>
        <w:rPr>
          <w:rFonts w:ascii="宋体" w:hAnsi="宋体"/>
          <w:color w:val="000000" w:themeColor="text1"/>
          <w:szCs w:val="21"/>
          <w:highlight w:val="none"/>
          <w14:textFill>
            <w14:solidFill>
              <w14:schemeClr w14:val="tx1"/>
            </w14:solidFill>
          </w14:textFill>
        </w:rPr>
        <w:t>2</w:t>
      </w: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投标计量单位，招标文件已有明确规定的，使用招标文件规定的计量单位；招标文件没有规定的，应采用中华人民共和国法定计量单位（货币单位：人民币元），否则视同未响应。</w:t>
      </w:r>
    </w:p>
    <w:p>
      <w:pPr>
        <w:spacing w:line="440" w:lineRule="exact"/>
        <w:ind w:firstLine="212" w:firstLineChars="100"/>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（三）投标报价</w:t>
      </w:r>
    </w:p>
    <w:p>
      <w:pPr>
        <w:spacing w:line="400" w:lineRule="exact"/>
        <w:ind w:firstLine="424"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1.本项目投标报价不得高于最高限价，否则作无效标处理。</w:t>
      </w:r>
    </w:p>
    <w:p>
      <w:pPr>
        <w:spacing w:line="400" w:lineRule="exact"/>
        <w:ind w:firstLine="424"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2.本项目的投标报价应以人民币报价。</w:t>
      </w:r>
    </w:p>
    <w:p>
      <w:pPr>
        <w:spacing w:line="400" w:lineRule="exact"/>
        <w:ind w:firstLine="212" w:firstLineChars="1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 投标报价是履行合同的最终价格,包括</w:t>
      </w:r>
      <w:r>
        <w:rPr>
          <w:rFonts w:ascii="宋体" w:hAnsi="宋体" w:cs="宋体"/>
          <w:color w:val="000000" w:themeColor="text1"/>
          <w:kern w:val="0"/>
          <w:szCs w:val="21"/>
          <w:highlight w:val="none"/>
          <w14:textFill>
            <w14:solidFill>
              <w14:schemeClr w14:val="tx1"/>
            </w14:solidFill>
          </w14:textFill>
        </w:rPr>
        <w:t>人员工资福利费用</w:t>
      </w:r>
      <w:r>
        <w:rPr>
          <w:rFonts w:hint="eastAsia" w:ascii="宋体" w:hAnsi="宋体" w:cs="宋体"/>
          <w:color w:val="000000" w:themeColor="text1"/>
          <w:kern w:val="0"/>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设备运维电费、设备运维水费</w:t>
      </w:r>
      <w:r>
        <w:rPr>
          <w:rFonts w:ascii="宋体" w:hAnsi="宋体" w:cs="宋体"/>
          <w:color w:val="000000" w:themeColor="text1"/>
          <w:kern w:val="0"/>
          <w:szCs w:val="21"/>
          <w:highlight w:val="none"/>
          <w14:textFill>
            <w14:solidFill>
              <w14:schemeClr w14:val="tx1"/>
            </w14:solidFill>
          </w14:textFill>
        </w:rPr>
        <w:t>、设备维修保养费用、药剂费用、</w:t>
      </w:r>
      <w:r>
        <w:rPr>
          <w:rFonts w:hint="eastAsia" w:ascii="宋体" w:hAnsi="宋体" w:cs="宋体"/>
          <w:color w:val="000000" w:themeColor="text1"/>
          <w:kern w:val="0"/>
          <w:szCs w:val="21"/>
          <w:highlight w:val="none"/>
          <w14:textFill>
            <w14:solidFill>
              <w14:schemeClr w14:val="tx1"/>
            </w14:solidFill>
          </w14:textFill>
        </w:rPr>
        <w:t>化验费</w:t>
      </w:r>
      <w:r>
        <w:rPr>
          <w:rFonts w:ascii="宋体" w:hAnsi="宋体" w:cs="宋体"/>
          <w:color w:val="000000" w:themeColor="text1"/>
          <w:kern w:val="0"/>
          <w:szCs w:val="21"/>
          <w:highlight w:val="none"/>
          <w14:textFill>
            <w14:solidFill>
              <w14:schemeClr w14:val="tx1"/>
            </w14:solidFill>
          </w14:textFill>
        </w:rPr>
        <w:t>、</w:t>
      </w:r>
      <w:r>
        <w:rPr>
          <w:rFonts w:hint="eastAsia" w:ascii="宋体" w:hAnsi="宋体" w:cs="宋体"/>
          <w:color w:val="000000" w:themeColor="text1"/>
          <w:kern w:val="0"/>
          <w:szCs w:val="21"/>
          <w:highlight w:val="none"/>
          <w14:textFill>
            <w14:solidFill>
              <w14:schemeClr w14:val="tx1"/>
            </w14:solidFill>
          </w14:textFill>
        </w:rPr>
        <w:t>水质检测费、</w:t>
      </w:r>
      <w:r>
        <w:rPr>
          <w:rFonts w:ascii="宋体" w:hAnsi="宋体" w:cs="宋体"/>
          <w:color w:val="000000" w:themeColor="text1"/>
          <w:kern w:val="0"/>
          <w:szCs w:val="21"/>
          <w:highlight w:val="none"/>
          <w14:textFill>
            <w14:solidFill>
              <w14:schemeClr w14:val="tx1"/>
            </w14:solidFill>
          </w14:textFill>
        </w:rPr>
        <w:t>办公经费</w:t>
      </w:r>
      <w:r>
        <w:rPr>
          <w:rFonts w:hint="eastAsia" w:ascii="宋体" w:hAnsi="宋体" w:cs="宋体"/>
          <w:color w:val="000000" w:themeColor="text1"/>
          <w:kern w:val="0"/>
          <w:szCs w:val="21"/>
          <w:highlight w:val="none"/>
          <w14:textFill>
            <w14:solidFill>
              <w14:schemeClr w14:val="tx1"/>
            </w14:solidFill>
          </w14:textFill>
        </w:rPr>
        <w:t>、调试、培训、保险、保修费用、</w:t>
      </w:r>
      <w:r>
        <w:rPr>
          <w:rFonts w:ascii="宋体" w:hAnsi="宋体" w:cs="宋体"/>
          <w:color w:val="000000" w:themeColor="text1"/>
          <w:kern w:val="0"/>
          <w:szCs w:val="21"/>
          <w:highlight w:val="none"/>
          <w14:textFill>
            <w14:solidFill>
              <w14:schemeClr w14:val="tx1"/>
            </w14:solidFill>
          </w14:textFill>
        </w:rPr>
        <w:t>税费及其他相关费用等</w:t>
      </w:r>
      <w:r>
        <w:rPr>
          <w:rFonts w:hint="eastAsia" w:ascii="宋体" w:hAnsi="宋体" w:cs="宋体"/>
          <w:color w:val="000000" w:themeColor="text1"/>
          <w:szCs w:val="21"/>
          <w:highlight w:val="none"/>
          <w14:textFill>
            <w14:solidFill>
              <w14:schemeClr w14:val="tx1"/>
            </w14:solidFill>
          </w14:textFill>
        </w:rPr>
        <w:t>完成本项目所需的一切本身和不可或缺的所有工作开支、政策性文件规定</w:t>
      </w:r>
      <w:r>
        <w:rPr>
          <w:rFonts w:hint="eastAsia" w:ascii="宋体" w:hAnsi="宋体" w:cs="宋体"/>
          <w:bCs/>
          <w:color w:val="000000" w:themeColor="text1"/>
          <w:szCs w:val="21"/>
          <w:highlight w:val="none"/>
          <w14:textFill>
            <w14:solidFill>
              <w14:schemeClr w14:val="tx1"/>
            </w14:solidFill>
          </w14:textFill>
        </w:rPr>
        <w:t>及合同包含的所有风险、责任等各项全部费用</w:t>
      </w:r>
      <w:r>
        <w:rPr>
          <w:rFonts w:hint="eastAsia" w:ascii="宋体" w:hAnsi="宋体" w:cs="宋体"/>
          <w:color w:val="000000" w:themeColor="text1"/>
          <w:szCs w:val="21"/>
          <w:highlight w:val="none"/>
          <w14:textFill>
            <w14:solidFill>
              <w14:schemeClr w14:val="tx1"/>
            </w14:solidFill>
          </w14:textFill>
        </w:rPr>
        <w:t>。如有漏项，视同已包含在其总项目中，合同总价不做调整。</w:t>
      </w:r>
    </w:p>
    <w:p>
      <w:pPr>
        <w:spacing w:line="440" w:lineRule="exact"/>
        <w:ind w:firstLine="318" w:firstLineChars="1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4.投标人所报的报价在合同执行过程中是固定不变的，不得以任何理由予以变更。任何包含价格调整的要求，将被认为是非实质性响应而予以拒绝。</w:t>
      </w:r>
    </w:p>
    <w:p>
      <w:pPr>
        <w:spacing w:line="440" w:lineRule="exact"/>
        <w:ind w:firstLine="318" w:firstLineChars="1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5.采购人不接受任何选择报价，按招标文件要求，每个分项只允许一个报价。</w:t>
      </w:r>
    </w:p>
    <w:p>
      <w:pPr>
        <w:pStyle w:val="9"/>
        <w:spacing w:line="440" w:lineRule="exact"/>
        <w:ind w:firstLine="212" w:firstLineChars="100"/>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（四）投标文件的有效期</w:t>
      </w:r>
    </w:p>
    <w:p>
      <w:pPr>
        <w:spacing w:line="440" w:lineRule="exact"/>
        <w:ind w:firstLine="212" w:firstLineChars="1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1.自投标截止日起</w:t>
      </w:r>
      <w:r>
        <w:rPr>
          <w:rFonts w:hint="eastAsia" w:ascii="宋体" w:hAnsi="宋体" w:cs="宋体"/>
          <w:color w:val="000000" w:themeColor="text1"/>
          <w:szCs w:val="21"/>
          <w:highlight w:val="none"/>
          <w:u w:val="single"/>
          <w14:textFill>
            <w14:solidFill>
              <w14:schemeClr w14:val="tx1"/>
            </w14:solidFill>
          </w14:textFill>
        </w:rPr>
        <w:t xml:space="preserve"> 90 </w:t>
      </w:r>
      <w:r>
        <w:rPr>
          <w:rFonts w:hint="eastAsia" w:ascii="宋体" w:hAnsi="宋体" w:cs="宋体"/>
          <w:color w:val="000000" w:themeColor="text1"/>
          <w:szCs w:val="21"/>
          <w:highlight w:val="none"/>
          <w14:textFill>
            <w14:solidFill>
              <w14:schemeClr w14:val="tx1"/>
            </w14:solidFill>
          </w14:textFill>
        </w:rPr>
        <w:t>天投标文件应保持有效。有效期不足的投标文件将被拒绝。</w:t>
      </w:r>
    </w:p>
    <w:p>
      <w:pPr>
        <w:spacing w:line="440" w:lineRule="exact"/>
        <w:ind w:firstLine="424"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2.在特殊情况下，采购人可与投标人协商延长投标文件的有效期，这种要求和答复均以书面形式进行。</w:t>
      </w:r>
    </w:p>
    <w:p>
      <w:pPr>
        <w:pStyle w:val="5"/>
        <w:spacing w:line="440" w:lineRule="exact"/>
        <w:ind w:firstLine="212" w:firstLineChars="100"/>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（五）投标保证金</w:t>
      </w:r>
    </w:p>
    <w:p>
      <w:pPr>
        <w:pStyle w:val="22"/>
        <w:spacing w:beforeAutospacing="0" w:afterAutospacing="0" w:line="420" w:lineRule="exact"/>
        <w:ind w:firstLine="424" w:firstLineChars="200"/>
        <w:rPr>
          <w:rFonts w:cs="宋体"/>
          <w:color w:val="000000" w:themeColor="text1"/>
          <w:sz w:val="21"/>
          <w:szCs w:val="21"/>
          <w:highlight w:val="none"/>
          <w14:textFill>
            <w14:solidFill>
              <w14:schemeClr w14:val="tx1"/>
            </w14:solidFill>
          </w14:textFill>
        </w:rPr>
      </w:pPr>
      <w:r>
        <w:rPr>
          <w:rFonts w:hint="eastAsia" w:cs="宋体"/>
          <w:color w:val="000000" w:themeColor="text1"/>
          <w:sz w:val="21"/>
          <w:szCs w:val="21"/>
          <w:highlight w:val="none"/>
          <w14:textFill>
            <w14:solidFill>
              <w14:schemeClr w14:val="tx1"/>
            </w14:solidFill>
          </w14:textFill>
        </w:rPr>
        <w:t>1.根据《浙江省财政厅关于明确政府采购保证金管理工作的通知》（浙财采监〔2019〕5号）规定，本项目无需缴纳投标保证金。</w:t>
      </w:r>
    </w:p>
    <w:p>
      <w:pPr>
        <w:spacing w:line="420" w:lineRule="exact"/>
        <w:ind w:firstLine="424"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2.投标人在投标有效期内撤回投标文件或者中标人在法定期限内无正当理由不与采购单位签订合同的，应当按照本项目采购预算价2%的标准承担因此给采购单位造成的损失的赔偿责任及相应的法律责任。　</w:t>
      </w:r>
    </w:p>
    <w:p>
      <w:pPr>
        <w:snapToGrid w:val="0"/>
        <w:spacing w:line="440" w:lineRule="exact"/>
        <w:ind w:firstLine="212" w:firstLineChars="100"/>
        <w:jc w:val="left"/>
        <w:outlineLvl w:val="0"/>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（六）投标文件的格式和顺序</w:t>
      </w:r>
    </w:p>
    <w:p>
      <w:pPr>
        <w:adjustRightInd w:val="0"/>
        <w:snapToGrid w:val="0"/>
        <w:spacing w:line="440" w:lineRule="exact"/>
        <w:ind w:firstLine="424" w:firstLineChars="200"/>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1.投标人应根据“政采云投标人项目采购-电子招投标操作指南”及本招标文件规定的格式和顺序编制电子投标文件并进行关联定位。</w:t>
      </w:r>
    </w:p>
    <w:p>
      <w:pPr>
        <w:spacing w:line="440" w:lineRule="exact"/>
        <w:ind w:firstLine="212" w:firstLineChars="100"/>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（七）出现以下情形，导致电子交易平台无法正常运行，或者无法保证电子交易的公平、公正和安全时，中止电子交易活动：</w:t>
      </w:r>
    </w:p>
    <w:p>
      <w:pPr>
        <w:spacing w:line="440" w:lineRule="exact"/>
        <w:ind w:firstLine="424" w:firstLineChars="20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1.电子交易平台发生故障而无法登录访问的；</w:t>
      </w:r>
    </w:p>
    <w:p>
      <w:pPr>
        <w:spacing w:line="440" w:lineRule="exact"/>
        <w:ind w:firstLine="424" w:firstLineChars="20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2.电子交易平台应用或数据库出现错误，不能进行正常操作的；</w:t>
      </w:r>
    </w:p>
    <w:p>
      <w:pPr>
        <w:spacing w:line="440" w:lineRule="exact"/>
        <w:ind w:firstLine="424" w:firstLineChars="20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3.电子交易平台发现严重安全漏洞，有潜在泄密危险的；</w:t>
      </w:r>
    </w:p>
    <w:p>
      <w:pPr>
        <w:spacing w:line="440" w:lineRule="exact"/>
        <w:ind w:firstLine="424" w:firstLineChars="20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4.病毒发作导致不能进行正常操作的；</w:t>
      </w:r>
    </w:p>
    <w:p>
      <w:pPr>
        <w:spacing w:line="440" w:lineRule="exact"/>
        <w:ind w:firstLine="424" w:firstLineChars="20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5.其他无法保证电子交易的公平、公正和安全的情况。</w:t>
      </w:r>
    </w:p>
    <w:p>
      <w:pPr>
        <w:spacing w:line="440" w:lineRule="exact"/>
        <w:ind w:firstLine="424"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出现前款规定情形，不影响采购公平、公正性的，采购代理机构可以待上述情形消除后继续组织电子交易活动；影响或可能影响采购公平、公正性的，重新采购。</w:t>
      </w:r>
    </w:p>
    <w:p>
      <w:pPr>
        <w:pStyle w:val="2"/>
        <w:snapToGrid w:val="0"/>
        <w:spacing w:line="440" w:lineRule="exact"/>
        <w:ind w:firstLine="2820" w:firstLineChars="1000"/>
        <w:outlineLvl w:val="1"/>
        <w:rPr>
          <w:rFonts w:hAnsi="宋体" w:cs="宋体"/>
          <w:b/>
          <w:color w:val="000000" w:themeColor="text1"/>
          <w:sz w:val="28"/>
          <w:szCs w:val="28"/>
          <w:highlight w:val="none"/>
          <w14:textFill>
            <w14:solidFill>
              <w14:schemeClr w14:val="tx1"/>
            </w14:solidFill>
          </w14:textFill>
        </w:rPr>
      </w:pPr>
    </w:p>
    <w:p>
      <w:pPr>
        <w:pStyle w:val="2"/>
        <w:snapToGrid w:val="0"/>
        <w:spacing w:line="440" w:lineRule="exact"/>
        <w:ind w:firstLine="3666" w:firstLineChars="1300"/>
        <w:outlineLvl w:val="1"/>
        <w:rPr>
          <w:rFonts w:hAnsi="宋体" w:cs="宋体"/>
          <w:b/>
          <w:color w:val="000000" w:themeColor="text1"/>
          <w:sz w:val="28"/>
          <w:szCs w:val="28"/>
          <w:highlight w:val="none"/>
          <w14:textFill>
            <w14:solidFill>
              <w14:schemeClr w14:val="tx1"/>
            </w14:solidFill>
          </w14:textFill>
        </w:rPr>
      </w:pPr>
      <w:r>
        <w:rPr>
          <w:rFonts w:hint="eastAsia" w:hAnsi="宋体" w:cs="宋体"/>
          <w:b/>
          <w:color w:val="000000" w:themeColor="text1"/>
          <w:sz w:val="28"/>
          <w:szCs w:val="28"/>
          <w:highlight w:val="none"/>
          <w14:textFill>
            <w14:solidFill>
              <w14:schemeClr w14:val="tx1"/>
            </w14:solidFill>
          </w14:textFill>
        </w:rPr>
        <w:t>四、投标</w:t>
      </w:r>
    </w:p>
    <w:p>
      <w:pPr>
        <w:pStyle w:val="9"/>
        <w:spacing w:line="400" w:lineRule="exact"/>
        <w:rPr>
          <w:rFonts w:ascii="宋体" w:hAnsi="宋体" w:eastAsia="宋体" w:cs="宋体"/>
          <w:b/>
          <w:sz w:val="21"/>
          <w:szCs w:val="21"/>
          <w:highlight w:val="none"/>
        </w:rPr>
      </w:pPr>
      <w:r>
        <w:rPr>
          <w:rFonts w:hint="eastAsia" w:ascii="宋体" w:hAnsi="宋体" w:eastAsia="宋体" w:cs="宋体"/>
          <w:b/>
          <w:sz w:val="21"/>
          <w:szCs w:val="21"/>
          <w:highlight w:val="none"/>
        </w:rPr>
        <w:t>1</w:t>
      </w:r>
      <w:r>
        <w:rPr>
          <w:rFonts w:hint="eastAsia" w:ascii="宋体" w:hAnsi="宋体" w:eastAsia="宋体" w:cs="宋体"/>
          <w:b/>
          <w:sz w:val="21"/>
          <w:szCs w:val="21"/>
          <w:highlight w:val="none"/>
          <w:lang w:val="en-US"/>
        </w:rPr>
        <w:t>.</w:t>
      </w:r>
      <w:r>
        <w:rPr>
          <w:rFonts w:hint="eastAsia" w:ascii="宋体" w:hAnsi="宋体" w:eastAsia="宋体" w:cs="宋体"/>
          <w:b/>
          <w:sz w:val="21"/>
          <w:szCs w:val="21"/>
          <w:highlight w:val="none"/>
        </w:rPr>
        <w:t>投标文件的递交</w:t>
      </w:r>
    </w:p>
    <w:p>
      <w:pPr>
        <w:pStyle w:val="9"/>
        <w:spacing w:line="400" w:lineRule="exact"/>
        <w:ind w:firstLine="424" w:firstLineChars="200"/>
        <w:rPr>
          <w:rFonts w:ascii="宋体" w:hAnsi="宋体" w:eastAsia="宋体" w:cs="宋体"/>
          <w:sz w:val="21"/>
          <w:szCs w:val="21"/>
          <w:highlight w:val="none"/>
        </w:rPr>
      </w:pPr>
      <w:r>
        <w:rPr>
          <w:rFonts w:hint="eastAsia" w:ascii="宋体" w:hAnsi="宋体" w:eastAsia="宋体" w:cs="宋体"/>
          <w:b/>
          <w:bCs/>
          <w:sz w:val="21"/>
          <w:szCs w:val="21"/>
          <w:highlight w:val="none"/>
        </w:rPr>
        <w:t>投标人应当在投标截止时间前完成响应文件的传输递交，投标截止时间前可以补充、修改或者撤回响应文件。补充或者修改响应文件的，应当先行撤回原文件，补充、修改后重新传输递交。投标截止时间前未完成传输的，视为撤回响应文件。</w:t>
      </w:r>
    </w:p>
    <w:p>
      <w:pPr>
        <w:pStyle w:val="9"/>
        <w:spacing w:line="400" w:lineRule="exact"/>
        <w:rPr>
          <w:rFonts w:ascii="宋体" w:hAnsi="宋体" w:eastAsia="宋体" w:cs="宋体"/>
          <w:b/>
          <w:sz w:val="21"/>
          <w:szCs w:val="21"/>
          <w:highlight w:val="none"/>
        </w:rPr>
      </w:pPr>
      <w:r>
        <w:rPr>
          <w:rFonts w:hint="eastAsia" w:ascii="宋体" w:hAnsi="宋体" w:eastAsia="宋体" w:cs="宋体"/>
          <w:b/>
          <w:sz w:val="21"/>
          <w:szCs w:val="21"/>
          <w:highlight w:val="none"/>
          <w:lang w:val="en-US"/>
        </w:rPr>
        <w:t>2.</w:t>
      </w:r>
      <w:r>
        <w:rPr>
          <w:rFonts w:hint="eastAsia" w:ascii="宋体" w:hAnsi="宋体" w:eastAsia="宋体" w:cs="宋体"/>
          <w:b/>
          <w:sz w:val="21"/>
          <w:szCs w:val="21"/>
          <w:highlight w:val="none"/>
        </w:rPr>
        <w:t>投标文件递交的截止时间</w:t>
      </w:r>
    </w:p>
    <w:p>
      <w:pPr>
        <w:pStyle w:val="9"/>
        <w:spacing w:line="400" w:lineRule="exact"/>
        <w:ind w:left="420" w:hanging="420"/>
        <w:rPr>
          <w:rFonts w:ascii="宋体" w:hAnsi="宋体" w:eastAsia="宋体" w:cs="宋体"/>
          <w:sz w:val="21"/>
          <w:szCs w:val="21"/>
          <w:highlight w:val="none"/>
        </w:rPr>
      </w:pPr>
      <w:r>
        <w:rPr>
          <w:rFonts w:hint="eastAsia" w:ascii="宋体" w:hAnsi="宋体" w:eastAsia="宋体" w:cs="宋体"/>
          <w:sz w:val="21"/>
          <w:szCs w:val="21"/>
          <w:highlight w:val="none"/>
        </w:rPr>
        <w:t xml:space="preserve">    </w:t>
      </w:r>
      <w:r>
        <w:rPr>
          <w:rFonts w:hint="eastAsia" w:ascii="宋体" w:hAnsi="宋体" w:eastAsia="宋体" w:cs="宋体"/>
          <w:sz w:val="21"/>
          <w:szCs w:val="21"/>
          <w:highlight w:val="none"/>
          <w:lang w:val="en-US"/>
        </w:rPr>
        <w:t>2</w:t>
      </w:r>
      <w:r>
        <w:rPr>
          <w:rFonts w:hint="eastAsia" w:ascii="宋体" w:hAnsi="宋体" w:eastAsia="宋体" w:cs="宋体"/>
          <w:sz w:val="21"/>
          <w:szCs w:val="21"/>
          <w:highlight w:val="none"/>
        </w:rPr>
        <w:t>.1投标文件的截止时间见招标文件投标须知前附表的规定。</w:t>
      </w:r>
    </w:p>
    <w:p>
      <w:pPr>
        <w:pStyle w:val="9"/>
        <w:spacing w:line="400" w:lineRule="exact"/>
        <w:ind w:firstLine="424" w:firstLineChars="200"/>
        <w:rPr>
          <w:rFonts w:ascii="宋体" w:hAnsi="宋体" w:eastAsia="宋体" w:cs="宋体"/>
          <w:sz w:val="21"/>
          <w:szCs w:val="21"/>
          <w:highlight w:val="none"/>
        </w:rPr>
      </w:pPr>
      <w:r>
        <w:rPr>
          <w:rFonts w:hint="eastAsia" w:ascii="宋体" w:hAnsi="宋体" w:eastAsia="宋体" w:cs="宋体"/>
          <w:sz w:val="21"/>
          <w:szCs w:val="21"/>
          <w:highlight w:val="none"/>
          <w:lang w:val="en-US"/>
        </w:rPr>
        <w:t>2</w:t>
      </w:r>
      <w:r>
        <w:rPr>
          <w:rFonts w:hint="eastAsia" w:ascii="宋体" w:hAnsi="宋体" w:eastAsia="宋体" w:cs="宋体"/>
          <w:sz w:val="21"/>
          <w:szCs w:val="21"/>
          <w:highlight w:val="none"/>
        </w:rPr>
        <w:t>.2</w:t>
      </w:r>
      <w:r>
        <w:rPr>
          <w:rFonts w:hint="eastAsia" w:ascii="宋体" w:hAnsi="宋体" w:eastAsia="宋体" w:cs="宋体"/>
          <w:color w:val="000000"/>
          <w:sz w:val="21"/>
          <w:szCs w:val="21"/>
          <w:highlight w:val="none"/>
        </w:rPr>
        <w:t>采购人、采购代理机构</w:t>
      </w:r>
      <w:r>
        <w:rPr>
          <w:rFonts w:hint="eastAsia" w:ascii="宋体" w:hAnsi="宋体" w:eastAsia="宋体" w:cs="宋体"/>
          <w:sz w:val="21"/>
          <w:szCs w:val="21"/>
          <w:highlight w:val="none"/>
        </w:rPr>
        <w:t>可按本招标文件规定以修改补充通知的方式，酌情延长提交投标文件的截止时间。在此情况下，投标人的所有权利和义务以及投标人受制约的截止时间，均以延长后新的投标截止时间为准。</w:t>
      </w:r>
    </w:p>
    <w:p>
      <w:pPr>
        <w:pStyle w:val="9"/>
        <w:spacing w:line="400" w:lineRule="exact"/>
        <w:ind w:left="420" w:hanging="420"/>
        <w:rPr>
          <w:rFonts w:ascii="宋体" w:hAnsi="宋体" w:eastAsia="宋体" w:cs="宋体"/>
          <w:sz w:val="21"/>
          <w:szCs w:val="21"/>
          <w:highlight w:val="none"/>
        </w:rPr>
      </w:pPr>
      <w:r>
        <w:rPr>
          <w:rFonts w:hint="eastAsia" w:ascii="宋体" w:hAnsi="宋体" w:eastAsia="宋体" w:cs="宋体"/>
          <w:sz w:val="21"/>
          <w:szCs w:val="21"/>
          <w:highlight w:val="none"/>
        </w:rPr>
        <w:t xml:space="preserve">    </w:t>
      </w:r>
      <w:r>
        <w:rPr>
          <w:rFonts w:hint="eastAsia" w:ascii="宋体" w:hAnsi="宋体" w:eastAsia="宋体" w:cs="宋体"/>
          <w:sz w:val="21"/>
          <w:szCs w:val="21"/>
          <w:highlight w:val="none"/>
          <w:lang w:val="en-US"/>
        </w:rPr>
        <w:t>2</w:t>
      </w:r>
      <w:r>
        <w:rPr>
          <w:rFonts w:hint="eastAsia" w:ascii="宋体" w:hAnsi="宋体" w:eastAsia="宋体" w:cs="宋体"/>
          <w:sz w:val="21"/>
          <w:szCs w:val="21"/>
          <w:highlight w:val="none"/>
        </w:rPr>
        <w:t>.3投标人在投标截止时间以后递交的投标文件将被拒绝接受。</w:t>
      </w:r>
    </w:p>
    <w:p>
      <w:pPr>
        <w:pStyle w:val="9"/>
        <w:spacing w:line="400" w:lineRule="exact"/>
        <w:rPr>
          <w:rFonts w:ascii="宋体" w:hAnsi="宋体" w:eastAsia="宋体" w:cs="宋体"/>
          <w:b/>
          <w:sz w:val="21"/>
          <w:szCs w:val="21"/>
          <w:highlight w:val="none"/>
        </w:rPr>
      </w:pPr>
      <w:r>
        <w:rPr>
          <w:rFonts w:hint="eastAsia" w:ascii="宋体" w:hAnsi="宋体" w:eastAsia="宋体" w:cs="宋体"/>
          <w:b/>
          <w:sz w:val="21"/>
          <w:szCs w:val="21"/>
          <w:highlight w:val="none"/>
          <w:lang w:val="en-US"/>
        </w:rPr>
        <w:t>3.</w:t>
      </w:r>
      <w:r>
        <w:rPr>
          <w:rFonts w:hint="eastAsia" w:ascii="宋体" w:hAnsi="宋体" w:eastAsia="宋体" w:cs="宋体"/>
          <w:b/>
          <w:sz w:val="21"/>
          <w:szCs w:val="21"/>
          <w:highlight w:val="none"/>
        </w:rPr>
        <w:t>投标文件的补充、修改与撤回</w:t>
      </w:r>
    </w:p>
    <w:p>
      <w:pPr>
        <w:pStyle w:val="9"/>
        <w:spacing w:line="400" w:lineRule="exact"/>
        <w:ind w:firstLine="424" w:firstLineChars="200"/>
        <w:rPr>
          <w:rFonts w:ascii="宋体" w:hAnsi="宋体" w:eastAsia="宋体" w:cs="宋体"/>
          <w:sz w:val="21"/>
          <w:szCs w:val="21"/>
          <w:highlight w:val="none"/>
        </w:rPr>
      </w:pPr>
      <w:r>
        <w:rPr>
          <w:rFonts w:hint="eastAsia" w:ascii="宋体" w:hAnsi="宋体" w:eastAsia="宋体" w:cs="宋体"/>
          <w:sz w:val="21"/>
          <w:szCs w:val="21"/>
          <w:highlight w:val="none"/>
          <w:lang w:val="en-US"/>
        </w:rPr>
        <w:t>3</w:t>
      </w:r>
      <w:r>
        <w:rPr>
          <w:rFonts w:hint="eastAsia" w:ascii="宋体" w:hAnsi="宋体" w:eastAsia="宋体" w:cs="宋体"/>
          <w:sz w:val="21"/>
          <w:szCs w:val="21"/>
          <w:highlight w:val="none"/>
        </w:rPr>
        <w:t>.1投标人在提交投标文件以后，在规定的投标截止时间之前，可以补充修改或撤回已提交的投标文件：</w:t>
      </w:r>
    </w:p>
    <w:p>
      <w:pPr>
        <w:pStyle w:val="9"/>
        <w:autoSpaceDE/>
        <w:autoSpaceDN/>
        <w:adjustRightInd/>
        <w:spacing w:line="400" w:lineRule="exact"/>
        <w:ind w:firstLine="424" w:firstLineChars="200"/>
        <w:rPr>
          <w:rFonts w:ascii="宋体" w:hAnsi="宋体" w:eastAsia="宋体" w:cs="宋体"/>
          <w:b/>
          <w:bCs/>
          <w:sz w:val="21"/>
          <w:szCs w:val="21"/>
          <w:highlight w:val="none"/>
        </w:rPr>
      </w:pPr>
      <w:r>
        <w:rPr>
          <w:rFonts w:hint="eastAsia" w:ascii="宋体" w:hAnsi="宋体" w:eastAsia="宋体" w:cs="宋体"/>
          <w:b/>
          <w:bCs/>
          <w:sz w:val="21"/>
          <w:szCs w:val="21"/>
          <w:highlight w:val="none"/>
        </w:rPr>
        <w:t>递交响应文件截止时间之前补充或者修改响应文件的，应当先行撤回原文件，补充、修改后重新传输递交；</w:t>
      </w:r>
    </w:p>
    <w:p>
      <w:pPr>
        <w:pStyle w:val="9"/>
        <w:spacing w:line="400" w:lineRule="exact"/>
        <w:ind w:firstLine="530" w:firstLineChars="250"/>
        <w:rPr>
          <w:rFonts w:ascii="宋体" w:hAnsi="宋体" w:eastAsia="宋体" w:cs="宋体"/>
          <w:sz w:val="21"/>
          <w:szCs w:val="21"/>
          <w:highlight w:val="none"/>
        </w:rPr>
      </w:pPr>
      <w:r>
        <w:rPr>
          <w:rFonts w:hint="eastAsia" w:ascii="宋体" w:hAnsi="宋体" w:eastAsia="宋体" w:cs="宋体"/>
          <w:sz w:val="21"/>
          <w:szCs w:val="21"/>
          <w:highlight w:val="none"/>
          <w:lang w:val="en-US"/>
        </w:rPr>
        <w:t>3</w:t>
      </w:r>
      <w:r>
        <w:rPr>
          <w:rFonts w:hint="eastAsia" w:ascii="宋体" w:hAnsi="宋体" w:eastAsia="宋体" w:cs="宋体"/>
          <w:sz w:val="21"/>
          <w:szCs w:val="21"/>
          <w:highlight w:val="none"/>
        </w:rPr>
        <w:t>.2在投标截止时间之后，投标人不得补充、修改投标文件。</w:t>
      </w:r>
    </w:p>
    <w:p>
      <w:pPr>
        <w:pStyle w:val="9"/>
        <w:spacing w:line="400" w:lineRule="exact"/>
        <w:ind w:firstLine="530" w:firstLineChars="250"/>
        <w:rPr>
          <w:rFonts w:ascii="宋体" w:hAnsi="宋体" w:eastAsia="宋体" w:cs="宋体"/>
          <w:sz w:val="21"/>
          <w:szCs w:val="21"/>
          <w:highlight w:val="none"/>
        </w:rPr>
      </w:pPr>
      <w:r>
        <w:rPr>
          <w:rFonts w:hint="eastAsia" w:ascii="宋体" w:hAnsi="宋体" w:eastAsia="宋体" w:cs="宋体"/>
          <w:sz w:val="21"/>
          <w:szCs w:val="21"/>
          <w:highlight w:val="none"/>
          <w:lang w:val="en-US"/>
        </w:rPr>
        <w:t>3</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rPr>
        <w:t>3</w:t>
      </w:r>
      <w:r>
        <w:rPr>
          <w:rFonts w:hint="eastAsia" w:ascii="宋体" w:hAnsi="宋体" w:eastAsia="宋体" w:cs="宋体"/>
          <w:sz w:val="21"/>
          <w:szCs w:val="21"/>
          <w:highlight w:val="none"/>
        </w:rPr>
        <w:t>根据招标文件规定，在投标截止时间之后至投标人在投标声明书中规定的投标有效期满之前的这段时间内，投标人不得撤回其投标文件，否则应当按照本项目采购预算价2%的标准承担因此给采购单位造成的损失的赔偿责任及相应的法律责任。</w:t>
      </w:r>
    </w:p>
    <w:p>
      <w:pPr>
        <w:pStyle w:val="2"/>
        <w:snapToGrid w:val="0"/>
        <w:spacing w:line="440" w:lineRule="exact"/>
        <w:ind w:firstLine="3666" w:firstLineChars="1300"/>
        <w:outlineLvl w:val="1"/>
        <w:rPr>
          <w:rFonts w:hint="eastAsia" w:hAnsi="宋体" w:cs="宋体"/>
          <w:b/>
          <w:color w:val="000000" w:themeColor="text1"/>
          <w:sz w:val="28"/>
          <w:szCs w:val="28"/>
          <w:highlight w:val="none"/>
          <w14:textFill>
            <w14:solidFill>
              <w14:schemeClr w14:val="tx1"/>
            </w14:solidFill>
          </w14:textFill>
        </w:rPr>
      </w:pPr>
    </w:p>
    <w:p>
      <w:pPr>
        <w:pStyle w:val="2"/>
        <w:snapToGrid w:val="0"/>
        <w:spacing w:line="440" w:lineRule="exact"/>
        <w:ind w:firstLine="3666" w:firstLineChars="1300"/>
        <w:outlineLvl w:val="1"/>
        <w:rPr>
          <w:rFonts w:hAnsi="宋体" w:cs="宋体"/>
          <w:b/>
          <w:color w:val="000000" w:themeColor="text1"/>
          <w:sz w:val="28"/>
          <w:szCs w:val="28"/>
          <w:highlight w:val="none"/>
          <w14:textFill>
            <w14:solidFill>
              <w14:schemeClr w14:val="tx1"/>
            </w14:solidFill>
          </w14:textFill>
        </w:rPr>
      </w:pPr>
      <w:r>
        <w:rPr>
          <w:rFonts w:hint="eastAsia" w:hAnsi="宋体" w:cs="宋体"/>
          <w:b/>
          <w:color w:val="000000" w:themeColor="text1"/>
          <w:sz w:val="28"/>
          <w:szCs w:val="28"/>
          <w:highlight w:val="none"/>
          <w14:textFill>
            <w14:solidFill>
              <w14:schemeClr w14:val="tx1"/>
            </w14:solidFill>
          </w14:textFill>
        </w:rPr>
        <w:t>五、开标</w:t>
      </w:r>
    </w:p>
    <w:p>
      <w:pPr>
        <w:pStyle w:val="2"/>
        <w:snapToGrid w:val="0"/>
        <w:spacing w:line="400" w:lineRule="exact"/>
        <w:ind w:firstLine="414" w:firstLineChars="196"/>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（一）开标准备</w:t>
      </w:r>
    </w:p>
    <w:p>
      <w:pPr>
        <w:snapToGrid w:val="0"/>
        <w:spacing w:line="400" w:lineRule="exact"/>
        <w:ind w:firstLine="424" w:firstLineChars="200"/>
        <w:jc w:val="left"/>
        <w:rPr>
          <w:rFonts w:ascii="宋体" w:hAnsi="宋体" w:cs="Arial"/>
          <w:b/>
          <w:color w:val="000000" w:themeColor="text1"/>
          <w:kern w:val="0"/>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1.采购组织机构按照招标文件规定的时间通过“政府采购云平台”组织开标、开启投标文件，所有投标人均应当准时在线参加。</w:t>
      </w:r>
      <w:r>
        <w:rPr>
          <w:rFonts w:hint="eastAsia" w:ascii="宋体" w:hAnsi="宋体" w:cs="Arial"/>
          <w:b/>
          <w:color w:val="000000" w:themeColor="text1"/>
          <w:kern w:val="0"/>
          <w:szCs w:val="21"/>
          <w:highlight w:val="none"/>
          <w14:textFill>
            <w14:solidFill>
              <w14:schemeClr w14:val="tx1"/>
            </w14:solidFill>
          </w14:textFill>
        </w:rPr>
        <w:t>投标人</w:t>
      </w:r>
      <w:r>
        <w:rPr>
          <w:rFonts w:ascii="宋体" w:hAnsi="宋体" w:cs="Arial"/>
          <w:b/>
          <w:color w:val="000000" w:themeColor="text1"/>
          <w:kern w:val="0"/>
          <w:szCs w:val="21"/>
          <w:highlight w:val="none"/>
          <w14:textFill>
            <w14:solidFill>
              <w14:schemeClr w14:val="tx1"/>
            </w14:solidFill>
          </w14:textFill>
        </w:rPr>
        <w:t>如不</w:t>
      </w:r>
      <w:r>
        <w:rPr>
          <w:rFonts w:hint="eastAsia" w:ascii="宋体" w:hAnsi="宋体" w:cs="Arial"/>
          <w:b/>
          <w:color w:val="000000" w:themeColor="text1"/>
          <w:kern w:val="0"/>
          <w:szCs w:val="21"/>
          <w:highlight w:val="none"/>
          <w14:textFill>
            <w14:solidFill>
              <w14:schemeClr w14:val="tx1"/>
            </w14:solidFill>
          </w14:textFill>
        </w:rPr>
        <w:t>参加投标</w:t>
      </w:r>
      <w:r>
        <w:rPr>
          <w:rFonts w:ascii="宋体" w:hAnsi="宋体" w:cs="Arial"/>
          <w:b/>
          <w:color w:val="000000" w:themeColor="text1"/>
          <w:kern w:val="0"/>
          <w:szCs w:val="21"/>
          <w:highlight w:val="none"/>
          <w14:textFill>
            <w14:solidFill>
              <w14:schemeClr w14:val="tx1"/>
            </w14:solidFill>
          </w14:textFill>
        </w:rPr>
        <w:t>大会的，</w:t>
      </w:r>
      <w:r>
        <w:rPr>
          <w:rFonts w:hint="eastAsia" w:ascii="宋体" w:hAnsi="宋体" w:cs="Arial"/>
          <w:b/>
          <w:color w:val="000000" w:themeColor="text1"/>
          <w:kern w:val="0"/>
          <w:szCs w:val="21"/>
          <w:highlight w:val="none"/>
          <w14:textFill>
            <w14:solidFill>
              <w14:schemeClr w14:val="tx1"/>
            </w14:solidFill>
          </w14:textFill>
        </w:rPr>
        <w:t>视同认可投标结果，</w:t>
      </w:r>
      <w:r>
        <w:rPr>
          <w:rFonts w:ascii="宋体" w:hAnsi="宋体" w:cs="Arial"/>
          <w:b/>
          <w:color w:val="000000" w:themeColor="text1"/>
          <w:kern w:val="0"/>
          <w:szCs w:val="21"/>
          <w:highlight w:val="none"/>
          <w14:textFill>
            <w14:solidFill>
              <w14:schemeClr w14:val="tx1"/>
            </w14:solidFill>
          </w14:textFill>
        </w:rPr>
        <w:t>事后不得对采购相关人员、</w:t>
      </w:r>
      <w:r>
        <w:rPr>
          <w:rFonts w:hint="eastAsia" w:ascii="宋体" w:hAnsi="宋体" w:cs="Arial"/>
          <w:b/>
          <w:color w:val="000000" w:themeColor="text1"/>
          <w:kern w:val="0"/>
          <w:szCs w:val="21"/>
          <w:highlight w:val="none"/>
          <w14:textFill>
            <w14:solidFill>
              <w14:schemeClr w14:val="tx1"/>
            </w14:solidFill>
          </w14:textFill>
        </w:rPr>
        <w:t>投标</w:t>
      </w:r>
      <w:r>
        <w:rPr>
          <w:rFonts w:ascii="宋体" w:hAnsi="宋体" w:cs="Arial"/>
          <w:b/>
          <w:color w:val="000000" w:themeColor="text1"/>
          <w:kern w:val="0"/>
          <w:szCs w:val="21"/>
          <w:highlight w:val="none"/>
          <w14:textFill>
            <w14:solidFill>
              <w14:schemeClr w14:val="tx1"/>
            </w14:solidFill>
          </w14:textFill>
        </w:rPr>
        <w:t>过程和</w:t>
      </w:r>
      <w:r>
        <w:rPr>
          <w:rFonts w:hint="eastAsia" w:ascii="宋体" w:hAnsi="宋体" w:cs="Arial"/>
          <w:b/>
          <w:color w:val="000000" w:themeColor="text1"/>
          <w:kern w:val="0"/>
          <w:szCs w:val="21"/>
          <w:highlight w:val="none"/>
          <w14:textFill>
            <w14:solidFill>
              <w14:schemeClr w14:val="tx1"/>
            </w14:solidFill>
          </w14:textFill>
        </w:rPr>
        <w:t>投标</w:t>
      </w:r>
      <w:r>
        <w:rPr>
          <w:rFonts w:ascii="宋体" w:hAnsi="宋体" w:cs="Arial"/>
          <w:b/>
          <w:color w:val="000000" w:themeColor="text1"/>
          <w:kern w:val="0"/>
          <w:szCs w:val="21"/>
          <w:highlight w:val="none"/>
          <w14:textFill>
            <w14:solidFill>
              <w14:schemeClr w14:val="tx1"/>
            </w14:solidFill>
          </w14:textFill>
        </w:rPr>
        <w:t>结果提出异议</w:t>
      </w:r>
      <w:r>
        <w:rPr>
          <w:rFonts w:hint="eastAsia" w:ascii="宋体" w:hAnsi="宋体" w:cs="Arial"/>
          <w:b/>
          <w:color w:val="000000" w:themeColor="text1"/>
          <w:kern w:val="0"/>
          <w:szCs w:val="21"/>
          <w:highlight w:val="none"/>
          <w14:textFill>
            <w14:solidFill>
              <w14:schemeClr w14:val="tx1"/>
            </w14:solidFill>
          </w14:textFill>
        </w:rPr>
        <w:t>，同时投标人因未在线参加投标而导致投标文件无法按时解密等一切后果由投标人自己承担。</w:t>
      </w:r>
    </w:p>
    <w:p>
      <w:pPr>
        <w:pStyle w:val="45"/>
        <w:spacing w:before="0" w:line="400" w:lineRule="exact"/>
        <w:ind w:left="0" w:firstLine="424" w:firstLineChars="200"/>
        <w:contextualSpacing/>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2.若投标人在规定时间内无法解密或解密失败，采购代理机构将开启投标人递交的备份投标文件，上传至政采云平台项目采购模块，以完成开标，电子加密投标文件自动失效。若因政采云平台原因无法读取或电子开评标无法正常进行，采购代理将开启备份投标文件，以完成开标，电子加密投标文件自动失效。</w:t>
      </w:r>
    </w:p>
    <w:p>
      <w:pPr>
        <w:snapToGrid w:val="0"/>
        <w:spacing w:line="440" w:lineRule="exact"/>
        <w:ind w:firstLine="424" w:firstLineChars="200"/>
        <w:jc w:val="left"/>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shd w:val="clear" w:color="auto" w:fill="FFFFFF"/>
          <w14:textFill>
            <w14:solidFill>
              <w14:schemeClr w14:val="tx1"/>
            </w14:solidFill>
          </w14:textFill>
        </w:rPr>
        <w:t>3.所有询标</w:t>
      </w:r>
      <w:r>
        <w:rPr>
          <w:rFonts w:ascii="宋体" w:hAnsi="宋体" w:cs="宋体"/>
          <w:b/>
          <w:bCs/>
          <w:color w:val="000000" w:themeColor="text1"/>
          <w:szCs w:val="21"/>
          <w:highlight w:val="none"/>
          <w:shd w:val="clear" w:color="auto" w:fill="FFFFFF"/>
          <w14:textFill>
            <w14:solidFill>
              <w14:schemeClr w14:val="tx1"/>
            </w14:solidFill>
          </w14:textFill>
        </w:rPr>
        <w:t>流程</w:t>
      </w:r>
      <w:r>
        <w:rPr>
          <w:rFonts w:hint="eastAsia" w:ascii="宋体" w:hAnsi="宋体" w:cs="宋体"/>
          <w:b/>
          <w:bCs/>
          <w:color w:val="000000" w:themeColor="text1"/>
          <w:szCs w:val="21"/>
          <w:highlight w:val="none"/>
          <w:shd w:val="clear" w:color="auto" w:fill="FFFFFF"/>
          <w14:textFill>
            <w14:solidFill>
              <w14:schemeClr w14:val="tx1"/>
            </w14:solidFill>
          </w14:textFill>
        </w:rPr>
        <w:t>，均在线上完成，请各投标人务必不要离开电脑，并留意手机短信。</w:t>
      </w:r>
      <w:r>
        <w:rPr>
          <w:rFonts w:ascii="宋体" w:hAnsi="宋体" w:cs="宋体"/>
          <w:b/>
          <w:bCs/>
          <w:color w:val="000000" w:themeColor="text1"/>
          <w:szCs w:val="21"/>
          <w:highlight w:val="none"/>
          <w:shd w:val="clear" w:color="auto" w:fill="FFFFFF"/>
          <w14:textFill>
            <w14:solidFill>
              <w14:schemeClr w14:val="tx1"/>
            </w14:solidFill>
          </w14:textFill>
        </w:rPr>
        <w:t>（请提前检查“政采云”内，关于‘项目采购’的岗位权限是否已勾选上。如有问题，请致电400-881-7190）</w:t>
      </w:r>
    </w:p>
    <w:p>
      <w:pPr>
        <w:snapToGrid w:val="0"/>
        <w:spacing w:line="440" w:lineRule="exact"/>
        <w:ind w:firstLine="424" w:firstLineChars="200"/>
        <w:jc w:val="left"/>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（二）电子招投标开标及评审程序</w:t>
      </w:r>
    </w:p>
    <w:p>
      <w:pPr>
        <w:spacing w:line="400" w:lineRule="exact"/>
        <w:ind w:firstLine="424" w:firstLineChars="200"/>
        <w:rPr>
          <w:rFonts w:ascii="宋体" w:hAnsi="宋体" w:cs="宋体"/>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1.</w:t>
      </w:r>
      <w:r>
        <w:rPr>
          <w:rFonts w:hint="eastAsia" w:ascii="宋体" w:hAnsi="宋体" w:cs="Arial"/>
          <w:kern w:val="0"/>
          <w:szCs w:val="21"/>
          <w:highlight w:val="none"/>
        </w:rPr>
        <w:t>向各投标人发出电子加密投标文件【开始解密】通知，</w:t>
      </w:r>
      <w:r>
        <w:rPr>
          <w:rFonts w:hint="eastAsia" w:ascii="宋体" w:hAnsi="宋体" w:cs="宋体"/>
          <w:color w:val="000000" w:themeColor="text1"/>
          <w:szCs w:val="21"/>
          <w:highlight w:val="none"/>
          <w14:textFill>
            <w14:solidFill>
              <w14:schemeClr w14:val="tx1"/>
            </w14:solidFill>
          </w14:textFill>
        </w:rPr>
        <w:t>各投标人代表在收到解密通知后30分钟内自行完成“电子加密投标文件”的在线解密。</w:t>
      </w:r>
    </w:p>
    <w:p>
      <w:pPr>
        <w:spacing w:line="400" w:lineRule="exact"/>
        <w:ind w:firstLine="424" w:firstLineChars="200"/>
        <w:jc w:val="left"/>
        <w:rPr>
          <w:rFonts w:ascii="宋体" w:hAnsi="宋体" w:cs="Arial"/>
          <w:kern w:val="0"/>
          <w:szCs w:val="21"/>
          <w:highlight w:val="none"/>
        </w:rPr>
      </w:pPr>
      <w:r>
        <w:rPr>
          <w:rFonts w:hint="eastAsia" w:ascii="宋体" w:hAnsi="宋体" w:cs="Arial"/>
          <w:kern w:val="0"/>
          <w:szCs w:val="21"/>
          <w:highlight w:val="none"/>
        </w:rPr>
        <w:t>2.投标文件解密结束，发送《政府采购活动现场确认声明书》由各投标人签署。</w:t>
      </w:r>
    </w:p>
    <w:p>
      <w:pPr>
        <w:spacing w:line="400" w:lineRule="exact"/>
        <w:ind w:firstLine="424" w:firstLineChars="200"/>
        <w:jc w:val="left"/>
        <w:rPr>
          <w:highlight w:val="none"/>
        </w:rPr>
      </w:pPr>
      <w:r>
        <w:rPr>
          <w:rFonts w:hint="eastAsia" w:ascii="宋体" w:hAnsi="宋体" w:cs="Arial"/>
          <w:color w:val="000000" w:themeColor="text1"/>
          <w:kern w:val="0"/>
          <w:szCs w:val="21"/>
          <w:highlight w:val="none"/>
          <w14:textFill>
            <w14:solidFill>
              <w14:schemeClr w14:val="tx1"/>
            </w14:solidFill>
          </w14:textFill>
        </w:rPr>
        <w:t>3.</w:t>
      </w:r>
      <w:r>
        <w:rPr>
          <w:rFonts w:hint="eastAsia" w:ascii="宋体" w:hAnsi="宋体"/>
          <w:color w:val="000000" w:themeColor="text1"/>
          <w:szCs w:val="21"/>
          <w:highlight w:val="none"/>
          <w14:textFill>
            <w14:solidFill>
              <w14:schemeClr w14:val="tx1"/>
            </w14:solidFill>
          </w14:textFill>
        </w:rPr>
        <w:t>开启投标文件，</w:t>
      </w:r>
      <w:r>
        <w:rPr>
          <w:rFonts w:hint="eastAsia" w:ascii="宋体" w:hAnsi="宋体" w:cs="宋体"/>
          <w:color w:val="000000" w:themeColor="text1"/>
          <w:szCs w:val="21"/>
          <w:highlight w:val="none"/>
          <w14:textFill>
            <w14:solidFill>
              <w14:schemeClr w14:val="tx1"/>
            </w14:solidFill>
          </w14:textFill>
        </w:rPr>
        <w:t>进入资格审查；</w:t>
      </w:r>
    </w:p>
    <w:p>
      <w:pPr>
        <w:spacing w:line="400" w:lineRule="exact"/>
        <w:ind w:firstLine="424"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4.开启资格审查通过的供应商的商务及技术文件进入符合性审查、商务技术文件评审；</w:t>
      </w:r>
    </w:p>
    <w:p>
      <w:pPr>
        <w:pStyle w:val="14"/>
        <w:spacing w:after="0" w:line="400" w:lineRule="exact"/>
        <w:ind w:firstLine="425"/>
        <w:rPr>
          <w:rFonts w:ascii="宋体" w:hAnsi="宋体" w:cs="宋体"/>
          <w:bCs w:val="0"/>
          <w:color w:val="000000" w:themeColor="text1"/>
          <w:sz w:val="21"/>
          <w:szCs w:val="21"/>
          <w:highlight w:val="none"/>
          <w14:textFill>
            <w14:solidFill>
              <w14:schemeClr w14:val="tx1"/>
            </w14:solidFill>
          </w14:textFill>
        </w:rPr>
      </w:pPr>
      <w:r>
        <w:rPr>
          <w:rFonts w:hint="eastAsia" w:ascii="宋体" w:hAnsi="宋体" w:cs="宋体"/>
          <w:bCs w:val="0"/>
          <w:color w:val="000000" w:themeColor="text1"/>
          <w:sz w:val="21"/>
          <w:szCs w:val="21"/>
          <w:highlight w:val="none"/>
          <w14:textFill>
            <w14:solidFill>
              <w14:schemeClr w14:val="tx1"/>
            </w14:solidFill>
          </w14:textFill>
        </w:rPr>
        <w:t>5.在系统上公开资格审查、符合性审查和商务及技术文件评审结果。</w:t>
      </w:r>
    </w:p>
    <w:p>
      <w:pPr>
        <w:spacing w:line="400" w:lineRule="exact"/>
        <w:ind w:firstLine="424"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开启符合性审查、资信商务技术评审有效供应商的《报价文件》，供应商通过“政采云远程开标大厅-报价确认”进行价格确认（不予确认的视为无异议）。唱标结束后，由评标委员会对报价的合理性、准确性等进行审查核实。</w:t>
      </w:r>
    </w:p>
    <w:p>
      <w:pPr>
        <w:spacing w:line="400" w:lineRule="exact"/>
        <w:ind w:firstLine="424"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7.在系统上公布评审结果。</w:t>
      </w:r>
    </w:p>
    <w:p>
      <w:pPr>
        <w:spacing w:line="360" w:lineRule="auto"/>
        <w:ind w:firstLine="424" w:firstLineChars="200"/>
        <w:rPr>
          <w:rFonts w:ascii="宋体" w:hAnsi="宋体" w:cs="宋体"/>
          <w:b/>
          <w:bCs/>
          <w:color w:val="000000" w:themeColor="text1"/>
          <w:sz w:val="28"/>
          <w:szCs w:val="28"/>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特别说明：政采云公司如对电子化开标及评审程序有调整的，按调整后的程序操作。</w:t>
      </w:r>
    </w:p>
    <w:p>
      <w:pPr>
        <w:pStyle w:val="2"/>
        <w:snapToGrid w:val="0"/>
        <w:spacing w:line="440" w:lineRule="exact"/>
        <w:ind w:firstLine="3666" w:firstLineChars="1300"/>
        <w:outlineLvl w:val="1"/>
        <w:rPr>
          <w:rFonts w:hint="eastAsia" w:hAnsi="宋体" w:cs="宋体"/>
          <w:b/>
          <w:color w:val="000000" w:themeColor="text1"/>
          <w:sz w:val="28"/>
          <w:szCs w:val="28"/>
          <w:highlight w:val="none"/>
          <w14:textFill>
            <w14:solidFill>
              <w14:schemeClr w14:val="tx1"/>
            </w14:solidFill>
          </w14:textFill>
        </w:rPr>
      </w:pPr>
    </w:p>
    <w:p>
      <w:pPr>
        <w:pStyle w:val="2"/>
        <w:snapToGrid w:val="0"/>
        <w:spacing w:line="440" w:lineRule="exact"/>
        <w:ind w:firstLine="3666" w:firstLineChars="1300"/>
        <w:outlineLvl w:val="1"/>
        <w:rPr>
          <w:rFonts w:hAnsi="宋体" w:cs="宋体"/>
          <w:b/>
          <w:color w:val="000000" w:themeColor="text1"/>
          <w:sz w:val="28"/>
          <w:szCs w:val="28"/>
          <w:highlight w:val="none"/>
          <w14:textFill>
            <w14:solidFill>
              <w14:schemeClr w14:val="tx1"/>
            </w14:solidFill>
          </w14:textFill>
        </w:rPr>
      </w:pPr>
      <w:r>
        <w:rPr>
          <w:rFonts w:hint="eastAsia" w:hAnsi="宋体" w:cs="宋体"/>
          <w:b/>
          <w:color w:val="000000" w:themeColor="text1"/>
          <w:sz w:val="28"/>
          <w:szCs w:val="28"/>
          <w:highlight w:val="none"/>
          <w14:textFill>
            <w14:solidFill>
              <w14:schemeClr w14:val="tx1"/>
            </w14:solidFill>
          </w14:textFill>
        </w:rPr>
        <w:t>六、评标</w:t>
      </w:r>
    </w:p>
    <w:p>
      <w:pPr>
        <w:pStyle w:val="2"/>
        <w:snapToGrid w:val="0"/>
        <w:spacing w:line="400" w:lineRule="exact"/>
        <w:rPr>
          <w:rFonts w:hAnsi="宋体"/>
          <w:b/>
          <w:color w:val="000000" w:themeColor="text1"/>
          <w:highlight w:val="none"/>
          <w14:textFill>
            <w14:solidFill>
              <w14:schemeClr w14:val="tx1"/>
            </w14:solidFill>
          </w14:textFill>
        </w:rPr>
      </w:pPr>
      <w:r>
        <w:rPr>
          <w:rFonts w:hint="eastAsia" w:hAnsi="宋体"/>
          <w:b/>
          <w:color w:val="000000" w:themeColor="text1"/>
          <w:highlight w:val="none"/>
          <w14:textFill>
            <w14:solidFill>
              <w14:schemeClr w14:val="tx1"/>
            </w14:solidFill>
          </w14:textFill>
        </w:rPr>
        <w:t>1.</w:t>
      </w:r>
      <w:r>
        <w:rPr>
          <w:rFonts w:hAnsi="宋体"/>
          <w:b/>
          <w:color w:val="000000" w:themeColor="text1"/>
          <w:highlight w:val="none"/>
          <w14:textFill>
            <w14:solidFill>
              <w14:schemeClr w14:val="tx1"/>
            </w14:solidFill>
          </w14:textFill>
        </w:rPr>
        <w:t>组建评标委员会</w:t>
      </w:r>
    </w:p>
    <w:p>
      <w:pPr>
        <w:pStyle w:val="2"/>
        <w:snapToGrid w:val="0"/>
        <w:spacing w:line="400" w:lineRule="exact"/>
        <w:ind w:firstLine="424" w:firstLineChars="200"/>
        <w:rPr>
          <w:rFonts w:hint="default" w:hAnsi="宋体" w:eastAsia="宋体"/>
          <w:color w:val="000000" w:themeColor="text1"/>
          <w:highlight w:val="none"/>
          <w:lang w:val="en-US" w:eastAsia="zh-CN"/>
          <w14:textFill>
            <w14:solidFill>
              <w14:schemeClr w14:val="tx1"/>
            </w14:solidFill>
          </w14:textFill>
        </w:rPr>
      </w:pPr>
      <w:r>
        <w:rPr>
          <w:rFonts w:hAnsi="宋体"/>
          <w:color w:val="000000" w:themeColor="text1"/>
          <w:highlight w:val="none"/>
          <w14:textFill>
            <w14:solidFill>
              <w14:schemeClr w14:val="tx1"/>
            </w14:solidFill>
          </w14:textFill>
        </w:rPr>
        <w:t>本项目评标委员会由</w:t>
      </w:r>
      <w:r>
        <w:rPr>
          <w:rFonts w:hint="eastAsia" w:hAnsi="宋体" w:cs="宋体"/>
          <w:bCs/>
          <w:color w:val="000000" w:themeColor="text1"/>
          <w:szCs w:val="21"/>
          <w:highlight w:val="none"/>
          <w14:textFill>
            <w14:solidFill>
              <w14:schemeClr w14:val="tx1"/>
            </w14:solidFill>
          </w14:textFill>
        </w:rPr>
        <w:t>共7人组成，政采云平台专家库中随机抽取产生</w:t>
      </w:r>
      <w:r>
        <w:rPr>
          <w:rFonts w:hint="eastAsia" w:hAnsi="宋体" w:cs="宋体"/>
          <w:bCs/>
          <w:color w:val="000000" w:themeColor="text1"/>
          <w:szCs w:val="21"/>
          <w:highlight w:val="none"/>
          <w:lang w:val="en-US" w:eastAsia="zh-CN"/>
          <w14:textFill>
            <w14:solidFill>
              <w14:schemeClr w14:val="tx1"/>
            </w14:solidFill>
          </w14:textFill>
        </w:rPr>
        <w:t>。</w:t>
      </w:r>
    </w:p>
    <w:p>
      <w:pPr>
        <w:pStyle w:val="2"/>
        <w:snapToGrid w:val="0"/>
        <w:spacing w:line="400" w:lineRule="exact"/>
        <w:rPr>
          <w:rFonts w:hAnsi="宋体"/>
          <w:b/>
          <w:color w:val="000000" w:themeColor="text1"/>
          <w:highlight w:val="none"/>
          <w14:textFill>
            <w14:solidFill>
              <w14:schemeClr w14:val="tx1"/>
            </w14:solidFill>
          </w14:textFill>
        </w:rPr>
      </w:pPr>
      <w:r>
        <w:rPr>
          <w:rFonts w:hint="eastAsia" w:hAnsi="宋体"/>
          <w:b/>
          <w:color w:val="000000" w:themeColor="text1"/>
          <w:highlight w:val="none"/>
          <w14:textFill>
            <w14:solidFill>
              <w14:schemeClr w14:val="tx1"/>
            </w14:solidFill>
          </w14:textFill>
        </w:rPr>
        <w:t>2.</w:t>
      </w:r>
      <w:r>
        <w:rPr>
          <w:rFonts w:hAnsi="宋体"/>
          <w:b/>
          <w:color w:val="000000" w:themeColor="text1"/>
          <w:highlight w:val="none"/>
          <w14:textFill>
            <w14:solidFill>
              <w14:schemeClr w14:val="tx1"/>
            </w14:solidFill>
          </w14:textFill>
        </w:rPr>
        <w:t>评标的方式</w:t>
      </w:r>
    </w:p>
    <w:p>
      <w:pPr>
        <w:pStyle w:val="2"/>
        <w:snapToGrid w:val="0"/>
        <w:spacing w:line="400" w:lineRule="exact"/>
        <w:ind w:left="695" w:leftChars="228" w:hanging="212" w:hangingChars="100"/>
        <w:rPr>
          <w:rFonts w:hAnsi="宋体"/>
          <w:color w:val="000000" w:themeColor="text1"/>
          <w:highlight w:val="none"/>
          <w14:textFill>
            <w14:solidFill>
              <w14:schemeClr w14:val="tx1"/>
            </w14:solidFill>
          </w14:textFill>
        </w:rPr>
      </w:pPr>
      <w:r>
        <w:rPr>
          <w:rFonts w:hAnsi="宋体"/>
          <w:color w:val="000000" w:themeColor="text1"/>
          <w:highlight w:val="none"/>
          <w14:textFill>
            <w14:solidFill>
              <w14:schemeClr w14:val="tx1"/>
            </w14:solidFill>
          </w14:textFill>
        </w:rPr>
        <w:t>本项目采用不公开方式评标，评标的依据为招标文件和投标文件。</w:t>
      </w:r>
    </w:p>
    <w:p>
      <w:pPr>
        <w:pStyle w:val="2"/>
        <w:snapToGrid w:val="0"/>
        <w:spacing w:line="400" w:lineRule="exact"/>
        <w:rPr>
          <w:rFonts w:hAnsi="宋体"/>
          <w:b/>
          <w:color w:val="000000" w:themeColor="text1"/>
          <w:highlight w:val="none"/>
          <w14:textFill>
            <w14:solidFill>
              <w14:schemeClr w14:val="tx1"/>
            </w14:solidFill>
          </w14:textFill>
        </w:rPr>
      </w:pPr>
      <w:r>
        <w:rPr>
          <w:rFonts w:hint="eastAsia" w:hAnsi="宋体"/>
          <w:b/>
          <w:bCs/>
          <w:color w:val="000000" w:themeColor="text1"/>
          <w:highlight w:val="none"/>
          <w14:textFill>
            <w14:solidFill>
              <w14:schemeClr w14:val="tx1"/>
            </w14:solidFill>
          </w14:textFill>
        </w:rPr>
        <w:t>3.</w:t>
      </w:r>
      <w:r>
        <w:rPr>
          <w:rFonts w:hAnsi="宋体"/>
          <w:b/>
          <w:bCs/>
          <w:color w:val="000000" w:themeColor="text1"/>
          <w:highlight w:val="none"/>
          <w14:textFill>
            <w14:solidFill>
              <w14:schemeClr w14:val="tx1"/>
            </w14:solidFill>
          </w14:textFill>
        </w:rPr>
        <w:t>评标程序</w:t>
      </w:r>
    </w:p>
    <w:p>
      <w:pPr>
        <w:snapToGrid w:val="0"/>
        <w:spacing w:line="400" w:lineRule="exact"/>
        <w:ind w:firstLine="414" w:firstLineChars="196"/>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3.1</w:t>
      </w:r>
      <w:r>
        <w:rPr>
          <w:rFonts w:ascii="宋体" w:hAnsi="宋体"/>
          <w:b/>
          <w:bCs/>
          <w:color w:val="000000" w:themeColor="text1"/>
          <w:szCs w:val="21"/>
          <w:highlight w:val="none"/>
          <w14:textFill>
            <w14:solidFill>
              <w14:schemeClr w14:val="tx1"/>
            </w14:solidFill>
          </w14:textFill>
        </w:rPr>
        <w:t>形式审查</w:t>
      </w:r>
    </w:p>
    <w:p>
      <w:pPr>
        <w:snapToGrid w:val="0"/>
        <w:spacing w:line="400" w:lineRule="exact"/>
        <w:ind w:firstLine="424" w:firstLineChars="200"/>
        <w:rPr>
          <w:rFonts w:ascii="宋体" w:hAnsi="宋体"/>
          <w:b/>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采购单位代表和代理机构工作人员协助评标委员会对投标人的</w:t>
      </w:r>
      <w:r>
        <w:rPr>
          <w:rFonts w:ascii="宋体" w:hAnsi="宋体"/>
          <w:color w:val="000000" w:themeColor="text1"/>
          <w:szCs w:val="21"/>
          <w:highlight w:val="none"/>
          <w14:textFill>
            <w14:solidFill>
              <w14:schemeClr w14:val="tx1"/>
            </w14:solidFill>
          </w14:textFill>
        </w:rPr>
        <w:t>投标文件的完整性、合法性等进行审查。</w:t>
      </w:r>
    </w:p>
    <w:p>
      <w:pPr>
        <w:snapToGrid w:val="0"/>
        <w:spacing w:line="400" w:lineRule="exact"/>
        <w:ind w:firstLine="414" w:firstLineChars="196"/>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3.2</w:t>
      </w:r>
      <w:r>
        <w:rPr>
          <w:rFonts w:ascii="宋体" w:hAnsi="宋体"/>
          <w:b/>
          <w:bCs/>
          <w:color w:val="000000" w:themeColor="text1"/>
          <w:szCs w:val="21"/>
          <w:highlight w:val="none"/>
          <w14:textFill>
            <w14:solidFill>
              <w14:schemeClr w14:val="tx1"/>
            </w14:solidFill>
          </w14:textFill>
        </w:rPr>
        <w:t>实质审查与比较</w:t>
      </w:r>
    </w:p>
    <w:p>
      <w:pPr>
        <w:snapToGrid w:val="0"/>
        <w:spacing w:line="440" w:lineRule="exact"/>
        <w:ind w:firstLine="424"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1）评标委员会审查投标文件的实质性内容是否符合招标文件的实质性要求。</w:t>
      </w:r>
    </w:p>
    <w:p>
      <w:pPr>
        <w:snapToGrid w:val="0"/>
        <w:spacing w:line="440" w:lineRule="exact"/>
        <w:ind w:firstLine="424"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2）评标委员会将根据投标人的投标文件进行审查、核对,如有疑问,将对投标人进行</w:t>
      </w:r>
      <w:r>
        <w:rPr>
          <w:rFonts w:hint="eastAsia" w:ascii="宋体" w:hAnsi="宋体"/>
          <w:color w:val="000000" w:themeColor="text1"/>
          <w:szCs w:val="21"/>
          <w:highlight w:val="none"/>
          <w14:textFill>
            <w14:solidFill>
              <w14:schemeClr w14:val="tx1"/>
            </w14:solidFill>
          </w14:textFill>
        </w:rPr>
        <w:t>在线</w:t>
      </w:r>
      <w:r>
        <w:rPr>
          <w:rFonts w:ascii="宋体" w:hAnsi="宋体"/>
          <w:color w:val="000000" w:themeColor="text1"/>
          <w:szCs w:val="21"/>
          <w:highlight w:val="none"/>
          <w14:textFill>
            <w14:solidFill>
              <w14:schemeClr w14:val="tx1"/>
            </w14:solidFill>
          </w14:textFill>
        </w:rPr>
        <w:t>询标,投标人要向评标委员会澄清有关问题,并最终以书面形式进行答复。</w:t>
      </w:r>
    </w:p>
    <w:p>
      <w:pPr>
        <w:snapToGrid w:val="0"/>
        <w:spacing w:line="44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投标人代表拒绝澄清或者未按规定时间提交澄清文件或者澄清的内容改变了投标文件的实质性内容的，评标委员会有权对该投标文件作出不利于投标人的评判。</w:t>
      </w:r>
    </w:p>
    <w:p>
      <w:pPr>
        <w:snapToGrid w:val="0"/>
        <w:spacing w:line="360" w:lineRule="auto"/>
        <w:ind w:firstLine="424"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3）各投标人的</w:t>
      </w:r>
      <w:r>
        <w:rPr>
          <w:rFonts w:hint="eastAsia" w:ascii="宋体" w:hAnsi="宋体"/>
          <w:color w:val="000000" w:themeColor="text1"/>
          <w:szCs w:val="21"/>
          <w:highlight w:val="none"/>
          <w14:textFill>
            <w14:solidFill>
              <w14:schemeClr w14:val="tx1"/>
            </w14:solidFill>
          </w14:textFill>
        </w:rPr>
        <w:t>技术</w:t>
      </w:r>
      <w:r>
        <w:rPr>
          <w:rFonts w:ascii="宋体" w:hAnsi="宋体"/>
          <w:color w:val="000000" w:themeColor="text1"/>
          <w:szCs w:val="21"/>
          <w:highlight w:val="none"/>
          <w14:textFill>
            <w14:solidFill>
              <w14:schemeClr w14:val="tx1"/>
            </w14:solidFill>
          </w14:textFill>
        </w:rPr>
        <w:t>分为所有评委的有效评分的算术平均数</w:t>
      </w:r>
      <w:r>
        <w:rPr>
          <w:rFonts w:hint="eastAsia" w:ascii="宋体" w:hAnsi="宋体"/>
          <w:color w:val="000000" w:themeColor="text1"/>
          <w:szCs w:val="21"/>
          <w:highlight w:val="none"/>
          <w14:textFill>
            <w14:solidFill>
              <w14:schemeClr w14:val="tx1"/>
            </w14:solidFill>
          </w14:textFill>
        </w:rPr>
        <w:t>，资信分由评委依据评审依据和评审标准打分</w:t>
      </w:r>
      <w:r>
        <w:rPr>
          <w:rFonts w:ascii="宋体" w:hAnsi="宋体"/>
          <w:color w:val="000000" w:themeColor="text1"/>
          <w:szCs w:val="21"/>
          <w:highlight w:val="none"/>
          <w14:textFill>
            <w14:solidFill>
              <w14:schemeClr w14:val="tx1"/>
            </w14:solidFill>
          </w14:textFill>
        </w:rPr>
        <w:t>。</w:t>
      </w:r>
    </w:p>
    <w:p>
      <w:pPr>
        <w:snapToGrid w:val="0"/>
        <w:spacing w:line="360" w:lineRule="auto"/>
        <w:ind w:firstLine="424"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4）</w:t>
      </w:r>
      <w:r>
        <w:rPr>
          <w:rFonts w:hint="eastAsia" w:ascii="宋体" w:hAnsi="宋体"/>
          <w:color w:val="000000" w:themeColor="text1"/>
          <w:szCs w:val="21"/>
          <w:highlight w:val="none"/>
          <w14:textFill>
            <w14:solidFill>
              <w14:schemeClr w14:val="tx1"/>
            </w14:solidFill>
          </w14:textFill>
        </w:rPr>
        <w:t>采购组织机构可协助评审小组组长对打分结果进行校对、核对并汇总统计；对明显畸高、畸低的评分（其总评分偏离平均分30%以上的），评审小组组长应提醒相关评审人员进行复核或书面说明理由，评审人员拒绝说明的，由现场监督员据实记录。</w:t>
      </w:r>
    </w:p>
    <w:p>
      <w:pPr>
        <w:snapToGrid w:val="0"/>
        <w:spacing w:line="420" w:lineRule="exact"/>
        <w:ind w:firstLine="424"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5）评标委员会完成评标后,评委对各部分得分汇总,</w:t>
      </w:r>
      <w:r>
        <w:rPr>
          <w:rFonts w:hint="eastAsia" w:ascii="宋体" w:hAnsi="宋体"/>
          <w:color w:val="000000" w:themeColor="text1"/>
          <w:szCs w:val="21"/>
          <w:highlight w:val="none"/>
          <w14:textFill>
            <w14:solidFill>
              <w14:schemeClr w14:val="tx1"/>
            </w14:solidFill>
          </w14:textFill>
        </w:rPr>
        <w:t>计算</w:t>
      </w:r>
      <w:r>
        <w:rPr>
          <w:rFonts w:ascii="宋体" w:hAnsi="宋体"/>
          <w:color w:val="000000" w:themeColor="text1"/>
          <w:szCs w:val="21"/>
          <w:highlight w:val="none"/>
          <w14:textFill>
            <w14:solidFill>
              <w14:schemeClr w14:val="tx1"/>
            </w14:solidFill>
          </w14:textFill>
        </w:rPr>
        <w:t>出本项目</w:t>
      </w:r>
      <w:r>
        <w:rPr>
          <w:rFonts w:hint="eastAsia" w:ascii="宋体" w:hAnsi="宋体"/>
          <w:color w:val="000000" w:themeColor="text1"/>
          <w:szCs w:val="21"/>
          <w:highlight w:val="none"/>
          <w14:textFill>
            <w14:solidFill>
              <w14:schemeClr w14:val="tx1"/>
            </w14:solidFill>
          </w14:textFill>
        </w:rPr>
        <w:t>最终得分</w:t>
      </w:r>
      <w:r>
        <w:rPr>
          <w:rFonts w:ascii="宋体" w:hAnsi="宋体"/>
          <w:color w:val="000000" w:themeColor="text1"/>
          <w:szCs w:val="21"/>
          <w:highlight w:val="none"/>
          <w14:textFill>
            <w14:solidFill>
              <w14:schemeClr w14:val="tx1"/>
            </w14:solidFill>
          </w14:textFill>
        </w:rPr>
        <w:t>。评标委员会按评标原则推荐中标候选人同时起草评标报告。</w:t>
      </w:r>
    </w:p>
    <w:p>
      <w:pPr>
        <w:snapToGrid w:val="0"/>
        <w:spacing w:line="420" w:lineRule="exact"/>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4.澄清问题的形式</w:t>
      </w:r>
    </w:p>
    <w:p>
      <w:pPr>
        <w:snapToGrid w:val="0"/>
        <w:spacing w:line="420" w:lineRule="exact"/>
        <w:ind w:firstLine="424"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对投标文件中含义不明确、同类问题表述不一致或者有明显文字和计算错误的内容，评标委员会可要求投标人作出必要的澄清、说明或者补正。评标委员会的澄清内容及投标人的澄清、说明或者补正均通过电子交易平台交换数据电文。  </w:t>
      </w:r>
    </w:p>
    <w:p>
      <w:pPr>
        <w:snapToGrid w:val="0"/>
        <w:spacing w:line="420" w:lineRule="exact"/>
        <w:ind w:firstLine="424"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评标委员会发出澄清内容后，供应商应当在规定的时间内提交澄清说明或补正，否则视为供应商放弃答复，并自行承担因此而产生的不利后果。澄清、说明或者补正不得超出投标文件的范围或者改变投标文件的实质性内容。</w:t>
      </w:r>
    </w:p>
    <w:p>
      <w:pPr>
        <w:pStyle w:val="2"/>
        <w:snapToGrid w:val="0"/>
        <w:spacing w:line="420" w:lineRule="exact"/>
        <w:textAlignment w:val="auto"/>
        <w:rPr>
          <w:rFonts w:hAnsi="宋体"/>
          <w:b/>
          <w:color w:val="000000" w:themeColor="text1"/>
          <w:highlight w:val="none"/>
          <w14:textFill>
            <w14:solidFill>
              <w14:schemeClr w14:val="tx1"/>
            </w14:solidFill>
          </w14:textFill>
        </w:rPr>
      </w:pPr>
      <w:r>
        <w:rPr>
          <w:rFonts w:hint="eastAsia" w:hAnsi="宋体"/>
          <w:b/>
          <w:color w:val="000000" w:themeColor="text1"/>
          <w:highlight w:val="none"/>
          <w14:textFill>
            <w14:solidFill>
              <w14:schemeClr w14:val="tx1"/>
            </w14:solidFill>
          </w14:textFill>
        </w:rPr>
        <w:t>5.</w:t>
      </w:r>
      <w:r>
        <w:rPr>
          <w:rFonts w:hAnsi="宋体"/>
          <w:b/>
          <w:color w:val="000000" w:themeColor="text1"/>
          <w:highlight w:val="none"/>
          <w14:textFill>
            <w14:solidFill>
              <w14:schemeClr w14:val="tx1"/>
            </w14:solidFill>
          </w14:textFill>
        </w:rPr>
        <w:t>错误修正</w:t>
      </w:r>
    </w:p>
    <w:p>
      <w:pPr>
        <w:pStyle w:val="2"/>
        <w:snapToGrid w:val="0"/>
        <w:spacing w:line="360" w:lineRule="auto"/>
        <w:ind w:firstLine="424" w:firstLineChars="200"/>
        <w:textAlignment w:val="auto"/>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投标文件如果出现计算或表达上的错误，修正错误的原则如下：</w:t>
      </w:r>
    </w:p>
    <w:p>
      <w:pPr>
        <w:pStyle w:val="2"/>
        <w:snapToGrid w:val="0"/>
        <w:spacing w:line="360" w:lineRule="auto"/>
        <w:ind w:firstLine="424" w:firstLineChars="200"/>
        <w:textAlignment w:val="auto"/>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（1）投标文件中开标一览表（报价表）内容与投标文件中相应内容不一致的，以开标一览表（报价表）为准；</w:t>
      </w:r>
    </w:p>
    <w:p>
      <w:pPr>
        <w:pStyle w:val="2"/>
        <w:snapToGrid w:val="0"/>
        <w:spacing w:line="360" w:lineRule="auto"/>
        <w:ind w:firstLine="424" w:firstLineChars="200"/>
        <w:textAlignment w:val="auto"/>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（2）大写金额和小写金额不一致的，以大写金额为准；</w:t>
      </w:r>
    </w:p>
    <w:p>
      <w:pPr>
        <w:pStyle w:val="2"/>
        <w:snapToGrid w:val="0"/>
        <w:spacing w:line="360" w:lineRule="auto"/>
        <w:ind w:firstLine="424" w:firstLineChars="200"/>
        <w:textAlignment w:val="auto"/>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（3）单价金额小数点或者百分比有明显错位的，以开标一览表的总价为准，并修改单价；</w:t>
      </w:r>
    </w:p>
    <w:p>
      <w:pPr>
        <w:pStyle w:val="2"/>
        <w:snapToGrid w:val="0"/>
        <w:spacing w:line="360" w:lineRule="auto"/>
        <w:ind w:firstLine="424" w:firstLineChars="200"/>
        <w:textAlignment w:val="auto"/>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（4）总价金额与按单价汇总金额不一致的，以单价金额计算结果为准。</w:t>
      </w:r>
    </w:p>
    <w:p>
      <w:pPr>
        <w:pStyle w:val="2"/>
        <w:snapToGrid w:val="0"/>
        <w:spacing w:line="360" w:lineRule="auto"/>
        <w:ind w:firstLine="424" w:firstLineChars="200"/>
        <w:textAlignment w:val="auto"/>
        <w:rPr>
          <w:rFonts w:hAnsi="宋体"/>
          <w:b/>
          <w:bCs/>
          <w:color w:val="000000" w:themeColor="text1"/>
          <w:highlight w:val="none"/>
          <w14:textFill>
            <w14:solidFill>
              <w14:schemeClr w14:val="tx1"/>
            </w14:solidFill>
          </w14:textFill>
        </w:rPr>
      </w:pPr>
      <w:r>
        <w:rPr>
          <w:rFonts w:hint="eastAsia" w:hAnsi="宋体"/>
          <w:b/>
          <w:bCs/>
          <w:color w:val="000000" w:themeColor="text1"/>
          <w:highlight w:val="none"/>
          <w14:textFill>
            <w14:solidFill>
              <w14:schemeClr w14:val="tx1"/>
            </w14:solidFill>
          </w14:textFill>
        </w:rPr>
        <w:t>同时出现两种以上不一致的，按照前款规定的顺序修正。评标委员会应当通过电子交易平台要求投标人对修正后的报价予以确认并对投标人产生约束力。投标人在规定的时间内不予确认的，其投标无效。</w:t>
      </w:r>
    </w:p>
    <w:p>
      <w:pPr>
        <w:pStyle w:val="2"/>
        <w:snapToGrid w:val="0"/>
        <w:spacing w:line="360" w:lineRule="auto"/>
        <w:ind w:firstLine="424" w:firstLineChars="200"/>
        <w:textAlignment w:val="auto"/>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6.评标原则和评标办法</w:t>
      </w:r>
    </w:p>
    <w:p>
      <w:pPr>
        <w:pStyle w:val="2"/>
        <w:snapToGrid w:val="0"/>
        <w:spacing w:line="360" w:lineRule="auto"/>
        <w:ind w:firstLine="424" w:firstLineChars="200"/>
        <w:textAlignment w:val="auto"/>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6.1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2"/>
        <w:snapToGrid w:val="0"/>
        <w:spacing w:line="360" w:lineRule="auto"/>
        <w:ind w:firstLine="424" w:firstLineChars="200"/>
        <w:textAlignment w:val="auto"/>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6.2评标办法。本项目评标办法是综合评分法，具体评标内容及评分标准等详见《第四章：评标原则及方法》。</w:t>
      </w:r>
    </w:p>
    <w:p>
      <w:pPr>
        <w:autoSpaceDE w:val="0"/>
        <w:autoSpaceDN w:val="0"/>
        <w:snapToGrid w:val="0"/>
        <w:spacing w:line="360" w:lineRule="auto"/>
        <w:ind w:firstLine="424" w:firstLineChars="200"/>
        <w:jc w:val="both"/>
        <w:outlineLvl w:val="2"/>
        <w:rPr>
          <w:b/>
          <w:kern w:val="2"/>
          <w:sz w:val="21"/>
          <w:szCs w:val="21"/>
          <w:lang w:eastAsia="zh-CN"/>
        </w:rPr>
      </w:pPr>
      <w:r>
        <w:rPr>
          <w:rFonts w:hint="eastAsia" w:hAnsi="宋体"/>
          <w:b/>
          <w:bCs/>
          <w:color w:val="000000" w:themeColor="text1"/>
          <w:highlight w:val="none"/>
          <w14:textFill>
            <w14:solidFill>
              <w14:schemeClr w14:val="tx1"/>
            </w14:solidFill>
          </w14:textFill>
        </w:rPr>
        <w:t>7.</w:t>
      </w:r>
      <w:r>
        <w:rPr>
          <w:b/>
          <w:kern w:val="2"/>
          <w:sz w:val="21"/>
          <w:szCs w:val="21"/>
          <w:lang w:eastAsia="zh-CN"/>
        </w:rPr>
        <w:t>无效标</w:t>
      </w:r>
    </w:p>
    <w:p>
      <w:pPr>
        <w:widowControl w:val="0"/>
        <w:snapToGrid w:val="0"/>
        <w:spacing w:line="360" w:lineRule="auto"/>
        <w:ind w:firstLine="424" w:firstLineChars="200"/>
        <w:jc w:val="both"/>
        <w:rPr>
          <w:b/>
          <w:kern w:val="2"/>
          <w:sz w:val="21"/>
          <w:szCs w:val="21"/>
          <w:lang w:eastAsia="zh-CN"/>
        </w:rPr>
      </w:pPr>
      <w:r>
        <w:rPr>
          <w:b/>
          <w:kern w:val="2"/>
          <w:sz w:val="21"/>
          <w:szCs w:val="21"/>
          <w:lang w:eastAsia="zh-CN"/>
        </w:rPr>
        <w:t>有下列情形之一的投标文件，由评标委员会按少数服从多数原则进行认定，经认定属实后将该投标文件作无效标处理：</w:t>
      </w:r>
    </w:p>
    <w:p>
      <w:pPr>
        <w:widowControl w:val="0"/>
        <w:snapToGrid w:val="0"/>
        <w:spacing w:line="360" w:lineRule="auto"/>
        <w:ind w:firstLine="424" w:firstLineChars="200"/>
        <w:jc w:val="both"/>
        <w:rPr>
          <w:b/>
          <w:bCs/>
          <w:kern w:val="2"/>
          <w:sz w:val="21"/>
          <w:szCs w:val="21"/>
          <w:lang w:eastAsia="zh-CN"/>
        </w:rPr>
      </w:pPr>
      <w:r>
        <w:rPr>
          <w:rFonts w:hint="eastAsia"/>
          <w:b/>
          <w:bCs/>
          <w:kern w:val="2"/>
          <w:sz w:val="21"/>
          <w:szCs w:val="21"/>
          <w:lang w:eastAsia="zh-CN"/>
        </w:rPr>
        <w:t>资质和商务技术</w:t>
      </w:r>
      <w:r>
        <w:rPr>
          <w:b/>
          <w:bCs/>
          <w:kern w:val="2"/>
          <w:sz w:val="21"/>
          <w:szCs w:val="21"/>
          <w:lang w:eastAsia="zh-CN"/>
        </w:rPr>
        <w:t>文件阶段：</w:t>
      </w:r>
    </w:p>
    <w:p>
      <w:pPr>
        <w:widowControl w:val="0"/>
        <w:snapToGrid w:val="0"/>
        <w:spacing w:line="360" w:lineRule="auto"/>
        <w:ind w:firstLine="424" w:firstLineChars="200"/>
        <w:jc w:val="both"/>
        <w:rPr>
          <w:kern w:val="2"/>
          <w:sz w:val="21"/>
          <w:szCs w:val="21"/>
          <w:lang w:eastAsia="zh-CN"/>
        </w:rPr>
      </w:pPr>
      <w:r>
        <w:rPr>
          <w:kern w:val="2"/>
          <w:sz w:val="21"/>
          <w:szCs w:val="21"/>
          <w:lang w:eastAsia="zh-CN"/>
        </w:rPr>
        <w:t>1.1、资格证明审核：</w:t>
      </w:r>
    </w:p>
    <w:p>
      <w:pPr>
        <w:widowControl w:val="0"/>
        <w:snapToGrid w:val="0"/>
        <w:spacing w:line="360" w:lineRule="auto"/>
        <w:ind w:firstLine="424" w:firstLineChars="200"/>
        <w:jc w:val="both"/>
        <w:rPr>
          <w:kern w:val="2"/>
          <w:sz w:val="21"/>
          <w:szCs w:val="21"/>
          <w:lang w:eastAsia="zh-CN"/>
        </w:rPr>
      </w:pPr>
      <w:r>
        <w:rPr>
          <w:kern w:val="2"/>
          <w:sz w:val="21"/>
          <w:szCs w:val="21"/>
          <w:lang w:eastAsia="zh-CN"/>
        </w:rPr>
        <w:t>1）</w:t>
      </w:r>
      <w:r>
        <w:rPr>
          <w:kern w:val="2"/>
          <w:sz w:val="21"/>
          <w:szCs w:val="21"/>
          <w:lang w:eastAsia="zh-CN"/>
        </w:rPr>
        <w:tab/>
      </w:r>
      <w:r>
        <w:rPr>
          <w:kern w:val="2"/>
          <w:sz w:val="21"/>
          <w:szCs w:val="21"/>
          <w:lang w:eastAsia="zh-CN"/>
        </w:rPr>
        <w:t>投标文件内容不能充分证明</w:t>
      </w:r>
      <w:r>
        <w:rPr>
          <w:rFonts w:hint="eastAsia"/>
          <w:kern w:val="2"/>
          <w:sz w:val="21"/>
          <w:szCs w:val="21"/>
          <w:lang w:eastAsia="zh-CN"/>
        </w:rPr>
        <w:t>供应商</w:t>
      </w:r>
      <w:r>
        <w:rPr>
          <w:kern w:val="2"/>
          <w:sz w:val="21"/>
          <w:szCs w:val="21"/>
          <w:lang w:eastAsia="zh-CN"/>
        </w:rPr>
        <w:t>符合投标资格条件的；</w:t>
      </w:r>
    </w:p>
    <w:p>
      <w:pPr>
        <w:widowControl w:val="0"/>
        <w:snapToGrid w:val="0"/>
        <w:spacing w:line="360" w:lineRule="auto"/>
        <w:ind w:firstLine="424" w:firstLineChars="200"/>
        <w:jc w:val="both"/>
        <w:rPr>
          <w:kern w:val="2"/>
          <w:sz w:val="21"/>
          <w:szCs w:val="21"/>
          <w:lang w:eastAsia="zh-CN"/>
        </w:rPr>
      </w:pPr>
      <w:r>
        <w:rPr>
          <w:kern w:val="2"/>
          <w:sz w:val="21"/>
          <w:szCs w:val="21"/>
          <w:lang w:eastAsia="zh-CN"/>
        </w:rPr>
        <w:t>1.2、</w:t>
      </w:r>
      <w:r>
        <w:rPr>
          <w:rFonts w:hint="eastAsia"/>
          <w:kern w:val="2"/>
          <w:sz w:val="21"/>
          <w:szCs w:val="21"/>
          <w:lang w:eastAsia="zh-CN"/>
        </w:rPr>
        <w:t>商务技术</w:t>
      </w:r>
      <w:r>
        <w:rPr>
          <w:kern w:val="2"/>
          <w:sz w:val="21"/>
          <w:szCs w:val="21"/>
          <w:lang w:eastAsia="zh-CN"/>
        </w:rPr>
        <w:t>审核：</w:t>
      </w:r>
    </w:p>
    <w:p>
      <w:pPr>
        <w:widowControl w:val="0"/>
        <w:snapToGrid w:val="0"/>
        <w:spacing w:line="360" w:lineRule="auto"/>
        <w:ind w:firstLine="424" w:firstLineChars="200"/>
        <w:jc w:val="both"/>
        <w:rPr>
          <w:kern w:val="2"/>
          <w:sz w:val="21"/>
          <w:szCs w:val="21"/>
          <w:lang w:eastAsia="zh-CN"/>
        </w:rPr>
      </w:pPr>
      <w:r>
        <w:rPr>
          <w:rFonts w:hint="eastAsia"/>
          <w:kern w:val="2"/>
          <w:sz w:val="21"/>
          <w:szCs w:val="21"/>
          <w:lang w:eastAsia="zh-CN"/>
        </w:rPr>
        <w:t>1</w:t>
      </w:r>
      <w:r>
        <w:rPr>
          <w:kern w:val="2"/>
          <w:sz w:val="21"/>
          <w:szCs w:val="21"/>
          <w:lang w:eastAsia="zh-CN"/>
        </w:rPr>
        <w:t>）</w:t>
      </w:r>
      <w:r>
        <w:rPr>
          <w:kern w:val="2"/>
          <w:sz w:val="21"/>
          <w:szCs w:val="21"/>
          <w:lang w:eastAsia="zh-CN"/>
        </w:rPr>
        <w:tab/>
      </w:r>
      <w:r>
        <w:rPr>
          <w:rFonts w:hint="eastAsia"/>
          <w:kern w:val="2"/>
          <w:sz w:val="21"/>
          <w:szCs w:val="21"/>
          <w:lang w:eastAsia="zh-CN"/>
        </w:rPr>
        <w:t>供应商</w:t>
      </w:r>
      <w:r>
        <w:rPr>
          <w:kern w:val="2"/>
          <w:sz w:val="21"/>
          <w:szCs w:val="21"/>
          <w:lang w:eastAsia="zh-CN"/>
        </w:rPr>
        <w:t>提交两份或两份以上内容不同的投标方案，未声明哪一份有效的；</w:t>
      </w:r>
    </w:p>
    <w:p>
      <w:pPr>
        <w:widowControl w:val="0"/>
        <w:snapToGrid w:val="0"/>
        <w:spacing w:line="360" w:lineRule="auto"/>
        <w:ind w:firstLine="424" w:firstLineChars="200"/>
        <w:jc w:val="both"/>
        <w:rPr>
          <w:kern w:val="2"/>
          <w:sz w:val="21"/>
          <w:szCs w:val="21"/>
          <w:lang w:eastAsia="zh-CN"/>
        </w:rPr>
      </w:pPr>
      <w:r>
        <w:rPr>
          <w:rFonts w:hint="eastAsia"/>
          <w:kern w:val="2"/>
          <w:sz w:val="21"/>
          <w:szCs w:val="21"/>
          <w:lang w:eastAsia="zh-CN"/>
        </w:rPr>
        <w:t>2</w:t>
      </w:r>
      <w:r>
        <w:rPr>
          <w:kern w:val="2"/>
          <w:sz w:val="21"/>
          <w:szCs w:val="21"/>
          <w:lang w:eastAsia="zh-CN"/>
        </w:rPr>
        <w:t>）</w:t>
      </w:r>
      <w:r>
        <w:rPr>
          <w:kern w:val="2"/>
          <w:sz w:val="21"/>
          <w:szCs w:val="21"/>
          <w:lang w:eastAsia="zh-CN"/>
        </w:rPr>
        <w:tab/>
      </w:r>
      <w:r>
        <w:rPr>
          <w:kern w:val="2"/>
          <w:sz w:val="21"/>
          <w:szCs w:val="21"/>
          <w:lang w:eastAsia="zh-CN"/>
        </w:rPr>
        <w:t>投标文件非</w:t>
      </w:r>
      <w:r>
        <w:rPr>
          <w:rFonts w:hint="eastAsia"/>
          <w:kern w:val="2"/>
          <w:sz w:val="21"/>
          <w:szCs w:val="21"/>
          <w:lang w:eastAsia="zh-CN"/>
        </w:rPr>
        <w:t>供应商</w:t>
      </w:r>
      <w:r>
        <w:rPr>
          <w:kern w:val="2"/>
          <w:sz w:val="21"/>
          <w:szCs w:val="21"/>
          <w:lang w:eastAsia="zh-CN"/>
        </w:rPr>
        <w:t>法定代表人签署的，未提供或提供无效的法定代表人授权书；</w:t>
      </w:r>
    </w:p>
    <w:p>
      <w:pPr>
        <w:widowControl w:val="0"/>
        <w:snapToGrid w:val="0"/>
        <w:spacing w:line="360" w:lineRule="auto"/>
        <w:ind w:firstLine="424" w:firstLineChars="200"/>
        <w:jc w:val="both"/>
        <w:rPr>
          <w:kern w:val="2"/>
          <w:sz w:val="21"/>
          <w:szCs w:val="21"/>
          <w:lang w:eastAsia="zh-CN"/>
        </w:rPr>
      </w:pPr>
      <w:r>
        <w:rPr>
          <w:rFonts w:hint="eastAsia"/>
          <w:kern w:val="2"/>
          <w:sz w:val="21"/>
          <w:szCs w:val="21"/>
          <w:lang w:eastAsia="zh-CN"/>
        </w:rPr>
        <w:t>3</w:t>
      </w:r>
      <w:r>
        <w:rPr>
          <w:kern w:val="2"/>
          <w:sz w:val="21"/>
          <w:szCs w:val="21"/>
          <w:lang w:eastAsia="zh-CN"/>
        </w:rPr>
        <w:t>）投标文件中法定代表人和授权代表身份证复印件不齐全的；</w:t>
      </w:r>
    </w:p>
    <w:p>
      <w:pPr>
        <w:widowControl w:val="0"/>
        <w:snapToGrid w:val="0"/>
        <w:spacing w:line="360" w:lineRule="auto"/>
        <w:ind w:firstLine="424" w:firstLineChars="200"/>
        <w:jc w:val="both"/>
        <w:rPr>
          <w:kern w:val="2"/>
          <w:sz w:val="21"/>
          <w:szCs w:val="21"/>
          <w:lang w:eastAsia="zh-CN"/>
        </w:rPr>
      </w:pPr>
      <w:r>
        <w:rPr>
          <w:rFonts w:hint="eastAsia"/>
          <w:kern w:val="2"/>
          <w:sz w:val="21"/>
          <w:szCs w:val="21"/>
          <w:lang w:eastAsia="zh-CN"/>
        </w:rPr>
        <w:t>4</w:t>
      </w:r>
      <w:r>
        <w:rPr>
          <w:kern w:val="2"/>
          <w:sz w:val="21"/>
          <w:szCs w:val="21"/>
          <w:lang w:eastAsia="zh-CN"/>
        </w:rPr>
        <w:t>）</w:t>
      </w:r>
      <w:r>
        <w:rPr>
          <w:kern w:val="2"/>
          <w:sz w:val="21"/>
          <w:szCs w:val="21"/>
          <w:lang w:eastAsia="zh-CN"/>
        </w:rPr>
        <w:tab/>
      </w:r>
      <w:r>
        <w:rPr>
          <w:kern w:val="2"/>
          <w:sz w:val="21"/>
          <w:szCs w:val="21"/>
          <w:lang w:eastAsia="zh-CN"/>
        </w:rPr>
        <w:t>投标文件内容未按采购文件规定签字或盖章的；</w:t>
      </w:r>
    </w:p>
    <w:p>
      <w:pPr>
        <w:widowControl w:val="0"/>
        <w:snapToGrid w:val="0"/>
        <w:spacing w:line="360" w:lineRule="auto"/>
        <w:ind w:firstLine="424" w:firstLineChars="200"/>
        <w:jc w:val="both"/>
        <w:rPr>
          <w:kern w:val="2"/>
          <w:sz w:val="21"/>
          <w:szCs w:val="21"/>
          <w:lang w:eastAsia="zh-CN"/>
        </w:rPr>
      </w:pPr>
      <w:r>
        <w:rPr>
          <w:rFonts w:hint="eastAsia"/>
          <w:kern w:val="2"/>
          <w:sz w:val="21"/>
          <w:szCs w:val="21"/>
          <w:lang w:eastAsia="zh-CN"/>
        </w:rPr>
        <w:t>5</w:t>
      </w:r>
      <w:r>
        <w:rPr>
          <w:kern w:val="2"/>
          <w:sz w:val="21"/>
          <w:szCs w:val="21"/>
          <w:lang w:eastAsia="zh-CN"/>
        </w:rPr>
        <w:t>）</w:t>
      </w:r>
      <w:r>
        <w:rPr>
          <w:kern w:val="2"/>
          <w:sz w:val="21"/>
          <w:szCs w:val="21"/>
          <w:lang w:eastAsia="zh-CN"/>
        </w:rPr>
        <w:tab/>
      </w:r>
      <w:r>
        <w:rPr>
          <w:kern w:val="2"/>
          <w:sz w:val="21"/>
          <w:szCs w:val="21"/>
          <w:lang w:eastAsia="zh-CN"/>
        </w:rPr>
        <w:t>投标文件内容不全或内容字迹模糊辨认不清的等而导致评标活动无法正常进行；</w:t>
      </w:r>
    </w:p>
    <w:p>
      <w:pPr>
        <w:widowControl w:val="0"/>
        <w:snapToGrid w:val="0"/>
        <w:spacing w:line="360" w:lineRule="auto"/>
        <w:ind w:firstLine="424" w:firstLineChars="200"/>
        <w:jc w:val="both"/>
        <w:rPr>
          <w:kern w:val="2"/>
          <w:sz w:val="21"/>
          <w:szCs w:val="21"/>
          <w:lang w:eastAsia="zh-CN"/>
        </w:rPr>
      </w:pPr>
      <w:r>
        <w:rPr>
          <w:rFonts w:hint="eastAsia"/>
          <w:kern w:val="2"/>
          <w:sz w:val="21"/>
          <w:szCs w:val="21"/>
          <w:lang w:eastAsia="zh-CN"/>
        </w:rPr>
        <w:t>6</w:t>
      </w:r>
      <w:r>
        <w:rPr>
          <w:kern w:val="2"/>
          <w:sz w:val="21"/>
          <w:szCs w:val="21"/>
          <w:lang w:eastAsia="zh-CN"/>
        </w:rPr>
        <w:t>）</w:t>
      </w:r>
      <w:r>
        <w:rPr>
          <w:kern w:val="2"/>
          <w:sz w:val="21"/>
          <w:szCs w:val="21"/>
          <w:lang w:eastAsia="zh-CN"/>
        </w:rPr>
        <w:tab/>
      </w:r>
      <w:r>
        <w:rPr>
          <w:rFonts w:hint="eastAsia"/>
          <w:kern w:val="2"/>
          <w:sz w:val="21"/>
          <w:szCs w:val="21"/>
          <w:lang w:eastAsia="zh-CN"/>
        </w:rPr>
        <w:t>供应商</w:t>
      </w:r>
      <w:r>
        <w:rPr>
          <w:kern w:val="2"/>
          <w:sz w:val="21"/>
          <w:szCs w:val="21"/>
          <w:lang w:eastAsia="zh-CN"/>
        </w:rPr>
        <w:t>未按采购文件变更通知更改投标文件的；</w:t>
      </w:r>
    </w:p>
    <w:p>
      <w:pPr>
        <w:widowControl w:val="0"/>
        <w:snapToGrid w:val="0"/>
        <w:spacing w:line="360" w:lineRule="auto"/>
        <w:ind w:firstLine="424" w:firstLineChars="200"/>
        <w:jc w:val="both"/>
        <w:rPr>
          <w:kern w:val="2"/>
          <w:sz w:val="21"/>
          <w:szCs w:val="21"/>
          <w:lang w:eastAsia="zh-CN"/>
        </w:rPr>
      </w:pPr>
      <w:r>
        <w:rPr>
          <w:rFonts w:hint="eastAsia"/>
          <w:kern w:val="2"/>
          <w:sz w:val="21"/>
          <w:szCs w:val="21"/>
          <w:lang w:eastAsia="zh-CN"/>
        </w:rPr>
        <w:t>7</w:t>
      </w:r>
      <w:r>
        <w:rPr>
          <w:kern w:val="2"/>
          <w:sz w:val="21"/>
          <w:szCs w:val="21"/>
          <w:lang w:eastAsia="zh-CN"/>
        </w:rPr>
        <w:t>）</w:t>
      </w:r>
      <w:r>
        <w:rPr>
          <w:kern w:val="2"/>
          <w:sz w:val="21"/>
          <w:szCs w:val="21"/>
          <w:lang w:eastAsia="zh-CN"/>
        </w:rPr>
        <w:tab/>
      </w:r>
      <w:r>
        <w:rPr>
          <w:kern w:val="2"/>
          <w:sz w:val="21"/>
          <w:szCs w:val="21"/>
          <w:lang w:eastAsia="zh-CN"/>
        </w:rPr>
        <w:t>未实质性响应采购文件中带“▲”条款要求的投标文件；</w:t>
      </w:r>
    </w:p>
    <w:p>
      <w:pPr>
        <w:widowControl w:val="0"/>
        <w:snapToGrid w:val="0"/>
        <w:spacing w:line="360" w:lineRule="auto"/>
        <w:ind w:firstLine="424" w:firstLineChars="200"/>
        <w:jc w:val="both"/>
        <w:rPr>
          <w:kern w:val="2"/>
          <w:sz w:val="21"/>
          <w:szCs w:val="21"/>
          <w:lang w:eastAsia="zh-CN"/>
        </w:rPr>
      </w:pPr>
      <w:r>
        <w:rPr>
          <w:rFonts w:hint="eastAsia"/>
          <w:kern w:val="2"/>
          <w:sz w:val="21"/>
          <w:szCs w:val="21"/>
          <w:lang w:eastAsia="zh-CN"/>
        </w:rPr>
        <w:t>8</w:t>
      </w:r>
      <w:r>
        <w:rPr>
          <w:kern w:val="2"/>
          <w:sz w:val="21"/>
          <w:szCs w:val="21"/>
          <w:lang w:eastAsia="zh-CN"/>
        </w:rPr>
        <w:t>）</w:t>
      </w:r>
      <w:r>
        <w:rPr>
          <w:kern w:val="2"/>
          <w:sz w:val="21"/>
          <w:szCs w:val="21"/>
          <w:lang w:eastAsia="zh-CN"/>
        </w:rPr>
        <w:tab/>
      </w:r>
      <w:r>
        <w:rPr>
          <w:kern w:val="2"/>
          <w:sz w:val="21"/>
          <w:szCs w:val="21"/>
          <w:lang w:eastAsia="zh-CN"/>
        </w:rPr>
        <w:t>投标有效期、交货期、质保期等商务条款不能满足</w:t>
      </w:r>
      <w:r>
        <w:rPr>
          <w:rFonts w:hint="eastAsia"/>
          <w:kern w:val="2"/>
          <w:sz w:val="21"/>
          <w:szCs w:val="21"/>
          <w:lang w:eastAsia="zh-CN"/>
        </w:rPr>
        <w:t>采购文件</w:t>
      </w:r>
      <w:r>
        <w:rPr>
          <w:kern w:val="2"/>
          <w:sz w:val="21"/>
          <w:szCs w:val="21"/>
          <w:lang w:eastAsia="zh-CN"/>
        </w:rPr>
        <w:t>要求的；</w:t>
      </w:r>
    </w:p>
    <w:p>
      <w:pPr>
        <w:widowControl w:val="0"/>
        <w:snapToGrid w:val="0"/>
        <w:spacing w:line="360" w:lineRule="auto"/>
        <w:ind w:firstLine="424" w:firstLineChars="200"/>
        <w:jc w:val="both"/>
        <w:rPr>
          <w:kern w:val="2"/>
          <w:sz w:val="21"/>
          <w:szCs w:val="21"/>
          <w:lang w:eastAsia="zh-CN"/>
        </w:rPr>
      </w:pPr>
      <w:r>
        <w:rPr>
          <w:rFonts w:hint="eastAsia"/>
          <w:kern w:val="2"/>
          <w:sz w:val="21"/>
          <w:szCs w:val="21"/>
          <w:lang w:eastAsia="zh-CN"/>
        </w:rPr>
        <w:t>9</w:t>
      </w:r>
      <w:r>
        <w:rPr>
          <w:kern w:val="2"/>
          <w:sz w:val="21"/>
          <w:szCs w:val="21"/>
          <w:lang w:eastAsia="zh-CN"/>
        </w:rPr>
        <w:t>）</w:t>
      </w:r>
      <w:r>
        <w:rPr>
          <w:rFonts w:hint="eastAsia"/>
          <w:kern w:val="2"/>
          <w:sz w:val="21"/>
          <w:szCs w:val="21"/>
          <w:lang w:eastAsia="zh-CN"/>
        </w:rPr>
        <w:t xml:space="preserve"> </w:t>
      </w:r>
      <w:r>
        <w:rPr>
          <w:kern w:val="2"/>
          <w:sz w:val="21"/>
          <w:szCs w:val="21"/>
          <w:lang w:eastAsia="zh-CN"/>
        </w:rPr>
        <w:t>违反国家及政府部门相关法律、法规、文件规定或经评标委员会认定的其他属于重大偏离。</w:t>
      </w:r>
    </w:p>
    <w:p>
      <w:pPr>
        <w:widowControl w:val="0"/>
        <w:snapToGrid w:val="0"/>
        <w:spacing w:line="360" w:lineRule="auto"/>
        <w:ind w:firstLine="424" w:firstLineChars="200"/>
        <w:jc w:val="both"/>
        <w:rPr>
          <w:kern w:val="2"/>
          <w:sz w:val="21"/>
          <w:szCs w:val="21"/>
          <w:lang w:eastAsia="zh-CN"/>
        </w:rPr>
      </w:pPr>
      <w:r>
        <w:rPr>
          <w:kern w:val="2"/>
          <w:sz w:val="21"/>
          <w:szCs w:val="21"/>
          <w:lang w:eastAsia="zh-CN"/>
        </w:rPr>
        <w:t>1</w:t>
      </w:r>
      <w:r>
        <w:rPr>
          <w:rFonts w:hint="eastAsia"/>
          <w:kern w:val="2"/>
          <w:sz w:val="21"/>
          <w:szCs w:val="21"/>
          <w:lang w:eastAsia="zh-CN"/>
        </w:rPr>
        <w:t>0</w:t>
      </w:r>
      <w:r>
        <w:rPr>
          <w:kern w:val="2"/>
          <w:sz w:val="21"/>
          <w:szCs w:val="21"/>
          <w:lang w:eastAsia="zh-CN"/>
        </w:rPr>
        <w:t>）投标文件附有采购人不能接受的条款；</w:t>
      </w:r>
    </w:p>
    <w:p>
      <w:pPr>
        <w:widowControl w:val="0"/>
        <w:snapToGrid w:val="0"/>
        <w:spacing w:line="360" w:lineRule="auto"/>
        <w:ind w:firstLine="424" w:firstLineChars="200"/>
        <w:jc w:val="both"/>
        <w:rPr>
          <w:kern w:val="2"/>
          <w:sz w:val="21"/>
          <w:szCs w:val="21"/>
          <w:lang w:eastAsia="zh-CN"/>
        </w:rPr>
      </w:pPr>
      <w:r>
        <w:rPr>
          <w:kern w:val="2"/>
          <w:sz w:val="21"/>
          <w:szCs w:val="21"/>
          <w:lang w:eastAsia="zh-CN"/>
        </w:rPr>
        <w:t>1</w:t>
      </w:r>
      <w:r>
        <w:rPr>
          <w:rFonts w:hint="eastAsia"/>
          <w:kern w:val="2"/>
          <w:sz w:val="21"/>
          <w:szCs w:val="21"/>
          <w:lang w:eastAsia="zh-CN"/>
        </w:rPr>
        <w:t>1</w:t>
      </w:r>
      <w:r>
        <w:rPr>
          <w:kern w:val="2"/>
          <w:sz w:val="21"/>
          <w:szCs w:val="21"/>
          <w:lang w:eastAsia="zh-CN"/>
        </w:rPr>
        <w:t>）投标文件中提供了与采购无关的赠品、回扣或者其他商品、服务；</w:t>
      </w:r>
    </w:p>
    <w:p>
      <w:pPr>
        <w:widowControl w:val="0"/>
        <w:snapToGrid w:val="0"/>
        <w:spacing w:line="360" w:lineRule="auto"/>
        <w:ind w:firstLine="424" w:firstLineChars="200"/>
        <w:jc w:val="both"/>
        <w:rPr>
          <w:kern w:val="2"/>
          <w:sz w:val="21"/>
          <w:szCs w:val="21"/>
          <w:lang w:eastAsia="zh-CN"/>
        </w:rPr>
      </w:pPr>
      <w:r>
        <w:rPr>
          <w:kern w:val="2"/>
          <w:sz w:val="21"/>
          <w:szCs w:val="21"/>
          <w:lang w:eastAsia="zh-CN"/>
        </w:rPr>
        <w:t>1</w:t>
      </w:r>
      <w:r>
        <w:rPr>
          <w:rFonts w:hint="eastAsia"/>
          <w:kern w:val="2"/>
          <w:sz w:val="21"/>
          <w:szCs w:val="21"/>
          <w:lang w:eastAsia="zh-CN"/>
        </w:rPr>
        <w:t>2</w:t>
      </w:r>
      <w:r>
        <w:rPr>
          <w:kern w:val="2"/>
          <w:sz w:val="21"/>
          <w:szCs w:val="21"/>
          <w:lang w:eastAsia="zh-CN"/>
        </w:rPr>
        <w:t>）</w:t>
      </w:r>
      <w:r>
        <w:rPr>
          <w:rFonts w:hint="eastAsia"/>
          <w:kern w:val="2"/>
          <w:sz w:val="21"/>
          <w:szCs w:val="21"/>
          <w:lang w:eastAsia="zh-CN"/>
        </w:rPr>
        <w:t>供应商</w:t>
      </w:r>
      <w:r>
        <w:rPr>
          <w:kern w:val="2"/>
          <w:sz w:val="21"/>
          <w:szCs w:val="21"/>
          <w:lang w:eastAsia="zh-CN"/>
        </w:rPr>
        <w:t>串通投标，妨碍其他</w:t>
      </w:r>
      <w:r>
        <w:rPr>
          <w:rFonts w:hint="eastAsia"/>
          <w:kern w:val="2"/>
          <w:sz w:val="21"/>
          <w:szCs w:val="21"/>
          <w:lang w:eastAsia="zh-CN"/>
        </w:rPr>
        <w:t>供应商</w:t>
      </w:r>
      <w:r>
        <w:rPr>
          <w:kern w:val="2"/>
          <w:sz w:val="21"/>
          <w:szCs w:val="21"/>
          <w:lang w:eastAsia="zh-CN"/>
        </w:rPr>
        <w:t>的竞争行为，损害采购人或者其他</w:t>
      </w:r>
      <w:r>
        <w:rPr>
          <w:rFonts w:hint="eastAsia"/>
          <w:kern w:val="2"/>
          <w:sz w:val="21"/>
          <w:szCs w:val="21"/>
          <w:lang w:eastAsia="zh-CN"/>
        </w:rPr>
        <w:t>供应商</w:t>
      </w:r>
      <w:r>
        <w:rPr>
          <w:kern w:val="2"/>
          <w:sz w:val="21"/>
          <w:szCs w:val="21"/>
          <w:lang w:eastAsia="zh-CN"/>
        </w:rPr>
        <w:t>的合法权益；</w:t>
      </w:r>
    </w:p>
    <w:p>
      <w:pPr>
        <w:widowControl w:val="0"/>
        <w:snapToGrid w:val="0"/>
        <w:spacing w:line="360" w:lineRule="auto"/>
        <w:ind w:firstLine="424" w:firstLineChars="200"/>
        <w:jc w:val="both"/>
        <w:rPr>
          <w:b/>
          <w:bCs/>
          <w:kern w:val="2"/>
          <w:sz w:val="21"/>
          <w:szCs w:val="21"/>
          <w:lang w:eastAsia="zh-CN"/>
        </w:rPr>
      </w:pPr>
      <w:r>
        <w:rPr>
          <w:b/>
          <w:bCs/>
          <w:kern w:val="2"/>
          <w:sz w:val="21"/>
          <w:szCs w:val="21"/>
          <w:lang w:eastAsia="zh-CN"/>
        </w:rPr>
        <w:t>报价文件评审阶段：</w:t>
      </w:r>
    </w:p>
    <w:p>
      <w:pPr>
        <w:widowControl w:val="0"/>
        <w:snapToGrid w:val="0"/>
        <w:spacing w:line="360" w:lineRule="auto"/>
        <w:ind w:firstLine="424" w:firstLineChars="200"/>
        <w:jc w:val="both"/>
        <w:rPr>
          <w:kern w:val="2"/>
          <w:sz w:val="21"/>
          <w:szCs w:val="21"/>
          <w:lang w:eastAsia="zh-CN"/>
        </w:rPr>
      </w:pPr>
      <w:r>
        <w:rPr>
          <w:kern w:val="2"/>
          <w:sz w:val="21"/>
          <w:szCs w:val="21"/>
          <w:lang w:eastAsia="zh-CN"/>
        </w:rPr>
        <w:t>1）</w:t>
      </w:r>
      <w:r>
        <w:rPr>
          <w:rFonts w:hint="eastAsia"/>
          <w:kern w:val="2"/>
          <w:sz w:val="21"/>
          <w:szCs w:val="21"/>
          <w:lang w:eastAsia="zh-CN"/>
        </w:rPr>
        <w:t>供应商</w:t>
      </w:r>
      <w:r>
        <w:rPr>
          <w:kern w:val="2"/>
          <w:sz w:val="21"/>
          <w:szCs w:val="21"/>
          <w:lang w:eastAsia="zh-CN"/>
        </w:rPr>
        <w:t>提交两份或两份以上内容不同的投标报价，未声明哪一份有效的；</w:t>
      </w:r>
    </w:p>
    <w:p>
      <w:pPr>
        <w:widowControl w:val="0"/>
        <w:snapToGrid w:val="0"/>
        <w:spacing w:line="360" w:lineRule="auto"/>
        <w:ind w:firstLine="424" w:firstLineChars="200"/>
        <w:jc w:val="both"/>
        <w:rPr>
          <w:kern w:val="2"/>
          <w:sz w:val="21"/>
          <w:szCs w:val="21"/>
          <w:lang w:eastAsia="zh-CN"/>
        </w:rPr>
      </w:pPr>
      <w:r>
        <w:rPr>
          <w:kern w:val="2"/>
          <w:sz w:val="21"/>
          <w:szCs w:val="21"/>
          <w:lang w:eastAsia="zh-CN"/>
        </w:rPr>
        <w:t>2）投标文件内容未按采购文件规定签字或盖章的；</w:t>
      </w:r>
    </w:p>
    <w:p>
      <w:pPr>
        <w:widowControl w:val="0"/>
        <w:snapToGrid w:val="0"/>
        <w:spacing w:line="360" w:lineRule="auto"/>
        <w:ind w:firstLine="424" w:firstLineChars="200"/>
        <w:jc w:val="both"/>
        <w:rPr>
          <w:kern w:val="2"/>
          <w:sz w:val="21"/>
          <w:szCs w:val="21"/>
          <w:lang w:eastAsia="zh-CN"/>
        </w:rPr>
      </w:pPr>
      <w:r>
        <w:rPr>
          <w:kern w:val="2"/>
          <w:sz w:val="21"/>
          <w:szCs w:val="21"/>
          <w:lang w:eastAsia="zh-CN"/>
        </w:rPr>
        <w:t>3）《开标一览表》和《</w:t>
      </w:r>
      <w:r>
        <w:rPr>
          <w:rFonts w:hint="eastAsia"/>
          <w:kern w:val="2"/>
          <w:sz w:val="21"/>
          <w:szCs w:val="21"/>
          <w:lang w:eastAsia="zh-CN"/>
        </w:rPr>
        <w:t>分项报价表</w:t>
      </w:r>
      <w:r>
        <w:rPr>
          <w:kern w:val="2"/>
          <w:sz w:val="21"/>
          <w:szCs w:val="21"/>
          <w:lang w:eastAsia="zh-CN"/>
        </w:rPr>
        <w:t>》内容不完整且不接受修正意见或字迹不能辨认的或未提供；</w:t>
      </w:r>
    </w:p>
    <w:p>
      <w:pPr>
        <w:widowControl w:val="0"/>
        <w:snapToGrid w:val="0"/>
        <w:spacing w:line="360" w:lineRule="auto"/>
        <w:ind w:firstLine="424" w:firstLineChars="200"/>
        <w:jc w:val="both"/>
        <w:rPr>
          <w:kern w:val="2"/>
          <w:sz w:val="21"/>
          <w:szCs w:val="21"/>
          <w:lang w:eastAsia="zh-CN"/>
        </w:rPr>
      </w:pPr>
      <w:r>
        <w:rPr>
          <w:kern w:val="2"/>
          <w:sz w:val="21"/>
          <w:szCs w:val="21"/>
          <w:lang w:eastAsia="zh-CN"/>
        </w:rPr>
        <w:t>4）</w:t>
      </w:r>
      <w:r>
        <w:rPr>
          <w:rFonts w:hint="eastAsia"/>
          <w:kern w:val="2"/>
          <w:sz w:val="21"/>
          <w:szCs w:val="21"/>
          <w:lang w:eastAsia="zh-CN"/>
        </w:rPr>
        <w:t>所投项目</w:t>
      </w:r>
      <w:r>
        <w:rPr>
          <w:kern w:val="2"/>
          <w:sz w:val="21"/>
          <w:szCs w:val="21"/>
          <w:lang w:eastAsia="zh-CN"/>
        </w:rPr>
        <w:t>的投标报价超过采购文件规定的预算金额或最高限价；</w:t>
      </w:r>
    </w:p>
    <w:p>
      <w:pPr>
        <w:widowControl w:val="0"/>
        <w:snapToGrid w:val="0"/>
        <w:spacing w:line="360" w:lineRule="auto"/>
        <w:ind w:firstLine="424" w:firstLineChars="200"/>
        <w:jc w:val="both"/>
        <w:rPr>
          <w:kern w:val="2"/>
          <w:sz w:val="21"/>
          <w:szCs w:val="21"/>
          <w:lang w:eastAsia="zh-CN"/>
        </w:rPr>
      </w:pPr>
      <w:r>
        <w:rPr>
          <w:kern w:val="2"/>
          <w:sz w:val="21"/>
          <w:szCs w:val="21"/>
          <w:lang w:eastAsia="zh-CN"/>
        </w:rPr>
        <w:t>5）《开标一览表》投标报价为零的，或其报价（大写）无法按正常书写方式进行报价唱标的或无投标报价的；</w:t>
      </w:r>
    </w:p>
    <w:p>
      <w:pPr>
        <w:widowControl w:val="0"/>
        <w:snapToGrid w:val="0"/>
        <w:spacing w:line="360" w:lineRule="auto"/>
        <w:ind w:firstLine="424" w:firstLineChars="200"/>
        <w:jc w:val="both"/>
        <w:rPr>
          <w:kern w:val="2"/>
          <w:sz w:val="21"/>
          <w:szCs w:val="21"/>
          <w:lang w:eastAsia="zh-CN"/>
        </w:rPr>
      </w:pPr>
      <w:r>
        <w:rPr>
          <w:kern w:val="2"/>
          <w:sz w:val="21"/>
          <w:szCs w:val="21"/>
          <w:lang w:eastAsia="zh-CN"/>
        </w:rPr>
        <w:t>6）投标报价明显高于其市场报价或报价明显不合理或者低于成本，且在规定时间内不能合理说明原因并提供证明材料的；</w:t>
      </w:r>
    </w:p>
    <w:p>
      <w:pPr>
        <w:widowControl w:val="0"/>
        <w:snapToGrid w:val="0"/>
        <w:spacing w:line="360" w:lineRule="auto"/>
        <w:ind w:firstLine="424" w:firstLineChars="200"/>
        <w:jc w:val="both"/>
        <w:rPr>
          <w:kern w:val="2"/>
          <w:sz w:val="21"/>
          <w:szCs w:val="21"/>
          <w:lang w:eastAsia="zh-CN"/>
        </w:rPr>
      </w:pPr>
      <w:r>
        <w:rPr>
          <w:kern w:val="2"/>
          <w:sz w:val="21"/>
          <w:szCs w:val="21"/>
          <w:lang w:eastAsia="zh-CN"/>
        </w:rPr>
        <w:t>7）投标文件内容不全或内容字迹模糊辨认不清的等而导致评标活动无法正常进行；</w:t>
      </w:r>
    </w:p>
    <w:p>
      <w:pPr>
        <w:widowControl w:val="0"/>
        <w:snapToGrid w:val="0"/>
        <w:spacing w:line="360" w:lineRule="auto"/>
        <w:ind w:firstLine="424" w:firstLineChars="200"/>
        <w:jc w:val="both"/>
        <w:rPr>
          <w:kern w:val="2"/>
          <w:sz w:val="21"/>
          <w:szCs w:val="21"/>
          <w:lang w:eastAsia="zh-CN"/>
        </w:rPr>
      </w:pPr>
      <w:r>
        <w:rPr>
          <w:kern w:val="2"/>
          <w:sz w:val="21"/>
          <w:szCs w:val="21"/>
          <w:lang w:eastAsia="zh-CN"/>
        </w:rPr>
        <w:t>8）</w:t>
      </w:r>
      <w:r>
        <w:rPr>
          <w:rFonts w:hint="eastAsia"/>
          <w:kern w:val="2"/>
          <w:sz w:val="21"/>
          <w:szCs w:val="21"/>
          <w:lang w:eastAsia="zh-CN"/>
        </w:rPr>
        <w:t>供应商</w:t>
      </w:r>
      <w:r>
        <w:rPr>
          <w:kern w:val="2"/>
          <w:sz w:val="21"/>
          <w:szCs w:val="21"/>
          <w:lang w:eastAsia="zh-CN"/>
        </w:rPr>
        <w:t>未按采购文件变更通知更改投标文件的；</w:t>
      </w:r>
    </w:p>
    <w:p>
      <w:pPr>
        <w:widowControl w:val="0"/>
        <w:snapToGrid w:val="0"/>
        <w:spacing w:line="360" w:lineRule="auto"/>
        <w:ind w:firstLine="424" w:firstLineChars="200"/>
        <w:jc w:val="both"/>
        <w:rPr>
          <w:kern w:val="2"/>
          <w:sz w:val="21"/>
          <w:szCs w:val="21"/>
          <w:lang w:eastAsia="zh-CN"/>
        </w:rPr>
      </w:pPr>
      <w:r>
        <w:rPr>
          <w:kern w:val="2"/>
          <w:sz w:val="21"/>
          <w:szCs w:val="21"/>
          <w:lang w:eastAsia="zh-CN"/>
        </w:rPr>
        <w:t>9）未实质性响应采购文件中带“▲”条款要求的投标文件；</w:t>
      </w:r>
    </w:p>
    <w:p>
      <w:pPr>
        <w:widowControl w:val="0"/>
        <w:snapToGrid w:val="0"/>
        <w:spacing w:line="360" w:lineRule="auto"/>
        <w:ind w:firstLine="424" w:firstLineChars="200"/>
        <w:jc w:val="both"/>
        <w:rPr>
          <w:kern w:val="2"/>
          <w:sz w:val="21"/>
          <w:szCs w:val="21"/>
          <w:lang w:eastAsia="zh-CN"/>
        </w:rPr>
      </w:pPr>
      <w:r>
        <w:rPr>
          <w:kern w:val="2"/>
          <w:sz w:val="21"/>
          <w:szCs w:val="21"/>
          <w:lang w:eastAsia="zh-CN"/>
        </w:rPr>
        <w:t>10）投标文件附有采购人不能接受的条款；</w:t>
      </w:r>
    </w:p>
    <w:p>
      <w:pPr>
        <w:widowControl w:val="0"/>
        <w:snapToGrid w:val="0"/>
        <w:spacing w:line="360" w:lineRule="auto"/>
        <w:ind w:firstLine="424" w:firstLineChars="200"/>
        <w:jc w:val="both"/>
        <w:rPr>
          <w:kern w:val="2"/>
          <w:sz w:val="21"/>
          <w:szCs w:val="21"/>
          <w:lang w:eastAsia="zh-CN"/>
        </w:rPr>
      </w:pPr>
      <w:r>
        <w:rPr>
          <w:kern w:val="2"/>
          <w:sz w:val="21"/>
          <w:szCs w:val="21"/>
          <w:lang w:eastAsia="zh-CN"/>
        </w:rPr>
        <w:t>11）投标文件中提供了与采购无关的赠品、回扣或者其他商品、服务；</w:t>
      </w:r>
    </w:p>
    <w:p>
      <w:pPr>
        <w:widowControl w:val="0"/>
        <w:snapToGrid w:val="0"/>
        <w:spacing w:line="360" w:lineRule="auto"/>
        <w:ind w:firstLine="424" w:firstLineChars="200"/>
        <w:jc w:val="both"/>
        <w:rPr>
          <w:kern w:val="2"/>
          <w:sz w:val="21"/>
          <w:szCs w:val="21"/>
          <w:lang w:eastAsia="zh-CN"/>
        </w:rPr>
      </w:pPr>
      <w:r>
        <w:rPr>
          <w:kern w:val="2"/>
          <w:sz w:val="21"/>
          <w:szCs w:val="21"/>
          <w:lang w:eastAsia="zh-CN"/>
        </w:rPr>
        <w:t>12）</w:t>
      </w:r>
      <w:r>
        <w:rPr>
          <w:rFonts w:hint="eastAsia"/>
          <w:kern w:val="2"/>
          <w:sz w:val="21"/>
          <w:szCs w:val="21"/>
          <w:lang w:eastAsia="zh-CN"/>
        </w:rPr>
        <w:t>供应商</w:t>
      </w:r>
      <w:r>
        <w:rPr>
          <w:kern w:val="2"/>
          <w:sz w:val="21"/>
          <w:szCs w:val="21"/>
          <w:lang w:eastAsia="zh-CN"/>
        </w:rPr>
        <w:t>串通投标，妨碍其他</w:t>
      </w:r>
      <w:r>
        <w:rPr>
          <w:rFonts w:hint="eastAsia"/>
          <w:kern w:val="2"/>
          <w:sz w:val="21"/>
          <w:szCs w:val="21"/>
          <w:lang w:eastAsia="zh-CN"/>
        </w:rPr>
        <w:t>供应商</w:t>
      </w:r>
      <w:r>
        <w:rPr>
          <w:kern w:val="2"/>
          <w:sz w:val="21"/>
          <w:szCs w:val="21"/>
          <w:lang w:eastAsia="zh-CN"/>
        </w:rPr>
        <w:t>的竞争行为，损害采购人或者其他</w:t>
      </w:r>
      <w:r>
        <w:rPr>
          <w:rFonts w:hint="eastAsia"/>
          <w:kern w:val="2"/>
          <w:sz w:val="21"/>
          <w:szCs w:val="21"/>
          <w:lang w:eastAsia="zh-CN"/>
        </w:rPr>
        <w:t>供应商</w:t>
      </w:r>
      <w:r>
        <w:rPr>
          <w:kern w:val="2"/>
          <w:sz w:val="21"/>
          <w:szCs w:val="21"/>
          <w:lang w:eastAsia="zh-CN"/>
        </w:rPr>
        <w:t>的合法权益；</w:t>
      </w:r>
    </w:p>
    <w:p>
      <w:pPr>
        <w:widowControl w:val="0"/>
        <w:snapToGrid w:val="0"/>
        <w:spacing w:line="360" w:lineRule="auto"/>
        <w:ind w:firstLine="424" w:firstLineChars="200"/>
        <w:jc w:val="both"/>
        <w:rPr>
          <w:kern w:val="2"/>
          <w:sz w:val="21"/>
          <w:szCs w:val="21"/>
          <w:lang w:eastAsia="zh-CN"/>
        </w:rPr>
      </w:pPr>
      <w:r>
        <w:rPr>
          <w:kern w:val="2"/>
          <w:sz w:val="21"/>
          <w:szCs w:val="21"/>
          <w:lang w:eastAsia="zh-CN"/>
        </w:rPr>
        <w:t>13）违反国家及政府部门相关法律、法规、文件规定或经评标委员会认定的其他属于重大偏离。</w:t>
      </w:r>
    </w:p>
    <w:p>
      <w:pPr>
        <w:widowControl/>
        <w:autoSpaceDE w:val="0"/>
        <w:autoSpaceDN w:val="0"/>
        <w:snapToGrid w:val="0"/>
        <w:spacing w:line="360" w:lineRule="auto"/>
        <w:ind w:firstLine="424" w:firstLineChars="200"/>
        <w:jc w:val="both"/>
        <w:outlineLvl w:val="2"/>
        <w:rPr>
          <w:rFonts w:hint="eastAsia" w:ascii="Times New Roman" w:hAnsi="宋体" w:cs="Times New Roman"/>
          <w:b/>
          <w:bCs/>
          <w:color w:val="000000" w:themeColor="text1"/>
          <w:kern w:val="2"/>
          <w:sz w:val="21"/>
          <w:szCs w:val="24"/>
          <w:highlight w:val="none"/>
          <w:lang w:eastAsia="zh-CN"/>
          <w14:textFill>
            <w14:solidFill>
              <w14:schemeClr w14:val="tx1"/>
            </w14:solidFill>
          </w14:textFill>
        </w:rPr>
      </w:pPr>
      <w:r>
        <w:rPr>
          <w:rFonts w:hint="eastAsia" w:ascii="Times New Roman" w:hAnsi="宋体" w:cs="Times New Roman"/>
          <w:b/>
          <w:bCs/>
          <w:color w:val="000000" w:themeColor="text1"/>
          <w:kern w:val="2"/>
          <w:sz w:val="21"/>
          <w:szCs w:val="24"/>
          <w:highlight w:val="none"/>
          <w:lang w:val="en-US" w:eastAsia="zh-CN"/>
          <w14:textFill>
            <w14:solidFill>
              <w14:schemeClr w14:val="tx1"/>
            </w14:solidFill>
          </w14:textFill>
        </w:rPr>
        <w:t>8.</w:t>
      </w:r>
      <w:r>
        <w:rPr>
          <w:rFonts w:hint="eastAsia" w:ascii="Times New Roman" w:hAnsi="宋体" w:cs="Times New Roman"/>
          <w:b/>
          <w:bCs/>
          <w:color w:val="000000" w:themeColor="text1"/>
          <w:kern w:val="2"/>
          <w:sz w:val="21"/>
          <w:szCs w:val="24"/>
          <w:highlight w:val="none"/>
          <w:lang w:eastAsia="zh-CN"/>
          <w14:textFill>
            <w14:solidFill>
              <w14:schemeClr w14:val="tx1"/>
            </w14:solidFill>
          </w14:textFill>
        </w:rPr>
        <w:t>串通投标</w:t>
      </w:r>
    </w:p>
    <w:p>
      <w:pPr>
        <w:widowControl w:val="0"/>
        <w:snapToGrid w:val="0"/>
        <w:spacing w:line="360" w:lineRule="auto"/>
        <w:ind w:firstLine="424" w:firstLineChars="200"/>
        <w:jc w:val="both"/>
        <w:rPr>
          <w:kern w:val="2"/>
          <w:sz w:val="21"/>
          <w:szCs w:val="21"/>
          <w:lang w:eastAsia="zh-CN"/>
        </w:rPr>
      </w:pPr>
      <w:r>
        <w:rPr>
          <w:kern w:val="2"/>
          <w:sz w:val="21"/>
          <w:szCs w:val="21"/>
          <w:lang w:eastAsia="zh-CN"/>
        </w:rPr>
        <w:t>有下列情形之一的，视为</w:t>
      </w:r>
      <w:r>
        <w:rPr>
          <w:rFonts w:hint="eastAsia"/>
          <w:kern w:val="2"/>
          <w:sz w:val="21"/>
          <w:szCs w:val="21"/>
          <w:lang w:eastAsia="zh-CN"/>
        </w:rPr>
        <w:t>供应商</w:t>
      </w:r>
      <w:r>
        <w:rPr>
          <w:kern w:val="2"/>
          <w:sz w:val="21"/>
          <w:szCs w:val="21"/>
          <w:lang w:eastAsia="zh-CN"/>
        </w:rPr>
        <w:t>串通投标：</w:t>
      </w:r>
    </w:p>
    <w:p>
      <w:pPr>
        <w:widowControl w:val="0"/>
        <w:snapToGrid w:val="0"/>
        <w:spacing w:line="360" w:lineRule="auto"/>
        <w:ind w:firstLine="424" w:firstLineChars="200"/>
        <w:jc w:val="both"/>
        <w:rPr>
          <w:kern w:val="2"/>
          <w:sz w:val="21"/>
          <w:szCs w:val="21"/>
          <w:lang w:eastAsia="zh-CN"/>
        </w:rPr>
      </w:pPr>
      <w:r>
        <w:rPr>
          <w:kern w:val="2"/>
          <w:sz w:val="21"/>
          <w:szCs w:val="21"/>
          <w:lang w:eastAsia="zh-CN"/>
        </w:rPr>
        <w:t>1）不同</w:t>
      </w:r>
      <w:r>
        <w:rPr>
          <w:rFonts w:hint="eastAsia"/>
          <w:kern w:val="2"/>
          <w:sz w:val="21"/>
          <w:szCs w:val="21"/>
          <w:lang w:eastAsia="zh-CN"/>
        </w:rPr>
        <w:t>供应商</w:t>
      </w:r>
      <w:r>
        <w:rPr>
          <w:kern w:val="2"/>
          <w:sz w:val="21"/>
          <w:szCs w:val="21"/>
          <w:lang w:eastAsia="zh-CN"/>
        </w:rPr>
        <w:t>的投标文件由同一单位或者个人编制；</w:t>
      </w:r>
    </w:p>
    <w:p>
      <w:pPr>
        <w:widowControl w:val="0"/>
        <w:snapToGrid w:val="0"/>
        <w:spacing w:line="360" w:lineRule="auto"/>
        <w:ind w:firstLine="424" w:firstLineChars="200"/>
        <w:jc w:val="both"/>
        <w:rPr>
          <w:kern w:val="2"/>
          <w:sz w:val="21"/>
          <w:szCs w:val="21"/>
          <w:lang w:eastAsia="zh-CN"/>
        </w:rPr>
      </w:pPr>
      <w:r>
        <w:rPr>
          <w:kern w:val="2"/>
          <w:sz w:val="21"/>
          <w:szCs w:val="21"/>
          <w:lang w:eastAsia="zh-CN"/>
        </w:rPr>
        <w:t>2）不同</w:t>
      </w:r>
      <w:r>
        <w:rPr>
          <w:rFonts w:hint="eastAsia"/>
          <w:kern w:val="2"/>
          <w:sz w:val="21"/>
          <w:szCs w:val="21"/>
          <w:lang w:eastAsia="zh-CN"/>
        </w:rPr>
        <w:t>供应商</w:t>
      </w:r>
      <w:r>
        <w:rPr>
          <w:kern w:val="2"/>
          <w:sz w:val="21"/>
          <w:szCs w:val="21"/>
          <w:lang w:eastAsia="zh-CN"/>
        </w:rPr>
        <w:t>委托同一单位或者个人办理投标事宜；</w:t>
      </w:r>
    </w:p>
    <w:p>
      <w:pPr>
        <w:widowControl w:val="0"/>
        <w:snapToGrid w:val="0"/>
        <w:spacing w:line="360" w:lineRule="auto"/>
        <w:ind w:firstLine="424" w:firstLineChars="200"/>
        <w:jc w:val="both"/>
        <w:rPr>
          <w:kern w:val="2"/>
          <w:sz w:val="21"/>
          <w:szCs w:val="21"/>
          <w:lang w:eastAsia="zh-CN"/>
        </w:rPr>
      </w:pPr>
      <w:r>
        <w:rPr>
          <w:kern w:val="2"/>
          <w:sz w:val="21"/>
          <w:szCs w:val="21"/>
          <w:lang w:eastAsia="zh-CN"/>
        </w:rPr>
        <w:t>3）不同</w:t>
      </w:r>
      <w:r>
        <w:rPr>
          <w:rFonts w:hint="eastAsia"/>
          <w:kern w:val="2"/>
          <w:sz w:val="21"/>
          <w:szCs w:val="21"/>
          <w:lang w:eastAsia="zh-CN"/>
        </w:rPr>
        <w:t>供应商</w:t>
      </w:r>
      <w:r>
        <w:rPr>
          <w:kern w:val="2"/>
          <w:sz w:val="21"/>
          <w:szCs w:val="21"/>
          <w:lang w:eastAsia="zh-CN"/>
        </w:rPr>
        <w:t>的投标文件载明的项目管理成员或者联系人员为同一人；</w:t>
      </w:r>
    </w:p>
    <w:p>
      <w:pPr>
        <w:widowControl w:val="0"/>
        <w:snapToGrid w:val="0"/>
        <w:spacing w:line="360" w:lineRule="auto"/>
        <w:ind w:firstLine="424" w:firstLineChars="200"/>
        <w:jc w:val="both"/>
        <w:rPr>
          <w:kern w:val="2"/>
          <w:sz w:val="21"/>
          <w:szCs w:val="21"/>
          <w:lang w:eastAsia="zh-CN"/>
        </w:rPr>
      </w:pPr>
      <w:r>
        <w:rPr>
          <w:kern w:val="2"/>
          <w:sz w:val="21"/>
          <w:szCs w:val="21"/>
          <w:lang w:eastAsia="zh-CN"/>
        </w:rPr>
        <w:t>4）不同</w:t>
      </w:r>
      <w:r>
        <w:rPr>
          <w:rFonts w:hint="eastAsia"/>
          <w:kern w:val="2"/>
          <w:sz w:val="21"/>
          <w:szCs w:val="21"/>
          <w:lang w:eastAsia="zh-CN"/>
        </w:rPr>
        <w:t>供应商</w:t>
      </w:r>
      <w:r>
        <w:rPr>
          <w:kern w:val="2"/>
          <w:sz w:val="21"/>
          <w:szCs w:val="21"/>
          <w:lang w:eastAsia="zh-CN"/>
        </w:rPr>
        <w:t>的投标文件异常一致或者投标报价呈规律性差异；</w:t>
      </w:r>
    </w:p>
    <w:p>
      <w:pPr>
        <w:widowControl w:val="0"/>
        <w:snapToGrid w:val="0"/>
        <w:spacing w:line="360" w:lineRule="auto"/>
        <w:ind w:firstLine="424" w:firstLineChars="200"/>
        <w:jc w:val="both"/>
        <w:rPr>
          <w:kern w:val="2"/>
          <w:sz w:val="21"/>
          <w:szCs w:val="21"/>
          <w:lang w:eastAsia="zh-CN"/>
        </w:rPr>
      </w:pPr>
      <w:r>
        <w:rPr>
          <w:kern w:val="2"/>
          <w:sz w:val="21"/>
          <w:szCs w:val="21"/>
          <w:lang w:eastAsia="zh-CN"/>
        </w:rPr>
        <w:t>5）不同</w:t>
      </w:r>
      <w:r>
        <w:rPr>
          <w:rFonts w:hint="eastAsia"/>
          <w:kern w:val="2"/>
          <w:sz w:val="21"/>
          <w:szCs w:val="21"/>
          <w:lang w:eastAsia="zh-CN"/>
        </w:rPr>
        <w:t>供应商</w:t>
      </w:r>
      <w:r>
        <w:rPr>
          <w:kern w:val="2"/>
          <w:sz w:val="21"/>
          <w:szCs w:val="21"/>
          <w:lang w:eastAsia="zh-CN"/>
        </w:rPr>
        <w:t>的投标文件相互混装。</w:t>
      </w:r>
    </w:p>
    <w:p>
      <w:pPr>
        <w:autoSpaceDE w:val="0"/>
        <w:autoSpaceDN w:val="0"/>
        <w:snapToGrid w:val="0"/>
        <w:spacing w:line="360" w:lineRule="auto"/>
        <w:ind w:firstLine="424" w:firstLineChars="200"/>
        <w:jc w:val="both"/>
        <w:outlineLvl w:val="2"/>
        <w:rPr>
          <w:b/>
          <w:kern w:val="2"/>
          <w:sz w:val="21"/>
          <w:szCs w:val="21"/>
          <w:lang w:eastAsia="zh-CN"/>
        </w:rPr>
      </w:pPr>
      <w:r>
        <w:rPr>
          <w:rFonts w:hint="eastAsia"/>
          <w:b/>
          <w:kern w:val="2"/>
          <w:sz w:val="21"/>
          <w:szCs w:val="21"/>
          <w:lang w:val="en-US" w:eastAsia="zh-CN"/>
        </w:rPr>
        <w:t>9.</w:t>
      </w:r>
      <w:r>
        <w:rPr>
          <w:b/>
          <w:kern w:val="2"/>
          <w:sz w:val="21"/>
          <w:szCs w:val="21"/>
          <w:lang w:eastAsia="zh-CN"/>
        </w:rPr>
        <w:t>评标</w:t>
      </w:r>
    </w:p>
    <w:p>
      <w:pPr>
        <w:widowControl w:val="0"/>
        <w:snapToGrid w:val="0"/>
        <w:spacing w:line="360" w:lineRule="auto"/>
        <w:ind w:firstLine="424" w:firstLineChars="200"/>
        <w:jc w:val="both"/>
        <w:rPr>
          <w:kern w:val="2"/>
          <w:sz w:val="21"/>
          <w:szCs w:val="21"/>
          <w:lang w:eastAsia="zh-CN"/>
        </w:rPr>
      </w:pPr>
      <w:r>
        <w:rPr>
          <w:kern w:val="2"/>
          <w:sz w:val="21"/>
          <w:szCs w:val="21"/>
          <w:lang w:eastAsia="zh-CN"/>
        </w:rPr>
        <w:t>9.1 采购人将按相关规定组织评标委员会，对投标文件进行审查、比较和评价。</w:t>
      </w:r>
    </w:p>
    <w:p>
      <w:pPr>
        <w:widowControl w:val="0"/>
        <w:snapToGrid w:val="0"/>
        <w:spacing w:line="360" w:lineRule="auto"/>
        <w:ind w:firstLine="424" w:firstLineChars="200"/>
        <w:jc w:val="both"/>
        <w:rPr>
          <w:kern w:val="2"/>
          <w:sz w:val="21"/>
          <w:szCs w:val="21"/>
          <w:lang w:eastAsia="zh-CN"/>
        </w:rPr>
      </w:pPr>
      <w:r>
        <w:rPr>
          <w:kern w:val="2"/>
          <w:sz w:val="21"/>
          <w:szCs w:val="21"/>
          <w:lang w:eastAsia="zh-CN"/>
        </w:rPr>
        <w:t>9.2评标办法</w:t>
      </w:r>
    </w:p>
    <w:p>
      <w:pPr>
        <w:widowControl w:val="0"/>
        <w:snapToGrid w:val="0"/>
        <w:spacing w:line="360" w:lineRule="auto"/>
        <w:ind w:firstLine="424" w:firstLineChars="200"/>
        <w:jc w:val="both"/>
        <w:rPr>
          <w:kern w:val="2"/>
          <w:sz w:val="21"/>
          <w:szCs w:val="21"/>
          <w:lang w:eastAsia="zh-CN"/>
        </w:rPr>
      </w:pPr>
      <w:r>
        <w:rPr>
          <w:kern w:val="2"/>
          <w:sz w:val="21"/>
          <w:szCs w:val="21"/>
          <w:lang w:eastAsia="zh-CN"/>
        </w:rPr>
        <w:t>评标办法详见第五章。</w:t>
      </w:r>
    </w:p>
    <w:p>
      <w:pPr>
        <w:widowControl/>
        <w:autoSpaceDE w:val="0"/>
        <w:autoSpaceDN w:val="0"/>
        <w:snapToGrid w:val="0"/>
        <w:spacing w:line="360" w:lineRule="auto"/>
        <w:ind w:firstLine="424" w:firstLineChars="200"/>
        <w:jc w:val="both"/>
        <w:outlineLvl w:val="2"/>
        <w:rPr>
          <w:rFonts w:hint="eastAsia" w:ascii="Times New Roman" w:hAnsi="宋体" w:cs="Times New Roman"/>
          <w:b/>
          <w:bCs/>
          <w:color w:val="000000" w:themeColor="text1"/>
          <w:kern w:val="2"/>
          <w:sz w:val="21"/>
          <w:szCs w:val="24"/>
          <w:highlight w:val="none"/>
          <w:lang w:eastAsia="zh-CN"/>
          <w14:textFill>
            <w14:solidFill>
              <w14:schemeClr w14:val="tx1"/>
            </w14:solidFill>
          </w14:textFill>
        </w:rPr>
      </w:pPr>
      <w:r>
        <w:rPr>
          <w:rFonts w:hint="eastAsia" w:ascii="Times New Roman" w:hAnsi="宋体" w:cs="Times New Roman"/>
          <w:b/>
          <w:bCs/>
          <w:color w:val="000000" w:themeColor="text1"/>
          <w:kern w:val="2"/>
          <w:sz w:val="21"/>
          <w:szCs w:val="24"/>
          <w:highlight w:val="none"/>
          <w:lang w:eastAsia="zh-CN"/>
          <w14:textFill>
            <w14:solidFill>
              <w14:schemeClr w14:val="tx1"/>
            </w14:solidFill>
          </w14:textFill>
        </w:rPr>
        <w:t xml:space="preserve">10 </w:t>
      </w:r>
      <w:r>
        <w:rPr>
          <w:rFonts w:hint="eastAsia" w:ascii="Times New Roman" w:hAnsi="宋体" w:cs="Times New Roman"/>
          <w:b/>
          <w:bCs/>
          <w:color w:val="000000" w:themeColor="text1"/>
          <w:kern w:val="2"/>
          <w:sz w:val="21"/>
          <w:szCs w:val="24"/>
          <w:highlight w:val="none"/>
          <w:lang w:val="en-US" w:eastAsia="zh-CN"/>
          <w14:textFill>
            <w14:solidFill>
              <w14:schemeClr w14:val="tx1"/>
            </w14:solidFill>
          </w14:textFill>
        </w:rPr>
        <w:t>.</w:t>
      </w:r>
      <w:r>
        <w:rPr>
          <w:rFonts w:hint="eastAsia" w:ascii="Times New Roman" w:hAnsi="宋体" w:cs="Times New Roman"/>
          <w:b/>
          <w:bCs/>
          <w:color w:val="000000" w:themeColor="text1"/>
          <w:kern w:val="2"/>
          <w:sz w:val="21"/>
          <w:szCs w:val="24"/>
          <w:highlight w:val="none"/>
          <w:lang w:eastAsia="zh-CN"/>
          <w14:textFill>
            <w14:solidFill>
              <w14:schemeClr w14:val="tx1"/>
            </w14:solidFill>
          </w14:textFill>
        </w:rPr>
        <w:t>有效供应商少于三家的情况处理</w:t>
      </w:r>
    </w:p>
    <w:p>
      <w:pPr>
        <w:widowControl w:val="0"/>
        <w:snapToGrid w:val="0"/>
        <w:spacing w:line="360" w:lineRule="auto"/>
        <w:ind w:firstLine="424" w:firstLineChars="200"/>
        <w:jc w:val="both"/>
        <w:rPr>
          <w:kern w:val="2"/>
          <w:sz w:val="21"/>
          <w:szCs w:val="21"/>
          <w:lang w:eastAsia="zh-CN"/>
        </w:rPr>
      </w:pPr>
      <w:r>
        <w:rPr>
          <w:kern w:val="2"/>
          <w:sz w:val="21"/>
          <w:szCs w:val="21"/>
          <w:lang w:eastAsia="zh-CN"/>
        </w:rPr>
        <w:t>评审期间，出现符合资格条件的供应商或者对采购文件做出实质响应的供应商不足三家，采购人可选择以下方式之一处理：</w:t>
      </w:r>
    </w:p>
    <w:p>
      <w:pPr>
        <w:widowControl w:val="0"/>
        <w:snapToGrid w:val="0"/>
        <w:spacing w:line="360" w:lineRule="auto"/>
        <w:ind w:firstLine="424" w:firstLineChars="200"/>
        <w:jc w:val="both"/>
        <w:rPr>
          <w:kern w:val="2"/>
          <w:sz w:val="21"/>
          <w:szCs w:val="21"/>
          <w:lang w:eastAsia="zh-CN"/>
        </w:rPr>
      </w:pPr>
      <w:r>
        <w:rPr>
          <w:kern w:val="2"/>
          <w:sz w:val="21"/>
          <w:szCs w:val="21"/>
          <w:lang w:eastAsia="zh-CN"/>
        </w:rPr>
        <w:t>1）可将本标项作废标处理，重新组织采购；</w:t>
      </w:r>
    </w:p>
    <w:p>
      <w:pPr>
        <w:widowControl w:val="0"/>
        <w:snapToGrid w:val="0"/>
        <w:spacing w:line="360" w:lineRule="auto"/>
        <w:ind w:firstLine="424" w:firstLineChars="200"/>
        <w:jc w:val="both"/>
        <w:rPr>
          <w:kern w:val="2"/>
          <w:sz w:val="21"/>
          <w:szCs w:val="21"/>
          <w:lang w:eastAsia="zh-CN"/>
        </w:rPr>
      </w:pPr>
      <w:r>
        <w:rPr>
          <w:kern w:val="2"/>
          <w:sz w:val="21"/>
          <w:szCs w:val="21"/>
          <w:lang w:eastAsia="zh-CN"/>
        </w:rPr>
        <w:t>2）可按财政部门的审批意见采用其他采购方式组织采购；</w:t>
      </w:r>
    </w:p>
    <w:p>
      <w:pPr>
        <w:widowControl/>
        <w:autoSpaceDE w:val="0"/>
        <w:autoSpaceDN w:val="0"/>
        <w:snapToGrid w:val="0"/>
        <w:spacing w:line="360" w:lineRule="auto"/>
        <w:ind w:firstLine="424" w:firstLineChars="200"/>
        <w:jc w:val="both"/>
        <w:outlineLvl w:val="2"/>
        <w:rPr>
          <w:rFonts w:hint="eastAsia" w:ascii="Times New Roman" w:hAnsi="宋体" w:cs="Times New Roman"/>
          <w:b/>
          <w:bCs/>
          <w:color w:val="000000" w:themeColor="text1"/>
          <w:kern w:val="2"/>
          <w:sz w:val="21"/>
          <w:szCs w:val="24"/>
          <w:highlight w:val="none"/>
          <w:lang w:eastAsia="zh-CN"/>
          <w14:textFill>
            <w14:solidFill>
              <w14:schemeClr w14:val="tx1"/>
            </w14:solidFill>
          </w14:textFill>
        </w:rPr>
      </w:pPr>
      <w:r>
        <w:rPr>
          <w:rFonts w:hint="eastAsia" w:ascii="Times New Roman" w:hAnsi="宋体" w:cs="Times New Roman"/>
          <w:b/>
          <w:bCs/>
          <w:color w:val="000000" w:themeColor="text1"/>
          <w:kern w:val="2"/>
          <w:sz w:val="21"/>
          <w:szCs w:val="24"/>
          <w:highlight w:val="none"/>
          <w:lang w:eastAsia="zh-CN"/>
          <w14:textFill>
            <w14:solidFill>
              <w14:schemeClr w14:val="tx1"/>
            </w14:solidFill>
          </w14:textFill>
        </w:rPr>
        <w:t>11</w:t>
      </w:r>
      <w:r>
        <w:rPr>
          <w:rFonts w:hint="eastAsia" w:ascii="Times New Roman" w:hAnsi="宋体" w:cs="Times New Roman"/>
          <w:b/>
          <w:bCs/>
          <w:color w:val="000000" w:themeColor="text1"/>
          <w:kern w:val="2"/>
          <w:sz w:val="21"/>
          <w:szCs w:val="24"/>
          <w:highlight w:val="none"/>
          <w:lang w:val="en-US" w:eastAsia="zh-CN"/>
          <w14:textFill>
            <w14:solidFill>
              <w14:schemeClr w14:val="tx1"/>
            </w14:solidFill>
          </w14:textFill>
        </w:rPr>
        <w:t>.</w:t>
      </w:r>
      <w:r>
        <w:rPr>
          <w:rFonts w:hint="eastAsia" w:ascii="Times New Roman" w:hAnsi="宋体" w:cs="Times New Roman"/>
          <w:b/>
          <w:bCs/>
          <w:color w:val="000000" w:themeColor="text1"/>
          <w:kern w:val="2"/>
          <w:sz w:val="21"/>
          <w:szCs w:val="24"/>
          <w:highlight w:val="none"/>
          <w:lang w:eastAsia="zh-CN"/>
          <w14:textFill>
            <w14:solidFill>
              <w14:schemeClr w14:val="tx1"/>
            </w14:solidFill>
          </w14:textFill>
        </w:rPr>
        <w:t xml:space="preserve"> 废标</w:t>
      </w:r>
    </w:p>
    <w:p>
      <w:pPr>
        <w:widowControl w:val="0"/>
        <w:snapToGrid w:val="0"/>
        <w:spacing w:line="360" w:lineRule="auto"/>
        <w:ind w:firstLine="424" w:firstLineChars="200"/>
        <w:jc w:val="both"/>
        <w:rPr>
          <w:kern w:val="2"/>
          <w:sz w:val="21"/>
          <w:szCs w:val="21"/>
          <w:lang w:eastAsia="zh-CN"/>
        </w:rPr>
      </w:pPr>
      <w:r>
        <w:rPr>
          <w:kern w:val="2"/>
          <w:sz w:val="21"/>
          <w:szCs w:val="21"/>
          <w:lang w:eastAsia="zh-CN"/>
        </w:rPr>
        <w:t>在招标采购中，出现下列情形之一的，应予废标：</w:t>
      </w:r>
    </w:p>
    <w:p>
      <w:pPr>
        <w:widowControl w:val="0"/>
        <w:snapToGrid w:val="0"/>
        <w:spacing w:line="360" w:lineRule="auto"/>
        <w:ind w:firstLine="424" w:firstLineChars="200"/>
        <w:jc w:val="both"/>
        <w:rPr>
          <w:kern w:val="2"/>
          <w:sz w:val="21"/>
          <w:szCs w:val="21"/>
          <w:lang w:eastAsia="zh-CN"/>
        </w:rPr>
      </w:pPr>
      <w:r>
        <w:rPr>
          <w:kern w:val="2"/>
          <w:sz w:val="21"/>
          <w:szCs w:val="21"/>
          <w:lang w:eastAsia="zh-CN"/>
        </w:rPr>
        <w:t>（1）符合采购文件规定废标情形的；</w:t>
      </w:r>
    </w:p>
    <w:p>
      <w:pPr>
        <w:widowControl w:val="0"/>
        <w:snapToGrid w:val="0"/>
        <w:spacing w:line="360" w:lineRule="auto"/>
        <w:ind w:firstLine="424" w:firstLineChars="200"/>
        <w:jc w:val="both"/>
        <w:rPr>
          <w:kern w:val="2"/>
          <w:sz w:val="21"/>
          <w:szCs w:val="21"/>
          <w:lang w:eastAsia="zh-CN"/>
        </w:rPr>
      </w:pPr>
      <w:r>
        <w:rPr>
          <w:kern w:val="2"/>
          <w:sz w:val="21"/>
          <w:szCs w:val="21"/>
          <w:lang w:eastAsia="zh-CN"/>
        </w:rPr>
        <w:t>（2）出现影响采购公正的违法、违规行为的；</w:t>
      </w:r>
    </w:p>
    <w:p>
      <w:pPr>
        <w:widowControl w:val="0"/>
        <w:snapToGrid w:val="0"/>
        <w:spacing w:line="360" w:lineRule="auto"/>
        <w:ind w:firstLine="424" w:firstLineChars="200"/>
        <w:jc w:val="both"/>
        <w:rPr>
          <w:kern w:val="2"/>
          <w:sz w:val="21"/>
          <w:szCs w:val="21"/>
          <w:lang w:eastAsia="zh-CN"/>
        </w:rPr>
      </w:pPr>
      <w:r>
        <w:rPr>
          <w:kern w:val="2"/>
          <w:sz w:val="21"/>
          <w:szCs w:val="21"/>
          <w:lang w:eastAsia="zh-CN"/>
        </w:rPr>
        <w:t>（3）</w:t>
      </w:r>
      <w:r>
        <w:rPr>
          <w:rFonts w:hint="eastAsia"/>
          <w:kern w:val="2"/>
          <w:sz w:val="21"/>
          <w:szCs w:val="21"/>
          <w:lang w:eastAsia="zh-CN"/>
        </w:rPr>
        <w:t>供应商</w:t>
      </w:r>
      <w:r>
        <w:rPr>
          <w:kern w:val="2"/>
          <w:sz w:val="21"/>
          <w:szCs w:val="21"/>
          <w:lang w:eastAsia="zh-CN"/>
        </w:rPr>
        <w:t>的报价均超过了采购预算，采购人不能支付的；</w:t>
      </w:r>
    </w:p>
    <w:p>
      <w:pPr>
        <w:widowControl w:val="0"/>
        <w:snapToGrid w:val="0"/>
        <w:spacing w:line="360" w:lineRule="auto"/>
        <w:ind w:firstLine="424" w:firstLineChars="200"/>
        <w:jc w:val="both"/>
        <w:rPr>
          <w:kern w:val="2"/>
          <w:sz w:val="21"/>
          <w:szCs w:val="21"/>
          <w:lang w:eastAsia="zh-CN"/>
        </w:rPr>
      </w:pPr>
      <w:r>
        <w:rPr>
          <w:kern w:val="2"/>
          <w:sz w:val="21"/>
          <w:szCs w:val="21"/>
          <w:lang w:eastAsia="zh-CN"/>
        </w:rPr>
        <w:t>（4）因重大变故，采购任务取消的；</w:t>
      </w:r>
    </w:p>
    <w:p>
      <w:pPr>
        <w:pStyle w:val="46"/>
        <w:spacing w:line="360" w:lineRule="auto"/>
        <w:ind w:firstLine="421"/>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废标后，废标公告将在原招标公告发布媒体上发布。</w:t>
      </w:r>
    </w:p>
    <w:p>
      <w:pPr>
        <w:ind w:firstLine="424" w:firstLineChars="200"/>
        <w:jc w:val="both"/>
        <w:outlineLvl w:val="2"/>
        <w:rPr>
          <w:rFonts w:hint="eastAsia" w:ascii="Times New Roman" w:hAnsi="宋体" w:cs="Times New Roman"/>
          <w:b/>
          <w:bCs/>
          <w:color w:val="000000" w:themeColor="text1"/>
          <w:highlight w:val="none"/>
          <w14:textFill>
            <w14:solidFill>
              <w14:schemeClr w14:val="tx1"/>
            </w14:solidFill>
          </w14:textFill>
        </w:rPr>
      </w:pPr>
      <w:r>
        <w:rPr>
          <w:rFonts w:hint="eastAsia" w:ascii="Times New Roman" w:hAnsi="宋体" w:cs="Times New Roman"/>
          <w:b/>
          <w:bCs/>
          <w:color w:val="000000" w:themeColor="text1"/>
          <w:highlight w:val="none"/>
          <w:lang w:val="en-US" w:eastAsia="zh-CN"/>
          <w14:textFill>
            <w14:solidFill>
              <w14:schemeClr w14:val="tx1"/>
            </w14:solidFill>
          </w14:textFill>
        </w:rPr>
        <w:t>12</w:t>
      </w:r>
      <w:r>
        <w:rPr>
          <w:rFonts w:hint="eastAsia" w:ascii="Times New Roman" w:hAnsi="宋体" w:cs="Times New Roman"/>
          <w:b/>
          <w:bCs/>
          <w:color w:val="000000" w:themeColor="text1"/>
          <w:highlight w:val="none"/>
          <w14:textFill>
            <w14:solidFill>
              <w14:schemeClr w14:val="tx1"/>
            </w14:solidFill>
          </w14:textFill>
        </w:rPr>
        <w:t>.评标过程的监控</w:t>
      </w:r>
    </w:p>
    <w:p>
      <w:pPr>
        <w:pStyle w:val="2"/>
        <w:snapToGrid w:val="0"/>
        <w:spacing w:line="360" w:lineRule="auto"/>
        <w:ind w:firstLine="424" w:firstLineChars="200"/>
        <w:rPr>
          <w:rFonts w:hAnsi="宋体" w:cs="宋体"/>
          <w:b/>
          <w:color w:val="000000" w:themeColor="text1"/>
          <w:szCs w:val="21"/>
          <w:highlight w:val="none"/>
          <w14:textFill>
            <w14:solidFill>
              <w14:schemeClr w14:val="tx1"/>
            </w14:solidFill>
          </w14:textFill>
        </w:rPr>
      </w:pPr>
      <w:r>
        <w:rPr>
          <w:rFonts w:hAnsi="宋体"/>
          <w:color w:val="000000" w:themeColor="text1"/>
          <w:highlight w:val="none"/>
          <w14:textFill>
            <w14:solidFill>
              <w14:schemeClr w14:val="tx1"/>
            </w14:solidFill>
          </w14:textFill>
        </w:rPr>
        <w:t>本项目评标过程实行全程录音、录像监控，投标人在评标过程中所进行的</w:t>
      </w:r>
      <w:r>
        <w:rPr>
          <w:rFonts w:hint="eastAsia" w:hAnsi="宋体"/>
          <w:color w:val="000000" w:themeColor="text1"/>
          <w:highlight w:val="none"/>
          <w14:textFill>
            <w14:solidFill>
              <w14:schemeClr w14:val="tx1"/>
            </w14:solidFill>
          </w14:textFill>
        </w:rPr>
        <w:t>试</w:t>
      </w:r>
      <w:r>
        <w:rPr>
          <w:rFonts w:hAnsi="宋体"/>
          <w:color w:val="000000" w:themeColor="text1"/>
          <w:highlight w:val="none"/>
          <w14:textFill>
            <w14:solidFill>
              <w14:schemeClr w14:val="tx1"/>
            </w14:solidFill>
          </w14:textFill>
        </w:rPr>
        <w:t>图影响评标结果的不公正活动，可能导致其投标被拒绝。</w:t>
      </w:r>
      <w:r>
        <w:rPr>
          <w:rFonts w:hint="eastAsia" w:hAnsi="宋体" w:cs="宋体"/>
          <w:b/>
          <w:color w:val="000000" w:themeColor="text1"/>
          <w:szCs w:val="21"/>
          <w:highlight w:val="none"/>
          <w14:textFill>
            <w14:solidFill>
              <w14:schemeClr w14:val="tx1"/>
            </w14:solidFill>
          </w14:textFill>
        </w:rPr>
        <w:t xml:space="preserve">                 </w:t>
      </w:r>
    </w:p>
    <w:p>
      <w:pPr>
        <w:pStyle w:val="2"/>
        <w:snapToGrid w:val="0"/>
        <w:spacing w:line="360" w:lineRule="auto"/>
        <w:ind w:firstLine="3666" w:firstLineChars="1300"/>
        <w:outlineLvl w:val="1"/>
        <w:rPr>
          <w:rFonts w:hint="eastAsia" w:hAnsi="宋体" w:cs="宋体"/>
          <w:b/>
          <w:color w:val="000000" w:themeColor="text1"/>
          <w:sz w:val="28"/>
          <w:szCs w:val="28"/>
          <w:highlight w:val="none"/>
          <w14:textFill>
            <w14:solidFill>
              <w14:schemeClr w14:val="tx1"/>
            </w14:solidFill>
          </w14:textFill>
        </w:rPr>
      </w:pPr>
    </w:p>
    <w:p>
      <w:pPr>
        <w:pStyle w:val="2"/>
        <w:snapToGrid w:val="0"/>
        <w:spacing w:line="360" w:lineRule="auto"/>
        <w:ind w:firstLine="3666" w:firstLineChars="1300"/>
        <w:outlineLvl w:val="1"/>
        <w:rPr>
          <w:rFonts w:hAnsi="宋体" w:cs="宋体"/>
          <w:b/>
          <w:color w:val="000000" w:themeColor="text1"/>
          <w:sz w:val="28"/>
          <w:szCs w:val="28"/>
          <w:highlight w:val="none"/>
          <w14:textFill>
            <w14:solidFill>
              <w14:schemeClr w14:val="tx1"/>
            </w14:solidFill>
          </w14:textFill>
        </w:rPr>
      </w:pPr>
      <w:r>
        <w:rPr>
          <w:rFonts w:hint="eastAsia" w:hAnsi="宋体" w:cs="宋体"/>
          <w:b/>
          <w:color w:val="000000" w:themeColor="text1"/>
          <w:sz w:val="28"/>
          <w:szCs w:val="28"/>
          <w:highlight w:val="none"/>
          <w14:textFill>
            <w14:solidFill>
              <w14:schemeClr w14:val="tx1"/>
            </w14:solidFill>
          </w14:textFill>
        </w:rPr>
        <w:t>七、定标</w:t>
      </w:r>
    </w:p>
    <w:p>
      <w:pPr>
        <w:pStyle w:val="2"/>
        <w:snapToGrid w:val="0"/>
        <w:spacing w:line="360" w:lineRule="auto"/>
        <w:ind w:firstLine="414" w:firstLineChars="196"/>
        <w:rPr>
          <w:rFonts w:hAnsi="宋体" w:cs="宋体"/>
          <w:bCs/>
          <w:color w:val="000000" w:themeColor="text1"/>
          <w:szCs w:val="21"/>
          <w:highlight w:val="none"/>
          <w14:textFill>
            <w14:solidFill>
              <w14:schemeClr w14:val="tx1"/>
            </w14:solidFill>
          </w14:textFill>
        </w:rPr>
      </w:pPr>
      <w:r>
        <w:rPr>
          <w:rFonts w:hint="eastAsia" w:hAnsi="宋体" w:cs="宋体"/>
          <w:bCs/>
          <w:color w:val="000000" w:themeColor="text1"/>
          <w:szCs w:val="21"/>
          <w:highlight w:val="none"/>
          <w14:textFill>
            <w14:solidFill>
              <w14:schemeClr w14:val="tx1"/>
            </w14:solidFill>
          </w14:textFill>
        </w:rPr>
        <w:t>（一）确定中标人。</w:t>
      </w:r>
    </w:p>
    <w:p>
      <w:pPr>
        <w:pStyle w:val="24"/>
        <w:spacing w:line="360" w:lineRule="auto"/>
        <w:rPr>
          <w:rFonts w:ascii="宋体" w:hAnsi="宋体" w:eastAsia="宋体" w:cs="宋体"/>
          <w:sz w:val="21"/>
          <w:szCs w:val="21"/>
          <w:highlight w:val="none"/>
          <w:lang w:val="en-US"/>
        </w:rPr>
      </w:pPr>
      <w:r>
        <w:rPr>
          <w:rFonts w:hint="eastAsia" w:ascii="宋体" w:hAnsi="宋体" w:eastAsia="宋体" w:cs="宋体"/>
          <w:sz w:val="21"/>
          <w:szCs w:val="21"/>
          <w:highlight w:val="none"/>
          <w:lang w:val="en-US"/>
        </w:rPr>
        <w:t>1.采购代理机构在评标结束后2个工作日内将评标报告交采购人确认.</w:t>
      </w:r>
    </w:p>
    <w:p>
      <w:pPr>
        <w:pStyle w:val="24"/>
        <w:spacing w:line="360" w:lineRule="auto"/>
        <w:rPr>
          <w:rFonts w:ascii="宋体" w:hAnsi="宋体" w:eastAsia="宋体" w:cs="宋体"/>
          <w:sz w:val="21"/>
          <w:szCs w:val="21"/>
          <w:highlight w:val="none"/>
          <w:lang w:val="en-US"/>
        </w:rPr>
      </w:pPr>
      <w:r>
        <w:rPr>
          <w:rFonts w:hint="eastAsia" w:ascii="宋体" w:hAnsi="宋体" w:eastAsia="宋体" w:cs="宋体"/>
          <w:sz w:val="21"/>
          <w:szCs w:val="21"/>
          <w:highlight w:val="none"/>
          <w:lang w:val="en-US"/>
        </w:rPr>
        <w:t>2.投标人对评标结果无异议的，采购人应在收到评标报告后5个工作日内对评标结果进行确认。</w:t>
      </w:r>
    </w:p>
    <w:p>
      <w:pPr>
        <w:pStyle w:val="24"/>
        <w:spacing w:line="360" w:lineRule="auto"/>
        <w:rPr>
          <w:rFonts w:ascii="宋体" w:hAnsi="宋体" w:eastAsia="宋体" w:cs="宋体"/>
          <w:sz w:val="21"/>
          <w:szCs w:val="21"/>
          <w:highlight w:val="none"/>
          <w:lang w:val="en-US"/>
        </w:rPr>
      </w:pPr>
      <w:r>
        <w:rPr>
          <w:rFonts w:hint="eastAsia" w:ascii="宋体" w:hAnsi="宋体" w:eastAsia="宋体" w:cs="宋体"/>
          <w:sz w:val="21"/>
          <w:szCs w:val="21"/>
          <w:highlight w:val="none"/>
          <w:lang w:val="en-US"/>
        </w:rPr>
        <w:t>3.采购人依法确定中标人后，采购代理机构向中标人发出《中标通知书》。</w:t>
      </w:r>
    </w:p>
    <w:p>
      <w:pPr>
        <w:pStyle w:val="2"/>
        <w:snapToGrid w:val="0"/>
        <w:spacing w:line="360" w:lineRule="auto"/>
        <w:ind w:firstLine="3666" w:firstLineChars="1300"/>
        <w:outlineLvl w:val="1"/>
        <w:rPr>
          <w:rFonts w:hint="eastAsia" w:hAnsi="宋体" w:cs="宋体"/>
          <w:b/>
          <w:color w:val="000000" w:themeColor="text1"/>
          <w:sz w:val="28"/>
          <w:szCs w:val="28"/>
          <w:highlight w:val="none"/>
          <w14:textFill>
            <w14:solidFill>
              <w14:schemeClr w14:val="tx1"/>
            </w14:solidFill>
          </w14:textFill>
        </w:rPr>
      </w:pPr>
    </w:p>
    <w:p>
      <w:pPr>
        <w:pStyle w:val="2"/>
        <w:snapToGrid w:val="0"/>
        <w:spacing w:line="360" w:lineRule="auto"/>
        <w:ind w:firstLine="3666" w:firstLineChars="1300"/>
        <w:outlineLvl w:val="1"/>
        <w:rPr>
          <w:rFonts w:hAnsi="宋体" w:cs="宋体"/>
          <w:b/>
          <w:color w:val="000000" w:themeColor="text1"/>
          <w:sz w:val="28"/>
          <w:szCs w:val="28"/>
          <w:highlight w:val="none"/>
          <w14:textFill>
            <w14:solidFill>
              <w14:schemeClr w14:val="tx1"/>
            </w14:solidFill>
          </w14:textFill>
        </w:rPr>
      </w:pPr>
      <w:r>
        <w:rPr>
          <w:rFonts w:hint="eastAsia" w:hAnsi="宋体" w:cs="宋体"/>
          <w:b/>
          <w:color w:val="000000" w:themeColor="text1"/>
          <w:sz w:val="28"/>
          <w:szCs w:val="28"/>
          <w:highlight w:val="none"/>
          <w14:textFill>
            <w14:solidFill>
              <w14:schemeClr w14:val="tx1"/>
            </w14:solidFill>
          </w14:textFill>
        </w:rPr>
        <w:t>八、合同授予</w:t>
      </w:r>
    </w:p>
    <w:p>
      <w:pPr>
        <w:snapToGrid w:val="0"/>
        <w:spacing w:line="360" w:lineRule="auto"/>
        <w:ind w:firstLine="414" w:firstLineChars="196"/>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（一）签订合同</w:t>
      </w:r>
    </w:p>
    <w:p>
      <w:pPr>
        <w:snapToGrid w:val="0"/>
        <w:spacing w:line="360" w:lineRule="auto"/>
        <w:ind w:firstLine="424"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1.采购人与中标人应当在《中标通知书》发出之日起30日内签订政府采购合同。</w:t>
      </w:r>
    </w:p>
    <w:p>
      <w:pPr>
        <w:snapToGrid w:val="0"/>
        <w:spacing w:line="360" w:lineRule="auto"/>
        <w:ind w:firstLine="424" w:firstLineChars="200"/>
        <w:rPr>
          <w:rFonts w:ascii="宋体" w:hAnsi="宋体" w:cs="宋体"/>
          <w:color w:val="000000" w:themeColor="text1"/>
          <w:szCs w:val="21"/>
          <w:highlight w:val="none"/>
          <w14:textFill>
            <w14:solidFill>
              <w14:schemeClr w14:val="tx1"/>
            </w14:solidFill>
          </w14:textFill>
        </w:rPr>
      </w:pPr>
      <w:r>
        <w:rPr>
          <w:rFonts w:hint="eastAsia" w:ascii="宋体" w:hAnsi="宋体"/>
          <w:szCs w:val="21"/>
          <w:highlight w:val="none"/>
        </w:rPr>
        <w:t>2.中标人</w:t>
      </w:r>
      <w:r>
        <w:rPr>
          <w:rFonts w:ascii="宋体" w:hAnsi="宋体"/>
          <w:szCs w:val="21"/>
          <w:highlight w:val="none"/>
        </w:rPr>
        <w:t>拖延、拒签合同的,</w:t>
      </w:r>
      <w:r>
        <w:rPr>
          <w:rFonts w:hint="eastAsia" w:ascii="宋体" w:hAnsi="宋体" w:cs="宋体"/>
          <w:szCs w:val="21"/>
          <w:highlight w:val="none"/>
        </w:rPr>
        <w:t>应当按照本项目采购预算价2%的标准承担因此给采购单位造成的损失的赔偿责任及相应的法律责任</w:t>
      </w:r>
      <w:r>
        <w:rPr>
          <w:rFonts w:ascii="宋体" w:hAnsi="宋体"/>
          <w:szCs w:val="21"/>
          <w:highlight w:val="none"/>
        </w:rPr>
        <w:t>。</w:t>
      </w:r>
    </w:p>
    <w:p>
      <w:pPr>
        <w:snapToGrid w:val="0"/>
        <w:spacing w:line="360" w:lineRule="auto"/>
        <w:ind w:firstLine="414" w:firstLineChars="196"/>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（二）履约保证金</w:t>
      </w:r>
    </w:p>
    <w:p>
      <w:pPr>
        <w:spacing w:line="360" w:lineRule="auto"/>
        <w:ind w:firstLine="438" w:firstLineChars="207"/>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1.中标人在收到中标通知书后、签订合同前，需向采购人提交合同金额</w:t>
      </w:r>
      <w:r>
        <w:rPr>
          <w:rFonts w:hint="eastAsia" w:ascii="宋体" w:hAnsi="宋体"/>
          <w:color w:val="000000" w:themeColor="text1"/>
          <w:szCs w:val="21"/>
          <w:highlight w:val="none"/>
          <w:u w:val="single"/>
          <w14:textFill>
            <w14:solidFill>
              <w14:schemeClr w14:val="tx1"/>
            </w14:solidFill>
          </w14:textFill>
        </w:rPr>
        <w:t>5%</w:t>
      </w:r>
      <w:r>
        <w:rPr>
          <w:rFonts w:hint="eastAsia" w:ascii="宋体" w:hAnsi="宋体"/>
          <w:color w:val="000000" w:themeColor="text1"/>
          <w:szCs w:val="21"/>
          <w:highlight w:val="none"/>
          <w14:textFill>
            <w14:solidFill>
              <w14:schemeClr w14:val="tx1"/>
            </w14:solidFill>
          </w14:textFill>
        </w:rPr>
        <w:t xml:space="preserve">的履约保证金。 </w:t>
      </w:r>
    </w:p>
    <w:p>
      <w:pPr>
        <w:spacing w:line="360" w:lineRule="auto"/>
        <w:ind w:firstLine="424" w:firstLineChars="200"/>
        <w:rPr>
          <w:rFonts w:ascii="宋体" w:hAnsi="宋体" w:cs="宋体"/>
          <w:b/>
          <w:color w:val="000000" w:themeColor="text1"/>
          <w:sz w:val="36"/>
          <w:szCs w:val="36"/>
          <w:highlight w:val="none"/>
          <w:lang w:val="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w:t>
      </w:r>
      <w:r>
        <w:rPr>
          <w:rFonts w:ascii="宋体" w:hAnsi="宋体"/>
          <w:color w:val="000000" w:themeColor="text1"/>
          <w:szCs w:val="21"/>
          <w:highlight w:val="none"/>
          <w14:textFill>
            <w14:solidFill>
              <w14:schemeClr w14:val="tx1"/>
            </w14:solidFill>
          </w14:textFill>
        </w:rPr>
        <w:t>履约保证金用于补偿买方因卖方不能完成其合同义务而蒙受的损失。</w:t>
      </w:r>
    </w:p>
    <w:p>
      <w:pPr>
        <w:pStyle w:val="2"/>
        <w:snapToGrid w:val="0"/>
        <w:spacing w:line="360" w:lineRule="auto"/>
        <w:ind w:firstLine="3666" w:firstLineChars="1300"/>
        <w:outlineLvl w:val="1"/>
        <w:rPr>
          <w:rFonts w:hAnsi="宋体" w:cs="宋体"/>
          <w:b/>
          <w:color w:val="000000" w:themeColor="text1"/>
          <w:sz w:val="28"/>
          <w:szCs w:val="28"/>
          <w:highlight w:val="none"/>
          <w14:textFill>
            <w14:solidFill>
              <w14:schemeClr w14:val="tx1"/>
            </w14:solidFill>
          </w14:textFill>
        </w:rPr>
      </w:pPr>
      <w:bookmarkStart w:id="31" w:name="_Toc16204"/>
    </w:p>
    <w:p>
      <w:pPr>
        <w:pStyle w:val="2"/>
        <w:snapToGrid w:val="0"/>
        <w:spacing w:line="360" w:lineRule="auto"/>
        <w:ind w:firstLine="3666" w:firstLineChars="1300"/>
        <w:outlineLvl w:val="1"/>
        <w:rPr>
          <w:rFonts w:hint="eastAsia" w:hAnsi="宋体" w:cs="宋体"/>
          <w:b/>
          <w:color w:val="000000" w:themeColor="text1"/>
          <w:sz w:val="28"/>
          <w:szCs w:val="28"/>
          <w:highlight w:val="none"/>
          <w14:textFill>
            <w14:solidFill>
              <w14:schemeClr w14:val="tx1"/>
            </w14:solidFill>
          </w14:textFill>
        </w:rPr>
      </w:pPr>
      <w:r>
        <w:rPr>
          <w:rFonts w:hint="eastAsia" w:hAnsi="宋体" w:cs="宋体"/>
          <w:b/>
          <w:color w:val="000000" w:themeColor="text1"/>
          <w:sz w:val="28"/>
          <w:szCs w:val="28"/>
          <w:highlight w:val="none"/>
          <w14:textFill>
            <w14:solidFill>
              <w14:schemeClr w14:val="tx1"/>
            </w14:solidFill>
          </w14:textFill>
        </w:rPr>
        <w:t>九、政府采购扶持政策说明</w:t>
      </w:r>
      <w:bookmarkEnd w:id="31"/>
    </w:p>
    <w:p>
      <w:pPr>
        <w:numPr>
          <w:ilvl w:val="0"/>
          <w:numId w:val="7"/>
        </w:numPr>
        <w:spacing w:line="360" w:lineRule="auto"/>
        <w:jc w:val="left"/>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享受小微企业价格折扣应具备的条件</w:t>
      </w:r>
    </w:p>
    <w:p>
      <w:pPr>
        <w:numPr>
          <w:ilvl w:val="0"/>
          <w:numId w:val="8"/>
        </w:numPr>
        <w:spacing w:line="360" w:lineRule="auto"/>
        <w:ind w:left="424" w:left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符合中小企业划分标准；</w:t>
      </w:r>
    </w:p>
    <w:p>
      <w:pPr>
        <w:spacing w:line="360" w:lineRule="auto"/>
        <w:ind w:firstLine="424"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提供本企业制造的货物、承担的工程或者服务，或者提供其他中小企业制造的货物。本项所称货物不包括使用大型企业注册商标的货物。中小企业划分标准，是指国务院有关部门根据企业从业人员、营业收入、资产总额等指标制定的中小企业划型标准。小型、微型企业提供中型企业制造的货物的，视同为中型企业。</w:t>
      </w:r>
    </w:p>
    <w:p>
      <w:pPr>
        <w:spacing w:line="360" w:lineRule="auto"/>
        <w:jc w:val="left"/>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2、享受小微企业价格折扣应提供以下证明材料（缺一不可）：</w:t>
      </w:r>
    </w:p>
    <w:p>
      <w:pPr>
        <w:spacing w:line="360" w:lineRule="auto"/>
        <w:ind w:firstLine="424" w:firstLineChars="200"/>
        <w:jc w:val="left"/>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（1）《中小企业声明函》【格式见附件】；</w:t>
      </w:r>
    </w:p>
    <w:p>
      <w:pPr>
        <w:spacing w:line="360" w:lineRule="auto"/>
        <w:ind w:firstLine="424" w:firstLineChars="200"/>
        <w:jc w:val="left"/>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（2）“国家企业信用信息公示系统---小微企业名录”页面查询结果（查询时间为本项目招标公告发布时间之后，开标时间截止之前为准）；</w:t>
      </w:r>
    </w:p>
    <w:p>
      <w:pPr>
        <w:pStyle w:val="24"/>
        <w:spacing w:line="360" w:lineRule="auto"/>
        <w:ind w:firstLine="424" w:firstLineChars="200"/>
        <w:rPr>
          <w:rFonts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（3）投标产品（服务）适用中小企业扶持政策情况表【格式见附件】。</w:t>
      </w:r>
    </w:p>
    <w:p>
      <w:pPr>
        <w:spacing w:line="360" w:lineRule="auto"/>
        <w:jc w:val="left"/>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3、享受监狱企业价格折扣应提供以下证明材料（缺一不可）：</w:t>
      </w:r>
    </w:p>
    <w:p>
      <w:pPr>
        <w:spacing w:line="360" w:lineRule="auto"/>
        <w:ind w:firstLine="424" w:firstLineChars="200"/>
        <w:jc w:val="left"/>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1）监狱企业参加政府采购活动时，应当提供由省级以上监狱管理局、戒毒管理局(含新疆生产建设兵团)出具的属于监狱企业的证明文件。在政府采购活动中，监狱企业视同小型、微型企业，享受评审中价格扣除政策；</w:t>
      </w:r>
    </w:p>
    <w:p>
      <w:pPr>
        <w:pStyle w:val="24"/>
        <w:spacing w:line="360" w:lineRule="auto"/>
        <w:ind w:firstLine="424" w:firstLineChars="200"/>
        <w:rPr>
          <w:rFonts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（2）投标产品（服务）适用中小企业扶持政策情况表【格式见附件】。</w:t>
      </w:r>
    </w:p>
    <w:p>
      <w:pPr>
        <w:spacing w:line="360" w:lineRule="auto"/>
        <w:jc w:val="left"/>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4、享受残疾人福利性单位格折扣应提供以下证明材料（缺一不可）：</w:t>
      </w:r>
    </w:p>
    <w:p>
      <w:pPr>
        <w:spacing w:line="360" w:lineRule="auto"/>
        <w:ind w:firstLine="424" w:firstLineChars="200"/>
        <w:jc w:val="left"/>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（1）残疾人福利性单位声明函【格式见附件二】；</w:t>
      </w:r>
    </w:p>
    <w:p>
      <w:pPr>
        <w:pStyle w:val="54"/>
        <w:spacing w:line="360" w:lineRule="auto"/>
        <w:ind w:firstLine="424" w:firstLineChars="200"/>
        <w:jc w:val="left"/>
        <w:rPr>
          <w:rFonts w:ascii="宋体" w:hAnsi="宋体" w:cs="宋体"/>
          <w:bCs/>
          <w:color w:val="000000" w:themeColor="text1"/>
          <w:szCs w:val="21"/>
          <w:highlight w:val="none"/>
          <w:lang w:val="en-GB"/>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（2）投标产品（服务）适用中小企业扶持政策情况表【格式见附件】</w:t>
      </w:r>
      <w:r>
        <w:rPr>
          <w:rFonts w:hint="eastAsia" w:ascii="宋体" w:hAnsi="宋体" w:cs="宋体"/>
          <w:bCs/>
          <w:color w:val="000000" w:themeColor="text1"/>
          <w:szCs w:val="21"/>
          <w:highlight w:val="none"/>
          <w:lang w:val="en-GB"/>
          <w14:textFill>
            <w14:solidFill>
              <w14:schemeClr w14:val="tx1"/>
            </w14:solidFill>
          </w14:textFill>
        </w:rPr>
        <w:t>。</w:t>
      </w:r>
    </w:p>
    <w:p>
      <w:pPr>
        <w:tabs>
          <w:tab w:val="left" w:pos="900"/>
        </w:tabs>
        <w:spacing w:line="360" w:lineRule="auto"/>
        <w:rPr>
          <w:rFonts w:ascii="宋体" w:hAnsi="宋体" w:cs="宋体"/>
          <w:b/>
          <w:color w:val="000000" w:themeColor="text1"/>
          <w:szCs w:val="21"/>
          <w:highlight w:val="none"/>
          <w:lang w:val="zh-CN"/>
          <w14:textFill>
            <w14:solidFill>
              <w14:schemeClr w14:val="tx1"/>
            </w14:solidFill>
          </w14:textFill>
        </w:rPr>
      </w:pPr>
    </w:p>
    <w:p>
      <w:pPr>
        <w:tabs>
          <w:tab w:val="left" w:pos="900"/>
        </w:tabs>
        <w:spacing w:line="360" w:lineRule="auto"/>
        <w:ind w:firstLine="1908" w:firstLineChars="900"/>
        <w:rPr>
          <w:rFonts w:ascii="宋体" w:hAnsi="宋体" w:cs="宋体"/>
          <w:b/>
          <w:color w:val="000000" w:themeColor="text1"/>
          <w:szCs w:val="21"/>
          <w:highlight w:val="none"/>
          <w:lang w:val="zh-CN"/>
          <w14:textFill>
            <w14:solidFill>
              <w14:schemeClr w14:val="tx1"/>
            </w14:solidFill>
          </w14:textFill>
        </w:rPr>
      </w:pPr>
    </w:p>
    <w:p>
      <w:pPr>
        <w:tabs>
          <w:tab w:val="left" w:pos="900"/>
        </w:tabs>
        <w:spacing w:line="360" w:lineRule="auto"/>
        <w:ind w:firstLine="3258" w:firstLineChars="900"/>
        <w:rPr>
          <w:rFonts w:ascii="宋体" w:hAnsi="宋体" w:cs="宋体"/>
          <w:b/>
          <w:color w:val="000000" w:themeColor="text1"/>
          <w:sz w:val="36"/>
          <w:szCs w:val="36"/>
          <w:highlight w:val="none"/>
          <w:lang w:val="zh-CN"/>
          <w14:textFill>
            <w14:solidFill>
              <w14:schemeClr w14:val="tx1"/>
            </w14:solidFill>
          </w14:textFill>
        </w:rPr>
      </w:pPr>
    </w:p>
    <w:p>
      <w:pPr>
        <w:tabs>
          <w:tab w:val="left" w:pos="900"/>
        </w:tabs>
        <w:spacing w:line="440" w:lineRule="exact"/>
        <w:ind w:firstLine="3258" w:firstLineChars="900"/>
        <w:rPr>
          <w:rFonts w:ascii="宋体" w:hAnsi="宋体" w:cs="宋体"/>
          <w:b/>
          <w:color w:val="000000" w:themeColor="text1"/>
          <w:sz w:val="36"/>
          <w:szCs w:val="36"/>
          <w:highlight w:val="none"/>
          <w:lang w:val="zh-CN"/>
          <w14:textFill>
            <w14:solidFill>
              <w14:schemeClr w14:val="tx1"/>
            </w14:solidFill>
          </w14:textFill>
        </w:rPr>
      </w:pPr>
    </w:p>
    <w:p>
      <w:pPr>
        <w:pStyle w:val="2"/>
        <w:rPr>
          <w:rFonts w:ascii="宋体" w:hAnsi="宋体" w:cs="宋体"/>
          <w:b/>
          <w:color w:val="000000" w:themeColor="text1"/>
          <w:sz w:val="36"/>
          <w:szCs w:val="36"/>
          <w:highlight w:val="none"/>
          <w:lang w:val="zh-CN"/>
          <w14:textFill>
            <w14:solidFill>
              <w14:schemeClr w14:val="tx1"/>
            </w14:solidFill>
          </w14:textFill>
        </w:rPr>
      </w:pPr>
    </w:p>
    <w:p>
      <w:pPr>
        <w:rPr>
          <w:lang w:val="zh-CN"/>
        </w:rPr>
      </w:pPr>
    </w:p>
    <w:p>
      <w:pPr>
        <w:pStyle w:val="24"/>
        <w:rPr>
          <w:rFonts w:ascii="宋体" w:hAnsi="宋体" w:eastAsia="宋体" w:cs="宋体"/>
          <w:b/>
          <w:color w:val="000000" w:themeColor="text1"/>
          <w:sz w:val="36"/>
          <w:szCs w:val="36"/>
          <w:highlight w:val="none"/>
          <w14:textFill>
            <w14:solidFill>
              <w14:schemeClr w14:val="tx1"/>
            </w14:solidFill>
          </w14:textFill>
        </w:rPr>
      </w:pPr>
    </w:p>
    <w:p>
      <w:pPr>
        <w:tabs>
          <w:tab w:val="left" w:pos="900"/>
        </w:tabs>
        <w:spacing w:line="440" w:lineRule="exact"/>
        <w:ind w:firstLine="2534" w:firstLineChars="700"/>
        <w:rPr>
          <w:rFonts w:ascii="宋体" w:hAnsi="宋体" w:cs="宋体"/>
          <w:b/>
          <w:color w:val="000000" w:themeColor="text1"/>
          <w:sz w:val="36"/>
          <w:szCs w:val="36"/>
          <w:highlight w:val="none"/>
          <w:lang w:val="zh-CN"/>
          <w14:textFill>
            <w14:solidFill>
              <w14:schemeClr w14:val="tx1"/>
            </w14:solidFill>
          </w14:textFill>
        </w:rPr>
      </w:pPr>
      <w:r>
        <w:rPr>
          <w:rFonts w:hint="eastAsia" w:ascii="宋体" w:hAnsi="宋体" w:cs="宋体"/>
          <w:b/>
          <w:color w:val="000000" w:themeColor="text1"/>
          <w:sz w:val="36"/>
          <w:szCs w:val="36"/>
          <w:highlight w:val="none"/>
          <w:lang w:val="zh-CN"/>
          <w14:textFill>
            <w14:solidFill>
              <w14:schemeClr w14:val="tx1"/>
            </w14:solidFill>
          </w14:textFill>
        </w:rPr>
        <w:t>第三章</w:t>
      </w:r>
      <w:r>
        <w:rPr>
          <w:rFonts w:hint="eastAsia" w:ascii="宋体" w:hAnsi="宋体" w:cs="宋体"/>
          <w:b/>
          <w:color w:val="000000" w:themeColor="text1"/>
          <w:sz w:val="36"/>
          <w:szCs w:val="36"/>
          <w:highlight w:val="none"/>
          <w14:textFill>
            <w14:solidFill>
              <w14:schemeClr w14:val="tx1"/>
            </w14:solidFill>
          </w14:textFill>
        </w:rPr>
        <w:t xml:space="preserve">  </w:t>
      </w:r>
      <w:r>
        <w:rPr>
          <w:rFonts w:hint="eastAsia" w:ascii="宋体" w:hAnsi="宋体" w:cs="宋体"/>
          <w:b/>
          <w:color w:val="000000" w:themeColor="text1"/>
          <w:sz w:val="36"/>
          <w:szCs w:val="36"/>
          <w:highlight w:val="none"/>
          <w:lang w:val="zh-CN"/>
          <w14:textFill>
            <w14:solidFill>
              <w14:schemeClr w14:val="tx1"/>
            </w14:solidFill>
          </w14:textFill>
        </w:rPr>
        <w:t>采购内容及要求</w:t>
      </w:r>
    </w:p>
    <w:p>
      <w:pPr>
        <w:spacing w:line="400" w:lineRule="exact"/>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一、项目概况</w:t>
      </w:r>
    </w:p>
    <w:p>
      <w:pPr>
        <w:spacing w:line="400" w:lineRule="exact"/>
        <w:ind w:firstLine="424" w:firstLineChars="200"/>
        <w:rPr>
          <w:highlight w:val="none"/>
        </w:rPr>
      </w:pPr>
      <w:r>
        <w:rPr>
          <w:rFonts w:hint="eastAsia" w:ascii="宋体" w:hAnsi="宋体"/>
          <w:szCs w:val="21"/>
          <w:highlight w:val="none"/>
        </w:rPr>
        <w:t>项目地址：大洲镇污水处理厂、全旺镇污水处理厂、高家镇污水处理厂、杜泽镇污水处理厂、莲花镇污水处理厂、峡川镇污水处理厂、上方镇污水处理厂、廿里镇污水处理厂、后溪镇污水处理厂、湖南镇污水处理厂。</w:t>
      </w:r>
    </w:p>
    <w:p>
      <w:pPr>
        <w:ind w:firstLine="424" w:firstLineChars="200"/>
        <w:rPr>
          <w:rFonts w:ascii="宋体" w:hAnsi="宋体"/>
          <w:szCs w:val="21"/>
          <w:highlight w:val="none"/>
        </w:rPr>
      </w:pPr>
      <w:r>
        <w:rPr>
          <w:rFonts w:hint="eastAsia" w:ascii="宋体" w:hAnsi="宋体"/>
          <w:szCs w:val="21"/>
          <w:highlight w:val="none"/>
        </w:rPr>
        <w:t>项目规模：污水处理十座，合计</w:t>
      </w:r>
      <w:r>
        <w:rPr>
          <w:rFonts w:hint="eastAsia"/>
          <w:highlight w:val="none"/>
        </w:rPr>
        <w:t>设计处理量</w:t>
      </w:r>
      <w:r>
        <w:rPr>
          <w:rFonts w:hint="eastAsia" w:ascii="宋体" w:hAnsi="宋体"/>
          <w:szCs w:val="21"/>
          <w:highlight w:val="none"/>
        </w:rPr>
        <w:t>总量为7900m3/d。</w:t>
      </w:r>
    </w:p>
    <w:p>
      <w:pPr>
        <w:spacing w:line="400" w:lineRule="exact"/>
        <w:ind w:firstLine="424" w:firstLineChars="200"/>
        <w:rPr>
          <w:rFonts w:ascii="宋体" w:hAnsi="宋体"/>
          <w:szCs w:val="21"/>
          <w:highlight w:val="none"/>
        </w:rPr>
      </w:pPr>
      <w:r>
        <w:rPr>
          <w:rFonts w:hint="eastAsia" w:ascii="宋体" w:hAnsi="宋体"/>
          <w:szCs w:val="21"/>
          <w:highlight w:val="none"/>
        </w:rPr>
        <w:t>运维内容包括：各污水厂日常运行与维护、设备维护、水质检测等内容。费用包括设备运维管理产生费用（含设备运维用电、设备运维用水、药剂费、人工费、化验费、维修费、水质检测等）、保险、税金、保修等。</w:t>
      </w:r>
    </w:p>
    <w:p>
      <w:pPr>
        <w:spacing w:line="400" w:lineRule="exact"/>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二、项目设施运营的范围</w:t>
      </w:r>
    </w:p>
    <w:p>
      <w:pPr>
        <w:spacing w:line="400" w:lineRule="exact"/>
        <w:ind w:firstLine="424" w:firstLineChars="200"/>
        <w:rPr>
          <w:rFonts w:ascii="宋体" w:hAnsi="宋体"/>
          <w:szCs w:val="21"/>
          <w:highlight w:val="none"/>
        </w:rPr>
      </w:pPr>
      <w:r>
        <w:rPr>
          <w:rFonts w:hint="eastAsia" w:ascii="宋体" w:hAnsi="宋体"/>
          <w:szCs w:val="21"/>
          <w:highlight w:val="none"/>
        </w:rPr>
        <w:t>1、中标人对从采购人所接收的所有项目设施拥有使用和运营管理权，具体负责项目区域内外所接管设备、设施的正常运行和维护保养。</w:t>
      </w:r>
    </w:p>
    <w:p>
      <w:pPr>
        <w:spacing w:line="400" w:lineRule="exact"/>
        <w:ind w:firstLine="424" w:firstLineChars="200"/>
        <w:rPr>
          <w:rFonts w:ascii="宋体" w:hAnsi="宋体"/>
          <w:szCs w:val="21"/>
          <w:highlight w:val="none"/>
        </w:rPr>
      </w:pPr>
      <w:r>
        <w:rPr>
          <w:rFonts w:hint="eastAsia" w:ascii="宋体" w:hAnsi="宋体"/>
          <w:szCs w:val="21"/>
          <w:highlight w:val="none"/>
        </w:rPr>
        <w:t xml:space="preserve">2、中标人应负责所接收的厂区内构建筑物、道路、绿化及厂区外尾水排放管线的维护。 </w:t>
      </w:r>
    </w:p>
    <w:p>
      <w:pPr>
        <w:spacing w:line="400" w:lineRule="exact"/>
        <w:ind w:firstLine="424" w:firstLineChars="200"/>
        <w:rPr>
          <w:rFonts w:ascii="宋体" w:hAnsi="宋体"/>
          <w:szCs w:val="21"/>
          <w:highlight w:val="none"/>
        </w:rPr>
      </w:pPr>
      <w:r>
        <w:rPr>
          <w:rFonts w:hint="eastAsia" w:ascii="宋体" w:hAnsi="宋体"/>
          <w:szCs w:val="21"/>
          <w:highlight w:val="none"/>
        </w:rPr>
        <w:t>3、运营期间，对污水处理厂产生的污泥外运处置全部交由中标人负责承担，具体安排见合同。</w:t>
      </w:r>
    </w:p>
    <w:p>
      <w:pPr>
        <w:spacing w:line="400" w:lineRule="exact"/>
        <w:ind w:firstLine="424" w:firstLineChars="200"/>
        <w:rPr>
          <w:rFonts w:ascii="宋体" w:hAnsi="宋体"/>
          <w:szCs w:val="21"/>
          <w:highlight w:val="none"/>
        </w:rPr>
      </w:pPr>
      <w:r>
        <w:rPr>
          <w:rFonts w:hint="eastAsia" w:ascii="宋体" w:hAnsi="宋体"/>
          <w:szCs w:val="21"/>
          <w:highlight w:val="none"/>
        </w:rPr>
        <w:t xml:space="preserve">4、各污水处理厂厂区内的树木、植物、草坪、景观等日常维护。 </w:t>
      </w:r>
    </w:p>
    <w:p>
      <w:pPr>
        <w:spacing w:line="400" w:lineRule="exact"/>
        <w:ind w:firstLine="424" w:firstLineChars="200"/>
        <w:rPr>
          <w:rFonts w:ascii="宋体" w:hAnsi="宋体"/>
          <w:szCs w:val="21"/>
          <w:highlight w:val="none"/>
        </w:rPr>
      </w:pPr>
      <w:r>
        <w:rPr>
          <w:rFonts w:hint="eastAsia" w:ascii="宋体" w:hAnsi="宋体"/>
          <w:szCs w:val="21"/>
          <w:highlight w:val="none"/>
        </w:rPr>
        <w:t>5、中标人不得擅自改变现有规划，须做好项目近期、远期（如有）设施土地上的边界维护、水土保持等工作。</w:t>
      </w:r>
    </w:p>
    <w:p>
      <w:pPr>
        <w:spacing w:line="400" w:lineRule="exact"/>
        <w:ind w:firstLine="424" w:firstLineChars="200"/>
        <w:rPr>
          <w:rFonts w:ascii="宋体" w:hAnsi="宋体"/>
          <w:szCs w:val="21"/>
          <w:highlight w:val="none"/>
        </w:rPr>
      </w:pPr>
      <w:r>
        <w:rPr>
          <w:rFonts w:hint="eastAsia" w:ascii="宋体" w:hAnsi="宋体"/>
          <w:szCs w:val="21"/>
          <w:highlight w:val="none"/>
        </w:rPr>
        <w:t>6、在线监测设备专用传输网络专线流量费。</w:t>
      </w:r>
    </w:p>
    <w:p>
      <w:pPr>
        <w:spacing w:line="400" w:lineRule="exact"/>
        <w:ind w:firstLine="424" w:firstLineChars="200"/>
        <w:rPr>
          <w:rFonts w:ascii="宋体" w:hAnsi="宋体"/>
          <w:szCs w:val="21"/>
          <w:highlight w:val="none"/>
        </w:rPr>
      </w:pPr>
      <w:r>
        <w:rPr>
          <w:rFonts w:hint="eastAsia" w:ascii="宋体" w:hAnsi="宋体"/>
          <w:szCs w:val="21"/>
          <w:highlight w:val="none"/>
        </w:rPr>
        <w:t>7、自行承担费用（包括但不限于污水处理设施的正常运行所必须的水、药剂等消耗，以及日常保养维护及中小型修理、应急预案编制费、分析检测费用、污泥处置费含运输费用、在线仪器运维费用、信息费含数据费、厂区道路绿化养护、办公器具购置费、税费等所有费用）和风险等；</w:t>
      </w:r>
    </w:p>
    <w:p>
      <w:pPr>
        <w:spacing w:line="400" w:lineRule="exact"/>
        <w:ind w:firstLine="424" w:firstLineChars="200"/>
        <w:rPr>
          <w:rFonts w:ascii="宋体" w:hAnsi="宋体"/>
          <w:szCs w:val="21"/>
          <w:highlight w:val="none"/>
        </w:rPr>
      </w:pPr>
      <w:r>
        <w:rPr>
          <w:rFonts w:hint="eastAsia" w:ascii="宋体" w:hAnsi="宋体"/>
          <w:szCs w:val="21"/>
          <w:highlight w:val="none"/>
        </w:rPr>
        <w:t>8、</w:t>
      </w:r>
      <w:r>
        <w:rPr>
          <w:rFonts w:hint="eastAsia" w:asciiTheme="minorEastAsia" w:hAnsiTheme="minorEastAsia" w:eastAsiaTheme="minorEastAsia" w:cstheme="minorEastAsia"/>
          <w:snapToGrid w:val="0"/>
          <w:color w:val="000000" w:themeColor="text1"/>
          <w:kern w:val="0"/>
          <w:szCs w:val="21"/>
          <w:highlight w:val="none"/>
          <w14:textFill>
            <w14:solidFill>
              <w14:schemeClr w14:val="tx1"/>
            </w14:solidFill>
          </w14:textFill>
        </w:rPr>
        <w:t>中标人应如实填报运行登记表和每天实验室的检测数据的规范台帐，接受采购人相关的职能部门监督检查，对采购人或政府职能管理部门人员进厂提出的问题，乙方如实讲解和回答，不得虚报实情。</w:t>
      </w:r>
    </w:p>
    <w:p>
      <w:pPr>
        <w:spacing w:line="400" w:lineRule="exact"/>
        <w:ind w:firstLine="424" w:firstLineChars="200"/>
        <w:rPr>
          <w:rFonts w:ascii="宋体" w:hAnsi="宋体"/>
          <w:szCs w:val="21"/>
          <w:highlight w:val="none"/>
        </w:rPr>
      </w:pPr>
      <w:r>
        <w:rPr>
          <w:rFonts w:hint="eastAsia" w:ascii="宋体" w:hAnsi="宋体"/>
          <w:szCs w:val="21"/>
          <w:highlight w:val="none"/>
        </w:rPr>
        <w:t xml:space="preserve">9、中标人应向采购人提供《污水处理操作规程》，相关的科室制度应上墙，做好安全生产，并做好车间及生活区的卫生。  </w:t>
      </w:r>
    </w:p>
    <w:p>
      <w:pPr>
        <w:spacing w:line="400" w:lineRule="exact"/>
        <w:ind w:firstLine="424" w:firstLineChars="200"/>
        <w:rPr>
          <w:rFonts w:asciiTheme="minorEastAsia" w:hAnsiTheme="minorEastAsia" w:eastAsiaTheme="minorEastAsia" w:cstheme="minorEastAsia"/>
          <w:snapToGrid w:val="0"/>
          <w:color w:val="000000" w:themeColor="text1"/>
          <w:kern w:val="0"/>
          <w:szCs w:val="21"/>
          <w:highlight w:val="none"/>
          <w14:textFill>
            <w14:solidFill>
              <w14:schemeClr w14:val="tx1"/>
            </w14:solidFill>
          </w14:textFill>
        </w:rPr>
      </w:pPr>
      <w:r>
        <w:rPr>
          <w:rFonts w:hint="eastAsia" w:ascii="宋体" w:hAnsi="宋体"/>
          <w:szCs w:val="21"/>
          <w:highlight w:val="none"/>
        </w:rPr>
        <w:t>10、中标人必须保证本项目的排放达标，如不达标，由此产生的一切费用及后果由中标人承担。</w:t>
      </w:r>
    </w:p>
    <w:p>
      <w:pPr>
        <w:spacing w:line="400" w:lineRule="exact"/>
        <w:rPr>
          <w:rFonts w:ascii="宋体" w:hAnsi="宋体" w:cs="宋体"/>
          <w:b/>
          <w:color w:val="000000" w:themeColor="text1"/>
          <w:kern w:val="0"/>
          <w:sz w:val="24"/>
          <w:highlight w:val="none"/>
          <w14:textFill>
            <w14:solidFill>
              <w14:schemeClr w14:val="tx1"/>
            </w14:solidFill>
          </w14:textFill>
        </w:rPr>
      </w:pPr>
      <w:r>
        <w:rPr>
          <w:rFonts w:hint="eastAsia" w:ascii="宋体" w:hAnsi="宋体" w:cs="宋体"/>
          <w:b/>
          <w:color w:val="000000" w:themeColor="text1"/>
          <w:sz w:val="24"/>
          <w:highlight w:val="none"/>
          <w:lang w:val="zh-CN"/>
          <w14:textFill>
            <w14:solidFill>
              <w14:schemeClr w14:val="tx1"/>
            </w14:solidFill>
          </w14:textFill>
        </w:rPr>
        <w:t>三、运营期</w:t>
      </w:r>
    </w:p>
    <w:p>
      <w:pPr>
        <w:spacing w:line="400" w:lineRule="exact"/>
        <w:ind w:firstLine="424" w:firstLineChars="200"/>
        <w:rPr>
          <w:rFonts w:ascii="宋体" w:hAnsi="宋体"/>
          <w:szCs w:val="21"/>
          <w:highlight w:val="none"/>
        </w:rPr>
      </w:pPr>
      <w:r>
        <w:rPr>
          <w:rFonts w:hint="eastAsia" w:ascii="宋体" w:hAnsi="宋体"/>
          <w:szCs w:val="21"/>
          <w:highlight w:val="none"/>
        </w:rPr>
        <w:t>本项目运营期限为三年（衢江区集镇污水处理厂改建项目环保验收合格后自甲方书面同意进入运营期之日起计算至第三（3）个周年日止）。</w:t>
      </w:r>
    </w:p>
    <w:p>
      <w:pPr>
        <w:spacing w:line="400" w:lineRule="exact"/>
        <w:rPr>
          <w:highlight w:val="none"/>
        </w:rPr>
      </w:pPr>
      <w:r>
        <w:rPr>
          <w:rFonts w:hint="eastAsia" w:ascii="宋体" w:hAnsi="宋体" w:cs="宋体"/>
          <w:b/>
          <w:color w:val="000000" w:themeColor="text1"/>
          <w:sz w:val="24"/>
          <w:highlight w:val="none"/>
          <w:lang w:val="zh-CN"/>
          <w14:textFill>
            <w14:solidFill>
              <w14:schemeClr w14:val="tx1"/>
            </w14:solidFill>
          </w14:textFill>
        </w:rPr>
        <w:t>四、</w:t>
      </w:r>
      <w:r>
        <w:rPr>
          <w:rFonts w:hint="eastAsia" w:ascii="宋体" w:hAnsi="宋体" w:cs="宋体"/>
          <w:b/>
          <w:color w:val="000000" w:themeColor="text1"/>
          <w:sz w:val="24"/>
          <w:highlight w:val="none"/>
          <w14:textFill>
            <w14:solidFill>
              <w14:schemeClr w14:val="tx1"/>
            </w14:solidFill>
          </w14:textFill>
        </w:rPr>
        <w:t>人员岗位、数量及要求</w:t>
      </w:r>
    </w:p>
    <w:tbl>
      <w:tblPr>
        <w:tblStyle w:val="26"/>
        <w:tblW w:w="0" w:type="auto"/>
        <w:tblInd w:w="2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2846"/>
        <w:gridCol w:w="868"/>
        <w:gridCol w:w="4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693" w:type="dxa"/>
          </w:tcPr>
          <w:p>
            <w:pPr>
              <w:pStyle w:val="9"/>
              <w:spacing w:line="400" w:lineRule="exact"/>
              <w:ind w:firstLine="0"/>
              <w:rPr>
                <w:rFonts w:ascii="宋体" w:hAnsi="宋体" w:eastAsia="宋体"/>
                <w:b/>
                <w:bCs/>
                <w:sz w:val="21"/>
                <w:szCs w:val="21"/>
                <w:highlight w:val="none"/>
                <w:lang w:val="en-US"/>
              </w:rPr>
            </w:pPr>
            <w:r>
              <w:rPr>
                <w:rFonts w:hint="eastAsia" w:ascii="宋体" w:hAnsi="宋体" w:eastAsia="宋体"/>
                <w:b/>
                <w:bCs/>
                <w:sz w:val="21"/>
                <w:szCs w:val="21"/>
                <w:highlight w:val="none"/>
                <w:lang w:val="en-US"/>
              </w:rPr>
              <w:t>序号</w:t>
            </w:r>
          </w:p>
        </w:tc>
        <w:tc>
          <w:tcPr>
            <w:tcW w:w="2846" w:type="dxa"/>
          </w:tcPr>
          <w:p>
            <w:pPr>
              <w:pStyle w:val="9"/>
              <w:spacing w:line="400" w:lineRule="exact"/>
              <w:ind w:firstLine="212" w:firstLineChars="100"/>
              <w:rPr>
                <w:rFonts w:ascii="宋体" w:hAnsi="宋体" w:eastAsia="宋体"/>
                <w:b/>
                <w:bCs/>
                <w:sz w:val="21"/>
                <w:szCs w:val="21"/>
                <w:highlight w:val="none"/>
                <w:lang w:val="en-US"/>
              </w:rPr>
            </w:pPr>
            <w:r>
              <w:rPr>
                <w:rFonts w:hint="eastAsia" w:ascii="宋体" w:hAnsi="宋体" w:eastAsia="宋体"/>
                <w:b/>
                <w:bCs/>
                <w:sz w:val="21"/>
                <w:szCs w:val="21"/>
                <w:highlight w:val="none"/>
                <w:lang w:val="en-US"/>
              </w:rPr>
              <w:t>岗位</w:t>
            </w:r>
          </w:p>
        </w:tc>
        <w:tc>
          <w:tcPr>
            <w:tcW w:w="868" w:type="dxa"/>
          </w:tcPr>
          <w:p>
            <w:pPr>
              <w:pStyle w:val="9"/>
              <w:spacing w:line="400" w:lineRule="exact"/>
              <w:ind w:firstLine="0"/>
              <w:jc w:val="center"/>
              <w:rPr>
                <w:rFonts w:ascii="宋体" w:hAnsi="宋体" w:eastAsia="宋体"/>
                <w:b/>
                <w:bCs/>
                <w:sz w:val="21"/>
                <w:szCs w:val="21"/>
                <w:highlight w:val="none"/>
                <w:lang w:val="en-US"/>
              </w:rPr>
            </w:pPr>
            <w:r>
              <w:rPr>
                <w:rFonts w:hint="eastAsia" w:ascii="宋体" w:hAnsi="宋体" w:eastAsia="宋体"/>
                <w:b/>
                <w:bCs/>
                <w:sz w:val="21"/>
                <w:szCs w:val="21"/>
                <w:highlight w:val="none"/>
                <w:lang w:val="en-US"/>
              </w:rPr>
              <w:t>数量</w:t>
            </w:r>
          </w:p>
        </w:tc>
        <w:tc>
          <w:tcPr>
            <w:tcW w:w="4631" w:type="dxa"/>
          </w:tcPr>
          <w:p>
            <w:pPr>
              <w:pStyle w:val="9"/>
              <w:spacing w:line="400" w:lineRule="exact"/>
              <w:ind w:firstLine="2049" w:firstLineChars="967"/>
              <w:rPr>
                <w:rFonts w:ascii="宋体" w:hAnsi="宋体" w:eastAsia="宋体"/>
                <w:b/>
                <w:bCs/>
                <w:sz w:val="21"/>
                <w:szCs w:val="21"/>
                <w:highlight w:val="none"/>
                <w:lang w:val="en-US"/>
              </w:rPr>
            </w:pPr>
            <w:r>
              <w:rPr>
                <w:rFonts w:hint="eastAsia" w:ascii="宋体" w:hAnsi="宋体" w:eastAsia="宋体"/>
                <w:b/>
                <w:bCs/>
                <w:sz w:val="21"/>
                <w:szCs w:val="21"/>
                <w:highlight w:val="none"/>
                <w:lang w:val="en-US"/>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693" w:type="dxa"/>
          </w:tcPr>
          <w:p>
            <w:pPr>
              <w:pStyle w:val="9"/>
              <w:spacing w:line="400" w:lineRule="exact"/>
              <w:ind w:firstLine="0"/>
              <w:jc w:val="center"/>
              <w:rPr>
                <w:rFonts w:ascii="宋体" w:hAnsi="宋体" w:eastAsia="宋体"/>
                <w:sz w:val="21"/>
                <w:szCs w:val="21"/>
                <w:highlight w:val="none"/>
                <w:lang w:val="en-US"/>
              </w:rPr>
            </w:pPr>
            <w:r>
              <w:rPr>
                <w:rFonts w:hint="eastAsia" w:ascii="宋体" w:hAnsi="宋体" w:eastAsia="宋体"/>
                <w:sz w:val="21"/>
                <w:szCs w:val="21"/>
                <w:highlight w:val="none"/>
                <w:lang w:val="en-US"/>
              </w:rPr>
              <w:t>1</w:t>
            </w:r>
          </w:p>
        </w:tc>
        <w:tc>
          <w:tcPr>
            <w:tcW w:w="2846" w:type="dxa"/>
          </w:tcPr>
          <w:p>
            <w:pPr>
              <w:pStyle w:val="9"/>
              <w:spacing w:line="400" w:lineRule="exact"/>
              <w:ind w:firstLine="0"/>
              <w:jc w:val="center"/>
              <w:rPr>
                <w:rFonts w:ascii="宋体" w:hAnsi="宋体" w:eastAsia="宋体"/>
                <w:sz w:val="21"/>
                <w:szCs w:val="21"/>
                <w:highlight w:val="none"/>
                <w:lang w:val="en-US"/>
              </w:rPr>
            </w:pPr>
            <w:r>
              <w:rPr>
                <w:rFonts w:hint="eastAsia" w:ascii="宋体" w:hAnsi="宋体" w:eastAsia="宋体"/>
                <w:sz w:val="21"/>
                <w:szCs w:val="21"/>
                <w:highlight w:val="none"/>
                <w:lang w:val="en-US"/>
              </w:rPr>
              <w:t>项目运营负责人（厂长）</w:t>
            </w:r>
          </w:p>
        </w:tc>
        <w:tc>
          <w:tcPr>
            <w:tcW w:w="868" w:type="dxa"/>
            <w:vAlign w:val="center"/>
          </w:tcPr>
          <w:p>
            <w:pPr>
              <w:pStyle w:val="9"/>
              <w:spacing w:line="400" w:lineRule="exact"/>
              <w:ind w:firstLine="0"/>
              <w:jc w:val="center"/>
              <w:rPr>
                <w:rFonts w:ascii="宋体" w:hAnsi="宋体" w:eastAsia="宋体"/>
                <w:sz w:val="21"/>
                <w:szCs w:val="21"/>
                <w:highlight w:val="none"/>
                <w:lang w:val="en-US"/>
              </w:rPr>
            </w:pPr>
            <w:r>
              <w:rPr>
                <w:rFonts w:hint="eastAsia" w:ascii="宋体" w:hAnsi="宋体" w:eastAsia="宋体"/>
                <w:sz w:val="21"/>
                <w:szCs w:val="21"/>
                <w:highlight w:val="none"/>
                <w:lang w:val="en-US"/>
              </w:rPr>
              <w:t>1</w:t>
            </w:r>
          </w:p>
        </w:tc>
        <w:tc>
          <w:tcPr>
            <w:tcW w:w="4631" w:type="dxa"/>
          </w:tcPr>
          <w:p>
            <w:pPr>
              <w:pStyle w:val="9"/>
              <w:spacing w:line="400" w:lineRule="exact"/>
              <w:jc w:val="left"/>
              <w:rPr>
                <w:rFonts w:ascii="宋体" w:hAnsi="宋体" w:eastAsia="宋体"/>
                <w:sz w:val="21"/>
                <w:szCs w:val="21"/>
                <w:highlight w:val="none"/>
                <w:lang w:val="en-US"/>
              </w:rPr>
            </w:pPr>
            <w:r>
              <w:rPr>
                <w:rFonts w:hint="eastAsia" w:ascii="宋体" w:hAnsi="宋体" w:eastAsia="宋体"/>
                <w:sz w:val="21"/>
                <w:szCs w:val="21"/>
                <w:highlight w:val="none"/>
                <w:lang w:val="en-US"/>
              </w:rPr>
              <w:t>具备环保类相关中级及以上职称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693" w:type="dxa"/>
          </w:tcPr>
          <w:p>
            <w:pPr>
              <w:pStyle w:val="9"/>
              <w:spacing w:line="400" w:lineRule="exact"/>
              <w:ind w:firstLine="0"/>
              <w:jc w:val="center"/>
              <w:rPr>
                <w:rFonts w:ascii="宋体" w:hAnsi="宋体" w:eastAsia="宋体"/>
                <w:sz w:val="21"/>
                <w:szCs w:val="21"/>
                <w:highlight w:val="none"/>
                <w:lang w:val="en-US"/>
              </w:rPr>
            </w:pPr>
            <w:r>
              <w:rPr>
                <w:rFonts w:hint="eastAsia" w:ascii="宋体" w:hAnsi="宋体" w:eastAsia="宋体"/>
                <w:sz w:val="21"/>
                <w:szCs w:val="21"/>
                <w:highlight w:val="none"/>
                <w:lang w:val="en-US"/>
              </w:rPr>
              <w:t>2</w:t>
            </w:r>
          </w:p>
        </w:tc>
        <w:tc>
          <w:tcPr>
            <w:tcW w:w="2846" w:type="dxa"/>
          </w:tcPr>
          <w:p>
            <w:pPr>
              <w:pStyle w:val="9"/>
              <w:spacing w:line="400" w:lineRule="exact"/>
              <w:ind w:firstLine="0"/>
              <w:jc w:val="center"/>
              <w:rPr>
                <w:rFonts w:ascii="宋体" w:hAnsi="宋体" w:eastAsia="宋体"/>
                <w:sz w:val="21"/>
                <w:szCs w:val="21"/>
                <w:highlight w:val="none"/>
                <w:lang w:val="en-US"/>
              </w:rPr>
            </w:pPr>
            <w:r>
              <w:rPr>
                <w:rFonts w:hint="eastAsia" w:ascii="宋体" w:hAnsi="宋体" w:eastAsia="宋体"/>
                <w:sz w:val="21"/>
                <w:szCs w:val="21"/>
                <w:highlight w:val="none"/>
                <w:lang w:val="en-US"/>
              </w:rPr>
              <w:t>项目运营技术负责人</w:t>
            </w:r>
          </w:p>
        </w:tc>
        <w:tc>
          <w:tcPr>
            <w:tcW w:w="868" w:type="dxa"/>
            <w:vAlign w:val="center"/>
          </w:tcPr>
          <w:p>
            <w:pPr>
              <w:pStyle w:val="9"/>
              <w:spacing w:line="400" w:lineRule="exact"/>
              <w:ind w:firstLine="0"/>
              <w:jc w:val="center"/>
              <w:rPr>
                <w:rFonts w:ascii="宋体" w:hAnsi="宋体" w:eastAsia="宋体"/>
                <w:sz w:val="21"/>
                <w:szCs w:val="21"/>
                <w:highlight w:val="none"/>
                <w:lang w:val="en-US"/>
              </w:rPr>
            </w:pPr>
            <w:r>
              <w:rPr>
                <w:rFonts w:hint="eastAsia" w:ascii="宋体" w:hAnsi="宋体" w:eastAsia="宋体"/>
                <w:sz w:val="21"/>
                <w:szCs w:val="21"/>
                <w:highlight w:val="none"/>
                <w:lang w:val="en-US"/>
              </w:rPr>
              <w:t>1</w:t>
            </w:r>
          </w:p>
        </w:tc>
        <w:tc>
          <w:tcPr>
            <w:tcW w:w="4631" w:type="dxa"/>
          </w:tcPr>
          <w:p>
            <w:pPr>
              <w:pStyle w:val="9"/>
              <w:spacing w:line="400" w:lineRule="exact"/>
              <w:jc w:val="left"/>
              <w:rPr>
                <w:rFonts w:ascii="宋体" w:hAnsi="宋体" w:eastAsia="宋体"/>
                <w:sz w:val="21"/>
                <w:szCs w:val="21"/>
                <w:highlight w:val="none"/>
                <w:lang w:val="en-US"/>
              </w:rPr>
            </w:pPr>
            <w:r>
              <w:rPr>
                <w:rFonts w:hint="eastAsia" w:ascii="宋体" w:hAnsi="宋体" w:eastAsia="宋体"/>
                <w:sz w:val="21"/>
                <w:szCs w:val="21"/>
                <w:highlight w:val="none"/>
                <w:lang w:val="en-US"/>
              </w:rPr>
              <w:t>具备环保类相关中级及以上职称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693" w:type="dxa"/>
          </w:tcPr>
          <w:p>
            <w:pPr>
              <w:pStyle w:val="9"/>
              <w:spacing w:line="400" w:lineRule="exact"/>
              <w:ind w:firstLine="0"/>
              <w:jc w:val="center"/>
              <w:rPr>
                <w:rFonts w:ascii="宋体" w:hAnsi="宋体" w:eastAsia="宋体"/>
                <w:sz w:val="21"/>
                <w:szCs w:val="21"/>
                <w:highlight w:val="none"/>
                <w:lang w:val="en-US"/>
              </w:rPr>
            </w:pPr>
            <w:r>
              <w:rPr>
                <w:rFonts w:hint="eastAsia" w:ascii="宋体" w:hAnsi="宋体" w:eastAsia="宋体"/>
                <w:sz w:val="21"/>
                <w:szCs w:val="21"/>
                <w:highlight w:val="none"/>
                <w:lang w:val="en-US"/>
              </w:rPr>
              <w:t>3</w:t>
            </w:r>
          </w:p>
        </w:tc>
        <w:tc>
          <w:tcPr>
            <w:tcW w:w="2846" w:type="dxa"/>
          </w:tcPr>
          <w:p>
            <w:pPr>
              <w:pStyle w:val="9"/>
              <w:spacing w:line="400" w:lineRule="exact"/>
              <w:ind w:firstLine="0"/>
              <w:jc w:val="center"/>
              <w:rPr>
                <w:rFonts w:ascii="宋体" w:hAnsi="宋体" w:eastAsia="宋体"/>
                <w:sz w:val="21"/>
                <w:szCs w:val="21"/>
                <w:highlight w:val="none"/>
                <w:lang w:val="en-US"/>
              </w:rPr>
            </w:pPr>
            <w:r>
              <w:rPr>
                <w:rFonts w:hint="eastAsia" w:ascii="宋体" w:hAnsi="宋体" w:eastAsia="宋体"/>
                <w:sz w:val="21"/>
                <w:szCs w:val="21"/>
                <w:highlight w:val="none"/>
                <w:lang w:val="en-US"/>
              </w:rPr>
              <w:t>财会人员</w:t>
            </w:r>
          </w:p>
        </w:tc>
        <w:tc>
          <w:tcPr>
            <w:tcW w:w="868" w:type="dxa"/>
            <w:vAlign w:val="center"/>
          </w:tcPr>
          <w:p>
            <w:pPr>
              <w:pStyle w:val="9"/>
              <w:spacing w:line="400" w:lineRule="exact"/>
              <w:ind w:firstLine="0"/>
              <w:jc w:val="center"/>
              <w:rPr>
                <w:rFonts w:ascii="宋体" w:hAnsi="宋体" w:eastAsia="宋体"/>
                <w:sz w:val="21"/>
                <w:szCs w:val="21"/>
                <w:highlight w:val="none"/>
                <w:lang w:val="en-US"/>
              </w:rPr>
            </w:pPr>
            <w:r>
              <w:rPr>
                <w:rFonts w:hint="eastAsia" w:ascii="宋体" w:hAnsi="宋体" w:eastAsia="宋体"/>
                <w:sz w:val="21"/>
                <w:szCs w:val="21"/>
                <w:highlight w:val="none"/>
                <w:lang w:val="en-US"/>
              </w:rPr>
              <w:t>1</w:t>
            </w:r>
          </w:p>
        </w:tc>
        <w:tc>
          <w:tcPr>
            <w:tcW w:w="4631" w:type="dxa"/>
          </w:tcPr>
          <w:p>
            <w:pPr>
              <w:pStyle w:val="9"/>
              <w:spacing w:line="400" w:lineRule="exact"/>
              <w:jc w:val="left"/>
              <w:rPr>
                <w:rFonts w:ascii="宋体" w:hAnsi="宋体" w:eastAsia="宋体"/>
                <w:sz w:val="21"/>
                <w:szCs w:val="21"/>
                <w:highlight w:val="none"/>
                <w:lang w:val="en-US"/>
              </w:rPr>
            </w:pPr>
            <w:r>
              <w:rPr>
                <w:rFonts w:hint="eastAsia" w:ascii="宋体" w:hAnsi="宋体" w:eastAsia="宋体"/>
                <w:sz w:val="21"/>
                <w:szCs w:val="21"/>
                <w:highlight w:val="none"/>
                <w:lang w:val="en-US"/>
              </w:rPr>
              <w:t>具有中级及以上会计师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693" w:type="dxa"/>
          </w:tcPr>
          <w:p>
            <w:pPr>
              <w:pStyle w:val="9"/>
              <w:spacing w:line="400" w:lineRule="exact"/>
              <w:ind w:firstLine="0"/>
              <w:jc w:val="center"/>
              <w:rPr>
                <w:rFonts w:ascii="宋体" w:hAnsi="宋体" w:eastAsia="宋体"/>
                <w:sz w:val="21"/>
                <w:szCs w:val="21"/>
                <w:highlight w:val="none"/>
                <w:lang w:val="en-US"/>
              </w:rPr>
            </w:pPr>
            <w:r>
              <w:rPr>
                <w:rFonts w:hint="eastAsia" w:ascii="宋体" w:hAnsi="宋体" w:eastAsia="宋体"/>
                <w:sz w:val="21"/>
                <w:szCs w:val="21"/>
                <w:highlight w:val="none"/>
                <w:lang w:val="en-US"/>
              </w:rPr>
              <w:t>4</w:t>
            </w:r>
          </w:p>
        </w:tc>
        <w:tc>
          <w:tcPr>
            <w:tcW w:w="2846" w:type="dxa"/>
          </w:tcPr>
          <w:p>
            <w:pPr>
              <w:pStyle w:val="9"/>
              <w:spacing w:line="400" w:lineRule="exact"/>
              <w:ind w:firstLine="0"/>
              <w:jc w:val="center"/>
              <w:rPr>
                <w:rFonts w:ascii="宋体" w:hAnsi="宋体" w:eastAsia="宋体"/>
                <w:sz w:val="21"/>
                <w:szCs w:val="21"/>
                <w:highlight w:val="none"/>
                <w:lang w:val="en-US"/>
              </w:rPr>
            </w:pPr>
            <w:r>
              <w:rPr>
                <w:rFonts w:hint="eastAsia" w:ascii="宋体" w:hAnsi="宋体" w:eastAsia="宋体"/>
                <w:sz w:val="21"/>
                <w:szCs w:val="21"/>
                <w:highlight w:val="none"/>
                <w:lang w:val="en-US"/>
              </w:rPr>
              <w:t>每镇操作工</w:t>
            </w:r>
          </w:p>
        </w:tc>
        <w:tc>
          <w:tcPr>
            <w:tcW w:w="868" w:type="dxa"/>
            <w:vAlign w:val="center"/>
          </w:tcPr>
          <w:p>
            <w:pPr>
              <w:pStyle w:val="9"/>
              <w:spacing w:line="400" w:lineRule="exact"/>
              <w:ind w:firstLine="424" w:firstLineChars="200"/>
              <w:rPr>
                <w:rFonts w:ascii="宋体" w:hAnsi="宋体" w:eastAsia="宋体"/>
                <w:sz w:val="21"/>
                <w:szCs w:val="21"/>
                <w:highlight w:val="none"/>
                <w:lang w:val="en-US"/>
              </w:rPr>
            </w:pPr>
            <w:r>
              <w:rPr>
                <w:rFonts w:hint="eastAsia" w:ascii="宋体" w:hAnsi="宋体" w:eastAsia="宋体"/>
                <w:sz w:val="21"/>
                <w:szCs w:val="21"/>
                <w:highlight w:val="none"/>
                <w:lang w:val="en-US"/>
              </w:rPr>
              <w:t>3</w:t>
            </w:r>
          </w:p>
        </w:tc>
        <w:tc>
          <w:tcPr>
            <w:tcW w:w="4631" w:type="dxa"/>
          </w:tcPr>
          <w:p>
            <w:pPr>
              <w:pStyle w:val="9"/>
              <w:spacing w:line="400" w:lineRule="exact"/>
              <w:jc w:val="left"/>
              <w:rPr>
                <w:rFonts w:ascii="宋体" w:hAnsi="宋体" w:eastAsia="宋体"/>
                <w:sz w:val="21"/>
                <w:szCs w:val="21"/>
                <w:highlight w:val="none"/>
                <w:lang w:val="en-US"/>
              </w:rPr>
            </w:pPr>
            <w:r>
              <w:rPr>
                <w:rFonts w:hint="eastAsia" w:ascii="宋体" w:hAnsi="宋体" w:eastAsia="宋体"/>
                <w:sz w:val="21"/>
                <w:szCs w:val="21"/>
                <w:highlight w:val="none"/>
                <w:lang w:val="en-US"/>
              </w:rPr>
              <w:t>10个镇共计30人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693" w:type="dxa"/>
          </w:tcPr>
          <w:p>
            <w:pPr>
              <w:pStyle w:val="9"/>
              <w:spacing w:line="400" w:lineRule="exact"/>
              <w:ind w:firstLine="0"/>
              <w:jc w:val="center"/>
              <w:rPr>
                <w:rFonts w:ascii="宋体" w:hAnsi="宋体" w:eastAsia="宋体"/>
                <w:sz w:val="21"/>
                <w:szCs w:val="21"/>
                <w:highlight w:val="none"/>
                <w:lang w:val="en-US"/>
              </w:rPr>
            </w:pPr>
            <w:r>
              <w:rPr>
                <w:rFonts w:hint="eastAsia" w:ascii="宋体" w:hAnsi="宋体" w:eastAsia="宋体"/>
                <w:sz w:val="21"/>
                <w:szCs w:val="21"/>
                <w:highlight w:val="none"/>
                <w:lang w:val="en-US"/>
              </w:rPr>
              <w:t>5</w:t>
            </w:r>
          </w:p>
        </w:tc>
        <w:tc>
          <w:tcPr>
            <w:tcW w:w="2846" w:type="dxa"/>
          </w:tcPr>
          <w:p>
            <w:pPr>
              <w:pStyle w:val="9"/>
              <w:spacing w:line="400" w:lineRule="exact"/>
              <w:ind w:firstLine="0"/>
              <w:jc w:val="center"/>
              <w:rPr>
                <w:rFonts w:ascii="宋体" w:hAnsi="宋体" w:eastAsia="宋体"/>
                <w:sz w:val="21"/>
                <w:szCs w:val="21"/>
                <w:highlight w:val="none"/>
                <w:lang w:val="en-US"/>
              </w:rPr>
            </w:pPr>
            <w:r>
              <w:rPr>
                <w:rFonts w:hint="eastAsia" w:ascii="宋体" w:hAnsi="宋体" w:eastAsia="宋体"/>
                <w:sz w:val="21"/>
                <w:szCs w:val="21"/>
                <w:highlight w:val="none"/>
                <w:lang w:val="en-US"/>
              </w:rPr>
              <w:t>水质化验员</w:t>
            </w:r>
          </w:p>
        </w:tc>
        <w:tc>
          <w:tcPr>
            <w:tcW w:w="868" w:type="dxa"/>
            <w:vAlign w:val="center"/>
          </w:tcPr>
          <w:p>
            <w:pPr>
              <w:pStyle w:val="9"/>
              <w:spacing w:line="400" w:lineRule="exact"/>
              <w:ind w:firstLine="424" w:firstLineChars="200"/>
              <w:rPr>
                <w:rFonts w:ascii="宋体" w:hAnsi="宋体" w:eastAsia="宋体"/>
                <w:sz w:val="21"/>
                <w:szCs w:val="21"/>
                <w:highlight w:val="none"/>
                <w:lang w:val="en-US"/>
              </w:rPr>
            </w:pPr>
            <w:r>
              <w:rPr>
                <w:rFonts w:hint="eastAsia" w:ascii="宋体" w:hAnsi="宋体" w:eastAsia="宋体"/>
                <w:sz w:val="21"/>
                <w:szCs w:val="21"/>
                <w:highlight w:val="none"/>
                <w:lang w:val="en-US"/>
              </w:rPr>
              <w:t>1</w:t>
            </w:r>
          </w:p>
        </w:tc>
        <w:tc>
          <w:tcPr>
            <w:tcW w:w="4631" w:type="dxa"/>
          </w:tcPr>
          <w:p>
            <w:pPr>
              <w:pStyle w:val="9"/>
              <w:spacing w:line="400" w:lineRule="exact"/>
              <w:jc w:val="left"/>
              <w:rPr>
                <w:rFonts w:ascii="宋体" w:hAnsi="宋体" w:eastAsia="宋体"/>
                <w:sz w:val="21"/>
                <w:szCs w:val="21"/>
                <w:highlight w:val="none"/>
                <w:lang w:val="en-US"/>
              </w:rPr>
            </w:pPr>
            <w:r>
              <w:rPr>
                <w:rFonts w:hint="eastAsia" w:ascii="宋体" w:hAnsi="宋体" w:eastAsia="宋体"/>
                <w:sz w:val="21"/>
                <w:szCs w:val="21"/>
                <w:highlight w:val="none"/>
                <w:lang w:val="en-US"/>
              </w:rPr>
              <w:t>具备职业证书（或专业能力证书）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693" w:type="dxa"/>
          </w:tcPr>
          <w:p>
            <w:pPr>
              <w:pStyle w:val="9"/>
              <w:spacing w:line="400" w:lineRule="exact"/>
              <w:ind w:firstLine="0"/>
              <w:jc w:val="center"/>
              <w:rPr>
                <w:rFonts w:ascii="宋体" w:hAnsi="宋体" w:eastAsia="宋体"/>
                <w:sz w:val="21"/>
                <w:szCs w:val="21"/>
                <w:highlight w:val="none"/>
                <w:lang w:val="en-US"/>
              </w:rPr>
            </w:pPr>
            <w:r>
              <w:rPr>
                <w:rFonts w:hint="eastAsia" w:ascii="宋体" w:hAnsi="宋体" w:eastAsia="宋体"/>
                <w:sz w:val="21"/>
                <w:szCs w:val="21"/>
                <w:highlight w:val="none"/>
                <w:lang w:val="en-US"/>
              </w:rPr>
              <w:t>6</w:t>
            </w:r>
          </w:p>
        </w:tc>
        <w:tc>
          <w:tcPr>
            <w:tcW w:w="2846" w:type="dxa"/>
          </w:tcPr>
          <w:p>
            <w:pPr>
              <w:pStyle w:val="9"/>
              <w:spacing w:line="400" w:lineRule="exact"/>
              <w:ind w:firstLine="0"/>
              <w:jc w:val="center"/>
              <w:rPr>
                <w:rFonts w:ascii="宋体" w:hAnsi="宋体" w:eastAsia="宋体"/>
                <w:sz w:val="21"/>
                <w:szCs w:val="21"/>
                <w:highlight w:val="none"/>
                <w:lang w:val="en-US"/>
              </w:rPr>
            </w:pPr>
            <w:r>
              <w:rPr>
                <w:rFonts w:hint="eastAsia" w:ascii="宋体" w:hAnsi="宋体" w:eastAsia="宋体"/>
                <w:sz w:val="21"/>
                <w:szCs w:val="21"/>
                <w:highlight w:val="none"/>
                <w:lang w:val="en-US"/>
              </w:rPr>
              <w:t>巡查员</w:t>
            </w:r>
          </w:p>
        </w:tc>
        <w:tc>
          <w:tcPr>
            <w:tcW w:w="868" w:type="dxa"/>
            <w:vAlign w:val="center"/>
          </w:tcPr>
          <w:p>
            <w:pPr>
              <w:pStyle w:val="9"/>
              <w:spacing w:line="400" w:lineRule="exact"/>
              <w:ind w:firstLine="424" w:firstLineChars="200"/>
              <w:rPr>
                <w:rFonts w:ascii="宋体" w:hAnsi="宋体" w:eastAsia="宋体"/>
                <w:sz w:val="21"/>
                <w:szCs w:val="21"/>
                <w:highlight w:val="none"/>
                <w:lang w:val="en-US"/>
              </w:rPr>
            </w:pPr>
            <w:r>
              <w:rPr>
                <w:rFonts w:hint="eastAsia" w:ascii="宋体" w:hAnsi="宋体" w:eastAsia="宋体"/>
                <w:sz w:val="21"/>
                <w:szCs w:val="21"/>
                <w:highlight w:val="none"/>
                <w:lang w:val="en-US"/>
              </w:rPr>
              <w:t>1</w:t>
            </w:r>
          </w:p>
        </w:tc>
        <w:tc>
          <w:tcPr>
            <w:tcW w:w="4631" w:type="dxa"/>
          </w:tcPr>
          <w:p>
            <w:pPr>
              <w:pStyle w:val="9"/>
              <w:spacing w:line="400" w:lineRule="exact"/>
              <w:jc w:val="left"/>
              <w:rPr>
                <w:rFonts w:ascii="宋体" w:hAnsi="宋体" w:eastAsia="宋体"/>
                <w:sz w:val="21"/>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693" w:type="dxa"/>
          </w:tcPr>
          <w:p>
            <w:pPr>
              <w:pStyle w:val="9"/>
              <w:spacing w:line="400" w:lineRule="exact"/>
              <w:ind w:firstLine="0"/>
              <w:jc w:val="center"/>
              <w:rPr>
                <w:rFonts w:ascii="宋体" w:hAnsi="宋体" w:eastAsia="宋体"/>
                <w:sz w:val="21"/>
                <w:szCs w:val="21"/>
                <w:highlight w:val="none"/>
                <w:lang w:val="en-US"/>
              </w:rPr>
            </w:pPr>
            <w:r>
              <w:rPr>
                <w:rFonts w:hint="eastAsia" w:ascii="宋体" w:hAnsi="宋体" w:eastAsia="宋体"/>
                <w:sz w:val="21"/>
                <w:szCs w:val="21"/>
                <w:highlight w:val="none"/>
                <w:lang w:val="en-US"/>
              </w:rPr>
              <w:t>7</w:t>
            </w:r>
          </w:p>
        </w:tc>
        <w:tc>
          <w:tcPr>
            <w:tcW w:w="2846" w:type="dxa"/>
          </w:tcPr>
          <w:p>
            <w:pPr>
              <w:pStyle w:val="9"/>
              <w:spacing w:line="400" w:lineRule="exact"/>
              <w:ind w:firstLine="0"/>
              <w:jc w:val="center"/>
              <w:rPr>
                <w:rFonts w:ascii="宋体" w:hAnsi="宋体" w:eastAsia="宋体"/>
                <w:sz w:val="21"/>
                <w:szCs w:val="21"/>
                <w:highlight w:val="none"/>
                <w:lang w:val="en-US"/>
              </w:rPr>
            </w:pPr>
            <w:r>
              <w:rPr>
                <w:rFonts w:hint="eastAsia" w:ascii="宋体" w:hAnsi="宋体" w:eastAsia="宋体"/>
                <w:sz w:val="21"/>
                <w:szCs w:val="21"/>
                <w:highlight w:val="none"/>
                <w:lang w:val="en-US"/>
              </w:rPr>
              <w:t>电工</w:t>
            </w:r>
          </w:p>
        </w:tc>
        <w:tc>
          <w:tcPr>
            <w:tcW w:w="868" w:type="dxa"/>
            <w:vAlign w:val="center"/>
          </w:tcPr>
          <w:p>
            <w:pPr>
              <w:pStyle w:val="9"/>
              <w:spacing w:line="400" w:lineRule="exact"/>
              <w:ind w:firstLine="424" w:firstLineChars="200"/>
              <w:rPr>
                <w:rFonts w:ascii="宋体" w:hAnsi="宋体" w:eastAsia="宋体"/>
                <w:sz w:val="21"/>
                <w:szCs w:val="21"/>
                <w:highlight w:val="none"/>
                <w:lang w:val="en-US"/>
              </w:rPr>
            </w:pPr>
            <w:r>
              <w:rPr>
                <w:rFonts w:hint="eastAsia" w:ascii="宋体" w:hAnsi="宋体" w:eastAsia="宋体"/>
                <w:sz w:val="21"/>
                <w:szCs w:val="21"/>
                <w:highlight w:val="none"/>
                <w:lang w:val="en-US"/>
              </w:rPr>
              <w:t>1</w:t>
            </w:r>
          </w:p>
        </w:tc>
        <w:tc>
          <w:tcPr>
            <w:tcW w:w="4631" w:type="dxa"/>
          </w:tcPr>
          <w:p>
            <w:pPr>
              <w:pStyle w:val="9"/>
              <w:spacing w:line="400" w:lineRule="exact"/>
              <w:rPr>
                <w:rFonts w:ascii="宋体" w:hAnsi="宋体" w:eastAsia="宋体"/>
                <w:sz w:val="21"/>
                <w:szCs w:val="21"/>
                <w:highlight w:val="none"/>
                <w:lang w:val="en-US"/>
              </w:rPr>
            </w:pPr>
            <w:r>
              <w:rPr>
                <w:rFonts w:hint="eastAsia" w:ascii="宋体" w:hAnsi="宋体" w:eastAsia="宋体"/>
                <w:sz w:val="21"/>
                <w:szCs w:val="21"/>
                <w:highlight w:val="none"/>
                <w:lang w:val="en-US"/>
              </w:rPr>
              <w:t>具备职业证书（或专业能力证书）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693" w:type="dxa"/>
          </w:tcPr>
          <w:p>
            <w:pPr>
              <w:pStyle w:val="9"/>
              <w:spacing w:line="400" w:lineRule="exact"/>
              <w:ind w:firstLine="0"/>
              <w:jc w:val="center"/>
              <w:rPr>
                <w:rFonts w:ascii="宋体" w:hAnsi="宋体" w:eastAsia="宋体"/>
                <w:sz w:val="21"/>
                <w:szCs w:val="21"/>
                <w:highlight w:val="none"/>
                <w:lang w:val="en-US"/>
              </w:rPr>
            </w:pPr>
            <w:r>
              <w:rPr>
                <w:rFonts w:hint="eastAsia" w:ascii="宋体" w:hAnsi="宋体" w:eastAsia="宋体"/>
                <w:sz w:val="21"/>
                <w:szCs w:val="21"/>
                <w:highlight w:val="none"/>
                <w:lang w:val="en-US"/>
              </w:rPr>
              <w:t>8</w:t>
            </w:r>
          </w:p>
        </w:tc>
        <w:tc>
          <w:tcPr>
            <w:tcW w:w="2846" w:type="dxa"/>
          </w:tcPr>
          <w:p>
            <w:pPr>
              <w:pStyle w:val="9"/>
              <w:spacing w:line="400" w:lineRule="exact"/>
              <w:ind w:firstLine="0"/>
              <w:jc w:val="center"/>
              <w:rPr>
                <w:rFonts w:ascii="宋体" w:hAnsi="宋体" w:eastAsia="宋体"/>
                <w:sz w:val="21"/>
                <w:szCs w:val="21"/>
                <w:highlight w:val="none"/>
                <w:lang w:val="en-US"/>
              </w:rPr>
            </w:pPr>
            <w:r>
              <w:rPr>
                <w:rFonts w:hint="eastAsia" w:ascii="宋体" w:hAnsi="宋体" w:eastAsia="宋体"/>
                <w:sz w:val="21"/>
                <w:szCs w:val="21"/>
                <w:highlight w:val="none"/>
                <w:lang w:val="en-US"/>
              </w:rPr>
              <w:t>水生产、输排和水处理人员</w:t>
            </w:r>
          </w:p>
        </w:tc>
        <w:tc>
          <w:tcPr>
            <w:tcW w:w="868" w:type="dxa"/>
            <w:vAlign w:val="center"/>
          </w:tcPr>
          <w:p>
            <w:pPr>
              <w:pStyle w:val="9"/>
              <w:spacing w:line="400" w:lineRule="exact"/>
              <w:ind w:firstLine="424" w:firstLineChars="200"/>
              <w:rPr>
                <w:rFonts w:ascii="宋体" w:hAnsi="宋体" w:eastAsia="宋体"/>
                <w:sz w:val="21"/>
                <w:szCs w:val="21"/>
                <w:highlight w:val="none"/>
                <w:lang w:val="en-US"/>
              </w:rPr>
            </w:pPr>
            <w:r>
              <w:rPr>
                <w:rFonts w:hint="eastAsia" w:ascii="宋体" w:hAnsi="宋体" w:eastAsia="宋体"/>
                <w:sz w:val="21"/>
                <w:szCs w:val="21"/>
                <w:highlight w:val="none"/>
                <w:lang w:val="en-US"/>
              </w:rPr>
              <w:t>3</w:t>
            </w:r>
          </w:p>
        </w:tc>
        <w:tc>
          <w:tcPr>
            <w:tcW w:w="4631" w:type="dxa"/>
          </w:tcPr>
          <w:p>
            <w:pPr>
              <w:pStyle w:val="9"/>
              <w:spacing w:line="400" w:lineRule="exact"/>
              <w:rPr>
                <w:rFonts w:ascii="宋体" w:hAnsi="宋体" w:eastAsia="宋体"/>
                <w:sz w:val="21"/>
                <w:szCs w:val="21"/>
                <w:highlight w:val="none"/>
                <w:lang w:val="en-US"/>
              </w:rPr>
            </w:pPr>
            <w:r>
              <w:rPr>
                <w:rFonts w:hint="eastAsia" w:ascii="宋体" w:hAnsi="宋体" w:eastAsia="宋体"/>
                <w:sz w:val="21"/>
                <w:szCs w:val="21"/>
                <w:highlight w:val="none"/>
                <w:lang w:val="en-US"/>
              </w:rPr>
              <w:t>具备职业证书（或专业能力证书）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4407" w:type="dxa"/>
            <w:gridSpan w:val="3"/>
          </w:tcPr>
          <w:p>
            <w:pPr>
              <w:pStyle w:val="9"/>
              <w:spacing w:line="400" w:lineRule="exact"/>
              <w:ind w:firstLine="1201" w:firstLineChars="567"/>
              <w:rPr>
                <w:rFonts w:ascii="宋体" w:hAnsi="宋体" w:eastAsia="宋体"/>
                <w:sz w:val="21"/>
                <w:szCs w:val="21"/>
                <w:highlight w:val="none"/>
                <w:lang w:val="en-US"/>
              </w:rPr>
            </w:pPr>
            <w:r>
              <w:rPr>
                <w:rFonts w:hint="eastAsia" w:ascii="宋体" w:hAnsi="宋体" w:eastAsia="宋体"/>
                <w:sz w:val="21"/>
                <w:szCs w:val="21"/>
                <w:highlight w:val="none"/>
                <w:lang w:val="en-US"/>
              </w:rPr>
              <w:t>合计</w:t>
            </w:r>
          </w:p>
        </w:tc>
        <w:tc>
          <w:tcPr>
            <w:tcW w:w="4631" w:type="dxa"/>
          </w:tcPr>
          <w:p>
            <w:pPr>
              <w:pStyle w:val="9"/>
              <w:spacing w:line="400" w:lineRule="exact"/>
              <w:ind w:firstLine="2049" w:firstLineChars="967"/>
              <w:rPr>
                <w:rFonts w:ascii="宋体" w:hAnsi="宋体" w:eastAsia="宋体"/>
                <w:sz w:val="21"/>
                <w:szCs w:val="21"/>
                <w:highlight w:val="none"/>
                <w:lang w:val="en-US"/>
              </w:rPr>
            </w:pPr>
            <w:r>
              <w:rPr>
                <w:rFonts w:hint="eastAsia" w:ascii="宋体" w:hAnsi="宋体" w:eastAsia="宋体"/>
                <w:sz w:val="21"/>
                <w:szCs w:val="21"/>
                <w:highlight w:val="none"/>
                <w:lang w:val="en-US"/>
              </w:rPr>
              <w:t>39人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9038" w:type="dxa"/>
            <w:gridSpan w:val="4"/>
          </w:tcPr>
          <w:p>
            <w:pPr>
              <w:jc w:val="left"/>
              <w:rPr>
                <w:rFonts w:ascii="宋体" w:hAnsi="宋体" w:cs="宋体"/>
                <w:szCs w:val="21"/>
                <w:highlight w:val="none"/>
              </w:rPr>
            </w:pPr>
            <w:r>
              <w:rPr>
                <w:rFonts w:hint="eastAsia" w:ascii="宋体" w:hAnsi="宋体" w:cs="宋体"/>
                <w:szCs w:val="21"/>
                <w:highlight w:val="none"/>
              </w:rPr>
              <w:t>备注：项目组主要人员需具备</w:t>
            </w:r>
            <w:r>
              <w:rPr>
                <w:rFonts w:hint="eastAsia" w:ascii="宋体" w:hAnsi="宋体"/>
                <w:szCs w:val="21"/>
                <w:highlight w:val="none"/>
              </w:rPr>
              <w:t>职业证书（或专业能力证书），</w:t>
            </w:r>
            <w:r>
              <w:rPr>
                <w:rFonts w:hint="eastAsia" w:ascii="宋体" w:hAnsi="宋体" w:cs="宋体"/>
                <w:szCs w:val="21"/>
                <w:highlight w:val="none"/>
                <w:lang w:eastAsia="zh-CN"/>
              </w:rPr>
              <w:t>具有安全生产协会颁发的有毒有害有限空间作业证书</w:t>
            </w:r>
            <w:r>
              <w:rPr>
                <w:rFonts w:hint="eastAsia" w:ascii="宋体" w:hAnsi="宋体" w:cs="宋体"/>
                <w:szCs w:val="21"/>
                <w:highlight w:val="none"/>
              </w:rPr>
              <w:t>4名及以上。</w:t>
            </w:r>
          </w:p>
        </w:tc>
      </w:tr>
    </w:tbl>
    <w:p>
      <w:pPr>
        <w:pStyle w:val="56"/>
        <w:numPr>
          <w:ilvl w:val="0"/>
          <w:numId w:val="2"/>
        </w:numPr>
        <w:spacing w:beforeLines="50"/>
        <w:ind w:left="0" w:leftChars="0" w:firstLine="0" w:firstLineChars="0"/>
        <w:textAlignment w:val="baseline"/>
        <w:rPr>
          <w:rFonts w:hint="eastAsia" w:ascii="宋体" w:hAnsi="宋体" w:cs="宋体"/>
          <w:b/>
          <w:color w:val="000000" w:themeColor="text1"/>
          <w:kern w:val="2"/>
          <w:sz w:val="24"/>
          <w:szCs w:val="24"/>
          <w:highlight w:val="none"/>
          <w:lang w:eastAsia="zh-CN"/>
          <w14:textFill>
            <w14:solidFill>
              <w14:schemeClr w14:val="tx1"/>
            </w14:solidFill>
          </w14:textFill>
        </w:rPr>
      </w:pPr>
      <w:r>
        <w:rPr>
          <w:rFonts w:hint="eastAsia" w:ascii="宋体" w:hAnsi="宋体" w:cs="宋体"/>
          <w:b/>
          <w:color w:val="000000" w:themeColor="text1"/>
          <w:kern w:val="2"/>
          <w:sz w:val="24"/>
          <w:szCs w:val="24"/>
          <w:highlight w:val="none"/>
          <w14:textFill>
            <w14:solidFill>
              <w14:schemeClr w14:val="tx1"/>
            </w14:solidFill>
          </w14:textFill>
        </w:rPr>
        <w:t>运营水量</w:t>
      </w:r>
      <w:r>
        <w:rPr>
          <w:rFonts w:hint="eastAsia" w:ascii="宋体" w:hAnsi="宋体" w:cs="宋体"/>
          <w:b/>
          <w:color w:val="000000" w:themeColor="text1"/>
          <w:kern w:val="2"/>
          <w:sz w:val="24"/>
          <w:szCs w:val="24"/>
          <w:highlight w:val="none"/>
          <w:lang w:eastAsia="zh-CN"/>
          <w14:textFill>
            <w14:solidFill>
              <w14:schemeClr w14:val="tx1"/>
            </w14:solidFill>
          </w14:textFill>
        </w:rPr>
        <w:t>及排放标准</w:t>
      </w:r>
    </w:p>
    <w:p>
      <w:pPr>
        <w:pStyle w:val="56"/>
        <w:numPr>
          <w:ilvl w:val="0"/>
          <w:numId w:val="0"/>
        </w:numPr>
        <w:spacing w:beforeLines="50"/>
        <w:ind w:leftChars="0"/>
        <w:textAlignment w:val="baseline"/>
        <w:rPr>
          <w:rFonts w:hint="default" w:ascii="宋体" w:hAnsi="宋体" w:cs="宋体"/>
          <w:b/>
          <w:color w:val="000000" w:themeColor="text1"/>
          <w:kern w:val="2"/>
          <w:sz w:val="24"/>
          <w:szCs w:val="24"/>
          <w:highlight w:val="none"/>
          <w:lang w:val="en-US" w:eastAsia="zh-CN"/>
          <w14:textFill>
            <w14:solidFill>
              <w14:schemeClr w14:val="tx1"/>
            </w14:solidFill>
          </w14:textFill>
        </w:rPr>
      </w:pPr>
      <w:r>
        <w:rPr>
          <w:rFonts w:hint="eastAsia" w:ascii="宋体" w:hAnsi="宋体" w:cs="宋体"/>
          <w:b/>
          <w:color w:val="000000" w:themeColor="text1"/>
          <w:kern w:val="2"/>
          <w:sz w:val="24"/>
          <w:szCs w:val="24"/>
          <w:highlight w:val="none"/>
          <w:lang w:val="en-US" w:eastAsia="zh-CN"/>
          <w14:textFill>
            <w14:solidFill>
              <w14:schemeClr w14:val="tx1"/>
            </w14:solidFill>
          </w14:textFill>
        </w:rPr>
        <w:t xml:space="preserve"> 1.运营水量</w:t>
      </w:r>
    </w:p>
    <w:tbl>
      <w:tblPr>
        <w:tblStyle w:val="26"/>
        <w:tblW w:w="4571"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6"/>
        <w:gridCol w:w="1495"/>
        <w:gridCol w:w="1793"/>
        <w:gridCol w:w="2564"/>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594" w:type="pct"/>
            <w:vAlign w:val="center"/>
          </w:tcPr>
          <w:p>
            <w:pPr>
              <w:spacing w:line="360" w:lineRule="auto"/>
              <w:jc w:val="center"/>
              <w:rPr>
                <w:rFonts w:asciiTheme="minorEastAsia" w:hAnsiTheme="minorEastAsia" w:eastAsiaTheme="minorEastAsia" w:cstheme="minorEastAsia"/>
                <w:b/>
                <w:bCs/>
                <w:szCs w:val="21"/>
                <w:highlight w:val="none"/>
              </w:rPr>
            </w:pPr>
            <w:r>
              <w:rPr>
                <w:rFonts w:hint="eastAsia" w:asciiTheme="minorEastAsia" w:hAnsiTheme="minorEastAsia" w:eastAsiaTheme="minorEastAsia" w:cstheme="minorEastAsia"/>
                <w:b/>
                <w:bCs/>
                <w:szCs w:val="21"/>
                <w:highlight w:val="none"/>
              </w:rPr>
              <w:t>序号</w:t>
            </w:r>
          </w:p>
        </w:tc>
        <w:tc>
          <w:tcPr>
            <w:tcW w:w="834" w:type="pct"/>
            <w:vAlign w:val="center"/>
          </w:tcPr>
          <w:p>
            <w:pPr>
              <w:spacing w:line="360" w:lineRule="auto"/>
              <w:jc w:val="center"/>
              <w:rPr>
                <w:rFonts w:asciiTheme="minorEastAsia" w:hAnsiTheme="minorEastAsia" w:eastAsiaTheme="minorEastAsia" w:cstheme="minorEastAsia"/>
                <w:b/>
                <w:bCs/>
                <w:szCs w:val="21"/>
                <w:highlight w:val="none"/>
              </w:rPr>
            </w:pPr>
            <w:r>
              <w:rPr>
                <w:rFonts w:hint="eastAsia" w:asciiTheme="minorEastAsia" w:hAnsiTheme="minorEastAsia" w:eastAsiaTheme="minorEastAsia" w:cstheme="minorEastAsia"/>
                <w:b/>
                <w:bCs/>
                <w:szCs w:val="21"/>
                <w:highlight w:val="none"/>
              </w:rPr>
              <w:t>片区</w:t>
            </w:r>
          </w:p>
        </w:tc>
        <w:tc>
          <w:tcPr>
            <w:tcW w:w="1000" w:type="pct"/>
            <w:vAlign w:val="center"/>
          </w:tcPr>
          <w:p>
            <w:pPr>
              <w:spacing w:line="360" w:lineRule="auto"/>
              <w:jc w:val="center"/>
              <w:rPr>
                <w:rFonts w:asciiTheme="minorEastAsia" w:hAnsiTheme="minorEastAsia" w:eastAsiaTheme="minorEastAsia" w:cstheme="minorEastAsia"/>
                <w:b/>
                <w:bCs/>
                <w:szCs w:val="21"/>
                <w:highlight w:val="none"/>
              </w:rPr>
            </w:pPr>
            <w:r>
              <w:rPr>
                <w:rFonts w:hint="eastAsia" w:asciiTheme="minorEastAsia" w:hAnsiTheme="minorEastAsia" w:eastAsiaTheme="minorEastAsia" w:cstheme="minorEastAsia"/>
                <w:b/>
                <w:bCs/>
                <w:szCs w:val="21"/>
                <w:highlight w:val="none"/>
              </w:rPr>
              <w:t>集镇名称</w:t>
            </w:r>
          </w:p>
        </w:tc>
        <w:tc>
          <w:tcPr>
            <w:tcW w:w="1431" w:type="pct"/>
            <w:vAlign w:val="center"/>
          </w:tcPr>
          <w:p>
            <w:pPr>
              <w:spacing w:line="360" w:lineRule="auto"/>
              <w:jc w:val="center"/>
              <w:rPr>
                <w:rFonts w:asciiTheme="minorEastAsia" w:hAnsiTheme="minorEastAsia" w:eastAsiaTheme="minorEastAsia" w:cstheme="minorEastAsia"/>
                <w:b/>
                <w:bCs/>
                <w:szCs w:val="21"/>
                <w:highlight w:val="none"/>
              </w:rPr>
            </w:pPr>
            <w:r>
              <w:rPr>
                <w:rFonts w:hint="eastAsia" w:asciiTheme="minorEastAsia" w:hAnsiTheme="minorEastAsia" w:eastAsiaTheme="minorEastAsia" w:cstheme="minorEastAsia"/>
                <w:b/>
                <w:bCs/>
                <w:szCs w:val="21"/>
                <w:highlight w:val="none"/>
              </w:rPr>
              <w:t>设计处理量</w:t>
            </w:r>
          </w:p>
        </w:tc>
        <w:tc>
          <w:tcPr>
            <w:tcW w:w="1138" w:type="pct"/>
            <w:vAlign w:val="center"/>
          </w:tcPr>
          <w:p>
            <w:pPr>
              <w:spacing w:line="360" w:lineRule="auto"/>
              <w:jc w:val="center"/>
              <w:rPr>
                <w:rFonts w:asciiTheme="minorEastAsia" w:hAnsiTheme="minorEastAsia" w:eastAsiaTheme="minorEastAsia" w:cstheme="minorEastAsia"/>
                <w:b/>
                <w:bCs/>
                <w:szCs w:val="21"/>
                <w:highlight w:val="none"/>
              </w:rPr>
            </w:pPr>
            <w:r>
              <w:rPr>
                <w:rFonts w:hint="eastAsia" w:asciiTheme="minorEastAsia" w:hAnsiTheme="minorEastAsia" w:eastAsiaTheme="minorEastAsia" w:cstheme="minorEastAsia"/>
                <w:b/>
                <w:bCs/>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594" w:type="pct"/>
            <w:vAlign w:val="center"/>
          </w:tcPr>
          <w:p>
            <w:pPr>
              <w:spacing w:line="360" w:lineRule="auto"/>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p>
        </w:tc>
        <w:tc>
          <w:tcPr>
            <w:tcW w:w="834" w:type="pct"/>
            <w:vMerge w:val="restart"/>
            <w:vAlign w:val="center"/>
          </w:tcPr>
          <w:p>
            <w:pPr>
              <w:spacing w:line="360" w:lineRule="auto"/>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南片</w:t>
            </w:r>
          </w:p>
        </w:tc>
        <w:tc>
          <w:tcPr>
            <w:tcW w:w="1000" w:type="pct"/>
            <w:vAlign w:val="center"/>
          </w:tcPr>
          <w:p>
            <w:pPr>
              <w:spacing w:line="360" w:lineRule="auto"/>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湖南</w:t>
            </w:r>
          </w:p>
        </w:tc>
        <w:tc>
          <w:tcPr>
            <w:tcW w:w="1431" w:type="pct"/>
            <w:vAlign w:val="center"/>
          </w:tcPr>
          <w:p>
            <w:pPr>
              <w:spacing w:line="360" w:lineRule="auto"/>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400m</w:t>
            </w:r>
            <w:r>
              <w:rPr>
                <w:rFonts w:hint="eastAsia" w:asciiTheme="minorEastAsia" w:hAnsiTheme="minorEastAsia" w:eastAsiaTheme="minorEastAsia" w:cstheme="minorEastAsia"/>
                <w:szCs w:val="21"/>
                <w:highlight w:val="none"/>
                <w:vertAlign w:val="superscript"/>
              </w:rPr>
              <w:t>3</w:t>
            </w:r>
            <w:r>
              <w:rPr>
                <w:rFonts w:hint="eastAsia" w:asciiTheme="minorEastAsia" w:hAnsiTheme="minorEastAsia" w:eastAsiaTheme="minorEastAsia" w:cstheme="minorEastAsia"/>
                <w:szCs w:val="21"/>
                <w:highlight w:val="none"/>
              </w:rPr>
              <w:t>/d</w:t>
            </w:r>
          </w:p>
        </w:tc>
        <w:tc>
          <w:tcPr>
            <w:tcW w:w="1138" w:type="pct"/>
            <w:vAlign w:val="center"/>
          </w:tcPr>
          <w:p>
            <w:pPr>
              <w:spacing w:line="360" w:lineRule="auto"/>
              <w:jc w:val="center"/>
              <w:rPr>
                <w:rFonts w:asciiTheme="minorEastAsia" w:hAnsiTheme="minorEastAsia" w:eastAsia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594" w:type="pct"/>
            <w:vAlign w:val="center"/>
          </w:tcPr>
          <w:p>
            <w:pPr>
              <w:spacing w:line="360" w:lineRule="auto"/>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w:t>
            </w:r>
          </w:p>
        </w:tc>
        <w:tc>
          <w:tcPr>
            <w:tcW w:w="834" w:type="pct"/>
            <w:vMerge w:val="continue"/>
            <w:vAlign w:val="center"/>
          </w:tcPr>
          <w:p>
            <w:pPr>
              <w:spacing w:line="360" w:lineRule="auto"/>
              <w:jc w:val="center"/>
              <w:rPr>
                <w:rFonts w:asciiTheme="minorEastAsia" w:hAnsiTheme="minorEastAsia" w:eastAsiaTheme="minorEastAsia" w:cstheme="minorEastAsia"/>
                <w:szCs w:val="21"/>
                <w:highlight w:val="none"/>
              </w:rPr>
            </w:pPr>
          </w:p>
        </w:tc>
        <w:tc>
          <w:tcPr>
            <w:tcW w:w="1000" w:type="pct"/>
            <w:vAlign w:val="center"/>
          </w:tcPr>
          <w:p>
            <w:pPr>
              <w:spacing w:line="360" w:lineRule="auto"/>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后溪</w:t>
            </w:r>
          </w:p>
        </w:tc>
        <w:tc>
          <w:tcPr>
            <w:tcW w:w="1431" w:type="pct"/>
            <w:vAlign w:val="center"/>
          </w:tcPr>
          <w:p>
            <w:pPr>
              <w:spacing w:line="360" w:lineRule="auto"/>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800m</w:t>
            </w:r>
            <w:r>
              <w:rPr>
                <w:rFonts w:hint="eastAsia" w:asciiTheme="minorEastAsia" w:hAnsiTheme="minorEastAsia" w:eastAsiaTheme="minorEastAsia" w:cstheme="minorEastAsia"/>
                <w:szCs w:val="21"/>
                <w:highlight w:val="none"/>
                <w:vertAlign w:val="superscript"/>
              </w:rPr>
              <w:t>3</w:t>
            </w:r>
            <w:r>
              <w:rPr>
                <w:rFonts w:hint="eastAsia" w:asciiTheme="minorEastAsia" w:hAnsiTheme="minorEastAsia" w:eastAsiaTheme="minorEastAsia" w:cstheme="minorEastAsia"/>
                <w:szCs w:val="21"/>
                <w:highlight w:val="none"/>
              </w:rPr>
              <w:t>/d</w:t>
            </w:r>
          </w:p>
        </w:tc>
        <w:tc>
          <w:tcPr>
            <w:tcW w:w="1138" w:type="pct"/>
            <w:vAlign w:val="center"/>
          </w:tcPr>
          <w:p>
            <w:pPr>
              <w:spacing w:line="360" w:lineRule="auto"/>
              <w:jc w:val="center"/>
              <w:rPr>
                <w:rFonts w:asciiTheme="minorEastAsia" w:hAnsiTheme="minorEastAsia" w:eastAsia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594" w:type="pct"/>
            <w:vAlign w:val="center"/>
          </w:tcPr>
          <w:p>
            <w:pPr>
              <w:spacing w:line="360" w:lineRule="auto"/>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w:t>
            </w:r>
          </w:p>
        </w:tc>
        <w:tc>
          <w:tcPr>
            <w:tcW w:w="834" w:type="pct"/>
            <w:vMerge w:val="continue"/>
            <w:vAlign w:val="center"/>
          </w:tcPr>
          <w:p>
            <w:pPr>
              <w:spacing w:line="360" w:lineRule="auto"/>
              <w:jc w:val="center"/>
              <w:rPr>
                <w:rFonts w:asciiTheme="minorEastAsia" w:hAnsiTheme="minorEastAsia" w:eastAsiaTheme="minorEastAsia" w:cstheme="minorEastAsia"/>
                <w:szCs w:val="21"/>
                <w:highlight w:val="none"/>
              </w:rPr>
            </w:pPr>
          </w:p>
        </w:tc>
        <w:tc>
          <w:tcPr>
            <w:tcW w:w="1000" w:type="pct"/>
            <w:vAlign w:val="center"/>
          </w:tcPr>
          <w:p>
            <w:pPr>
              <w:spacing w:line="360" w:lineRule="auto"/>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廿里</w:t>
            </w:r>
          </w:p>
        </w:tc>
        <w:tc>
          <w:tcPr>
            <w:tcW w:w="1431" w:type="pct"/>
            <w:vAlign w:val="center"/>
          </w:tcPr>
          <w:p>
            <w:pPr>
              <w:spacing w:line="360" w:lineRule="auto"/>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1000m</w:t>
            </w:r>
            <w:r>
              <w:rPr>
                <w:rFonts w:hint="eastAsia" w:asciiTheme="minorEastAsia" w:hAnsiTheme="minorEastAsia" w:eastAsiaTheme="minorEastAsia" w:cstheme="minorEastAsia"/>
                <w:szCs w:val="21"/>
                <w:highlight w:val="none"/>
                <w:vertAlign w:val="superscript"/>
              </w:rPr>
              <w:t>3</w:t>
            </w:r>
            <w:r>
              <w:rPr>
                <w:rFonts w:hint="eastAsia" w:asciiTheme="minorEastAsia" w:hAnsiTheme="minorEastAsia" w:eastAsiaTheme="minorEastAsia" w:cstheme="minorEastAsia"/>
                <w:szCs w:val="21"/>
                <w:highlight w:val="none"/>
              </w:rPr>
              <w:t>/d</w:t>
            </w:r>
          </w:p>
        </w:tc>
        <w:tc>
          <w:tcPr>
            <w:tcW w:w="1138" w:type="pct"/>
            <w:vAlign w:val="center"/>
          </w:tcPr>
          <w:p>
            <w:pPr>
              <w:spacing w:line="360" w:lineRule="auto"/>
              <w:jc w:val="center"/>
              <w:rPr>
                <w:rFonts w:asciiTheme="minorEastAsia" w:hAnsiTheme="minorEastAsia" w:eastAsia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594" w:type="pct"/>
            <w:vAlign w:val="center"/>
          </w:tcPr>
          <w:p>
            <w:pPr>
              <w:spacing w:line="360" w:lineRule="auto"/>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4</w:t>
            </w:r>
          </w:p>
        </w:tc>
        <w:tc>
          <w:tcPr>
            <w:tcW w:w="834" w:type="pct"/>
            <w:vMerge w:val="continue"/>
            <w:vAlign w:val="center"/>
          </w:tcPr>
          <w:p>
            <w:pPr>
              <w:spacing w:line="360" w:lineRule="auto"/>
              <w:jc w:val="center"/>
              <w:rPr>
                <w:rFonts w:asciiTheme="minorEastAsia" w:hAnsiTheme="minorEastAsia" w:eastAsiaTheme="minorEastAsia" w:cstheme="minorEastAsia"/>
                <w:szCs w:val="21"/>
                <w:highlight w:val="none"/>
              </w:rPr>
            </w:pPr>
          </w:p>
        </w:tc>
        <w:tc>
          <w:tcPr>
            <w:tcW w:w="1000" w:type="pct"/>
            <w:vAlign w:val="center"/>
          </w:tcPr>
          <w:p>
            <w:pPr>
              <w:spacing w:line="360" w:lineRule="auto"/>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全旺</w:t>
            </w:r>
          </w:p>
        </w:tc>
        <w:tc>
          <w:tcPr>
            <w:tcW w:w="1431" w:type="pct"/>
            <w:vAlign w:val="center"/>
          </w:tcPr>
          <w:p>
            <w:pPr>
              <w:spacing w:line="360" w:lineRule="auto"/>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800m</w:t>
            </w:r>
            <w:r>
              <w:rPr>
                <w:rFonts w:hint="eastAsia" w:asciiTheme="minorEastAsia" w:hAnsiTheme="minorEastAsia" w:eastAsiaTheme="minorEastAsia" w:cstheme="minorEastAsia"/>
                <w:szCs w:val="21"/>
                <w:highlight w:val="none"/>
                <w:vertAlign w:val="superscript"/>
              </w:rPr>
              <w:t>3</w:t>
            </w:r>
            <w:r>
              <w:rPr>
                <w:rFonts w:hint="eastAsia" w:asciiTheme="minorEastAsia" w:hAnsiTheme="minorEastAsia" w:eastAsiaTheme="minorEastAsia" w:cstheme="minorEastAsia"/>
                <w:szCs w:val="21"/>
                <w:highlight w:val="none"/>
              </w:rPr>
              <w:t>/d</w:t>
            </w:r>
          </w:p>
        </w:tc>
        <w:tc>
          <w:tcPr>
            <w:tcW w:w="1138" w:type="pct"/>
            <w:vAlign w:val="center"/>
          </w:tcPr>
          <w:p>
            <w:pPr>
              <w:spacing w:line="360" w:lineRule="auto"/>
              <w:jc w:val="center"/>
              <w:rPr>
                <w:rFonts w:asciiTheme="minorEastAsia" w:hAnsiTheme="minorEastAsia" w:eastAsia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594" w:type="pct"/>
            <w:vAlign w:val="center"/>
          </w:tcPr>
          <w:p>
            <w:pPr>
              <w:spacing w:line="360" w:lineRule="auto"/>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5</w:t>
            </w:r>
          </w:p>
        </w:tc>
        <w:tc>
          <w:tcPr>
            <w:tcW w:w="834" w:type="pct"/>
            <w:vMerge w:val="continue"/>
            <w:vAlign w:val="center"/>
          </w:tcPr>
          <w:p>
            <w:pPr>
              <w:spacing w:line="360" w:lineRule="auto"/>
              <w:jc w:val="center"/>
              <w:rPr>
                <w:rFonts w:asciiTheme="minorEastAsia" w:hAnsiTheme="minorEastAsia" w:eastAsiaTheme="minorEastAsia" w:cstheme="minorEastAsia"/>
                <w:szCs w:val="21"/>
                <w:highlight w:val="none"/>
              </w:rPr>
            </w:pPr>
          </w:p>
        </w:tc>
        <w:tc>
          <w:tcPr>
            <w:tcW w:w="1000" w:type="pct"/>
            <w:vAlign w:val="center"/>
          </w:tcPr>
          <w:p>
            <w:pPr>
              <w:spacing w:line="360" w:lineRule="auto"/>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大洲</w:t>
            </w:r>
          </w:p>
        </w:tc>
        <w:tc>
          <w:tcPr>
            <w:tcW w:w="1431" w:type="pct"/>
            <w:vAlign w:val="center"/>
          </w:tcPr>
          <w:p>
            <w:pPr>
              <w:spacing w:line="360" w:lineRule="auto"/>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800m</w:t>
            </w:r>
            <w:r>
              <w:rPr>
                <w:rFonts w:hint="eastAsia" w:asciiTheme="minorEastAsia" w:hAnsiTheme="minorEastAsia" w:eastAsiaTheme="minorEastAsia" w:cstheme="minorEastAsia"/>
                <w:szCs w:val="21"/>
                <w:highlight w:val="none"/>
                <w:vertAlign w:val="superscript"/>
              </w:rPr>
              <w:t>3</w:t>
            </w:r>
            <w:r>
              <w:rPr>
                <w:rFonts w:hint="eastAsia" w:asciiTheme="minorEastAsia" w:hAnsiTheme="minorEastAsia" w:eastAsiaTheme="minorEastAsia" w:cstheme="minorEastAsia"/>
                <w:szCs w:val="21"/>
                <w:highlight w:val="none"/>
              </w:rPr>
              <w:t>/d</w:t>
            </w:r>
          </w:p>
        </w:tc>
        <w:tc>
          <w:tcPr>
            <w:tcW w:w="1138" w:type="pct"/>
            <w:vAlign w:val="center"/>
          </w:tcPr>
          <w:p>
            <w:pPr>
              <w:spacing w:line="360" w:lineRule="auto"/>
              <w:jc w:val="center"/>
              <w:rPr>
                <w:rFonts w:asciiTheme="minorEastAsia" w:hAnsiTheme="minorEastAsia" w:eastAsia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594" w:type="pct"/>
            <w:vAlign w:val="center"/>
          </w:tcPr>
          <w:p>
            <w:pPr>
              <w:spacing w:line="360" w:lineRule="auto"/>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6</w:t>
            </w:r>
          </w:p>
        </w:tc>
        <w:tc>
          <w:tcPr>
            <w:tcW w:w="834" w:type="pct"/>
            <w:vMerge w:val="restart"/>
            <w:vAlign w:val="center"/>
          </w:tcPr>
          <w:p>
            <w:pPr>
              <w:spacing w:line="360" w:lineRule="auto"/>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北片</w:t>
            </w:r>
          </w:p>
        </w:tc>
        <w:tc>
          <w:tcPr>
            <w:tcW w:w="1000" w:type="pct"/>
            <w:vAlign w:val="center"/>
          </w:tcPr>
          <w:p>
            <w:pPr>
              <w:spacing w:line="360" w:lineRule="auto"/>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高家</w:t>
            </w:r>
          </w:p>
        </w:tc>
        <w:tc>
          <w:tcPr>
            <w:tcW w:w="1431" w:type="pct"/>
            <w:vAlign w:val="center"/>
          </w:tcPr>
          <w:p>
            <w:pPr>
              <w:spacing w:line="360" w:lineRule="auto"/>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800m</w:t>
            </w:r>
            <w:r>
              <w:rPr>
                <w:rFonts w:hint="eastAsia" w:asciiTheme="minorEastAsia" w:hAnsiTheme="minorEastAsia" w:eastAsiaTheme="minorEastAsia" w:cstheme="minorEastAsia"/>
                <w:szCs w:val="21"/>
                <w:highlight w:val="none"/>
                <w:vertAlign w:val="superscript"/>
              </w:rPr>
              <w:t>3</w:t>
            </w:r>
            <w:r>
              <w:rPr>
                <w:rFonts w:hint="eastAsia" w:asciiTheme="minorEastAsia" w:hAnsiTheme="minorEastAsia" w:eastAsiaTheme="minorEastAsia" w:cstheme="minorEastAsia"/>
                <w:szCs w:val="21"/>
                <w:highlight w:val="none"/>
              </w:rPr>
              <w:t>/d</w:t>
            </w:r>
          </w:p>
        </w:tc>
        <w:tc>
          <w:tcPr>
            <w:tcW w:w="1138" w:type="pct"/>
            <w:vAlign w:val="center"/>
          </w:tcPr>
          <w:p>
            <w:pPr>
              <w:spacing w:line="360" w:lineRule="auto"/>
              <w:jc w:val="center"/>
              <w:rPr>
                <w:rFonts w:asciiTheme="minorEastAsia" w:hAnsiTheme="minorEastAsia" w:eastAsia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594" w:type="pct"/>
            <w:vAlign w:val="center"/>
          </w:tcPr>
          <w:p>
            <w:pPr>
              <w:spacing w:line="360" w:lineRule="auto"/>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7</w:t>
            </w:r>
          </w:p>
        </w:tc>
        <w:tc>
          <w:tcPr>
            <w:tcW w:w="834" w:type="pct"/>
            <w:vMerge w:val="continue"/>
            <w:vAlign w:val="center"/>
          </w:tcPr>
          <w:p>
            <w:pPr>
              <w:spacing w:line="360" w:lineRule="auto"/>
              <w:jc w:val="center"/>
              <w:rPr>
                <w:rFonts w:asciiTheme="minorEastAsia" w:hAnsiTheme="minorEastAsia" w:eastAsiaTheme="minorEastAsia" w:cstheme="minorEastAsia"/>
                <w:szCs w:val="21"/>
                <w:highlight w:val="none"/>
              </w:rPr>
            </w:pPr>
          </w:p>
        </w:tc>
        <w:tc>
          <w:tcPr>
            <w:tcW w:w="1000" w:type="pct"/>
            <w:vAlign w:val="center"/>
          </w:tcPr>
          <w:p>
            <w:pPr>
              <w:spacing w:line="360" w:lineRule="auto"/>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杜泽</w:t>
            </w:r>
          </w:p>
        </w:tc>
        <w:tc>
          <w:tcPr>
            <w:tcW w:w="1431" w:type="pct"/>
            <w:vAlign w:val="center"/>
          </w:tcPr>
          <w:p>
            <w:pPr>
              <w:spacing w:line="360" w:lineRule="auto"/>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800m</w:t>
            </w:r>
            <w:r>
              <w:rPr>
                <w:rFonts w:hint="eastAsia" w:asciiTheme="minorEastAsia" w:hAnsiTheme="minorEastAsia" w:eastAsiaTheme="minorEastAsia" w:cstheme="minorEastAsia"/>
                <w:szCs w:val="21"/>
                <w:highlight w:val="none"/>
                <w:vertAlign w:val="superscript"/>
              </w:rPr>
              <w:t>3</w:t>
            </w:r>
            <w:r>
              <w:rPr>
                <w:rFonts w:hint="eastAsia" w:asciiTheme="minorEastAsia" w:hAnsiTheme="minorEastAsia" w:eastAsiaTheme="minorEastAsia" w:cstheme="minorEastAsia"/>
                <w:szCs w:val="21"/>
                <w:highlight w:val="none"/>
              </w:rPr>
              <w:t>/d</w:t>
            </w:r>
          </w:p>
        </w:tc>
        <w:tc>
          <w:tcPr>
            <w:tcW w:w="1138" w:type="pct"/>
            <w:vAlign w:val="center"/>
          </w:tcPr>
          <w:p>
            <w:pPr>
              <w:spacing w:line="360" w:lineRule="auto"/>
              <w:jc w:val="center"/>
              <w:rPr>
                <w:rFonts w:asciiTheme="minorEastAsia" w:hAnsiTheme="minorEastAsia" w:eastAsia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594" w:type="pct"/>
            <w:vAlign w:val="center"/>
          </w:tcPr>
          <w:p>
            <w:pPr>
              <w:spacing w:line="360" w:lineRule="auto"/>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8</w:t>
            </w:r>
          </w:p>
        </w:tc>
        <w:tc>
          <w:tcPr>
            <w:tcW w:w="834" w:type="pct"/>
            <w:vMerge w:val="continue"/>
            <w:vAlign w:val="center"/>
          </w:tcPr>
          <w:p>
            <w:pPr>
              <w:spacing w:line="360" w:lineRule="auto"/>
              <w:jc w:val="center"/>
              <w:rPr>
                <w:rFonts w:asciiTheme="minorEastAsia" w:hAnsiTheme="minorEastAsia" w:eastAsiaTheme="minorEastAsia" w:cstheme="minorEastAsia"/>
                <w:szCs w:val="21"/>
                <w:highlight w:val="none"/>
              </w:rPr>
            </w:pPr>
          </w:p>
        </w:tc>
        <w:tc>
          <w:tcPr>
            <w:tcW w:w="1000" w:type="pct"/>
            <w:vAlign w:val="center"/>
          </w:tcPr>
          <w:p>
            <w:pPr>
              <w:spacing w:line="360" w:lineRule="auto"/>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莲花</w:t>
            </w:r>
          </w:p>
        </w:tc>
        <w:tc>
          <w:tcPr>
            <w:tcW w:w="1431" w:type="pct"/>
            <w:vAlign w:val="center"/>
          </w:tcPr>
          <w:p>
            <w:pPr>
              <w:spacing w:line="360" w:lineRule="auto"/>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800m</w:t>
            </w:r>
            <w:r>
              <w:rPr>
                <w:rFonts w:hint="eastAsia" w:asciiTheme="minorEastAsia" w:hAnsiTheme="minorEastAsia" w:eastAsiaTheme="minorEastAsia" w:cstheme="minorEastAsia"/>
                <w:szCs w:val="21"/>
                <w:highlight w:val="none"/>
                <w:vertAlign w:val="superscript"/>
              </w:rPr>
              <w:t>3</w:t>
            </w:r>
            <w:r>
              <w:rPr>
                <w:rFonts w:hint="eastAsia" w:asciiTheme="minorEastAsia" w:hAnsiTheme="minorEastAsia" w:eastAsiaTheme="minorEastAsia" w:cstheme="minorEastAsia"/>
                <w:szCs w:val="21"/>
                <w:highlight w:val="none"/>
              </w:rPr>
              <w:t>/d</w:t>
            </w:r>
          </w:p>
        </w:tc>
        <w:tc>
          <w:tcPr>
            <w:tcW w:w="1138" w:type="pct"/>
            <w:vAlign w:val="center"/>
          </w:tcPr>
          <w:p>
            <w:pPr>
              <w:spacing w:line="360" w:lineRule="auto"/>
              <w:jc w:val="center"/>
              <w:rPr>
                <w:rFonts w:asciiTheme="minorEastAsia" w:hAnsiTheme="minorEastAsia" w:eastAsia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594" w:type="pct"/>
            <w:vAlign w:val="center"/>
          </w:tcPr>
          <w:p>
            <w:pPr>
              <w:spacing w:line="360" w:lineRule="auto"/>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9</w:t>
            </w:r>
          </w:p>
        </w:tc>
        <w:tc>
          <w:tcPr>
            <w:tcW w:w="834" w:type="pct"/>
            <w:vMerge w:val="continue"/>
            <w:vAlign w:val="center"/>
          </w:tcPr>
          <w:p>
            <w:pPr>
              <w:spacing w:line="360" w:lineRule="auto"/>
              <w:jc w:val="center"/>
              <w:rPr>
                <w:rFonts w:asciiTheme="minorEastAsia" w:hAnsiTheme="minorEastAsia" w:eastAsiaTheme="minorEastAsia" w:cstheme="minorEastAsia"/>
                <w:szCs w:val="21"/>
                <w:highlight w:val="none"/>
              </w:rPr>
            </w:pPr>
          </w:p>
        </w:tc>
        <w:tc>
          <w:tcPr>
            <w:tcW w:w="1000" w:type="pct"/>
            <w:vAlign w:val="center"/>
          </w:tcPr>
          <w:p>
            <w:pPr>
              <w:spacing w:line="360" w:lineRule="auto"/>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峡川</w:t>
            </w:r>
          </w:p>
        </w:tc>
        <w:tc>
          <w:tcPr>
            <w:tcW w:w="1431" w:type="pct"/>
            <w:vAlign w:val="center"/>
          </w:tcPr>
          <w:p>
            <w:pPr>
              <w:spacing w:line="360" w:lineRule="auto"/>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500m</w:t>
            </w:r>
            <w:r>
              <w:rPr>
                <w:rFonts w:hint="eastAsia" w:asciiTheme="minorEastAsia" w:hAnsiTheme="minorEastAsia" w:eastAsiaTheme="minorEastAsia" w:cstheme="minorEastAsia"/>
                <w:szCs w:val="21"/>
                <w:highlight w:val="none"/>
                <w:vertAlign w:val="superscript"/>
              </w:rPr>
              <w:t>3</w:t>
            </w:r>
            <w:r>
              <w:rPr>
                <w:rFonts w:hint="eastAsia" w:asciiTheme="minorEastAsia" w:hAnsiTheme="minorEastAsia" w:eastAsiaTheme="minorEastAsia" w:cstheme="minorEastAsia"/>
                <w:szCs w:val="21"/>
                <w:highlight w:val="none"/>
              </w:rPr>
              <w:t>/d</w:t>
            </w:r>
          </w:p>
        </w:tc>
        <w:tc>
          <w:tcPr>
            <w:tcW w:w="1138" w:type="pct"/>
            <w:vAlign w:val="center"/>
          </w:tcPr>
          <w:p>
            <w:pPr>
              <w:spacing w:line="360" w:lineRule="auto"/>
              <w:jc w:val="center"/>
              <w:rPr>
                <w:rFonts w:asciiTheme="minorEastAsia" w:hAnsiTheme="minorEastAsia" w:eastAsia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594" w:type="pct"/>
            <w:vAlign w:val="center"/>
          </w:tcPr>
          <w:p>
            <w:pPr>
              <w:spacing w:line="360" w:lineRule="auto"/>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10</w:t>
            </w:r>
          </w:p>
        </w:tc>
        <w:tc>
          <w:tcPr>
            <w:tcW w:w="834" w:type="pct"/>
            <w:vMerge w:val="continue"/>
            <w:vAlign w:val="center"/>
          </w:tcPr>
          <w:p>
            <w:pPr>
              <w:spacing w:line="360" w:lineRule="auto"/>
              <w:jc w:val="center"/>
              <w:rPr>
                <w:rFonts w:asciiTheme="minorEastAsia" w:hAnsiTheme="minorEastAsia" w:eastAsiaTheme="minorEastAsia" w:cstheme="minorEastAsia"/>
                <w:szCs w:val="21"/>
                <w:highlight w:val="none"/>
              </w:rPr>
            </w:pPr>
          </w:p>
        </w:tc>
        <w:tc>
          <w:tcPr>
            <w:tcW w:w="1000" w:type="pct"/>
            <w:vAlign w:val="center"/>
          </w:tcPr>
          <w:p>
            <w:pPr>
              <w:spacing w:line="360" w:lineRule="auto"/>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上方</w:t>
            </w:r>
          </w:p>
        </w:tc>
        <w:tc>
          <w:tcPr>
            <w:tcW w:w="1431" w:type="pct"/>
            <w:vAlign w:val="center"/>
          </w:tcPr>
          <w:p>
            <w:pPr>
              <w:spacing w:line="360" w:lineRule="auto"/>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1200m</w:t>
            </w:r>
            <w:r>
              <w:rPr>
                <w:rFonts w:hint="eastAsia" w:asciiTheme="minorEastAsia" w:hAnsiTheme="minorEastAsia" w:eastAsiaTheme="minorEastAsia" w:cstheme="minorEastAsia"/>
                <w:szCs w:val="21"/>
                <w:highlight w:val="none"/>
                <w:vertAlign w:val="superscript"/>
              </w:rPr>
              <w:t>3</w:t>
            </w:r>
            <w:r>
              <w:rPr>
                <w:rFonts w:hint="eastAsia" w:asciiTheme="minorEastAsia" w:hAnsiTheme="minorEastAsia" w:eastAsiaTheme="minorEastAsia" w:cstheme="minorEastAsia"/>
                <w:szCs w:val="21"/>
                <w:highlight w:val="none"/>
              </w:rPr>
              <w:t>/d</w:t>
            </w:r>
          </w:p>
        </w:tc>
        <w:tc>
          <w:tcPr>
            <w:tcW w:w="1138" w:type="pct"/>
            <w:vAlign w:val="center"/>
          </w:tcPr>
          <w:p>
            <w:pPr>
              <w:spacing w:line="360" w:lineRule="auto"/>
              <w:jc w:val="center"/>
              <w:rPr>
                <w:rFonts w:asciiTheme="minorEastAsia" w:hAnsiTheme="minorEastAsia" w:eastAsia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594" w:type="pct"/>
            <w:vAlign w:val="center"/>
          </w:tcPr>
          <w:p>
            <w:pPr>
              <w:spacing w:line="360" w:lineRule="auto"/>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11</w:t>
            </w:r>
          </w:p>
        </w:tc>
        <w:tc>
          <w:tcPr>
            <w:tcW w:w="834" w:type="pct"/>
            <w:vAlign w:val="center"/>
          </w:tcPr>
          <w:p>
            <w:pPr>
              <w:spacing w:line="360" w:lineRule="auto"/>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合计</w:t>
            </w:r>
          </w:p>
        </w:tc>
        <w:tc>
          <w:tcPr>
            <w:tcW w:w="1000" w:type="pct"/>
            <w:vAlign w:val="center"/>
          </w:tcPr>
          <w:p>
            <w:pPr>
              <w:spacing w:line="360" w:lineRule="auto"/>
              <w:jc w:val="center"/>
              <w:rPr>
                <w:rFonts w:asciiTheme="minorEastAsia" w:hAnsiTheme="minorEastAsia" w:eastAsiaTheme="minorEastAsia" w:cstheme="minorEastAsia"/>
                <w:szCs w:val="21"/>
                <w:highlight w:val="none"/>
              </w:rPr>
            </w:pPr>
          </w:p>
        </w:tc>
        <w:tc>
          <w:tcPr>
            <w:tcW w:w="1431" w:type="pct"/>
            <w:vAlign w:val="center"/>
          </w:tcPr>
          <w:p>
            <w:pPr>
              <w:spacing w:line="360" w:lineRule="auto"/>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7900m</w:t>
            </w:r>
            <w:r>
              <w:rPr>
                <w:rFonts w:hint="eastAsia" w:asciiTheme="minorEastAsia" w:hAnsiTheme="minorEastAsia" w:eastAsiaTheme="minorEastAsia" w:cstheme="minorEastAsia"/>
                <w:szCs w:val="21"/>
                <w:highlight w:val="none"/>
                <w:vertAlign w:val="superscript"/>
              </w:rPr>
              <w:t>3</w:t>
            </w:r>
            <w:r>
              <w:rPr>
                <w:rFonts w:hint="eastAsia" w:asciiTheme="minorEastAsia" w:hAnsiTheme="minorEastAsia" w:eastAsiaTheme="minorEastAsia" w:cstheme="minorEastAsia"/>
                <w:szCs w:val="21"/>
                <w:highlight w:val="none"/>
              </w:rPr>
              <w:t>/d</w:t>
            </w:r>
          </w:p>
        </w:tc>
        <w:tc>
          <w:tcPr>
            <w:tcW w:w="1138" w:type="pct"/>
            <w:vAlign w:val="center"/>
          </w:tcPr>
          <w:p>
            <w:pPr>
              <w:spacing w:line="360" w:lineRule="auto"/>
              <w:jc w:val="center"/>
              <w:rPr>
                <w:rFonts w:asciiTheme="minorEastAsia" w:hAnsiTheme="minorEastAsia" w:eastAsia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5000" w:type="pct"/>
            <w:gridSpan w:val="5"/>
            <w:vAlign w:val="center"/>
          </w:tcPr>
          <w:p>
            <w:pPr>
              <w:spacing w:line="400" w:lineRule="exact"/>
              <w:rPr>
                <w:rFonts w:ascii="宋体" w:hAnsi="宋体"/>
                <w:b/>
                <w:bCs/>
                <w:szCs w:val="21"/>
                <w:highlight w:val="none"/>
              </w:rPr>
            </w:pPr>
            <w:r>
              <w:rPr>
                <w:rFonts w:hint="eastAsia" w:ascii="宋体" w:hAnsi="宋体"/>
                <w:b/>
                <w:bCs/>
                <w:szCs w:val="21"/>
                <w:highlight w:val="none"/>
              </w:rPr>
              <w:t>注：1.污水量以实际处理量结算，结算最高上限为7900m3/d。</w:t>
            </w:r>
          </w:p>
          <w:p>
            <w:pPr>
              <w:spacing w:line="400" w:lineRule="exact"/>
              <w:ind w:firstLine="424" w:firstLineChars="200"/>
              <w:rPr>
                <w:rFonts w:ascii="宋体" w:hAnsi="宋体"/>
                <w:b/>
                <w:bCs/>
                <w:szCs w:val="21"/>
                <w:highlight w:val="none"/>
              </w:rPr>
            </w:pPr>
            <w:r>
              <w:rPr>
                <w:rFonts w:hint="eastAsia" w:ascii="宋体" w:hAnsi="宋体"/>
                <w:b/>
                <w:bCs/>
                <w:szCs w:val="21"/>
                <w:highlight w:val="none"/>
              </w:rPr>
              <w:t>2.超出部分由中标人负责，包含在报价中。</w:t>
            </w:r>
          </w:p>
          <w:p>
            <w:pPr>
              <w:spacing w:line="360" w:lineRule="auto"/>
              <w:ind w:firstLine="424" w:firstLineChars="200"/>
              <w:jc w:val="both"/>
              <w:rPr>
                <w:rFonts w:asciiTheme="minorEastAsia" w:hAnsiTheme="minorEastAsia" w:eastAsiaTheme="minorEastAsia" w:cstheme="minorEastAsia"/>
                <w:szCs w:val="21"/>
                <w:highlight w:val="none"/>
              </w:rPr>
            </w:pPr>
            <w:r>
              <w:rPr>
                <w:rFonts w:hint="eastAsia" w:ascii="宋体" w:hAnsi="宋体"/>
                <w:b/>
                <w:bCs/>
                <w:szCs w:val="21"/>
                <w:highlight w:val="none"/>
              </w:rPr>
              <w:t>3.超出部分污水必须经由中标人按标准及规定达标处理后排放。</w:t>
            </w:r>
          </w:p>
        </w:tc>
      </w:tr>
    </w:tbl>
    <w:p>
      <w:pPr>
        <w:pStyle w:val="56"/>
        <w:numPr>
          <w:ilvl w:val="0"/>
          <w:numId w:val="0"/>
        </w:numPr>
        <w:spacing w:beforeLines="50"/>
        <w:ind w:leftChars="0"/>
        <w:textAlignment w:val="baseline"/>
        <w:rPr>
          <w:rFonts w:hint="eastAsia" w:ascii="宋体" w:hAnsi="宋体" w:cs="宋体"/>
          <w:b/>
          <w:color w:val="000000" w:themeColor="text1"/>
          <w:kern w:val="2"/>
          <w:sz w:val="24"/>
          <w:szCs w:val="24"/>
          <w:highlight w:val="none"/>
          <w:lang w:val="en-US" w:eastAsia="zh-CN"/>
          <w14:textFill>
            <w14:solidFill>
              <w14:schemeClr w14:val="tx1"/>
            </w14:solidFill>
          </w14:textFill>
        </w:rPr>
      </w:pPr>
      <w:r>
        <w:rPr>
          <w:rFonts w:hint="eastAsia" w:ascii="宋体" w:hAnsi="宋体" w:cs="宋体"/>
          <w:b/>
          <w:color w:val="000000" w:themeColor="text1"/>
          <w:kern w:val="2"/>
          <w:sz w:val="24"/>
          <w:szCs w:val="24"/>
          <w:highlight w:val="none"/>
          <w:lang w:val="en-US" w:eastAsia="zh-CN"/>
          <w14:textFill>
            <w14:solidFill>
              <w14:schemeClr w14:val="tx1"/>
            </w14:solidFill>
          </w14:textFill>
        </w:rPr>
        <w:t>2.进出水质量及污泥排放标准</w:t>
      </w:r>
    </w:p>
    <w:p>
      <w:pPr>
        <w:pStyle w:val="56"/>
        <w:spacing w:beforeLines="25" w:afterLines="25"/>
        <w:ind w:firstLine="501" w:firstLineChars="237"/>
        <w:rPr>
          <w:rFonts w:hint="eastAsia" w:asciiTheme="minorEastAsia" w:hAnsiTheme="minorEastAsia" w:eastAsiaTheme="minorEastAsia" w:cstheme="minorEastAsia"/>
          <w:b/>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val="0"/>
          <w:color w:val="000000" w:themeColor="text1"/>
          <w:sz w:val="21"/>
          <w:szCs w:val="21"/>
          <w:highlight w:val="none"/>
          <w:lang w:val="en-US" w:eastAsia="zh-CN"/>
          <w14:textFill>
            <w14:solidFill>
              <w14:schemeClr w14:val="tx1"/>
            </w14:solidFill>
          </w14:textFill>
        </w:rPr>
        <w:t>（1）</w:t>
      </w:r>
      <w:r>
        <w:rPr>
          <w:rFonts w:hint="eastAsia" w:asciiTheme="minorEastAsia" w:hAnsiTheme="minorEastAsia" w:eastAsiaTheme="minorEastAsia" w:cstheme="minorEastAsia"/>
          <w:b/>
          <w:bCs w:val="0"/>
          <w:color w:val="000000" w:themeColor="text1"/>
          <w:sz w:val="21"/>
          <w:szCs w:val="21"/>
          <w:highlight w:val="none"/>
          <w14:textFill>
            <w14:solidFill>
              <w14:schemeClr w14:val="tx1"/>
            </w14:solidFill>
          </w14:textFill>
        </w:rPr>
        <w:t xml:space="preserve">进水质量设计标准 </w:t>
      </w:r>
    </w:p>
    <w:p>
      <w:pPr>
        <w:pStyle w:val="56"/>
        <w:spacing w:beforeLines="25" w:afterLines="25"/>
        <w:ind w:firstLine="3675" w:firstLineChars="1734"/>
        <w:jc w:val="both"/>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进水水质设计标准</w:t>
      </w:r>
    </w:p>
    <w:tbl>
      <w:tblPr>
        <w:tblStyle w:val="25"/>
        <w:tblW w:w="81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7"/>
        <w:gridCol w:w="638"/>
        <w:gridCol w:w="914"/>
        <w:gridCol w:w="913"/>
        <w:gridCol w:w="914"/>
        <w:gridCol w:w="760"/>
        <w:gridCol w:w="913"/>
        <w:gridCol w:w="1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207" w:type="dxa"/>
            <w:vAlign w:val="center"/>
          </w:tcPr>
          <w:p>
            <w:pPr>
              <w:pStyle w:val="56"/>
              <w:spacing w:line="400" w:lineRule="exact"/>
              <w:jc w:val="cente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项目</w:t>
            </w:r>
          </w:p>
        </w:tc>
        <w:tc>
          <w:tcPr>
            <w:tcW w:w="638" w:type="dxa"/>
            <w:vAlign w:val="center"/>
          </w:tcPr>
          <w:p>
            <w:pPr>
              <w:pStyle w:val="56"/>
              <w:spacing w:line="400" w:lineRule="exact"/>
              <w:jc w:val="cente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pH</w:t>
            </w:r>
          </w:p>
        </w:tc>
        <w:tc>
          <w:tcPr>
            <w:tcW w:w="914" w:type="dxa"/>
            <w:vAlign w:val="center"/>
          </w:tcPr>
          <w:p>
            <w:pPr>
              <w:pStyle w:val="56"/>
              <w:spacing w:line="400" w:lineRule="exact"/>
              <w:jc w:val="cente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COD</w:t>
            </w:r>
            <w:r>
              <w:rPr>
                <w:rFonts w:hint="eastAsia" w:asciiTheme="minorEastAsia" w:hAnsiTheme="minorEastAsia" w:eastAsiaTheme="minorEastAsia" w:cstheme="minorEastAsia"/>
                <w:b/>
                <w:color w:val="000000" w:themeColor="text1"/>
                <w:sz w:val="21"/>
                <w:szCs w:val="21"/>
                <w:highlight w:val="none"/>
                <w:vertAlign w:val="subscript"/>
                <w14:textFill>
                  <w14:solidFill>
                    <w14:schemeClr w14:val="tx1"/>
                  </w14:solidFill>
                </w14:textFill>
              </w:rPr>
              <w:t>Cr</w:t>
            </w:r>
          </w:p>
        </w:tc>
        <w:tc>
          <w:tcPr>
            <w:tcW w:w="913" w:type="dxa"/>
            <w:vAlign w:val="center"/>
          </w:tcPr>
          <w:p>
            <w:pPr>
              <w:pStyle w:val="56"/>
              <w:spacing w:line="400" w:lineRule="exact"/>
              <w:jc w:val="cente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BOD</w:t>
            </w:r>
            <w:r>
              <w:rPr>
                <w:rFonts w:hint="eastAsia" w:asciiTheme="minorEastAsia" w:hAnsiTheme="minorEastAsia" w:eastAsiaTheme="minorEastAsia" w:cstheme="minorEastAsia"/>
                <w:b/>
                <w:color w:val="000000" w:themeColor="text1"/>
                <w:sz w:val="21"/>
                <w:szCs w:val="21"/>
                <w:highlight w:val="none"/>
                <w:vertAlign w:val="subscript"/>
                <w14:textFill>
                  <w14:solidFill>
                    <w14:schemeClr w14:val="tx1"/>
                  </w14:solidFill>
                </w14:textFill>
              </w:rPr>
              <w:t>5</w:t>
            </w:r>
          </w:p>
        </w:tc>
        <w:tc>
          <w:tcPr>
            <w:tcW w:w="914" w:type="dxa"/>
            <w:vAlign w:val="center"/>
          </w:tcPr>
          <w:p>
            <w:pPr>
              <w:pStyle w:val="56"/>
              <w:spacing w:line="400" w:lineRule="exact"/>
              <w:jc w:val="cente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NH</w:t>
            </w:r>
            <w:r>
              <w:rPr>
                <w:rFonts w:hint="eastAsia" w:asciiTheme="minorEastAsia" w:hAnsiTheme="minorEastAsia" w:eastAsiaTheme="minorEastAsia" w:cstheme="minorEastAsia"/>
                <w:b/>
                <w:color w:val="000000" w:themeColor="text1"/>
                <w:sz w:val="21"/>
                <w:szCs w:val="21"/>
                <w:highlight w:val="none"/>
                <w:vertAlign w:val="subscript"/>
                <w14:textFill>
                  <w14:solidFill>
                    <w14:schemeClr w14:val="tx1"/>
                  </w14:solidFill>
                </w14:textFill>
              </w:rPr>
              <w:t>3</w:t>
            </w:r>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-N</w:t>
            </w:r>
          </w:p>
        </w:tc>
        <w:tc>
          <w:tcPr>
            <w:tcW w:w="760" w:type="dxa"/>
            <w:vAlign w:val="center"/>
          </w:tcPr>
          <w:p>
            <w:pPr>
              <w:pStyle w:val="56"/>
              <w:spacing w:line="400" w:lineRule="exact"/>
              <w:jc w:val="cente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TN</w:t>
            </w:r>
          </w:p>
        </w:tc>
        <w:tc>
          <w:tcPr>
            <w:tcW w:w="913" w:type="dxa"/>
            <w:vAlign w:val="center"/>
          </w:tcPr>
          <w:p>
            <w:pPr>
              <w:pStyle w:val="56"/>
              <w:spacing w:line="400" w:lineRule="exact"/>
              <w:jc w:val="cente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SS</w:t>
            </w:r>
          </w:p>
        </w:tc>
        <w:tc>
          <w:tcPr>
            <w:tcW w:w="1897" w:type="dxa"/>
            <w:vAlign w:val="center"/>
          </w:tcPr>
          <w:p>
            <w:pPr>
              <w:pStyle w:val="56"/>
              <w:spacing w:line="400" w:lineRule="exact"/>
              <w:jc w:val="cente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207" w:type="dxa"/>
            <w:vAlign w:val="center"/>
          </w:tcPr>
          <w:p>
            <w:pPr>
              <w:pStyle w:val="56"/>
              <w:spacing w:line="40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单位</w:t>
            </w:r>
          </w:p>
        </w:tc>
        <w:tc>
          <w:tcPr>
            <w:tcW w:w="638" w:type="dxa"/>
            <w:vAlign w:val="center"/>
          </w:tcPr>
          <w:p>
            <w:pPr>
              <w:pStyle w:val="56"/>
              <w:spacing w:line="40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914" w:type="dxa"/>
            <w:vAlign w:val="center"/>
          </w:tcPr>
          <w:p>
            <w:pPr>
              <w:pStyle w:val="56"/>
              <w:spacing w:line="40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mg/L</w:t>
            </w:r>
          </w:p>
        </w:tc>
        <w:tc>
          <w:tcPr>
            <w:tcW w:w="913" w:type="dxa"/>
            <w:vAlign w:val="center"/>
          </w:tcPr>
          <w:p>
            <w:pPr>
              <w:pStyle w:val="56"/>
              <w:spacing w:line="40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mg/L</w:t>
            </w:r>
          </w:p>
        </w:tc>
        <w:tc>
          <w:tcPr>
            <w:tcW w:w="914" w:type="dxa"/>
            <w:vAlign w:val="center"/>
          </w:tcPr>
          <w:p>
            <w:pPr>
              <w:pStyle w:val="56"/>
              <w:spacing w:line="40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mg/L</w:t>
            </w:r>
          </w:p>
        </w:tc>
        <w:tc>
          <w:tcPr>
            <w:tcW w:w="760" w:type="dxa"/>
            <w:vAlign w:val="center"/>
          </w:tcPr>
          <w:p>
            <w:pPr>
              <w:pStyle w:val="56"/>
              <w:spacing w:line="40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mg/L</w:t>
            </w:r>
          </w:p>
        </w:tc>
        <w:tc>
          <w:tcPr>
            <w:tcW w:w="913" w:type="dxa"/>
            <w:vAlign w:val="center"/>
          </w:tcPr>
          <w:p>
            <w:pPr>
              <w:pStyle w:val="56"/>
              <w:spacing w:line="40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mg/L</w:t>
            </w:r>
          </w:p>
        </w:tc>
        <w:tc>
          <w:tcPr>
            <w:tcW w:w="1897" w:type="dxa"/>
            <w:vAlign w:val="center"/>
          </w:tcPr>
          <w:p>
            <w:pPr>
              <w:pStyle w:val="56"/>
              <w:spacing w:line="40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207" w:type="dxa"/>
            <w:vAlign w:val="center"/>
          </w:tcPr>
          <w:p>
            <w:pPr>
              <w:pStyle w:val="56"/>
              <w:spacing w:line="40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指标数值</w:t>
            </w:r>
          </w:p>
        </w:tc>
        <w:tc>
          <w:tcPr>
            <w:tcW w:w="638" w:type="dxa"/>
            <w:vAlign w:val="center"/>
          </w:tcPr>
          <w:p>
            <w:pPr>
              <w:pStyle w:val="56"/>
              <w:spacing w:line="40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6-9</w:t>
            </w:r>
          </w:p>
        </w:tc>
        <w:tc>
          <w:tcPr>
            <w:tcW w:w="914" w:type="dxa"/>
            <w:vAlign w:val="center"/>
          </w:tcPr>
          <w:p>
            <w:pPr>
              <w:pStyle w:val="56"/>
              <w:spacing w:line="40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≤330</w:t>
            </w:r>
          </w:p>
        </w:tc>
        <w:tc>
          <w:tcPr>
            <w:tcW w:w="913" w:type="dxa"/>
            <w:vAlign w:val="center"/>
          </w:tcPr>
          <w:p>
            <w:pPr>
              <w:pStyle w:val="56"/>
              <w:spacing w:line="40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≤140</w:t>
            </w:r>
          </w:p>
        </w:tc>
        <w:tc>
          <w:tcPr>
            <w:tcW w:w="914" w:type="dxa"/>
            <w:vAlign w:val="center"/>
          </w:tcPr>
          <w:p>
            <w:pPr>
              <w:pStyle w:val="56"/>
              <w:spacing w:line="40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w:t>
            </w:r>
          </w:p>
        </w:tc>
        <w:tc>
          <w:tcPr>
            <w:tcW w:w="760" w:type="dxa"/>
            <w:vAlign w:val="center"/>
          </w:tcPr>
          <w:p>
            <w:pPr>
              <w:pStyle w:val="56"/>
              <w:spacing w:line="40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≤35</w:t>
            </w:r>
          </w:p>
        </w:tc>
        <w:tc>
          <w:tcPr>
            <w:tcW w:w="913" w:type="dxa"/>
            <w:vAlign w:val="center"/>
          </w:tcPr>
          <w:p>
            <w:pPr>
              <w:pStyle w:val="56"/>
              <w:spacing w:line="40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≤220</w:t>
            </w:r>
          </w:p>
        </w:tc>
        <w:tc>
          <w:tcPr>
            <w:tcW w:w="1897" w:type="dxa"/>
            <w:vAlign w:val="center"/>
          </w:tcPr>
          <w:p>
            <w:pPr>
              <w:pStyle w:val="56"/>
              <w:spacing w:line="40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≤4</w:t>
            </w:r>
          </w:p>
        </w:tc>
      </w:tr>
    </w:tbl>
    <w:p>
      <w:pPr>
        <w:pStyle w:val="56"/>
        <w:spacing w:beforeLines="25" w:afterLines="25"/>
        <w:ind w:firstLine="501" w:firstLineChars="237"/>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val="0"/>
          <w:color w:val="000000" w:themeColor="text1"/>
          <w:sz w:val="21"/>
          <w:szCs w:val="21"/>
          <w:highlight w:val="none"/>
          <w:lang w:val="en-US" w:eastAsia="zh-CN"/>
          <w14:textFill>
            <w14:solidFill>
              <w14:schemeClr w14:val="tx1"/>
            </w14:solidFill>
          </w14:textFill>
        </w:rPr>
        <w:t>（2）</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 xml:space="preserve"> 出水质量标准</w:t>
      </w:r>
    </w:p>
    <w:p>
      <w:pPr>
        <w:pStyle w:val="56"/>
        <w:spacing w:beforeLines="25" w:afterLines="25"/>
        <w:ind w:firstLine="501" w:firstLineChars="237"/>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宋体" w:hAnsi="宋体"/>
          <w:kern w:val="2"/>
          <w:highlight w:val="none"/>
        </w:rPr>
        <w:t>本项目主要水污染物排放执行浙江省地方标准《城镇污水处理厂主要污染物排放标准》</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（DB33/2169-2018）排放标准，即</w:t>
      </w:r>
    </w:p>
    <w:p>
      <w:pPr>
        <w:pStyle w:val="56"/>
        <w:spacing w:beforeLines="25" w:afterLines="25"/>
        <w:ind w:firstLine="3887" w:firstLineChars="1834"/>
        <w:jc w:val="both"/>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出水水质设计标准</w:t>
      </w:r>
    </w:p>
    <w:tbl>
      <w:tblPr>
        <w:tblStyle w:val="25"/>
        <w:tblW w:w="80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2"/>
        <w:gridCol w:w="732"/>
        <w:gridCol w:w="877"/>
        <w:gridCol w:w="732"/>
        <w:gridCol w:w="928"/>
        <w:gridCol w:w="901"/>
        <w:gridCol w:w="658"/>
        <w:gridCol w:w="709"/>
        <w:gridCol w:w="1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162" w:type="dxa"/>
            <w:vAlign w:val="center"/>
          </w:tcPr>
          <w:p>
            <w:pPr>
              <w:pStyle w:val="56"/>
              <w:spacing w:line="400" w:lineRule="exact"/>
              <w:jc w:val="cente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项目</w:t>
            </w:r>
          </w:p>
        </w:tc>
        <w:tc>
          <w:tcPr>
            <w:tcW w:w="732" w:type="dxa"/>
            <w:vAlign w:val="center"/>
          </w:tcPr>
          <w:p>
            <w:pPr>
              <w:pStyle w:val="56"/>
              <w:spacing w:line="400" w:lineRule="exact"/>
              <w:jc w:val="cente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pH</w:t>
            </w:r>
          </w:p>
        </w:tc>
        <w:tc>
          <w:tcPr>
            <w:tcW w:w="877" w:type="dxa"/>
            <w:vAlign w:val="center"/>
          </w:tcPr>
          <w:p>
            <w:pPr>
              <w:pStyle w:val="56"/>
              <w:spacing w:line="400" w:lineRule="exact"/>
              <w:jc w:val="cente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COD</w:t>
            </w:r>
            <w:r>
              <w:rPr>
                <w:rFonts w:hint="eastAsia" w:asciiTheme="minorEastAsia" w:hAnsiTheme="minorEastAsia" w:eastAsiaTheme="minorEastAsia" w:cstheme="minorEastAsia"/>
                <w:b/>
                <w:color w:val="000000" w:themeColor="text1"/>
                <w:sz w:val="21"/>
                <w:szCs w:val="21"/>
                <w:highlight w:val="none"/>
                <w:vertAlign w:val="subscript"/>
                <w14:textFill>
                  <w14:solidFill>
                    <w14:schemeClr w14:val="tx1"/>
                  </w14:solidFill>
                </w14:textFill>
              </w:rPr>
              <w:t>Cr</w:t>
            </w:r>
          </w:p>
        </w:tc>
        <w:tc>
          <w:tcPr>
            <w:tcW w:w="732" w:type="dxa"/>
            <w:vAlign w:val="center"/>
          </w:tcPr>
          <w:p>
            <w:pPr>
              <w:pStyle w:val="56"/>
              <w:spacing w:line="400" w:lineRule="exact"/>
              <w:jc w:val="cente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BOD</w:t>
            </w:r>
            <w:r>
              <w:rPr>
                <w:rFonts w:hint="eastAsia" w:asciiTheme="minorEastAsia" w:hAnsiTheme="minorEastAsia" w:eastAsiaTheme="minorEastAsia" w:cstheme="minorEastAsia"/>
                <w:b/>
                <w:color w:val="000000" w:themeColor="text1"/>
                <w:sz w:val="21"/>
                <w:szCs w:val="21"/>
                <w:highlight w:val="none"/>
                <w:vertAlign w:val="subscript"/>
                <w14:textFill>
                  <w14:solidFill>
                    <w14:schemeClr w14:val="tx1"/>
                  </w14:solidFill>
                </w14:textFill>
              </w:rPr>
              <w:t>5</w:t>
            </w:r>
          </w:p>
        </w:tc>
        <w:tc>
          <w:tcPr>
            <w:tcW w:w="928" w:type="dxa"/>
            <w:vAlign w:val="center"/>
          </w:tcPr>
          <w:p>
            <w:pPr>
              <w:pStyle w:val="56"/>
              <w:spacing w:line="400" w:lineRule="exact"/>
              <w:jc w:val="cente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NH</w:t>
            </w:r>
            <w:r>
              <w:rPr>
                <w:rFonts w:hint="eastAsia" w:asciiTheme="minorEastAsia" w:hAnsiTheme="minorEastAsia" w:eastAsiaTheme="minorEastAsia" w:cstheme="minorEastAsia"/>
                <w:b/>
                <w:color w:val="000000" w:themeColor="text1"/>
                <w:sz w:val="21"/>
                <w:szCs w:val="21"/>
                <w:highlight w:val="none"/>
                <w:vertAlign w:val="subscript"/>
                <w14:textFill>
                  <w14:solidFill>
                    <w14:schemeClr w14:val="tx1"/>
                  </w14:solidFill>
                </w14:textFill>
              </w:rPr>
              <w:t>3</w:t>
            </w:r>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-N</w:t>
            </w:r>
          </w:p>
        </w:tc>
        <w:tc>
          <w:tcPr>
            <w:tcW w:w="901" w:type="dxa"/>
            <w:vAlign w:val="center"/>
          </w:tcPr>
          <w:p>
            <w:pPr>
              <w:pStyle w:val="56"/>
              <w:spacing w:line="400" w:lineRule="exact"/>
              <w:jc w:val="cente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TN</w:t>
            </w:r>
          </w:p>
        </w:tc>
        <w:tc>
          <w:tcPr>
            <w:tcW w:w="658" w:type="dxa"/>
            <w:vAlign w:val="center"/>
          </w:tcPr>
          <w:p>
            <w:pPr>
              <w:pStyle w:val="56"/>
              <w:spacing w:line="400" w:lineRule="exact"/>
              <w:jc w:val="cente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SS</w:t>
            </w:r>
          </w:p>
        </w:tc>
        <w:tc>
          <w:tcPr>
            <w:tcW w:w="709" w:type="dxa"/>
            <w:vAlign w:val="center"/>
          </w:tcPr>
          <w:p>
            <w:pPr>
              <w:pStyle w:val="56"/>
              <w:spacing w:line="400" w:lineRule="exact"/>
              <w:jc w:val="cente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TP</w:t>
            </w:r>
          </w:p>
        </w:tc>
        <w:tc>
          <w:tcPr>
            <w:tcW w:w="1317" w:type="dxa"/>
            <w:vAlign w:val="center"/>
          </w:tcPr>
          <w:p>
            <w:pPr>
              <w:pStyle w:val="56"/>
              <w:spacing w:line="400" w:lineRule="exact"/>
              <w:jc w:val="cente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粪大肠菌群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162" w:type="dxa"/>
            <w:vAlign w:val="center"/>
          </w:tcPr>
          <w:p>
            <w:pPr>
              <w:pStyle w:val="56"/>
              <w:spacing w:line="40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单位</w:t>
            </w:r>
          </w:p>
        </w:tc>
        <w:tc>
          <w:tcPr>
            <w:tcW w:w="732" w:type="dxa"/>
            <w:vAlign w:val="center"/>
          </w:tcPr>
          <w:p>
            <w:pPr>
              <w:pStyle w:val="56"/>
              <w:spacing w:line="40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877" w:type="dxa"/>
            <w:vAlign w:val="center"/>
          </w:tcPr>
          <w:p>
            <w:pPr>
              <w:pStyle w:val="56"/>
              <w:spacing w:line="40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mg/L</w:t>
            </w:r>
          </w:p>
        </w:tc>
        <w:tc>
          <w:tcPr>
            <w:tcW w:w="732" w:type="dxa"/>
            <w:vAlign w:val="center"/>
          </w:tcPr>
          <w:p>
            <w:pPr>
              <w:pStyle w:val="56"/>
              <w:spacing w:line="40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mg/L</w:t>
            </w:r>
          </w:p>
        </w:tc>
        <w:tc>
          <w:tcPr>
            <w:tcW w:w="928" w:type="dxa"/>
            <w:vAlign w:val="center"/>
          </w:tcPr>
          <w:p>
            <w:pPr>
              <w:pStyle w:val="56"/>
              <w:spacing w:line="40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mg/L</w:t>
            </w:r>
          </w:p>
        </w:tc>
        <w:tc>
          <w:tcPr>
            <w:tcW w:w="901" w:type="dxa"/>
            <w:vAlign w:val="center"/>
          </w:tcPr>
          <w:p>
            <w:pPr>
              <w:pStyle w:val="56"/>
              <w:spacing w:line="40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mg/L</w:t>
            </w:r>
          </w:p>
        </w:tc>
        <w:tc>
          <w:tcPr>
            <w:tcW w:w="658" w:type="dxa"/>
            <w:vAlign w:val="center"/>
          </w:tcPr>
          <w:p>
            <w:pPr>
              <w:pStyle w:val="56"/>
              <w:spacing w:line="40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mg/L</w:t>
            </w:r>
          </w:p>
        </w:tc>
        <w:tc>
          <w:tcPr>
            <w:tcW w:w="709" w:type="dxa"/>
            <w:vAlign w:val="center"/>
          </w:tcPr>
          <w:p>
            <w:pPr>
              <w:pStyle w:val="56"/>
              <w:spacing w:line="40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mg/L</w:t>
            </w:r>
          </w:p>
        </w:tc>
        <w:tc>
          <w:tcPr>
            <w:tcW w:w="1317" w:type="dxa"/>
            <w:vAlign w:val="center"/>
          </w:tcPr>
          <w:p>
            <w:pPr>
              <w:pStyle w:val="56"/>
              <w:spacing w:line="40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（个/L）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162" w:type="dxa"/>
            <w:vAlign w:val="center"/>
          </w:tcPr>
          <w:p>
            <w:pPr>
              <w:pStyle w:val="56"/>
              <w:spacing w:line="40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指标数值</w:t>
            </w:r>
          </w:p>
        </w:tc>
        <w:tc>
          <w:tcPr>
            <w:tcW w:w="732" w:type="dxa"/>
            <w:vAlign w:val="center"/>
          </w:tcPr>
          <w:p>
            <w:pPr>
              <w:pStyle w:val="56"/>
              <w:spacing w:line="40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6-9</w:t>
            </w:r>
          </w:p>
        </w:tc>
        <w:tc>
          <w:tcPr>
            <w:tcW w:w="877" w:type="dxa"/>
            <w:vAlign w:val="center"/>
          </w:tcPr>
          <w:p>
            <w:pPr>
              <w:pStyle w:val="56"/>
              <w:spacing w:line="40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40</w:t>
            </w:r>
          </w:p>
        </w:tc>
        <w:tc>
          <w:tcPr>
            <w:tcW w:w="732" w:type="dxa"/>
            <w:vAlign w:val="center"/>
          </w:tcPr>
          <w:p>
            <w:pPr>
              <w:pStyle w:val="56"/>
              <w:spacing w:line="40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10</w:t>
            </w:r>
          </w:p>
        </w:tc>
        <w:tc>
          <w:tcPr>
            <w:tcW w:w="928" w:type="dxa"/>
            <w:vAlign w:val="center"/>
          </w:tcPr>
          <w:p>
            <w:pPr>
              <w:pStyle w:val="56"/>
              <w:spacing w:line="40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2（4）</w:t>
            </w:r>
          </w:p>
        </w:tc>
        <w:tc>
          <w:tcPr>
            <w:tcW w:w="901" w:type="dxa"/>
            <w:vAlign w:val="center"/>
          </w:tcPr>
          <w:p>
            <w:pPr>
              <w:pStyle w:val="56"/>
              <w:spacing w:line="40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12(15)</w:t>
            </w:r>
          </w:p>
        </w:tc>
        <w:tc>
          <w:tcPr>
            <w:tcW w:w="658" w:type="dxa"/>
            <w:vAlign w:val="center"/>
          </w:tcPr>
          <w:p>
            <w:pPr>
              <w:pStyle w:val="56"/>
              <w:spacing w:line="40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10</w:t>
            </w:r>
          </w:p>
        </w:tc>
        <w:tc>
          <w:tcPr>
            <w:tcW w:w="709" w:type="dxa"/>
            <w:vAlign w:val="center"/>
          </w:tcPr>
          <w:p>
            <w:pPr>
              <w:pStyle w:val="56"/>
              <w:spacing w:line="40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0.3</w:t>
            </w:r>
          </w:p>
        </w:tc>
        <w:tc>
          <w:tcPr>
            <w:tcW w:w="1317" w:type="dxa"/>
            <w:vAlign w:val="center"/>
          </w:tcPr>
          <w:p>
            <w:pPr>
              <w:pStyle w:val="56"/>
              <w:spacing w:line="40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shd w:val="clear" w:color="auto" w:fill="FFFFEE"/>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1000</w:t>
            </w:r>
          </w:p>
        </w:tc>
      </w:tr>
    </w:tbl>
    <w:p>
      <w:pPr>
        <w:pStyle w:val="56"/>
        <w:spacing w:beforeLines="25" w:afterLines="25" w:line="400" w:lineRule="exact"/>
        <w:ind w:firstLine="424" w:firstLineChars="200"/>
        <w:rPr>
          <w:rFonts w:hint="eastAsia" w:ascii="宋体" w:hAnsi="宋体"/>
          <w:kern w:val="2"/>
          <w:highlight w:val="none"/>
        </w:rPr>
      </w:pPr>
      <w:r>
        <w:rPr>
          <w:rFonts w:hint="eastAsia" w:ascii="宋体" w:hAnsi="宋体"/>
          <w:kern w:val="2"/>
          <w:highlight w:val="none"/>
        </w:rPr>
        <w:t>此外，出水水质还应达到国家排放标准的其他要求。</w:t>
      </w:r>
    </w:p>
    <w:p>
      <w:pPr>
        <w:pStyle w:val="56"/>
        <w:spacing w:beforeLines="25" w:afterLines="25"/>
        <w:ind w:firstLine="501" w:firstLineChars="237"/>
        <w:rPr>
          <w:rFonts w:hint="eastAsia" w:asciiTheme="minorEastAsia" w:hAnsiTheme="minorEastAsia" w:eastAsiaTheme="minorEastAsia" w:cstheme="minorEastAsia"/>
          <w:b/>
          <w:bCs/>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bCs w:val="0"/>
          <w:color w:val="000000" w:themeColor="text1"/>
          <w:sz w:val="21"/>
          <w:szCs w:val="21"/>
          <w:highlight w:val="none"/>
          <w:lang w:val="en-US" w:eastAsia="zh-CN"/>
          <w14:textFill>
            <w14:solidFill>
              <w14:schemeClr w14:val="tx1"/>
            </w14:solidFill>
          </w14:textFill>
        </w:rPr>
        <w:t>（3）</w:t>
      </w:r>
      <w:r>
        <w:rPr>
          <w:rFonts w:hint="eastAsia" w:asciiTheme="minorEastAsia" w:hAnsiTheme="minorEastAsia" w:eastAsiaTheme="minorEastAsia" w:cstheme="minorEastAsia"/>
          <w:b/>
          <w:bCs/>
          <w:color w:val="000000" w:themeColor="text1"/>
          <w:sz w:val="21"/>
          <w:szCs w:val="21"/>
          <w:highlight w:val="none"/>
          <w:lang w:val="en-US" w:eastAsia="zh-CN"/>
          <w14:textFill>
            <w14:solidFill>
              <w14:schemeClr w14:val="tx1"/>
            </w14:solidFill>
          </w14:textFill>
        </w:rPr>
        <w:t xml:space="preserve"> 污泥排放标准</w:t>
      </w:r>
    </w:p>
    <w:p>
      <w:pPr>
        <w:pStyle w:val="56"/>
        <w:spacing w:beforeLines="25" w:afterLines="25" w:line="400" w:lineRule="exact"/>
        <w:ind w:firstLine="424" w:firstLineChars="200"/>
        <w:rPr>
          <w:rFonts w:hint="eastAsia" w:ascii="宋体" w:hAnsi="宋体"/>
          <w:kern w:val="2"/>
          <w:highlight w:val="none"/>
        </w:rPr>
      </w:pPr>
      <w:r>
        <w:rPr>
          <w:rFonts w:hint="eastAsia" w:ascii="宋体" w:hAnsi="宋体"/>
          <w:kern w:val="2"/>
          <w:highlight w:val="none"/>
        </w:rPr>
        <w:t>参照国家《城镇污水处理厂污染物排放标准》（GB18918-2002），衢江区集镇污水处理厂污泥经脱水和干化后，其泥饼含水率均应≤80%。</w:t>
      </w:r>
    </w:p>
    <w:p>
      <w:pPr>
        <w:pStyle w:val="56"/>
        <w:spacing w:beforeLines="25" w:afterLines="25" w:line="400" w:lineRule="exact"/>
        <w:ind w:firstLine="424" w:firstLineChars="200"/>
        <w:rPr>
          <w:rFonts w:hint="eastAsia" w:ascii="宋体" w:hAnsi="宋体"/>
          <w:kern w:val="2"/>
          <w:highlight w:val="none"/>
        </w:rPr>
      </w:pPr>
      <w:r>
        <w:rPr>
          <w:rFonts w:hint="eastAsia" w:ascii="宋体" w:hAnsi="宋体"/>
          <w:kern w:val="2"/>
          <w:highlight w:val="none"/>
        </w:rPr>
        <w:t>污泥集中处置参照《衢州市区污泥集中处置管理规定》执行且满足《浙江省清废行动方案》要求。</w:t>
      </w:r>
    </w:p>
    <w:p>
      <w:pPr>
        <w:pStyle w:val="56"/>
        <w:numPr>
          <w:ilvl w:val="0"/>
          <w:numId w:val="0"/>
        </w:numPr>
        <w:spacing w:beforeLines="50"/>
        <w:ind w:left="426" w:leftChars="0"/>
        <w:textAlignment w:val="baseline"/>
        <w:rPr>
          <w:rFonts w:ascii="宋体" w:hAnsi="宋体" w:cs="宋体"/>
          <w:b/>
          <w:color w:val="000000" w:themeColor="text1"/>
          <w:kern w:val="2"/>
          <w:sz w:val="24"/>
          <w:szCs w:val="24"/>
          <w:highlight w:val="none"/>
          <w14:textFill>
            <w14:solidFill>
              <w14:schemeClr w14:val="tx1"/>
            </w14:solidFill>
          </w14:textFill>
        </w:rPr>
      </w:pPr>
      <w:r>
        <w:rPr>
          <w:rFonts w:hint="eastAsia" w:ascii="宋体" w:hAnsi="宋体" w:cs="宋体"/>
          <w:b/>
          <w:color w:val="000000" w:themeColor="text1"/>
          <w:kern w:val="2"/>
          <w:sz w:val="24"/>
          <w:szCs w:val="24"/>
          <w:highlight w:val="none"/>
          <w14:textFill>
            <w14:solidFill>
              <w14:schemeClr w14:val="tx1"/>
            </w14:solidFill>
          </w14:textFill>
        </w:rPr>
        <w:t>六、污水处理厂水质及污泥检测质量标准和要求</w:t>
      </w:r>
    </w:p>
    <w:p>
      <w:pPr>
        <w:pStyle w:val="56"/>
        <w:spacing w:beforeLines="25" w:afterLines="25" w:line="400" w:lineRule="exact"/>
        <w:ind w:firstLine="424" w:firstLineChars="200"/>
        <w:rPr>
          <w:rFonts w:ascii="宋体" w:hAnsi="宋体"/>
          <w:kern w:val="2"/>
          <w:highlight w:val="none"/>
        </w:rPr>
      </w:pPr>
      <w:r>
        <w:rPr>
          <w:rFonts w:hint="eastAsia" w:ascii="宋体" w:hAnsi="宋体"/>
          <w:kern w:val="2"/>
          <w:highlight w:val="none"/>
        </w:rPr>
        <w:t>1、质量标准   技术要求及标准的执行包括但不仅限以下技术规范及标准：</w:t>
      </w:r>
    </w:p>
    <w:p>
      <w:pPr>
        <w:pStyle w:val="56"/>
        <w:spacing w:beforeLines="25" w:afterLines="25" w:line="400" w:lineRule="exact"/>
        <w:ind w:firstLine="424" w:firstLineChars="200"/>
        <w:rPr>
          <w:rFonts w:ascii="宋体" w:hAnsi="宋体"/>
          <w:kern w:val="2"/>
          <w:highlight w:val="none"/>
        </w:rPr>
      </w:pPr>
      <w:r>
        <w:rPr>
          <w:rFonts w:hint="eastAsia" w:ascii="宋体" w:hAnsi="宋体"/>
          <w:kern w:val="2"/>
          <w:highlight w:val="none"/>
        </w:rPr>
        <w:t>（1）《中华人民共和国环境保护法》</w:t>
      </w:r>
    </w:p>
    <w:p>
      <w:pPr>
        <w:pStyle w:val="56"/>
        <w:spacing w:beforeLines="25" w:afterLines="25" w:line="400" w:lineRule="exact"/>
        <w:ind w:firstLine="424" w:firstLineChars="200"/>
        <w:rPr>
          <w:rFonts w:ascii="宋体" w:hAnsi="宋体"/>
          <w:kern w:val="2"/>
          <w:highlight w:val="none"/>
        </w:rPr>
      </w:pPr>
      <w:r>
        <w:rPr>
          <w:rFonts w:hint="eastAsia" w:ascii="宋体" w:hAnsi="宋体"/>
          <w:kern w:val="2"/>
          <w:highlight w:val="none"/>
        </w:rPr>
        <w:t>（2）《中华人民共和国水污染防治法》</w:t>
      </w:r>
    </w:p>
    <w:p>
      <w:pPr>
        <w:pStyle w:val="56"/>
        <w:spacing w:beforeLines="25" w:afterLines="25" w:line="400" w:lineRule="exact"/>
        <w:ind w:firstLine="424" w:firstLineChars="200"/>
        <w:rPr>
          <w:rFonts w:ascii="宋体" w:hAnsi="宋体"/>
          <w:kern w:val="2"/>
          <w:highlight w:val="none"/>
        </w:rPr>
      </w:pPr>
      <w:r>
        <w:rPr>
          <w:rFonts w:hint="eastAsia" w:ascii="宋体" w:hAnsi="宋体"/>
          <w:kern w:val="2"/>
          <w:highlight w:val="none"/>
        </w:rPr>
        <w:t>（3）《城市污水处理厂运行、维护及其安全技术规程》  （CJJ60-2011）</w:t>
      </w:r>
    </w:p>
    <w:p>
      <w:pPr>
        <w:pStyle w:val="56"/>
        <w:spacing w:beforeLines="25" w:afterLines="25" w:line="400" w:lineRule="exact"/>
        <w:ind w:firstLine="424" w:firstLineChars="200"/>
        <w:rPr>
          <w:rFonts w:ascii="宋体" w:hAnsi="宋体"/>
          <w:kern w:val="2"/>
          <w:highlight w:val="none"/>
        </w:rPr>
      </w:pPr>
      <w:r>
        <w:rPr>
          <w:rFonts w:hint="eastAsia" w:ascii="宋体" w:hAnsi="宋体"/>
          <w:kern w:val="2"/>
          <w:highlight w:val="none"/>
        </w:rPr>
        <w:t>（4）进水水质的检测内容、频率及方法，执行（GB8978—1996）的规定；</w:t>
      </w:r>
    </w:p>
    <w:p>
      <w:pPr>
        <w:pStyle w:val="56"/>
        <w:spacing w:beforeLines="25" w:afterLines="25" w:line="400" w:lineRule="exact"/>
        <w:ind w:firstLine="424" w:firstLineChars="200"/>
        <w:rPr>
          <w:rFonts w:ascii="宋体" w:hAnsi="宋体"/>
          <w:kern w:val="2"/>
          <w:highlight w:val="none"/>
        </w:rPr>
      </w:pPr>
      <w:r>
        <w:rPr>
          <w:rFonts w:hint="eastAsia" w:ascii="宋体" w:hAnsi="宋体"/>
          <w:kern w:val="2"/>
          <w:highlight w:val="none"/>
        </w:rPr>
        <w:t>（5）出水水质的检测内容、频率及方法，执行（GB18918—2002）的规定，进出水同步检测；</w:t>
      </w:r>
    </w:p>
    <w:p>
      <w:pPr>
        <w:pStyle w:val="56"/>
        <w:spacing w:beforeLines="25" w:afterLines="25" w:line="400" w:lineRule="exact"/>
        <w:ind w:firstLine="424" w:firstLineChars="200"/>
        <w:rPr>
          <w:rFonts w:ascii="宋体" w:hAnsi="宋体"/>
          <w:kern w:val="2"/>
          <w:highlight w:val="none"/>
        </w:rPr>
      </w:pPr>
      <w:r>
        <w:rPr>
          <w:rFonts w:hint="eastAsia" w:ascii="宋体" w:hAnsi="宋体"/>
          <w:kern w:val="2"/>
          <w:highlight w:val="none"/>
        </w:rPr>
        <w:t>（6）脱水后泥饼检测，执行《城市污水处理厂污水污泥排放标准》（CJ/T3070-1999）的规定。</w:t>
      </w:r>
    </w:p>
    <w:p>
      <w:pPr>
        <w:pStyle w:val="56"/>
        <w:spacing w:beforeLines="25" w:afterLines="25" w:line="400" w:lineRule="exact"/>
        <w:ind w:firstLine="424" w:firstLineChars="200"/>
        <w:rPr>
          <w:rFonts w:ascii="宋体" w:hAnsi="宋体"/>
          <w:kern w:val="2"/>
          <w:highlight w:val="none"/>
        </w:rPr>
      </w:pPr>
      <w:r>
        <w:rPr>
          <w:rFonts w:hint="eastAsia" w:ascii="宋体" w:hAnsi="宋体"/>
          <w:kern w:val="2"/>
          <w:highlight w:val="none"/>
        </w:rPr>
        <w:t>（7）其他废水处理的各种法规、规程、规定及要求</w:t>
      </w:r>
    </w:p>
    <w:p>
      <w:pPr>
        <w:pStyle w:val="56"/>
        <w:spacing w:beforeLines="25" w:afterLines="25" w:line="400" w:lineRule="exact"/>
        <w:ind w:firstLine="424" w:firstLineChars="200"/>
        <w:rPr>
          <w:rFonts w:asciiTheme="minorEastAsia" w:hAnsiTheme="minorEastAsia" w:eastAsiaTheme="minorEastAsia" w:cstheme="minorEastAsia"/>
          <w:color w:val="000000" w:themeColor="text1"/>
          <w:highlight w:val="none"/>
          <w:lang w:val="fr-FR"/>
          <w14:textFill>
            <w14:solidFill>
              <w14:schemeClr w14:val="tx1"/>
            </w14:solidFill>
          </w14:textFill>
        </w:rPr>
      </w:pPr>
      <w:r>
        <w:rPr>
          <w:rFonts w:hint="eastAsia" w:ascii="宋体" w:hAnsi="宋体"/>
          <w:kern w:val="2"/>
          <w:highlight w:val="none"/>
        </w:rPr>
        <w:t xml:space="preserve">2、质量要求   </w:t>
      </w:r>
      <w:r>
        <w:rPr>
          <w:rFonts w:hint="eastAsia" w:ascii="宋体" w:hAnsi="宋体"/>
          <w:kern w:val="2"/>
          <w:highlight w:val="none"/>
          <w:lang w:val="fr-FR"/>
        </w:rPr>
        <w:t>具体各指标检测时需参照以下标准或规定执行</w:t>
      </w:r>
      <w:r>
        <w:rPr>
          <w:rFonts w:hint="eastAsia" w:ascii="宋体" w:hAnsi="宋体"/>
          <w:kern w:val="2"/>
          <w:highlight w:val="none"/>
        </w:rPr>
        <w:t xml:space="preserve"> ：</w:t>
      </w:r>
      <w:r>
        <w:rPr>
          <w:rFonts w:hint="eastAsia" w:asciiTheme="minorEastAsia" w:hAnsiTheme="minorEastAsia" w:eastAsiaTheme="minorEastAsia" w:cstheme="minorEastAsia"/>
          <w:color w:val="000000" w:themeColor="text1"/>
          <w:highlight w:val="none"/>
          <w14:textFill>
            <w14:solidFill>
              <w14:schemeClr w14:val="tx1"/>
            </w14:solidFill>
          </w14:textFill>
        </w:rPr>
        <w:t xml:space="preserve"> </w:t>
      </w:r>
      <w:r>
        <w:rPr>
          <w:rFonts w:hint="eastAsia" w:asciiTheme="minorEastAsia" w:hAnsiTheme="minorEastAsia" w:eastAsiaTheme="minorEastAsia" w:cstheme="minorEastAsia"/>
          <w:color w:val="000000" w:themeColor="text1"/>
          <w:highlight w:val="none"/>
          <w:lang w:val="fr-FR"/>
          <w14:textFill>
            <w14:solidFill>
              <w14:schemeClr w14:val="tx1"/>
            </w14:solidFill>
          </w14:textFill>
        </w:rPr>
        <w:t xml:space="preserve">  </w:t>
      </w:r>
    </w:p>
    <w:tbl>
      <w:tblPr>
        <w:tblStyle w:val="25"/>
        <w:tblW w:w="947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469"/>
        <w:gridCol w:w="3681"/>
        <w:gridCol w:w="332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469" w:type="dxa"/>
            <w:tcBorders>
              <w:top w:val="single" w:color="auto" w:sz="12" w:space="0"/>
              <w:left w:val="single" w:color="auto" w:sz="12" w:space="0"/>
              <w:bottom w:val="single" w:color="auto" w:sz="4" w:space="0"/>
              <w:right w:val="single" w:color="auto" w:sz="4" w:space="0"/>
            </w:tcBorders>
          </w:tcPr>
          <w:p>
            <w:pPr>
              <w:pStyle w:val="56"/>
              <w:spacing w:beforeLines="50"/>
              <w:rPr>
                <w:rFonts w:ascii="宋体" w:hAnsi="宋体"/>
                <w:bCs/>
                <w:highlight w:val="none"/>
              </w:rPr>
            </w:pPr>
            <w:r>
              <w:rPr>
                <w:rFonts w:hint="eastAsia" w:ascii="宋体" w:hAnsi="宋体"/>
                <w:bCs/>
                <w:highlight w:val="none"/>
              </w:rPr>
              <w:t>COD</w:t>
            </w:r>
            <w:r>
              <w:rPr>
                <w:rFonts w:hint="eastAsia" w:ascii="宋体" w:hAnsi="宋体"/>
                <w:bCs/>
                <w:highlight w:val="none"/>
                <w:vertAlign w:val="subscript"/>
              </w:rPr>
              <w:t>Cr</w:t>
            </w:r>
            <w:r>
              <w:rPr>
                <w:rFonts w:hint="eastAsia" w:ascii="宋体" w:hAnsi="宋体"/>
                <w:bCs/>
                <w:highlight w:val="none"/>
              </w:rPr>
              <w:t>—化学需氧量</w:t>
            </w:r>
          </w:p>
        </w:tc>
        <w:tc>
          <w:tcPr>
            <w:tcW w:w="3681" w:type="dxa"/>
            <w:tcBorders>
              <w:top w:val="single" w:color="auto" w:sz="12" w:space="0"/>
              <w:left w:val="single" w:color="auto" w:sz="4" w:space="0"/>
              <w:bottom w:val="single" w:color="auto" w:sz="4" w:space="0"/>
              <w:right w:val="single" w:color="auto" w:sz="4" w:space="0"/>
            </w:tcBorders>
          </w:tcPr>
          <w:p>
            <w:pPr>
              <w:pStyle w:val="56"/>
              <w:spacing w:beforeLines="50"/>
              <w:ind w:firstLine="567"/>
              <w:jc w:val="left"/>
              <w:rPr>
                <w:rFonts w:ascii="宋体" w:hAnsi="宋体"/>
                <w:bCs/>
                <w:highlight w:val="none"/>
              </w:rPr>
            </w:pPr>
            <w:r>
              <w:rPr>
                <w:rFonts w:hint="eastAsia" w:ascii="宋体" w:hAnsi="宋体"/>
                <w:bCs/>
                <w:highlight w:val="none"/>
              </w:rPr>
              <w:t>重铬酸盐法</w:t>
            </w:r>
          </w:p>
        </w:tc>
        <w:tc>
          <w:tcPr>
            <w:tcW w:w="3328" w:type="dxa"/>
            <w:tcBorders>
              <w:top w:val="single" w:color="auto" w:sz="12" w:space="0"/>
              <w:left w:val="single" w:color="auto" w:sz="4" w:space="0"/>
              <w:bottom w:val="single" w:color="auto" w:sz="4" w:space="0"/>
              <w:right w:val="single" w:color="auto" w:sz="12" w:space="0"/>
            </w:tcBorders>
            <w:vAlign w:val="center"/>
          </w:tcPr>
          <w:p>
            <w:pPr>
              <w:pStyle w:val="56"/>
              <w:spacing w:beforeLines="50"/>
              <w:ind w:firstLine="567"/>
              <w:rPr>
                <w:rFonts w:ascii="宋体" w:hAnsi="宋体"/>
                <w:bCs/>
                <w:highlight w:val="none"/>
              </w:rPr>
            </w:pPr>
            <w:r>
              <w:rPr>
                <w:rFonts w:hint="eastAsia" w:ascii="宋体" w:hAnsi="宋体"/>
                <w:bCs/>
                <w:highlight w:val="none"/>
              </w:rPr>
              <w:t>GB11914-89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2469" w:type="dxa"/>
            <w:tcBorders>
              <w:top w:val="single" w:color="auto" w:sz="4" w:space="0"/>
              <w:left w:val="single" w:color="auto" w:sz="12" w:space="0"/>
              <w:bottom w:val="single" w:color="auto" w:sz="4" w:space="0"/>
              <w:right w:val="single" w:color="auto" w:sz="4" w:space="0"/>
            </w:tcBorders>
          </w:tcPr>
          <w:p>
            <w:pPr>
              <w:pStyle w:val="56"/>
              <w:spacing w:beforeLines="50"/>
              <w:rPr>
                <w:rFonts w:ascii="宋体" w:hAnsi="宋体"/>
                <w:bCs/>
                <w:highlight w:val="none"/>
              </w:rPr>
            </w:pPr>
            <w:r>
              <w:rPr>
                <w:rFonts w:hint="eastAsia" w:ascii="宋体" w:hAnsi="宋体"/>
                <w:bCs/>
                <w:highlight w:val="none"/>
              </w:rPr>
              <w:t>BOD</w:t>
            </w:r>
            <w:r>
              <w:rPr>
                <w:rFonts w:hint="eastAsia" w:ascii="宋体" w:hAnsi="宋体"/>
                <w:bCs/>
                <w:highlight w:val="none"/>
                <w:vertAlign w:val="subscript"/>
              </w:rPr>
              <w:t>5</w:t>
            </w:r>
            <w:r>
              <w:rPr>
                <w:rFonts w:hint="eastAsia" w:ascii="宋体" w:hAnsi="宋体"/>
                <w:bCs/>
                <w:highlight w:val="none"/>
              </w:rPr>
              <w:t>—五日生化需氧量</w:t>
            </w:r>
          </w:p>
        </w:tc>
        <w:tc>
          <w:tcPr>
            <w:tcW w:w="3681" w:type="dxa"/>
            <w:tcBorders>
              <w:top w:val="single" w:color="auto" w:sz="4" w:space="0"/>
              <w:left w:val="single" w:color="auto" w:sz="4" w:space="0"/>
              <w:bottom w:val="single" w:color="auto" w:sz="4" w:space="0"/>
              <w:right w:val="single" w:color="auto" w:sz="4" w:space="0"/>
            </w:tcBorders>
          </w:tcPr>
          <w:p>
            <w:pPr>
              <w:pStyle w:val="56"/>
              <w:spacing w:beforeLines="50"/>
              <w:ind w:firstLine="567"/>
              <w:jc w:val="left"/>
              <w:rPr>
                <w:rFonts w:ascii="宋体" w:hAnsi="宋体"/>
                <w:bCs/>
                <w:highlight w:val="none"/>
              </w:rPr>
            </w:pPr>
            <w:r>
              <w:rPr>
                <w:rFonts w:hint="eastAsia" w:ascii="宋体" w:hAnsi="宋体"/>
                <w:bCs/>
                <w:highlight w:val="none"/>
              </w:rPr>
              <w:t>稀释与接种法</w:t>
            </w:r>
          </w:p>
        </w:tc>
        <w:tc>
          <w:tcPr>
            <w:tcW w:w="3328" w:type="dxa"/>
            <w:tcBorders>
              <w:top w:val="single" w:color="auto" w:sz="4" w:space="0"/>
              <w:left w:val="single" w:color="auto" w:sz="4" w:space="0"/>
              <w:bottom w:val="single" w:color="auto" w:sz="4" w:space="0"/>
              <w:right w:val="single" w:color="auto" w:sz="12" w:space="0"/>
            </w:tcBorders>
            <w:vAlign w:val="center"/>
          </w:tcPr>
          <w:p>
            <w:pPr>
              <w:pStyle w:val="56"/>
              <w:spacing w:beforeLines="50"/>
              <w:ind w:firstLine="567"/>
              <w:rPr>
                <w:rFonts w:ascii="宋体" w:hAnsi="宋体"/>
                <w:bCs/>
                <w:highlight w:val="none"/>
              </w:rPr>
            </w:pPr>
            <w:r>
              <w:rPr>
                <w:rFonts w:hint="eastAsia" w:ascii="宋体" w:hAnsi="宋体"/>
                <w:bCs/>
                <w:highlight w:val="none"/>
              </w:rPr>
              <w:t>GB7488-87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2469" w:type="dxa"/>
            <w:tcBorders>
              <w:top w:val="single" w:color="auto" w:sz="4" w:space="0"/>
              <w:left w:val="single" w:color="auto" w:sz="12" w:space="0"/>
              <w:bottom w:val="single" w:color="auto" w:sz="4" w:space="0"/>
              <w:right w:val="single" w:color="auto" w:sz="4" w:space="0"/>
            </w:tcBorders>
          </w:tcPr>
          <w:p>
            <w:pPr>
              <w:pStyle w:val="56"/>
              <w:spacing w:beforeLines="50"/>
              <w:rPr>
                <w:rFonts w:ascii="宋体" w:hAnsi="宋体"/>
                <w:bCs/>
                <w:highlight w:val="none"/>
              </w:rPr>
            </w:pPr>
            <w:r>
              <w:rPr>
                <w:rFonts w:hint="eastAsia" w:ascii="宋体" w:hAnsi="宋体"/>
                <w:bCs/>
                <w:highlight w:val="none"/>
              </w:rPr>
              <w:t>NH</w:t>
            </w:r>
            <w:r>
              <w:rPr>
                <w:rFonts w:hint="eastAsia" w:ascii="宋体" w:hAnsi="宋体"/>
                <w:bCs/>
                <w:highlight w:val="none"/>
                <w:vertAlign w:val="subscript"/>
              </w:rPr>
              <w:t>3</w:t>
            </w:r>
            <w:r>
              <w:rPr>
                <w:rFonts w:hint="eastAsia" w:ascii="宋体" w:hAnsi="宋体"/>
                <w:bCs/>
                <w:highlight w:val="none"/>
              </w:rPr>
              <w:t>-N—氨氮</w:t>
            </w:r>
          </w:p>
        </w:tc>
        <w:tc>
          <w:tcPr>
            <w:tcW w:w="3681" w:type="dxa"/>
            <w:tcBorders>
              <w:top w:val="single" w:color="auto" w:sz="4" w:space="0"/>
              <w:left w:val="single" w:color="auto" w:sz="4" w:space="0"/>
              <w:bottom w:val="single" w:color="auto" w:sz="4" w:space="0"/>
              <w:right w:val="single" w:color="auto" w:sz="4" w:space="0"/>
            </w:tcBorders>
          </w:tcPr>
          <w:p>
            <w:pPr>
              <w:pStyle w:val="56"/>
              <w:spacing w:beforeLines="50"/>
              <w:jc w:val="center"/>
              <w:rPr>
                <w:rFonts w:ascii="宋体" w:hAnsi="宋体"/>
                <w:bCs/>
                <w:highlight w:val="none"/>
              </w:rPr>
            </w:pPr>
            <w:r>
              <w:rPr>
                <w:rFonts w:hint="eastAsia" w:ascii="宋体" w:hAnsi="宋体"/>
                <w:bCs/>
                <w:highlight w:val="none"/>
              </w:rPr>
              <w:t>钠氏试剂比色法</w:t>
            </w:r>
          </w:p>
        </w:tc>
        <w:tc>
          <w:tcPr>
            <w:tcW w:w="3328" w:type="dxa"/>
            <w:tcBorders>
              <w:top w:val="single" w:color="auto" w:sz="4" w:space="0"/>
              <w:left w:val="single" w:color="auto" w:sz="4" w:space="0"/>
              <w:bottom w:val="single" w:color="auto" w:sz="4" w:space="0"/>
              <w:right w:val="single" w:color="auto" w:sz="12" w:space="0"/>
            </w:tcBorders>
            <w:vAlign w:val="center"/>
          </w:tcPr>
          <w:p>
            <w:pPr>
              <w:pStyle w:val="56"/>
              <w:spacing w:beforeLines="50"/>
              <w:ind w:firstLine="567"/>
              <w:rPr>
                <w:rFonts w:ascii="宋体" w:hAnsi="宋体"/>
                <w:bCs/>
                <w:highlight w:val="none"/>
              </w:rPr>
            </w:pPr>
            <w:r>
              <w:rPr>
                <w:rFonts w:hint="eastAsia" w:ascii="宋体" w:hAnsi="宋体"/>
                <w:bCs/>
                <w:highlight w:val="none"/>
              </w:rPr>
              <w:t>GB7479-87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2469" w:type="dxa"/>
            <w:tcBorders>
              <w:top w:val="single" w:color="auto" w:sz="4" w:space="0"/>
              <w:left w:val="single" w:color="auto" w:sz="12" w:space="0"/>
              <w:bottom w:val="single" w:color="auto" w:sz="4" w:space="0"/>
              <w:right w:val="single" w:color="auto" w:sz="4" w:space="0"/>
            </w:tcBorders>
          </w:tcPr>
          <w:p>
            <w:pPr>
              <w:pStyle w:val="56"/>
              <w:spacing w:beforeLines="50"/>
              <w:rPr>
                <w:rFonts w:ascii="宋体" w:hAnsi="宋体"/>
                <w:bCs/>
                <w:highlight w:val="none"/>
              </w:rPr>
            </w:pPr>
            <w:r>
              <w:rPr>
                <w:rFonts w:hint="eastAsia" w:ascii="宋体" w:hAnsi="宋体"/>
                <w:bCs/>
                <w:highlight w:val="none"/>
              </w:rPr>
              <w:t>TP—总磷</w:t>
            </w:r>
          </w:p>
        </w:tc>
        <w:tc>
          <w:tcPr>
            <w:tcW w:w="3681" w:type="dxa"/>
            <w:tcBorders>
              <w:top w:val="single" w:color="auto" w:sz="4" w:space="0"/>
              <w:left w:val="single" w:color="auto" w:sz="4" w:space="0"/>
              <w:bottom w:val="single" w:color="auto" w:sz="4" w:space="0"/>
              <w:right w:val="single" w:color="auto" w:sz="4" w:space="0"/>
            </w:tcBorders>
          </w:tcPr>
          <w:p>
            <w:pPr>
              <w:pStyle w:val="56"/>
              <w:spacing w:beforeLines="50"/>
              <w:jc w:val="center"/>
              <w:rPr>
                <w:rFonts w:ascii="宋体" w:hAnsi="宋体"/>
                <w:bCs/>
                <w:highlight w:val="none"/>
              </w:rPr>
            </w:pPr>
            <w:r>
              <w:rPr>
                <w:rFonts w:hint="eastAsia" w:ascii="宋体" w:hAnsi="宋体"/>
                <w:bCs/>
                <w:highlight w:val="none"/>
              </w:rPr>
              <w:t>钼酸铵分光光度法</w:t>
            </w:r>
          </w:p>
        </w:tc>
        <w:tc>
          <w:tcPr>
            <w:tcW w:w="3328" w:type="dxa"/>
            <w:tcBorders>
              <w:top w:val="single" w:color="auto" w:sz="4" w:space="0"/>
              <w:left w:val="single" w:color="auto" w:sz="4" w:space="0"/>
              <w:bottom w:val="single" w:color="auto" w:sz="4" w:space="0"/>
              <w:right w:val="single" w:color="auto" w:sz="12" w:space="0"/>
            </w:tcBorders>
            <w:vAlign w:val="center"/>
          </w:tcPr>
          <w:p>
            <w:pPr>
              <w:pStyle w:val="56"/>
              <w:spacing w:beforeLines="50"/>
              <w:ind w:firstLine="567"/>
              <w:rPr>
                <w:rFonts w:ascii="宋体" w:hAnsi="宋体"/>
                <w:bCs/>
                <w:highlight w:val="none"/>
              </w:rPr>
            </w:pPr>
            <w:r>
              <w:rPr>
                <w:rFonts w:hint="eastAsia" w:ascii="宋体" w:hAnsi="宋体"/>
                <w:bCs/>
                <w:highlight w:val="none"/>
              </w:rPr>
              <w:t>GB11893-89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2469" w:type="dxa"/>
            <w:tcBorders>
              <w:top w:val="single" w:color="auto" w:sz="4" w:space="0"/>
              <w:left w:val="single" w:color="auto" w:sz="12" w:space="0"/>
              <w:bottom w:val="single" w:color="auto" w:sz="4" w:space="0"/>
              <w:right w:val="single" w:color="auto" w:sz="4" w:space="0"/>
            </w:tcBorders>
          </w:tcPr>
          <w:p>
            <w:pPr>
              <w:pStyle w:val="56"/>
              <w:spacing w:beforeLines="50"/>
              <w:rPr>
                <w:rFonts w:ascii="宋体" w:hAnsi="宋体"/>
                <w:bCs/>
                <w:highlight w:val="none"/>
              </w:rPr>
            </w:pPr>
            <w:r>
              <w:rPr>
                <w:rFonts w:hint="eastAsia" w:ascii="宋体" w:hAnsi="宋体"/>
                <w:bCs/>
                <w:highlight w:val="none"/>
              </w:rPr>
              <w:t>TN—总氮</w:t>
            </w:r>
          </w:p>
        </w:tc>
        <w:tc>
          <w:tcPr>
            <w:tcW w:w="3681" w:type="dxa"/>
            <w:tcBorders>
              <w:top w:val="single" w:color="auto" w:sz="4" w:space="0"/>
              <w:left w:val="single" w:color="auto" w:sz="4" w:space="0"/>
              <w:bottom w:val="single" w:color="auto" w:sz="4" w:space="0"/>
              <w:right w:val="single" w:color="auto" w:sz="4" w:space="0"/>
            </w:tcBorders>
          </w:tcPr>
          <w:p>
            <w:pPr>
              <w:pStyle w:val="56"/>
              <w:spacing w:beforeLines="50"/>
              <w:jc w:val="left"/>
              <w:rPr>
                <w:rFonts w:ascii="宋体" w:hAnsi="宋体"/>
                <w:bCs/>
                <w:highlight w:val="none"/>
              </w:rPr>
            </w:pPr>
            <w:r>
              <w:rPr>
                <w:rFonts w:hint="eastAsia" w:ascii="宋体" w:hAnsi="宋体"/>
                <w:bCs/>
                <w:highlight w:val="none"/>
              </w:rPr>
              <w:t>过硫酸钾氧化-消解-紫外分光光度法</w:t>
            </w:r>
          </w:p>
        </w:tc>
        <w:tc>
          <w:tcPr>
            <w:tcW w:w="3328" w:type="dxa"/>
            <w:tcBorders>
              <w:top w:val="single" w:color="auto" w:sz="4" w:space="0"/>
              <w:left w:val="single" w:color="auto" w:sz="4" w:space="0"/>
              <w:bottom w:val="single" w:color="auto" w:sz="4" w:space="0"/>
              <w:right w:val="single" w:color="auto" w:sz="12" w:space="0"/>
            </w:tcBorders>
            <w:vAlign w:val="center"/>
          </w:tcPr>
          <w:p>
            <w:pPr>
              <w:pStyle w:val="56"/>
              <w:spacing w:beforeLines="50"/>
              <w:ind w:firstLine="567"/>
              <w:rPr>
                <w:rFonts w:ascii="宋体" w:hAnsi="宋体"/>
                <w:bCs/>
                <w:highlight w:val="none"/>
              </w:rPr>
            </w:pPr>
            <w:r>
              <w:rPr>
                <w:rFonts w:hint="eastAsia" w:ascii="宋体" w:hAnsi="宋体"/>
                <w:bCs/>
                <w:highlight w:val="none"/>
              </w:rPr>
              <w:t>GB11894-89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2469" w:type="dxa"/>
            <w:tcBorders>
              <w:top w:val="single" w:color="auto" w:sz="4" w:space="0"/>
              <w:left w:val="single" w:color="auto" w:sz="12" w:space="0"/>
              <w:bottom w:val="single" w:color="auto" w:sz="4" w:space="0"/>
              <w:right w:val="single" w:color="auto" w:sz="4" w:space="0"/>
            </w:tcBorders>
          </w:tcPr>
          <w:p>
            <w:pPr>
              <w:pStyle w:val="56"/>
              <w:spacing w:beforeLines="50"/>
              <w:rPr>
                <w:rFonts w:ascii="宋体" w:hAnsi="宋体"/>
                <w:bCs/>
                <w:highlight w:val="none"/>
              </w:rPr>
            </w:pPr>
            <w:r>
              <w:rPr>
                <w:rFonts w:hint="eastAsia" w:ascii="宋体" w:hAnsi="宋体"/>
                <w:bCs/>
                <w:highlight w:val="none"/>
              </w:rPr>
              <w:t>粪大肠菌群数</w:t>
            </w:r>
          </w:p>
        </w:tc>
        <w:tc>
          <w:tcPr>
            <w:tcW w:w="3681" w:type="dxa"/>
            <w:tcBorders>
              <w:top w:val="single" w:color="auto" w:sz="4" w:space="0"/>
              <w:left w:val="single" w:color="auto" w:sz="4" w:space="0"/>
              <w:bottom w:val="single" w:color="auto" w:sz="4" w:space="0"/>
              <w:right w:val="single" w:color="auto" w:sz="4" w:space="0"/>
            </w:tcBorders>
          </w:tcPr>
          <w:p>
            <w:pPr>
              <w:pStyle w:val="56"/>
              <w:spacing w:beforeLines="50"/>
              <w:jc w:val="center"/>
              <w:rPr>
                <w:rFonts w:ascii="宋体" w:hAnsi="宋体"/>
                <w:bCs/>
                <w:highlight w:val="none"/>
              </w:rPr>
            </w:pPr>
            <w:r>
              <w:rPr>
                <w:rFonts w:hint="eastAsia" w:ascii="宋体" w:hAnsi="宋体"/>
                <w:bCs/>
                <w:highlight w:val="none"/>
              </w:rPr>
              <w:t>多管发酵法</w:t>
            </w:r>
          </w:p>
        </w:tc>
        <w:tc>
          <w:tcPr>
            <w:tcW w:w="3328" w:type="dxa"/>
            <w:tcBorders>
              <w:top w:val="single" w:color="auto" w:sz="4" w:space="0"/>
              <w:left w:val="single" w:color="auto" w:sz="4" w:space="0"/>
              <w:bottom w:val="single" w:color="auto" w:sz="4" w:space="0"/>
              <w:right w:val="single" w:color="auto" w:sz="12" w:space="0"/>
            </w:tcBorders>
            <w:vAlign w:val="center"/>
          </w:tcPr>
          <w:p>
            <w:pPr>
              <w:pStyle w:val="56"/>
              <w:spacing w:beforeLines="50"/>
              <w:rPr>
                <w:rFonts w:ascii="宋体" w:hAnsi="宋体"/>
                <w:bCs/>
                <w:highlight w:val="none"/>
              </w:rPr>
            </w:pPr>
            <w:r>
              <w:rPr>
                <w:rFonts w:hint="eastAsia" w:ascii="宋体" w:hAnsi="宋体"/>
                <w:bCs/>
                <w:highlight w:val="none"/>
              </w:rPr>
              <w:t>《水和废水监测分析方法》第四版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2469" w:type="dxa"/>
            <w:tcBorders>
              <w:top w:val="single" w:color="auto" w:sz="4" w:space="0"/>
              <w:left w:val="single" w:color="auto" w:sz="12" w:space="0"/>
              <w:bottom w:val="single" w:color="auto" w:sz="4" w:space="0"/>
              <w:right w:val="single" w:color="auto" w:sz="4" w:space="0"/>
            </w:tcBorders>
          </w:tcPr>
          <w:p>
            <w:pPr>
              <w:pStyle w:val="56"/>
              <w:spacing w:beforeLines="50"/>
              <w:rPr>
                <w:rFonts w:ascii="宋体" w:hAnsi="宋体"/>
                <w:bCs/>
                <w:highlight w:val="none"/>
              </w:rPr>
            </w:pPr>
            <w:r>
              <w:rPr>
                <w:rFonts w:hint="eastAsia" w:ascii="宋体" w:hAnsi="宋体"/>
                <w:bCs/>
                <w:highlight w:val="none"/>
              </w:rPr>
              <w:t>SS</w:t>
            </w:r>
          </w:p>
        </w:tc>
        <w:tc>
          <w:tcPr>
            <w:tcW w:w="3681" w:type="dxa"/>
            <w:tcBorders>
              <w:top w:val="single" w:color="auto" w:sz="4" w:space="0"/>
              <w:left w:val="single" w:color="auto" w:sz="4" w:space="0"/>
              <w:bottom w:val="single" w:color="auto" w:sz="4" w:space="0"/>
              <w:right w:val="single" w:color="auto" w:sz="4" w:space="0"/>
            </w:tcBorders>
          </w:tcPr>
          <w:p>
            <w:pPr>
              <w:pStyle w:val="56"/>
              <w:spacing w:beforeLines="50"/>
              <w:ind w:firstLine="784" w:firstLineChars="370"/>
              <w:rPr>
                <w:rFonts w:ascii="宋体" w:hAnsi="宋体"/>
                <w:bCs/>
                <w:highlight w:val="none"/>
              </w:rPr>
            </w:pPr>
            <w:r>
              <w:rPr>
                <w:rFonts w:hint="eastAsia" w:ascii="宋体" w:hAnsi="宋体"/>
                <w:bCs/>
                <w:highlight w:val="none"/>
              </w:rPr>
              <w:t>重量法</w:t>
            </w:r>
          </w:p>
        </w:tc>
        <w:tc>
          <w:tcPr>
            <w:tcW w:w="3328" w:type="dxa"/>
            <w:tcBorders>
              <w:top w:val="single" w:color="auto" w:sz="4" w:space="0"/>
              <w:left w:val="single" w:color="auto" w:sz="4" w:space="0"/>
              <w:bottom w:val="single" w:color="auto" w:sz="4" w:space="0"/>
              <w:right w:val="single" w:color="auto" w:sz="12" w:space="0"/>
            </w:tcBorders>
            <w:vAlign w:val="center"/>
          </w:tcPr>
          <w:p>
            <w:pPr>
              <w:pStyle w:val="56"/>
              <w:spacing w:beforeLines="50"/>
              <w:ind w:firstLine="567"/>
              <w:rPr>
                <w:rFonts w:ascii="宋体" w:hAnsi="宋体"/>
                <w:bCs/>
                <w:highlight w:val="none"/>
              </w:rPr>
            </w:pPr>
            <w:r>
              <w:rPr>
                <w:rFonts w:hint="eastAsia" w:ascii="宋体" w:hAnsi="宋体"/>
                <w:bCs/>
                <w:highlight w:val="none"/>
              </w:rPr>
              <w:t>GB/T 11901-1989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469" w:type="dxa"/>
            <w:tcBorders>
              <w:top w:val="single" w:color="auto" w:sz="4" w:space="0"/>
              <w:left w:val="single" w:color="auto" w:sz="12" w:space="0"/>
              <w:bottom w:val="single" w:color="auto" w:sz="12" w:space="0"/>
              <w:right w:val="single" w:color="auto" w:sz="4" w:space="0"/>
            </w:tcBorders>
          </w:tcPr>
          <w:p>
            <w:pPr>
              <w:pStyle w:val="56"/>
              <w:spacing w:beforeLines="50"/>
              <w:rPr>
                <w:rFonts w:ascii="宋体" w:hAnsi="宋体"/>
                <w:bCs/>
                <w:highlight w:val="none"/>
              </w:rPr>
            </w:pPr>
            <w:r>
              <w:rPr>
                <w:rFonts w:hint="eastAsia" w:ascii="宋体" w:hAnsi="宋体"/>
                <w:bCs/>
                <w:highlight w:val="none"/>
              </w:rPr>
              <w:t>污泥含水率</w:t>
            </w:r>
          </w:p>
        </w:tc>
        <w:tc>
          <w:tcPr>
            <w:tcW w:w="3681" w:type="dxa"/>
            <w:tcBorders>
              <w:top w:val="single" w:color="auto" w:sz="4" w:space="0"/>
              <w:left w:val="single" w:color="auto" w:sz="4" w:space="0"/>
              <w:bottom w:val="single" w:color="auto" w:sz="12" w:space="0"/>
              <w:right w:val="single" w:color="auto" w:sz="4" w:space="0"/>
            </w:tcBorders>
          </w:tcPr>
          <w:p>
            <w:pPr>
              <w:pStyle w:val="56"/>
              <w:spacing w:beforeLines="50"/>
              <w:ind w:firstLine="567"/>
              <w:jc w:val="left"/>
              <w:rPr>
                <w:rFonts w:ascii="宋体" w:hAnsi="宋体"/>
                <w:bCs/>
                <w:highlight w:val="none"/>
              </w:rPr>
            </w:pPr>
            <w:r>
              <w:rPr>
                <w:rFonts w:hint="eastAsia" w:ascii="宋体" w:hAnsi="宋体"/>
                <w:bCs/>
                <w:highlight w:val="none"/>
              </w:rPr>
              <w:t>土壤水分测定法</w:t>
            </w:r>
          </w:p>
        </w:tc>
        <w:tc>
          <w:tcPr>
            <w:tcW w:w="3328" w:type="dxa"/>
            <w:tcBorders>
              <w:top w:val="single" w:color="auto" w:sz="4" w:space="0"/>
              <w:left w:val="single" w:color="auto" w:sz="4" w:space="0"/>
              <w:bottom w:val="single" w:color="auto" w:sz="12" w:space="0"/>
              <w:right w:val="single" w:color="auto" w:sz="12" w:space="0"/>
            </w:tcBorders>
            <w:vAlign w:val="center"/>
          </w:tcPr>
          <w:p>
            <w:pPr>
              <w:pStyle w:val="56"/>
              <w:spacing w:beforeLines="50"/>
              <w:ind w:firstLine="784" w:firstLineChars="370"/>
              <w:rPr>
                <w:rFonts w:ascii="宋体" w:hAnsi="宋体"/>
                <w:bCs/>
                <w:highlight w:val="none"/>
              </w:rPr>
            </w:pPr>
            <w:r>
              <w:rPr>
                <w:rFonts w:hint="eastAsia" w:ascii="宋体" w:hAnsi="宋体"/>
                <w:bCs/>
                <w:highlight w:val="none"/>
              </w:rPr>
              <w:t>NY/T52-1987</w:t>
            </w:r>
          </w:p>
        </w:tc>
      </w:tr>
    </w:tbl>
    <w:p>
      <w:pPr>
        <w:pStyle w:val="56"/>
        <w:spacing w:beforeLines="50"/>
        <w:ind w:firstLine="242" w:firstLineChars="100"/>
        <w:textAlignment w:val="baseline"/>
        <w:rPr>
          <w:rFonts w:ascii="宋体" w:hAnsi="宋体" w:cs="宋体"/>
          <w:b/>
          <w:color w:val="000000" w:themeColor="text1"/>
          <w:kern w:val="2"/>
          <w:sz w:val="24"/>
          <w:szCs w:val="24"/>
          <w:highlight w:val="none"/>
          <w14:textFill>
            <w14:solidFill>
              <w14:schemeClr w14:val="tx1"/>
            </w14:solidFill>
          </w14:textFill>
        </w:rPr>
      </w:pPr>
      <w:r>
        <w:rPr>
          <w:rFonts w:hint="eastAsia" w:ascii="宋体" w:hAnsi="宋体" w:cs="宋体"/>
          <w:b/>
          <w:color w:val="000000" w:themeColor="text1"/>
          <w:kern w:val="2"/>
          <w:sz w:val="24"/>
          <w:szCs w:val="24"/>
          <w:highlight w:val="none"/>
          <w14:textFill>
            <w14:solidFill>
              <w14:schemeClr w14:val="tx1"/>
            </w14:solidFill>
          </w14:textFill>
        </w:rPr>
        <w:t>七、污水处理厂水质及污泥检测项目、周期</w:t>
      </w:r>
    </w:p>
    <w:p>
      <w:pPr>
        <w:pStyle w:val="56"/>
        <w:spacing w:beforeLines="50"/>
        <w:ind w:firstLine="212" w:firstLineChars="100"/>
        <w:rPr>
          <w:rFonts w:asciiTheme="minorEastAsia" w:hAnsiTheme="minorEastAsia" w:eastAsiaTheme="minorEastAsia" w:cstheme="minorEastAsia"/>
          <w:snapToGrid w:val="0"/>
          <w:color w:val="000000" w:themeColor="text1"/>
          <w:highlight w:val="none"/>
          <w:lang w:val="fr-FR"/>
          <w14:textFill>
            <w14:solidFill>
              <w14:schemeClr w14:val="tx1"/>
            </w14:solidFill>
          </w14:textFill>
        </w:rPr>
      </w:pPr>
      <w:r>
        <w:rPr>
          <w:rFonts w:hint="eastAsia" w:asciiTheme="minorEastAsia" w:hAnsiTheme="minorEastAsia" w:eastAsiaTheme="minorEastAsia" w:cstheme="minorEastAsia"/>
          <w:snapToGrid w:val="0"/>
          <w:color w:val="000000" w:themeColor="text1"/>
          <w:highlight w:val="none"/>
          <w:lang w:val="fr-FR"/>
          <w14:textFill>
            <w14:solidFill>
              <w14:schemeClr w14:val="tx1"/>
            </w14:solidFill>
          </w14:textFill>
        </w:rPr>
        <w:t>1、水质检测项目及周期表</w:t>
      </w:r>
    </w:p>
    <w:tbl>
      <w:tblPr>
        <w:tblStyle w:val="25"/>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2878"/>
        <w:gridCol w:w="1037"/>
        <w:gridCol w:w="750"/>
        <w:gridCol w:w="2736"/>
        <w:gridCol w:w="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86"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序号</w:t>
            </w:r>
          </w:p>
        </w:tc>
        <w:tc>
          <w:tcPr>
            <w:tcW w:w="2878" w:type="dxa"/>
            <w:vAlign w:val="center"/>
          </w:tcPr>
          <w:p>
            <w:pPr>
              <w:pStyle w:val="56"/>
              <w:spacing w:beforeLines="50"/>
              <w:ind w:firstLine="747" w:firstLineChars="370"/>
              <w:rPr>
                <w:rFonts w:ascii="宋体" w:hAnsi="宋体"/>
                <w:bCs/>
                <w:sz w:val="20"/>
                <w:szCs w:val="20"/>
                <w:highlight w:val="none"/>
              </w:rPr>
            </w:pPr>
            <w:r>
              <w:rPr>
                <w:rFonts w:hint="eastAsia" w:ascii="宋体" w:hAnsi="宋体"/>
                <w:bCs/>
                <w:sz w:val="20"/>
                <w:szCs w:val="20"/>
                <w:highlight w:val="none"/>
              </w:rPr>
              <w:t>项目</w:t>
            </w:r>
          </w:p>
        </w:tc>
        <w:tc>
          <w:tcPr>
            <w:tcW w:w="1037" w:type="dxa"/>
            <w:vAlign w:val="center"/>
          </w:tcPr>
          <w:p>
            <w:pPr>
              <w:pStyle w:val="56"/>
              <w:spacing w:beforeLines="50"/>
              <w:ind w:firstLine="202" w:firstLineChars="100"/>
              <w:rPr>
                <w:rFonts w:ascii="宋体" w:hAnsi="宋体"/>
                <w:bCs/>
                <w:sz w:val="20"/>
                <w:szCs w:val="20"/>
                <w:highlight w:val="none"/>
              </w:rPr>
            </w:pPr>
            <w:r>
              <w:rPr>
                <w:rFonts w:hint="eastAsia" w:ascii="宋体" w:hAnsi="宋体"/>
                <w:bCs/>
                <w:sz w:val="20"/>
                <w:szCs w:val="20"/>
                <w:highlight w:val="none"/>
              </w:rPr>
              <w:t>周期</w:t>
            </w:r>
          </w:p>
        </w:tc>
        <w:tc>
          <w:tcPr>
            <w:tcW w:w="750"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序号</w:t>
            </w:r>
          </w:p>
        </w:tc>
        <w:tc>
          <w:tcPr>
            <w:tcW w:w="2736" w:type="dxa"/>
            <w:vAlign w:val="center"/>
          </w:tcPr>
          <w:p>
            <w:pPr>
              <w:pStyle w:val="56"/>
              <w:spacing w:beforeLines="50"/>
              <w:ind w:firstLine="747" w:firstLineChars="370"/>
              <w:rPr>
                <w:rFonts w:ascii="宋体" w:hAnsi="宋体"/>
                <w:bCs/>
                <w:sz w:val="20"/>
                <w:szCs w:val="20"/>
                <w:highlight w:val="none"/>
              </w:rPr>
            </w:pPr>
            <w:r>
              <w:rPr>
                <w:rFonts w:hint="eastAsia" w:ascii="宋体" w:hAnsi="宋体"/>
                <w:bCs/>
                <w:sz w:val="20"/>
                <w:szCs w:val="20"/>
                <w:highlight w:val="none"/>
              </w:rPr>
              <w:t>项目</w:t>
            </w:r>
          </w:p>
        </w:tc>
        <w:tc>
          <w:tcPr>
            <w:tcW w:w="911"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886" w:type="dxa"/>
            <w:vAlign w:val="center"/>
          </w:tcPr>
          <w:p>
            <w:pPr>
              <w:pStyle w:val="56"/>
              <w:spacing w:beforeLines="50"/>
              <w:jc w:val="center"/>
              <w:rPr>
                <w:rFonts w:ascii="宋体" w:hAnsi="宋体"/>
                <w:bCs/>
                <w:sz w:val="20"/>
                <w:szCs w:val="20"/>
                <w:highlight w:val="none"/>
              </w:rPr>
            </w:pPr>
            <w:r>
              <w:rPr>
                <w:rFonts w:hint="eastAsia" w:ascii="宋体" w:hAnsi="宋体"/>
                <w:bCs/>
                <w:sz w:val="20"/>
                <w:szCs w:val="20"/>
                <w:highlight w:val="none"/>
              </w:rPr>
              <w:t>1</w:t>
            </w:r>
          </w:p>
        </w:tc>
        <w:tc>
          <w:tcPr>
            <w:tcW w:w="2878"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PH值</w:t>
            </w:r>
          </w:p>
        </w:tc>
        <w:tc>
          <w:tcPr>
            <w:tcW w:w="1037" w:type="dxa"/>
            <w:vMerge w:val="restart"/>
            <w:vAlign w:val="center"/>
          </w:tcPr>
          <w:p>
            <w:pPr>
              <w:pStyle w:val="56"/>
              <w:spacing w:beforeLines="50"/>
              <w:jc w:val="center"/>
              <w:rPr>
                <w:rFonts w:ascii="宋体" w:hAnsi="宋体"/>
                <w:bCs/>
                <w:sz w:val="20"/>
                <w:szCs w:val="20"/>
                <w:highlight w:val="none"/>
              </w:rPr>
            </w:pPr>
            <w:r>
              <w:rPr>
                <w:rFonts w:hint="eastAsia" w:ascii="宋体" w:hAnsi="宋体"/>
                <w:bCs/>
                <w:sz w:val="20"/>
                <w:szCs w:val="20"/>
                <w:highlight w:val="none"/>
              </w:rPr>
              <w:t>每</w:t>
            </w:r>
          </w:p>
          <w:p>
            <w:pPr>
              <w:pStyle w:val="56"/>
              <w:spacing w:beforeLines="50"/>
              <w:jc w:val="center"/>
              <w:rPr>
                <w:rFonts w:ascii="宋体" w:hAnsi="宋体"/>
                <w:bCs/>
                <w:sz w:val="20"/>
                <w:szCs w:val="20"/>
                <w:highlight w:val="none"/>
              </w:rPr>
            </w:pPr>
            <w:r>
              <w:rPr>
                <w:rFonts w:hint="eastAsia" w:ascii="宋体" w:hAnsi="宋体"/>
                <w:bCs/>
                <w:sz w:val="20"/>
                <w:szCs w:val="20"/>
                <w:highlight w:val="none"/>
              </w:rPr>
              <w:t>日</w:t>
            </w:r>
          </w:p>
          <w:p>
            <w:pPr>
              <w:pStyle w:val="56"/>
              <w:spacing w:beforeLines="50"/>
              <w:jc w:val="center"/>
              <w:rPr>
                <w:rFonts w:ascii="宋体" w:hAnsi="宋体"/>
                <w:bCs/>
                <w:sz w:val="20"/>
                <w:szCs w:val="20"/>
                <w:highlight w:val="none"/>
              </w:rPr>
            </w:pPr>
            <w:r>
              <w:rPr>
                <w:rFonts w:hint="eastAsia" w:ascii="宋体" w:hAnsi="宋体"/>
                <w:bCs/>
                <w:sz w:val="20"/>
                <w:szCs w:val="20"/>
                <w:highlight w:val="none"/>
              </w:rPr>
              <w:t>一</w:t>
            </w:r>
          </w:p>
          <w:p>
            <w:pPr>
              <w:pStyle w:val="56"/>
              <w:spacing w:beforeLines="50"/>
              <w:jc w:val="center"/>
              <w:rPr>
                <w:rFonts w:ascii="宋体" w:hAnsi="宋体"/>
                <w:bCs/>
                <w:sz w:val="20"/>
                <w:szCs w:val="20"/>
                <w:highlight w:val="none"/>
              </w:rPr>
            </w:pPr>
            <w:r>
              <w:rPr>
                <w:rFonts w:hint="eastAsia" w:ascii="宋体" w:hAnsi="宋体"/>
                <w:bCs/>
                <w:sz w:val="20"/>
                <w:szCs w:val="20"/>
                <w:highlight w:val="none"/>
              </w:rPr>
              <w:t>次</w:t>
            </w:r>
          </w:p>
        </w:tc>
        <w:tc>
          <w:tcPr>
            <w:tcW w:w="750" w:type="dxa"/>
            <w:vAlign w:val="center"/>
          </w:tcPr>
          <w:p>
            <w:pPr>
              <w:pStyle w:val="56"/>
              <w:spacing w:beforeLines="50"/>
              <w:jc w:val="center"/>
              <w:rPr>
                <w:rFonts w:ascii="宋体" w:hAnsi="宋体"/>
                <w:bCs/>
                <w:sz w:val="20"/>
                <w:szCs w:val="20"/>
                <w:highlight w:val="none"/>
              </w:rPr>
            </w:pPr>
            <w:r>
              <w:rPr>
                <w:rFonts w:hint="eastAsia" w:ascii="宋体" w:hAnsi="宋体"/>
                <w:bCs/>
                <w:sz w:val="20"/>
                <w:szCs w:val="20"/>
                <w:highlight w:val="none"/>
              </w:rPr>
              <w:t>21</w:t>
            </w:r>
          </w:p>
        </w:tc>
        <w:tc>
          <w:tcPr>
            <w:tcW w:w="2736" w:type="dxa"/>
            <w:vAlign w:val="center"/>
          </w:tcPr>
          <w:p>
            <w:pPr>
              <w:pStyle w:val="56"/>
              <w:spacing w:beforeLines="50"/>
              <w:ind w:firstLine="567"/>
              <w:jc w:val="left"/>
              <w:rPr>
                <w:rFonts w:ascii="宋体" w:hAnsi="宋体"/>
                <w:bCs/>
                <w:sz w:val="20"/>
                <w:szCs w:val="20"/>
                <w:highlight w:val="none"/>
              </w:rPr>
            </w:pPr>
            <w:r>
              <w:rPr>
                <w:rFonts w:hint="eastAsia" w:ascii="宋体" w:hAnsi="宋体"/>
                <w:bCs/>
                <w:sz w:val="20"/>
                <w:szCs w:val="20"/>
                <w:highlight w:val="none"/>
              </w:rPr>
              <w:t>动植物油类</w:t>
            </w:r>
          </w:p>
        </w:tc>
        <w:tc>
          <w:tcPr>
            <w:tcW w:w="911" w:type="dxa"/>
            <w:vMerge w:val="restart"/>
            <w:vAlign w:val="center"/>
          </w:tcPr>
          <w:p>
            <w:pPr>
              <w:pStyle w:val="56"/>
              <w:spacing w:beforeLines="50"/>
              <w:jc w:val="center"/>
              <w:rPr>
                <w:rFonts w:ascii="宋体" w:hAnsi="宋体"/>
                <w:bCs/>
                <w:sz w:val="20"/>
                <w:szCs w:val="20"/>
                <w:highlight w:val="none"/>
              </w:rPr>
            </w:pPr>
            <w:r>
              <w:rPr>
                <w:rFonts w:hint="eastAsia" w:ascii="宋体" w:hAnsi="宋体"/>
                <w:bCs/>
                <w:sz w:val="20"/>
                <w:szCs w:val="20"/>
                <w:highlight w:val="none"/>
              </w:rPr>
              <w:t>每</w:t>
            </w:r>
          </w:p>
          <w:p>
            <w:pPr>
              <w:pStyle w:val="56"/>
              <w:spacing w:beforeLines="50"/>
              <w:jc w:val="center"/>
              <w:rPr>
                <w:rFonts w:ascii="宋体" w:hAnsi="宋体"/>
                <w:bCs/>
                <w:sz w:val="20"/>
                <w:szCs w:val="20"/>
                <w:highlight w:val="none"/>
              </w:rPr>
            </w:pPr>
            <w:r>
              <w:rPr>
                <w:rFonts w:hint="eastAsia" w:ascii="宋体" w:hAnsi="宋体"/>
                <w:bCs/>
                <w:sz w:val="20"/>
                <w:szCs w:val="20"/>
                <w:highlight w:val="none"/>
              </w:rPr>
              <w:t>月</w:t>
            </w:r>
          </w:p>
          <w:p>
            <w:pPr>
              <w:pStyle w:val="56"/>
              <w:spacing w:beforeLines="50"/>
              <w:jc w:val="center"/>
              <w:rPr>
                <w:rFonts w:ascii="宋体" w:hAnsi="宋体"/>
                <w:bCs/>
                <w:sz w:val="20"/>
                <w:szCs w:val="20"/>
                <w:highlight w:val="none"/>
              </w:rPr>
            </w:pPr>
            <w:r>
              <w:rPr>
                <w:rFonts w:hint="eastAsia" w:ascii="宋体" w:hAnsi="宋体"/>
                <w:bCs/>
                <w:sz w:val="20"/>
                <w:szCs w:val="20"/>
                <w:highlight w:val="none"/>
              </w:rPr>
              <w:t>一</w:t>
            </w:r>
          </w:p>
          <w:p>
            <w:pPr>
              <w:pStyle w:val="56"/>
              <w:spacing w:beforeLines="50"/>
              <w:jc w:val="center"/>
              <w:rPr>
                <w:rFonts w:ascii="宋体" w:hAnsi="宋体"/>
                <w:bCs/>
                <w:sz w:val="20"/>
                <w:szCs w:val="20"/>
                <w:highlight w:val="none"/>
              </w:rPr>
            </w:pPr>
            <w:r>
              <w:rPr>
                <w:rFonts w:hint="eastAsia" w:ascii="宋体" w:hAnsi="宋体"/>
                <w:bCs/>
                <w:sz w:val="20"/>
                <w:szCs w:val="20"/>
                <w:highlight w:val="none"/>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886" w:type="dxa"/>
            <w:vAlign w:val="center"/>
          </w:tcPr>
          <w:p>
            <w:pPr>
              <w:pStyle w:val="56"/>
              <w:spacing w:beforeLines="50"/>
              <w:jc w:val="center"/>
              <w:rPr>
                <w:rFonts w:ascii="宋体" w:hAnsi="宋体"/>
                <w:bCs/>
                <w:sz w:val="20"/>
                <w:szCs w:val="20"/>
                <w:highlight w:val="none"/>
              </w:rPr>
            </w:pPr>
            <w:r>
              <w:rPr>
                <w:rFonts w:hint="eastAsia" w:ascii="宋体" w:hAnsi="宋体"/>
                <w:bCs/>
                <w:sz w:val="20"/>
                <w:szCs w:val="20"/>
                <w:highlight w:val="none"/>
              </w:rPr>
              <w:t>2</w:t>
            </w:r>
          </w:p>
        </w:tc>
        <w:tc>
          <w:tcPr>
            <w:tcW w:w="2878"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悬浮物SS</w:t>
            </w:r>
          </w:p>
        </w:tc>
        <w:tc>
          <w:tcPr>
            <w:tcW w:w="1037" w:type="dxa"/>
            <w:vMerge w:val="continue"/>
            <w:vAlign w:val="center"/>
          </w:tcPr>
          <w:p>
            <w:pPr>
              <w:pStyle w:val="56"/>
              <w:spacing w:beforeLines="50"/>
              <w:ind w:firstLine="567"/>
              <w:jc w:val="center"/>
              <w:rPr>
                <w:rFonts w:ascii="宋体" w:hAnsi="宋体"/>
                <w:bCs/>
                <w:sz w:val="20"/>
                <w:szCs w:val="20"/>
                <w:highlight w:val="none"/>
              </w:rPr>
            </w:pPr>
          </w:p>
        </w:tc>
        <w:tc>
          <w:tcPr>
            <w:tcW w:w="750" w:type="dxa"/>
            <w:vAlign w:val="center"/>
          </w:tcPr>
          <w:p>
            <w:pPr>
              <w:pStyle w:val="56"/>
              <w:spacing w:beforeLines="50"/>
              <w:jc w:val="center"/>
              <w:rPr>
                <w:rFonts w:ascii="宋体" w:hAnsi="宋体"/>
                <w:bCs/>
                <w:sz w:val="20"/>
                <w:szCs w:val="20"/>
                <w:highlight w:val="none"/>
              </w:rPr>
            </w:pPr>
            <w:r>
              <w:rPr>
                <w:rFonts w:hint="eastAsia" w:ascii="宋体" w:hAnsi="宋体"/>
                <w:bCs/>
                <w:sz w:val="20"/>
                <w:szCs w:val="20"/>
                <w:highlight w:val="none"/>
              </w:rPr>
              <w:t>22</w:t>
            </w:r>
          </w:p>
        </w:tc>
        <w:tc>
          <w:tcPr>
            <w:tcW w:w="2736" w:type="dxa"/>
            <w:vAlign w:val="center"/>
          </w:tcPr>
          <w:p>
            <w:pPr>
              <w:pStyle w:val="56"/>
              <w:spacing w:beforeLines="50"/>
              <w:ind w:firstLine="567"/>
              <w:jc w:val="left"/>
              <w:rPr>
                <w:rFonts w:ascii="宋体" w:hAnsi="宋体"/>
                <w:bCs/>
                <w:sz w:val="20"/>
                <w:szCs w:val="20"/>
                <w:highlight w:val="none"/>
              </w:rPr>
            </w:pPr>
            <w:r>
              <w:rPr>
                <w:rFonts w:hint="eastAsia" w:ascii="宋体" w:hAnsi="宋体"/>
                <w:bCs/>
                <w:sz w:val="20"/>
                <w:szCs w:val="20"/>
                <w:highlight w:val="none"/>
              </w:rPr>
              <w:t>石油类</w:t>
            </w:r>
          </w:p>
        </w:tc>
        <w:tc>
          <w:tcPr>
            <w:tcW w:w="911" w:type="dxa"/>
            <w:vMerge w:val="continue"/>
            <w:vAlign w:val="center"/>
          </w:tcPr>
          <w:p>
            <w:pPr>
              <w:pStyle w:val="56"/>
              <w:spacing w:beforeLines="50"/>
              <w:ind w:firstLine="567"/>
              <w:jc w:val="center"/>
              <w:rPr>
                <w:rFonts w:ascii="宋体" w:hAnsi="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886" w:type="dxa"/>
            <w:vAlign w:val="center"/>
          </w:tcPr>
          <w:p>
            <w:pPr>
              <w:pStyle w:val="56"/>
              <w:spacing w:beforeLines="50"/>
              <w:jc w:val="center"/>
              <w:rPr>
                <w:rFonts w:ascii="宋体" w:hAnsi="宋体"/>
                <w:bCs/>
                <w:sz w:val="20"/>
                <w:szCs w:val="20"/>
                <w:highlight w:val="none"/>
              </w:rPr>
            </w:pPr>
            <w:r>
              <w:rPr>
                <w:rFonts w:hint="eastAsia" w:ascii="宋体" w:hAnsi="宋体"/>
                <w:bCs/>
                <w:sz w:val="20"/>
                <w:szCs w:val="20"/>
                <w:highlight w:val="none"/>
              </w:rPr>
              <w:t>3</w:t>
            </w:r>
          </w:p>
        </w:tc>
        <w:tc>
          <w:tcPr>
            <w:tcW w:w="2878" w:type="dxa"/>
            <w:vAlign w:val="center"/>
          </w:tcPr>
          <w:p>
            <w:pPr>
              <w:pStyle w:val="56"/>
              <w:spacing w:beforeLines="50"/>
              <w:jc w:val="center"/>
              <w:rPr>
                <w:rFonts w:ascii="宋体" w:hAnsi="宋体"/>
                <w:bCs/>
                <w:sz w:val="20"/>
                <w:szCs w:val="20"/>
                <w:highlight w:val="none"/>
              </w:rPr>
            </w:pPr>
            <w:r>
              <w:rPr>
                <w:rFonts w:hint="eastAsia" w:ascii="宋体" w:hAnsi="宋体"/>
                <w:bCs/>
                <w:sz w:val="20"/>
                <w:szCs w:val="20"/>
                <w:highlight w:val="none"/>
              </w:rPr>
              <w:t>生化需氧量BOD</w:t>
            </w:r>
            <w:r>
              <w:rPr>
                <w:rFonts w:hint="eastAsia" w:ascii="宋体" w:hAnsi="宋体"/>
                <w:bCs/>
                <w:sz w:val="20"/>
                <w:szCs w:val="20"/>
                <w:highlight w:val="none"/>
                <w:vertAlign w:val="subscript"/>
              </w:rPr>
              <w:t>5</w:t>
            </w:r>
          </w:p>
        </w:tc>
        <w:tc>
          <w:tcPr>
            <w:tcW w:w="1037" w:type="dxa"/>
            <w:vMerge w:val="continue"/>
            <w:vAlign w:val="center"/>
          </w:tcPr>
          <w:p>
            <w:pPr>
              <w:pStyle w:val="56"/>
              <w:spacing w:beforeLines="50"/>
              <w:ind w:firstLine="567"/>
              <w:jc w:val="center"/>
              <w:rPr>
                <w:rFonts w:ascii="宋体" w:hAnsi="宋体"/>
                <w:bCs/>
                <w:sz w:val="20"/>
                <w:szCs w:val="20"/>
                <w:highlight w:val="none"/>
              </w:rPr>
            </w:pPr>
          </w:p>
        </w:tc>
        <w:tc>
          <w:tcPr>
            <w:tcW w:w="750" w:type="dxa"/>
            <w:vAlign w:val="center"/>
          </w:tcPr>
          <w:p>
            <w:pPr>
              <w:pStyle w:val="56"/>
              <w:spacing w:beforeLines="50"/>
              <w:jc w:val="center"/>
              <w:rPr>
                <w:rFonts w:ascii="宋体" w:hAnsi="宋体"/>
                <w:bCs/>
                <w:sz w:val="20"/>
                <w:szCs w:val="20"/>
                <w:highlight w:val="none"/>
              </w:rPr>
            </w:pPr>
            <w:r>
              <w:rPr>
                <w:rFonts w:hint="eastAsia" w:ascii="宋体" w:hAnsi="宋体"/>
                <w:bCs/>
                <w:sz w:val="20"/>
                <w:szCs w:val="20"/>
                <w:highlight w:val="none"/>
              </w:rPr>
              <w:t>23</w:t>
            </w:r>
          </w:p>
        </w:tc>
        <w:tc>
          <w:tcPr>
            <w:tcW w:w="2736" w:type="dxa"/>
            <w:vAlign w:val="center"/>
          </w:tcPr>
          <w:p>
            <w:pPr>
              <w:pStyle w:val="56"/>
              <w:spacing w:beforeLines="50"/>
              <w:ind w:firstLine="567"/>
              <w:jc w:val="left"/>
              <w:rPr>
                <w:rFonts w:ascii="宋体" w:hAnsi="宋体"/>
                <w:bCs/>
                <w:sz w:val="20"/>
                <w:szCs w:val="20"/>
                <w:highlight w:val="none"/>
              </w:rPr>
            </w:pPr>
            <w:r>
              <w:rPr>
                <w:rFonts w:hint="eastAsia" w:ascii="宋体" w:hAnsi="宋体"/>
                <w:bCs/>
                <w:sz w:val="20"/>
                <w:szCs w:val="20"/>
                <w:highlight w:val="none"/>
              </w:rPr>
              <w:t>阴离子合成洗涤剂</w:t>
            </w:r>
          </w:p>
        </w:tc>
        <w:tc>
          <w:tcPr>
            <w:tcW w:w="911" w:type="dxa"/>
            <w:vMerge w:val="continue"/>
            <w:vAlign w:val="center"/>
          </w:tcPr>
          <w:p>
            <w:pPr>
              <w:pStyle w:val="56"/>
              <w:spacing w:beforeLines="50"/>
              <w:ind w:firstLine="567"/>
              <w:jc w:val="center"/>
              <w:rPr>
                <w:rFonts w:ascii="宋体" w:hAnsi="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886" w:type="dxa"/>
            <w:vAlign w:val="center"/>
          </w:tcPr>
          <w:p>
            <w:pPr>
              <w:pStyle w:val="56"/>
              <w:spacing w:beforeLines="50"/>
              <w:jc w:val="center"/>
              <w:rPr>
                <w:rFonts w:ascii="宋体" w:hAnsi="宋体"/>
                <w:bCs/>
                <w:sz w:val="20"/>
                <w:szCs w:val="20"/>
                <w:highlight w:val="none"/>
              </w:rPr>
            </w:pPr>
            <w:r>
              <w:rPr>
                <w:rFonts w:hint="eastAsia" w:ascii="宋体" w:hAnsi="宋体"/>
                <w:bCs/>
                <w:sz w:val="20"/>
                <w:szCs w:val="20"/>
                <w:highlight w:val="none"/>
              </w:rPr>
              <w:t>4</w:t>
            </w:r>
          </w:p>
        </w:tc>
        <w:tc>
          <w:tcPr>
            <w:tcW w:w="2878" w:type="dxa"/>
            <w:vAlign w:val="center"/>
          </w:tcPr>
          <w:p>
            <w:pPr>
              <w:pStyle w:val="56"/>
              <w:spacing w:beforeLines="50"/>
              <w:jc w:val="center"/>
              <w:rPr>
                <w:rFonts w:ascii="宋体" w:hAnsi="宋体"/>
                <w:bCs/>
                <w:sz w:val="20"/>
                <w:szCs w:val="20"/>
                <w:highlight w:val="none"/>
              </w:rPr>
            </w:pPr>
            <w:r>
              <w:rPr>
                <w:rFonts w:hint="eastAsia" w:ascii="宋体" w:hAnsi="宋体"/>
                <w:bCs/>
                <w:sz w:val="20"/>
                <w:szCs w:val="20"/>
                <w:highlight w:val="none"/>
              </w:rPr>
              <w:t>化学需氧量COD</w:t>
            </w:r>
            <w:r>
              <w:rPr>
                <w:rFonts w:hint="eastAsia" w:ascii="宋体" w:hAnsi="宋体"/>
                <w:bCs/>
                <w:sz w:val="20"/>
                <w:szCs w:val="20"/>
                <w:highlight w:val="none"/>
                <w:vertAlign w:val="subscript"/>
              </w:rPr>
              <w:t>cr</w:t>
            </w:r>
          </w:p>
        </w:tc>
        <w:tc>
          <w:tcPr>
            <w:tcW w:w="1037" w:type="dxa"/>
            <w:vMerge w:val="continue"/>
            <w:vAlign w:val="center"/>
          </w:tcPr>
          <w:p>
            <w:pPr>
              <w:pStyle w:val="56"/>
              <w:spacing w:beforeLines="50"/>
              <w:ind w:firstLine="567"/>
              <w:jc w:val="center"/>
              <w:rPr>
                <w:rFonts w:ascii="宋体" w:hAnsi="宋体"/>
                <w:bCs/>
                <w:sz w:val="20"/>
                <w:szCs w:val="20"/>
                <w:highlight w:val="none"/>
              </w:rPr>
            </w:pPr>
          </w:p>
        </w:tc>
        <w:tc>
          <w:tcPr>
            <w:tcW w:w="750" w:type="dxa"/>
            <w:vAlign w:val="center"/>
          </w:tcPr>
          <w:p>
            <w:pPr>
              <w:pStyle w:val="56"/>
              <w:spacing w:beforeLines="50"/>
              <w:jc w:val="center"/>
              <w:rPr>
                <w:rFonts w:ascii="宋体" w:hAnsi="宋体"/>
                <w:bCs/>
                <w:sz w:val="20"/>
                <w:szCs w:val="20"/>
                <w:highlight w:val="none"/>
              </w:rPr>
            </w:pPr>
            <w:r>
              <w:rPr>
                <w:rFonts w:hint="eastAsia" w:ascii="宋体" w:hAnsi="宋体"/>
                <w:bCs/>
                <w:sz w:val="20"/>
                <w:szCs w:val="20"/>
                <w:highlight w:val="none"/>
              </w:rPr>
              <w:t>24</w:t>
            </w:r>
          </w:p>
        </w:tc>
        <w:tc>
          <w:tcPr>
            <w:tcW w:w="2736" w:type="dxa"/>
            <w:vAlign w:val="center"/>
          </w:tcPr>
          <w:p>
            <w:pPr>
              <w:pStyle w:val="56"/>
              <w:spacing w:beforeLines="50"/>
              <w:ind w:firstLine="567"/>
              <w:jc w:val="left"/>
              <w:rPr>
                <w:rFonts w:ascii="宋体" w:hAnsi="宋体"/>
                <w:bCs/>
                <w:sz w:val="20"/>
                <w:szCs w:val="20"/>
                <w:highlight w:val="none"/>
              </w:rPr>
            </w:pPr>
            <w:r>
              <w:rPr>
                <w:rFonts w:hint="eastAsia" w:ascii="宋体" w:hAnsi="宋体"/>
                <w:bCs/>
                <w:sz w:val="20"/>
                <w:szCs w:val="20"/>
                <w:highlight w:val="none"/>
              </w:rPr>
              <w:t>色度</w:t>
            </w:r>
          </w:p>
        </w:tc>
        <w:tc>
          <w:tcPr>
            <w:tcW w:w="911" w:type="dxa"/>
            <w:vMerge w:val="continue"/>
            <w:vAlign w:val="center"/>
          </w:tcPr>
          <w:p>
            <w:pPr>
              <w:pStyle w:val="56"/>
              <w:spacing w:beforeLines="50"/>
              <w:ind w:firstLine="567"/>
              <w:jc w:val="center"/>
              <w:rPr>
                <w:rFonts w:ascii="宋体" w:hAnsi="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886" w:type="dxa"/>
            <w:vAlign w:val="center"/>
          </w:tcPr>
          <w:p>
            <w:pPr>
              <w:pStyle w:val="56"/>
              <w:spacing w:beforeLines="50"/>
              <w:jc w:val="center"/>
              <w:rPr>
                <w:rFonts w:ascii="宋体" w:hAnsi="宋体"/>
                <w:bCs/>
                <w:sz w:val="20"/>
                <w:szCs w:val="20"/>
                <w:highlight w:val="none"/>
              </w:rPr>
            </w:pPr>
            <w:r>
              <w:rPr>
                <w:rFonts w:hint="eastAsia" w:ascii="宋体" w:hAnsi="宋体"/>
                <w:bCs/>
                <w:sz w:val="20"/>
                <w:szCs w:val="20"/>
                <w:highlight w:val="none"/>
              </w:rPr>
              <w:t>5</w:t>
            </w:r>
          </w:p>
        </w:tc>
        <w:tc>
          <w:tcPr>
            <w:tcW w:w="2878"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总氮TN</w:t>
            </w:r>
          </w:p>
        </w:tc>
        <w:tc>
          <w:tcPr>
            <w:tcW w:w="1037" w:type="dxa"/>
            <w:vMerge w:val="continue"/>
            <w:vAlign w:val="center"/>
          </w:tcPr>
          <w:p>
            <w:pPr>
              <w:pStyle w:val="56"/>
              <w:spacing w:beforeLines="50"/>
              <w:ind w:firstLine="567"/>
              <w:jc w:val="center"/>
              <w:rPr>
                <w:rFonts w:ascii="宋体" w:hAnsi="宋体"/>
                <w:bCs/>
                <w:sz w:val="20"/>
                <w:szCs w:val="20"/>
                <w:highlight w:val="none"/>
              </w:rPr>
            </w:pPr>
          </w:p>
        </w:tc>
        <w:tc>
          <w:tcPr>
            <w:tcW w:w="750" w:type="dxa"/>
            <w:vAlign w:val="center"/>
          </w:tcPr>
          <w:p>
            <w:pPr>
              <w:pStyle w:val="56"/>
              <w:spacing w:beforeLines="50"/>
              <w:jc w:val="center"/>
              <w:rPr>
                <w:rFonts w:ascii="宋体" w:hAnsi="宋体"/>
                <w:bCs/>
                <w:sz w:val="20"/>
                <w:szCs w:val="20"/>
                <w:highlight w:val="none"/>
              </w:rPr>
            </w:pPr>
            <w:r>
              <w:rPr>
                <w:rFonts w:hint="eastAsia" w:ascii="宋体" w:hAnsi="宋体"/>
                <w:bCs/>
                <w:sz w:val="20"/>
                <w:szCs w:val="20"/>
                <w:highlight w:val="none"/>
              </w:rPr>
              <w:t>25</w:t>
            </w:r>
          </w:p>
        </w:tc>
        <w:tc>
          <w:tcPr>
            <w:tcW w:w="2736" w:type="dxa"/>
            <w:vAlign w:val="center"/>
          </w:tcPr>
          <w:p>
            <w:pPr>
              <w:pStyle w:val="56"/>
              <w:spacing w:beforeLines="50"/>
              <w:ind w:firstLine="567"/>
              <w:jc w:val="left"/>
              <w:rPr>
                <w:rFonts w:ascii="宋体" w:hAnsi="宋体"/>
                <w:bCs/>
                <w:sz w:val="20"/>
                <w:szCs w:val="20"/>
                <w:highlight w:val="none"/>
              </w:rPr>
            </w:pPr>
            <w:r>
              <w:rPr>
                <w:rFonts w:hint="eastAsia" w:ascii="宋体" w:hAnsi="宋体"/>
                <w:bCs/>
                <w:sz w:val="20"/>
                <w:szCs w:val="20"/>
                <w:highlight w:val="none"/>
              </w:rPr>
              <w:t>甲醛</w:t>
            </w:r>
          </w:p>
        </w:tc>
        <w:tc>
          <w:tcPr>
            <w:tcW w:w="911" w:type="dxa"/>
            <w:vMerge w:val="continue"/>
            <w:vAlign w:val="center"/>
          </w:tcPr>
          <w:p>
            <w:pPr>
              <w:pStyle w:val="56"/>
              <w:spacing w:beforeLines="50"/>
              <w:ind w:firstLine="567"/>
              <w:jc w:val="center"/>
              <w:rPr>
                <w:rFonts w:ascii="宋体" w:hAnsi="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886" w:type="dxa"/>
            <w:vAlign w:val="center"/>
          </w:tcPr>
          <w:p>
            <w:pPr>
              <w:pStyle w:val="56"/>
              <w:spacing w:beforeLines="50"/>
              <w:jc w:val="center"/>
              <w:rPr>
                <w:rFonts w:ascii="宋体" w:hAnsi="宋体"/>
                <w:bCs/>
                <w:sz w:val="20"/>
                <w:szCs w:val="20"/>
                <w:highlight w:val="none"/>
              </w:rPr>
            </w:pPr>
            <w:r>
              <w:rPr>
                <w:rFonts w:hint="eastAsia" w:ascii="宋体" w:hAnsi="宋体"/>
                <w:bCs/>
                <w:sz w:val="20"/>
                <w:szCs w:val="20"/>
                <w:highlight w:val="none"/>
              </w:rPr>
              <w:t>6</w:t>
            </w:r>
          </w:p>
        </w:tc>
        <w:tc>
          <w:tcPr>
            <w:tcW w:w="2878"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氨氮NH</w:t>
            </w:r>
            <w:r>
              <w:rPr>
                <w:rFonts w:hint="eastAsia" w:ascii="宋体" w:hAnsi="宋体"/>
                <w:bCs/>
                <w:sz w:val="20"/>
                <w:szCs w:val="20"/>
                <w:highlight w:val="none"/>
                <w:vertAlign w:val="subscript"/>
              </w:rPr>
              <w:t>4</w:t>
            </w:r>
            <w:r>
              <w:rPr>
                <w:rFonts w:hint="eastAsia" w:ascii="宋体" w:hAnsi="宋体"/>
                <w:bCs/>
                <w:sz w:val="20"/>
                <w:szCs w:val="20"/>
                <w:highlight w:val="none"/>
                <w:vertAlign w:val="superscript"/>
              </w:rPr>
              <w:t>+</w:t>
            </w:r>
            <w:r>
              <w:rPr>
                <w:rFonts w:hint="eastAsia" w:ascii="宋体" w:hAnsi="宋体"/>
                <w:bCs/>
                <w:sz w:val="20"/>
                <w:szCs w:val="20"/>
                <w:highlight w:val="none"/>
              </w:rPr>
              <w:t>-N</w:t>
            </w:r>
          </w:p>
        </w:tc>
        <w:tc>
          <w:tcPr>
            <w:tcW w:w="1037" w:type="dxa"/>
            <w:vMerge w:val="continue"/>
            <w:vAlign w:val="center"/>
          </w:tcPr>
          <w:p>
            <w:pPr>
              <w:pStyle w:val="56"/>
              <w:spacing w:beforeLines="50"/>
              <w:ind w:firstLine="567"/>
              <w:jc w:val="center"/>
              <w:rPr>
                <w:rFonts w:ascii="宋体" w:hAnsi="宋体"/>
                <w:bCs/>
                <w:sz w:val="20"/>
                <w:szCs w:val="20"/>
                <w:highlight w:val="none"/>
              </w:rPr>
            </w:pPr>
          </w:p>
        </w:tc>
        <w:tc>
          <w:tcPr>
            <w:tcW w:w="750" w:type="dxa"/>
            <w:vAlign w:val="center"/>
          </w:tcPr>
          <w:p>
            <w:pPr>
              <w:pStyle w:val="56"/>
              <w:spacing w:beforeLines="50"/>
              <w:jc w:val="center"/>
              <w:rPr>
                <w:rFonts w:ascii="宋体" w:hAnsi="宋体"/>
                <w:bCs/>
                <w:sz w:val="20"/>
                <w:szCs w:val="20"/>
                <w:highlight w:val="none"/>
              </w:rPr>
            </w:pPr>
            <w:r>
              <w:rPr>
                <w:rFonts w:hint="eastAsia" w:ascii="宋体" w:hAnsi="宋体"/>
                <w:bCs/>
                <w:sz w:val="20"/>
                <w:szCs w:val="20"/>
                <w:highlight w:val="none"/>
              </w:rPr>
              <w:t>26</w:t>
            </w:r>
          </w:p>
        </w:tc>
        <w:tc>
          <w:tcPr>
            <w:tcW w:w="2736" w:type="dxa"/>
            <w:vAlign w:val="center"/>
          </w:tcPr>
          <w:p>
            <w:pPr>
              <w:pStyle w:val="56"/>
              <w:spacing w:beforeLines="50"/>
              <w:ind w:firstLine="567"/>
              <w:jc w:val="left"/>
              <w:rPr>
                <w:rFonts w:ascii="宋体" w:hAnsi="宋体"/>
                <w:bCs/>
                <w:sz w:val="20"/>
                <w:szCs w:val="20"/>
                <w:highlight w:val="none"/>
              </w:rPr>
            </w:pPr>
            <w:r>
              <w:rPr>
                <w:rFonts w:hint="eastAsia" w:ascii="宋体" w:hAnsi="宋体"/>
                <w:bCs/>
                <w:sz w:val="20"/>
                <w:szCs w:val="20"/>
                <w:highlight w:val="none"/>
              </w:rPr>
              <w:t>苯胺</w:t>
            </w:r>
          </w:p>
        </w:tc>
        <w:tc>
          <w:tcPr>
            <w:tcW w:w="911" w:type="dxa"/>
            <w:vMerge w:val="restart"/>
            <w:vAlign w:val="center"/>
          </w:tcPr>
          <w:p>
            <w:pPr>
              <w:pStyle w:val="56"/>
              <w:spacing w:beforeLines="50"/>
              <w:jc w:val="center"/>
              <w:rPr>
                <w:rFonts w:ascii="宋体" w:hAnsi="宋体"/>
                <w:bCs/>
                <w:sz w:val="20"/>
                <w:szCs w:val="20"/>
                <w:highlight w:val="none"/>
              </w:rPr>
            </w:pPr>
            <w:r>
              <w:rPr>
                <w:rFonts w:hint="eastAsia" w:ascii="宋体" w:hAnsi="宋体"/>
                <w:bCs/>
                <w:sz w:val="20"/>
                <w:szCs w:val="20"/>
                <w:highlight w:val="none"/>
              </w:rPr>
              <w:t>每</w:t>
            </w:r>
          </w:p>
          <w:p>
            <w:pPr>
              <w:pStyle w:val="56"/>
              <w:spacing w:beforeLines="50"/>
              <w:jc w:val="center"/>
              <w:rPr>
                <w:rFonts w:ascii="宋体" w:hAnsi="宋体"/>
                <w:bCs/>
                <w:sz w:val="20"/>
                <w:szCs w:val="20"/>
                <w:highlight w:val="none"/>
              </w:rPr>
            </w:pPr>
            <w:r>
              <w:rPr>
                <w:rFonts w:hint="eastAsia" w:ascii="宋体" w:hAnsi="宋体"/>
                <w:bCs/>
                <w:sz w:val="20"/>
                <w:szCs w:val="20"/>
                <w:highlight w:val="none"/>
              </w:rPr>
              <w:t>半</w:t>
            </w:r>
          </w:p>
          <w:p>
            <w:pPr>
              <w:pStyle w:val="56"/>
              <w:spacing w:beforeLines="50"/>
              <w:jc w:val="center"/>
              <w:rPr>
                <w:rFonts w:ascii="宋体" w:hAnsi="宋体"/>
                <w:bCs/>
                <w:sz w:val="20"/>
                <w:szCs w:val="20"/>
                <w:highlight w:val="none"/>
              </w:rPr>
            </w:pPr>
            <w:r>
              <w:rPr>
                <w:rFonts w:hint="eastAsia" w:ascii="宋体" w:hAnsi="宋体"/>
                <w:bCs/>
                <w:sz w:val="20"/>
                <w:szCs w:val="20"/>
                <w:highlight w:val="none"/>
              </w:rPr>
              <w:t>年</w:t>
            </w:r>
          </w:p>
          <w:p>
            <w:pPr>
              <w:pStyle w:val="56"/>
              <w:spacing w:beforeLines="50"/>
              <w:jc w:val="center"/>
              <w:rPr>
                <w:rFonts w:ascii="宋体" w:hAnsi="宋体"/>
                <w:bCs/>
                <w:sz w:val="20"/>
                <w:szCs w:val="20"/>
                <w:highlight w:val="none"/>
              </w:rPr>
            </w:pPr>
            <w:r>
              <w:rPr>
                <w:rFonts w:hint="eastAsia" w:ascii="宋体" w:hAnsi="宋体"/>
                <w:bCs/>
                <w:sz w:val="20"/>
                <w:szCs w:val="20"/>
                <w:highlight w:val="none"/>
              </w:rPr>
              <w:t>一</w:t>
            </w:r>
          </w:p>
          <w:p>
            <w:pPr>
              <w:pStyle w:val="56"/>
              <w:spacing w:beforeLines="50"/>
              <w:jc w:val="center"/>
              <w:rPr>
                <w:rFonts w:ascii="宋体" w:hAnsi="宋体"/>
                <w:bCs/>
                <w:sz w:val="20"/>
                <w:szCs w:val="20"/>
                <w:highlight w:val="none"/>
              </w:rPr>
            </w:pPr>
            <w:r>
              <w:rPr>
                <w:rFonts w:hint="eastAsia" w:ascii="宋体" w:hAnsi="宋体"/>
                <w:bCs/>
                <w:sz w:val="20"/>
                <w:szCs w:val="20"/>
                <w:highlight w:val="none"/>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886" w:type="dxa"/>
            <w:vAlign w:val="center"/>
          </w:tcPr>
          <w:p>
            <w:pPr>
              <w:pStyle w:val="56"/>
              <w:spacing w:beforeLines="50"/>
              <w:jc w:val="center"/>
              <w:rPr>
                <w:rFonts w:ascii="宋体" w:hAnsi="宋体"/>
                <w:bCs/>
                <w:sz w:val="20"/>
                <w:szCs w:val="20"/>
                <w:highlight w:val="none"/>
              </w:rPr>
            </w:pPr>
            <w:r>
              <w:rPr>
                <w:rFonts w:hint="eastAsia" w:ascii="宋体" w:hAnsi="宋体"/>
                <w:bCs/>
                <w:sz w:val="20"/>
                <w:szCs w:val="20"/>
                <w:highlight w:val="none"/>
              </w:rPr>
              <w:t>7</w:t>
            </w:r>
          </w:p>
        </w:tc>
        <w:tc>
          <w:tcPr>
            <w:tcW w:w="2878"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总磷TP</w:t>
            </w:r>
          </w:p>
        </w:tc>
        <w:tc>
          <w:tcPr>
            <w:tcW w:w="1037" w:type="dxa"/>
            <w:vMerge w:val="continue"/>
            <w:vAlign w:val="center"/>
          </w:tcPr>
          <w:p>
            <w:pPr>
              <w:pStyle w:val="56"/>
              <w:spacing w:beforeLines="50"/>
              <w:ind w:firstLine="567"/>
              <w:jc w:val="center"/>
              <w:rPr>
                <w:rFonts w:ascii="宋体" w:hAnsi="宋体"/>
                <w:bCs/>
                <w:sz w:val="20"/>
                <w:szCs w:val="20"/>
                <w:highlight w:val="none"/>
              </w:rPr>
            </w:pPr>
          </w:p>
        </w:tc>
        <w:tc>
          <w:tcPr>
            <w:tcW w:w="750" w:type="dxa"/>
            <w:vAlign w:val="center"/>
          </w:tcPr>
          <w:p>
            <w:pPr>
              <w:pStyle w:val="56"/>
              <w:spacing w:beforeLines="50"/>
              <w:jc w:val="center"/>
              <w:rPr>
                <w:rFonts w:ascii="宋体" w:hAnsi="宋体"/>
                <w:bCs/>
                <w:sz w:val="20"/>
                <w:szCs w:val="20"/>
                <w:highlight w:val="none"/>
              </w:rPr>
            </w:pPr>
            <w:r>
              <w:rPr>
                <w:rFonts w:hint="eastAsia" w:ascii="宋体" w:hAnsi="宋体"/>
                <w:bCs/>
                <w:sz w:val="20"/>
                <w:szCs w:val="20"/>
                <w:highlight w:val="none"/>
              </w:rPr>
              <w:t>27</w:t>
            </w:r>
          </w:p>
        </w:tc>
        <w:tc>
          <w:tcPr>
            <w:tcW w:w="2736" w:type="dxa"/>
            <w:vAlign w:val="center"/>
          </w:tcPr>
          <w:p>
            <w:pPr>
              <w:pStyle w:val="56"/>
              <w:spacing w:beforeLines="50"/>
              <w:ind w:firstLine="567"/>
              <w:jc w:val="left"/>
              <w:rPr>
                <w:rFonts w:ascii="宋体" w:hAnsi="宋体"/>
                <w:bCs/>
                <w:sz w:val="20"/>
                <w:szCs w:val="20"/>
                <w:highlight w:val="none"/>
              </w:rPr>
            </w:pPr>
            <w:r>
              <w:rPr>
                <w:rFonts w:hint="eastAsia" w:ascii="宋体" w:hAnsi="宋体"/>
                <w:bCs/>
                <w:sz w:val="20"/>
                <w:szCs w:val="20"/>
                <w:highlight w:val="none"/>
              </w:rPr>
              <w:t>六价铬</w:t>
            </w:r>
          </w:p>
        </w:tc>
        <w:tc>
          <w:tcPr>
            <w:tcW w:w="911" w:type="dxa"/>
            <w:vMerge w:val="continue"/>
            <w:vAlign w:val="center"/>
          </w:tcPr>
          <w:p>
            <w:pPr>
              <w:pStyle w:val="56"/>
              <w:spacing w:beforeLines="50"/>
              <w:ind w:firstLine="567"/>
              <w:rPr>
                <w:rFonts w:ascii="宋体" w:hAnsi="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886" w:type="dxa"/>
            <w:vAlign w:val="center"/>
          </w:tcPr>
          <w:p>
            <w:pPr>
              <w:pStyle w:val="56"/>
              <w:spacing w:beforeLines="50"/>
              <w:jc w:val="center"/>
              <w:rPr>
                <w:rFonts w:ascii="宋体" w:hAnsi="宋体"/>
                <w:bCs/>
                <w:sz w:val="20"/>
                <w:szCs w:val="20"/>
                <w:highlight w:val="none"/>
              </w:rPr>
            </w:pPr>
            <w:r>
              <w:rPr>
                <w:rFonts w:hint="eastAsia" w:ascii="宋体" w:hAnsi="宋体"/>
                <w:bCs/>
                <w:sz w:val="20"/>
                <w:szCs w:val="20"/>
                <w:highlight w:val="none"/>
              </w:rPr>
              <w:t>8</w:t>
            </w:r>
          </w:p>
        </w:tc>
        <w:tc>
          <w:tcPr>
            <w:tcW w:w="2878"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SV%</w:t>
            </w:r>
          </w:p>
        </w:tc>
        <w:tc>
          <w:tcPr>
            <w:tcW w:w="1037" w:type="dxa"/>
            <w:vMerge w:val="restart"/>
            <w:vAlign w:val="center"/>
          </w:tcPr>
          <w:p>
            <w:pPr>
              <w:pStyle w:val="56"/>
              <w:spacing w:beforeLines="50"/>
              <w:jc w:val="center"/>
              <w:rPr>
                <w:rFonts w:ascii="宋体" w:hAnsi="宋体"/>
                <w:bCs/>
                <w:sz w:val="20"/>
                <w:szCs w:val="20"/>
                <w:highlight w:val="none"/>
              </w:rPr>
            </w:pPr>
            <w:r>
              <w:rPr>
                <w:rFonts w:hint="eastAsia" w:ascii="宋体" w:hAnsi="宋体"/>
                <w:bCs/>
                <w:sz w:val="20"/>
                <w:szCs w:val="20"/>
                <w:highlight w:val="none"/>
              </w:rPr>
              <w:t>每</w:t>
            </w:r>
          </w:p>
          <w:p>
            <w:pPr>
              <w:pStyle w:val="56"/>
              <w:spacing w:beforeLines="50"/>
              <w:jc w:val="center"/>
              <w:rPr>
                <w:rFonts w:ascii="宋体" w:hAnsi="宋体"/>
                <w:bCs/>
                <w:sz w:val="20"/>
                <w:szCs w:val="20"/>
                <w:highlight w:val="none"/>
              </w:rPr>
            </w:pPr>
            <w:r>
              <w:rPr>
                <w:rFonts w:hint="eastAsia" w:ascii="宋体" w:hAnsi="宋体"/>
                <w:bCs/>
                <w:sz w:val="20"/>
                <w:szCs w:val="20"/>
                <w:highlight w:val="none"/>
              </w:rPr>
              <w:t>周</w:t>
            </w:r>
          </w:p>
          <w:p>
            <w:pPr>
              <w:pStyle w:val="56"/>
              <w:spacing w:beforeLines="50"/>
              <w:jc w:val="center"/>
              <w:rPr>
                <w:rFonts w:ascii="宋体" w:hAnsi="宋体"/>
                <w:bCs/>
                <w:sz w:val="20"/>
                <w:szCs w:val="20"/>
                <w:highlight w:val="none"/>
              </w:rPr>
            </w:pPr>
            <w:r>
              <w:rPr>
                <w:rFonts w:hint="eastAsia" w:ascii="宋体" w:hAnsi="宋体"/>
                <w:bCs/>
                <w:sz w:val="20"/>
                <w:szCs w:val="20"/>
                <w:highlight w:val="none"/>
              </w:rPr>
              <w:t>一</w:t>
            </w:r>
          </w:p>
          <w:p>
            <w:pPr>
              <w:pStyle w:val="56"/>
              <w:spacing w:beforeLines="50"/>
              <w:jc w:val="center"/>
              <w:rPr>
                <w:rFonts w:ascii="宋体" w:hAnsi="宋体"/>
                <w:bCs/>
                <w:sz w:val="20"/>
                <w:szCs w:val="20"/>
                <w:highlight w:val="none"/>
              </w:rPr>
            </w:pPr>
            <w:r>
              <w:rPr>
                <w:rFonts w:hint="eastAsia" w:ascii="宋体" w:hAnsi="宋体"/>
                <w:bCs/>
                <w:sz w:val="20"/>
                <w:szCs w:val="20"/>
                <w:highlight w:val="none"/>
              </w:rPr>
              <w:t>次</w:t>
            </w:r>
          </w:p>
        </w:tc>
        <w:tc>
          <w:tcPr>
            <w:tcW w:w="750" w:type="dxa"/>
            <w:vAlign w:val="center"/>
          </w:tcPr>
          <w:p>
            <w:pPr>
              <w:pStyle w:val="56"/>
              <w:spacing w:beforeLines="50"/>
              <w:jc w:val="center"/>
              <w:rPr>
                <w:rFonts w:ascii="宋体" w:hAnsi="宋体"/>
                <w:bCs/>
                <w:sz w:val="20"/>
                <w:szCs w:val="20"/>
                <w:highlight w:val="none"/>
              </w:rPr>
            </w:pPr>
            <w:r>
              <w:rPr>
                <w:rFonts w:hint="eastAsia" w:ascii="宋体" w:hAnsi="宋体"/>
                <w:bCs/>
                <w:sz w:val="20"/>
                <w:szCs w:val="20"/>
                <w:highlight w:val="none"/>
              </w:rPr>
              <w:t>28</w:t>
            </w:r>
          </w:p>
        </w:tc>
        <w:tc>
          <w:tcPr>
            <w:tcW w:w="2736" w:type="dxa"/>
            <w:vAlign w:val="center"/>
          </w:tcPr>
          <w:p>
            <w:pPr>
              <w:pStyle w:val="56"/>
              <w:spacing w:beforeLines="50"/>
              <w:ind w:firstLine="567"/>
              <w:jc w:val="left"/>
              <w:rPr>
                <w:rFonts w:ascii="宋体" w:hAnsi="宋体"/>
                <w:bCs/>
                <w:sz w:val="20"/>
                <w:szCs w:val="20"/>
                <w:highlight w:val="none"/>
              </w:rPr>
            </w:pPr>
            <w:r>
              <w:rPr>
                <w:rFonts w:hint="eastAsia" w:ascii="宋体" w:hAnsi="宋体"/>
                <w:bCs/>
                <w:sz w:val="20"/>
                <w:szCs w:val="20"/>
                <w:highlight w:val="none"/>
              </w:rPr>
              <w:t>总汞</w:t>
            </w:r>
          </w:p>
        </w:tc>
        <w:tc>
          <w:tcPr>
            <w:tcW w:w="911" w:type="dxa"/>
            <w:vMerge w:val="continue"/>
            <w:vAlign w:val="center"/>
          </w:tcPr>
          <w:p>
            <w:pPr>
              <w:pStyle w:val="56"/>
              <w:spacing w:beforeLines="50"/>
              <w:ind w:firstLine="567"/>
              <w:rPr>
                <w:rFonts w:ascii="宋体" w:hAnsi="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886" w:type="dxa"/>
            <w:vAlign w:val="center"/>
          </w:tcPr>
          <w:p>
            <w:pPr>
              <w:pStyle w:val="56"/>
              <w:spacing w:beforeLines="50"/>
              <w:jc w:val="center"/>
              <w:rPr>
                <w:rFonts w:ascii="宋体" w:hAnsi="宋体"/>
                <w:bCs/>
                <w:sz w:val="20"/>
                <w:szCs w:val="20"/>
                <w:highlight w:val="none"/>
              </w:rPr>
            </w:pPr>
            <w:r>
              <w:rPr>
                <w:rFonts w:hint="eastAsia" w:ascii="宋体" w:hAnsi="宋体"/>
                <w:bCs/>
                <w:sz w:val="20"/>
                <w:szCs w:val="20"/>
                <w:highlight w:val="none"/>
              </w:rPr>
              <w:t>9</w:t>
            </w:r>
          </w:p>
        </w:tc>
        <w:tc>
          <w:tcPr>
            <w:tcW w:w="2878"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MLSS</w:t>
            </w:r>
          </w:p>
        </w:tc>
        <w:tc>
          <w:tcPr>
            <w:tcW w:w="1037" w:type="dxa"/>
            <w:vMerge w:val="continue"/>
            <w:vAlign w:val="center"/>
          </w:tcPr>
          <w:p>
            <w:pPr>
              <w:pStyle w:val="56"/>
              <w:spacing w:beforeLines="50"/>
              <w:ind w:firstLine="567"/>
              <w:rPr>
                <w:rFonts w:ascii="宋体" w:hAnsi="宋体"/>
                <w:bCs/>
                <w:sz w:val="20"/>
                <w:szCs w:val="20"/>
                <w:highlight w:val="none"/>
              </w:rPr>
            </w:pPr>
          </w:p>
        </w:tc>
        <w:tc>
          <w:tcPr>
            <w:tcW w:w="750" w:type="dxa"/>
            <w:vAlign w:val="center"/>
          </w:tcPr>
          <w:p>
            <w:pPr>
              <w:pStyle w:val="56"/>
              <w:spacing w:beforeLines="50"/>
              <w:jc w:val="center"/>
              <w:rPr>
                <w:rFonts w:ascii="宋体" w:hAnsi="宋体"/>
                <w:bCs/>
                <w:sz w:val="20"/>
                <w:szCs w:val="20"/>
                <w:highlight w:val="none"/>
              </w:rPr>
            </w:pPr>
            <w:r>
              <w:rPr>
                <w:rFonts w:hint="eastAsia" w:ascii="宋体" w:hAnsi="宋体"/>
                <w:bCs/>
                <w:sz w:val="20"/>
                <w:szCs w:val="20"/>
                <w:highlight w:val="none"/>
              </w:rPr>
              <w:t>29</w:t>
            </w:r>
          </w:p>
        </w:tc>
        <w:tc>
          <w:tcPr>
            <w:tcW w:w="2736" w:type="dxa"/>
            <w:vAlign w:val="center"/>
          </w:tcPr>
          <w:p>
            <w:pPr>
              <w:pStyle w:val="56"/>
              <w:spacing w:beforeLines="50"/>
              <w:ind w:firstLine="567"/>
              <w:jc w:val="left"/>
              <w:rPr>
                <w:rFonts w:ascii="宋体" w:hAnsi="宋体"/>
                <w:bCs/>
                <w:sz w:val="20"/>
                <w:szCs w:val="20"/>
                <w:highlight w:val="none"/>
              </w:rPr>
            </w:pPr>
            <w:r>
              <w:rPr>
                <w:rFonts w:hint="eastAsia" w:ascii="宋体" w:hAnsi="宋体"/>
                <w:bCs/>
                <w:sz w:val="20"/>
                <w:szCs w:val="20"/>
                <w:highlight w:val="none"/>
              </w:rPr>
              <w:t>烷基汞</w:t>
            </w:r>
          </w:p>
        </w:tc>
        <w:tc>
          <w:tcPr>
            <w:tcW w:w="911" w:type="dxa"/>
            <w:vMerge w:val="continue"/>
            <w:vAlign w:val="center"/>
          </w:tcPr>
          <w:p>
            <w:pPr>
              <w:pStyle w:val="56"/>
              <w:spacing w:beforeLines="50"/>
              <w:ind w:firstLine="567"/>
              <w:rPr>
                <w:rFonts w:ascii="宋体" w:hAnsi="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886" w:type="dxa"/>
            <w:vAlign w:val="center"/>
          </w:tcPr>
          <w:p>
            <w:pPr>
              <w:pStyle w:val="56"/>
              <w:spacing w:beforeLines="50"/>
              <w:jc w:val="center"/>
              <w:rPr>
                <w:rFonts w:ascii="宋体" w:hAnsi="宋体"/>
                <w:bCs/>
                <w:sz w:val="20"/>
                <w:szCs w:val="20"/>
                <w:highlight w:val="none"/>
              </w:rPr>
            </w:pPr>
            <w:r>
              <w:rPr>
                <w:rFonts w:hint="eastAsia" w:ascii="宋体" w:hAnsi="宋体"/>
                <w:bCs/>
                <w:sz w:val="20"/>
                <w:szCs w:val="20"/>
                <w:highlight w:val="none"/>
              </w:rPr>
              <w:t>10</w:t>
            </w:r>
          </w:p>
        </w:tc>
        <w:tc>
          <w:tcPr>
            <w:tcW w:w="2878"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溶解氧</w:t>
            </w:r>
          </w:p>
        </w:tc>
        <w:tc>
          <w:tcPr>
            <w:tcW w:w="1037" w:type="dxa"/>
            <w:vMerge w:val="continue"/>
            <w:vAlign w:val="center"/>
          </w:tcPr>
          <w:p>
            <w:pPr>
              <w:pStyle w:val="56"/>
              <w:spacing w:beforeLines="50"/>
              <w:ind w:firstLine="567"/>
              <w:rPr>
                <w:rFonts w:ascii="宋体" w:hAnsi="宋体"/>
                <w:bCs/>
                <w:sz w:val="20"/>
                <w:szCs w:val="20"/>
                <w:highlight w:val="none"/>
              </w:rPr>
            </w:pPr>
          </w:p>
        </w:tc>
        <w:tc>
          <w:tcPr>
            <w:tcW w:w="750" w:type="dxa"/>
            <w:vAlign w:val="center"/>
          </w:tcPr>
          <w:p>
            <w:pPr>
              <w:pStyle w:val="56"/>
              <w:spacing w:beforeLines="50"/>
              <w:jc w:val="center"/>
              <w:rPr>
                <w:rFonts w:ascii="宋体" w:hAnsi="宋体"/>
                <w:bCs/>
                <w:sz w:val="20"/>
                <w:szCs w:val="20"/>
                <w:highlight w:val="none"/>
              </w:rPr>
            </w:pPr>
            <w:r>
              <w:rPr>
                <w:rFonts w:hint="eastAsia" w:ascii="宋体" w:hAnsi="宋体"/>
                <w:bCs/>
                <w:sz w:val="20"/>
                <w:szCs w:val="20"/>
                <w:highlight w:val="none"/>
              </w:rPr>
              <w:t>30</w:t>
            </w:r>
          </w:p>
        </w:tc>
        <w:tc>
          <w:tcPr>
            <w:tcW w:w="2736" w:type="dxa"/>
            <w:vAlign w:val="center"/>
          </w:tcPr>
          <w:p>
            <w:pPr>
              <w:pStyle w:val="56"/>
              <w:spacing w:beforeLines="50"/>
              <w:ind w:firstLine="567"/>
              <w:jc w:val="left"/>
              <w:rPr>
                <w:rFonts w:ascii="宋体" w:hAnsi="宋体"/>
                <w:bCs/>
                <w:sz w:val="20"/>
                <w:szCs w:val="20"/>
                <w:highlight w:val="none"/>
              </w:rPr>
            </w:pPr>
            <w:r>
              <w:rPr>
                <w:rFonts w:hint="eastAsia" w:ascii="宋体" w:hAnsi="宋体"/>
                <w:bCs/>
                <w:sz w:val="20"/>
                <w:szCs w:val="20"/>
                <w:highlight w:val="none"/>
              </w:rPr>
              <w:t>总镉</w:t>
            </w:r>
          </w:p>
        </w:tc>
        <w:tc>
          <w:tcPr>
            <w:tcW w:w="911" w:type="dxa"/>
            <w:vMerge w:val="continue"/>
            <w:vAlign w:val="center"/>
          </w:tcPr>
          <w:p>
            <w:pPr>
              <w:pStyle w:val="56"/>
              <w:spacing w:beforeLines="50"/>
              <w:ind w:firstLine="567"/>
              <w:rPr>
                <w:rFonts w:ascii="宋体" w:hAnsi="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886" w:type="dxa"/>
            <w:vAlign w:val="center"/>
          </w:tcPr>
          <w:p>
            <w:pPr>
              <w:pStyle w:val="56"/>
              <w:spacing w:beforeLines="50"/>
              <w:jc w:val="center"/>
              <w:rPr>
                <w:rFonts w:ascii="宋体" w:hAnsi="宋体"/>
                <w:bCs/>
                <w:sz w:val="20"/>
                <w:szCs w:val="20"/>
                <w:highlight w:val="none"/>
              </w:rPr>
            </w:pPr>
            <w:r>
              <w:rPr>
                <w:rFonts w:hint="eastAsia" w:ascii="宋体" w:hAnsi="宋体"/>
                <w:bCs/>
                <w:sz w:val="20"/>
                <w:szCs w:val="20"/>
                <w:highlight w:val="none"/>
              </w:rPr>
              <w:t>11</w:t>
            </w:r>
          </w:p>
        </w:tc>
        <w:tc>
          <w:tcPr>
            <w:tcW w:w="2878"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硝酸盐氮（亚硝酸盐氮）</w:t>
            </w:r>
          </w:p>
        </w:tc>
        <w:tc>
          <w:tcPr>
            <w:tcW w:w="1037" w:type="dxa"/>
            <w:vMerge w:val="continue"/>
            <w:vAlign w:val="center"/>
          </w:tcPr>
          <w:p>
            <w:pPr>
              <w:pStyle w:val="56"/>
              <w:spacing w:beforeLines="50"/>
              <w:ind w:firstLine="567"/>
              <w:rPr>
                <w:rFonts w:ascii="宋体" w:hAnsi="宋体"/>
                <w:bCs/>
                <w:sz w:val="20"/>
                <w:szCs w:val="20"/>
                <w:highlight w:val="none"/>
              </w:rPr>
            </w:pPr>
          </w:p>
        </w:tc>
        <w:tc>
          <w:tcPr>
            <w:tcW w:w="750" w:type="dxa"/>
            <w:vAlign w:val="center"/>
          </w:tcPr>
          <w:p>
            <w:pPr>
              <w:pStyle w:val="56"/>
              <w:spacing w:beforeLines="50"/>
              <w:jc w:val="center"/>
              <w:rPr>
                <w:rFonts w:ascii="宋体" w:hAnsi="宋体"/>
                <w:bCs/>
                <w:sz w:val="20"/>
                <w:szCs w:val="20"/>
                <w:highlight w:val="none"/>
              </w:rPr>
            </w:pPr>
            <w:r>
              <w:rPr>
                <w:rFonts w:hint="eastAsia" w:ascii="宋体" w:hAnsi="宋体"/>
                <w:bCs/>
                <w:sz w:val="20"/>
                <w:szCs w:val="20"/>
                <w:highlight w:val="none"/>
              </w:rPr>
              <w:t>31</w:t>
            </w:r>
          </w:p>
        </w:tc>
        <w:tc>
          <w:tcPr>
            <w:tcW w:w="2736" w:type="dxa"/>
            <w:vAlign w:val="center"/>
          </w:tcPr>
          <w:p>
            <w:pPr>
              <w:pStyle w:val="56"/>
              <w:spacing w:beforeLines="50"/>
              <w:ind w:firstLine="567"/>
              <w:jc w:val="left"/>
              <w:rPr>
                <w:rFonts w:ascii="宋体" w:hAnsi="宋体"/>
                <w:bCs/>
                <w:sz w:val="20"/>
                <w:szCs w:val="20"/>
                <w:highlight w:val="none"/>
              </w:rPr>
            </w:pPr>
            <w:r>
              <w:rPr>
                <w:rFonts w:hint="eastAsia" w:ascii="宋体" w:hAnsi="宋体"/>
                <w:bCs/>
                <w:sz w:val="20"/>
                <w:szCs w:val="20"/>
                <w:highlight w:val="none"/>
              </w:rPr>
              <w:t>总铬</w:t>
            </w:r>
          </w:p>
        </w:tc>
        <w:tc>
          <w:tcPr>
            <w:tcW w:w="911" w:type="dxa"/>
            <w:vMerge w:val="continue"/>
            <w:vAlign w:val="center"/>
          </w:tcPr>
          <w:p>
            <w:pPr>
              <w:pStyle w:val="56"/>
              <w:spacing w:beforeLines="50"/>
              <w:ind w:firstLine="567"/>
              <w:rPr>
                <w:rFonts w:ascii="宋体" w:hAnsi="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886" w:type="dxa"/>
            <w:vAlign w:val="center"/>
          </w:tcPr>
          <w:p>
            <w:pPr>
              <w:pStyle w:val="56"/>
              <w:spacing w:beforeLines="50"/>
              <w:jc w:val="center"/>
              <w:rPr>
                <w:rFonts w:ascii="宋体" w:hAnsi="宋体"/>
                <w:bCs/>
                <w:sz w:val="20"/>
                <w:szCs w:val="20"/>
                <w:highlight w:val="none"/>
              </w:rPr>
            </w:pPr>
            <w:r>
              <w:rPr>
                <w:rFonts w:hint="eastAsia" w:ascii="宋体" w:hAnsi="宋体"/>
                <w:bCs/>
                <w:sz w:val="20"/>
                <w:szCs w:val="20"/>
                <w:highlight w:val="none"/>
              </w:rPr>
              <w:t>12</w:t>
            </w:r>
          </w:p>
        </w:tc>
        <w:tc>
          <w:tcPr>
            <w:tcW w:w="2878"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MLVSS</w:t>
            </w:r>
          </w:p>
        </w:tc>
        <w:tc>
          <w:tcPr>
            <w:tcW w:w="1037" w:type="dxa"/>
            <w:vMerge w:val="continue"/>
            <w:vAlign w:val="center"/>
          </w:tcPr>
          <w:p>
            <w:pPr>
              <w:pStyle w:val="56"/>
              <w:spacing w:beforeLines="50"/>
              <w:ind w:firstLine="567"/>
              <w:rPr>
                <w:rFonts w:ascii="宋体" w:hAnsi="宋体"/>
                <w:bCs/>
                <w:sz w:val="20"/>
                <w:szCs w:val="20"/>
                <w:highlight w:val="none"/>
              </w:rPr>
            </w:pPr>
          </w:p>
        </w:tc>
        <w:tc>
          <w:tcPr>
            <w:tcW w:w="750"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32</w:t>
            </w:r>
          </w:p>
        </w:tc>
        <w:tc>
          <w:tcPr>
            <w:tcW w:w="2736"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总砷</w:t>
            </w:r>
          </w:p>
        </w:tc>
        <w:tc>
          <w:tcPr>
            <w:tcW w:w="911" w:type="dxa"/>
            <w:vMerge w:val="continue"/>
            <w:vAlign w:val="center"/>
          </w:tcPr>
          <w:p>
            <w:pPr>
              <w:pStyle w:val="56"/>
              <w:spacing w:beforeLines="50"/>
              <w:ind w:firstLine="567"/>
              <w:rPr>
                <w:rFonts w:ascii="宋体" w:hAnsi="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886" w:type="dxa"/>
            <w:vAlign w:val="center"/>
          </w:tcPr>
          <w:p>
            <w:pPr>
              <w:pStyle w:val="56"/>
              <w:spacing w:beforeLines="50"/>
              <w:jc w:val="center"/>
              <w:rPr>
                <w:rFonts w:ascii="宋体" w:hAnsi="宋体"/>
                <w:bCs/>
                <w:sz w:val="20"/>
                <w:szCs w:val="20"/>
                <w:highlight w:val="none"/>
              </w:rPr>
            </w:pPr>
            <w:r>
              <w:rPr>
                <w:rFonts w:hint="eastAsia" w:ascii="宋体" w:hAnsi="宋体"/>
                <w:bCs/>
                <w:sz w:val="20"/>
                <w:szCs w:val="20"/>
                <w:highlight w:val="none"/>
              </w:rPr>
              <w:t>13</w:t>
            </w:r>
          </w:p>
        </w:tc>
        <w:tc>
          <w:tcPr>
            <w:tcW w:w="2878"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粪大肠菌群</w:t>
            </w:r>
          </w:p>
        </w:tc>
        <w:tc>
          <w:tcPr>
            <w:tcW w:w="1037" w:type="dxa"/>
            <w:vMerge w:val="continue"/>
            <w:vAlign w:val="center"/>
          </w:tcPr>
          <w:p>
            <w:pPr>
              <w:pStyle w:val="56"/>
              <w:spacing w:beforeLines="50"/>
              <w:ind w:firstLine="567"/>
              <w:rPr>
                <w:rFonts w:ascii="宋体" w:hAnsi="宋体"/>
                <w:bCs/>
                <w:sz w:val="20"/>
                <w:szCs w:val="20"/>
                <w:highlight w:val="none"/>
              </w:rPr>
            </w:pPr>
          </w:p>
        </w:tc>
        <w:tc>
          <w:tcPr>
            <w:tcW w:w="750"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33</w:t>
            </w:r>
          </w:p>
        </w:tc>
        <w:tc>
          <w:tcPr>
            <w:tcW w:w="2736"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总铅</w:t>
            </w:r>
          </w:p>
        </w:tc>
        <w:tc>
          <w:tcPr>
            <w:tcW w:w="911" w:type="dxa"/>
            <w:vMerge w:val="continue"/>
            <w:vAlign w:val="center"/>
          </w:tcPr>
          <w:p>
            <w:pPr>
              <w:pStyle w:val="56"/>
              <w:spacing w:beforeLines="50"/>
              <w:ind w:firstLine="567"/>
              <w:rPr>
                <w:rFonts w:ascii="宋体" w:hAnsi="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886" w:type="dxa"/>
            <w:vAlign w:val="center"/>
          </w:tcPr>
          <w:p>
            <w:pPr>
              <w:pStyle w:val="56"/>
              <w:spacing w:beforeLines="50"/>
              <w:jc w:val="center"/>
              <w:rPr>
                <w:rFonts w:ascii="宋体" w:hAnsi="宋体"/>
                <w:bCs/>
                <w:sz w:val="20"/>
                <w:szCs w:val="20"/>
                <w:highlight w:val="none"/>
              </w:rPr>
            </w:pPr>
            <w:r>
              <w:rPr>
                <w:rFonts w:hint="eastAsia" w:ascii="宋体" w:hAnsi="宋体"/>
                <w:bCs/>
                <w:sz w:val="20"/>
                <w:szCs w:val="20"/>
                <w:highlight w:val="none"/>
              </w:rPr>
              <w:t>14</w:t>
            </w:r>
          </w:p>
        </w:tc>
        <w:tc>
          <w:tcPr>
            <w:tcW w:w="2878"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总固体</w:t>
            </w:r>
          </w:p>
        </w:tc>
        <w:tc>
          <w:tcPr>
            <w:tcW w:w="1037" w:type="dxa"/>
            <w:vMerge w:val="continue"/>
            <w:vAlign w:val="center"/>
          </w:tcPr>
          <w:p>
            <w:pPr>
              <w:pStyle w:val="56"/>
              <w:spacing w:beforeLines="50"/>
              <w:ind w:firstLine="567"/>
              <w:rPr>
                <w:rFonts w:ascii="宋体" w:hAnsi="宋体"/>
                <w:bCs/>
                <w:sz w:val="20"/>
                <w:szCs w:val="20"/>
                <w:highlight w:val="none"/>
              </w:rPr>
            </w:pPr>
          </w:p>
        </w:tc>
        <w:tc>
          <w:tcPr>
            <w:tcW w:w="750"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34</w:t>
            </w:r>
          </w:p>
        </w:tc>
        <w:tc>
          <w:tcPr>
            <w:tcW w:w="2736"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总镍</w:t>
            </w:r>
          </w:p>
        </w:tc>
        <w:tc>
          <w:tcPr>
            <w:tcW w:w="911" w:type="dxa"/>
            <w:vMerge w:val="continue"/>
            <w:vAlign w:val="center"/>
          </w:tcPr>
          <w:p>
            <w:pPr>
              <w:pStyle w:val="56"/>
              <w:spacing w:beforeLines="50"/>
              <w:ind w:firstLine="567"/>
              <w:rPr>
                <w:rFonts w:ascii="宋体" w:hAnsi="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886" w:type="dxa"/>
            <w:vAlign w:val="center"/>
          </w:tcPr>
          <w:p>
            <w:pPr>
              <w:pStyle w:val="56"/>
              <w:spacing w:beforeLines="50"/>
              <w:jc w:val="center"/>
              <w:rPr>
                <w:rFonts w:ascii="宋体" w:hAnsi="宋体"/>
                <w:bCs/>
                <w:sz w:val="20"/>
                <w:szCs w:val="20"/>
                <w:highlight w:val="none"/>
              </w:rPr>
            </w:pPr>
            <w:r>
              <w:rPr>
                <w:rFonts w:hint="eastAsia" w:ascii="宋体" w:hAnsi="宋体"/>
                <w:bCs/>
                <w:sz w:val="20"/>
                <w:szCs w:val="20"/>
                <w:highlight w:val="none"/>
              </w:rPr>
              <w:t>15</w:t>
            </w:r>
          </w:p>
        </w:tc>
        <w:tc>
          <w:tcPr>
            <w:tcW w:w="2878"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溶解性固体</w:t>
            </w:r>
          </w:p>
        </w:tc>
        <w:tc>
          <w:tcPr>
            <w:tcW w:w="1037" w:type="dxa"/>
            <w:vMerge w:val="continue"/>
            <w:vAlign w:val="center"/>
          </w:tcPr>
          <w:p>
            <w:pPr>
              <w:pStyle w:val="56"/>
              <w:spacing w:beforeLines="50"/>
              <w:ind w:firstLine="567"/>
              <w:rPr>
                <w:rFonts w:ascii="宋体" w:hAnsi="宋体"/>
                <w:bCs/>
                <w:sz w:val="20"/>
                <w:szCs w:val="20"/>
                <w:highlight w:val="none"/>
              </w:rPr>
            </w:pPr>
          </w:p>
        </w:tc>
        <w:tc>
          <w:tcPr>
            <w:tcW w:w="750"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35</w:t>
            </w:r>
          </w:p>
        </w:tc>
        <w:tc>
          <w:tcPr>
            <w:tcW w:w="2736"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总铜</w:t>
            </w:r>
          </w:p>
        </w:tc>
        <w:tc>
          <w:tcPr>
            <w:tcW w:w="911" w:type="dxa"/>
            <w:vMerge w:val="continue"/>
            <w:vAlign w:val="center"/>
          </w:tcPr>
          <w:p>
            <w:pPr>
              <w:pStyle w:val="56"/>
              <w:spacing w:beforeLines="50"/>
              <w:ind w:firstLine="567"/>
              <w:rPr>
                <w:rFonts w:ascii="宋体" w:hAnsi="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886" w:type="dxa"/>
            <w:vAlign w:val="center"/>
          </w:tcPr>
          <w:p>
            <w:pPr>
              <w:pStyle w:val="56"/>
              <w:spacing w:beforeLines="50"/>
              <w:jc w:val="center"/>
              <w:rPr>
                <w:rFonts w:ascii="宋体" w:hAnsi="宋体"/>
                <w:bCs/>
                <w:sz w:val="20"/>
                <w:szCs w:val="20"/>
                <w:highlight w:val="none"/>
              </w:rPr>
            </w:pPr>
            <w:r>
              <w:rPr>
                <w:rFonts w:hint="eastAsia" w:ascii="宋体" w:hAnsi="宋体"/>
                <w:bCs/>
                <w:sz w:val="20"/>
                <w:szCs w:val="20"/>
                <w:highlight w:val="none"/>
              </w:rPr>
              <w:t>16</w:t>
            </w:r>
          </w:p>
        </w:tc>
        <w:tc>
          <w:tcPr>
            <w:tcW w:w="2878"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TOC</w:t>
            </w:r>
          </w:p>
        </w:tc>
        <w:tc>
          <w:tcPr>
            <w:tcW w:w="1037" w:type="dxa"/>
            <w:vMerge w:val="restart"/>
            <w:vAlign w:val="center"/>
          </w:tcPr>
          <w:p>
            <w:pPr>
              <w:pStyle w:val="56"/>
              <w:spacing w:beforeLines="50"/>
              <w:jc w:val="center"/>
              <w:rPr>
                <w:rFonts w:ascii="宋体" w:hAnsi="宋体"/>
                <w:bCs/>
                <w:sz w:val="20"/>
                <w:szCs w:val="20"/>
                <w:highlight w:val="none"/>
              </w:rPr>
            </w:pPr>
            <w:r>
              <w:rPr>
                <w:rFonts w:hint="eastAsia" w:ascii="宋体" w:hAnsi="宋体"/>
                <w:bCs/>
                <w:sz w:val="20"/>
                <w:szCs w:val="20"/>
                <w:highlight w:val="none"/>
              </w:rPr>
              <w:t>每</w:t>
            </w:r>
          </w:p>
          <w:p>
            <w:pPr>
              <w:pStyle w:val="56"/>
              <w:spacing w:beforeLines="50"/>
              <w:jc w:val="center"/>
              <w:rPr>
                <w:rFonts w:ascii="宋体" w:hAnsi="宋体"/>
                <w:bCs/>
                <w:sz w:val="20"/>
                <w:szCs w:val="20"/>
                <w:highlight w:val="none"/>
              </w:rPr>
            </w:pPr>
            <w:r>
              <w:rPr>
                <w:rFonts w:hint="eastAsia" w:ascii="宋体" w:hAnsi="宋体"/>
                <w:bCs/>
                <w:sz w:val="20"/>
                <w:szCs w:val="20"/>
                <w:highlight w:val="none"/>
              </w:rPr>
              <w:t>月</w:t>
            </w:r>
          </w:p>
          <w:p>
            <w:pPr>
              <w:pStyle w:val="56"/>
              <w:spacing w:beforeLines="50"/>
              <w:jc w:val="center"/>
              <w:rPr>
                <w:rFonts w:ascii="宋体" w:hAnsi="宋体"/>
                <w:bCs/>
                <w:sz w:val="20"/>
                <w:szCs w:val="20"/>
                <w:highlight w:val="none"/>
              </w:rPr>
            </w:pPr>
            <w:r>
              <w:rPr>
                <w:rFonts w:hint="eastAsia" w:ascii="宋体" w:hAnsi="宋体"/>
                <w:bCs/>
                <w:sz w:val="20"/>
                <w:szCs w:val="20"/>
                <w:highlight w:val="none"/>
              </w:rPr>
              <w:t>一</w:t>
            </w:r>
          </w:p>
          <w:p>
            <w:pPr>
              <w:pStyle w:val="56"/>
              <w:spacing w:beforeLines="50"/>
              <w:jc w:val="center"/>
              <w:rPr>
                <w:rFonts w:ascii="宋体" w:hAnsi="宋体"/>
                <w:bCs/>
                <w:sz w:val="20"/>
                <w:szCs w:val="20"/>
                <w:highlight w:val="none"/>
              </w:rPr>
            </w:pPr>
            <w:r>
              <w:rPr>
                <w:rFonts w:hint="eastAsia" w:ascii="宋体" w:hAnsi="宋体"/>
                <w:bCs/>
                <w:sz w:val="20"/>
                <w:szCs w:val="20"/>
                <w:highlight w:val="none"/>
              </w:rPr>
              <w:t>次</w:t>
            </w:r>
          </w:p>
        </w:tc>
        <w:tc>
          <w:tcPr>
            <w:tcW w:w="750"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36</w:t>
            </w:r>
          </w:p>
        </w:tc>
        <w:tc>
          <w:tcPr>
            <w:tcW w:w="2736"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总锌</w:t>
            </w:r>
          </w:p>
        </w:tc>
        <w:tc>
          <w:tcPr>
            <w:tcW w:w="911" w:type="dxa"/>
            <w:vMerge w:val="continue"/>
            <w:vAlign w:val="center"/>
          </w:tcPr>
          <w:p>
            <w:pPr>
              <w:pStyle w:val="56"/>
              <w:spacing w:beforeLines="50"/>
              <w:ind w:firstLine="567"/>
              <w:rPr>
                <w:rFonts w:ascii="宋体" w:hAnsi="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886" w:type="dxa"/>
            <w:vAlign w:val="center"/>
          </w:tcPr>
          <w:p>
            <w:pPr>
              <w:pStyle w:val="56"/>
              <w:spacing w:beforeLines="50"/>
              <w:jc w:val="center"/>
              <w:rPr>
                <w:rFonts w:ascii="宋体" w:hAnsi="宋体"/>
                <w:bCs/>
                <w:sz w:val="20"/>
                <w:szCs w:val="20"/>
                <w:highlight w:val="none"/>
              </w:rPr>
            </w:pPr>
            <w:r>
              <w:rPr>
                <w:rFonts w:hint="eastAsia" w:ascii="宋体" w:hAnsi="宋体"/>
                <w:bCs/>
                <w:sz w:val="20"/>
                <w:szCs w:val="20"/>
                <w:highlight w:val="none"/>
              </w:rPr>
              <w:t>17</w:t>
            </w:r>
          </w:p>
        </w:tc>
        <w:tc>
          <w:tcPr>
            <w:tcW w:w="2878"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硫化物</w:t>
            </w:r>
          </w:p>
        </w:tc>
        <w:tc>
          <w:tcPr>
            <w:tcW w:w="1037" w:type="dxa"/>
            <w:vMerge w:val="continue"/>
            <w:vAlign w:val="center"/>
          </w:tcPr>
          <w:p>
            <w:pPr>
              <w:pStyle w:val="56"/>
              <w:spacing w:beforeLines="50"/>
              <w:ind w:firstLine="567"/>
              <w:rPr>
                <w:rFonts w:ascii="宋体" w:hAnsi="宋体"/>
                <w:bCs/>
                <w:sz w:val="20"/>
                <w:szCs w:val="20"/>
                <w:highlight w:val="none"/>
              </w:rPr>
            </w:pPr>
          </w:p>
        </w:tc>
        <w:tc>
          <w:tcPr>
            <w:tcW w:w="750"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37</w:t>
            </w:r>
          </w:p>
        </w:tc>
        <w:tc>
          <w:tcPr>
            <w:tcW w:w="2736"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有机磷农药</w:t>
            </w:r>
          </w:p>
        </w:tc>
        <w:tc>
          <w:tcPr>
            <w:tcW w:w="911" w:type="dxa"/>
            <w:vMerge w:val="continue"/>
            <w:vAlign w:val="center"/>
          </w:tcPr>
          <w:p>
            <w:pPr>
              <w:pStyle w:val="56"/>
              <w:spacing w:beforeLines="50"/>
              <w:ind w:firstLine="567"/>
              <w:rPr>
                <w:rFonts w:ascii="宋体" w:hAnsi="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886" w:type="dxa"/>
            <w:vAlign w:val="center"/>
          </w:tcPr>
          <w:p>
            <w:pPr>
              <w:pStyle w:val="56"/>
              <w:spacing w:beforeLines="50"/>
              <w:jc w:val="center"/>
              <w:rPr>
                <w:rFonts w:ascii="宋体" w:hAnsi="宋体"/>
                <w:bCs/>
                <w:sz w:val="20"/>
                <w:szCs w:val="20"/>
                <w:highlight w:val="none"/>
              </w:rPr>
            </w:pPr>
            <w:r>
              <w:rPr>
                <w:rFonts w:hint="eastAsia" w:ascii="宋体" w:hAnsi="宋体"/>
                <w:bCs/>
                <w:sz w:val="20"/>
                <w:szCs w:val="20"/>
                <w:highlight w:val="none"/>
              </w:rPr>
              <w:t>18</w:t>
            </w:r>
          </w:p>
        </w:tc>
        <w:tc>
          <w:tcPr>
            <w:tcW w:w="2878"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氰化物</w:t>
            </w:r>
          </w:p>
        </w:tc>
        <w:tc>
          <w:tcPr>
            <w:tcW w:w="1037" w:type="dxa"/>
            <w:vMerge w:val="continue"/>
            <w:vAlign w:val="center"/>
          </w:tcPr>
          <w:p>
            <w:pPr>
              <w:pStyle w:val="56"/>
              <w:spacing w:beforeLines="50"/>
              <w:ind w:firstLine="567"/>
              <w:rPr>
                <w:rFonts w:ascii="宋体" w:hAnsi="宋体"/>
                <w:bCs/>
                <w:sz w:val="20"/>
                <w:szCs w:val="20"/>
                <w:highlight w:val="none"/>
              </w:rPr>
            </w:pPr>
          </w:p>
        </w:tc>
        <w:tc>
          <w:tcPr>
            <w:tcW w:w="750"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38</w:t>
            </w:r>
          </w:p>
        </w:tc>
        <w:tc>
          <w:tcPr>
            <w:tcW w:w="2736"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有机氯化物</w:t>
            </w:r>
          </w:p>
        </w:tc>
        <w:tc>
          <w:tcPr>
            <w:tcW w:w="911" w:type="dxa"/>
            <w:vMerge w:val="continue"/>
            <w:vAlign w:val="center"/>
          </w:tcPr>
          <w:p>
            <w:pPr>
              <w:pStyle w:val="56"/>
              <w:spacing w:beforeLines="50"/>
              <w:ind w:firstLine="567"/>
              <w:rPr>
                <w:rFonts w:ascii="宋体" w:hAnsi="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886" w:type="dxa"/>
            <w:vAlign w:val="center"/>
          </w:tcPr>
          <w:p>
            <w:pPr>
              <w:pStyle w:val="56"/>
              <w:spacing w:beforeLines="50"/>
              <w:jc w:val="center"/>
              <w:rPr>
                <w:rFonts w:ascii="宋体" w:hAnsi="宋体"/>
                <w:bCs/>
                <w:sz w:val="20"/>
                <w:szCs w:val="20"/>
                <w:highlight w:val="none"/>
              </w:rPr>
            </w:pPr>
            <w:r>
              <w:rPr>
                <w:rFonts w:hint="eastAsia" w:ascii="宋体" w:hAnsi="宋体"/>
                <w:bCs/>
                <w:sz w:val="20"/>
                <w:szCs w:val="20"/>
                <w:highlight w:val="none"/>
              </w:rPr>
              <w:t>19</w:t>
            </w:r>
          </w:p>
        </w:tc>
        <w:tc>
          <w:tcPr>
            <w:tcW w:w="2878"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氯化物</w:t>
            </w:r>
          </w:p>
        </w:tc>
        <w:tc>
          <w:tcPr>
            <w:tcW w:w="1037" w:type="dxa"/>
            <w:vMerge w:val="continue"/>
            <w:vAlign w:val="center"/>
          </w:tcPr>
          <w:p>
            <w:pPr>
              <w:pStyle w:val="56"/>
              <w:spacing w:beforeLines="50"/>
              <w:ind w:firstLine="567"/>
              <w:rPr>
                <w:rFonts w:ascii="宋体" w:hAnsi="宋体"/>
                <w:bCs/>
                <w:sz w:val="20"/>
                <w:szCs w:val="20"/>
                <w:highlight w:val="none"/>
              </w:rPr>
            </w:pPr>
          </w:p>
        </w:tc>
        <w:tc>
          <w:tcPr>
            <w:tcW w:w="750"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39</w:t>
            </w:r>
          </w:p>
        </w:tc>
        <w:tc>
          <w:tcPr>
            <w:tcW w:w="2736"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苯酚及挥发酚</w:t>
            </w:r>
          </w:p>
        </w:tc>
        <w:tc>
          <w:tcPr>
            <w:tcW w:w="911" w:type="dxa"/>
            <w:vMerge w:val="continue"/>
            <w:vAlign w:val="center"/>
          </w:tcPr>
          <w:p>
            <w:pPr>
              <w:pStyle w:val="56"/>
              <w:spacing w:beforeLines="50"/>
              <w:ind w:firstLine="567"/>
              <w:rPr>
                <w:rFonts w:ascii="宋体" w:hAnsi="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86" w:type="dxa"/>
            <w:vAlign w:val="center"/>
          </w:tcPr>
          <w:p>
            <w:pPr>
              <w:pStyle w:val="56"/>
              <w:spacing w:beforeLines="50"/>
              <w:jc w:val="center"/>
              <w:rPr>
                <w:rFonts w:ascii="宋体" w:hAnsi="宋体"/>
                <w:bCs/>
                <w:sz w:val="20"/>
                <w:szCs w:val="20"/>
                <w:highlight w:val="none"/>
              </w:rPr>
            </w:pPr>
            <w:r>
              <w:rPr>
                <w:rFonts w:hint="eastAsia" w:ascii="宋体" w:hAnsi="宋体"/>
                <w:bCs/>
                <w:sz w:val="20"/>
                <w:szCs w:val="20"/>
                <w:highlight w:val="none"/>
              </w:rPr>
              <w:t>20</w:t>
            </w:r>
          </w:p>
        </w:tc>
        <w:tc>
          <w:tcPr>
            <w:tcW w:w="2878"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氟化物</w:t>
            </w:r>
          </w:p>
        </w:tc>
        <w:tc>
          <w:tcPr>
            <w:tcW w:w="1037" w:type="dxa"/>
            <w:vMerge w:val="continue"/>
            <w:vAlign w:val="center"/>
          </w:tcPr>
          <w:p>
            <w:pPr>
              <w:pStyle w:val="56"/>
              <w:spacing w:beforeLines="50"/>
              <w:ind w:firstLine="567"/>
              <w:rPr>
                <w:rFonts w:ascii="宋体" w:hAnsi="宋体"/>
                <w:bCs/>
                <w:sz w:val="20"/>
                <w:szCs w:val="20"/>
                <w:highlight w:val="none"/>
              </w:rPr>
            </w:pPr>
          </w:p>
        </w:tc>
        <w:tc>
          <w:tcPr>
            <w:tcW w:w="750"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40</w:t>
            </w:r>
          </w:p>
        </w:tc>
        <w:tc>
          <w:tcPr>
            <w:tcW w:w="2736"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有机苯化物</w:t>
            </w:r>
          </w:p>
        </w:tc>
        <w:tc>
          <w:tcPr>
            <w:tcW w:w="911" w:type="dxa"/>
            <w:vMerge w:val="continue"/>
            <w:vAlign w:val="center"/>
          </w:tcPr>
          <w:p>
            <w:pPr>
              <w:pStyle w:val="56"/>
              <w:spacing w:beforeLines="50"/>
              <w:ind w:firstLine="567"/>
              <w:rPr>
                <w:rFonts w:ascii="宋体" w:hAnsi="宋体"/>
                <w:bCs/>
                <w:sz w:val="20"/>
                <w:szCs w:val="20"/>
                <w:highlight w:val="none"/>
              </w:rPr>
            </w:pPr>
          </w:p>
        </w:tc>
      </w:tr>
    </w:tbl>
    <w:p>
      <w:pPr>
        <w:pStyle w:val="56"/>
        <w:spacing w:beforeLines="50"/>
        <w:ind w:firstLine="212" w:firstLineChars="100"/>
        <w:rPr>
          <w:rFonts w:asciiTheme="minorEastAsia" w:hAnsiTheme="minorEastAsia" w:eastAsiaTheme="minorEastAsia" w:cstheme="minorEastAsia"/>
          <w:snapToGrid w:val="0"/>
          <w:color w:val="000000" w:themeColor="text1"/>
          <w:highlight w:val="none"/>
          <w:lang w:val="fr-FR"/>
          <w14:textFill>
            <w14:solidFill>
              <w14:schemeClr w14:val="tx1"/>
            </w14:solidFill>
          </w14:textFill>
        </w:rPr>
      </w:pPr>
      <w:r>
        <w:rPr>
          <w:rFonts w:hint="eastAsia" w:asciiTheme="minorEastAsia" w:hAnsiTheme="minorEastAsia" w:eastAsiaTheme="minorEastAsia" w:cstheme="minorEastAsia"/>
          <w:snapToGrid w:val="0"/>
          <w:color w:val="000000" w:themeColor="text1"/>
          <w:highlight w:val="none"/>
          <w:lang w:val="fr-FR"/>
          <w14:textFill>
            <w14:solidFill>
              <w14:schemeClr w14:val="tx1"/>
            </w14:solidFill>
          </w14:textFill>
        </w:rPr>
        <w:t>2、污泥检测项目及周期</w:t>
      </w:r>
    </w:p>
    <w:tbl>
      <w:tblPr>
        <w:tblStyle w:val="25"/>
        <w:tblW w:w="92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2953"/>
        <w:gridCol w:w="5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33" w:type="dxa"/>
            <w:vAlign w:val="center"/>
          </w:tcPr>
          <w:p>
            <w:pPr>
              <w:pStyle w:val="56"/>
              <w:spacing w:beforeLines="50"/>
              <w:jc w:val="center"/>
              <w:rPr>
                <w:rFonts w:ascii="宋体" w:hAnsi="宋体"/>
                <w:bCs/>
                <w:sz w:val="20"/>
                <w:szCs w:val="20"/>
                <w:highlight w:val="none"/>
              </w:rPr>
            </w:pPr>
            <w:r>
              <w:rPr>
                <w:rFonts w:hint="eastAsia" w:ascii="宋体" w:hAnsi="宋体"/>
                <w:bCs/>
                <w:sz w:val="20"/>
                <w:szCs w:val="20"/>
                <w:highlight w:val="none"/>
              </w:rPr>
              <w:t>序号</w:t>
            </w:r>
          </w:p>
        </w:tc>
        <w:tc>
          <w:tcPr>
            <w:tcW w:w="2953" w:type="dxa"/>
            <w:vAlign w:val="center"/>
          </w:tcPr>
          <w:p>
            <w:pPr>
              <w:pStyle w:val="56"/>
              <w:spacing w:beforeLines="50"/>
              <w:ind w:firstLine="1351" w:firstLineChars="669"/>
              <w:rPr>
                <w:rFonts w:ascii="宋体" w:hAnsi="宋体"/>
                <w:bCs/>
                <w:sz w:val="20"/>
                <w:szCs w:val="20"/>
                <w:highlight w:val="none"/>
              </w:rPr>
            </w:pPr>
            <w:r>
              <w:rPr>
                <w:rFonts w:hint="eastAsia" w:ascii="宋体" w:hAnsi="宋体"/>
                <w:bCs/>
                <w:sz w:val="20"/>
                <w:szCs w:val="20"/>
                <w:highlight w:val="none"/>
              </w:rPr>
              <w:t>项目</w:t>
            </w:r>
          </w:p>
        </w:tc>
        <w:tc>
          <w:tcPr>
            <w:tcW w:w="5373" w:type="dxa"/>
            <w:vAlign w:val="center"/>
          </w:tcPr>
          <w:p>
            <w:pPr>
              <w:pStyle w:val="56"/>
              <w:spacing w:beforeLines="50"/>
              <w:ind w:firstLine="1149" w:firstLineChars="569"/>
              <w:rPr>
                <w:rFonts w:ascii="宋体" w:hAnsi="宋体"/>
                <w:bCs/>
                <w:sz w:val="20"/>
                <w:szCs w:val="20"/>
                <w:highlight w:val="none"/>
              </w:rPr>
            </w:pPr>
            <w:r>
              <w:rPr>
                <w:rFonts w:hint="eastAsia" w:ascii="宋体" w:hAnsi="宋体"/>
                <w:bCs/>
                <w:sz w:val="20"/>
                <w:szCs w:val="20"/>
                <w:highlight w:val="none"/>
              </w:rPr>
              <w:t>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933" w:type="dxa"/>
            <w:vAlign w:val="center"/>
          </w:tcPr>
          <w:p>
            <w:pPr>
              <w:pStyle w:val="56"/>
              <w:spacing w:beforeLines="50"/>
              <w:jc w:val="center"/>
              <w:rPr>
                <w:rFonts w:ascii="宋体" w:hAnsi="宋体"/>
                <w:bCs/>
                <w:sz w:val="20"/>
                <w:szCs w:val="20"/>
                <w:highlight w:val="none"/>
              </w:rPr>
            </w:pPr>
            <w:r>
              <w:rPr>
                <w:rFonts w:hint="eastAsia" w:ascii="宋体" w:hAnsi="宋体"/>
                <w:bCs/>
                <w:sz w:val="20"/>
                <w:szCs w:val="20"/>
                <w:highlight w:val="none"/>
              </w:rPr>
              <w:t>1</w:t>
            </w:r>
          </w:p>
        </w:tc>
        <w:tc>
          <w:tcPr>
            <w:tcW w:w="2953"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含水率</w:t>
            </w:r>
          </w:p>
        </w:tc>
        <w:tc>
          <w:tcPr>
            <w:tcW w:w="5373" w:type="dxa"/>
            <w:vMerge w:val="restart"/>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每日一次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933" w:type="dxa"/>
            <w:vAlign w:val="center"/>
          </w:tcPr>
          <w:p>
            <w:pPr>
              <w:pStyle w:val="56"/>
              <w:spacing w:beforeLines="50"/>
              <w:jc w:val="center"/>
              <w:rPr>
                <w:rFonts w:ascii="宋体" w:hAnsi="宋体"/>
                <w:bCs/>
                <w:sz w:val="20"/>
                <w:szCs w:val="20"/>
                <w:highlight w:val="none"/>
              </w:rPr>
            </w:pPr>
            <w:r>
              <w:rPr>
                <w:rFonts w:hint="eastAsia" w:ascii="宋体" w:hAnsi="宋体"/>
                <w:bCs/>
                <w:sz w:val="20"/>
                <w:szCs w:val="20"/>
                <w:highlight w:val="none"/>
              </w:rPr>
              <w:t>2</w:t>
            </w:r>
          </w:p>
        </w:tc>
        <w:tc>
          <w:tcPr>
            <w:tcW w:w="2953"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PH值</w:t>
            </w:r>
          </w:p>
        </w:tc>
        <w:tc>
          <w:tcPr>
            <w:tcW w:w="5373" w:type="dxa"/>
            <w:vMerge w:val="continue"/>
            <w:vAlign w:val="center"/>
          </w:tcPr>
          <w:p>
            <w:pPr>
              <w:pStyle w:val="56"/>
              <w:spacing w:beforeLines="50"/>
              <w:ind w:firstLine="567"/>
              <w:rPr>
                <w:rFonts w:ascii="宋体" w:hAnsi="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933" w:type="dxa"/>
            <w:vAlign w:val="center"/>
          </w:tcPr>
          <w:p>
            <w:pPr>
              <w:pStyle w:val="56"/>
              <w:spacing w:beforeLines="50"/>
              <w:jc w:val="center"/>
              <w:rPr>
                <w:rFonts w:ascii="宋体" w:hAnsi="宋体"/>
                <w:bCs/>
                <w:sz w:val="20"/>
                <w:szCs w:val="20"/>
                <w:highlight w:val="none"/>
              </w:rPr>
            </w:pPr>
            <w:r>
              <w:rPr>
                <w:rFonts w:hint="eastAsia" w:ascii="宋体" w:hAnsi="宋体"/>
                <w:bCs/>
                <w:sz w:val="20"/>
                <w:szCs w:val="20"/>
                <w:highlight w:val="none"/>
              </w:rPr>
              <w:t>3</w:t>
            </w:r>
          </w:p>
        </w:tc>
        <w:tc>
          <w:tcPr>
            <w:tcW w:w="2953"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粪大肠杆菌</w:t>
            </w:r>
          </w:p>
        </w:tc>
        <w:tc>
          <w:tcPr>
            <w:tcW w:w="5373"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每月一次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933" w:type="dxa"/>
            <w:vAlign w:val="center"/>
          </w:tcPr>
          <w:p>
            <w:pPr>
              <w:pStyle w:val="56"/>
              <w:spacing w:beforeLines="50"/>
              <w:jc w:val="center"/>
              <w:rPr>
                <w:rFonts w:ascii="宋体" w:hAnsi="宋体"/>
                <w:bCs/>
                <w:sz w:val="20"/>
                <w:szCs w:val="20"/>
                <w:highlight w:val="none"/>
              </w:rPr>
            </w:pPr>
            <w:r>
              <w:rPr>
                <w:rFonts w:hint="eastAsia" w:ascii="宋体" w:hAnsi="宋体"/>
                <w:bCs/>
                <w:sz w:val="20"/>
                <w:szCs w:val="20"/>
                <w:highlight w:val="none"/>
              </w:rPr>
              <w:t>4</w:t>
            </w:r>
          </w:p>
        </w:tc>
        <w:tc>
          <w:tcPr>
            <w:tcW w:w="2953"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总镉</w:t>
            </w:r>
          </w:p>
        </w:tc>
        <w:tc>
          <w:tcPr>
            <w:tcW w:w="5373" w:type="dxa"/>
            <w:vMerge w:val="restart"/>
            <w:vAlign w:val="center"/>
          </w:tcPr>
          <w:p>
            <w:pPr>
              <w:pStyle w:val="56"/>
              <w:spacing w:beforeLines="50"/>
              <w:ind w:firstLine="567"/>
              <w:rPr>
                <w:rFonts w:ascii="宋体" w:hAnsi="宋体"/>
                <w:bCs/>
                <w:sz w:val="20"/>
                <w:szCs w:val="20"/>
                <w:highlight w:val="none"/>
              </w:rPr>
            </w:pPr>
          </w:p>
          <w:p>
            <w:pPr>
              <w:pStyle w:val="56"/>
              <w:spacing w:beforeLines="50"/>
              <w:ind w:firstLine="567"/>
              <w:rPr>
                <w:rFonts w:ascii="宋体" w:hAnsi="宋体"/>
                <w:bCs/>
                <w:sz w:val="20"/>
                <w:szCs w:val="20"/>
                <w:highlight w:val="none"/>
              </w:rPr>
            </w:pPr>
          </w:p>
          <w:p>
            <w:pPr>
              <w:pStyle w:val="56"/>
              <w:spacing w:beforeLines="50"/>
              <w:ind w:firstLine="567"/>
              <w:rPr>
                <w:rFonts w:ascii="宋体" w:hAnsi="宋体"/>
                <w:bCs/>
                <w:sz w:val="20"/>
                <w:szCs w:val="20"/>
                <w:highlight w:val="none"/>
              </w:rPr>
            </w:pPr>
            <w:r>
              <w:rPr>
                <w:rFonts w:hint="eastAsia" w:ascii="宋体" w:hAnsi="宋体"/>
                <w:bCs/>
                <w:sz w:val="20"/>
                <w:szCs w:val="20"/>
                <w:highlight w:val="none"/>
              </w:rPr>
              <w:t>每季度一次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933" w:type="dxa"/>
            <w:vAlign w:val="center"/>
          </w:tcPr>
          <w:p>
            <w:pPr>
              <w:pStyle w:val="56"/>
              <w:spacing w:beforeLines="50"/>
              <w:jc w:val="center"/>
              <w:rPr>
                <w:rFonts w:ascii="宋体" w:hAnsi="宋体"/>
                <w:bCs/>
                <w:sz w:val="20"/>
                <w:szCs w:val="20"/>
                <w:highlight w:val="none"/>
              </w:rPr>
            </w:pPr>
            <w:r>
              <w:rPr>
                <w:rFonts w:hint="eastAsia" w:ascii="宋体" w:hAnsi="宋体"/>
                <w:bCs/>
                <w:sz w:val="20"/>
                <w:szCs w:val="20"/>
                <w:highlight w:val="none"/>
              </w:rPr>
              <w:t>5</w:t>
            </w:r>
          </w:p>
        </w:tc>
        <w:tc>
          <w:tcPr>
            <w:tcW w:w="2953"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总汞</w:t>
            </w:r>
          </w:p>
        </w:tc>
        <w:tc>
          <w:tcPr>
            <w:tcW w:w="5373" w:type="dxa"/>
            <w:vMerge w:val="continue"/>
            <w:vAlign w:val="center"/>
          </w:tcPr>
          <w:p>
            <w:pPr>
              <w:pStyle w:val="56"/>
              <w:spacing w:beforeLines="50"/>
              <w:ind w:firstLine="567"/>
              <w:rPr>
                <w:rFonts w:ascii="宋体" w:hAnsi="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933" w:type="dxa"/>
            <w:vAlign w:val="center"/>
          </w:tcPr>
          <w:p>
            <w:pPr>
              <w:pStyle w:val="56"/>
              <w:spacing w:beforeLines="50"/>
              <w:jc w:val="center"/>
              <w:rPr>
                <w:rFonts w:ascii="宋体" w:hAnsi="宋体"/>
                <w:bCs/>
                <w:sz w:val="20"/>
                <w:szCs w:val="20"/>
                <w:highlight w:val="none"/>
              </w:rPr>
            </w:pPr>
            <w:r>
              <w:rPr>
                <w:rFonts w:hint="eastAsia" w:ascii="宋体" w:hAnsi="宋体"/>
                <w:bCs/>
                <w:sz w:val="20"/>
                <w:szCs w:val="20"/>
                <w:highlight w:val="none"/>
              </w:rPr>
              <w:t>6</w:t>
            </w:r>
          </w:p>
        </w:tc>
        <w:tc>
          <w:tcPr>
            <w:tcW w:w="2953"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总铅</w:t>
            </w:r>
          </w:p>
        </w:tc>
        <w:tc>
          <w:tcPr>
            <w:tcW w:w="5373" w:type="dxa"/>
            <w:vMerge w:val="continue"/>
            <w:vAlign w:val="center"/>
          </w:tcPr>
          <w:p>
            <w:pPr>
              <w:pStyle w:val="56"/>
              <w:spacing w:beforeLines="50"/>
              <w:ind w:firstLine="567"/>
              <w:rPr>
                <w:rFonts w:ascii="宋体" w:hAnsi="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933" w:type="dxa"/>
            <w:vAlign w:val="center"/>
          </w:tcPr>
          <w:p>
            <w:pPr>
              <w:pStyle w:val="56"/>
              <w:spacing w:beforeLines="50"/>
              <w:jc w:val="center"/>
              <w:rPr>
                <w:rFonts w:ascii="宋体" w:hAnsi="宋体"/>
                <w:bCs/>
                <w:sz w:val="20"/>
                <w:szCs w:val="20"/>
                <w:highlight w:val="none"/>
              </w:rPr>
            </w:pPr>
            <w:r>
              <w:rPr>
                <w:rFonts w:hint="eastAsia" w:ascii="宋体" w:hAnsi="宋体"/>
                <w:bCs/>
                <w:sz w:val="20"/>
                <w:szCs w:val="20"/>
                <w:highlight w:val="none"/>
              </w:rPr>
              <w:t>7</w:t>
            </w:r>
          </w:p>
        </w:tc>
        <w:tc>
          <w:tcPr>
            <w:tcW w:w="2953"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总铬</w:t>
            </w:r>
          </w:p>
        </w:tc>
        <w:tc>
          <w:tcPr>
            <w:tcW w:w="5373" w:type="dxa"/>
            <w:vMerge w:val="continue"/>
            <w:vAlign w:val="center"/>
          </w:tcPr>
          <w:p>
            <w:pPr>
              <w:pStyle w:val="56"/>
              <w:spacing w:beforeLines="50"/>
              <w:ind w:firstLine="567"/>
              <w:rPr>
                <w:rFonts w:ascii="宋体" w:hAnsi="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933" w:type="dxa"/>
            <w:vAlign w:val="center"/>
          </w:tcPr>
          <w:p>
            <w:pPr>
              <w:pStyle w:val="56"/>
              <w:spacing w:beforeLines="50"/>
              <w:jc w:val="center"/>
              <w:rPr>
                <w:rFonts w:ascii="宋体" w:hAnsi="宋体"/>
                <w:bCs/>
                <w:sz w:val="20"/>
                <w:szCs w:val="20"/>
                <w:highlight w:val="none"/>
              </w:rPr>
            </w:pPr>
            <w:r>
              <w:rPr>
                <w:rFonts w:hint="eastAsia" w:ascii="宋体" w:hAnsi="宋体"/>
                <w:bCs/>
                <w:sz w:val="20"/>
                <w:szCs w:val="20"/>
                <w:highlight w:val="none"/>
              </w:rPr>
              <w:t>8</w:t>
            </w:r>
          </w:p>
        </w:tc>
        <w:tc>
          <w:tcPr>
            <w:tcW w:w="2953"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总砷</w:t>
            </w:r>
          </w:p>
        </w:tc>
        <w:tc>
          <w:tcPr>
            <w:tcW w:w="5373" w:type="dxa"/>
            <w:vMerge w:val="continue"/>
            <w:vAlign w:val="center"/>
          </w:tcPr>
          <w:p>
            <w:pPr>
              <w:pStyle w:val="56"/>
              <w:spacing w:beforeLines="50"/>
              <w:ind w:firstLine="567"/>
              <w:rPr>
                <w:rFonts w:ascii="宋体" w:hAnsi="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933" w:type="dxa"/>
            <w:vAlign w:val="center"/>
          </w:tcPr>
          <w:p>
            <w:pPr>
              <w:pStyle w:val="56"/>
              <w:spacing w:beforeLines="50"/>
              <w:jc w:val="center"/>
              <w:rPr>
                <w:rFonts w:ascii="宋体" w:hAnsi="宋体"/>
                <w:bCs/>
                <w:sz w:val="20"/>
                <w:szCs w:val="20"/>
                <w:highlight w:val="none"/>
              </w:rPr>
            </w:pPr>
            <w:r>
              <w:rPr>
                <w:rFonts w:hint="eastAsia" w:ascii="宋体" w:hAnsi="宋体"/>
                <w:bCs/>
                <w:sz w:val="20"/>
                <w:szCs w:val="20"/>
                <w:highlight w:val="none"/>
              </w:rPr>
              <w:t>9</w:t>
            </w:r>
          </w:p>
        </w:tc>
        <w:tc>
          <w:tcPr>
            <w:tcW w:w="2953"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总镍</w:t>
            </w:r>
          </w:p>
        </w:tc>
        <w:tc>
          <w:tcPr>
            <w:tcW w:w="5373" w:type="dxa"/>
            <w:vMerge w:val="continue"/>
            <w:vAlign w:val="center"/>
          </w:tcPr>
          <w:p>
            <w:pPr>
              <w:pStyle w:val="56"/>
              <w:spacing w:beforeLines="50"/>
              <w:ind w:firstLine="567"/>
              <w:rPr>
                <w:rFonts w:ascii="宋体" w:hAnsi="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933" w:type="dxa"/>
            <w:vAlign w:val="center"/>
          </w:tcPr>
          <w:p>
            <w:pPr>
              <w:pStyle w:val="56"/>
              <w:spacing w:beforeLines="50"/>
              <w:jc w:val="center"/>
              <w:rPr>
                <w:rFonts w:ascii="宋体" w:hAnsi="宋体"/>
                <w:bCs/>
                <w:sz w:val="20"/>
                <w:szCs w:val="20"/>
                <w:highlight w:val="none"/>
              </w:rPr>
            </w:pPr>
            <w:r>
              <w:rPr>
                <w:rFonts w:hint="eastAsia" w:ascii="宋体" w:hAnsi="宋体"/>
                <w:bCs/>
                <w:sz w:val="20"/>
                <w:szCs w:val="20"/>
                <w:highlight w:val="none"/>
              </w:rPr>
              <w:t>10</w:t>
            </w:r>
          </w:p>
        </w:tc>
        <w:tc>
          <w:tcPr>
            <w:tcW w:w="2953"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总锌</w:t>
            </w:r>
          </w:p>
        </w:tc>
        <w:tc>
          <w:tcPr>
            <w:tcW w:w="5373" w:type="dxa"/>
            <w:vMerge w:val="continue"/>
            <w:vAlign w:val="center"/>
          </w:tcPr>
          <w:p>
            <w:pPr>
              <w:pStyle w:val="56"/>
              <w:spacing w:beforeLines="50"/>
              <w:ind w:firstLine="567"/>
              <w:rPr>
                <w:rFonts w:ascii="宋体" w:hAnsi="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933" w:type="dxa"/>
            <w:vAlign w:val="center"/>
          </w:tcPr>
          <w:p>
            <w:pPr>
              <w:pStyle w:val="56"/>
              <w:spacing w:beforeLines="50"/>
              <w:jc w:val="center"/>
              <w:rPr>
                <w:rFonts w:ascii="宋体" w:hAnsi="宋体"/>
                <w:bCs/>
                <w:sz w:val="20"/>
                <w:szCs w:val="20"/>
                <w:highlight w:val="none"/>
              </w:rPr>
            </w:pPr>
            <w:r>
              <w:rPr>
                <w:rFonts w:hint="eastAsia" w:ascii="宋体" w:hAnsi="宋体"/>
                <w:bCs/>
                <w:sz w:val="20"/>
                <w:szCs w:val="20"/>
                <w:highlight w:val="none"/>
              </w:rPr>
              <w:t>11</w:t>
            </w:r>
          </w:p>
        </w:tc>
        <w:tc>
          <w:tcPr>
            <w:tcW w:w="2953"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总铜</w:t>
            </w:r>
          </w:p>
        </w:tc>
        <w:tc>
          <w:tcPr>
            <w:tcW w:w="5373" w:type="dxa"/>
            <w:vMerge w:val="continue"/>
            <w:vAlign w:val="center"/>
          </w:tcPr>
          <w:p>
            <w:pPr>
              <w:pStyle w:val="56"/>
              <w:spacing w:beforeLines="50"/>
              <w:ind w:firstLine="567"/>
              <w:rPr>
                <w:rFonts w:ascii="宋体" w:hAnsi="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933" w:type="dxa"/>
            <w:vAlign w:val="center"/>
          </w:tcPr>
          <w:p>
            <w:pPr>
              <w:pStyle w:val="56"/>
              <w:spacing w:beforeLines="50"/>
              <w:jc w:val="center"/>
              <w:rPr>
                <w:rFonts w:ascii="宋体" w:hAnsi="宋体"/>
                <w:bCs/>
                <w:sz w:val="20"/>
                <w:szCs w:val="20"/>
                <w:highlight w:val="none"/>
              </w:rPr>
            </w:pPr>
            <w:r>
              <w:rPr>
                <w:rFonts w:hint="eastAsia" w:ascii="宋体" w:hAnsi="宋体"/>
                <w:bCs/>
                <w:sz w:val="20"/>
                <w:szCs w:val="20"/>
                <w:highlight w:val="none"/>
              </w:rPr>
              <w:t>12</w:t>
            </w:r>
          </w:p>
        </w:tc>
        <w:tc>
          <w:tcPr>
            <w:tcW w:w="2953"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总氮</w:t>
            </w:r>
          </w:p>
        </w:tc>
        <w:tc>
          <w:tcPr>
            <w:tcW w:w="5373" w:type="dxa"/>
            <w:vMerge w:val="continue"/>
            <w:vAlign w:val="center"/>
          </w:tcPr>
          <w:p>
            <w:pPr>
              <w:pStyle w:val="56"/>
              <w:spacing w:beforeLines="50"/>
              <w:ind w:firstLine="567"/>
              <w:rPr>
                <w:rFonts w:ascii="宋体" w:hAnsi="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933" w:type="dxa"/>
            <w:vAlign w:val="center"/>
          </w:tcPr>
          <w:p>
            <w:pPr>
              <w:pStyle w:val="56"/>
              <w:spacing w:beforeLines="50"/>
              <w:jc w:val="center"/>
              <w:rPr>
                <w:rFonts w:ascii="宋体" w:hAnsi="宋体"/>
                <w:bCs/>
                <w:sz w:val="20"/>
                <w:szCs w:val="20"/>
                <w:highlight w:val="none"/>
              </w:rPr>
            </w:pPr>
            <w:r>
              <w:rPr>
                <w:rFonts w:hint="eastAsia" w:ascii="宋体" w:hAnsi="宋体"/>
                <w:bCs/>
                <w:sz w:val="20"/>
                <w:szCs w:val="20"/>
                <w:highlight w:val="none"/>
              </w:rPr>
              <w:t>13</w:t>
            </w:r>
          </w:p>
        </w:tc>
        <w:tc>
          <w:tcPr>
            <w:tcW w:w="2953"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总磷</w:t>
            </w:r>
          </w:p>
        </w:tc>
        <w:tc>
          <w:tcPr>
            <w:tcW w:w="5373" w:type="dxa"/>
            <w:vMerge w:val="continue"/>
            <w:vAlign w:val="center"/>
          </w:tcPr>
          <w:p>
            <w:pPr>
              <w:pStyle w:val="56"/>
              <w:spacing w:beforeLines="50"/>
              <w:ind w:firstLine="567"/>
              <w:rPr>
                <w:rFonts w:ascii="宋体" w:hAnsi="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933" w:type="dxa"/>
            <w:vAlign w:val="center"/>
          </w:tcPr>
          <w:p>
            <w:pPr>
              <w:pStyle w:val="56"/>
              <w:spacing w:beforeLines="50"/>
              <w:jc w:val="center"/>
              <w:rPr>
                <w:rFonts w:ascii="宋体" w:hAnsi="宋体"/>
                <w:bCs/>
                <w:sz w:val="20"/>
                <w:szCs w:val="20"/>
                <w:highlight w:val="none"/>
              </w:rPr>
            </w:pPr>
            <w:r>
              <w:rPr>
                <w:rFonts w:hint="eastAsia" w:ascii="宋体" w:hAnsi="宋体"/>
                <w:bCs/>
                <w:sz w:val="20"/>
                <w:szCs w:val="20"/>
                <w:highlight w:val="none"/>
              </w:rPr>
              <w:t>14</w:t>
            </w:r>
          </w:p>
        </w:tc>
        <w:tc>
          <w:tcPr>
            <w:tcW w:w="2953"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总钾</w:t>
            </w:r>
          </w:p>
        </w:tc>
        <w:tc>
          <w:tcPr>
            <w:tcW w:w="5373" w:type="dxa"/>
            <w:vMerge w:val="continue"/>
            <w:vAlign w:val="center"/>
          </w:tcPr>
          <w:p>
            <w:pPr>
              <w:pStyle w:val="56"/>
              <w:spacing w:beforeLines="50"/>
              <w:ind w:firstLine="567"/>
              <w:rPr>
                <w:rFonts w:ascii="宋体" w:hAnsi="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933" w:type="dxa"/>
            <w:vAlign w:val="center"/>
          </w:tcPr>
          <w:p>
            <w:pPr>
              <w:pStyle w:val="56"/>
              <w:spacing w:beforeLines="50"/>
              <w:jc w:val="center"/>
              <w:rPr>
                <w:rFonts w:ascii="宋体" w:hAnsi="宋体"/>
                <w:bCs/>
                <w:sz w:val="20"/>
                <w:szCs w:val="20"/>
                <w:highlight w:val="none"/>
              </w:rPr>
            </w:pPr>
            <w:r>
              <w:rPr>
                <w:rFonts w:hint="eastAsia" w:ascii="宋体" w:hAnsi="宋体"/>
                <w:bCs/>
                <w:sz w:val="20"/>
                <w:szCs w:val="20"/>
                <w:highlight w:val="none"/>
              </w:rPr>
              <w:t>15</w:t>
            </w:r>
          </w:p>
        </w:tc>
        <w:tc>
          <w:tcPr>
            <w:tcW w:w="2953"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定性检测</w:t>
            </w:r>
          </w:p>
        </w:tc>
        <w:tc>
          <w:tcPr>
            <w:tcW w:w="5373"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每年一次</w:t>
            </w:r>
          </w:p>
        </w:tc>
      </w:tr>
    </w:tbl>
    <w:p>
      <w:pPr>
        <w:pStyle w:val="56"/>
        <w:spacing w:beforeLines="50"/>
        <w:ind w:firstLine="212" w:firstLineChars="100"/>
        <w:rPr>
          <w:rFonts w:asciiTheme="minorEastAsia" w:hAnsiTheme="minorEastAsia" w:eastAsiaTheme="minorEastAsia" w:cstheme="minorEastAsia"/>
          <w:snapToGrid w:val="0"/>
          <w:color w:val="000000" w:themeColor="text1"/>
          <w:highlight w:val="none"/>
          <w:lang w:val="fr-FR"/>
          <w14:textFill>
            <w14:solidFill>
              <w14:schemeClr w14:val="tx1"/>
            </w14:solidFill>
          </w14:textFill>
        </w:rPr>
      </w:pPr>
      <w:r>
        <w:rPr>
          <w:rFonts w:hint="eastAsia" w:asciiTheme="minorEastAsia" w:hAnsiTheme="minorEastAsia" w:eastAsiaTheme="minorEastAsia" w:cstheme="minorEastAsia"/>
          <w:snapToGrid w:val="0"/>
          <w:color w:val="000000" w:themeColor="text1"/>
          <w:highlight w:val="none"/>
          <w14:textFill>
            <w14:solidFill>
              <w14:schemeClr w14:val="tx1"/>
            </w14:solidFill>
          </w14:textFill>
        </w:rPr>
        <w:t>3、</w:t>
      </w:r>
      <w:r>
        <w:rPr>
          <w:rFonts w:hint="eastAsia" w:asciiTheme="minorEastAsia" w:hAnsiTheme="minorEastAsia" w:eastAsiaTheme="minorEastAsia" w:cstheme="minorEastAsia"/>
          <w:snapToGrid w:val="0"/>
          <w:color w:val="000000" w:themeColor="text1"/>
          <w:highlight w:val="none"/>
          <w:lang w:val="fr-FR"/>
          <w14:textFill>
            <w14:solidFill>
              <w14:schemeClr w14:val="tx1"/>
            </w14:solidFill>
          </w14:textFill>
        </w:rPr>
        <w:t>污水泵站及关键节点检测项目及周期</w:t>
      </w:r>
    </w:p>
    <w:tbl>
      <w:tblPr>
        <w:tblStyle w:val="25"/>
        <w:tblW w:w="9296"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
        <w:gridCol w:w="2885"/>
        <w:gridCol w:w="968"/>
        <w:gridCol w:w="877"/>
        <w:gridCol w:w="2452"/>
        <w:gridCol w:w="1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935" w:type="dxa"/>
            <w:vAlign w:val="center"/>
          </w:tcPr>
          <w:p>
            <w:pPr>
              <w:pStyle w:val="56"/>
              <w:spacing w:beforeLines="50"/>
              <w:jc w:val="center"/>
              <w:rPr>
                <w:rFonts w:ascii="宋体" w:hAnsi="宋体"/>
                <w:bCs/>
                <w:sz w:val="20"/>
                <w:szCs w:val="20"/>
                <w:highlight w:val="none"/>
              </w:rPr>
            </w:pPr>
            <w:r>
              <w:rPr>
                <w:rFonts w:hint="eastAsia" w:ascii="宋体" w:hAnsi="宋体"/>
                <w:bCs/>
                <w:sz w:val="20"/>
                <w:szCs w:val="20"/>
                <w:highlight w:val="none"/>
              </w:rPr>
              <w:t>序号</w:t>
            </w:r>
          </w:p>
        </w:tc>
        <w:tc>
          <w:tcPr>
            <w:tcW w:w="2885"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项目</w:t>
            </w:r>
          </w:p>
        </w:tc>
        <w:tc>
          <w:tcPr>
            <w:tcW w:w="968" w:type="dxa"/>
            <w:vAlign w:val="center"/>
          </w:tcPr>
          <w:p>
            <w:pPr>
              <w:pStyle w:val="56"/>
              <w:spacing w:beforeLines="50"/>
              <w:jc w:val="center"/>
              <w:rPr>
                <w:rFonts w:ascii="宋体" w:hAnsi="宋体"/>
                <w:bCs/>
                <w:sz w:val="20"/>
                <w:szCs w:val="20"/>
                <w:highlight w:val="none"/>
              </w:rPr>
            </w:pPr>
            <w:r>
              <w:rPr>
                <w:rFonts w:hint="eastAsia" w:ascii="宋体" w:hAnsi="宋体"/>
                <w:bCs/>
                <w:sz w:val="20"/>
                <w:szCs w:val="20"/>
                <w:highlight w:val="none"/>
              </w:rPr>
              <w:t>周期</w:t>
            </w:r>
          </w:p>
        </w:tc>
        <w:tc>
          <w:tcPr>
            <w:tcW w:w="877" w:type="dxa"/>
            <w:vAlign w:val="center"/>
          </w:tcPr>
          <w:p>
            <w:pPr>
              <w:pStyle w:val="56"/>
              <w:spacing w:beforeLines="50"/>
              <w:jc w:val="center"/>
              <w:rPr>
                <w:rFonts w:ascii="宋体" w:hAnsi="宋体"/>
                <w:bCs/>
                <w:sz w:val="20"/>
                <w:szCs w:val="20"/>
                <w:highlight w:val="none"/>
              </w:rPr>
            </w:pPr>
            <w:r>
              <w:rPr>
                <w:rFonts w:hint="eastAsia" w:ascii="宋体" w:hAnsi="宋体"/>
                <w:bCs/>
                <w:sz w:val="20"/>
                <w:szCs w:val="20"/>
                <w:highlight w:val="none"/>
              </w:rPr>
              <w:t>序号</w:t>
            </w:r>
          </w:p>
        </w:tc>
        <w:tc>
          <w:tcPr>
            <w:tcW w:w="2452" w:type="dxa"/>
            <w:vAlign w:val="center"/>
          </w:tcPr>
          <w:p>
            <w:pPr>
              <w:pStyle w:val="56"/>
              <w:spacing w:beforeLines="50"/>
              <w:ind w:firstLine="567"/>
              <w:jc w:val="center"/>
              <w:rPr>
                <w:rFonts w:ascii="宋体" w:hAnsi="宋体"/>
                <w:bCs/>
                <w:sz w:val="20"/>
                <w:szCs w:val="20"/>
                <w:highlight w:val="none"/>
              </w:rPr>
            </w:pPr>
            <w:r>
              <w:rPr>
                <w:rFonts w:hint="eastAsia" w:ascii="宋体" w:hAnsi="宋体"/>
                <w:bCs/>
                <w:sz w:val="20"/>
                <w:szCs w:val="20"/>
                <w:highlight w:val="none"/>
              </w:rPr>
              <w:t>项目</w:t>
            </w:r>
          </w:p>
        </w:tc>
        <w:tc>
          <w:tcPr>
            <w:tcW w:w="1179" w:type="dxa"/>
            <w:vAlign w:val="center"/>
          </w:tcPr>
          <w:p>
            <w:pPr>
              <w:pStyle w:val="56"/>
              <w:spacing w:beforeLines="50"/>
              <w:jc w:val="center"/>
              <w:rPr>
                <w:rFonts w:ascii="宋体" w:hAnsi="宋体"/>
                <w:bCs/>
                <w:sz w:val="20"/>
                <w:szCs w:val="20"/>
                <w:highlight w:val="none"/>
              </w:rPr>
            </w:pPr>
            <w:r>
              <w:rPr>
                <w:rFonts w:hint="eastAsia" w:ascii="宋体" w:hAnsi="宋体"/>
                <w:bCs/>
                <w:sz w:val="20"/>
                <w:szCs w:val="20"/>
                <w:highlight w:val="none"/>
              </w:rPr>
              <w:t>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trPr>
        <w:tc>
          <w:tcPr>
            <w:tcW w:w="935" w:type="dxa"/>
            <w:vAlign w:val="center"/>
          </w:tcPr>
          <w:p>
            <w:pPr>
              <w:pStyle w:val="56"/>
              <w:spacing w:beforeLines="50"/>
              <w:jc w:val="center"/>
              <w:rPr>
                <w:rFonts w:ascii="宋体" w:hAnsi="宋体"/>
                <w:bCs/>
                <w:sz w:val="20"/>
                <w:szCs w:val="20"/>
                <w:highlight w:val="none"/>
              </w:rPr>
            </w:pPr>
            <w:r>
              <w:rPr>
                <w:rFonts w:hint="eastAsia" w:ascii="宋体" w:hAnsi="宋体"/>
                <w:bCs/>
                <w:sz w:val="20"/>
                <w:szCs w:val="20"/>
                <w:highlight w:val="none"/>
              </w:rPr>
              <w:t>1</w:t>
            </w:r>
          </w:p>
        </w:tc>
        <w:tc>
          <w:tcPr>
            <w:tcW w:w="2885"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PH值</w:t>
            </w:r>
          </w:p>
        </w:tc>
        <w:tc>
          <w:tcPr>
            <w:tcW w:w="968" w:type="dxa"/>
            <w:vMerge w:val="restart"/>
            <w:vAlign w:val="center"/>
          </w:tcPr>
          <w:p>
            <w:pPr>
              <w:pStyle w:val="56"/>
              <w:spacing w:beforeLines="50"/>
              <w:jc w:val="center"/>
              <w:rPr>
                <w:rFonts w:ascii="宋体" w:hAnsi="宋体"/>
                <w:bCs/>
                <w:sz w:val="20"/>
                <w:szCs w:val="20"/>
                <w:highlight w:val="none"/>
              </w:rPr>
            </w:pPr>
            <w:r>
              <w:rPr>
                <w:rFonts w:hint="eastAsia" w:ascii="宋体" w:hAnsi="宋体"/>
                <w:bCs/>
                <w:sz w:val="20"/>
                <w:szCs w:val="20"/>
                <w:highlight w:val="none"/>
              </w:rPr>
              <w:t>每</w:t>
            </w:r>
          </w:p>
          <w:p>
            <w:pPr>
              <w:pStyle w:val="56"/>
              <w:spacing w:beforeLines="50"/>
              <w:jc w:val="center"/>
              <w:rPr>
                <w:rFonts w:ascii="宋体" w:hAnsi="宋体"/>
                <w:bCs/>
                <w:sz w:val="20"/>
                <w:szCs w:val="20"/>
                <w:highlight w:val="none"/>
              </w:rPr>
            </w:pPr>
            <w:r>
              <w:rPr>
                <w:rFonts w:hint="eastAsia" w:ascii="宋体" w:hAnsi="宋体"/>
                <w:bCs/>
                <w:sz w:val="20"/>
                <w:szCs w:val="20"/>
                <w:highlight w:val="none"/>
              </w:rPr>
              <w:t>日</w:t>
            </w:r>
          </w:p>
          <w:p>
            <w:pPr>
              <w:pStyle w:val="56"/>
              <w:spacing w:beforeLines="50"/>
              <w:jc w:val="center"/>
              <w:rPr>
                <w:rFonts w:ascii="宋体" w:hAnsi="宋体"/>
                <w:bCs/>
                <w:sz w:val="20"/>
                <w:szCs w:val="20"/>
                <w:highlight w:val="none"/>
              </w:rPr>
            </w:pPr>
            <w:r>
              <w:rPr>
                <w:rFonts w:hint="eastAsia" w:ascii="宋体" w:hAnsi="宋体"/>
                <w:bCs/>
                <w:sz w:val="20"/>
                <w:szCs w:val="20"/>
                <w:highlight w:val="none"/>
              </w:rPr>
              <w:t>一</w:t>
            </w:r>
          </w:p>
          <w:p>
            <w:pPr>
              <w:pStyle w:val="56"/>
              <w:spacing w:beforeLines="50"/>
              <w:jc w:val="center"/>
              <w:rPr>
                <w:rFonts w:ascii="宋体" w:hAnsi="宋体"/>
                <w:bCs/>
                <w:sz w:val="20"/>
                <w:szCs w:val="20"/>
                <w:highlight w:val="none"/>
              </w:rPr>
            </w:pPr>
            <w:r>
              <w:rPr>
                <w:rFonts w:hint="eastAsia" w:ascii="宋体" w:hAnsi="宋体"/>
                <w:bCs/>
                <w:sz w:val="20"/>
                <w:szCs w:val="20"/>
                <w:highlight w:val="none"/>
              </w:rPr>
              <w:t>次</w:t>
            </w:r>
          </w:p>
        </w:tc>
        <w:tc>
          <w:tcPr>
            <w:tcW w:w="877" w:type="dxa"/>
            <w:vAlign w:val="center"/>
          </w:tcPr>
          <w:p>
            <w:pPr>
              <w:pStyle w:val="56"/>
              <w:spacing w:beforeLines="50"/>
              <w:jc w:val="center"/>
              <w:rPr>
                <w:rFonts w:ascii="宋体" w:hAnsi="宋体"/>
                <w:bCs/>
                <w:sz w:val="20"/>
                <w:szCs w:val="20"/>
                <w:highlight w:val="none"/>
              </w:rPr>
            </w:pPr>
            <w:r>
              <w:rPr>
                <w:rFonts w:hint="eastAsia" w:ascii="宋体" w:hAnsi="宋体"/>
                <w:bCs/>
                <w:sz w:val="20"/>
                <w:szCs w:val="20"/>
                <w:highlight w:val="none"/>
              </w:rPr>
              <w:t>7</w:t>
            </w:r>
          </w:p>
        </w:tc>
        <w:tc>
          <w:tcPr>
            <w:tcW w:w="2452" w:type="dxa"/>
            <w:vAlign w:val="center"/>
          </w:tcPr>
          <w:p>
            <w:pPr>
              <w:pStyle w:val="56"/>
              <w:spacing w:beforeLines="50"/>
              <w:ind w:firstLine="567"/>
              <w:jc w:val="center"/>
              <w:rPr>
                <w:rFonts w:ascii="宋体" w:hAnsi="宋体"/>
                <w:bCs/>
                <w:sz w:val="20"/>
                <w:szCs w:val="20"/>
                <w:highlight w:val="none"/>
              </w:rPr>
            </w:pPr>
            <w:r>
              <w:rPr>
                <w:rFonts w:hint="eastAsia" w:ascii="宋体" w:hAnsi="宋体"/>
                <w:bCs/>
                <w:sz w:val="20"/>
                <w:szCs w:val="20"/>
                <w:highlight w:val="none"/>
              </w:rPr>
              <w:t>生化需氧量BOD</w:t>
            </w:r>
            <w:r>
              <w:rPr>
                <w:rFonts w:hint="eastAsia" w:ascii="宋体" w:hAnsi="宋体"/>
                <w:bCs/>
                <w:sz w:val="20"/>
                <w:szCs w:val="20"/>
                <w:highlight w:val="none"/>
                <w:vertAlign w:val="subscript"/>
              </w:rPr>
              <w:t>5</w:t>
            </w:r>
          </w:p>
        </w:tc>
        <w:tc>
          <w:tcPr>
            <w:tcW w:w="1179" w:type="dxa"/>
            <w:vMerge w:val="restart"/>
            <w:vAlign w:val="center"/>
          </w:tcPr>
          <w:p>
            <w:pPr>
              <w:pStyle w:val="56"/>
              <w:spacing w:beforeLines="50"/>
              <w:jc w:val="center"/>
              <w:rPr>
                <w:rFonts w:ascii="宋体" w:hAnsi="宋体"/>
                <w:bCs/>
                <w:sz w:val="20"/>
                <w:szCs w:val="20"/>
                <w:highlight w:val="none"/>
              </w:rPr>
            </w:pPr>
            <w:r>
              <w:rPr>
                <w:rFonts w:hint="eastAsia" w:ascii="宋体" w:hAnsi="宋体"/>
                <w:bCs/>
                <w:sz w:val="20"/>
                <w:szCs w:val="20"/>
                <w:highlight w:val="none"/>
              </w:rPr>
              <w:t>每</w:t>
            </w:r>
          </w:p>
          <w:p>
            <w:pPr>
              <w:pStyle w:val="56"/>
              <w:spacing w:beforeLines="50"/>
              <w:jc w:val="center"/>
              <w:rPr>
                <w:rFonts w:ascii="宋体" w:hAnsi="宋体"/>
                <w:bCs/>
                <w:sz w:val="20"/>
                <w:szCs w:val="20"/>
                <w:highlight w:val="none"/>
              </w:rPr>
            </w:pPr>
            <w:r>
              <w:rPr>
                <w:rFonts w:hint="eastAsia" w:ascii="宋体" w:hAnsi="宋体"/>
                <w:bCs/>
                <w:sz w:val="20"/>
                <w:szCs w:val="20"/>
                <w:highlight w:val="none"/>
              </w:rPr>
              <w:t>月</w:t>
            </w:r>
          </w:p>
          <w:p>
            <w:pPr>
              <w:pStyle w:val="56"/>
              <w:spacing w:beforeLines="50"/>
              <w:jc w:val="center"/>
              <w:rPr>
                <w:rFonts w:ascii="宋体" w:hAnsi="宋体"/>
                <w:bCs/>
                <w:sz w:val="20"/>
                <w:szCs w:val="20"/>
                <w:highlight w:val="none"/>
              </w:rPr>
            </w:pPr>
            <w:r>
              <w:rPr>
                <w:rFonts w:hint="eastAsia" w:ascii="宋体" w:hAnsi="宋体"/>
                <w:bCs/>
                <w:sz w:val="20"/>
                <w:szCs w:val="20"/>
                <w:highlight w:val="none"/>
              </w:rPr>
              <w:t>一</w:t>
            </w:r>
          </w:p>
          <w:p>
            <w:pPr>
              <w:pStyle w:val="56"/>
              <w:spacing w:beforeLines="50"/>
              <w:jc w:val="center"/>
              <w:rPr>
                <w:rFonts w:ascii="宋体" w:hAnsi="宋体"/>
                <w:bCs/>
                <w:sz w:val="20"/>
                <w:szCs w:val="20"/>
                <w:highlight w:val="none"/>
              </w:rPr>
            </w:pPr>
            <w:r>
              <w:rPr>
                <w:rFonts w:hint="eastAsia" w:ascii="宋体" w:hAnsi="宋体"/>
                <w:bCs/>
                <w:sz w:val="20"/>
                <w:szCs w:val="20"/>
                <w:highlight w:val="none"/>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trPr>
        <w:tc>
          <w:tcPr>
            <w:tcW w:w="935" w:type="dxa"/>
            <w:vAlign w:val="center"/>
          </w:tcPr>
          <w:p>
            <w:pPr>
              <w:pStyle w:val="56"/>
              <w:spacing w:beforeLines="50"/>
              <w:jc w:val="center"/>
              <w:rPr>
                <w:rFonts w:ascii="宋体" w:hAnsi="宋体"/>
                <w:bCs/>
                <w:sz w:val="20"/>
                <w:szCs w:val="20"/>
                <w:highlight w:val="none"/>
              </w:rPr>
            </w:pPr>
            <w:r>
              <w:rPr>
                <w:rFonts w:hint="eastAsia" w:ascii="宋体" w:hAnsi="宋体"/>
                <w:bCs/>
                <w:sz w:val="20"/>
                <w:szCs w:val="20"/>
                <w:highlight w:val="none"/>
              </w:rPr>
              <w:t>2</w:t>
            </w:r>
          </w:p>
        </w:tc>
        <w:tc>
          <w:tcPr>
            <w:tcW w:w="2885"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悬浮物SS</w:t>
            </w:r>
          </w:p>
        </w:tc>
        <w:tc>
          <w:tcPr>
            <w:tcW w:w="968" w:type="dxa"/>
            <w:vMerge w:val="continue"/>
            <w:vAlign w:val="center"/>
          </w:tcPr>
          <w:p>
            <w:pPr>
              <w:pStyle w:val="56"/>
              <w:spacing w:beforeLines="50"/>
              <w:ind w:firstLine="567"/>
              <w:rPr>
                <w:rFonts w:ascii="宋体" w:hAnsi="宋体"/>
                <w:bCs/>
                <w:sz w:val="20"/>
                <w:szCs w:val="20"/>
                <w:highlight w:val="none"/>
              </w:rPr>
            </w:pPr>
          </w:p>
        </w:tc>
        <w:tc>
          <w:tcPr>
            <w:tcW w:w="877" w:type="dxa"/>
            <w:vAlign w:val="center"/>
          </w:tcPr>
          <w:p>
            <w:pPr>
              <w:pStyle w:val="56"/>
              <w:spacing w:beforeLines="50"/>
              <w:jc w:val="center"/>
              <w:rPr>
                <w:rFonts w:ascii="宋体" w:hAnsi="宋体"/>
                <w:bCs/>
                <w:sz w:val="20"/>
                <w:szCs w:val="20"/>
                <w:highlight w:val="none"/>
              </w:rPr>
            </w:pPr>
            <w:r>
              <w:rPr>
                <w:rFonts w:hint="eastAsia" w:ascii="宋体" w:hAnsi="宋体"/>
                <w:bCs/>
                <w:sz w:val="20"/>
                <w:szCs w:val="20"/>
                <w:highlight w:val="none"/>
              </w:rPr>
              <w:t>8</w:t>
            </w:r>
          </w:p>
        </w:tc>
        <w:tc>
          <w:tcPr>
            <w:tcW w:w="2452" w:type="dxa"/>
            <w:vAlign w:val="center"/>
          </w:tcPr>
          <w:p>
            <w:pPr>
              <w:pStyle w:val="56"/>
              <w:spacing w:beforeLines="50"/>
              <w:ind w:firstLine="567"/>
              <w:jc w:val="center"/>
              <w:rPr>
                <w:rFonts w:ascii="宋体" w:hAnsi="宋体"/>
                <w:bCs/>
                <w:sz w:val="20"/>
                <w:szCs w:val="20"/>
                <w:highlight w:val="none"/>
              </w:rPr>
            </w:pPr>
            <w:r>
              <w:rPr>
                <w:rFonts w:hint="eastAsia" w:ascii="宋体" w:hAnsi="宋体"/>
                <w:bCs/>
                <w:sz w:val="20"/>
                <w:szCs w:val="20"/>
                <w:highlight w:val="none"/>
              </w:rPr>
              <w:t>石油类</w:t>
            </w:r>
          </w:p>
        </w:tc>
        <w:tc>
          <w:tcPr>
            <w:tcW w:w="1179" w:type="dxa"/>
            <w:vMerge w:val="continue"/>
            <w:vAlign w:val="center"/>
          </w:tcPr>
          <w:p>
            <w:pPr>
              <w:pStyle w:val="56"/>
              <w:spacing w:beforeLines="50"/>
              <w:ind w:firstLine="567"/>
              <w:rPr>
                <w:rFonts w:ascii="宋体" w:hAnsi="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trPr>
        <w:tc>
          <w:tcPr>
            <w:tcW w:w="935" w:type="dxa"/>
            <w:vAlign w:val="center"/>
          </w:tcPr>
          <w:p>
            <w:pPr>
              <w:pStyle w:val="56"/>
              <w:spacing w:beforeLines="50"/>
              <w:jc w:val="center"/>
              <w:rPr>
                <w:rFonts w:ascii="宋体" w:hAnsi="宋体"/>
                <w:bCs/>
                <w:sz w:val="20"/>
                <w:szCs w:val="20"/>
                <w:highlight w:val="none"/>
              </w:rPr>
            </w:pPr>
            <w:r>
              <w:rPr>
                <w:rFonts w:hint="eastAsia" w:ascii="宋体" w:hAnsi="宋体"/>
                <w:bCs/>
                <w:sz w:val="20"/>
                <w:szCs w:val="20"/>
                <w:highlight w:val="none"/>
              </w:rPr>
              <w:t>3</w:t>
            </w:r>
          </w:p>
        </w:tc>
        <w:tc>
          <w:tcPr>
            <w:tcW w:w="2885" w:type="dxa"/>
            <w:vAlign w:val="center"/>
          </w:tcPr>
          <w:p>
            <w:pPr>
              <w:pStyle w:val="56"/>
              <w:spacing w:beforeLines="50"/>
              <w:ind w:firstLine="202" w:firstLineChars="100"/>
              <w:rPr>
                <w:rFonts w:ascii="宋体" w:hAnsi="宋体"/>
                <w:bCs/>
                <w:sz w:val="20"/>
                <w:szCs w:val="20"/>
                <w:highlight w:val="none"/>
              </w:rPr>
            </w:pPr>
            <w:r>
              <w:rPr>
                <w:rFonts w:hint="eastAsia" w:ascii="宋体" w:hAnsi="宋体"/>
                <w:bCs/>
                <w:sz w:val="20"/>
                <w:szCs w:val="20"/>
                <w:highlight w:val="none"/>
              </w:rPr>
              <w:t>化学需氧量COD</w:t>
            </w:r>
            <w:r>
              <w:rPr>
                <w:rFonts w:hint="eastAsia" w:ascii="宋体" w:hAnsi="宋体"/>
                <w:bCs/>
                <w:sz w:val="20"/>
                <w:szCs w:val="20"/>
                <w:highlight w:val="none"/>
                <w:vertAlign w:val="subscript"/>
              </w:rPr>
              <w:t>cr</w:t>
            </w:r>
          </w:p>
        </w:tc>
        <w:tc>
          <w:tcPr>
            <w:tcW w:w="968" w:type="dxa"/>
            <w:vMerge w:val="continue"/>
            <w:vAlign w:val="center"/>
          </w:tcPr>
          <w:p>
            <w:pPr>
              <w:pStyle w:val="56"/>
              <w:spacing w:beforeLines="50"/>
              <w:ind w:firstLine="567"/>
              <w:rPr>
                <w:rFonts w:ascii="宋体" w:hAnsi="宋体"/>
                <w:bCs/>
                <w:sz w:val="20"/>
                <w:szCs w:val="20"/>
                <w:highlight w:val="none"/>
              </w:rPr>
            </w:pPr>
          </w:p>
        </w:tc>
        <w:tc>
          <w:tcPr>
            <w:tcW w:w="877" w:type="dxa"/>
            <w:vAlign w:val="center"/>
          </w:tcPr>
          <w:p>
            <w:pPr>
              <w:pStyle w:val="56"/>
              <w:spacing w:beforeLines="50"/>
              <w:jc w:val="center"/>
              <w:rPr>
                <w:rFonts w:ascii="宋体" w:hAnsi="宋体"/>
                <w:bCs/>
                <w:sz w:val="20"/>
                <w:szCs w:val="20"/>
                <w:highlight w:val="none"/>
              </w:rPr>
            </w:pPr>
            <w:r>
              <w:rPr>
                <w:rFonts w:hint="eastAsia" w:ascii="宋体" w:hAnsi="宋体"/>
                <w:bCs/>
                <w:sz w:val="20"/>
                <w:szCs w:val="20"/>
                <w:highlight w:val="none"/>
              </w:rPr>
              <w:t>9</w:t>
            </w:r>
          </w:p>
        </w:tc>
        <w:tc>
          <w:tcPr>
            <w:tcW w:w="2452" w:type="dxa"/>
            <w:vAlign w:val="center"/>
          </w:tcPr>
          <w:p>
            <w:pPr>
              <w:pStyle w:val="56"/>
              <w:spacing w:beforeLines="50"/>
              <w:ind w:firstLine="202" w:firstLineChars="100"/>
              <w:jc w:val="center"/>
              <w:rPr>
                <w:rFonts w:ascii="宋体" w:hAnsi="宋体"/>
                <w:bCs/>
                <w:sz w:val="20"/>
                <w:szCs w:val="20"/>
                <w:highlight w:val="none"/>
              </w:rPr>
            </w:pPr>
            <w:r>
              <w:rPr>
                <w:rFonts w:hint="eastAsia" w:ascii="宋体" w:hAnsi="宋体"/>
                <w:bCs/>
                <w:sz w:val="20"/>
                <w:szCs w:val="20"/>
                <w:highlight w:val="none"/>
              </w:rPr>
              <w:t>阴离子合成洗涤剂</w:t>
            </w:r>
          </w:p>
        </w:tc>
        <w:tc>
          <w:tcPr>
            <w:tcW w:w="1179" w:type="dxa"/>
            <w:vMerge w:val="continue"/>
            <w:vAlign w:val="center"/>
          </w:tcPr>
          <w:p>
            <w:pPr>
              <w:pStyle w:val="56"/>
              <w:spacing w:beforeLines="50"/>
              <w:ind w:firstLine="567"/>
              <w:rPr>
                <w:rFonts w:ascii="宋体" w:hAnsi="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trPr>
        <w:tc>
          <w:tcPr>
            <w:tcW w:w="935" w:type="dxa"/>
            <w:vAlign w:val="center"/>
          </w:tcPr>
          <w:p>
            <w:pPr>
              <w:pStyle w:val="56"/>
              <w:spacing w:beforeLines="50"/>
              <w:jc w:val="center"/>
              <w:rPr>
                <w:rFonts w:ascii="宋体" w:hAnsi="宋体"/>
                <w:bCs/>
                <w:sz w:val="20"/>
                <w:szCs w:val="20"/>
                <w:highlight w:val="none"/>
              </w:rPr>
            </w:pPr>
            <w:r>
              <w:rPr>
                <w:rFonts w:hint="eastAsia" w:ascii="宋体" w:hAnsi="宋体"/>
                <w:bCs/>
                <w:sz w:val="20"/>
                <w:szCs w:val="20"/>
                <w:highlight w:val="none"/>
              </w:rPr>
              <w:t>4</w:t>
            </w:r>
          </w:p>
        </w:tc>
        <w:tc>
          <w:tcPr>
            <w:tcW w:w="2885"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总氮TN</w:t>
            </w:r>
          </w:p>
        </w:tc>
        <w:tc>
          <w:tcPr>
            <w:tcW w:w="968" w:type="dxa"/>
            <w:vMerge w:val="continue"/>
            <w:vAlign w:val="center"/>
          </w:tcPr>
          <w:p>
            <w:pPr>
              <w:pStyle w:val="56"/>
              <w:spacing w:beforeLines="50"/>
              <w:ind w:firstLine="567"/>
              <w:rPr>
                <w:rFonts w:ascii="宋体" w:hAnsi="宋体"/>
                <w:bCs/>
                <w:sz w:val="20"/>
                <w:szCs w:val="20"/>
                <w:highlight w:val="none"/>
              </w:rPr>
            </w:pPr>
          </w:p>
        </w:tc>
        <w:tc>
          <w:tcPr>
            <w:tcW w:w="877" w:type="dxa"/>
            <w:vAlign w:val="center"/>
          </w:tcPr>
          <w:p>
            <w:pPr>
              <w:pStyle w:val="56"/>
              <w:spacing w:beforeLines="50"/>
              <w:jc w:val="center"/>
              <w:rPr>
                <w:rFonts w:ascii="宋体" w:hAnsi="宋体"/>
                <w:bCs/>
                <w:sz w:val="20"/>
                <w:szCs w:val="20"/>
                <w:highlight w:val="none"/>
              </w:rPr>
            </w:pPr>
            <w:r>
              <w:rPr>
                <w:rFonts w:hint="eastAsia" w:ascii="宋体" w:hAnsi="宋体"/>
                <w:bCs/>
                <w:sz w:val="20"/>
                <w:szCs w:val="20"/>
                <w:highlight w:val="none"/>
              </w:rPr>
              <w:t>10</w:t>
            </w:r>
          </w:p>
        </w:tc>
        <w:tc>
          <w:tcPr>
            <w:tcW w:w="2452" w:type="dxa"/>
            <w:vAlign w:val="center"/>
          </w:tcPr>
          <w:p>
            <w:pPr>
              <w:pStyle w:val="56"/>
              <w:spacing w:beforeLines="50"/>
              <w:ind w:firstLine="567"/>
              <w:jc w:val="center"/>
              <w:rPr>
                <w:rFonts w:ascii="宋体" w:hAnsi="宋体"/>
                <w:bCs/>
                <w:sz w:val="20"/>
                <w:szCs w:val="20"/>
                <w:highlight w:val="none"/>
              </w:rPr>
            </w:pPr>
            <w:r>
              <w:rPr>
                <w:rFonts w:hint="eastAsia" w:ascii="宋体" w:hAnsi="宋体"/>
                <w:bCs/>
                <w:sz w:val="20"/>
                <w:szCs w:val="20"/>
                <w:highlight w:val="none"/>
              </w:rPr>
              <w:t>色度</w:t>
            </w:r>
          </w:p>
        </w:tc>
        <w:tc>
          <w:tcPr>
            <w:tcW w:w="1179" w:type="dxa"/>
            <w:vMerge w:val="continue"/>
            <w:vAlign w:val="center"/>
          </w:tcPr>
          <w:p>
            <w:pPr>
              <w:pStyle w:val="56"/>
              <w:spacing w:beforeLines="50"/>
              <w:ind w:firstLine="567"/>
              <w:rPr>
                <w:rFonts w:ascii="宋体" w:hAnsi="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trPr>
        <w:tc>
          <w:tcPr>
            <w:tcW w:w="935" w:type="dxa"/>
            <w:vAlign w:val="center"/>
          </w:tcPr>
          <w:p>
            <w:pPr>
              <w:pStyle w:val="56"/>
              <w:spacing w:beforeLines="50"/>
              <w:jc w:val="center"/>
              <w:rPr>
                <w:rFonts w:ascii="宋体" w:hAnsi="宋体"/>
                <w:bCs/>
                <w:sz w:val="20"/>
                <w:szCs w:val="20"/>
                <w:highlight w:val="none"/>
              </w:rPr>
            </w:pPr>
            <w:r>
              <w:rPr>
                <w:rFonts w:hint="eastAsia" w:ascii="宋体" w:hAnsi="宋体"/>
                <w:bCs/>
                <w:sz w:val="20"/>
                <w:szCs w:val="20"/>
                <w:highlight w:val="none"/>
              </w:rPr>
              <w:t>5</w:t>
            </w:r>
          </w:p>
        </w:tc>
        <w:tc>
          <w:tcPr>
            <w:tcW w:w="2885"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氨氮NH</w:t>
            </w:r>
            <w:r>
              <w:rPr>
                <w:rFonts w:hint="eastAsia" w:ascii="宋体" w:hAnsi="宋体"/>
                <w:bCs/>
                <w:sz w:val="20"/>
                <w:szCs w:val="20"/>
                <w:highlight w:val="none"/>
                <w:vertAlign w:val="subscript"/>
              </w:rPr>
              <w:t>4</w:t>
            </w:r>
            <w:r>
              <w:rPr>
                <w:rFonts w:hint="eastAsia" w:ascii="宋体" w:hAnsi="宋体"/>
                <w:bCs/>
                <w:sz w:val="20"/>
                <w:szCs w:val="20"/>
                <w:highlight w:val="none"/>
                <w:vertAlign w:val="superscript"/>
              </w:rPr>
              <w:t>+</w:t>
            </w:r>
            <w:r>
              <w:rPr>
                <w:rFonts w:hint="eastAsia" w:ascii="宋体" w:hAnsi="宋体"/>
                <w:bCs/>
                <w:sz w:val="20"/>
                <w:szCs w:val="20"/>
                <w:highlight w:val="none"/>
              </w:rPr>
              <w:t>-N</w:t>
            </w:r>
          </w:p>
        </w:tc>
        <w:tc>
          <w:tcPr>
            <w:tcW w:w="968" w:type="dxa"/>
            <w:vMerge w:val="continue"/>
            <w:vAlign w:val="center"/>
          </w:tcPr>
          <w:p>
            <w:pPr>
              <w:pStyle w:val="56"/>
              <w:spacing w:beforeLines="50"/>
              <w:ind w:firstLine="567"/>
              <w:rPr>
                <w:rFonts w:ascii="宋体" w:hAnsi="宋体"/>
                <w:bCs/>
                <w:sz w:val="20"/>
                <w:szCs w:val="20"/>
                <w:highlight w:val="none"/>
              </w:rPr>
            </w:pPr>
          </w:p>
        </w:tc>
        <w:tc>
          <w:tcPr>
            <w:tcW w:w="877" w:type="dxa"/>
            <w:vAlign w:val="center"/>
          </w:tcPr>
          <w:p>
            <w:pPr>
              <w:pStyle w:val="56"/>
              <w:spacing w:beforeLines="50"/>
              <w:jc w:val="center"/>
              <w:rPr>
                <w:rFonts w:ascii="宋体" w:hAnsi="宋体"/>
                <w:bCs/>
                <w:sz w:val="20"/>
                <w:szCs w:val="20"/>
                <w:highlight w:val="none"/>
              </w:rPr>
            </w:pPr>
            <w:r>
              <w:rPr>
                <w:rFonts w:hint="eastAsia" w:ascii="宋体" w:hAnsi="宋体"/>
                <w:bCs/>
                <w:sz w:val="20"/>
                <w:szCs w:val="20"/>
                <w:highlight w:val="none"/>
              </w:rPr>
              <w:t>11</w:t>
            </w:r>
          </w:p>
        </w:tc>
        <w:tc>
          <w:tcPr>
            <w:tcW w:w="2452" w:type="dxa"/>
            <w:vAlign w:val="center"/>
          </w:tcPr>
          <w:p>
            <w:pPr>
              <w:pStyle w:val="56"/>
              <w:spacing w:beforeLines="50"/>
              <w:ind w:firstLine="567"/>
              <w:jc w:val="center"/>
              <w:rPr>
                <w:rFonts w:ascii="宋体" w:hAnsi="宋体"/>
                <w:bCs/>
                <w:sz w:val="20"/>
                <w:szCs w:val="20"/>
                <w:highlight w:val="none"/>
              </w:rPr>
            </w:pPr>
          </w:p>
        </w:tc>
        <w:tc>
          <w:tcPr>
            <w:tcW w:w="1179" w:type="dxa"/>
            <w:vMerge w:val="continue"/>
            <w:vAlign w:val="center"/>
          </w:tcPr>
          <w:p>
            <w:pPr>
              <w:pStyle w:val="56"/>
              <w:spacing w:beforeLines="50"/>
              <w:ind w:firstLine="567"/>
              <w:rPr>
                <w:rFonts w:ascii="宋体" w:hAnsi="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935" w:type="dxa"/>
            <w:vAlign w:val="center"/>
          </w:tcPr>
          <w:p>
            <w:pPr>
              <w:pStyle w:val="56"/>
              <w:spacing w:beforeLines="50"/>
              <w:jc w:val="center"/>
              <w:rPr>
                <w:rFonts w:ascii="宋体" w:hAnsi="宋体"/>
                <w:bCs/>
                <w:sz w:val="20"/>
                <w:szCs w:val="20"/>
                <w:highlight w:val="none"/>
              </w:rPr>
            </w:pPr>
            <w:r>
              <w:rPr>
                <w:rFonts w:hint="eastAsia" w:ascii="宋体" w:hAnsi="宋体"/>
                <w:bCs/>
                <w:sz w:val="20"/>
                <w:szCs w:val="20"/>
                <w:highlight w:val="none"/>
              </w:rPr>
              <w:t>6</w:t>
            </w:r>
          </w:p>
        </w:tc>
        <w:tc>
          <w:tcPr>
            <w:tcW w:w="2885"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总磷TP</w:t>
            </w:r>
          </w:p>
        </w:tc>
        <w:tc>
          <w:tcPr>
            <w:tcW w:w="968" w:type="dxa"/>
            <w:vMerge w:val="continue"/>
            <w:vAlign w:val="center"/>
          </w:tcPr>
          <w:p>
            <w:pPr>
              <w:pStyle w:val="56"/>
              <w:spacing w:beforeLines="50"/>
              <w:ind w:firstLine="567"/>
              <w:rPr>
                <w:rFonts w:ascii="宋体" w:hAnsi="宋体"/>
                <w:bCs/>
                <w:sz w:val="20"/>
                <w:szCs w:val="20"/>
                <w:highlight w:val="none"/>
              </w:rPr>
            </w:pPr>
          </w:p>
        </w:tc>
        <w:tc>
          <w:tcPr>
            <w:tcW w:w="877" w:type="dxa"/>
            <w:vAlign w:val="center"/>
          </w:tcPr>
          <w:p>
            <w:pPr>
              <w:pStyle w:val="56"/>
              <w:spacing w:beforeLines="50"/>
              <w:jc w:val="center"/>
              <w:rPr>
                <w:rFonts w:ascii="宋体" w:hAnsi="宋体"/>
                <w:bCs/>
                <w:sz w:val="20"/>
                <w:szCs w:val="20"/>
                <w:highlight w:val="none"/>
              </w:rPr>
            </w:pPr>
            <w:r>
              <w:rPr>
                <w:rFonts w:hint="eastAsia" w:ascii="宋体" w:hAnsi="宋体"/>
                <w:bCs/>
                <w:sz w:val="20"/>
                <w:szCs w:val="20"/>
                <w:highlight w:val="none"/>
              </w:rPr>
              <w:t>12</w:t>
            </w:r>
          </w:p>
        </w:tc>
        <w:tc>
          <w:tcPr>
            <w:tcW w:w="2452" w:type="dxa"/>
            <w:vAlign w:val="center"/>
          </w:tcPr>
          <w:p>
            <w:pPr>
              <w:pStyle w:val="56"/>
              <w:spacing w:beforeLines="50"/>
              <w:ind w:firstLine="567"/>
              <w:jc w:val="center"/>
              <w:rPr>
                <w:rFonts w:ascii="宋体" w:hAnsi="宋体"/>
                <w:bCs/>
                <w:sz w:val="20"/>
                <w:szCs w:val="20"/>
                <w:highlight w:val="none"/>
              </w:rPr>
            </w:pPr>
          </w:p>
        </w:tc>
        <w:tc>
          <w:tcPr>
            <w:tcW w:w="1179" w:type="dxa"/>
            <w:vMerge w:val="continue"/>
            <w:vAlign w:val="center"/>
          </w:tcPr>
          <w:p>
            <w:pPr>
              <w:pStyle w:val="56"/>
              <w:spacing w:beforeLines="50"/>
              <w:rPr>
                <w:rFonts w:ascii="宋体" w:hAnsi="宋体"/>
                <w:bCs/>
                <w:sz w:val="20"/>
                <w:szCs w:val="20"/>
                <w:highlight w:val="none"/>
              </w:rPr>
            </w:pPr>
          </w:p>
        </w:tc>
      </w:tr>
    </w:tbl>
    <w:p>
      <w:pPr>
        <w:pStyle w:val="56"/>
        <w:spacing w:beforeLines="50" w:line="360" w:lineRule="auto"/>
        <w:ind w:firstLine="212" w:firstLineChars="100"/>
        <w:rPr>
          <w:rFonts w:asciiTheme="minorEastAsia" w:hAnsiTheme="minorEastAsia" w:eastAsiaTheme="minorEastAsia" w:cstheme="minorEastAsia"/>
          <w:snapToGrid w:val="0"/>
          <w:color w:val="000000" w:themeColor="text1"/>
          <w:highlight w:val="none"/>
          <w:lang w:val="fr-FR"/>
          <w14:textFill>
            <w14:solidFill>
              <w14:schemeClr w14:val="tx1"/>
            </w14:solidFill>
          </w14:textFill>
        </w:rPr>
      </w:pPr>
      <w:r>
        <w:rPr>
          <w:rFonts w:hint="eastAsia" w:asciiTheme="minorEastAsia" w:hAnsiTheme="minorEastAsia" w:eastAsiaTheme="minorEastAsia" w:cstheme="minorEastAsia"/>
          <w:snapToGrid w:val="0"/>
          <w:color w:val="000000" w:themeColor="text1"/>
          <w:highlight w:val="none"/>
          <w:lang w:val="fr-FR"/>
          <w14:textFill>
            <w14:solidFill>
              <w14:schemeClr w14:val="tx1"/>
            </w14:solidFill>
          </w14:textFill>
        </w:rPr>
        <w:t>4、备检样本的保存</w:t>
      </w:r>
    </w:p>
    <w:p>
      <w:pPr>
        <w:spacing w:line="360" w:lineRule="auto"/>
        <w:ind w:firstLine="424" w:firstLineChars="200"/>
        <w:rPr>
          <w:rFonts w:asciiTheme="minorEastAsia" w:hAnsiTheme="minorEastAsia" w:eastAsiaTheme="minorEastAsia" w:cstheme="minorEastAsia"/>
          <w:snapToGrid w:val="0"/>
          <w:color w:val="000000" w:themeColor="text1"/>
          <w:kern w:val="0"/>
          <w:szCs w:val="21"/>
          <w:highlight w:val="none"/>
          <w:lang w:val="fr-FR"/>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highlight w:val="none"/>
          <w:lang w:val="fr-FR"/>
          <w14:textFill>
            <w14:solidFill>
              <w14:schemeClr w14:val="tx1"/>
            </w14:solidFill>
          </w14:textFill>
        </w:rPr>
        <w:t>污水处理厂于运营期间，日常采集用于检测的进出水水样及污泥检样，除自行检测需用的样本外，尚需采集备用样本，每份备用样本的采集水量应不少于2000ml,采集泥量应不少于2000g，并需保存于≦4℃的条件下。备用样本的保存时限为四十八（48）小时。</w:t>
      </w:r>
    </w:p>
    <w:p>
      <w:pPr>
        <w:pStyle w:val="24"/>
        <w:spacing w:line="360" w:lineRule="auto"/>
        <w:ind w:firstLine="242" w:firstLineChars="100"/>
        <w:rPr>
          <w:rFonts w:ascii="宋体" w:hAnsi="宋体" w:eastAsia="宋体" w:cs="宋体"/>
          <w:b/>
          <w:color w:val="000000" w:themeColor="text1"/>
          <w:sz w:val="24"/>
          <w:szCs w:val="24"/>
          <w:highlight w:val="none"/>
          <w:lang w:val="en-US"/>
          <w14:textFill>
            <w14:solidFill>
              <w14:schemeClr w14:val="tx1"/>
            </w14:solidFill>
          </w14:textFill>
        </w:rPr>
      </w:pPr>
      <w:r>
        <w:rPr>
          <w:rFonts w:hint="eastAsia" w:ascii="宋体" w:hAnsi="宋体" w:eastAsia="宋体" w:cs="宋体"/>
          <w:b/>
          <w:color w:val="000000" w:themeColor="text1"/>
          <w:sz w:val="24"/>
          <w:szCs w:val="24"/>
          <w:highlight w:val="none"/>
          <w:lang w:val="en-US"/>
          <w14:textFill>
            <w14:solidFill>
              <w14:schemeClr w14:val="tx1"/>
            </w14:solidFill>
          </w14:textFill>
        </w:rPr>
        <w:t>八、污泥清理和监测设备运维</w:t>
      </w:r>
    </w:p>
    <w:p>
      <w:pPr>
        <w:pStyle w:val="24"/>
        <w:spacing w:line="360" w:lineRule="auto"/>
        <w:rPr>
          <w:rFonts w:asciiTheme="minorEastAsia" w:hAnsiTheme="minorEastAsia" w:eastAsiaTheme="minorEastAsia" w:cstheme="minorEastAsia"/>
          <w:snapToGrid w:val="0"/>
          <w:color w:val="000000" w:themeColor="text1"/>
          <w:kern w:val="0"/>
          <w:sz w:val="21"/>
          <w:szCs w:val="21"/>
          <w:highlight w:val="none"/>
          <w:lang w:val="en-US"/>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1"/>
          <w:szCs w:val="21"/>
          <w:highlight w:val="none"/>
          <w:lang w:val="en-US"/>
          <w14:textFill>
            <w14:solidFill>
              <w14:schemeClr w14:val="tx1"/>
            </w14:solidFill>
          </w14:textFill>
        </w:rPr>
        <w:t>1、污泥清理</w:t>
      </w:r>
    </w:p>
    <w:p>
      <w:pPr>
        <w:pStyle w:val="24"/>
        <w:spacing w:line="360" w:lineRule="auto"/>
        <w:rPr>
          <w:rFonts w:asciiTheme="minorEastAsia" w:hAnsiTheme="minorEastAsia" w:eastAsiaTheme="minorEastAsia" w:cstheme="minorEastAsia"/>
          <w:snapToGrid w:val="0"/>
          <w:color w:val="000000" w:themeColor="text1"/>
          <w:kern w:val="0"/>
          <w:sz w:val="21"/>
          <w:szCs w:val="21"/>
          <w:highlight w:val="none"/>
          <w:lang w:val="en-US"/>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1"/>
          <w:szCs w:val="21"/>
          <w:highlight w:val="none"/>
          <w:lang w:val="en-US"/>
          <w14:textFill>
            <w14:solidFill>
              <w14:schemeClr w14:val="tx1"/>
            </w14:solidFill>
          </w14:textFill>
        </w:rPr>
        <w:t>1.1经项目设施处理后的排放污水及外运污泥，其所有权和使用支配权归采购方所有。未经采购方的事先书面同意，不得将收纳和处理后的污水及污泥提供给任何第三方；</w:t>
      </w:r>
    </w:p>
    <w:p>
      <w:pPr>
        <w:pStyle w:val="24"/>
        <w:spacing w:line="360" w:lineRule="auto"/>
        <w:rPr>
          <w:rFonts w:asciiTheme="minorEastAsia" w:hAnsiTheme="minorEastAsia" w:eastAsiaTheme="minorEastAsia" w:cstheme="minorEastAsia"/>
          <w:snapToGrid w:val="0"/>
          <w:color w:val="000000" w:themeColor="text1"/>
          <w:kern w:val="0"/>
          <w:sz w:val="21"/>
          <w:szCs w:val="21"/>
          <w:highlight w:val="none"/>
          <w:lang w:val="en-US"/>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1"/>
          <w:szCs w:val="21"/>
          <w:highlight w:val="none"/>
          <w:lang w:val="en-US"/>
          <w14:textFill>
            <w14:solidFill>
              <w14:schemeClr w14:val="tx1"/>
            </w14:solidFill>
          </w14:textFill>
        </w:rPr>
        <w:t>1.2根据《浙江省清废行动实施方案》浙政办发〔2018〕86号文件规定“按照危险废物不出市、固体废物不出县的原则，”污泥处理由衢江区具有相关资质的单位处理，费用由中标人承担。</w:t>
      </w:r>
    </w:p>
    <w:p>
      <w:pPr>
        <w:pStyle w:val="24"/>
        <w:spacing w:line="360" w:lineRule="auto"/>
        <w:rPr>
          <w:rFonts w:asciiTheme="minorEastAsia" w:hAnsiTheme="minorEastAsia" w:eastAsiaTheme="minorEastAsia" w:cstheme="minorEastAsia"/>
          <w:snapToGrid w:val="0"/>
          <w:color w:val="auto"/>
          <w:kern w:val="0"/>
          <w:sz w:val="21"/>
          <w:szCs w:val="21"/>
          <w:highlight w:val="none"/>
          <w:lang w:val="en-US"/>
        </w:rPr>
      </w:pPr>
      <w:r>
        <w:rPr>
          <w:rFonts w:hint="eastAsia" w:asciiTheme="minorEastAsia" w:hAnsiTheme="minorEastAsia" w:eastAsiaTheme="minorEastAsia" w:cstheme="minorEastAsia"/>
          <w:snapToGrid w:val="0"/>
          <w:color w:val="auto"/>
          <w:kern w:val="0"/>
          <w:sz w:val="21"/>
          <w:szCs w:val="21"/>
          <w:highlight w:val="none"/>
          <w:lang w:val="en-US"/>
        </w:rPr>
        <w:t>2、监测设备运维</w:t>
      </w:r>
    </w:p>
    <w:p>
      <w:pPr>
        <w:pStyle w:val="24"/>
        <w:spacing w:line="360" w:lineRule="auto"/>
        <w:rPr>
          <w:rFonts w:asciiTheme="minorEastAsia" w:hAnsiTheme="minorEastAsia" w:eastAsiaTheme="minorEastAsia" w:cstheme="minorEastAsia"/>
          <w:i/>
          <w:iCs/>
          <w:snapToGrid w:val="0"/>
          <w:color w:val="auto"/>
          <w:kern w:val="0"/>
          <w:sz w:val="21"/>
          <w:szCs w:val="21"/>
          <w:highlight w:val="none"/>
          <w:lang w:val="en-US"/>
        </w:rPr>
      </w:pPr>
      <w:r>
        <w:rPr>
          <w:rFonts w:hint="eastAsia" w:asciiTheme="minorEastAsia" w:hAnsiTheme="minorEastAsia" w:eastAsiaTheme="minorEastAsia" w:cstheme="minorEastAsia"/>
          <w:snapToGrid w:val="0"/>
          <w:color w:val="auto"/>
          <w:kern w:val="0"/>
          <w:sz w:val="21"/>
          <w:szCs w:val="21"/>
          <w:highlight w:val="none"/>
          <w:lang w:val="en-US"/>
        </w:rPr>
        <w:t>三方监测设备运维单位营业执照具备监测设备运维范围，且为衢州市生态环境局衢州市社会在线监测运维从业机构注册的单位，费用由中标人承担</w:t>
      </w:r>
      <w:r>
        <w:rPr>
          <w:rFonts w:hint="eastAsia" w:asciiTheme="minorEastAsia" w:hAnsiTheme="minorEastAsia" w:eastAsiaTheme="minorEastAsia" w:cstheme="minorEastAsia"/>
          <w:i/>
          <w:iCs/>
          <w:snapToGrid w:val="0"/>
          <w:color w:val="auto"/>
          <w:kern w:val="0"/>
          <w:sz w:val="21"/>
          <w:szCs w:val="21"/>
          <w:highlight w:val="none"/>
          <w:lang w:val="en-US"/>
        </w:rPr>
        <w:t>。</w:t>
      </w:r>
    </w:p>
    <w:p>
      <w:pPr>
        <w:spacing w:line="360" w:lineRule="auto"/>
        <w:ind w:firstLine="242" w:firstLineChars="100"/>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九、相关说明</w:t>
      </w:r>
    </w:p>
    <w:p>
      <w:pPr>
        <w:pStyle w:val="24"/>
        <w:spacing w:line="360" w:lineRule="auto"/>
        <w:rPr>
          <w:rFonts w:asciiTheme="minorEastAsia" w:hAnsiTheme="minorEastAsia" w:eastAsiaTheme="minorEastAsia" w:cstheme="minorEastAsia"/>
          <w:snapToGrid w:val="0"/>
          <w:color w:val="000000" w:themeColor="text1"/>
          <w:kern w:val="0"/>
          <w:sz w:val="21"/>
          <w:szCs w:val="21"/>
          <w:highlight w:val="none"/>
          <w:lang w:val="en-US"/>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1"/>
          <w:szCs w:val="21"/>
          <w:highlight w:val="none"/>
          <w:lang w:val="en-US"/>
          <w14:textFill>
            <w14:solidFill>
              <w14:schemeClr w14:val="tx1"/>
            </w14:solidFill>
          </w14:textFill>
        </w:rPr>
        <w:t>1、中标人须</w:t>
      </w:r>
      <w:r>
        <w:rPr>
          <w:rFonts w:hint="eastAsia" w:asciiTheme="minorEastAsia" w:hAnsiTheme="minorEastAsia" w:eastAsiaTheme="minorEastAsia" w:cstheme="minorEastAsia"/>
          <w:snapToGrid w:val="0"/>
          <w:color w:val="000000" w:themeColor="text1"/>
          <w:kern w:val="0"/>
          <w:sz w:val="21"/>
          <w:szCs w:val="21"/>
          <w:highlight w:val="none"/>
          <w:lang w:val="fr-FR"/>
          <w14:textFill>
            <w14:solidFill>
              <w14:schemeClr w14:val="tx1"/>
            </w14:solidFill>
          </w14:textFill>
        </w:rPr>
        <w:t>全资成立运营项目公司，配备本项目</w:t>
      </w:r>
      <w:r>
        <w:rPr>
          <w:rFonts w:hint="eastAsia" w:asciiTheme="minorEastAsia" w:hAnsiTheme="minorEastAsia" w:eastAsiaTheme="minorEastAsia" w:cstheme="minorEastAsia"/>
          <w:snapToGrid w:val="0"/>
          <w:color w:val="000000" w:themeColor="text1"/>
          <w:kern w:val="0"/>
          <w:sz w:val="21"/>
          <w:szCs w:val="21"/>
          <w:highlight w:val="none"/>
          <w:lang w:val="en-US"/>
          <w14:textFill>
            <w14:solidFill>
              <w14:schemeClr w14:val="tx1"/>
            </w14:solidFill>
          </w14:textFill>
        </w:rPr>
        <w:t>的工作人员。在委托运营期内，中标人负责项目设施的管理、运行、维护，保证正常运行，排放的水质符合国家相关标准要求。</w:t>
      </w:r>
    </w:p>
    <w:p>
      <w:pPr>
        <w:pStyle w:val="24"/>
        <w:spacing w:line="360" w:lineRule="auto"/>
        <w:rPr>
          <w:rFonts w:asciiTheme="minorEastAsia" w:hAnsiTheme="minorEastAsia" w:eastAsiaTheme="minorEastAsia" w:cstheme="minorEastAsia"/>
          <w:snapToGrid w:val="0"/>
          <w:color w:val="000000" w:themeColor="text1"/>
          <w:kern w:val="0"/>
          <w:sz w:val="21"/>
          <w:szCs w:val="21"/>
          <w:highlight w:val="none"/>
          <w:lang w:val="en-US"/>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1"/>
          <w:szCs w:val="21"/>
          <w:highlight w:val="none"/>
          <w:lang w:val="en-US"/>
          <w14:textFill>
            <w14:solidFill>
              <w14:schemeClr w14:val="tx1"/>
            </w14:solidFill>
          </w14:textFill>
        </w:rPr>
        <w:t>2、在运维期间若出现违法行为（水质超标、设备正常运行、固废处理）等情况，执法处罚全部由中标人承担。</w:t>
      </w:r>
    </w:p>
    <w:p>
      <w:pPr>
        <w:pStyle w:val="24"/>
        <w:spacing w:line="360" w:lineRule="auto"/>
        <w:rPr>
          <w:rFonts w:asciiTheme="minorEastAsia" w:hAnsiTheme="minorEastAsia" w:eastAsiaTheme="minorEastAsia" w:cstheme="minorEastAsia"/>
          <w:snapToGrid w:val="0"/>
          <w:color w:val="000000" w:themeColor="text1"/>
          <w:kern w:val="0"/>
          <w:sz w:val="21"/>
          <w:szCs w:val="21"/>
          <w:highlight w:val="none"/>
          <w:lang w:val="en-US"/>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1"/>
          <w:szCs w:val="21"/>
          <w:highlight w:val="none"/>
          <w:lang w:val="en-US"/>
          <w14:textFill>
            <w14:solidFill>
              <w14:schemeClr w14:val="tx1"/>
            </w14:solidFill>
          </w14:textFill>
        </w:rPr>
        <w:t>3、中标人须严格按照标准化的操作程序、完善的培训体系和质量控制体系完成本项目服务，以保证整个服务系统安全、高效、有序和有计划地运转。</w:t>
      </w:r>
    </w:p>
    <w:p>
      <w:pPr>
        <w:pStyle w:val="24"/>
        <w:spacing w:line="360" w:lineRule="auto"/>
        <w:rPr>
          <w:rFonts w:asciiTheme="minorEastAsia" w:hAnsiTheme="minorEastAsia" w:eastAsiaTheme="minorEastAsia" w:cstheme="minorEastAsia"/>
          <w:snapToGrid w:val="0"/>
          <w:color w:val="000000" w:themeColor="text1"/>
          <w:kern w:val="0"/>
          <w:sz w:val="21"/>
          <w:szCs w:val="21"/>
          <w:highlight w:val="none"/>
          <w:lang w:val="en-US"/>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1"/>
          <w:szCs w:val="21"/>
          <w:highlight w:val="none"/>
          <w:lang w:val="en-US"/>
          <w14:textFill>
            <w14:solidFill>
              <w14:schemeClr w14:val="tx1"/>
            </w14:solidFill>
          </w14:textFill>
        </w:rPr>
        <w:t>4、中标人有责任配合采购方接受上级领导部门的监督、检查，提供必须的资料。</w:t>
      </w:r>
    </w:p>
    <w:p>
      <w:pPr>
        <w:pStyle w:val="24"/>
        <w:spacing w:line="360" w:lineRule="auto"/>
        <w:rPr>
          <w:rFonts w:asciiTheme="minorEastAsia" w:hAnsiTheme="minorEastAsia" w:eastAsiaTheme="minorEastAsia" w:cstheme="minorEastAsia"/>
          <w:snapToGrid w:val="0"/>
          <w:color w:val="000000" w:themeColor="text1"/>
          <w:kern w:val="0"/>
          <w:sz w:val="21"/>
          <w:szCs w:val="21"/>
          <w:highlight w:val="none"/>
          <w:lang w:val="en-US"/>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1"/>
          <w:szCs w:val="21"/>
          <w:highlight w:val="none"/>
          <w:lang w:val="en-US"/>
          <w14:textFill>
            <w14:solidFill>
              <w14:schemeClr w14:val="tx1"/>
            </w14:solidFill>
          </w14:textFill>
        </w:rPr>
        <w:t>5、中标人须严格按照国家和衢州市政府规定给全部服务人员缴纳社会保障资金（包括养老、医疗、 工伤、生育险、失业保险等）。（所需费用要求已含在总报价中）。</w:t>
      </w:r>
    </w:p>
    <w:p>
      <w:pPr>
        <w:pStyle w:val="24"/>
        <w:spacing w:line="360" w:lineRule="auto"/>
        <w:rPr>
          <w:rFonts w:asciiTheme="minorEastAsia" w:hAnsiTheme="minorEastAsia" w:eastAsiaTheme="minorEastAsia" w:cstheme="minorEastAsia"/>
          <w:snapToGrid w:val="0"/>
          <w:color w:val="000000" w:themeColor="text1"/>
          <w:kern w:val="0"/>
          <w:sz w:val="21"/>
          <w:szCs w:val="21"/>
          <w:highlight w:val="none"/>
          <w:lang w:val="en-US"/>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1"/>
          <w:szCs w:val="21"/>
          <w:highlight w:val="none"/>
          <w:lang w:val="en-US"/>
          <w14:textFill>
            <w14:solidFill>
              <w14:schemeClr w14:val="tx1"/>
            </w14:solidFill>
          </w14:textFill>
        </w:rPr>
        <w:t>6、中标人自行负责其招聘员工的一切工资、福利；如发生工伤、疾病乃至死亡的一切责任及费用由中标人全部负责；中标人应严格遵守国家有关的法律、法规及行业标准。如因中标人原因造成第三方损失的或在服务过程中中标人与从业人员发生任何劳动纠纷的，一切责任及费用由中标人全部负责。</w:t>
      </w:r>
    </w:p>
    <w:p>
      <w:pPr>
        <w:pStyle w:val="24"/>
        <w:spacing w:line="360" w:lineRule="auto"/>
        <w:rPr>
          <w:rFonts w:asciiTheme="minorEastAsia" w:hAnsiTheme="minorEastAsia" w:eastAsiaTheme="minorEastAsia" w:cstheme="minorEastAsia"/>
          <w:snapToGrid w:val="0"/>
          <w:color w:val="000000" w:themeColor="text1"/>
          <w:kern w:val="0"/>
          <w:sz w:val="21"/>
          <w:szCs w:val="21"/>
          <w:highlight w:val="none"/>
          <w:lang w:val="en-US"/>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1"/>
          <w:szCs w:val="21"/>
          <w:highlight w:val="none"/>
          <w:lang w:val="en-US"/>
          <w14:textFill>
            <w14:solidFill>
              <w14:schemeClr w14:val="tx1"/>
            </w14:solidFill>
          </w14:textFill>
        </w:rPr>
        <w:t>7、采购人不接受投标人任何因遗漏报价而发生的费用追加，因中标人违反《劳动法》等法律法规而造成院方的连带责任和损失全部由中标人承担。</w:t>
      </w:r>
    </w:p>
    <w:p>
      <w:pPr>
        <w:pStyle w:val="24"/>
        <w:spacing w:line="360" w:lineRule="auto"/>
        <w:rPr>
          <w:rFonts w:asciiTheme="minorEastAsia" w:hAnsiTheme="minorEastAsia" w:eastAsiaTheme="minorEastAsia" w:cstheme="minorEastAsia"/>
          <w:snapToGrid w:val="0"/>
          <w:color w:val="000000" w:themeColor="text1"/>
          <w:kern w:val="0"/>
          <w:sz w:val="21"/>
          <w:szCs w:val="21"/>
          <w:highlight w:val="none"/>
          <w:lang w:val="en-US"/>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1"/>
          <w:szCs w:val="21"/>
          <w:highlight w:val="none"/>
          <w:lang w:val="en-US"/>
          <w14:textFill>
            <w14:solidFill>
              <w14:schemeClr w14:val="tx1"/>
            </w14:solidFill>
          </w14:textFill>
        </w:rPr>
        <w:t>8、中标人须认真履行职责，严格按服务协议中的质量保证体系做好承包服务工作。确保在岗在位，各尽其职，保证符合各项服务基本要求和各项质量标准。</w:t>
      </w:r>
    </w:p>
    <w:p>
      <w:pPr>
        <w:pStyle w:val="24"/>
        <w:spacing w:line="360" w:lineRule="auto"/>
        <w:rPr>
          <w:rFonts w:asciiTheme="minorEastAsia" w:hAnsiTheme="minorEastAsia" w:eastAsiaTheme="minorEastAsia" w:cstheme="minorEastAsia"/>
          <w:snapToGrid w:val="0"/>
          <w:color w:val="000000" w:themeColor="text1"/>
          <w:kern w:val="0"/>
          <w:sz w:val="21"/>
          <w:szCs w:val="21"/>
          <w:highlight w:val="none"/>
          <w:lang w:val="en-US"/>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1"/>
          <w:szCs w:val="21"/>
          <w:highlight w:val="none"/>
          <w:lang w:val="en-US"/>
          <w14:textFill>
            <w14:solidFill>
              <w14:schemeClr w14:val="tx1"/>
            </w14:solidFill>
          </w14:textFill>
        </w:rPr>
        <w:t>9、项目相关费用</w:t>
      </w:r>
    </w:p>
    <w:p>
      <w:pPr>
        <w:pStyle w:val="24"/>
        <w:spacing w:line="360" w:lineRule="auto"/>
        <w:rPr>
          <w:rFonts w:asciiTheme="minorEastAsia" w:hAnsiTheme="minorEastAsia" w:eastAsiaTheme="minorEastAsia" w:cstheme="minorEastAsia"/>
          <w:snapToGrid w:val="0"/>
          <w:color w:val="000000" w:themeColor="text1"/>
          <w:kern w:val="0"/>
          <w:sz w:val="21"/>
          <w:szCs w:val="21"/>
          <w:highlight w:val="none"/>
          <w:lang w:val="en-US"/>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1"/>
          <w:szCs w:val="21"/>
          <w:highlight w:val="none"/>
          <w:lang w:val="en-US"/>
          <w14:textFill>
            <w14:solidFill>
              <w14:schemeClr w14:val="tx1"/>
            </w14:solidFill>
          </w14:textFill>
        </w:rPr>
        <w:t>9.1本项目的招标代理费以中标金额为计算基数：采购代理服务费按国家计委计价格[2002]1980号规定按差额定律累法计算+开标过程中产生的其他费用。以上费用均由中标单位在领取中标通知书时，一次性支付给代理公司，上述费用应含在投标报价中（不得单独列项），投标人在投标报价让利中考虑上述费用。代理服务费缴纳账户：</w:t>
      </w:r>
    </w:p>
    <w:p>
      <w:pPr>
        <w:pStyle w:val="24"/>
        <w:spacing w:line="360" w:lineRule="auto"/>
        <w:rPr>
          <w:rFonts w:asciiTheme="minorEastAsia" w:hAnsiTheme="minorEastAsia" w:eastAsiaTheme="minorEastAsia" w:cstheme="minorEastAsia"/>
          <w:snapToGrid w:val="0"/>
          <w:color w:val="000000" w:themeColor="text1"/>
          <w:kern w:val="0"/>
          <w:sz w:val="21"/>
          <w:szCs w:val="21"/>
          <w:highlight w:val="none"/>
          <w:lang w:val="en-US"/>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1"/>
          <w:szCs w:val="21"/>
          <w:highlight w:val="none"/>
          <w:lang w:val="en-US"/>
          <w14:textFill>
            <w14:solidFill>
              <w14:schemeClr w14:val="tx1"/>
            </w14:solidFill>
          </w14:textFill>
        </w:rPr>
        <w:t>浙江华耀建设咨询有限公司衢州分公司</w:t>
      </w:r>
    </w:p>
    <w:p>
      <w:pPr>
        <w:pStyle w:val="24"/>
        <w:spacing w:line="360" w:lineRule="auto"/>
        <w:rPr>
          <w:rFonts w:asciiTheme="minorEastAsia" w:hAnsiTheme="minorEastAsia" w:eastAsiaTheme="minorEastAsia" w:cstheme="minorEastAsia"/>
          <w:snapToGrid w:val="0"/>
          <w:color w:val="000000" w:themeColor="text1"/>
          <w:kern w:val="0"/>
          <w:sz w:val="21"/>
          <w:szCs w:val="21"/>
          <w:highlight w:val="none"/>
          <w:lang w:val="en-US"/>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1"/>
          <w:szCs w:val="21"/>
          <w:highlight w:val="none"/>
          <w:lang w:val="en-US"/>
          <w14:textFill>
            <w14:solidFill>
              <w14:schemeClr w14:val="tx1"/>
            </w14:solidFill>
          </w14:textFill>
        </w:rPr>
        <w:t>纳税人识别号：913308037864337717</w:t>
      </w:r>
    </w:p>
    <w:p>
      <w:pPr>
        <w:pStyle w:val="24"/>
        <w:spacing w:line="360" w:lineRule="auto"/>
        <w:rPr>
          <w:rFonts w:asciiTheme="minorEastAsia" w:hAnsiTheme="minorEastAsia" w:eastAsiaTheme="minorEastAsia" w:cstheme="minorEastAsia"/>
          <w:snapToGrid w:val="0"/>
          <w:color w:val="000000" w:themeColor="text1"/>
          <w:kern w:val="0"/>
          <w:sz w:val="21"/>
          <w:szCs w:val="21"/>
          <w:highlight w:val="none"/>
          <w:lang w:val="en-US"/>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1"/>
          <w:szCs w:val="21"/>
          <w:highlight w:val="none"/>
          <w:lang w:val="en-US"/>
          <w14:textFill>
            <w14:solidFill>
              <w14:schemeClr w14:val="tx1"/>
            </w14:solidFill>
          </w14:textFill>
        </w:rPr>
        <w:t>地址、电话：衢州市衢江区衢州花园42-5号0570-2911777</w:t>
      </w:r>
    </w:p>
    <w:p>
      <w:pPr>
        <w:pStyle w:val="24"/>
        <w:spacing w:line="360" w:lineRule="auto"/>
        <w:rPr>
          <w:rFonts w:asciiTheme="minorEastAsia" w:hAnsiTheme="minorEastAsia" w:eastAsiaTheme="minorEastAsia" w:cstheme="minorEastAsia"/>
          <w:snapToGrid w:val="0"/>
          <w:color w:val="000000" w:themeColor="text1"/>
          <w:kern w:val="0"/>
          <w:sz w:val="21"/>
          <w:szCs w:val="21"/>
          <w:highlight w:val="none"/>
          <w:lang w:val="en-US"/>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1"/>
          <w:szCs w:val="21"/>
          <w:highlight w:val="none"/>
          <w:lang w:val="en-US"/>
          <w14:textFill>
            <w14:solidFill>
              <w14:schemeClr w14:val="tx1"/>
            </w14:solidFill>
          </w14:textFill>
        </w:rPr>
        <w:t>开户行及账号：中国农业银行衢州绿色专营支行19-720101040008448</w:t>
      </w:r>
    </w:p>
    <w:p>
      <w:pPr>
        <w:pStyle w:val="24"/>
        <w:spacing w:line="360" w:lineRule="auto"/>
        <w:rPr>
          <w:rFonts w:hint="eastAsia" w:asciiTheme="minorEastAsia" w:hAnsiTheme="minorEastAsia" w:eastAsiaTheme="minorEastAsia" w:cstheme="minorEastAsia"/>
          <w:snapToGrid w:val="0"/>
          <w:color w:val="000000" w:themeColor="text1"/>
          <w:kern w:val="0"/>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1"/>
          <w:szCs w:val="21"/>
          <w:highlight w:val="none"/>
          <w:lang w:val="en-US"/>
          <w14:textFill>
            <w14:solidFill>
              <w14:schemeClr w14:val="tx1"/>
            </w14:solidFill>
          </w14:textFill>
        </w:rPr>
        <w:t>9.2  公证费按实结算，由中标供应商结算给公证处。</w:t>
      </w:r>
      <w:r>
        <w:rPr>
          <w:rFonts w:hint="eastAsia" w:asciiTheme="minorEastAsia" w:hAnsiTheme="minorEastAsia" w:eastAsiaTheme="minorEastAsia" w:cstheme="minorEastAsia"/>
          <w:snapToGrid w:val="0"/>
          <w:color w:val="000000" w:themeColor="text1"/>
          <w:kern w:val="0"/>
          <w:sz w:val="21"/>
          <w:szCs w:val="21"/>
          <w:highlight w:val="none"/>
          <w:lang w:val="en-US" w:eastAsia="zh-CN"/>
          <w14:textFill>
            <w14:solidFill>
              <w14:schemeClr w14:val="tx1"/>
            </w14:solidFill>
          </w14:textFill>
        </w:rPr>
        <w:t>评委费按实结算。</w:t>
      </w:r>
    </w:p>
    <w:p>
      <w:pPr>
        <w:autoSpaceDE w:val="0"/>
        <w:autoSpaceDN w:val="0"/>
        <w:spacing w:line="460" w:lineRule="exact"/>
        <w:ind w:firstLine="3258" w:firstLineChars="900"/>
        <w:rPr>
          <w:rFonts w:hint="eastAsia" w:ascii="宋体" w:hAnsi="宋体" w:cs="宋体"/>
          <w:b/>
          <w:color w:val="000000" w:themeColor="text1"/>
          <w:sz w:val="36"/>
          <w:szCs w:val="36"/>
          <w:highlight w:val="none"/>
          <w:lang w:val="zh-CN"/>
          <w14:textFill>
            <w14:solidFill>
              <w14:schemeClr w14:val="tx1"/>
            </w14:solidFill>
          </w14:textFill>
        </w:rPr>
      </w:pPr>
    </w:p>
    <w:p>
      <w:pPr>
        <w:autoSpaceDE w:val="0"/>
        <w:autoSpaceDN w:val="0"/>
        <w:spacing w:line="460" w:lineRule="exact"/>
        <w:ind w:firstLine="3258" w:firstLineChars="900"/>
        <w:rPr>
          <w:rFonts w:hint="eastAsia" w:ascii="宋体" w:hAnsi="宋体" w:cs="宋体"/>
          <w:b/>
          <w:color w:val="000000" w:themeColor="text1"/>
          <w:sz w:val="36"/>
          <w:szCs w:val="36"/>
          <w:highlight w:val="none"/>
          <w:lang w:val="zh-CN"/>
          <w14:textFill>
            <w14:solidFill>
              <w14:schemeClr w14:val="tx1"/>
            </w14:solidFill>
          </w14:textFill>
        </w:rPr>
      </w:pPr>
    </w:p>
    <w:p>
      <w:pPr>
        <w:autoSpaceDE w:val="0"/>
        <w:autoSpaceDN w:val="0"/>
        <w:spacing w:line="460" w:lineRule="exact"/>
        <w:ind w:firstLine="3258" w:firstLineChars="900"/>
        <w:rPr>
          <w:rFonts w:ascii="宋体" w:hAnsi="宋体" w:cs="宋体"/>
          <w:b/>
          <w:color w:val="000000" w:themeColor="text1"/>
          <w:sz w:val="36"/>
          <w:szCs w:val="36"/>
          <w:highlight w:val="none"/>
          <w:lang w:val="zh-CN"/>
          <w14:textFill>
            <w14:solidFill>
              <w14:schemeClr w14:val="tx1"/>
            </w14:solidFill>
          </w14:textFill>
        </w:rPr>
      </w:pPr>
      <w:r>
        <w:rPr>
          <w:rFonts w:hint="eastAsia" w:ascii="宋体" w:hAnsi="宋体" w:cs="宋体"/>
          <w:b/>
          <w:color w:val="000000" w:themeColor="text1"/>
          <w:sz w:val="36"/>
          <w:szCs w:val="36"/>
          <w:highlight w:val="none"/>
          <w:lang w:val="zh-CN"/>
          <w14:textFill>
            <w14:solidFill>
              <w14:schemeClr w14:val="tx1"/>
            </w14:solidFill>
          </w14:textFill>
        </w:rPr>
        <w:t>第四章  评标办法</w:t>
      </w:r>
    </w:p>
    <w:p>
      <w:pPr>
        <w:snapToGrid w:val="0"/>
        <w:spacing w:line="360" w:lineRule="auto"/>
        <w:ind w:firstLine="420"/>
        <w:rPr>
          <w:rFonts w:ascii="宋体" w:hAnsi="宋体"/>
          <w:color w:val="000000" w:themeColor="text1"/>
          <w:szCs w:val="21"/>
          <w:highlight w:val="none"/>
          <w14:textFill>
            <w14:solidFill>
              <w14:schemeClr w14:val="tx1"/>
            </w14:solidFill>
          </w14:textFill>
        </w:rPr>
      </w:pPr>
    </w:p>
    <w:p>
      <w:pPr>
        <w:adjustRightInd w:val="0"/>
        <w:snapToGrid w:val="0"/>
        <w:spacing w:line="360" w:lineRule="auto"/>
        <w:rPr>
          <w:rStyle w:val="59"/>
          <w:rFonts w:hint="eastAsia" w:cs="宋体"/>
          <w:b/>
          <w:bCs/>
          <w:color w:val="auto"/>
          <w:sz w:val="21"/>
          <w:szCs w:val="22"/>
          <w:highlight w:val="none"/>
          <w:lang w:val="zh-TW" w:eastAsia="zh-CN"/>
        </w:rPr>
      </w:pPr>
      <w:r>
        <w:rPr>
          <w:rStyle w:val="59"/>
          <w:rFonts w:hint="eastAsia" w:cs="宋体"/>
          <w:b/>
          <w:bCs/>
          <w:color w:val="auto"/>
          <w:sz w:val="21"/>
          <w:szCs w:val="22"/>
          <w:highlight w:val="none"/>
          <w:lang w:val="zh-TW" w:eastAsia="zh-CN"/>
        </w:rPr>
        <w:t>一、总则</w:t>
      </w:r>
    </w:p>
    <w:p>
      <w:pPr>
        <w:adjustRightInd w:val="0"/>
        <w:snapToGrid w:val="0"/>
        <w:spacing w:line="360" w:lineRule="auto"/>
        <w:ind w:firstLine="212" w:firstLineChars="100"/>
        <w:rPr>
          <w:rStyle w:val="59"/>
          <w:rFonts w:hint="eastAsia" w:cs="宋体"/>
          <w:b/>
          <w:bCs/>
          <w:color w:val="auto"/>
          <w:sz w:val="21"/>
          <w:szCs w:val="22"/>
          <w:highlight w:val="none"/>
        </w:rPr>
      </w:pPr>
      <w:r>
        <w:rPr>
          <w:rStyle w:val="59"/>
          <w:rFonts w:hint="eastAsia" w:cs="宋体"/>
          <w:color w:val="auto"/>
          <w:sz w:val="21"/>
          <w:szCs w:val="22"/>
          <w:highlight w:val="none"/>
          <w:lang w:val="zh-TW"/>
        </w:rPr>
        <w:t>1</w:t>
      </w:r>
      <w:r>
        <w:rPr>
          <w:rStyle w:val="59"/>
          <w:rFonts w:hint="eastAsia" w:eastAsia="宋体" w:cs="宋体"/>
          <w:color w:val="auto"/>
          <w:sz w:val="21"/>
          <w:szCs w:val="22"/>
          <w:highlight w:val="none"/>
          <w:lang w:val="en-US" w:eastAsia="zh-CN"/>
        </w:rPr>
        <w:t>.</w:t>
      </w:r>
      <w:r>
        <w:rPr>
          <w:rStyle w:val="59"/>
          <w:rFonts w:hint="eastAsia" w:cs="宋体"/>
          <w:color w:val="auto"/>
          <w:sz w:val="21"/>
          <w:szCs w:val="22"/>
          <w:highlight w:val="none"/>
        </w:rPr>
        <w:t>根据</w:t>
      </w:r>
      <w:r>
        <w:rPr>
          <w:color w:val="auto"/>
          <w:sz w:val="21"/>
          <w:szCs w:val="21"/>
          <w:highlight w:val="none"/>
          <w:lang w:eastAsia="zh-CN"/>
        </w:rPr>
        <w:t>《中华人民共和国政府采购法》</w:t>
      </w:r>
      <w:r>
        <w:rPr>
          <w:color w:val="auto"/>
          <w:kern w:val="2"/>
          <w:sz w:val="21"/>
          <w:szCs w:val="21"/>
          <w:highlight w:val="none"/>
          <w:lang w:eastAsia="zh-CN"/>
        </w:rPr>
        <w:t>、《中华人民共和国政府采购法实施条例》、《政府采购货物和服务招标投标管理办法》</w:t>
      </w:r>
      <w:r>
        <w:rPr>
          <w:rStyle w:val="59"/>
          <w:rFonts w:hint="eastAsia" w:cs="宋体"/>
          <w:color w:val="auto"/>
          <w:sz w:val="21"/>
          <w:szCs w:val="22"/>
          <w:highlight w:val="none"/>
        </w:rPr>
        <w:t>及相关法规的规定，结合采购项目特点制定本评标办法。</w:t>
      </w:r>
      <w:r>
        <w:rPr>
          <w:rStyle w:val="59"/>
          <w:rFonts w:hint="eastAsia" w:cs="宋体"/>
          <w:color w:val="auto"/>
          <w:sz w:val="21"/>
          <w:szCs w:val="22"/>
          <w:highlight w:val="none"/>
        </w:rPr>
        <w:br w:type="textWrapping"/>
      </w:r>
      <w:r>
        <w:rPr>
          <w:rStyle w:val="59"/>
          <w:rFonts w:hint="eastAsia" w:cs="宋体"/>
          <w:color w:val="auto"/>
          <w:sz w:val="21"/>
          <w:szCs w:val="22"/>
          <w:highlight w:val="none"/>
          <w:lang w:val="zh-TW"/>
        </w:rPr>
        <w:t xml:space="preserve">  2</w:t>
      </w:r>
      <w:r>
        <w:rPr>
          <w:rStyle w:val="59"/>
          <w:rFonts w:hint="eastAsia" w:eastAsia="宋体" w:cs="宋体"/>
          <w:color w:val="auto"/>
          <w:sz w:val="21"/>
          <w:szCs w:val="22"/>
          <w:highlight w:val="none"/>
          <w:lang w:val="en-US" w:eastAsia="zh-CN"/>
        </w:rPr>
        <w:t>.</w:t>
      </w:r>
      <w:r>
        <w:rPr>
          <w:rStyle w:val="59"/>
          <w:rFonts w:hint="eastAsia" w:cs="宋体"/>
          <w:color w:val="auto"/>
          <w:sz w:val="21"/>
          <w:szCs w:val="22"/>
          <w:highlight w:val="none"/>
        </w:rPr>
        <w:t>评标工作由采购代理机构负责组织，具体评标事务由评标委员会负责。                           （1）评标委员会由</w:t>
      </w:r>
      <w:r>
        <w:rPr>
          <w:rStyle w:val="59"/>
          <w:rFonts w:hint="eastAsia" w:eastAsia="宋体" w:cs="宋体"/>
          <w:color w:val="auto"/>
          <w:sz w:val="21"/>
          <w:szCs w:val="22"/>
          <w:highlight w:val="none"/>
          <w:lang w:val="en-US" w:eastAsia="zh-CN"/>
        </w:rPr>
        <w:t>7</w:t>
      </w:r>
      <w:r>
        <w:rPr>
          <w:rStyle w:val="59"/>
          <w:rFonts w:hint="eastAsia" w:cs="宋体"/>
          <w:color w:val="auto"/>
          <w:sz w:val="21"/>
          <w:szCs w:val="22"/>
          <w:highlight w:val="none"/>
        </w:rPr>
        <w:t>人</w:t>
      </w:r>
      <w:r>
        <w:rPr>
          <w:rStyle w:val="59"/>
          <w:rFonts w:hint="eastAsia" w:eastAsia="宋体" w:cs="宋体"/>
          <w:color w:val="auto"/>
          <w:sz w:val="21"/>
          <w:szCs w:val="22"/>
          <w:highlight w:val="none"/>
          <w:lang w:eastAsia="zh-CN"/>
        </w:rPr>
        <w:t>及</w:t>
      </w:r>
      <w:r>
        <w:rPr>
          <w:rStyle w:val="59"/>
          <w:rFonts w:hint="eastAsia" w:cs="宋体"/>
          <w:color w:val="auto"/>
          <w:sz w:val="21"/>
          <w:szCs w:val="22"/>
          <w:highlight w:val="none"/>
          <w:lang w:eastAsia="zh-CN"/>
        </w:rPr>
        <w:t>以上单数专家</w:t>
      </w:r>
      <w:r>
        <w:rPr>
          <w:rStyle w:val="59"/>
          <w:rFonts w:hint="eastAsia" w:cs="宋体"/>
          <w:color w:val="auto"/>
          <w:sz w:val="21"/>
          <w:szCs w:val="22"/>
          <w:highlight w:val="none"/>
        </w:rPr>
        <w:t>组成，其中</w:t>
      </w:r>
      <w:r>
        <w:rPr>
          <w:rStyle w:val="59"/>
          <w:rFonts w:hint="eastAsia" w:cs="宋体"/>
          <w:color w:val="auto"/>
          <w:sz w:val="21"/>
          <w:szCs w:val="22"/>
          <w:highlight w:val="none"/>
          <w:lang w:eastAsia="zh-CN"/>
        </w:rPr>
        <w:t>含</w:t>
      </w:r>
      <w:r>
        <w:rPr>
          <w:rStyle w:val="59"/>
          <w:rFonts w:hint="eastAsia" w:cs="宋体"/>
          <w:color w:val="auto"/>
          <w:sz w:val="21"/>
          <w:szCs w:val="22"/>
          <w:highlight w:val="none"/>
        </w:rPr>
        <w:t>技术、经济专家</w:t>
      </w:r>
      <w:r>
        <w:rPr>
          <w:rStyle w:val="59"/>
          <w:rFonts w:hint="eastAsia" w:cs="宋体"/>
          <w:color w:val="auto"/>
          <w:sz w:val="21"/>
          <w:szCs w:val="22"/>
          <w:highlight w:val="none"/>
          <w:lang w:eastAsia="zh-CN"/>
        </w:rPr>
        <w:t>和</w:t>
      </w:r>
      <w:r>
        <w:rPr>
          <w:rStyle w:val="59"/>
          <w:rFonts w:hint="eastAsia" w:cs="宋体"/>
          <w:color w:val="auto"/>
          <w:sz w:val="21"/>
          <w:szCs w:val="22"/>
          <w:highlight w:val="none"/>
        </w:rPr>
        <w:t>业主</w:t>
      </w:r>
      <w:r>
        <w:rPr>
          <w:rStyle w:val="59"/>
          <w:rFonts w:hint="eastAsia" w:cs="宋体"/>
          <w:color w:val="auto"/>
          <w:sz w:val="21"/>
          <w:szCs w:val="22"/>
          <w:highlight w:val="none"/>
          <w:lang w:eastAsia="zh-CN"/>
        </w:rPr>
        <w:t>评委</w:t>
      </w:r>
      <w:r>
        <w:rPr>
          <w:rStyle w:val="59"/>
          <w:rFonts w:hint="eastAsia" w:cs="宋体"/>
          <w:color w:val="auto"/>
          <w:sz w:val="21"/>
          <w:szCs w:val="22"/>
          <w:highlight w:val="none"/>
        </w:rPr>
        <w:t xml:space="preserve">。                </w:t>
      </w:r>
      <w:r>
        <w:rPr>
          <w:rStyle w:val="59"/>
          <w:rFonts w:hint="eastAsia" w:cs="宋体"/>
          <w:color w:val="auto"/>
          <w:sz w:val="21"/>
          <w:szCs w:val="22"/>
          <w:highlight w:val="none"/>
          <w:lang w:val="en-US" w:eastAsia="zh-CN"/>
        </w:rPr>
        <w:t xml:space="preserve">   </w:t>
      </w:r>
      <w:r>
        <w:rPr>
          <w:rStyle w:val="59"/>
          <w:rFonts w:hint="eastAsia" w:cs="宋体"/>
          <w:color w:val="auto"/>
          <w:sz w:val="21"/>
          <w:szCs w:val="22"/>
          <w:highlight w:val="none"/>
        </w:rPr>
        <w:t xml:space="preserve">                       （2）评标专家确定方式：按相关规定从专家库中抽取。</w:t>
      </w:r>
      <w:r>
        <w:rPr>
          <w:rStyle w:val="59"/>
          <w:rFonts w:hint="eastAsia" w:cs="宋体"/>
          <w:color w:val="auto"/>
          <w:sz w:val="21"/>
          <w:szCs w:val="22"/>
          <w:highlight w:val="none"/>
        </w:rPr>
        <w:br w:type="textWrapping"/>
      </w:r>
      <w:r>
        <w:rPr>
          <w:rStyle w:val="59"/>
          <w:rFonts w:hint="eastAsia" w:cs="宋体"/>
          <w:color w:val="auto"/>
          <w:sz w:val="21"/>
          <w:szCs w:val="22"/>
          <w:highlight w:val="none"/>
          <w:lang w:val="zh-TW"/>
        </w:rPr>
        <w:t xml:space="preserve">  3</w:t>
      </w:r>
      <w:r>
        <w:rPr>
          <w:rStyle w:val="59"/>
          <w:rFonts w:hint="eastAsia" w:eastAsia="宋体" w:cs="宋体"/>
          <w:color w:val="auto"/>
          <w:sz w:val="21"/>
          <w:szCs w:val="22"/>
          <w:highlight w:val="none"/>
          <w:lang w:val="en-US" w:eastAsia="zh-CN"/>
        </w:rPr>
        <w:t>.</w:t>
      </w:r>
      <w:r>
        <w:rPr>
          <w:rStyle w:val="59"/>
          <w:rFonts w:hint="eastAsia" w:cs="宋体"/>
          <w:color w:val="auto"/>
          <w:sz w:val="21"/>
          <w:szCs w:val="22"/>
          <w:highlight w:val="none"/>
        </w:rPr>
        <w:t>评标工作遵循公平、公正、科学及择优原则，并以相同的评标程序和标准对待所有的投标人。</w:t>
      </w:r>
      <w:r>
        <w:rPr>
          <w:rStyle w:val="59"/>
          <w:rFonts w:hint="eastAsia" w:cs="宋体"/>
          <w:color w:val="auto"/>
          <w:sz w:val="21"/>
          <w:szCs w:val="22"/>
          <w:highlight w:val="none"/>
        </w:rPr>
        <w:br w:type="textWrapping"/>
      </w:r>
      <w:r>
        <w:rPr>
          <w:rStyle w:val="59"/>
          <w:rFonts w:hint="eastAsia" w:cs="宋体"/>
          <w:color w:val="auto"/>
          <w:sz w:val="21"/>
          <w:szCs w:val="22"/>
          <w:highlight w:val="none"/>
          <w:lang w:val="zh-TW"/>
        </w:rPr>
        <w:t xml:space="preserve">  4</w:t>
      </w:r>
      <w:r>
        <w:rPr>
          <w:rStyle w:val="59"/>
          <w:rFonts w:hint="eastAsia" w:eastAsia="宋体" w:cs="宋体"/>
          <w:color w:val="auto"/>
          <w:sz w:val="21"/>
          <w:szCs w:val="22"/>
          <w:highlight w:val="none"/>
          <w:lang w:val="en-US" w:eastAsia="zh-CN"/>
        </w:rPr>
        <w:t>.</w:t>
      </w:r>
      <w:r>
        <w:rPr>
          <w:rStyle w:val="59"/>
          <w:rFonts w:hint="eastAsia" w:cs="宋体"/>
          <w:color w:val="auto"/>
          <w:sz w:val="21"/>
          <w:szCs w:val="22"/>
          <w:highlight w:val="none"/>
        </w:rPr>
        <w:t>评标委员会按照采购项目文件规定的评标方法和标准进行评标，并独立履行下列职责：</w:t>
      </w:r>
      <w:r>
        <w:rPr>
          <w:rStyle w:val="59"/>
          <w:rFonts w:hint="eastAsia" w:cs="宋体"/>
          <w:color w:val="auto"/>
          <w:sz w:val="21"/>
          <w:szCs w:val="22"/>
          <w:highlight w:val="none"/>
        </w:rPr>
        <w:br w:type="textWrapping"/>
      </w:r>
      <w:r>
        <w:rPr>
          <w:rStyle w:val="59"/>
          <w:rFonts w:hint="eastAsia" w:cs="宋体"/>
          <w:color w:val="auto"/>
          <w:sz w:val="21"/>
          <w:szCs w:val="22"/>
          <w:highlight w:val="none"/>
        </w:rPr>
        <w:t>（</w:t>
      </w:r>
      <w:r>
        <w:rPr>
          <w:rStyle w:val="59"/>
          <w:rFonts w:hint="eastAsia" w:cs="宋体"/>
          <w:color w:val="auto"/>
          <w:sz w:val="21"/>
          <w:szCs w:val="22"/>
          <w:highlight w:val="none"/>
          <w:lang w:val="zh-TW"/>
        </w:rPr>
        <w:t>1</w:t>
      </w:r>
      <w:r>
        <w:rPr>
          <w:rStyle w:val="59"/>
          <w:rFonts w:hint="eastAsia" w:cs="宋体"/>
          <w:color w:val="auto"/>
          <w:sz w:val="21"/>
          <w:szCs w:val="22"/>
          <w:highlight w:val="none"/>
        </w:rPr>
        <w:t>）审查投标文件是否符合招标文件要求，并作出评价；</w:t>
      </w:r>
      <w:r>
        <w:rPr>
          <w:rStyle w:val="59"/>
          <w:rFonts w:hint="eastAsia" w:cs="宋体"/>
          <w:color w:val="auto"/>
          <w:sz w:val="21"/>
          <w:szCs w:val="22"/>
          <w:highlight w:val="none"/>
        </w:rPr>
        <w:br w:type="textWrapping"/>
      </w:r>
      <w:r>
        <w:rPr>
          <w:rStyle w:val="59"/>
          <w:rFonts w:hint="eastAsia" w:cs="宋体"/>
          <w:color w:val="auto"/>
          <w:sz w:val="21"/>
          <w:szCs w:val="22"/>
          <w:highlight w:val="none"/>
        </w:rPr>
        <w:t>（</w:t>
      </w:r>
      <w:r>
        <w:rPr>
          <w:rStyle w:val="59"/>
          <w:rFonts w:hint="eastAsia" w:cs="宋体"/>
          <w:color w:val="auto"/>
          <w:sz w:val="21"/>
          <w:szCs w:val="22"/>
          <w:highlight w:val="none"/>
          <w:lang w:val="zh-TW"/>
        </w:rPr>
        <w:t>2</w:t>
      </w:r>
      <w:r>
        <w:rPr>
          <w:rStyle w:val="59"/>
          <w:rFonts w:hint="eastAsia" w:cs="宋体"/>
          <w:color w:val="auto"/>
          <w:sz w:val="21"/>
          <w:szCs w:val="22"/>
          <w:highlight w:val="none"/>
        </w:rPr>
        <w:t>）要求投标投标人对投标文件有关事项作出解释或者澄清；</w:t>
      </w:r>
      <w:r>
        <w:rPr>
          <w:rStyle w:val="59"/>
          <w:rFonts w:hint="eastAsia" w:cs="宋体"/>
          <w:color w:val="auto"/>
          <w:sz w:val="21"/>
          <w:szCs w:val="22"/>
          <w:highlight w:val="none"/>
        </w:rPr>
        <w:br w:type="textWrapping"/>
      </w:r>
      <w:r>
        <w:rPr>
          <w:rStyle w:val="59"/>
          <w:rFonts w:hint="eastAsia" w:cs="宋体"/>
          <w:color w:val="auto"/>
          <w:sz w:val="21"/>
          <w:szCs w:val="22"/>
          <w:highlight w:val="none"/>
        </w:rPr>
        <w:t>（</w:t>
      </w:r>
      <w:r>
        <w:rPr>
          <w:rStyle w:val="59"/>
          <w:rFonts w:hint="eastAsia" w:cs="宋体"/>
          <w:color w:val="auto"/>
          <w:sz w:val="21"/>
          <w:szCs w:val="22"/>
          <w:highlight w:val="none"/>
          <w:lang w:val="zh-TW"/>
        </w:rPr>
        <w:t>3</w:t>
      </w:r>
      <w:r>
        <w:rPr>
          <w:rStyle w:val="59"/>
          <w:rFonts w:hint="eastAsia" w:cs="宋体"/>
          <w:color w:val="auto"/>
          <w:sz w:val="21"/>
          <w:szCs w:val="22"/>
          <w:highlight w:val="none"/>
        </w:rPr>
        <w:t>）推荐中标候选人名单；</w:t>
      </w:r>
      <w:r>
        <w:rPr>
          <w:rStyle w:val="59"/>
          <w:rFonts w:hint="eastAsia" w:cs="宋体"/>
          <w:color w:val="auto"/>
          <w:sz w:val="21"/>
          <w:szCs w:val="22"/>
          <w:highlight w:val="none"/>
        </w:rPr>
        <w:br w:type="textWrapping"/>
      </w:r>
      <w:r>
        <w:rPr>
          <w:rStyle w:val="59"/>
          <w:rFonts w:hint="eastAsia" w:cs="宋体"/>
          <w:color w:val="auto"/>
          <w:sz w:val="21"/>
          <w:szCs w:val="22"/>
          <w:highlight w:val="none"/>
        </w:rPr>
        <w:t>（</w:t>
      </w:r>
      <w:r>
        <w:rPr>
          <w:rStyle w:val="59"/>
          <w:rFonts w:hint="eastAsia" w:cs="宋体"/>
          <w:color w:val="auto"/>
          <w:sz w:val="21"/>
          <w:szCs w:val="22"/>
          <w:highlight w:val="none"/>
          <w:lang w:val="zh-TW"/>
        </w:rPr>
        <w:t>4</w:t>
      </w:r>
      <w:r>
        <w:rPr>
          <w:rStyle w:val="59"/>
          <w:rFonts w:hint="eastAsia" w:cs="宋体"/>
          <w:color w:val="auto"/>
          <w:sz w:val="21"/>
          <w:szCs w:val="22"/>
          <w:highlight w:val="none"/>
        </w:rPr>
        <w:t>）向采购代理机构或者有关部门报告非法干预评标工作的行为。</w:t>
      </w:r>
      <w:r>
        <w:rPr>
          <w:rStyle w:val="59"/>
          <w:rFonts w:hint="eastAsia" w:cs="宋体"/>
          <w:color w:val="auto"/>
          <w:sz w:val="21"/>
          <w:szCs w:val="22"/>
          <w:highlight w:val="none"/>
        </w:rPr>
        <w:br w:type="textWrapping"/>
      </w:r>
      <w:r>
        <w:rPr>
          <w:rStyle w:val="59"/>
          <w:rFonts w:hint="eastAsia" w:cs="宋体"/>
          <w:b/>
          <w:bCs/>
          <w:color w:val="auto"/>
          <w:sz w:val="21"/>
          <w:szCs w:val="22"/>
          <w:highlight w:val="none"/>
        </w:rPr>
        <w:t>二、评标纪律</w:t>
      </w:r>
    </w:p>
    <w:p>
      <w:pPr>
        <w:adjustRightInd w:val="0"/>
        <w:snapToGrid w:val="0"/>
        <w:spacing w:line="360" w:lineRule="auto"/>
        <w:ind w:firstLine="424" w:firstLineChars="200"/>
        <w:rPr>
          <w:rStyle w:val="59"/>
          <w:rFonts w:hint="eastAsia" w:cs="宋体"/>
          <w:color w:val="auto"/>
          <w:sz w:val="21"/>
          <w:szCs w:val="22"/>
          <w:highlight w:val="none"/>
        </w:rPr>
      </w:pPr>
      <w:r>
        <w:rPr>
          <w:rStyle w:val="59"/>
          <w:rFonts w:hint="eastAsia" w:cs="宋体"/>
          <w:color w:val="auto"/>
          <w:sz w:val="21"/>
          <w:szCs w:val="22"/>
          <w:highlight w:val="none"/>
        </w:rPr>
        <w:t>1.评标是招标工作的重要环节，评标工作在评标委员会内独立进行。评标委员会将按照评标原则的要求，公正、平等地对待所有供应商。</w:t>
      </w:r>
    </w:p>
    <w:p>
      <w:pPr>
        <w:adjustRightInd w:val="0"/>
        <w:snapToGrid w:val="0"/>
        <w:spacing w:line="360" w:lineRule="auto"/>
        <w:ind w:firstLine="424" w:firstLineChars="200"/>
        <w:rPr>
          <w:rStyle w:val="59"/>
          <w:rFonts w:hint="eastAsia" w:cs="宋体"/>
          <w:color w:val="auto"/>
          <w:sz w:val="21"/>
          <w:szCs w:val="22"/>
          <w:highlight w:val="none"/>
        </w:rPr>
      </w:pPr>
      <w:r>
        <w:rPr>
          <w:rStyle w:val="59"/>
          <w:rFonts w:hint="eastAsia" w:cs="宋体"/>
          <w:color w:val="auto"/>
          <w:sz w:val="21"/>
          <w:szCs w:val="22"/>
          <w:highlight w:val="none"/>
        </w:rPr>
        <w:t>2.所有评标人员应忠于职守、廉洁自律、秉公办事、不徇私情。</w:t>
      </w:r>
    </w:p>
    <w:p>
      <w:pPr>
        <w:adjustRightInd w:val="0"/>
        <w:snapToGrid w:val="0"/>
        <w:spacing w:line="360" w:lineRule="auto"/>
        <w:ind w:firstLine="424" w:firstLineChars="200"/>
        <w:rPr>
          <w:rStyle w:val="59"/>
          <w:rFonts w:hint="eastAsia" w:cs="宋体"/>
          <w:color w:val="auto"/>
          <w:sz w:val="21"/>
          <w:szCs w:val="22"/>
          <w:highlight w:val="none"/>
        </w:rPr>
      </w:pPr>
      <w:r>
        <w:rPr>
          <w:rStyle w:val="59"/>
          <w:rFonts w:hint="eastAsia" w:cs="宋体"/>
          <w:color w:val="auto"/>
          <w:sz w:val="21"/>
          <w:szCs w:val="22"/>
          <w:highlight w:val="none"/>
        </w:rPr>
        <w:t>3.评标人员不得接受或参加供应商或与投标有关的单位、组织或个人的有碍公务的宴请、娱乐活动等，不得以任何形式弄虚作假。</w:t>
      </w:r>
    </w:p>
    <w:p>
      <w:pPr>
        <w:adjustRightInd w:val="0"/>
        <w:snapToGrid w:val="0"/>
        <w:spacing w:line="360" w:lineRule="auto"/>
        <w:ind w:firstLine="424" w:firstLineChars="200"/>
        <w:rPr>
          <w:rStyle w:val="59"/>
          <w:rFonts w:hint="eastAsia" w:cs="宋体"/>
          <w:color w:val="auto"/>
          <w:sz w:val="21"/>
          <w:szCs w:val="22"/>
          <w:highlight w:val="none"/>
        </w:rPr>
      </w:pPr>
      <w:r>
        <w:rPr>
          <w:rStyle w:val="59"/>
          <w:rFonts w:hint="eastAsia" w:cs="宋体"/>
          <w:color w:val="auto"/>
          <w:sz w:val="21"/>
          <w:szCs w:val="22"/>
          <w:highlight w:val="none"/>
        </w:rPr>
        <w:t>4.评标期间，评标人员不得随意出入评标地点、与外界通讯、会客等。</w:t>
      </w:r>
    </w:p>
    <w:p>
      <w:pPr>
        <w:adjustRightInd w:val="0"/>
        <w:snapToGrid w:val="0"/>
        <w:spacing w:line="360" w:lineRule="auto"/>
        <w:ind w:firstLine="424" w:firstLineChars="200"/>
        <w:rPr>
          <w:rStyle w:val="59"/>
          <w:rFonts w:hint="eastAsia" w:cs="宋体"/>
          <w:color w:val="auto"/>
          <w:sz w:val="21"/>
          <w:szCs w:val="22"/>
          <w:highlight w:val="none"/>
        </w:rPr>
      </w:pPr>
      <w:r>
        <w:rPr>
          <w:rStyle w:val="59"/>
          <w:rFonts w:hint="eastAsia" w:cs="宋体"/>
          <w:color w:val="auto"/>
          <w:sz w:val="21"/>
          <w:szCs w:val="22"/>
          <w:highlight w:val="none"/>
        </w:rPr>
        <w:t>5.在投标文件的审查、澄清、评价和比较以及授予合同的过程中，供应商对采购人、采购机构人员及评标委员会成员施加影响的任何行为，都将导致被取消投标资格。</w:t>
      </w:r>
    </w:p>
    <w:p>
      <w:pPr>
        <w:adjustRightInd w:val="0"/>
        <w:snapToGrid w:val="0"/>
        <w:spacing w:line="360" w:lineRule="auto"/>
        <w:ind w:firstLine="424" w:firstLineChars="200"/>
        <w:rPr>
          <w:rStyle w:val="59"/>
          <w:rFonts w:hint="eastAsia" w:cs="宋体"/>
          <w:color w:val="auto"/>
          <w:sz w:val="21"/>
          <w:szCs w:val="22"/>
          <w:highlight w:val="none"/>
        </w:rPr>
      </w:pPr>
      <w:r>
        <w:rPr>
          <w:rStyle w:val="59"/>
          <w:rFonts w:hint="eastAsia" w:cs="宋体"/>
          <w:color w:val="auto"/>
          <w:sz w:val="21"/>
          <w:szCs w:val="22"/>
          <w:highlight w:val="none"/>
        </w:rPr>
        <w:t>6.为保证评标的公正性，在评标过程中，评标委员会成员不得与供应商或与中标结果有利害关系的人进行私下接触。在评标工作结束后，凡与评标情况有接触的任何人，不得将评标情况扩散出评标委员会以外。</w:t>
      </w:r>
    </w:p>
    <w:p>
      <w:pPr>
        <w:adjustRightInd w:val="0"/>
        <w:snapToGrid w:val="0"/>
        <w:spacing w:line="360" w:lineRule="auto"/>
        <w:ind w:firstLine="424" w:firstLineChars="200"/>
        <w:rPr>
          <w:rStyle w:val="59"/>
          <w:rFonts w:hint="eastAsia" w:cs="宋体"/>
          <w:color w:val="auto"/>
          <w:sz w:val="21"/>
          <w:szCs w:val="22"/>
          <w:highlight w:val="none"/>
        </w:rPr>
      </w:pPr>
      <w:r>
        <w:rPr>
          <w:rStyle w:val="59"/>
          <w:rFonts w:hint="eastAsia" w:cs="宋体"/>
          <w:color w:val="auto"/>
          <w:sz w:val="21"/>
          <w:szCs w:val="22"/>
          <w:highlight w:val="none"/>
        </w:rPr>
        <w:t>7.评标过程中，评标专家对供应商的优劣情况，以及认为差异较大的情况等，应以书面意见作出真实、专业、诚恳负责的表述，不得违背客观、公正的原则。</w:t>
      </w:r>
    </w:p>
    <w:p>
      <w:pPr>
        <w:adjustRightInd w:val="0"/>
        <w:snapToGrid w:val="0"/>
        <w:spacing w:line="360" w:lineRule="auto"/>
        <w:ind w:firstLine="424" w:firstLineChars="200"/>
        <w:rPr>
          <w:rStyle w:val="59"/>
          <w:rFonts w:hint="eastAsia" w:cs="宋体"/>
          <w:color w:val="auto"/>
          <w:sz w:val="21"/>
          <w:szCs w:val="22"/>
          <w:highlight w:val="none"/>
        </w:rPr>
      </w:pPr>
      <w:r>
        <w:rPr>
          <w:rStyle w:val="59"/>
          <w:rFonts w:hint="eastAsia" w:cs="宋体"/>
          <w:color w:val="auto"/>
          <w:sz w:val="21"/>
          <w:szCs w:val="22"/>
          <w:highlight w:val="none"/>
        </w:rPr>
        <w:t>8.评标结束后，各评标人员应将全部资料整理上交采购人，严禁将评标过程中的任何资料带出评标现场向供应商或其他单位提供。</w:t>
      </w:r>
    </w:p>
    <w:p>
      <w:pPr>
        <w:adjustRightInd w:val="0"/>
        <w:snapToGrid w:val="0"/>
        <w:spacing w:line="360" w:lineRule="auto"/>
        <w:ind w:firstLine="424" w:firstLineChars="200"/>
        <w:rPr>
          <w:rStyle w:val="59"/>
          <w:rFonts w:hint="eastAsia" w:cs="宋体"/>
          <w:color w:val="auto"/>
          <w:sz w:val="21"/>
          <w:szCs w:val="22"/>
          <w:highlight w:val="none"/>
        </w:rPr>
      </w:pPr>
      <w:r>
        <w:rPr>
          <w:rStyle w:val="59"/>
          <w:rFonts w:hint="eastAsia" w:cs="宋体"/>
          <w:color w:val="auto"/>
          <w:sz w:val="21"/>
          <w:szCs w:val="22"/>
          <w:highlight w:val="none"/>
        </w:rPr>
        <w:t>9.在中标结果公布前应对评标委员会成员名单予以保密。</w:t>
      </w:r>
    </w:p>
    <w:p>
      <w:pPr>
        <w:adjustRightInd w:val="0"/>
        <w:snapToGrid w:val="0"/>
        <w:spacing w:line="360" w:lineRule="auto"/>
        <w:ind w:firstLine="424" w:firstLineChars="200"/>
        <w:rPr>
          <w:rStyle w:val="59"/>
          <w:rFonts w:hint="eastAsia" w:cs="宋体"/>
          <w:color w:val="auto"/>
          <w:sz w:val="21"/>
          <w:szCs w:val="22"/>
          <w:highlight w:val="none"/>
        </w:rPr>
      </w:pPr>
      <w:r>
        <w:rPr>
          <w:rStyle w:val="59"/>
          <w:rFonts w:hint="eastAsia" w:cs="宋体"/>
          <w:color w:val="auto"/>
          <w:sz w:val="21"/>
          <w:szCs w:val="22"/>
          <w:highlight w:val="none"/>
        </w:rPr>
        <w:t>10.评标委员会对各供应商的商业秘密予以保密。</w:t>
      </w:r>
    </w:p>
    <w:p>
      <w:pPr>
        <w:adjustRightInd w:val="0"/>
        <w:snapToGrid w:val="0"/>
        <w:spacing w:line="360" w:lineRule="auto"/>
        <w:ind w:firstLine="424" w:firstLineChars="200"/>
        <w:rPr>
          <w:rStyle w:val="59"/>
          <w:rFonts w:hint="eastAsia" w:cs="宋体"/>
          <w:color w:val="auto"/>
          <w:sz w:val="21"/>
          <w:szCs w:val="22"/>
          <w:highlight w:val="none"/>
        </w:rPr>
      </w:pPr>
      <w:r>
        <w:rPr>
          <w:rStyle w:val="59"/>
          <w:rFonts w:hint="eastAsia" w:cs="宋体"/>
          <w:color w:val="auto"/>
          <w:sz w:val="21"/>
          <w:szCs w:val="22"/>
          <w:highlight w:val="none"/>
        </w:rPr>
        <w:t>11.评标委员会成员应当客观、公正地履行职责，遵守职业道德，对所提出的评审意见承担个人责任。</w:t>
      </w:r>
    </w:p>
    <w:p>
      <w:pPr>
        <w:adjustRightInd w:val="0"/>
        <w:snapToGrid w:val="0"/>
        <w:spacing w:line="360" w:lineRule="auto"/>
        <w:ind w:firstLine="424" w:firstLineChars="200"/>
        <w:rPr>
          <w:rStyle w:val="59"/>
          <w:rFonts w:hint="eastAsia" w:cs="宋体"/>
          <w:color w:val="auto"/>
          <w:sz w:val="21"/>
          <w:szCs w:val="22"/>
          <w:highlight w:val="none"/>
        </w:rPr>
      </w:pPr>
      <w:r>
        <w:rPr>
          <w:rStyle w:val="59"/>
          <w:rFonts w:hint="eastAsia" w:cs="宋体"/>
          <w:color w:val="auto"/>
          <w:sz w:val="21"/>
          <w:szCs w:val="22"/>
          <w:highlight w:val="none"/>
        </w:rPr>
        <w:t>12.在整个评标过程中，供应商企图影响招标结果的任何活动，可能导致其投标失败。如有违法行为，将依法追究其法律责任。</w:t>
      </w:r>
    </w:p>
    <w:p>
      <w:pPr>
        <w:adjustRightInd w:val="0"/>
        <w:snapToGrid w:val="0"/>
        <w:spacing w:line="360" w:lineRule="auto"/>
        <w:rPr>
          <w:rStyle w:val="59"/>
          <w:rFonts w:hint="eastAsia" w:cs="宋体"/>
          <w:b/>
          <w:bCs/>
          <w:color w:val="auto"/>
          <w:sz w:val="21"/>
          <w:szCs w:val="22"/>
          <w:highlight w:val="none"/>
        </w:rPr>
      </w:pPr>
      <w:r>
        <w:rPr>
          <w:rStyle w:val="59"/>
          <w:rFonts w:hint="eastAsia" w:cs="宋体"/>
          <w:b/>
          <w:bCs/>
          <w:color w:val="auto"/>
          <w:sz w:val="21"/>
          <w:szCs w:val="22"/>
          <w:highlight w:val="none"/>
          <w:lang w:eastAsia="zh-CN"/>
        </w:rPr>
        <w:t>三、</w:t>
      </w:r>
      <w:r>
        <w:rPr>
          <w:rStyle w:val="59"/>
          <w:rFonts w:hint="eastAsia" w:cs="宋体"/>
          <w:b/>
          <w:bCs/>
          <w:color w:val="auto"/>
          <w:sz w:val="21"/>
          <w:szCs w:val="22"/>
          <w:highlight w:val="none"/>
        </w:rPr>
        <w:t>评标程序</w:t>
      </w:r>
    </w:p>
    <w:p>
      <w:pPr>
        <w:adjustRightInd w:val="0"/>
        <w:snapToGrid w:val="0"/>
        <w:spacing w:line="360" w:lineRule="auto"/>
        <w:ind w:firstLine="424" w:firstLineChars="200"/>
        <w:rPr>
          <w:rStyle w:val="59"/>
          <w:rFonts w:hint="eastAsia" w:cs="宋体"/>
          <w:b/>
          <w:bCs/>
          <w:color w:val="auto"/>
          <w:sz w:val="21"/>
          <w:szCs w:val="22"/>
          <w:highlight w:val="none"/>
        </w:rPr>
      </w:pPr>
      <w:r>
        <w:rPr>
          <w:rStyle w:val="59"/>
          <w:rFonts w:hint="eastAsia" w:cs="宋体"/>
          <w:b/>
          <w:bCs/>
          <w:color w:val="auto"/>
          <w:sz w:val="21"/>
          <w:szCs w:val="22"/>
          <w:highlight w:val="none"/>
        </w:rPr>
        <w:t>1.本项目评标的依据为采购文件和投标文件。</w:t>
      </w:r>
    </w:p>
    <w:p>
      <w:pPr>
        <w:adjustRightInd w:val="0"/>
        <w:snapToGrid w:val="0"/>
        <w:spacing w:line="360" w:lineRule="auto"/>
        <w:ind w:firstLine="424" w:firstLineChars="200"/>
        <w:rPr>
          <w:rStyle w:val="59"/>
          <w:rFonts w:hint="eastAsia" w:cs="宋体"/>
          <w:b/>
          <w:bCs/>
          <w:color w:val="auto"/>
          <w:sz w:val="21"/>
          <w:szCs w:val="22"/>
          <w:highlight w:val="none"/>
        </w:rPr>
      </w:pPr>
      <w:r>
        <w:rPr>
          <w:rStyle w:val="59"/>
          <w:rFonts w:hint="eastAsia" w:cs="宋体"/>
          <w:b/>
          <w:bCs/>
          <w:color w:val="auto"/>
          <w:sz w:val="21"/>
          <w:szCs w:val="22"/>
          <w:highlight w:val="none"/>
        </w:rPr>
        <w:t>2.熟悉采购文件和评标办法。</w:t>
      </w:r>
    </w:p>
    <w:p>
      <w:pPr>
        <w:adjustRightInd w:val="0"/>
        <w:snapToGrid w:val="0"/>
        <w:spacing w:line="360" w:lineRule="auto"/>
        <w:ind w:firstLine="424" w:firstLineChars="200"/>
        <w:rPr>
          <w:rStyle w:val="59"/>
          <w:rFonts w:hint="eastAsia" w:cs="宋体"/>
          <w:b/>
          <w:bCs/>
          <w:color w:val="auto"/>
          <w:sz w:val="21"/>
          <w:szCs w:val="22"/>
          <w:highlight w:val="none"/>
        </w:rPr>
      </w:pPr>
      <w:r>
        <w:rPr>
          <w:rStyle w:val="59"/>
          <w:rFonts w:hint="eastAsia" w:cs="宋体"/>
          <w:b/>
          <w:bCs/>
          <w:color w:val="auto"/>
          <w:sz w:val="21"/>
          <w:szCs w:val="22"/>
          <w:highlight w:val="none"/>
        </w:rPr>
        <w:t>3.</w:t>
      </w:r>
      <w:r>
        <w:rPr>
          <w:rStyle w:val="59"/>
          <w:rFonts w:hint="eastAsia" w:cs="宋体"/>
          <w:b/>
          <w:bCs/>
          <w:color w:val="auto"/>
          <w:sz w:val="21"/>
          <w:szCs w:val="22"/>
          <w:highlight w:val="none"/>
          <w:lang w:eastAsia="zh-CN"/>
        </w:rPr>
        <w:t>公证处和</w:t>
      </w:r>
      <w:r>
        <w:rPr>
          <w:rStyle w:val="59"/>
          <w:rFonts w:hint="eastAsia" w:cs="宋体"/>
          <w:b/>
          <w:bCs/>
          <w:color w:val="auto"/>
          <w:sz w:val="21"/>
          <w:szCs w:val="22"/>
          <w:highlight w:val="none"/>
        </w:rPr>
        <w:t>采购代理机构按照采购文件规定的时间、地点及程序组织评审。</w:t>
      </w:r>
    </w:p>
    <w:p>
      <w:pPr>
        <w:adjustRightInd w:val="0"/>
        <w:snapToGrid w:val="0"/>
        <w:spacing w:line="360" w:lineRule="auto"/>
        <w:ind w:firstLine="424" w:firstLineChars="200"/>
        <w:rPr>
          <w:rStyle w:val="59"/>
          <w:rFonts w:hint="eastAsia" w:cs="宋体"/>
          <w:b/>
          <w:bCs/>
          <w:color w:val="auto"/>
          <w:sz w:val="21"/>
          <w:szCs w:val="22"/>
          <w:highlight w:val="none"/>
        </w:rPr>
      </w:pPr>
      <w:r>
        <w:rPr>
          <w:rStyle w:val="59"/>
          <w:rFonts w:hint="eastAsia" w:cs="宋体"/>
          <w:b/>
          <w:bCs/>
          <w:color w:val="auto"/>
          <w:sz w:val="21"/>
          <w:szCs w:val="22"/>
          <w:highlight w:val="none"/>
        </w:rPr>
        <w:t>评审程序如下：</w:t>
      </w:r>
    </w:p>
    <w:p>
      <w:pPr>
        <w:adjustRightInd w:val="0"/>
        <w:snapToGrid w:val="0"/>
        <w:spacing w:line="360" w:lineRule="auto"/>
        <w:ind w:firstLine="424" w:firstLineChars="200"/>
        <w:rPr>
          <w:rStyle w:val="59"/>
          <w:rFonts w:hint="eastAsia" w:cs="宋体"/>
          <w:color w:val="auto"/>
          <w:sz w:val="21"/>
          <w:szCs w:val="22"/>
          <w:highlight w:val="none"/>
        </w:rPr>
      </w:pPr>
      <w:r>
        <w:rPr>
          <w:rStyle w:val="59"/>
          <w:rFonts w:hint="eastAsia" w:cs="宋体"/>
          <w:color w:val="auto"/>
          <w:sz w:val="21"/>
          <w:szCs w:val="22"/>
          <w:highlight w:val="none"/>
        </w:rPr>
        <w:t>1）开启评审场地的录音录像采集设备，并确保其正常运行。</w:t>
      </w:r>
    </w:p>
    <w:p>
      <w:pPr>
        <w:adjustRightInd w:val="0"/>
        <w:snapToGrid w:val="0"/>
        <w:spacing w:line="360" w:lineRule="auto"/>
        <w:ind w:firstLine="424" w:firstLineChars="200"/>
        <w:rPr>
          <w:rStyle w:val="59"/>
          <w:rFonts w:hint="eastAsia" w:cs="宋体"/>
          <w:color w:val="auto"/>
          <w:sz w:val="21"/>
          <w:szCs w:val="22"/>
          <w:highlight w:val="none"/>
        </w:rPr>
      </w:pPr>
      <w:r>
        <w:rPr>
          <w:rStyle w:val="59"/>
          <w:rFonts w:hint="eastAsia" w:cs="宋体"/>
          <w:color w:val="auto"/>
          <w:sz w:val="21"/>
          <w:szCs w:val="22"/>
          <w:highlight w:val="none"/>
        </w:rPr>
        <w:t>2）核验出席评审活动现场的评审小组各成员和相关监督人员身份，并要求其分别登记、签到，按规定统一收缴、保存其通讯工具，无关人员一律拒绝其进入评审现场。</w:t>
      </w:r>
    </w:p>
    <w:p>
      <w:pPr>
        <w:adjustRightInd w:val="0"/>
        <w:snapToGrid w:val="0"/>
        <w:spacing w:line="360" w:lineRule="auto"/>
        <w:ind w:firstLine="424" w:firstLineChars="200"/>
        <w:rPr>
          <w:rStyle w:val="59"/>
          <w:rFonts w:hint="eastAsia" w:cs="宋体"/>
          <w:color w:val="auto"/>
          <w:sz w:val="21"/>
          <w:szCs w:val="22"/>
          <w:highlight w:val="none"/>
        </w:rPr>
      </w:pPr>
      <w:r>
        <w:rPr>
          <w:rStyle w:val="59"/>
          <w:rFonts w:hint="eastAsia" w:cs="宋体"/>
          <w:color w:val="auto"/>
          <w:sz w:val="21"/>
          <w:szCs w:val="22"/>
          <w:highlight w:val="none"/>
        </w:rPr>
        <w:t>3）介绍评审现场的人员情况，宣布评审工作纪律，告知评审人员应当回避情形；组织推选评审小组组长。</w:t>
      </w:r>
    </w:p>
    <w:p>
      <w:pPr>
        <w:adjustRightInd w:val="0"/>
        <w:snapToGrid w:val="0"/>
        <w:spacing w:line="360" w:lineRule="auto"/>
        <w:ind w:firstLine="424" w:firstLineChars="200"/>
        <w:rPr>
          <w:rStyle w:val="59"/>
          <w:rFonts w:hint="eastAsia" w:cs="宋体"/>
          <w:color w:val="auto"/>
          <w:sz w:val="21"/>
          <w:szCs w:val="22"/>
          <w:highlight w:val="none"/>
        </w:rPr>
      </w:pPr>
      <w:r>
        <w:rPr>
          <w:rStyle w:val="59"/>
          <w:rFonts w:hint="eastAsia" w:cs="宋体"/>
          <w:color w:val="auto"/>
          <w:sz w:val="21"/>
          <w:szCs w:val="22"/>
          <w:highlight w:val="none"/>
        </w:rPr>
        <w:t>4）通报报名参加本项目采购的供应商名单及资格预审情况（如有），宣读最终提交采购响应文件的供应商名单，组织评审小组各位成员签订《政府采购评审人员廉洁自律承诺书》。</w:t>
      </w:r>
    </w:p>
    <w:p>
      <w:pPr>
        <w:adjustRightInd w:val="0"/>
        <w:snapToGrid w:val="0"/>
        <w:spacing w:line="360" w:lineRule="auto"/>
        <w:ind w:firstLine="424" w:firstLineChars="200"/>
        <w:rPr>
          <w:rStyle w:val="59"/>
          <w:rFonts w:hint="eastAsia" w:cs="宋体"/>
          <w:color w:val="auto"/>
          <w:sz w:val="21"/>
          <w:szCs w:val="22"/>
          <w:highlight w:val="none"/>
        </w:rPr>
      </w:pPr>
      <w:r>
        <w:rPr>
          <w:rStyle w:val="59"/>
          <w:rFonts w:hint="eastAsia" w:cs="宋体"/>
          <w:color w:val="auto"/>
          <w:sz w:val="21"/>
          <w:szCs w:val="22"/>
          <w:highlight w:val="none"/>
        </w:rPr>
        <w:t>5）根据需要简要介绍采购文件（含补充文件）制定及质疑答复情况、按书面陈述项目基本情况及评审工作需注意事项等。</w:t>
      </w:r>
    </w:p>
    <w:p>
      <w:pPr>
        <w:adjustRightInd w:val="0"/>
        <w:snapToGrid w:val="0"/>
        <w:spacing w:line="360" w:lineRule="auto"/>
        <w:ind w:firstLine="424" w:firstLineChars="200"/>
        <w:rPr>
          <w:rStyle w:val="59"/>
          <w:rFonts w:hint="eastAsia" w:cs="宋体"/>
          <w:color w:val="auto"/>
          <w:sz w:val="21"/>
          <w:szCs w:val="22"/>
          <w:highlight w:val="none"/>
        </w:rPr>
      </w:pPr>
      <w:r>
        <w:rPr>
          <w:rStyle w:val="59"/>
          <w:rFonts w:hint="eastAsia" w:cs="宋体"/>
          <w:color w:val="auto"/>
          <w:sz w:val="21"/>
          <w:szCs w:val="22"/>
          <w:highlight w:val="none"/>
        </w:rPr>
        <w:t>6）评审小组组长组织评审人员独立评审。评审小组对拟认定为采购响应文件无效、供应商资格不符合的，应组织相关供应商代表进行陈述、澄清或申辩。</w:t>
      </w:r>
    </w:p>
    <w:p>
      <w:pPr>
        <w:adjustRightInd w:val="0"/>
        <w:snapToGrid w:val="0"/>
        <w:spacing w:line="360" w:lineRule="auto"/>
        <w:ind w:firstLine="424" w:firstLineChars="200"/>
        <w:rPr>
          <w:rStyle w:val="59"/>
          <w:rFonts w:hint="eastAsia" w:cs="宋体"/>
          <w:color w:val="auto"/>
          <w:sz w:val="21"/>
          <w:szCs w:val="22"/>
          <w:highlight w:val="none"/>
        </w:rPr>
      </w:pPr>
      <w:r>
        <w:rPr>
          <w:rStyle w:val="59"/>
          <w:rFonts w:hint="eastAsia" w:cs="宋体"/>
          <w:color w:val="auto"/>
          <w:sz w:val="21"/>
          <w:szCs w:val="22"/>
          <w:highlight w:val="none"/>
        </w:rPr>
        <w:t>授权代表对澄清、说明或者补正内容未签字确认的，将自行承担由此可能导致的对其不利的评审结果，评标委员会按少数服从多数原则对相关内容进行评判。</w:t>
      </w:r>
    </w:p>
    <w:p>
      <w:pPr>
        <w:adjustRightInd w:val="0"/>
        <w:snapToGrid w:val="0"/>
        <w:spacing w:line="360" w:lineRule="auto"/>
        <w:ind w:firstLine="424" w:firstLineChars="200"/>
        <w:rPr>
          <w:rStyle w:val="59"/>
          <w:rFonts w:hint="eastAsia" w:cs="宋体"/>
          <w:color w:val="auto"/>
          <w:sz w:val="21"/>
          <w:szCs w:val="22"/>
          <w:highlight w:val="none"/>
        </w:rPr>
      </w:pPr>
      <w:r>
        <w:rPr>
          <w:rStyle w:val="59"/>
          <w:rFonts w:hint="eastAsia" w:cs="宋体"/>
          <w:color w:val="auto"/>
          <w:sz w:val="21"/>
          <w:szCs w:val="22"/>
          <w:highlight w:val="none"/>
        </w:rPr>
        <w:t>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pPr>
        <w:adjustRightInd w:val="0"/>
        <w:snapToGrid w:val="0"/>
        <w:spacing w:line="360" w:lineRule="auto"/>
        <w:ind w:firstLine="424" w:firstLineChars="200"/>
        <w:rPr>
          <w:rStyle w:val="59"/>
          <w:rFonts w:hint="eastAsia" w:cs="宋体"/>
          <w:b/>
          <w:bCs/>
          <w:color w:val="auto"/>
          <w:sz w:val="21"/>
          <w:szCs w:val="22"/>
          <w:highlight w:val="none"/>
        </w:rPr>
      </w:pPr>
      <w:r>
        <w:rPr>
          <w:rStyle w:val="59"/>
          <w:rFonts w:hint="eastAsia" w:cs="宋体"/>
          <w:b/>
          <w:bCs/>
          <w:color w:val="auto"/>
          <w:sz w:val="21"/>
          <w:szCs w:val="22"/>
          <w:highlight w:val="none"/>
        </w:rPr>
        <w:t>4.起草评审报告，所有评审人员须在评审报告上签字确认。</w:t>
      </w:r>
    </w:p>
    <w:p>
      <w:pPr>
        <w:adjustRightInd w:val="0"/>
        <w:snapToGrid w:val="0"/>
        <w:spacing w:line="360" w:lineRule="auto"/>
        <w:ind w:firstLine="424" w:firstLineChars="200"/>
        <w:rPr>
          <w:rStyle w:val="59"/>
          <w:rFonts w:hint="eastAsia" w:cs="宋体"/>
          <w:color w:val="auto"/>
          <w:sz w:val="21"/>
          <w:szCs w:val="22"/>
          <w:highlight w:val="none"/>
        </w:rPr>
      </w:pPr>
      <w:r>
        <w:rPr>
          <w:rStyle w:val="59"/>
          <w:rFonts w:hint="eastAsia" w:cs="宋体"/>
          <w:color w:val="auto"/>
          <w:sz w:val="21"/>
          <w:szCs w:val="22"/>
          <w:highlight w:val="none"/>
        </w:rPr>
        <w:t>评审人员对有关采购文件、采购响应文件、样品、演示（如有）的说明、解释、要求、标准存在不同意见的，持不同意见的评审人员及其意见或理由应予以完整记录，并在评审过程中按照少数服从多数的原则表决执行。对采购文件本身不明确或存在歧义、矛盾的内容，应作对供应商而非采购人有利的解释；评标委员会发现采购文件存在歧义、重大缺陷导致评标工作无法进行，或者采购文件内容违反国家有关强制性规定的，可停止评标工作，重新组织采购活动。评审人员拒绝在评审报告中签字又不说明其不同意见或理由的，由现场监督员记录在案后，可视为同意评审结果。</w:t>
      </w:r>
    </w:p>
    <w:p>
      <w:pPr>
        <w:adjustRightInd w:val="0"/>
        <w:snapToGrid w:val="0"/>
        <w:spacing w:line="360" w:lineRule="auto"/>
        <w:ind w:firstLine="424" w:firstLineChars="200"/>
        <w:rPr>
          <w:rStyle w:val="59"/>
          <w:rFonts w:hint="eastAsia" w:cs="宋体"/>
          <w:color w:val="auto"/>
          <w:sz w:val="21"/>
          <w:szCs w:val="22"/>
          <w:highlight w:val="none"/>
        </w:rPr>
      </w:pPr>
      <w:r>
        <w:rPr>
          <w:rStyle w:val="59"/>
          <w:rFonts w:hint="eastAsia" w:cs="宋体"/>
          <w:color w:val="auto"/>
          <w:sz w:val="21"/>
          <w:szCs w:val="22"/>
          <w:highlight w:val="none"/>
        </w:rPr>
        <w:t>评审报告是根据评审人员签字的原始评标记录和评标结果编写的报告，其主要内容包括：</w:t>
      </w:r>
    </w:p>
    <w:p>
      <w:pPr>
        <w:adjustRightInd w:val="0"/>
        <w:snapToGrid w:val="0"/>
        <w:spacing w:line="360" w:lineRule="auto"/>
        <w:ind w:firstLine="424" w:firstLineChars="200"/>
        <w:rPr>
          <w:rStyle w:val="59"/>
          <w:rFonts w:hint="eastAsia" w:cs="宋体"/>
          <w:color w:val="auto"/>
          <w:sz w:val="21"/>
          <w:szCs w:val="22"/>
          <w:highlight w:val="none"/>
        </w:rPr>
      </w:pPr>
      <w:r>
        <w:rPr>
          <w:rStyle w:val="59"/>
          <w:rFonts w:hint="eastAsia" w:cs="宋体"/>
          <w:color w:val="auto"/>
          <w:sz w:val="21"/>
          <w:szCs w:val="22"/>
          <w:highlight w:val="none"/>
        </w:rPr>
        <w:t>1）采购项目基本情况：采购代理机构，项目名称，项目编号，采购内容，预算执行确认书编号，采购预算金额，采购方式，发布公告时间；公告发布网站，采购响应截止时间，购买采购文件单位情况，采购响应单位情况等</w:t>
      </w:r>
    </w:p>
    <w:p>
      <w:pPr>
        <w:adjustRightInd w:val="0"/>
        <w:snapToGrid w:val="0"/>
        <w:spacing w:line="360" w:lineRule="auto"/>
        <w:ind w:firstLine="424" w:firstLineChars="200"/>
        <w:rPr>
          <w:rStyle w:val="59"/>
          <w:rFonts w:hint="eastAsia" w:cs="宋体"/>
          <w:color w:val="auto"/>
          <w:sz w:val="21"/>
          <w:szCs w:val="22"/>
          <w:highlight w:val="none"/>
        </w:rPr>
      </w:pPr>
      <w:r>
        <w:rPr>
          <w:rStyle w:val="59"/>
          <w:rFonts w:hint="eastAsia" w:cs="宋体"/>
          <w:color w:val="auto"/>
          <w:sz w:val="21"/>
          <w:szCs w:val="22"/>
          <w:highlight w:val="none"/>
        </w:rPr>
        <w:t>2）评审小组组成；</w:t>
      </w:r>
    </w:p>
    <w:p>
      <w:pPr>
        <w:adjustRightInd w:val="0"/>
        <w:snapToGrid w:val="0"/>
        <w:spacing w:line="360" w:lineRule="auto"/>
        <w:ind w:firstLine="424" w:firstLineChars="200"/>
        <w:rPr>
          <w:rStyle w:val="59"/>
          <w:rFonts w:hint="eastAsia" w:cs="宋体"/>
          <w:color w:val="auto"/>
          <w:sz w:val="21"/>
          <w:szCs w:val="22"/>
          <w:highlight w:val="none"/>
        </w:rPr>
      </w:pPr>
      <w:r>
        <w:rPr>
          <w:rStyle w:val="59"/>
          <w:rFonts w:hint="eastAsia" w:cs="宋体"/>
          <w:color w:val="auto"/>
          <w:sz w:val="21"/>
          <w:szCs w:val="22"/>
          <w:highlight w:val="none"/>
        </w:rPr>
        <w:t>3）评审方法和标准；</w:t>
      </w:r>
    </w:p>
    <w:p>
      <w:pPr>
        <w:adjustRightInd w:val="0"/>
        <w:snapToGrid w:val="0"/>
        <w:spacing w:line="360" w:lineRule="auto"/>
        <w:ind w:firstLine="424" w:firstLineChars="200"/>
        <w:rPr>
          <w:rStyle w:val="59"/>
          <w:rFonts w:hint="eastAsia" w:cs="宋体"/>
          <w:color w:val="auto"/>
          <w:sz w:val="21"/>
          <w:szCs w:val="22"/>
          <w:highlight w:val="none"/>
        </w:rPr>
      </w:pPr>
      <w:r>
        <w:rPr>
          <w:rStyle w:val="59"/>
          <w:rFonts w:hint="eastAsia" w:cs="宋体"/>
          <w:color w:val="auto"/>
          <w:sz w:val="21"/>
          <w:szCs w:val="22"/>
          <w:highlight w:val="none"/>
        </w:rPr>
        <w:t>4）评审情况及说明；</w:t>
      </w:r>
    </w:p>
    <w:p>
      <w:pPr>
        <w:adjustRightInd w:val="0"/>
        <w:snapToGrid w:val="0"/>
        <w:spacing w:line="360" w:lineRule="auto"/>
        <w:ind w:firstLine="424" w:firstLineChars="200"/>
        <w:rPr>
          <w:rStyle w:val="59"/>
          <w:rFonts w:hint="eastAsia" w:cs="宋体"/>
          <w:color w:val="auto"/>
          <w:sz w:val="21"/>
          <w:szCs w:val="22"/>
          <w:highlight w:val="none"/>
        </w:rPr>
      </w:pPr>
      <w:r>
        <w:rPr>
          <w:rStyle w:val="59"/>
          <w:rFonts w:hint="eastAsia" w:cs="宋体"/>
          <w:color w:val="auto"/>
          <w:sz w:val="21"/>
          <w:szCs w:val="22"/>
          <w:highlight w:val="none"/>
        </w:rPr>
        <w:t>5）评标结果和中标候选人排序；</w:t>
      </w:r>
    </w:p>
    <w:p>
      <w:pPr>
        <w:adjustRightInd w:val="0"/>
        <w:snapToGrid w:val="0"/>
        <w:spacing w:line="360" w:lineRule="auto"/>
        <w:ind w:firstLine="424" w:firstLineChars="200"/>
        <w:rPr>
          <w:rStyle w:val="59"/>
          <w:rFonts w:hint="eastAsia" w:cs="宋体"/>
          <w:color w:val="auto"/>
          <w:sz w:val="21"/>
          <w:szCs w:val="22"/>
          <w:highlight w:val="none"/>
        </w:rPr>
      </w:pPr>
      <w:r>
        <w:rPr>
          <w:rStyle w:val="59"/>
          <w:rFonts w:hint="eastAsia" w:cs="宋体"/>
          <w:color w:val="auto"/>
          <w:sz w:val="21"/>
          <w:szCs w:val="22"/>
          <w:highlight w:val="none"/>
        </w:rPr>
        <w:t>6）评标委员会的授标建议。</w:t>
      </w:r>
    </w:p>
    <w:p>
      <w:pPr>
        <w:adjustRightInd w:val="0"/>
        <w:snapToGrid w:val="0"/>
        <w:spacing w:line="360" w:lineRule="auto"/>
        <w:ind w:firstLine="424" w:firstLineChars="200"/>
        <w:rPr>
          <w:rStyle w:val="59"/>
          <w:rFonts w:cs="宋体"/>
          <w:color w:val="auto"/>
          <w:sz w:val="21"/>
          <w:highlight w:val="none"/>
          <w:lang w:val="zh-TW"/>
        </w:rPr>
      </w:pPr>
      <w:r>
        <w:rPr>
          <w:rStyle w:val="59"/>
          <w:rFonts w:hint="eastAsia" w:cs="宋体"/>
          <w:b/>
          <w:bCs/>
          <w:color w:val="auto"/>
          <w:sz w:val="21"/>
          <w:highlight w:val="none"/>
          <w:lang w:eastAsia="zh-CN"/>
        </w:rPr>
        <w:t>四、</w:t>
      </w:r>
      <w:r>
        <w:rPr>
          <w:rStyle w:val="59"/>
          <w:rFonts w:hint="eastAsia" w:cs="宋体"/>
          <w:b/>
          <w:bCs/>
          <w:color w:val="auto"/>
          <w:sz w:val="21"/>
          <w:highlight w:val="none"/>
        </w:rPr>
        <w:t>定标及定标程序</w:t>
      </w:r>
      <w:r>
        <w:rPr>
          <w:rStyle w:val="59"/>
          <w:rFonts w:hint="eastAsia" w:cs="宋体"/>
          <w:b/>
          <w:bCs/>
          <w:color w:val="auto"/>
          <w:sz w:val="21"/>
          <w:highlight w:val="none"/>
        </w:rPr>
        <w:br w:type="textWrapping"/>
      </w:r>
      <w:r>
        <w:rPr>
          <w:rStyle w:val="59"/>
          <w:rFonts w:hint="eastAsia" w:cs="宋体"/>
          <w:color w:val="auto"/>
          <w:sz w:val="21"/>
          <w:highlight w:val="none"/>
          <w:lang w:val="zh-TW"/>
        </w:rPr>
        <w:t xml:space="preserve">  1、定标原则</w:t>
      </w:r>
      <w:r>
        <w:rPr>
          <w:rStyle w:val="59"/>
          <w:rFonts w:hint="eastAsia" w:cs="宋体"/>
          <w:color w:val="auto"/>
          <w:sz w:val="21"/>
          <w:highlight w:val="none"/>
          <w:lang w:eastAsia="zh-CN"/>
        </w:rPr>
        <w:t xml:space="preserve">   </w:t>
      </w:r>
      <w:r>
        <w:rPr>
          <w:rStyle w:val="59"/>
          <w:rFonts w:hint="eastAsia" w:cs="宋体"/>
          <w:color w:val="auto"/>
          <w:sz w:val="21"/>
          <w:highlight w:val="none"/>
          <w:lang w:val="zh-TW"/>
        </w:rPr>
        <w:t>根据评委会推荐的中标候选人名单，按顺序确定中标人。</w:t>
      </w:r>
      <w:r>
        <w:rPr>
          <w:rStyle w:val="59"/>
          <w:rFonts w:hint="eastAsia" w:cs="宋体"/>
          <w:color w:val="auto"/>
          <w:sz w:val="21"/>
          <w:highlight w:val="none"/>
          <w:lang w:val="zh-TW"/>
        </w:rPr>
        <w:br w:type="textWrapping"/>
      </w:r>
      <w:r>
        <w:rPr>
          <w:rStyle w:val="59"/>
          <w:rFonts w:hint="eastAsia" w:cs="宋体"/>
          <w:color w:val="auto"/>
          <w:sz w:val="21"/>
          <w:highlight w:val="none"/>
          <w:lang w:val="zh-TW"/>
        </w:rPr>
        <w:t xml:space="preserve">  2、定标程序</w:t>
      </w:r>
    </w:p>
    <w:p>
      <w:pPr>
        <w:pStyle w:val="17"/>
        <w:pBdr>
          <w:top w:val="none" w:color="auto" w:sz="0" w:space="0"/>
          <w:left w:val="none" w:color="auto" w:sz="0" w:space="0"/>
          <w:bottom w:val="none" w:color="auto" w:sz="0" w:space="0"/>
          <w:right w:val="none" w:color="auto" w:sz="0" w:space="0"/>
        </w:pBdr>
        <w:spacing w:after="0" w:line="360" w:lineRule="auto"/>
        <w:ind w:left="159" w:leftChars="75" w:firstLine="177" w:firstLineChars="84"/>
        <w:jc w:val="left"/>
        <w:rPr>
          <w:rStyle w:val="59"/>
          <w:rFonts w:hint="eastAsia" w:cs="宋体"/>
          <w:color w:val="auto"/>
          <w:sz w:val="21"/>
          <w:szCs w:val="21"/>
          <w:highlight w:val="none"/>
        </w:rPr>
      </w:pPr>
      <w:r>
        <w:rPr>
          <w:rStyle w:val="59"/>
          <w:rFonts w:hint="eastAsia" w:cs="宋体"/>
          <w:color w:val="auto"/>
          <w:sz w:val="21"/>
          <w:szCs w:val="21"/>
          <w:highlight w:val="none"/>
        </w:rPr>
        <w:t>（</w:t>
      </w:r>
      <w:r>
        <w:rPr>
          <w:rStyle w:val="59"/>
          <w:rFonts w:hint="eastAsia" w:cs="宋体"/>
          <w:color w:val="auto"/>
          <w:sz w:val="21"/>
          <w:szCs w:val="21"/>
          <w:highlight w:val="none"/>
          <w:lang w:val="zh-TW"/>
        </w:rPr>
        <w:t>1</w:t>
      </w:r>
      <w:r>
        <w:rPr>
          <w:rStyle w:val="59"/>
          <w:rFonts w:hint="eastAsia" w:cs="宋体"/>
          <w:color w:val="auto"/>
          <w:sz w:val="21"/>
          <w:szCs w:val="21"/>
          <w:highlight w:val="none"/>
        </w:rPr>
        <w:t>）评委会将评标情况写出书面评审报告，根据评标总分高低排定顺序，评标总分最高者即为第一中标候选人，次高者为第二中标候选人。如投标人综合得分相同的，报价低者为中标人。综合得分且报价相同的，技术指标优者为中标人；若综合得分、报价与技术指标均相同的，则摇号选取中标候选人。招标人应当确定排名第一的中标候选人为中标人。排名第一的中标候选人放弃中标，招标人可以确定排名第二的中标候选人为中标人。</w:t>
      </w:r>
    </w:p>
    <w:p>
      <w:pPr>
        <w:pStyle w:val="17"/>
        <w:pBdr>
          <w:top w:val="none" w:color="auto" w:sz="0" w:space="0"/>
          <w:left w:val="none" w:color="auto" w:sz="0" w:space="0"/>
          <w:bottom w:val="none" w:color="auto" w:sz="0" w:space="0"/>
          <w:right w:val="none" w:color="auto" w:sz="0" w:space="0"/>
        </w:pBdr>
        <w:spacing w:after="0" w:line="360" w:lineRule="auto"/>
        <w:ind w:left="159" w:leftChars="75" w:firstLine="177" w:firstLineChars="84"/>
        <w:jc w:val="left"/>
        <w:rPr>
          <w:rStyle w:val="59"/>
          <w:rFonts w:hint="eastAsia" w:cs="宋体"/>
          <w:color w:val="auto"/>
          <w:sz w:val="21"/>
          <w:szCs w:val="21"/>
          <w:highlight w:val="none"/>
        </w:rPr>
      </w:pPr>
      <w:r>
        <w:rPr>
          <w:rStyle w:val="59"/>
          <w:rFonts w:hint="eastAsia" w:cs="宋体"/>
          <w:color w:val="auto"/>
          <w:sz w:val="21"/>
          <w:szCs w:val="21"/>
          <w:highlight w:val="none"/>
        </w:rPr>
        <w:t>评标办法的解释权归招标人。</w:t>
      </w:r>
    </w:p>
    <w:p>
      <w:pPr>
        <w:pStyle w:val="17"/>
        <w:pBdr>
          <w:top w:val="none" w:color="auto" w:sz="0" w:space="0"/>
          <w:left w:val="none" w:color="auto" w:sz="0" w:space="0"/>
          <w:bottom w:val="none" w:color="auto" w:sz="0" w:space="0"/>
          <w:right w:val="none" w:color="auto" w:sz="0" w:space="0"/>
        </w:pBdr>
        <w:spacing w:after="0" w:line="360" w:lineRule="auto"/>
        <w:ind w:left="159" w:leftChars="75" w:firstLine="177" w:firstLineChars="84"/>
        <w:jc w:val="left"/>
        <w:rPr>
          <w:rStyle w:val="59"/>
          <w:rFonts w:cs="宋体"/>
          <w:color w:val="auto"/>
          <w:sz w:val="21"/>
          <w:szCs w:val="21"/>
          <w:highlight w:val="none"/>
          <w:lang w:val="zh-TW"/>
        </w:rPr>
      </w:pPr>
      <w:r>
        <w:rPr>
          <w:rStyle w:val="59"/>
          <w:rFonts w:hint="eastAsia" w:cs="宋体"/>
          <w:color w:val="auto"/>
          <w:sz w:val="21"/>
          <w:szCs w:val="21"/>
          <w:highlight w:val="none"/>
          <w:lang w:eastAsia="zh-TW"/>
        </w:rPr>
        <w:t>（</w:t>
      </w:r>
      <w:r>
        <w:rPr>
          <w:rStyle w:val="59"/>
          <w:rFonts w:hint="eastAsia" w:cs="宋体"/>
          <w:color w:val="auto"/>
          <w:sz w:val="21"/>
          <w:szCs w:val="21"/>
          <w:highlight w:val="none"/>
          <w:lang w:val="zh-TW" w:eastAsia="zh-TW"/>
        </w:rPr>
        <w:t>2</w:t>
      </w:r>
      <w:r>
        <w:rPr>
          <w:rStyle w:val="59"/>
          <w:rFonts w:hint="eastAsia" w:cs="宋体"/>
          <w:color w:val="auto"/>
          <w:sz w:val="21"/>
          <w:szCs w:val="21"/>
          <w:highlight w:val="none"/>
          <w:lang w:eastAsia="zh-TW"/>
        </w:rPr>
        <w:t>）根据评委会确定的中标人，采购代理机构在</w:t>
      </w:r>
      <w:r>
        <w:rPr>
          <w:rStyle w:val="59"/>
          <w:rFonts w:hint="eastAsia" w:cs="宋体"/>
          <w:color w:val="auto"/>
          <w:sz w:val="21"/>
          <w:szCs w:val="21"/>
          <w:highlight w:val="none"/>
          <w:lang w:eastAsia="zh-CN"/>
        </w:rPr>
        <w:t>浙江政府采购网（www.zjzfcg.gov.cn）</w:t>
      </w:r>
      <w:r>
        <w:rPr>
          <w:rStyle w:val="59"/>
          <w:rFonts w:hint="eastAsia" w:cs="宋体"/>
          <w:color w:val="auto"/>
          <w:sz w:val="21"/>
          <w:szCs w:val="21"/>
          <w:highlight w:val="none"/>
          <w:lang w:eastAsia="zh-TW"/>
        </w:rPr>
        <w:t>上发布中标公告，中标公示期为</w:t>
      </w:r>
      <w:r>
        <w:rPr>
          <w:rStyle w:val="59"/>
          <w:rFonts w:hint="eastAsia" w:cs="宋体"/>
          <w:color w:val="auto"/>
          <w:sz w:val="21"/>
          <w:szCs w:val="21"/>
          <w:highlight w:val="none"/>
          <w:lang w:val="zh-TW" w:eastAsia="zh-TW"/>
        </w:rPr>
        <w:t>1</w:t>
      </w:r>
      <w:r>
        <w:rPr>
          <w:rStyle w:val="59"/>
          <w:rFonts w:hint="eastAsia" w:cs="宋体"/>
          <w:color w:val="auto"/>
          <w:sz w:val="21"/>
          <w:szCs w:val="21"/>
          <w:highlight w:val="none"/>
          <w:lang w:eastAsia="zh-TW"/>
        </w:rPr>
        <w:t>个工作日。</w:t>
      </w:r>
      <w:r>
        <w:rPr>
          <w:rStyle w:val="59"/>
          <w:rFonts w:hint="eastAsia" w:cs="宋体"/>
          <w:color w:val="auto"/>
          <w:sz w:val="21"/>
          <w:szCs w:val="21"/>
          <w:highlight w:val="none"/>
        </w:rPr>
        <w:t>公示结束后且无疑义向中标人发出中标通知书。</w:t>
      </w:r>
      <w:r>
        <w:rPr>
          <w:rStyle w:val="59"/>
          <w:rFonts w:hint="eastAsia" w:cs="宋体"/>
          <w:color w:val="auto"/>
          <w:sz w:val="21"/>
          <w:szCs w:val="21"/>
          <w:highlight w:val="none"/>
        </w:rPr>
        <w:br w:type="textWrapping"/>
      </w:r>
      <w:r>
        <w:rPr>
          <w:rStyle w:val="59"/>
          <w:rFonts w:hint="eastAsia" w:cs="宋体"/>
          <w:color w:val="auto"/>
          <w:sz w:val="21"/>
          <w:szCs w:val="21"/>
          <w:highlight w:val="none"/>
        </w:rPr>
        <w:t xml:space="preserve"> </w:t>
      </w:r>
      <w:r>
        <w:rPr>
          <w:rStyle w:val="59"/>
          <w:rFonts w:hint="eastAsia" w:eastAsia="宋体" w:cs="宋体"/>
          <w:color w:val="auto"/>
          <w:sz w:val="21"/>
          <w:szCs w:val="21"/>
          <w:highlight w:val="none"/>
          <w:lang w:val="en-US" w:eastAsia="zh-CN"/>
        </w:rPr>
        <w:t xml:space="preserve"> </w:t>
      </w:r>
      <w:r>
        <w:rPr>
          <w:rStyle w:val="59"/>
          <w:rFonts w:hint="eastAsia" w:cs="宋体"/>
          <w:color w:val="auto"/>
          <w:sz w:val="21"/>
          <w:szCs w:val="21"/>
          <w:highlight w:val="none"/>
        </w:rPr>
        <w:t>（</w:t>
      </w:r>
      <w:r>
        <w:rPr>
          <w:rStyle w:val="59"/>
          <w:rFonts w:hint="eastAsia" w:cs="宋体"/>
          <w:color w:val="auto"/>
          <w:sz w:val="21"/>
          <w:szCs w:val="21"/>
          <w:highlight w:val="none"/>
          <w:lang w:val="zh-TW"/>
        </w:rPr>
        <w:t>3</w:t>
      </w:r>
      <w:r>
        <w:rPr>
          <w:rStyle w:val="59"/>
          <w:rFonts w:hint="eastAsia" w:cs="宋体"/>
          <w:color w:val="auto"/>
          <w:sz w:val="21"/>
          <w:szCs w:val="21"/>
          <w:highlight w:val="none"/>
        </w:rPr>
        <w:t>）采购代理机构不解释中标或落标原因，不退回投标文件和其他投标资料。</w:t>
      </w:r>
    </w:p>
    <w:p>
      <w:pPr>
        <w:pStyle w:val="17"/>
        <w:pBdr>
          <w:top w:val="none" w:color="auto" w:sz="0" w:space="0"/>
          <w:left w:val="none" w:color="auto" w:sz="0" w:space="0"/>
          <w:bottom w:val="none" w:color="auto" w:sz="0" w:space="0"/>
          <w:right w:val="none" w:color="auto" w:sz="0" w:space="0"/>
        </w:pBdr>
        <w:spacing w:after="0" w:line="360" w:lineRule="auto"/>
        <w:ind w:left="180"/>
        <w:jc w:val="left"/>
        <w:rPr>
          <w:rStyle w:val="59"/>
          <w:rFonts w:cs="宋体"/>
          <w:b/>
          <w:color w:val="auto"/>
          <w:sz w:val="21"/>
          <w:szCs w:val="21"/>
          <w:highlight w:val="none"/>
        </w:rPr>
      </w:pPr>
      <w:r>
        <w:rPr>
          <w:rStyle w:val="59"/>
          <w:rFonts w:hint="eastAsia" w:cs="宋体"/>
          <w:b/>
          <w:color w:val="auto"/>
          <w:sz w:val="21"/>
          <w:szCs w:val="21"/>
          <w:highlight w:val="none"/>
          <w:lang w:eastAsia="zh-CN"/>
        </w:rPr>
        <w:t>五</w:t>
      </w:r>
      <w:r>
        <w:rPr>
          <w:rStyle w:val="59"/>
          <w:rFonts w:hint="eastAsia" w:cs="宋体"/>
          <w:b/>
          <w:color w:val="auto"/>
          <w:sz w:val="21"/>
          <w:szCs w:val="21"/>
          <w:highlight w:val="none"/>
        </w:rPr>
        <w:t>、评标方法</w:t>
      </w:r>
    </w:p>
    <w:p>
      <w:pPr>
        <w:pStyle w:val="17"/>
        <w:pBdr>
          <w:top w:val="none" w:color="auto" w:sz="0" w:space="0"/>
          <w:left w:val="none" w:color="auto" w:sz="0" w:space="0"/>
          <w:bottom w:val="none" w:color="auto" w:sz="0" w:space="0"/>
          <w:right w:val="none" w:color="auto" w:sz="0" w:space="0"/>
        </w:pBdr>
        <w:spacing w:after="0" w:line="360" w:lineRule="auto"/>
        <w:ind w:left="426" w:hanging="108"/>
        <w:rPr>
          <w:rStyle w:val="59"/>
          <w:rFonts w:hint="eastAsia" w:cs="宋体"/>
          <w:color w:val="auto"/>
          <w:sz w:val="21"/>
          <w:szCs w:val="21"/>
          <w:highlight w:val="none"/>
        </w:rPr>
      </w:pPr>
      <w:r>
        <w:rPr>
          <w:rStyle w:val="59"/>
          <w:rFonts w:hint="eastAsia" w:cs="宋体"/>
          <w:color w:val="auto"/>
          <w:sz w:val="21"/>
          <w:szCs w:val="21"/>
          <w:highlight w:val="none"/>
          <w:lang w:val="zh-TW"/>
        </w:rPr>
        <w:t>1</w:t>
      </w:r>
      <w:r>
        <w:rPr>
          <w:rStyle w:val="59"/>
          <w:rFonts w:hint="eastAsia" w:cs="宋体"/>
          <w:color w:val="auto"/>
          <w:sz w:val="21"/>
          <w:szCs w:val="21"/>
          <w:highlight w:val="none"/>
        </w:rPr>
        <w:t>、本次评标采用综合评分法。</w:t>
      </w:r>
      <w:r>
        <w:rPr>
          <w:rFonts w:hint="eastAsia" w:ascii="宋体" w:hAnsi="宋体"/>
          <w:color w:val="000000" w:themeColor="text1"/>
          <w:szCs w:val="21"/>
          <w:highlight w:val="none"/>
          <w14:textFill>
            <w14:solidFill>
              <w14:schemeClr w14:val="tx1"/>
            </w14:solidFill>
          </w14:textFill>
        </w:rPr>
        <w:t>即以投标人完全响应招标文件设定的全部责任条款为前提。由评标委员会按招标文件中规定的各项因素进行综合评审，确定综合得分最高的投标人为中标人。</w:t>
      </w:r>
    </w:p>
    <w:p>
      <w:pPr>
        <w:pStyle w:val="17"/>
        <w:pBdr>
          <w:top w:val="none" w:color="auto" w:sz="0" w:space="0"/>
          <w:left w:val="none" w:color="auto" w:sz="0" w:space="0"/>
          <w:bottom w:val="none" w:color="auto" w:sz="0" w:space="0"/>
          <w:right w:val="none" w:color="auto" w:sz="0" w:space="0"/>
        </w:pBdr>
        <w:spacing w:after="0" w:line="360" w:lineRule="auto"/>
        <w:ind w:left="426" w:hanging="108"/>
        <w:rPr>
          <w:rStyle w:val="59"/>
          <w:rFonts w:hint="eastAsia" w:cs="宋体"/>
          <w:color w:val="auto"/>
          <w:sz w:val="21"/>
          <w:szCs w:val="21"/>
          <w:highlight w:val="none"/>
        </w:rPr>
      </w:pPr>
      <w:r>
        <w:rPr>
          <w:rStyle w:val="59"/>
          <w:rFonts w:hint="eastAsia" w:eastAsia="宋体" w:cs="宋体"/>
          <w:color w:val="auto"/>
          <w:sz w:val="21"/>
          <w:szCs w:val="21"/>
          <w:highlight w:val="none"/>
          <w:lang w:val="en-US" w:eastAsia="zh-CN"/>
        </w:rPr>
        <w:t>1.1</w:t>
      </w:r>
      <w:r>
        <w:rPr>
          <w:rStyle w:val="59"/>
          <w:rFonts w:hint="eastAsia" w:cs="宋体"/>
          <w:color w:val="auto"/>
          <w:sz w:val="21"/>
          <w:szCs w:val="21"/>
          <w:highlight w:val="none"/>
        </w:rPr>
        <w:t>为</w:t>
      </w:r>
      <w:r>
        <w:rPr>
          <w:rStyle w:val="59"/>
          <w:rFonts w:hint="eastAsia" w:cs="宋体"/>
          <w:color w:val="auto"/>
          <w:sz w:val="21"/>
          <w:szCs w:val="21"/>
          <w:highlight w:val="none"/>
          <w:lang w:eastAsia="zh-CN"/>
        </w:rPr>
        <w:t>商务技术分90</w:t>
      </w:r>
      <w:r>
        <w:rPr>
          <w:rStyle w:val="59"/>
          <w:rFonts w:hint="eastAsia" w:cs="宋体"/>
          <w:color w:val="auto"/>
          <w:sz w:val="21"/>
          <w:szCs w:val="21"/>
          <w:highlight w:val="none"/>
        </w:rPr>
        <w:t>分和报价分</w:t>
      </w:r>
      <w:r>
        <w:rPr>
          <w:rStyle w:val="59"/>
          <w:rFonts w:hint="eastAsia" w:cs="宋体"/>
          <w:color w:val="auto"/>
          <w:sz w:val="21"/>
          <w:szCs w:val="21"/>
          <w:highlight w:val="none"/>
          <w:lang w:eastAsia="zh-CN"/>
        </w:rPr>
        <w:t>10</w:t>
      </w:r>
      <w:r>
        <w:rPr>
          <w:rStyle w:val="59"/>
          <w:rFonts w:hint="eastAsia" w:cs="宋体"/>
          <w:color w:val="auto"/>
          <w:sz w:val="21"/>
          <w:szCs w:val="21"/>
          <w:highlight w:val="none"/>
        </w:rPr>
        <w:t>合计评分，满分为</w:t>
      </w:r>
      <w:r>
        <w:rPr>
          <w:rStyle w:val="59"/>
          <w:rFonts w:hint="eastAsia" w:cs="宋体"/>
          <w:color w:val="auto"/>
          <w:sz w:val="21"/>
          <w:szCs w:val="21"/>
          <w:highlight w:val="none"/>
          <w:lang w:val="zh-TW"/>
        </w:rPr>
        <w:t>100</w:t>
      </w:r>
      <w:r>
        <w:rPr>
          <w:rStyle w:val="59"/>
          <w:rFonts w:hint="eastAsia" w:cs="宋体"/>
          <w:color w:val="auto"/>
          <w:sz w:val="21"/>
          <w:szCs w:val="21"/>
          <w:highlight w:val="none"/>
        </w:rPr>
        <w:t>分。</w:t>
      </w:r>
    </w:p>
    <w:p>
      <w:pPr>
        <w:pStyle w:val="17"/>
        <w:pBdr>
          <w:top w:val="none" w:color="auto" w:sz="0" w:space="0"/>
          <w:left w:val="none" w:color="auto" w:sz="0" w:space="0"/>
          <w:bottom w:val="none" w:color="auto" w:sz="0" w:space="0"/>
          <w:right w:val="none" w:color="auto" w:sz="0" w:space="0"/>
        </w:pBdr>
        <w:spacing w:after="0" w:line="360" w:lineRule="auto"/>
        <w:ind w:left="426" w:hanging="108"/>
        <w:rPr>
          <w:rStyle w:val="58"/>
          <w:rFonts w:hint="eastAsia" w:ascii="宋体" w:hAnsi="宋体" w:cs="宋体"/>
          <w:b w:val="0"/>
          <w:bCs w:val="0"/>
          <w:color w:val="auto"/>
          <w:sz w:val="21"/>
          <w:szCs w:val="21"/>
          <w:highlight w:val="none"/>
          <w:lang w:val="zh-TW" w:eastAsia="zh-TW"/>
        </w:rPr>
      </w:pPr>
      <w:r>
        <w:rPr>
          <w:rStyle w:val="59"/>
          <w:rFonts w:hint="eastAsia" w:eastAsia="宋体" w:cs="宋体"/>
          <w:color w:val="auto"/>
          <w:sz w:val="21"/>
          <w:szCs w:val="21"/>
          <w:highlight w:val="none"/>
          <w:lang w:val="en-US" w:eastAsia="zh-CN"/>
        </w:rPr>
        <w:t>1.2</w:t>
      </w:r>
      <w:r>
        <w:rPr>
          <w:rStyle w:val="58"/>
          <w:rFonts w:hint="eastAsia" w:ascii="宋体" w:hAnsi="宋体" w:cs="宋体"/>
          <w:b w:val="0"/>
          <w:bCs w:val="0"/>
          <w:color w:val="auto"/>
          <w:sz w:val="21"/>
          <w:szCs w:val="21"/>
          <w:highlight w:val="none"/>
          <w:lang w:val="zh-TW" w:eastAsia="zh-TW"/>
        </w:rPr>
        <w:t>在投标文件评审过程中，如果出现评标委员会成员意见不一致的情况，按照少数服从多数的原则确定。</w:t>
      </w:r>
    </w:p>
    <w:p>
      <w:pPr>
        <w:pStyle w:val="57"/>
        <w:pBdr>
          <w:top w:val="none" w:color="auto" w:sz="0" w:space="0"/>
          <w:left w:val="none" w:color="auto" w:sz="0" w:space="0"/>
          <w:bottom w:val="none" w:color="auto" w:sz="0" w:space="0"/>
          <w:right w:val="none" w:color="auto" w:sz="0" w:space="0"/>
        </w:pBdr>
        <w:spacing w:line="360" w:lineRule="auto"/>
        <w:ind w:firstLine="420"/>
        <w:rPr>
          <w:rFonts w:ascii="宋体" w:hAnsi="宋体" w:cs="宋体"/>
          <w:color w:val="auto"/>
          <w:highlight w:val="none"/>
        </w:rPr>
      </w:pPr>
      <w:r>
        <w:rPr>
          <w:rStyle w:val="58"/>
          <w:rFonts w:hint="eastAsia" w:ascii="宋体" w:hAnsi="宋体" w:cs="宋体"/>
          <w:b w:val="0"/>
          <w:bCs w:val="0"/>
          <w:color w:val="auto"/>
          <w:sz w:val="21"/>
          <w:szCs w:val="21"/>
          <w:highlight w:val="none"/>
          <w:lang w:val="en-US" w:eastAsia="zh-CN"/>
        </w:rPr>
        <w:t>1.3</w:t>
      </w:r>
      <w:r>
        <w:rPr>
          <w:rStyle w:val="58"/>
          <w:rFonts w:hint="eastAsia" w:ascii="宋体" w:hAnsi="宋体" w:cs="宋体"/>
          <w:color w:val="auto"/>
          <w:highlight w:val="none"/>
          <w:lang w:val="zh-TW" w:eastAsia="zh-TW"/>
        </w:rPr>
        <w:t>评标委员会根据表格，对各投标单位的</w:t>
      </w:r>
      <w:r>
        <w:rPr>
          <w:rStyle w:val="58"/>
          <w:rFonts w:hint="eastAsia" w:ascii="宋体" w:hAnsi="宋体" w:cs="宋体"/>
          <w:color w:val="auto"/>
          <w:highlight w:val="none"/>
          <w:lang w:val="en-US" w:eastAsia="zh-CN"/>
        </w:rPr>
        <w:t>商务</w:t>
      </w:r>
      <w:r>
        <w:rPr>
          <w:rStyle w:val="58"/>
          <w:rFonts w:hint="eastAsia" w:ascii="宋体" w:hAnsi="宋体" w:cs="宋体"/>
          <w:color w:val="auto"/>
          <w:highlight w:val="none"/>
          <w:lang w:val="zh-TW" w:eastAsia="zh-TW"/>
        </w:rPr>
        <w:t>技术标进行书面审核和评论后，由各专家独立酌情给分，打分时保留小数</w:t>
      </w:r>
      <w:r>
        <w:rPr>
          <w:rStyle w:val="59"/>
          <w:rFonts w:hint="eastAsia" w:cs="宋体"/>
          <w:color w:val="auto"/>
          <w:highlight w:val="none"/>
        </w:rPr>
        <w:t>1</w:t>
      </w:r>
      <w:r>
        <w:rPr>
          <w:rStyle w:val="58"/>
          <w:rFonts w:hint="eastAsia" w:ascii="宋体" w:hAnsi="宋体" w:cs="宋体"/>
          <w:color w:val="auto"/>
          <w:highlight w:val="none"/>
          <w:lang w:val="zh-TW" w:eastAsia="zh-TW"/>
        </w:rPr>
        <w:t>位，每人一份评分表，并签名。在统计得分时，如果发现某一单项评分超过评分细则规定的分值范围，则该张评分表无效。投标人</w:t>
      </w:r>
      <w:r>
        <w:rPr>
          <w:rStyle w:val="58"/>
          <w:rFonts w:hint="eastAsia" w:ascii="宋体" w:hAnsi="宋体" w:cs="宋体"/>
          <w:color w:val="auto"/>
          <w:highlight w:val="none"/>
          <w:lang w:val="zh-TW" w:eastAsia="zh-CN"/>
        </w:rPr>
        <w:t>商务</w:t>
      </w:r>
      <w:r>
        <w:rPr>
          <w:rStyle w:val="58"/>
          <w:rFonts w:hint="eastAsia" w:ascii="宋体" w:hAnsi="宋体" w:cs="宋体"/>
          <w:color w:val="auto"/>
          <w:highlight w:val="none"/>
          <w:lang w:val="zh-TW" w:eastAsia="zh-TW"/>
        </w:rPr>
        <w:t>技术的最终得分为评标专家组成员的有效评分的算术平均值。</w:t>
      </w:r>
      <w:r>
        <w:rPr>
          <w:rStyle w:val="58"/>
          <w:rFonts w:hint="eastAsia" w:ascii="宋体" w:hAnsi="宋体" w:cs="宋体"/>
          <w:color w:val="auto"/>
          <w:highlight w:val="none"/>
          <w:lang w:val="zh-TW"/>
        </w:rPr>
        <w:t>（</w:t>
      </w:r>
      <w:r>
        <w:rPr>
          <w:rStyle w:val="58"/>
          <w:rFonts w:hint="eastAsia" w:ascii="宋体" w:hAnsi="宋体" w:cs="宋体"/>
          <w:color w:val="auto"/>
          <w:highlight w:val="none"/>
          <w:lang w:val="zh-TW" w:eastAsia="zh-TW"/>
        </w:rPr>
        <w:t>计算时保留小数</w:t>
      </w:r>
      <w:r>
        <w:rPr>
          <w:rStyle w:val="59"/>
          <w:rFonts w:hint="eastAsia" w:cs="宋体"/>
          <w:color w:val="auto"/>
          <w:highlight w:val="none"/>
        </w:rPr>
        <w:t>2</w:t>
      </w:r>
      <w:r>
        <w:rPr>
          <w:rStyle w:val="58"/>
          <w:rFonts w:hint="eastAsia" w:ascii="宋体" w:hAnsi="宋体" w:cs="宋体"/>
          <w:color w:val="auto"/>
          <w:highlight w:val="none"/>
          <w:lang w:val="zh-TW" w:eastAsia="zh-TW"/>
        </w:rPr>
        <w:t>位</w:t>
      </w:r>
      <w:r>
        <w:rPr>
          <w:rStyle w:val="58"/>
          <w:rFonts w:hint="eastAsia" w:ascii="宋体" w:hAnsi="宋体" w:cs="宋体"/>
          <w:color w:val="auto"/>
          <w:highlight w:val="none"/>
          <w:lang w:val="zh-TW"/>
        </w:rPr>
        <w:t>）</w:t>
      </w:r>
    </w:p>
    <w:p>
      <w:pPr>
        <w:pStyle w:val="17"/>
        <w:pBdr>
          <w:top w:val="none" w:color="auto" w:sz="0" w:space="0"/>
          <w:left w:val="none" w:color="auto" w:sz="0" w:space="0"/>
          <w:bottom w:val="none" w:color="auto" w:sz="0" w:space="0"/>
          <w:right w:val="none" w:color="auto" w:sz="0" w:space="0"/>
        </w:pBdr>
        <w:ind w:left="426" w:hanging="108"/>
        <w:jc w:val="left"/>
        <w:rPr>
          <w:rFonts w:ascii="宋体" w:hAnsi="宋体"/>
          <w:b/>
          <w:color w:val="000000" w:themeColor="text1"/>
          <w:sz w:val="21"/>
          <w:szCs w:val="21"/>
          <w:highlight w:val="none"/>
          <w14:textFill>
            <w14:solidFill>
              <w14:schemeClr w14:val="tx1"/>
            </w14:solidFill>
          </w14:textFill>
        </w:rPr>
      </w:pPr>
      <w:r>
        <w:rPr>
          <w:rFonts w:hint="eastAsia" w:ascii="宋体" w:hAnsi="宋体"/>
          <w:b/>
          <w:color w:val="000000" w:themeColor="text1"/>
          <w:sz w:val="21"/>
          <w:szCs w:val="21"/>
          <w:highlight w:val="none"/>
          <w14:textFill>
            <w14:solidFill>
              <w14:schemeClr w14:val="tx1"/>
            </w14:solidFill>
          </w14:textFill>
        </w:rPr>
        <w:t>2.报价</w:t>
      </w:r>
      <w:r>
        <w:rPr>
          <w:rFonts w:ascii="宋体" w:hAnsi="宋体"/>
          <w:b/>
          <w:color w:val="000000" w:themeColor="text1"/>
          <w:sz w:val="21"/>
          <w:szCs w:val="21"/>
          <w:highlight w:val="none"/>
          <w14:textFill>
            <w14:solidFill>
              <w14:schemeClr w14:val="tx1"/>
            </w14:solidFill>
          </w14:textFill>
        </w:rPr>
        <w:t>分（</w:t>
      </w:r>
      <w:r>
        <w:rPr>
          <w:rFonts w:hint="eastAsia" w:ascii="宋体" w:hAnsi="宋体"/>
          <w:b/>
          <w:color w:val="000000" w:themeColor="text1"/>
          <w:sz w:val="21"/>
          <w:szCs w:val="21"/>
          <w:highlight w:val="none"/>
          <w14:textFill>
            <w14:solidFill>
              <w14:schemeClr w14:val="tx1"/>
            </w14:solidFill>
          </w14:textFill>
        </w:rPr>
        <w:t>10</w:t>
      </w:r>
      <w:r>
        <w:rPr>
          <w:rFonts w:ascii="宋体" w:hAnsi="宋体"/>
          <w:b/>
          <w:color w:val="000000" w:themeColor="text1"/>
          <w:sz w:val="21"/>
          <w:szCs w:val="21"/>
          <w:highlight w:val="none"/>
          <w14:textFill>
            <w14:solidFill>
              <w14:schemeClr w14:val="tx1"/>
            </w14:solidFill>
          </w14:textFill>
        </w:rPr>
        <w:t>分）</w:t>
      </w:r>
    </w:p>
    <w:p>
      <w:pPr>
        <w:pStyle w:val="57"/>
        <w:pBdr>
          <w:top w:val="none" w:color="auto" w:sz="0" w:space="0"/>
          <w:left w:val="none" w:color="auto" w:sz="0" w:space="0"/>
          <w:bottom w:val="none" w:color="auto" w:sz="0" w:space="0"/>
          <w:right w:val="none" w:color="auto" w:sz="0" w:space="0"/>
        </w:pBdr>
        <w:spacing w:line="360" w:lineRule="auto"/>
        <w:ind w:firstLine="422"/>
        <w:rPr>
          <w:rFonts w:ascii="宋体" w:hAnsi="宋体" w:cs="宋体"/>
          <w:color w:val="auto"/>
          <w:highlight w:val="none"/>
        </w:rPr>
      </w:pPr>
      <w:r>
        <w:rPr>
          <w:rStyle w:val="58"/>
          <w:rFonts w:hint="eastAsia" w:ascii="宋体" w:hAnsi="宋体" w:cs="宋体"/>
          <w:b/>
          <w:bCs/>
          <w:color w:val="auto"/>
          <w:highlight w:val="none"/>
          <w:lang w:val="zh-TW" w:eastAsia="zh-TW"/>
        </w:rPr>
        <w:t>评定评标基准价：</w:t>
      </w:r>
      <w:r>
        <w:rPr>
          <w:rStyle w:val="58"/>
          <w:rFonts w:hint="eastAsia" w:ascii="宋体" w:hAnsi="宋体" w:cs="宋体"/>
          <w:color w:val="auto"/>
          <w:highlight w:val="none"/>
          <w:lang w:val="zh-TW" w:eastAsia="zh-TW"/>
        </w:rPr>
        <w:t>即满足招标文件要求且投标价格最低的投标报价为评标基准价，其价格分为满分（即：</w:t>
      </w:r>
      <w:r>
        <w:rPr>
          <w:rStyle w:val="58"/>
          <w:rFonts w:hint="eastAsia" w:ascii="宋体" w:hAnsi="宋体" w:cs="宋体"/>
          <w:color w:val="auto"/>
          <w:highlight w:val="none"/>
        </w:rPr>
        <w:t>10</w:t>
      </w:r>
      <w:r>
        <w:rPr>
          <w:rStyle w:val="58"/>
          <w:rFonts w:hint="eastAsia" w:ascii="宋体" w:hAnsi="宋体" w:cs="宋体"/>
          <w:color w:val="auto"/>
          <w:highlight w:val="none"/>
          <w:lang w:val="zh-TW" w:eastAsia="zh-TW"/>
        </w:rPr>
        <w:t>分）。其他投标人的价格分统一按照下列公式计算：</w:t>
      </w:r>
    </w:p>
    <w:p>
      <w:pPr>
        <w:pStyle w:val="57"/>
        <w:pBdr>
          <w:top w:val="none" w:color="auto" w:sz="0" w:space="0"/>
          <w:left w:val="none" w:color="auto" w:sz="0" w:space="0"/>
          <w:bottom w:val="none" w:color="auto" w:sz="0" w:space="0"/>
          <w:right w:val="none" w:color="auto" w:sz="0" w:space="0"/>
        </w:pBdr>
        <w:spacing w:line="360" w:lineRule="auto"/>
        <w:ind w:firstLine="422"/>
        <w:rPr>
          <w:rStyle w:val="58"/>
          <w:rFonts w:ascii="宋体" w:hAnsi="宋体" w:cs="宋体"/>
          <w:b/>
          <w:bCs/>
          <w:color w:val="auto"/>
          <w:szCs w:val="22"/>
          <w:highlight w:val="none"/>
          <w:lang w:val="zh-TW" w:eastAsia="zh-TW"/>
        </w:rPr>
      </w:pPr>
      <w:r>
        <w:rPr>
          <w:rStyle w:val="58"/>
          <w:rFonts w:hint="eastAsia" w:ascii="宋体" w:hAnsi="宋体" w:cs="宋体"/>
          <w:b/>
          <w:bCs/>
          <w:color w:val="auto"/>
          <w:szCs w:val="22"/>
          <w:highlight w:val="none"/>
          <w:lang w:val="zh-TW" w:eastAsia="zh-TW"/>
        </w:rPr>
        <w:t>投标报价得分=(评标基准价／投标报价)×价格权值（即：0.</w:t>
      </w:r>
      <w:r>
        <w:rPr>
          <w:rStyle w:val="58"/>
          <w:rFonts w:hint="eastAsia" w:ascii="宋体" w:hAnsi="宋体" w:cs="宋体"/>
          <w:b/>
          <w:bCs/>
          <w:color w:val="auto"/>
          <w:szCs w:val="22"/>
          <w:highlight w:val="none"/>
        </w:rPr>
        <w:t>1</w:t>
      </w:r>
      <w:r>
        <w:rPr>
          <w:rStyle w:val="58"/>
          <w:rFonts w:hint="eastAsia" w:ascii="宋体" w:hAnsi="宋体" w:cs="宋体"/>
          <w:b/>
          <w:bCs/>
          <w:color w:val="auto"/>
          <w:szCs w:val="22"/>
          <w:highlight w:val="none"/>
          <w:lang w:val="zh-TW" w:eastAsia="zh-TW"/>
        </w:rPr>
        <w:t>）×100</w:t>
      </w:r>
    </w:p>
    <w:p>
      <w:pPr>
        <w:pStyle w:val="57"/>
        <w:pBdr>
          <w:top w:val="none" w:color="auto" w:sz="0" w:space="0"/>
          <w:left w:val="none" w:color="auto" w:sz="0" w:space="0"/>
          <w:bottom w:val="none" w:color="auto" w:sz="0" w:space="0"/>
          <w:right w:val="none" w:color="auto" w:sz="0" w:space="0"/>
        </w:pBdr>
        <w:spacing w:line="360" w:lineRule="auto"/>
        <w:ind w:firstLine="422"/>
        <w:rPr>
          <w:rStyle w:val="58"/>
          <w:rFonts w:hint="eastAsia" w:ascii="宋体" w:hAnsi="宋体" w:cs="宋体"/>
          <w:b/>
          <w:bCs/>
          <w:color w:val="auto"/>
          <w:szCs w:val="22"/>
          <w:highlight w:val="none"/>
          <w:lang w:val="zh-TW"/>
        </w:rPr>
      </w:pPr>
      <w:r>
        <w:rPr>
          <w:rStyle w:val="58"/>
          <w:rFonts w:hint="eastAsia" w:ascii="宋体" w:hAnsi="宋体" w:cs="宋体"/>
          <w:b/>
          <w:bCs/>
          <w:color w:val="auto"/>
          <w:szCs w:val="22"/>
          <w:highlight w:val="none"/>
          <w:lang w:val="zh-TW" w:eastAsia="zh-TW"/>
        </w:rPr>
        <w:t>此项分值由评标委员会统一计算打分。</w:t>
      </w:r>
    </w:p>
    <w:p>
      <w:pPr>
        <w:spacing w:line="360" w:lineRule="auto"/>
        <w:ind w:firstLine="424" w:firstLineChars="200"/>
        <w:jc w:val="left"/>
        <w:rPr>
          <w:rFonts w:hint="eastAsia" w:ascii="宋体" w:hAnsi="宋体" w:cs="宋体"/>
          <w:b/>
          <w:bCs/>
          <w:color w:val="000000" w:themeColor="text1"/>
          <w:szCs w:val="21"/>
          <w:highlight w:val="none"/>
          <w:lang w:val="en-US" w:eastAsia="zh-CN"/>
          <w14:textFill>
            <w14:solidFill>
              <w14:schemeClr w14:val="tx1"/>
            </w14:solidFill>
          </w14:textFill>
        </w:rPr>
      </w:pPr>
      <w:r>
        <w:rPr>
          <w:rStyle w:val="58"/>
          <w:rFonts w:hint="eastAsia" w:ascii="宋体" w:hAnsi="宋体" w:cs="宋体"/>
          <w:b/>
          <w:bCs/>
          <w:color w:val="auto"/>
          <w:szCs w:val="22"/>
          <w:highlight w:val="none"/>
          <w:lang w:val="zh-TW" w:eastAsia="zh-TW"/>
        </w:rPr>
        <w:t>评标委员会将推荐综合评分最高的投标者为中标候选人。</w:t>
      </w:r>
    </w:p>
    <w:p>
      <w:pPr>
        <w:spacing w:line="360" w:lineRule="auto"/>
        <w:ind w:firstLine="424" w:firstLineChars="200"/>
        <w:jc w:val="left"/>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根据《政府采购促进中小企业发展暂行办法》（财库[2011]181 号）、《财政部、司法部关于政府采购支持监狱企业发展有关问题的通知》（财库〔2014〕68号）及《关于促进残疾人就业政府采购政策的通知》（财库〔2017〕141号）规定，本项目对小型和微型企业（含监狱企业、残疾人福利性企业）制造的产品的价格给予6%的扣除，用扣除后的价格参与评审。小型、微型企业提供中型企业制造的货物的，视同中型企业）</w:t>
      </w:r>
      <w:r>
        <w:rPr>
          <w:rFonts w:hint="eastAsia" w:ascii="宋体" w:hAnsi="宋体" w:cs="宋体"/>
          <w:b/>
          <w:bCs/>
          <w:kern w:val="2"/>
          <w:sz w:val="21"/>
          <w:szCs w:val="21"/>
          <w:lang w:eastAsia="zh-CN"/>
        </w:rPr>
        <w:t>（注：企业须填写《中小企业声明函》及证明材料，未按要求提供的不予扣除）</w:t>
      </w:r>
    </w:p>
    <w:p>
      <w:pPr>
        <w:numPr>
          <w:ilvl w:val="-1"/>
          <w:numId w:val="0"/>
        </w:numPr>
        <w:spacing w:line="360" w:lineRule="auto"/>
        <w:ind w:left="0" w:firstLine="424" w:firstLineChars="200"/>
        <w:jc w:val="left"/>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lang w:val="en-US" w:eastAsia="zh-CN"/>
          <w14:textFill>
            <w14:solidFill>
              <w14:schemeClr w14:val="tx1"/>
            </w14:solidFill>
          </w14:textFill>
        </w:rPr>
        <w:t>3.</w:t>
      </w:r>
      <w:r>
        <w:rPr>
          <w:rFonts w:hint="eastAsia" w:ascii="宋体" w:hAnsi="宋体" w:cs="宋体"/>
          <w:b/>
          <w:color w:val="000000" w:themeColor="text1"/>
          <w:szCs w:val="21"/>
          <w:highlight w:val="none"/>
          <w14:textFill>
            <w14:solidFill>
              <w14:schemeClr w14:val="tx1"/>
            </w14:solidFill>
          </w14:textFill>
        </w:rPr>
        <w:t>商务及技术分（90分）</w:t>
      </w:r>
      <w:bookmarkStart w:id="556" w:name="_GoBack"/>
      <w:bookmarkEnd w:id="556"/>
    </w:p>
    <w:tbl>
      <w:tblPr>
        <w:tblStyle w:val="25"/>
        <w:tblW w:w="98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1093"/>
        <w:gridCol w:w="7127"/>
        <w:gridCol w:w="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727" w:type="dxa"/>
            <w:vAlign w:val="center"/>
          </w:tcPr>
          <w:p>
            <w:pPr>
              <w:jc w:val="center"/>
              <w:rPr>
                <w:rFonts w:ascii="宋体" w:hAnsi="宋体" w:cs="宋体"/>
                <w:b/>
                <w:bCs/>
                <w:szCs w:val="21"/>
                <w:highlight w:val="none"/>
                <w:lang w:val="zh-CN"/>
              </w:rPr>
            </w:pPr>
            <w:r>
              <w:rPr>
                <w:rFonts w:hint="eastAsia" w:ascii="宋体" w:hAnsi="宋体" w:cs="宋体"/>
                <w:b/>
                <w:bCs/>
                <w:szCs w:val="21"/>
                <w:highlight w:val="none"/>
                <w:lang w:val="zh-CN"/>
              </w:rPr>
              <w:t>序号</w:t>
            </w:r>
          </w:p>
        </w:tc>
        <w:tc>
          <w:tcPr>
            <w:tcW w:w="1093" w:type="dxa"/>
            <w:vAlign w:val="center"/>
          </w:tcPr>
          <w:p>
            <w:pPr>
              <w:jc w:val="center"/>
              <w:rPr>
                <w:rFonts w:ascii="宋体" w:hAnsi="宋体" w:cs="宋体"/>
                <w:b/>
                <w:bCs/>
                <w:szCs w:val="21"/>
                <w:highlight w:val="none"/>
                <w:lang w:val="zh-CN"/>
              </w:rPr>
            </w:pPr>
            <w:r>
              <w:rPr>
                <w:rFonts w:hint="eastAsia" w:ascii="宋体" w:hAnsi="宋体" w:cs="宋体"/>
                <w:b/>
                <w:bCs/>
                <w:szCs w:val="21"/>
                <w:highlight w:val="none"/>
                <w:lang w:val="zh-CN"/>
              </w:rPr>
              <w:t>内容</w:t>
            </w:r>
          </w:p>
        </w:tc>
        <w:tc>
          <w:tcPr>
            <w:tcW w:w="7127" w:type="dxa"/>
            <w:vAlign w:val="center"/>
          </w:tcPr>
          <w:p>
            <w:pPr>
              <w:jc w:val="center"/>
              <w:rPr>
                <w:rFonts w:ascii="宋体" w:hAnsi="宋体" w:cs="宋体"/>
                <w:b/>
                <w:bCs/>
                <w:szCs w:val="21"/>
                <w:highlight w:val="none"/>
                <w:lang w:val="zh-CN"/>
              </w:rPr>
            </w:pPr>
            <w:r>
              <w:rPr>
                <w:rFonts w:hint="eastAsia" w:ascii="宋体" w:hAnsi="宋体" w:cs="宋体"/>
                <w:b/>
                <w:bCs/>
                <w:szCs w:val="21"/>
                <w:highlight w:val="none"/>
                <w:lang w:val="zh-CN"/>
              </w:rPr>
              <w:t>评分标准</w:t>
            </w:r>
          </w:p>
        </w:tc>
        <w:tc>
          <w:tcPr>
            <w:tcW w:w="927" w:type="dxa"/>
            <w:vAlign w:val="center"/>
          </w:tcPr>
          <w:p>
            <w:pPr>
              <w:jc w:val="center"/>
              <w:rPr>
                <w:rFonts w:ascii="宋体" w:hAnsi="宋体" w:cs="宋体"/>
                <w:b/>
                <w:bCs/>
                <w:szCs w:val="21"/>
                <w:highlight w:val="none"/>
                <w:lang w:val="zh-CN"/>
              </w:rPr>
            </w:pPr>
            <w:r>
              <w:rPr>
                <w:rFonts w:hint="eastAsia" w:ascii="宋体" w:hAnsi="宋体" w:cs="宋体"/>
                <w:b/>
                <w:bCs/>
                <w:szCs w:val="21"/>
                <w:highlight w:val="none"/>
                <w:lang w:val="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727" w:type="dxa"/>
            <w:vAlign w:val="center"/>
          </w:tcPr>
          <w:p>
            <w:pPr>
              <w:jc w:val="center"/>
              <w:rPr>
                <w:rFonts w:ascii="宋体" w:hAnsi="宋体" w:cs="宋体"/>
                <w:szCs w:val="21"/>
                <w:highlight w:val="none"/>
              </w:rPr>
            </w:pPr>
            <w:r>
              <w:rPr>
                <w:rFonts w:hint="eastAsia" w:ascii="宋体" w:hAnsi="宋体" w:cs="宋体"/>
                <w:szCs w:val="21"/>
                <w:highlight w:val="none"/>
              </w:rPr>
              <w:t>1</w:t>
            </w:r>
          </w:p>
        </w:tc>
        <w:tc>
          <w:tcPr>
            <w:tcW w:w="1093" w:type="dxa"/>
            <w:vAlign w:val="center"/>
          </w:tcPr>
          <w:p>
            <w:pPr>
              <w:jc w:val="center"/>
              <w:rPr>
                <w:rFonts w:ascii="宋体" w:hAnsi="宋体" w:cs="宋体"/>
                <w:szCs w:val="21"/>
                <w:highlight w:val="none"/>
                <w:lang w:val="zh-CN"/>
              </w:rPr>
            </w:pPr>
            <w:r>
              <w:rPr>
                <w:rFonts w:hint="eastAsia" w:ascii="宋体" w:hAnsi="宋体" w:cs="宋体"/>
                <w:szCs w:val="21"/>
                <w:highlight w:val="none"/>
                <w:lang w:val="zh-CN"/>
              </w:rPr>
              <w:t>企业实力</w:t>
            </w:r>
          </w:p>
        </w:tc>
        <w:tc>
          <w:tcPr>
            <w:tcW w:w="7127" w:type="dxa"/>
            <w:vAlign w:val="center"/>
          </w:tcPr>
          <w:p>
            <w:pPr>
              <w:jc w:val="left"/>
              <w:rPr>
                <w:rFonts w:ascii="宋体" w:hAnsi="宋体" w:cs="宋体"/>
                <w:szCs w:val="21"/>
                <w:highlight w:val="none"/>
                <w:lang w:val="zh-CN"/>
              </w:rPr>
            </w:pPr>
            <w:r>
              <w:rPr>
                <w:rFonts w:hint="eastAsia" w:ascii="宋体" w:hAnsi="宋体" w:cs="宋体"/>
                <w:szCs w:val="21"/>
                <w:highlight w:val="none"/>
                <w:lang w:val="zh-CN"/>
              </w:rPr>
              <w:t>具备有效的质量管理体系认证证书、环境管理体系认证证书、职业健康安全管理体系认证证书，</w:t>
            </w:r>
            <w:r>
              <w:rPr>
                <w:rFonts w:hint="eastAsia" w:ascii="宋体" w:hAnsi="宋体" w:cs="宋体"/>
                <w:kern w:val="0"/>
                <w:szCs w:val="21"/>
                <w:highlight w:val="none"/>
                <w:lang w:val="zh-CN"/>
              </w:rPr>
              <w:t>且认证证书服务范围含</w:t>
            </w:r>
            <w:r>
              <w:rPr>
                <w:rFonts w:hint="eastAsia" w:ascii="宋体" w:hAnsi="宋体" w:cs="宋体"/>
                <w:kern w:val="0"/>
                <w:szCs w:val="21"/>
                <w:highlight w:val="none"/>
              </w:rPr>
              <w:t>环保类的，</w:t>
            </w:r>
            <w:r>
              <w:rPr>
                <w:rFonts w:hint="eastAsia" w:ascii="宋体" w:hAnsi="宋体" w:cs="宋体"/>
                <w:szCs w:val="21"/>
                <w:highlight w:val="none"/>
                <w:lang w:val="zh-CN"/>
              </w:rPr>
              <w:t>每项证书得1分，最高得3分。</w:t>
            </w:r>
          </w:p>
          <w:p>
            <w:pPr>
              <w:jc w:val="left"/>
              <w:rPr>
                <w:rFonts w:ascii="宋体" w:hAnsi="宋体" w:cs="宋体"/>
                <w:szCs w:val="21"/>
                <w:highlight w:val="none"/>
              </w:rPr>
            </w:pPr>
            <w:r>
              <w:rPr>
                <w:rFonts w:hint="eastAsia" w:ascii="宋体" w:hAnsi="宋体" w:cs="宋体"/>
                <w:szCs w:val="21"/>
                <w:highlight w:val="none"/>
                <w:lang w:val="zh-CN"/>
              </w:rPr>
              <w:t>证明材料：有效的认证证书</w:t>
            </w:r>
            <w:r>
              <w:rPr>
                <w:rFonts w:hint="eastAsia" w:ascii="宋体" w:hAnsi="宋体" w:cs="宋体"/>
                <w:kern w:val="0"/>
                <w:szCs w:val="21"/>
                <w:highlight w:val="none"/>
                <w:lang w:val="zh-CN"/>
              </w:rPr>
              <w:t>原件扫描件（彩色）。</w:t>
            </w:r>
          </w:p>
        </w:tc>
        <w:tc>
          <w:tcPr>
            <w:tcW w:w="927" w:type="dxa"/>
            <w:vAlign w:val="center"/>
          </w:tcPr>
          <w:p>
            <w:pPr>
              <w:jc w:val="center"/>
              <w:rPr>
                <w:rFonts w:ascii="宋体" w:hAnsi="宋体" w:cs="宋体"/>
                <w:szCs w:val="21"/>
                <w:highlight w:val="none"/>
              </w:rPr>
            </w:pPr>
            <w:r>
              <w:rPr>
                <w:rFonts w:hint="eastAsia" w:ascii="宋体" w:hAnsi="宋体" w:cs="宋体"/>
                <w:szCs w:val="21"/>
                <w:highlight w:val="none"/>
                <w:lang w:val="en-US" w:eastAsia="zh-CN"/>
              </w:rPr>
              <w:t>0</w:t>
            </w:r>
            <w:r>
              <w:rPr>
                <w:rFonts w:hint="eastAsia" w:ascii="宋体" w:hAnsi="宋体" w:cs="宋体"/>
                <w:kern w:val="2"/>
                <w:sz w:val="21"/>
                <w:szCs w:val="21"/>
                <w:lang w:eastAsia="zh-CN"/>
              </w:rPr>
              <w:t>-</w:t>
            </w:r>
            <w:r>
              <w:rPr>
                <w:rFonts w:hint="eastAsia" w:ascii="宋体" w:hAnsi="宋体" w:cs="宋体"/>
                <w:szCs w:val="21"/>
                <w:highlight w:val="no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727" w:type="dxa"/>
            <w:vAlign w:val="center"/>
          </w:tcPr>
          <w:p>
            <w:pPr>
              <w:jc w:val="center"/>
              <w:rPr>
                <w:rFonts w:ascii="宋体" w:hAnsi="宋体" w:cs="宋体"/>
                <w:szCs w:val="21"/>
                <w:highlight w:val="none"/>
              </w:rPr>
            </w:pPr>
            <w:r>
              <w:rPr>
                <w:rFonts w:hint="eastAsia" w:ascii="宋体" w:hAnsi="宋体" w:cs="宋体"/>
                <w:szCs w:val="21"/>
                <w:highlight w:val="none"/>
              </w:rPr>
              <w:t>2</w:t>
            </w:r>
          </w:p>
        </w:tc>
        <w:tc>
          <w:tcPr>
            <w:tcW w:w="1093" w:type="dxa"/>
            <w:vAlign w:val="center"/>
          </w:tcPr>
          <w:p>
            <w:pPr>
              <w:jc w:val="center"/>
              <w:rPr>
                <w:rFonts w:ascii="宋体" w:hAnsi="宋体" w:cs="宋体"/>
                <w:szCs w:val="21"/>
                <w:highlight w:val="none"/>
                <w:lang w:val="zh-CN"/>
              </w:rPr>
            </w:pPr>
            <w:r>
              <w:rPr>
                <w:rFonts w:hint="eastAsia" w:ascii="宋体" w:hAnsi="宋体" w:cs="宋体"/>
                <w:szCs w:val="21"/>
                <w:highlight w:val="none"/>
                <w:lang w:val="zh-CN"/>
              </w:rPr>
              <w:t>企业业绩</w:t>
            </w:r>
          </w:p>
        </w:tc>
        <w:tc>
          <w:tcPr>
            <w:tcW w:w="7127" w:type="dxa"/>
            <w:vAlign w:val="center"/>
          </w:tcPr>
          <w:p>
            <w:pPr>
              <w:jc w:val="left"/>
              <w:rPr>
                <w:rFonts w:ascii="宋体" w:hAnsi="宋体" w:cs="宋体"/>
                <w:szCs w:val="21"/>
                <w:highlight w:val="none"/>
                <w:lang w:val="zh-CN"/>
              </w:rPr>
            </w:pPr>
            <w:r>
              <w:rPr>
                <w:rFonts w:hint="eastAsia" w:ascii="宋体" w:hAnsi="宋体" w:cs="宋体"/>
                <w:szCs w:val="21"/>
                <w:highlight w:val="none"/>
                <w:lang w:val="zh-CN"/>
              </w:rPr>
              <w:t>根据投标人提供201</w:t>
            </w:r>
            <w:r>
              <w:rPr>
                <w:rFonts w:hint="eastAsia" w:ascii="宋体" w:hAnsi="宋体" w:cs="宋体"/>
                <w:szCs w:val="21"/>
                <w:highlight w:val="none"/>
              </w:rPr>
              <w:t>7</w:t>
            </w:r>
            <w:r>
              <w:rPr>
                <w:rFonts w:hint="eastAsia" w:ascii="宋体" w:hAnsi="宋体" w:cs="宋体"/>
                <w:szCs w:val="21"/>
                <w:highlight w:val="none"/>
                <w:lang w:val="zh-CN"/>
              </w:rPr>
              <w:t>年1月1日起有过污水处理站（7</w:t>
            </w:r>
            <w:r>
              <w:rPr>
                <w:rFonts w:hint="eastAsia" w:ascii="宋体" w:hAnsi="宋体" w:cs="宋体"/>
                <w:szCs w:val="21"/>
                <w:highlight w:val="none"/>
              </w:rPr>
              <w:t>9</w:t>
            </w:r>
            <w:r>
              <w:rPr>
                <w:rFonts w:hint="eastAsia" w:ascii="宋体" w:hAnsi="宋体" w:cs="宋体"/>
                <w:szCs w:val="21"/>
                <w:highlight w:val="none"/>
                <w:lang w:val="zh-CN"/>
              </w:rPr>
              <w:t>00吨每日）托管运营业绩的一个得1分，本项最高得</w:t>
            </w:r>
            <w:r>
              <w:rPr>
                <w:rFonts w:hint="eastAsia" w:ascii="宋体" w:hAnsi="宋体" w:cs="宋体"/>
                <w:szCs w:val="21"/>
                <w:highlight w:val="none"/>
                <w:lang w:val="en-US" w:eastAsia="zh-CN"/>
              </w:rPr>
              <w:t>2</w:t>
            </w:r>
            <w:r>
              <w:rPr>
                <w:rFonts w:hint="eastAsia" w:ascii="宋体" w:hAnsi="宋体" w:cs="宋体"/>
                <w:szCs w:val="21"/>
                <w:highlight w:val="none"/>
                <w:lang w:val="zh-CN"/>
              </w:rPr>
              <w:t>分；</w:t>
            </w:r>
          </w:p>
          <w:p>
            <w:pPr>
              <w:jc w:val="left"/>
              <w:rPr>
                <w:rFonts w:ascii="宋体" w:hAnsi="宋体" w:cs="宋体"/>
                <w:szCs w:val="21"/>
                <w:highlight w:val="none"/>
              </w:rPr>
            </w:pPr>
            <w:r>
              <w:rPr>
                <w:rFonts w:hint="eastAsia" w:ascii="宋体" w:hAnsi="宋体" w:cs="宋体"/>
                <w:szCs w:val="21"/>
                <w:highlight w:val="none"/>
              </w:rPr>
              <w:t>证明材料：</w:t>
            </w:r>
            <w:r>
              <w:rPr>
                <w:rFonts w:hint="eastAsia" w:ascii="宋体" w:hAnsi="宋体" w:cs="宋体"/>
                <w:szCs w:val="21"/>
                <w:highlight w:val="none"/>
                <w:lang w:val="zh-CN"/>
              </w:rPr>
              <w:t>同时</w:t>
            </w:r>
            <w:r>
              <w:rPr>
                <w:rFonts w:hint="eastAsia" w:ascii="宋体" w:hAnsi="宋体" w:cs="宋体"/>
                <w:szCs w:val="21"/>
                <w:highlight w:val="none"/>
              </w:rPr>
              <w:t>提供中标通知书及合同</w:t>
            </w:r>
            <w:r>
              <w:rPr>
                <w:rFonts w:hint="eastAsia" w:ascii="宋体" w:hAnsi="宋体" w:cs="宋体"/>
                <w:kern w:val="0"/>
                <w:szCs w:val="21"/>
                <w:highlight w:val="none"/>
                <w:lang w:val="zh-CN"/>
              </w:rPr>
              <w:t>原件扫描件（彩色）</w:t>
            </w:r>
            <w:r>
              <w:rPr>
                <w:rFonts w:hint="eastAsia" w:ascii="宋体" w:hAnsi="宋体" w:cs="宋体"/>
                <w:szCs w:val="21"/>
                <w:highlight w:val="none"/>
                <w:lang w:val="zh-CN"/>
              </w:rPr>
              <w:t>，</w:t>
            </w:r>
            <w:r>
              <w:rPr>
                <w:rFonts w:hint="eastAsia" w:ascii="宋体" w:hAnsi="宋体" w:cs="宋体"/>
                <w:szCs w:val="21"/>
                <w:highlight w:val="none"/>
              </w:rPr>
              <w:t>中标通知书及合同中必须体现污水日处理量。</w:t>
            </w:r>
            <w:r>
              <w:rPr>
                <w:rFonts w:hint="eastAsia" w:ascii="宋体" w:hAnsi="宋体" w:cs="宋体"/>
                <w:szCs w:val="21"/>
                <w:highlight w:val="none"/>
                <w:lang w:val="zh-CN"/>
              </w:rPr>
              <w:t>时间以中标通知书最后落款时间为准。</w:t>
            </w:r>
          </w:p>
        </w:tc>
        <w:tc>
          <w:tcPr>
            <w:tcW w:w="927" w:type="dxa"/>
            <w:vAlign w:val="center"/>
          </w:tcPr>
          <w:p>
            <w:pPr>
              <w:jc w:val="center"/>
              <w:rPr>
                <w:rFonts w:ascii="宋体" w:hAnsi="宋体" w:cs="宋体"/>
                <w:szCs w:val="21"/>
                <w:highlight w:val="none"/>
                <w:lang w:val="zh-CN"/>
              </w:rPr>
            </w:pPr>
            <w:r>
              <w:rPr>
                <w:rFonts w:hint="eastAsia" w:ascii="宋体" w:hAnsi="宋体" w:cs="宋体"/>
                <w:szCs w:val="21"/>
                <w:highlight w:val="none"/>
                <w:lang w:val="en-US" w:eastAsia="zh-CN"/>
              </w:rPr>
              <w:t>0</w:t>
            </w:r>
            <w:r>
              <w:rPr>
                <w:rFonts w:hint="eastAsia" w:ascii="宋体" w:hAnsi="宋体" w:cs="宋体"/>
                <w:kern w:val="2"/>
                <w:sz w:val="21"/>
                <w:szCs w:val="21"/>
                <w:lang w:eastAsia="zh-CN"/>
              </w:rPr>
              <w:t>-</w:t>
            </w:r>
            <w:r>
              <w:rPr>
                <w:rFonts w:hint="eastAsia" w:ascii="宋体" w:hAnsi="宋体" w:cs="宋体"/>
                <w:szCs w:val="21"/>
                <w:highlight w:val="none"/>
                <w:lang w:val="en-US" w:eastAsia="zh-CN"/>
              </w:rPr>
              <w:t>2</w:t>
            </w:r>
            <w:r>
              <w:rPr>
                <w:rFonts w:hint="eastAsia" w:ascii="宋体" w:hAnsi="宋体" w:cs="宋体"/>
                <w:szCs w:val="21"/>
                <w:highlight w:val="none"/>
                <w:lang w:val="en-GB"/>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727" w:type="dxa"/>
            <w:vAlign w:val="center"/>
          </w:tcPr>
          <w:p>
            <w:pPr>
              <w:jc w:val="center"/>
              <w:rPr>
                <w:rFonts w:ascii="宋体" w:hAnsi="宋体" w:cs="宋体"/>
                <w:szCs w:val="21"/>
                <w:highlight w:val="none"/>
              </w:rPr>
            </w:pPr>
            <w:r>
              <w:rPr>
                <w:rFonts w:hint="eastAsia" w:ascii="宋体" w:hAnsi="宋体" w:cs="宋体"/>
                <w:szCs w:val="21"/>
                <w:highlight w:val="none"/>
              </w:rPr>
              <w:t>3</w:t>
            </w:r>
          </w:p>
        </w:tc>
        <w:tc>
          <w:tcPr>
            <w:tcW w:w="1093" w:type="dxa"/>
            <w:vAlign w:val="center"/>
          </w:tcPr>
          <w:p>
            <w:pPr>
              <w:jc w:val="center"/>
              <w:rPr>
                <w:rFonts w:ascii="宋体" w:hAnsi="宋体" w:cs="宋体"/>
                <w:szCs w:val="21"/>
                <w:highlight w:val="none"/>
              </w:rPr>
            </w:pPr>
            <w:r>
              <w:rPr>
                <w:rFonts w:hint="eastAsia" w:ascii="宋体" w:hAnsi="宋体" w:cs="宋体"/>
                <w:szCs w:val="21"/>
                <w:highlight w:val="none"/>
                <w:lang w:val="zh-CN"/>
              </w:rPr>
              <w:t>拟投入本项目的设备</w:t>
            </w:r>
          </w:p>
        </w:tc>
        <w:tc>
          <w:tcPr>
            <w:tcW w:w="7127" w:type="dxa"/>
            <w:vAlign w:val="center"/>
          </w:tcPr>
          <w:p>
            <w:pPr>
              <w:jc w:val="left"/>
              <w:rPr>
                <w:rFonts w:ascii="宋体" w:hAnsi="宋体" w:cs="宋体"/>
                <w:szCs w:val="21"/>
                <w:highlight w:val="none"/>
                <w:lang w:val="zh-CN"/>
              </w:rPr>
            </w:pPr>
            <w:r>
              <w:rPr>
                <w:rFonts w:hint="eastAsia" w:ascii="宋体" w:hAnsi="宋体" w:cs="宋体"/>
                <w:szCs w:val="21"/>
                <w:highlight w:val="none"/>
                <w:lang w:val="zh-CN"/>
              </w:rPr>
              <w:t>自有核定载质量500kg及以上的运维作业轻型货车，每辆得</w:t>
            </w:r>
            <w:r>
              <w:rPr>
                <w:rFonts w:hint="eastAsia" w:ascii="宋体" w:hAnsi="宋体" w:cs="宋体"/>
                <w:szCs w:val="21"/>
                <w:highlight w:val="none"/>
              </w:rPr>
              <w:t>1分，</w:t>
            </w:r>
            <w:r>
              <w:rPr>
                <w:rFonts w:hint="eastAsia" w:ascii="宋体" w:hAnsi="宋体" w:cs="宋体"/>
                <w:szCs w:val="21"/>
                <w:highlight w:val="none"/>
                <w:lang w:val="zh-CN"/>
              </w:rPr>
              <w:t>最高得5分；自有核定载质量4000kg及以上的清洗吸污专项作业车的，得</w:t>
            </w:r>
            <w:r>
              <w:rPr>
                <w:rFonts w:hint="eastAsia" w:ascii="宋体" w:hAnsi="宋体" w:cs="宋体"/>
                <w:szCs w:val="21"/>
                <w:highlight w:val="none"/>
              </w:rPr>
              <w:t>5</w:t>
            </w:r>
            <w:r>
              <w:rPr>
                <w:rFonts w:hint="eastAsia" w:ascii="宋体" w:hAnsi="宋体" w:cs="宋体"/>
                <w:szCs w:val="21"/>
                <w:highlight w:val="none"/>
                <w:lang w:val="zh-CN"/>
              </w:rPr>
              <w:t>分；</w:t>
            </w:r>
          </w:p>
          <w:p>
            <w:pPr>
              <w:jc w:val="left"/>
              <w:rPr>
                <w:rFonts w:ascii="宋体" w:hAnsi="宋体" w:cs="宋体"/>
                <w:szCs w:val="21"/>
                <w:highlight w:val="none"/>
                <w:lang w:val="en-GB"/>
              </w:rPr>
            </w:pPr>
            <w:r>
              <w:rPr>
                <w:rFonts w:hint="eastAsia" w:ascii="宋体" w:hAnsi="宋体" w:cs="宋体"/>
                <w:szCs w:val="21"/>
                <w:highlight w:val="none"/>
                <w:lang w:val="zh-CN"/>
              </w:rPr>
              <w:t>证明材料：提供投标人企业或投标人企业法定代表人（负责人）名下的行驶证原件扫描件（彩色）。</w:t>
            </w:r>
          </w:p>
        </w:tc>
        <w:tc>
          <w:tcPr>
            <w:tcW w:w="927" w:type="dxa"/>
            <w:vAlign w:val="center"/>
          </w:tcPr>
          <w:p>
            <w:pPr>
              <w:jc w:val="center"/>
              <w:rPr>
                <w:rFonts w:ascii="宋体" w:hAnsi="宋体" w:cs="宋体"/>
                <w:szCs w:val="21"/>
                <w:highlight w:val="none"/>
              </w:rPr>
            </w:pPr>
            <w:r>
              <w:rPr>
                <w:rFonts w:hint="eastAsia" w:ascii="宋体" w:hAnsi="宋体" w:cs="宋体"/>
                <w:szCs w:val="21"/>
                <w:highlight w:val="none"/>
                <w:lang w:val="en-US" w:eastAsia="zh-CN"/>
              </w:rPr>
              <w:t>0</w:t>
            </w:r>
            <w:r>
              <w:rPr>
                <w:rFonts w:hint="eastAsia" w:ascii="宋体" w:hAnsi="宋体" w:cs="宋体"/>
                <w:kern w:val="2"/>
                <w:sz w:val="21"/>
                <w:szCs w:val="21"/>
                <w:lang w:eastAsia="zh-CN"/>
              </w:rPr>
              <w:t>-</w:t>
            </w:r>
            <w:r>
              <w:rPr>
                <w:rFonts w:hint="eastAsia" w:ascii="宋体" w:hAnsi="宋体" w:cs="宋体"/>
                <w:szCs w:val="21"/>
                <w:highlight w:val="none"/>
              </w:rPr>
              <w:t>10</w:t>
            </w:r>
            <w:r>
              <w:rPr>
                <w:rFonts w:hint="eastAsia" w:ascii="宋体" w:hAnsi="宋体" w:cs="宋体"/>
                <w:szCs w:val="21"/>
                <w:highlight w:val="none"/>
                <w:lang w:val="en-GB"/>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727" w:type="dxa"/>
            <w:vMerge w:val="restart"/>
            <w:vAlign w:val="center"/>
          </w:tcPr>
          <w:p>
            <w:pPr>
              <w:jc w:val="center"/>
              <w:rPr>
                <w:rFonts w:ascii="宋体" w:hAnsi="宋体" w:cs="宋体"/>
                <w:szCs w:val="21"/>
                <w:highlight w:val="none"/>
              </w:rPr>
            </w:pPr>
            <w:r>
              <w:rPr>
                <w:rFonts w:hint="eastAsia" w:ascii="宋体" w:hAnsi="宋体" w:cs="宋体"/>
                <w:szCs w:val="21"/>
                <w:highlight w:val="none"/>
              </w:rPr>
              <w:t>4</w:t>
            </w:r>
          </w:p>
        </w:tc>
        <w:tc>
          <w:tcPr>
            <w:tcW w:w="1093" w:type="dxa"/>
            <w:vMerge w:val="restart"/>
            <w:vAlign w:val="center"/>
          </w:tcPr>
          <w:p>
            <w:pPr>
              <w:jc w:val="center"/>
              <w:rPr>
                <w:rFonts w:ascii="宋体" w:hAnsi="宋体" w:cs="宋体"/>
                <w:szCs w:val="21"/>
                <w:highlight w:val="none"/>
              </w:rPr>
            </w:pPr>
            <w:r>
              <w:rPr>
                <w:rFonts w:hint="eastAsia" w:ascii="宋体" w:hAnsi="宋体" w:cs="宋体"/>
                <w:szCs w:val="21"/>
                <w:highlight w:val="none"/>
                <w:lang w:val="zh-CN"/>
              </w:rPr>
              <w:t>拟投入本项目的主要人员情况</w:t>
            </w:r>
          </w:p>
        </w:tc>
        <w:tc>
          <w:tcPr>
            <w:tcW w:w="7127" w:type="dxa"/>
            <w:vAlign w:val="center"/>
          </w:tcPr>
          <w:p>
            <w:pPr>
              <w:jc w:val="left"/>
              <w:rPr>
                <w:rFonts w:ascii="宋体" w:hAnsi="宋体" w:cs="宋体"/>
                <w:szCs w:val="21"/>
                <w:highlight w:val="none"/>
              </w:rPr>
            </w:pPr>
            <w:r>
              <w:rPr>
                <w:rFonts w:hint="eastAsia" w:ascii="宋体" w:hAnsi="宋体" w:cs="宋体"/>
                <w:szCs w:val="21"/>
                <w:highlight w:val="none"/>
              </w:rPr>
              <w:t>拟派项目运营负责人（厂长）具备环保类中级工程师及以上职称的，得1分，具有高级工程师职称的，得2分。同一人只按最高职称计分，不累计得分。</w:t>
            </w:r>
          </w:p>
          <w:p>
            <w:pPr>
              <w:jc w:val="left"/>
              <w:rPr>
                <w:rFonts w:ascii="宋体" w:hAnsi="宋体" w:cs="宋体"/>
                <w:szCs w:val="21"/>
                <w:highlight w:val="none"/>
              </w:rPr>
            </w:pPr>
            <w:r>
              <w:rPr>
                <w:rFonts w:hint="eastAsia" w:ascii="宋体" w:hAnsi="宋体" w:cs="宋体"/>
                <w:szCs w:val="21"/>
                <w:highlight w:val="none"/>
                <w:lang w:val="zh-CN"/>
              </w:rPr>
              <w:t>证明材料：同时</w:t>
            </w:r>
            <w:r>
              <w:rPr>
                <w:rFonts w:hint="eastAsia" w:ascii="宋体" w:hAnsi="宋体" w:cs="宋体"/>
                <w:szCs w:val="21"/>
                <w:highlight w:val="none"/>
              </w:rPr>
              <w:t>提供职称证书</w:t>
            </w:r>
            <w:r>
              <w:rPr>
                <w:rFonts w:hint="eastAsia" w:ascii="宋体" w:hAnsi="宋体" w:cs="宋体"/>
                <w:kern w:val="0"/>
                <w:szCs w:val="21"/>
                <w:highlight w:val="none"/>
                <w:lang w:val="zh-CN"/>
              </w:rPr>
              <w:t>原件扫描件（彩色）</w:t>
            </w:r>
            <w:r>
              <w:rPr>
                <w:rFonts w:hint="eastAsia" w:ascii="宋体" w:hAnsi="宋体" w:cs="宋体"/>
                <w:szCs w:val="21"/>
                <w:highlight w:val="none"/>
              </w:rPr>
              <w:t>及近三个月的社保证明</w:t>
            </w:r>
            <w:r>
              <w:rPr>
                <w:rFonts w:hint="eastAsia" w:ascii="宋体" w:hAnsi="宋体" w:cs="宋体"/>
                <w:kern w:val="0"/>
                <w:szCs w:val="21"/>
                <w:highlight w:val="none"/>
                <w:lang w:val="zh-CN"/>
              </w:rPr>
              <w:t xml:space="preserve">（可以为税务或社保机构官方网站查询结果）。 </w:t>
            </w:r>
          </w:p>
        </w:tc>
        <w:tc>
          <w:tcPr>
            <w:tcW w:w="927" w:type="dxa"/>
            <w:vMerge w:val="restart"/>
            <w:vAlign w:val="center"/>
          </w:tcPr>
          <w:p>
            <w:pPr>
              <w:jc w:val="center"/>
              <w:rPr>
                <w:rFonts w:ascii="宋体" w:hAnsi="宋体" w:cs="宋体"/>
                <w:szCs w:val="21"/>
                <w:highlight w:val="none"/>
              </w:rPr>
            </w:pPr>
            <w:r>
              <w:rPr>
                <w:rFonts w:hint="eastAsia" w:ascii="宋体" w:hAnsi="宋体" w:cs="宋体"/>
                <w:szCs w:val="21"/>
                <w:highlight w:val="none"/>
                <w:lang w:val="en-US" w:eastAsia="zh-CN"/>
              </w:rPr>
              <w:t>0</w:t>
            </w:r>
            <w:r>
              <w:rPr>
                <w:rFonts w:hint="eastAsia" w:ascii="宋体" w:hAnsi="宋体" w:cs="宋体"/>
                <w:kern w:val="2"/>
                <w:sz w:val="21"/>
                <w:szCs w:val="21"/>
                <w:lang w:eastAsia="zh-CN"/>
              </w:rPr>
              <w:t>-</w:t>
            </w:r>
            <w:r>
              <w:rPr>
                <w:rFonts w:hint="eastAsia" w:ascii="宋体" w:hAnsi="宋体" w:cs="宋体"/>
                <w:szCs w:val="21"/>
                <w:highlight w:val="none"/>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jc w:val="center"/>
        </w:trPr>
        <w:tc>
          <w:tcPr>
            <w:tcW w:w="727" w:type="dxa"/>
            <w:vMerge w:val="continue"/>
            <w:vAlign w:val="center"/>
          </w:tcPr>
          <w:p>
            <w:pPr>
              <w:jc w:val="center"/>
              <w:rPr>
                <w:rFonts w:ascii="宋体" w:hAnsi="宋体" w:cs="宋体"/>
                <w:szCs w:val="21"/>
                <w:highlight w:val="none"/>
              </w:rPr>
            </w:pPr>
          </w:p>
        </w:tc>
        <w:tc>
          <w:tcPr>
            <w:tcW w:w="1093" w:type="dxa"/>
            <w:vMerge w:val="continue"/>
            <w:vAlign w:val="center"/>
          </w:tcPr>
          <w:p>
            <w:pPr>
              <w:jc w:val="center"/>
              <w:rPr>
                <w:rFonts w:ascii="宋体" w:hAnsi="宋体" w:cs="宋体"/>
                <w:szCs w:val="21"/>
                <w:highlight w:val="none"/>
                <w:lang w:val="zh-CN"/>
              </w:rPr>
            </w:pPr>
          </w:p>
        </w:tc>
        <w:tc>
          <w:tcPr>
            <w:tcW w:w="7127" w:type="dxa"/>
            <w:vAlign w:val="center"/>
          </w:tcPr>
          <w:p>
            <w:pPr>
              <w:jc w:val="left"/>
              <w:rPr>
                <w:rFonts w:ascii="宋体" w:hAnsi="宋体" w:cs="宋体"/>
                <w:szCs w:val="21"/>
                <w:highlight w:val="none"/>
              </w:rPr>
            </w:pPr>
            <w:r>
              <w:rPr>
                <w:rFonts w:hint="eastAsia" w:ascii="宋体" w:hAnsi="宋体" w:cs="宋体"/>
                <w:szCs w:val="21"/>
                <w:highlight w:val="none"/>
              </w:rPr>
              <w:t>项目组</w:t>
            </w:r>
            <w:r>
              <w:rPr>
                <w:rFonts w:hint="eastAsia" w:ascii="宋体" w:hAnsi="宋体" w:cs="宋体"/>
                <w:szCs w:val="21"/>
                <w:highlight w:val="none"/>
                <w:lang w:eastAsia="zh-CN"/>
              </w:rPr>
              <w:t>主要</w:t>
            </w:r>
            <w:r>
              <w:rPr>
                <w:rFonts w:hint="eastAsia" w:ascii="宋体" w:hAnsi="宋体" w:cs="宋体"/>
                <w:szCs w:val="21"/>
                <w:highlight w:val="none"/>
              </w:rPr>
              <w:t>实施人员：投标人拟派具有水生产、输排和水处理人员3名，电工1名，水质化验员1名</w:t>
            </w:r>
            <w:r>
              <w:rPr>
                <w:rFonts w:hint="eastAsia" w:ascii="宋体" w:hAnsi="宋体" w:cs="宋体"/>
                <w:szCs w:val="21"/>
                <w:highlight w:val="none"/>
                <w:lang w:eastAsia="zh-CN"/>
              </w:rPr>
              <w:t>，以上人员具有相关专业资格；</w:t>
            </w:r>
            <w:r>
              <w:rPr>
                <w:rFonts w:hint="eastAsia" w:ascii="宋体" w:hAnsi="宋体" w:cs="宋体"/>
                <w:szCs w:val="21"/>
                <w:highlight w:val="none"/>
              </w:rPr>
              <w:t>巡查员1名。</w:t>
            </w:r>
            <w:r>
              <w:rPr>
                <w:rFonts w:hint="eastAsia" w:ascii="宋体" w:hAnsi="宋体" w:cs="宋体"/>
                <w:szCs w:val="21"/>
                <w:highlight w:val="none"/>
                <w:lang w:eastAsia="zh-CN"/>
              </w:rPr>
              <w:t>具有安全生产协会颁发的有毒有害有限空间作业证书</w:t>
            </w:r>
            <w:r>
              <w:rPr>
                <w:rFonts w:hint="eastAsia" w:ascii="宋体" w:hAnsi="宋体" w:cs="宋体"/>
                <w:szCs w:val="21"/>
                <w:highlight w:val="none"/>
              </w:rPr>
              <w:t>4名，本项目全部配备的得8分。</w:t>
            </w:r>
          </w:p>
          <w:p>
            <w:pPr>
              <w:jc w:val="left"/>
              <w:rPr>
                <w:rFonts w:ascii="宋体" w:hAnsi="宋体" w:cs="宋体"/>
                <w:szCs w:val="21"/>
                <w:highlight w:val="none"/>
                <w:lang w:val="zh-CN"/>
              </w:rPr>
            </w:pPr>
            <w:r>
              <w:rPr>
                <w:rFonts w:hint="eastAsia" w:ascii="宋体" w:hAnsi="宋体" w:cs="宋体"/>
                <w:szCs w:val="21"/>
                <w:highlight w:val="none"/>
                <w:lang w:val="zh-CN"/>
              </w:rPr>
              <w:t>证明材料：同时</w:t>
            </w:r>
            <w:r>
              <w:rPr>
                <w:rFonts w:hint="eastAsia" w:ascii="宋体" w:hAnsi="宋体" w:cs="宋体"/>
                <w:szCs w:val="21"/>
                <w:highlight w:val="none"/>
              </w:rPr>
              <w:t>提供证书（或专业能力证书）</w:t>
            </w:r>
            <w:r>
              <w:rPr>
                <w:rFonts w:hint="eastAsia" w:ascii="宋体" w:hAnsi="宋体" w:cs="宋体"/>
                <w:kern w:val="0"/>
                <w:szCs w:val="21"/>
                <w:highlight w:val="none"/>
                <w:lang w:val="zh-CN"/>
              </w:rPr>
              <w:t>原件扫描件（彩色）</w:t>
            </w:r>
            <w:r>
              <w:rPr>
                <w:rFonts w:hint="eastAsia" w:ascii="宋体" w:hAnsi="宋体" w:cs="宋体"/>
                <w:szCs w:val="21"/>
                <w:highlight w:val="none"/>
              </w:rPr>
              <w:t xml:space="preserve">及近三个月的社保证明（可以为税务或社保机构官方网站查询结果）。 </w:t>
            </w:r>
          </w:p>
        </w:tc>
        <w:tc>
          <w:tcPr>
            <w:tcW w:w="927" w:type="dxa"/>
            <w:vMerge w:val="continue"/>
            <w:vAlign w:val="center"/>
          </w:tcPr>
          <w:p>
            <w:pPr>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727" w:type="dxa"/>
            <w:vMerge w:val="restart"/>
            <w:vAlign w:val="center"/>
          </w:tcPr>
          <w:p>
            <w:pPr>
              <w:jc w:val="center"/>
              <w:rPr>
                <w:rFonts w:ascii="宋体" w:hAnsi="宋体" w:cs="宋体"/>
                <w:szCs w:val="21"/>
                <w:highlight w:val="none"/>
              </w:rPr>
            </w:pPr>
            <w:r>
              <w:rPr>
                <w:rFonts w:hint="eastAsia" w:ascii="宋体" w:hAnsi="宋体" w:cs="宋体"/>
                <w:szCs w:val="21"/>
                <w:highlight w:val="none"/>
              </w:rPr>
              <w:t>5</w:t>
            </w:r>
          </w:p>
        </w:tc>
        <w:tc>
          <w:tcPr>
            <w:tcW w:w="1093" w:type="dxa"/>
            <w:vMerge w:val="restart"/>
            <w:vAlign w:val="center"/>
          </w:tcPr>
          <w:p>
            <w:pPr>
              <w:jc w:val="center"/>
              <w:rPr>
                <w:rFonts w:ascii="宋体" w:hAnsi="宋体" w:cs="宋体"/>
                <w:szCs w:val="21"/>
                <w:highlight w:val="none"/>
              </w:rPr>
            </w:pPr>
            <w:r>
              <w:rPr>
                <w:rFonts w:hint="eastAsia" w:ascii="宋体" w:hAnsi="宋体" w:cs="宋体"/>
                <w:szCs w:val="21"/>
                <w:highlight w:val="none"/>
              </w:rPr>
              <w:t>技术力量及响应时效</w:t>
            </w:r>
          </w:p>
        </w:tc>
        <w:tc>
          <w:tcPr>
            <w:tcW w:w="7127" w:type="dxa"/>
            <w:vAlign w:val="center"/>
          </w:tcPr>
          <w:p>
            <w:pPr>
              <w:numPr>
                <w:ilvl w:val="0"/>
                <w:numId w:val="9"/>
              </w:numPr>
              <w:jc w:val="left"/>
              <w:rPr>
                <w:lang w:val="en-GB"/>
              </w:rPr>
            </w:pPr>
            <w:r>
              <w:rPr>
                <w:rFonts w:hint="eastAsia" w:hAnsi="宋体"/>
                <w:szCs w:val="21"/>
                <w:highlight w:val="none"/>
              </w:rPr>
              <w:t>投标人2</w:t>
            </w:r>
            <w:r>
              <w:rPr>
                <w:rFonts w:hAnsi="宋体"/>
                <w:szCs w:val="21"/>
                <w:highlight w:val="none"/>
              </w:rPr>
              <w:t>017</w:t>
            </w:r>
            <w:r>
              <w:rPr>
                <w:rFonts w:hint="eastAsia" w:hAnsi="宋体"/>
                <w:szCs w:val="21"/>
                <w:highlight w:val="none"/>
              </w:rPr>
              <w:t>年1月1日起至招标公告日前具有</w:t>
            </w:r>
            <w:r>
              <w:rPr>
                <w:rFonts w:hint="eastAsia" w:hAnsi="宋体"/>
                <w:szCs w:val="21"/>
                <w:highlight w:val="none"/>
                <w:lang w:val="en-GB"/>
              </w:rPr>
              <w:t>水质</w:t>
            </w:r>
            <w:r>
              <w:rPr>
                <w:rFonts w:hint="eastAsia" w:hAnsi="宋体"/>
                <w:szCs w:val="21"/>
                <w:highlight w:val="none"/>
              </w:rPr>
              <w:t>检测实验室</w:t>
            </w:r>
            <w:r>
              <w:rPr>
                <w:rFonts w:hint="eastAsia" w:hAnsi="宋体"/>
                <w:szCs w:val="21"/>
                <w:highlight w:val="none"/>
                <w:lang w:val="en-GB"/>
              </w:rPr>
              <w:t>（检测设备清单具有分光光度计，消解器，C</w:t>
            </w:r>
            <w:r>
              <w:rPr>
                <w:rFonts w:hAnsi="宋体"/>
                <w:szCs w:val="21"/>
                <w:highlight w:val="none"/>
                <w:lang w:val="en-GB"/>
              </w:rPr>
              <w:t>OD</w:t>
            </w:r>
            <w:r>
              <w:rPr>
                <w:rFonts w:hint="eastAsia" w:hAnsi="宋体"/>
                <w:szCs w:val="21"/>
                <w:highlight w:val="none"/>
                <w:lang w:val="en-GB"/>
              </w:rPr>
              <w:t>恒温加热器，电子天平，隔膜真空泵，P</w:t>
            </w:r>
            <w:r>
              <w:rPr>
                <w:rFonts w:hAnsi="宋体"/>
                <w:szCs w:val="21"/>
                <w:highlight w:val="none"/>
                <w:lang w:val="en-GB"/>
              </w:rPr>
              <w:t>H</w:t>
            </w:r>
            <w:r>
              <w:rPr>
                <w:rFonts w:hint="eastAsia" w:hAnsi="宋体"/>
                <w:szCs w:val="21"/>
                <w:highlight w:val="none"/>
                <w:lang w:val="en-GB"/>
              </w:rPr>
              <w:t>酸度计，通风柜等水检测设备），且1小时内能够到达现场快速响应的得</w:t>
            </w:r>
            <w:r>
              <w:rPr>
                <w:rFonts w:hAnsi="宋体"/>
                <w:szCs w:val="21"/>
                <w:highlight w:val="none"/>
              </w:rPr>
              <w:t>10</w:t>
            </w:r>
            <w:r>
              <w:rPr>
                <w:rFonts w:hint="eastAsia" w:hAnsi="宋体"/>
                <w:szCs w:val="21"/>
                <w:highlight w:val="none"/>
                <w:lang w:val="en-GB"/>
              </w:rPr>
              <w:t>分；1</w:t>
            </w:r>
            <w:r>
              <w:rPr>
                <w:rFonts w:hAnsi="宋体"/>
                <w:szCs w:val="21"/>
                <w:highlight w:val="none"/>
                <w:lang w:val="en-GB"/>
              </w:rPr>
              <w:t>.5</w:t>
            </w:r>
            <w:r>
              <w:rPr>
                <w:rFonts w:hint="eastAsia" w:hAnsi="宋体"/>
                <w:szCs w:val="21"/>
                <w:highlight w:val="none"/>
                <w:lang w:val="en-GB"/>
              </w:rPr>
              <w:t>小时内能够到达现场及时响应的得</w:t>
            </w:r>
            <w:r>
              <w:rPr>
                <w:rFonts w:hAnsi="宋体"/>
                <w:szCs w:val="21"/>
                <w:highlight w:val="none"/>
              </w:rPr>
              <w:t>5</w:t>
            </w:r>
            <w:r>
              <w:rPr>
                <w:rFonts w:hint="eastAsia" w:hAnsi="宋体"/>
                <w:szCs w:val="21"/>
                <w:highlight w:val="none"/>
                <w:lang w:val="en-GB"/>
              </w:rPr>
              <w:t>分；</w:t>
            </w:r>
            <w:r>
              <w:rPr>
                <w:rFonts w:hAnsi="宋体"/>
                <w:szCs w:val="21"/>
                <w:highlight w:val="none"/>
                <w:lang w:val="en-GB"/>
              </w:rPr>
              <w:t>2</w:t>
            </w:r>
            <w:r>
              <w:rPr>
                <w:rFonts w:hint="eastAsia" w:hAnsi="宋体"/>
                <w:szCs w:val="21"/>
                <w:highlight w:val="none"/>
                <w:lang w:val="en-GB"/>
              </w:rPr>
              <w:t>小时内能够到达现场响应的得</w:t>
            </w:r>
            <w:r>
              <w:rPr>
                <w:rFonts w:hAnsi="宋体"/>
                <w:szCs w:val="21"/>
                <w:highlight w:val="none"/>
              </w:rPr>
              <w:t>1</w:t>
            </w:r>
            <w:r>
              <w:rPr>
                <w:rFonts w:hint="eastAsia" w:hAnsi="宋体"/>
                <w:szCs w:val="21"/>
                <w:highlight w:val="none"/>
                <w:lang w:val="en-GB"/>
              </w:rPr>
              <w:t>分</w:t>
            </w:r>
            <w:r>
              <w:rPr>
                <w:rFonts w:hint="eastAsia" w:hAnsi="宋体"/>
                <w:szCs w:val="21"/>
                <w:highlight w:val="none"/>
                <w:lang w:val="en-GB" w:eastAsia="zh-CN"/>
              </w:rPr>
              <w:t>。</w:t>
            </w:r>
          </w:p>
          <w:p>
            <w:pPr>
              <w:numPr>
                <w:ilvl w:val="-1"/>
                <w:numId w:val="0"/>
              </w:numPr>
              <w:jc w:val="left"/>
              <w:rPr>
                <w:lang w:val="en-GB"/>
              </w:rPr>
            </w:pPr>
            <w:r>
              <w:rPr>
                <w:rFonts w:hint="eastAsia" w:hAnsi="宋体"/>
                <w:szCs w:val="21"/>
                <w:highlight w:val="none"/>
                <w:lang w:val="en-US" w:eastAsia="zh-CN"/>
              </w:rPr>
              <w:t>证明材料：提供</w:t>
            </w:r>
            <w:r>
              <w:rPr>
                <w:rFonts w:hint="eastAsia" w:hAnsi="宋体"/>
                <w:szCs w:val="21"/>
                <w:highlight w:val="none"/>
                <w:lang w:val="en-GB"/>
              </w:rPr>
              <w:t>投标人名下购置发票原件</w:t>
            </w:r>
            <w:r>
              <w:rPr>
                <w:rFonts w:hint="eastAsia" w:ascii="宋体" w:hAnsi="宋体" w:cs="宋体"/>
                <w:kern w:val="0"/>
                <w:szCs w:val="21"/>
                <w:highlight w:val="none"/>
                <w:lang w:val="zh-CN"/>
              </w:rPr>
              <w:t>描件（彩色）</w:t>
            </w:r>
            <w:r>
              <w:rPr>
                <w:rFonts w:hint="eastAsia" w:hAnsi="宋体"/>
                <w:szCs w:val="21"/>
                <w:highlight w:val="none"/>
                <w:lang w:val="en-GB"/>
              </w:rPr>
              <w:t>，不提供不得分，如有虚假，一经查实做废标处理。提供</w:t>
            </w:r>
            <w:r>
              <w:rPr>
                <w:rFonts w:hint="eastAsia" w:ascii="宋体" w:hAnsi="宋体" w:cs="宋体"/>
                <w:bCs/>
                <w:color w:val="000000" w:themeColor="text1"/>
                <w:szCs w:val="21"/>
                <w:highlight w:val="none"/>
                <w:lang w:val="zh-CN"/>
                <w14:textFill>
                  <w14:solidFill>
                    <w14:schemeClr w14:val="tx1"/>
                  </w14:solidFill>
                </w14:textFill>
              </w:rPr>
              <w:t>响应时效承诺书（格式自拟，对应技术力量及响应时效评分细则要求提供所需内容）。</w:t>
            </w:r>
          </w:p>
          <w:p>
            <w:pPr>
              <w:numPr>
                <w:ilvl w:val="-1"/>
                <w:numId w:val="0"/>
              </w:numPr>
              <w:jc w:val="left"/>
              <w:rPr>
                <w:rFonts w:hint="default" w:eastAsia="宋体"/>
                <w:lang w:val="en-US" w:eastAsia="zh-CN"/>
              </w:rPr>
            </w:pPr>
            <w:r>
              <w:rPr>
                <w:rFonts w:hint="eastAsia" w:hAnsi="宋体"/>
                <w:szCs w:val="21"/>
                <w:highlight w:val="none"/>
                <w:lang w:val="en-US" w:eastAsia="zh-CN"/>
              </w:rPr>
              <w:t>2、</w:t>
            </w:r>
            <w:r>
              <w:rPr>
                <w:rFonts w:hint="eastAsia" w:hAnsi="宋体"/>
                <w:szCs w:val="21"/>
                <w:highlight w:val="none"/>
              </w:rPr>
              <w:t>投标人2</w:t>
            </w:r>
            <w:r>
              <w:rPr>
                <w:rFonts w:hAnsi="宋体"/>
                <w:szCs w:val="21"/>
                <w:highlight w:val="none"/>
              </w:rPr>
              <w:t>017</w:t>
            </w:r>
            <w:r>
              <w:rPr>
                <w:rFonts w:hint="eastAsia" w:hAnsi="宋体"/>
                <w:szCs w:val="21"/>
                <w:highlight w:val="none"/>
              </w:rPr>
              <w:t>年1月1日起至招标公告日前具有</w:t>
            </w:r>
            <w:r>
              <w:rPr>
                <w:rFonts w:hint="eastAsia" w:hAnsi="宋体"/>
                <w:szCs w:val="21"/>
                <w:highlight w:val="none"/>
                <w:lang w:val="en-GB"/>
              </w:rPr>
              <w:t>水质</w:t>
            </w:r>
            <w:r>
              <w:rPr>
                <w:rFonts w:hint="eastAsia" w:hAnsi="宋体"/>
                <w:szCs w:val="21"/>
                <w:highlight w:val="none"/>
              </w:rPr>
              <w:t>检测实验室</w:t>
            </w:r>
            <w:r>
              <w:rPr>
                <w:rFonts w:hint="eastAsia" w:hAnsi="宋体"/>
                <w:szCs w:val="21"/>
                <w:highlight w:val="none"/>
                <w:lang w:val="en-GB"/>
              </w:rPr>
              <w:t>（检测设备清单具有分光光度计，消解器，C</w:t>
            </w:r>
            <w:r>
              <w:rPr>
                <w:rFonts w:hAnsi="宋体"/>
                <w:szCs w:val="21"/>
                <w:highlight w:val="none"/>
                <w:lang w:val="en-GB"/>
              </w:rPr>
              <w:t>OD</w:t>
            </w:r>
            <w:r>
              <w:rPr>
                <w:rFonts w:hint="eastAsia" w:hAnsi="宋体"/>
                <w:szCs w:val="21"/>
                <w:highlight w:val="none"/>
                <w:lang w:val="en-GB"/>
              </w:rPr>
              <w:t>恒温加热器，电子天平，隔膜真空泵，P</w:t>
            </w:r>
            <w:r>
              <w:rPr>
                <w:rFonts w:hAnsi="宋体"/>
                <w:szCs w:val="21"/>
                <w:highlight w:val="none"/>
                <w:lang w:val="en-GB"/>
              </w:rPr>
              <w:t>H</w:t>
            </w:r>
            <w:r>
              <w:rPr>
                <w:rFonts w:hint="eastAsia" w:hAnsi="宋体"/>
                <w:szCs w:val="21"/>
                <w:highlight w:val="none"/>
                <w:lang w:val="en-GB"/>
              </w:rPr>
              <w:t>酸度计，通风柜等水检测设备）</w:t>
            </w:r>
            <w:r>
              <w:rPr>
                <w:rFonts w:hint="eastAsia" w:hAnsi="宋体"/>
                <w:szCs w:val="21"/>
                <w:highlight w:val="none"/>
                <w:lang w:val="en-GB" w:eastAsia="zh-CN"/>
              </w:rPr>
              <w:t>，</w:t>
            </w:r>
            <w:r>
              <w:rPr>
                <w:rFonts w:hint="eastAsia" w:hAnsi="宋体"/>
                <w:szCs w:val="21"/>
                <w:highlight w:val="none"/>
                <w:lang w:val="en-US" w:eastAsia="zh-CN"/>
              </w:rPr>
              <w:t>获得质量技术监督行政主管部门颁发的计量认证证书的，得2分。</w:t>
            </w:r>
          </w:p>
          <w:p>
            <w:pPr>
              <w:pStyle w:val="31"/>
              <w:rPr>
                <w:rFonts w:hint="default" w:ascii="宋体" w:hAnsi="宋体" w:eastAsia="宋体" w:cs="宋体"/>
                <w:szCs w:val="21"/>
                <w:highlight w:val="none"/>
                <w:lang w:val="en-US" w:eastAsia="zh-CN"/>
              </w:rPr>
            </w:pPr>
            <w:r>
              <w:rPr>
                <w:rFonts w:hint="eastAsia" w:hAnsi="宋体"/>
                <w:szCs w:val="21"/>
                <w:highlight w:val="none"/>
                <w:lang w:val="en-US" w:eastAsia="zh-CN"/>
              </w:rPr>
              <w:t>证明材料：</w:t>
            </w:r>
            <w:r>
              <w:rPr>
                <w:rFonts w:hint="eastAsia" w:ascii="宋体" w:hAnsi="宋体" w:cs="宋体"/>
                <w:bCs/>
                <w:color w:val="000000" w:themeColor="text1"/>
                <w:szCs w:val="21"/>
                <w:highlight w:val="none"/>
                <w:lang w:val="en-US" w:eastAsia="zh-CN"/>
                <w14:textFill>
                  <w14:solidFill>
                    <w14:schemeClr w14:val="tx1"/>
                  </w14:solidFill>
                </w14:textFill>
              </w:rPr>
              <w:t>有效的计量认证证书原件扫描件（彩色）</w:t>
            </w:r>
            <w:r>
              <w:rPr>
                <w:rFonts w:hint="eastAsia" w:hAnsi="宋体"/>
                <w:szCs w:val="21"/>
                <w:highlight w:val="none"/>
                <w:lang w:val="en-US" w:eastAsia="zh-CN"/>
              </w:rPr>
              <w:t>。</w:t>
            </w:r>
          </w:p>
        </w:tc>
        <w:tc>
          <w:tcPr>
            <w:tcW w:w="927" w:type="dxa"/>
            <w:vAlign w:val="center"/>
          </w:tcPr>
          <w:p>
            <w:pPr>
              <w:jc w:val="center"/>
              <w:rPr>
                <w:rFonts w:ascii="宋体" w:hAnsi="宋体" w:cs="宋体"/>
                <w:szCs w:val="21"/>
                <w:highlight w:val="none"/>
              </w:rPr>
            </w:pPr>
            <w:r>
              <w:rPr>
                <w:rFonts w:hint="eastAsia" w:ascii="宋体" w:hAnsi="宋体" w:cs="宋体"/>
                <w:szCs w:val="21"/>
                <w:highlight w:val="none"/>
                <w:lang w:val="en-US" w:eastAsia="zh-CN"/>
              </w:rPr>
              <w:t>0</w:t>
            </w:r>
            <w:r>
              <w:rPr>
                <w:rFonts w:hint="eastAsia" w:ascii="宋体" w:hAnsi="宋体" w:cs="宋体"/>
                <w:kern w:val="2"/>
                <w:sz w:val="21"/>
                <w:szCs w:val="21"/>
                <w:lang w:eastAsia="zh-CN"/>
              </w:rPr>
              <w:t>-</w:t>
            </w:r>
            <w:r>
              <w:rPr>
                <w:rFonts w:hint="eastAsia" w:ascii="宋体" w:hAnsi="宋体" w:cs="宋体"/>
                <w:szCs w:val="21"/>
                <w:highlight w:val="none"/>
              </w:rPr>
              <w:t>1</w:t>
            </w:r>
            <w:r>
              <w:rPr>
                <w:rFonts w:hint="eastAsia" w:ascii="宋体" w:hAnsi="宋体" w:cs="宋体"/>
                <w:szCs w:val="21"/>
                <w:highlight w:val="none"/>
                <w:lang w:val="en-US" w:eastAsia="zh-CN"/>
              </w:rPr>
              <w:t>2</w:t>
            </w:r>
            <w:r>
              <w:rPr>
                <w:rFonts w:hint="eastAsia" w:ascii="宋体" w:hAnsi="宋体" w:cs="宋体"/>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727" w:type="dxa"/>
            <w:vMerge w:val="continue"/>
            <w:vAlign w:val="center"/>
          </w:tcPr>
          <w:p>
            <w:pPr>
              <w:jc w:val="center"/>
              <w:rPr>
                <w:rFonts w:ascii="宋体" w:hAnsi="宋体" w:cs="宋体"/>
                <w:szCs w:val="21"/>
                <w:highlight w:val="none"/>
              </w:rPr>
            </w:pPr>
          </w:p>
        </w:tc>
        <w:tc>
          <w:tcPr>
            <w:tcW w:w="1093" w:type="dxa"/>
            <w:vMerge w:val="continue"/>
            <w:vAlign w:val="center"/>
          </w:tcPr>
          <w:p>
            <w:pPr>
              <w:jc w:val="center"/>
              <w:rPr>
                <w:rFonts w:ascii="宋体" w:hAnsi="宋体" w:cs="宋体"/>
                <w:szCs w:val="21"/>
                <w:highlight w:val="none"/>
                <w:lang w:val="zh-CN"/>
              </w:rPr>
            </w:pPr>
          </w:p>
        </w:tc>
        <w:tc>
          <w:tcPr>
            <w:tcW w:w="7127" w:type="dxa"/>
            <w:vAlign w:val="center"/>
          </w:tcPr>
          <w:p>
            <w:pPr>
              <w:jc w:val="left"/>
              <w:rPr>
                <w:rFonts w:hAnsi="宋体"/>
                <w:szCs w:val="21"/>
                <w:highlight w:val="none"/>
                <w:lang w:val="en-GB"/>
              </w:rPr>
            </w:pPr>
            <w:r>
              <w:rPr>
                <w:rFonts w:hint="eastAsia" w:hAnsi="宋体"/>
                <w:szCs w:val="21"/>
                <w:highlight w:val="none"/>
              </w:rPr>
              <w:t>投标人2</w:t>
            </w:r>
            <w:r>
              <w:rPr>
                <w:rFonts w:hAnsi="宋体"/>
                <w:szCs w:val="21"/>
                <w:highlight w:val="none"/>
              </w:rPr>
              <w:t>017</w:t>
            </w:r>
            <w:r>
              <w:rPr>
                <w:rFonts w:hint="eastAsia" w:hAnsi="宋体"/>
                <w:szCs w:val="21"/>
                <w:highlight w:val="none"/>
              </w:rPr>
              <w:t>年1月1日起至招标公告日前</w:t>
            </w:r>
            <w:r>
              <w:rPr>
                <w:rFonts w:hint="eastAsia" w:hAnsi="宋体"/>
                <w:szCs w:val="21"/>
                <w:highlight w:val="none"/>
                <w:lang w:val="en-GB"/>
              </w:rPr>
              <w:t>具有监控管理平台（含平台服务器、大屏图像拼接处理器、</w:t>
            </w:r>
            <w:r>
              <w:rPr>
                <w:rFonts w:hAnsi="宋体"/>
                <w:szCs w:val="21"/>
                <w:highlight w:val="none"/>
                <w:lang w:val="en-GB"/>
              </w:rPr>
              <w:t>2</w:t>
            </w:r>
            <w:r>
              <w:rPr>
                <w:rFonts w:hint="eastAsia" w:hAnsi="宋体"/>
                <w:szCs w:val="21"/>
                <w:highlight w:val="none"/>
                <w:lang w:val="en-GB"/>
              </w:rPr>
              <w:t>*</w:t>
            </w:r>
            <w:r>
              <w:rPr>
                <w:rFonts w:hAnsi="宋体"/>
                <w:szCs w:val="21"/>
                <w:highlight w:val="none"/>
                <w:lang w:val="en-GB"/>
              </w:rPr>
              <w:t>3</w:t>
            </w:r>
            <w:r>
              <w:rPr>
                <w:rFonts w:hint="eastAsia" w:hAnsi="宋体"/>
                <w:szCs w:val="21"/>
                <w:highlight w:val="none"/>
                <w:lang w:val="en-GB"/>
              </w:rPr>
              <w:t>以上拼接屏及通信服务V</w:t>
            </w:r>
            <w:r>
              <w:rPr>
                <w:rFonts w:hAnsi="宋体"/>
                <w:szCs w:val="21"/>
                <w:highlight w:val="none"/>
                <w:lang w:val="en-GB"/>
              </w:rPr>
              <w:t>PN</w:t>
            </w:r>
            <w:r>
              <w:rPr>
                <w:rFonts w:hint="eastAsia" w:hAnsi="宋体"/>
                <w:szCs w:val="21"/>
                <w:highlight w:val="none"/>
                <w:lang w:val="en-GB"/>
              </w:rPr>
              <w:t>专线</w:t>
            </w:r>
            <w:r>
              <w:rPr>
                <w:rFonts w:hAnsi="宋体"/>
                <w:szCs w:val="21"/>
                <w:highlight w:val="none"/>
                <w:lang w:val="en-GB"/>
              </w:rPr>
              <w:t>20</w:t>
            </w:r>
            <w:r>
              <w:rPr>
                <w:rFonts w:ascii="宋体" w:hAnsi="宋体" w:cs="宋体"/>
                <w:kern w:val="0"/>
                <w:sz w:val="20"/>
                <w:highlight w:val="none"/>
              </w:rPr>
              <w:t>M</w:t>
            </w:r>
            <w:r>
              <w:rPr>
                <w:rFonts w:hint="eastAsia" w:ascii="宋体" w:hAnsi="宋体" w:cs="宋体"/>
                <w:kern w:val="0"/>
                <w:sz w:val="20"/>
                <w:highlight w:val="none"/>
              </w:rPr>
              <w:t>及以上</w:t>
            </w:r>
            <w:r>
              <w:rPr>
                <w:rFonts w:hint="eastAsia" w:hAnsi="宋体"/>
                <w:szCs w:val="21"/>
                <w:highlight w:val="none"/>
                <w:lang w:val="en-GB"/>
              </w:rPr>
              <w:t>），且1小时内能够到达现场快速响应的得</w:t>
            </w:r>
            <w:r>
              <w:rPr>
                <w:rFonts w:hAnsi="宋体"/>
                <w:szCs w:val="21"/>
                <w:highlight w:val="none"/>
              </w:rPr>
              <w:t>10</w:t>
            </w:r>
            <w:r>
              <w:rPr>
                <w:rFonts w:hint="eastAsia" w:hAnsi="宋体"/>
                <w:szCs w:val="21"/>
                <w:highlight w:val="none"/>
                <w:lang w:val="en-GB"/>
              </w:rPr>
              <w:t>分；1</w:t>
            </w:r>
            <w:r>
              <w:rPr>
                <w:rFonts w:hAnsi="宋体"/>
                <w:szCs w:val="21"/>
                <w:highlight w:val="none"/>
                <w:lang w:val="en-GB"/>
              </w:rPr>
              <w:t>.5</w:t>
            </w:r>
            <w:r>
              <w:rPr>
                <w:rFonts w:hint="eastAsia" w:hAnsi="宋体"/>
                <w:szCs w:val="21"/>
                <w:highlight w:val="none"/>
                <w:lang w:val="en-GB"/>
              </w:rPr>
              <w:t>小时内能够到达现场及时响应的得</w:t>
            </w:r>
            <w:r>
              <w:rPr>
                <w:rFonts w:hAnsi="宋体"/>
                <w:szCs w:val="21"/>
                <w:highlight w:val="none"/>
              </w:rPr>
              <w:t>5</w:t>
            </w:r>
            <w:r>
              <w:rPr>
                <w:rFonts w:hint="eastAsia" w:hAnsi="宋体"/>
                <w:szCs w:val="21"/>
                <w:highlight w:val="none"/>
                <w:lang w:val="en-GB"/>
              </w:rPr>
              <w:t>分；</w:t>
            </w:r>
            <w:r>
              <w:rPr>
                <w:rFonts w:hAnsi="宋体"/>
                <w:szCs w:val="21"/>
                <w:highlight w:val="none"/>
                <w:lang w:val="en-GB"/>
              </w:rPr>
              <w:t>2</w:t>
            </w:r>
            <w:r>
              <w:rPr>
                <w:rFonts w:hint="eastAsia" w:hAnsi="宋体"/>
                <w:szCs w:val="21"/>
                <w:highlight w:val="none"/>
                <w:lang w:val="en-GB"/>
              </w:rPr>
              <w:t>小时内能够到达现场响应的得</w:t>
            </w:r>
            <w:r>
              <w:rPr>
                <w:rFonts w:hAnsi="宋体"/>
                <w:szCs w:val="21"/>
                <w:highlight w:val="none"/>
              </w:rPr>
              <w:t>1</w:t>
            </w:r>
            <w:r>
              <w:rPr>
                <w:rFonts w:hint="eastAsia" w:hAnsi="宋体"/>
                <w:szCs w:val="21"/>
                <w:highlight w:val="none"/>
                <w:lang w:val="en-GB"/>
              </w:rPr>
              <w:t>分；</w:t>
            </w:r>
          </w:p>
          <w:p>
            <w:pPr>
              <w:jc w:val="left"/>
              <w:rPr>
                <w:rFonts w:ascii="宋体" w:hAnsi="宋体" w:cs="宋体"/>
                <w:szCs w:val="21"/>
                <w:highlight w:val="none"/>
                <w:lang w:val="en-GB"/>
              </w:rPr>
            </w:pPr>
            <w:r>
              <w:rPr>
                <w:rFonts w:hint="eastAsia" w:hAnsi="宋体"/>
                <w:szCs w:val="21"/>
                <w:highlight w:val="none"/>
                <w:lang w:val="en-US" w:eastAsia="zh-CN"/>
              </w:rPr>
              <w:t>证明材料</w:t>
            </w:r>
            <w:r>
              <w:rPr>
                <w:rFonts w:hint="eastAsia" w:hAnsi="宋体"/>
                <w:szCs w:val="21"/>
                <w:highlight w:val="none"/>
              </w:rPr>
              <w:t>：</w:t>
            </w:r>
            <w:r>
              <w:rPr>
                <w:rFonts w:hint="eastAsia" w:hAnsi="宋体"/>
                <w:szCs w:val="21"/>
                <w:highlight w:val="none"/>
                <w:lang w:val="en-GB"/>
              </w:rPr>
              <w:t>提供投标人名下购置发票原件</w:t>
            </w:r>
            <w:r>
              <w:rPr>
                <w:rFonts w:hint="eastAsia" w:ascii="宋体" w:hAnsi="宋体" w:cs="宋体"/>
                <w:kern w:val="0"/>
                <w:szCs w:val="21"/>
                <w:highlight w:val="none"/>
                <w:lang w:val="zh-CN"/>
              </w:rPr>
              <w:t>描件（彩色）</w:t>
            </w:r>
            <w:r>
              <w:rPr>
                <w:rFonts w:hint="eastAsia" w:hAnsi="宋体"/>
                <w:szCs w:val="21"/>
                <w:highlight w:val="none"/>
                <w:lang w:val="en-GB"/>
              </w:rPr>
              <w:t>，不提供不得分，如有虚假，一经查实做废标处理。提供</w:t>
            </w:r>
            <w:r>
              <w:rPr>
                <w:rFonts w:hint="eastAsia" w:ascii="宋体" w:hAnsi="宋体" w:cs="宋体"/>
                <w:bCs/>
                <w:color w:val="000000" w:themeColor="text1"/>
                <w:szCs w:val="21"/>
                <w:highlight w:val="none"/>
                <w:lang w:val="zh-CN"/>
                <w14:textFill>
                  <w14:solidFill>
                    <w14:schemeClr w14:val="tx1"/>
                  </w14:solidFill>
                </w14:textFill>
              </w:rPr>
              <w:t>响应时效承诺书（格式自拟，对应技术力量及响应时效评分细则要求提供所需内容）。</w:t>
            </w:r>
            <w:r>
              <w:rPr>
                <w:rFonts w:hint="eastAsia" w:hAnsi="宋体"/>
                <w:szCs w:val="21"/>
                <w:highlight w:val="none"/>
                <w:lang w:val="en-GB"/>
              </w:rPr>
              <w:t xml:space="preserve"> </w:t>
            </w:r>
          </w:p>
        </w:tc>
        <w:tc>
          <w:tcPr>
            <w:tcW w:w="927" w:type="dxa"/>
            <w:vAlign w:val="center"/>
          </w:tcPr>
          <w:p>
            <w:pPr>
              <w:jc w:val="center"/>
              <w:rPr>
                <w:rFonts w:ascii="宋体" w:hAnsi="宋体" w:cs="宋体"/>
                <w:szCs w:val="21"/>
                <w:highlight w:val="none"/>
              </w:rPr>
            </w:pPr>
            <w:r>
              <w:rPr>
                <w:rFonts w:hint="eastAsia" w:ascii="宋体" w:hAnsi="宋体" w:cs="宋体"/>
                <w:szCs w:val="21"/>
                <w:highlight w:val="none"/>
                <w:lang w:val="en-US" w:eastAsia="zh-CN"/>
              </w:rPr>
              <w:t>0</w:t>
            </w:r>
            <w:r>
              <w:rPr>
                <w:rFonts w:hint="eastAsia" w:ascii="宋体" w:hAnsi="宋体" w:cs="宋体"/>
                <w:kern w:val="2"/>
                <w:sz w:val="21"/>
                <w:szCs w:val="21"/>
                <w:lang w:eastAsia="zh-CN"/>
              </w:rPr>
              <w:t>-</w:t>
            </w:r>
            <w:r>
              <w:rPr>
                <w:rFonts w:hint="eastAsia" w:ascii="宋体" w:hAnsi="宋体" w:cs="宋体"/>
                <w:szCs w:val="21"/>
                <w:highlight w:val="none"/>
              </w:rPr>
              <w:t>1</w:t>
            </w:r>
            <w:r>
              <w:rPr>
                <w:rFonts w:hint="eastAsia" w:ascii="宋体" w:hAnsi="宋体" w:cs="宋体"/>
                <w:szCs w:val="21"/>
                <w:highlight w:val="none"/>
                <w:lang w:val="en-US" w:eastAsia="zh-CN"/>
              </w:rPr>
              <w:t>0</w:t>
            </w:r>
            <w:r>
              <w:rPr>
                <w:rFonts w:hint="eastAsia" w:ascii="宋体" w:hAnsi="宋体" w:cs="宋体"/>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727" w:type="dxa"/>
            <w:vMerge w:val="restart"/>
            <w:vAlign w:val="center"/>
          </w:tcPr>
          <w:p>
            <w:pPr>
              <w:jc w:val="center"/>
              <w:rPr>
                <w:rFonts w:ascii="宋体" w:hAnsi="宋体" w:cs="宋体"/>
                <w:szCs w:val="21"/>
                <w:highlight w:val="none"/>
              </w:rPr>
            </w:pPr>
            <w:r>
              <w:rPr>
                <w:rFonts w:hint="eastAsia" w:ascii="宋体" w:hAnsi="宋体" w:cs="宋体"/>
                <w:szCs w:val="21"/>
                <w:highlight w:val="none"/>
              </w:rPr>
              <w:t>6</w:t>
            </w:r>
          </w:p>
        </w:tc>
        <w:tc>
          <w:tcPr>
            <w:tcW w:w="1093" w:type="dxa"/>
            <w:vMerge w:val="restart"/>
            <w:vAlign w:val="center"/>
          </w:tcPr>
          <w:p>
            <w:pPr>
              <w:jc w:val="center"/>
              <w:rPr>
                <w:rFonts w:ascii="宋体" w:hAnsi="宋体" w:cs="宋体"/>
                <w:szCs w:val="21"/>
                <w:highlight w:val="none"/>
                <w:lang w:val="zh-CN"/>
              </w:rPr>
            </w:pPr>
            <w:r>
              <w:rPr>
                <w:rFonts w:hint="eastAsia" w:ascii="宋体" w:hAnsi="宋体" w:cs="宋体"/>
                <w:szCs w:val="21"/>
                <w:highlight w:val="none"/>
                <w:lang w:val="en-GB"/>
              </w:rPr>
              <w:t>实施方案</w:t>
            </w:r>
          </w:p>
        </w:tc>
        <w:tc>
          <w:tcPr>
            <w:tcW w:w="7127" w:type="dxa"/>
          </w:tcPr>
          <w:p>
            <w:pPr>
              <w:jc w:val="left"/>
              <w:rPr>
                <w:rFonts w:ascii="宋体" w:hAnsi="宋体" w:cs="宋体"/>
                <w:szCs w:val="21"/>
                <w:highlight w:val="none"/>
                <w:lang w:val="zh-CN"/>
              </w:rPr>
            </w:pPr>
            <w:r>
              <w:rPr>
                <w:rFonts w:hint="eastAsia" w:ascii="宋体" w:hAnsi="宋体" w:cs="宋体"/>
                <w:szCs w:val="21"/>
                <w:highlight w:val="none"/>
              </w:rPr>
              <w:t>投标人针对项目具体实施拟定的运维实施方案是否详实、运维</w:t>
            </w:r>
            <w:r>
              <w:rPr>
                <w:rFonts w:hint="eastAsia" w:ascii="宋体" w:hAnsi="宋体" w:cs="宋体"/>
                <w:szCs w:val="21"/>
                <w:highlight w:val="none"/>
                <w:lang w:val="zh-CN"/>
              </w:rPr>
              <w:t>保障措施是否健全，人员职责是否明确，是否有完善的质量管理体系，并能有效实施。</w:t>
            </w:r>
          </w:p>
        </w:tc>
        <w:tc>
          <w:tcPr>
            <w:tcW w:w="927" w:type="dxa"/>
            <w:vAlign w:val="center"/>
          </w:tcPr>
          <w:p>
            <w:pPr>
              <w:jc w:val="center"/>
              <w:rPr>
                <w:rFonts w:ascii="宋体" w:hAnsi="宋体" w:cs="宋体"/>
                <w:szCs w:val="21"/>
                <w:highlight w:val="none"/>
              </w:rPr>
            </w:pPr>
            <w:r>
              <w:rPr>
                <w:rFonts w:hint="eastAsia" w:ascii="宋体" w:hAnsi="宋体" w:cs="宋体"/>
                <w:szCs w:val="21"/>
                <w:highlight w:val="none"/>
                <w:lang w:val="en-US" w:eastAsia="zh-CN"/>
              </w:rPr>
              <w:t>0</w:t>
            </w:r>
            <w:r>
              <w:rPr>
                <w:rFonts w:hint="eastAsia" w:ascii="宋体" w:hAnsi="宋体" w:cs="宋体"/>
                <w:kern w:val="2"/>
                <w:sz w:val="21"/>
                <w:szCs w:val="21"/>
                <w:lang w:eastAsia="zh-CN"/>
              </w:rPr>
              <w:t>-</w:t>
            </w:r>
            <w:r>
              <w:rPr>
                <w:rFonts w:hint="eastAsia" w:ascii="宋体" w:hAnsi="宋体" w:cs="宋体"/>
                <w:szCs w:val="21"/>
                <w:highlight w:val="none"/>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727" w:type="dxa"/>
            <w:vMerge w:val="continue"/>
            <w:vAlign w:val="center"/>
          </w:tcPr>
          <w:p>
            <w:pPr>
              <w:jc w:val="center"/>
              <w:rPr>
                <w:rFonts w:ascii="宋体" w:hAnsi="宋体" w:cs="宋体"/>
                <w:szCs w:val="21"/>
                <w:highlight w:val="none"/>
              </w:rPr>
            </w:pPr>
          </w:p>
        </w:tc>
        <w:tc>
          <w:tcPr>
            <w:tcW w:w="1093" w:type="dxa"/>
            <w:vMerge w:val="continue"/>
            <w:vAlign w:val="center"/>
          </w:tcPr>
          <w:p>
            <w:pPr>
              <w:jc w:val="center"/>
              <w:rPr>
                <w:rFonts w:ascii="宋体" w:hAnsi="宋体" w:cs="宋体"/>
                <w:szCs w:val="21"/>
                <w:highlight w:val="none"/>
                <w:lang w:val="en-GB"/>
              </w:rPr>
            </w:pPr>
          </w:p>
        </w:tc>
        <w:tc>
          <w:tcPr>
            <w:tcW w:w="7127" w:type="dxa"/>
          </w:tcPr>
          <w:p>
            <w:pPr>
              <w:jc w:val="left"/>
              <w:rPr>
                <w:rFonts w:ascii="宋体" w:hAnsi="宋体" w:cs="宋体"/>
                <w:szCs w:val="21"/>
                <w:highlight w:val="none"/>
              </w:rPr>
            </w:pPr>
            <w:r>
              <w:rPr>
                <w:rFonts w:hint="eastAsia" w:ascii="宋体" w:hAnsi="宋体" w:cs="宋体"/>
                <w:szCs w:val="21"/>
                <w:highlight w:val="none"/>
                <w:lang w:val="zh-CN"/>
              </w:rPr>
              <w:t>投标人是否具有完备的管理组织、项目实施规范和管理制度；</w:t>
            </w:r>
          </w:p>
        </w:tc>
        <w:tc>
          <w:tcPr>
            <w:tcW w:w="927" w:type="dxa"/>
            <w:vAlign w:val="center"/>
          </w:tcPr>
          <w:p>
            <w:pPr>
              <w:jc w:val="center"/>
              <w:rPr>
                <w:rFonts w:ascii="宋体" w:hAnsi="宋体" w:cs="宋体"/>
                <w:szCs w:val="21"/>
                <w:highlight w:val="none"/>
              </w:rPr>
            </w:pPr>
            <w:r>
              <w:rPr>
                <w:rFonts w:hint="eastAsia" w:ascii="宋体" w:hAnsi="宋体" w:cs="宋体"/>
                <w:szCs w:val="21"/>
                <w:highlight w:val="none"/>
                <w:lang w:val="en-US" w:eastAsia="zh-CN"/>
              </w:rPr>
              <w:t>0</w:t>
            </w:r>
            <w:r>
              <w:rPr>
                <w:rFonts w:hint="eastAsia" w:ascii="宋体" w:hAnsi="宋体" w:cs="宋体"/>
                <w:kern w:val="2"/>
                <w:sz w:val="21"/>
                <w:szCs w:val="21"/>
                <w:lang w:eastAsia="zh-CN"/>
              </w:rPr>
              <w:t>-</w:t>
            </w:r>
            <w:r>
              <w:rPr>
                <w:rFonts w:hint="eastAsia" w:ascii="宋体" w:hAnsi="宋体" w:cs="宋体"/>
                <w:szCs w:val="21"/>
                <w:highlight w:val="none"/>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727" w:type="dxa"/>
            <w:vAlign w:val="center"/>
          </w:tcPr>
          <w:p>
            <w:pPr>
              <w:jc w:val="center"/>
              <w:rPr>
                <w:rFonts w:ascii="宋体" w:hAnsi="宋体" w:cs="宋体"/>
                <w:szCs w:val="21"/>
                <w:highlight w:val="none"/>
              </w:rPr>
            </w:pPr>
            <w:r>
              <w:rPr>
                <w:rFonts w:hint="eastAsia" w:ascii="宋体" w:hAnsi="宋体" w:cs="宋体"/>
                <w:szCs w:val="21"/>
                <w:highlight w:val="none"/>
              </w:rPr>
              <w:t>7</w:t>
            </w:r>
          </w:p>
        </w:tc>
        <w:tc>
          <w:tcPr>
            <w:tcW w:w="1093" w:type="dxa"/>
            <w:vAlign w:val="center"/>
          </w:tcPr>
          <w:p>
            <w:pPr>
              <w:jc w:val="center"/>
              <w:rPr>
                <w:rFonts w:ascii="宋体" w:hAnsi="宋体" w:cs="宋体"/>
                <w:szCs w:val="21"/>
                <w:highlight w:val="none"/>
                <w:lang w:val="zh-CN"/>
              </w:rPr>
            </w:pPr>
            <w:r>
              <w:rPr>
                <w:rFonts w:hint="eastAsia" w:ascii="宋体" w:hAnsi="宋体" w:cs="宋体"/>
                <w:szCs w:val="21"/>
                <w:highlight w:val="none"/>
                <w:lang w:val="zh-CN"/>
              </w:rPr>
              <w:t>项目技术方案</w:t>
            </w:r>
          </w:p>
        </w:tc>
        <w:tc>
          <w:tcPr>
            <w:tcW w:w="7127" w:type="dxa"/>
          </w:tcPr>
          <w:p>
            <w:pPr>
              <w:jc w:val="left"/>
              <w:rPr>
                <w:rFonts w:ascii="宋体" w:hAnsi="宋体" w:cs="宋体"/>
                <w:szCs w:val="21"/>
                <w:highlight w:val="none"/>
                <w:lang w:val="zh-CN"/>
              </w:rPr>
            </w:pPr>
            <w:r>
              <w:rPr>
                <w:rFonts w:hint="eastAsia" w:ascii="宋体" w:hAnsi="宋体" w:cs="宋体"/>
                <w:szCs w:val="21"/>
                <w:highlight w:val="none"/>
              </w:rPr>
              <w:t>投标技术方案总体设计的科学性、合理性、可行性，包括</w:t>
            </w:r>
            <w:r>
              <w:rPr>
                <w:rFonts w:hint="eastAsia" w:ascii="宋体" w:hAnsi="宋体" w:cs="宋体"/>
                <w:szCs w:val="21"/>
                <w:highlight w:val="none"/>
                <w:lang w:val="zh-CN"/>
              </w:rPr>
              <w:t>技术路线正确性、完整性、项目特点和重点难点分析及应对措施等</w:t>
            </w:r>
            <w:r>
              <w:rPr>
                <w:rFonts w:hint="eastAsia" w:ascii="宋体" w:hAnsi="宋体" w:cs="宋体"/>
                <w:szCs w:val="21"/>
                <w:highlight w:val="none"/>
              </w:rPr>
              <w:t>及</w:t>
            </w:r>
            <w:r>
              <w:rPr>
                <w:rFonts w:hint="eastAsia" w:ascii="宋体" w:hAnsi="宋体" w:cs="宋体"/>
                <w:szCs w:val="21"/>
                <w:highlight w:val="none"/>
                <w:lang w:val="zh-CN"/>
              </w:rPr>
              <w:t>工作方案是否周密，思路清晰合理，有明确的工作程序，可操作性强；</w:t>
            </w:r>
          </w:p>
        </w:tc>
        <w:tc>
          <w:tcPr>
            <w:tcW w:w="927" w:type="dxa"/>
            <w:vAlign w:val="center"/>
          </w:tcPr>
          <w:p>
            <w:pPr>
              <w:jc w:val="center"/>
              <w:rPr>
                <w:rFonts w:ascii="宋体" w:hAnsi="宋体" w:cs="宋体"/>
                <w:szCs w:val="21"/>
                <w:highlight w:val="none"/>
              </w:rPr>
            </w:pPr>
            <w:r>
              <w:rPr>
                <w:rFonts w:hint="eastAsia" w:ascii="宋体" w:hAnsi="宋体" w:cs="宋体"/>
                <w:szCs w:val="21"/>
                <w:highlight w:val="none"/>
                <w:lang w:val="en-US" w:eastAsia="zh-CN"/>
              </w:rPr>
              <w:t>0</w:t>
            </w:r>
            <w:r>
              <w:rPr>
                <w:rFonts w:hint="eastAsia" w:ascii="宋体" w:hAnsi="宋体" w:cs="宋体"/>
                <w:kern w:val="2"/>
                <w:sz w:val="21"/>
                <w:szCs w:val="21"/>
                <w:lang w:eastAsia="zh-CN"/>
              </w:rPr>
              <w:t>-</w:t>
            </w:r>
            <w:r>
              <w:rPr>
                <w:rFonts w:hint="eastAsia" w:ascii="宋体" w:hAnsi="宋体" w:cs="宋体"/>
                <w:szCs w:val="21"/>
                <w:highlight w:val="none"/>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727" w:type="dxa"/>
            <w:vAlign w:val="center"/>
          </w:tcPr>
          <w:p>
            <w:pPr>
              <w:jc w:val="center"/>
              <w:rPr>
                <w:rFonts w:ascii="宋体" w:hAnsi="宋体" w:cs="宋体"/>
                <w:szCs w:val="21"/>
                <w:highlight w:val="none"/>
              </w:rPr>
            </w:pPr>
            <w:r>
              <w:rPr>
                <w:rFonts w:hint="eastAsia" w:ascii="宋体" w:hAnsi="宋体" w:cs="宋体"/>
                <w:szCs w:val="21"/>
                <w:highlight w:val="none"/>
              </w:rPr>
              <w:t>8</w:t>
            </w:r>
          </w:p>
        </w:tc>
        <w:tc>
          <w:tcPr>
            <w:tcW w:w="1093" w:type="dxa"/>
            <w:vAlign w:val="center"/>
          </w:tcPr>
          <w:p>
            <w:pPr>
              <w:adjustRightInd w:val="0"/>
              <w:snapToGrid w:val="0"/>
              <w:jc w:val="center"/>
              <w:rPr>
                <w:rFonts w:ascii="宋体" w:hAnsi="宋体" w:cs="宋体"/>
                <w:szCs w:val="21"/>
                <w:highlight w:val="none"/>
                <w:lang w:val="zh-CN"/>
              </w:rPr>
            </w:pPr>
            <w:r>
              <w:rPr>
                <w:rFonts w:hint="eastAsia" w:ascii="宋体" w:hAnsi="宋体" w:cs="宋体"/>
                <w:szCs w:val="21"/>
                <w:highlight w:val="none"/>
                <w:lang w:val="zh-CN"/>
              </w:rPr>
              <w:t>安全保证</w:t>
            </w:r>
          </w:p>
          <w:p>
            <w:pPr>
              <w:adjustRightInd w:val="0"/>
              <w:snapToGrid w:val="0"/>
              <w:jc w:val="center"/>
              <w:rPr>
                <w:rFonts w:ascii="宋体" w:hAnsi="宋体" w:cs="宋体"/>
                <w:szCs w:val="21"/>
                <w:highlight w:val="none"/>
                <w:lang w:val="zh-CN"/>
              </w:rPr>
            </w:pPr>
            <w:r>
              <w:rPr>
                <w:rFonts w:hint="eastAsia" w:ascii="宋体" w:hAnsi="宋体" w:cs="宋体"/>
                <w:szCs w:val="21"/>
                <w:highlight w:val="none"/>
                <w:lang w:val="zh-CN"/>
              </w:rPr>
              <w:t>措施</w:t>
            </w:r>
          </w:p>
        </w:tc>
        <w:tc>
          <w:tcPr>
            <w:tcW w:w="7127" w:type="dxa"/>
          </w:tcPr>
          <w:p>
            <w:pPr>
              <w:adjustRightInd w:val="0"/>
              <w:snapToGrid w:val="0"/>
              <w:jc w:val="left"/>
              <w:rPr>
                <w:rFonts w:ascii="宋体" w:hAnsi="宋体" w:cs="宋体"/>
                <w:szCs w:val="21"/>
                <w:highlight w:val="none"/>
                <w:lang w:val="zh-CN"/>
              </w:rPr>
            </w:pPr>
            <w:r>
              <w:rPr>
                <w:rFonts w:hint="eastAsia" w:ascii="宋体" w:hAnsi="宋体" w:cs="宋体"/>
                <w:szCs w:val="21"/>
                <w:highlight w:val="none"/>
                <w:lang w:val="zh-CN"/>
              </w:rPr>
              <w:t>投标人针对设施运行维护服务过程中对安全监管的措施、可靠性及管理安全的科学合理性是否合理；</w:t>
            </w:r>
          </w:p>
        </w:tc>
        <w:tc>
          <w:tcPr>
            <w:tcW w:w="927" w:type="dxa"/>
            <w:vAlign w:val="center"/>
          </w:tcPr>
          <w:p>
            <w:pPr>
              <w:jc w:val="center"/>
              <w:rPr>
                <w:rFonts w:ascii="宋体" w:hAnsi="宋体" w:cs="宋体"/>
                <w:szCs w:val="21"/>
                <w:highlight w:val="none"/>
                <w:lang w:val="zh-CN"/>
              </w:rPr>
            </w:pPr>
            <w:r>
              <w:rPr>
                <w:rFonts w:hint="eastAsia" w:ascii="宋体" w:hAnsi="宋体" w:cs="宋体"/>
                <w:szCs w:val="21"/>
                <w:highlight w:val="none"/>
                <w:lang w:val="en-US" w:eastAsia="zh-CN"/>
              </w:rPr>
              <w:t>0</w:t>
            </w:r>
            <w:r>
              <w:rPr>
                <w:rFonts w:hint="eastAsia" w:ascii="宋体" w:hAnsi="宋体" w:cs="宋体"/>
                <w:kern w:val="2"/>
                <w:sz w:val="21"/>
                <w:szCs w:val="21"/>
                <w:lang w:eastAsia="zh-CN"/>
              </w:rPr>
              <w:t>-</w:t>
            </w:r>
            <w:r>
              <w:rPr>
                <w:rFonts w:hint="eastAsia" w:ascii="宋体" w:hAnsi="宋体" w:cs="宋体"/>
                <w:szCs w:val="21"/>
                <w:highlight w:val="none"/>
                <w:lang w:val="en-US" w:eastAsia="zh-CN"/>
              </w:rPr>
              <w:t>7</w:t>
            </w:r>
            <w:r>
              <w:rPr>
                <w:rFonts w:hint="eastAsia" w:ascii="宋体" w:hAnsi="宋体" w:cs="宋体"/>
                <w:szCs w:val="21"/>
                <w:highlight w:val="none"/>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727" w:type="dxa"/>
            <w:vAlign w:val="center"/>
          </w:tcPr>
          <w:p>
            <w:pPr>
              <w:jc w:val="center"/>
              <w:rPr>
                <w:rFonts w:ascii="宋体" w:hAnsi="宋体" w:cs="宋体"/>
                <w:szCs w:val="21"/>
                <w:highlight w:val="none"/>
              </w:rPr>
            </w:pPr>
            <w:r>
              <w:rPr>
                <w:rFonts w:hint="eastAsia" w:ascii="宋体" w:hAnsi="宋体" w:cs="宋体"/>
                <w:szCs w:val="21"/>
                <w:highlight w:val="none"/>
              </w:rPr>
              <w:t>9</w:t>
            </w:r>
          </w:p>
        </w:tc>
        <w:tc>
          <w:tcPr>
            <w:tcW w:w="1093" w:type="dxa"/>
            <w:vAlign w:val="center"/>
          </w:tcPr>
          <w:p>
            <w:pPr>
              <w:jc w:val="center"/>
              <w:rPr>
                <w:rFonts w:ascii="宋体" w:hAnsi="宋体" w:cs="宋体"/>
                <w:szCs w:val="21"/>
                <w:highlight w:val="none"/>
              </w:rPr>
            </w:pPr>
            <w:r>
              <w:rPr>
                <w:rFonts w:hint="eastAsia" w:ascii="宋体" w:hAnsi="宋体" w:cs="宋体"/>
                <w:szCs w:val="21"/>
                <w:highlight w:val="none"/>
                <w:lang w:val="zh-CN"/>
              </w:rPr>
              <w:t>服务质量保证承诺</w:t>
            </w:r>
          </w:p>
        </w:tc>
        <w:tc>
          <w:tcPr>
            <w:tcW w:w="7127" w:type="dxa"/>
          </w:tcPr>
          <w:p>
            <w:pPr>
              <w:jc w:val="left"/>
              <w:rPr>
                <w:rFonts w:ascii="宋体" w:hAnsi="宋体" w:cs="宋体"/>
                <w:szCs w:val="21"/>
                <w:highlight w:val="none"/>
                <w:lang w:val="zh-CN"/>
              </w:rPr>
            </w:pPr>
            <w:r>
              <w:rPr>
                <w:rFonts w:hint="eastAsia" w:ascii="宋体" w:hAnsi="宋体" w:cs="宋体"/>
                <w:szCs w:val="21"/>
                <w:highlight w:val="none"/>
              </w:rPr>
              <w:t>评委根据投标人所做的售后服务承诺和技术服务，有利于招标人的服务质量保证等的保障承诺措施进行评定。</w:t>
            </w:r>
          </w:p>
        </w:tc>
        <w:tc>
          <w:tcPr>
            <w:tcW w:w="927" w:type="dxa"/>
            <w:vAlign w:val="center"/>
          </w:tcPr>
          <w:p>
            <w:pPr>
              <w:jc w:val="center"/>
              <w:rPr>
                <w:rFonts w:ascii="宋体" w:hAnsi="宋体" w:cs="宋体"/>
                <w:szCs w:val="21"/>
                <w:highlight w:val="none"/>
              </w:rPr>
            </w:pPr>
            <w:r>
              <w:rPr>
                <w:rFonts w:hint="eastAsia" w:ascii="宋体" w:hAnsi="宋体" w:cs="宋体"/>
                <w:szCs w:val="21"/>
                <w:highlight w:val="none"/>
                <w:lang w:val="en-US" w:eastAsia="zh-CN"/>
              </w:rPr>
              <w:t>0</w:t>
            </w:r>
            <w:r>
              <w:rPr>
                <w:rFonts w:hint="eastAsia" w:ascii="宋体" w:hAnsi="宋体" w:cs="宋体"/>
                <w:kern w:val="2"/>
                <w:sz w:val="21"/>
                <w:szCs w:val="21"/>
                <w:lang w:eastAsia="zh-CN"/>
              </w:rPr>
              <w:t>-</w:t>
            </w:r>
            <w:r>
              <w:rPr>
                <w:rFonts w:hint="eastAsia" w:ascii="宋体" w:hAnsi="宋体" w:cs="宋体"/>
                <w:szCs w:val="21"/>
                <w:highlight w:val="none"/>
                <w:lang w:val="en-US" w:eastAsia="zh-CN"/>
              </w:rPr>
              <w:t>6</w:t>
            </w:r>
            <w:r>
              <w:rPr>
                <w:rFonts w:hint="eastAsia" w:ascii="宋体" w:hAnsi="宋体" w:cs="宋体"/>
                <w:szCs w:val="21"/>
                <w:highlight w:val="none"/>
              </w:rPr>
              <w:t>分</w:t>
            </w:r>
          </w:p>
        </w:tc>
      </w:tr>
    </w:tbl>
    <w:p>
      <w:pPr>
        <w:spacing w:line="380" w:lineRule="exact"/>
        <w:ind w:firstLine="424" w:firstLineChars="200"/>
        <w:rPr>
          <w:highlight w:val="none"/>
        </w:rPr>
      </w:pPr>
      <w:r>
        <w:rPr>
          <w:rFonts w:hint="eastAsia" w:ascii="宋体" w:hAnsi="宋体"/>
          <w:b/>
          <w:bCs/>
          <w:color w:val="000000" w:themeColor="text1"/>
          <w:szCs w:val="21"/>
          <w:highlight w:val="none"/>
          <w14:textFill>
            <w14:solidFill>
              <w14:schemeClr w14:val="tx1"/>
            </w14:solidFill>
          </w14:textFill>
        </w:rPr>
        <w:t>四、</w:t>
      </w:r>
      <w:r>
        <w:rPr>
          <w:rFonts w:hint="eastAsia" w:ascii="宋体" w:hAnsi="宋体"/>
          <w:b/>
          <w:bCs/>
          <w:color w:val="000000" w:themeColor="text1"/>
          <w:szCs w:val="21"/>
          <w:highlight w:val="none"/>
          <w:lang w:val="zh-CN"/>
          <w14:textFill>
            <w14:solidFill>
              <w14:schemeClr w14:val="tx1"/>
            </w14:solidFill>
          </w14:textFill>
        </w:rPr>
        <w:t xml:space="preserve">注意事项 </w:t>
      </w:r>
    </w:p>
    <w:p>
      <w:pPr>
        <w:snapToGrid w:val="0"/>
        <w:spacing w:line="380" w:lineRule="exact"/>
        <w:ind w:firstLine="424"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评审时</w:t>
      </w:r>
      <w:r>
        <w:rPr>
          <w:rFonts w:hint="eastAsia" w:ascii="宋体" w:hAnsi="宋体"/>
          <w:color w:val="000000" w:themeColor="text1"/>
          <w:szCs w:val="21"/>
          <w:highlight w:val="none"/>
          <w14:textFill>
            <w14:solidFill>
              <w14:schemeClr w14:val="tx1"/>
            </w14:solidFill>
          </w14:textFill>
        </w:rPr>
        <w:t>评标委员会</w:t>
      </w:r>
      <w:r>
        <w:rPr>
          <w:rFonts w:hint="eastAsia" w:ascii="宋体" w:hAnsi="宋体" w:cs="宋体"/>
          <w:color w:val="000000" w:themeColor="text1"/>
          <w:szCs w:val="21"/>
          <w:highlight w:val="none"/>
          <w14:textFill>
            <w14:solidFill>
              <w14:schemeClr w14:val="tx1"/>
            </w14:solidFill>
          </w14:textFill>
        </w:rPr>
        <w:t>认为投标人的报价明显低于其他通过符合性审查投标人的报价，有可能影响产品质量或者不能诚信履约的，应当要求其在评标现场合理的时间（</w:t>
      </w:r>
      <w:r>
        <w:rPr>
          <w:rFonts w:hint="eastAsia" w:ascii="宋体" w:hAnsi="宋体" w:cs="宋体"/>
          <w:bCs/>
          <w:color w:val="000000" w:themeColor="text1"/>
          <w:szCs w:val="21"/>
          <w:highlight w:val="none"/>
          <w14:textFill>
            <w14:solidFill>
              <w14:schemeClr w14:val="tx1"/>
            </w14:solidFill>
          </w14:textFill>
        </w:rPr>
        <w:t>30分钟内</w:t>
      </w:r>
      <w:r>
        <w:rPr>
          <w:rFonts w:hint="eastAsia" w:ascii="宋体" w:hAnsi="宋体" w:cs="宋体"/>
          <w:color w:val="000000" w:themeColor="text1"/>
          <w:szCs w:val="21"/>
          <w:highlight w:val="none"/>
          <w14:textFill>
            <w14:solidFill>
              <w14:schemeClr w14:val="tx1"/>
            </w14:solidFill>
          </w14:textFill>
        </w:rPr>
        <w:t>）内提供书面说明，必要时提交相关证明材料；投标人不能证明其报价合理性的，</w:t>
      </w:r>
      <w:r>
        <w:rPr>
          <w:rFonts w:hint="eastAsia" w:ascii="宋体" w:hAnsi="宋体"/>
          <w:color w:val="000000" w:themeColor="text1"/>
          <w:szCs w:val="21"/>
          <w:highlight w:val="none"/>
          <w14:textFill>
            <w14:solidFill>
              <w14:schemeClr w14:val="tx1"/>
            </w14:solidFill>
          </w14:textFill>
        </w:rPr>
        <w:t>评标委员会</w:t>
      </w:r>
      <w:r>
        <w:rPr>
          <w:rFonts w:hint="eastAsia" w:ascii="宋体" w:hAnsi="宋体" w:cs="宋体"/>
          <w:color w:val="000000" w:themeColor="text1"/>
          <w:szCs w:val="21"/>
          <w:highlight w:val="none"/>
          <w14:textFill>
            <w14:solidFill>
              <w14:schemeClr w14:val="tx1"/>
            </w14:solidFill>
          </w14:textFill>
        </w:rPr>
        <w:t>应当将其作为无效投标处理。</w:t>
      </w:r>
    </w:p>
    <w:p>
      <w:pPr>
        <w:pageBreakBefore/>
        <w:numPr>
          <w:ilvl w:val="0"/>
          <w:numId w:val="10"/>
        </w:numPr>
        <w:outlineLvl w:val="0"/>
        <w:rPr>
          <w:rFonts w:ascii="宋体" w:hAnsi="宋体" w:cs="宋体"/>
          <w:b/>
          <w:bCs/>
          <w:color w:val="000000" w:themeColor="text1"/>
          <w:kern w:val="0"/>
          <w:sz w:val="36"/>
          <w:szCs w:val="36"/>
          <w:highlight w:val="none"/>
          <w14:textFill>
            <w14:solidFill>
              <w14:schemeClr w14:val="tx1"/>
            </w14:solidFill>
          </w14:textFill>
        </w:rPr>
      </w:pPr>
      <w:r>
        <w:rPr>
          <w:rFonts w:hint="eastAsia" w:ascii="宋体" w:hAnsi="宋体" w:cs="宋体"/>
          <w:b/>
          <w:bCs/>
          <w:color w:val="000000" w:themeColor="text1"/>
          <w:kern w:val="0"/>
          <w:sz w:val="36"/>
          <w:szCs w:val="36"/>
          <w:highlight w:val="none"/>
          <w14:textFill>
            <w14:solidFill>
              <w14:schemeClr w14:val="tx1"/>
            </w14:solidFill>
          </w14:textFill>
        </w:rPr>
        <w:t xml:space="preserve"> 合同条款</w:t>
      </w:r>
    </w:p>
    <w:p>
      <w:pPr>
        <w:pStyle w:val="57"/>
        <w:pBdr>
          <w:top w:val="none" w:color="auto" w:sz="0" w:space="0"/>
          <w:left w:val="none" w:color="auto" w:sz="0" w:space="0"/>
          <w:bottom w:val="none" w:color="auto" w:sz="0" w:space="0"/>
          <w:right w:val="none" w:color="auto" w:sz="0" w:space="0"/>
        </w:pBdr>
        <w:spacing w:line="360" w:lineRule="auto"/>
        <w:ind w:firstLine="420"/>
        <w:rPr>
          <w:rStyle w:val="58"/>
          <w:rFonts w:ascii="宋体" w:cs="宋体"/>
          <w:color w:val="auto"/>
          <w:sz w:val="24"/>
          <w:szCs w:val="24"/>
          <w:highlight w:val="none"/>
          <w:lang w:val="zh-TW"/>
        </w:rPr>
      </w:pPr>
      <w:r>
        <w:rPr>
          <w:rStyle w:val="58"/>
          <w:rFonts w:ascii="宋体" w:hAnsi="宋体" w:cs="宋体"/>
          <w:color w:val="auto"/>
          <w:highlight w:val="none"/>
          <w:lang w:val="zh-TW"/>
        </w:rPr>
        <w:t xml:space="preserve">            </w:t>
      </w:r>
      <w:r>
        <w:rPr>
          <w:rFonts w:hint="eastAsia" w:ascii="宋体" w:hAnsi="宋体"/>
          <w:b/>
          <w:color w:val="auto"/>
          <w:sz w:val="24"/>
          <w:szCs w:val="24"/>
          <w:highlight w:val="none"/>
        </w:rPr>
        <w:t>（本合同为参考样稿，以正式签订合同为准）</w:t>
      </w:r>
    </w:p>
    <w:p>
      <w:pPr>
        <w:pStyle w:val="56"/>
        <w:rPr>
          <w:highlight w:val="none"/>
        </w:rPr>
      </w:pPr>
    </w:p>
    <w:p>
      <w:pPr>
        <w:pStyle w:val="56"/>
        <w:spacing w:line="360" w:lineRule="auto"/>
        <w:rPr>
          <w:rFonts w:ascii="宋体" w:hAnsi="宋体" w:cs="宋体"/>
          <w:bCs/>
          <w:sz w:val="24"/>
          <w:szCs w:val="24"/>
          <w:highlight w:val="none"/>
        </w:rPr>
      </w:pPr>
      <w:r>
        <w:rPr>
          <w:rFonts w:hint="eastAsia" w:ascii="宋体" w:hAnsi="宋体" w:cs="宋体"/>
          <w:bCs/>
          <w:sz w:val="24"/>
          <w:szCs w:val="24"/>
          <w:highlight w:val="none"/>
        </w:rPr>
        <w:t>甲方：</w:t>
      </w:r>
      <w:r>
        <w:rPr>
          <w:rFonts w:hint="eastAsia" w:ascii="宋体" w:hAnsi="宋体" w:cs="宋体"/>
          <w:bCs/>
          <w:sz w:val="24"/>
          <w:szCs w:val="24"/>
          <w:highlight w:val="none"/>
          <w:u w:val="single"/>
        </w:rPr>
        <w:t xml:space="preserve">衢州市衢江区住房和城乡建设局    </w:t>
      </w:r>
      <w:r>
        <w:rPr>
          <w:rFonts w:hint="eastAsia" w:ascii="宋体" w:hAnsi="宋体" w:cs="宋体"/>
          <w:bCs/>
          <w:sz w:val="24"/>
          <w:szCs w:val="24"/>
          <w:highlight w:val="none"/>
        </w:rPr>
        <w:t>（以下简称“甲方”）</w:t>
      </w:r>
    </w:p>
    <w:p>
      <w:pPr>
        <w:pStyle w:val="56"/>
        <w:spacing w:line="360" w:lineRule="auto"/>
        <w:rPr>
          <w:rFonts w:ascii="宋体" w:hAnsi="宋体" w:cs="宋体"/>
          <w:bCs/>
          <w:sz w:val="24"/>
          <w:szCs w:val="24"/>
          <w:highlight w:val="none"/>
        </w:rPr>
      </w:pPr>
      <w:r>
        <w:rPr>
          <w:rFonts w:hint="eastAsia" w:ascii="宋体" w:hAnsi="宋体" w:cs="宋体"/>
          <w:bCs/>
          <w:sz w:val="24"/>
          <w:szCs w:val="24"/>
          <w:highlight w:val="none"/>
        </w:rPr>
        <w:t>乙方：</w:t>
      </w:r>
      <w:r>
        <w:rPr>
          <w:rFonts w:hint="eastAsia" w:ascii="宋体" w:hAnsi="宋体" w:cs="宋体"/>
          <w:bCs/>
          <w:sz w:val="24"/>
          <w:szCs w:val="24"/>
          <w:highlight w:val="none"/>
          <w:u w:val="single"/>
        </w:rPr>
        <w:t xml:space="preserve">    （中标人全称）          </w:t>
      </w:r>
      <w:r>
        <w:rPr>
          <w:rFonts w:hint="eastAsia" w:ascii="宋体" w:hAnsi="宋体" w:cs="宋体"/>
          <w:bCs/>
          <w:sz w:val="24"/>
          <w:szCs w:val="24"/>
          <w:highlight w:val="none"/>
        </w:rPr>
        <w:t>（以下简称“乙方”）</w:t>
      </w:r>
    </w:p>
    <w:p>
      <w:pPr>
        <w:pStyle w:val="56"/>
        <w:spacing w:line="360" w:lineRule="auto"/>
        <w:rPr>
          <w:rFonts w:ascii="宋体" w:hAnsi="宋体" w:cs="宋体"/>
          <w:bCs/>
          <w:sz w:val="24"/>
          <w:szCs w:val="24"/>
          <w:highlight w:val="none"/>
        </w:rPr>
      </w:pPr>
    </w:p>
    <w:p>
      <w:pPr>
        <w:pStyle w:val="56"/>
        <w:spacing w:line="360" w:lineRule="auto"/>
        <w:ind w:firstLine="636" w:firstLineChars="300"/>
        <w:rPr>
          <w:rFonts w:ascii="宋体" w:hAnsi="宋体" w:cs="宋体"/>
          <w:bCs/>
          <w:highlight w:val="none"/>
        </w:rPr>
      </w:pPr>
      <w:r>
        <w:rPr>
          <w:rFonts w:hint="eastAsia" w:ascii="宋体" w:hAnsi="宋体" w:cs="宋体"/>
          <w:bCs/>
          <w:highlight w:val="none"/>
        </w:rPr>
        <w:t>根据《中华人民共和国合同法》及有关法律规定，遵循平等、自愿、公平和诚实信用的原则，经甲乙双方充分协商，本协议由双方于</w:t>
      </w:r>
      <w:r>
        <w:rPr>
          <w:rFonts w:hint="eastAsia" w:ascii="宋体" w:hAnsi="宋体" w:cs="宋体"/>
          <w:bCs/>
          <w:highlight w:val="none"/>
          <w:u w:val="single"/>
        </w:rPr>
        <w:t>2020</w:t>
      </w:r>
      <w:r>
        <w:rPr>
          <w:rFonts w:hint="eastAsia" w:ascii="宋体" w:hAnsi="宋体" w:cs="宋体"/>
          <w:bCs/>
          <w:highlight w:val="none"/>
        </w:rPr>
        <w:t>年</w:t>
      </w:r>
      <w:r>
        <w:rPr>
          <w:rFonts w:hint="eastAsia" w:ascii="宋体" w:hAnsi="宋体" w:cs="宋体"/>
          <w:bCs/>
          <w:highlight w:val="none"/>
          <w:u w:val="single"/>
        </w:rPr>
        <w:t xml:space="preserve">   </w:t>
      </w:r>
      <w:r>
        <w:rPr>
          <w:rFonts w:hint="eastAsia" w:ascii="宋体" w:hAnsi="宋体" w:cs="宋体"/>
          <w:bCs/>
          <w:highlight w:val="none"/>
        </w:rPr>
        <w:t>月</w:t>
      </w:r>
      <w:r>
        <w:rPr>
          <w:rFonts w:hint="eastAsia" w:ascii="宋体" w:hAnsi="宋体" w:cs="宋体"/>
          <w:bCs/>
          <w:highlight w:val="none"/>
          <w:u w:val="single"/>
        </w:rPr>
        <w:t xml:space="preserve">   </w:t>
      </w:r>
      <w:r>
        <w:rPr>
          <w:rFonts w:hint="eastAsia" w:ascii="宋体" w:hAnsi="宋体" w:cs="宋体"/>
          <w:bCs/>
          <w:highlight w:val="none"/>
        </w:rPr>
        <w:t>日在</w:t>
      </w:r>
      <w:r>
        <w:rPr>
          <w:rFonts w:hint="eastAsia" w:ascii="宋体" w:hAnsi="宋体" w:cs="宋体"/>
          <w:bCs/>
          <w:highlight w:val="none"/>
          <w:u w:val="single"/>
        </w:rPr>
        <w:t xml:space="preserve"> 衢江区住房和城乡建设局 </w:t>
      </w:r>
      <w:r>
        <w:rPr>
          <w:rFonts w:hint="eastAsia" w:ascii="宋体" w:hAnsi="宋体" w:cs="宋体"/>
          <w:bCs/>
          <w:highlight w:val="none"/>
        </w:rPr>
        <w:t>签署。</w:t>
      </w:r>
    </w:p>
    <w:p>
      <w:pPr>
        <w:pStyle w:val="56"/>
        <w:spacing w:line="360" w:lineRule="auto"/>
        <w:rPr>
          <w:rFonts w:ascii="宋体" w:hAnsi="宋体" w:cs="宋体"/>
          <w:bCs/>
          <w:highlight w:val="none"/>
        </w:rPr>
      </w:pPr>
      <w:r>
        <w:rPr>
          <w:rFonts w:hint="eastAsia" w:ascii="宋体" w:hAnsi="宋体" w:cs="宋体"/>
          <w:bCs/>
          <w:highlight w:val="none"/>
        </w:rPr>
        <w:t xml:space="preserve">    鉴于：</w:t>
      </w:r>
    </w:p>
    <w:p>
      <w:pPr>
        <w:pStyle w:val="56"/>
        <w:widowControl w:val="0"/>
        <w:tabs>
          <w:tab w:val="left" w:pos="945"/>
        </w:tabs>
        <w:spacing w:line="360" w:lineRule="auto"/>
        <w:rPr>
          <w:rFonts w:ascii="宋体" w:hAnsi="宋体" w:cs="宋体"/>
          <w:bCs/>
          <w:highlight w:val="none"/>
        </w:rPr>
      </w:pPr>
      <w:r>
        <w:rPr>
          <w:rFonts w:hint="eastAsia" w:ascii="宋体" w:hAnsi="宋体" w:cs="宋体"/>
          <w:bCs/>
          <w:highlight w:val="none"/>
        </w:rPr>
        <w:t xml:space="preserve">    （1）乙方作为通过公开招标程序选定的衢州市衢江区集镇污水处理厂运营单位已获得了签署本协议的资格，有权合法授权其为本项目特别设立的全资子公司全面负责对本项目污水处理设施的接收、运营维护管理和运营期满时的移交事宜，并依据本协议之约定向甲方收取运营服务费；同时本协议中对乙方之</w:t>
      </w:r>
      <w:bookmarkStart w:id="32" w:name="_Hlt215972040"/>
      <w:bookmarkEnd w:id="32"/>
      <w:bookmarkStart w:id="33" w:name="_Hlt215972085"/>
      <w:bookmarkEnd w:id="33"/>
      <w:bookmarkStart w:id="34" w:name="_Hlt215972467"/>
      <w:bookmarkEnd w:id="34"/>
      <w:bookmarkStart w:id="35" w:name="_Hlt215969801"/>
      <w:bookmarkEnd w:id="35"/>
      <w:bookmarkStart w:id="36" w:name="_Hlt215973249"/>
      <w:bookmarkEnd w:id="36"/>
      <w:r>
        <w:rPr>
          <w:rFonts w:hint="eastAsia" w:ascii="宋体" w:hAnsi="宋体" w:cs="宋体"/>
          <w:bCs/>
          <w:highlight w:val="none"/>
        </w:rPr>
        <w:t>所有权利、责任和义务方面的约定也全部适用于乙方全资设立的运营项目公司。</w:t>
      </w:r>
    </w:p>
    <w:p>
      <w:pPr>
        <w:pStyle w:val="56"/>
        <w:widowControl w:val="0"/>
        <w:tabs>
          <w:tab w:val="left" w:pos="945"/>
        </w:tabs>
        <w:spacing w:line="360" w:lineRule="auto"/>
        <w:rPr>
          <w:rFonts w:ascii="宋体" w:hAnsi="宋体" w:cs="宋体"/>
          <w:bCs/>
          <w:highlight w:val="none"/>
        </w:rPr>
      </w:pPr>
      <w:r>
        <w:rPr>
          <w:rFonts w:hint="eastAsia" w:ascii="宋体" w:hAnsi="宋体" w:cs="宋体"/>
          <w:bCs/>
          <w:highlight w:val="none"/>
        </w:rPr>
        <w:t xml:space="preserve">    （2）甲方与乙方已同意签署本协议及附件，以规定相关各方与项目实施有关的权利和义务。</w:t>
      </w:r>
    </w:p>
    <w:p>
      <w:pPr>
        <w:pStyle w:val="56"/>
        <w:widowControl w:val="0"/>
        <w:tabs>
          <w:tab w:val="left" w:pos="945"/>
        </w:tabs>
        <w:spacing w:line="360" w:lineRule="auto"/>
        <w:ind w:firstLine="480"/>
        <w:rPr>
          <w:rFonts w:ascii="宋体" w:hAnsi="宋体" w:cs="宋体"/>
          <w:bCs/>
          <w:highlight w:val="none"/>
        </w:rPr>
      </w:pPr>
      <w:r>
        <w:rPr>
          <w:rFonts w:hint="eastAsia" w:ascii="宋体" w:hAnsi="宋体" w:cs="宋体"/>
          <w:bCs/>
          <w:highlight w:val="none"/>
        </w:rPr>
        <w:t xml:space="preserve">（3）乙方全资成立运营项目公司，其作为乙方按本项目招标要求全资设立的具有企业独立法人资格、独立核算的污水处理运营服务提供商，已获得了包括乙方董事会决议等在内的公司法律性批准和授权文件，有权合法代表乙方全面承继本项目运营服务协议项下乙方的全部权利、责任和义务，乙方同时承担连带责任。 </w:t>
      </w:r>
    </w:p>
    <w:p>
      <w:pPr>
        <w:pStyle w:val="56"/>
        <w:widowControl w:val="0"/>
        <w:tabs>
          <w:tab w:val="left" w:pos="945"/>
        </w:tabs>
        <w:spacing w:line="360" w:lineRule="auto"/>
        <w:ind w:firstLine="480"/>
        <w:rPr>
          <w:rFonts w:ascii="宋体" w:hAnsi="宋体" w:cs="宋体"/>
          <w:bCs/>
          <w:highlight w:val="none"/>
        </w:rPr>
      </w:pPr>
      <w:r>
        <w:rPr>
          <w:rFonts w:hint="eastAsia" w:ascii="宋体" w:hAnsi="宋体" w:cs="宋体"/>
          <w:bCs/>
          <w:highlight w:val="none"/>
        </w:rPr>
        <w:t>（4）运营期运营服务费签约合同价为</w:t>
      </w:r>
      <w:r>
        <w:rPr>
          <w:rFonts w:hint="eastAsia" w:ascii="宋体" w:hAnsi="宋体" w:cs="宋体"/>
          <w:bCs/>
          <w:highlight w:val="none"/>
          <w:u w:val="single"/>
        </w:rPr>
        <w:t xml:space="preserve">     </w:t>
      </w:r>
      <w:r>
        <w:rPr>
          <w:rFonts w:hint="eastAsia" w:ascii="宋体" w:hAnsi="宋体" w:cs="宋体"/>
          <w:bCs/>
          <w:highlight w:val="none"/>
        </w:rPr>
        <w:t>元【即进水COD</w:t>
      </w:r>
      <w:r>
        <w:rPr>
          <w:rFonts w:hint="eastAsia" w:ascii="宋体" w:hAnsi="宋体" w:cs="宋体"/>
          <w:color w:val="333333"/>
          <w:highlight w:val="none"/>
          <w:shd w:val="clear" w:color="auto" w:fill="FFFFFF"/>
        </w:rPr>
        <w:t>≤330</w:t>
      </w:r>
      <w:r>
        <w:rPr>
          <w:rFonts w:hint="eastAsia" w:ascii="宋体" w:hAnsi="宋体" w:cs="宋体"/>
          <w:color w:val="000000" w:themeColor="text1"/>
          <w:highlight w:val="none"/>
          <w14:textFill>
            <w14:solidFill>
              <w14:schemeClr w14:val="tx1"/>
            </w14:solidFill>
          </w14:textFill>
        </w:rPr>
        <w:t>mg/L</w:t>
      </w: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bCs/>
          <w:highlight w:val="none"/>
        </w:rPr>
        <w:t>元/m3（含税），三年运营期按0.79万m</w:t>
      </w:r>
      <w:r>
        <w:rPr>
          <w:rFonts w:hint="eastAsia" w:ascii="宋体" w:hAnsi="宋体" w:cs="宋体"/>
          <w:bCs/>
          <w:highlight w:val="none"/>
          <w:vertAlign w:val="superscript"/>
        </w:rPr>
        <w:t>3</w:t>
      </w:r>
      <w:r>
        <w:rPr>
          <w:rFonts w:hint="eastAsia" w:ascii="宋体" w:hAnsi="宋体" w:cs="宋体"/>
          <w:bCs/>
          <w:highlight w:val="none"/>
        </w:rPr>
        <w:t>/d，一年按365天计，全费用综合单价=运营期运营服务费签约合同价÷（7900×365×3）】。</w:t>
      </w:r>
    </w:p>
    <w:p>
      <w:pPr>
        <w:pStyle w:val="56"/>
        <w:widowControl w:val="0"/>
        <w:tabs>
          <w:tab w:val="left" w:pos="945"/>
        </w:tabs>
        <w:spacing w:line="360" w:lineRule="auto"/>
        <w:ind w:firstLine="480"/>
        <w:rPr>
          <w:rFonts w:ascii="宋体" w:hAnsi="宋体" w:cs="宋体"/>
          <w:bCs/>
          <w:highlight w:val="none"/>
        </w:rPr>
      </w:pPr>
      <w:r>
        <w:rPr>
          <w:rFonts w:hint="eastAsia" w:ascii="宋体" w:hAnsi="宋体" w:cs="宋体"/>
          <w:bCs/>
          <w:highlight w:val="none"/>
        </w:rPr>
        <w:t>（5）项目运营负责人（厂长）为</w:t>
      </w:r>
      <w:r>
        <w:rPr>
          <w:rFonts w:hint="eastAsia" w:ascii="宋体" w:hAnsi="宋体" w:cs="宋体"/>
          <w:bCs/>
          <w:highlight w:val="none"/>
          <w:u w:val="single"/>
        </w:rPr>
        <w:t xml:space="preserve">        </w:t>
      </w:r>
      <w:r>
        <w:rPr>
          <w:rFonts w:hint="eastAsia" w:ascii="宋体" w:hAnsi="宋体" w:cs="宋体"/>
          <w:bCs/>
          <w:highlight w:val="none"/>
        </w:rPr>
        <w:t>，身份证号：</w:t>
      </w:r>
      <w:r>
        <w:rPr>
          <w:rFonts w:hint="eastAsia" w:ascii="宋体" w:hAnsi="宋体" w:cs="宋体"/>
          <w:bCs/>
          <w:highlight w:val="none"/>
          <w:u w:val="single"/>
        </w:rPr>
        <w:t xml:space="preserve">         </w:t>
      </w:r>
      <w:r>
        <w:rPr>
          <w:rFonts w:hint="eastAsia" w:ascii="宋体" w:hAnsi="宋体" w:cs="宋体"/>
          <w:bCs/>
          <w:highlight w:val="none"/>
        </w:rPr>
        <w:t>。</w:t>
      </w:r>
    </w:p>
    <w:p>
      <w:pPr>
        <w:pStyle w:val="56"/>
        <w:tabs>
          <w:tab w:val="left" w:pos="1260"/>
        </w:tabs>
        <w:spacing w:line="360" w:lineRule="auto"/>
        <w:rPr>
          <w:rFonts w:ascii="宋体" w:hAnsi="宋体" w:cs="宋体"/>
          <w:bCs/>
          <w:highlight w:val="none"/>
        </w:rPr>
      </w:pPr>
      <w:r>
        <w:rPr>
          <w:rFonts w:hint="eastAsia" w:ascii="宋体" w:hAnsi="宋体" w:cs="宋体"/>
          <w:bCs/>
          <w:highlight w:val="none"/>
        </w:rPr>
        <w:t xml:space="preserve">     有鉴于此，双方签署本协议，以昭信守。</w:t>
      </w:r>
    </w:p>
    <w:p>
      <w:pPr>
        <w:pStyle w:val="56"/>
        <w:tabs>
          <w:tab w:val="left" w:pos="1260"/>
        </w:tabs>
        <w:spacing w:beforeLines="50" w:line="360" w:lineRule="auto"/>
        <w:ind w:firstLine="567"/>
        <w:rPr>
          <w:rFonts w:ascii="宋体" w:hAnsi="宋体" w:cs="宋体"/>
          <w:bCs/>
          <w:sz w:val="20"/>
          <w:szCs w:val="20"/>
          <w:highlight w:val="none"/>
        </w:rPr>
      </w:pPr>
    </w:p>
    <w:p>
      <w:pPr>
        <w:pStyle w:val="56"/>
        <w:tabs>
          <w:tab w:val="left" w:pos="1260"/>
        </w:tabs>
        <w:spacing w:beforeLines="50" w:line="360" w:lineRule="auto"/>
        <w:ind w:firstLine="567"/>
        <w:rPr>
          <w:rFonts w:ascii="宋体" w:hAnsi="宋体" w:cs="宋体"/>
          <w:bCs/>
          <w:sz w:val="20"/>
          <w:szCs w:val="20"/>
          <w:highlight w:val="none"/>
        </w:rPr>
      </w:pPr>
    </w:p>
    <w:p>
      <w:pPr>
        <w:pStyle w:val="56"/>
        <w:tabs>
          <w:tab w:val="left" w:pos="1260"/>
        </w:tabs>
        <w:spacing w:beforeLines="50" w:line="360" w:lineRule="auto"/>
        <w:ind w:firstLine="567"/>
        <w:rPr>
          <w:rFonts w:ascii="宋体" w:hAnsi="宋体" w:cs="宋体"/>
          <w:bCs/>
          <w:sz w:val="20"/>
          <w:szCs w:val="20"/>
          <w:highlight w:val="none"/>
        </w:rPr>
      </w:pPr>
    </w:p>
    <w:p>
      <w:pPr>
        <w:pStyle w:val="56"/>
        <w:tabs>
          <w:tab w:val="left" w:pos="1260"/>
        </w:tabs>
        <w:spacing w:beforeLines="50" w:line="360" w:lineRule="auto"/>
        <w:ind w:firstLine="567"/>
        <w:rPr>
          <w:rFonts w:ascii="宋体" w:hAnsi="宋体" w:cs="宋体"/>
          <w:bCs/>
          <w:sz w:val="20"/>
          <w:szCs w:val="20"/>
          <w:highlight w:val="none"/>
        </w:rPr>
      </w:pPr>
    </w:p>
    <w:p>
      <w:pPr>
        <w:pStyle w:val="56"/>
        <w:tabs>
          <w:tab w:val="left" w:pos="1260"/>
        </w:tabs>
        <w:spacing w:beforeLines="50" w:line="360" w:lineRule="auto"/>
        <w:ind w:firstLine="567"/>
        <w:rPr>
          <w:rFonts w:ascii="宋体" w:hAnsi="宋体" w:cs="宋体"/>
          <w:bCs/>
          <w:sz w:val="20"/>
          <w:szCs w:val="20"/>
          <w:highlight w:val="none"/>
        </w:rPr>
      </w:pPr>
    </w:p>
    <w:p>
      <w:pPr>
        <w:pStyle w:val="56"/>
        <w:tabs>
          <w:tab w:val="left" w:pos="1260"/>
        </w:tabs>
        <w:spacing w:beforeLines="50" w:line="360" w:lineRule="auto"/>
        <w:ind w:firstLine="567"/>
        <w:rPr>
          <w:rFonts w:ascii="宋体" w:hAnsi="宋体" w:cs="宋体"/>
          <w:bCs/>
          <w:sz w:val="20"/>
          <w:szCs w:val="20"/>
          <w:highlight w:val="none"/>
        </w:rPr>
      </w:pPr>
    </w:p>
    <w:p>
      <w:pPr>
        <w:pStyle w:val="56"/>
        <w:widowControl w:val="0"/>
        <w:spacing w:beforeLines="50"/>
        <w:jc w:val="center"/>
        <w:rPr>
          <w:rFonts w:ascii="新宋体" w:hAnsi="新宋体" w:eastAsia="新宋体" w:cs="新宋体"/>
          <w:b/>
          <w:kern w:val="2"/>
          <w:sz w:val="28"/>
          <w:szCs w:val="28"/>
          <w:highlight w:val="none"/>
        </w:rPr>
      </w:pPr>
      <w:bookmarkStart w:id="37" w:name="_Toc246596605"/>
      <w:r>
        <w:rPr>
          <w:rFonts w:hint="eastAsia" w:ascii="新宋体" w:hAnsi="新宋体" w:eastAsia="新宋体" w:cs="新宋体"/>
          <w:b/>
          <w:kern w:val="2"/>
          <w:sz w:val="28"/>
          <w:szCs w:val="28"/>
          <w:highlight w:val="none"/>
        </w:rPr>
        <w:t xml:space="preserve">第一节  </w:t>
      </w:r>
      <w:bookmarkStart w:id="38" w:name="_Toc202676903"/>
      <w:r>
        <w:rPr>
          <w:rFonts w:hint="eastAsia" w:ascii="新宋体" w:hAnsi="新宋体" w:eastAsia="新宋体" w:cs="新宋体"/>
          <w:b/>
          <w:kern w:val="2"/>
          <w:sz w:val="28"/>
          <w:szCs w:val="28"/>
          <w:highlight w:val="none"/>
        </w:rPr>
        <w:t>定义与解释</w:t>
      </w:r>
      <w:bookmarkEnd w:id="37"/>
      <w:bookmarkEnd w:id="38"/>
    </w:p>
    <w:p>
      <w:pPr>
        <w:pStyle w:val="56"/>
        <w:keepNext/>
        <w:keepLines/>
        <w:spacing w:before="120" w:after="120"/>
        <w:ind w:firstLine="500"/>
        <w:outlineLvl w:val="4"/>
        <w:rPr>
          <w:rFonts w:ascii="宋体" w:hAnsi="宋体"/>
          <w:b/>
          <w:szCs w:val="20"/>
          <w:highlight w:val="none"/>
        </w:rPr>
      </w:pPr>
      <w:bookmarkStart w:id="39" w:name="_Toc246596606"/>
      <w:bookmarkStart w:id="40" w:name="_Toc202676904"/>
      <w:r>
        <w:rPr>
          <w:rFonts w:hint="eastAsia" w:ascii="宋体" w:hAnsi="宋体"/>
          <w:b/>
          <w:szCs w:val="20"/>
          <w:highlight w:val="none"/>
        </w:rPr>
        <w:t>1.1  定义与解释</w:t>
      </w:r>
      <w:bookmarkEnd w:id="39"/>
      <w:bookmarkEnd w:id="40"/>
    </w:p>
    <w:p>
      <w:pPr>
        <w:pStyle w:val="56"/>
        <w:spacing w:beforeLines="25" w:afterLines="25"/>
        <w:ind w:firstLine="478" w:firstLineChars="237"/>
        <w:rPr>
          <w:rFonts w:ascii="宋体" w:hAnsi="宋体"/>
          <w:sz w:val="20"/>
          <w:highlight w:val="none"/>
        </w:rPr>
      </w:pPr>
      <w:r>
        <w:rPr>
          <w:rFonts w:hint="eastAsia" w:ascii="宋体" w:hAnsi="宋体"/>
          <w:sz w:val="20"/>
          <w:highlight w:val="none"/>
        </w:rPr>
        <w:t>本协议文字应视作其字面能表达其含义，遵循中国污水处理行业和污水处理运营单位就设计、建造、运营和维护类似项目设施的该类型设备所广泛遵循的惯例、方法和标准，且该等惯例、方法、标准与类似项目设施的该类型设备的供应、制造单位所推荐的运营维护标准大体相符。任何人不能随意作出明显不利于甲方的推论。</w:t>
      </w:r>
    </w:p>
    <w:p>
      <w:pPr>
        <w:pStyle w:val="56"/>
        <w:keepNext/>
        <w:keepLines/>
        <w:spacing w:before="120" w:after="120"/>
        <w:ind w:firstLine="500"/>
        <w:outlineLvl w:val="4"/>
        <w:rPr>
          <w:rFonts w:ascii="宋体" w:hAnsi="宋体"/>
          <w:b/>
          <w:szCs w:val="20"/>
          <w:highlight w:val="none"/>
        </w:rPr>
      </w:pPr>
      <w:bookmarkStart w:id="41" w:name="_Toc202676905"/>
      <w:bookmarkStart w:id="42" w:name="_Toc246596607"/>
      <w:r>
        <w:rPr>
          <w:rFonts w:hint="eastAsia" w:ascii="宋体" w:hAnsi="宋体"/>
          <w:b/>
          <w:szCs w:val="20"/>
          <w:highlight w:val="none"/>
        </w:rPr>
        <w:t>1.2  释</w:t>
      </w:r>
      <w:bookmarkEnd w:id="41"/>
      <w:r>
        <w:rPr>
          <w:rFonts w:hint="eastAsia" w:ascii="宋体" w:hAnsi="宋体"/>
          <w:b/>
          <w:szCs w:val="20"/>
          <w:highlight w:val="none"/>
        </w:rPr>
        <w:t>议</w:t>
      </w:r>
      <w:bookmarkEnd w:id="42"/>
      <w:bookmarkStart w:id="43" w:name="_Hlt215643610"/>
      <w:bookmarkEnd w:id="43"/>
    </w:p>
    <w:tbl>
      <w:tblPr>
        <w:tblStyle w:val="25"/>
        <w:tblpPr w:leftFromText="180" w:rightFromText="180" w:vertAnchor="text" w:horzAnchor="page" w:tblpX="1278" w:tblpY="215"/>
        <w:tblOverlap w:val="never"/>
        <w:tblW w:w="95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7"/>
        <w:gridCol w:w="7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2287" w:type="dxa"/>
          </w:tcPr>
          <w:p>
            <w:pPr>
              <w:pStyle w:val="56"/>
              <w:jc w:val="left"/>
              <w:rPr>
                <w:rFonts w:ascii="宋体" w:hAnsi="宋体"/>
                <w:b/>
                <w:bCs/>
                <w:sz w:val="20"/>
                <w:szCs w:val="20"/>
                <w:highlight w:val="none"/>
              </w:rPr>
            </w:pPr>
            <w:r>
              <w:rPr>
                <w:rFonts w:hint="eastAsia" w:ascii="宋体" w:hAnsi="宋体"/>
                <w:b/>
                <w:bCs/>
                <w:sz w:val="20"/>
                <w:szCs w:val="20"/>
                <w:highlight w:val="none"/>
              </w:rPr>
              <w:t>计划开始项目试运行日</w:t>
            </w:r>
          </w:p>
          <w:p>
            <w:pPr>
              <w:pStyle w:val="56"/>
              <w:jc w:val="left"/>
              <w:rPr>
                <w:rFonts w:ascii="宋体" w:hAnsi="宋体"/>
                <w:b/>
                <w:sz w:val="20"/>
                <w:szCs w:val="20"/>
                <w:highlight w:val="none"/>
              </w:rPr>
            </w:pPr>
            <w:r>
              <w:rPr>
                <w:rFonts w:hint="eastAsia" w:ascii="宋体" w:hAnsi="宋体"/>
                <w:b/>
                <w:bCs/>
                <w:sz w:val="20"/>
                <w:szCs w:val="20"/>
                <w:highlight w:val="none"/>
              </w:rPr>
              <w:t xml:space="preserve">试运行期    </w:t>
            </w:r>
          </w:p>
        </w:tc>
        <w:tc>
          <w:tcPr>
            <w:tcW w:w="7250" w:type="dxa"/>
          </w:tcPr>
          <w:p>
            <w:pPr>
              <w:pStyle w:val="56"/>
              <w:jc w:val="left"/>
              <w:rPr>
                <w:rFonts w:ascii="宋体" w:hAnsi="宋体"/>
                <w:sz w:val="20"/>
                <w:highlight w:val="none"/>
              </w:rPr>
            </w:pPr>
            <w:r>
              <w:rPr>
                <w:rFonts w:hint="eastAsia" w:ascii="宋体" w:hAnsi="宋体"/>
                <w:sz w:val="20"/>
                <w:highlight w:val="none"/>
              </w:rPr>
              <w:t>2020年11月 日。</w:t>
            </w:r>
          </w:p>
          <w:p>
            <w:pPr>
              <w:pStyle w:val="56"/>
              <w:jc w:val="left"/>
              <w:rPr>
                <w:rFonts w:ascii="宋体" w:hAnsi="宋体"/>
                <w:sz w:val="20"/>
                <w:szCs w:val="20"/>
                <w:highlight w:val="none"/>
              </w:rPr>
            </w:pPr>
            <w:r>
              <w:rPr>
                <w:rFonts w:hint="eastAsia" w:ascii="宋体" w:hAnsi="宋体" w:cs="宋体"/>
                <w:bCs/>
                <w:sz w:val="20"/>
                <w:szCs w:val="20"/>
                <w:highlight w:val="none"/>
              </w:rPr>
              <w:t>衢江区集镇污水处理厂改建</w:t>
            </w:r>
            <w:r>
              <w:rPr>
                <w:rFonts w:hint="eastAsia" w:ascii="宋体" w:hAnsi="宋体"/>
                <w:sz w:val="20"/>
                <w:highlight w:val="none"/>
              </w:rPr>
              <w:t>项目试运行日至甲方书面批准进入运营期之日的前一日。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trPr>
        <w:tc>
          <w:tcPr>
            <w:tcW w:w="2287" w:type="dxa"/>
          </w:tcPr>
          <w:p>
            <w:pPr>
              <w:pStyle w:val="56"/>
              <w:spacing w:beforeLines="50"/>
              <w:jc w:val="left"/>
              <w:rPr>
                <w:rFonts w:ascii="宋体" w:hAnsi="宋体"/>
                <w:b/>
                <w:bCs/>
                <w:sz w:val="20"/>
                <w:szCs w:val="20"/>
                <w:highlight w:val="none"/>
              </w:rPr>
            </w:pPr>
            <w:r>
              <w:rPr>
                <w:rFonts w:hint="eastAsia" w:ascii="宋体" w:hAnsi="宋体"/>
                <w:b/>
                <w:bCs/>
                <w:sz w:val="20"/>
                <w:szCs w:val="20"/>
                <w:highlight w:val="none"/>
              </w:rPr>
              <w:t>开始运营日</w:t>
            </w:r>
          </w:p>
        </w:tc>
        <w:tc>
          <w:tcPr>
            <w:tcW w:w="7250" w:type="dxa"/>
          </w:tcPr>
          <w:p>
            <w:pPr>
              <w:pStyle w:val="56"/>
              <w:spacing w:beforeLines="50"/>
              <w:jc w:val="left"/>
              <w:rPr>
                <w:rFonts w:ascii="宋体" w:hAnsi="宋体"/>
                <w:sz w:val="20"/>
                <w:highlight w:val="none"/>
              </w:rPr>
            </w:pPr>
            <w:r>
              <w:rPr>
                <w:rFonts w:hint="eastAsia" w:ascii="宋体" w:hAnsi="宋体" w:cs="宋体"/>
                <w:bCs/>
                <w:sz w:val="20"/>
                <w:szCs w:val="20"/>
                <w:highlight w:val="none"/>
              </w:rPr>
              <w:t>衢江区集镇污水处理</w:t>
            </w:r>
            <w:r>
              <w:rPr>
                <w:rFonts w:hint="eastAsia" w:ascii="仿宋_GB2312" w:hAnsi="仿宋_GB2312" w:eastAsia="仿宋_GB2312" w:cs="仿宋_GB2312"/>
                <w:bCs/>
                <w:sz w:val="24"/>
                <w:szCs w:val="24"/>
                <w:highlight w:val="none"/>
              </w:rPr>
              <w:t>厂</w:t>
            </w:r>
            <w:r>
              <w:rPr>
                <w:rFonts w:hint="eastAsia" w:ascii="宋体" w:hAnsi="宋体"/>
                <w:sz w:val="20"/>
                <w:highlight w:val="none"/>
              </w:rPr>
              <w:t>项目环保验收合格至预计开始运营日之前，本项目须已连续稳定运行七（7）日或以上，并已完成环保验收公示，取得环保部门批复，且完成与污泥处置单位签订处置协议和在线监测运维单位签订运维合同后，运营项目公司书面通知甲方后，自甲方书面确认时起进入运营期</w:t>
            </w:r>
            <w:r>
              <w:rPr>
                <w:rFonts w:ascii="宋体" w:hAnsi="宋体"/>
                <w:sz w:val="20"/>
                <w:szCs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2287" w:type="dxa"/>
          </w:tcPr>
          <w:p>
            <w:pPr>
              <w:pStyle w:val="56"/>
              <w:spacing w:beforeLines="50"/>
              <w:jc w:val="left"/>
              <w:rPr>
                <w:rFonts w:ascii="宋体" w:hAnsi="宋体"/>
                <w:b/>
                <w:sz w:val="20"/>
                <w:szCs w:val="20"/>
                <w:highlight w:val="none"/>
              </w:rPr>
            </w:pPr>
            <w:r>
              <w:rPr>
                <w:rFonts w:hint="eastAsia" w:ascii="宋体" w:hAnsi="宋体"/>
                <w:b/>
                <w:sz w:val="20"/>
                <w:szCs w:val="20"/>
                <w:highlight w:val="none"/>
              </w:rPr>
              <w:t>第三方检测公司</w:t>
            </w:r>
          </w:p>
        </w:tc>
        <w:tc>
          <w:tcPr>
            <w:tcW w:w="7250" w:type="dxa"/>
          </w:tcPr>
          <w:p>
            <w:pPr>
              <w:pStyle w:val="56"/>
              <w:spacing w:beforeLines="50"/>
              <w:jc w:val="left"/>
              <w:rPr>
                <w:rFonts w:ascii="宋体" w:hAnsi="宋体"/>
                <w:sz w:val="20"/>
                <w:szCs w:val="20"/>
                <w:highlight w:val="none"/>
              </w:rPr>
            </w:pPr>
            <w:r>
              <w:rPr>
                <w:rFonts w:ascii="宋体" w:hAnsi="宋体"/>
                <w:sz w:val="20"/>
                <w:szCs w:val="20"/>
                <w:highlight w:val="none"/>
              </w:rPr>
              <w:t>指</w:t>
            </w:r>
            <w:r>
              <w:rPr>
                <w:rFonts w:hint="eastAsia" w:ascii="宋体" w:hAnsi="宋体"/>
                <w:sz w:val="20"/>
                <w:szCs w:val="20"/>
                <w:highlight w:val="none"/>
              </w:rPr>
              <w:t>衢州市水质第三方检测公司。</w:t>
            </w:r>
            <w:r>
              <w:rPr>
                <w:rFonts w:ascii="宋体" w:hAnsi="宋体"/>
                <w:sz w:val="20"/>
                <w:szCs w:val="20"/>
                <w:highlight w:val="none"/>
              </w:rPr>
              <w:t>受</w:t>
            </w:r>
            <w:r>
              <w:rPr>
                <w:rFonts w:hint="eastAsia" w:ascii="宋体" w:hAnsi="宋体"/>
                <w:sz w:val="20"/>
                <w:szCs w:val="20"/>
                <w:highlight w:val="none"/>
              </w:rPr>
              <w:t>协议甲方</w:t>
            </w:r>
            <w:r>
              <w:rPr>
                <w:rFonts w:ascii="宋体" w:hAnsi="宋体"/>
                <w:sz w:val="20"/>
                <w:szCs w:val="20"/>
                <w:highlight w:val="none"/>
              </w:rPr>
              <w:t>委托，</w:t>
            </w:r>
            <w:r>
              <w:rPr>
                <w:rFonts w:hint="eastAsia" w:ascii="宋体" w:hAnsi="宋体"/>
                <w:sz w:val="20"/>
                <w:szCs w:val="20"/>
                <w:highlight w:val="none"/>
              </w:rPr>
              <w:t>第三方检测公司每周一次</w:t>
            </w:r>
            <w:r>
              <w:rPr>
                <w:rFonts w:ascii="宋体" w:hAnsi="宋体"/>
                <w:sz w:val="20"/>
                <w:szCs w:val="20"/>
                <w:highlight w:val="none"/>
              </w:rPr>
              <w:t>对污水处理厂进水、出水水质进行监督检测</w:t>
            </w:r>
            <w:r>
              <w:rPr>
                <w:rFonts w:hint="eastAsia" w:ascii="宋体" w:hAnsi="宋体"/>
                <w:sz w:val="20"/>
                <w:szCs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2287" w:type="dxa"/>
          </w:tcPr>
          <w:p>
            <w:pPr>
              <w:pStyle w:val="56"/>
              <w:spacing w:beforeLines="50"/>
              <w:jc w:val="left"/>
              <w:rPr>
                <w:rFonts w:ascii="宋体" w:hAnsi="宋体"/>
                <w:b/>
                <w:bCs/>
                <w:sz w:val="20"/>
                <w:szCs w:val="20"/>
                <w:highlight w:val="none"/>
              </w:rPr>
            </w:pPr>
            <w:r>
              <w:rPr>
                <w:rFonts w:hint="eastAsia" w:ascii="宋体" w:hAnsi="宋体"/>
                <w:b/>
                <w:bCs/>
                <w:sz w:val="20"/>
                <w:szCs w:val="20"/>
                <w:highlight w:val="none"/>
              </w:rPr>
              <w:t>运营</w:t>
            </w:r>
            <w:r>
              <w:rPr>
                <w:rFonts w:ascii="宋体" w:hAnsi="宋体"/>
                <w:b/>
                <w:bCs/>
                <w:sz w:val="20"/>
                <w:szCs w:val="20"/>
                <w:highlight w:val="none"/>
              </w:rPr>
              <w:t>月</w:t>
            </w:r>
          </w:p>
        </w:tc>
        <w:tc>
          <w:tcPr>
            <w:tcW w:w="7250" w:type="dxa"/>
            <w:vAlign w:val="center"/>
          </w:tcPr>
          <w:p>
            <w:pPr>
              <w:pStyle w:val="56"/>
              <w:spacing w:beforeLines="50"/>
              <w:jc w:val="left"/>
              <w:rPr>
                <w:rFonts w:ascii="宋体" w:hAnsi="宋体"/>
                <w:sz w:val="20"/>
                <w:szCs w:val="20"/>
                <w:highlight w:val="none"/>
              </w:rPr>
            </w:pPr>
            <w:r>
              <w:rPr>
                <w:rFonts w:hint="eastAsia" w:ascii="宋体" w:hAnsi="宋体"/>
                <w:sz w:val="20"/>
                <w:szCs w:val="20"/>
                <w:highlight w:val="none"/>
              </w:rPr>
              <w:t>指运营期内任意一个公历月，但第一个运营月应运营期开始时起算至当月最后一日终止，最后一个运营月应自当月1日开始至运营期结束时终止</w:t>
            </w:r>
            <w:r>
              <w:rPr>
                <w:rFonts w:ascii="宋体" w:hAnsi="宋体"/>
                <w:sz w:val="20"/>
                <w:szCs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287" w:type="dxa"/>
          </w:tcPr>
          <w:p>
            <w:pPr>
              <w:pStyle w:val="56"/>
              <w:spacing w:beforeLines="50"/>
              <w:jc w:val="left"/>
              <w:rPr>
                <w:rFonts w:ascii="宋体" w:hAnsi="宋体"/>
                <w:b/>
                <w:bCs/>
                <w:sz w:val="20"/>
                <w:szCs w:val="20"/>
                <w:highlight w:val="none"/>
              </w:rPr>
            </w:pPr>
            <w:r>
              <w:rPr>
                <w:rFonts w:hint="eastAsia" w:ascii="宋体" w:hAnsi="宋体"/>
                <w:b/>
                <w:bCs/>
                <w:sz w:val="20"/>
                <w:szCs w:val="20"/>
                <w:highlight w:val="none"/>
              </w:rPr>
              <w:t>运营月正常天数</w:t>
            </w:r>
          </w:p>
        </w:tc>
        <w:tc>
          <w:tcPr>
            <w:tcW w:w="7250" w:type="dxa"/>
            <w:vAlign w:val="center"/>
          </w:tcPr>
          <w:p>
            <w:pPr>
              <w:pStyle w:val="56"/>
              <w:spacing w:beforeLines="50"/>
              <w:jc w:val="left"/>
              <w:rPr>
                <w:rFonts w:ascii="宋体" w:hAnsi="宋体"/>
                <w:sz w:val="20"/>
                <w:szCs w:val="20"/>
                <w:highlight w:val="none"/>
              </w:rPr>
            </w:pPr>
            <w:r>
              <w:rPr>
                <w:rFonts w:hint="eastAsia" w:ascii="宋体" w:hAnsi="宋体"/>
                <w:sz w:val="20"/>
                <w:szCs w:val="20"/>
                <w:highlight w:val="none"/>
              </w:rPr>
              <w:t>运营月中正常运营日的数量为运营月正常天数。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287" w:type="dxa"/>
          </w:tcPr>
          <w:p>
            <w:pPr>
              <w:pStyle w:val="56"/>
              <w:spacing w:beforeLines="50"/>
              <w:jc w:val="left"/>
              <w:rPr>
                <w:rFonts w:ascii="宋体" w:hAnsi="宋体"/>
                <w:b/>
                <w:bCs/>
                <w:sz w:val="20"/>
                <w:szCs w:val="20"/>
                <w:highlight w:val="none"/>
              </w:rPr>
            </w:pPr>
            <w:r>
              <w:rPr>
                <w:rFonts w:ascii="宋体" w:hAnsi="宋体"/>
                <w:b/>
                <w:bCs/>
                <w:sz w:val="20"/>
                <w:szCs w:val="20"/>
                <w:highlight w:val="none"/>
              </w:rPr>
              <w:t>运营年</w:t>
            </w:r>
          </w:p>
        </w:tc>
        <w:tc>
          <w:tcPr>
            <w:tcW w:w="7250" w:type="dxa"/>
            <w:vAlign w:val="center"/>
          </w:tcPr>
          <w:p>
            <w:pPr>
              <w:pStyle w:val="56"/>
              <w:spacing w:beforeLines="50"/>
              <w:jc w:val="left"/>
              <w:rPr>
                <w:rFonts w:ascii="宋体" w:hAnsi="宋体"/>
                <w:sz w:val="20"/>
                <w:szCs w:val="20"/>
                <w:highlight w:val="none"/>
              </w:rPr>
            </w:pPr>
            <w:r>
              <w:rPr>
                <w:rFonts w:hint="eastAsia" w:ascii="宋体" w:hAnsi="宋体"/>
                <w:sz w:val="20"/>
                <w:szCs w:val="20"/>
                <w:highlight w:val="none"/>
              </w:rPr>
              <w:t>指运营期内任意一个公历年</w:t>
            </w:r>
            <w:r>
              <w:rPr>
                <w:rFonts w:ascii="宋体" w:hAnsi="宋体"/>
                <w:sz w:val="20"/>
                <w:szCs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287" w:type="dxa"/>
          </w:tcPr>
          <w:p>
            <w:pPr>
              <w:pStyle w:val="56"/>
              <w:spacing w:beforeLines="50"/>
              <w:jc w:val="left"/>
              <w:rPr>
                <w:rFonts w:ascii="宋体" w:hAnsi="宋体"/>
                <w:b/>
                <w:bCs/>
                <w:sz w:val="20"/>
                <w:szCs w:val="20"/>
                <w:highlight w:val="none"/>
              </w:rPr>
            </w:pPr>
            <w:r>
              <w:rPr>
                <w:rFonts w:hint="eastAsia" w:ascii="宋体" w:hAnsi="宋体"/>
                <w:b/>
                <w:bCs/>
                <w:sz w:val="20"/>
                <w:szCs w:val="20"/>
                <w:highlight w:val="none"/>
              </w:rPr>
              <w:t>运营服务协议</w:t>
            </w:r>
          </w:p>
        </w:tc>
        <w:tc>
          <w:tcPr>
            <w:tcW w:w="7250" w:type="dxa"/>
          </w:tcPr>
          <w:p>
            <w:pPr>
              <w:pStyle w:val="56"/>
              <w:spacing w:beforeLines="50"/>
              <w:jc w:val="left"/>
              <w:rPr>
                <w:rFonts w:ascii="宋体" w:hAnsi="宋体"/>
                <w:sz w:val="20"/>
                <w:szCs w:val="20"/>
                <w:highlight w:val="none"/>
              </w:rPr>
            </w:pPr>
            <w:r>
              <w:rPr>
                <w:rFonts w:hint="eastAsia" w:ascii="宋体" w:hAnsi="宋体"/>
                <w:sz w:val="20"/>
                <w:szCs w:val="20"/>
                <w:highlight w:val="none"/>
              </w:rPr>
              <w:t>指《</w:t>
            </w:r>
            <w:r>
              <w:rPr>
                <w:rFonts w:hint="eastAsia" w:ascii="宋体" w:hAnsi="宋体" w:cs="宋体"/>
                <w:bCs/>
                <w:sz w:val="20"/>
                <w:szCs w:val="20"/>
                <w:highlight w:val="none"/>
              </w:rPr>
              <w:t>衢江区集镇污水处理厂</w:t>
            </w:r>
            <w:r>
              <w:rPr>
                <w:rFonts w:hint="eastAsia" w:ascii="宋体" w:hAnsi="宋体"/>
                <w:sz w:val="20"/>
                <w:szCs w:val="20"/>
                <w:highlight w:val="none"/>
              </w:rPr>
              <w:t>运营服务协议》。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287" w:type="dxa"/>
          </w:tcPr>
          <w:p>
            <w:pPr>
              <w:pStyle w:val="56"/>
              <w:spacing w:beforeLines="50"/>
              <w:jc w:val="left"/>
              <w:rPr>
                <w:rFonts w:ascii="宋体" w:hAnsi="宋体"/>
                <w:b/>
                <w:bCs/>
                <w:sz w:val="20"/>
                <w:szCs w:val="20"/>
                <w:highlight w:val="none"/>
              </w:rPr>
            </w:pPr>
            <w:r>
              <w:rPr>
                <w:rFonts w:ascii="宋体" w:hAnsi="宋体"/>
                <w:b/>
                <w:bCs/>
                <w:sz w:val="20"/>
                <w:szCs w:val="20"/>
                <w:highlight w:val="none"/>
              </w:rPr>
              <w:t>进水</w:t>
            </w:r>
          </w:p>
        </w:tc>
        <w:tc>
          <w:tcPr>
            <w:tcW w:w="7250" w:type="dxa"/>
          </w:tcPr>
          <w:p>
            <w:pPr>
              <w:pStyle w:val="56"/>
              <w:spacing w:beforeLines="50"/>
              <w:jc w:val="left"/>
              <w:rPr>
                <w:rFonts w:ascii="宋体" w:hAnsi="宋体"/>
                <w:sz w:val="20"/>
                <w:szCs w:val="20"/>
                <w:highlight w:val="none"/>
              </w:rPr>
            </w:pPr>
            <w:r>
              <w:rPr>
                <w:rFonts w:ascii="宋体" w:hAnsi="宋体"/>
                <w:sz w:val="20"/>
                <w:szCs w:val="20"/>
                <w:highlight w:val="none"/>
              </w:rPr>
              <w:t>指</w:t>
            </w:r>
            <w:r>
              <w:rPr>
                <w:rFonts w:hint="eastAsia" w:ascii="宋体" w:hAnsi="宋体"/>
                <w:sz w:val="20"/>
                <w:szCs w:val="20"/>
                <w:highlight w:val="none"/>
              </w:rPr>
              <w:t>运营项目公司</w:t>
            </w:r>
            <w:r>
              <w:rPr>
                <w:rFonts w:ascii="宋体" w:hAnsi="宋体"/>
                <w:sz w:val="20"/>
                <w:szCs w:val="20"/>
                <w:highlight w:val="none"/>
              </w:rPr>
              <w:t>从接收点引入的未经处理的污水。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287" w:type="dxa"/>
          </w:tcPr>
          <w:p>
            <w:pPr>
              <w:pStyle w:val="56"/>
              <w:spacing w:beforeLines="50"/>
              <w:jc w:val="left"/>
              <w:rPr>
                <w:rFonts w:ascii="宋体" w:hAnsi="宋体"/>
                <w:b/>
                <w:bCs/>
                <w:sz w:val="20"/>
                <w:szCs w:val="20"/>
                <w:highlight w:val="none"/>
              </w:rPr>
            </w:pPr>
            <w:r>
              <w:rPr>
                <w:rFonts w:ascii="宋体" w:hAnsi="宋体"/>
                <w:b/>
                <w:bCs/>
                <w:sz w:val="20"/>
                <w:szCs w:val="20"/>
                <w:highlight w:val="none"/>
              </w:rPr>
              <w:t>进水采样点</w:t>
            </w:r>
          </w:p>
        </w:tc>
        <w:tc>
          <w:tcPr>
            <w:tcW w:w="7250" w:type="dxa"/>
          </w:tcPr>
          <w:p>
            <w:pPr>
              <w:pStyle w:val="56"/>
              <w:spacing w:beforeLines="50"/>
              <w:jc w:val="left"/>
              <w:rPr>
                <w:rFonts w:ascii="宋体" w:hAnsi="宋体"/>
                <w:iCs/>
                <w:sz w:val="20"/>
                <w:szCs w:val="20"/>
                <w:highlight w:val="none"/>
              </w:rPr>
            </w:pPr>
            <w:r>
              <w:rPr>
                <w:rFonts w:ascii="宋体" w:hAnsi="宋体"/>
                <w:sz w:val="20"/>
                <w:szCs w:val="20"/>
                <w:highlight w:val="none"/>
              </w:rPr>
              <w:t>指</w:t>
            </w:r>
            <w:r>
              <w:rPr>
                <w:rFonts w:hint="eastAsia" w:ascii="宋体" w:hAnsi="宋体"/>
                <w:iCs/>
                <w:sz w:val="20"/>
                <w:szCs w:val="20"/>
                <w:highlight w:val="none"/>
              </w:rPr>
              <w:t>甲方</w:t>
            </w:r>
            <w:r>
              <w:rPr>
                <w:rFonts w:ascii="宋体" w:hAnsi="宋体"/>
                <w:iCs/>
                <w:sz w:val="20"/>
                <w:szCs w:val="20"/>
                <w:highlight w:val="none"/>
              </w:rPr>
              <w:t>指定的采样点，对进水水质的采样在此处进行。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2287" w:type="dxa"/>
          </w:tcPr>
          <w:p>
            <w:pPr>
              <w:pStyle w:val="56"/>
              <w:spacing w:beforeLines="50"/>
              <w:jc w:val="left"/>
              <w:rPr>
                <w:rFonts w:ascii="宋体" w:hAnsi="宋体"/>
                <w:b/>
                <w:bCs/>
                <w:sz w:val="20"/>
                <w:szCs w:val="20"/>
                <w:highlight w:val="none"/>
              </w:rPr>
            </w:pPr>
            <w:r>
              <w:rPr>
                <w:rFonts w:ascii="宋体" w:hAnsi="宋体"/>
                <w:b/>
                <w:bCs/>
                <w:sz w:val="20"/>
                <w:szCs w:val="20"/>
                <w:highlight w:val="none"/>
              </w:rPr>
              <w:t>进水流量计</w:t>
            </w:r>
          </w:p>
        </w:tc>
        <w:tc>
          <w:tcPr>
            <w:tcW w:w="7250" w:type="dxa"/>
          </w:tcPr>
          <w:p>
            <w:pPr>
              <w:pStyle w:val="56"/>
              <w:spacing w:beforeLines="50"/>
              <w:jc w:val="left"/>
              <w:rPr>
                <w:rFonts w:ascii="宋体" w:hAnsi="宋体"/>
                <w:sz w:val="20"/>
                <w:szCs w:val="20"/>
                <w:highlight w:val="none"/>
              </w:rPr>
            </w:pPr>
            <w:r>
              <w:rPr>
                <w:rFonts w:ascii="宋体" w:hAnsi="宋体"/>
                <w:sz w:val="20"/>
                <w:szCs w:val="20"/>
                <w:highlight w:val="none"/>
              </w:rPr>
              <w:t>指本</w:t>
            </w:r>
            <w:r>
              <w:rPr>
                <w:rFonts w:hint="eastAsia" w:ascii="宋体" w:hAnsi="宋体"/>
                <w:sz w:val="20"/>
                <w:szCs w:val="20"/>
                <w:highlight w:val="none"/>
              </w:rPr>
              <w:t>协议</w:t>
            </w:r>
            <w:r>
              <w:rPr>
                <w:rFonts w:ascii="宋体" w:hAnsi="宋体"/>
                <w:sz w:val="20"/>
                <w:szCs w:val="20"/>
                <w:highlight w:val="none"/>
              </w:rPr>
              <w:t>第</w:t>
            </w:r>
            <w:r>
              <w:rPr>
                <w:rFonts w:hint="eastAsia" w:ascii="宋体" w:hAnsi="宋体"/>
                <w:b/>
                <w:sz w:val="20"/>
                <w:szCs w:val="20"/>
                <w:highlight w:val="none"/>
              </w:rPr>
              <w:t xml:space="preserve">10.1.1 </w:t>
            </w:r>
            <w:r>
              <w:rPr>
                <w:rFonts w:ascii="宋体" w:hAnsi="宋体"/>
                <w:sz w:val="20"/>
                <w:szCs w:val="20"/>
                <w:highlight w:val="none"/>
              </w:rPr>
              <w:t>条所述的，在</w:t>
            </w:r>
            <w:r>
              <w:rPr>
                <w:rFonts w:hint="eastAsia" w:ascii="宋体" w:hAnsi="宋体"/>
                <w:sz w:val="20"/>
                <w:szCs w:val="20"/>
                <w:highlight w:val="none"/>
              </w:rPr>
              <w:t>进水检测点</w:t>
            </w:r>
            <w:r>
              <w:rPr>
                <w:rFonts w:ascii="宋体" w:hAnsi="宋体"/>
                <w:sz w:val="20"/>
                <w:szCs w:val="20"/>
                <w:highlight w:val="none"/>
              </w:rPr>
              <w:t>安装的</w:t>
            </w:r>
            <w:r>
              <w:rPr>
                <w:rFonts w:hint="eastAsia" w:ascii="宋体" w:hAnsi="宋体"/>
                <w:sz w:val="20"/>
                <w:szCs w:val="20"/>
                <w:highlight w:val="none"/>
              </w:rPr>
              <w:t>，</w:t>
            </w:r>
            <w:r>
              <w:rPr>
                <w:rFonts w:ascii="宋体" w:hAnsi="宋体"/>
                <w:sz w:val="20"/>
                <w:szCs w:val="20"/>
                <w:highlight w:val="none"/>
              </w:rPr>
              <w:t>用于测量进水流量的流量计。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287" w:type="dxa"/>
          </w:tcPr>
          <w:p>
            <w:pPr>
              <w:pStyle w:val="56"/>
              <w:spacing w:beforeLines="50"/>
              <w:jc w:val="left"/>
              <w:rPr>
                <w:rFonts w:ascii="宋体" w:hAnsi="宋体"/>
                <w:b/>
                <w:bCs/>
                <w:sz w:val="20"/>
                <w:szCs w:val="20"/>
                <w:highlight w:val="none"/>
              </w:rPr>
            </w:pPr>
            <w:r>
              <w:rPr>
                <w:rFonts w:ascii="宋体" w:hAnsi="宋体"/>
                <w:b/>
                <w:bCs/>
                <w:sz w:val="20"/>
                <w:szCs w:val="20"/>
                <w:highlight w:val="none"/>
              </w:rPr>
              <w:t>进水水质标准</w:t>
            </w:r>
          </w:p>
        </w:tc>
        <w:tc>
          <w:tcPr>
            <w:tcW w:w="7250" w:type="dxa"/>
          </w:tcPr>
          <w:p>
            <w:pPr>
              <w:pStyle w:val="56"/>
              <w:spacing w:beforeLines="50"/>
              <w:jc w:val="left"/>
              <w:rPr>
                <w:rFonts w:ascii="宋体" w:hAnsi="宋体"/>
                <w:sz w:val="20"/>
                <w:szCs w:val="20"/>
                <w:highlight w:val="none"/>
              </w:rPr>
            </w:pPr>
            <w:r>
              <w:rPr>
                <w:rFonts w:ascii="宋体" w:hAnsi="宋体"/>
                <w:sz w:val="20"/>
                <w:szCs w:val="20"/>
                <w:highlight w:val="none"/>
              </w:rPr>
              <w:t>指本</w:t>
            </w:r>
            <w:r>
              <w:rPr>
                <w:rFonts w:hint="eastAsia" w:ascii="宋体" w:hAnsi="宋体"/>
                <w:sz w:val="20"/>
                <w:szCs w:val="20"/>
                <w:highlight w:val="none"/>
              </w:rPr>
              <w:t>协议</w:t>
            </w:r>
            <w:r>
              <w:rPr>
                <w:rFonts w:ascii="宋体" w:hAnsi="宋体"/>
                <w:b/>
                <w:bCs/>
                <w:sz w:val="20"/>
                <w:szCs w:val="20"/>
                <w:highlight w:val="none"/>
              </w:rPr>
              <w:t>5.1.1</w:t>
            </w:r>
            <w:r>
              <w:rPr>
                <w:rFonts w:hint="eastAsia" w:ascii="宋体" w:hAnsi="宋体"/>
                <w:sz w:val="20"/>
                <w:szCs w:val="20"/>
                <w:highlight w:val="none"/>
              </w:rPr>
              <w:t>中</w:t>
            </w:r>
            <w:r>
              <w:rPr>
                <w:rFonts w:ascii="宋体" w:hAnsi="宋体"/>
                <w:sz w:val="20"/>
                <w:szCs w:val="20"/>
                <w:highlight w:val="none"/>
              </w:rPr>
              <w:t>规定的</w:t>
            </w:r>
            <w:r>
              <w:rPr>
                <w:rFonts w:hint="eastAsia" w:ascii="宋体" w:hAnsi="宋体"/>
                <w:sz w:val="20"/>
                <w:szCs w:val="20"/>
                <w:highlight w:val="none"/>
              </w:rPr>
              <w:t>本项目</w:t>
            </w:r>
            <w:r>
              <w:rPr>
                <w:rFonts w:ascii="宋体" w:hAnsi="宋体"/>
                <w:sz w:val="20"/>
                <w:szCs w:val="20"/>
                <w:highlight w:val="none"/>
              </w:rPr>
              <w:t>进水水质应达到的标准。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287" w:type="dxa"/>
          </w:tcPr>
          <w:p>
            <w:pPr>
              <w:pStyle w:val="56"/>
              <w:spacing w:beforeLines="50"/>
              <w:jc w:val="left"/>
              <w:rPr>
                <w:rFonts w:ascii="宋体" w:hAnsi="宋体"/>
                <w:b/>
                <w:bCs/>
                <w:sz w:val="20"/>
                <w:szCs w:val="20"/>
                <w:highlight w:val="none"/>
              </w:rPr>
            </w:pPr>
            <w:r>
              <w:rPr>
                <w:rFonts w:ascii="宋体" w:hAnsi="宋体"/>
                <w:b/>
                <w:bCs/>
                <w:sz w:val="20"/>
                <w:szCs w:val="20"/>
                <w:highlight w:val="none"/>
              </w:rPr>
              <w:t>出水</w:t>
            </w:r>
          </w:p>
        </w:tc>
        <w:tc>
          <w:tcPr>
            <w:tcW w:w="7250" w:type="dxa"/>
          </w:tcPr>
          <w:p>
            <w:pPr>
              <w:pStyle w:val="56"/>
              <w:spacing w:beforeLines="50"/>
              <w:jc w:val="left"/>
              <w:rPr>
                <w:rFonts w:ascii="宋体" w:hAnsi="宋体"/>
                <w:sz w:val="20"/>
                <w:szCs w:val="20"/>
                <w:highlight w:val="none"/>
              </w:rPr>
            </w:pPr>
            <w:r>
              <w:rPr>
                <w:rFonts w:ascii="宋体" w:hAnsi="宋体"/>
                <w:sz w:val="20"/>
                <w:szCs w:val="20"/>
                <w:highlight w:val="none"/>
              </w:rPr>
              <w:t>指按本附件规定经</w:t>
            </w:r>
            <w:r>
              <w:rPr>
                <w:rFonts w:hint="eastAsia" w:ascii="宋体" w:hAnsi="宋体"/>
                <w:sz w:val="20"/>
                <w:szCs w:val="20"/>
                <w:highlight w:val="none"/>
              </w:rPr>
              <w:t>运营项目公司</w:t>
            </w:r>
            <w:r>
              <w:rPr>
                <w:rFonts w:ascii="宋体" w:hAnsi="宋体"/>
                <w:sz w:val="20"/>
                <w:szCs w:val="20"/>
                <w:highlight w:val="none"/>
              </w:rPr>
              <w:t>处理并通过</w:t>
            </w:r>
            <w:r>
              <w:rPr>
                <w:rFonts w:hint="eastAsia" w:ascii="宋体" w:hAnsi="宋体"/>
                <w:sz w:val="20"/>
                <w:szCs w:val="20"/>
                <w:highlight w:val="none"/>
              </w:rPr>
              <w:t>甲方</w:t>
            </w:r>
            <w:r>
              <w:rPr>
                <w:rFonts w:ascii="宋体" w:hAnsi="宋体"/>
                <w:sz w:val="20"/>
                <w:szCs w:val="20"/>
                <w:highlight w:val="none"/>
              </w:rPr>
              <w:t>指定的排放口排出的污水。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287" w:type="dxa"/>
          </w:tcPr>
          <w:p>
            <w:pPr>
              <w:pStyle w:val="56"/>
              <w:spacing w:beforeLines="50"/>
              <w:jc w:val="left"/>
              <w:rPr>
                <w:rFonts w:ascii="宋体" w:hAnsi="宋体"/>
                <w:b/>
                <w:bCs/>
                <w:sz w:val="20"/>
                <w:szCs w:val="20"/>
                <w:highlight w:val="none"/>
              </w:rPr>
            </w:pPr>
            <w:r>
              <w:rPr>
                <w:rFonts w:ascii="宋体" w:hAnsi="宋体"/>
                <w:b/>
                <w:bCs/>
                <w:sz w:val="20"/>
                <w:szCs w:val="20"/>
                <w:highlight w:val="none"/>
              </w:rPr>
              <w:t>出水采样点</w:t>
            </w:r>
          </w:p>
        </w:tc>
        <w:tc>
          <w:tcPr>
            <w:tcW w:w="7250" w:type="dxa"/>
          </w:tcPr>
          <w:p>
            <w:pPr>
              <w:pStyle w:val="56"/>
              <w:spacing w:beforeLines="50"/>
              <w:jc w:val="left"/>
              <w:rPr>
                <w:rFonts w:ascii="宋体" w:hAnsi="宋体"/>
                <w:sz w:val="20"/>
                <w:szCs w:val="20"/>
                <w:highlight w:val="none"/>
              </w:rPr>
            </w:pPr>
            <w:r>
              <w:rPr>
                <w:rFonts w:ascii="宋体" w:hAnsi="宋体"/>
                <w:sz w:val="20"/>
                <w:szCs w:val="20"/>
                <w:highlight w:val="none"/>
              </w:rPr>
              <w:t>指</w:t>
            </w:r>
            <w:r>
              <w:rPr>
                <w:rFonts w:hint="eastAsia" w:ascii="宋体" w:hAnsi="宋体"/>
                <w:sz w:val="20"/>
                <w:szCs w:val="20"/>
                <w:highlight w:val="none"/>
              </w:rPr>
              <w:t>甲方</w:t>
            </w:r>
            <w:r>
              <w:rPr>
                <w:rFonts w:ascii="宋体" w:hAnsi="宋体"/>
                <w:sz w:val="20"/>
                <w:szCs w:val="20"/>
                <w:highlight w:val="none"/>
              </w:rPr>
              <w:t>指定的出水水质采样位置。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2287" w:type="dxa"/>
          </w:tcPr>
          <w:p>
            <w:pPr>
              <w:pStyle w:val="56"/>
              <w:spacing w:beforeLines="50"/>
              <w:jc w:val="left"/>
              <w:rPr>
                <w:rFonts w:ascii="宋体" w:hAnsi="宋体"/>
                <w:b/>
                <w:bCs/>
                <w:sz w:val="20"/>
                <w:szCs w:val="20"/>
                <w:highlight w:val="none"/>
              </w:rPr>
            </w:pPr>
            <w:r>
              <w:rPr>
                <w:rFonts w:ascii="宋体" w:hAnsi="宋体"/>
                <w:b/>
                <w:bCs/>
                <w:sz w:val="20"/>
                <w:szCs w:val="20"/>
                <w:highlight w:val="none"/>
              </w:rPr>
              <w:t>出水流量计</w:t>
            </w:r>
          </w:p>
        </w:tc>
        <w:tc>
          <w:tcPr>
            <w:tcW w:w="7250" w:type="dxa"/>
          </w:tcPr>
          <w:p>
            <w:pPr>
              <w:pStyle w:val="56"/>
              <w:widowControl w:val="0"/>
              <w:spacing w:beforeLines="50"/>
              <w:ind w:left="99" w:leftChars="47"/>
              <w:rPr>
                <w:rFonts w:ascii="宋体" w:hAnsi="宋体"/>
                <w:kern w:val="2"/>
                <w:sz w:val="24"/>
                <w:szCs w:val="20"/>
                <w:highlight w:val="none"/>
              </w:rPr>
            </w:pPr>
            <w:r>
              <w:rPr>
                <w:rFonts w:ascii="宋体" w:hAnsi="宋体"/>
                <w:kern w:val="2"/>
                <w:sz w:val="20"/>
                <w:szCs w:val="20"/>
                <w:highlight w:val="none"/>
              </w:rPr>
              <w:t>根据本</w:t>
            </w:r>
            <w:r>
              <w:rPr>
                <w:rFonts w:hint="eastAsia" w:ascii="宋体" w:hAnsi="宋体"/>
                <w:kern w:val="2"/>
                <w:sz w:val="20"/>
                <w:szCs w:val="20"/>
                <w:highlight w:val="none"/>
              </w:rPr>
              <w:t>协议</w:t>
            </w:r>
            <w:r>
              <w:rPr>
                <w:rFonts w:ascii="宋体" w:hAnsi="宋体"/>
                <w:kern w:val="2"/>
                <w:sz w:val="20"/>
                <w:szCs w:val="20"/>
                <w:highlight w:val="none"/>
              </w:rPr>
              <w:t>第</w:t>
            </w:r>
            <w:r>
              <w:rPr>
                <w:rFonts w:hint="eastAsia" w:ascii="宋体" w:hAnsi="宋体"/>
                <w:b/>
                <w:kern w:val="2"/>
                <w:sz w:val="20"/>
                <w:szCs w:val="20"/>
                <w:highlight w:val="none"/>
              </w:rPr>
              <w:t>10.1.1</w:t>
            </w:r>
            <w:r>
              <w:rPr>
                <w:rFonts w:ascii="宋体" w:hAnsi="宋体"/>
                <w:kern w:val="2"/>
                <w:sz w:val="20"/>
                <w:szCs w:val="20"/>
                <w:highlight w:val="none"/>
              </w:rPr>
              <w:t>条规定</w:t>
            </w:r>
            <w:r>
              <w:rPr>
                <w:rFonts w:hint="eastAsia" w:ascii="宋体" w:hAnsi="宋体"/>
                <w:kern w:val="2"/>
                <w:sz w:val="20"/>
                <w:szCs w:val="20"/>
                <w:highlight w:val="none"/>
              </w:rPr>
              <w:t>在出水检测点</w:t>
            </w:r>
            <w:r>
              <w:rPr>
                <w:rFonts w:ascii="宋体" w:hAnsi="宋体"/>
                <w:kern w:val="2"/>
                <w:sz w:val="20"/>
                <w:szCs w:val="20"/>
                <w:highlight w:val="none"/>
              </w:rPr>
              <w:t>安装</w:t>
            </w:r>
            <w:r>
              <w:rPr>
                <w:rFonts w:hint="eastAsia" w:ascii="宋体" w:hAnsi="宋体"/>
                <w:kern w:val="2"/>
                <w:sz w:val="20"/>
                <w:szCs w:val="20"/>
                <w:highlight w:val="none"/>
              </w:rPr>
              <w:t>的，用于</w:t>
            </w:r>
            <w:r>
              <w:rPr>
                <w:rFonts w:ascii="宋体" w:hAnsi="宋体"/>
                <w:kern w:val="2"/>
                <w:sz w:val="20"/>
                <w:szCs w:val="20"/>
                <w:highlight w:val="none"/>
              </w:rPr>
              <w:t>测量出水流量的流量计。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287" w:type="dxa"/>
          </w:tcPr>
          <w:p>
            <w:pPr>
              <w:pStyle w:val="56"/>
              <w:spacing w:beforeLines="50"/>
              <w:jc w:val="left"/>
              <w:rPr>
                <w:rFonts w:ascii="宋体" w:hAnsi="宋体"/>
                <w:b/>
                <w:bCs/>
                <w:sz w:val="20"/>
                <w:szCs w:val="20"/>
                <w:highlight w:val="none"/>
              </w:rPr>
            </w:pPr>
            <w:r>
              <w:rPr>
                <w:rFonts w:ascii="宋体" w:hAnsi="宋体"/>
                <w:b/>
                <w:bCs/>
                <w:sz w:val="20"/>
                <w:szCs w:val="20"/>
                <w:highlight w:val="none"/>
              </w:rPr>
              <w:t>出水水质标准</w:t>
            </w:r>
          </w:p>
        </w:tc>
        <w:tc>
          <w:tcPr>
            <w:tcW w:w="7250" w:type="dxa"/>
          </w:tcPr>
          <w:p>
            <w:pPr>
              <w:pStyle w:val="56"/>
              <w:spacing w:beforeLines="50"/>
              <w:jc w:val="left"/>
              <w:rPr>
                <w:rFonts w:ascii="宋体" w:hAnsi="宋体"/>
                <w:sz w:val="20"/>
                <w:szCs w:val="20"/>
                <w:highlight w:val="none"/>
              </w:rPr>
            </w:pPr>
            <w:r>
              <w:rPr>
                <w:rFonts w:ascii="宋体" w:hAnsi="宋体"/>
                <w:sz w:val="20"/>
                <w:szCs w:val="20"/>
                <w:highlight w:val="none"/>
              </w:rPr>
              <w:t>指本</w:t>
            </w:r>
            <w:r>
              <w:rPr>
                <w:rFonts w:hint="eastAsia" w:ascii="宋体" w:hAnsi="宋体"/>
                <w:sz w:val="20"/>
                <w:szCs w:val="20"/>
                <w:highlight w:val="none"/>
              </w:rPr>
              <w:t>协议</w:t>
            </w:r>
            <w:r>
              <w:rPr>
                <w:rFonts w:ascii="宋体" w:hAnsi="宋体"/>
                <w:sz w:val="20"/>
                <w:szCs w:val="20"/>
                <w:highlight w:val="none"/>
              </w:rPr>
              <w:t>第</w:t>
            </w:r>
            <w:r>
              <w:rPr>
                <w:rFonts w:hint="eastAsia" w:ascii="宋体" w:hAnsi="宋体"/>
                <w:b/>
                <w:sz w:val="20"/>
                <w:szCs w:val="20"/>
                <w:highlight w:val="none"/>
              </w:rPr>
              <w:t>5.1.2</w:t>
            </w:r>
            <w:r>
              <w:rPr>
                <w:rFonts w:hint="eastAsia" w:ascii="宋体" w:hAnsi="宋体"/>
                <w:bCs/>
                <w:sz w:val="20"/>
                <w:szCs w:val="20"/>
                <w:highlight w:val="none"/>
              </w:rPr>
              <w:t>中</w:t>
            </w:r>
            <w:r>
              <w:rPr>
                <w:rFonts w:ascii="宋体" w:hAnsi="宋体"/>
                <w:sz w:val="20"/>
                <w:szCs w:val="20"/>
                <w:highlight w:val="none"/>
              </w:rPr>
              <w:t>列明的出水应达到的标准。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287" w:type="dxa"/>
          </w:tcPr>
          <w:p>
            <w:pPr>
              <w:pStyle w:val="56"/>
              <w:spacing w:beforeLines="50"/>
              <w:jc w:val="left"/>
              <w:rPr>
                <w:rFonts w:ascii="宋体" w:hAnsi="宋体"/>
                <w:b/>
                <w:bCs/>
                <w:sz w:val="20"/>
                <w:szCs w:val="20"/>
                <w:highlight w:val="none"/>
              </w:rPr>
            </w:pPr>
            <w:r>
              <w:rPr>
                <w:rFonts w:ascii="宋体" w:hAnsi="宋体"/>
                <w:b/>
                <w:bCs/>
                <w:sz w:val="20"/>
                <w:szCs w:val="20"/>
                <w:highlight w:val="none"/>
              </w:rPr>
              <w:t>接收点</w:t>
            </w:r>
          </w:p>
        </w:tc>
        <w:tc>
          <w:tcPr>
            <w:tcW w:w="7250" w:type="dxa"/>
          </w:tcPr>
          <w:p>
            <w:pPr>
              <w:pStyle w:val="56"/>
              <w:spacing w:beforeLines="50"/>
              <w:jc w:val="left"/>
              <w:rPr>
                <w:rFonts w:ascii="宋体" w:hAnsi="宋体"/>
                <w:sz w:val="20"/>
                <w:szCs w:val="20"/>
                <w:highlight w:val="none"/>
              </w:rPr>
            </w:pPr>
            <w:r>
              <w:rPr>
                <w:rFonts w:ascii="宋体" w:hAnsi="宋体"/>
                <w:sz w:val="20"/>
                <w:szCs w:val="20"/>
                <w:highlight w:val="none"/>
              </w:rPr>
              <w:t>指污水处理厂进水管和</w:t>
            </w:r>
            <w:r>
              <w:rPr>
                <w:rFonts w:hint="eastAsia" w:ascii="宋体" w:hAnsi="宋体"/>
                <w:sz w:val="20"/>
                <w:szCs w:val="20"/>
                <w:highlight w:val="none"/>
              </w:rPr>
              <w:t>污水处理厂</w:t>
            </w:r>
            <w:r>
              <w:rPr>
                <w:rFonts w:ascii="宋体" w:hAnsi="宋体"/>
                <w:sz w:val="20"/>
                <w:szCs w:val="20"/>
                <w:highlight w:val="none"/>
              </w:rPr>
              <w:t>围墙外墙的交汇处。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2287" w:type="dxa"/>
          </w:tcPr>
          <w:p>
            <w:pPr>
              <w:pStyle w:val="56"/>
              <w:spacing w:beforeLines="50"/>
              <w:jc w:val="left"/>
              <w:rPr>
                <w:rFonts w:ascii="宋体" w:hAnsi="宋体"/>
                <w:b/>
                <w:bCs/>
                <w:sz w:val="20"/>
                <w:szCs w:val="20"/>
                <w:highlight w:val="none"/>
              </w:rPr>
            </w:pPr>
            <w:r>
              <w:rPr>
                <w:rFonts w:ascii="宋体" w:hAnsi="宋体"/>
                <w:b/>
                <w:bCs/>
                <w:sz w:val="20"/>
                <w:szCs w:val="20"/>
                <w:highlight w:val="none"/>
              </w:rPr>
              <w:t>控制液位</w:t>
            </w:r>
          </w:p>
        </w:tc>
        <w:tc>
          <w:tcPr>
            <w:tcW w:w="7250" w:type="dxa"/>
          </w:tcPr>
          <w:p>
            <w:pPr>
              <w:pStyle w:val="56"/>
              <w:spacing w:beforeLines="50"/>
              <w:jc w:val="left"/>
              <w:rPr>
                <w:rFonts w:ascii="宋体" w:hAnsi="宋体"/>
                <w:sz w:val="20"/>
                <w:szCs w:val="20"/>
                <w:highlight w:val="none"/>
              </w:rPr>
            </w:pPr>
            <w:r>
              <w:rPr>
                <w:rFonts w:ascii="宋体" w:hAnsi="宋体"/>
                <w:sz w:val="20"/>
                <w:szCs w:val="20"/>
                <w:highlight w:val="none"/>
              </w:rPr>
              <w:t>指粗格栅</w:t>
            </w:r>
            <w:r>
              <w:rPr>
                <w:rFonts w:hint="eastAsia" w:ascii="宋体" w:hAnsi="宋体"/>
                <w:sz w:val="20"/>
                <w:szCs w:val="20"/>
                <w:highlight w:val="none"/>
              </w:rPr>
              <w:t>入流井</w:t>
            </w:r>
            <w:r>
              <w:rPr>
                <w:rFonts w:ascii="宋体" w:hAnsi="宋体"/>
                <w:sz w:val="20"/>
                <w:szCs w:val="20"/>
                <w:highlight w:val="none"/>
              </w:rPr>
              <w:t>液位的上限，</w:t>
            </w:r>
            <w:r>
              <w:rPr>
                <w:rFonts w:hint="eastAsia" w:ascii="宋体" w:hAnsi="宋体"/>
                <w:sz w:val="20"/>
                <w:szCs w:val="20"/>
                <w:highlight w:val="none"/>
              </w:rPr>
              <w:t>除非本附件另有规定，运营项目公司</w:t>
            </w:r>
            <w:r>
              <w:rPr>
                <w:rFonts w:ascii="宋体" w:hAnsi="宋体"/>
                <w:sz w:val="20"/>
                <w:szCs w:val="20"/>
                <w:highlight w:val="none"/>
              </w:rPr>
              <w:t>必须保证</w:t>
            </w:r>
            <w:r>
              <w:rPr>
                <w:rFonts w:hint="eastAsia" w:ascii="宋体" w:hAnsi="宋体"/>
                <w:sz w:val="20"/>
                <w:szCs w:val="20"/>
                <w:highlight w:val="none"/>
              </w:rPr>
              <w:t>将进水控制</w:t>
            </w:r>
            <w:r>
              <w:rPr>
                <w:rFonts w:ascii="宋体" w:hAnsi="宋体"/>
                <w:sz w:val="20"/>
                <w:szCs w:val="20"/>
                <w:highlight w:val="none"/>
              </w:rPr>
              <w:t>在该水位之下。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287" w:type="dxa"/>
          </w:tcPr>
          <w:p>
            <w:pPr>
              <w:pStyle w:val="56"/>
              <w:spacing w:beforeLines="50"/>
              <w:jc w:val="left"/>
              <w:rPr>
                <w:rFonts w:ascii="宋体" w:hAnsi="宋体"/>
                <w:b/>
                <w:bCs/>
                <w:sz w:val="20"/>
                <w:szCs w:val="20"/>
                <w:highlight w:val="none"/>
              </w:rPr>
            </w:pPr>
            <w:r>
              <w:rPr>
                <w:rFonts w:ascii="宋体" w:hAnsi="宋体"/>
                <w:b/>
                <w:bCs/>
                <w:sz w:val="20"/>
                <w:szCs w:val="20"/>
                <w:highlight w:val="none"/>
              </w:rPr>
              <w:t>化学品或药剂</w:t>
            </w:r>
          </w:p>
        </w:tc>
        <w:tc>
          <w:tcPr>
            <w:tcW w:w="7250" w:type="dxa"/>
          </w:tcPr>
          <w:p>
            <w:pPr>
              <w:pStyle w:val="56"/>
              <w:spacing w:beforeLines="50"/>
              <w:jc w:val="left"/>
              <w:rPr>
                <w:rFonts w:ascii="宋体" w:hAnsi="宋体"/>
                <w:sz w:val="20"/>
                <w:szCs w:val="20"/>
                <w:highlight w:val="none"/>
              </w:rPr>
            </w:pPr>
            <w:r>
              <w:rPr>
                <w:rFonts w:ascii="宋体" w:hAnsi="宋体"/>
                <w:sz w:val="20"/>
                <w:szCs w:val="20"/>
                <w:highlight w:val="none"/>
              </w:rPr>
              <w:t>指</w:t>
            </w:r>
            <w:r>
              <w:rPr>
                <w:rFonts w:hint="eastAsia" w:ascii="宋体" w:hAnsi="宋体"/>
                <w:sz w:val="20"/>
                <w:szCs w:val="20"/>
                <w:highlight w:val="none"/>
              </w:rPr>
              <w:t>乙方</w:t>
            </w:r>
            <w:r>
              <w:rPr>
                <w:rFonts w:ascii="宋体" w:hAnsi="宋体"/>
                <w:sz w:val="20"/>
                <w:szCs w:val="20"/>
                <w:highlight w:val="none"/>
              </w:rPr>
              <w:t>在运营中用于处理污水/污泥</w:t>
            </w:r>
            <w:r>
              <w:rPr>
                <w:rFonts w:hint="eastAsia" w:ascii="宋体" w:hAnsi="宋体"/>
                <w:sz w:val="20"/>
                <w:szCs w:val="20"/>
                <w:highlight w:val="none"/>
              </w:rPr>
              <w:t>的</w:t>
            </w:r>
            <w:r>
              <w:rPr>
                <w:rFonts w:ascii="宋体" w:hAnsi="宋体"/>
                <w:sz w:val="20"/>
                <w:szCs w:val="20"/>
                <w:highlight w:val="none"/>
              </w:rPr>
              <w:t>化学品或药剂</w:t>
            </w:r>
            <w:r>
              <w:rPr>
                <w:rFonts w:hint="eastAsia" w:ascii="宋体" w:hAnsi="宋体"/>
                <w:sz w:val="20"/>
                <w:szCs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287" w:type="dxa"/>
          </w:tcPr>
          <w:p>
            <w:pPr>
              <w:pStyle w:val="56"/>
              <w:spacing w:beforeLines="50"/>
              <w:jc w:val="left"/>
              <w:rPr>
                <w:rFonts w:ascii="宋体" w:hAnsi="宋体"/>
                <w:b/>
                <w:bCs/>
                <w:sz w:val="20"/>
                <w:szCs w:val="20"/>
                <w:highlight w:val="none"/>
              </w:rPr>
            </w:pPr>
            <w:r>
              <w:rPr>
                <w:rFonts w:ascii="宋体" w:hAnsi="宋体"/>
                <w:b/>
                <w:bCs/>
                <w:sz w:val="20"/>
                <w:szCs w:val="20"/>
                <w:highlight w:val="none"/>
              </w:rPr>
              <w:t>污泥</w:t>
            </w:r>
          </w:p>
        </w:tc>
        <w:tc>
          <w:tcPr>
            <w:tcW w:w="7250" w:type="dxa"/>
          </w:tcPr>
          <w:p>
            <w:pPr>
              <w:pStyle w:val="56"/>
              <w:spacing w:beforeLines="50"/>
              <w:jc w:val="left"/>
              <w:rPr>
                <w:rFonts w:ascii="宋体" w:hAnsi="宋体"/>
                <w:sz w:val="20"/>
                <w:szCs w:val="20"/>
                <w:highlight w:val="none"/>
              </w:rPr>
            </w:pPr>
            <w:r>
              <w:rPr>
                <w:rFonts w:ascii="宋体" w:hAnsi="宋体"/>
                <w:sz w:val="20"/>
                <w:szCs w:val="20"/>
                <w:highlight w:val="none"/>
              </w:rPr>
              <w:t>指除出水和间断渗漏之外，污水处理厂在污水处理</w:t>
            </w:r>
            <w:r>
              <w:rPr>
                <w:rFonts w:hint="eastAsia" w:ascii="宋体" w:hAnsi="宋体"/>
                <w:sz w:val="20"/>
                <w:szCs w:val="20"/>
                <w:highlight w:val="none"/>
              </w:rPr>
              <w:t>流程</w:t>
            </w:r>
            <w:r>
              <w:rPr>
                <w:rFonts w:ascii="宋体" w:hAnsi="宋体"/>
                <w:sz w:val="20"/>
                <w:szCs w:val="20"/>
                <w:highlight w:val="none"/>
              </w:rPr>
              <w:t>中</w:t>
            </w:r>
            <w:r>
              <w:rPr>
                <w:rFonts w:hint="eastAsia" w:ascii="宋体" w:hAnsi="宋体"/>
                <w:sz w:val="20"/>
                <w:szCs w:val="20"/>
                <w:highlight w:val="none"/>
              </w:rPr>
              <w:t>产生的污泥</w:t>
            </w:r>
            <w:r>
              <w:rPr>
                <w:rFonts w:ascii="宋体" w:hAnsi="宋体"/>
                <w:sz w:val="20"/>
                <w:szCs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287" w:type="dxa"/>
          </w:tcPr>
          <w:p>
            <w:pPr>
              <w:pStyle w:val="56"/>
              <w:spacing w:beforeLines="50"/>
              <w:jc w:val="left"/>
              <w:rPr>
                <w:rFonts w:ascii="宋体" w:hAnsi="宋体"/>
                <w:b/>
                <w:bCs/>
                <w:sz w:val="20"/>
                <w:szCs w:val="20"/>
                <w:highlight w:val="none"/>
              </w:rPr>
            </w:pPr>
            <w:r>
              <w:rPr>
                <w:rFonts w:ascii="宋体" w:hAnsi="宋体"/>
                <w:b/>
                <w:bCs/>
                <w:sz w:val="20"/>
                <w:szCs w:val="20"/>
                <w:highlight w:val="none"/>
              </w:rPr>
              <w:t>污泥采样点</w:t>
            </w:r>
          </w:p>
        </w:tc>
        <w:tc>
          <w:tcPr>
            <w:tcW w:w="7250" w:type="dxa"/>
          </w:tcPr>
          <w:p>
            <w:pPr>
              <w:pStyle w:val="56"/>
              <w:spacing w:beforeLines="50"/>
              <w:jc w:val="left"/>
              <w:rPr>
                <w:rFonts w:ascii="宋体" w:hAnsi="宋体"/>
                <w:sz w:val="20"/>
                <w:szCs w:val="20"/>
                <w:highlight w:val="none"/>
              </w:rPr>
            </w:pPr>
            <w:r>
              <w:rPr>
                <w:rFonts w:ascii="宋体" w:hAnsi="宋体"/>
                <w:sz w:val="20"/>
                <w:szCs w:val="20"/>
                <w:highlight w:val="none"/>
              </w:rPr>
              <w:t>指进行污泥检测采样的污水处理厂污泥储泥斗出料口。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2287" w:type="dxa"/>
          </w:tcPr>
          <w:p>
            <w:pPr>
              <w:pStyle w:val="56"/>
              <w:spacing w:beforeLines="50"/>
              <w:jc w:val="left"/>
              <w:rPr>
                <w:rFonts w:ascii="宋体" w:hAnsi="宋体"/>
                <w:b/>
                <w:bCs/>
                <w:sz w:val="20"/>
                <w:szCs w:val="20"/>
                <w:highlight w:val="none"/>
              </w:rPr>
            </w:pPr>
            <w:r>
              <w:rPr>
                <w:rFonts w:ascii="宋体" w:hAnsi="宋体"/>
                <w:b/>
                <w:bCs/>
                <w:sz w:val="20"/>
                <w:szCs w:val="20"/>
                <w:highlight w:val="none"/>
              </w:rPr>
              <w:t>日常检测指标</w:t>
            </w:r>
          </w:p>
        </w:tc>
        <w:tc>
          <w:tcPr>
            <w:tcW w:w="7250" w:type="dxa"/>
          </w:tcPr>
          <w:p>
            <w:pPr>
              <w:pStyle w:val="56"/>
              <w:spacing w:beforeLines="50"/>
              <w:jc w:val="left"/>
              <w:rPr>
                <w:rFonts w:ascii="宋体" w:hAnsi="宋体"/>
                <w:sz w:val="20"/>
                <w:szCs w:val="20"/>
                <w:highlight w:val="none"/>
              </w:rPr>
            </w:pPr>
            <w:r>
              <w:rPr>
                <w:rFonts w:ascii="宋体" w:hAnsi="宋体"/>
                <w:sz w:val="20"/>
                <w:szCs w:val="20"/>
                <w:highlight w:val="none"/>
              </w:rPr>
              <w:t>指</w:t>
            </w:r>
            <w:r>
              <w:rPr>
                <w:rFonts w:hint="eastAsia" w:ascii="宋体" w:hAnsi="宋体"/>
                <w:sz w:val="20"/>
                <w:szCs w:val="20"/>
                <w:highlight w:val="none"/>
              </w:rPr>
              <w:t>乙方</w:t>
            </w:r>
            <w:r>
              <w:rPr>
                <w:rFonts w:ascii="宋体" w:hAnsi="宋体"/>
                <w:sz w:val="20"/>
                <w:szCs w:val="20"/>
                <w:highlight w:val="none"/>
              </w:rPr>
              <w:t>运营项目设施期间，按照工艺要求以及本附件的规定应进行日常检测的水质和污泥指标。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287" w:type="dxa"/>
          </w:tcPr>
          <w:p>
            <w:pPr>
              <w:pStyle w:val="56"/>
              <w:spacing w:beforeLines="50"/>
              <w:jc w:val="left"/>
              <w:rPr>
                <w:rFonts w:ascii="宋体" w:hAnsi="宋体"/>
                <w:b/>
                <w:bCs/>
                <w:sz w:val="20"/>
                <w:szCs w:val="20"/>
                <w:highlight w:val="none"/>
              </w:rPr>
            </w:pPr>
            <w:r>
              <w:rPr>
                <w:rFonts w:ascii="宋体" w:hAnsi="宋体"/>
                <w:b/>
                <w:bCs/>
                <w:sz w:val="20"/>
                <w:szCs w:val="20"/>
                <w:highlight w:val="none"/>
              </w:rPr>
              <w:t>不可抗力暂停</w:t>
            </w:r>
          </w:p>
        </w:tc>
        <w:tc>
          <w:tcPr>
            <w:tcW w:w="7250" w:type="dxa"/>
          </w:tcPr>
          <w:p>
            <w:pPr>
              <w:pStyle w:val="56"/>
              <w:spacing w:beforeLines="50"/>
              <w:jc w:val="left"/>
              <w:rPr>
                <w:rFonts w:ascii="宋体" w:hAnsi="宋体"/>
                <w:sz w:val="20"/>
                <w:szCs w:val="20"/>
                <w:highlight w:val="none"/>
              </w:rPr>
            </w:pPr>
            <w:r>
              <w:rPr>
                <w:rFonts w:ascii="宋体" w:hAnsi="宋体"/>
                <w:sz w:val="20"/>
                <w:szCs w:val="20"/>
                <w:highlight w:val="none"/>
              </w:rPr>
              <w:t>指因发生不可抗力事件所导致的</w:t>
            </w:r>
            <w:r>
              <w:rPr>
                <w:rFonts w:hint="eastAsia" w:ascii="宋体" w:hAnsi="宋体"/>
                <w:sz w:val="20"/>
                <w:szCs w:val="20"/>
                <w:highlight w:val="none"/>
              </w:rPr>
              <w:t>乙方</w:t>
            </w:r>
            <w:r>
              <w:rPr>
                <w:rFonts w:ascii="宋体" w:hAnsi="宋体"/>
                <w:sz w:val="20"/>
                <w:szCs w:val="20"/>
                <w:highlight w:val="none"/>
              </w:rPr>
              <w:t>对污水处理</w:t>
            </w:r>
            <w:r>
              <w:rPr>
                <w:rFonts w:hint="eastAsia" w:ascii="宋体" w:hAnsi="宋体"/>
                <w:sz w:val="20"/>
                <w:szCs w:val="20"/>
                <w:highlight w:val="none"/>
              </w:rPr>
              <w:t>设施</w:t>
            </w:r>
            <w:r>
              <w:rPr>
                <w:rFonts w:ascii="宋体" w:hAnsi="宋体"/>
                <w:sz w:val="20"/>
                <w:szCs w:val="20"/>
                <w:highlight w:val="none"/>
              </w:rPr>
              <w:t>的</w:t>
            </w:r>
            <w:r>
              <w:rPr>
                <w:rFonts w:hint="eastAsia" w:ascii="宋体" w:hAnsi="宋体"/>
                <w:sz w:val="20"/>
                <w:szCs w:val="20"/>
                <w:highlight w:val="none"/>
              </w:rPr>
              <w:t>部分或全部</w:t>
            </w:r>
            <w:r>
              <w:rPr>
                <w:rFonts w:ascii="宋体" w:hAnsi="宋体"/>
                <w:sz w:val="20"/>
                <w:szCs w:val="20"/>
                <w:highlight w:val="none"/>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2287" w:type="dxa"/>
          </w:tcPr>
          <w:p>
            <w:pPr>
              <w:pStyle w:val="56"/>
              <w:spacing w:beforeLines="50"/>
              <w:jc w:val="left"/>
              <w:rPr>
                <w:rFonts w:ascii="宋体" w:hAnsi="宋体"/>
                <w:b/>
                <w:bCs/>
                <w:sz w:val="20"/>
                <w:szCs w:val="20"/>
                <w:highlight w:val="none"/>
              </w:rPr>
            </w:pPr>
            <w:r>
              <w:rPr>
                <w:rFonts w:ascii="宋体" w:hAnsi="宋体"/>
                <w:b/>
                <w:bCs/>
                <w:sz w:val="20"/>
                <w:szCs w:val="20"/>
                <w:highlight w:val="none"/>
              </w:rPr>
              <w:t>特殊暂停</w:t>
            </w:r>
          </w:p>
        </w:tc>
        <w:tc>
          <w:tcPr>
            <w:tcW w:w="7250" w:type="dxa"/>
          </w:tcPr>
          <w:p>
            <w:pPr>
              <w:pStyle w:val="56"/>
              <w:spacing w:beforeLines="50"/>
              <w:jc w:val="left"/>
              <w:rPr>
                <w:rFonts w:ascii="宋体" w:hAnsi="宋体"/>
                <w:sz w:val="20"/>
                <w:szCs w:val="20"/>
                <w:highlight w:val="none"/>
              </w:rPr>
            </w:pPr>
            <w:r>
              <w:rPr>
                <w:rFonts w:ascii="宋体" w:hAnsi="宋体"/>
                <w:sz w:val="20"/>
                <w:szCs w:val="20"/>
                <w:highlight w:val="none"/>
              </w:rPr>
              <w:t>指</w:t>
            </w:r>
            <w:r>
              <w:rPr>
                <w:rFonts w:hint="eastAsia" w:ascii="宋体" w:hAnsi="宋体"/>
                <w:sz w:val="20"/>
                <w:szCs w:val="20"/>
                <w:highlight w:val="none"/>
              </w:rPr>
              <w:t>甲方</w:t>
            </w:r>
            <w:r>
              <w:rPr>
                <w:rFonts w:ascii="宋体" w:hAnsi="宋体"/>
                <w:sz w:val="20"/>
                <w:szCs w:val="20"/>
                <w:highlight w:val="none"/>
              </w:rPr>
              <w:t>为</w:t>
            </w:r>
            <w:r>
              <w:rPr>
                <w:rFonts w:hint="eastAsia" w:ascii="宋体" w:hAnsi="宋体"/>
                <w:sz w:val="20"/>
                <w:szCs w:val="20"/>
                <w:highlight w:val="none"/>
              </w:rPr>
              <w:t>了</w:t>
            </w:r>
            <w:r>
              <w:rPr>
                <w:rFonts w:ascii="宋体" w:hAnsi="宋体"/>
                <w:sz w:val="20"/>
                <w:szCs w:val="20"/>
                <w:highlight w:val="none"/>
              </w:rPr>
              <w:t>重大公共利益和公共安全等原因</w:t>
            </w:r>
            <w:r>
              <w:rPr>
                <w:rFonts w:hint="eastAsia" w:ascii="宋体" w:hAnsi="宋体"/>
                <w:sz w:val="20"/>
                <w:szCs w:val="20"/>
                <w:highlight w:val="none"/>
              </w:rPr>
              <w:t>指令乙方部分或全部</w:t>
            </w:r>
            <w:r>
              <w:rPr>
                <w:rFonts w:ascii="宋体" w:hAnsi="宋体"/>
                <w:sz w:val="20"/>
                <w:szCs w:val="20"/>
                <w:highlight w:val="none"/>
              </w:rPr>
              <w:t>暂停污水处理</w:t>
            </w:r>
            <w:r>
              <w:rPr>
                <w:rFonts w:hint="eastAsia" w:ascii="宋体" w:hAnsi="宋体"/>
                <w:sz w:val="20"/>
                <w:szCs w:val="20"/>
                <w:highlight w:val="none"/>
              </w:rPr>
              <w:t>设施</w:t>
            </w:r>
            <w:r>
              <w:rPr>
                <w:rFonts w:ascii="宋体" w:hAnsi="宋体"/>
                <w:sz w:val="20"/>
                <w:szCs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2287" w:type="dxa"/>
          </w:tcPr>
          <w:p>
            <w:pPr>
              <w:pStyle w:val="56"/>
              <w:spacing w:beforeLines="50"/>
              <w:jc w:val="left"/>
              <w:rPr>
                <w:rFonts w:ascii="宋体" w:hAnsi="宋体"/>
                <w:b/>
                <w:bCs/>
                <w:sz w:val="20"/>
                <w:szCs w:val="20"/>
                <w:highlight w:val="none"/>
              </w:rPr>
            </w:pPr>
            <w:r>
              <w:rPr>
                <w:rFonts w:ascii="宋体" w:hAnsi="宋体"/>
                <w:b/>
                <w:bCs/>
                <w:sz w:val="20"/>
                <w:szCs w:val="20"/>
                <w:highlight w:val="none"/>
              </w:rPr>
              <w:t>批准暂停</w:t>
            </w:r>
          </w:p>
        </w:tc>
        <w:tc>
          <w:tcPr>
            <w:tcW w:w="7250" w:type="dxa"/>
          </w:tcPr>
          <w:p>
            <w:pPr>
              <w:pStyle w:val="56"/>
              <w:spacing w:beforeLines="50"/>
              <w:jc w:val="left"/>
              <w:rPr>
                <w:rFonts w:ascii="宋体" w:hAnsi="宋体"/>
                <w:bCs/>
                <w:sz w:val="20"/>
                <w:szCs w:val="20"/>
                <w:highlight w:val="none"/>
              </w:rPr>
            </w:pPr>
            <w:r>
              <w:rPr>
                <w:rFonts w:ascii="宋体" w:hAnsi="宋体"/>
                <w:bCs/>
                <w:sz w:val="20"/>
                <w:szCs w:val="20"/>
                <w:highlight w:val="none"/>
              </w:rPr>
              <w:t>指经</w:t>
            </w:r>
            <w:r>
              <w:rPr>
                <w:rFonts w:hint="eastAsia" w:ascii="宋体" w:hAnsi="宋体"/>
                <w:bCs/>
                <w:sz w:val="20"/>
                <w:szCs w:val="20"/>
                <w:highlight w:val="none"/>
              </w:rPr>
              <w:t>甲方</w:t>
            </w:r>
            <w:r>
              <w:rPr>
                <w:rFonts w:ascii="宋体" w:hAnsi="宋体"/>
                <w:bCs/>
                <w:sz w:val="20"/>
                <w:szCs w:val="20"/>
                <w:highlight w:val="none"/>
              </w:rPr>
              <w:t>批准的</w:t>
            </w:r>
            <w:r>
              <w:rPr>
                <w:rFonts w:hint="eastAsia" w:ascii="宋体" w:hAnsi="宋体"/>
                <w:bCs/>
                <w:sz w:val="20"/>
                <w:szCs w:val="20"/>
                <w:highlight w:val="none"/>
              </w:rPr>
              <w:t>乙方</w:t>
            </w:r>
            <w:r>
              <w:rPr>
                <w:rFonts w:ascii="宋体" w:hAnsi="宋体"/>
                <w:bCs/>
                <w:sz w:val="20"/>
                <w:szCs w:val="20"/>
                <w:highlight w:val="none"/>
              </w:rPr>
              <w:t>因重置、检修（含大修）设备或其它原因而对污水处理</w:t>
            </w:r>
            <w:r>
              <w:rPr>
                <w:rFonts w:hint="eastAsia" w:ascii="宋体" w:hAnsi="宋体"/>
                <w:bCs/>
                <w:sz w:val="20"/>
                <w:szCs w:val="20"/>
                <w:highlight w:val="none"/>
              </w:rPr>
              <w:t>设施</w:t>
            </w:r>
            <w:r>
              <w:rPr>
                <w:rFonts w:ascii="宋体" w:hAnsi="宋体"/>
                <w:bCs/>
                <w:sz w:val="20"/>
                <w:szCs w:val="20"/>
                <w:highlight w:val="none"/>
              </w:rPr>
              <w:t>的部分</w:t>
            </w:r>
            <w:r>
              <w:rPr>
                <w:rFonts w:hint="eastAsia" w:ascii="宋体" w:hAnsi="宋体"/>
                <w:bCs/>
                <w:sz w:val="20"/>
                <w:szCs w:val="20"/>
                <w:highlight w:val="none"/>
              </w:rPr>
              <w:t>或全部</w:t>
            </w:r>
            <w:r>
              <w:rPr>
                <w:rFonts w:ascii="宋体" w:hAnsi="宋体"/>
                <w:bCs/>
                <w:sz w:val="20"/>
                <w:szCs w:val="20"/>
                <w:highlight w:val="none"/>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2287" w:type="dxa"/>
          </w:tcPr>
          <w:p>
            <w:pPr>
              <w:pStyle w:val="56"/>
              <w:spacing w:beforeLines="50"/>
              <w:jc w:val="left"/>
              <w:rPr>
                <w:rFonts w:ascii="宋体" w:hAnsi="宋体"/>
                <w:b/>
                <w:bCs/>
                <w:sz w:val="20"/>
                <w:szCs w:val="20"/>
                <w:highlight w:val="none"/>
              </w:rPr>
            </w:pPr>
            <w:r>
              <w:rPr>
                <w:rFonts w:ascii="宋体" w:hAnsi="宋体"/>
                <w:b/>
                <w:bCs/>
                <w:sz w:val="20"/>
                <w:szCs w:val="20"/>
                <w:highlight w:val="none"/>
              </w:rPr>
              <w:t>其它暂停</w:t>
            </w:r>
          </w:p>
        </w:tc>
        <w:tc>
          <w:tcPr>
            <w:tcW w:w="7250" w:type="dxa"/>
          </w:tcPr>
          <w:p>
            <w:pPr>
              <w:pStyle w:val="56"/>
              <w:spacing w:beforeLines="50"/>
              <w:jc w:val="left"/>
              <w:rPr>
                <w:rFonts w:ascii="宋体" w:hAnsi="宋体"/>
                <w:sz w:val="20"/>
                <w:szCs w:val="20"/>
                <w:highlight w:val="none"/>
              </w:rPr>
            </w:pPr>
            <w:r>
              <w:rPr>
                <w:rFonts w:ascii="宋体" w:hAnsi="宋体"/>
                <w:sz w:val="20"/>
                <w:szCs w:val="20"/>
                <w:highlight w:val="none"/>
              </w:rPr>
              <w:t>指除不可抗力暂停、特殊暂停、批准暂停及非</w:t>
            </w:r>
            <w:r>
              <w:rPr>
                <w:rFonts w:hint="eastAsia" w:ascii="宋体" w:hAnsi="宋体"/>
                <w:sz w:val="20"/>
                <w:szCs w:val="20"/>
                <w:highlight w:val="none"/>
              </w:rPr>
              <w:t>乙方</w:t>
            </w:r>
            <w:r>
              <w:rPr>
                <w:rFonts w:ascii="宋体" w:hAnsi="宋体"/>
                <w:sz w:val="20"/>
                <w:szCs w:val="20"/>
                <w:highlight w:val="none"/>
              </w:rPr>
              <w:t>原因停电之外的任何暂停，</w:t>
            </w:r>
            <w:r>
              <w:rPr>
                <w:rFonts w:hint="eastAsia" w:ascii="宋体" w:hAnsi="宋体"/>
                <w:sz w:val="20"/>
                <w:szCs w:val="20"/>
                <w:highlight w:val="none"/>
              </w:rPr>
              <w:t>除非本附件另有约定，</w:t>
            </w:r>
            <w:r>
              <w:rPr>
                <w:rFonts w:ascii="宋体" w:hAnsi="宋体"/>
                <w:sz w:val="20"/>
                <w:szCs w:val="20"/>
                <w:highlight w:val="none"/>
              </w:rPr>
              <w:t>此类暂停视为</w:t>
            </w:r>
            <w:r>
              <w:rPr>
                <w:rFonts w:hint="eastAsia" w:ascii="宋体" w:hAnsi="宋体"/>
                <w:sz w:val="20"/>
                <w:szCs w:val="20"/>
                <w:highlight w:val="none"/>
              </w:rPr>
              <w:t>乙方</w:t>
            </w:r>
            <w:r>
              <w:rPr>
                <w:rFonts w:ascii="宋体" w:hAnsi="宋体"/>
                <w:sz w:val="20"/>
                <w:szCs w:val="20"/>
                <w:highlight w:val="none"/>
              </w:rPr>
              <w:t>违约。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trPr>
        <w:tc>
          <w:tcPr>
            <w:tcW w:w="2287" w:type="dxa"/>
          </w:tcPr>
          <w:p>
            <w:pPr>
              <w:pStyle w:val="56"/>
              <w:spacing w:beforeLines="50"/>
              <w:jc w:val="left"/>
              <w:rPr>
                <w:rFonts w:ascii="宋体" w:hAnsi="宋体"/>
                <w:b/>
                <w:bCs/>
                <w:sz w:val="20"/>
                <w:szCs w:val="20"/>
                <w:highlight w:val="none"/>
              </w:rPr>
            </w:pPr>
            <w:r>
              <w:rPr>
                <w:rFonts w:hint="eastAsia" w:ascii="宋体" w:hAnsi="宋体"/>
                <w:b/>
                <w:bCs/>
                <w:sz w:val="20"/>
                <w:szCs w:val="20"/>
                <w:highlight w:val="none"/>
              </w:rPr>
              <w:t>运营</w:t>
            </w:r>
            <w:r>
              <w:rPr>
                <w:rFonts w:ascii="宋体" w:hAnsi="宋体"/>
                <w:b/>
                <w:bCs/>
                <w:sz w:val="20"/>
                <w:szCs w:val="20"/>
                <w:highlight w:val="none"/>
              </w:rPr>
              <w:t>服务费</w:t>
            </w:r>
            <w:r>
              <w:rPr>
                <w:rFonts w:hint="eastAsia" w:ascii="宋体" w:hAnsi="宋体"/>
                <w:b/>
                <w:bCs/>
                <w:sz w:val="20"/>
                <w:szCs w:val="20"/>
                <w:highlight w:val="none"/>
              </w:rPr>
              <w:t>全费用综合单价</w:t>
            </w:r>
          </w:p>
        </w:tc>
        <w:tc>
          <w:tcPr>
            <w:tcW w:w="7250" w:type="dxa"/>
          </w:tcPr>
          <w:p>
            <w:pPr>
              <w:pStyle w:val="56"/>
              <w:spacing w:beforeLines="50"/>
              <w:jc w:val="left"/>
              <w:rPr>
                <w:rFonts w:ascii="宋体" w:hAnsi="宋体"/>
                <w:sz w:val="20"/>
                <w:szCs w:val="20"/>
                <w:highlight w:val="none"/>
              </w:rPr>
            </w:pPr>
            <w:r>
              <w:rPr>
                <w:rFonts w:ascii="宋体" w:hAnsi="宋体"/>
                <w:sz w:val="20"/>
                <w:szCs w:val="20"/>
                <w:highlight w:val="none"/>
              </w:rPr>
              <w:t>指</w:t>
            </w:r>
            <w:r>
              <w:rPr>
                <w:rFonts w:hint="eastAsia" w:ascii="宋体" w:hAnsi="宋体"/>
                <w:sz w:val="20"/>
                <w:szCs w:val="20"/>
                <w:highlight w:val="none"/>
              </w:rPr>
              <w:t>当进水COD浓度为330mg/L时乙方</w:t>
            </w:r>
            <w:r>
              <w:rPr>
                <w:rFonts w:ascii="宋体" w:hAnsi="宋体"/>
                <w:sz w:val="20"/>
                <w:szCs w:val="20"/>
                <w:highlight w:val="none"/>
              </w:rPr>
              <w:t>按</w:t>
            </w:r>
            <w:r>
              <w:rPr>
                <w:rFonts w:hint="eastAsia" w:ascii="宋体" w:hAnsi="宋体"/>
                <w:sz w:val="20"/>
                <w:szCs w:val="20"/>
                <w:highlight w:val="none"/>
              </w:rPr>
              <w:t>本附件</w:t>
            </w:r>
            <w:r>
              <w:rPr>
                <w:rFonts w:ascii="宋体" w:hAnsi="宋体"/>
                <w:sz w:val="20"/>
                <w:szCs w:val="20"/>
                <w:highlight w:val="none"/>
              </w:rPr>
              <w:t>处理污水而应获得的每立方米</w:t>
            </w:r>
            <w:r>
              <w:rPr>
                <w:rFonts w:hint="eastAsia" w:ascii="宋体" w:hAnsi="宋体"/>
                <w:sz w:val="20"/>
                <w:szCs w:val="20"/>
                <w:highlight w:val="none"/>
              </w:rPr>
              <w:t>运营</w:t>
            </w:r>
            <w:r>
              <w:rPr>
                <w:rFonts w:ascii="宋体" w:hAnsi="宋体"/>
                <w:sz w:val="20"/>
                <w:szCs w:val="20"/>
                <w:highlight w:val="none"/>
              </w:rPr>
              <w:t>服务费</w:t>
            </w:r>
            <w:r>
              <w:rPr>
                <w:rFonts w:hint="eastAsia" w:ascii="宋体" w:hAnsi="宋体"/>
                <w:sz w:val="20"/>
                <w:szCs w:val="20"/>
                <w:highlight w:val="none"/>
              </w:rPr>
              <w:t>全费用综合单价（含税），</w:t>
            </w:r>
            <w:r>
              <w:rPr>
                <w:rFonts w:hint="eastAsia" w:ascii="宋体" w:hAnsi="宋体"/>
                <w:b/>
                <w:sz w:val="20"/>
                <w:szCs w:val="20"/>
                <w:highlight w:val="none"/>
              </w:rPr>
              <w:t>运营服务费全费用综合单价（含税）=运营期运营服务费签约合同价÷（7900×365×3）</w:t>
            </w:r>
            <w:r>
              <w:rPr>
                <w:rFonts w:ascii="宋体" w:hAnsi="宋体"/>
                <w:sz w:val="20"/>
                <w:szCs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2287" w:type="dxa"/>
          </w:tcPr>
          <w:p>
            <w:pPr>
              <w:pStyle w:val="56"/>
              <w:spacing w:beforeLines="50"/>
              <w:jc w:val="left"/>
              <w:rPr>
                <w:rFonts w:ascii="宋体" w:hAnsi="宋体"/>
                <w:b/>
                <w:bCs/>
                <w:sz w:val="20"/>
                <w:szCs w:val="20"/>
                <w:highlight w:val="none"/>
              </w:rPr>
            </w:pPr>
            <w:r>
              <w:rPr>
                <w:rFonts w:hint="eastAsia" w:ascii="宋体" w:hAnsi="宋体"/>
                <w:b/>
                <w:bCs/>
                <w:sz w:val="20"/>
                <w:szCs w:val="20"/>
                <w:highlight w:val="none"/>
              </w:rPr>
              <w:t>运营</w:t>
            </w:r>
            <w:r>
              <w:rPr>
                <w:rFonts w:ascii="宋体" w:hAnsi="宋体"/>
                <w:b/>
                <w:bCs/>
                <w:sz w:val="20"/>
                <w:szCs w:val="20"/>
                <w:highlight w:val="none"/>
              </w:rPr>
              <w:t>服务费</w:t>
            </w:r>
          </w:p>
        </w:tc>
        <w:tc>
          <w:tcPr>
            <w:tcW w:w="7250" w:type="dxa"/>
          </w:tcPr>
          <w:p>
            <w:pPr>
              <w:pStyle w:val="56"/>
              <w:spacing w:beforeLines="50"/>
              <w:jc w:val="left"/>
              <w:rPr>
                <w:rFonts w:ascii="宋体" w:hAnsi="宋体"/>
                <w:sz w:val="20"/>
                <w:szCs w:val="20"/>
                <w:highlight w:val="none"/>
              </w:rPr>
            </w:pPr>
            <w:r>
              <w:rPr>
                <w:rFonts w:ascii="宋体" w:hAnsi="宋体"/>
                <w:sz w:val="20"/>
                <w:szCs w:val="20"/>
                <w:highlight w:val="none"/>
              </w:rPr>
              <w:t>指</w:t>
            </w:r>
            <w:r>
              <w:rPr>
                <w:rFonts w:hint="eastAsia" w:ascii="宋体" w:hAnsi="宋体"/>
                <w:sz w:val="20"/>
                <w:szCs w:val="20"/>
                <w:highlight w:val="none"/>
              </w:rPr>
              <w:t>乙方</w:t>
            </w:r>
            <w:r>
              <w:rPr>
                <w:rFonts w:ascii="宋体" w:hAnsi="宋体"/>
                <w:sz w:val="20"/>
                <w:szCs w:val="20"/>
                <w:highlight w:val="none"/>
              </w:rPr>
              <w:t>为</w:t>
            </w:r>
            <w:r>
              <w:rPr>
                <w:rFonts w:hint="eastAsia" w:ascii="宋体" w:hAnsi="宋体"/>
                <w:sz w:val="20"/>
                <w:szCs w:val="20"/>
                <w:highlight w:val="none"/>
              </w:rPr>
              <w:t>甲方</w:t>
            </w:r>
            <w:r>
              <w:rPr>
                <w:rFonts w:ascii="宋体" w:hAnsi="宋体"/>
                <w:sz w:val="20"/>
                <w:szCs w:val="20"/>
                <w:highlight w:val="none"/>
              </w:rPr>
              <w:t>提供</w:t>
            </w:r>
            <w:r>
              <w:rPr>
                <w:rFonts w:hint="eastAsia" w:ascii="宋体" w:hAnsi="宋体"/>
                <w:sz w:val="20"/>
                <w:szCs w:val="20"/>
                <w:highlight w:val="none"/>
              </w:rPr>
              <w:t>运营</w:t>
            </w:r>
            <w:r>
              <w:rPr>
                <w:rFonts w:ascii="宋体" w:hAnsi="宋体"/>
                <w:sz w:val="20"/>
                <w:szCs w:val="20"/>
                <w:highlight w:val="none"/>
              </w:rPr>
              <w:t>服务而收取的服务费，此费用</w:t>
            </w:r>
            <w:r>
              <w:rPr>
                <w:rFonts w:hint="eastAsia" w:ascii="宋体" w:hAnsi="宋体"/>
                <w:sz w:val="20"/>
                <w:szCs w:val="20"/>
                <w:highlight w:val="none"/>
              </w:rPr>
              <w:t>甲方经审核后</w:t>
            </w:r>
            <w:r>
              <w:rPr>
                <w:rFonts w:ascii="宋体" w:hAnsi="宋体"/>
                <w:sz w:val="20"/>
                <w:szCs w:val="20"/>
                <w:highlight w:val="none"/>
              </w:rPr>
              <w:t>定期向</w:t>
            </w:r>
            <w:r>
              <w:rPr>
                <w:rFonts w:hint="eastAsia" w:ascii="宋体" w:hAnsi="宋体"/>
                <w:sz w:val="20"/>
                <w:szCs w:val="20"/>
                <w:highlight w:val="none"/>
              </w:rPr>
              <w:t>乙方</w:t>
            </w:r>
            <w:r>
              <w:rPr>
                <w:rFonts w:ascii="宋体" w:hAnsi="宋体"/>
                <w:sz w:val="20"/>
                <w:szCs w:val="20"/>
                <w:highlight w:val="none"/>
              </w:rPr>
              <w:t>支付</w:t>
            </w:r>
            <w:r>
              <w:rPr>
                <w:rFonts w:hint="eastAsia" w:ascii="宋体" w:hAnsi="宋体"/>
                <w:sz w:val="20"/>
                <w:szCs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2287" w:type="dxa"/>
          </w:tcPr>
          <w:p>
            <w:pPr>
              <w:pStyle w:val="56"/>
              <w:spacing w:beforeLines="50"/>
              <w:jc w:val="left"/>
              <w:rPr>
                <w:rFonts w:ascii="宋体" w:hAnsi="宋体"/>
                <w:b/>
                <w:bCs/>
                <w:sz w:val="20"/>
                <w:szCs w:val="20"/>
                <w:highlight w:val="none"/>
              </w:rPr>
            </w:pPr>
            <w:r>
              <w:rPr>
                <w:rFonts w:ascii="宋体" w:hAnsi="宋体"/>
                <w:b/>
                <w:bCs/>
                <w:sz w:val="20"/>
                <w:szCs w:val="20"/>
                <w:highlight w:val="none"/>
              </w:rPr>
              <w:t>进水管网</w:t>
            </w:r>
          </w:p>
        </w:tc>
        <w:tc>
          <w:tcPr>
            <w:tcW w:w="7250" w:type="dxa"/>
          </w:tcPr>
          <w:p>
            <w:pPr>
              <w:pStyle w:val="56"/>
              <w:spacing w:beforeLines="50"/>
              <w:jc w:val="left"/>
              <w:rPr>
                <w:rFonts w:ascii="宋体" w:hAnsi="宋体"/>
                <w:sz w:val="20"/>
                <w:szCs w:val="20"/>
                <w:highlight w:val="none"/>
              </w:rPr>
            </w:pPr>
            <w:r>
              <w:rPr>
                <w:rFonts w:ascii="宋体" w:hAnsi="宋体"/>
                <w:sz w:val="20"/>
                <w:szCs w:val="20"/>
                <w:highlight w:val="none"/>
              </w:rPr>
              <w:t>指为污水处理厂提供污水的该厂服务区域的城市污水收集管网。</w:t>
            </w:r>
          </w:p>
        </w:tc>
      </w:tr>
    </w:tbl>
    <w:p>
      <w:pPr>
        <w:pStyle w:val="56"/>
        <w:spacing w:beforeLines="25" w:afterLines="25"/>
        <w:ind w:firstLine="478" w:firstLineChars="237"/>
        <w:rPr>
          <w:rFonts w:ascii="宋体" w:hAnsi="宋体"/>
          <w:sz w:val="20"/>
          <w:highlight w:val="none"/>
        </w:rPr>
      </w:pPr>
      <w:r>
        <w:rPr>
          <w:rFonts w:hint="eastAsia" w:ascii="宋体" w:hAnsi="宋体"/>
          <w:sz w:val="20"/>
          <w:highlight w:val="none"/>
        </w:rPr>
        <w:t>在本协议中：</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a）除本协议上下文另有规定外，所提到的条款和附录均为本协议的条款和附录；</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b）除本协议上下文另有规定外，提及的一方或双方均为本协议的一方或双方以及他们的继任者和获准的受让人；</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c）每一方在履行本协议项下的义务和责任时，均有诚信履约的默示义务；</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d）所提到的日期、星期、月份和年度均为公历日期、星期、月份和年度；</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e）若要求付款之日为非银行对公工作日，应解释为要求自下一个银行对公工作日付款；</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f）除上下文另有规定外，“包括”一词应被视为与“不限于”几字连用。</w:t>
      </w:r>
    </w:p>
    <w:p>
      <w:pPr>
        <w:pStyle w:val="56"/>
        <w:spacing w:beforeLines="25" w:afterLines="25"/>
        <w:ind w:firstLine="478" w:firstLineChars="237"/>
        <w:rPr>
          <w:rFonts w:ascii="宋体" w:hAnsi="宋体"/>
          <w:b/>
          <w:sz w:val="20"/>
          <w:highlight w:val="none"/>
        </w:rPr>
      </w:pPr>
      <w:bookmarkStart w:id="44" w:name="_Hlt102035780"/>
      <w:bookmarkEnd w:id="44"/>
      <w:bookmarkStart w:id="45" w:name="_Toc246596608"/>
      <w:bookmarkStart w:id="46" w:name="_Toc19991"/>
      <w:r>
        <w:rPr>
          <w:rFonts w:hint="eastAsia" w:ascii="宋体" w:hAnsi="宋体"/>
          <w:b/>
          <w:sz w:val="20"/>
          <w:highlight w:val="none"/>
        </w:rPr>
        <w:t xml:space="preserve">1.3 </w:t>
      </w:r>
      <w:bookmarkStart w:id="47" w:name="_Hlt215643784"/>
      <w:bookmarkEnd w:id="47"/>
      <w:r>
        <w:rPr>
          <w:rFonts w:hint="eastAsia" w:ascii="宋体" w:hAnsi="宋体"/>
          <w:b/>
          <w:sz w:val="20"/>
          <w:highlight w:val="none"/>
        </w:rPr>
        <w:t>协议及相关文件</w:t>
      </w:r>
      <w:bookmarkEnd w:id="45"/>
      <w:bookmarkEnd w:id="46"/>
    </w:p>
    <w:p>
      <w:pPr>
        <w:pStyle w:val="56"/>
        <w:spacing w:beforeLines="25" w:afterLines="25"/>
        <w:ind w:firstLine="478" w:firstLineChars="237"/>
        <w:rPr>
          <w:rFonts w:ascii="宋体" w:hAnsi="宋体"/>
          <w:sz w:val="20"/>
          <w:highlight w:val="none"/>
        </w:rPr>
      </w:pPr>
      <w:r>
        <w:rPr>
          <w:rFonts w:hint="eastAsia" w:ascii="宋体" w:hAnsi="宋体"/>
          <w:sz w:val="20"/>
          <w:highlight w:val="none"/>
        </w:rPr>
        <w:t xml:space="preserve"> 协议及相关文件包含下列内容：</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（1）本协议及其附件</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（2）招标文件补充规定</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（3）招标文件澄清说明</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（4）</w:t>
      </w:r>
      <w:bookmarkStart w:id="48" w:name="_Hlt208764767"/>
      <w:bookmarkEnd w:id="48"/>
      <w:r>
        <w:rPr>
          <w:rFonts w:hint="eastAsia" w:ascii="宋体" w:hAnsi="宋体"/>
          <w:sz w:val="20"/>
          <w:highlight w:val="none"/>
        </w:rPr>
        <w:t>标前会议备忘录</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（5）招标文件</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（6）投标文件澄清说明</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（7）投标文件</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前项文件，包括以书面、录音、录像、照相、微缩或电子数据等方式呈现的原件或复制品。若协议文件的内容不一致，依前项规定的解释顺序确定其适用的优先级别。甲方也可优先考虑或选择对甲方的有利解释。</w:t>
      </w:r>
    </w:p>
    <w:p>
      <w:pPr>
        <w:pStyle w:val="56"/>
        <w:widowControl w:val="0"/>
        <w:spacing w:beforeLines="50"/>
        <w:jc w:val="center"/>
        <w:rPr>
          <w:rFonts w:ascii="新宋体" w:hAnsi="新宋体" w:eastAsia="新宋体" w:cs="新宋体"/>
          <w:bCs/>
          <w:kern w:val="2"/>
          <w:sz w:val="28"/>
          <w:szCs w:val="28"/>
          <w:highlight w:val="none"/>
        </w:rPr>
      </w:pPr>
      <w:bookmarkStart w:id="49" w:name="_Toc246596609"/>
      <w:r>
        <w:rPr>
          <w:rFonts w:hint="eastAsia" w:ascii="新宋体" w:hAnsi="新宋体" w:eastAsia="新宋体" w:cs="新宋体"/>
          <w:b/>
          <w:kern w:val="2"/>
          <w:sz w:val="28"/>
          <w:szCs w:val="28"/>
          <w:highlight w:val="none"/>
        </w:rPr>
        <w:t xml:space="preserve">第二节  </w:t>
      </w:r>
      <w:bookmarkStart w:id="50" w:name="_Toc202676906"/>
      <w:r>
        <w:rPr>
          <w:rFonts w:hint="eastAsia" w:ascii="新宋体" w:hAnsi="新宋体" w:eastAsia="新宋体" w:cs="新宋体"/>
          <w:b/>
          <w:kern w:val="2"/>
          <w:sz w:val="28"/>
          <w:szCs w:val="28"/>
          <w:highlight w:val="none"/>
        </w:rPr>
        <w:t>运营范围、运营权及期限</w:t>
      </w:r>
      <w:bookmarkEnd w:id="49"/>
      <w:bookmarkEnd w:id="50"/>
    </w:p>
    <w:p>
      <w:pPr>
        <w:pStyle w:val="56"/>
        <w:keepNext/>
        <w:keepLines/>
        <w:spacing w:before="120" w:after="120"/>
        <w:ind w:firstLine="500"/>
        <w:outlineLvl w:val="4"/>
        <w:rPr>
          <w:rFonts w:ascii="宋体" w:hAnsi="宋体"/>
          <w:b/>
          <w:szCs w:val="20"/>
          <w:highlight w:val="none"/>
        </w:rPr>
      </w:pPr>
      <w:bookmarkStart w:id="51" w:name="_Toc246596610"/>
      <w:r>
        <w:rPr>
          <w:rFonts w:hint="eastAsia" w:ascii="宋体" w:hAnsi="宋体"/>
          <w:b/>
          <w:szCs w:val="20"/>
          <w:highlight w:val="none"/>
        </w:rPr>
        <w:t>2.1 运营范围</w:t>
      </w:r>
    </w:p>
    <w:p>
      <w:pPr>
        <w:pStyle w:val="56"/>
        <w:spacing w:beforeLines="25" w:afterLines="25"/>
        <w:ind w:firstLine="478" w:firstLineChars="237"/>
        <w:rPr>
          <w:rFonts w:ascii="宋体" w:hAnsi="宋体"/>
          <w:sz w:val="20"/>
          <w:szCs w:val="22"/>
          <w:highlight w:val="none"/>
        </w:rPr>
      </w:pPr>
      <w:r>
        <w:rPr>
          <w:rFonts w:hint="eastAsia" w:ascii="宋体" w:hAnsi="宋体"/>
          <w:sz w:val="20"/>
          <w:szCs w:val="22"/>
          <w:highlight w:val="none"/>
        </w:rPr>
        <w:t>在本协议所规定的期限内乙方以运营方式自行负责并承担以下污水处理运营业务，包括：</w:t>
      </w:r>
    </w:p>
    <w:p>
      <w:pPr>
        <w:pStyle w:val="56"/>
        <w:spacing w:beforeLines="25" w:afterLines="25"/>
        <w:ind w:firstLine="478" w:firstLineChars="237"/>
        <w:rPr>
          <w:rFonts w:ascii="宋体" w:hAnsi="宋体"/>
          <w:sz w:val="20"/>
          <w:szCs w:val="22"/>
          <w:highlight w:val="none"/>
        </w:rPr>
      </w:pPr>
      <w:r>
        <w:rPr>
          <w:rFonts w:hint="eastAsia" w:ascii="宋体" w:hAnsi="宋体"/>
          <w:sz w:val="20"/>
          <w:szCs w:val="22"/>
          <w:highlight w:val="none"/>
        </w:rPr>
        <w:t>2.1.1 负责衢州市衢江区集镇污水处理厂项目（大洲镇污水处理厂、全旺镇污水处理厂、高家镇污水处理厂、杜泽镇污水处理厂、莲花镇污水处理厂、峡川镇污水处理厂、上方镇污水处理厂、廿里镇污水处理厂、后溪镇污水处理厂、湖南镇污水处理厂）厂区红线范围内所有近期、远期（如有）设施的管理、运营和维护（不含大型修理）、出厂污水尾水排放管线、污泥处置等，以及项目所需供电、供水、厂内道路等配套设施的运营管理和日常维护、纳管排污单位的管理（含排污核查、水质检测、日常巡查、合同管理等）等工作；在运营服务协议签订后即接管运营（运营服务费按照保底的费用计取）。</w:t>
      </w:r>
    </w:p>
    <w:p>
      <w:pPr>
        <w:pStyle w:val="56"/>
        <w:spacing w:beforeLines="25" w:afterLines="25"/>
        <w:ind w:firstLine="478" w:firstLineChars="237"/>
        <w:rPr>
          <w:rFonts w:ascii="宋体" w:hAnsi="宋体"/>
          <w:sz w:val="20"/>
          <w:szCs w:val="22"/>
          <w:highlight w:val="none"/>
        </w:rPr>
      </w:pPr>
      <w:r>
        <w:rPr>
          <w:rFonts w:hint="eastAsia" w:ascii="宋体" w:hAnsi="宋体"/>
          <w:sz w:val="20"/>
          <w:szCs w:val="22"/>
          <w:highlight w:val="none"/>
        </w:rPr>
        <w:t>2.1.2 负责项目所需应急预案编制、污泥定性检测、在线仪器运维等工作；</w:t>
      </w:r>
    </w:p>
    <w:p>
      <w:pPr>
        <w:pStyle w:val="56"/>
        <w:spacing w:beforeLines="25" w:afterLines="25"/>
        <w:ind w:firstLine="478" w:firstLineChars="237"/>
        <w:rPr>
          <w:rFonts w:ascii="宋体" w:hAnsi="宋体"/>
          <w:sz w:val="20"/>
          <w:szCs w:val="22"/>
          <w:highlight w:val="none"/>
        </w:rPr>
      </w:pPr>
      <w:r>
        <w:rPr>
          <w:rFonts w:hint="eastAsia" w:ascii="宋体" w:hAnsi="宋体"/>
          <w:sz w:val="20"/>
          <w:szCs w:val="22"/>
          <w:highlight w:val="none"/>
        </w:rPr>
        <w:t>2.1.3 自行承担费用（包括但不限于污水处理设施的正常运行所必须的水、药剂等消耗，以及日常保养维护及中小型修理、应急预案编制费、分析检测费用、污泥处置费含运输费用、在线仪器运维费用、信息费含数据费、厂区道路绿化养护、办公器具购置费、税费等所有费用）和风险等；</w:t>
      </w:r>
    </w:p>
    <w:p>
      <w:pPr>
        <w:pStyle w:val="56"/>
        <w:spacing w:beforeLines="25" w:afterLines="25"/>
        <w:ind w:firstLine="478" w:firstLineChars="237"/>
        <w:rPr>
          <w:rFonts w:ascii="宋体" w:hAnsi="宋体"/>
          <w:sz w:val="20"/>
          <w:szCs w:val="22"/>
          <w:highlight w:val="none"/>
        </w:rPr>
      </w:pPr>
      <w:r>
        <w:rPr>
          <w:rFonts w:hint="eastAsia" w:ascii="宋体" w:hAnsi="宋体"/>
          <w:sz w:val="20"/>
          <w:szCs w:val="22"/>
          <w:highlight w:val="none"/>
        </w:rPr>
        <w:t>2.1.4 按照项目运营服务协议中的约定获得运营服务费，获得合理的项目运营服务回报；</w:t>
      </w:r>
    </w:p>
    <w:p>
      <w:pPr>
        <w:pStyle w:val="56"/>
        <w:spacing w:beforeLines="25" w:afterLines="25"/>
        <w:ind w:firstLine="478" w:firstLineChars="237"/>
        <w:rPr>
          <w:rFonts w:ascii="宋体" w:hAnsi="宋体"/>
          <w:sz w:val="20"/>
          <w:szCs w:val="22"/>
          <w:highlight w:val="none"/>
        </w:rPr>
      </w:pPr>
      <w:r>
        <w:rPr>
          <w:rFonts w:hint="eastAsia" w:ascii="宋体" w:hAnsi="宋体"/>
          <w:sz w:val="20"/>
          <w:szCs w:val="22"/>
          <w:highlight w:val="none"/>
        </w:rPr>
        <w:t>2.1.5 在确定的运营年限期满后，须将设施完备、运行良好的全厂近期、远期（如有）项目设施一并无偿移交给甲方或其指定单位，并协助办理运营所需的相关协议主体的转移。</w:t>
      </w:r>
    </w:p>
    <w:p>
      <w:pPr>
        <w:pStyle w:val="56"/>
        <w:keepNext/>
        <w:keepLines/>
        <w:spacing w:before="120" w:after="120"/>
        <w:ind w:firstLine="500"/>
        <w:outlineLvl w:val="4"/>
        <w:rPr>
          <w:rFonts w:ascii="宋体" w:hAnsi="宋体"/>
          <w:b/>
          <w:szCs w:val="20"/>
          <w:highlight w:val="none"/>
        </w:rPr>
      </w:pPr>
      <w:r>
        <w:rPr>
          <w:rFonts w:hint="eastAsia" w:ascii="宋体" w:hAnsi="宋体"/>
          <w:b/>
          <w:szCs w:val="20"/>
          <w:highlight w:val="none"/>
        </w:rPr>
        <w:t>2.2 运营权</w:t>
      </w:r>
      <w:bookmarkEnd w:id="51"/>
    </w:p>
    <w:p>
      <w:pPr>
        <w:pStyle w:val="56"/>
        <w:spacing w:beforeLines="25" w:afterLines="25"/>
        <w:ind w:firstLine="478" w:firstLineChars="237"/>
        <w:rPr>
          <w:rFonts w:ascii="宋体" w:hAnsi="宋体"/>
          <w:sz w:val="20"/>
          <w:highlight w:val="none"/>
        </w:rPr>
      </w:pPr>
      <w:r>
        <w:rPr>
          <w:rFonts w:hint="eastAsia" w:ascii="宋体" w:hAnsi="宋体"/>
          <w:sz w:val="20"/>
          <w:highlight w:val="none"/>
        </w:rPr>
        <w:t>2.2.1 甲方在本项目服务区域内，依照本协议委托乙方在其运营期进行项目设施接收、运营和维护所接收的项目污水处理设施，提供污水处理服务并获得</w:t>
      </w:r>
      <w:bookmarkStart w:id="52" w:name="_Hlt212609992"/>
      <w:bookmarkEnd w:id="52"/>
      <w:r>
        <w:rPr>
          <w:rFonts w:hint="eastAsia" w:ascii="宋体" w:hAnsi="宋体"/>
          <w:sz w:val="20"/>
          <w:highlight w:val="none"/>
        </w:rPr>
        <w:t>运营服务费的权利。</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2.2.2 依照本协议的规定，乙方应在运营期内自行承担费用、责任和风险（包括环境及安全风险），负责本项目中设施的日常运营与维护；并于运营期满时，将配置完备且运行良好的所运营污水处理厂项目近期、远期（如有）污水处理设施无偿移交给甲方或其指定机构。</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 xml:space="preserve">2.2.3 </w:t>
      </w:r>
      <w:bookmarkStart w:id="53" w:name="_Hlt212606066"/>
      <w:bookmarkEnd w:id="53"/>
      <w:r>
        <w:rPr>
          <w:rFonts w:hint="eastAsia" w:ascii="宋体" w:hAnsi="宋体"/>
          <w:sz w:val="20"/>
          <w:highlight w:val="none"/>
        </w:rPr>
        <w:t>在运营期内：</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（1）乙方不得将本项目任何资产用于任何抵押、质押、担保、转让、投资参股及入股等。</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（2） 污水处理厂所有项目设施的使用只能用于污水处理的功能且不得对周边环境造成二次污染。</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（3）乙方须承担政府要求的公共环境管理等责任和义务，如厂区绿化、社会环保教育等。</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（4）未经甲方批准同意，乙方不得转让运营权。</w:t>
      </w:r>
    </w:p>
    <w:p>
      <w:pPr>
        <w:pStyle w:val="56"/>
        <w:keepNext/>
        <w:keepLines/>
        <w:spacing w:before="120" w:after="120"/>
        <w:ind w:firstLine="500"/>
        <w:outlineLvl w:val="4"/>
        <w:rPr>
          <w:rFonts w:ascii="宋体" w:hAnsi="宋体"/>
          <w:b/>
          <w:szCs w:val="20"/>
          <w:highlight w:val="none"/>
        </w:rPr>
      </w:pPr>
      <w:bookmarkStart w:id="54" w:name="_Toc246596611"/>
      <w:r>
        <w:rPr>
          <w:rFonts w:hint="eastAsia" w:ascii="宋体" w:hAnsi="宋体"/>
          <w:b/>
          <w:szCs w:val="20"/>
          <w:highlight w:val="none"/>
        </w:rPr>
        <w:t>2.3 项目设施产权归属</w:t>
      </w:r>
      <w:bookmarkEnd w:id="54"/>
    </w:p>
    <w:p>
      <w:pPr>
        <w:pStyle w:val="56"/>
        <w:spacing w:beforeLines="25" w:afterLines="25"/>
        <w:ind w:firstLine="478" w:firstLineChars="237"/>
        <w:rPr>
          <w:rFonts w:ascii="宋体" w:hAnsi="宋体"/>
          <w:sz w:val="20"/>
          <w:szCs w:val="22"/>
          <w:highlight w:val="none"/>
        </w:rPr>
      </w:pPr>
      <w:r>
        <w:rPr>
          <w:rFonts w:hint="eastAsia" w:ascii="宋体" w:hAnsi="宋体"/>
          <w:sz w:val="20"/>
          <w:szCs w:val="22"/>
          <w:highlight w:val="none"/>
        </w:rPr>
        <w:t>衢州市衢江区集镇污水处理厂项目（大洲镇污水处理厂、全旺镇污水处理厂、高家镇污水处理厂、杜泽镇污水处理厂、莲花镇污水处理厂、峡川镇污水处理厂、上方镇污水处理厂、廿里镇污水处理厂、后溪镇污水处理厂、湖南镇污水处理厂）区域内外所有（含近、远期）设施，其产权（所有权）均属于甲方，在运营期内由甲方委托并无偿提供给乙方使用，期满后再由乙方无偿移交给甲方或其指定的机构。</w:t>
      </w:r>
    </w:p>
    <w:p>
      <w:pPr>
        <w:pStyle w:val="56"/>
        <w:keepNext/>
        <w:keepLines/>
        <w:spacing w:before="120" w:after="120"/>
        <w:ind w:firstLine="500"/>
        <w:outlineLvl w:val="4"/>
        <w:rPr>
          <w:rFonts w:ascii="宋体" w:hAnsi="宋体"/>
          <w:b/>
          <w:szCs w:val="20"/>
          <w:highlight w:val="none"/>
        </w:rPr>
      </w:pPr>
      <w:bookmarkStart w:id="55" w:name="_Toc246596612"/>
      <w:r>
        <w:rPr>
          <w:rFonts w:hint="eastAsia" w:ascii="宋体" w:hAnsi="宋体"/>
          <w:b/>
          <w:szCs w:val="20"/>
          <w:highlight w:val="none"/>
        </w:rPr>
        <w:t>2.4 担保权</w:t>
      </w:r>
      <w:bookmarkEnd w:id="55"/>
    </w:p>
    <w:p>
      <w:pPr>
        <w:pStyle w:val="56"/>
        <w:spacing w:beforeLines="25" w:afterLines="25"/>
        <w:ind w:firstLine="478" w:firstLineChars="237"/>
        <w:rPr>
          <w:rFonts w:ascii="宋体" w:hAnsi="宋体"/>
          <w:sz w:val="20"/>
          <w:highlight w:val="none"/>
        </w:rPr>
      </w:pPr>
      <w:r>
        <w:rPr>
          <w:rFonts w:hint="eastAsia" w:ascii="宋体" w:hAnsi="宋体"/>
          <w:sz w:val="20"/>
          <w:highlight w:val="none"/>
        </w:rPr>
        <w:t>在运营期内，乙方不得以本项目运营权益作为任何目的之担保保证。</w:t>
      </w:r>
    </w:p>
    <w:p>
      <w:pPr>
        <w:pStyle w:val="56"/>
        <w:keepNext/>
        <w:keepLines/>
        <w:spacing w:before="120" w:after="120"/>
        <w:ind w:firstLine="500"/>
        <w:outlineLvl w:val="4"/>
        <w:rPr>
          <w:rFonts w:ascii="宋体" w:hAnsi="宋体"/>
          <w:b/>
          <w:szCs w:val="20"/>
          <w:highlight w:val="none"/>
        </w:rPr>
      </w:pPr>
      <w:bookmarkStart w:id="56" w:name="_Hlt243564627"/>
      <w:bookmarkEnd w:id="56"/>
      <w:bookmarkStart w:id="57" w:name="_Toc246596613"/>
      <w:r>
        <w:rPr>
          <w:rFonts w:hint="eastAsia" w:ascii="宋体" w:hAnsi="宋体"/>
          <w:b/>
          <w:szCs w:val="20"/>
          <w:highlight w:val="none"/>
        </w:rPr>
        <w:t>2.5 运营期</w:t>
      </w:r>
      <w:bookmarkEnd w:id="57"/>
    </w:p>
    <w:p>
      <w:pPr>
        <w:pStyle w:val="56"/>
        <w:spacing w:beforeLines="25" w:afterLines="25"/>
        <w:ind w:firstLine="478" w:firstLineChars="237"/>
        <w:rPr>
          <w:rFonts w:ascii="宋体" w:hAnsi="宋体"/>
          <w:sz w:val="20"/>
          <w:highlight w:val="none"/>
        </w:rPr>
      </w:pPr>
      <w:r>
        <w:rPr>
          <w:rFonts w:hint="eastAsia" w:ascii="宋体" w:hAnsi="宋体"/>
          <w:sz w:val="20"/>
          <w:highlight w:val="none"/>
        </w:rPr>
        <w:t>2.5.1 项目试运行</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本项目计划开始试运行日为2020年</w:t>
      </w:r>
      <w:r>
        <w:rPr>
          <w:rFonts w:hint="eastAsia" w:ascii="宋体" w:hAnsi="宋体"/>
          <w:color w:val="FF0000"/>
          <w:sz w:val="20"/>
          <w:highlight w:val="none"/>
        </w:rPr>
        <w:t xml:space="preserve">11月 </w:t>
      </w:r>
      <w:r>
        <w:rPr>
          <w:rFonts w:hint="eastAsia" w:ascii="宋体" w:hAnsi="宋体"/>
          <w:sz w:val="20"/>
          <w:highlight w:val="none"/>
        </w:rPr>
        <w:t>日。</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2.5.2 开始运营</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自本项目环保验收合格至预计开始运营日之前，本项目须已连续稳定运行七（7）日或以上，并已完成环保验收公示，取得环保部门批复，且完成与污泥处置单位签订处置协议和在线监测运维单位签订运维协议后，乙方应书面通知甲方到厂确认出水流量计底数，申请进入运营期，自甲方书面确认时起进入运营期。</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甲方应自接到申请进入运营期的书面通知后七（7）个工作日内书面通知乙方是否同意开始进入运营期，如不同意须同时书面陈述理由。如甲方未发出同意或不同意的通知，则视为甲方同意乙方开始进入运营期。</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本项目进入运营期后，依据本项目污水处理服务协议的约定向乙方支付运营服务费。</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2.5.3 运营期</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本项目运营的运营期限为：衢江区集镇污水处理厂改建项目环保验收合格后自甲方书面同意进入运营期之日起计算至第三（3）个周年日止。</w:t>
      </w:r>
    </w:p>
    <w:p>
      <w:pPr>
        <w:pStyle w:val="56"/>
        <w:spacing w:beforeLines="25" w:afterLines="25"/>
        <w:ind w:firstLine="478" w:firstLineChars="237"/>
        <w:rPr>
          <w:rFonts w:ascii="宋体" w:hAnsi="宋体"/>
          <w:sz w:val="20"/>
          <w:highlight w:val="none"/>
        </w:rPr>
      </w:pPr>
      <w:r>
        <w:rPr>
          <w:rFonts w:hint="eastAsia" w:ascii="宋体" w:hAnsi="宋体" w:cs="宋体"/>
          <w:bCs/>
          <w:sz w:val="20"/>
          <w:szCs w:val="20"/>
          <w:highlight w:val="none"/>
        </w:rPr>
        <w:t>衢州市衢江区集镇污水处理厂</w:t>
      </w:r>
      <w:r>
        <w:rPr>
          <w:rFonts w:hint="eastAsia" w:ascii="宋体" w:hAnsi="宋体"/>
          <w:sz w:val="20"/>
          <w:highlight w:val="none"/>
        </w:rPr>
        <w:t>项目运营期为三年。</w:t>
      </w:r>
    </w:p>
    <w:p>
      <w:pPr>
        <w:pStyle w:val="56"/>
        <w:widowControl w:val="0"/>
        <w:spacing w:beforeLines="50"/>
        <w:jc w:val="center"/>
        <w:rPr>
          <w:rFonts w:ascii="新宋体" w:hAnsi="新宋体" w:eastAsia="新宋体" w:cs="新宋体"/>
          <w:b/>
          <w:kern w:val="2"/>
          <w:sz w:val="28"/>
          <w:szCs w:val="28"/>
          <w:highlight w:val="none"/>
        </w:rPr>
      </w:pPr>
      <w:bookmarkStart w:id="58" w:name="_Hlt212285991"/>
      <w:bookmarkEnd w:id="58"/>
      <w:bookmarkStart w:id="59" w:name="_Toc246596614"/>
      <w:r>
        <w:rPr>
          <w:rFonts w:hint="eastAsia" w:ascii="新宋体" w:hAnsi="新宋体" w:eastAsia="新宋体" w:cs="新宋体"/>
          <w:b/>
          <w:kern w:val="2"/>
          <w:sz w:val="28"/>
          <w:szCs w:val="28"/>
          <w:highlight w:val="none"/>
        </w:rPr>
        <w:t xml:space="preserve">第三节  </w:t>
      </w:r>
      <w:bookmarkStart w:id="60" w:name="_Toc202676907"/>
      <w:r>
        <w:rPr>
          <w:rFonts w:hint="eastAsia" w:ascii="新宋体" w:hAnsi="新宋体" w:eastAsia="新宋体" w:cs="新宋体"/>
          <w:b/>
          <w:kern w:val="2"/>
          <w:sz w:val="28"/>
          <w:szCs w:val="28"/>
          <w:highlight w:val="none"/>
        </w:rPr>
        <w:t>条件和声明</w:t>
      </w:r>
      <w:bookmarkEnd w:id="59"/>
      <w:bookmarkEnd w:id="60"/>
    </w:p>
    <w:p>
      <w:pPr>
        <w:pStyle w:val="56"/>
        <w:keepNext/>
        <w:keepLines/>
        <w:spacing w:before="120" w:after="120"/>
        <w:ind w:firstLine="500"/>
        <w:outlineLvl w:val="4"/>
        <w:rPr>
          <w:rFonts w:ascii="宋体" w:hAnsi="宋体"/>
          <w:b/>
          <w:szCs w:val="20"/>
          <w:highlight w:val="none"/>
        </w:rPr>
      </w:pPr>
      <w:bookmarkStart w:id="61" w:name="_Hlt215969425"/>
      <w:bookmarkEnd w:id="61"/>
      <w:bookmarkStart w:id="62" w:name="_Hlt215969827"/>
      <w:bookmarkEnd w:id="62"/>
      <w:bookmarkStart w:id="63" w:name="_Toc202676908"/>
      <w:bookmarkStart w:id="64" w:name="_Toc246596615"/>
      <w:r>
        <w:rPr>
          <w:rFonts w:hint="eastAsia" w:ascii="宋体" w:hAnsi="宋体"/>
          <w:b/>
          <w:szCs w:val="20"/>
          <w:highlight w:val="none"/>
        </w:rPr>
        <w:t>3.1 履行义务的条件</w:t>
      </w:r>
      <w:bookmarkEnd w:id="63"/>
      <w:bookmarkEnd w:id="64"/>
    </w:p>
    <w:p>
      <w:pPr>
        <w:pStyle w:val="56"/>
        <w:spacing w:beforeLines="25" w:afterLines="25"/>
        <w:ind w:firstLine="478" w:firstLineChars="237"/>
        <w:rPr>
          <w:rFonts w:ascii="宋体" w:hAnsi="宋体"/>
          <w:sz w:val="20"/>
          <w:highlight w:val="none"/>
        </w:rPr>
      </w:pPr>
      <w:r>
        <w:rPr>
          <w:rFonts w:hint="eastAsia" w:ascii="宋体" w:hAnsi="宋体"/>
          <w:sz w:val="20"/>
          <w:highlight w:val="none"/>
        </w:rPr>
        <w:t>运营服务协议已签署并对其各方有约束力，并且所有先决条件已满足（或被放弃）为甲方和乙方在本协议项下义务的先决条件。</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乙方完成项目设施的接收并提交开始运营报告，是本协议项下乙方承担项目设施处理污水进水和运营维护管理的义务以及甲方按污水处理完成情况承担付款义务之前提条件。</w:t>
      </w:r>
    </w:p>
    <w:p>
      <w:pPr>
        <w:pStyle w:val="56"/>
        <w:keepNext/>
        <w:keepLines/>
        <w:spacing w:before="120" w:after="120"/>
        <w:ind w:firstLine="500"/>
        <w:outlineLvl w:val="4"/>
        <w:rPr>
          <w:rFonts w:ascii="宋体" w:hAnsi="宋体"/>
          <w:b/>
          <w:szCs w:val="20"/>
          <w:highlight w:val="none"/>
        </w:rPr>
      </w:pPr>
      <w:bookmarkStart w:id="65" w:name="_Toc202676909"/>
      <w:bookmarkStart w:id="66" w:name="_Toc246596616"/>
      <w:r>
        <w:rPr>
          <w:rFonts w:hint="eastAsia" w:ascii="宋体" w:hAnsi="宋体"/>
          <w:b/>
          <w:szCs w:val="20"/>
          <w:highlight w:val="none"/>
        </w:rPr>
        <w:t>3.2 声明</w:t>
      </w:r>
      <w:bookmarkEnd w:id="65"/>
      <w:bookmarkEnd w:id="66"/>
    </w:p>
    <w:p>
      <w:pPr>
        <w:pStyle w:val="56"/>
        <w:spacing w:beforeLines="25" w:afterLines="25"/>
        <w:ind w:firstLine="478" w:firstLineChars="237"/>
        <w:rPr>
          <w:rFonts w:ascii="宋体" w:hAnsi="宋体"/>
          <w:sz w:val="20"/>
          <w:highlight w:val="none"/>
        </w:rPr>
      </w:pPr>
      <w:r>
        <w:rPr>
          <w:rFonts w:hint="eastAsia" w:ascii="宋体" w:hAnsi="宋体"/>
          <w:sz w:val="20"/>
          <w:highlight w:val="none"/>
        </w:rPr>
        <w:t>每一方特此向另一方声明如下：</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a）其依据中国法律设立和组建；</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b）其完全有权签署本协议且能够履行本协议项下义务；</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c）其完全有权并能够执行本协议第</w:t>
      </w:r>
      <w:r>
        <w:rPr>
          <w:highlight w:val="none"/>
        </w:rPr>
        <w:fldChar w:fldCharType="begin"/>
      </w:r>
      <w:r>
        <w:rPr>
          <w:highlight w:val="none"/>
        </w:rPr>
        <w:instrText xml:space="preserve"> HYPERLINK \l "_第十九章__争议的解决" </w:instrText>
      </w:r>
      <w:r>
        <w:rPr>
          <w:highlight w:val="none"/>
        </w:rPr>
        <w:fldChar w:fldCharType="separate"/>
      </w:r>
      <w:r>
        <w:rPr>
          <w:rFonts w:hint="eastAsia" w:ascii="宋体" w:hAnsi="宋体"/>
          <w:sz w:val="20"/>
          <w:szCs w:val="20"/>
          <w:highlight w:val="none"/>
        </w:rPr>
        <w:t>1</w:t>
      </w:r>
      <w:bookmarkStart w:id="67" w:name="_Hlt246687786"/>
      <w:r>
        <w:rPr>
          <w:rFonts w:hint="eastAsia" w:ascii="宋体" w:hAnsi="宋体"/>
          <w:sz w:val="20"/>
          <w:szCs w:val="20"/>
          <w:highlight w:val="none"/>
        </w:rPr>
        <w:t>9</w:t>
      </w:r>
      <w:bookmarkEnd w:id="67"/>
      <w:r>
        <w:rPr>
          <w:rFonts w:hint="eastAsia" w:ascii="宋体" w:hAnsi="宋体"/>
          <w:sz w:val="20"/>
          <w:szCs w:val="20"/>
          <w:highlight w:val="none"/>
        </w:rPr>
        <w:fldChar w:fldCharType="end"/>
      </w:r>
      <w:r>
        <w:rPr>
          <w:rFonts w:hint="eastAsia" w:ascii="宋体" w:hAnsi="宋体"/>
          <w:sz w:val="20"/>
          <w:highlight w:val="none"/>
        </w:rPr>
        <w:t>章规定的争议解决程序。该条项下所作的决定、裁决和补救措施对该方是有效的且可强制执行。</w:t>
      </w:r>
    </w:p>
    <w:p>
      <w:pPr>
        <w:pStyle w:val="56"/>
        <w:keepNext/>
        <w:keepLines/>
        <w:spacing w:before="120" w:after="120"/>
        <w:ind w:firstLine="500"/>
        <w:outlineLvl w:val="4"/>
        <w:rPr>
          <w:rFonts w:ascii="宋体" w:hAnsi="宋体"/>
          <w:b/>
          <w:szCs w:val="20"/>
          <w:highlight w:val="none"/>
        </w:rPr>
      </w:pPr>
      <w:bookmarkStart w:id="68" w:name="_3.3_水务局的陈述和保证"/>
      <w:bookmarkEnd w:id="68"/>
      <w:bookmarkStart w:id="69" w:name="_Toc202676910"/>
      <w:bookmarkStart w:id="70" w:name="_Toc246596617"/>
      <w:r>
        <w:rPr>
          <w:rFonts w:hint="eastAsia" w:ascii="宋体" w:hAnsi="宋体"/>
          <w:b/>
          <w:szCs w:val="20"/>
          <w:highlight w:val="none"/>
        </w:rPr>
        <w:t>3.3 甲方的陈述和保证</w:t>
      </w:r>
      <w:bookmarkEnd w:id="69"/>
      <w:bookmarkEnd w:id="70"/>
    </w:p>
    <w:p>
      <w:pPr>
        <w:pStyle w:val="56"/>
        <w:spacing w:beforeLines="25" w:afterLines="25"/>
        <w:ind w:firstLine="478" w:firstLineChars="237"/>
        <w:rPr>
          <w:rFonts w:ascii="宋体" w:hAnsi="宋体"/>
          <w:sz w:val="20"/>
          <w:highlight w:val="none"/>
        </w:rPr>
      </w:pPr>
      <w:r>
        <w:rPr>
          <w:rFonts w:hint="eastAsia" w:ascii="宋体" w:hAnsi="宋体"/>
          <w:sz w:val="20"/>
          <w:highlight w:val="none"/>
        </w:rPr>
        <w:t>在本协议正式签署生效日起：</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3.3.1  有权按或取或付原则支付或收取费用；</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3.3.2  如果甲方在本项第</w:t>
      </w:r>
      <w:r>
        <w:rPr>
          <w:highlight w:val="none"/>
        </w:rPr>
        <w:fldChar w:fldCharType="begin"/>
      </w:r>
      <w:r>
        <w:rPr>
          <w:highlight w:val="none"/>
        </w:rPr>
        <w:instrText xml:space="preserve"> HYPERLINK "file:///C:\\Users\\szdfdywzm\\Desktop\\深圳排水处运营标\\提交文件夹\\特许协议改造版.doc" \l "_3.2_区政府的声明#_3.2_区政府的声明" </w:instrText>
      </w:r>
      <w:r>
        <w:rPr>
          <w:highlight w:val="none"/>
        </w:rPr>
        <w:fldChar w:fldCharType="separate"/>
      </w:r>
      <w:r>
        <w:rPr>
          <w:rFonts w:hint="eastAsia" w:ascii="宋体" w:hAnsi="宋体"/>
          <w:sz w:val="20"/>
          <w:szCs w:val="20"/>
          <w:highlight w:val="none"/>
        </w:rPr>
        <w:t>3.3</w:t>
      </w:r>
      <w:r>
        <w:rPr>
          <w:rFonts w:hint="eastAsia" w:ascii="宋体" w:hAnsi="宋体"/>
          <w:sz w:val="20"/>
          <w:szCs w:val="20"/>
          <w:highlight w:val="none"/>
        </w:rPr>
        <w:fldChar w:fldCharType="end"/>
      </w:r>
      <w:r>
        <w:rPr>
          <w:rFonts w:hint="eastAsia" w:ascii="宋体" w:hAnsi="宋体"/>
          <w:sz w:val="20"/>
          <w:highlight w:val="none"/>
        </w:rPr>
        <w:t>条下所作的声明被证明在做出之时在实质方面不正确，乙方应有权根据第</w:t>
      </w:r>
      <w:r>
        <w:rPr>
          <w:highlight w:val="none"/>
        </w:rPr>
        <w:fldChar w:fldCharType="begin"/>
      </w:r>
      <w:r>
        <w:rPr>
          <w:highlight w:val="none"/>
        </w:rPr>
        <w:instrText xml:space="preserve"> HYPERLINK \l "_16.1_赔偿" </w:instrText>
      </w:r>
      <w:r>
        <w:rPr>
          <w:highlight w:val="none"/>
        </w:rPr>
        <w:fldChar w:fldCharType="separate"/>
      </w:r>
      <w:r>
        <w:rPr>
          <w:rFonts w:hint="eastAsia" w:ascii="宋体" w:hAnsi="宋体"/>
          <w:sz w:val="20"/>
          <w:szCs w:val="20"/>
          <w:highlight w:val="none"/>
        </w:rPr>
        <w:t>1</w:t>
      </w:r>
      <w:bookmarkStart w:id="71" w:name="_Hlt86164521"/>
      <w:r>
        <w:rPr>
          <w:rFonts w:hint="eastAsia" w:ascii="宋体" w:hAnsi="宋体"/>
          <w:sz w:val="20"/>
          <w:szCs w:val="20"/>
          <w:highlight w:val="none"/>
        </w:rPr>
        <w:t>6.</w:t>
      </w:r>
      <w:bookmarkEnd w:id="71"/>
      <w:r>
        <w:rPr>
          <w:rFonts w:hint="eastAsia" w:ascii="宋体" w:hAnsi="宋体"/>
          <w:sz w:val="20"/>
          <w:szCs w:val="20"/>
          <w:highlight w:val="none"/>
        </w:rPr>
        <w:t>1</w:t>
      </w:r>
      <w:r>
        <w:rPr>
          <w:rFonts w:hint="eastAsia" w:ascii="宋体" w:hAnsi="宋体"/>
          <w:sz w:val="20"/>
          <w:szCs w:val="20"/>
          <w:highlight w:val="none"/>
        </w:rPr>
        <w:fldChar w:fldCharType="end"/>
      </w:r>
      <w:r>
        <w:rPr>
          <w:rFonts w:hint="eastAsia" w:ascii="宋体" w:hAnsi="宋体"/>
          <w:sz w:val="20"/>
          <w:highlight w:val="none"/>
        </w:rPr>
        <w:t>条就任何有关损害获得赔偿，且在第</w:t>
      </w:r>
      <w:r>
        <w:rPr>
          <w:highlight w:val="none"/>
        </w:rPr>
        <w:fldChar w:fldCharType="begin"/>
      </w:r>
      <w:r>
        <w:rPr>
          <w:highlight w:val="none"/>
        </w:rPr>
        <w:instrText xml:space="preserve"> HYPERLINK \l "_15.3_市水务局违约事件" </w:instrText>
      </w:r>
      <w:r>
        <w:rPr>
          <w:highlight w:val="none"/>
        </w:rPr>
        <w:fldChar w:fldCharType="separate"/>
      </w:r>
      <w:r>
        <w:rPr>
          <w:rFonts w:hint="eastAsia" w:ascii="宋体" w:hAnsi="宋体"/>
          <w:sz w:val="20"/>
          <w:szCs w:val="20"/>
          <w:highlight w:val="none"/>
        </w:rPr>
        <w:t>15</w:t>
      </w:r>
      <w:bookmarkStart w:id="72" w:name="_Hlt246688235"/>
      <w:bookmarkStart w:id="73" w:name="_Hlt246688236"/>
      <w:bookmarkStart w:id="74" w:name="_Hlt246688133"/>
      <w:r>
        <w:rPr>
          <w:rFonts w:hint="eastAsia" w:ascii="宋体" w:hAnsi="宋体"/>
          <w:sz w:val="20"/>
          <w:szCs w:val="20"/>
          <w:highlight w:val="none"/>
        </w:rPr>
        <w:t>.</w:t>
      </w:r>
      <w:bookmarkEnd w:id="72"/>
      <w:bookmarkEnd w:id="73"/>
      <w:bookmarkEnd w:id="74"/>
      <w:r>
        <w:rPr>
          <w:rFonts w:hint="eastAsia" w:ascii="宋体" w:hAnsi="宋体"/>
          <w:sz w:val="20"/>
          <w:szCs w:val="20"/>
          <w:highlight w:val="none"/>
        </w:rPr>
        <w:t>3</w:t>
      </w:r>
      <w:r>
        <w:rPr>
          <w:rFonts w:hint="eastAsia" w:ascii="宋体" w:hAnsi="宋体"/>
          <w:sz w:val="20"/>
          <w:szCs w:val="20"/>
          <w:highlight w:val="none"/>
        </w:rPr>
        <w:fldChar w:fldCharType="end"/>
      </w:r>
      <w:r>
        <w:rPr>
          <w:rFonts w:hint="eastAsia" w:ascii="宋体" w:hAnsi="宋体"/>
          <w:sz w:val="20"/>
          <w:highlight w:val="none"/>
        </w:rPr>
        <w:t>条所述的情况下，有权终止或部分终止本协议。</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3.3.3  甲方将确保在整个运营期内：</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污水处理厂已建成项目设施用地归甲方所有并将无偿交与乙方接收后使用，且土地用途双方均不得随意更改。乙方有权为本项目之目的在运营期内合法、独占性地使用污水处理厂项目近期（远期，如有）设施用地。</w:t>
      </w:r>
    </w:p>
    <w:p>
      <w:pPr>
        <w:pStyle w:val="56"/>
        <w:keepNext/>
        <w:keepLines/>
        <w:spacing w:before="120" w:after="120"/>
        <w:ind w:firstLine="500"/>
        <w:outlineLvl w:val="4"/>
        <w:rPr>
          <w:rFonts w:ascii="宋体" w:hAnsi="宋体"/>
          <w:b/>
          <w:szCs w:val="20"/>
          <w:highlight w:val="none"/>
        </w:rPr>
      </w:pPr>
      <w:bookmarkStart w:id="75" w:name="_3.4_履约保证"/>
      <w:bookmarkEnd w:id="75"/>
      <w:bookmarkStart w:id="76" w:name="_Toc246596618"/>
      <w:bookmarkStart w:id="77" w:name="_Toc27599"/>
      <w:r>
        <w:rPr>
          <w:rFonts w:hint="eastAsia" w:ascii="宋体" w:hAnsi="宋体"/>
          <w:b/>
          <w:szCs w:val="20"/>
          <w:highlight w:val="none"/>
        </w:rPr>
        <w:t>3.4 履约保证</w:t>
      </w:r>
      <w:bookmarkEnd w:id="76"/>
      <w:bookmarkEnd w:id="77"/>
    </w:p>
    <w:p>
      <w:pPr>
        <w:pStyle w:val="56"/>
        <w:spacing w:beforeLines="25" w:afterLines="25"/>
        <w:ind w:firstLine="478" w:firstLineChars="237"/>
        <w:rPr>
          <w:rFonts w:ascii="宋体" w:hAnsi="宋体"/>
          <w:sz w:val="20"/>
          <w:highlight w:val="none"/>
          <w:u w:val="single"/>
        </w:rPr>
      </w:pPr>
      <w:r>
        <w:rPr>
          <w:rFonts w:hint="eastAsia" w:ascii="宋体" w:hAnsi="宋体"/>
          <w:sz w:val="20"/>
          <w:highlight w:val="none"/>
        </w:rPr>
        <w:t xml:space="preserve">3.4.1 </w:t>
      </w:r>
      <w:r>
        <w:rPr>
          <w:rFonts w:hint="eastAsia" w:ascii="宋体" w:hAnsi="宋体"/>
          <w:sz w:val="20"/>
          <w:highlight w:val="none"/>
          <w:u w:val="single"/>
        </w:rPr>
        <w:t>乙方应在本运营服务协议正式签署后十（10）个日历天内，向甲方提交一份经甲方认可的按照</w:t>
      </w:r>
      <w:r>
        <w:rPr>
          <w:highlight w:val="none"/>
        </w:rPr>
        <w:fldChar w:fldCharType="begin"/>
      </w:r>
      <w:r>
        <w:rPr>
          <w:highlight w:val="none"/>
        </w:rPr>
        <w:instrText xml:space="preserve"> HYPERLINK "file:///C:\\Users\\szdfdywzm\\Desktop\\深圳排水处运营标\\提交文件夹\\特许协议改造版.doc" \l "_附件5_履约保函格式#_附件5_履约保函格式" </w:instrText>
      </w:r>
      <w:r>
        <w:rPr>
          <w:highlight w:val="none"/>
        </w:rPr>
        <w:fldChar w:fldCharType="separate"/>
      </w:r>
      <w:r>
        <w:rPr>
          <w:rFonts w:hint="eastAsia" w:ascii="宋体" w:hAnsi="宋体"/>
          <w:sz w:val="20"/>
          <w:szCs w:val="20"/>
          <w:highlight w:val="none"/>
          <w:u w:val="single"/>
        </w:rPr>
        <w:t>附件三</w:t>
      </w:r>
      <w:r>
        <w:rPr>
          <w:rFonts w:hint="eastAsia" w:ascii="宋体" w:hAnsi="宋体"/>
          <w:sz w:val="20"/>
          <w:szCs w:val="20"/>
          <w:highlight w:val="none"/>
          <w:u w:val="single"/>
        </w:rPr>
        <w:fldChar w:fldCharType="end"/>
      </w:r>
      <w:r>
        <w:rPr>
          <w:rFonts w:hint="eastAsia" w:ascii="宋体" w:hAnsi="宋体"/>
          <w:sz w:val="20"/>
          <w:highlight w:val="none"/>
          <w:u w:val="single"/>
        </w:rPr>
        <w:t>格式出具的履约保函，以保证乙方履行本协议项下</w:t>
      </w:r>
      <w:bookmarkStart w:id="78" w:name="_Hlt86164009"/>
      <w:bookmarkEnd w:id="78"/>
      <w:r>
        <w:rPr>
          <w:rFonts w:hint="eastAsia" w:ascii="宋体" w:hAnsi="宋体"/>
          <w:sz w:val="20"/>
          <w:highlight w:val="none"/>
          <w:u w:val="single"/>
        </w:rPr>
        <w:t>有关项目设施接收和正常运营维护的义务，该保函金额按照运营期运营服务费签约合同价       万元的 %确定，定为</w:t>
      </w:r>
      <w:bookmarkStart w:id="79" w:name="_Hlt212315530"/>
      <w:bookmarkEnd w:id="79"/>
      <w:r>
        <w:rPr>
          <w:rFonts w:hint="eastAsia" w:ascii="宋体" w:hAnsi="宋体"/>
          <w:sz w:val="20"/>
          <w:highlight w:val="none"/>
          <w:u w:val="single"/>
        </w:rPr>
        <w:t>：人民币      万元整（￥         元），保函有效期为运营服务协议正式签署后直至运营期满后的六（6）个月。</w:t>
      </w:r>
    </w:p>
    <w:p>
      <w:pPr>
        <w:pStyle w:val="56"/>
        <w:spacing w:beforeLines="25" w:afterLines="25"/>
        <w:ind w:firstLine="478" w:firstLineChars="237"/>
        <w:rPr>
          <w:rFonts w:ascii="宋体" w:hAnsi="宋体"/>
          <w:sz w:val="20"/>
          <w:highlight w:val="none"/>
          <w:u w:val="single"/>
        </w:rPr>
      </w:pPr>
      <w:r>
        <w:rPr>
          <w:rFonts w:hint="eastAsia" w:ascii="宋体" w:hAnsi="宋体"/>
          <w:sz w:val="20"/>
          <w:highlight w:val="none"/>
          <w:u w:val="single"/>
        </w:rPr>
        <w:t>乙方未按期缴纳履约保函的，按下述条款处理：（1）逾期10个日历天（含）内的，每天按应缴纳金额的万分之五收缴违约金；（2）超过10个日历天，每天按应缴纳金额的千分之一收缴违约金；（3）超过20个日历天以上仍未缴纳的，列入不良行为予以通报，同时，甲方有权解除协议；（4）逾期缴纳的须将履约保函和违约金足额缴纳后，方可支付运营服务费用。</w:t>
      </w:r>
    </w:p>
    <w:p>
      <w:pPr>
        <w:pStyle w:val="56"/>
        <w:spacing w:beforeLines="25" w:afterLines="25"/>
        <w:ind w:firstLine="478" w:firstLineChars="237"/>
        <w:rPr>
          <w:rFonts w:ascii="宋体" w:hAnsi="宋体"/>
          <w:sz w:val="20"/>
          <w:highlight w:val="none"/>
          <w:u w:val="single"/>
        </w:rPr>
      </w:pPr>
      <w:r>
        <w:rPr>
          <w:rFonts w:hint="eastAsia" w:ascii="宋体" w:hAnsi="宋体"/>
          <w:sz w:val="20"/>
          <w:highlight w:val="none"/>
          <w:u w:val="single"/>
        </w:rPr>
        <w:t>实际履约过程中如保函已失效，但尚未达到协议约定退还条件的，乙方应当办理续保，或者缴纳相当的现金履约保证金，保函续保或提交相当的现金履约保证金须在保函失效日前办理完毕，每超过一个日历天的，每天按应缴金额的万分之五缴纳违约金，且停止支付运营服务费用，直至缴清为止。</w:t>
      </w:r>
    </w:p>
    <w:p>
      <w:pPr>
        <w:pStyle w:val="56"/>
        <w:spacing w:beforeLines="25" w:afterLines="25"/>
        <w:ind w:firstLine="478" w:firstLineChars="237"/>
        <w:rPr>
          <w:rFonts w:ascii="宋体" w:hAnsi="宋体"/>
          <w:sz w:val="20"/>
          <w:highlight w:val="none"/>
          <w:u w:val="single"/>
        </w:rPr>
      </w:pPr>
      <w:r>
        <w:rPr>
          <w:rFonts w:hint="eastAsia" w:ascii="宋体" w:hAnsi="宋体"/>
          <w:sz w:val="20"/>
          <w:highlight w:val="none"/>
          <w:u w:val="single"/>
        </w:rPr>
        <w:t>本履约保函仅作为在协议履行期内对乙方的约束，并不代表乙方应负责任或应承担补偿、赔偿金额的限额。</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3.4.</w:t>
      </w:r>
      <w:bookmarkStart w:id="80" w:name="_Toc198955818"/>
      <w:r>
        <w:rPr>
          <w:rFonts w:hint="eastAsia" w:ascii="宋体" w:hAnsi="宋体"/>
          <w:sz w:val="20"/>
          <w:highlight w:val="none"/>
        </w:rPr>
        <w:t>2 履约保证的修改</w:t>
      </w:r>
      <w:bookmarkEnd w:id="80"/>
      <w:r>
        <w:rPr>
          <w:rFonts w:hint="eastAsia" w:ascii="宋体" w:hAnsi="宋体"/>
          <w:sz w:val="20"/>
          <w:highlight w:val="none"/>
        </w:rPr>
        <w:t>。如本协议任何部分经修改、变更或展延期限，致任何一种履约保证有失去效力的风险时，</w:t>
      </w:r>
      <w:bookmarkStart w:id="81" w:name="_Hlt199868814"/>
      <w:bookmarkEnd w:id="81"/>
      <w:r>
        <w:rPr>
          <w:rFonts w:hint="eastAsia" w:ascii="宋体" w:hAnsi="宋体"/>
          <w:sz w:val="20"/>
          <w:highlight w:val="none"/>
        </w:rPr>
        <w:t>甲方有权要求乙方修改该履约保证，或另行取得适当的履约保证，并于原履约保证失效前交付甲方。</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3.4.</w:t>
      </w:r>
      <w:bookmarkStart w:id="82" w:name="_Toc198955819"/>
      <w:r>
        <w:rPr>
          <w:rFonts w:hint="eastAsia" w:ascii="宋体" w:hAnsi="宋体"/>
          <w:sz w:val="20"/>
          <w:highlight w:val="none"/>
        </w:rPr>
        <w:t>3 履约保证金的提取</w:t>
      </w:r>
      <w:bookmarkEnd w:id="82"/>
      <w:r>
        <w:rPr>
          <w:rFonts w:hint="eastAsia" w:ascii="宋体" w:hAnsi="宋体"/>
          <w:sz w:val="20"/>
          <w:highlight w:val="none"/>
        </w:rPr>
        <w:t>。如乙方根据本协议规定应向甲方给付违约金或其它损害赔偿或费用时，或因乙方有违约情形导致甲方终止本协议的一部分或全部，甲方有权直接兑取履约保函的一部分或全部以扣抵乙方应给付的金额。</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3.4.4 在项目正常履约的前提条件下，甲方将在履约保函有效期满后三十（30）日内退还（无息）履约保函。</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3.4.5 在本项目运营期内的履约保证有效期间，如果发生非</w:t>
      </w:r>
      <w:bookmarkStart w:id="83" w:name="_Hlt92863371"/>
      <w:bookmarkEnd w:id="83"/>
      <w:r>
        <w:rPr>
          <w:rFonts w:hint="eastAsia" w:ascii="宋体" w:hAnsi="宋体"/>
          <w:sz w:val="20"/>
          <w:highlight w:val="none"/>
        </w:rPr>
        <w:t>乙方违约原因造成的项目终止，甲方应在项目终止日后三十（30）日内，解除并退还履约保函给乙方。</w:t>
      </w:r>
    </w:p>
    <w:p>
      <w:pPr>
        <w:pStyle w:val="56"/>
        <w:keepNext/>
        <w:keepLines/>
        <w:spacing w:before="120" w:after="120"/>
        <w:ind w:firstLine="500"/>
        <w:outlineLvl w:val="4"/>
        <w:rPr>
          <w:rFonts w:ascii="宋体" w:hAnsi="宋体"/>
          <w:b/>
          <w:szCs w:val="20"/>
          <w:highlight w:val="none"/>
        </w:rPr>
      </w:pPr>
      <w:bookmarkStart w:id="84" w:name="_Toc246596619"/>
      <w:r>
        <w:rPr>
          <w:rFonts w:hint="eastAsia" w:ascii="宋体" w:hAnsi="宋体"/>
          <w:b/>
          <w:szCs w:val="20"/>
          <w:highlight w:val="none"/>
        </w:rPr>
        <w:t>3.5 运营项目公司</w:t>
      </w:r>
      <w:bookmarkEnd w:id="84"/>
      <w:r>
        <w:rPr>
          <w:rFonts w:hint="eastAsia" w:ascii="宋体" w:hAnsi="宋体"/>
          <w:b/>
          <w:szCs w:val="20"/>
          <w:highlight w:val="none"/>
        </w:rPr>
        <w:t>设立</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 xml:space="preserve">3.5.1 </w:t>
      </w:r>
      <w:r>
        <w:rPr>
          <w:rFonts w:hint="eastAsia" w:ascii="宋体" w:hAnsi="宋体"/>
          <w:sz w:val="20"/>
          <w:highlight w:val="none"/>
          <w:u w:val="single"/>
        </w:rPr>
        <w:t>乙方自收到中标通知书五（5）个工作日内设立全资运营项目公司。运营项目公司为依据中华人民共和国法律在衢州市衢江区合法注册成立、具有独立法人资格和实行独立核算的运营企业，且经乙方合法授权具有全面负责和</w:t>
      </w:r>
      <w:bookmarkStart w:id="85" w:name="_Hlt215642248"/>
      <w:bookmarkEnd w:id="85"/>
      <w:r>
        <w:rPr>
          <w:rFonts w:hint="eastAsia" w:ascii="宋体" w:hAnsi="宋体"/>
          <w:sz w:val="20"/>
          <w:highlight w:val="none"/>
          <w:u w:val="single"/>
        </w:rPr>
        <w:t>履行本协议条款及条件的权利、责任</w:t>
      </w:r>
      <w:bookmarkStart w:id="86" w:name="_Hlt215972425"/>
      <w:r>
        <w:rPr>
          <w:rFonts w:hint="eastAsia" w:ascii="宋体" w:hAnsi="宋体"/>
          <w:sz w:val="20"/>
          <w:highlight w:val="none"/>
          <w:u w:val="single"/>
        </w:rPr>
        <w:t>和</w:t>
      </w:r>
      <w:bookmarkEnd w:id="86"/>
      <w:r>
        <w:rPr>
          <w:rFonts w:hint="eastAsia" w:ascii="宋体" w:hAnsi="宋体"/>
          <w:sz w:val="20"/>
          <w:highlight w:val="none"/>
          <w:u w:val="single"/>
        </w:rPr>
        <w:t>义务；</w:t>
      </w:r>
    </w:p>
    <w:p>
      <w:pPr>
        <w:pStyle w:val="56"/>
        <w:spacing w:beforeLines="25" w:afterLines="25"/>
        <w:ind w:firstLine="478" w:firstLineChars="237"/>
        <w:rPr>
          <w:rFonts w:ascii="宋体" w:hAnsi="宋体"/>
          <w:sz w:val="20"/>
          <w:highlight w:val="none"/>
          <w:u w:val="single"/>
        </w:rPr>
      </w:pPr>
      <w:r>
        <w:rPr>
          <w:rFonts w:hint="eastAsia" w:ascii="宋体" w:hAnsi="宋体"/>
          <w:sz w:val="20"/>
          <w:highlight w:val="none"/>
          <w:u w:val="single"/>
        </w:rPr>
        <w:t>3.5.2 运营项目公司的注册资本金为人民币</w:t>
      </w:r>
      <w:r>
        <w:rPr>
          <w:rFonts w:hint="eastAsia" w:ascii="宋体" w:hAnsi="宋体"/>
          <w:color w:val="FF0000"/>
          <w:sz w:val="20"/>
          <w:highlight w:val="none"/>
          <w:u w:val="single"/>
        </w:rPr>
        <w:t xml:space="preserve">   </w:t>
      </w:r>
      <w:r>
        <w:rPr>
          <w:rFonts w:hint="eastAsia" w:ascii="宋体" w:hAnsi="宋体"/>
          <w:sz w:val="20"/>
          <w:highlight w:val="none"/>
          <w:u w:val="single"/>
        </w:rPr>
        <w:t>万元，出资方式为：货币，乙方完成注册后一周内一次实缴到位；</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3.5.3运营项目公司将完全接受甲方在招标文件中对所有已方提出的要求和承担乙方所提交投标文件中对甲方在义务和责任等方面所做出的承诺；</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3.5.4 未经甲方事先书面同意，运营项目公司不得将本协议第</w:t>
      </w:r>
      <w:r>
        <w:rPr>
          <w:highlight w:val="none"/>
        </w:rPr>
        <w:fldChar w:fldCharType="begin"/>
      </w:r>
      <w:r>
        <w:rPr>
          <w:highlight w:val="none"/>
        </w:rPr>
        <w:instrText xml:space="preserve"> HYPERLINK \l "_3.3_水务局的陈述和保证" </w:instrText>
      </w:r>
      <w:r>
        <w:rPr>
          <w:highlight w:val="none"/>
        </w:rPr>
        <w:fldChar w:fldCharType="separate"/>
      </w:r>
      <w:r>
        <w:rPr>
          <w:rFonts w:hint="eastAsia" w:ascii="宋体" w:hAnsi="宋体"/>
          <w:sz w:val="20"/>
          <w:highlight w:val="none"/>
        </w:rPr>
        <w:t>3.</w:t>
      </w:r>
      <w:bookmarkStart w:id="87" w:name="_Hlt215573580"/>
      <w:bookmarkStart w:id="88" w:name="_Hlt215573619"/>
      <w:r>
        <w:rPr>
          <w:rFonts w:hint="eastAsia" w:ascii="宋体" w:hAnsi="宋体"/>
          <w:sz w:val="20"/>
          <w:highlight w:val="none"/>
        </w:rPr>
        <w:t>3</w:t>
      </w:r>
      <w:bookmarkEnd w:id="87"/>
      <w:bookmarkEnd w:id="88"/>
      <w:r>
        <w:rPr>
          <w:rFonts w:hint="eastAsia" w:ascii="宋体" w:hAnsi="宋体"/>
          <w:sz w:val="20"/>
          <w:highlight w:val="none"/>
        </w:rPr>
        <w:t>.</w:t>
      </w:r>
      <w:r>
        <w:rPr>
          <w:rFonts w:hint="eastAsia" w:ascii="宋体" w:hAnsi="宋体"/>
          <w:sz w:val="20"/>
          <w:highlight w:val="none"/>
        </w:rPr>
        <w:fldChar w:fldCharType="end"/>
      </w:r>
      <w:r>
        <w:rPr>
          <w:rFonts w:hint="eastAsia" w:ascii="宋体" w:hAnsi="宋体"/>
          <w:sz w:val="20"/>
          <w:highlight w:val="none"/>
        </w:rPr>
        <w:t>3条款提到的任何土地用于本项目之外的任何目的。在本项目区域内，如果甲方需要对现有设施进行扩建、</w:t>
      </w:r>
      <w:r>
        <w:rPr>
          <w:rFonts w:hint="eastAsia" w:ascii="宋体" w:hAnsi="宋体"/>
          <w:sz w:val="20"/>
          <w:szCs w:val="22"/>
          <w:highlight w:val="none"/>
        </w:rPr>
        <w:t>增加中水回用、污泥处理等项目设施的建设，甲方有权在尽量不影响运营项目公司正常运作的前提下（如确</w:t>
      </w:r>
      <w:r>
        <w:rPr>
          <w:rFonts w:hint="eastAsia" w:ascii="宋体" w:hAnsi="宋体"/>
          <w:sz w:val="20"/>
          <w:highlight w:val="none"/>
        </w:rPr>
        <w:t>有影响双方可另行协商解决办法），使用污水处理厂区内的预留用地、公用或共用设施等，对此运营项目公司须无条件予以协助配合并按建设要求预先做好协调安排。</w:t>
      </w:r>
    </w:p>
    <w:p>
      <w:pPr>
        <w:pStyle w:val="56"/>
        <w:spacing w:beforeLines="25" w:afterLines="25"/>
        <w:ind w:firstLine="478" w:firstLineChars="237"/>
        <w:rPr>
          <w:rFonts w:hint="eastAsia" w:ascii="宋体" w:hAnsi="宋体" w:eastAsia="宋体"/>
          <w:sz w:val="20"/>
          <w:highlight w:val="none"/>
          <w:lang w:eastAsia="zh-CN"/>
        </w:rPr>
      </w:pPr>
      <w:r>
        <w:rPr>
          <w:rFonts w:hint="eastAsia" w:ascii="宋体" w:hAnsi="宋体"/>
          <w:sz w:val="20"/>
          <w:highlight w:val="none"/>
        </w:rPr>
        <w:t>3.5.5运营公司的人员包括;项目运营负责人（厂长）</w:t>
      </w:r>
      <w:r>
        <w:rPr>
          <w:rFonts w:hint="eastAsia" w:ascii="宋体" w:hAnsi="宋体"/>
          <w:sz w:val="20"/>
          <w:highlight w:val="none"/>
          <w:lang w:eastAsia="zh-CN"/>
        </w:rPr>
        <w:t>、</w:t>
      </w:r>
      <w:r>
        <w:rPr>
          <w:rFonts w:hint="eastAsia" w:ascii="宋体" w:hAnsi="宋体"/>
          <w:sz w:val="20"/>
          <w:highlight w:val="none"/>
        </w:rPr>
        <w:t>项目运营技术负责人</w:t>
      </w:r>
      <w:r>
        <w:rPr>
          <w:rFonts w:hint="eastAsia" w:ascii="宋体" w:hAnsi="宋体"/>
          <w:sz w:val="20"/>
          <w:highlight w:val="none"/>
          <w:lang w:eastAsia="zh-CN"/>
        </w:rPr>
        <w:t>、</w:t>
      </w:r>
      <w:r>
        <w:rPr>
          <w:rFonts w:hint="eastAsia" w:ascii="宋体" w:hAnsi="宋体"/>
          <w:sz w:val="20"/>
          <w:highlight w:val="none"/>
        </w:rPr>
        <w:t>财会人员</w:t>
      </w:r>
      <w:r>
        <w:rPr>
          <w:rFonts w:hint="eastAsia" w:ascii="宋体" w:hAnsi="宋体"/>
          <w:sz w:val="20"/>
          <w:highlight w:val="none"/>
          <w:lang w:eastAsia="zh-CN"/>
        </w:rPr>
        <w:t>、</w:t>
      </w:r>
      <w:r>
        <w:rPr>
          <w:rFonts w:hint="eastAsia" w:ascii="宋体" w:hAnsi="宋体"/>
          <w:sz w:val="20"/>
          <w:highlight w:val="none"/>
        </w:rPr>
        <w:t>每镇操作工</w:t>
      </w:r>
      <w:r>
        <w:rPr>
          <w:rFonts w:hint="eastAsia" w:ascii="宋体" w:hAnsi="宋体"/>
          <w:sz w:val="20"/>
          <w:highlight w:val="none"/>
          <w:lang w:eastAsia="zh-CN"/>
        </w:rPr>
        <w:t>、</w:t>
      </w:r>
      <w:r>
        <w:rPr>
          <w:rFonts w:hint="eastAsia" w:ascii="宋体" w:hAnsi="宋体"/>
          <w:sz w:val="20"/>
          <w:highlight w:val="none"/>
        </w:rPr>
        <w:t>水质化验员</w:t>
      </w:r>
      <w:r>
        <w:rPr>
          <w:rFonts w:hint="eastAsia" w:ascii="宋体" w:hAnsi="宋体"/>
          <w:sz w:val="20"/>
          <w:highlight w:val="none"/>
          <w:lang w:eastAsia="zh-CN"/>
        </w:rPr>
        <w:t>、</w:t>
      </w:r>
      <w:r>
        <w:rPr>
          <w:rFonts w:hint="eastAsia" w:ascii="宋体" w:hAnsi="宋体"/>
          <w:sz w:val="20"/>
          <w:highlight w:val="none"/>
        </w:rPr>
        <w:t>巡查员</w:t>
      </w:r>
      <w:r>
        <w:rPr>
          <w:rFonts w:hint="eastAsia" w:ascii="宋体" w:hAnsi="宋体"/>
          <w:sz w:val="20"/>
          <w:highlight w:val="none"/>
          <w:lang w:eastAsia="zh-CN"/>
        </w:rPr>
        <w:t>、</w:t>
      </w:r>
      <w:r>
        <w:rPr>
          <w:rFonts w:hint="eastAsia" w:ascii="宋体" w:hAnsi="宋体"/>
          <w:sz w:val="20"/>
          <w:highlight w:val="none"/>
        </w:rPr>
        <w:t>电工</w:t>
      </w:r>
      <w:r>
        <w:rPr>
          <w:rFonts w:hint="eastAsia" w:ascii="宋体" w:hAnsi="宋体"/>
          <w:sz w:val="20"/>
          <w:highlight w:val="none"/>
          <w:lang w:eastAsia="zh-CN"/>
        </w:rPr>
        <w:t>、</w:t>
      </w:r>
      <w:r>
        <w:rPr>
          <w:rFonts w:hint="eastAsia" w:ascii="宋体" w:hAnsi="宋体"/>
          <w:sz w:val="20"/>
          <w:highlight w:val="none"/>
        </w:rPr>
        <w:t>水生产、输排和水处理人员</w:t>
      </w:r>
      <w:r>
        <w:rPr>
          <w:rFonts w:hint="eastAsia" w:ascii="宋体" w:hAnsi="宋体"/>
          <w:sz w:val="20"/>
          <w:highlight w:val="none"/>
          <w:lang w:eastAsia="zh-CN"/>
        </w:rPr>
        <w:t>。</w:t>
      </w:r>
    </w:p>
    <w:p>
      <w:pPr>
        <w:pStyle w:val="56"/>
        <w:keepNext/>
        <w:keepLines/>
        <w:spacing w:before="120" w:after="120"/>
        <w:ind w:firstLine="500"/>
        <w:outlineLvl w:val="4"/>
        <w:rPr>
          <w:rFonts w:ascii="宋体" w:hAnsi="宋体"/>
          <w:b/>
          <w:szCs w:val="20"/>
          <w:highlight w:val="none"/>
        </w:rPr>
      </w:pPr>
      <w:bookmarkStart w:id="89" w:name="_Toc246596620"/>
      <w:bookmarkStart w:id="90" w:name="_Toc202676911"/>
      <w:r>
        <w:rPr>
          <w:rFonts w:hint="eastAsia" w:ascii="宋体" w:hAnsi="宋体"/>
          <w:b/>
          <w:szCs w:val="20"/>
          <w:highlight w:val="none"/>
        </w:rPr>
        <w:t>3.6 环境污染</w:t>
      </w:r>
      <w:bookmarkEnd w:id="89"/>
      <w:bookmarkEnd w:id="90"/>
    </w:p>
    <w:p>
      <w:pPr>
        <w:pStyle w:val="56"/>
        <w:spacing w:beforeLines="25" w:afterLines="25"/>
        <w:ind w:firstLine="478" w:firstLineChars="237"/>
        <w:rPr>
          <w:rFonts w:ascii="宋体" w:hAnsi="宋体"/>
          <w:sz w:val="20"/>
          <w:highlight w:val="none"/>
        </w:rPr>
      </w:pPr>
      <w:r>
        <w:rPr>
          <w:rFonts w:hint="eastAsia" w:ascii="宋体" w:hAnsi="宋体"/>
          <w:sz w:val="20"/>
          <w:highlight w:val="none"/>
        </w:rPr>
        <w:t>乙方有义务并必须就进行项目设施的接收、运营、维护和期满移交时因环境污染造成的任何损坏、损失、费用或责任对甲方予以赔偿。</w:t>
      </w:r>
    </w:p>
    <w:p>
      <w:pPr>
        <w:pStyle w:val="56"/>
        <w:keepNext/>
        <w:keepLines/>
        <w:spacing w:before="120" w:after="120"/>
        <w:ind w:firstLine="500"/>
        <w:outlineLvl w:val="4"/>
        <w:rPr>
          <w:rFonts w:ascii="宋体" w:hAnsi="宋体"/>
          <w:b/>
          <w:szCs w:val="20"/>
          <w:highlight w:val="none"/>
        </w:rPr>
      </w:pPr>
      <w:bookmarkStart w:id="91" w:name="_Hlt243564613"/>
      <w:bookmarkEnd w:id="91"/>
      <w:bookmarkStart w:id="92" w:name="_Toc246596621"/>
      <w:r>
        <w:rPr>
          <w:rFonts w:hint="eastAsia" w:ascii="宋体" w:hAnsi="宋体"/>
          <w:b/>
          <w:szCs w:val="20"/>
          <w:highlight w:val="none"/>
        </w:rPr>
        <w:t>3.7 乙方未满足之条件</w:t>
      </w:r>
      <w:bookmarkEnd w:id="92"/>
    </w:p>
    <w:p>
      <w:pPr>
        <w:pStyle w:val="56"/>
        <w:spacing w:beforeLines="25" w:afterLines="25"/>
        <w:ind w:firstLine="478" w:firstLineChars="237"/>
        <w:rPr>
          <w:rFonts w:ascii="宋体" w:hAnsi="宋体"/>
          <w:sz w:val="20"/>
          <w:highlight w:val="none"/>
        </w:rPr>
      </w:pPr>
      <w:r>
        <w:rPr>
          <w:rFonts w:hint="eastAsia" w:ascii="宋体" w:hAnsi="宋体"/>
          <w:sz w:val="20"/>
          <w:highlight w:val="none"/>
        </w:rPr>
        <w:t>乙方在</w:t>
      </w:r>
      <w:r>
        <w:rPr>
          <w:highlight w:val="none"/>
        </w:rPr>
        <w:fldChar w:fldCharType="begin"/>
      </w:r>
      <w:r>
        <w:rPr>
          <w:highlight w:val="none"/>
        </w:rPr>
        <w:instrText xml:space="preserve"> HYPERLINK "file:///C:\\Users\\szdfdywzm\\Desktop\\深圳排水处运营标\\提交文件夹\\特许协议终稿转PDF版.doc" \l "_3.4_融资交割#_3.4_融资交割" </w:instrText>
      </w:r>
      <w:r>
        <w:rPr>
          <w:highlight w:val="none"/>
        </w:rPr>
        <w:fldChar w:fldCharType="separate"/>
      </w:r>
      <w:r>
        <w:rPr>
          <w:rFonts w:hint="eastAsia" w:ascii="宋体" w:hAnsi="宋体"/>
          <w:sz w:val="20"/>
          <w:szCs w:val="20"/>
          <w:highlight w:val="none"/>
        </w:rPr>
        <w:t>3.4</w:t>
      </w:r>
      <w:r>
        <w:rPr>
          <w:rFonts w:hint="eastAsia" w:ascii="宋体" w:hAnsi="宋体"/>
          <w:sz w:val="20"/>
          <w:szCs w:val="20"/>
          <w:highlight w:val="none"/>
        </w:rPr>
        <w:fldChar w:fldCharType="end"/>
      </w:r>
      <w:r>
        <w:rPr>
          <w:rFonts w:hint="eastAsia" w:ascii="宋体" w:hAnsi="宋体"/>
          <w:sz w:val="20"/>
          <w:highlight w:val="none"/>
        </w:rPr>
        <w:t>条规定的或双方另行约定的时间内未按第</w:t>
      </w:r>
      <w:r>
        <w:rPr>
          <w:highlight w:val="none"/>
        </w:rPr>
        <w:fldChar w:fldCharType="begin"/>
      </w:r>
      <w:r>
        <w:rPr>
          <w:highlight w:val="none"/>
        </w:rPr>
        <w:instrText xml:space="preserve"> HYPERLINK \l "_3.4_履约保证" </w:instrText>
      </w:r>
      <w:r>
        <w:rPr>
          <w:highlight w:val="none"/>
        </w:rPr>
        <w:fldChar w:fldCharType="separate"/>
      </w:r>
      <w:r>
        <w:rPr>
          <w:rFonts w:hint="eastAsia" w:ascii="宋体" w:hAnsi="宋体"/>
          <w:sz w:val="20"/>
          <w:szCs w:val="20"/>
          <w:highlight w:val="none"/>
        </w:rPr>
        <w:t>3</w:t>
      </w:r>
      <w:bookmarkStart w:id="93" w:name="_Hlt215573395"/>
      <w:r>
        <w:rPr>
          <w:rFonts w:hint="eastAsia" w:ascii="宋体" w:hAnsi="宋体"/>
          <w:sz w:val="20"/>
          <w:szCs w:val="20"/>
          <w:highlight w:val="none"/>
        </w:rPr>
        <w:t>.</w:t>
      </w:r>
      <w:bookmarkEnd w:id="93"/>
      <w:bookmarkStart w:id="94" w:name="_Hlt215573369"/>
      <w:r>
        <w:rPr>
          <w:rFonts w:hint="eastAsia" w:ascii="宋体" w:hAnsi="宋体"/>
          <w:sz w:val="20"/>
          <w:szCs w:val="20"/>
          <w:highlight w:val="none"/>
        </w:rPr>
        <w:t>4</w:t>
      </w:r>
      <w:bookmarkEnd w:id="94"/>
      <w:r>
        <w:rPr>
          <w:rFonts w:hint="eastAsia" w:ascii="宋体" w:hAnsi="宋体"/>
          <w:sz w:val="20"/>
          <w:szCs w:val="20"/>
          <w:highlight w:val="none"/>
        </w:rPr>
        <w:t>.1</w:t>
      </w:r>
      <w:r>
        <w:rPr>
          <w:rFonts w:hint="eastAsia" w:ascii="宋体" w:hAnsi="宋体"/>
          <w:sz w:val="20"/>
          <w:szCs w:val="20"/>
          <w:highlight w:val="none"/>
        </w:rPr>
        <w:fldChar w:fldCharType="end"/>
      </w:r>
      <w:r>
        <w:rPr>
          <w:rFonts w:hint="eastAsia" w:ascii="宋体" w:hAnsi="宋体"/>
          <w:sz w:val="20"/>
          <w:highlight w:val="none"/>
        </w:rPr>
        <w:t>条约定提交履约保函的，则该等行为即构成乙方违约事件，甲方有权终止本协议，且乙方的投标保证金不予退还，给甲方造成的损失超过投标保证金数额的，乙方还应当对超过部分予以赔偿。</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乙方在3.5条规定的或双方另行约定的时间内未按第3.5.1条约定设立全资运营项目公司的，则该等行为即构成乙方违约事件，乙方每逾期一日（不足一日按一日计）扣罚人民币 万元/日，并甲方有权终止本协议，且乙方的投标保证金不予退还，给甲方造成的损失超过投标保证金数额的，乙方还应当对超过部分予以赔偿。</w:t>
      </w:r>
    </w:p>
    <w:p>
      <w:pPr>
        <w:pStyle w:val="56"/>
        <w:widowControl w:val="0"/>
        <w:spacing w:beforeLines="50"/>
        <w:jc w:val="center"/>
        <w:rPr>
          <w:rFonts w:ascii="新宋体" w:hAnsi="新宋体" w:eastAsia="新宋体" w:cs="新宋体"/>
          <w:b/>
          <w:kern w:val="2"/>
          <w:sz w:val="28"/>
          <w:szCs w:val="28"/>
          <w:highlight w:val="none"/>
        </w:rPr>
      </w:pPr>
      <w:bookmarkStart w:id="95" w:name="_Toc246596622"/>
      <w:bookmarkStart w:id="96" w:name="_Toc202676912"/>
      <w:r>
        <w:rPr>
          <w:rFonts w:hint="eastAsia" w:ascii="新宋体" w:hAnsi="新宋体" w:eastAsia="新宋体" w:cs="新宋体"/>
          <w:b/>
          <w:kern w:val="2"/>
          <w:sz w:val="28"/>
          <w:szCs w:val="28"/>
          <w:highlight w:val="none"/>
        </w:rPr>
        <w:t xml:space="preserve">第四节  </w:t>
      </w:r>
      <w:bookmarkStart w:id="97" w:name="_Hlt212659479"/>
      <w:bookmarkEnd w:id="97"/>
      <w:r>
        <w:rPr>
          <w:rFonts w:hint="eastAsia" w:ascii="新宋体" w:hAnsi="新宋体" w:eastAsia="新宋体" w:cs="新宋体"/>
          <w:b/>
          <w:kern w:val="2"/>
          <w:sz w:val="28"/>
          <w:szCs w:val="28"/>
          <w:highlight w:val="none"/>
        </w:rPr>
        <w:t>双方的一般权利和义务</w:t>
      </w:r>
      <w:bookmarkEnd w:id="95"/>
    </w:p>
    <w:p>
      <w:pPr>
        <w:pStyle w:val="56"/>
        <w:keepNext/>
        <w:keepLines/>
        <w:spacing w:before="120" w:after="120"/>
        <w:ind w:firstLine="500"/>
        <w:outlineLvl w:val="4"/>
        <w:rPr>
          <w:rFonts w:ascii="宋体" w:hAnsi="宋体"/>
          <w:b/>
          <w:szCs w:val="20"/>
          <w:highlight w:val="none"/>
        </w:rPr>
      </w:pPr>
      <w:bookmarkStart w:id="98" w:name="_Toc246596623"/>
      <w:r>
        <w:rPr>
          <w:rFonts w:hint="eastAsia" w:ascii="宋体" w:hAnsi="宋体"/>
          <w:b/>
          <w:szCs w:val="20"/>
          <w:highlight w:val="none"/>
        </w:rPr>
        <w:t>4.1 甲方的权利和义务</w:t>
      </w:r>
      <w:bookmarkEnd w:id="98"/>
    </w:p>
    <w:p>
      <w:pPr>
        <w:pStyle w:val="56"/>
        <w:spacing w:beforeLines="25" w:afterLines="25"/>
        <w:ind w:firstLine="478" w:firstLineChars="237"/>
        <w:rPr>
          <w:rFonts w:ascii="宋体" w:hAnsi="宋体"/>
          <w:sz w:val="20"/>
          <w:highlight w:val="none"/>
        </w:rPr>
      </w:pPr>
      <w:r>
        <w:rPr>
          <w:rFonts w:hint="eastAsia" w:ascii="宋体" w:hAnsi="宋体"/>
          <w:sz w:val="20"/>
          <w:highlight w:val="none"/>
        </w:rPr>
        <w:t>4.1.1甲方的权利</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⑴ 按本协议规定，监督乙方管理与维护项目资产、依法经营和履行协议，对本项目的运营实施进行指导、协调、服务工作；</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⑵ 对乙方违反本协议要求的行为，有权进行核查，并要求其限期整改，直至解除协议，并追究相关责任及损失；</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⑶ 按照本协议的约定对污水处理厂的进、出水情况进行监督、检查；</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⑷ 按照本协议的约定对乙方提交的运营服务费支付清单和技改申请等进行审核和报批；</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⑸ 国家或地方各级政府出台的有关水污染治理、节能减排及循环经济等行业优惠政策以及奖励等，全部按照政策规定给予甲方享受；</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⑹ 依法受理、调解社会公众对乙方的投诉；</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⑺ 法律、法规规定的其他职权。</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4.1.2甲方的义务</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⑴ 确保在运营期间无任何权利瑕疵（包括但不限于保证、抵押、留置、质押以及转让等）；</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⑵ 向乙方提供适用于本项目运营维护所必备的近期、远期（如有）硬件设施和软件资料；</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⑶ 按本协议约定按时向乙方支付运营服务费；</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⑷ 协助乙方协调各方面关系，使乙方的接收、运营维护工作能正常开展；</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⑸ 在乙方遵守本协议的条件下确保其运营期内能获准连续运行，不被关闭或减产；</w:t>
      </w:r>
    </w:p>
    <w:p>
      <w:pPr>
        <w:pStyle w:val="56"/>
        <w:spacing w:beforeLines="25" w:afterLines="25"/>
        <w:ind w:firstLine="501" w:firstLineChars="237"/>
        <w:rPr>
          <w:b/>
          <w:szCs w:val="20"/>
          <w:highlight w:val="none"/>
        </w:rPr>
      </w:pPr>
      <w:bookmarkStart w:id="99" w:name="_Hlt243564594"/>
      <w:bookmarkEnd w:id="99"/>
      <w:bookmarkStart w:id="100" w:name="_Toc246596624"/>
      <w:bookmarkStart w:id="101" w:name="_Toc212619858"/>
      <w:r>
        <w:rPr>
          <w:rFonts w:hint="eastAsia"/>
          <w:b/>
          <w:szCs w:val="20"/>
          <w:highlight w:val="none"/>
        </w:rPr>
        <w:t>4.2 乙方的权利和义务</w:t>
      </w:r>
      <w:bookmarkEnd w:id="100"/>
      <w:bookmarkEnd w:id="101"/>
      <w:r>
        <w:rPr>
          <w:rFonts w:hint="eastAsia"/>
          <w:b/>
          <w:szCs w:val="20"/>
          <w:highlight w:val="none"/>
        </w:rPr>
        <w:t xml:space="preserve"> </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4.2.1乙方的权利</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1）在国家法律、政策范围内，乙方有权自行决定运营负责人、厂长、技术负责人人选，但即便是中途更换，其更换后的人选不得低于投标时对相关人员的基本要求，并建立起与运营相适宜的生产运营管理系统。运营负责人或厂长对污水处理厂项目设施的生产经营负有全面管理责任；</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（2）有权合理、独立地行使公司治理的相关权利；</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（3）有权按时足额向甲方收取应获的运营服务费；</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（4）经甲方书面同意在保证运行质量的前提下，有权以项目节能减排、降低运营成本为目的，优化项目设施运行工艺及实施技改方案；</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（5）在保证正常运营的前提下，有权决定内部行政事务，优化内部人员设置，决定本公司的各项规章制度、机构设置、人事任免、调动和专业技术人员的聘任。</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4.2.2乙方的义务</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1）必须遵守国家和地方各项法律和法规，执行国家相关技术政策及标准，完成协议规定的各项任务，确保项目设施的正常持续运行，履行为城市提供合格污水处理服务的基本义务，并协助甲方办理排污许可证；</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（2）在正常运营条件下，必须使项目设施的日常运行达到本协议约定的各项污染物减排技术指标和质量标准，不得有偷排、故意漏排的行为；</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（3）在运营期内不得超越协议规定的范围从事其他经营活动，未经甲方批准不得以转让、出租或者质押等方式处置项目运营权；不得以“衢州市衢江区集镇污水处理厂”名义对外从事其它商务活动；</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（4）未经甲方批准，无权处置污水处理厂任何项目设施；不得擅自改变项目设施的功能和用途并应尽力保证其质量可靠、品质完好；</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（5）为完成好和维持项目设施的持续运营，须确保日常运营铺底流动资金的及时到位；</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（6）在本项目设备、材料、土建工程、安装的质保期内，配合甲方实施对各类项目设施建设质量责任的索赔和追偿，强化项目设施质量保证的落实；</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7）必须做好设备日常维护管理和资料整理工作，主动接受相关行业管理部门的监督检查，按时按要求填报各类报表或其他材料，包括每个月月初（10号之前）向甲方报送上个月的设备状况与运营情况报表。同时还应当将运营期内每年度经营计划、设施更新及大修维护计划、年度经营报告及企业名称、地址和董事会人员变更情况及时报甲方备案，并接受甲方的监管；</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 xml:space="preserve">（8）对项目设施的运营维护和技术改造应当服从政府规划及行政监管部门的总体安排，应当允许甲方或其他经营者按照规划要求连接其经营的项目设施；同时不得利用自身运营权的优势地位，强制、限定、阻碍其所服务用户购买某种产品或服务，或者有其他侵犯公众合法权益的行为； </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9）须遵守甲方相关河渠、道路、绿化、通讯、市政管网等公共设施的有关法律、法规、规章的规定。因紧急情况需要对项目设施进行抢修时，应先实施抢修，同时告知相关部门并补办相关手续，且需维护好其他设施的安全；</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10）除本协议另有约定外，应在运营期内对项目设施做好及时检修、定期维护保养和必要的更新改造工作，确保每个运营日始终保持项目设施完全处理污水进水的能力，不间断的对所收纳污水进行及时地处理与输送，处理后的污水出水质量应达到本协议规定的污水出水标准并排放至甲方指定的受纳水体；</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 xml:space="preserve">（11）经项目设施处理后的排放污水及外运污泥，其所有权和使用支配权归甲方所有。未经甲方的事先书面同意，不得将收纳和处理后的污水及污泥提供给任何第三方； </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（12）随时准备接受各级甲方相关监管部门的抽查和检查；乙方负责排污许可证的申领、填写报表、迎接相关部门的检查等工作；</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13）必须承担与自身角色相适宜的社会责任和应急责任，做好厂内的安全保障工作，确保厂内及周边社会稳定和不受二次污染，在汛期配合甲方做好必要的防洪排洪工作，为所服务区域创造良好的工作和生活环境；应依法纳税并交纳在运营期间的各种规费，承担在运营期间因劳资或经济纠纷发生的经济责任，依法维护国有财产、企业利益和职工福利的合法权益；</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w:t>
      </w:r>
      <w:r>
        <w:rPr>
          <w:rFonts w:ascii="宋体" w:hAnsi="宋体"/>
          <w:sz w:val="20"/>
          <w:highlight w:val="none"/>
        </w:rPr>
        <w:t>14）</w:t>
      </w:r>
      <w:r>
        <w:rPr>
          <w:rFonts w:hint="eastAsia" w:ascii="宋体" w:hAnsi="宋体"/>
          <w:sz w:val="20"/>
          <w:highlight w:val="none"/>
        </w:rPr>
        <w:t>应当认为，乙方完全同意甲方确定采用的污水处理工艺流程，并有能力确保按该污水处理工艺流程进行污水处理，达到出水水质符合运营服务协议第</w:t>
      </w:r>
      <w:r>
        <w:rPr>
          <w:rFonts w:ascii="宋体" w:hAnsi="宋体"/>
          <w:sz w:val="20"/>
          <w:highlight w:val="none"/>
        </w:rPr>
        <w:t>5.1.2条款规定的出水质量标准。</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 xml:space="preserve">（15）在本项目运营期内，乙方应该根据项目运营设施实际需要，为本项目的运营、维护等配备不少于 </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个工作人员，且人员资格条件应符合相关管理部门的规定。乙方投标时拟派的项目运营负责人（厂长）和项目运营技术负责人除不可抗力原因（人员辞职不属于不可抗力）外不得更换，否则，更换项目运营负责人（厂长）或项目运营技术负责人将被扣罚10%的履约保证金。由于不可抗力原因需更换项目运营负责人（厂长）或项目运营技术负责人的，必须事先征得甲方同意，且更换后的项目运营负责人（厂长）或项目运营技术负责人资格不得低于投标时的资格要求，并需经甲方认可后才能上岗。</w:t>
      </w:r>
    </w:p>
    <w:bookmarkEnd w:id="96"/>
    <w:p>
      <w:pPr>
        <w:pStyle w:val="56"/>
        <w:widowControl w:val="0"/>
        <w:spacing w:beforeLines="50"/>
        <w:jc w:val="center"/>
        <w:rPr>
          <w:rFonts w:ascii="新宋体" w:hAnsi="新宋体" w:eastAsia="新宋体" w:cs="新宋体"/>
          <w:bCs/>
          <w:kern w:val="2"/>
          <w:sz w:val="28"/>
          <w:szCs w:val="28"/>
          <w:highlight w:val="none"/>
        </w:rPr>
      </w:pPr>
      <w:bookmarkStart w:id="102" w:name="_Toc246596625"/>
      <w:r>
        <w:rPr>
          <w:rFonts w:hint="eastAsia" w:ascii="新宋体" w:hAnsi="新宋体" w:eastAsia="新宋体" w:cs="新宋体"/>
          <w:b/>
          <w:kern w:val="2"/>
          <w:sz w:val="28"/>
          <w:szCs w:val="28"/>
          <w:highlight w:val="none"/>
        </w:rPr>
        <w:t xml:space="preserve">第五节  </w:t>
      </w:r>
      <w:bookmarkStart w:id="103" w:name="_Toc202676919"/>
      <w:r>
        <w:rPr>
          <w:rFonts w:hint="eastAsia" w:ascii="新宋体" w:hAnsi="新宋体" w:eastAsia="新宋体" w:cs="新宋体"/>
          <w:b/>
          <w:kern w:val="2"/>
          <w:sz w:val="28"/>
          <w:szCs w:val="28"/>
          <w:highlight w:val="none"/>
        </w:rPr>
        <w:t>污染物排放质量及检测</w:t>
      </w:r>
      <w:bookmarkEnd w:id="102"/>
      <w:bookmarkEnd w:id="103"/>
      <w:bookmarkStart w:id="104" w:name="_Hlt212285939"/>
      <w:bookmarkEnd w:id="104"/>
    </w:p>
    <w:p>
      <w:pPr>
        <w:pStyle w:val="56"/>
        <w:keepNext/>
        <w:keepLines/>
        <w:spacing w:before="120" w:after="120"/>
        <w:ind w:firstLine="500"/>
        <w:outlineLvl w:val="4"/>
        <w:rPr>
          <w:rFonts w:ascii="宋体" w:hAnsi="宋体"/>
          <w:b/>
          <w:color w:val="000000" w:themeColor="text1"/>
          <w:szCs w:val="20"/>
          <w:highlight w:val="none"/>
          <w14:textFill>
            <w14:solidFill>
              <w14:schemeClr w14:val="tx1"/>
            </w14:solidFill>
          </w14:textFill>
        </w:rPr>
      </w:pPr>
      <w:bookmarkStart w:id="105" w:name="_5.1__污水处理厂进出水质量及污泥排放标准"/>
      <w:bookmarkEnd w:id="105"/>
      <w:bookmarkStart w:id="106" w:name="_Toc202676920"/>
      <w:bookmarkStart w:id="107" w:name="_Toc246596626"/>
      <w:r>
        <w:rPr>
          <w:rFonts w:hint="eastAsia" w:ascii="宋体" w:hAnsi="宋体"/>
          <w:b/>
          <w:color w:val="000000" w:themeColor="text1"/>
          <w:szCs w:val="20"/>
          <w:highlight w:val="none"/>
          <w14:textFill>
            <w14:solidFill>
              <w14:schemeClr w14:val="tx1"/>
            </w14:solidFill>
          </w14:textFill>
        </w:rPr>
        <w:t>5.1  污水处理厂进出水质量及污泥排放标准</w:t>
      </w:r>
      <w:bookmarkEnd w:id="106"/>
      <w:bookmarkEnd w:id="107"/>
    </w:p>
    <w:p>
      <w:pPr>
        <w:pStyle w:val="56"/>
        <w:spacing w:beforeLines="25" w:afterLines="25"/>
        <w:ind w:firstLine="478" w:firstLineChars="237"/>
        <w:rPr>
          <w:rFonts w:ascii="宋体" w:hAnsi="宋体"/>
          <w:color w:val="000000" w:themeColor="text1"/>
          <w:sz w:val="20"/>
          <w:highlight w:val="none"/>
          <w14:textFill>
            <w14:solidFill>
              <w14:schemeClr w14:val="tx1"/>
            </w14:solidFill>
          </w14:textFill>
        </w:rPr>
      </w:pPr>
      <w:r>
        <w:rPr>
          <w:rFonts w:hint="eastAsia" w:ascii="宋体" w:hAnsi="宋体"/>
          <w:color w:val="000000" w:themeColor="text1"/>
          <w:sz w:val="20"/>
          <w:highlight w:val="none"/>
          <w14:textFill>
            <w14:solidFill>
              <w14:schemeClr w14:val="tx1"/>
            </w14:solidFill>
          </w14:textFill>
        </w:rPr>
        <w:t xml:space="preserve">5.1.1进水质量设计标准 </w:t>
      </w:r>
    </w:p>
    <w:p>
      <w:pPr>
        <w:pStyle w:val="56"/>
        <w:spacing w:beforeLines="25" w:afterLines="25"/>
        <w:ind w:firstLine="478" w:firstLineChars="237"/>
        <w:jc w:val="center"/>
        <w:rPr>
          <w:rFonts w:ascii="仿宋_GB2312" w:hAnsi="仿宋_GB2312"/>
          <w:bCs/>
          <w:color w:val="000000" w:themeColor="text1"/>
          <w:sz w:val="24"/>
          <w:highlight w:val="none"/>
          <w14:textFill>
            <w14:solidFill>
              <w14:schemeClr w14:val="tx1"/>
            </w14:solidFill>
          </w14:textFill>
        </w:rPr>
      </w:pPr>
      <w:r>
        <w:rPr>
          <w:rFonts w:hint="eastAsia" w:ascii="宋体" w:hAnsi="宋体"/>
          <w:color w:val="000000" w:themeColor="text1"/>
          <w:sz w:val="20"/>
          <w:highlight w:val="none"/>
          <w14:textFill>
            <w14:solidFill>
              <w14:schemeClr w14:val="tx1"/>
            </w14:solidFill>
          </w14:textFill>
        </w:rPr>
        <w:t>表 5.1.1    衢江区集镇污水处理厂进水水质设计标准</w:t>
      </w:r>
    </w:p>
    <w:tbl>
      <w:tblPr>
        <w:tblStyle w:val="25"/>
        <w:tblW w:w="75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594"/>
        <w:gridCol w:w="851"/>
        <w:gridCol w:w="850"/>
        <w:gridCol w:w="851"/>
        <w:gridCol w:w="709"/>
        <w:gridCol w:w="850"/>
        <w:gridCol w:w="1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124" w:type="dxa"/>
            <w:vAlign w:val="center"/>
          </w:tcPr>
          <w:p>
            <w:pPr>
              <w:pStyle w:val="56"/>
              <w:spacing w:line="400" w:lineRule="exact"/>
              <w:jc w:val="center"/>
              <w:rPr>
                <w:rFonts w:ascii="宋体"/>
                <w:b/>
                <w:color w:val="000000" w:themeColor="text1"/>
                <w:sz w:val="20"/>
                <w:szCs w:val="20"/>
                <w:highlight w:val="none"/>
                <w14:textFill>
                  <w14:solidFill>
                    <w14:schemeClr w14:val="tx1"/>
                  </w14:solidFill>
                </w14:textFill>
              </w:rPr>
            </w:pPr>
            <w:r>
              <w:rPr>
                <w:rFonts w:hint="eastAsia" w:ascii="宋体" w:hAnsi="宋体"/>
                <w:b/>
                <w:color w:val="000000" w:themeColor="text1"/>
                <w:sz w:val="20"/>
                <w:szCs w:val="20"/>
                <w:highlight w:val="none"/>
                <w14:textFill>
                  <w14:solidFill>
                    <w14:schemeClr w14:val="tx1"/>
                  </w14:solidFill>
                </w14:textFill>
              </w:rPr>
              <w:t>项目</w:t>
            </w:r>
          </w:p>
        </w:tc>
        <w:tc>
          <w:tcPr>
            <w:tcW w:w="594" w:type="dxa"/>
            <w:vAlign w:val="center"/>
          </w:tcPr>
          <w:p>
            <w:pPr>
              <w:pStyle w:val="56"/>
              <w:spacing w:line="400" w:lineRule="exact"/>
              <w:jc w:val="center"/>
              <w:rPr>
                <w:rFonts w:ascii="宋体" w:hAnsi="宋体"/>
                <w:b/>
                <w:color w:val="000000" w:themeColor="text1"/>
                <w:sz w:val="20"/>
                <w:szCs w:val="20"/>
                <w:highlight w:val="none"/>
                <w14:textFill>
                  <w14:solidFill>
                    <w14:schemeClr w14:val="tx1"/>
                  </w14:solidFill>
                </w14:textFill>
              </w:rPr>
            </w:pPr>
            <w:r>
              <w:rPr>
                <w:rFonts w:ascii="宋体" w:hAnsi="宋体"/>
                <w:b/>
                <w:color w:val="000000" w:themeColor="text1"/>
                <w:sz w:val="20"/>
                <w:szCs w:val="20"/>
                <w:highlight w:val="none"/>
                <w14:textFill>
                  <w14:solidFill>
                    <w14:schemeClr w14:val="tx1"/>
                  </w14:solidFill>
                </w14:textFill>
              </w:rPr>
              <w:t>pH</w:t>
            </w:r>
          </w:p>
        </w:tc>
        <w:tc>
          <w:tcPr>
            <w:tcW w:w="851" w:type="dxa"/>
            <w:vAlign w:val="center"/>
          </w:tcPr>
          <w:p>
            <w:pPr>
              <w:pStyle w:val="56"/>
              <w:spacing w:line="400" w:lineRule="exact"/>
              <w:jc w:val="center"/>
              <w:rPr>
                <w:rFonts w:ascii="宋体"/>
                <w:b/>
                <w:color w:val="000000" w:themeColor="text1"/>
                <w:sz w:val="20"/>
                <w:szCs w:val="20"/>
                <w:highlight w:val="none"/>
                <w14:textFill>
                  <w14:solidFill>
                    <w14:schemeClr w14:val="tx1"/>
                  </w14:solidFill>
                </w14:textFill>
              </w:rPr>
            </w:pPr>
            <w:r>
              <w:rPr>
                <w:rFonts w:ascii="宋体" w:hAnsi="宋体"/>
                <w:b/>
                <w:color w:val="000000" w:themeColor="text1"/>
                <w:sz w:val="20"/>
                <w:szCs w:val="20"/>
                <w:highlight w:val="none"/>
                <w14:textFill>
                  <w14:solidFill>
                    <w14:schemeClr w14:val="tx1"/>
                  </w14:solidFill>
                </w14:textFill>
              </w:rPr>
              <w:t>COD</w:t>
            </w:r>
            <w:r>
              <w:rPr>
                <w:rFonts w:ascii="宋体" w:hAnsi="宋体"/>
                <w:b/>
                <w:color w:val="000000" w:themeColor="text1"/>
                <w:sz w:val="20"/>
                <w:szCs w:val="20"/>
                <w:highlight w:val="none"/>
                <w:vertAlign w:val="subscript"/>
                <w14:textFill>
                  <w14:solidFill>
                    <w14:schemeClr w14:val="tx1"/>
                  </w14:solidFill>
                </w14:textFill>
              </w:rPr>
              <w:t>Cr</w:t>
            </w:r>
          </w:p>
        </w:tc>
        <w:tc>
          <w:tcPr>
            <w:tcW w:w="850" w:type="dxa"/>
            <w:vAlign w:val="center"/>
          </w:tcPr>
          <w:p>
            <w:pPr>
              <w:pStyle w:val="56"/>
              <w:spacing w:line="400" w:lineRule="exact"/>
              <w:jc w:val="center"/>
              <w:rPr>
                <w:rFonts w:ascii="宋体"/>
                <w:b/>
                <w:color w:val="000000" w:themeColor="text1"/>
                <w:sz w:val="20"/>
                <w:szCs w:val="20"/>
                <w:highlight w:val="none"/>
                <w14:textFill>
                  <w14:solidFill>
                    <w14:schemeClr w14:val="tx1"/>
                  </w14:solidFill>
                </w14:textFill>
              </w:rPr>
            </w:pPr>
            <w:r>
              <w:rPr>
                <w:rFonts w:ascii="宋体" w:hAnsi="宋体"/>
                <w:b/>
                <w:color w:val="000000" w:themeColor="text1"/>
                <w:sz w:val="20"/>
                <w:szCs w:val="20"/>
                <w:highlight w:val="none"/>
                <w14:textFill>
                  <w14:solidFill>
                    <w14:schemeClr w14:val="tx1"/>
                  </w14:solidFill>
                </w14:textFill>
              </w:rPr>
              <w:t>BOD</w:t>
            </w:r>
            <w:r>
              <w:rPr>
                <w:rFonts w:ascii="宋体" w:hAnsi="宋体"/>
                <w:b/>
                <w:color w:val="000000" w:themeColor="text1"/>
                <w:sz w:val="20"/>
                <w:szCs w:val="20"/>
                <w:highlight w:val="none"/>
                <w:vertAlign w:val="subscript"/>
                <w14:textFill>
                  <w14:solidFill>
                    <w14:schemeClr w14:val="tx1"/>
                  </w14:solidFill>
                </w14:textFill>
              </w:rPr>
              <w:t>5</w:t>
            </w:r>
          </w:p>
        </w:tc>
        <w:tc>
          <w:tcPr>
            <w:tcW w:w="851" w:type="dxa"/>
            <w:vAlign w:val="center"/>
          </w:tcPr>
          <w:p>
            <w:pPr>
              <w:pStyle w:val="56"/>
              <w:spacing w:line="400" w:lineRule="exact"/>
              <w:jc w:val="center"/>
              <w:rPr>
                <w:rFonts w:ascii="宋体" w:hAnsi="宋体"/>
                <w:b/>
                <w:color w:val="000000" w:themeColor="text1"/>
                <w:sz w:val="20"/>
                <w:szCs w:val="20"/>
                <w:highlight w:val="none"/>
                <w14:textFill>
                  <w14:solidFill>
                    <w14:schemeClr w14:val="tx1"/>
                  </w14:solidFill>
                </w14:textFill>
              </w:rPr>
            </w:pPr>
            <w:r>
              <w:rPr>
                <w:rFonts w:ascii="宋体" w:hAnsi="宋体"/>
                <w:b/>
                <w:color w:val="000000" w:themeColor="text1"/>
                <w:sz w:val="20"/>
                <w:szCs w:val="20"/>
                <w:highlight w:val="none"/>
                <w14:textFill>
                  <w14:solidFill>
                    <w14:schemeClr w14:val="tx1"/>
                  </w14:solidFill>
                </w14:textFill>
              </w:rPr>
              <w:t>NH</w:t>
            </w:r>
            <w:r>
              <w:rPr>
                <w:rFonts w:ascii="宋体" w:hAnsi="宋体"/>
                <w:b/>
                <w:color w:val="000000" w:themeColor="text1"/>
                <w:sz w:val="20"/>
                <w:szCs w:val="20"/>
                <w:highlight w:val="none"/>
                <w:vertAlign w:val="subscript"/>
                <w14:textFill>
                  <w14:solidFill>
                    <w14:schemeClr w14:val="tx1"/>
                  </w14:solidFill>
                </w14:textFill>
              </w:rPr>
              <w:t>3</w:t>
            </w:r>
            <w:r>
              <w:rPr>
                <w:rFonts w:ascii="宋体" w:hAnsi="宋体"/>
                <w:b/>
                <w:color w:val="000000" w:themeColor="text1"/>
                <w:sz w:val="20"/>
                <w:szCs w:val="20"/>
                <w:highlight w:val="none"/>
                <w14:textFill>
                  <w14:solidFill>
                    <w14:schemeClr w14:val="tx1"/>
                  </w14:solidFill>
                </w14:textFill>
              </w:rPr>
              <w:t>-N</w:t>
            </w:r>
          </w:p>
        </w:tc>
        <w:tc>
          <w:tcPr>
            <w:tcW w:w="709" w:type="dxa"/>
            <w:vAlign w:val="center"/>
          </w:tcPr>
          <w:p>
            <w:pPr>
              <w:pStyle w:val="56"/>
              <w:spacing w:line="400" w:lineRule="exact"/>
              <w:jc w:val="center"/>
              <w:rPr>
                <w:rFonts w:ascii="宋体" w:hAnsi="宋体"/>
                <w:b/>
                <w:color w:val="000000" w:themeColor="text1"/>
                <w:sz w:val="20"/>
                <w:szCs w:val="20"/>
                <w:highlight w:val="none"/>
                <w14:textFill>
                  <w14:solidFill>
                    <w14:schemeClr w14:val="tx1"/>
                  </w14:solidFill>
                </w14:textFill>
              </w:rPr>
            </w:pPr>
            <w:r>
              <w:rPr>
                <w:rFonts w:ascii="宋体" w:hAnsi="宋体"/>
                <w:b/>
                <w:color w:val="000000" w:themeColor="text1"/>
                <w:sz w:val="20"/>
                <w:szCs w:val="20"/>
                <w:highlight w:val="none"/>
                <w14:textFill>
                  <w14:solidFill>
                    <w14:schemeClr w14:val="tx1"/>
                  </w14:solidFill>
                </w14:textFill>
              </w:rPr>
              <w:t>TN</w:t>
            </w:r>
          </w:p>
        </w:tc>
        <w:tc>
          <w:tcPr>
            <w:tcW w:w="850" w:type="dxa"/>
            <w:vAlign w:val="center"/>
          </w:tcPr>
          <w:p>
            <w:pPr>
              <w:pStyle w:val="56"/>
              <w:spacing w:line="400" w:lineRule="exact"/>
              <w:jc w:val="center"/>
              <w:rPr>
                <w:rFonts w:ascii="宋体" w:hAnsi="宋体"/>
                <w:b/>
                <w:color w:val="000000" w:themeColor="text1"/>
                <w:sz w:val="20"/>
                <w:szCs w:val="20"/>
                <w:highlight w:val="none"/>
                <w14:textFill>
                  <w14:solidFill>
                    <w14:schemeClr w14:val="tx1"/>
                  </w14:solidFill>
                </w14:textFill>
              </w:rPr>
            </w:pPr>
            <w:r>
              <w:rPr>
                <w:rFonts w:ascii="宋体" w:hAnsi="宋体"/>
                <w:b/>
                <w:color w:val="000000" w:themeColor="text1"/>
                <w:sz w:val="20"/>
                <w:szCs w:val="20"/>
                <w:highlight w:val="none"/>
                <w14:textFill>
                  <w14:solidFill>
                    <w14:schemeClr w14:val="tx1"/>
                  </w14:solidFill>
                </w14:textFill>
              </w:rPr>
              <w:t>SS</w:t>
            </w:r>
          </w:p>
        </w:tc>
        <w:tc>
          <w:tcPr>
            <w:tcW w:w="1767" w:type="dxa"/>
            <w:vAlign w:val="center"/>
          </w:tcPr>
          <w:p>
            <w:pPr>
              <w:pStyle w:val="56"/>
              <w:spacing w:line="400" w:lineRule="exact"/>
              <w:jc w:val="center"/>
              <w:rPr>
                <w:rFonts w:ascii="宋体" w:hAnsi="宋体"/>
                <w:b/>
                <w:color w:val="000000" w:themeColor="text1"/>
                <w:sz w:val="20"/>
                <w:szCs w:val="20"/>
                <w:highlight w:val="none"/>
                <w14:textFill>
                  <w14:solidFill>
                    <w14:schemeClr w14:val="tx1"/>
                  </w14:solidFill>
                </w14:textFill>
              </w:rPr>
            </w:pPr>
            <w:r>
              <w:rPr>
                <w:rFonts w:ascii="宋体" w:hAnsi="宋体"/>
                <w:b/>
                <w:color w:val="000000" w:themeColor="text1"/>
                <w:sz w:val="20"/>
                <w:szCs w:val="20"/>
                <w:highlight w:val="none"/>
                <w14:textFill>
                  <w14:solidFill>
                    <w14:schemeClr w14:val="tx1"/>
                  </w14:solidFill>
                </w14:textFill>
              </w:rPr>
              <w:t>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124" w:type="dxa"/>
            <w:vAlign w:val="center"/>
          </w:tcPr>
          <w:p>
            <w:pPr>
              <w:pStyle w:val="56"/>
              <w:spacing w:line="400" w:lineRule="exact"/>
              <w:jc w:val="center"/>
              <w:rPr>
                <w:rFonts w:ascii="宋体"/>
                <w:color w:val="000000" w:themeColor="text1"/>
                <w:sz w:val="20"/>
                <w:szCs w:val="20"/>
                <w:highlight w:val="none"/>
                <w14:textFill>
                  <w14:solidFill>
                    <w14:schemeClr w14:val="tx1"/>
                  </w14:solidFill>
                </w14:textFill>
              </w:rPr>
            </w:pPr>
            <w:r>
              <w:rPr>
                <w:rFonts w:hint="eastAsia" w:ascii="宋体" w:hAnsi="宋体"/>
                <w:color w:val="000000" w:themeColor="text1"/>
                <w:sz w:val="20"/>
                <w:szCs w:val="20"/>
                <w:highlight w:val="none"/>
                <w14:textFill>
                  <w14:solidFill>
                    <w14:schemeClr w14:val="tx1"/>
                  </w14:solidFill>
                </w14:textFill>
              </w:rPr>
              <w:t>单位</w:t>
            </w:r>
          </w:p>
        </w:tc>
        <w:tc>
          <w:tcPr>
            <w:tcW w:w="594" w:type="dxa"/>
            <w:vAlign w:val="center"/>
          </w:tcPr>
          <w:p>
            <w:pPr>
              <w:pStyle w:val="56"/>
              <w:spacing w:line="400" w:lineRule="exact"/>
              <w:jc w:val="center"/>
              <w:rPr>
                <w:rFonts w:ascii="宋体"/>
                <w:color w:val="000000" w:themeColor="text1"/>
                <w:sz w:val="20"/>
                <w:szCs w:val="20"/>
                <w:highlight w:val="none"/>
                <w14:textFill>
                  <w14:solidFill>
                    <w14:schemeClr w14:val="tx1"/>
                  </w14:solidFill>
                </w14:textFill>
              </w:rPr>
            </w:pPr>
          </w:p>
        </w:tc>
        <w:tc>
          <w:tcPr>
            <w:tcW w:w="851" w:type="dxa"/>
            <w:vAlign w:val="center"/>
          </w:tcPr>
          <w:p>
            <w:pPr>
              <w:pStyle w:val="56"/>
              <w:spacing w:line="400" w:lineRule="exact"/>
              <w:jc w:val="center"/>
              <w:rPr>
                <w:rFonts w:ascii="宋体" w:hAnsi="宋体"/>
                <w:color w:val="000000" w:themeColor="text1"/>
                <w:sz w:val="20"/>
                <w:szCs w:val="20"/>
                <w:highlight w:val="none"/>
                <w14:textFill>
                  <w14:solidFill>
                    <w14:schemeClr w14:val="tx1"/>
                  </w14:solidFill>
                </w14:textFill>
              </w:rPr>
            </w:pPr>
            <w:r>
              <w:rPr>
                <w:rFonts w:ascii="宋体" w:hAnsi="宋体"/>
                <w:color w:val="000000" w:themeColor="text1"/>
                <w:sz w:val="20"/>
                <w:szCs w:val="20"/>
                <w:highlight w:val="none"/>
                <w14:textFill>
                  <w14:solidFill>
                    <w14:schemeClr w14:val="tx1"/>
                  </w14:solidFill>
                </w14:textFill>
              </w:rPr>
              <w:t>mg/L</w:t>
            </w:r>
          </w:p>
        </w:tc>
        <w:tc>
          <w:tcPr>
            <w:tcW w:w="850" w:type="dxa"/>
            <w:vAlign w:val="center"/>
          </w:tcPr>
          <w:p>
            <w:pPr>
              <w:pStyle w:val="56"/>
              <w:spacing w:line="400" w:lineRule="exact"/>
              <w:jc w:val="center"/>
              <w:rPr>
                <w:rFonts w:ascii="宋体" w:hAnsi="宋体"/>
                <w:color w:val="000000" w:themeColor="text1"/>
                <w:sz w:val="20"/>
                <w:szCs w:val="20"/>
                <w:highlight w:val="none"/>
                <w14:textFill>
                  <w14:solidFill>
                    <w14:schemeClr w14:val="tx1"/>
                  </w14:solidFill>
                </w14:textFill>
              </w:rPr>
            </w:pPr>
            <w:r>
              <w:rPr>
                <w:rFonts w:ascii="宋体" w:hAnsi="宋体"/>
                <w:color w:val="000000" w:themeColor="text1"/>
                <w:sz w:val="20"/>
                <w:szCs w:val="20"/>
                <w:highlight w:val="none"/>
                <w14:textFill>
                  <w14:solidFill>
                    <w14:schemeClr w14:val="tx1"/>
                  </w14:solidFill>
                </w14:textFill>
              </w:rPr>
              <w:t>mg/L</w:t>
            </w:r>
          </w:p>
        </w:tc>
        <w:tc>
          <w:tcPr>
            <w:tcW w:w="851" w:type="dxa"/>
            <w:vAlign w:val="center"/>
          </w:tcPr>
          <w:p>
            <w:pPr>
              <w:pStyle w:val="56"/>
              <w:spacing w:line="400" w:lineRule="exact"/>
              <w:jc w:val="center"/>
              <w:rPr>
                <w:rFonts w:ascii="宋体" w:hAnsi="宋体"/>
                <w:color w:val="000000" w:themeColor="text1"/>
                <w:sz w:val="20"/>
                <w:szCs w:val="20"/>
                <w:highlight w:val="none"/>
                <w14:textFill>
                  <w14:solidFill>
                    <w14:schemeClr w14:val="tx1"/>
                  </w14:solidFill>
                </w14:textFill>
              </w:rPr>
            </w:pPr>
            <w:r>
              <w:rPr>
                <w:rFonts w:ascii="宋体" w:hAnsi="宋体"/>
                <w:color w:val="000000" w:themeColor="text1"/>
                <w:sz w:val="20"/>
                <w:szCs w:val="20"/>
                <w:highlight w:val="none"/>
                <w14:textFill>
                  <w14:solidFill>
                    <w14:schemeClr w14:val="tx1"/>
                  </w14:solidFill>
                </w14:textFill>
              </w:rPr>
              <w:t>mg/L</w:t>
            </w:r>
          </w:p>
        </w:tc>
        <w:tc>
          <w:tcPr>
            <w:tcW w:w="709" w:type="dxa"/>
            <w:vAlign w:val="center"/>
          </w:tcPr>
          <w:p>
            <w:pPr>
              <w:pStyle w:val="56"/>
              <w:spacing w:line="400" w:lineRule="exact"/>
              <w:jc w:val="center"/>
              <w:rPr>
                <w:rFonts w:ascii="宋体" w:hAnsi="宋体"/>
                <w:color w:val="000000" w:themeColor="text1"/>
                <w:sz w:val="20"/>
                <w:szCs w:val="20"/>
                <w:highlight w:val="none"/>
                <w14:textFill>
                  <w14:solidFill>
                    <w14:schemeClr w14:val="tx1"/>
                  </w14:solidFill>
                </w14:textFill>
              </w:rPr>
            </w:pPr>
            <w:r>
              <w:rPr>
                <w:rFonts w:ascii="宋体" w:hAnsi="宋体"/>
                <w:color w:val="000000" w:themeColor="text1"/>
                <w:sz w:val="20"/>
                <w:szCs w:val="20"/>
                <w:highlight w:val="none"/>
                <w14:textFill>
                  <w14:solidFill>
                    <w14:schemeClr w14:val="tx1"/>
                  </w14:solidFill>
                </w14:textFill>
              </w:rPr>
              <w:t>mg/L</w:t>
            </w:r>
          </w:p>
        </w:tc>
        <w:tc>
          <w:tcPr>
            <w:tcW w:w="850" w:type="dxa"/>
            <w:vAlign w:val="center"/>
          </w:tcPr>
          <w:p>
            <w:pPr>
              <w:pStyle w:val="56"/>
              <w:spacing w:line="400" w:lineRule="exact"/>
              <w:jc w:val="center"/>
              <w:rPr>
                <w:rFonts w:ascii="宋体" w:hAnsi="宋体"/>
                <w:color w:val="000000" w:themeColor="text1"/>
                <w:sz w:val="20"/>
                <w:szCs w:val="20"/>
                <w:highlight w:val="none"/>
                <w14:textFill>
                  <w14:solidFill>
                    <w14:schemeClr w14:val="tx1"/>
                  </w14:solidFill>
                </w14:textFill>
              </w:rPr>
            </w:pPr>
            <w:r>
              <w:rPr>
                <w:rFonts w:ascii="宋体" w:hAnsi="宋体"/>
                <w:color w:val="000000" w:themeColor="text1"/>
                <w:sz w:val="20"/>
                <w:szCs w:val="20"/>
                <w:highlight w:val="none"/>
                <w14:textFill>
                  <w14:solidFill>
                    <w14:schemeClr w14:val="tx1"/>
                  </w14:solidFill>
                </w14:textFill>
              </w:rPr>
              <w:t>mg/L</w:t>
            </w:r>
          </w:p>
        </w:tc>
        <w:tc>
          <w:tcPr>
            <w:tcW w:w="1767" w:type="dxa"/>
            <w:vAlign w:val="center"/>
          </w:tcPr>
          <w:p>
            <w:pPr>
              <w:pStyle w:val="56"/>
              <w:spacing w:line="400" w:lineRule="exact"/>
              <w:jc w:val="center"/>
              <w:rPr>
                <w:rFonts w:ascii="宋体" w:hAnsi="宋体"/>
                <w:color w:val="000000" w:themeColor="text1"/>
                <w:sz w:val="20"/>
                <w:szCs w:val="20"/>
                <w:highlight w:val="none"/>
                <w14:textFill>
                  <w14:solidFill>
                    <w14:schemeClr w14:val="tx1"/>
                  </w14:solidFill>
                </w14:textFill>
              </w:rPr>
            </w:pPr>
            <w:r>
              <w:rPr>
                <w:rFonts w:ascii="宋体" w:hAnsi="宋体"/>
                <w:color w:val="000000" w:themeColor="text1"/>
                <w:sz w:val="20"/>
                <w:szCs w:val="20"/>
                <w:highlight w:val="none"/>
                <w14:textFill>
                  <w14:solidFill>
                    <w14:schemeClr w14:val="tx1"/>
                  </w14:solidFill>
                </w14:textFill>
              </w:rP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124" w:type="dxa"/>
            <w:vAlign w:val="center"/>
          </w:tcPr>
          <w:p>
            <w:pPr>
              <w:pStyle w:val="56"/>
              <w:spacing w:line="400" w:lineRule="exact"/>
              <w:jc w:val="center"/>
              <w:rPr>
                <w:rFonts w:ascii="宋体"/>
                <w:color w:val="000000" w:themeColor="text1"/>
                <w:sz w:val="20"/>
                <w:szCs w:val="20"/>
                <w:highlight w:val="none"/>
                <w14:textFill>
                  <w14:solidFill>
                    <w14:schemeClr w14:val="tx1"/>
                  </w14:solidFill>
                </w14:textFill>
              </w:rPr>
            </w:pPr>
            <w:r>
              <w:rPr>
                <w:rFonts w:hint="eastAsia" w:ascii="宋体" w:hAnsi="宋体"/>
                <w:color w:val="000000" w:themeColor="text1"/>
                <w:sz w:val="20"/>
                <w:szCs w:val="20"/>
                <w:highlight w:val="none"/>
                <w14:textFill>
                  <w14:solidFill>
                    <w14:schemeClr w14:val="tx1"/>
                  </w14:solidFill>
                </w14:textFill>
              </w:rPr>
              <w:t>指标数值</w:t>
            </w:r>
          </w:p>
        </w:tc>
        <w:tc>
          <w:tcPr>
            <w:tcW w:w="594" w:type="dxa"/>
            <w:vAlign w:val="center"/>
          </w:tcPr>
          <w:p>
            <w:pPr>
              <w:pStyle w:val="56"/>
              <w:spacing w:line="400" w:lineRule="exact"/>
              <w:jc w:val="center"/>
              <w:rPr>
                <w:rFonts w:ascii="宋体" w:hAnsi="宋体"/>
                <w:color w:val="000000" w:themeColor="text1"/>
                <w:sz w:val="20"/>
                <w:szCs w:val="20"/>
                <w:highlight w:val="none"/>
                <w14:textFill>
                  <w14:solidFill>
                    <w14:schemeClr w14:val="tx1"/>
                  </w14:solidFill>
                </w14:textFill>
              </w:rPr>
            </w:pPr>
            <w:r>
              <w:rPr>
                <w:rFonts w:ascii="宋体" w:hAnsi="宋体"/>
                <w:color w:val="000000" w:themeColor="text1"/>
                <w:sz w:val="20"/>
                <w:szCs w:val="20"/>
                <w:highlight w:val="none"/>
                <w14:textFill>
                  <w14:solidFill>
                    <w14:schemeClr w14:val="tx1"/>
                  </w14:solidFill>
                </w14:textFill>
              </w:rPr>
              <w:t>6-9</w:t>
            </w:r>
          </w:p>
        </w:tc>
        <w:tc>
          <w:tcPr>
            <w:tcW w:w="851" w:type="dxa"/>
            <w:vAlign w:val="center"/>
          </w:tcPr>
          <w:p>
            <w:pPr>
              <w:pStyle w:val="56"/>
              <w:spacing w:line="400" w:lineRule="exact"/>
              <w:jc w:val="center"/>
              <w:rPr>
                <w:rFonts w:ascii="宋体" w:hAnsi="宋体"/>
                <w:color w:val="000000" w:themeColor="text1"/>
                <w:sz w:val="20"/>
                <w:szCs w:val="20"/>
                <w:highlight w:val="none"/>
                <w14:textFill>
                  <w14:solidFill>
                    <w14:schemeClr w14:val="tx1"/>
                  </w14:solidFill>
                </w14:textFill>
              </w:rPr>
            </w:pPr>
            <w:r>
              <w:rPr>
                <w:rFonts w:hint="eastAsia" w:ascii="宋体" w:hAnsi="宋体"/>
                <w:color w:val="000000" w:themeColor="text1"/>
                <w:sz w:val="20"/>
                <w:szCs w:val="20"/>
                <w:highlight w:val="none"/>
                <w14:textFill>
                  <w14:solidFill>
                    <w14:schemeClr w14:val="tx1"/>
                  </w14:solidFill>
                </w14:textFill>
              </w:rPr>
              <w:t>≤330</w:t>
            </w:r>
          </w:p>
        </w:tc>
        <w:tc>
          <w:tcPr>
            <w:tcW w:w="850" w:type="dxa"/>
            <w:vAlign w:val="center"/>
          </w:tcPr>
          <w:p>
            <w:pPr>
              <w:pStyle w:val="56"/>
              <w:spacing w:line="400" w:lineRule="exact"/>
              <w:jc w:val="center"/>
              <w:rPr>
                <w:rFonts w:ascii="宋体" w:hAnsi="宋体"/>
                <w:color w:val="000000" w:themeColor="text1"/>
                <w:sz w:val="20"/>
                <w:szCs w:val="20"/>
                <w:highlight w:val="none"/>
                <w14:textFill>
                  <w14:solidFill>
                    <w14:schemeClr w14:val="tx1"/>
                  </w14:solidFill>
                </w14:textFill>
              </w:rPr>
            </w:pPr>
            <w:r>
              <w:rPr>
                <w:rFonts w:hint="eastAsia" w:ascii="宋体" w:hAnsi="宋体"/>
                <w:color w:val="000000" w:themeColor="text1"/>
                <w:sz w:val="20"/>
                <w:szCs w:val="20"/>
                <w:highlight w:val="none"/>
                <w14:textFill>
                  <w14:solidFill>
                    <w14:schemeClr w14:val="tx1"/>
                  </w14:solidFill>
                </w14:textFill>
              </w:rPr>
              <w:t>≤</w:t>
            </w:r>
            <w:r>
              <w:rPr>
                <w:rFonts w:ascii="宋体" w:hAnsi="宋体"/>
                <w:color w:val="000000" w:themeColor="text1"/>
                <w:sz w:val="20"/>
                <w:szCs w:val="20"/>
                <w:highlight w:val="none"/>
                <w14:textFill>
                  <w14:solidFill>
                    <w14:schemeClr w14:val="tx1"/>
                  </w14:solidFill>
                </w14:textFill>
              </w:rPr>
              <w:t>1</w:t>
            </w:r>
            <w:r>
              <w:rPr>
                <w:rFonts w:hint="eastAsia" w:ascii="宋体" w:hAnsi="宋体"/>
                <w:color w:val="000000" w:themeColor="text1"/>
                <w:sz w:val="20"/>
                <w:szCs w:val="20"/>
                <w:highlight w:val="none"/>
                <w14:textFill>
                  <w14:solidFill>
                    <w14:schemeClr w14:val="tx1"/>
                  </w14:solidFill>
                </w14:textFill>
              </w:rPr>
              <w:t>40</w:t>
            </w:r>
          </w:p>
        </w:tc>
        <w:tc>
          <w:tcPr>
            <w:tcW w:w="851" w:type="dxa"/>
            <w:vAlign w:val="center"/>
          </w:tcPr>
          <w:p>
            <w:pPr>
              <w:pStyle w:val="56"/>
              <w:spacing w:line="400" w:lineRule="exact"/>
              <w:jc w:val="center"/>
              <w:rPr>
                <w:rFonts w:ascii="宋体" w:hAnsi="宋体"/>
                <w:color w:val="000000" w:themeColor="text1"/>
                <w:sz w:val="20"/>
                <w:szCs w:val="20"/>
                <w:highlight w:val="none"/>
                <w14:textFill>
                  <w14:solidFill>
                    <w14:schemeClr w14:val="tx1"/>
                  </w14:solidFill>
                </w14:textFill>
              </w:rPr>
            </w:pPr>
            <w:r>
              <w:rPr>
                <w:rFonts w:hint="eastAsia" w:ascii="宋体" w:hAnsi="宋体"/>
                <w:color w:val="000000" w:themeColor="text1"/>
                <w:sz w:val="20"/>
                <w:szCs w:val="20"/>
                <w:highlight w:val="none"/>
                <w14:textFill>
                  <w14:solidFill>
                    <w14:schemeClr w14:val="tx1"/>
                  </w14:solidFill>
                </w14:textFill>
              </w:rPr>
              <w:t>≤25</w:t>
            </w:r>
          </w:p>
        </w:tc>
        <w:tc>
          <w:tcPr>
            <w:tcW w:w="709" w:type="dxa"/>
            <w:vAlign w:val="center"/>
          </w:tcPr>
          <w:p>
            <w:pPr>
              <w:pStyle w:val="56"/>
              <w:spacing w:line="400" w:lineRule="exact"/>
              <w:jc w:val="center"/>
              <w:rPr>
                <w:rFonts w:ascii="宋体"/>
                <w:color w:val="000000" w:themeColor="text1"/>
                <w:sz w:val="20"/>
                <w:szCs w:val="20"/>
                <w:highlight w:val="none"/>
                <w14:textFill>
                  <w14:solidFill>
                    <w14:schemeClr w14:val="tx1"/>
                  </w14:solidFill>
                </w14:textFill>
              </w:rPr>
            </w:pPr>
            <w:r>
              <w:rPr>
                <w:rFonts w:hint="eastAsia" w:ascii="宋体" w:hAnsi="宋体"/>
                <w:color w:val="000000" w:themeColor="text1"/>
                <w:sz w:val="20"/>
                <w:szCs w:val="20"/>
                <w:highlight w:val="none"/>
                <w14:textFill>
                  <w14:solidFill>
                    <w14:schemeClr w14:val="tx1"/>
                  </w14:solidFill>
                </w14:textFill>
              </w:rPr>
              <w:t>≤35</w:t>
            </w:r>
          </w:p>
        </w:tc>
        <w:tc>
          <w:tcPr>
            <w:tcW w:w="850" w:type="dxa"/>
            <w:vAlign w:val="center"/>
          </w:tcPr>
          <w:p>
            <w:pPr>
              <w:pStyle w:val="56"/>
              <w:spacing w:line="400" w:lineRule="exact"/>
              <w:jc w:val="center"/>
              <w:rPr>
                <w:rFonts w:ascii="宋体" w:hAnsi="宋体"/>
                <w:color w:val="000000" w:themeColor="text1"/>
                <w:sz w:val="20"/>
                <w:szCs w:val="20"/>
                <w:highlight w:val="none"/>
                <w14:textFill>
                  <w14:solidFill>
                    <w14:schemeClr w14:val="tx1"/>
                  </w14:solidFill>
                </w14:textFill>
              </w:rPr>
            </w:pPr>
            <w:r>
              <w:rPr>
                <w:rFonts w:hint="eastAsia" w:ascii="宋体" w:hAnsi="宋体"/>
                <w:color w:val="000000" w:themeColor="text1"/>
                <w:sz w:val="20"/>
                <w:szCs w:val="20"/>
                <w:highlight w:val="none"/>
                <w14:textFill>
                  <w14:solidFill>
                    <w14:schemeClr w14:val="tx1"/>
                  </w14:solidFill>
                </w14:textFill>
              </w:rPr>
              <w:t>≤220</w:t>
            </w:r>
          </w:p>
        </w:tc>
        <w:tc>
          <w:tcPr>
            <w:tcW w:w="1767" w:type="dxa"/>
            <w:vAlign w:val="center"/>
          </w:tcPr>
          <w:p>
            <w:pPr>
              <w:pStyle w:val="56"/>
              <w:spacing w:line="400" w:lineRule="exact"/>
              <w:jc w:val="center"/>
              <w:rPr>
                <w:rFonts w:ascii="宋体" w:hAnsi="宋体"/>
                <w:color w:val="000000" w:themeColor="text1"/>
                <w:sz w:val="20"/>
                <w:szCs w:val="20"/>
                <w:highlight w:val="none"/>
                <w14:textFill>
                  <w14:solidFill>
                    <w14:schemeClr w14:val="tx1"/>
                  </w14:solidFill>
                </w14:textFill>
              </w:rPr>
            </w:pPr>
            <w:r>
              <w:rPr>
                <w:rFonts w:hint="eastAsia" w:ascii="宋体" w:hAnsi="宋体"/>
                <w:color w:val="000000" w:themeColor="text1"/>
                <w:sz w:val="20"/>
                <w:szCs w:val="20"/>
                <w:highlight w:val="none"/>
                <w14:textFill>
                  <w14:solidFill>
                    <w14:schemeClr w14:val="tx1"/>
                  </w14:solidFill>
                </w14:textFill>
              </w:rPr>
              <w:t>≤4</w:t>
            </w:r>
          </w:p>
        </w:tc>
      </w:tr>
    </w:tbl>
    <w:p>
      <w:pPr>
        <w:pStyle w:val="56"/>
        <w:spacing w:beforeLines="25" w:afterLines="25"/>
        <w:ind w:firstLine="478" w:firstLineChars="237"/>
        <w:rPr>
          <w:rFonts w:ascii="宋体" w:hAnsi="宋体"/>
          <w:color w:val="000000" w:themeColor="text1"/>
          <w:sz w:val="20"/>
          <w:highlight w:val="none"/>
          <w14:textFill>
            <w14:solidFill>
              <w14:schemeClr w14:val="tx1"/>
            </w14:solidFill>
          </w14:textFill>
        </w:rPr>
      </w:pPr>
      <w:r>
        <w:rPr>
          <w:rFonts w:hint="eastAsia" w:ascii="宋体" w:hAnsi="宋体"/>
          <w:color w:val="000000" w:themeColor="text1"/>
          <w:sz w:val="20"/>
          <w:highlight w:val="none"/>
          <w14:textFill>
            <w14:solidFill>
              <w14:schemeClr w14:val="tx1"/>
            </w14:solidFill>
          </w14:textFill>
        </w:rPr>
        <w:t>5.1.2 出水质量标准</w:t>
      </w:r>
    </w:p>
    <w:p>
      <w:pPr>
        <w:pStyle w:val="56"/>
        <w:spacing w:beforeLines="25" w:afterLines="25"/>
        <w:ind w:firstLine="478" w:firstLineChars="237"/>
        <w:rPr>
          <w:rFonts w:ascii="宋体" w:hAnsi="宋体"/>
          <w:color w:val="000000" w:themeColor="text1"/>
          <w:sz w:val="20"/>
          <w:highlight w:val="none"/>
          <w14:textFill>
            <w14:solidFill>
              <w14:schemeClr w14:val="tx1"/>
            </w14:solidFill>
          </w14:textFill>
        </w:rPr>
      </w:pPr>
      <w:r>
        <w:rPr>
          <w:rFonts w:hint="eastAsia" w:ascii="宋体" w:hAnsi="宋体"/>
          <w:color w:val="000000" w:themeColor="text1"/>
          <w:sz w:val="20"/>
          <w:highlight w:val="none"/>
          <w14:textFill>
            <w14:solidFill>
              <w14:schemeClr w14:val="tx1"/>
            </w14:solidFill>
          </w14:textFill>
        </w:rPr>
        <w:t>本项目主要水污染物排放执行浙江省地方标准《城镇污水处理厂主要污染物排放标准》（DB33/2169-2018）排放标准，即污水出水质量应符合下表5.1.2对主要污染物监测指标的规定。</w:t>
      </w:r>
    </w:p>
    <w:p>
      <w:pPr>
        <w:pStyle w:val="56"/>
        <w:spacing w:beforeLines="25" w:afterLines="25"/>
        <w:ind w:firstLine="478" w:firstLineChars="237"/>
        <w:jc w:val="center"/>
        <w:rPr>
          <w:rFonts w:ascii="宋体" w:hAnsi="宋体"/>
          <w:color w:val="000000" w:themeColor="text1"/>
          <w:sz w:val="20"/>
          <w:highlight w:val="none"/>
          <w14:textFill>
            <w14:solidFill>
              <w14:schemeClr w14:val="tx1"/>
            </w14:solidFill>
          </w14:textFill>
        </w:rPr>
      </w:pPr>
      <w:r>
        <w:rPr>
          <w:rFonts w:hint="eastAsia" w:ascii="宋体" w:hAnsi="宋体"/>
          <w:color w:val="000000" w:themeColor="text1"/>
          <w:sz w:val="20"/>
          <w:highlight w:val="none"/>
          <w14:textFill>
            <w14:solidFill>
              <w14:schemeClr w14:val="tx1"/>
            </w14:solidFill>
          </w14:textFill>
        </w:rPr>
        <w:t>表 5.1.2    项目出水水质设计标准</w:t>
      </w:r>
    </w:p>
    <w:tbl>
      <w:tblPr>
        <w:tblStyle w:val="25"/>
        <w:tblW w:w="77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6"/>
        <w:gridCol w:w="709"/>
        <w:gridCol w:w="850"/>
        <w:gridCol w:w="709"/>
        <w:gridCol w:w="899"/>
        <w:gridCol w:w="873"/>
        <w:gridCol w:w="638"/>
        <w:gridCol w:w="68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126" w:type="dxa"/>
            <w:vAlign w:val="center"/>
          </w:tcPr>
          <w:p>
            <w:pPr>
              <w:pStyle w:val="56"/>
              <w:spacing w:line="400" w:lineRule="exact"/>
              <w:jc w:val="center"/>
              <w:rPr>
                <w:rFonts w:ascii="宋体"/>
                <w:b/>
                <w:color w:val="000000" w:themeColor="text1"/>
                <w:sz w:val="20"/>
                <w:szCs w:val="20"/>
                <w:highlight w:val="none"/>
                <w14:textFill>
                  <w14:solidFill>
                    <w14:schemeClr w14:val="tx1"/>
                  </w14:solidFill>
                </w14:textFill>
              </w:rPr>
            </w:pPr>
            <w:r>
              <w:rPr>
                <w:rFonts w:hint="eastAsia" w:ascii="宋体" w:hAnsi="宋体"/>
                <w:b/>
                <w:color w:val="000000" w:themeColor="text1"/>
                <w:sz w:val="20"/>
                <w:szCs w:val="20"/>
                <w:highlight w:val="none"/>
                <w14:textFill>
                  <w14:solidFill>
                    <w14:schemeClr w14:val="tx1"/>
                  </w14:solidFill>
                </w14:textFill>
              </w:rPr>
              <w:t>项目</w:t>
            </w:r>
          </w:p>
        </w:tc>
        <w:tc>
          <w:tcPr>
            <w:tcW w:w="709" w:type="dxa"/>
            <w:vAlign w:val="center"/>
          </w:tcPr>
          <w:p>
            <w:pPr>
              <w:pStyle w:val="56"/>
              <w:spacing w:line="400" w:lineRule="exact"/>
              <w:jc w:val="center"/>
              <w:rPr>
                <w:rFonts w:ascii="宋体" w:hAnsi="宋体"/>
                <w:b/>
                <w:color w:val="000000" w:themeColor="text1"/>
                <w:sz w:val="20"/>
                <w:szCs w:val="20"/>
                <w:highlight w:val="none"/>
                <w14:textFill>
                  <w14:solidFill>
                    <w14:schemeClr w14:val="tx1"/>
                  </w14:solidFill>
                </w14:textFill>
              </w:rPr>
            </w:pPr>
            <w:r>
              <w:rPr>
                <w:rFonts w:ascii="宋体" w:hAnsi="宋体"/>
                <w:b/>
                <w:color w:val="000000" w:themeColor="text1"/>
                <w:sz w:val="20"/>
                <w:szCs w:val="20"/>
                <w:highlight w:val="none"/>
                <w14:textFill>
                  <w14:solidFill>
                    <w14:schemeClr w14:val="tx1"/>
                  </w14:solidFill>
                </w14:textFill>
              </w:rPr>
              <w:t>pH</w:t>
            </w:r>
          </w:p>
        </w:tc>
        <w:tc>
          <w:tcPr>
            <w:tcW w:w="850" w:type="dxa"/>
            <w:vAlign w:val="center"/>
          </w:tcPr>
          <w:p>
            <w:pPr>
              <w:pStyle w:val="56"/>
              <w:spacing w:line="400" w:lineRule="exact"/>
              <w:jc w:val="center"/>
              <w:rPr>
                <w:rFonts w:ascii="宋体"/>
                <w:b/>
                <w:color w:val="000000" w:themeColor="text1"/>
                <w:sz w:val="20"/>
                <w:szCs w:val="20"/>
                <w:highlight w:val="none"/>
                <w14:textFill>
                  <w14:solidFill>
                    <w14:schemeClr w14:val="tx1"/>
                  </w14:solidFill>
                </w14:textFill>
              </w:rPr>
            </w:pPr>
            <w:r>
              <w:rPr>
                <w:rFonts w:ascii="宋体" w:hAnsi="宋体"/>
                <w:b/>
                <w:color w:val="000000" w:themeColor="text1"/>
                <w:sz w:val="20"/>
                <w:szCs w:val="20"/>
                <w:highlight w:val="none"/>
                <w14:textFill>
                  <w14:solidFill>
                    <w14:schemeClr w14:val="tx1"/>
                  </w14:solidFill>
                </w14:textFill>
              </w:rPr>
              <w:t>COD</w:t>
            </w:r>
            <w:r>
              <w:rPr>
                <w:rFonts w:ascii="宋体" w:hAnsi="宋体"/>
                <w:b/>
                <w:color w:val="000000" w:themeColor="text1"/>
                <w:sz w:val="20"/>
                <w:szCs w:val="20"/>
                <w:highlight w:val="none"/>
                <w:vertAlign w:val="subscript"/>
                <w14:textFill>
                  <w14:solidFill>
                    <w14:schemeClr w14:val="tx1"/>
                  </w14:solidFill>
                </w14:textFill>
              </w:rPr>
              <w:t>Cr</w:t>
            </w:r>
          </w:p>
        </w:tc>
        <w:tc>
          <w:tcPr>
            <w:tcW w:w="709" w:type="dxa"/>
            <w:vAlign w:val="center"/>
          </w:tcPr>
          <w:p>
            <w:pPr>
              <w:pStyle w:val="56"/>
              <w:spacing w:line="400" w:lineRule="exact"/>
              <w:jc w:val="center"/>
              <w:rPr>
                <w:rFonts w:ascii="宋体"/>
                <w:b/>
                <w:color w:val="000000" w:themeColor="text1"/>
                <w:sz w:val="20"/>
                <w:szCs w:val="20"/>
                <w:highlight w:val="none"/>
                <w14:textFill>
                  <w14:solidFill>
                    <w14:schemeClr w14:val="tx1"/>
                  </w14:solidFill>
                </w14:textFill>
              </w:rPr>
            </w:pPr>
            <w:r>
              <w:rPr>
                <w:rFonts w:ascii="宋体" w:hAnsi="宋体"/>
                <w:b/>
                <w:color w:val="000000" w:themeColor="text1"/>
                <w:sz w:val="20"/>
                <w:szCs w:val="20"/>
                <w:highlight w:val="none"/>
                <w14:textFill>
                  <w14:solidFill>
                    <w14:schemeClr w14:val="tx1"/>
                  </w14:solidFill>
                </w14:textFill>
              </w:rPr>
              <w:t>BOD</w:t>
            </w:r>
            <w:r>
              <w:rPr>
                <w:rFonts w:ascii="宋体" w:hAnsi="宋体"/>
                <w:b/>
                <w:color w:val="000000" w:themeColor="text1"/>
                <w:sz w:val="20"/>
                <w:szCs w:val="20"/>
                <w:highlight w:val="none"/>
                <w:vertAlign w:val="subscript"/>
                <w14:textFill>
                  <w14:solidFill>
                    <w14:schemeClr w14:val="tx1"/>
                  </w14:solidFill>
                </w14:textFill>
              </w:rPr>
              <w:t>5</w:t>
            </w:r>
          </w:p>
        </w:tc>
        <w:tc>
          <w:tcPr>
            <w:tcW w:w="899" w:type="dxa"/>
            <w:vAlign w:val="center"/>
          </w:tcPr>
          <w:p>
            <w:pPr>
              <w:pStyle w:val="56"/>
              <w:spacing w:line="400" w:lineRule="exact"/>
              <w:jc w:val="center"/>
              <w:rPr>
                <w:rFonts w:ascii="宋体" w:hAnsi="宋体"/>
                <w:b/>
                <w:color w:val="000000" w:themeColor="text1"/>
                <w:sz w:val="20"/>
                <w:szCs w:val="20"/>
                <w:highlight w:val="none"/>
                <w14:textFill>
                  <w14:solidFill>
                    <w14:schemeClr w14:val="tx1"/>
                  </w14:solidFill>
                </w14:textFill>
              </w:rPr>
            </w:pPr>
            <w:r>
              <w:rPr>
                <w:rFonts w:ascii="宋体" w:hAnsi="宋体"/>
                <w:b/>
                <w:color w:val="000000" w:themeColor="text1"/>
                <w:sz w:val="20"/>
                <w:szCs w:val="20"/>
                <w:highlight w:val="none"/>
                <w14:textFill>
                  <w14:solidFill>
                    <w14:schemeClr w14:val="tx1"/>
                  </w14:solidFill>
                </w14:textFill>
              </w:rPr>
              <w:t>NH</w:t>
            </w:r>
            <w:r>
              <w:rPr>
                <w:rFonts w:ascii="宋体" w:hAnsi="宋体"/>
                <w:b/>
                <w:color w:val="000000" w:themeColor="text1"/>
                <w:sz w:val="20"/>
                <w:szCs w:val="20"/>
                <w:highlight w:val="none"/>
                <w:vertAlign w:val="subscript"/>
                <w14:textFill>
                  <w14:solidFill>
                    <w14:schemeClr w14:val="tx1"/>
                  </w14:solidFill>
                </w14:textFill>
              </w:rPr>
              <w:t>3</w:t>
            </w:r>
            <w:r>
              <w:rPr>
                <w:rFonts w:ascii="宋体" w:hAnsi="宋体"/>
                <w:b/>
                <w:color w:val="000000" w:themeColor="text1"/>
                <w:sz w:val="20"/>
                <w:szCs w:val="20"/>
                <w:highlight w:val="none"/>
                <w14:textFill>
                  <w14:solidFill>
                    <w14:schemeClr w14:val="tx1"/>
                  </w14:solidFill>
                </w14:textFill>
              </w:rPr>
              <w:t>-N</w:t>
            </w:r>
          </w:p>
        </w:tc>
        <w:tc>
          <w:tcPr>
            <w:tcW w:w="873" w:type="dxa"/>
            <w:vAlign w:val="center"/>
          </w:tcPr>
          <w:p>
            <w:pPr>
              <w:pStyle w:val="56"/>
              <w:spacing w:line="400" w:lineRule="exact"/>
              <w:jc w:val="center"/>
              <w:rPr>
                <w:rFonts w:ascii="宋体" w:hAnsi="宋体"/>
                <w:b/>
                <w:color w:val="000000" w:themeColor="text1"/>
                <w:sz w:val="20"/>
                <w:szCs w:val="20"/>
                <w:highlight w:val="none"/>
                <w14:textFill>
                  <w14:solidFill>
                    <w14:schemeClr w14:val="tx1"/>
                  </w14:solidFill>
                </w14:textFill>
              </w:rPr>
            </w:pPr>
            <w:r>
              <w:rPr>
                <w:rFonts w:ascii="宋体" w:hAnsi="宋体"/>
                <w:b/>
                <w:color w:val="000000" w:themeColor="text1"/>
                <w:sz w:val="20"/>
                <w:szCs w:val="20"/>
                <w:highlight w:val="none"/>
                <w14:textFill>
                  <w14:solidFill>
                    <w14:schemeClr w14:val="tx1"/>
                  </w14:solidFill>
                </w14:textFill>
              </w:rPr>
              <w:t>TN</w:t>
            </w:r>
          </w:p>
        </w:tc>
        <w:tc>
          <w:tcPr>
            <w:tcW w:w="638" w:type="dxa"/>
            <w:vAlign w:val="center"/>
          </w:tcPr>
          <w:p>
            <w:pPr>
              <w:pStyle w:val="56"/>
              <w:spacing w:line="400" w:lineRule="exact"/>
              <w:jc w:val="center"/>
              <w:rPr>
                <w:rFonts w:ascii="宋体" w:hAnsi="宋体"/>
                <w:b/>
                <w:color w:val="000000" w:themeColor="text1"/>
                <w:sz w:val="20"/>
                <w:szCs w:val="20"/>
                <w:highlight w:val="none"/>
                <w14:textFill>
                  <w14:solidFill>
                    <w14:schemeClr w14:val="tx1"/>
                  </w14:solidFill>
                </w14:textFill>
              </w:rPr>
            </w:pPr>
            <w:r>
              <w:rPr>
                <w:rFonts w:ascii="宋体" w:hAnsi="宋体"/>
                <w:b/>
                <w:color w:val="000000" w:themeColor="text1"/>
                <w:sz w:val="20"/>
                <w:szCs w:val="20"/>
                <w:highlight w:val="none"/>
                <w14:textFill>
                  <w14:solidFill>
                    <w14:schemeClr w14:val="tx1"/>
                  </w14:solidFill>
                </w14:textFill>
              </w:rPr>
              <w:t>SS</w:t>
            </w:r>
          </w:p>
        </w:tc>
        <w:tc>
          <w:tcPr>
            <w:tcW w:w="687" w:type="dxa"/>
            <w:vAlign w:val="center"/>
          </w:tcPr>
          <w:p>
            <w:pPr>
              <w:pStyle w:val="56"/>
              <w:spacing w:line="400" w:lineRule="exact"/>
              <w:jc w:val="center"/>
              <w:rPr>
                <w:rFonts w:ascii="宋体" w:hAnsi="宋体"/>
                <w:b/>
                <w:color w:val="000000" w:themeColor="text1"/>
                <w:sz w:val="20"/>
                <w:szCs w:val="20"/>
                <w:highlight w:val="none"/>
                <w14:textFill>
                  <w14:solidFill>
                    <w14:schemeClr w14:val="tx1"/>
                  </w14:solidFill>
                </w14:textFill>
              </w:rPr>
            </w:pPr>
            <w:r>
              <w:rPr>
                <w:rFonts w:ascii="宋体" w:hAnsi="宋体"/>
                <w:b/>
                <w:color w:val="000000" w:themeColor="text1"/>
                <w:sz w:val="20"/>
                <w:szCs w:val="20"/>
                <w:highlight w:val="none"/>
                <w14:textFill>
                  <w14:solidFill>
                    <w14:schemeClr w14:val="tx1"/>
                  </w14:solidFill>
                </w14:textFill>
              </w:rPr>
              <w:t>TP</w:t>
            </w:r>
          </w:p>
        </w:tc>
        <w:tc>
          <w:tcPr>
            <w:tcW w:w="1276" w:type="dxa"/>
            <w:vAlign w:val="center"/>
          </w:tcPr>
          <w:p>
            <w:pPr>
              <w:pStyle w:val="56"/>
              <w:spacing w:line="400" w:lineRule="exact"/>
              <w:jc w:val="center"/>
              <w:rPr>
                <w:rFonts w:ascii="宋体"/>
                <w:b/>
                <w:color w:val="000000" w:themeColor="text1"/>
                <w:sz w:val="20"/>
                <w:szCs w:val="20"/>
                <w:highlight w:val="none"/>
                <w14:textFill>
                  <w14:solidFill>
                    <w14:schemeClr w14:val="tx1"/>
                  </w14:solidFill>
                </w14:textFill>
              </w:rPr>
            </w:pPr>
            <w:r>
              <w:rPr>
                <w:rFonts w:hint="eastAsia" w:ascii="宋体" w:hAnsi="宋体"/>
                <w:b/>
                <w:color w:val="000000" w:themeColor="text1"/>
                <w:sz w:val="20"/>
                <w:szCs w:val="20"/>
                <w:highlight w:val="none"/>
                <w14:textFill>
                  <w14:solidFill>
                    <w14:schemeClr w14:val="tx1"/>
                  </w14:solidFill>
                </w14:textFill>
              </w:rPr>
              <w:t>粪大肠菌群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126" w:type="dxa"/>
            <w:vAlign w:val="center"/>
          </w:tcPr>
          <w:p>
            <w:pPr>
              <w:pStyle w:val="56"/>
              <w:spacing w:line="400" w:lineRule="exact"/>
              <w:jc w:val="center"/>
              <w:rPr>
                <w:rFonts w:ascii="宋体"/>
                <w:color w:val="000000" w:themeColor="text1"/>
                <w:sz w:val="20"/>
                <w:szCs w:val="20"/>
                <w:highlight w:val="none"/>
                <w14:textFill>
                  <w14:solidFill>
                    <w14:schemeClr w14:val="tx1"/>
                  </w14:solidFill>
                </w14:textFill>
              </w:rPr>
            </w:pPr>
            <w:r>
              <w:rPr>
                <w:rFonts w:hint="eastAsia" w:ascii="宋体" w:hAnsi="宋体"/>
                <w:color w:val="000000" w:themeColor="text1"/>
                <w:sz w:val="20"/>
                <w:szCs w:val="20"/>
                <w:highlight w:val="none"/>
                <w14:textFill>
                  <w14:solidFill>
                    <w14:schemeClr w14:val="tx1"/>
                  </w14:solidFill>
                </w14:textFill>
              </w:rPr>
              <w:t>单位</w:t>
            </w:r>
          </w:p>
        </w:tc>
        <w:tc>
          <w:tcPr>
            <w:tcW w:w="709" w:type="dxa"/>
            <w:vAlign w:val="center"/>
          </w:tcPr>
          <w:p>
            <w:pPr>
              <w:pStyle w:val="56"/>
              <w:spacing w:line="400" w:lineRule="exact"/>
              <w:jc w:val="center"/>
              <w:rPr>
                <w:rFonts w:ascii="宋体"/>
                <w:color w:val="000000" w:themeColor="text1"/>
                <w:sz w:val="20"/>
                <w:szCs w:val="20"/>
                <w:highlight w:val="none"/>
                <w14:textFill>
                  <w14:solidFill>
                    <w14:schemeClr w14:val="tx1"/>
                  </w14:solidFill>
                </w14:textFill>
              </w:rPr>
            </w:pPr>
          </w:p>
        </w:tc>
        <w:tc>
          <w:tcPr>
            <w:tcW w:w="850" w:type="dxa"/>
            <w:vAlign w:val="center"/>
          </w:tcPr>
          <w:p>
            <w:pPr>
              <w:pStyle w:val="56"/>
              <w:spacing w:line="400" w:lineRule="exact"/>
              <w:jc w:val="center"/>
              <w:rPr>
                <w:rFonts w:ascii="宋体"/>
                <w:color w:val="000000" w:themeColor="text1"/>
                <w:sz w:val="20"/>
                <w:szCs w:val="20"/>
                <w:highlight w:val="none"/>
                <w14:textFill>
                  <w14:solidFill>
                    <w14:schemeClr w14:val="tx1"/>
                  </w14:solidFill>
                </w14:textFill>
              </w:rPr>
            </w:pPr>
            <w:r>
              <w:rPr>
                <w:rFonts w:ascii="宋体" w:hAnsi="宋体"/>
                <w:b/>
                <w:color w:val="000000" w:themeColor="text1"/>
                <w:sz w:val="20"/>
                <w:szCs w:val="20"/>
                <w:highlight w:val="none"/>
                <w14:textFill>
                  <w14:solidFill>
                    <w14:schemeClr w14:val="tx1"/>
                  </w14:solidFill>
                </w14:textFill>
              </w:rPr>
              <w:t>mg/L</w:t>
            </w:r>
          </w:p>
        </w:tc>
        <w:tc>
          <w:tcPr>
            <w:tcW w:w="709" w:type="dxa"/>
            <w:vAlign w:val="center"/>
          </w:tcPr>
          <w:p>
            <w:pPr>
              <w:pStyle w:val="56"/>
              <w:spacing w:line="400" w:lineRule="exact"/>
              <w:jc w:val="center"/>
              <w:rPr>
                <w:rFonts w:ascii="宋体"/>
                <w:color w:val="000000" w:themeColor="text1"/>
                <w:sz w:val="20"/>
                <w:szCs w:val="20"/>
                <w:highlight w:val="none"/>
                <w14:textFill>
                  <w14:solidFill>
                    <w14:schemeClr w14:val="tx1"/>
                  </w14:solidFill>
                </w14:textFill>
              </w:rPr>
            </w:pPr>
            <w:r>
              <w:rPr>
                <w:rFonts w:ascii="宋体" w:hAnsi="宋体"/>
                <w:b/>
                <w:color w:val="000000" w:themeColor="text1"/>
                <w:sz w:val="20"/>
                <w:szCs w:val="20"/>
                <w:highlight w:val="none"/>
                <w14:textFill>
                  <w14:solidFill>
                    <w14:schemeClr w14:val="tx1"/>
                  </w14:solidFill>
                </w14:textFill>
              </w:rPr>
              <w:t>mg/L</w:t>
            </w:r>
          </w:p>
        </w:tc>
        <w:tc>
          <w:tcPr>
            <w:tcW w:w="899" w:type="dxa"/>
            <w:vAlign w:val="center"/>
          </w:tcPr>
          <w:p>
            <w:pPr>
              <w:pStyle w:val="56"/>
              <w:spacing w:line="400" w:lineRule="exact"/>
              <w:jc w:val="center"/>
              <w:rPr>
                <w:rFonts w:ascii="宋体"/>
                <w:color w:val="000000" w:themeColor="text1"/>
                <w:sz w:val="20"/>
                <w:szCs w:val="20"/>
                <w:highlight w:val="none"/>
                <w14:textFill>
                  <w14:solidFill>
                    <w14:schemeClr w14:val="tx1"/>
                  </w14:solidFill>
                </w14:textFill>
              </w:rPr>
            </w:pPr>
            <w:r>
              <w:rPr>
                <w:rFonts w:ascii="宋体" w:hAnsi="宋体"/>
                <w:b/>
                <w:color w:val="000000" w:themeColor="text1"/>
                <w:sz w:val="20"/>
                <w:szCs w:val="20"/>
                <w:highlight w:val="none"/>
                <w14:textFill>
                  <w14:solidFill>
                    <w14:schemeClr w14:val="tx1"/>
                  </w14:solidFill>
                </w14:textFill>
              </w:rPr>
              <w:t>mg/L</w:t>
            </w:r>
          </w:p>
        </w:tc>
        <w:tc>
          <w:tcPr>
            <w:tcW w:w="873" w:type="dxa"/>
            <w:vAlign w:val="center"/>
          </w:tcPr>
          <w:p>
            <w:pPr>
              <w:pStyle w:val="56"/>
              <w:spacing w:line="400" w:lineRule="exact"/>
              <w:jc w:val="center"/>
              <w:rPr>
                <w:rFonts w:ascii="宋体"/>
                <w:color w:val="000000" w:themeColor="text1"/>
                <w:sz w:val="20"/>
                <w:szCs w:val="20"/>
                <w:highlight w:val="none"/>
                <w14:textFill>
                  <w14:solidFill>
                    <w14:schemeClr w14:val="tx1"/>
                  </w14:solidFill>
                </w14:textFill>
              </w:rPr>
            </w:pPr>
            <w:r>
              <w:rPr>
                <w:rFonts w:ascii="宋体" w:hAnsi="宋体"/>
                <w:b/>
                <w:color w:val="000000" w:themeColor="text1"/>
                <w:sz w:val="20"/>
                <w:szCs w:val="20"/>
                <w:highlight w:val="none"/>
                <w14:textFill>
                  <w14:solidFill>
                    <w14:schemeClr w14:val="tx1"/>
                  </w14:solidFill>
                </w14:textFill>
              </w:rPr>
              <w:t>mg/L</w:t>
            </w:r>
          </w:p>
        </w:tc>
        <w:tc>
          <w:tcPr>
            <w:tcW w:w="638" w:type="dxa"/>
            <w:vAlign w:val="center"/>
          </w:tcPr>
          <w:p>
            <w:pPr>
              <w:pStyle w:val="56"/>
              <w:spacing w:line="400" w:lineRule="exact"/>
              <w:jc w:val="center"/>
              <w:rPr>
                <w:rFonts w:ascii="宋体"/>
                <w:color w:val="000000" w:themeColor="text1"/>
                <w:sz w:val="20"/>
                <w:szCs w:val="20"/>
                <w:highlight w:val="none"/>
                <w14:textFill>
                  <w14:solidFill>
                    <w14:schemeClr w14:val="tx1"/>
                  </w14:solidFill>
                </w14:textFill>
              </w:rPr>
            </w:pPr>
            <w:r>
              <w:rPr>
                <w:rFonts w:ascii="宋体" w:hAnsi="宋体"/>
                <w:b/>
                <w:color w:val="000000" w:themeColor="text1"/>
                <w:sz w:val="20"/>
                <w:szCs w:val="20"/>
                <w:highlight w:val="none"/>
                <w14:textFill>
                  <w14:solidFill>
                    <w14:schemeClr w14:val="tx1"/>
                  </w14:solidFill>
                </w14:textFill>
              </w:rPr>
              <w:t>mg/L</w:t>
            </w:r>
          </w:p>
        </w:tc>
        <w:tc>
          <w:tcPr>
            <w:tcW w:w="687" w:type="dxa"/>
            <w:vAlign w:val="center"/>
          </w:tcPr>
          <w:p>
            <w:pPr>
              <w:pStyle w:val="56"/>
              <w:spacing w:line="400" w:lineRule="exact"/>
              <w:jc w:val="center"/>
              <w:rPr>
                <w:rFonts w:ascii="宋体"/>
                <w:color w:val="000000" w:themeColor="text1"/>
                <w:sz w:val="20"/>
                <w:szCs w:val="20"/>
                <w:highlight w:val="none"/>
                <w14:textFill>
                  <w14:solidFill>
                    <w14:schemeClr w14:val="tx1"/>
                  </w14:solidFill>
                </w14:textFill>
              </w:rPr>
            </w:pPr>
            <w:r>
              <w:rPr>
                <w:rFonts w:ascii="宋体" w:hAnsi="宋体"/>
                <w:b/>
                <w:color w:val="000000" w:themeColor="text1"/>
                <w:sz w:val="20"/>
                <w:szCs w:val="20"/>
                <w:highlight w:val="none"/>
                <w14:textFill>
                  <w14:solidFill>
                    <w14:schemeClr w14:val="tx1"/>
                  </w14:solidFill>
                </w14:textFill>
              </w:rPr>
              <w:t>mg/L</w:t>
            </w:r>
          </w:p>
        </w:tc>
        <w:tc>
          <w:tcPr>
            <w:tcW w:w="1276" w:type="dxa"/>
            <w:vAlign w:val="center"/>
          </w:tcPr>
          <w:p>
            <w:pPr>
              <w:pStyle w:val="56"/>
              <w:spacing w:line="400" w:lineRule="exact"/>
              <w:jc w:val="center"/>
              <w:rPr>
                <w:rFonts w:ascii="宋体"/>
                <w:color w:val="000000" w:themeColor="text1"/>
                <w:sz w:val="20"/>
                <w:szCs w:val="20"/>
                <w:highlight w:val="none"/>
                <w14:textFill>
                  <w14:solidFill>
                    <w14:schemeClr w14:val="tx1"/>
                  </w14:solidFill>
                </w14:textFill>
              </w:rPr>
            </w:pPr>
            <w:r>
              <w:rPr>
                <w:rFonts w:hint="eastAsia" w:ascii="宋体" w:hAnsi="宋体"/>
                <w:b/>
                <w:color w:val="000000" w:themeColor="text1"/>
                <w:sz w:val="20"/>
                <w:szCs w:val="20"/>
                <w:highlight w:val="none"/>
                <w14:textFill>
                  <w14:solidFill>
                    <w14:schemeClr w14:val="tx1"/>
                  </w14:solidFill>
                </w14:textFill>
              </w:rPr>
              <w:t>（个</w:t>
            </w:r>
            <w:r>
              <w:rPr>
                <w:rFonts w:ascii="宋体" w:hAnsi="宋体"/>
                <w:b/>
                <w:color w:val="000000" w:themeColor="text1"/>
                <w:sz w:val="20"/>
                <w:szCs w:val="20"/>
                <w:highlight w:val="none"/>
                <w14:textFill>
                  <w14:solidFill>
                    <w14:schemeClr w14:val="tx1"/>
                  </w14:solidFill>
                </w14:textFill>
              </w:rPr>
              <w:t>/L</w:t>
            </w:r>
            <w:r>
              <w:rPr>
                <w:rFonts w:hint="eastAsia" w:ascii="宋体" w:hAnsi="宋体"/>
                <w:b/>
                <w:color w:val="000000" w:themeColor="text1"/>
                <w:sz w:val="20"/>
                <w:szCs w:val="20"/>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126" w:type="dxa"/>
            <w:vAlign w:val="center"/>
          </w:tcPr>
          <w:p>
            <w:pPr>
              <w:pStyle w:val="56"/>
              <w:spacing w:line="400" w:lineRule="exact"/>
              <w:jc w:val="center"/>
              <w:rPr>
                <w:rFonts w:ascii="宋体"/>
                <w:color w:val="000000" w:themeColor="text1"/>
                <w:sz w:val="20"/>
                <w:szCs w:val="20"/>
                <w:highlight w:val="none"/>
                <w14:textFill>
                  <w14:solidFill>
                    <w14:schemeClr w14:val="tx1"/>
                  </w14:solidFill>
                </w14:textFill>
              </w:rPr>
            </w:pPr>
            <w:r>
              <w:rPr>
                <w:rFonts w:hint="eastAsia" w:ascii="宋体" w:hAnsi="宋体"/>
                <w:color w:val="000000" w:themeColor="text1"/>
                <w:sz w:val="20"/>
                <w:szCs w:val="20"/>
                <w:highlight w:val="none"/>
                <w14:textFill>
                  <w14:solidFill>
                    <w14:schemeClr w14:val="tx1"/>
                  </w14:solidFill>
                </w14:textFill>
              </w:rPr>
              <w:t>指标数值</w:t>
            </w:r>
          </w:p>
        </w:tc>
        <w:tc>
          <w:tcPr>
            <w:tcW w:w="709" w:type="dxa"/>
            <w:vAlign w:val="center"/>
          </w:tcPr>
          <w:p>
            <w:pPr>
              <w:pStyle w:val="56"/>
              <w:spacing w:line="400" w:lineRule="exact"/>
              <w:jc w:val="center"/>
              <w:rPr>
                <w:rFonts w:ascii="宋体" w:hAnsi="宋体"/>
                <w:color w:val="000000" w:themeColor="text1"/>
                <w:sz w:val="20"/>
                <w:szCs w:val="20"/>
                <w:highlight w:val="none"/>
                <w14:textFill>
                  <w14:solidFill>
                    <w14:schemeClr w14:val="tx1"/>
                  </w14:solidFill>
                </w14:textFill>
              </w:rPr>
            </w:pPr>
            <w:r>
              <w:rPr>
                <w:rFonts w:ascii="宋体" w:hAnsi="宋体"/>
                <w:color w:val="000000" w:themeColor="text1"/>
                <w:sz w:val="20"/>
                <w:szCs w:val="20"/>
                <w:highlight w:val="none"/>
                <w14:textFill>
                  <w14:solidFill>
                    <w14:schemeClr w14:val="tx1"/>
                  </w14:solidFill>
                </w14:textFill>
              </w:rPr>
              <w:t>6-9</w:t>
            </w:r>
          </w:p>
        </w:tc>
        <w:tc>
          <w:tcPr>
            <w:tcW w:w="850" w:type="dxa"/>
            <w:vAlign w:val="center"/>
          </w:tcPr>
          <w:p>
            <w:pPr>
              <w:pStyle w:val="56"/>
              <w:spacing w:line="400" w:lineRule="exact"/>
              <w:jc w:val="center"/>
              <w:rPr>
                <w:rFonts w:ascii="宋体" w:hAnsi="宋体"/>
                <w:color w:val="000000" w:themeColor="text1"/>
                <w:sz w:val="20"/>
                <w:szCs w:val="20"/>
                <w:highlight w:val="none"/>
                <w14:textFill>
                  <w14:solidFill>
                    <w14:schemeClr w14:val="tx1"/>
                  </w14:solidFill>
                </w14:textFill>
              </w:rPr>
            </w:pPr>
            <w:r>
              <w:rPr>
                <w:rFonts w:hint="eastAsia" w:ascii="宋体" w:hAnsi="宋体"/>
                <w:color w:val="000000" w:themeColor="text1"/>
                <w:sz w:val="20"/>
                <w:szCs w:val="20"/>
                <w:highlight w:val="none"/>
                <w14:textFill>
                  <w14:solidFill>
                    <w14:schemeClr w14:val="tx1"/>
                  </w14:solidFill>
                </w14:textFill>
              </w:rPr>
              <w:t>4</w:t>
            </w:r>
            <w:r>
              <w:rPr>
                <w:rFonts w:ascii="宋体" w:hAnsi="宋体"/>
                <w:color w:val="000000" w:themeColor="text1"/>
                <w:sz w:val="20"/>
                <w:szCs w:val="20"/>
                <w:highlight w:val="none"/>
                <w14:textFill>
                  <w14:solidFill>
                    <w14:schemeClr w14:val="tx1"/>
                  </w14:solidFill>
                </w14:textFill>
              </w:rPr>
              <w:t>0</w:t>
            </w:r>
          </w:p>
        </w:tc>
        <w:tc>
          <w:tcPr>
            <w:tcW w:w="709" w:type="dxa"/>
            <w:vAlign w:val="center"/>
          </w:tcPr>
          <w:p>
            <w:pPr>
              <w:pStyle w:val="56"/>
              <w:spacing w:line="400" w:lineRule="exact"/>
              <w:jc w:val="center"/>
              <w:rPr>
                <w:rFonts w:ascii="宋体" w:hAnsi="宋体"/>
                <w:color w:val="000000" w:themeColor="text1"/>
                <w:sz w:val="20"/>
                <w:szCs w:val="20"/>
                <w:highlight w:val="none"/>
                <w14:textFill>
                  <w14:solidFill>
                    <w14:schemeClr w14:val="tx1"/>
                  </w14:solidFill>
                </w14:textFill>
              </w:rPr>
            </w:pPr>
            <w:r>
              <w:rPr>
                <w:rFonts w:ascii="宋体" w:hAnsi="宋体"/>
                <w:color w:val="000000" w:themeColor="text1"/>
                <w:sz w:val="20"/>
                <w:szCs w:val="20"/>
                <w:highlight w:val="none"/>
                <w14:textFill>
                  <w14:solidFill>
                    <w14:schemeClr w14:val="tx1"/>
                  </w14:solidFill>
                </w14:textFill>
              </w:rPr>
              <w:t>10</w:t>
            </w:r>
          </w:p>
        </w:tc>
        <w:tc>
          <w:tcPr>
            <w:tcW w:w="899" w:type="dxa"/>
            <w:vAlign w:val="center"/>
          </w:tcPr>
          <w:p>
            <w:pPr>
              <w:pStyle w:val="56"/>
              <w:spacing w:line="400" w:lineRule="exact"/>
              <w:jc w:val="center"/>
              <w:rPr>
                <w:rFonts w:ascii="宋体"/>
                <w:color w:val="000000" w:themeColor="text1"/>
                <w:sz w:val="20"/>
                <w:szCs w:val="20"/>
                <w:highlight w:val="none"/>
                <w14:textFill>
                  <w14:solidFill>
                    <w14:schemeClr w14:val="tx1"/>
                  </w14:solidFill>
                </w14:textFill>
              </w:rPr>
            </w:pPr>
            <w:r>
              <w:rPr>
                <w:rFonts w:hint="eastAsia" w:ascii="宋体" w:hAnsi="宋体"/>
                <w:color w:val="000000" w:themeColor="text1"/>
                <w:sz w:val="20"/>
                <w:szCs w:val="20"/>
                <w:highlight w:val="none"/>
                <w14:textFill>
                  <w14:solidFill>
                    <w14:schemeClr w14:val="tx1"/>
                  </w14:solidFill>
                </w14:textFill>
              </w:rPr>
              <w:t>2（4）</w:t>
            </w:r>
          </w:p>
        </w:tc>
        <w:tc>
          <w:tcPr>
            <w:tcW w:w="873" w:type="dxa"/>
            <w:vAlign w:val="center"/>
          </w:tcPr>
          <w:p>
            <w:pPr>
              <w:pStyle w:val="56"/>
              <w:spacing w:line="400" w:lineRule="exact"/>
              <w:jc w:val="center"/>
              <w:rPr>
                <w:rFonts w:ascii="宋体" w:hAnsi="宋体"/>
                <w:color w:val="000000" w:themeColor="text1"/>
                <w:sz w:val="20"/>
                <w:szCs w:val="20"/>
                <w:highlight w:val="none"/>
                <w14:textFill>
                  <w14:solidFill>
                    <w14:schemeClr w14:val="tx1"/>
                  </w14:solidFill>
                </w14:textFill>
              </w:rPr>
            </w:pPr>
            <w:r>
              <w:rPr>
                <w:rFonts w:hint="eastAsia" w:ascii="宋体" w:hAnsi="宋体"/>
                <w:color w:val="000000" w:themeColor="text1"/>
                <w:sz w:val="20"/>
                <w:szCs w:val="20"/>
                <w:highlight w:val="none"/>
                <w14:textFill>
                  <w14:solidFill>
                    <w14:schemeClr w14:val="tx1"/>
                  </w14:solidFill>
                </w14:textFill>
              </w:rPr>
              <w:t>12(15)</w:t>
            </w:r>
          </w:p>
        </w:tc>
        <w:tc>
          <w:tcPr>
            <w:tcW w:w="638" w:type="dxa"/>
            <w:vAlign w:val="center"/>
          </w:tcPr>
          <w:p>
            <w:pPr>
              <w:pStyle w:val="56"/>
              <w:spacing w:line="400" w:lineRule="exact"/>
              <w:jc w:val="center"/>
              <w:rPr>
                <w:rFonts w:ascii="宋体" w:hAnsi="宋体"/>
                <w:color w:val="000000" w:themeColor="text1"/>
                <w:sz w:val="20"/>
                <w:szCs w:val="20"/>
                <w:highlight w:val="none"/>
                <w14:textFill>
                  <w14:solidFill>
                    <w14:schemeClr w14:val="tx1"/>
                  </w14:solidFill>
                </w14:textFill>
              </w:rPr>
            </w:pPr>
            <w:r>
              <w:rPr>
                <w:rFonts w:ascii="宋体" w:hAnsi="宋体"/>
                <w:color w:val="000000" w:themeColor="text1"/>
                <w:sz w:val="20"/>
                <w:szCs w:val="20"/>
                <w:highlight w:val="none"/>
                <w14:textFill>
                  <w14:solidFill>
                    <w14:schemeClr w14:val="tx1"/>
                  </w14:solidFill>
                </w14:textFill>
              </w:rPr>
              <w:t>10</w:t>
            </w:r>
          </w:p>
        </w:tc>
        <w:tc>
          <w:tcPr>
            <w:tcW w:w="687" w:type="dxa"/>
            <w:vAlign w:val="center"/>
          </w:tcPr>
          <w:p>
            <w:pPr>
              <w:pStyle w:val="56"/>
              <w:spacing w:line="400" w:lineRule="exact"/>
              <w:jc w:val="center"/>
              <w:rPr>
                <w:rFonts w:ascii="宋体" w:hAnsi="宋体"/>
                <w:color w:val="000000" w:themeColor="text1"/>
                <w:sz w:val="20"/>
                <w:szCs w:val="20"/>
                <w:highlight w:val="none"/>
                <w14:textFill>
                  <w14:solidFill>
                    <w14:schemeClr w14:val="tx1"/>
                  </w14:solidFill>
                </w14:textFill>
              </w:rPr>
            </w:pPr>
            <w:r>
              <w:rPr>
                <w:rFonts w:ascii="宋体" w:hAnsi="宋体"/>
                <w:color w:val="000000" w:themeColor="text1"/>
                <w:sz w:val="20"/>
                <w:szCs w:val="20"/>
                <w:highlight w:val="none"/>
                <w14:textFill>
                  <w14:solidFill>
                    <w14:schemeClr w14:val="tx1"/>
                  </w14:solidFill>
                </w14:textFill>
              </w:rPr>
              <w:t>0.</w:t>
            </w:r>
            <w:r>
              <w:rPr>
                <w:rFonts w:hint="eastAsia" w:ascii="宋体" w:hAnsi="宋体"/>
                <w:color w:val="000000" w:themeColor="text1"/>
                <w:sz w:val="20"/>
                <w:szCs w:val="20"/>
                <w:highlight w:val="none"/>
                <w14:textFill>
                  <w14:solidFill>
                    <w14:schemeClr w14:val="tx1"/>
                  </w14:solidFill>
                </w14:textFill>
              </w:rPr>
              <w:t>3</w:t>
            </w:r>
          </w:p>
        </w:tc>
        <w:tc>
          <w:tcPr>
            <w:tcW w:w="1276" w:type="dxa"/>
            <w:vAlign w:val="center"/>
          </w:tcPr>
          <w:p>
            <w:pPr>
              <w:pStyle w:val="56"/>
              <w:spacing w:line="400" w:lineRule="exact"/>
              <w:jc w:val="center"/>
              <w:rPr>
                <w:rFonts w:ascii="宋体" w:hAnsi="宋体"/>
                <w:color w:val="000000" w:themeColor="text1"/>
                <w:sz w:val="20"/>
                <w:szCs w:val="20"/>
                <w:highlight w:val="none"/>
                <w14:textFill>
                  <w14:solidFill>
                    <w14:schemeClr w14:val="tx1"/>
                  </w14:solidFill>
                </w14:textFill>
              </w:rPr>
            </w:pPr>
            <w:r>
              <w:rPr>
                <w:rFonts w:hint="eastAsia" w:ascii="微软雅黑" w:hAnsi="微软雅黑" w:eastAsia="微软雅黑" w:cs="微软雅黑"/>
                <w:color w:val="000000" w:themeColor="text1"/>
                <w:highlight w:val="none"/>
                <w:shd w:val="clear" w:color="auto" w:fill="FFFFEE"/>
                <w14:textFill>
                  <w14:solidFill>
                    <w14:schemeClr w14:val="tx1"/>
                  </w14:solidFill>
                </w14:textFill>
              </w:rPr>
              <w:t>＜</w:t>
            </w:r>
            <w:r>
              <w:rPr>
                <w:rFonts w:ascii="宋体" w:hAnsi="宋体"/>
                <w:color w:val="000000" w:themeColor="text1"/>
                <w:sz w:val="20"/>
                <w:szCs w:val="20"/>
                <w:highlight w:val="none"/>
                <w14:textFill>
                  <w14:solidFill>
                    <w14:schemeClr w14:val="tx1"/>
                  </w14:solidFill>
                </w14:textFill>
              </w:rPr>
              <w:t>1000</w:t>
            </w:r>
          </w:p>
        </w:tc>
      </w:tr>
    </w:tbl>
    <w:p>
      <w:pPr>
        <w:pStyle w:val="56"/>
        <w:spacing w:beforeLines="25" w:afterLines="25"/>
        <w:ind w:firstLine="478" w:firstLineChars="237"/>
        <w:rPr>
          <w:rFonts w:ascii="宋体" w:hAnsi="宋体"/>
          <w:sz w:val="20"/>
          <w:highlight w:val="none"/>
        </w:rPr>
      </w:pPr>
      <w:r>
        <w:rPr>
          <w:rFonts w:hint="eastAsia" w:ascii="宋体" w:hAnsi="宋体"/>
          <w:sz w:val="20"/>
          <w:highlight w:val="none"/>
        </w:rPr>
        <w:t>此外，出水水质还应达到国家排放标准的其他要求。</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5.1.3 污泥排放标准</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参照国家</w:t>
      </w:r>
      <w:bookmarkStart w:id="108" w:name="OLE_LINK1"/>
      <w:r>
        <w:rPr>
          <w:rFonts w:hint="eastAsia" w:ascii="宋体" w:hAnsi="宋体"/>
          <w:sz w:val="20"/>
          <w:highlight w:val="none"/>
        </w:rPr>
        <w:t>《城镇污水处理厂污染物排放标准》</w:t>
      </w:r>
      <w:bookmarkEnd w:id="108"/>
      <w:r>
        <w:rPr>
          <w:rFonts w:hint="eastAsia" w:ascii="宋体" w:hAnsi="宋体"/>
          <w:sz w:val="20"/>
          <w:highlight w:val="none"/>
        </w:rPr>
        <w:t>（GB18918-2002），衢江区集镇污水处理厂污泥经脱水和干化后，其泥饼含水率均应≤80%。</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污泥排放时如不能达到上述标准要求，由此造成的一切后果和经济责任由乙方自行承担。</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污泥集中处置参照《衢州市区污泥集中处置管理规定》执行且满足《浙江省清废行动方案》要求。</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5.1.4 大气污染物排放、噪声控制标准</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大气污染物排放标准、噪声控制执行中国国家标准《城镇污水处理厂污染物排放标准》（GB18918-2002）、《城市污水处理厂运行、维护及其安全技术规程》（CJJ 60-2011），并应符合其他中国国家标准、行业标准以及省、市现行的标准，前述标准若有冲突，以较严格的为准。</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5.1.5 对新标准的执行</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若有关污水处理厂出水水质标准的中国国家标准、行业标准或省、市地方标准发生变化时，对乙方运营的污水处理厂出水水质考核应执行该等新的标准，前述标准若有冲突，以较严格的为准。</w:t>
      </w:r>
    </w:p>
    <w:p>
      <w:pPr>
        <w:pStyle w:val="56"/>
        <w:spacing w:beforeLines="25" w:afterLines="25"/>
        <w:ind w:firstLine="478" w:firstLineChars="237"/>
        <w:rPr>
          <w:rFonts w:ascii="宋体" w:hAnsi="宋体"/>
          <w:sz w:val="20"/>
          <w:highlight w:val="none"/>
        </w:rPr>
      </w:pPr>
      <w:bookmarkStart w:id="109" w:name="OLE_LINK3"/>
      <w:r>
        <w:rPr>
          <w:rFonts w:hint="eastAsia" w:ascii="宋体" w:hAnsi="宋体"/>
          <w:sz w:val="20"/>
          <w:highlight w:val="none"/>
        </w:rPr>
        <w:t>若执行新的标准须调整或改变工艺流程，乙方有义务协助与配合甲方对相关项目设施实施的技术改造。如确因新标准的实施或技术改造原因导致乙方运营服务费的明显增加且新增幅度超过10%时，本协议双方可以第三方机构评估测算结果为依据按照投标报价同比例下浮后调整；</w:t>
      </w:r>
      <w:bookmarkEnd w:id="109"/>
      <w:r>
        <w:rPr>
          <w:rFonts w:hint="eastAsia" w:ascii="宋体" w:hAnsi="宋体"/>
          <w:sz w:val="20"/>
          <w:highlight w:val="none"/>
        </w:rPr>
        <w:t>如新增幅度未超过10%时，运营服务费全费用综合单价不予调整。</w:t>
      </w:r>
    </w:p>
    <w:p>
      <w:pPr>
        <w:pStyle w:val="56"/>
        <w:keepNext/>
        <w:keepLines/>
        <w:spacing w:before="120" w:after="120"/>
        <w:ind w:firstLine="500"/>
        <w:outlineLvl w:val="4"/>
        <w:rPr>
          <w:rFonts w:ascii="宋体" w:hAnsi="宋体"/>
          <w:b/>
          <w:szCs w:val="20"/>
          <w:highlight w:val="none"/>
        </w:rPr>
      </w:pPr>
      <w:bookmarkStart w:id="110" w:name="_Toc246596627"/>
      <w:bookmarkStart w:id="111" w:name="_Toc202676921"/>
      <w:r>
        <w:rPr>
          <w:rFonts w:hint="eastAsia" w:ascii="宋体" w:hAnsi="宋体"/>
          <w:b/>
          <w:szCs w:val="20"/>
          <w:highlight w:val="none"/>
        </w:rPr>
        <w:t>5.2  进水、出水及污泥的检测</w:t>
      </w:r>
      <w:bookmarkEnd w:id="110"/>
      <w:bookmarkEnd w:id="111"/>
    </w:p>
    <w:p>
      <w:pPr>
        <w:pStyle w:val="56"/>
        <w:spacing w:beforeLines="25" w:afterLines="25"/>
        <w:ind w:firstLine="478" w:firstLineChars="237"/>
        <w:rPr>
          <w:rFonts w:ascii="宋体" w:hAnsi="宋体"/>
          <w:sz w:val="20"/>
          <w:highlight w:val="none"/>
        </w:rPr>
      </w:pPr>
      <w:r>
        <w:rPr>
          <w:rFonts w:hint="eastAsia" w:ascii="宋体" w:hAnsi="宋体"/>
          <w:sz w:val="20"/>
          <w:highlight w:val="none"/>
        </w:rPr>
        <w:t>5.2.1 乙方的检测和报告义务</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乙方应按照本第5.2条及有关附录的规定，自费对包括但不限于进水水质、中间处理过程、出水水质、污泥、大气污染物、噪声在内的各项指标进行检测，并如实向甲方报告检测结果。作为本协议之目的，其中进水水质、出水水质以及污泥应通过日常检测、在线检测确定。</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5.2.2  检测</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乙方应自行或委托经甲方书面同意的具有正式法定资质的检测机构按照</w:t>
      </w:r>
      <w:r>
        <w:rPr>
          <w:rFonts w:hint="eastAsia" w:ascii="宋体" w:hAnsi="宋体"/>
          <w:sz w:val="20"/>
          <w:szCs w:val="20"/>
          <w:highlight w:val="none"/>
        </w:rPr>
        <w:t>《城市污水处理厂运行、维护及其安全技术规范》（</w:t>
      </w:r>
      <w:r>
        <w:rPr>
          <w:rFonts w:hint="eastAsia" w:ascii="宋体" w:hAnsi="宋体"/>
          <w:sz w:val="20"/>
          <w:highlight w:val="none"/>
        </w:rPr>
        <w:t>CJJ60-2011）的规定以及本协议</w:t>
      </w:r>
      <w:r>
        <w:rPr>
          <w:highlight w:val="none"/>
        </w:rPr>
        <w:fldChar w:fldCharType="begin"/>
      </w:r>
      <w:r>
        <w:rPr>
          <w:highlight w:val="none"/>
        </w:rPr>
        <w:instrText xml:space="preserve"> HYPERLINK \l "_附录3_水样的采集和储存" </w:instrText>
      </w:r>
      <w:r>
        <w:rPr>
          <w:highlight w:val="none"/>
        </w:rPr>
        <w:fldChar w:fldCharType="separate"/>
      </w:r>
      <w:r>
        <w:rPr>
          <w:rFonts w:hint="eastAsia" w:ascii="宋体" w:hAnsi="宋体"/>
          <w:sz w:val="20"/>
          <w:szCs w:val="20"/>
          <w:highlight w:val="none"/>
        </w:rPr>
        <w:t xml:space="preserve">附录3 </w:t>
      </w:r>
      <w:r>
        <w:rPr>
          <w:rFonts w:hint="eastAsia" w:ascii="宋体" w:hAnsi="宋体"/>
          <w:sz w:val="20"/>
          <w:szCs w:val="20"/>
          <w:highlight w:val="none"/>
        </w:rPr>
        <w:fldChar w:fldCharType="end"/>
      </w:r>
      <w:r>
        <w:rPr>
          <w:rFonts w:hint="eastAsia" w:ascii="宋体" w:hAnsi="宋体"/>
          <w:sz w:val="20"/>
          <w:highlight w:val="none"/>
        </w:rPr>
        <w:t>、</w:t>
      </w:r>
      <w:r>
        <w:rPr>
          <w:highlight w:val="none"/>
        </w:rPr>
        <w:fldChar w:fldCharType="begin"/>
      </w:r>
      <w:r>
        <w:rPr>
          <w:highlight w:val="none"/>
        </w:rPr>
        <w:instrText xml:space="preserve"> HYPERLINK \l "_附录8_污水处理厂水质及污泥检测项目、周期和标准" </w:instrText>
      </w:r>
      <w:r>
        <w:rPr>
          <w:highlight w:val="none"/>
        </w:rPr>
        <w:fldChar w:fldCharType="separate"/>
      </w:r>
      <w:r>
        <w:rPr>
          <w:rFonts w:hint="eastAsia" w:ascii="宋体" w:hAnsi="宋体"/>
          <w:sz w:val="20"/>
          <w:szCs w:val="20"/>
          <w:highlight w:val="none"/>
        </w:rPr>
        <w:t>附录7</w:t>
      </w:r>
      <w:r>
        <w:rPr>
          <w:rFonts w:hint="eastAsia" w:ascii="宋体" w:hAnsi="宋体"/>
          <w:sz w:val="20"/>
          <w:szCs w:val="20"/>
          <w:highlight w:val="none"/>
        </w:rPr>
        <w:fldChar w:fldCharType="end"/>
      </w:r>
      <w:r>
        <w:rPr>
          <w:rFonts w:hint="eastAsia" w:ascii="宋体" w:hAnsi="宋体"/>
          <w:sz w:val="20"/>
          <w:highlight w:val="none"/>
        </w:rPr>
        <w:t xml:space="preserve">要求的采样检测程序、办法、标准和频率进行下列检测： </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a) 对出水pH、COD 、NH3-N、TN、TP等主要水质指标进行连续的在线检测，并实时将检测数据上传至甲方及环保部门监控中心。若届时行政主管部门要求增加在线检测项目，乙方应配合甲方安装在线检测设备，采购及安装设备的费用甲方支付；该检测将作为甲方对乙方日常运营的一种监督方式，检测结果将作为判断出水是否达标排放和计费考核的依据之一。</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b) 就污水处理厂处理后产生的出水及污泥中对环境安全十分重要的那些指标进行进水和出水的日常取样、检测和分析（“日常检测”）。这些指标至少应包括：BOD</w:t>
      </w:r>
      <w:r>
        <w:rPr>
          <w:rFonts w:hint="eastAsia" w:ascii="宋体" w:hAnsi="宋体"/>
          <w:sz w:val="20"/>
          <w:highlight w:val="none"/>
          <w:vertAlign w:val="subscript"/>
        </w:rPr>
        <w:t>5</w:t>
      </w:r>
      <w:r>
        <w:rPr>
          <w:rFonts w:hint="eastAsia" w:ascii="宋体" w:hAnsi="宋体"/>
          <w:sz w:val="20"/>
          <w:szCs w:val="20"/>
          <w:highlight w:val="none"/>
        </w:rPr>
        <w:t>、</w:t>
      </w:r>
      <w:r>
        <w:rPr>
          <w:rFonts w:hint="eastAsia" w:ascii="宋体" w:hAnsi="宋体"/>
          <w:sz w:val="20"/>
          <w:highlight w:val="none"/>
        </w:rPr>
        <w:t>COD</w:t>
      </w:r>
      <w:r>
        <w:rPr>
          <w:rFonts w:hint="eastAsia" w:ascii="宋体" w:hAnsi="宋体"/>
          <w:sz w:val="20"/>
          <w:highlight w:val="none"/>
          <w:vertAlign w:val="subscript"/>
        </w:rPr>
        <w:t>CR</w:t>
      </w:r>
      <w:r>
        <w:rPr>
          <w:rFonts w:hint="eastAsia" w:ascii="宋体" w:hAnsi="宋体"/>
          <w:sz w:val="20"/>
          <w:szCs w:val="20"/>
          <w:highlight w:val="none"/>
        </w:rPr>
        <w:t>、</w:t>
      </w:r>
      <w:r>
        <w:rPr>
          <w:rFonts w:hint="eastAsia" w:ascii="宋体" w:hAnsi="宋体"/>
          <w:sz w:val="20"/>
          <w:highlight w:val="none"/>
        </w:rPr>
        <w:t>SS</w:t>
      </w:r>
      <w:r>
        <w:rPr>
          <w:rFonts w:hint="eastAsia" w:ascii="宋体" w:hAnsi="宋体"/>
          <w:sz w:val="20"/>
          <w:szCs w:val="20"/>
          <w:highlight w:val="none"/>
        </w:rPr>
        <w:t>、</w:t>
      </w:r>
      <w:r>
        <w:rPr>
          <w:rFonts w:hint="eastAsia" w:ascii="宋体" w:hAnsi="宋体"/>
          <w:sz w:val="20"/>
          <w:highlight w:val="none"/>
        </w:rPr>
        <w:t>NH</w:t>
      </w:r>
      <w:r>
        <w:rPr>
          <w:rFonts w:hint="eastAsia" w:ascii="宋体" w:hAnsi="宋体"/>
          <w:sz w:val="20"/>
          <w:highlight w:val="none"/>
          <w:vertAlign w:val="subscript"/>
        </w:rPr>
        <w:t>3</w:t>
      </w:r>
      <w:r>
        <w:rPr>
          <w:rFonts w:hint="eastAsia" w:ascii="宋体" w:hAnsi="宋体"/>
          <w:sz w:val="20"/>
          <w:highlight w:val="none"/>
        </w:rPr>
        <w:t>-N</w:t>
      </w:r>
      <w:r>
        <w:rPr>
          <w:rFonts w:hint="eastAsia" w:ascii="宋体" w:hAnsi="宋体"/>
          <w:sz w:val="20"/>
          <w:szCs w:val="20"/>
          <w:highlight w:val="none"/>
        </w:rPr>
        <w:t>、</w:t>
      </w:r>
      <w:r>
        <w:rPr>
          <w:rFonts w:hint="eastAsia" w:ascii="宋体" w:hAnsi="宋体"/>
          <w:sz w:val="20"/>
          <w:highlight w:val="none"/>
        </w:rPr>
        <w:t>TN</w:t>
      </w:r>
      <w:r>
        <w:rPr>
          <w:rFonts w:hint="eastAsia" w:ascii="宋体" w:hAnsi="宋体"/>
          <w:sz w:val="20"/>
          <w:szCs w:val="20"/>
          <w:highlight w:val="none"/>
        </w:rPr>
        <w:t>、</w:t>
      </w:r>
      <w:r>
        <w:rPr>
          <w:rFonts w:hint="eastAsia" w:ascii="宋体" w:hAnsi="宋体"/>
          <w:sz w:val="20"/>
          <w:highlight w:val="none"/>
        </w:rPr>
        <w:t>TP</w:t>
      </w:r>
      <w:r>
        <w:rPr>
          <w:rFonts w:hint="eastAsia" w:ascii="宋体" w:hAnsi="宋体"/>
          <w:sz w:val="20"/>
          <w:szCs w:val="20"/>
          <w:highlight w:val="none"/>
        </w:rPr>
        <w:t>、</w:t>
      </w:r>
      <w:r>
        <w:rPr>
          <w:rFonts w:hint="eastAsia" w:ascii="宋体" w:hAnsi="宋体"/>
          <w:sz w:val="20"/>
          <w:highlight w:val="none"/>
        </w:rPr>
        <w:t>pH</w:t>
      </w:r>
      <w:r>
        <w:rPr>
          <w:rFonts w:hint="eastAsia" w:ascii="宋体" w:hAnsi="宋体"/>
          <w:sz w:val="20"/>
          <w:szCs w:val="20"/>
          <w:highlight w:val="none"/>
        </w:rPr>
        <w:t>、</w:t>
      </w:r>
      <w:r>
        <w:rPr>
          <w:rFonts w:hint="eastAsia" w:ascii="宋体" w:hAnsi="宋体"/>
          <w:sz w:val="20"/>
          <w:highlight w:val="none"/>
        </w:rPr>
        <w:t>粪大肠菌群数</w:t>
      </w:r>
      <w:r>
        <w:rPr>
          <w:rFonts w:hint="eastAsia" w:ascii="宋体" w:hAnsi="宋体"/>
          <w:sz w:val="20"/>
          <w:szCs w:val="20"/>
          <w:highlight w:val="none"/>
        </w:rPr>
        <w:t>、</w:t>
      </w:r>
      <w:r>
        <w:rPr>
          <w:rFonts w:hint="eastAsia" w:ascii="宋体" w:hAnsi="宋体"/>
          <w:sz w:val="20"/>
          <w:highlight w:val="none"/>
        </w:rPr>
        <w:t>污泥含水率。</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c) 在对上述除PH、粪大肠菌群指标外的进出水指标进行抽检时，在进、出水采样点取二十四（24）小时混合样进行检测。为防止核实时出现争议，在进行检测取样时所有的进水和出水取样点均应同时采集至少一份备份待检样品。该备份样品需有抽样时间、地点、抽样人等标记，并在合适的储存条件下密封保存至少四十八(48)小时。</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d) 在对进出水粪大肠菌群指标进行抽检时，可在进、出水采样点取近三（3）小时混合样进行检测。为防止核实时出现争议，在进行检测取样时所有的进水和出水取样点均应同时采集至少一份备份待检样品。该备份样品需有抽样时间、地点、抽样人等标记，并应于合适的储存条件下在密封保存不超过六(6)小时内完成抽检。</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 xml:space="preserve"> e) 污泥抽检时在污泥采样点采瞬时样，检测指标为污泥含水率，检测方法为土壤水分测定法，结果作为判断污泥是否达标和计费的依据。运营期内，甲方有权根据国家地方相关规定及行业标准对乙方污泥检测指标进行调整。在甲方书面通知乙方后即可采用新的检测指标作为判断污泥是否达标和计费的依据。</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5.2.3  检测的报告和核实</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乙方应记录每次日常检测和在线检测的所有结果，并在完成上述日常检测后按照甲方要求的时限内，将每日进出水的PH、BOD</w:t>
      </w:r>
      <w:r>
        <w:rPr>
          <w:rFonts w:hint="eastAsia" w:ascii="宋体" w:hAnsi="宋体"/>
          <w:sz w:val="20"/>
          <w:highlight w:val="none"/>
          <w:vertAlign w:val="subscript"/>
        </w:rPr>
        <w:t>5</w:t>
      </w:r>
      <w:r>
        <w:rPr>
          <w:rFonts w:hint="eastAsia" w:ascii="宋体" w:hAnsi="宋体"/>
          <w:sz w:val="20"/>
          <w:highlight w:val="none"/>
        </w:rPr>
        <w:t>、COD</w:t>
      </w:r>
      <w:r>
        <w:rPr>
          <w:rFonts w:hint="eastAsia" w:ascii="宋体" w:hAnsi="宋体"/>
          <w:sz w:val="20"/>
          <w:highlight w:val="none"/>
          <w:vertAlign w:val="subscript"/>
        </w:rPr>
        <w:t xml:space="preserve"> Cr</w:t>
      </w:r>
      <w:r>
        <w:rPr>
          <w:rFonts w:hint="eastAsia" w:ascii="宋体" w:hAnsi="宋体"/>
          <w:sz w:val="20"/>
          <w:highlight w:val="none"/>
        </w:rPr>
        <w:t>、SS、NH</w:t>
      </w:r>
      <w:r>
        <w:rPr>
          <w:rFonts w:hint="eastAsia" w:ascii="宋体" w:hAnsi="宋体"/>
          <w:sz w:val="20"/>
          <w:highlight w:val="none"/>
          <w:vertAlign w:val="subscript"/>
        </w:rPr>
        <w:t>3</w:t>
      </w:r>
      <w:r>
        <w:rPr>
          <w:rFonts w:hint="eastAsia" w:ascii="宋体" w:hAnsi="宋体"/>
          <w:sz w:val="20"/>
          <w:highlight w:val="none"/>
        </w:rPr>
        <w:t>-N、TP、TN、粪大肠菌群数以及出厂污泥的含水率等指标向甲方报送。</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任何时候出现以下一项或多项情形的，乙方应立即通知环保主管部门及甲方，且该通知应包括所有有关测试结果以及对此等不符合情况所作的其他有关调查结果的详情。通知还应包括乙方对不符合情况可能持续的期限所作的最佳预测，以及引起此等情况的原因，包括乙方声称任何有关不可抗力或甲方违约事件，或依据本协议约定甲方构成违约的详情和所采取补救措施的详细描述。</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a)出水采样点的出水水质不符合出水水质标准；</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b)进水采样点的进水水质不符合进水水质标准；</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c)污泥、大气污染物、噪声不符合本协议约定标准。</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以上所述的主要指标应采用本协议</w:t>
      </w:r>
      <w:r>
        <w:rPr>
          <w:highlight w:val="none"/>
        </w:rPr>
        <w:fldChar w:fldCharType="begin"/>
      </w:r>
      <w:r>
        <w:rPr>
          <w:highlight w:val="none"/>
        </w:rPr>
        <w:instrText xml:space="preserve"> HYPERLINK \l "_附录3_水样的采集和储存" </w:instrText>
      </w:r>
      <w:r>
        <w:rPr>
          <w:highlight w:val="none"/>
        </w:rPr>
        <w:fldChar w:fldCharType="separate"/>
      </w:r>
      <w:r>
        <w:rPr>
          <w:rFonts w:hint="eastAsia" w:ascii="宋体" w:hAnsi="宋体"/>
          <w:sz w:val="20"/>
          <w:szCs w:val="20"/>
          <w:highlight w:val="none"/>
        </w:rPr>
        <w:t>附录</w:t>
      </w:r>
      <w:r>
        <w:rPr>
          <w:rFonts w:hint="eastAsia" w:ascii="宋体" w:hAnsi="宋体"/>
          <w:sz w:val="20"/>
          <w:szCs w:val="20"/>
          <w:highlight w:val="none"/>
        </w:rPr>
        <w:fldChar w:fldCharType="end"/>
      </w:r>
      <w:r>
        <w:rPr>
          <w:rFonts w:hint="eastAsia" w:ascii="宋体" w:hAnsi="宋体"/>
          <w:sz w:val="20"/>
          <w:highlight w:val="none"/>
        </w:rPr>
        <w:t>3 、附录7所列方法检测。</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就乙方进行的任何日常检测，包括检测程序、结果、试剂、设备和仪器进行检查，或者为了解进水、出水水质是否符合本附件及附录要求，甲方有权进行进一步检（查）测，或随时委托一家经双方共同认可且具有正式资格的检测机构，进行前述一项或多项检测，以核实乙方提供的结果。</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进水水质、出水水质、污泥排放、大气污染物、噪声是否符合本附件约定要求，将以检测机构检测的结论作为最终考核依据。</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5.2.4  检测机构的检测</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检测机构将采用与乙方相同的检测方法和标准对进出水和污泥进行检测，抽检频率按需另行确定。</w:t>
      </w:r>
    </w:p>
    <w:p>
      <w:pPr>
        <w:pStyle w:val="56"/>
        <w:spacing w:beforeLines="25" w:afterLines="25"/>
        <w:ind w:firstLine="478" w:firstLineChars="237"/>
        <w:rPr>
          <w:rFonts w:ascii="仿宋_GB2312" w:hAnsi="仿宋_GB2312" w:eastAsia="仿宋_GB2312"/>
          <w:bCs/>
          <w:sz w:val="24"/>
          <w:highlight w:val="none"/>
        </w:rPr>
      </w:pPr>
      <w:r>
        <w:rPr>
          <w:rFonts w:hint="eastAsia" w:ascii="宋体" w:hAnsi="宋体"/>
          <w:sz w:val="20"/>
          <w:highlight w:val="none"/>
        </w:rPr>
        <w:t>检测机构在现场取样前，应通知乙方人员及监督员陪同取样，并在采样记录单上签字。乙方签字人员（可为数人）应有书面授权，乙方必须保证能随时有授权人员签字。检测机构将在样品的所有应测指标测试完成后及时将检测结果书面通知乙方及甲方。</w:t>
      </w:r>
    </w:p>
    <w:p>
      <w:pPr>
        <w:pStyle w:val="56"/>
        <w:keepNext/>
        <w:keepLines/>
        <w:spacing w:before="120" w:after="120"/>
        <w:ind w:firstLine="500"/>
        <w:outlineLvl w:val="4"/>
        <w:rPr>
          <w:rFonts w:ascii="宋体" w:hAnsi="宋体"/>
          <w:b/>
          <w:szCs w:val="20"/>
          <w:highlight w:val="none"/>
        </w:rPr>
      </w:pPr>
      <w:bookmarkStart w:id="112" w:name="_Toc202676922"/>
      <w:bookmarkStart w:id="113" w:name="_Toc246596628"/>
      <w:r>
        <w:rPr>
          <w:rFonts w:hint="eastAsia" w:ascii="宋体" w:hAnsi="宋体"/>
          <w:b/>
          <w:szCs w:val="20"/>
          <w:highlight w:val="none"/>
        </w:rPr>
        <w:t>5.3  甲方的核实与调整</w:t>
      </w:r>
      <w:bookmarkEnd w:id="112"/>
      <w:bookmarkEnd w:id="113"/>
      <w:r>
        <w:rPr>
          <w:rFonts w:hint="eastAsia" w:ascii="宋体" w:hAnsi="宋体"/>
          <w:b/>
          <w:szCs w:val="20"/>
          <w:highlight w:val="none"/>
        </w:rPr>
        <w:t xml:space="preserve"> </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5.3.1 甲方有权在任何时候派出监管人员对乙方的检测程序、结果、设备和仪器进行现场检查，或者进行令其对出水质量满意所必需的进一步检测，也可以按5.2.3条款委托有正式资格的水质检验机构进行此种检测。</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5.3.2 甲方监管人员可视工艺运行状况，随时通知检测机构对进出水混合样和/或污泥采瞬时样进行检测,其结果作为当日计费依据。检测机构也应在样品的所有应测指标测试完成后及时将检测结果书面通知乙方及甲方。对进出水进行的此类抽检也可只测试本协议第</w:t>
      </w:r>
      <w:r>
        <w:rPr>
          <w:highlight w:val="none"/>
        </w:rPr>
        <w:fldChar w:fldCharType="begin"/>
      </w:r>
      <w:r>
        <w:rPr>
          <w:highlight w:val="none"/>
        </w:rPr>
        <w:instrText xml:space="preserve"> HYPERLINK \l "_5.2__进水及出水的检测" </w:instrText>
      </w:r>
      <w:r>
        <w:rPr>
          <w:highlight w:val="none"/>
        </w:rPr>
        <w:fldChar w:fldCharType="separate"/>
      </w:r>
      <w:r>
        <w:rPr>
          <w:rFonts w:hint="eastAsia" w:ascii="宋体" w:hAnsi="宋体"/>
          <w:sz w:val="20"/>
          <w:szCs w:val="20"/>
          <w:highlight w:val="none"/>
        </w:rPr>
        <w:t>5.</w:t>
      </w:r>
      <w:bookmarkStart w:id="114" w:name="_Hlt212811869"/>
      <w:bookmarkStart w:id="115" w:name="_Hlt212811847"/>
      <w:bookmarkStart w:id="116" w:name="_Hlt212811873"/>
      <w:r>
        <w:rPr>
          <w:rFonts w:hint="eastAsia" w:ascii="宋体" w:hAnsi="宋体"/>
          <w:sz w:val="20"/>
          <w:szCs w:val="20"/>
          <w:highlight w:val="none"/>
        </w:rPr>
        <w:t>2</w:t>
      </w:r>
      <w:bookmarkEnd w:id="114"/>
      <w:bookmarkEnd w:id="115"/>
      <w:bookmarkEnd w:id="116"/>
      <w:r>
        <w:rPr>
          <w:rFonts w:hint="eastAsia" w:ascii="宋体" w:hAnsi="宋体"/>
          <w:sz w:val="20"/>
          <w:szCs w:val="20"/>
          <w:highlight w:val="none"/>
        </w:rPr>
        <w:t>.</w:t>
      </w:r>
      <w:r>
        <w:rPr>
          <w:rFonts w:hint="eastAsia" w:ascii="宋体" w:hAnsi="宋体"/>
          <w:sz w:val="20"/>
          <w:szCs w:val="20"/>
          <w:highlight w:val="none"/>
        </w:rPr>
        <w:fldChar w:fldCharType="end"/>
      </w:r>
      <w:r>
        <w:rPr>
          <w:rFonts w:hint="eastAsia" w:ascii="宋体" w:hAnsi="宋体"/>
          <w:sz w:val="20"/>
          <w:highlight w:val="none"/>
        </w:rPr>
        <w:t>2（b）条规定的九（9）项指标中的部分指标。</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5.3.3 甲方或受委托的检验机构进行上述核实（包括核实第5.2.3条项下检测的结果）或检查的费用应由甲方承担，但是如果核实或检查的结果表明乙方未履行其在本协议第5章的义务，则乙方应负担该费用。</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5.3.4 甲方将委托一家经双方认可且具有正式资质的检测机构对噪声、废气进行每季度不定期抽检，若抽检结果超标则认定本次噪声和/或废气排放超标。</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5.3.5甲方可以根据国家、地方相关法律法规及行业标准调整抽检指标种类及数量。</w:t>
      </w:r>
    </w:p>
    <w:p>
      <w:pPr>
        <w:pStyle w:val="56"/>
        <w:keepNext/>
        <w:keepLines/>
        <w:spacing w:before="120" w:after="120"/>
        <w:ind w:firstLine="500"/>
        <w:outlineLvl w:val="4"/>
        <w:rPr>
          <w:rFonts w:ascii="宋体" w:hAnsi="宋体"/>
          <w:b/>
          <w:szCs w:val="20"/>
          <w:highlight w:val="none"/>
        </w:rPr>
      </w:pPr>
      <w:bookmarkStart w:id="117" w:name="_5.4__水质及污泥超标的处理"/>
      <w:bookmarkEnd w:id="117"/>
      <w:bookmarkStart w:id="118" w:name="_Toc246596629"/>
      <w:bookmarkStart w:id="119" w:name="_Toc202676923"/>
      <w:r>
        <w:rPr>
          <w:rFonts w:hint="eastAsia" w:ascii="宋体" w:hAnsi="宋体"/>
          <w:b/>
          <w:szCs w:val="20"/>
          <w:highlight w:val="none"/>
        </w:rPr>
        <w:t>5.4  水质及污泥超标的处理</w:t>
      </w:r>
      <w:bookmarkEnd w:id="118"/>
      <w:bookmarkEnd w:id="119"/>
    </w:p>
    <w:p>
      <w:pPr>
        <w:pStyle w:val="56"/>
        <w:spacing w:beforeLines="25" w:afterLines="25"/>
        <w:ind w:firstLine="478" w:firstLineChars="237"/>
        <w:rPr>
          <w:rFonts w:ascii="宋体" w:hAnsi="宋体"/>
          <w:sz w:val="20"/>
          <w:highlight w:val="none"/>
        </w:rPr>
      </w:pPr>
      <w:r>
        <w:rPr>
          <w:rFonts w:hint="eastAsia" w:ascii="宋体" w:hAnsi="宋体"/>
          <w:sz w:val="20"/>
          <w:highlight w:val="none"/>
        </w:rPr>
        <w:t>5.4.1 进水水质超标</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若进水水质中任何一项指标超出第5.1.1条款所列指标数值标准，则视为进水水质超标。当发生进水水质超标情形时，进水水质超标期间超标项出水水质标准应按</w:t>
      </w:r>
      <w:r>
        <w:rPr>
          <w:highlight w:val="none"/>
        </w:rPr>
        <w:fldChar w:fldCharType="begin"/>
      </w:r>
      <w:r>
        <w:rPr>
          <w:highlight w:val="none"/>
        </w:rPr>
        <w:instrText xml:space="preserve"> HYPERLINK \l "_附录5_进水水质超标的处理" </w:instrText>
      </w:r>
      <w:r>
        <w:rPr>
          <w:highlight w:val="none"/>
        </w:rPr>
        <w:fldChar w:fldCharType="separate"/>
      </w:r>
      <w:r>
        <w:rPr>
          <w:rFonts w:hint="eastAsia" w:ascii="宋体" w:hAnsi="宋体"/>
          <w:sz w:val="20"/>
          <w:szCs w:val="20"/>
          <w:highlight w:val="none"/>
        </w:rPr>
        <w:t>附录5</w:t>
      </w:r>
      <w:r>
        <w:rPr>
          <w:rFonts w:hint="eastAsia" w:ascii="宋体" w:hAnsi="宋体"/>
          <w:sz w:val="20"/>
          <w:szCs w:val="20"/>
          <w:highlight w:val="none"/>
        </w:rPr>
        <w:fldChar w:fldCharType="end"/>
      </w:r>
      <w:r>
        <w:rPr>
          <w:rFonts w:hint="eastAsia" w:ascii="宋体" w:hAnsi="宋体"/>
          <w:sz w:val="20"/>
          <w:highlight w:val="none"/>
        </w:rPr>
        <w:t>及甲方下达的出水水质考核标准做出相应调整。</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5.4.2 出水水质超标和超标日数的计算</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标准排污口在线监测仪器运行正常情况下，如果任何一种出水水质指标的在线监测日检测平均值超过出水质量标准，则当日出水水质应视为超标。</w:t>
      </w:r>
      <w:r>
        <w:rPr>
          <w:rFonts w:hint="eastAsia" w:ascii="宋体" w:hAnsi="宋体"/>
          <w:b/>
          <w:bCs/>
          <w:sz w:val="20"/>
          <w:highlight w:val="none"/>
        </w:rPr>
        <w:t>第三方及环保主管部门检测超标的，不论标准排污口在线监测日均值是否超标，当日出水水质均视为超标。</w:t>
      </w:r>
      <w:r>
        <w:rPr>
          <w:rFonts w:hint="eastAsia" w:ascii="宋体" w:hAnsi="宋体"/>
          <w:sz w:val="20"/>
          <w:highlight w:val="none"/>
        </w:rPr>
        <w:t>乙方须在运营记录中对出水水质超标日数及原因按月度和年份进行统计并及时上报甲方。</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5.4.3 水质超标的通知</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在任何时候出现下列情形之一的，乙方应立即书面通知环保主管部门、甲方或其指定机构：</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a) 出水检测点的任何一种出水水质指标超标；</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b) 进水检测点的任何一种进水水质指标超标。</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此等通知应包括所有有关测试结果以及就此等不符合情况所做的其它有关调查结果的详情。通知还应包括乙方对不符合情况可能持续的期限所作的最佳预测，以及引起此等状况的原因，包括</w:t>
      </w:r>
      <w:bookmarkStart w:id="120" w:name="_Hlt212816146"/>
      <w:bookmarkEnd w:id="120"/>
      <w:r>
        <w:rPr>
          <w:rFonts w:hint="eastAsia" w:ascii="宋体" w:hAnsi="宋体"/>
          <w:sz w:val="20"/>
          <w:highlight w:val="none"/>
        </w:rPr>
        <w:t>乙方声称的任何有关不可抗力或甲方违约事件的详情和所采取的补救措施的详细描述。</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5.4.4 污泥超标的认定与处理</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乙方自检污泥含水率超标，且在检测完成后立即将该情况书面通知甲方的，则仅视为当日污泥含水率超标；检测机构抽检污泥超标，认定乙方从本次抽检日至上次抽检日期间的污泥含水率超标；检测机构抽检污泥达标，认定乙方从本次抽检日至上次抽检日期间的污泥含水率达标，乙方自检超标和甲方监管人员通知检测机构所采样品超标的天数除外。</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因污泥含水率超标导致污泥受纳单位拒绝接收污泥时，乙方对所拉回污泥应自行进行妥善处置至合格达标，并承担由此造成的费用增加。污泥检测含水率超标情况的处理见本协议</w:t>
      </w:r>
      <w:r>
        <w:rPr>
          <w:highlight w:val="none"/>
        </w:rPr>
        <w:fldChar w:fldCharType="begin"/>
      </w:r>
      <w:r>
        <w:rPr>
          <w:highlight w:val="none"/>
        </w:rPr>
        <w:instrText xml:space="preserve"> HYPERLINK \l "_附录6_污水出水水质不合格及污泥超标的违约金" </w:instrText>
      </w:r>
      <w:r>
        <w:rPr>
          <w:highlight w:val="none"/>
        </w:rPr>
        <w:fldChar w:fldCharType="separate"/>
      </w:r>
      <w:r>
        <w:rPr>
          <w:rFonts w:hint="eastAsia" w:ascii="宋体" w:hAnsi="宋体"/>
          <w:sz w:val="20"/>
          <w:szCs w:val="20"/>
          <w:highlight w:val="none"/>
        </w:rPr>
        <w:t>附录6</w:t>
      </w:r>
      <w:r>
        <w:rPr>
          <w:rFonts w:hint="eastAsia" w:ascii="宋体" w:hAnsi="宋体"/>
          <w:sz w:val="20"/>
          <w:szCs w:val="20"/>
          <w:highlight w:val="none"/>
        </w:rPr>
        <w:fldChar w:fldCharType="end"/>
      </w:r>
      <w:r>
        <w:rPr>
          <w:rFonts w:hint="eastAsia" w:ascii="宋体" w:hAnsi="宋体"/>
          <w:sz w:val="20"/>
          <w:highlight w:val="none"/>
        </w:rPr>
        <w:t>。</w:t>
      </w:r>
    </w:p>
    <w:p>
      <w:pPr>
        <w:pStyle w:val="56"/>
        <w:keepNext/>
        <w:keepLines/>
        <w:spacing w:before="120" w:after="120"/>
        <w:ind w:firstLine="500"/>
        <w:outlineLvl w:val="4"/>
        <w:rPr>
          <w:rFonts w:ascii="宋体" w:hAnsi="宋体"/>
          <w:b/>
          <w:szCs w:val="20"/>
          <w:highlight w:val="none"/>
        </w:rPr>
      </w:pPr>
      <w:bookmarkStart w:id="121" w:name="_Toc202676924"/>
      <w:bookmarkStart w:id="122" w:name="_Toc246596630"/>
      <w:r>
        <w:rPr>
          <w:rFonts w:hint="eastAsia" w:ascii="宋体" w:hAnsi="宋体"/>
          <w:b/>
          <w:szCs w:val="20"/>
          <w:highlight w:val="none"/>
        </w:rPr>
        <w:t>5.5  进水不符合进水质量的后果</w:t>
      </w:r>
      <w:bookmarkEnd w:id="121"/>
      <w:bookmarkEnd w:id="122"/>
    </w:p>
    <w:p>
      <w:pPr>
        <w:pStyle w:val="56"/>
        <w:spacing w:beforeLines="25" w:afterLines="25"/>
        <w:ind w:firstLine="478" w:firstLineChars="237"/>
        <w:rPr>
          <w:rFonts w:ascii="宋体" w:hAnsi="宋体"/>
          <w:sz w:val="20"/>
          <w:highlight w:val="none"/>
        </w:rPr>
      </w:pPr>
      <w:r>
        <w:rPr>
          <w:rFonts w:hint="eastAsia" w:ascii="宋体" w:hAnsi="宋体"/>
          <w:sz w:val="20"/>
          <w:highlight w:val="none"/>
        </w:rPr>
        <w:t>5.5.1  改变处理工艺或设备</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如果由于进水不符合水质控制范围，致使乙方仅能通过以其它方式改变当时在污水处理厂采用的处理工艺，或在运营污水处理厂设施中需增加使用的设备，或污水处理过程中需通过增加化学药剂，来履行第5.1条及</w:t>
      </w:r>
      <w:r>
        <w:rPr>
          <w:highlight w:val="none"/>
        </w:rPr>
        <w:fldChar w:fldCharType="begin"/>
      </w:r>
      <w:r>
        <w:rPr>
          <w:highlight w:val="none"/>
        </w:rPr>
        <w:instrText xml:space="preserve"> HYPERLINK \l "_附录6_污水出水水质不合格及污泥超标的违约金" </w:instrText>
      </w:r>
      <w:r>
        <w:rPr>
          <w:highlight w:val="none"/>
        </w:rPr>
        <w:fldChar w:fldCharType="separate"/>
      </w:r>
      <w:r>
        <w:rPr>
          <w:rFonts w:hint="eastAsia" w:ascii="宋体" w:hAnsi="宋体"/>
          <w:sz w:val="20"/>
          <w:szCs w:val="20"/>
          <w:highlight w:val="none"/>
        </w:rPr>
        <w:t>附录6</w:t>
      </w:r>
      <w:r>
        <w:rPr>
          <w:rFonts w:hint="eastAsia" w:ascii="宋体" w:hAnsi="宋体"/>
          <w:sz w:val="20"/>
          <w:szCs w:val="20"/>
          <w:highlight w:val="none"/>
        </w:rPr>
        <w:fldChar w:fldCharType="end"/>
      </w:r>
      <w:r>
        <w:rPr>
          <w:rFonts w:hint="eastAsia" w:ascii="宋体" w:hAnsi="宋体"/>
          <w:sz w:val="20"/>
          <w:highlight w:val="none"/>
        </w:rPr>
        <w:t>所规定应达到的出水水质标准的义务，则以第5.5.2条为前提，乙方应立即实施为使其能够履行该等义务所需的更新改造方案。</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5.5.2  批准增加费用</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如果乙方实施根据第5.5.1条建议的更新改造方案会引致项目设施投资支出或运营成本费用的增加，则乙方应及时向甲方发出书面通知，详述其认为必要的更新改造及支出或成本的增加情况。</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在未获得甲方事先书面同意之前，乙方不得实施更新改造方案，就上述建议所需进行更新改造的性质、范围或必要性所产生的任何争议应根据第</w:t>
      </w:r>
      <w:r>
        <w:rPr>
          <w:highlight w:val="none"/>
        </w:rPr>
        <w:fldChar w:fldCharType="begin"/>
      </w:r>
      <w:r>
        <w:rPr>
          <w:highlight w:val="none"/>
        </w:rPr>
        <w:instrText xml:space="preserve"> HYPERLINK \l "_17.1_一般补偿" </w:instrText>
      </w:r>
      <w:r>
        <w:rPr>
          <w:highlight w:val="none"/>
        </w:rPr>
        <w:fldChar w:fldCharType="separate"/>
      </w:r>
      <w:r>
        <w:rPr>
          <w:rFonts w:hint="eastAsia" w:ascii="宋体" w:hAnsi="宋体"/>
          <w:sz w:val="20"/>
          <w:szCs w:val="20"/>
          <w:highlight w:val="none"/>
        </w:rPr>
        <w:t>1</w:t>
      </w:r>
      <w:bookmarkStart w:id="123" w:name="_Hlt243632357"/>
      <w:bookmarkStart w:id="124" w:name="_Hlt243632358"/>
      <w:r>
        <w:rPr>
          <w:rFonts w:hint="eastAsia" w:ascii="宋体" w:hAnsi="宋体"/>
          <w:sz w:val="20"/>
          <w:szCs w:val="20"/>
          <w:highlight w:val="none"/>
        </w:rPr>
        <w:t>9.</w:t>
      </w:r>
      <w:bookmarkEnd w:id="123"/>
      <w:bookmarkEnd w:id="124"/>
      <w:bookmarkStart w:id="125" w:name="_Hlt244081493"/>
      <w:bookmarkStart w:id="126" w:name="_Hlt244081492"/>
      <w:r>
        <w:rPr>
          <w:rFonts w:hint="eastAsia" w:ascii="宋体" w:hAnsi="宋体"/>
          <w:sz w:val="20"/>
          <w:szCs w:val="20"/>
          <w:highlight w:val="none"/>
        </w:rPr>
        <w:t>1</w:t>
      </w:r>
      <w:bookmarkEnd w:id="125"/>
      <w:bookmarkEnd w:id="126"/>
      <w:r>
        <w:rPr>
          <w:rFonts w:hint="eastAsia" w:ascii="宋体" w:hAnsi="宋体"/>
          <w:sz w:val="20"/>
          <w:szCs w:val="20"/>
          <w:highlight w:val="none"/>
        </w:rPr>
        <w:fldChar w:fldCharType="end"/>
      </w:r>
      <w:r>
        <w:rPr>
          <w:rFonts w:hint="eastAsia" w:ascii="宋体" w:hAnsi="宋体"/>
          <w:sz w:val="20"/>
          <w:highlight w:val="none"/>
        </w:rPr>
        <w:t>条首先提交运营协调小组协商。</w:t>
      </w:r>
    </w:p>
    <w:p>
      <w:pPr>
        <w:pStyle w:val="56"/>
        <w:spacing w:beforeLines="25" w:afterLines="25"/>
        <w:ind w:firstLine="478" w:firstLineChars="237"/>
        <w:rPr>
          <w:rFonts w:ascii="宋体" w:hAnsi="宋体"/>
          <w:sz w:val="20"/>
          <w:highlight w:val="none"/>
        </w:rPr>
      </w:pPr>
      <w:r>
        <w:rPr>
          <w:rFonts w:ascii="宋体" w:hAnsi="宋体"/>
          <w:sz w:val="20"/>
          <w:highlight w:val="none"/>
        </w:rPr>
        <w:t xml:space="preserve">5.5.3  </w:t>
      </w:r>
      <w:r>
        <w:rPr>
          <w:rFonts w:hint="eastAsia" w:ascii="宋体" w:hAnsi="宋体"/>
          <w:sz w:val="20"/>
          <w:highlight w:val="none"/>
        </w:rPr>
        <w:t>因进水质量不合格而导致的出水水质超标处理</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因进水质量不合格而导致的出水水质超标，乙方须提供充分的证据并经甲方书面确认后，甲方将按</w:t>
      </w:r>
      <w:r>
        <w:rPr>
          <w:highlight w:val="none"/>
        </w:rPr>
        <w:fldChar w:fldCharType="begin"/>
      </w:r>
      <w:r>
        <w:rPr>
          <w:highlight w:val="none"/>
        </w:rPr>
        <w:instrText xml:space="preserve"> HYPERLINK \l "_附录5_进水水质超标的处理" </w:instrText>
      </w:r>
      <w:r>
        <w:rPr>
          <w:highlight w:val="none"/>
        </w:rPr>
        <w:fldChar w:fldCharType="separate"/>
      </w:r>
      <w:r>
        <w:rPr>
          <w:rFonts w:hint="eastAsia" w:ascii="宋体" w:hAnsi="宋体"/>
          <w:sz w:val="20"/>
          <w:szCs w:val="20"/>
          <w:highlight w:val="none"/>
        </w:rPr>
        <w:t>附录</w:t>
      </w:r>
      <w:r>
        <w:rPr>
          <w:rFonts w:ascii="宋体" w:hAnsi="宋体"/>
          <w:sz w:val="20"/>
          <w:szCs w:val="20"/>
          <w:highlight w:val="none"/>
        </w:rPr>
        <w:t>5</w:t>
      </w:r>
      <w:r>
        <w:rPr>
          <w:rFonts w:ascii="宋体" w:hAnsi="宋体"/>
          <w:sz w:val="20"/>
          <w:szCs w:val="20"/>
          <w:highlight w:val="none"/>
        </w:rPr>
        <w:fldChar w:fldCharType="end"/>
      </w:r>
      <w:r>
        <w:rPr>
          <w:rFonts w:hint="eastAsia" w:ascii="宋体" w:hAnsi="宋体"/>
          <w:sz w:val="20"/>
          <w:highlight w:val="none"/>
        </w:rPr>
        <w:t>的约定对乙方进行相应的处理。</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5.5.4 进水严重超标导致停运时运营费用的支付</w:t>
      </w:r>
    </w:p>
    <w:p>
      <w:pPr>
        <w:pStyle w:val="56"/>
        <w:spacing w:beforeLines="25" w:afterLines="25"/>
        <w:ind w:firstLine="478" w:firstLineChars="237"/>
        <w:rPr>
          <w:rFonts w:ascii="仿宋_GB2312" w:hAnsi="仿宋_GB2312" w:eastAsia="仿宋_GB2312"/>
          <w:bCs/>
          <w:i/>
          <w:sz w:val="24"/>
          <w:highlight w:val="none"/>
          <w:u w:val="single"/>
        </w:rPr>
      </w:pPr>
      <w:r>
        <w:rPr>
          <w:rFonts w:hint="eastAsia" w:ascii="宋体" w:hAnsi="宋体"/>
          <w:sz w:val="20"/>
          <w:highlight w:val="none"/>
          <w:u w:val="single"/>
        </w:rPr>
        <w:t>当进水严重超标（指进水中除</w:t>
      </w:r>
      <w:r>
        <w:rPr>
          <w:rFonts w:ascii="宋体" w:hAnsi="宋体"/>
          <w:sz w:val="20"/>
          <w:highlight w:val="none"/>
          <w:u w:val="single"/>
        </w:rPr>
        <w:t>PH</w:t>
      </w:r>
      <w:r>
        <w:rPr>
          <w:rFonts w:hint="eastAsia" w:ascii="宋体" w:hAnsi="宋体"/>
          <w:sz w:val="20"/>
          <w:highlight w:val="none"/>
          <w:u w:val="single"/>
        </w:rPr>
        <w:t>以外的任何一种进水主要水质指标超过本协议第</w:t>
      </w:r>
      <w:r>
        <w:rPr>
          <w:rFonts w:ascii="宋体" w:hAnsi="宋体"/>
          <w:sz w:val="20"/>
          <w:highlight w:val="none"/>
          <w:u w:val="single"/>
        </w:rPr>
        <w:t>5.1.1条款规定的进水水质标准+</w:t>
      </w:r>
      <w:r>
        <w:rPr>
          <w:rFonts w:hint="eastAsia" w:ascii="宋体" w:hAnsi="宋体"/>
          <w:sz w:val="20"/>
          <w:highlight w:val="none"/>
          <w:u w:val="single"/>
        </w:rPr>
        <w:t>3</w:t>
      </w:r>
      <w:r>
        <w:rPr>
          <w:rFonts w:ascii="宋体" w:hAnsi="宋体"/>
          <w:sz w:val="20"/>
          <w:highlight w:val="none"/>
          <w:u w:val="single"/>
        </w:rPr>
        <w:t>0%以上，或者PH＜4或PH＞11</w:t>
      </w:r>
      <w:r>
        <w:rPr>
          <w:rFonts w:hint="eastAsia" w:ascii="宋体" w:hAnsi="宋体"/>
          <w:sz w:val="20"/>
          <w:highlight w:val="none"/>
          <w:u w:val="single"/>
        </w:rPr>
        <w:t>等情况时），且可能危及污水处理厂项目设施安全运行时，乙方在履行通知义务后应尽可能采取应急措施确保污水处理达标排放。若可能造成污水处理厂停止运行的，必须书面通知甲方并征得环保主管部门批准后方可停止运行，在此停止运行处理期间，甲方应按全停产情况计付补偿费用。</w:t>
      </w:r>
    </w:p>
    <w:p>
      <w:pPr>
        <w:pStyle w:val="56"/>
        <w:keepNext/>
        <w:keepLines/>
        <w:spacing w:before="120" w:after="120"/>
        <w:ind w:firstLine="500"/>
        <w:outlineLvl w:val="4"/>
        <w:rPr>
          <w:rFonts w:ascii="宋体" w:hAnsi="宋体"/>
          <w:b/>
          <w:szCs w:val="20"/>
          <w:highlight w:val="none"/>
        </w:rPr>
      </w:pPr>
      <w:bookmarkStart w:id="127" w:name="_Toc202676925"/>
      <w:bookmarkStart w:id="128" w:name="_Toc246596631"/>
      <w:r>
        <w:rPr>
          <w:rFonts w:hint="eastAsia" w:ascii="宋体" w:hAnsi="宋体"/>
          <w:b/>
          <w:szCs w:val="20"/>
          <w:highlight w:val="none"/>
        </w:rPr>
        <w:t xml:space="preserve">5.6  </w:t>
      </w:r>
      <w:bookmarkEnd w:id="127"/>
      <w:r>
        <w:rPr>
          <w:rFonts w:hint="eastAsia" w:ascii="宋体" w:hAnsi="宋体"/>
          <w:b/>
          <w:szCs w:val="20"/>
          <w:highlight w:val="none"/>
        </w:rPr>
        <w:t>无法达标排放情形的界定</w:t>
      </w:r>
      <w:bookmarkEnd w:id="128"/>
    </w:p>
    <w:p>
      <w:pPr>
        <w:pStyle w:val="56"/>
        <w:spacing w:beforeLines="25" w:afterLines="25"/>
        <w:ind w:firstLine="478" w:firstLineChars="237"/>
        <w:rPr>
          <w:rFonts w:ascii="宋体" w:hAnsi="宋体"/>
          <w:sz w:val="20"/>
          <w:highlight w:val="none"/>
        </w:rPr>
      </w:pPr>
      <w:r>
        <w:rPr>
          <w:rFonts w:hint="eastAsia" w:ascii="宋体" w:hAnsi="宋体"/>
          <w:sz w:val="20"/>
          <w:highlight w:val="none"/>
        </w:rPr>
        <w:t>如果由于不可控或不可预见的因素导致排入的进水严重超出进水水质标准控制范围（</w:t>
      </w:r>
      <w:r>
        <w:rPr>
          <w:rFonts w:hint="eastAsia" w:ascii="宋体" w:hAnsi="宋体"/>
          <w:sz w:val="20"/>
          <w:highlight w:val="none"/>
          <w:u w:val="single"/>
        </w:rPr>
        <w:t>指进水中除PH以外的任何一种进水主要水质指标超过本协议第5.1.1条款规定的进水水质标准+30%以上，或者PH＜4或PH＞11等情况时</w:t>
      </w:r>
      <w:r>
        <w:rPr>
          <w:rFonts w:hint="eastAsia" w:ascii="宋体" w:hAnsi="宋体"/>
          <w:sz w:val="20"/>
          <w:highlight w:val="none"/>
        </w:rPr>
        <w:t>），致使乙方确经尽责努力仍无法履行其在第</w:t>
      </w:r>
      <w:r>
        <w:rPr>
          <w:highlight w:val="none"/>
        </w:rPr>
        <w:fldChar w:fldCharType="begin"/>
      </w:r>
      <w:r>
        <w:rPr>
          <w:highlight w:val="none"/>
        </w:rPr>
        <w:instrText xml:space="preserve"> HYPERLINK \l "_5.1__污水处理厂进出水质量及污泥排放标准" </w:instrText>
      </w:r>
      <w:r>
        <w:rPr>
          <w:highlight w:val="none"/>
        </w:rPr>
        <w:fldChar w:fldCharType="separate"/>
      </w:r>
      <w:r>
        <w:rPr>
          <w:rFonts w:hint="eastAsia" w:ascii="宋体" w:hAnsi="宋体"/>
          <w:sz w:val="20"/>
          <w:szCs w:val="20"/>
          <w:highlight w:val="none"/>
        </w:rPr>
        <w:t>5.1</w:t>
      </w:r>
      <w:r>
        <w:rPr>
          <w:rFonts w:hint="eastAsia" w:ascii="宋体" w:hAnsi="宋体"/>
          <w:sz w:val="20"/>
          <w:szCs w:val="20"/>
          <w:highlight w:val="none"/>
        </w:rPr>
        <w:fldChar w:fldCharType="end"/>
      </w:r>
      <w:r>
        <w:rPr>
          <w:rFonts w:hint="eastAsia" w:ascii="宋体" w:hAnsi="宋体"/>
          <w:sz w:val="20"/>
          <w:highlight w:val="none"/>
        </w:rPr>
        <w:t>条项下某一种或多种污染物达标排放义务的，或者如果环保主管部门及甲方未批准乙方就改变污水处理方式所做出的建议（即使该建议是乙方履行其达标排放义务所必需的）的，则以上情况在本协议中应被视作某一种或多种污染物无法达标排放情形。</w:t>
      </w:r>
    </w:p>
    <w:p>
      <w:pPr>
        <w:pStyle w:val="56"/>
        <w:widowControl w:val="0"/>
        <w:spacing w:beforeLines="50"/>
        <w:jc w:val="center"/>
        <w:rPr>
          <w:rFonts w:ascii="新宋体" w:hAnsi="新宋体" w:eastAsia="新宋体" w:cs="新宋体"/>
          <w:b/>
          <w:kern w:val="2"/>
          <w:sz w:val="28"/>
          <w:szCs w:val="28"/>
          <w:highlight w:val="none"/>
        </w:rPr>
      </w:pPr>
      <w:bookmarkStart w:id="129" w:name="_Toc246596632"/>
      <w:bookmarkStart w:id="130" w:name="_Toc202676913"/>
      <w:r>
        <w:rPr>
          <w:rFonts w:hint="eastAsia" w:ascii="新宋体" w:hAnsi="新宋体" w:eastAsia="新宋体" w:cs="新宋体"/>
          <w:b/>
          <w:kern w:val="2"/>
          <w:sz w:val="28"/>
          <w:szCs w:val="28"/>
          <w:highlight w:val="none"/>
        </w:rPr>
        <w:t>第六</w:t>
      </w:r>
      <w:bookmarkStart w:id="131" w:name="_Hlt212661586"/>
      <w:bookmarkEnd w:id="131"/>
      <w:r>
        <w:rPr>
          <w:rFonts w:hint="eastAsia" w:ascii="新宋体" w:hAnsi="新宋体" w:eastAsia="新宋体" w:cs="新宋体"/>
          <w:b/>
          <w:kern w:val="2"/>
          <w:sz w:val="28"/>
          <w:szCs w:val="28"/>
          <w:highlight w:val="none"/>
        </w:rPr>
        <w:t>节  运营前的接管与验收</w:t>
      </w:r>
      <w:bookmarkEnd w:id="129"/>
    </w:p>
    <w:p>
      <w:pPr>
        <w:pStyle w:val="56"/>
        <w:keepNext/>
        <w:keepLines/>
        <w:spacing w:before="120" w:after="120"/>
        <w:ind w:firstLine="500"/>
        <w:outlineLvl w:val="4"/>
        <w:rPr>
          <w:rFonts w:ascii="宋体" w:hAnsi="宋体"/>
          <w:b/>
          <w:szCs w:val="20"/>
          <w:highlight w:val="none"/>
        </w:rPr>
      </w:pPr>
      <w:bookmarkStart w:id="132" w:name="_6.1__运营前的调试"/>
      <w:bookmarkEnd w:id="132"/>
      <w:bookmarkStart w:id="133" w:name="_Toc246596633"/>
      <w:r>
        <w:rPr>
          <w:rFonts w:hint="eastAsia" w:ascii="宋体" w:hAnsi="宋体"/>
          <w:b/>
          <w:szCs w:val="20"/>
          <w:highlight w:val="none"/>
        </w:rPr>
        <w:t>6.1  接收前的相关工作</w:t>
      </w:r>
      <w:bookmarkEnd w:id="133"/>
    </w:p>
    <w:p>
      <w:pPr>
        <w:pStyle w:val="56"/>
        <w:spacing w:beforeLines="25" w:afterLines="25"/>
        <w:ind w:firstLine="478" w:firstLineChars="237"/>
        <w:rPr>
          <w:rFonts w:ascii="宋体" w:hAnsi="宋体"/>
          <w:sz w:val="20"/>
          <w:highlight w:val="none"/>
        </w:rPr>
      </w:pPr>
      <w:r>
        <w:rPr>
          <w:rFonts w:hint="eastAsia" w:ascii="宋体" w:hAnsi="宋体"/>
          <w:sz w:val="20"/>
          <w:highlight w:val="none"/>
        </w:rPr>
        <w:t>6.1.1 为更好的了解项目设施工况、顺利完成项目设施的交接，在本协议生效后乙方应自费先期派出人员参与相关调试工作。</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6.1.2为更好的协助远期项目设施建设、顺利完成运营期内新增项目设施的调试与交接，乙方应尽量确保近期项目设施正常运营的前提下，积极协助配合甲方建设单位进行远期项目设施的扩建工作，并按照甲方要求妥善合理地协调安排好建设期间对近期、远期（如有）公用及共用设施（如办公楼、进水管道与泵房、污泥脱水机房、供配电间等）的使用。</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6.1.3 经审核确认并移交的所有项目污水处理设施，将交由乙方负责保管维护。</w:t>
      </w:r>
    </w:p>
    <w:p>
      <w:pPr>
        <w:pStyle w:val="56"/>
        <w:keepNext/>
        <w:keepLines/>
        <w:spacing w:before="120" w:after="120"/>
        <w:ind w:firstLine="500"/>
        <w:outlineLvl w:val="4"/>
        <w:rPr>
          <w:rFonts w:ascii="宋体" w:hAnsi="宋体"/>
          <w:b/>
          <w:szCs w:val="20"/>
          <w:highlight w:val="none"/>
        </w:rPr>
      </w:pPr>
      <w:bookmarkStart w:id="134" w:name="_6.2_项目设施的接收"/>
      <w:bookmarkEnd w:id="134"/>
      <w:bookmarkStart w:id="135" w:name="_Toc246596634"/>
      <w:r>
        <w:rPr>
          <w:rFonts w:hint="eastAsia" w:ascii="宋体" w:hAnsi="宋体"/>
          <w:b/>
          <w:szCs w:val="20"/>
          <w:highlight w:val="none"/>
        </w:rPr>
        <w:t>6.2  乙方对项目设施的接收</w:t>
      </w:r>
      <w:bookmarkEnd w:id="135"/>
    </w:p>
    <w:p>
      <w:pPr>
        <w:pStyle w:val="56"/>
        <w:spacing w:beforeLines="25" w:afterLines="25"/>
        <w:ind w:firstLine="478" w:firstLineChars="237"/>
        <w:rPr>
          <w:rFonts w:ascii="宋体" w:hAnsi="宋体"/>
          <w:sz w:val="20"/>
          <w:highlight w:val="none"/>
        </w:rPr>
      </w:pPr>
      <w:bookmarkStart w:id="136" w:name="_Toc169929592"/>
      <w:r>
        <w:rPr>
          <w:rFonts w:hint="eastAsia" w:ascii="宋体" w:hAnsi="宋体"/>
          <w:sz w:val="20"/>
          <w:highlight w:val="none"/>
        </w:rPr>
        <w:t>6.2.1  接收内容</w:t>
      </w:r>
      <w:bookmarkEnd w:id="136"/>
    </w:p>
    <w:p>
      <w:pPr>
        <w:pStyle w:val="56"/>
        <w:spacing w:beforeLines="25" w:afterLines="25"/>
        <w:ind w:firstLine="478" w:firstLineChars="237"/>
        <w:rPr>
          <w:rFonts w:ascii="宋体" w:hAnsi="宋体"/>
          <w:sz w:val="20"/>
          <w:highlight w:val="none"/>
        </w:rPr>
      </w:pPr>
      <w:r>
        <w:rPr>
          <w:rFonts w:hint="eastAsia" w:ascii="宋体" w:hAnsi="宋体"/>
          <w:sz w:val="20"/>
          <w:highlight w:val="none"/>
        </w:rPr>
        <w:t>本项目所涉区域内固定资产设施（包括但不限于构建筑物、设备、工器具等）和技术资料（包括但不限于技术、保证证书文件等）以及厂区外进厂污水衔接段管道和出厂污水尾水排放管线。</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6.2.2  接收起始日</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本协议第6.2.3（1）条款所约定的项目设施接收工作小组成立之日。</w:t>
      </w:r>
    </w:p>
    <w:p>
      <w:pPr>
        <w:pStyle w:val="56"/>
        <w:spacing w:beforeLines="25" w:afterLines="25"/>
        <w:ind w:firstLine="478" w:firstLineChars="237"/>
        <w:rPr>
          <w:rFonts w:ascii="宋体" w:hAnsi="宋体"/>
          <w:sz w:val="20"/>
          <w:highlight w:val="none"/>
        </w:rPr>
      </w:pPr>
      <w:bookmarkStart w:id="137" w:name="_Toc169929593"/>
      <w:r>
        <w:rPr>
          <w:rFonts w:hint="eastAsia" w:ascii="宋体" w:hAnsi="宋体"/>
          <w:sz w:val="20"/>
          <w:highlight w:val="none"/>
        </w:rPr>
        <w:t>6.2.3  接收</w:t>
      </w:r>
      <w:bookmarkEnd w:id="137"/>
      <w:r>
        <w:rPr>
          <w:rFonts w:hint="eastAsia" w:ascii="宋体" w:hAnsi="宋体"/>
          <w:sz w:val="20"/>
          <w:highlight w:val="none"/>
        </w:rPr>
        <w:t>程序及费用</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（1） 甲方和乙方将共同设立一个由各方人员参加的项目设施接收工作小组（以下简称 “工作小组”），该工作小组将具体负责完成项目设施接管验收阶段的各项工作。</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 xml:space="preserve">（2）接收作业程序包括: </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 xml:space="preserve"> (a) 在开始运营前，项目所涉及区域近期、远期（如有）设施固定资产以及技术资料等内容共同进行清点、确认、造册，建立接收清单。该接收清单将作为移交备忘录的重要组成部分。</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（b）对接收清单中项目固定资产设施，按照现行的技术规程、标准就建设方所提交的性能测试报告内容做出核实确认（必要时可再次进行性能测试），经验收合格，共同对接收清单固定资产予以签字确认；</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c）完成对项目接收清单中包括配套技术及使用说明文档、软件资料、使用许可证书等在内的无形资产内容的清点接收。其中技术文档应包括污水处理厂为其运营和维护所需的技术性文件，包括但不限于截至设施完成性能测试日时采用的设计等技术文件和档案，所有设备的制造厂商提供的合格证书、质量保证书、图纸、安装使用及维护手册等文件和资料，以及性能测试期间的有关资料和记录文件。以上技术资料及无形资产经接收小组各方确认基本完备和验收合格后，双方应共同对接收清单无形资产予以签字确认；</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（3）在项目排水设施接管验收完成之日起的五（5）个工作日内，将签署项目设施接收备忘录。备忘录签署日即视为甲方运营前的清点移交、设施接管验收和乙方运营设施接收工作的结束日。</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（4）办理上述接管验收和移交所涉及的相关费用各自承担。</w:t>
      </w:r>
    </w:p>
    <w:p>
      <w:pPr>
        <w:pStyle w:val="56"/>
        <w:spacing w:beforeLines="25" w:afterLines="25"/>
        <w:ind w:firstLine="478" w:firstLineChars="237"/>
        <w:rPr>
          <w:rFonts w:ascii="宋体" w:hAnsi="宋体"/>
          <w:sz w:val="20"/>
          <w:highlight w:val="none"/>
        </w:rPr>
      </w:pPr>
      <w:bookmarkStart w:id="138" w:name="_Toc169929594"/>
      <w:r>
        <w:rPr>
          <w:rFonts w:hint="eastAsia" w:ascii="宋体" w:hAnsi="宋体"/>
          <w:sz w:val="20"/>
          <w:highlight w:val="none"/>
        </w:rPr>
        <w:t>6.2.4 按时</w:t>
      </w:r>
      <w:bookmarkEnd w:id="138"/>
      <w:r>
        <w:rPr>
          <w:rFonts w:hint="eastAsia" w:ascii="宋体" w:hAnsi="宋体"/>
          <w:sz w:val="20"/>
          <w:highlight w:val="none"/>
        </w:rPr>
        <w:t>接管</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若由于甲方原因造成不能按时完成项目设施接收的，其后果和责任由甲方承担。反之，则由乙方负责。</w:t>
      </w:r>
      <w:bookmarkEnd w:id="130"/>
    </w:p>
    <w:p>
      <w:pPr>
        <w:pStyle w:val="56"/>
        <w:widowControl w:val="0"/>
        <w:spacing w:beforeLines="50"/>
        <w:jc w:val="center"/>
        <w:rPr>
          <w:rFonts w:ascii="新宋体" w:hAnsi="新宋体" w:eastAsia="新宋体" w:cs="新宋体"/>
          <w:bCs/>
          <w:kern w:val="2"/>
          <w:sz w:val="28"/>
          <w:szCs w:val="28"/>
          <w:highlight w:val="none"/>
        </w:rPr>
      </w:pPr>
      <w:bookmarkStart w:id="139" w:name="_7.1_项目公司的基本义务"/>
      <w:bookmarkEnd w:id="139"/>
      <w:bookmarkStart w:id="140" w:name="_Hlt211060413"/>
      <w:bookmarkEnd w:id="140"/>
      <w:bookmarkStart w:id="141" w:name="_Toc246596636"/>
      <w:bookmarkStart w:id="142" w:name="_Toc11543"/>
      <w:r>
        <w:rPr>
          <w:rFonts w:hint="eastAsia" w:ascii="新宋体" w:hAnsi="新宋体" w:eastAsia="新宋体" w:cs="新宋体"/>
          <w:b/>
          <w:kern w:val="2"/>
          <w:sz w:val="28"/>
          <w:szCs w:val="28"/>
          <w:highlight w:val="none"/>
        </w:rPr>
        <w:t xml:space="preserve">第七节  </w:t>
      </w:r>
      <w:bookmarkStart w:id="143" w:name="_Toc202676926"/>
      <w:r>
        <w:rPr>
          <w:rFonts w:hint="eastAsia" w:ascii="新宋体" w:hAnsi="新宋体" w:eastAsia="新宋体" w:cs="新宋体"/>
          <w:b/>
          <w:kern w:val="2"/>
          <w:sz w:val="28"/>
          <w:szCs w:val="28"/>
          <w:highlight w:val="none"/>
        </w:rPr>
        <w:t>项目设施的运营和维护</w:t>
      </w:r>
      <w:bookmarkEnd w:id="143"/>
    </w:p>
    <w:p>
      <w:pPr>
        <w:pStyle w:val="56"/>
        <w:keepNext/>
        <w:keepLines/>
        <w:spacing w:before="120" w:after="120"/>
        <w:ind w:firstLine="500"/>
        <w:outlineLvl w:val="4"/>
        <w:rPr>
          <w:rFonts w:ascii="宋体" w:hAnsi="宋体"/>
          <w:b/>
          <w:szCs w:val="20"/>
          <w:highlight w:val="none"/>
        </w:rPr>
      </w:pPr>
      <w:r>
        <w:rPr>
          <w:rFonts w:hint="eastAsia" w:ascii="宋体" w:hAnsi="宋体"/>
          <w:b/>
          <w:szCs w:val="20"/>
          <w:highlight w:val="none"/>
        </w:rPr>
        <w:t>7.1 乙方的基本</w:t>
      </w:r>
      <w:bookmarkStart w:id="144" w:name="_Hlt209929518"/>
      <w:bookmarkEnd w:id="144"/>
      <w:r>
        <w:rPr>
          <w:rFonts w:hint="eastAsia" w:ascii="宋体" w:hAnsi="宋体"/>
          <w:b/>
          <w:szCs w:val="20"/>
          <w:highlight w:val="none"/>
        </w:rPr>
        <w:t>义务</w:t>
      </w:r>
      <w:bookmarkEnd w:id="141"/>
      <w:bookmarkEnd w:id="142"/>
    </w:p>
    <w:p>
      <w:pPr>
        <w:pStyle w:val="56"/>
        <w:spacing w:beforeLines="25" w:afterLines="25"/>
        <w:ind w:firstLine="478" w:firstLineChars="237"/>
        <w:rPr>
          <w:rFonts w:ascii="宋体" w:hAnsi="宋体"/>
          <w:sz w:val="20"/>
          <w:highlight w:val="none"/>
        </w:rPr>
      </w:pPr>
      <w:r>
        <w:rPr>
          <w:rFonts w:hint="eastAsia" w:ascii="宋体" w:hAnsi="宋体"/>
          <w:sz w:val="20"/>
          <w:highlight w:val="none"/>
        </w:rPr>
        <w:t>在运营期内：</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（a）乙方应依据本协议的规定和始终根据适用法律、谨慎运营惯例和国家规定的质量保证和质量控制要求，自行承担费用和风险，管理、运营和维护项目设施，履行</w:t>
      </w:r>
      <w:bookmarkStart w:id="145" w:name="_Hlt212609912"/>
      <w:bookmarkEnd w:id="145"/>
      <w:r>
        <w:rPr>
          <w:rFonts w:hint="eastAsia" w:ascii="宋体" w:hAnsi="宋体"/>
          <w:sz w:val="20"/>
          <w:highlight w:val="none"/>
        </w:rPr>
        <w:t>运营职责。</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（b）以第7.2条为前提，乙方应在每个运营日持续确保处理经集污管网等污水收集系统送入的污水进水并排放符合出水水质标准的出水，但本协议另有约定的情形除外。</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（c）乙方应将污水处理厂的全部处理能力完全提供给甲方，并且未经甲方事先同意不得为任何第三方处理污水。</w:t>
      </w:r>
    </w:p>
    <w:p>
      <w:pPr>
        <w:pStyle w:val="56"/>
        <w:spacing w:beforeLines="25" w:afterLines="25"/>
        <w:ind w:firstLine="478" w:firstLineChars="237"/>
        <w:rPr>
          <w:rFonts w:ascii="宋体" w:hAnsi="宋体"/>
          <w:b/>
          <w:sz w:val="20"/>
          <w:highlight w:val="none"/>
        </w:rPr>
      </w:pPr>
      <w:r>
        <w:rPr>
          <w:rFonts w:hint="eastAsia" w:ascii="宋体" w:hAnsi="宋体"/>
          <w:b/>
          <w:sz w:val="20"/>
          <w:highlight w:val="none"/>
        </w:rPr>
        <w:t>（d）乙方应积极进行纳管排污企（事）业的管理工作，包括但不限于排污核查、水质检测、日常巡查、合同管理等。</w:t>
      </w:r>
    </w:p>
    <w:p>
      <w:pPr>
        <w:pStyle w:val="56"/>
        <w:keepNext/>
        <w:keepLines/>
        <w:spacing w:before="120" w:after="120"/>
        <w:ind w:firstLine="500"/>
        <w:outlineLvl w:val="4"/>
        <w:rPr>
          <w:rFonts w:ascii="宋体" w:hAnsi="宋体"/>
          <w:b/>
          <w:szCs w:val="20"/>
          <w:highlight w:val="none"/>
        </w:rPr>
      </w:pPr>
      <w:bookmarkStart w:id="146" w:name="_Hlt202674573"/>
      <w:bookmarkEnd w:id="146"/>
      <w:bookmarkStart w:id="147" w:name="_7.2_市水务局的基本义务"/>
      <w:bookmarkEnd w:id="147"/>
      <w:bookmarkStart w:id="148" w:name="_Toc23496"/>
      <w:bookmarkStart w:id="149" w:name="_Toc246596637"/>
      <w:r>
        <w:rPr>
          <w:rFonts w:hint="eastAsia" w:ascii="宋体" w:hAnsi="宋体"/>
          <w:b/>
          <w:szCs w:val="20"/>
          <w:highlight w:val="none"/>
        </w:rPr>
        <w:t>7.2 甲方的基本</w:t>
      </w:r>
      <w:bookmarkStart w:id="150" w:name="_Hlt211060432"/>
      <w:bookmarkEnd w:id="150"/>
      <w:r>
        <w:rPr>
          <w:rFonts w:hint="eastAsia" w:ascii="宋体" w:hAnsi="宋体"/>
          <w:b/>
          <w:szCs w:val="20"/>
          <w:highlight w:val="none"/>
        </w:rPr>
        <w:t>义务</w:t>
      </w:r>
      <w:bookmarkEnd w:id="148"/>
      <w:bookmarkEnd w:id="149"/>
      <w:bookmarkStart w:id="151" w:name="_Hlt199877500"/>
      <w:bookmarkEnd w:id="151"/>
    </w:p>
    <w:p>
      <w:pPr>
        <w:pStyle w:val="56"/>
        <w:spacing w:beforeLines="25" w:afterLines="25"/>
        <w:ind w:firstLine="478" w:firstLineChars="237"/>
        <w:rPr>
          <w:rFonts w:ascii="宋体" w:hAnsi="宋体"/>
          <w:sz w:val="20"/>
          <w:highlight w:val="none"/>
        </w:rPr>
      </w:pPr>
      <w:r>
        <w:rPr>
          <w:rFonts w:hint="eastAsia" w:ascii="宋体" w:hAnsi="宋体"/>
          <w:sz w:val="20"/>
          <w:highlight w:val="none"/>
        </w:rPr>
        <w:t>在运营期内：</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（a）甲方应负责协调与本项目相关的厂区外配套设施的维护。</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（b）受限于甲方其它部门的相关批准程序，在运营期内的任何月份，甲方应根据本运营服务协议中确定的原则向乙方支付相应的</w:t>
      </w:r>
      <w:bookmarkStart w:id="152" w:name="_Hlt212622844"/>
      <w:bookmarkEnd w:id="152"/>
      <w:r>
        <w:rPr>
          <w:rFonts w:hint="eastAsia" w:ascii="宋体" w:hAnsi="宋体"/>
          <w:sz w:val="20"/>
          <w:highlight w:val="none"/>
        </w:rPr>
        <w:t>运营服务费。</w:t>
      </w:r>
    </w:p>
    <w:p>
      <w:pPr>
        <w:pStyle w:val="56"/>
        <w:spacing w:beforeLines="25" w:afterLines="25"/>
        <w:ind w:firstLine="478" w:firstLineChars="237"/>
        <w:rPr>
          <w:rFonts w:ascii="宋体" w:hAnsi="宋体"/>
          <w:b/>
          <w:sz w:val="20"/>
          <w:highlight w:val="none"/>
        </w:rPr>
      </w:pPr>
      <w:bookmarkStart w:id="153" w:name="_Toc246596638"/>
      <w:bookmarkStart w:id="154" w:name="_Toc202676927"/>
      <w:r>
        <w:rPr>
          <w:rFonts w:hint="eastAsia" w:ascii="宋体" w:hAnsi="宋体"/>
          <w:b/>
          <w:sz w:val="20"/>
          <w:highlight w:val="none"/>
        </w:rPr>
        <w:t>7.3 项目设施运营的范围</w:t>
      </w:r>
      <w:bookmarkEnd w:id="153"/>
    </w:p>
    <w:p>
      <w:pPr>
        <w:pStyle w:val="56"/>
        <w:spacing w:beforeLines="25" w:afterLines="25"/>
        <w:ind w:firstLine="478" w:firstLineChars="237"/>
        <w:rPr>
          <w:rFonts w:ascii="宋体" w:hAnsi="宋体"/>
          <w:sz w:val="20"/>
          <w:highlight w:val="none"/>
        </w:rPr>
      </w:pPr>
      <w:r>
        <w:rPr>
          <w:rFonts w:hint="eastAsia" w:ascii="宋体" w:hAnsi="宋体"/>
          <w:sz w:val="20"/>
          <w:highlight w:val="none"/>
        </w:rPr>
        <w:t>7.3.1乙方对从甲方所接收的所有项目设施拥有使用和运营管理权，具体负责项目区域内外所接管设备、设施的正常运行和维护保养。</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 xml:space="preserve">7.3.2 乙方应负责所接收的厂区内构建筑物、道路、绿化及厂区外尾水排放管线的维护。 </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7.3.3 运营期间，对污水处理厂产生的污泥外运处置全部交由乙方负责承担，具体安排见</w:t>
      </w:r>
      <w:r>
        <w:rPr>
          <w:highlight w:val="none"/>
        </w:rPr>
        <w:fldChar w:fldCharType="begin"/>
      </w:r>
      <w:r>
        <w:rPr>
          <w:highlight w:val="none"/>
        </w:rPr>
        <w:instrText xml:space="preserve"> HYPERLINK \l "_7.10 关于污泥处置的特别安排" </w:instrText>
      </w:r>
      <w:r>
        <w:rPr>
          <w:highlight w:val="none"/>
        </w:rPr>
        <w:fldChar w:fldCharType="separate"/>
      </w:r>
      <w:r>
        <w:rPr>
          <w:rFonts w:hint="eastAsia" w:ascii="宋体" w:hAnsi="宋体"/>
          <w:sz w:val="20"/>
          <w:highlight w:val="none"/>
        </w:rPr>
        <w:t>7.10</w:t>
      </w:r>
      <w:r>
        <w:rPr>
          <w:rFonts w:hint="eastAsia" w:ascii="宋体" w:hAnsi="宋体"/>
          <w:sz w:val="20"/>
          <w:highlight w:val="none"/>
        </w:rPr>
        <w:fldChar w:fldCharType="end"/>
      </w:r>
      <w:r>
        <w:rPr>
          <w:rFonts w:hint="eastAsia" w:ascii="宋体" w:hAnsi="宋体"/>
          <w:sz w:val="20"/>
          <w:highlight w:val="none"/>
        </w:rPr>
        <w:t>条款。</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 xml:space="preserve">7.3.4 污水处理厂厂区内的树木、植物、草坪、景观等日常维护属于本次运营服务范围，维护费由乙方自行承担。 </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7.3.5乙方不得擅自改变现有规划，须做好项目近期、远期（如有）设施土地上的边界维护、水土保持等工作。</w:t>
      </w:r>
    </w:p>
    <w:p>
      <w:pPr>
        <w:pStyle w:val="56"/>
        <w:keepNext/>
        <w:keepLines/>
        <w:spacing w:before="120" w:after="120"/>
        <w:ind w:firstLine="500"/>
        <w:outlineLvl w:val="4"/>
        <w:rPr>
          <w:rFonts w:ascii="宋体" w:hAnsi="宋体"/>
          <w:b/>
          <w:szCs w:val="20"/>
          <w:highlight w:val="none"/>
        </w:rPr>
      </w:pPr>
      <w:bookmarkStart w:id="155" w:name="_Toc202676928"/>
      <w:bookmarkStart w:id="156" w:name="_Toc246596639"/>
      <w:r>
        <w:rPr>
          <w:rFonts w:hint="eastAsia" w:ascii="宋体" w:hAnsi="宋体"/>
          <w:b/>
          <w:szCs w:val="20"/>
          <w:highlight w:val="none"/>
        </w:rPr>
        <w:t>7.4 运营管理和维护计划</w:t>
      </w:r>
      <w:bookmarkEnd w:id="155"/>
      <w:bookmarkEnd w:id="156"/>
    </w:p>
    <w:p>
      <w:pPr>
        <w:pStyle w:val="56"/>
        <w:spacing w:beforeLines="25" w:afterLines="25"/>
        <w:ind w:firstLine="478" w:firstLineChars="237"/>
        <w:rPr>
          <w:rFonts w:ascii="宋体" w:hAnsi="宋体"/>
          <w:sz w:val="20"/>
          <w:highlight w:val="none"/>
        </w:rPr>
      </w:pPr>
      <w:r>
        <w:rPr>
          <w:rFonts w:hint="eastAsia" w:ascii="宋体" w:hAnsi="宋体"/>
          <w:sz w:val="20"/>
          <w:highlight w:val="none"/>
        </w:rPr>
        <w:t>7.4.1 乙方应当按照相关运营管理技术规范并结合自身实际情况对项目设施进行定期的检修保养和必要的更新改造，确保不间断的提供约定的污水处理服务，并在每月10号前向甲方提交项目设施运行管理情况的报告。</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7.4.2 乙方应于前一年的11月1日前向甲方提交下一年度大修维护计划，并按照该大修维护计划对项目设施进行有计划的维护和更新（设备在质保期内除外）。</w:t>
      </w:r>
    </w:p>
    <w:p>
      <w:pPr>
        <w:pStyle w:val="56"/>
        <w:keepNext/>
        <w:keepLines/>
        <w:spacing w:before="120" w:after="120"/>
        <w:ind w:firstLine="500"/>
        <w:outlineLvl w:val="4"/>
        <w:rPr>
          <w:rFonts w:ascii="宋体" w:hAnsi="宋体"/>
          <w:b/>
          <w:szCs w:val="20"/>
          <w:highlight w:val="none"/>
        </w:rPr>
      </w:pPr>
      <w:bookmarkStart w:id="157" w:name="_Toc202676929"/>
      <w:bookmarkStart w:id="158" w:name="_Toc246596640"/>
      <w:r>
        <w:rPr>
          <w:rFonts w:hint="eastAsia" w:ascii="宋体" w:hAnsi="宋体"/>
          <w:b/>
          <w:szCs w:val="20"/>
          <w:highlight w:val="none"/>
        </w:rPr>
        <w:t>7.5 化学药品和零部件</w:t>
      </w:r>
      <w:bookmarkEnd w:id="157"/>
      <w:bookmarkEnd w:id="158"/>
    </w:p>
    <w:p>
      <w:pPr>
        <w:pStyle w:val="56"/>
        <w:spacing w:beforeLines="25" w:afterLines="25"/>
        <w:ind w:firstLine="478" w:firstLineChars="237"/>
        <w:rPr>
          <w:rFonts w:ascii="宋体" w:hAnsi="宋体"/>
          <w:sz w:val="20"/>
          <w:highlight w:val="none"/>
          <w:u w:val="single"/>
        </w:rPr>
      </w:pPr>
      <w:r>
        <w:rPr>
          <w:rFonts w:hint="eastAsia" w:ascii="宋体" w:hAnsi="宋体"/>
          <w:sz w:val="20"/>
          <w:highlight w:val="none"/>
          <w:u w:val="single"/>
        </w:rPr>
        <w:t>乙方应确保在运营期内的任何时候，乙方备有：</w:t>
      </w:r>
    </w:p>
    <w:p>
      <w:pPr>
        <w:pStyle w:val="56"/>
        <w:spacing w:beforeLines="25" w:afterLines="25"/>
        <w:ind w:firstLine="478" w:firstLineChars="237"/>
        <w:rPr>
          <w:rFonts w:ascii="宋体" w:hAnsi="宋体"/>
          <w:sz w:val="20"/>
          <w:highlight w:val="none"/>
          <w:u w:val="single"/>
        </w:rPr>
      </w:pPr>
      <w:r>
        <w:rPr>
          <w:rFonts w:hint="eastAsia" w:ascii="宋体" w:hAnsi="宋体"/>
          <w:sz w:val="20"/>
          <w:highlight w:val="none"/>
          <w:u w:val="single"/>
        </w:rPr>
        <w:t>足以满足污水处理厂三（3）个月通常所需的消耗性零部件以及修理故障所需的零部件。所有零部件均应（按具体情况）具备设计或生产厂家准则或建议所规定的标准和规格，否则应属优等产品；</w:t>
      </w:r>
    </w:p>
    <w:p>
      <w:pPr>
        <w:pStyle w:val="56"/>
        <w:spacing w:beforeLines="25" w:afterLines="25"/>
        <w:ind w:firstLine="478" w:firstLineChars="237"/>
        <w:rPr>
          <w:rFonts w:ascii="宋体" w:hAnsi="宋体"/>
          <w:sz w:val="20"/>
          <w:highlight w:val="none"/>
          <w:u w:val="single"/>
        </w:rPr>
      </w:pPr>
      <w:r>
        <w:rPr>
          <w:rFonts w:hint="eastAsia" w:ascii="宋体" w:hAnsi="宋体"/>
          <w:sz w:val="20"/>
          <w:highlight w:val="none"/>
          <w:u w:val="single"/>
        </w:rPr>
        <w:t>污水处理厂三（3）个月正常运营所必需的化学品（絮凝剂、消毒化学品按一个月或质保期限储存运营所需的数量）。所有此等化学药品均应符合设计以及届时有效的任何适用中华人民共和国国家标准，否则应属优等产品。</w:t>
      </w:r>
    </w:p>
    <w:p>
      <w:pPr>
        <w:pStyle w:val="56"/>
        <w:keepNext/>
        <w:keepLines/>
        <w:spacing w:before="120" w:after="120"/>
        <w:ind w:firstLine="500"/>
        <w:outlineLvl w:val="4"/>
        <w:rPr>
          <w:rFonts w:ascii="宋体" w:hAnsi="宋体"/>
          <w:b/>
          <w:szCs w:val="20"/>
          <w:highlight w:val="none"/>
        </w:rPr>
      </w:pPr>
      <w:bookmarkStart w:id="159" w:name="_Toc202676930"/>
      <w:bookmarkStart w:id="160" w:name="_Toc246596641"/>
      <w:r>
        <w:rPr>
          <w:rFonts w:hint="eastAsia" w:ascii="宋体" w:hAnsi="宋体"/>
          <w:b/>
          <w:szCs w:val="20"/>
          <w:highlight w:val="none"/>
        </w:rPr>
        <w:t>7.6  检验与维护手册</w:t>
      </w:r>
      <w:bookmarkEnd w:id="159"/>
      <w:bookmarkEnd w:id="160"/>
    </w:p>
    <w:p>
      <w:pPr>
        <w:pStyle w:val="56"/>
        <w:spacing w:beforeLines="25" w:afterLines="25"/>
        <w:ind w:firstLine="478" w:firstLineChars="237"/>
        <w:rPr>
          <w:rFonts w:ascii="宋体" w:hAnsi="宋体"/>
          <w:sz w:val="20"/>
          <w:highlight w:val="none"/>
        </w:rPr>
      </w:pPr>
      <w:r>
        <w:rPr>
          <w:rFonts w:hint="eastAsia" w:ascii="宋体" w:hAnsi="宋体"/>
          <w:sz w:val="20"/>
          <w:highlight w:val="none"/>
        </w:rPr>
        <w:t>在开始运营时或之前，乙方应根据维护计划准备一份项目设施的检验与维护手册（“手册”）。该手册应包括进行定期和年度检验、日常维护、大修维护和年度维护的程序和计划，以及调整和改进检验及维护安排的程序和计划。乙方应向甲方提供该手册。</w:t>
      </w:r>
    </w:p>
    <w:p>
      <w:pPr>
        <w:pStyle w:val="56"/>
        <w:keepNext/>
        <w:keepLines/>
        <w:spacing w:before="120" w:after="120"/>
        <w:ind w:firstLine="500"/>
        <w:outlineLvl w:val="4"/>
        <w:rPr>
          <w:rFonts w:ascii="宋体" w:hAnsi="宋体"/>
          <w:b/>
          <w:szCs w:val="20"/>
          <w:highlight w:val="none"/>
        </w:rPr>
      </w:pPr>
      <w:bookmarkStart w:id="161" w:name="_Toc17510"/>
      <w:bookmarkStart w:id="162" w:name="_Toc246596642"/>
      <w:r>
        <w:rPr>
          <w:rFonts w:hint="eastAsia" w:ascii="宋体" w:hAnsi="宋体"/>
          <w:b/>
          <w:szCs w:val="20"/>
          <w:highlight w:val="none"/>
        </w:rPr>
        <w:t>7.7  公共安全与应急预案</w:t>
      </w:r>
      <w:bookmarkEnd w:id="161"/>
      <w:bookmarkEnd w:id="162"/>
    </w:p>
    <w:p>
      <w:pPr>
        <w:pStyle w:val="56"/>
        <w:spacing w:beforeLines="25" w:afterLines="25"/>
        <w:ind w:firstLine="478" w:firstLineChars="237"/>
        <w:rPr>
          <w:rFonts w:ascii="宋体" w:hAnsi="宋体"/>
          <w:sz w:val="20"/>
          <w:highlight w:val="none"/>
        </w:rPr>
      </w:pPr>
      <w:r>
        <w:rPr>
          <w:rFonts w:hint="eastAsia" w:ascii="宋体" w:hAnsi="宋体"/>
          <w:sz w:val="20"/>
          <w:highlight w:val="none"/>
        </w:rPr>
        <w:t>7.7.1 乙方应根据有关公共卫生和安全的适用法律和批准以及本协议的规定，确保项目设施的安全运营；</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7.7.2 乙方应针对各种可能涉及安全、公共卫生和环境安全的突发事件，根据有关安全、公共卫生和环境安全的适用法律和案例，书面提出具有可操作性的紧急处理预案，负责办理相关主管部门备案或审批手续，并提交甲方备案。</w:t>
      </w:r>
    </w:p>
    <w:p>
      <w:pPr>
        <w:pStyle w:val="56"/>
        <w:keepNext/>
        <w:keepLines/>
        <w:spacing w:before="120" w:after="120"/>
        <w:ind w:firstLine="500"/>
        <w:outlineLvl w:val="4"/>
        <w:rPr>
          <w:rFonts w:ascii="仿宋_GB2312" w:hAnsi="仿宋_GB2312" w:eastAsia="仿宋_GB2312"/>
          <w:b/>
          <w:bCs/>
          <w:sz w:val="24"/>
          <w:highlight w:val="none"/>
        </w:rPr>
      </w:pPr>
      <w:bookmarkStart w:id="163" w:name="_Toc246596643"/>
      <w:bookmarkStart w:id="164" w:name="_Toc19268"/>
      <w:r>
        <w:rPr>
          <w:rFonts w:hint="eastAsia" w:ascii="宋体" w:hAnsi="宋体"/>
          <w:b/>
          <w:szCs w:val="20"/>
          <w:highlight w:val="none"/>
        </w:rPr>
        <w:t>7.8  安全运营与记录的保存</w:t>
      </w:r>
      <w:bookmarkEnd w:id="163"/>
      <w:bookmarkEnd w:id="164"/>
    </w:p>
    <w:p>
      <w:pPr>
        <w:pStyle w:val="56"/>
        <w:spacing w:beforeLines="25" w:afterLines="25"/>
        <w:ind w:firstLine="478" w:firstLineChars="237"/>
        <w:rPr>
          <w:rFonts w:ascii="宋体" w:hAnsi="宋体"/>
          <w:sz w:val="20"/>
          <w:highlight w:val="none"/>
        </w:rPr>
      </w:pPr>
      <w:r>
        <w:rPr>
          <w:rFonts w:hint="eastAsia" w:ascii="宋体" w:hAnsi="宋体"/>
          <w:sz w:val="20"/>
          <w:highlight w:val="none"/>
        </w:rPr>
        <w:t>对于项目设施的运营，乙方必须保证：</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7.8.1必须确保连续正常运营，大修或重大技术改造时必须事先取得甲方批准。</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7.8.2出水水质必须达到运营服务协议规定的排放标准。出现污染事故时，必须及时报告甲方及其它相关主管部门，并建立水质预警紧急处理预案，按水质污染情况追究相应责任。</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7.8.3在运营期间，乙方应妥善保存与本项目日常运营维护有关的记录数据、资料、信息等，以确保对项目设施运营状况的可追溯性，并应根据甲方的要求及时准确地提供上述记录数据、资料、信息，供甲方相关部门查阅与核实。</w:t>
      </w:r>
    </w:p>
    <w:p>
      <w:pPr>
        <w:pStyle w:val="56"/>
        <w:keepNext/>
        <w:keepLines/>
        <w:spacing w:before="120" w:after="120"/>
        <w:ind w:firstLine="500"/>
        <w:outlineLvl w:val="4"/>
        <w:rPr>
          <w:rFonts w:ascii="宋体" w:hAnsi="宋体"/>
          <w:b/>
          <w:szCs w:val="20"/>
          <w:highlight w:val="none"/>
        </w:rPr>
      </w:pPr>
      <w:bookmarkStart w:id="165" w:name="_Toc202676916"/>
      <w:bookmarkStart w:id="166" w:name="_Toc246596644"/>
      <w:r>
        <w:rPr>
          <w:rFonts w:hint="eastAsia" w:ascii="宋体" w:hAnsi="宋体"/>
          <w:b/>
          <w:szCs w:val="20"/>
          <w:highlight w:val="none"/>
        </w:rPr>
        <w:t>7.9  计量</w:t>
      </w:r>
      <w:bookmarkEnd w:id="165"/>
      <w:bookmarkEnd w:id="166"/>
    </w:p>
    <w:p>
      <w:pPr>
        <w:pStyle w:val="56"/>
        <w:spacing w:beforeLines="25" w:afterLines="25"/>
        <w:ind w:firstLine="478" w:firstLineChars="237"/>
        <w:rPr>
          <w:rFonts w:ascii="宋体" w:hAnsi="宋体"/>
          <w:sz w:val="20"/>
          <w:highlight w:val="none"/>
        </w:rPr>
      </w:pPr>
      <w:r>
        <w:rPr>
          <w:rFonts w:hint="eastAsia" w:ascii="宋体" w:hAnsi="宋体"/>
          <w:sz w:val="20"/>
          <w:highlight w:val="none"/>
        </w:rPr>
        <w:t>乙方应使用满足本协议第</w:t>
      </w:r>
      <w:r>
        <w:rPr>
          <w:highlight w:val="none"/>
        </w:rPr>
        <w:fldChar w:fldCharType="begin"/>
      </w:r>
      <w:r>
        <w:rPr>
          <w:highlight w:val="none"/>
        </w:rPr>
        <w:instrText xml:space="preserve"> HYPERLINK "file:///C:\\Users\\szdfdywzm\\Desktop\\深圳排水处运营标\\提交文件夹\\委托运营服务合同1020.doc" \l "_5.2__进水及出水的检测#_5.2__进水及出水的检测" </w:instrText>
      </w:r>
      <w:r>
        <w:rPr>
          <w:highlight w:val="none"/>
        </w:rPr>
        <w:fldChar w:fldCharType="separate"/>
      </w:r>
      <w:bookmarkStart w:id="167" w:name="_Hlt246693903"/>
      <w:r>
        <w:rPr>
          <w:rFonts w:hint="eastAsia" w:ascii="宋体" w:hAnsi="宋体"/>
          <w:sz w:val="20"/>
          <w:szCs w:val="20"/>
          <w:highlight w:val="none"/>
        </w:rPr>
        <w:t>10.</w:t>
      </w:r>
      <w:bookmarkEnd w:id="167"/>
      <w:r>
        <w:rPr>
          <w:rFonts w:hint="eastAsia" w:ascii="宋体" w:hAnsi="宋体"/>
          <w:sz w:val="20"/>
          <w:szCs w:val="20"/>
          <w:highlight w:val="none"/>
        </w:rPr>
        <w:t>3</w:t>
      </w:r>
      <w:r>
        <w:rPr>
          <w:rFonts w:hint="eastAsia" w:ascii="宋体" w:hAnsi="宋体"/>
          <w:sz w:val="20"/>
          <w:szCs w:val="20"/>
          <w:highlight w:val="none"/>
        </w:rPr>
        <w:fldChar w:fldCharType="end"/>
      </w:r>
      <w:r>
        <w:rPr>
          <w:rFonts w:hint="eastAsia" w:ascii="宋体" w:hAnsi="宋体"/>
          <w:sz w:val="20"/>
          <w:highlight w:val="none"/>
        </w:rPr>
        <w:t>条要求的流量表连续测量、计算和记录在进水检测点提取的进水数量。</w:t>
      </w:r>
    </w:p>
    <w:p>
      <w:pPr>
        <w:pStyle w:val="56"/>
        <w:keepNext/>
        <w:keepLines/>
        <w:spacing w:before="120" w:after="120"/>
        <w:ind w:firstLine="500"/>
        <w:outlineLvl w:val="4"/>
        <w:rPr>
          <w:rFonts w:ascii="宋体" w:hAnsi="宋体"/>
          <w:b/>
          <w:szCs w:val="20"/>
          <w:highlight w:val="none"/>
        </w:rPr>
      </w:pPr>
      <w:bookmarkStart w:id="168" w:name="_Toc202676918"/>
      <w:bookmarkStart w:id="169" w:name="_Toc246596645"/>
      <w:bookmarkStart w:id="170" w:name="_7.10_关于污泥处置的特别安排"/>
      <w:r>
        <w:rPr>
          <w:rFonts w:hint="eastAsia" w:ascii="宋体" w:hAnsi="宋体"/>
          <w:b/>
          <w:szCs w:val="20"/>
          <w:highlight w:val="none"/>
        </w:rPr>
        <w:t>7.10 污泥</w:t>
      </w:r>
      <w:bookmarkEnd w:id="168"/>
      <w:r>
        <w:rPr>
          <w:rFonts w:hint="eastAsia" w:ascii="宋体" w:hAnsi="宋体"/>
          <w:b/>
          <w:szCs w:val="20"/>
          <w:highlight w:val="none"/>
        </w:rPr>
        <w:t>处置</w:t>
      </w:r>
      <w:bookmarkEnd w:id="169"/>
    </w:p>
    <w:bookmarkEnd w:id="170"/>
    <w:p>
      <w:pPr>
        <w:pStyle w:val="56"/>
        <w:spacing w:beforeLines="25" w:afterLines="25"/>
        <w:ind w:firstLine="478" w:firstLineChars="237"/>
        <w:rPr>
          <w:rFonts w:ascii="宋体" w:hAnsi="宋体"/>
          <w:sz w:val="20"/>
          <w:highlight w:val="none"/>
        </w:rPr>
      </w:pPr>
      <w:r>
        <w:rPr>
          <w:rFonts w:hint="eastAsia" w:ascii="宋体" w:hAnsi="宋体"/>
          <w:sz w:val="20"/>
          <w:highlight w:val="none"/>
        </w:rPr>
        <w:t>7.10.1运营期，对项目设施所产生的污泥经脱水达标后，由乙方负责与污泥处置单位签订处置协议、支付处置费用并安全合规处置。</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7.10.2在污水处理厂所产生的污泥外运至新的处置场所，因运距增加或减少产生的费用变动，由乙方承担。但此后乙方仍须：</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（a）在运营期内，确保其运营的污水处理厂产生的污泥经脱水装置脱水后，污泥含水率不高于80%；</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（b）厂区内至处置单位的污泥堆置装卸工作，污泥脱水和污水处理过程中产生的沉砂、栅渣等处置仍须由乙方自行负责，所发生费用包括在运营服务费内；</w:t>
      </w:r>
    </w:p>
    <w:p>
      <w:pPr>
        <w:pStyle w:val="56"/>
        <w:spacing w:beforeLines="25" w:afterLines="25"/>
        <w:ind w:firstLine="478" w:firstLineChars="237"/>
        <w:rPr>
          <w:rFonts w:ascii="仿宋_GB2312" w:hAnsi="仿宋_GB2312" w:eastAsia="仿宋_GB2312"/>
          <w:bCs/>
          <w:sz w:val="24"/>
          <w:highlight w:val="none"/>
        </w:rPr>
      </w:pPr>
      <w:r>
        <w:rPr>
          <w:rFonts w:hint="eastAsia" w:ascii="宋体" w:hAnsi="宋体"/>
          <w:sz w:val="20"/>
          <w:highlight w:val="none"/>
        </w:rPr>
        <w:t>（c）运营期内，如甲方根据本附件第</w:t>
      </w:r>
      <w:r>
        <w:rPr>
          <w:highlight w:val="none"/>
        </w:rPr>
        <w:fldChar w:fldCharType="begin"/>
      </w:r>
      <w:r>
        <w:rPr>
          <w:highlight w:val="none"/>
        </w:rPr>
        <w:instrText xml:space="preserve"> HYPERLINK "file:///C:\\Users\\szdfdywzm\\Desktop\\深圳排水处运营标\\提交文件夹\\委托运营服务合同1020.doc" \l "_5.2__进水、出水及污泥的检测#_5.2__进水、出水及污泥的检测" </w:instrText>
      </w:r>
      <w:r>
        <w:rPr>
          <w:highlight w:val="none"/>
        </w:rPr>
        <w:fldChar w:fldCharType="separate"/>
      </w:r>
      <w:r>
        <w:rPr>
          <w:rFonts w:hint="eastAsia" w:ascii="宋体" w:hAnsi="宋体"/>
          <w:sz w:val="20"/>
          <w:szCs w:val="20"/>
          <w:highlight w:val="none"/>
        </w:rPr>
        <w:t>5.2.2（e）</w:t>
      </w:r>
      <w:r>
        <w:rPr>
          <w:rFonts w:hint="eastAsia" w:ascii="宋体" w:hAnsi="宋体"/>
          <w:sz w:val="20"/>
          <w:szCs w:val="20"/>
          <w:highlight w:val="none"/>
        </w:rPr>
        <w:fldChar w:fldCharType="end"/>
      </w:r>
      <w:r>
        <w:rPr>
          <w:rFonts w:hint="eastAsia" w:ascii="宋体" w:hAnsi="宋体"/>
          <w:sz w:val="20"/>
          <w:highlight w:val="none"/>
        </w:rPr>
        <w:t>条的约定对污泥检测指标进行调整，乙方应按照新的检测指标要求对污泥进行处理</w:t>
      </w:r>
      <w:r>
        <w:rPr>
          <w:rFonts w:hint="eastAsia" w:ascii="仿宋_GB2312" w:hAnsi="仿宋_GB2312" w:eastAsia="仿宋_GB2312"/>
          <w:bCs/>
          <w:sz w:val="24"/>
          <w:highlight w:val="none"/>
        </w:rPr>
        <w:t>。</w:t>
      </w:r>
    </w:p>
    <w:p>
      <w:pPr>
        <w:pStyle w:val="56"/>
        <w:keepNext/>
        <w:keepLines/>
        <w:spacing w:before="120" w:after="120"/>
        <w:ind w:firstLine="500"/>
        <w:outlineLvl w:val="4"/>
        <w:rPr>
          <w:rFonts w:ascii="宋体" w:hAnsi="宋体"/>
          <w:b/>
          <w:szCs w:val="20"/>
          <w:highlight w:val="none"/>
        </w:rPr>
      </w:pPr>
      <w:bookmarkStart w:id="171" w:name="_Toc14316"/>
      <w:bookmarkStart w:id="172" w:name="_Toc246596646"/>
      <w:r>
        <w:rPr>
          <w:rFonts w:hint="eastAsia" w:ascii="宋体" w:hAnsi="宋体"/>
          <w:b/>
          <w:szCs w:val="20"/>
          <w:highlight w:val="none"/>
        </w:rPr>
        <w:t>7.11 未履行维护义务</w:t>
      </w:r>
      <w:bookmarkEnd w:id="171"/>
      <w:bookmarkEnd w:id="172"/>
    </w:p>
    <w:p>
      <w:pPr>
        <w:pStyle w:val="56"/>
        <w:spacing w:beforeLines="25" w:afterLines="25"/>
        <w:ind w:firstLine="478" w:firstLineChars="237"/>
        <w:rPr>
          <w:rFonts w:ascii="宋体" w:hAnsi="宋体"/>
          <w:sz w:val="20"/>
          <w:highlight w:val="none"/>
        </w:rPr>
      </w:pPr>
      <w:r>
        <w:rPr>
          <w:rFonts w:hint="eastAsia" w:ascii="宋体" w:hAnsi="宋体"/>
          <w:sz w:val="20"/>
          <w:highlight w:val="none"/>
        </w:rPr>
        <w:t>7.11.1 如果乙方未能按照本协议的规定运营和维护项目设施，则甲方可就该违约向乙方发出通知。如果乙方在接到上述通知后未能迅速进行必要的纠正性维护，则甲方可以但非义务性进行维护，风险和费用由乙方承担。</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7.11.2 在甲方纠正性维护情况下，乙方应允许甲方的工作人员、代理人或承包商为此目的进入项目设施。甲方应确使其执行此项工作的人员尽量减少对项目设施运营可能产生的干扰，并按照谨慎运营惯例完成工作。</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7.11.3 为纠正性维护费用承担之目的，甲方需将所发生开支的详细记录提交给乙方。</w:t>
      </w:r>
    </w:p>
    <w:p>
      <w:pPr>
        <w:pStyle w:val="56"/>
        <w:keepNext/>
        <w:keepLines/>
        <w:spacing w:before="120" w:after="120"/>
        <w:ind w:firstLine="500"/>
        <w:outlineLvl w:val="4"/>
        <w:rPr>
          <w:rFonts w:ascii="宋体" w:hAnsi="宋体"/>
          <w:b/>
          <w:szCs w:val="20"/>
          <w:highlight w:val="none"/>
        </w:rPr>
      </w:pPr>
      <w:bookmarkStart w:id="173" w:name="_Toc202676915"/>
      <w:bookmarkStart w:id="174" w:name="_Toc246596647"/>
      <w:r>
        <w:rPr>
          <w:rFonts w:hint="eastAsia" w:ascii="宋体" w:hAnsi="宋体"/>
          <w:b/>
          <w:szCs w:val="20"/>
          <w:highlight w:val="none"/>
        </w:rPr>
        <w:t>7.12  不遵守的后果</w:t>
      </w:r>
      <w:bookmarkEnd w:id="173"/>
      <w:bookmarkEnd w:id="174"/>
    </w:p>
    <w:p>
      <w:pPr>
        <w:pStyle w:val="56"/>
        <w:spacing w:beforeLines="25" w:afterLines="25"/>
        <w:ind w:firstLine="478" w:firstLineChars="237"/>
        <w:rPr>
          <w:rFonts w:ascii="宋体" w:hAnsi="宋体"/>
          <w:sz w:val="20"/>
          <w:highlight w:val="none"/>
        </w:rPr>
      </w:pPr>
      <w:r>
        <w:rPr>
          <w:rFonts w:hint="eastAsia" w:ascii="宋体" w:hAnsi="宋体"/>
          <w:sz w:val="20"/>
          <w:highlight w:val="none"/>
        </w:rPr>
        <w:t>除甲方违约事件或不可抗力外，如果乙方因任何原因在任何运营日未遵守本第7章规定的处理进水义务和运营维护责任，乙方应向甲方支付按第</w:t>
      </w:r>
      <w:r>
        <w:rPr>
          <w:highlight w:val="none"/>
        </w:rPr>
        <w:fldChar w:fldCharType="begin"/>
      </w:r>
      <w:r>
        <w:rPr>
          <w:highlight w:val="none"/>
        </w:rPr>
        <w:instrText xml:space="preserve"> HYPERLINK "file:///C:\\Users\\szdfdywzm\\Desktop\\深圳排水处运营标\\提交文件夹\\委托运营服务合同1020.doc" \l "_10.1_实际处理水量不足的违约金#_10.1_实际处理水量不足的违约金" </w:instrText>
      </w:r>
      <w:r>
        <w:rPr>
          <w:highlight w:val="none"/>
        </w:rPr>
        <w:fldChar w:fldCharType="separate"/>
      </w:r>
      <w:r>
        <w:rPr>
          <w:rFonts w:hint="eastAsia" w:ascii="宋体" w:hAnsi="宋体"/>
          <w:sz w:val="20"/>
          <w:szCs w:val="20"/>
          <w:highlight w:val="none"/>
        </w:rPr>
        <w:t>11</w:t>
      </w:r>
      <w:r>
        <w:rPr>
          <w:rFonts w:hint="eastAsia" w:ascii="宋体" w:hAnsi="宋体"/>
          <w:sz w:val="20"/>
          <w:szCs w:val="20"/>
          <w:highlight w:val="none"/>
        </w:rPr>
        <w:fldChar w:fldCharType="end"/>
      </w:r>
      <w:r>
        <w:rPr>
          <w:rFonts w:hint="eastAsia" w:ascii="宋体" w:hAnsi="宋体"/>
          <w:sz w:val="20"/>
          <w:highlight w:val="none"/>
        </w:rPr>
        <w:t>章</w:t>
      </w:r>
      <w:bookmarkStart w:id="175" w:name="_Hlt212618499"/>
      <w:bookmarkEnd w:id="175"/>
      <w:r>
        <w:rPr>
          <w:rFonts w:hint="eastAsia" w:ascii="宋体" w:hAnsi="宋体"/>
          <w:sz w:val="20"/>
          <w:highlight w:val="none"/>
        </w:rPr>
        <w:t>计算的违约金。本协议另有约定的除外。</w:t>
      </w:r>
    </w:p>
    <w:p>
      <w:pPr>
        <w:pStyle w:val="56"/>
        <w:spacing w:beforeLines="25" w:afterLines="25"/>
        <w:ind w:firstLine="478" w:firstLineChars="237"/>
        <w:rPr>
          <w:rFonts w:ascii="宋体" w:hAnsi="宋体"/>
          <w:b/>
          <w:sz w:val="20"/>
          <w:highlight w:val="none"/>
        </w:rPr>
      </w:pPr>
      <w:bookmarkStart w:id="176" w:name="_Toc246596648"/>
      <w:bookmarkStart w:id="177" w:name="_Toc20271"/>
      <w:r>
        <w:rPr>
          <w:rFonts w:hint="eastAsia" w:ascii="宋体" w:hAnsi="宋体"/>
          <w:b/>
          <w:sz w:val="20"/>
          <w:highlight w:val="none"/>
        </w:rPr>
        <w:t>7.13  运营限制事项</w:t>
      </w:r>
      <w:bookmarkEnd w:id="176"/>
      <w:bookmarkEnd w:id="177"/>
    </w:p>
    <w:p>
      <w:pPr>
        <w:pStyle w:val="56"/>
        <w:spacing w:beforeLines="25" w:afterLines="25"/>
        <w:ind w:firstLine="478" w:firstLineChars="237"/>
        <w:rPr>
          <w:rFonts w:ascii="宋体" w:hAnsi="宋体"/>
          <w:sz w:val="20"/>
          <w:highlight w:val="none"/>
        </w:rPr>
      </w:pPr>
      <w:r>
        <w:rPr>
          <w:rFonts w:hint="eastAsia" w:ascii="宋体" w:hAnsi="宋体"/>
          <w:sz w:val="20"/>
          <w:highlight w:val="none"/>
        </w:rPr>
        <w:t>7.13.1 污水处理厂运营资产应使用“衢江区集镇污水处理厂”的名称，非经甲方书面同意乙方不得变更；</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7.13.2 乙方的商标或名称可使用于或出现于发票、收据或其它经甲方书面同意的场地、物品或宣传品。乙方就运营资产有使用其商标或名称的必要时，应于合理且适当的范围内使用。如甲方因乙方使用于运营资产的商标或名称，导致名誉受损，或受有其它的损害，甲方有权要求乙方予以赔偿；</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7.13.3乙方若准备于项目设施范围内的土地、建筑物外部、工作物外部、基地上的附属设施外部张贴、放置、绘制或吊挂各类宣传物、广告品，须先经甲方书面同意。</w:t>
      </w:r>
    </w:p>
    <w:p>
      <w:pPr>
        <w:pStyle w:val="56"/>
        <w:keepNext/>
        <w:keepLines/>
        <w:spacing w:before="120" w:after="120"/>
        <w:ind w:firstLine="500"/>
        <w:outlineLvl w:val="4"/>
        <w:rPr>
          <w:rFonts w:ascii="宋体" w:hAnsi="宋体"/>
          <w:b/>
          <w:szCs w:val="20"/>
          <w:highlight w:val="none"/>
        </w:rPr>
      </w:pPr>
      <w:bookmarkStart w:id="178" w:name="_Toc246596649"/>
      <w:bookmarkStart w:id="179" w:name="_Toc202676914"/>
      <w:r>
        <w:rPr>
          <w:rFonts w:ascii="宋体" w:hAnsi="宋体"/>
          <w:b/>
          <w:szCs w:val="20"/>
          <w:highlight w:val="none"/>
          <w:shd w:val="clear" w:color="FFFFFF" w:fill="D9D9D9"/>
        </w:rPr>
        <w:t xml:space="preserve">7.14 </w:t>
      </w:r>
      <w:bookmarkEnd w:id="178"/>
      <w:bookmarkEnd w:id="179"/>
      <w:bookmarkStart w:id="180" w:name="_Hlt211520022"/>
      <w:bookmarkEnd w:id="180"/>
      <w:bookmarkStart w:id="181" w:name="_Toc23618"/>
      <w:bookmarkStart w:id="182" w:name="_Toc246596650"/>
      <w:r>
        <w:rPr>
          <w:rFonts w:hint="eastAsia" w:ascii="宋体" w:hAnsi="宋体"/>
          <w:b/>
          <w:szCs w:val="20"/>
          <w:highlight w:val="none"/>
        </w:rPr>
        <w:t>甲方进入项目设施</w:t>
      </w:r>
      <w:bookmarkEnd w:id="181"/>
      <w:bookmarkEnd w:id="182"/>
    </w:p>
    <w:p>
      <w:pPr>
        <w:pStyle w:val="56"/>
        <w:spacing w:beforeLines="25" w:afterLines="25"/>
        <w:ind w:firstLine="478" w:firstLineChars="237"/>
        <w:rPr>
          <w:rFonts w:ascii="宋体" w:hAnsi="宋体"/>
          <w:sz w:val="20"/>
          <w:highlight w:val="none"/>
        </w:rPr>
      </w:pPr>
      <w:bookmarkStart w:id="183" w:name="_Hlt212618271"/>
      <w:bookmarkEnd w:id="183"/>
      <w:r>
        <w:rPr>
          <w:rFonts w:hint="eastAsia" w:ascii="宋体" w:hAnsi="宋体"/>
          <w:sz w:val="20"/>
          <w:highlight w:val="none"/>
        </w:rPr>
        <w:t>甲方及其代表应有权在污水处理设施运行时间进入项目设施，以监察项目设施的运营和维护情况，条件是甲方的进入不得干涉、延误或干扰乙方履行其在本协议项下的义务。</w:t>
      </w:r>
      <w:bookmarkEnd w:id="154"/>
    </w:p>
    <w:p>
      <w:pPr>
        <w:pStyle w:val="56"/>
        <w:widowControl w:val="0"/>
        <w:spacing w:beforeLines="50"/>
        <w:jc w:val="center"/>
        <w:rPr>
          <w:rFonts w:ascii="新宋体" w:hAnsi="新宋体" w:eastAsia="新宋体" w:cs="新宋体"/>
          <w:bCs/>
          <w:kern w:val="2"/>
          <w:sz w:val="28"/>
          <w:szCs w:val="28"/>
          <w:highlight w:val="none"/>
        </w:rPr>
      </w:pPr>
      <w:bookmarkStart w:id="184" w:name="_Toc246596651"/>
      <w:r>
        <w:rPr>
          <w:rFonts w:hint="eastAsia" w:ascii="新宋体" w:hAnsi="新宋体" w:eastAsia="新宋体" w:cs="新宋体"/>
          <w:b/>
          <w:kern w:val="2"/>
          <w:sz w:val="28"/>
          <w:szCs w:val="28"/>
          <w:highlight w:val="none"/>
        </w:rPr>
        <w:t xml:space="preserve">第八节  </w:t>
      </w:r>
      <w:bookmarkStart w:id="185" w:name="_Toc202676938"/>
      <w:r>
        <w:rPr>
          <w:rFonts w:hint="eastAsia" w:ascii="新宋体" w:hAnsi="新宋体" w:eastAsia="新宋体" w:cs="新宋体"/>
          <w:b/>
          <w:kern w:val="2"/>
          <w:sz w:val="28"/>
          <w:szCs w:val="28"/>
          <w:highlight w:val="none"/>
        </w:rPr>
        <w:t>削减和停运</w:t>
      </w:r>
      <w:bookmarkEnd w:id="184"/>
      <w:bookmarkEnd w:id="185"/>
    </w:p>
    <w:p>
      <w:pPr>
        <w:pStyle w:val="56"/>
        <w:keepNext/>
        <w:keepLines/>
        <w:spacing w:before="120" w:after="120"/>
        <w:ind w:firstLine="500"/>
        <w:outlineLvl w:val="4"/>
        <w:rPr>
          <w:rFonts w:ascii="宋体" w:hAnsi="宋体"/>
          <w:b/>
          <w:szCs w:val="20"/>
          <w:highlight w:val="none"/>
        </w:rPr>
      </w:pPr>
      <w:bookmarkStart w:id="186" w:name="_Toc202676939"/>
      <w:bookmarkStart w:id="187" w:name="_Toc246596652"/>
      <w:r>
        <w:rPr>
          <w:rFonts w:hint="eastAsia" w:ascii="宋体" w:hAnsi="宋体"/>
          <w:b/>
          <w:szCs w:val="20"/>
          <w:highlight w:val="none"/>
        </w:rPr>
        <w:t>8.1  削减或停运</w:t>
      </w:r>
      <w:bookmarkEnd w:id="186"/>
      <w:bookmarkEnd w:id="187"/>
    </w:p>
    <w:p>
      <w:pPr>
        <w:pStyle w:val="56"/>
        <w:spacing w:beforeLines="25" w:afterLines="25"/>
        <w:ind w:firstLine="478" w:firstLineChars="237"/>
        <w:rPr>
          <w:rFonts w:ascii="宋体" w:hAnsi="宋体"/>
          <w:sz w:val="20"/>
          <w:highlight w:val="none"/>
        </w:rPr>
      </w:pPr>
      <w:r>
        <w:rPr>
          <w:rFonts w:hint="eastAsia" w:ascii="宋体" w:hAnsi="宋体"/>
          <w:sz w:val="20"/>
          <w:highlight w:val="none"/>
        </w:rPr>
        <w:t>除依甲方指令或在第8.2条规定的紧急情况下外，乙方在未满足以下条件之前不得削减或暂停处理污水服务：</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至少提前四十八小时向环保主管部门及甲方发出有关任何此种削减或暂停的书面通知。此种通知应包括根据乙方的最佳判断，削减或暂停情况可能持续的时间，连同对此种情况发生原因的详细描述，包括任何有关乙方声称不可抗力或甲方违约的详情以及正在采取的针对此种情况的补救措施；以及获得环保主管部门及甲方对削减或关闭的事先批准，而甲方应在收到该通知后二十四小时内表示是否给予批准。</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无论是对第</w:t>
      </w:r>
      <w:r>
        <w:rPr>
          <w:rFonts w:ascii="宋体" w:hAnsi="宋体"/>
          <w:sz w:val="20"/>
          <w:highlight w:val="none"/>
        </w:rPr>
        <w:t>8.1条的遵守还是甲方对削减或暂停的批准都不得在任何方面减少或以其它方式影响</w:t>
      </w:r>
      <w:r>
        <w:rPr>
          <w:rFonts w:hint="eastAsia" w:ascii="宋体" w:hAnsi="宋体"/>
          <w:sz w:val="20"/>
          <w:highlight w:val="none"/>
        </w:rPr>
        <w:t>乙方在第</w:t>
      </w:r>
      <w:r>
        <w:rPr>
          <w:highlight w:val="none"/>
        </w:rPr>
        <w:fldChar w:fldCharType="begin"/>
      </w:r>
      <w:r>
        <w:rPr>
          <w:highlight w:val="none"/>
        </w:rPr>
        <w:instrText xml:space="preserve"> HYPERLINK \l "_5.1__污水处理厂进出水质量及污泥排放标准" </w:instrText>
      </w:r>
      <w:r>
        <w:rPr>
          <w:highlight w:val="none"/>
        </w:rPr>
        <w:fldChar w:fldCharType="separate"/>
      </w:r>
      <w:r>
        <w:rPr>
          <w:rFonts w:ascii="宋体" w:hAnsi="宋体"/>
          <w:sz w:val="20"/>
          <w:szCs w:val="20"/>
          <w:highlight w:val="none"/>
        </w:rPr>
        <w:t>5.1</w:t>
      </w:r>
      <w:r>
        <w:rPr>
          <w:rFonts w:ascii="宋体" w:hAnsi="宋体"/>
          <w:sz w:val="20"/>
          <w:szCs w:val="20"/>
          <w:highlight w:val="none"/>
        </w:rPr>
        <w:fldChar w:fldCharType="end"/>
      </w:r>
      <w:r>
        <w:rPr>
          <w:rFonts w:hint="eastAsia" w:ascii="宋体" w:hAnsi="宋体"/>
          <w:sz w:val="20"/>
          <w:highlight w:val="none"/>
        </w:rPr>
        <w:t>条项下的义务。</w:t>
      </w:r>
    </w:p>
    <w:p>
      <w:pPr>
        <w:pStyle w:val="56"/>
        <w:keepNext/>
        <w:keepLines/>
        <w:spacing w:before="120" w:after="120"/>
        <w:ind w:firstLine="500"/>
        <w:outlineLvl w:val="4"/>
        <w:rPr>
          <w:rFonts w:ascii="宋体" w:hAnsi="宋体"/>
          <w:b/>
          <w:szCs w:val="20"/>
          <w:highlight w:val="none"/>
        </w:rPr>
      </w:pPr>
      <w:bookmarkStart w:id="188" w:name="_8.2__紧急削减或关闭"/>
      <w:bookmarkEnd w:id="188"/>
      <w:bookmarkStart w:id="189" w:name="_Toc202676940"/>
      <w:bookmarkStart w:id="190" w:name="_Toc246596653"/>
      <w:r>
        <w:rPr>
          <w:rFonts w:hint="eastAsia" w:ascii="宋体" w:hAnsi="宋体"/>
          <w:b/>
          <w:szCs w:val="20"/>
          <w:highlight w:val="none"/>
        </w:rPr>
        <w:t>8.2  紧急削减或关闭</w:t>
      </w:r>
      <w:bookmarkEnd w:id="189"/>
      <w:bookmarkEnd w:id="190"/>
    </w:p>
    <w:p>
      <w:pPr>
        <w:pStyle w:val="56"/>
        <w:spacing w:beforeLines="25" w:afterLines="25"/>
        <w:ind w:firstLine="478" w:firstLineChars="237"/>
        <w:rPr>
          <w:rFonts w:ascii="宋体" w:hAnsi="宋体"/>
          <w:sz w:val="20"/>
          <w:highlight w:val="none"/>
        </w:rPr>
      </w:pPr>
      <w:r>
        <w:rPr>
          <w:rFonts w:hint="eastAsia" w:ascii="宋体" w:hAnsi="宋体"/>
          <w:sz w:val="20"/>
          <w:highlight w:val="none"/>
        </w:rPr>
        <w:t>乙方如果在紧急情况（包括不可抗力和因甲方方面原因）下认为按照谨慎运营惯例必须削减或关闭处理进水服务，减少出水排量或者关闭污水处理厂，并且无法遵守第8.1条的规定，应立即：</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将此种削减或关闭书面通知环保主管部门及甲方。此种通知应包括根据乙方的最佳判断，削减或关闭情况可能持续的时间，连同对此种情况发生原因的详细描述，包括任何有关不可抗力或乙方声称甲方违约的详情以及正在采取的针对此种情况的补救措施；并且采取一切必要措施使污水处理厂尽快恢复紧急削减或关闭前的状态。</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对本第</w:t>
      </w:r>
      <w:r>
        <w:rPr>
          <w:rFonts w:ascii="宋体" w:hAnsi="宋体"/>
          <w:sz w:val="20"/>
          <w:highlight w:val="none"/>
        </w:rPr>
        <w:t>8.2条的遵守不得在任何方面减少或以其它方式影响</w:t>
      </w:r>
      <w:r>
        <w:rPr>
          <w:rFonts w:hint="eastAsia" w:ascii="宋体" w:hAnsi="宋体"/>
          <w:sz w:val="20"/>
          <w:highlight w:val="none"/>
        </w:rPr>
        <w:t>乙方第</w:t>
      </w:r>
      <w:r>
        <w:rPr>
          <w:highlight w:val="none"/>
        </w:rPr>
        <w:fldChar w:fldCharType="begin"/>
      </w:r>
      <w:r>
        <w:rPr>
          <w:highlight w:val="none"/>
        </w:rPr>
        <w:instrText xml:space="preserve"> HYPERLINK \l "_5.1__污水处理厂进出水质量及污泥排放标准" </w:instrText>
      </w:r>
      <w:r>
        <w:rPr>
          <w:highlight w:val="none"/>
        </w:rPr>
        <w:fldChar w:fldCharType="separate"/>
      </w:r>
      <w:r>
        <w:rPr>
          <w:rFonts w:ascii="宋体" w:hAnsi="宋体"/>
          <w:sz w:val="20"/>
          <w:szCs w:val="20"/>
          <w:highlight w:val="none"/>
        </w:rPr>
        <w:t>5.1</w:t>
      </w:r>
      <w:r>
        <w:rPr>
          <w:rFonts w:ascii="宋体" w:hAnsi="宋体"/>
          <w:sz w:val="20"/>
          <w:szCs w:val="20"/>
          <w:highlight w:val="none"/>
        </w:rPr>
        <w:fldChar w:fldCharType="end"/>
      </w:r>
      <w:r>
        <w:rPr>
          <w:rFonts w:hint="eastAsia" w:ascii="宋体" w:hAnsi="宋体"/>
          <w:sz w:val="20"/>
          <w:highlight w:val="none"/>
        </w:rPr>
        <w:t>条项下的义务。</w:t>
      </w:r>
    </w:p>
    <w:p>
      <w:pPr>
        <w:pStyle w:val="56"/>
        <w:keepNext/>
        <w:keepLines/>
        <w:spacing w:before="120" w:after="120"/>
        <w:ind w:firstLine="500"/>
        <w:outlineLvl w:val="4"/>
        <w:rPr>
          <w:rFonts w:ascii="仿宋_GB2312" w:hAnsi="仿宋_GB2312" w:eastAsia="仿宋_GB2312"/>
          <w:b/>
          <w:bCs/>
          <w:sz w:val="24"/>
          <w:highlight w:val="none"/>
        </w:rPr>
      </w:pPr>
      <w:bookmarkStart w:id="191" w:name="_Toc246596654"/>
      <w:bookmarkStart w:id="192" w:name="_Toc202676941"/>
      <w:r>
        <w:rPr>
          <w:rFonts w:hint="eastAsia" w:ascii="宋体" w:hAnsi="宋体"/>
          <w:b/>
          <w:szCs w:val="20"/>
          <w:highlight w:val="none"/>
        </w:rPr>
        <w:t>8.3  甲方要求紧急关闭或削减的权利</w:t>
      </w:r>
      <w:bookmarkEnd w:id="191"/>
      <w:bookmarkEnd w:id="192"/>
    </w:p>
    <w:p>
      <w:pPr>
        <w:pStyle w:val="56"/>
        <w:spacing w:beforeLines="25" w:afterLines="25"/>
        <w:ind w:firstLine="478" w:firstLineChars="237"/>
        <w:rPr>
          <w:rFonts w:ascii="宋体" w:hAnsi="宋体"/>
          <w:sz w:val="20"/>
          <w:highlight w:val="none"/>
        </w:rPr>
      </w:pPr>
      <w:r>
        <w:rPr>
          <w:rFonts w:hint="eastAsia" w:ascii="宋体" w:hAnsi="宋体"/>
          <w:sz w:val="20"/>
          <w:highlight w:val="none"/>
        </w:rPr>
        <w:t>无论本协议有任何其它规定，如果甲方认为关闭或削减进水量是使甲方对进水管网的任何部分进行建设、安装、维护、修理、更换、检查或测试所必需的，以及甲方认为其它原因所必需的，则甲方可随时发出指令，要求乙方关闭污水处理厂或减少进水接入量。</w:t>
      </w:r>
    </w:p>
    <w:p>
      <w:pPr>
        <w:pStyle w:val="56"/>
        <w:keepNext/>
        <w:keepLines/>
        <w:spacing w:before="120" w:after="120"/>
        <w:ind w:firstLine="500"/>
        <w:outlineLvl w:val="4"/>
        <w:rPr>
          <w:rFonts w:ascii="宋体" w:hAnsi="宋体"/>
          <w:b/>
          <w:szCs w:val="20"/>
          <w:highlight w:val="none"/>
        </w:rPr>
      </w:pPr>
      <w:bookmarkStart w:id="193" w:name="_Toc246596655"/>
      <w:bookmarkStart w:id="194" w:name="_Toc202676942"/>
      <w:r>
        <w:rPr>
          <w:rFonts w:hint="eastAsia" w:ascii="宋体" w:hAnsi="宋体"/>
          <w:b/>
          <w:szCs w:val="20"/>
          <w:highlight w:val="none"/>
        </w:rPr>
        <w:t>8.4  关闭或削减不影响或取或付义务</w:t>
      </w:r>
      <w:bookmarkEnd w:id="193"/>
      <w:bookmarkEnd w:id="194"/>
    </w:p>
    <w:p>
      <w:pPr>
        <w:pStyle w:val="56"/>
        <w:spacing w:beforeLines="25" w:afterLines="25"/>
        <w:ind w:firstLine="478" w:firstLineChars="237"/>
        <w:rPr>
          <w:rFonts w:ascii="宋体" w:hAnsi="宋体"/>
          <w:sz w:val="20"/>
          <w:highlight w:val="none"/>
        </w:rPr>
      </w:pPr>
      <w:r>
        <w:rPr>
          <w:rFonts w:hint="eastAsia" w:ascii="宋体" w:hAnsi="宋体"/>
          <w:sz w:val="20"/>
          <w:highlight w:val="none"/>
        </w:rPr>
        <w:t>甲方按第8.3条规定行使要求紧急关闭或削减的权利不得影响甲方在第</w:t>
      </w:r>
      <w:r>
        <w:rPr>
          <w:highlight w:val="none"/>
        </w:rPr>
        <w:fldChar w:fldCharType="begin"/>
      </w:r>
      <w:r>
        <w:rPr>
          <w:highlight w:val="none"/>
        </w:rPr>
        <w:instrText xml:space="preserve"> HYPERLINK \l "_7.1__水务局或取或付义务" </w:instrText>
      </w:r>
      <w:r>
        <w:rPr>
          <w:highlight w:val="none"/>
        </w:rPr>
        <w:fldChar w:fldCharType="separate"/>
      </w:r>
      <w:r>
        <w:rPr>
          <w:rFonts w:hint="eastAsia" w:ascii="宋体" w:hAnsi="宋体"/>
          <w:sz w:val="20"/>
          <w:szCs w:val="20"/>
          <w:highlight w:val="none"/>
        </w:rPr>
        <w:t>7</w:t>
      </w:r>
      <w:r>
        <w:rPr>
          <w:rFonts w:hint="eastAsia" w:ascii="宋体" w:hAnsi="宋体"/>
          <w:sz w:val="20"/>
          <w:szCs w:val="20"/>
          <w:highlight w:val="none"/>
        </w:rPr>
        <w:fldChar w:fldCharType="end"/>
      </w:r>
      <w:r>
        <w:rPr>
          <w:rFonts w:hint="eastAsia" w:ascii="宋体" w:hAnsi="宋体"/>
          <w:sz w:val="20"/>
          <w:highlight w:val="none"/>
        </w:rPr>
        <w:t>.2（b）条项下的运营服务费付款义务。</w:t>
      </w:r>
    </w:p>
    <w:p>
      <w:pPr>
        <w:pStyle w:val="56"/>
        <w:keepNext/>
        <w:keepLines/>
        <w:spacing w:beforeLines="25" w:afterLines="25"/>
        <w:ind w:firstLine="501" w:firstLineChars="237"/>
        <w:outlineLvl w:val="4"/>
        <w:rPr>
          <w:rFonts w:ascii="宋体" w:hAnsi="宋体"/>
          <w:b/>
          <w:sz w:val="24"/>
          <w:highlight w:val="none"/>
        </w:rPr>
      </w:pPr>
      <w:bookmarkStart w:id="195" w:name="_8.5__暂停服务"/>
      <w:bookmarkEnd w:id="195"/>
      <w:bookmarkStart w:id="196" w:name="_Toc246596656"/>
      <w:bookmarkStart w:id="197" w:name="_Toc202676943"/>
      <w:r>
        <w:rPr>
          <w:rFonts w:ascii="宋体" w:hAnsi="宋体"/>
          <w:b/>
          <w:highlight w:val="none"/>
        </w:rPr>
        <w:t xml:space="preserve">8.5  </w:t>
      </w:r>
      <w:r>
        <w:rPr>
          <w:rFonts w:hint="eastAsia" w:ascii="宋体" w:hAnsi="宋体"/>
          <w:b/>
          <w:highlight w:val="none"/>
        </w:rPr>
        <w:t>暂停服务</w:t>
      </w:r>
      <w:bookmarkEnd w:id="196"/>
      <w:bookmarkEnd w:id="197"/>
    </w:p>
    <w:p>
      <w:pPr>
        <w:pStyle w:val="56"/>
        <w:spacing w:beforeLines="25" w:afterLines="25"/>
        <w:ind w:firstLine="478" w:firstLineChars="237"/>
        <w:rPr>
          <w:rFonts w:ascii="宋体" w:hAnsi="宋体"/>
          <w:sz w:val="20"/>
          <w:highlight w:val="none"/>
        </w:rPr>
      </w:pPr>
      <w:r>
        <w:rPr>
          <w:rFonts w:hint="eastAsia" w:ascii="宋体" w:hAnsi="宋体"/>
          <w:sz w:val="20"/>
          <w:highlight w:val="none"/>
        </w:rPr>
        <w:t>8.5.1 不允许计划内暂停服务。</w:t>
      </w:r>
    </w:p>
    <w:p>
      <w:pPr>
        <w:pStyle w:val="56"/>
        <w:spacing w:beforeLines="25" w:afterLines="25"/>
        <w:ind w:firstLine="478" w:firstLineChars="237"/>
        <w:rPr>
          <w:rFonts w:ascii="宋体" w:hAnsi="宋体"/>
          <w:sz w:val="20"/>
          <w:highlight w:val="none"/>
        </w:rPr>
      </w:pPr>
      <w:bookmarkStart w:id="198" w:name="_Hlt212622934"/>
      <w:bookmarkEnd w:id="198"/>
      <w:r>
        <w:rPr>
          <w:rFonts w:hint="eastAsia" w:ascii="宋体" w:hAnsi="宋体"/>
          <w:sz w:val="20"/>
          <w:highlight w:val="none"/>
        </w:rPr>
        <w:t>8.5.2 计划外暂停服务</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凡未列入下一运营年度维护计划内、因临时或突发事件等引起的暂停服务视为计划外暂停服务。</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a) 如果有计划外暂停服务，乙方应在事件发生后二（2）小时内立即书面通知或通报甲方，解释暂停服务的原因以及提出更正暂停服务的措施。乙方应尽其最大努力在发现或通知计划外暂停服务后二十四（24）小时内恢复正常服务。</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b) 如果计划外暂停服务时间预期超过二十四（24）小时，乙方应考虑甲方关于处理计划外暂停服务的建议或遵从甲方的指令。</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c) 如果必要的更改措施预期暂停需要超过四十八（48）小时，乙方应通知甲方，并应尽最大努力使得计划外暂停服务的影响减到最小。</w:t>
      </w:r>
    </w:p>
    <w:p>
      <w:pPr>
        <w:pStyle w:val="56"/>
        <w:spacing w:beforeLines="25" w:afterLines="25"/>
        <w:ind w:firstLine="478" w:firstLineChars="237"/>
        <w:rPr>
          <w:rFonts w:ascii="宋体" w:hAnsi="宋体"/>
          <w:sz w:val="20"/>
          <w:highlight w:val="none"/>
        </w:rPr>
      </w:pPr>
      <w:r>
        <w:rPr>
          <w:rFonts w:hint="eastAsia" w:ascii="宋体" w:hAnsi="宋体"/>
          <w:sz w:val="20"/>
          <w:highlight w:val="none"/>
        </w:rPr>
        <w:t>d) 对于经甲方批准、认可或要求的计划外暂停（一般应不超过四十八（48）小时），包括因为重大公共利益和公共安全等原因，或甲方认为关闭和削减进水水量是实施进水管网的任何部分进行建设、安装、维护、修理、更换、检查或测试所必需的，或甲方认为其他原因所必需的，则甲方可随时发出指令，要求乙方部分或全部暂停污水处理服务，乙方应在接到甲方有关指令后须立即执行。若发生该款情况，此暂停期内甲方将按照</w:t>
      </w:r>
      <w:r>
        <w:rPr>
          <w:highlight w:val="none"/>
        </w:rPr>
        <w:fldChar w:fldCharType="begin"/>
      </w:r>
      <w:r>
        <w:rPr>
          <w:highlight w:val="none"/>
        </w:rPr>
        <w:instrText xml:space="preserve"> HYPERLINK \l "_附录1_污水处理服务费的计算" </w:instrText>
      </w:r>
      <w:r>
        <w:rPr>
          <w:highlight w:val="none"/>
        </w:rPr>
        <w:fldChar w:fldCharType="separate"/>
      </w:r>
      <w:r>
        <w:rPr>
          <w:rFonts w:hint="eastAsia" w:ascii="宋体" w:hAnsi="宋体"/>
          <w:sz w:val="20"/>
          <w:szCs w:val="20"/>
          <w:highlight w:val="none"/>
        </w:rPr>
        <w:t>附录1</w:t>
      </w:r>
      <w:r>
        <w:rPr>
          <w:rFonts w:hint="eastAsia" w:ascii="宋体" w:hAnsi="宋体"/>
          <w:sz w:val="20"/>
          <w:szCs w:val="20"/>
          <w:highlight w:val="none"/>
        </w:rPr>
        <w:fldChar w:fldCharType="end"/>
      </w:r>
      <w:r>
        <w:rPr>
          <w:rFonts w:hint="eastAsia" w:ascii="宋体" w:hAnsi="宋体"/>
          <w:sz w:val="20"/>
          <w:highlight w:val="none"/>
        </w:rPr>
        <w:t>《运营服务费的计算》中的有关计划外暂停服务期间的付费方式向乙方支付相应的运营服务费。</w:t>
      </w:r>
    </w:p>
    <w:p>
      <w:pPr>
        <w:pStyle w:val="56"/>
        <w:tabs>
          <w:tab w:val="left" w:pos="420"/>
        </w:tabs>
        <w:spacing w:beforeLines="50"/>
        <w:ind w:firstLine="567"/>
        <w:rPr>
          <w:rFonts w:ascii="仿宋_GB2312" w:hAnsi="仿宋_GB2312" w:eastAsia="仿宋_GB2312"/>
          <w:bCs/>
          <w:sz w:val="24"/>
          <w:highlight w:val="none"/>
          <w:u w:val="single"/>
        </w:rPr>
      </w:pPr>
      <w:r>
        <w:rPr>
          <w:rFonts w:hint="eastAsia" w:ascii="宋体" w:hAnsi="宋体"/>
          <w:sz w:val="20"/>
          <w:highlight w:val="none"/>
          <w:u w:val="single"/>
        </w:rPr>
        <w:t xml:space="preserve">e) </w:t>
      </w:r>
      <w:r>
        <w:rPr>
          <w:rFonts w:ascii="宋体" w:hAnsi="宋体"/>
          <w:sz w:val="20"/>
          <w:highlight w:val="none"/>
          <w:u w:val="single"/>
        </w:rPr>
        <w:t>对于因不可抗力事件发生或非</w:t>
      </w:r>
      <w:r>
        <w:rPr>
          <w:rFonts w:hint="eastAsia" w:ascii="宋体" w:hAnsi="宋体"/>
          <w:sz w:val="20"/>
          <w:highlight w:val="none"/>
          <w:u w:val="single"/>
        </w:rPr>
        <w:t>乙方原因造成的</w:t>
      </w:r>
      <w:r>
        <w:rPr>
          <w:rFonts w:hint="eastAsia" w:ascii="宋体" w:hAnsi="宋体"/>
          <w:sz w:val="20"/>
          <w:highlight w:val="none"/>
        </w:rPr>
        <w:t>计划外暂停，乙方应尽快处理该等突发或非正常事件，使项目设施尽快恢复正常运行。同时，在污水处理设施全部暂停或部分暂停后立即书面通知甲方，该通知中应说明导致不可抗力或进水严重不足发生暂停的原因、暂停可能的持续时间以及乙方即将要采取的针对性补救措施。甲方应在收到暂停书面通知后的合理时间内对此等情况进行核实并作出书面回复，经确认后应按照</w:t>
      </w:r>
      <w:r>
        <w:rPr>
          <w:highlight w:val="none"/>
        </w:rPr>
        <w:fldChar w:fldCharType="begin"/>
      </w:r>
      <w:r>
        <w:rPr>
          <w:highlight w:val="none"/>
        </w:rPr>
        <w:instrText xml:space="preserve"> HYPERLINK \l "_附录1_污水处理服务费的计算" </w:instrText>
      </w:r>
      <w:r>
        <w:rPr>
          <w:highlight w:val="none"/>
        </w:rPr>
        <w:fldChar w:fldCharType="separate"/>
      </w:r>
      <w:r>
        <w:rPr>
          <w:rFonts w:hint="eastAsia" w:ascii="宋体" w:hAnsi="宋体"/>
          <w:sz w:val="20"/>
          <w:szCs w:val="20"/>
          <w:highlight w:val="none"/>
        </w:rPr>
        <w:t>附录1</w:t>
      </w:r>
      <w:r>
        <w:rPr>
          <w:rFonts w:hint="eastAsia" w:ascii="宋体" w:hAnsi="宋体"/>
          <w:sz w:val="20"/>
          <w:szCs w:val="20"/>
          <w:highlight w:val="none"/>
        </w:rPr>
        <w:fldChar w:fldCharType="end"/>
      </w:r>
      <w:r>
        <w:rPr>
          <w:rFonts w:hint="eastAsia" w:ascii="宋体" w:hAnsi="宋体"/>
          <w:sz w:val="20"/>
          <w:highlight w:val="none"/>
        </w:rPr>
        <w:t>《运营服务费的计算》中的</w:t>
      </w:r>
      <w:r>
        <w:rPr>
          <w:rFonts w:hint="eastAsia" w:ascii="宋体" w:hAnsi="宋体"/>
          <w:sz w:val="20"/>
          <w:highlight w:val="none"/>
          <w:u w:val="single"/>
        </w:rPr>
        <w:t>有关不可抗力期间的付费公式向乙方计付相应的运营服务费或停产补偿费用。</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f) 对于未经甲方批准、认可或要求的计划外暂停服务，其暂停期间的运营服务费及停产补偿费用甲方将不予以支付。</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g) 对于非不可抗力或非甲方违约原因造成的计划外暂停服务期间，乙方应按第11.3条款支付污水处理量不足违约金。</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h) 对于非不可抗力或非甲方违约原因造成的计划外暂停服务期间如果造成污染事故，乙方还应承担国家法律规定的相应责任。</w:t>
      </w:r>
    </w:p>
    <w:p>
      <w:pPr>
        <w:pStyle w:val="56"/>
        <w:widowControl w:val="0"/>
        <w:spacing w:beforeLines="50"/>
        <w:jc w:val="center"/>
        <w:rPr>
          <w:rFonts w:ascii="新宋体" w:hAnsi="新宋体" w:eastAsia="新宋体" w:cs="新宋体"/>
          <w:bCs/>
          <w:kern w:val="2"/>
          <w:sz w:val="28"/>
          <w:szCs w:val="28"/>
          <w:highlight w:val="none"/>
        </w:rPr>
      </w:pPr>
      <w:bookmarkStart w:id="199" w:name="_Toc1245"/>
      <w:bookmarkStart w:id="200" w:name="_Toc246596657"/>
      <w:r>
        <w:rPr>
          <w:rFonts w:hint="eastAsia" w:ascii="新宋体" w:hAnsi="新宋体" w:eastAsia="新宋体" w:cs="新宋体"/>
          <w:b/>
          <w:kern w:val="2"/>
          <w:sz w:val="28"/>
          <w:szCs w:val="28"/>
          <w:highlight w:val="none"/>
        </w:rPr>
        <w:t>第九节  运营</w:t>
      </w:r>
      <w:bookmarkStart w:id="201" w:name="_Hlt212663134"/>
      <w:bookmarkEnd w:id="201"/>
      <w:r>
        <w:rPr>
          <w:rFonts w:hint="eastAsia" w:ascii="新宋体" w:hAnsi="新宋体" w:eastAsia="新宋体" w:cs="新宋体"/>
          <w:b/>
          <w:kern w:val="2"/>
          <w:sz w:val="28"/>
          <w:szCs w:val="28"/>
          <w:highlight w:val="none"/>
        </w:rPr>
        <w:t>期满时项目设施的移交</w:t>
      </w:r>
      <w:bookmarkEnd w:id="199"/>
      <w:bookmarkEnd w:id="200"/>
    </w:p>
    <w:p>
      <w:pPr>
        <w:pStyle w:val="56"/>
        <w:keepNext/>
        <w:keepLines/>
        <w:spacing w:before="120" w:after="120"/>
        <w:ind w:firstLine="500"/>
        <w:outlineLvl w:val="4"/>
        <w:rPr>
          <w:rFonts w:ascii="宋体" w:hAnsi="宋体"/>
          <w:b/>
          <w:szCs w:val="20"/>
          <w:highlight w:val="none"/>
        </w:rPr>
      </w:pPr>
      <w:bookmarkStart w:id="202" w:name="_12.1_移交范围"/>
      <w:bookmarkEnd w:id="202"/>
      <w:bookmarkStart w:id="203" w:name="_Toc246596658"/>
      <w:bookmarkStart w:id="204" w:name="_Toc24324"/>
      <w:r>
        <w:rPr>
          <w:rFonts w:hint="eastAsia" w:ascii="宋体" w:hAnsi="宋体"/>
          <w:b/>
          <w:szCs w:val="20"/>
          <w:highlight w:val="none"/>
        </w:rPr>
        <w:t>9.1 移交范围</w:t>
      </w:r>
      <w:bookmarkEnd w:id="203"/>
      <w:bookmarkEnd w:id="204"/>
    </w:p>
    <w:p>
      <w:pPr>
        <w:pStyle w:val="56"/>
        <w:tabs>
          <w:tab w:val="left" w:pos="420"/>
        </w:tabs>
        <w:spacing w:beforeLines="50"/>
        <w:ind w:firstLine="567"/>
        <w:rPr>
          <w:rFonts w:ascii="宋体" w:hAnsi="宋体"/>
          <w:sz w:val="20"/>
          <w:highlight w:val="none"/>
        </w:rPr>
      </w:pPr>
      <w:r>
        <w:rPr>
          <w:rFonts w:hint="eastAsia" w:ascii="宋体" w:hAnsi="宋体"/>
          <w:sz w:val="20"/>
          <w:highlight w:val="none"/>
        </w:rPr>
        <w:t>9.1.1 在运营期满的移交日，乙方应向甲方或其指定机构无偿移交：</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（a）乙方对项目设施的一切经营权利、占有权和移交后的潜在利益，包括：</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i. 项目厂区红线范围内全部设施及红线外乙方负责维护的厂区相关附属配套基础设施；</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ii. 与项目厂区设施使用相关的所有构件和设备；</w:t>
      </w:r>
      <w:bookmarkStart w:id="205" w:name="_Hlt199866906"/>
      <w:bookmarkEnd w:id="205"/>
    </w:p>
    <w:p>
      <w:pPr>
        <w:pStyle w:val="56"/>
        <w:tabs>
          <w:tab w:val="left" w:pos="420"/>
        </w:tabs>
        <w:spacing w:beforeLines="50"/>
        <w:ind w:firstLine="567"/>
        <w:rPr>
          <w:rFonts w:ascii="宋体" w:hAnsi="宋体"/>
          <w:sz w:val="20"/>
          <w:highlight w:val="none"/>
        </w:rPr>
      </w:pPr>
      <w:r>
        <w:rPr>
          <w:rFonts w:hint="eastAsia" w:ascii="宋体" w:hAnsi="宋体"/>
          <w:sz w:val="20"/>
          <w:highlight w:val="none"/>
        </w:rPr>
        <w:t>iii. 第9.3条要求的所有零备件和配件等。</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（b）</w:t>
      </w:r>
      <w:bookmarkStart w:id="206" w:name="_Hlt202329834"/>
      <w:bookmarkEnd w:id="206"/>
      <w:r>
        <w:rPr>
          <w:rFonts w:hint="eastAsia" w:ascii="宋体" w:hAnsi="宋体"/>
          <w:sz w:val="20"/>
          <w:highlight w:val="none"/>
        </w:rPr>
        <w:t>甲方为运营维护而合理要求的此前乙方按照本协议规定未曾交付的运营操作手册、运营维护记录、移交说明、设计图纸、文件、合同、协议和其它资料，以使其能够直接或通过其指定机构继续项目厂区设施的运营维护。</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（C）乙方购置的生活和办公器用具。</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9.1.2 上述资产在向甲方移交时应不存在任何留置权、债权、抵押、担保物权或任何种类的其它请求权。污水处理厂场地在移交日应不存在因建设、运营和维护项目设施导致的或乙方另外引致的环境污染。</w:t>
      </w:r>
    </w:p>
    <w:p>
      <w:pPr>
        <w:pStyle w:val="56"/>
        <w:keepNext/>
        <w:keepLines/>
        <w:spacing w:before="120" w:after="120"/>
        <w:ind w:firstLine="500"/>
        <w:outlineLvl w:val="4"/>
        <w:rPr>
          <w:rFonts w:ascii="宋体" w:hAnsi="宋体"/>
          <w:b/>
          <w:szCs w:val="20"/>
          <w:highlight w:val="none"/>
        </w:rPr>
      </w:pPr>
      <w:bookmarkStart w:id="207" w:name="_Hlt211520035"/>
      <w:bookmarkEnd w:id="207"/>
      <w:bookmarkStart w:id="208" w:name="_Toc23144"/>
      <w:bookmarkStart w:id="209" w:name="_Toc246596659"/>
      <w:r>
        <w:rPr>
          <w:rFonts w:hint="eastAsia" w:ascii="宋体" w:hAnsi="宋体"/>
          <w:b/>
          <w:szCs w:val="20"/>
          <w:highlight w:val="none"/>
        </w:rPr>
        <w:t>9.2 最后恢复性大修和性能测试</w:t>
      </w:r>
      <w:bookmarkEnd w:id="208"/>
      <w:bookmarkEnd w:id="209"/>
    </w:p>
    <w:p>
      <w:pPr>
        <w:pStyle w:val="56"/>
        <w:tabs>
          <w:tab w:val="left" w:pos="420"/>
        </w:tabs>
        <w:spacing w:beforeLines="50"/>
        <w:ind w:firstLine="567"/>
        <w:rPr>
          <w:rFonts w:ascii="宋体" w:hAnsi="宋体"/>
          <w:sz w:val="20"/>
          <w:highlight w:val="none"/>
        </w:rPr>
      </w:pPr>
      <w:r>
        <w:rPr>
          <w:rFonts w:hint="eastAsia" w:ascii="宋体" w:hAnsi="宋体"/>
          <w:sz w:val="20"/>
          <w:highlight w:val="none"/>
        </w:rPr>
        <w:t>9.2.1最后恢复性大修</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在移交日之前不早于六(6)个月，乙方应对项目设施进行一次大修，但此大修应不迟于移交日三(3)个月之前完成。大修的具体时间和内容应于移交日前十二(12)个月时由甲方核准。最后恢复性大修应包括：</w:t>
      </w:r>
    </w:p>
    <w:p>
      <w:pPr>
        <w:pStyle w:val="56"/>
        <w:tabs>
          <w:tab w:val="left" w:pos="420"/>
        </w:tabs>
        <w:spacing w:beforeLines="50"/>
        <w:ind w:firstLine="404" w:firstLineChars="200"/>
        <w:rPr>
          <w:rFonts w:ascii="宋体" w:hAnsi="宋体"/>
          <w:sz w:val="20"/>
          <w:highlight w:val="none"/>
        </w:rPr>
      </w:pPr>
      <w:r>
        <w:rPr>
          <w:rFonts w:hint="eastAsia" w:ascii="宋体" w:hAnsi="宋体"/>
          <w:sz w:val="20"/>
          <w:highlight w:val="none"/>
        </w:rPr>
        <w:t>(a) 项目设施的设备制造厂商的说明、手册和/或维护计划所列事项；</w:t>
      </w:r>
    </w:p>
    <w:p>
      <w:pPr>
        <w:pStyle w:val="56"/>
        <w:tabs>
          <w:tab w:val="left" w:pos="420"/>
        </w:tabs>
        <w:spacing w:beforeLines="50"/>
        <w:ind w:firstLine="404" w:firstLineChars="200"/>
        <w:rPr>
          <w:rFonts w:ascii="宋体" w:hAnsi="宋体"/>
          <w:sz w:val="20"/>
          <w:highlight w:val="none"/>
        </w:rPr>
      </w:pPr>
      <w:r>
        <w:rPr>
          <w:rFonts w:hint="eastAsia" w:ascii="宋体" w:hAnsi="宋体"/>
          <w:sz w:val="20"/>
          <w:highlight w:val="none"/>
        </w:rPr>
        <w:t>(b) 消除实际存在的缺陷；</w:t>
      </w:r>
    </w:p>
    <w:p>
      <w:pPr>
        <w:pStyle w:val="56"/>
        <w:tabs>
          <w:tab w:val="left" w:pos="420"/>
        </w:tabs>
        <w:spacing w:beforeLines="50"/>
        <w:ind w:firstLine="404" w:firstLineChars="200"/>
        <w:rPr>
          <w:rFonts w:ascii="宋体" w:hAnsi="宋体"/>
          <w:sz w:val="20"/>
          <w:highlight w:val="none"/>
        </w:rPr>
      </w:pPr>
      <w:r>
        <w:rPr>
          <w:rFonts w:hint="eastAsia" w:ascii="宋体" w:hAnsi="宋体"/>
          <w:sz w:val="20"/>
          <w:highlight w:val="none"/>
        </w:rPr>
        <w:t>(c) 检修、探伤、检测及易损易耗件更换等；</w:t>
      </w:r>
    </w:p>
    <w:p>
      <w:pPr>
        <w:pStyle w:val="56"/>
        <w:tabs>
          <w:tab w:val="left" w:pos="420"/>
        </w:tabs>
        <w:spacing w:beforeLines="50"/>
        <w:ind w:firstLine="404" w:firstLineChars="200"/>
        <w:rPr>
          <w:rFonts w:ascii="宋体" w:hAnsi="宋体"/>
          <w:sz w:val="20"/>
          <w:highlight w:val="none"/>
        </w:rPr>
      </w:pPr>
      <w:r>
        <w:rPr>
          <w:rFonts w:hint="eastAsia" w:ascii="宋体" w:hAnsi="宋体"/>
          <w:sz w:val="20"/>
          <w:highlight w:val="none"/>
        </w:rPr>
        <w:t xml:space="preserve">(d) 甲方合理要求的其它检修项目。乙方有义务将甲方合理提出的检修项目列入其最后恢复性大修计划。 </w:t>
      </w:r>
    </w:p>
    <w:p>
      <w:pPr>
        <w:pStyle w:val="56"/>
        <w:tabs>
          <w:tab w:val="left" w:pos="420"/>
        </w:tabs>
        <w:spacing w:beforeLines="50"/>
        <w:ind w:firstLine="404" w:firstLineChars="200"/>
        <w:rPr>
          <w:rFonts w:ascii="宋体" w:hAnsi="宋体"/>
          <w:sz w:val="20"/>
          <w:highlight w:val="none"/>
        </w:rPr>
      </w:pPr>
      <w:r>
        <w:rPr>
          <w:rFonts w:hint="eastAsia" w:ascii="宋体" w:hAnsi="宋体"/>
          <w:sz w:val="20"/>
          <w:highlight w:val="none"/>
        </w:rPr>
        <w:t>如果乙方不能根据第9.2.1条进行最后恢复性大修，甲方可以自行进行大修并由乙方承担费用和风险，但甲方应向乙方提供所发生支出的详细记录。</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9.2.2性能测试</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（a）最后恢复性大修后并在移交日之前，乙方应提前三十（30）日书面通知甲方代表到场时进行项目设施的性能测试。测试所得性能参数应符合设备正常运行功能标准。</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b）如果未达到这些参数标准，乙方应修正项目设施的任何缺陷，并重新进行性能测试。如果乙方不能在合理的时间内修正任何上述缺陷，甲方可以自行修正，并由乙方承担风险和费用。甲方应将发生的支出详细记录提交给乙方。</w:t>
      </w:r>
    </w:p>
    <w:p>
      <w:pPr>
        <w:pStyle w:val="56"/>
        <w:keepNext/>
        <w:keepLines/>
        <w:spacing w:before="120" w:after="120"/>
        <w:ind w:firstLine="500"/>
        <w:outlineLvl w:val="4"/>
        <w:rPr>
          <w:rFonts w:ascii="宋体" w:hAnsi="宋体"/>
          <w:b/>
          <w:szCs w:val="20"/>
          <w:highlight w:val="none"/>
        </w:rPr>
      </w:pPr>
      <w:bookmarkStart w:id="210" w:name="_12.3_零备件"/>
      <w:bookmarkEnd w:id="210"/>
      <w:bookmarkStart w:id="211" w:name="_Toc12262"/>
      <w:bookmarkStart w:id="212" w:name="_Toc246596660"/>
      <w:r>
        <w:rPr>
          <w:rFonts w:hint="eastAsia" w:ascii="宋体" w:hAnsi="宋体"/>
          <w:b/>
          <w:szCs w:val="20"/>
          <w:highlight w:val="none"/>
        </w:rPr>
        <w:t>9.3 零备件</w:t>
      </w:r>
      <w:bookmarkEnd w:id="211"/>
      <w:bookmarkEnd w:id="212"/>
    </w:p>
    <w:p>
      <w:pPr>
        <w:pStyle w:val="56"/>
        <w:tabs>
          <w:tab w:val="left" w:pos="420"/>
        </w:tabs>
        <w:spacing w:beforeLines="50"/>
        <w:ind w:firstLine="567"/>
        <w:rPr>
          <w:rFonts w:ascii="宋体" w:hAnsi="宋体"/>
          <w:sz w:val="20"/>
          <w:highlight w:val="none"/>
        </w:rPr>
      </w:pPr>
      <w:r>
        <w:rPr>
          <w:rFonts w:hint="eastAsia" w:ascii="宋体" w:hAnsi="宋体"/>
          <w:sz w:val="20"/>
          <w:highlight w:val="none"/>
        </w:rPr>
        <w:t>9.3.1移交的零备件</w:t>
      </w:r>
    </w:p>
    <w:p>
      <w:pPr>
        <w:pStyle w:val="56"/>
        <w:tabs>
          <w:tab w:val="left" w:pos="420"/>
        </w:tabs>
        <w:spacing w:beforeLines="50"/>
        <w:ind w:firstLine="567"/>
        <w:rPr>
          <w:rFonts w:ascii="宋体" w:hAnsi="宋体"/>
          <w:sz w:val="20"/>
          <w:highlight w:val="none"/>
          <w:u w:val="single"/>
        </w:rPr>
      </w:pPr>
      <w:r>
        <w:rPr>
          <w:rFonts w:hint="eastAsia" w:ascii="宋体" w:hAnsi="宋体"/>
          <w:sz w:val="20"/>
          <w:highlight w:val="none"/>
          <w:u w:val="single"/>
        </w:rPr>
        <w:t>乙方应向甲方无偿移交在移交日后六(6)个月内项目设施正常需要的消耗性零备件和事故抢修的零备件。所移交零备件应符合国家有关规定，</w:t>
      </w:r>
      <w:bookmarkStart w:id="213" w:name="_Hlt200868551"/>
      <w:bookmarkEnd w:id="213"/>
      <w:r>
        <w:rPr>
          <w:rFonts w:hint="eastAsia" w:ascii="宋体" w:hAnsi="宋体"/>
          <w:sz w:val="20"/>
          <w:highlight w:val="none"/>
          <w:u w:val="single"/>
        </w:rPr>
        <w:t>具有与乙方于交付设备时从设备制造厂商取得的零备件相同的质量和标准并符合相同的技术规格要求，否则应是上等优质的。</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9.3.2移交程序</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甲方与乙方应在移交日前六(6)个月会谈并商定移交的零备件的详细清单和移交程序。</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9.3.3购买额外的零备件</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在移交日之前，甲方可以向乙方提出一份其要求的第9.3.1条移交之外的项目设施零备件清单。乙方应尽最大努力以其可以从生产供货商处得到的同样优惠的价格向甲方移交或促成向甲方提供这些零备件，此项费用由甲方承担，乙方应将发生的支出详细记录提交给甲方。</w:t>
      </w:r>
    </w:p>
    <w:p>
      <w:pPr>
        <w:pStyle w:val="56"/>
        <w:keepNext/>
        <w:keepLines/>
        <w:spacing w:before="120" w:after="120"/>
        <w:ind w:firstLine="500"/>
        <w:outlineLvl w:val="4"/>
        <w:rPr>
          <w:rFonts w:ascii="宋体" w:hAnsi="宋体"/>
          <w:b/>
          <w:szCs w:val="20"/>
          <w:highlight w:val="none"/>
        </w:rPr>
      </w:pPr>
      <w:bookmarkStart w:id="214" w:name="_Hlt95070379"/>
      <w:bookmarkEnd w:id="214"/>
      <w:bookmarkStart w:id="215" w:name="_Hlt95070386"/>
      <w:bookmarkEnd w:id="215"/>
      <w:bookmarkStart w:id="216" w:name="_Toc26847"/>
      <w:bookmarkStart w:id="217" w:name="_Toc246596661"/>
      <w:r>
        <w:rPr>
          <w:rFonts w:hint="eastAsia" w:ascii="宋体" w:hAnsi="宋体"/>
          <w:b/>
          <w:szCs w:val="20"/>
          <w:highlight w:val="none"/>
        </w:rPr>
        <w:t>9.4 保证金和缺陷责任保证期</w:t>
      </w:r>
      <w:bookmarkEnd w:id="216"/>
      <w:bookmarkEnd w:id="217"/>
    </w:p>
    <w:p>
      <w:pPr>
        <w:pStyle w:val="56"/>
        <w:tabs>
          <w:tab w:val="left" w:pos="420"/>
        </w:tabs>
        <w:spacing w:beforeLines="50"/>
        <w:ind w:firstLine="567"/>
        <w:rPr>
          <w:rFonts w:ascii="宋体" w:hAnsi="宋体"/>
          <w:sz w:val="20"/>
          <w:highlight w:val="none"/>
        </w:rPr>
      </w:pPr>
      <w:r>
        <w:rPr>
          <w:rFonts w:hint="eastAsia" w:ascii="宋体" w:hAnsi="宋体"/>
          <w:sz w:val="20"/>
          <w:highlight w:val="none"/>
        </w:rPr>
        <w:t>9.4.1移交日项目设施的状况</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在移交日，乙方应保证项目设施符合正常运行功能标准，符合本协议规定的安全和环境标准，并得到了良好维护和处于良好的运营状况（正常磨损除外）。</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9.4.2 移交保证金</w:t>
      </w:r>
    </w:p>
    <w:p>
      <w:pPr>
        <w:pStyle w:val="56"/>
        <w:tabs>
          <w:tab w:val="left" w:pos="420"/>
        </w:tabs>
        <w:spacing w:beforeLines="50"/>
        <w:ind w:firstLine="567"/>
        <w:rPr>
          <w:rFonts w:ascii="宋体" w:hAnsi="宋体"/>
          <w:sz w:val="20"/>
          <w:highlight w:val="none"/>
          <w:u w:val="single"/>
        </w:rPr>
      </w:pPr>
      <w:r>
        <w:rPr>
          <w:rFonts w:hint="eastAsia" w:ascii="宋体" w:hAnsi="宋体"/>
          <w:sz w:val="20"/>
          <w:highlight w:val="none"/>
          <w:u w:val="single"/>
        </w:rPr>
        <w:t>本项目厂区设施运营期满前的最后十二（12）个月开始，</w:t>
      </w:r>
      <w:bookmarkStart w:id="218" w:name="_Hlt197876383"/>
      <w:r>
        <w:rPr>
          <w:rFonts w:hint="eastAsia" w:ascii="宋体" w:hAnsi="宋体"/>
          <w:sz w:val="20"/>
          <w:highlight w:val="none"/>
          <w:u w:val="single"/>
        </w:rPr>
        <w:t>甲方将在每月应支付给乙方的运营服务费中留存15％作为项目移</w:t>
      </w:r>
      <w:bookmarkStart w:id="219" w:name="_Hlt199869453"/>
      <w:bookmarkEnd w:id="219"/>
      <w:r>
        <w:rPr>
          <w:rFonts w:hint="eastAsia" w:ascii="宋体" w:hAnsi="宋体"/>
          <w:sz w:val="20"/>
          <w:highlight w:val="none"/>
          <w:u w:val="single"/>
        </w:rPr>
        <w:t>交保证金</w:t>
      </w:r>
      <w:bookmarkEnd w:id="218"/>
      <w:r>
        <w:rPr>
          <w:rFonts w:hint="eastAsia" w:ascii="宋体" w:hAnsi="宋体"/>
          <w:sz w:val="20"/>
          <w:highlight w:val="none"/>
          <w:u w:val="single"/>
        </w:rPr>
        <w:t>，保证期限至污水处理厂项目设施移交之日后六(6)个月。保证期届满后，以上移交保证金中的剩余金额将在满足下列条件后无息退回给乙方或相关权利人：</w:t>
      </w:r>
      <w:bookmarkStart w:id="220" w:name="_Hlt199869563"/>
      <w:bookmarkEnd w:id="220"/>
      <w:r>
        <w:rPr>
          <w:rFonts w:hint="eastAsia" w:ascii="宋体" w:hAnsi="宋体"/>
          <w:sz w:val="20"/>
          <w:highlight w:val="none"/>
          <w:u w:val="single"/>
        </w:rPr>
        <w:t xml:space="preserve"> </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(a) 偿付甲方的索赔要求（如果有）；</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(b) 支付违约罚金（如果有）；</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(c) 修补不能正常运营的部分设施。</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9.4.3缺陷责任保证期</w:t>
      </w:r>
    </w:p>
    <w:p>
      <w:pPr>
        <w:pStyle w:val="56"/>
        <w:tabs>
          <w:tab w:val="left" w:pos="420"/>
        </w:tabs>
        <w:spacing w:beforeLines="50"/>
        <w:ind w:firstLine="567"/>
        <w:rPr>
          <w:rFonts w:ascii="宋体" w:hAnsi="宋体"/>
          <w:sz w:val="20"/>
          <w:highlight w:val="none"/>
          <w:u w:val="single"/>
        </w:rPr>
      </w:pPr>
      <w:bookmarkStart w:id="221" w:name="_Hlt197874783"/>
      <w:r>
        <w:rPr>
          <w:rFonts w:hint="eastAsia" w:ascii="宋体" w:hAnsi="宋体"/>
          <w:sz w:val="20"/>
          <w:highlight w:val="none"/>
          <w:u w:val="single"/>
        </w:rPr>
        <w:t>乙方进一步保证在移交日后六 (6)个月内，修复由材料、施工缺陷或运营期内乙方的任何违约造成的项目设施任何部分出现的任何缺陷或损坏。</w:t>
      </w:r>
      <w:bookmarkEnd w:id="221"/>
    </w:p>
    <w:p>
      <w:pPr>
        <w:pStyle w:val="56"/>
        <w:tabs>
          <w:tab w:val="left" w:pos="420"/>
        </w:tabs>
        <w:spacing w:beforeLines="50"/>
        <w:ind w:firstLine="567"/>
        <w:rPr>
          <w:rFonts w:ascii="宋体" w:hAnsi="宋体"/>
          <w:sz w:val="20"/>
          <w:highlight w:val="none"/>
        </w:rPr>
      </w:pPr>
      <w:r>
        <w:rPr>
          <w:rFonts w:hint="eastAsia" w:ascii="宋体" w:hAnsi="宋体"/>
          <w:sz w:val="20"/>
          <w:highlight w:val="none"/>
        </w:rPr>
        <w:t>甲方发现任何上述缺陷或损坏后应及时通知乙方。在任何情况下，甲方必须最迟在上述六(6)个月的保证期结束前通知乙方。收到该通知后，乙方应尽快自费修正缺陷。</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甲方应有权在下列情况下进行上述工作：</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(a)紧急情况下，如果它立即通知了乙方有关紧急情况的状况并允许乙方的一位代表在整个紧急工作期间在场；或</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(b)如果乙方在甲方发出的书面通知中所确定的一段合理的时间内不能或拒绝修正违约；</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在这种情况下，乙方应支付合理且必要的修理费用。</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9.4.4未能修理缺陷或损坏的赔偿</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如果修理项目设施的缺陷或损坏已达到满足正常使用的移交标准是不可能的或负担超乎合理范围或费用过于昂贵，甲方应有权就项目设施性能降低获得赔偿。</w:t>
      </w:r>
    </w:p>
    <w:p>
      <w:pPr>
        <w:pStyle w:val="56"/>
        <w:keepNext/>
        <w:keepLines/>
        <w:spacing w:before="120" w:after="120"/>
        <w:ind w:firstLine="500"/>
        <w:outlineLvl w:val="4"/>
        <w:rPr>
          <w:rFonts w:ascii="宋体" w:hAnsi="宋体"/>
          <w:b/>
          <w:szCs w:val="20"/>
          <w:highlight w:val="none"/>
        </w:rPr>
      </w:pPr>
      <w:bookmarkStart w:id="222" w:name="_Hlt211520038"/>
      <w:bookmarkEnd w:id="222"/>
      <w:bookmarkStart w:id="223" w:name="_Toc8263"/>
      <w:bookmarkStart w:id="224" w:name="_Toc246596662"/>
      <w:r>
        <w:rPr>
          <w:rFonts w:hint="eastAsia" w:ascii="宋体" w:hAnsi="宋体"/>
          <w:b/>
          <w:szCs w:val="20"/>
          <w:highlight w:val="none"/>
        </w:rPr>
        <w:t>9.5 承包商保证的转让</w:t>
      </w:r>
      <w:bookmarkEnd w:id="223"/>
      <w:bookmarkEnd w:id="224"/>
    </w:p>
    <w:p>
      <w:pPr>
        <w:pStyle w:val="56"/>
        <w:tabs>
          <w:tab w:val="left" w:pos="420"/>
        </w:tabs>
        <w:spacing w:beforeLines="50"/>
        <w:ind w:firstLine="567"/>
        <w:rPr>
          <w:rFonts w:ascii="宋体" w:hAnsi="宋体"/>
          <w:sz w:val="20"/>
          <w:highlight w:val="none"/>
        </w:rPr>
      </w:pPr>
      <w:r>
        <w:rPr>
          <w:rFonts w:hint="eastAsia" w:ascii="宋体" w:hAnsi="宋体"/>
          <w:sz w:val="20"/>
          <w:highlight w:val="none"/>
        </w:rPr>
        <w:t>在移交时，乙方应将所有承包商、制造商和供货商提供的尚未期满的担保及保证在可转让的范围内分别无偿转让给甲方。</w:t>
      </w:r>
    </w:p>
    <w:p>
      <w:pPr>
        <w:pStyle w:val="56"/>
        <w:keepNext/>
        <w:keepLines/>
        <w:spacing w:before="120" w:after="120"/>
        <w:ind w:firstLine="500"/>
        <w:outlineLvl w:val="4"/>
        <w:rPr>
          <w:rFonts w:ascii="宋体" w:hAnsi="宋体"/>
          <w:b/>
          <w:szCs w:val="20"/>
          <w:highlight w:val="none"/>
        </w:rPr>
      </w:pPr>
      <w:bookmarkStart w:id="225" w:name="_12.6_技术转让"/>
      <w:bookmarkEnd w:id="225"/>
      <w:bookmarkStart w:id="226" w:name="_Toc26372"/>
      <w:bookmarkStart w:id="227" w:name="_Toc246596663"/>
      <w:r>
        <w:rPr>
          <w:rFonts w:hint="eastAsia" w:ascii="宋体" w:hAnsi="宋体"/>
          <w:b/>
          <w:szCs w:val="20"/>
          <w:highlight w:val="none"/>
        </w:rPr>
        <w:t>9.6 技术转让</w:t>
      </w:r>
      <w:bookmarkEnd w:id="226"/>
      <w:bookmarkEnd w:id="227"/>
    </w:p>
    <w:p>
      <w:pPr>
        <w:pStyle w:val="56"/>
        <w:tabs>
          <w:tab w:val="left" w:pos="420"/>
        </w:tabs>
        <w:spacing w:beforeLines="50"/>
        <w:ind w:firstLine="567"/>
        <w:rPr>
          <w:rFonts w:ascii="宋体" w:hAnsi="宋体"/>
          <w:sz w:val="20"/>
          <w:highlight w:val="none"/>
        </w:rPr>
      </w:pPr>
      <w:r>
        <w:rPr>
          <w:rFonts w:hint="eastAsia" w:ascii="宋体" w:hAnsi="宋体"/>
          <w:sz w:val="20"/>
          <w:highlight w:val="none"/>
        </w:rPr>
        <w:t>乙方应在移交日将届时使用的运营和维护项目设施所需要的所有技术和专有技术的使用权(包括以许可或分许可在内的方式取得的)，其中由乙方自有的或使用中形成的有关技术和专有技术应免费授权给甲方。该等移交并不能说明乙方在移交后不能在其它场合、项目中使用这些技术和诀窍；也不能说明甲方或其指定机构在移交后，可以不经乙方或其继承人同意，向其它人以任何方式转让属于乙方的、仍在法律保护期内的专利或技术诀窍。</w:t>
      </w:r>
    </w:p>
    <w:p>
      <w:pPr>
        <w:pStyle w:val="56"/>
        <w:keepNext/>
        <w:keepLines/>
        <w:spacing w:before="120" w:after="120"/>
        <w:ind w:firstLine="500"/>
        <w:outlineLvl w:val="4"/>
        <w:rPr>
          <w:rFonts w:ascii="宋体" w:hAnsi="宋体"/>
          <w:b/>
          <w:szCs w:val="20"/>
          <w:highlight w:val="none"/>
        </w:rPr>
      </w:pPr>
      <w:bookmarkStart w:id="228" w:name="_Toc20513"/>
      <w:bookmarkStart w:id="229" w:name="_Toc246596664"/>
      <w:r>
        <w:rPr>
          <w:rFonts w:hint="eastAsia" w:ascii="宋体" w:hAnsi="宋体"/>
          <w:b/>
          <w:szCs w:val="20"/>
          <w:highlight w:val="none"/>
        </w:rPr>
        <w:t>9.7 人员或人员培训</w:t>
      </w:r>
      <w:bookmarkEnd w:id="228"/>
      <w:bookmarkEnd w:id="229"/>
    </w:p>
    <w:p>
      <w:pPr>
        <w:pStyle w:val="56"/>
        <w:tabs>
          <w:tab w:val="left" w:pos="420"/>
        </w:tabs>
        <w:spacing w:beforeLines="50"/>
        <w:ind w:firstLine="567"/>
        <w:rPr>
          <w:rFonts w:ascii="宋体" w:hAnsi="宋体"/>
          <w:sz w:val="20"/>
          <w:highlight w:val="none"/>
        </w:rPr>
      </w:pPr>
      <w:r>
        <w:rPr>
          <w:rFonts w:hint="eastAsia" w:ascii="宋体" w:hAnsi="宋体"/>
          <w:sz w:val="20"/>
          <w:highlight w:val="none"/>
        </w:rPr>
        <w:t>9.7.1 运营期结束日之前的第六(6)个月，乙方应提交一份当时在项目设施运营维护中受雇的员工名单，包括每个员工的工作资格、职位和收入的细节。乙方还应说明在移交日之后哪些员工将可供甲方继续聘用。</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9.7.2乙方应允许甲方在合理情况下进入项目设施与这些人员进行面谈和面试。甲方应有独立的自主权选择在移交日之后其愿意雇用哪些人员来继续运营和维护项目设施，甲方无义务继续雇用乙方所雇用的全部或任何部分人员。</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9.7.3 在运营期结束日之前的十二(12)个月起，乙方对甲方接管后拟确定聘用的项目设施操作人员负有无偿进行上岗技术培训的义务，确保其达到熟练操作的水平，并在培训期末进行相关理论及实践考核，并将考核结果提供给甲方。</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9.7.4 在运营期结束并完成项目移交后，所有在运营期内发生的因用工争议等引起的责任与费用问题均由乙方负责承担。</w:t>
      </w:r>
    </w:p>
    <w:p>
      <w:pPr>
        <w:pStyle w:val="56"/>
        <w:keepNext/>
        <w:keepLines/>
        <w:spacing w:before="120" w:after="120"/>
        <w:ind w:firstLine="500"/>
        <w:outlineLvl w:val="4"/>
        <w:rPr>
          <w:rFonts w:ascii="宋体" w:hAnsi="宋体"/>
          <w:b/>
          <w:szCs w:val="20"/>
          <w:highlight w:val="none"/>
        </w:rPr>
      </w:pPr>
      <w:bookmarkStart w:id="230" w:name="_Hlt211520041"/>
      <w:bookmarkEnd w:id="230"/>
      <w:bookmarkStart w:id="231" w:name="_Toc246596665"/>
      <w:bookmarkStart w:id="232" w:name="_Toc4153"/>
      <w:r>
        <w:rPr>
          <w:rFonts w:hint="eastAsia" w:ascii="宋体" w:hAnsi="宋体"/>
          <w:b/>
          <w:szCs w:val="20"/>
          <w:highlight w:val="none"/>
        </w:rPr>
        <w:t>9.8 移走乙方所有的物品</w:t>
      </w:r>
      <w:bookmarkEnd w:id="231"/>
      <w:bookmarkEnd w:id="232"/>
    </w:p>
    <w:p>
      <w:pPr>
        <w:pStyle w:val="56"/>
        <w:tabs>
          <w:tab w:val="left" w:pos="420"/>
        </w:tabs>
        <w:spacing w:beforeLines="50"/>
        <w:ind w:firstLine="567"/>
        <w:rPr>
          <w:rFonts w:ascii="宋体" w:hAnsi="宋体"/>
          <w:sz w:val="20"/>
          <w:highlight w:val="none"/>
        </w:rPr>
      </w:pPr>
      <w:r>
        <w:rPr>
          <w:rFonts w:hint="eastAsia" w:ascii="宋体" w:hAnsi="宋体"/>
          <w:sz w:val="20"/>
          <w:highlight w:val="none"/>
        </w:rPr>
        <w:t>除非双方另有协议，乙方应于期满移交日之后三十(3</w:t>
      </w:r>
      <w:bookmarkStart w:id="233" w:name="_Hlt199909781"/>
      <w:bookmarkEnd w:id="233"/>
      <w:r>
        <w:rPr>
          <w:rFonts w:hint="eastAsia" w:ascii="宋体" w:hAnsi="宋体"/>
          <w:sz w:val="20"/>
          <w:highlight w:val="none"/>
        </w:rPr>
        <w:t>0)日内，自费从项目设施场地移走乙方所属的全部物品。移走的物品仅限于其雇员的个人用品以及与项目设施的运营和维护无关的物品。如果乙方在上述时间内没有移走这些物品，甲方在通知乙方之后，可以移走并将物品转运至适当的地点以便安全保管。乙方应承担搬移、运输和保管的合理费用和风险。</w:t>
      </w:r>
    </w:p>
    <w:p>
      <w:pPr>
        <w:pStyle w:val="56"/>
        <w:keepNext/>
        <w:keepLines/>
        <w:spacing w:before="120" w:after="120"/>
        <w:ind w:firstLine="500"/>
        <w:outlineLvl w:val="4"/>
        <w:rPr>
          <w:rFonts w:ascii="宋体" w:hAnsi="宋体"/>
          <w:b/>
          <w:szCs w:val="20"/>
          <w:highlight w:val="none"/>
        </w:rPr>
      </w:pPr>
      <w:bookmarkStart w:id="234" w:name="_Toc858"/>
      <w:bookmarkStart w:id="235" w:name="_Toc246596666"/>
      <w:r>
        <w:rPr>
          <w:rFonts w:hint="eastAsia" w:ascii="宋体" w:hAnsi="宋体"/>
          <w:b/>
          <w:szCs w:val="20"/>
          <w:highlight w:val="none"/>
        </w:rPr>
        <w:t>9.9 风险转移和无财务、法律瑕疵</w:t>
      </w:r>
      <w:bookmarkEnd w:id="234"/>
      <w:bookmarkEnd w:id="235"/>
    </w:p>
    <w:p>
      <w:pPr>
        <w:pStyle w:val="56"/>
        <w:tabs>
          <w:tab w:val="left" w:pos="420"/>
        </w:tabs>
        <w:spacing w:beforeLines="50"/>
        <w:ind w:firstLine="567"/>
        <w:rPr>
          <w:rFonts w:ascii="宋体" w:hAnsi="宋体"/>
          <w:sz w:val="20"/>
          <w:highlight w:val="none"/>
        </w:rPr>
      </w:pPr>
      <w:r>
        <w:rPr>
          <w:rFonts w:hint="eastAsia" w:ascii="宋体" w:hAnsi="宋体"/>
          <w:sz w:val="20"/>
          <w:highlight w:val="none"/>
        </w:rPr>
        <w:t xml:space="preserve">9.9.1 乙方应承担移交日前项目设施的全部或部分损失或损坏的风险，除非损失或损坏是由甲方的迟延接受移交所致； </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9.9.2 乙方应保证项目设施在期满移交日无负债、无对外担保、无法律诉讼等情况，除非乙方与甲方就项目设施在期满</w:t>
      </w:r>
      <w:bookmarkStart w:id="236" w:name="_Hlt200161053"/>
      <w:bookmarkEnd w:id="236"/>
      <w:r>
        <w:rPr>
          <w:rFonts w:hint="eastAsia" w:ascii="宋体" w:hAnsi="宋体"/>
          <w:sz w:val="20"/>
          <w:highlight w:val="none"/>
        </w:rPr>
        <w:t>移交日的债权债务处理已另外达成协议。</w:t>
      </w:r>
    </w:p>
    <w:p>
      <w:pPr>
        <w:pStyle w:val="56"/>
        <w:keepNext/>
        <w:keepLines/>
        <w:spacing w:before="120" w:after="120"/>
        <w:ind w:firstLine="500"/>
        <w:outlineLvl w:val="4"/>
        <w:rPr>
          <w:rFonts w:ascii="宋体" w:hAnsi="宋体"/>
          <w:b/>
          <w:szCs w:val="20"/>
          <w:highlight w:val="none"/>
        </w:rPr>
      </w:pPr>
      <w:bookmarkStart w:id="237" w:name="_Hlt200158710"/>
      <w:bookmarkEnd w:id="237"/>
      <w:bookmarkStart w:id="238" w:name="_Toc24242"/>
      <w:bookmarkStart w:id="239" w:name="_Toc246596667"/>
      <w:r>
        <w:rPr>
          <w:rFonts w:hint="eastAsia" w:ascii="宋体" w:hAnsi="宋体"/>
          <w:b/>
          <w:szCs w:val="20"/>
          <w:highlight w:val="none"/>
        </w:rPr>
        <w:t>9.10 移交费用和批准</w:t>
      </w:r>
      <w:bookmarkEnd w:id="238"/>
      <w:bookmarkEnd w:id="239"/>
    </w:p>
    <w:p>
      <w:pPr>
        <w:pStyle w:val="56"/>
        <w:tabs>
          <w:tab w:val="left" w:pos="420"/>
        </w:tabs>
        <w:spacing w:beforeLines="50"/>
        <w:ind w:firstLine="567"/>
        <w:rPr>
          <w:rFonts w:ascii="宋体" w:hAnsi="宋体"/>
          <w:sz w:val="20"/>
          <w:highlight w:val="none"/>
        </w:rPr>
      </w:pPr>
      <w:r>
        <w:rPr>
          <w:rFonts w:hint="eastAsia" w:ascii="宋体" w:hAnsi="宋体"/>
          <w:sz w:val="20"/>
          <w:highlight w:val="none"/>
        </w:rPr>
        <w:t>9.10.1对于依据第</w:t>
      </w:r>
      <w:r>
        <w:rPr>
          <w:highlight w:val="none"/>
        </w:rPr>
        <w:fldChar w:fldCharType="begin"/>
      </w:r>
      <w:r>
        <w:rPr>
          <w:highlight w:val="none"/>
        </w:rPr>
        <w:instrText xml:space="preserve"> HYPERLINK \l "_12.1_移交范围" </w:instrText>
      </w:r>
      <w:r>
        <w:rPr>
          <w:highlight w:val="none"/>
        </w:rPr>
        <w:fldChar w:fldCharType="separate"/>
      </w:r>
      <w:r>
        <w:rPr>
          <w:rFonts w:hint="eastAsia" w:ascii="宋体" w:hAnsi="宋体"/>
          <w:sz w:val="20"/>
          <w:szCs w:val="20"/>
          <w:highlight w:val="none"/>
        </w:rPr>
        <w:t>9.1</w:t>
      </w:r>
      <w:r>
        <w:rPr>
          <w:rFonts w:hint="eastAsia" w:ascii="宋体" w:hAnsi="宋体"/>
          <w:sz w:val="20"/>
          <w:szCs w:val="20"/>
          <w:highlight w:val="none"/>
        </w:rPr>
        <w:fldChar w:fldCharType="end"/>
      </w:r>
      <w:r>
        <w:rPr>
          <w:rFonts w:hint="eastAsia" w:ascii="宋体" w:hAnsi="宋体"/>
          <w:sz w:val="20"/>
          <w:highlight w:val="none"/>
        </w:rPr>
        <w:t>条至第</w:t>
      </w:r>
      <w:r>
        <w:rPr>
          <w:highlight w:val="none"/>
        </w:rPr>
        <w:fldChar w:fldCharType="begin"/>
      </w:r>
      <w:r>
        <w:rPr>
          <w:highlight w:val="none"/>
        </w:rPr>
        <w:instrText xml:space="preserve"> HYPERLINK \l "_12.6_技术转让" </w:instrText>
      </w:r>
      <w:r>
        <w:rPr>
          <w:highlight w:val="none"/>
        </w:rPr>
        <w:fldChar w:fldCharType="separate"/>
      </w:r>
      <w:r>
        <w:rPr>
          <w:rFonts w:hint="eastAsia" w:ascii="宋体" w:hAnsi="宋体"/>
          <w:sz w:val="20"/>
          <w:szCs w:val="20"/>
          <w:highlight w:val="none"/>
        </w:rPr>
        <w:t>9.6</w:t>
      </w:r>
      <w:r>
        <w:rPr>
          <w:rFonts w:hint="eastAsia" w:ascii="宋体" w:hAnsi="宋体"/>
          <w:sz w:val="20"/>
          <w:szCs w:val="20"/>
          <w:highlight w:val="none"/>
        </w:rPr>
        <w:fldChar w:fldCharType="end"/>
      </w:r>
      <w:r>
        <w:rPr>
          <w:rFonts w:hint="eastAsia" w:ascii="宋体" w:hAnsi="宋体"/>
          <w:sz w:val="20"/>
          <w:highlight w:val="none"/>
        </w:rPr>
        <w:t>条所进行的移交或转让，甲方无须向乙方另外支付任何补偿或购买费用。</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9.10.2 乙方及甲方应负责各自的因为移交和转让发生的费用和支出。甲方应自费获得所有的批准或使之生效，并采取其它可能为移交和转让所必需的行动。</w:t>
      </w:r>
    </w:p>
    <w:p>
      <w:pPr>
        <w:pStyle w:val="56"/>
        <w:keepNext/>
        <w:keepLines/>
        <w:spacing w:before="120" w:after="120"/>
        <w:ind w:firstLine="500"/>
        <w:outlineLvl w:val="4"/>
        <w:rPr>
          <w:rFonts w:ascii="宋体" w:hAnsi="宋体"/>
          <w:b/>
          <w:szCs w:val="20"/>
          <w:highlight w:val="none"/>
        </w:rPr>
      </w:pPr>
      <w:bookmarkStart w:id="240" w:name="_Hlt211520043"/>
      <w:bookmarkEnd w:id="240"/>
      <w:bookmarkStart w:id="241" w:name="_Toc246596668"/>
      <w:bookmarkStart w:id="242" w:name="_Toc424"/>
      <w:r>
        <w:rPr>
          <w:rFonts w:hint="eastAsia" w:ascii="宋体" w:hAnsi="宋体"/>
          <w:b/>
          <w:szCs w:val="20"/>
          <w:highlight w:val="none"/>
        </w:rPr>
        <w:t>9.11 移交小组和移交程序</w:t>
      </w:r>
      <w:bookmarkEnd w:id="241"/>
      <w:bookmarkEnd w:id="242"/>
    </w:p>
    <w:p>
      <w:pPr>
        <w:pStyle w:val="56"/>
        <w:tabs>
          <w:tab w:val="left" w:pos="420"/>
        </w:tabs>
        <w:spacing w:beforeLines="50"/>
        <w:ind w:firstLine="567"/>
        <w:rPr>
          <w:rFonts w:ascii="宋体" w:hAnsi="宋体"/>
          <w:sz w:val="20"/>
          <w:highlight w:val="none"/>
        </w:rPr>
      </w:pPr>
      <w:r>
        <w:rPr>
          <w:rFonts w:hint="eastAsia" w:ascii="宋体" w:hAnsi="宋体"/>
          <w:sz w:val="20"/>
          <w:highlight w:val="none"/>
        </w:rPr>
        <w:t>9.11.1运营期结束日前六(6)个月，甲方和乙方应成立一个小组(“移交小组”)，移交小组应在双方同意的时间举行会谈并商定项目设施移交的详尽程序、最终恢复性大修计划和将移交的建筑、设备、设施、物品和零备件的详细清单，以及就移交向第三方进行公告的方式。</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9.11.2在双方进行移交会谈时，乙方应提交负责移交的代表名单，甲方应告知乙方其负责接收移交的代表名单。移交小组应在移交之前的第三(3)个月开会以准备移交仪式。</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9.11.3 移交程序</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(1)项目设施和技术文件的共同清点和移交</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A．项目设施移交完成日</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甲方和乙方应根据本协议有关内容，共同对污水处理厂当时实有的运营项目设施及下述技术文件进行逐项清点和登记，并在必要时就其状况或其它需要特别说明的事项进行备注后，由双方代表签字予以确认。转让记录经双方签署之日，即为项目设施移交完成之日。</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在项目设施移交完成日，乙方应保证本项目的设施处于良好的运营状况下，已得到良好维护（正常磨损除外），并符合本协议所规定的安全和环境标准。</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B．技术文件</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(a) 技术文件的内容</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上述项目设施的清点和移交应包括污水处理厂所有为其运营和维护所需的技术文件（包括但不限于截止交接时现有的设计、规划、可行性研究、建设、试运行和设备调试、检测记录等技术文件和技术档案，所有项目设施的制造厂商提供的合格证书、质量保证书、图纸、安装使用及维护手册等文件和资料，运营管理相关资料，大修和重置相关技术文件资料，以及项目设施完成时的竣工验收有关资料和文件）。</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(b) 技术文件的权属</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所有上述技术文件从移交之日起，其所有权、使用权完全属于甲方。</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C. 设施质量评估鉴定报告</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乙方应在运营服务期满之前一（1）个月内，聘请有资质的质量评估机构对污水处理厂建（构）筑物、设施和设备进行质量状况（包含但不限于设备性能、新旧程度等）评估鉴定，并出具评估鉴定报告，作为移交技术文件的附件。</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(2)移交</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在项目运营期满后及本协议规定的其它终止或提前终止条件成熟后，乙方应无偿将受让的项目运营权及本协议9.1款移交范围项下的一切权利、拥有权和移交后的潜在利益，按本协议规定的程序交还甲方或其指定的机构。</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9.11.4 移交完成后的结算安排</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在项目设施的期满移交工作完成后，如就运营期间尚有未结清（如存有争议或未计付停产补偿费用等）款项，双方应本着友好协商、公平合理负担的原则，在相关第三方参与协助下于运营期满日后六（6）个月内结清所有账款。逾期如未结清则应付款方还应按本协议约定的违约利率向收款方支付逾期利息。</w:t>
      </w:r>
    </w:p>
    <w:p>
      <w:pPr>
        <w:pStyle w:val="56"/>
        <w:keepNext/>
        <w:keepLines/>
        <w:spacing w:before="120" w:after="120"/>
        <w:ind w:firstLine="500"/>
        <w:outlineLvl w:val="4"/>
        <w:rPr>
          <w:rFonts w:ascii="宋体" w:hAnsi="宋体"/>
          <w:b/>
          <w:szCs w:val="20"/>
          <w:highlight w:val="none"/>
        </w:rPr>
      </w:pPr>
      <w:bookmarkStart w:id="243" w:name="_Hlt211520045"/>
      <w:bookmarkEnd w:id="243"/>
      <w:bookmarkStart w:id="244" w:name="_Toc246596669"/>
      <w:bookmarkStart w:id="245" w:name="_Toc16440"/>
      <w:r>
        <w:rPr>
          <w:rFonts w:hint="eastAsia" w:ascii="宋体" w:hAnsi="宋体"/>
          <w:b/>
          <w:szCs w:val="20"/>
          <w:highlight w:val="none"/>
        </w:rPr>
        <w:t>9.12 移交效力</w:t>
      </w:r>
      <w:bookmarkEnd w:id="244"/>
      <w:bookmarkEnd w:id="245"/>
    </w:p>
    <w:p>
      <w:pPr>
        <w:pStyle w:val="56"/>
        <w:tabs>
          <w:tab w:val="left" w:pos="420"/>
        </w:tabs>
        <w:spacing w:beforeLines="50"/>
        <w:ind w:firstLine="567"/>
        <w:rPr>
          <w:rFonts w:ascii="宋体" w:hAnsi="宋体"/>
          <w:sz w:val="20"/>
          <w:highlight w:val="none"/>
        </w:rPr>
      </w:pPr>
      <w:r>
        <w:rPr>
          <w:rFonts w:hint="eastAsia" w:ascii="宋体" w:hAnsi="宋体"/>
          <w:sz w:val="20"/>
          <w:highlight w:val="none"/>
        </w:rPr>
        <w:t>9.12.1自移交日开始，乙方在本协议项下的权利和义务即应终止，本协议另有规定的除外，并且各方至移交日止发生且尚未支付的债务除外。</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9.12.2甲方应接管项目设施的运营及本协议明示或默示的、因本协议产生的但于本协议终止后仍然有效的任何其它权利和义务。</w:t>
      </w:r>
    </w:p>
    <w:p>
      <w:pPr>
        <w:pStyle w:val="56"/>
        <w:widowControl w:val="0"/>
        <w:spacing w:beforeLines="50"/>
        <w:jc w:val="center"/>
        <w:rPr>
          <w:rFonts w:ascii="新宋体" w:hAnsi="新宋体" w:eastAsia="新宋体" w:cs="新宋体"/>
          <w:b/>
          <w:kern w:val="2"/>
          <w:sz w:val="28"/>
          <w:szCs w:val="28"/>
          <w:highlight w:val="none"/>
        </w:rPr>
      </w:pPr>
      <w:bookmarkStart w:id="246" w:name="_Hlt212661256"/>
      <w:bookmarkEnd w:id="246"/>
      <w:bookmarkStart w:id="247" w:name="_Toc246596670"/>
      <w:r>
        <w:rPr>
          <w:rFonts w:hint="eastAsia" w:ascii="新宋体" w:hAnsi="新宋体" w:eastAsia="新宋体" w:cs="新宋体"/>
          <w:b/>
          <w:kern w:val="2"/>
          <w:sz w:val="28"/>
          <w:szCs w:val="28"/>
          <w:highlight w:val="none"/>
        </w:rPr>
        <w:t xml:space="preserve">第十节  </w:t>
      </w:r>
      <w:bookmarkStart w:id="248" w:name="_Toc202676944"/>
      <w:r>
        <w:rPr>
          <w:rFonts w:hint="eastAsia" w:ascii="新宋体" w:hAnsi="新宋体" w:eastAsia="新宋体" w:cs="新宋体"/>
          <w:b/>
          <w:kern w:val="2"/>
          <w:sz w:val="28"/>
          <w:szCs w:val="28"/>
          <w:highlight w:val="none"/>
        </w:rPr>
        <w:t xml:space="preserve">计 </w:t>
      </w:r>
      <w:bookmarkStart w:id="249" w:name="_Hlt212621645"/>
      <w:bookmarkEnd w:id="249"/>
      <w:r>
        <w:rPr>
          <w:rFonts w:hint="eastAsia" w:ascii="新宋体" w:hAnsi="新宋体" w:eastAsia="新宋体" w:cs="新宋体"/>
          <w:b/>
          <w:kern w:val="2"/>
          <w:sz w:val="28"/>
          <w:szCs w:val="28"/>
          <w:highlight w:val="none"/>
        </w:rPr>
        <w:t xml:space="preserve"> 量</w:t>
      </w:r>
      <w:bookmarkEnd w:id="247"/>
      <w:bookmarkEnd w:id="248"/>
    </w:p>
    <w:p>
      <w:pPr>
        <w:pStyle w:val="56"/>
        <w:keepNext/>
        <w:keepLines/>
        <w:spacing w:before="120" w:after="120"/>
        <w:ind w:firstLine="500"/>
        <w:outlineLvl w:val="4"/>
        <w:rPr>
          <w:rFonts w:ascii="宋体" w:hAnsi="宋体"/>
          <w:b/>
          <w:szCs w:val="20"/>
          <w:highlight w:val="none"/>
        </w:rPr>
      </w:pPr>
      <w:bookmarkStart w:id="250" w:name="_Toc202676945"/>
      <w:bookmarkStart w:id="251" w:name="_Toc246596671"/>
      <w:r>
        <w:rPr>
          <w:rFonts w:hint="eastAsia" w:ascii="宋体" w:hAnsi="宋体"/>
          <w:b/>
          <w:szCs w:val="20"/>
          <w:highlight w:val="none"/>
        </w:rPr>
        <w:t>10.1  流量计</w:t>
      </w:r>
      <w:bookmarkStart w:id="252" w:name="_Hlt212284081"/>
      <w:r>
        <w:rPr>
          <w:rFonts w:hint="eastAsia" w:ascii="宋体" w:hAnsi="宋体"/>
          <w:b/>
          <w:szCs w:val="20"/>
          <w:highlight w:val="none"/>
        </w:rPr>
        <w:t>的安装</w:t>
      </w:r>
      <w:bookmarkEnd w:id="250"/>
      <w:bookmarkEnd w:id="251"/>
      <w:bookmarkEnd w:id="252"/>
    </w:p>
    <w:p>
      <w:pPr>
        <w:pStyle w:val="56"/>
        <w:tabs>
          <w:tab w:val="left" w:pos="420"/>
        </w:tabs>
        <w:spacing w:beforeLines="50"/>
        <w:ind w:firstLine="567"/>
        <w:rPr>
          <w:rFonts w:ascii="宋体" w:hAnsi="宋体"/>
          <w:sz w:val="20"/>
          <w:szCs w:val="22"/>
          <w:highlight w:val="none"/>
        </w:rPr>
      </w:pPr>
      <w:r>
        <w:rPr>
          <w:rFonts w:hint="eastAsia" w:ascii="宋体" w:hAnsi="宋体"/>
          <w:sz w:val="20"/>
          <w:szCs w:val="22"/>
          <w:highlight w:val="none"/>
        </w:rPr>
        <w:t>10.1.1 流量计</w:t>
      </w:r>
    </w:p>
    <w:p>
      <w:pPr>
        <w:pStyle w:val="56"/>
        <w:tabs>
          <w:tab w:val="left" w:pos="420"/>
        </w:tabs>
        <w:spacing w:beforeLines="50"/>
        <w:ind w:firstLine="567"/>
        <w:rPr>
          <w:rFonts w:ascii="宋体" w:hAnsi="宋体"/>
          <w:sz w:val="20"/>
          <w:szCs w:val="22"/>
          <w:highlight w:val="none"/>
        </w:rPr>
      </w:pPr>
      <w:r>
        <w:rPr>
          <w:rFonts w:hint="eastAsia" w:ascii="宋体" w:hAnsi="宋体"/>
          <w:sz w:val="20"/>
          <w:szCs w:val="22"/>
          <w:highlight w:val="none"/>
        </w:rPr>
        <w:t>a) 进水流量计：甲方已在进水检测点安装了符合第10.1.2和10.1.3条要求的进水流量计（“进水流量计”）。</w:t>
      </w:r>
    </w:p>
    <w:p>
      <w:pPr>
        <w:pStyle w:val="56"/>
        <w:tabs>
          <w:tab w:val="left" w:pos="420"/>
        </w:tabs>
        <w:spacing w:beforeLines="50"/>
        <w:ind w:firstLine="567"/>
        <w:rPr>
          <w:rFonts w:ascii="宋体" w:hAnsi="宋体"/>
          <w:sz w:val="20"/>
          <w:szCs w:val="22"/>
          <w:highlight w:val="none"/>
        </w:rPr>
      </w:pPr>
      <w:r>
        <w:rPr>
          <w:rFonts w:hint="eastAsia" w:ascii="宋体" w:hAnsi="宋体"/>
          <w:sz w:val="20"/>
          <w:szCs w:val="22"/>
          <w:highlight w:val="none"/>
        </w:rPr>
        <w:t>b) 出水流量计：甲方已在出水检测点安装了符合第10.1.2和10.1.3条要求的出水流量计（“出水流量计”）。</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10.1.2 流量计的首检</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在本项目工程竣工进入试运行后，当每一个流量计首次应用于本项目时，都应在乙方牵头、甲方参加的情况下，由相关检测机构对流量计进行检查和检定/校准（费用由乙方承担），计量精度达到设计要求。</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10.1.3 流量计的功能</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上述每个流量计具备提供瞬时流量、累计流量信息和在线传输的功能。</w:t>
      </w:r>
    </w:p>
    <w:p>
      <w:pPr>
        <w:pStyle w:val="56"/>
        <w:keepNext/>
        <w:keepLines/>
        <w:spacing w:before="120" w:after="120"/>
        <w:ind w:firstLine="500"/>
        <w:outlineLvl w:val="4"/>
        <w:rPr>
          <w:rFonts w:ascii="宋体" w:hAnsi="宋体"/>
          <w:b/>
          <w:szCs w:val="20"/>
          <w:highlight w:val="none"/>
        </w:rPr>
      </w:pPr>
      <w:bookmarkStart w:id="253" w:name="_Toc202676946"/>
      <w:bookmarkStart w:id="254" w:name="_Toc246596672"/>
      <w:r>
        <w:rPr>
          <w:rFonts w:hint="eastAsia" w:ascii="宋体" w:hAnsi="宋体"/>
          <w:b/>
          <w:szCs w:val="20"/>
          <w:highlight w:val="none"/>
        </w:rPr>
        <w:t>10.2 密封</w:t>
      </w:r>
      <w:bookmarkEnd w:id="253"/>
      <w:bookmarkEnd w:id="254"/>
    </w:p>
    <w:p>
      <w:pPr>
        <w:pStyle w:val="56"/>
        <w:tabs>
          <w:tab w:val="left" w:pos="420"/>
        </w:tabs>
        <w:spacing w:beforeLines="50"/>
        <w:ind w:firstLine="567"/>
        <w:rPr>
          <w:rFonts w:ascii="宋体" w:hAnsi="宋体"/>
          <w:sz w:val="20"/>
          <w:highlight w:val="none"/>
        </w:rPr>
      </w:pPr>
      <w:r>
        <w:rPr>
          <w:rFonts w:hint="eastAsia" w:ascii="宋体" w:hAnsi="宋体"/>
          <w:sz w:val="20"/>
          <w:highlight w:val="none"/>
        </w:rPr>
        <w:t>在检查和测试间隔期间，流量计应是密封和安全的。每个流量计将被安装在适当的安全装置内。每个安全装置均应有两（2）把安全锁，甲方和乙方应各持每个安全装置上的两把安全锁中的一把锁的钥匙。</w:t>
      </w:r>
    </w:p>
    <w:p>
      <w:pPr>
        <w:pStyle w:val="56"/>
        <w:keepNext/>
        <w:keepLines/>
        <w:spacing w:before="120" w:after="120"/>
        <w:ind w:firstLine="500"/>
        <w:outlineLvl w:val="4"/>
        <w:rPr>
          <w:rFonts w:ascii="仿宋_GB2312" w:hAnsi="仿宋_GB2312" w:eastAsia="仿宋_GB2312"/>
          <w:b/>
          <w:bCs/>
          <w:sz w:val="24"/>
          <w:highlight w:val="none"/>
        </w:rPr>
      </w:pPr>
      <w:bookmarkStart w:id="255" w:name="_Toc202676947"/>
      <w:bookmarkStart w:id="256" w:name="_Toc246596673"/>
      <w:r>
        <w:rPr>
          <w:rFonts w:hint="eastAsia" w:ascii="宋体" w:hAnsi="宋体"/>
          <w:b/>
          <w:szCs w:val="20"/>
          <w:highlight w:val="none"/>
        </w:rPr>
        <w:t>10.3 检查和测试</w:t>
      </w:r>
      <w:bookmarkEnd w:id="255"/>
      <w:bookmarkEnd w:id="256"/>
    </w:p>
    <w:p>
      <w:pPr>
        <w:pStyle w:val="56"/>
        <w:tabs>
          <w:tab w:val="left" w:pos="420"/>
        </w:tabs>
        <w:spacing w:beforeLines="50"/>
        <w:ind w:firstLine="567"/>
        <w:rPr>
          <w:rFonts w:ascii="宋体" w:hAnsi="宋体"/>
          <w:sz w:val="20"/>
          <w:highlight w:val="none"/>
        </w:rPr>
      </w:pPr>
      <w:r>
        <w:rPr>
          <w:rFonts w:hint="eastAsia" w:ascii="宋体" w:hAnsi="宋体"/>
          <w:sz w:val="20"/>
          <w:highlight w:val="none"/>
        </w:rPr>
        <w:t>10.4.1 流量计、水质监测仪表等测量仪表应在调试或试运行阶段开始前五（5）个工作日完成首检；首检应在乙方牵头，甲方参加的情况下，由相关检测机构对流量计进行检查和检定/校准。检验合格后方能投入使用，检测费用由乙方承担。</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10.4.2 乙方和甲方的代表应在流量计安装后每六（6）个月一次，联合对测量仪表进行检查、校准和测试，相关监督部门可作为第三方依法确认抽查结果的有效性。该等定期检查、校准和测试的费用由乙方承担。</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一方经书面通知另一方后可随时要求对任何流量计、液位计等测量仪表进行检查、校准和测试。此等非定期的检查、校准和测试的费用由要求进行该等检查、校准和测试的一方承担。但是如果检查、校准和测试的结果显示有关流量计不准确，则上述费用由乙方承担。</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乙方应记录对流量计每次定期和非定期的检查、校准和测试的结果并在检查后的五（5）天之内将该等结果的复印件提供甲方。</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任何一方发现任何流量计、液位计或其他仪表不准确的，乙方应负责委托有资质的机构对前述仪表进行检测、校准。乙方应在发现前述仪表不能正常工作或接到甲方通知后自行承担相应费用，立即委托有资质的机构进行维修及校准，并应在以下较短时间内完成校准、维修或更换工作：</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（a） 乙方发现流量计、液位计或其他仪表不能正常工作后五（5）个工作日内；</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（b） 接到甲方通知后五（5）个工作日内。</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10.4.3对进水、出水水质检测点设置的测量仪表（流量计、液位计、在线监测COD Cr计、在线检测TP、在线检测TN、在线检测NH3-N、在线监测pH、在线监测SS仪器等），乙方应负责日常维护、检修并承担费用。水质监测仪表参照上述条款执行。</w:t>
      </w:r>
    </w:p>
    <w:p>
      <w:pPr>
        <w:pStyle w:val="56"/>
        <w:keepNext/>
        <w:keepLines/>
        <w:spacing w:before="120" w:after="120"/>
        <w:ind w:firstLine="500"/>
        <w:outlineLvl w:val="4"/>
        <w:rPr>
          <w:rFonts w:ascii="宋体" w:hAnsi="宋体"/>
          <w:b/>
          <w:szCs w:val="20"/>
          <w:highlight w:val="none"/>
        </w:rPr>
      </w:pPr>
      <w:bookmarkStart w:id="257" w:name="_Toc246596674"/>
      <w:bookmarkStart w:id="258" w:name="_Toc202676948"/>
      <w:r>
        <w:rPr>
          <w:rFonts w:hint="eastAsia" w:ascii="宋体" w:hAnsi="宋体"/>
          <w:b/>
          <w:szCs w:val="20"/>
          <w:highlight w:val="none"/>
        </w:rPr>
        <w:t>10.4 读数</w:t>
      </w:r>
      <w:bookmarkEnd w:id="257"/>
      <w:bookmarkEnd w:id="258"/>
    </w:p>
    <w:p>
      <w:pPr>
        <w:pStyle w:val="56"/>
        <w:tabs>
          <w:tab w:val="left" w:pos="420"/>
        </w:tabs>
        <w:spacing w:beforeLines="50"/>
        <w:ind w:firstLine="567"/>
        <w:rPr>
          <w:rFonts w:ascii="宋体" w:hAnsi="宋体"/>
          <w:sz w:val="20"/>
          <w:highlight w:val="none"/>
        </w:rPr>
      </w:pPr>
      <w:r>
        <w:rPr>
          <w:rFonts w:hint="eastAsia" w:ascii="宋体" w:hAnsi="宋体"/>
          <w:sz w:val="20"/>
          <w:highlight w:val="none"/>
        </w:rPr>
        <w:t>乙方和甲方的代表应每月联合对流量计、液位计、水质监测仪表等测量仪表的读数进行核对。双方应在对水流量计/液位计进行读数后立即准备联合报告，记录该表相关月份的读数。</w:t>
      </w:r>
    </w:p>
    <w:p>
      <w:pPr>
        <w:pStyle w:val="56"/>
        <w:keepNext/>
        <w:keepLines/>
        <w:spacing w:before="120" w:after="120"/>
        <w:ind w:firstLine="500"/>
        <w:outlineLvl w:val="4"/>
        <w:rPr>
          <w:rFonts w:ascii="宋体" w:hAnsi="宋体"/>
          <w:b/>
          <w:szCs w:val="20"/>
          <w:highlight w:val="none"/>
          <w:shd w:val="clear" w:color="FFFFFF" w:fill="D9D9D9"/>
        </w:rPr>
      </w:pPr>
      <w:bookmarkStart w:id="259" w:name="_Toc246596675"/>
      <w:bookmarkStart w:id="260" w:name="_Toc202676949"/>
      <w:r>
        <w:rPr>
          <w:rFonts w:hint="eastAsia" w:ascii="宋体" w:hAnsi="宋体"/>
          <w:b/>
          <w:szCs w:val="20"/>
          <w:highlight w:val="none"/>
        </w:rPr>
        <w:t>10.5 进、出水量的确定</w:t>
      </w:r>
      <w:bookmarkEnd w:id="259"/>
      <w:bookmarkEnd w:id="260"/>
    </w:p>
    <w:p>
      <w:pPr>
        <w:pStyle w:val="56"/>
        <w:tabs>
          <w:tab w:val="left" w:pos="420"/>
        </w:tabs>
        <w:spacing w:beforeLines="50"/>
        <w:ind w:firstLine="567"/>
        <w:rPr>
          <w:rFonts w:ascii="宋体" w:hAnsi="宋体"/>
          <w:sz w:val="20"/>
          <w:highlight w:val="none"/>
        </w:rPr>
      </w:pPr>
      <w:r>
        <w:rPr>
          <w:rFonts w:hint="eastAsia" w:ascii="宋体" w:hAnsi="宋体"/>
          <w:sz w:val="20"/>
          <w:highlight w:val="none"/>
        </w:rPr>
        <w:t>10.5.1 为确定实际出水量以便于计算甲方应付给乙方的服务费款项，应依据以下原则：</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计量进水量应为进水流量计读数当月的增量值，并作为计算相关款项的参考依据；</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计量出水量应为出水流量计读数当月的增量值，并作为计算相关款项的参考依据。</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流量计在进行检查、校准和测试中出现误差超过流量计允许范围情况的，甲乙双方应根据进出水流量进行对比，自明显存在不合理数据之日起按误差系数调整流量。</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如果任何一方就水量记录数据存在异议，任何一方有权提请运营协调小组予以协商解决。</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考虑到污水处理设施的合理损耗及流量计误差等因素，依据前述进水流量计读数确定的实际进水量与出水流量计读数确定的实际处理（出水）水量，如误差在流量计允许的累计最大合理范围以内，均应视为污水处理厂实际进水量得以足额处理。</w:t>
      </w:r>
      <w:bookmarkStart w:id="261" w:name="_Hlt212622375"/>
      <w:bookmarkEnd w:id="261"/>
    </w:p>
    <w:p>
      <w:pPr>
        <w:pStyle w:val="56"/>
        <w:tabs>
          <w:tab w:val="left" w:pos="420"/>
        </w:tabs>
        <w:spacing w:beforeLines="50"/>
        <w:ind w:firstLine="567"/>
        <w:rPr>
          <w:rFonts w:ascii="宋体" w:hAnsi="宋体"/>
          <w:highlight w:val="none"/>
        </w:rPr>
      </w:pPr>
      <w:r>
        <w:rPr>
          <w:rFonts w:ascii="宋体" w:hAnsi="宋体"/>
          <w:highlight w:val="none"/>
        </w:rPr>
        <w:t>10.</w:t>
      </w:r>
      <w:r>
        <w:rPr>
          <w:rFonts w:hint="eastAsia" w:ascii="宋体" w:hAnsi="宋体"/>
          <w:highlight w:val="none"/>
        </w:rPr>
        <w:t>5</w:t>
      </w:r>
      <w:r>
        <w:rPr>
          <w:rFonts w:ascii="宋体" w:hAnsi="宋体"/>
          <w:highlight w:val="none"/>
        </w:rPr>
        <w:t>.2考虑到污水处理设施的合理损耗及流量计误差等因素，依据前述进水流量计读数确定的实际进水量与出水流量计读数确定的实际处理（出水）水量，如误差在流量计允许的累计最大合理范围以内，均应视为污水处理厂实际进水量得以足额处理。</w:t>
      </w:r>
    </w:p>
    <w:p>
      <w:pPr>
        <w:pStyle w:val="56"/>
        <w:tabs>
          <w:tab w:val="left" w:pos="420"/>
        </w:tabs>
        <w:spacing w:beforeLines="50"/>
        <w:ind w:firstLine="567"/>
        <w:rPr>
          <w:rFonts w:ascii="宋体" w:hAnsi="宋体"/>
          <w:highlight w:val="none"/>
        </w:rPr>
      </w:pPr>
      <w:r>
        <w:rPr>
          <w:rFonts w:ascii="宋体" w:hAnsi="宋体"/>
          <w:highlight w:val="none"/>
        </w:rPr>
        <w:t>10.</w:t>
      </w:r>
      <w:r>
        <w:rPr>
          <w:rFonts w:hint="eastAsia" w:ascii="宋体" w:hAnsi="宋体"/>
          <w:highlight w:val="none"/>
        </w:rPr>
        <w:t>5</w:t>
      </w:r>
      <w:r>
        <w:rPr>
          <w:rFonts w:ascii="宋体" w:hAnsi="宋体"/>
          <w:highlight w:val="none"/>
        </w:rPr>
        <w:t>.3当进出水流量计因不具备工作条件或发生故障等情况暂时不能正常工作时，实测水量以本条所述故障发生之日前三十（30）个运营日内平均实测水量为准，并以此作为计费依据。</w:t>
      </w:r>
    </w:p>
    <w:p>
      <w:pPr>
        <w:pStyle w:val="56"/>
        <w:tabs>
          <w:tab w:val="left" w:pos="420"/>
        </w:tabs>
        <w:spacing w:beforeLines="50"/>
        <w:ind w:firstLine="567"/>
        <w:rPr>
          <w:rFonts w:ascii="宋体" w:hAnsi="宋体"/>
          <w:highlight w:val="none"/>
        </w:rPr>
      </w:pPr>
      <w:r>
        <w:rPr>
          <w:rFonts w:ascii="宋体" w:hAnsi="宋体"/>
          <w:highlight w:val="none"/>
        </w:rPr>
        <w:t>10.</w:t>
      </w:r>
      <w:r>
        <w:rPr>
          <w:rFonts w:hint="eastAsia" w:ascii="宋体" w:hAnsi="宋体"/>
          <w:highlight w:val="none"/>
        </w:rPr>
        <w:t>5</w:t>
      </w:r>
      <w:r>
        <w:rPr>
          <w:rFonts w:ascii="宋体" w:hAnsi="宋体"/>
          <w:highlight w:val="none"/>
        </w:rPr>
        <w:t>.4如果在线流量计发生故障，</w:t>
      </w:r>
      <w:r>
        <w:rPr>
          <w:rFonts w:hint="eastAsia" w:ascii="宋体" w:hAnsi="宋体"/>
          <w:highlight w:val="none"/>
        </w:rPr>
        <w:t>乙方</w:t>
      </w:r>
      <w:r>
        <w:rPr>
          <w:rFonts w:ascii="宋体" w:hAnsi="宋体"/>
          <w:highlight w:val="none"/>
        </w:rPr>
        <w:t>应于</w:t>
      </w:r>
      <w:r>
        <w:rPr>
          <w:rFonts w:hint="eastAsia" w:ascii="宋体" w:hAnsi="宋体"/>
          <w:highlight w:val="none"/>
        </w:rPr>
        <w:t>五</w:t>
      </w:r>
      <w:r>
        <w:rPr>
          <w:rFonts w:ascii="宋体" w:hAnsi="宋体"/>
          <w:highlight w:val="none"/>
        </w:rPr>
        <w:t>（</w:t>
      </w:r>
      <w:r>
        <w:rPr>
          <w:rFonts w:hint="eastAsia" w:ascii="宋体" w:hAnsi="宋体"/>
          <w:highlight w:val="none"/>
        </w:rPr>
        <w:t>5</w:t>
      </w:r>
      <w:r>
        <w:rPr>
          <w:rFonts w:ascii="宋体" w:hAnsi="宋体"/>
          <w:highlight w:val="none"/>
        </w:rPr>
        <w:t>）日内委托有资质的机构进行修复或更换。在故障未排除期间，甲方、</w:t>
      </w:r>
      <w:r>
        <w:rPr>
          <w:rFonts w:hint="eastAsia" w:ascii="宋体" w:hAnsi="宋体"/>
          <w:highlight w:val="none"/>
        </w:rPr>
        <w:t>乙方</w:t>
      </w:r>
      <w:r>
        <w:rPr>
          <w:rFonts w:ascii="宋体" w:hAnsi="宋体"/>
          <w:highlight w:val="none"/>
        </w:rPr>
        <w:t>应联合在进、出水水量计量点对进出水流量计的读数进行记录并经双方签字确认。如果任何一方未参加上述日期的共同读数，另一方可单独读数，并在读数记录单上签字，如果该读数未有相反证据证明明显不属实，该读数记录单被视为已得到未参加方的认可。</w:t>
      </w:r>
    </w:p>
    <w:p>
      <w:pPr>
        <w:pStyle w:val="56"/>
        <w:tabs>
          <w:tab w:val="left" w:pos="420"/>
        </w:tabs>
        <w:spacing w:beforeLines="50"/>
        <w:ind w:firstLine="567"/>
        <w:rPr>
          <w:rFonts w:ascii="宋体" w:hAnsi="宋体"/>
          <w:highlight w:val="none"/>
        </w:rPr>
      </w:pPr>
      <w:r>
        <w:rPr>
          <w:rFonts w:ascii="宋体" w:hAnsi="宋体"/>
          <w:highlight w:val="none"/>
        </w:rPr>
        <w:t>10.6.5如果仅是甲方远程监控系统网络出现故障，故障时间在三十（30）日内，进、出流量计、液位计统计数据可以通过系统补采完成，双方可在系统恢复后在网上读数。故障时间超过三十（30）日，则参照本附件第10.6.4条。</w:t>
      </w:r>
    </w:p>
    <w:p>
      <w:pPr>
        <w:pStyle w:val="56"/>
        <w:tabs>
          <w:tab w:val="left" w:pos="420"/>
        </w:tabs>
        <w:spacing w:beforeLines="50"/>
        <w:ind w:firstLine="567"/>
        <w:rPr>
          <w:rFonts w:ascii="宋体" w:hAnsi="宋体"/>
          <w:highlight w:val="none"/>
        </w:rPr>
      </w:pPr>
      <w:r>
        <w:rPr>
          <w:rFonts w:ascii="宋体" w:hAnsi="宋体"/>
          <w:highlight w:val="none"/>
        </w:rPr>
        <w:t>10.</w:t>
      </w:r>
      <w:r>
        <w:rPr>
          <w:rFonts w:hint="eastAsia" w:ascii="宋体" w:hAnsi="宋体"/>
          <w:highlight w:val="none"/>
        </w:rPr>
        <w:t>5</w:t>
      </w:r>
      <w:r>
        <w:rPr>
          <w:rFonts w:ascii="宋体" w:hAnsi="宋体"/>
          <w:highlight w:val="none"/>
        </w:rPr>
        <w:t>.6</w:t>
      </w:r>
      <w:r>
        <w:rPr>
          <w:rFonts w:hint="eastAsia" w:ascii="宋体" w:hAnsi="宋体"/>
          <w:highlight w:val="none"/>
        </w:rPr>
        <w:t>乙方</w:t>
      </w:r>
      <w:r>
        <w:rPr>
          <w:rFonts w:ascii="宋体" w:hAnsi="宋体"/>
          <w:highlight w:val="none"/>
        </w:rPr>
        <w:t>应在发现进、出水流量计不能正常工作或接到甲方通知后立即委托有资质的机构进行维修及校准、并应在本附件第10.</w:t>
      </w:r>
      <w:r>
        <w:rPr>
          <w:rFonts w:hint="eastAsia" w:ascii="宋体" w:hAnsi="宋体"/>
          <w:highlight w:val="none"/>
        </w:rPr>
        <w:t>5</w:t>
      </w:r>
      <w:r>
        <w:rPr>
          <w:rFonts w:ascii="宋体" w:hAnsi="宋体"/>
          <w:highlight w:val="none"/>
        </w:rPr>
        <w:t>条约定的时间内完成维修及校准工作，产生的费用由</w:t>
      </w:r>
      <w:r>
        <w:rPr>
          <w:rFonts w:hint="eastAsia" w:ascii="宋体" w:hAnsi="宋体"/>
          <w:highlight w:val="none"/>
        </w:rPr>
        <w:t>乙方</w:t>
      </w:r>
      <w:r>
        <w:rPr>
          <w:rFonts w:ascii="宋体" w:hAnsi="宋体"/>
          <w:highlight w:val="none"/>
        </w:rPr>
        <w:t>承担。</w:t>
      </w:r>
    </w:p>
    <w:p>
      <w:pPr>
        <w:pStyle w:val="56"/>
        <w:widowControl w:val="0"/>
        <w:spacing w:beforeLines="50"/>
        <w:jc w:val="center"/>
        <w:rPr>
          <w:rFonts w:ascii="新宋体" w:hAnsi="新宋体" w:eastAsia="新宋体" w:cs="新宋体"/>
          <w:b/>
          <w:kern w:val="2"/>
          <w:sz w:val="28"/>
          <w:szCs w:val="28"/>
          <w:highlight w:val="none"/>
        </w:rPr>
      </w:pPr>
      <w:bookmarkStart w:id="262" w:name="_Toc246596676"/>
      <w:r>
        <w:rPr>
          <w:rFonts w:hint="eastAsia" w:ascii="新宋体" w:hAnsi="新宋体" w:eastAsia="新宋体" w:cs="新宋体"/>
          <w:b/>
          <w:kern w:val="2"/>
          <w:sz w:val="28"/>
          <w:szCs w:val="28"/>
          <w:highlight w:val="none"/>
        </w:rPr>
        <w:t xml:space="preserve">第十一节  </w:t>
      </w:r>
      <w:bookmarkStart w:id="263" w:name="_Toc202676950"/>
      <w:r>
        <w:rPr>
          <w:rFonts w:hint="eastAsia" w:ascii="新宋体" w:hAnsi="新宋体" w:eastAsia="新宋体" w:cs="新宋体"/>
          <w:b/>
          <w:kern w:val="2"/>
          <w:sz w:val="28"/>
          <w:szCs w:val="28"/>
          <w:highlight w:val="none"/>
        </w:rPr>
        <w:t>违约金</w:t>
      </w:r>
      <w:bookmarkEnd w:id="262"/>
      <w:bookmarkEnd w:id="263"/>
    </w:p>
    <w:p>
      <w:pPr>
        <w:pStyle w:val="56"/>
        <w:tabs>
          <w:tab w:val="left" w:pos="420"/>
        </w:tabs>
        <w:spacing w:beforeLines="50"/>
        <w:ind w:firstLine="567"/>
        <w:rPr>
          <w:rFonts w:hint="eastAsia" w:asciiTheme="minorEastAsia" w:hAnsiTheme="minorEastAsia" w:eastAsiaTheme="minorEastAsia" w:cstheme="minorEastAsia"/>
          <w:sz w:val="20"/>
          <w:highlight w:val="none"/>
        </w:rPr>
      </w:pPr>
      <w:r>
        <w:rPr>
          <w:rFonts w:hint="eastAsia" w:asciiTheme="minorEastAsia" w:hAnsiTheme="minorEastAsia" w:eastAsiaTheme="minorEastAsia" w:cstheme="minorEastAsia"/>
          <w:sz w:val="20"/>
          <w:highlight w:val="none"/>
        </w:rPr>
        <w:t>本违约金条款不适用于不可抗力期间。</w:t>
      </w:r>
    </w:p>
    <w:p>
      <w:pPr>
        <w:pStyle w:val="56"/>
        <w:keepNext/>
        <w:keepLines/>
        <w:spacing w:before="120" w:after="120"/>
        <w:ind w:firstLine="500"/>
        <w:outlineLvl w:val="4"/>
        <w:rPr>
          <w:rFonts w:hint="eastAsia" w:asciiTheme="minorEastAsia" w:hAnsiTheme="minorEastAsia" w:eastAsiaTheme="minorEastAsia" w:cstheme="minorEastAsia"/>
          <w:b/>
          <w:szCs w:val="20"/>
          <w:highlight w:val="none"/>
        </w:rPr>
      </w:pPr>
      <w:bookmarkStart w:id="264" w:name="_Toc246596677"/>
      <w:bookmarkStart w:id="265" w:name="_Toc202676951"/>
      <w:r>
        <w:rPr>
          <w:rFonts w:hint="eastAsia" w:asciiTheme="minorEastAsia" w:hAnsiTheme="minorEastAsia" w:eastAsiaTheme="minorEastAsia" w:cstheme="minorEastAsia"/>
          <w:b/>
          <w:szCs w:val="20"/>
          <w:highlight w:val="none"/>
        </w:rPr>
        <w:t>11.1 实际处理污水水量不足的违约金</w:t>
      </w:r>
      <w:bookmarkEnd w:id="264"/>
      <w:bookmarkEnd w:id="265"/>
    </w:p>
    <w:p>
      <w:pPr>
        <w:pStyle w:val="56"/>
        <w:tabs>
          <w:tab w:val="left" w:pos="420"/>
        </w:tabs>
        <w:spacing w:beforeLines="50"/>
        <w:ind w:firstLine="567"/>
        <w:rPr>
          <w:rFonts w:hint="eastAsia" w:asciiTheme="minorEastAsia" w:hAnsiTheme="minorEastAsia" w:eastAsiaTheme="minorEastAsia" w:cstheme="minorEastAsia"/>
          <w:sz w:val="20"/>
          <w:highlight w:val="none"/>
        </w:rPr>
      </w:pPr>
      <w:r>
        <w:rPr>
          <w:rFonts w:hint="eastAsia" w:asciiTheme="minorEastAsia" w:hAnsiTheme="minorEastAsia" w:eastAsiaTheme="minorEastAsia" w:cstheme="minorEastAsia"/>
          <w:sz w:val="20"/>
          <w:highlight w:val="none"/>
        </w:rPr>
        <w:t>在运营期内的任一运营月的每一运营日，如果：</w:t>
      </w:r>
    </w:p>
    <w:p>
      <w:pPr>
        <w:pStyle w:val="56"/>
        <w:tabs>
          <w:tab w:val="left" w:pos="420"/>
        </w:tabs>
        <w:spacing w:beforeLines="50"/>
        <w:ind w:firstLine="567"/>
        <w:rPr>
          <w:rFonts w:hint="eastAsia" w:asciiTheme="minorEastAsia" w:hAnsiTheme="minorEastAsia" w:eastAsiaTheme="minorEastAsia" w:cstheme="minorEastAsia"/>
          <w:sz w:val="20"/>
          <w:highlight w:val="none"/>
        </w:rPr>
      </w:pPr>
      <w:r>
        <w:rPr>
          <w:rFonts w:hint="eastAsia" w:asciiTheme="minorEastAsia" w:hAnsiTheme="minorEastAsia" w:eastAsiaTheme="minorEastAsia" w:cstheme="minorEastAsia"/>
          <w:sz w:val="20"/>
          <w:highlight w:val="none"/>
        </w:rPr>
        <w:t>（a）因乙方原因导致进厂污水未得到任何有效处理而直接排放（具体判定标准见附录6），乙方应向甲方支付违约金。该违约金按照下式计算：</w:t>
      </w:r>
    </w:p>
    <w:p>
      <w:pPr>
        <w:pStyle w:val="56"/>
        <w:tabs>
          <w:tab w:val="left" w:pos="420"/>
        </w:tabs>
        <w:spacing w:beforeLines="50"/>
        <w:ind w:firstLine="567"/>
        <w:rPr>
          <w:rFonts w:hint="eastAsia" w:asciiTheme="minorEastAsia" w:hAnsiTheme="minorEastAsia" w:eastAsiaTheme="minorEastAsia" w:cstheme="minorEastAsia"/>
          <w:sz w:val="20"/>
          <w:highlight w:val="none"/>
        </w:rPr>
      </w:pPr>
      <w:r>
        <w:rPr>
          <w:rFonts w:hint="eastAsia" w:asciiTheme="minorEastAsia" w:hAnsiTheme="minorEastAsia" w:eastAsiaTheme="minorEastAsia" w:cstheme="minorEastAsia"/>
          <w:b/>
          <w:bCs/>
          <w:sz w:val="20"/>
          <w:highlight w:val="none"/>
        </w:rPr>
        <w:t>未处理污水处罚违约金</w:t>
      </w:r>
      <w:r>
        <w:rPr>
          <w:rFonts w:hint="eastAsia" w:asciiTheme="minorEastAsia" w:hAnsiTheme="minorEastAsia" w:eastAsiaTheme="minorEastAsia" w:cstheme="minorEastAsia"/>
          <w:sz w:val="20"/>
          <w:highlight w:val="none"/>
        </w:rPr>
        <w:t>=当日进水量×20元/m³</w:t>
      </w:r>
    </w:p>
    <w:p>
      <w:pPr>
        <w:pStyle w:val="56"/>
        <w:tabs>
          <w:tab w:val="left" w:pos="420"/>
        </w:tabs>
        <w:spacing w:beforeLines="50"/>
        <w:ind w:firstLine="567"/>
        <w:rPr>
          <w:rFonts w:hint="eastAsia" w:asciiTheme="minorEastAsia" w:hAnsiTheme="minorEastAsia" w:eastAsiaTheme="minorEastAsia" w:cstheme="minorEastAsia"/>
          <w:sz w:val="20"/>
          <w:highlight w:val="none"/>
        </w:rPr>
      </w:pPr>
      <w:r>
        <w:rPr>
          <w:rFonts w:hint="eastAsia" w:asciiTheme="minorEastAsia" w:hAnsiTheme="minorEastAsia" w:eastAsiaTheme="minorEastAsia" w:cstheme="minorEastAsia"/>
          <w:sz w:val="20"/>
          <w:highlight w:val="none"/>
        </w:rPr>
        <w:t>（b）某一运营日实际进水量不超过项目日处理水量（0.79万吨/天）的110%，而乙方实际处理水量（即出水水量）低于进、出水流量计累计最大误差范围所允许的日实际进水量，从而导致部分污水未得到达标处理，乙方应向甲方支付违约金。违约金按照下式计算：</w:t>
      </w:r>
    </w:p>
    <w:p>
      <w:pPr>
        <w:pStyle w:val="56"/>
        <w:tabs>
          <w:tab w:val="left" w:pos="420"/>
        </w:tabs>
        <w:spacing w:beforeLines="50"/>
        <w:ind w:firstLine="567"/>
        <w:rPr>
          <w:rFonts w:hint="eastAsia" w:asciiTheme="minorEastAsia" w:hAnsiTheme="minorEastAsia" w:eastAsiaTheme="minorEastAsia" w:cstheme="minorEastAsia"/>
          <w:sz w:val="20"/>
          <w:highlight w:val="none"/>
        </w:rPr>
      </w:pPr>
      <w:r>
        <w:rPr>
          <w:rFonts w:hint="eastAsia" w:asciiTheme="minorEastAsia" w:hAnsiTheme="minorEastAsia" w:eastAsiaTheme="minorEastAsia" w:cstheme="minorEastAsia"/>
          <w:sz w:val="20"/>
          <w:highlight w:val="none"/>
        </w:rPr>
        <w:t>处理水量不足违约金=（日实际进水量-日实际处理水量）×</w:t>
      </w:r>
      <w:r>
        <w:rPr>
          <w:rFonts w:hint="eastAsia" w:asciiTheme="minorEastAsia" w:hAnsiTheme="minorEastAsia" w:eastAsiaTheme="minorEastAsia" w:cstheme="minorEastAsia"/>
          <w:bCs/>
          <w:sz w:val="20"/>
          <w:szCs w:val="20"/>
          <w:highlight w:val="none"/>
        </w:rPr>
        <w:t>当月执行的运营服务费单价</w:t>
      </w:r>
      <w:r>
        <w:rPr>
          <w:rFonts w:hint="eastAsia" w:asciiTheme="minorEastAsia" w:hAnsiTheme="minorEastAsia" w:eastAsiaTheme="minorEastAsia" w:cstheme="minorEastAsia"/>
          <w:sz w:val="20"/>
          <w:highlight w:val="none"/>
        </w:rPr>
        <w:t>×每个镇污水厂的设计日处理量</w:t>
      </w:r>
    </w:p>
    <w:p>
      <w:pPr>
        <w:pStyle w:val="56"/>
        <w:keepNext/>
        <w:keepLines/>
        <w:spacing w:before="120" w:after="120"/>
        <w:ind w:firstLine="500"/>
        <w:outlineLvl w:val="4"/>
        <w:rPr>
          <w:rFonts w:hint="eastAsia" w:asciiTheme="minorEastAsia" w:hAnsiTheme="minorEastAsia" w:eastAsiaTheme="minorEastAsia" w:cstheme="minorEastAsia"/>
          <w:b/>
          <w:szCs w:val="20"/>
          <w:highlight w:val="none"/>
        </w:rPr>
      </w:pPr>
      <w:bookmarkStart w:id="266" w:name="_11.2_违反出水质量标准的违约金"/>
      <w:bookmarkEnd w:id="266"/>
      <w:bookmarkStart w:id="267" w:name="_Toc246596678"/>
      <w:bookmarkStart w:id="268" w:name="_Toc202676952"/>
      <w:r>
        <w:rPr>
          <w:rFonts w:hint="eastAsia" w:asciiTheme="minorEastAsia" w:hAnsiTheme="minorEastAsia" w:eastAsiaTheme="minorEastAsia" w:cstheme="minorEastAsia"/>
          <w:b/>
          <w:szCs w:val="20"/>
          <w:highlight w:val="none"/>
        </w:rPr>
        <w:t>11.2 违反出水质量标准的违约金</w:t>
      </w:r>
      <w:bookmarkEnd w:id="267"/>
      <w:bookmarkEnd w:id="268"/>
    </w:p>
    <w:p>
      <w:pPr>
        <w:pStyle w:val="56"/>
        <w:tabs>
          <w:tab w:val="left" w:pos="420"/>
        </w:tabs>
        <w:spacing w:beforeLines="50"/>
        <w:ind w:firstLine="567"/>
        <w:rPr>
          <w:rFonts w:hint="eastAsia" w:asciiTheme="minorEastAsia" w:hAnsiTheme="minorEastAsia" w:eastAsiaTheme="minorEastAsia" w:cstheme="minorEastAsia"/>
          <w:sz w:val="20"/>
          <w:highlight w:val="none"/>
        </w:rPr>
      </w:pPr>
      <w:r>
        <w:rPr>
          <w:rFonts w:hint="eastAsia" w:asciiTheme="minorEastAsia" w:hAnsiTheme="minorEastAsia" w:eastAsiaTheme="minorEastAsia" w:cstheme="minorEastAsia"/>
          <w:sz w:val="20"/>
          <w:highlight w:val="none"/>
        </w:rPr>
        <w:t>在运营期内的任一运营月，如果某一运营日乙方在进水水质未超标时的出水不符合出水质量标准，则乙方应向甲方就当日出水不达标支付水质不合格违约金，水质不合格违约金根据本协议</w:t>
      </w:r>
      <w:r>
        <w:rPr>
          <w:rFonts w:hint="eastAsia" w:asciiTheme="minorEastAsia" w:hAnsiTheme="minorEastAsia" w:eastAsiaTheme="minorEastAsia" w:cstheme="minorEastAsia"/>
          <w:highlight w:val="none"/>
        </w:rPr>
        <w:fldChar w:fldCharType="begin"/>
      </w:r>
      <w:r>
        <w:rPr>
          <w:rFonts w:hint="eastAsia" w:asciiTheme="minorEastAsia" w:hAnsiTheme="minorEastAsia" w:eastAsiaTheme="minorEastAsia" w:cstheme="minorEastAsia"/>
          <w:highlight w:val="none"/>
        </w:rPr>
        <w:instrText xml:space="preserve"> HYPERLINK \l "_附录6_污水出水水质不合格的违约金" </w:instrText>
      </w:r>
      <w:r>
        <w:rPr>
          <w:rFonts w:hint="eastAsia" w:asciiTheme="minorEastAsia" w:hAnsiTheme="minorEastAsia" w:eastAsiaTheme="minorEastAsia" w:cstheme="minorEastAsia"/>
          <w:highlight w:val="none"/>
        </w:rPr>
        <w:fldChar w:fldCharType="separate"/>
      </w:r>
      <w:r>
        <w:rPr>
          <w:rFonts w:hint="eastAsia" w:asciiTheme="minorEastAsia" w:hAnsiTheme="minorEastAsia" w:eastAsiaTheme="minorEastAsia" w:cstheme="minorEastAsia"/>
          <w:sz w:val="20"/>
          <w:szCs w:val="20"/>
          <w:highlight w:val="none"/>
        </w:rPr>
        <w:t>附录</w:t>
      </w:r>
      <w:r>
        <w:rPr>
          <w:rFonts w:hint="eastAsia" w:asciiTheme="minorEastAsia" w:hAnsiTheme="minorEastAsia" w:eastAsiaTheme="minorEastAsia" w:cstheme="minorEastAsia"/>
          <w:sz w:val="20"/>
          <w:szCs w:val="20"/>
          <w:highlight w:val="none"/>
        </w:rPr>
        <w:fldChar w:fldCharType="end"/>
      </w:r>
      <w:r>
        <w:rPr>
          <w:rFonts w:hint="eastAsia" w:asciiTheme="minorEastAsia" w:hAnsiTheme="minorEastAsia" w:eastAsiaTheme="minorEastAsia" w:cstheme="minorEastAsia"/>
          <w:sz w:val="20"/>
          <w:highlight w:val="none"/>
        </w:rPr>
        <w:t>6的规定计算。</w:t>
      </w:r>
    </w:p>
    <w:p>
      <w:pPr>
        <w:pStyle w:val="56"/>
        <w:keepNext/>
        <w:keepLines/>
        <w:spacing w:before="120" w:after="120"/>
        <w:ind w:firstLine="500"/>
        <w:outlineLvl w:val="4"/>
        <w:rPr>
          <w:rFonts w:hint="eastAsia" w:asciiTheme="minorEastAsia" w:hAnsiTheme="minorEastAsia" w:eastAsiaTheme="minorEastAsia" w:cstheme="minorEastAsia"/>
          <w:b/>
          <w:sz w:val="20"/>
          <w:highlight w:val="none"/>
        </w:rPr>
      </w:pPr>
      <w:bookmarkStart w:id="269" w:name="_Toc246596679"/>
      <w:bookmarkStart w:id="270" w:name="_Toc202676953"/>
      <w:r>
        <w:rPr>
          <w:rFonts w:hint="eastAsia" w:asciiTheme="minorEastAsia" w:hAnsiTheme="minorEastAsia" w:eastAsiaTheme="minorEastAsia" w:cstheme="minorEastAsia"/>
          <w:b/>
          <w:szCs w:val="20"/>
          <w:highlight w:val="none"/>
        </w:rPr>
        <w:t>11.3 计划外暂停服务期间的违约金</w:t>
      </w:r>
      <w:bookmarkEnd w:id="269"/>
      <w:bookmarkEnd w:id="270"/>
    </w:p>
    <w:p>
      <w:pPr>
        <w:pStyle w:val="56"/>
        <w:tabs>
          <w:tab w:val="left" w:pos="420"/>
        </w:tabs>
        <w:spacing w:beforeLines="50"/>
        <w:ind w:firstLine="567"/>
        <w:rPr>
          <w:rFonts w:hint="eastAsia" w:asciiTheme="minorEastAsia" w:hAnsiTheme="minorEastAsia" w:eastAsiaTheme="minorEastAsia" w:cstheme="minorEastAsia"/>
          <w:sz w:val="20"/>
          <w:highlight w:val="none"/>
        </w:rPr>
      </w:pPr>
      <w:r>
        <w:rPr>
          <w:rFonts w:hint="eastAsia" w:asciiTheme="minorEastAsia" w:hAnsiTheme="minorEastAsia" w:eastAsiaTheme="minorEastAsia" w:cstheme="minorEastAsia"/>
          <w:sz w:val="20"/>
          <w:highlight w:val="none"/>
        </w:rPr>
        <w:t xml:space="preserve"> a) 在运营期内的任一运营月，如果某一运营日进水量不超过项目日均处理水量（0.79万吨/天）的110%，而乙方因计划外暂停而导致进厂应处理污水量未足额处理，且该计划外暂停是由于乙方自身原因造成的暂停污水处理行为，乙方应向甲方支付违约金，违约金按照以下公式计算：</w:t>
      </w:r>
    </w:p>
    <w:p>
      <w:pPr>
        <w:pStyle w:val="56"/>
        <w:tabs>
          <w:tab w:val="left" w:pos="420"/>
        </w:tabs>
        <w:spacing w:beforeLines="50"/>
        <w:ind w:firstLine="567"/>
        <w:rPr>
          <w:rFonts w:hint="eastAsia" w:asciiTheme="minorEastAsia" w:hAnsiTheme="minorEastAsia" w:eastAsiaTheme="minorEastAsia" w:cstheme="minorEastAsia"/>
          <w:sz w:val="20"/>
          <w:highlight w:val="none"/>
        </w:rPr>
      </w:pPr>
      <w:r>
        <w:rPr>
          <w:rFonts w:hint="eastAsia" w:asciiTheme="minorEastAsia" w:hAnsiTheme="minorEastAsia" w:eastAsiaTheme="minorEastAsia" w:cstheme="minorEastAsia"/>
          <w:b/>
          <w:sz w:val="20"/>
          <w:highlight w:val="none"/>
        </w:rPr>
        <w:t>未足额处理污水违约金</w:t>
      </w:r>
      <w:r>
        <w:rPr>
          <w:rFonts w:hint="eastAsia" w:asciiTheme="minorEastAsia" w:hAnsiTheme="minorEastAsia" w:eastAsiaTheme="minorEastAsia" w:cstheme="minorEastAsia"/>
          <w:sz w:val="20"/>
          <w:highlight w:val="none"/>
        </w:rPr>
        <w:t>＝（日实际进水量－该运营日实际处理水量）×</w:t>
      </w:r>
      <w:r>
        <w:rPr>
          <w:rFonts w:hint="eastAsia" w:asciiTheme="minorEastAsia" w:hAnsiTheme="minorEastAsia" w:eastAsiaTheme="minorEastAsia" w:cstheme="minorEastAsia"/>
          <w:bCs/>
          <w:sz w:val="20"/>
          <w:szCs w:val="20"/>
          <w:highlight w:val="none"/>
        </w:rPr>
        <w:t>当月执行的运营服务费单价</w:t>
      </w:r>
      <w:r>
        <w:rPr>
          <w:rFonts w:hint="eastAsia" w:asciiTheme="minorEastAsia" w:hAnsiTheme="minorEastAsia" w:eastAsiaTheme="minorEastAsia" w:cstheme="minorEastAsia"/>
          <w:sz w:val="20"/>
          <w:highlight w:val="none"/>
        </w:rPr>
        <w:t>×每个镇污水厂的设计日处理量。</w:t>
      </w:r>
    </w:p>
    <w:p>
      <w:pPr>
        <w:pStyle w:val="56"/>
        <w:tabs>
          <w:tab w:val="left" w:pos="420"/>
        </w:tabs>
        <w:spacing w:beforeLines="50"/>
        <w:ind w:firstLine="567"/>
        <w:rPr>
          <w:rFonts w:hint="eastAsia" w:asciiTheme="minorEastAsia" w:hAnsiTheme="minorEastAsia" w:eastAsiaTheme="minorEastAsia" w:cstheme="minorEastAsia"/>
          <w:sz w:val="20"/>
          <w:highlight w:val="none"/>
        </w:rPr>
      </w:pPr>
      <w:r>
        <w:rPr>
          <w:rFonts w:hint="eastAsia" w:asciiTheme="minorEastAsia" w:hAnsiTheme="minorEastAsia" w:eastAsiaTheme="minorEastAsia" w:cstheme="minorEastAsia"/>
          <w:sz w:val="20"/>
          <w:highlight w:val="none"/>
        </w:rPr>
        <w:t>b) 计划外暂停期间，如果某一运营日乙方在进水水质未超标时的出水不符合出水质量标准，乙方应再向甲方支付按照第11.2条款规定的违约金。</w:t>
      </w:r>
    </w:p>
    <w:p>
      <w:pPr>
        <w:pStyle w:val="56"/>
        <w:keepNext/>
        <w:keepLines/>
        <w:spacing w:before="120" w:after="120"/>
        <w:ind w:firstLine="500"/>
        <w:outlineLvl w:val="4"/>
        <w:rPr>
          <w:rFonts w:hint="eastAsia" w:asciiTheme="minorEastAsia" w:hAnsiTheme="minorEastAsia" w:eastAsiaTheme="minorEastAsia" w:cstheme="minorEastAsia"/>
          <w:b/>
          <w:szCs w:val="20"/>
          <w:highlight w:val="none"/>
        </w:rPr>
      </w:pPr>
      <w:bookmarkStart w:id="271" w:name="_Toc202676954"/>
      <w:bookmarkStart w:id="272" w:name="_Toc246596680"/>
      <w:r>
        <w:rPr>
          <w:rFonts w:hint="eastAsia" w:asciiTheme="minorEastAsia" w:hAnsiTheme="minorEastAsia" w:eastAsiaTheme="minorEastAsia" w:cstheme="minorEastAsia"/>
          <w:b/>
          <w:szCs w:val="20"/>
          <w:highlight w:val="none"/>
        </w:rPr>
        <w:t>11.4 违反相关法规的违约金</w:t>
      </w:r>
      <w:bookmarkEnd w:id="271"/>
      <w:bookmarkEnd w:id="272"/>
    </w:p>
    <w:p>
      <w:pPr>
        <w:pStyle w:val="56"/>
        <w:tabs>
          <w:tab w:val="left" w:pos="420"/>
        </w:tabs>
        <w:spacing w:beforeLines="50"/>
        <w:ind w:firstLine="567"/>
        <w:rPr>
          <w:rFonts w:hint="eastAsia" w:asciiTheme="minorEastAsia" w:hAnsiTheme="minorEastAsia" w:eastAsiaTheme="minorEastAsia" w:cstheme="minorEastAsia"/>
          <w:sz w:val="20"/>
          <w:highlight w:val="none"/>
        </w:rPr>
      </w:pPr>
      <w:r>
        <w:rPr>
          <w:rFonts w:hint="eastAsia" w:asciiTheme="minorEastAsia" w:hAnsiTheme="minorEastAsia" w:eastAsiaTheme="minorEastAsia" w:cstheme="minorEastAsia"/>
          <w:sz w:val="20"/>
          <w:highlight w:val="none"/>
        </w:rPr>
        <w:t>乙方有义务自觉遵守和执行国家和地方已颁布实施的法律、法规做出的相关规定，并自行承担应付的违规责任并接受相关经济处罚。</w:t>
      </w:r>
    </w:p>
    <w:p>
      <w:pPr>
        <w:pStyle w:val="56"/>
        <w:tabs>
          <w:tab w:val="left" w:pos="420"/>
        </w:tabs>
        <w:spacing w:beforeLines="50"/>
        <w:ind w:firstLine="567"/>
        <w:rPr>
          <w:rFonts w:hint="eastAsia" w:asciiTheme="minorEastAsia" w:hAnsiTheme="minorEastAsia" w:eastAsiaTheme="minorEastAsia" w:cstheme="minorEastAsia"/>
          <w:sz w:val="20"/>
          <w:highlight w:val="none"/>
        </w:rPr>
      </w:pPr>
      <w:r>
        <w:rPr>
          <w:rFonts w:hint="eastAsia" w:asciiTheme="minorEastAsia" w:hAnsiTheme="minorEastAsia" w:eastAsiaTheme="minorEastAsia" w:cstheme="minorEastAsia"/>
          <w:sz w:val="20"/>
          <w:highlight w:val="none"/>
        </w:rPr>
        <w:t>因乙方原因，使得甲方被处罚的，甲方有权向乙方进行双倍索赔，在履约保函中直接兑取以扣抵乙方应给付的金额。</w:t>
      </w:r>
    </w:p>
    <w:p>
      <w:pPr>
        <w:pStyle w:val="56"/>
        <w:tabs>
          <w:tab w:val="left" w:pos="420"/>
        </w:tabs>
        <w:spacing w:beforeLines="50"/>
        <w:ind w:firstLine="567"/>
        <w:rPr>
          <w:rFonts w:hint="eastAsia" w:asciiTheme="minorEastAsia" w:hAnsiTheme="minorEastAsia" w:eastAsiaTheme="minorEastAsia" w:cstheme="minorEastAsia"/>
          <w:sz w:val="20"/>
          <w:highlight w:val="none"/>
        </w:rPr>
      </w:pPr>
      <w:r>
        <w:rPr>
          <w:rFonts w:hint="eastAsia" w:asciiTheme="minorEastAsia" w:hAnsiTheme="minorEastAsia" w:eastAsiaTheme="minorEastAsia" w:cstheme="minorEastAsia"/>
          <w:sz w:val="20"/>
          <w:highlight w:val="none"/>
        </w:rPr>
        <w:t>今后如遇相关法律、法规做出调整或甲方发布新的相关地方法规或监管条例等，同时也可能导致相关所涉违反规定的处罚也将作相应调整，但乙方同样有义务无条件自觉遵守和执行这些法规或条例作出的相关规定并承担风险。</w:t>
      </w:r>
    </w:p>
    <w:p>
      <w:pPr>
        <w:pStyle w:val="56"/>
        <w:tabs>
          <w:tab w:val="left" w:pos="420"/>
        </w:tabs>
        <w:spacing w:beforeLines="50"/>
        <w:ind w:firstLine="567"/>
        <w:rPr>
          <w:rFonts w:ascii="宋体" w:hAnsi="宋体"/>
          <w:b/>
          <w:sz w:val="20"/>
          <w:highlight w:val="none"/>
        </w:rPr>
      </w:pPr>
      <w:r>
        <w:rPr>
          <w:rFonts w:hint="eastAsia" w:ascii="宋体" w:hAnsi="宋体"/>
          <w:b/>
          <w:sz w:val="20"/>
          <w:highlight w:val="none"/>
        </w:rPr>
        <w:t>因乙方原因被处罚，导致甲方税收优惠被取消，因此造成的损失（包括所有延续期内的损失）均由乙方承担，甲方在乙方应获得的运营服务费中相应扣除。</w:t>
      </w:r>
    </w:p>
    <w:p>
      <w:pPr>
        <w:pStyle w:val="56"/>
        <w:widowControl w:val="0"/>
        <w:spacing w:beforeLines="50"/>
        <w:jc w:val="center"/>
        <w:rPr>
          <w:rFonts w:ascii="新宋体" w:hAnsi="新宋体" w:eastAsia="新宋体" w:cs="新宋体"/>
          <w:b/>
          <w:kern w:val="2"/>
          <w:sz w:val="28"/>
          <w:szCs w:val="28"/>
          <w:highlight w:val="none"/>
        </w:rPr>
      </w:pPr>
      <w:bookmarkStart w:id="273" w:name="_Hlt212663142"/>
      <w:bookmarkEnd w:id="273"/>
      <w:bookmarkStart w:id="274" w:name="_Hlt212622559"/>
      <w:bookmarkEnd w:id="274"/>
      <w:bookmarkStart w:id="275" w:name="_Toc246596681"/>
      <w:r>
        <w:rPr>
          <w:rFonts w:hint="eastAsia" w:ascii="新宋体" w:hAnsi="新宋体" w:eastAsia="新宋体" w:cs="新宋体"/>
          <w:b/>
          <w:kern w:val="2"/>
          <w:sz w:val="28"/>
          <w:szCs w:val="28"/>
          <w:highlight w:val="none"/>
        </w:rPr>
        <w:t xml:space="preserve">第十二节  </w:t>
      </w:r>
      <w:bookmarkStart w:id="276" w:name="_Toc202676955"/>
      <w:r>
        <w:rPr>
          <w:rFonts w:hint="eastAsia" w:ascii="新宋体" w:hAnsi="新宋体" w:eastAsia="新宋体" w:cs="新宋体"/>
          <w:b/>
          <w:kern w:val="2"/>
          <w:sz w:val="28"/>
          <w:szCs w:val="28"/>
          <w:highlight w:val="none"/>
        </w:rPr>
        <w:t>运营服务费及其支</w:t>
      </w:r>
      <w:bookmarkStart w:id="277" w:name="_Hlt212959514"/>
      <w:bookmarkEnd w:id="277"/>
      <w:r>
        <w:rPr>
          <w:rFonts w:hint="eastAsia" w:ascii="新宋体" w:hAnsi="新宋体" w:eastAsia="新宋体" w:cs="新宋体"/>
          <w:b/>
          <w:kern w:val="2"/>
          <w:sz w:val="28"/>
          <w:szCs w:val="28"/>
          <w:highlight w:val="none"/>
        </w:rPr>
        <w:t>付和调整</w:t>
      </w:r>
      <w:bookmarkEnd w:id="275"/>
      <w:bookmarkEnd w:id="276"/>
    </w:p>
    <w:p>
      <w:pPr>
        <w:pStyle w:val="56"/>
        <w:keepNext/>
        <w:keepLines/>
        <w:spacing w:before="120" w:after="120"/>
        <w:ind w:firstLine="500"/>
        <w:outlineLvl w:val="4"/>
        <w:rPr>
          <w:rFonts w:ascii="宋体" w:hAnsi="宋体"/>
          <w:b/>
          <w:szCs w:val="20"/>
          <w:highlight w:val="none"/>
        </w:rPr>
      </w:pPr>
      <w:bookmarkStart w:id="278" w:name="_Hlt199871929"/>
      <w:bookmarkEnd w:id="278"/>
      <w:bookmarkStart w:id="279" w:name="_Toc30780"/>
      <w:bookmarkStart w:id="280" w:name="_Toc246596682"/>
      <w:bookmarkStart w:id="281" w:name="_Toc202676956"/>
      <w:r>
        <w:rPr>
          <w:rFonts w:hint="eastAsia" w:ascii="宋体" w:hAnsi="宋体"/>
          <w:b/>
          <w:szCs w:val="20"/>
          <w:highlight w:val="none"/>
        </w:rPr>
        <w:t>12.1 甲方支付运营服务费的义务</w:t>
      </w:r>
      <w:bookmarkEnd w:id="279"/>
      <w:bookmarkEnd w:id="280"/>
    </w:p>
    <w:p>
      <w:pPr>
        <w:pStyle w:val="56"/>
        <w:tabs>
          <w:tab w:val="left" w:pos="420"/>
        </w:tabs>
        <w:spacing w:beforeLines="50"/>
        <w:ind w:firstLine="567"/>
        <w:rPr>
          <w:rFonts w:ascii="宋体" w:hAnsi="宋体"/>
          <w:sz w:val="20"/>
          <w:highlight w:val="none"/>
        </w:rPr>
      </w:pPr>
      <w:r>
        <w:rPr>
          <w:rFonts w:hint="eastAsia" w:ascii="宋体" w:hAnsi="宋体"/>
          <w:sz w:val="20"/>
          <w:highlight w:val="none"/>
        </w:rPr>
        <w:t>受限于第</w:t>
      </w:r>
      <w:r>
        <w:rPr>
          <w:highlight w:val="none"/>
        </w:rPr>
        <w:fldChar w:fldCharType="begin"/>
      </w:r>
      <w:r>
        <w:rPr>
          <w:highlight w:val="none"/>
        </w:rPr>
        <w:instrText xml:space="preserve"> HYPERLINK \l "_10.4_政府相关部门" </w:instrText>
      </w:r>
      <w:r>
        <w:rPr>
          <w:highlight w:val="none"/>
        </w:rPr>
        <w:fldChar w:fldCharType="separate"/>
      </w:r>
      <w:bookmarkStart w:id="282" w:name="_Hlt202626072"/>
      <w:r>
        <w:rPr>
          <w:rFonts w:hint="eastAsia" w:ascii="宋体" w:hAnsi="宋体"/>
          <w:sz w:val="20"/>
          <w:szCs w:val="20"/>
          <w:highlight w:val="none"/>
        </w:rPr>
        <w:t>12.</w:t>
      </w:r>
      <w:bookmarkEnd w:id="282"/>
      <w:r>
        <w:rPr>
          <w:rFonts w:hint="eastAsia" w:ascii="宋体" w:hAnsi="宋体"/>
          <w:sz w:val="20"/>
          <w:szCs w:val="20"/>
          <w:highlight w:val="none"/>
        </w:rPr>
        <w:t>7</w:t>
      </w:r>
      <w:r>
        <w:rPr>
          <w:rFonts w:hint="eastAsia" w:ascii="宋体" w:hAnsi="宋体"/>
          <w:sz w:val="20"/>
          <w:szCs w:val="20"/>
          <w:highlight w:val="none"/>
        </w:rPr>
        <w:fldChar w:fldCharType="end"/>
      </w:r>
      <w:r>
        <w:rPr>
          <w:rFonts w:hint="eastAsia" w:ascii="宋体" w:hAnsi="宋体"/>
          <w:sz w:val="20"/>
          <w:highlight w:val="none"/>
        </w:rPr>
        <w:t>条，在运营期内的每一个月份，甲方应根据本协议附录1确定的付费计算原则向乙方支付相应的运营服务费。</w:t>
      </w:r>
    </w:p>
    <w:p>
      <w:pPr>
        <w:pStyle w:val="56"/>
        <w:keepNext/>
        <w:keepLines/>
        <w:spacing w:before="120" w:after="120"/>
        <w:ind w:firstLine="500"/>
        <w:outlineLvl w:val="4"/>
        <w:rPr>
          <w:rFonts w:ascii="宋体" w:hAnsi="宋体"/>
          <w:b/>
          <w:szCs w:val="20"/>
          <w:highlight w:val="none"/>
        </w:rPr>
      </w:pPr>
      <w:bookmarkStart w:id="283" w:name="_Toc246596683"/>
      <w:bookmarkStart w:id="284" w:name="_Toc202676932"/>
      <w:r>
        <w:rPr>
          <w:rFonts w:hint="eastAsia" w:ascii="宋体" w:hAnsi="宋体"/>
          <w:b/>
          <w:szCs w:val="20"/>
          <w:highlight w:val="none"/>
        </w:rPr>
        <w:t>12.2  甲方或取或付义务</w:t>
      </w:r>
      <w:bookmarkEnd w:id="283"/>
      <w:bookmarkEnd w:id="284"/>
    </w:p>
    <w:p>
      <w:pPr>
        <w:pStyle w:val="56"/>
        <w:tabs>
          <w:tab w:val="left" w:pos="420"/>
        </w:tabs>
        <w:spacing w:beforeLines="50"/>
        <w:ind w:firstLine="567"/>
        <w:rPr>
          <w:rFonts w:ascii="宋体" w:hAnsi="宋体"/>
          <w:sz w:val="20"/>
          <w:highlight w:val="none"/>
        </w:rPr>
      </w:pPr>
      <w:r>
        <w:rPr>
          <w:rFonts w:hint="eastAsia" w:ascii="宋体" w:hAnsi="宋体"/>
          <w:sz w:val="20"/>
          <w:highlight w:val="none"/>
        </w:rPr>
        <w:t>以第12.3条为前提，运营期内甲方应按月向乙方支付其应获得的运营服务费。</w:t>
      </w:r>
    </w:p>
    <w:p>
      <w:pPr>
        <w:pStyle w:val="56"/>
        <w:keepNext/>
        <w:keepLines/>
        <w:spacing w:before="120" w:after="120"/>
        <w:ind w:firstLine="500"/>
        <w:outlineLvl w:val="4"/>
        <w:rPr>
          <w:rFonts w:ascii="宋体" w:hAnsi="宋体"/>
          <w:b/>
          <w:szCs w:val="20"/>
          <w:highlight w:val="none"/>
        </w:rPr>
      </w:pPr>
      <w:bookmarkStart w:id="285" w:name="_Toc202676933"/>
      <w:bookmarkStart w:id="286" w:name="_Toc246596684"/>
      <w:r>
        <w:rPr>
          <w:rFonts w:hint="eastAsia" w:ascii="宋体" w:hAnsi="宋体"/>
          <w:b/>
          <w:szCs w:val="20"/>
          <w:highlight w:val="none"/>
        </w:rPr>
        <w:t>12.3  或取或付义务的例外</w:t>
      </w:r>
      <w:bookmarkEnd w:id="285"/>
      <w:bookmarkEnd w:id="286"/>
    </w:p>
    <w:p>
      <w:pPr>
        <w:pStyle w:val="56"/>
        <w:tabs>
          <w:tab w:val="left" w:pos="420"/>
        </w:tabs>
        <w:spacing w:beforeLines="50"/>
        <w:ind w:firstLine="567"/>
        <w:rPr>
          <w:rFonts w:ascii="宋体" w:hAnsi="宋体"/>
          <w:sz w:val="20"/>
          <w:highlight w:val="none"/>
        </w:rPr>
      </w:pPr>
      <w:r>
        <w:rPr>
          <w:rFonts w:hint="eastAsia" w:ascii="宋体" w:hAnsi="宋体"/>
          <w:sz w:val="20"/>
          <w:highlight w:val="none"/>
        </w:rPr>
        <w:t>如果在运营期内的任何一日，乙方未能履行第</w:t>
      </w:r>
      <w:r>
        <w:rPr>
          <w:highlight w:val="none"/>
        </w:rPr>
        <w:fldChar w:fldCharType="begin"/>
      </w:r>
      <w:r>
        <w:rPr>
          <w:highlight w:val="none"/>
        </w:rPr>
        <w:instrText xml:space="preserve"> HYPERLINK \l "_5.1__污水处理厂进出水质量及污泥排放标准" </w:instrText>
      </w:r>
      <w:r>
        <w:rPr>
          <w:highlight w:val="none"/>
        </w:rPr>
        <w:fldChar w:fldCharType="separate"/>
      </w:r>
      <w:r>
        <w:rPr>
          <w:rFonts w:hint="eastAsia" w:ascii="宋体" w:hAnsi="宋体"/>
          <w:sz w:val="20"/>
          <w:szCs w:val="20"/>
          <w:highlight w:val="none"/>
        </w:rPr>
        <w:t>5.1</w:t>
      </w:r>
      <w:r>
        <w:rPr>
          <w:rFonts w:hint="eastAsia" w:ascii="宋体" w:hAnsi="宋体"/>
          <w:sz w:val="20"/>
          <w:szCs w:val="20"/>
          <w:highlight w:val="none"/>
        </w:rPr>
        <w:fldChar w:fldCharType="end"/>
      </w:r>
      <w:r>
        <w:rPr>
          <w:rFonts w:hint="eastAsia" w:ascii="宋体" w:hAnsi="宋体"/>
          <w:sz w:val="20"/>
          <w:highlight w:val="none"/>
        </w:rPr>
        <w:t>条、第5.5条及附录5规定的有关出水质量的义务，则第12.2条不予适用，在此情况下，甲方在仅按实际达标污水处理水量付费的同时，有权按本协议第</w:t>
      </w:r>
      <w:r>
        <w:rPr>
          <w:highlight w:val="none"/>
        </w:rPr>
        <w:fldChar w:fldCharType="begin"/>
      </w:r>
      <w:r>
        <w:rPr>
          <w:highlight w:val="none"/>
        </w:rPr>
        <w:instrText xml:space="preserve"> HYPERLINK \l "_11.2_违反出水质量标准的违约金" </w:instrText>
      </w:r>
      <w:r>
        <w:rPr>
          <w:highlight w:val="none"/>
        </w:rPr>
        <w:fldChar w:fldCharType="separate"/>
      </w:r>
      <w:r>
        <w:rPr>
          <w:rFonts w:hint="eastAsia" w:ascii="宋体" w:hAnsi="宋体"/>
          <w:sz w:val="20"/>
          <w:szCs w:val="20"/>
          <w:highlight w:val="none"/>
        </w:rPr>
        <w:t>11.2</w:t>
      </w:r>
      <w:r>
        <w:rPr>
          <w:rFonts w:hint="eastAsia" w:ascii="宋体" w:hAnsi="宋体"/>
          <w:sz w:val="20"/>
          <w:szCs w:val="20"/>
          <w:highlight w:val="none"/>
        </w:rPr>
        <w:fldChar w:fldCharType="end"/>
      </w:r>
      <w:r>
        <w:rPr>
          <w:rFonts w:hint="eastAsia" w:ascii="宋体" w:hAnsi="宋体"/>
          <w:sz w:val="20"/>
          <w:highlight w:val="none"/>
        </w:rPr>
        <w:t xml:space="preserve">条的规定收取违约金。如乙方发生停止进行污水处理的情况，则甲方将无义务支付运营服务费。但本协议另有约定的情况除外。 </w:t>
      </w:r>
      <w:bookmarkStart w:id="287" w:name="_Hlt212664091"/>
      <w:bookmarkEnd w:id="287"/>
      <w:bookmarkStart w:id="288" w:name="_Hlt212664114"/>
      <w:bookmarkEnd w:id="288"/>
    </w:p>
    <w:p>
      <w:pPr>
        <w:pStyle w:val="56"/>
        <w:keepNext/>
        <w:keepLines/>
        <w:spacing w:before="120" w:after="120"/>
        <w:ind w:firstLine="500"/>
        <w:outlineLvl w:val="4"/>
        <w:rPr>
          <w:rFonts w:ascii="宋体" w:hAnsi="宋体"/>
          <w:b/>
          <w:szCs w:val="20"/>
          <w:highlight w:val="none"/>
        </w:rPr>
      </w:pPr>
      <w:bookmarkStart w:id="289" w:name="_Toc246596685"/>
      <w:r>
        <w:rPr>
          <w:rFonts w:hint="eastAsia" w:ascii="宋体" w:hAnsi="宋体"/>
          <w:b/>
          <w:szCs w:val="20"/>
          <w:highlight w:val="none"/>
        </w:rPr>
        <w:t>12.4 运营服务费的计算和支付</w:t>
      </w:r>
      <w:bookmarkEnd w:id="281"/>
      <w:bookmarkEnd w:id="289"/>
    </w:p>
    <w:p>
      <w:pPr>
        <w:pStyle w:val="56"/>
        <w:tabs>
          <w:tab w:val="left" w:pos="420"/>
        </w:tabs>
        <w:spacing w:beforeLines="50"/>
        <w:ind w:firstLine="567"/>
        <w:rPr>
          <w:rFonts w:ascii="宋体" w:hAnsi="宋体"/>
          <w:sz w:val="20"/>
          <w:highlight w:val="none"/>
        </w:rPr>
      </w:pPr>
      <w:r>
        <w:rPr>
          <w:rFonts w:hint="eastAsia" w:ascii="宋体" w:hAnsi="宋体"/>
          <w:sz w:val="20"/>
          <w:highlight w:val="none"/>
        </w:rPr>
        <w:t>12.4.1乙方应提供所有证明记录和资料的复印件以便甲方能够核实该计算。</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12.4.2所有款项应按照本协议的第12.6条确定的帐户和付款方式支付，费用均以人民币支付。</w:t>
      </w:r>
    </w:p>
    <w:p>
      <w:pPr>
        <w:pStyle w:val="56"/>
        <w:keepNext/>
        <w:keepLines/>
        <w:spacing w:before="120" w:after="120"/>
        <w:ind w:firstLine="500"/>
        <w:outlineLvl w:val="4"/>
        <w:rPr>
          <w:rFonts w:ascii="宋体" w:hAnsi="宋体"/>
          <w:b/>
          <w:szCs w:val="20"/>
          <w:highlight w:val="none"/>
        </w:rPr>
      </w:pPr>
      <w:bookmarkStart w:id="290" w:name="_Toc246596686"/>
      <w:bookmarkStart w:id="291" w:name="_Toc202676957"/>
      <w:r>
        <w:rPr>
          <w:rFonts w:hint="eastAsia" w:ascii="宋体" w:hAnsi="宋体"/>
          <w:b/>
          <w:szCs w:val="20"/>
          <w:highlight w:val="none"/>
        </w:rPr>
        <w:t>12.5 每</w:t>
      </w:r>
      <w:r>
        <w:rPr>
          <w:rFonts w:hint="eastAsia" w:ascii="宋体" w:hAnsi="宋体"/>
          <w:b/>
          <w:szCs w:val="20"/>
          <w:highlight w:val="none"/>
          <w:lang w:eastAsia="zh-CN"/>
        </w:rPr>
        <w:t>季度</w:t>
      </w:r>
      <w:r>
        <w:rPr>
          <w:rFonts w:hint="eastAsia" w:ascii="宋体" w:hAnsi="宋体"/>
          <w:b/>
          <w:szCs w:val="20"/>
          <w:highlight w:val="none"/>
        </w:rPr>
        <w:t>付款程序</w:t>
      </w:r>
      <w:bookmarkEnd w:id="290"/>
      <w:bookmarkEnd w:id="291"/>
    </w:p>
    <w:p>
      <w:pPr>
        <w:pStyle w:val="56"/>
        <w:tabs>
          <w:tab w:val="left" w:pos="420"/>
        </w:tabs>
        <w:spacing w:beforeLines="50"/>
        <w:ind w:firstLine="567"/>
        <w:rPr>
          <w:rFonts w:ascii="宋体" w:hAnsi="宋体"/>
          <w:sz w:val="20"/>
          <w:highlight w:val="none"/>
        </w:rPr>
      </w:pPr>
      <w:r>
        <w:rPr>
          <w:rFonts w:hint="eastAsia" w:ascii="宋体" w:hAnsi="宋体"/>
          <w:sz w:val="20"/>
          <w:highlight w:val="none"/>
        </w:rPr>
        <w:t>12.5.1乙方应在</w:t>
      </w:r>
      <w:r>
        <w:rPr>
          <w:rFonts w:hint="eastAsia" w:ascii="宋体" w:hAnsi="宋体"/>
          <w:sz w:val="20"/>
          <w:highlight w:val="none"/>
          <w:lang w:eastAsia="zh-CN"/>
        </w:rPr>
        <w:t>每季度第一周</w:t>
      </w:r>
      <w:r>
        <w:rPr>
          <w:rFonts w:hint="eastAsia" w:ascii="宋体" w:hAnsi="宋体"/>
          <w:sz w:val="20"/>
          <w:highlight w:val="none"/>
        </w:rPr>
        <w:t>，按照第12.4.1条款计算的金额，向污水厂开具附录</w:t>
      </w:r>
      <w:bookmarkStart w:id="292" w:name="_Hlt212963021"/>
      <w:bookmarkEnd w:id="292"/>
      <w:r>
        <w:rPr>
          <w:rFonts w:hint="eastAsia" w:ascii="宋体" w:hAnsi="宋体"/>
          <w:sz w:val="20"/>
          <w:highlight w:val="none"/>
        </w:rPr>
        <w:t>8所示的</w:t>
      </w:r>
      <w:r>
        <w:rPr>
          <w:highlight w:val="none"/>
        </w:rPr>
        <w:fldChar w:fldCharType="begin"/>
      </w:r>
      <w:r>
        <w:rPr>
          <w:highlight w:val="none"/>
        </w:rPr>
        <w:instrText xml:space="preserve"> HYPERLINK \l "_附录10__污水处理服务费付款通知单" </w:instrText>
      </w:r>
      <w:r>
        <w:rPr>
          <w:highlight w:val="none"/>
        </w:rPr>
        <w:fldChar w:fldCharType="separate"/>
      </w:r>
      <w:r>
        <w:rPr>
          <w:rFonts w:hint="eastAsia" w:ascii="宋体" w:hAnsi="宋体"/>
          <w:sz w:val="20"/>
          <w:szCs w:val="20"/>
          <w:highlight w:val="none"/>
        </w:rPr>
        <w:t>付款通知</w:t>
      </w:r>
      <w:r>
        <w:rPr>
          <w:rFonts w:hint="eastAsia" w:ascii="宋体" w:hAnsi="宋体"/>
          <w:sz w:val="20"/>
          <w:szCs w:val="20"/>
          <w:highlight w:val="none"/>
        </w:rPr>
        <w:fldChar w:fldCharType="end"/>
      </w:r>
      <w:r>
        <w:rPr>
          <w:rFonts w:hint="eastAsia" w:ascii="宋体" w:hAnsi="宋体"/>
          <w:sz w:val="20"/>
          <w:highlight w:val="none"/>
        </w:rPr>
        <w:t>账单，同时应提供所有相应的证明记录和资料的复印件给污水厂所在地镇政府核实上述计算。</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12.5.2 甲方在收到乙方提交经水厂所在地镇政府核实的付款通知账单之日起，应对乙方送交的付款通知账单和相关资料的计算结果进行复核确认。</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12.5.3 甲方在核准确认无争议应付运营服务费金额后，应在收到乙方付款通知账单日后的十（10）个工作日（“应付款日”）内及时通知乙方开具并递交与前述核准确认金额相符的服务费凭证给甲方，甲方将在</w:t>
      </w:r>
      <w:r>
        <w:rPr>
          <w:rFonts w:hint="eastAsia" w:ascii="宋体" w:hAnsi="宋体"/>
          <w:sz w:val="20"/>
          <w:highlight w:val="none"/>
          <w:lang w:eastAsia="zh-CN"/>
        </w:rPr>
        <w:t>每季度最后一周</w:t>
      </w:r>
      <w:r>
        <w:rPr>
          <w:rFonts w:hint="eastAsia" w:ascii="宋体" w:hAnsi="宋体"/>
          <w:sz w:val="20"/>
          <w:highlight w:val="none"/>
        </w:rPr>
        <w:t>支付应付的</w:t>
      </w:r>
      <w:r>
        <w:rPr>
          <w:rFonts w:hint="eastAsia" w:ascii="宋体" w:hAnsi="宋体"/>
          <w:sz w:val="20"/>
          <w:highlight w:val="none"/>
          <w:lang w:eastAsia="zh-CN"/>
        </w:rPr>
        <w:t>季度</w:t>
      </w:r>
      <w:r>
        <w:rPr>
          <w:rFonts w:hint="eastAsia" w:ascii="宋体" w:hAnsi="宋体"/>
          <w:sz w:val="20"/>
          <w:highlight w:val="none"/>
        </w:rPr>
        <w:t>运营服务费款额。</w:t>
      </w:r>
    </w:p>
    <w:p>
      <w:pPr>
        <w:pStyle w:val="56"/>
        <w:keepNext/>
        <w:keepLines/>
        <w:spacing w:before="120" w:after="120"/>
        <w:ind w:firstLine="500"/>
        <w:outlineLvl w:val="4"/>
        <w:rPr>
          <w:rFonts w:ascii="宋体" w:hAnsi="宋体"/>
          <w:b/>
          <w:szCs w:val="20"/>
          <w:highlight w:val="none"/>
        </w:rPr>
      </w:pPr>
      <w:bookmarkStart w:id="293" w:name="_Toc202676958"/>
      <w:bookmarkStart w:id="294" w:name="_Toc246596687"/>
      <w:r>
        <w:rPr>
          <w:rFonts w:hint="eastAsia" w:ascii="宋体" w:hAnsi="宋体"/>
          <w:b/>
          <w:szCs w:val="20"/>
          <w:highlight w:val="none"/>
        </w:rPr>
        <w:t>12.6 支付帐户</w:t>
      </w:r>
      <w:bookmarkEnd w:id="293"/>
      <w:bookmarkEnd w:id="294"/>
    </w:p>
    <w:p>
      <w:pPr>
        <w:pStyle w:val="56"/>
        <w:tabs>
          <w:tab w:val="left" w:pos="420"/>
        </w:tabs>
        <w:spacing w:beforeLines="50"/>
        <w:ind w:firstLine="567"/>
        <w:rPr>
          <w:rFonts w:ascii="宋体" w:hAnsi="宋体"/>
          <w:sz w:val="20"/>
          <w:highlight w:val="none"/>
        </w:rPr>
      </w:pPr>
      <w:r>
        <w:rPr>
          <w:rFonts w:hint="eastAsia" w:ascii="宋体" w:hAnsi="宋体"/>
          <w:sz w:val="20"/>
          <w:highlight w:val="none"/>
        </w:rPr>
        <w:t>根据本协议应支付的所有相关费用均应按照规定的收款人、开户行、账户和付款方式（或乙方另行书面通知的其他中国境内银行账户），由甲方以人民币向乙方支付，银行手续费由每一方自行承担。</w:t>
      </w:r>
    </w:p>
    <w:p>
      <w:pPr>
        <w:pStyle w:val="56"/>
        <w:keepNext/>
        <w:keepLines/>
        <w:spacing w:before="120" w:after="120"/>
        <w:ind w:firstLine="500"/>
        <w:outlineLvl w:val="4"/>
        <w:rPr>
          <w:rFonts w:ascii="宋体" w:hAnsi="宋体"/>
          <w:b/>
          <w:szCs w:val="20"/>
          <w:highlight w:val="none"/>
        </w:rPr>
      </w:pPr>
      <w:bookmarkStart w:id="295" w:name="_Toc246596688"/>
      <w:r>
        <w:rPr>
          <w:rFonts w:hint="eastAsia" w:ascii="宋体" w:hAnsi="宋体"/>
          <w:b/>
          <w:szCs w:val="20"/>
          <w:highlight w:val="none"/>
        </w:rPr>
        <w:t>12.7 政府相关部门的核准</w:t>
      </w:r>
      <w:bookmarkEnd w:id="295"/>
    </w:p>
    <w:p>
      <w:pPr>
        <w:pStyle w:val="56"/>
        <w:tabs>
          <w:tab w:val="left" w:pos="420"/>
        </w:tabs>
        <w:spacing w:beforeLines="50"/>
        <w:ind w:firstLine="567"/>
        <w:rPr>
          <w:rFonts w:ascii="宋体" w:hAnsi="宋体"/>
          <w:sz w:val="20"/>
          <w:highlight w:val="none"/>
        </w:rPr>
      </w:pPr>
      <w:r>
        <w:rPr>
          <w:rFonts w:hint="eastAsia" w:ascii="宋体" w:hAnsi="宋体"/>
          <w:sz w:val="20"/>
          <w:highlight w:val="none"/>
        </w:rPr>
        <w:t>政府相关部门将有权就任何</w:t>
      </w:r>
      <w:r>
        <w:rPr>
          <w:rFonts w:hint="eastAsia" w:ascii="宋体" w:hAnsi="宋体"/>
          <w:sz w:val="20"/>
          <w:highlight w:val="none"/>
          <w:lang w:eastAsia="zh-CN"/>
        </w:rPr>
        <w:t>一个季度运</w:t>
      </w:r>
      <w:r>
        <w:rPr>
          <w:rFonts w:hint="eastAsia" w:ascii="宋体" w:hAnsi="宋体"/>
          <w:sz w:val="20"/>
          <w:highlight w:val="none"/>
        </w:rPr>
        <w:t>营服务费支付金额的计算、提议的单价调整方案是否与本协议中获得双方确认的公式和计算方法以及国家有关价格规定是否一致进行核实。</w:t>
      </w:r>
    </w:p>
    <w:p>
      <w:pPr>
        <w:pStyle w:val="56"/>
        <w:keepNext/>
        <w:keepLines/>
        <w:spacing w:before="120" w:after="120"/>
        <w:ind w:firstLine="500"/>
        <w:outlineLvl w:val="4"/>
        <w:rPr>
          <w:rFonts w:ascii="宋体" w:hAnsi="宋体"/>
          <w:b/>
          <w:szCs w:val="20"/>
          <w:highlight w:val="none"/>
        </w:rPr>
      </w:pPr>
      <w:bookmarkStart w:id="296" w:name="_Toc246596689"/>
      <w:r>
        <w:rPr>
          <w:rFonts w:hint="eastAsia" w:ascii="宋体" w:hAnsi="宋体"/>
          <w:b/>
          <w:szCs w:val="20"/>
          <w:highlight w:val="none"/>
        </w:rPr>
        <w:t>12.8 收费发票</w:t>
      </w:r>
      <w:bookmarkEnd w:id="296"/>
      <w:r>
        <w:rPr>
          <w:rFonts w:hint="eastAsia" w:ascii="宋体" w:hAnsi="宋体"/>
          <w:b/>
          <w:szCs w:val="20"/>
          <w:highlight w:val="none"/>
        </w:rPr>
        <w:t>或凭证</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乙方在申请获得运营服务费时，应按照甲方要求提交适宜的服务费发票。</w:t>
      </w:r>
    </w:p>
    <w:p>
      <w:pPr>
        <w:pStyle w:val="56"/>
        <w:keepNext/>
        <w:keepLines/>
        <w:spacing w:before="120" w:after="120"/>
        <w:ind w:firstLine="500"/>
        <w:outlineLvl w:val="4"/>
        <w:rPr>
          <w:rFonts w:ascii="宋体" w:hAnsi="宋体"/>
          <w:b/>
          <w:szCs w:val="20"/>
          <w:highlight w:val="none"/>
        </w:rPr>
      </w:pPr>
      <w:bookmarkStart w:id="297" w:name="_Toc246596690"/>
      <w:r>
        <w:rPr>
          <w:rFonts w:hint="eastAsia" w:ascii="宋体" w:hAnsi="宋体"/>
          <w:b/>
          <w:szCs w:val="20"/>
          <w:highlight w:val="none"/>
        </w:rPr>
        <w:t>12.9 利息</w:t>
      </w:r>
      <w:bookmarkEnd w:id="297"/>
    </w:p>
    <w:p>
      <w:pPr>
        <w:pStyle w:val="56"/>
        <w:tabs>
          <w:tab w:val="left" w:pos="420"/>
        </w:tabs>
        <w:spacing w:beforeLines="50"/>
        <w:ind w:firstLine="567"/>
        <w:rPr>
          <w:rFonts w:ascii="宋体" w:hAnsi="宋体"/>
          <w:sz w:val="20"/>
          <w:highlight w:val="none"/>
        </w:rPr>
      </w:pPr>
      <w:r>
        <w:rPr>
          <w:rFonts w:hint="eastAsia" w:ascii="宋体" w:hAnsi="宋体"/>
          <w:sz w:val="20"/>
          <w:highlight w:val="none"/>
        </w:rPr>
        <w:t>如果一方在本协议项下应向另一方支付的任何款项在到期之后未能支付，付款一方应支付按当时人民银行公布的一年期银行贷款利率计算的违约利息，该利息应依照前述约定利率自到期之日(包括该日)至收款方收到款项之日(不包括该日) 按日累计，按月计算。</w:t>
      </w:r>
    </w:p>
    <w:p>
      <w:pPr>
        <w:pStyle w:val="56"/>
        <w:keepNext/>
        <w:keepLines/>
        <w:spacing w:before="120" w:after="120"/>
        <w:ind w:firstLine="500"/>
        <w:outlineLvl w:val="4"/>
        <w:rPr>
          <w:rFonts w:ascii="宋体" w:hAnsi="宋体"/>
          <w:b/>
          <w:szCs w:val="20"/>
          <w:highlight w:val="none"/>
        </w:rPr>
      </w:pPr>
      <w:bookmarkStart w:id="298" w:name="_Hlt200158623"/>
      <w:bookmarkEnd w:id="298"/>
      <w:bookmarkStart w:id="299" w:name="_10.7_争议款项"/>
      <w:bookmarkEnd w:id="299"/>
      <w:bookmarkStart w:id="300" w:name="_Toc246596691"/>
      <w:bookmarkStart w:id="301" w:name="_Toc22360"/>
      <w:r>
        <w:rPr>
          <w:rFonts w:hint="eastAsia" w:ascii="宋体" w:hAnsi="宋体"/>
          <w:b/>
          <w:szCs w:val="20"/>
          <w:highlight w:val="none"/>
        </w:rPr>
        <w:t>12.10  争议款项</w:t>
      </w:r>
      <w:bookmarkEnd w:id="300"/>
      <w:bookmarkEnd w:id="301"/>
    </w:p>
    <w:p>
      <w:pPr>
        <w:pStyle w:val="56"/>
        <w:tabs>
          <w:tab w:val="left" w:pos="420"/>
        </w:tabs>
        <w:spacing w:beforeLines="50"/>
        <w:ind w:firstLine="567"/>
        <w:rPr>
          <w:rFonts w:ascii="宋体" w:hAnsi="宋体"/>
          <w:sz w:val="20"/>
          <w:highlight w:val="none"/>
        </w:rPr>
      </w:pPr>
      <w:r>
        <w:rPr>
          <w:rFonts w:hint="eastAsia" w:ascii="宋体" w:hAnsi="宋体"/>
          <w:sz w:val="20"/>
          <w:highlight w:val="none"/>
        </w:rPr>
        <w:t>如果双方对付款通知单中所列款额存在争议，则有争议的金额部分应按第</w:t>
      </w:r>
      <w:r>
        <w:rPr>
          <w:highlight w:val="none"/>
        </w:rPr>
        <w:fldChar w:fldCharType="begin"/>
      </w:r>
      <w:r>
        <w:rPr>
          <w:highlight w:val="none"/>
        </w:rPr>
        <w:instrText xml:space="preserve"> HYPERLINK \l "_第21章_争议的解决" </w:instrText>
      </w:r>
      <w:r>
        <w:rPr>
          <w:highlight w:val="none"/>
        </w:rPr>
        <w:fldChar w:fldCharType="separate"/>
      </w:r>
      <w:r>
        <w:rPr>
          <w:rFonts w:hint="eastAsia" w:ascii="宋体" w:hAnsi="宋体"/>
          <w:sz w:val="20"/>
          <w:szCs w:val="20"/>
          <w:highlight w:val="none"/>
        </w:rPr>
        <w:t>19</w:t>
      </w:r>
      <w:r>
        <w:rPr>
          <w:rFonts w:hint="eastAsia" w:ascii="宋体" w:hAnsi="宋体"/>
          <w:sz w:val="20"/>
          <w:szCs w:val="20"/>
          <w:highlight w:val="none"/>
        </w:rPr>
        <w:fldChar w:fldCharType="end"/>
      </w:r>
      <w:r>
        <w:rPr>
          <w:rFonts w:hint="eastAsia" w:ascii="宋体" w:hAnsi="宋体"/>
          <w:sz w:val="20"/>
          <w:highlight w:val="none"/>
        </w:rPr>
        <w:t>章的规定解决。且应付款到期日以后支付的一切款项均应按第</w:t>
      </w:r>
      <w:r>
        <w:rPr>
          <w:highlight w:val="none"/>
        </w:rPr>
        <w:fldChar w:fldCharType="begin"/>
      </w:r>
      <w:r>
        <w:rPr>
          <w:highlight w:val="none"/>
        </w:rPr>
        <w:instrText xml:space="preserve"> HYPERLINK \l "_10.6_利息" </w:instrText>
      </w:r>
      <w:r>
        <w:rPr>
          <w:highlight w:val="none"/>
        </w:rPr>
        <w:fldChar w:fldCharType="separate"/>
      </w:r>
      <w:r>
        <w:rPr>
          <w:rFonts w:hint="eastAsia" w:ascii="宋体" w:hAnsi="宋体"/>
          <w:sz w:val="20"/>
          <w:szCs w:val="20"/>
          <w:highlight w:val="none"/>
        </w:rPr>
        <w:t>12.9</w:t>
      </w:r>
      <w:r>
        <w:rPr>
          <w:rFonts w:hint="eastAsia" w:ascii="宋体" w:hAnsi="宋体"/>
          <w:sz w:val="20"/>
          <w:szCs w:val="20"/>
          <w:highlight w:val="none"/>
        </w:rPr>
        <w:fldChar w:fldCharType="end"/>
      </w:r>
      <w:r>
        <w:rPr>
          <w:rFonts w:hint="eastAsia" w:ascii="宋体" w:hAnsi="宋体"/>
          <w:sz w:val="20"/>
          <w:highlight w:val="none"/>
        </w:rPr>
        <w:t>条的规定计付利息。</w:t>
      </w:r>
    </w:p>
    <w:p>
      <w:pPr>
        <w:pStyle w:val="56"/>
        <w:keepNext/>
        <w:keepLines/>
        <w:spacing w:before="120" w:after="120"/>
        <w:ind w:firstLine="500"/>
        <w:outlineLvl w:val="4"/>
        <w:rPr>
          <w:rFonts w:ascii="仿宋_GB2312" w:hAnsi="仿宋_GB2312" w:eastAsia="仿宋_GB2312"/>
          <w:b/>
          <w:bCs/>
          <w:sz w:val="24"/>
          <w:highlight w:val="none"/>
        </w:rPr>
      </w:pPr>
      <w:bookmarkStart w:id="302" w:name="_Hlt202308482"/>
      <w:bookmarkEnd w:id="302"/>
      <w:bookmarkStart w:id="303" w:name="_Toc5922"/>
      <w:bookmarkStart w:id="304" w:name="_Toc246596692"/>
      <w:r>
        <w:rPr>
          <w:rFonts w:hint="eastAsia" w:ascii="宋体" w:hAnsi="宋体"/>
          <w:b/>
          <w:szCs w:val="20"/>
          <w:highlight w:val="none"/>
        </w:rPr>
        <w:t>12.11 税项说明</w:t>
      </w:r>
      <w:bookmarkEnd w:id="303"/>
      <w:bookmarkEnd w:id="304"/>
    </w:p>
    <w:p>
      <w:pPr>
        <w:pStyle w:val="56"/>
        <w:tabs>
          <w:tab w:val="left" w:pos="420"/>
        </w:tabs>
        <w:spacing w:beforeLines="50"/>
        <w:ind w:firstLine="567"/>
        <w:rPr>
          <w:rFonts w:ascii="宋体" w:hAnsi="宋体"/>
          <w:sz w:val="20"/>
          <w:highlight w:val="none"/>
        </w:rPr>
      </w:pPr>
      <w:r>
        <w:rPr>
          <w:rFonts w:hint="eastAsia" w:ascii="宋体" w:hAnsi="宋体"/>
          <w:sz w:val="20"/>
          <w:highlight w:val="none"/>
        </w:rPr>
        <w:t>项目中标报价中的运营服务费中所包括或应包括的税费等，由乙方自行考虑。甲方向乙方支付的运营服务费应视作已包含根据适用法律乙方应纳的所有税费，使其不会因缴纳或扣除任何税费而减少预期收入。</w:t>
      </w:r>
    </w:p>
    <w:p>
      <w:pPr>
        <w:pStyle w:val="56"/>
        <w:keepNext/>
        <w:keepLines/>
        <w:spacing w:before="120" w:after="120"/>
        <w:ind w:firstLine="500"/>
        <w:outlineLvl w:val="4"/>
        <w:rPr>
          <w:rFonts w:ascii="宋体" w:hAnsi="宋体"/>
          <w:b/>
          <w:szCs w:val="20"/>
          <w:highlight w:val="none"/>
        </w:rPr>
      </w:pPr>
      <w:bookmarkStart w:id="305" w:name="_Toc246596693"/>
      <w:bookmarkStart w:id="306" w:name="_Toc202676959"/>
      <w:r>
        <w:rPr>
          <w:rFonts w:hint="eastAsia" w:ascii="宋体" w:hAnsi="宋体"/>
          <w:b/>
          <w:szCs w:val="20"/>
          <w:highlight w:val="none"/>
        </w:rPr>
        <w:t xml:space="preserve">12.12 </w:t>
      </w:r>
      <w:bookmarkEnd w:id="305"/>
      <w:bookmarkEnd w:id="306"/>
      <w:bookmarkStart w:id="307" w:name="_Toc246596694"/>
      <w:bookmarkStart w:id="308" w:name="_Toc202676960"/>
      <w:r>
        <w:rPr>
          <w:rFonts w:hint="eastAsia" w:ascii="宋体" w:hAnsi="宋体"/>
          <w:b/>
          <w:szCs w:val="20"/>
          <w:highlight w:val="none"/>
        </w:rPr>
        <w:t>有争议的金额</w:t>
      </w:r>
      <w:bookmarkEnd w:id="307"/>
      <w:bookmarkEnd w:id="308"/>
    </w:p>
    <w:p>
      <w:pPr>
        <w:pStyle w:val="56"/>
        <w:tabs>
          <w:tab w:val="left" w:pos="420"/>
        </w:tabs>
        <w:spacing w:beforeLines="50"/>
        <w:ind w:firstLine="567"/>
        <w:rPr>
          <w:rFonts w:ascii="宋体" w:hAnsi="宋体"/>
          <w:sz w:val="20"/>
          <w:highlight w:val="none"/>
        </w:rPr>
      </w:pPr>
      <w:r>
        <w:rPr>
          <w:rFonts w:hint="eastAsia" w:ascii="宋体" w:hAnsi="宋体"/>
          <w:sz w:val="20"/>
          <w:highlight w:val="none"/>
        </w:rPr>
        <w:t>甲方如对乙方提交的运营付费申请单显示的金额或对本协议项下的其他付款要求有任何异议，应在收到运营付费申请单之日后的十(10)天内通知乙方并说明原因，并在到期日先行支付无争议部分的金额。否则应视为无异议并应全额核准支付。任何有关剩余金额的争议应首先在争议出现后五（5）个工作日内协商解决。在该协商期结束时仍未能解决，则应按第</w:t>
      </w:r>
      <w:r>
        <w:rPr>
          <w:highlight w:val="none"/>
        </w:rPr>
        <w:fldChar w:fldCharType="begin"/>
      </w:r>
      <w:r>
        <w:rPr>
          <w:highlight w:val="none"/>
        </w:rPr>
        <w:instrText xml:space="preserve"> HYPERLINK \l "_19.1_运营协调小组的友好解决" </w:instrText>
      </w:r>
      <w:r>
        <w:rPr>
          <w:highlight w:val="none"/>
        </w:rPr>
        <w:fldChar w:fldCharType="separate"/>
      </w:r>
      <w:r>
        <w:rPr>
          <w:rFonts w:hint="eastAsia" w:ascii="宋体" w:hAnsi="宋体"/>
          <w:sz w:val="20"/>
          <w:szCs w:val="20"/>
          <w:highlight w:val="none"/>
        </w:rPr>
        <w:t>19.1</w:t>
      </w:r>
      <w:r>
        <w:rPr>
          <w:rFonts w:hint="eastAsia" w:ascii="宋体" w:hAnsi="宋体"/>
          <w:sz w:val="20"/>
          <w:szCs w:val="20"/>
          <w:highlight w:val="none"/>
        </w:rPr>
        <w:fldChar w:fldCharType="end"/>
      </w:r>
      <w:r>
        <w:rPr>
          <w:rFonts w:hint="eastAsia" w:ascii="宋体" w:hAnsi="宋体"/>
          <w:sz w:val="20"/>
          <w:highlight w:val="none"/>
        </w:rPr>
        <w:t>条的规定解决。</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12.12.1 未付款项的支付</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如果甲方对乙方提交的运营付费申请单显示的或要求的任何或部分金额有争议，且随后根据第19.1条的争议解决条款，确认甲方尚未支付的任何应付款项应由甲方支付给乙方。</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12.12.2 多付款项的退还</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如果运营付费申请单显示或要求的任何金额或部分金额已支付，但事后产生争议或异议，且后来根据第19.1条争议解决条款商定或确定为属于不当支付，则乙方应退还不当支付部分并从下月或下次运营付费中扣除。</w:t>
      </w:r>
    </w:p>
    <w:p>
      <w:pPr>
        <w:pStyle w:val="56"/>
        <w:keepNext/>
        <w:keepLines/>
        <w:spacing w:before="120" w:after="120"/>
        <w:ind w:firstLine="500"/>
        <w:outlineLvl w:val="4"/>
        <w:rPr>
          <w:rFonts w:ascii="宋体" w:hAnsi="宋体"/>
          <w:b/>
          <w:szCs w:val="20"/>
          <w:highlight w:val="none"/>
        </w:rPr>
      </w:pPr>
      <w:bookmarkStart w:id="309" w:name="_Toc246596695"/>
      <w:bookmarkStart w:id="310" w:name="_Toc202676961"/>
      <w:r>
        <w:rPr>
          <w:rFonts w:hint="eastAsia" w:ascii="宋体" w:hAnsi="宋体"/>
          <w:b/>
          <w:szCs w:val="20"/>
          <w:highlight w:val="none"/>
        </w:rPr>
        <w:t>12.13 违约金的扣减</w:t>
      </w:r>
      <w:bookmarkEnd w:id="309"/>
      <w:bookmarkEnd w:id="310"/>
    </w:p>
    <w:p>
      <w:pPr>
        <w:pStyle w:val="56"/>
        <w:tabs>
          <w:tab w:val="left" w:pos="420"/>
        </w:tabs>
        <w:spacing w:beforeLines="50"/>
        <w:ind w:firstLine="567"/>
        <w:rPr>
          <w:rFonts w:ascii="宋体" w:hAnsi="宋体"/>
          <w:sz w:val="20"/>
          <w:highlight w:val="none"/>
        </w:rPr>
      </w:pPr>
      <w:r>
        <w:rPr>
          <w:rFonts w:hint="eastAsia" w:ascii="宋体" w:hAnsi="宋体"/>
          <w:sz w:val="20"/>
          <w:highlight w:val="none"/>
        </w:rPr>
        <w:t>如果发生违约金，乙方应根据第</w:t>
      </w:r>
      <w:r>
        <w:rPr>
          <w:highlight w:val="none"/>
        </w:rPr>
        <w:fldChar w:fldCharType="begin"/>
      </w:r>
      <w:r>
        <w:rPr>
          <w:highlight w:val="none"/>
        </w:rPr>
        <w:instrText xml:space="preserve"> HYPERLINK \l "_违约金" </w:instrText>
      </w:r>
      <w:r>
        <w:rPr>
          <w:highlight w:val="none"/>
        </w:rPr>
        <w:fldChar w:fldCharType="separate"/>
      </w:r>
      <w:r>
        <w:rPr>
          <w:rFonts w:hint="eastAsia" w:ascii="宋体" w:hAnsi="宋体"/>
          <w:sz w:val="20"/>
          <w:szCs w:val="20"/>
          <w:highlight w:val="none"/>
        </w:rPr>
        <w:t>11</w:t>
      </w:r>
      <w:r>
        <w:rPr>
          <w:rFonts w:hint="eastAsia" w:ascii="宋体" w:hAnsi="宋体"/>
          <w:sz w:val="20"/>
          <w:szCs w:val="20"/>
          <w:highlight w:val="none"/>
        </w:rPr>
        <w:fldChar w:fldCharType="end"/>
      </w:r>
      <w:r>
        <w:rPr>
          <w:rFonts w:hint="eastAsia" w:ascii="宋体" w:hAnsi="宋体"/>
          <w:sz w:val="20"/>
          <w:highlight w:val="none"/>
        </w:rPr>
        <w:t>章计算需要向甲方支付的违约金金额，并将该金额从运营服务费的发票金额中减扣。违约金计算的细节应在付款通知账单中列明。</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如对违约金金额有争议，则应根据本协议第</w:t>
      </w:r>
      <w:r>
        <w:rPr>
          <w:highlight w:val="none"/>
        </w:rPr>
        <w:fldChar w:fldCharType="begin"/>
      </w:r>
      <w:r>
        <w:rPr>
          <w:highlight w:val="none"/>
        </w:rPr>
        <w:instrText xml:space="preserve"> HYPERLINK \l "_第二十章__其它条款" </w:instrText>
      </w:r>
      <w:r>
        <w:rPr>
          <w:highlight w:val="none"/>
        </w:rPr>
        <w:fldChar w:fldCharType="separate"/>
      </w:r>
      <w:r>
        <w:rPr>
          <w:rFonts w:hint="eastAsia" w:ascii="宋体" w:hAnsi="宋体"/>
          <w:sz w:val="20"/>
          <w:szCs w:val="20"/>
          <w:highlight w:val="none"/>
        </w:rPr>
        <w:t>19</w:t>
      </w:r>
      <w:r>
        <w:rPr>
          <w:rFonts w:hint="eastAsia" w:ascii="宋体" w:hAnsi="宋体"/>
          <w:sz w:val="20"/>
          <w:szCs w:val="20"/>
          <w:highlight w:val="none"/>
        </w:rPr>
        <w:fldChar w:fldCharType="end"/>
      </w:r>
      <w:r>
        <w:rPr>
          <w:rFonts w:hint="eastAsia" w:ascii="宋体" w:hAnsi="宋体"/>
          <w:sz w:val="20"/>
          <w:highlight w:val="none"/>
        </w:rPr>
        <w:t>章解决。</w:t>
      </w:r>
    </w:p>
    <w:p>
      <w:pPr>
        <w:pStyle w:val="56"/>
        <w:keepNext/>
        <w:keepLines/>
        <w:spacing w:before="120" w:after="120"/>
        <w:ind w:firstLine="500"/>
        <w:outlineLvl w:val="4"/>
        <w:rPr>
          <w:rFonts w:ascii="宋体" w:hAnsi="宋体"/>
          <w:b/>
          <w:sz w:val="20"/>
          <w:highlight w:val="none"/>
        </w:rPr>
      </w:pPr>
      <w:bookmarkStart w:id="311" w:name="_Toc202676964"/>
      <w:bookmarkStart w:id="312" w:name="_Toc246596698"/>
      <w:r>
        <w:rPr>
          <w:rFonts w:hint="eastAsia" w:ascii="宋体" w:hAnsi="宋体"/>
          <w:b/>
          <w:szCs w:val="20"/>
          <w:highlight w:val="none"/>
        </w:rPr>
        <w:t>12.14 运营服务费全费用综合单价的调整</w:t>
      </w:r>
      <w:bookmarkEnd w:id="311"/>
      <w:bookmarkEnd w:id="312"/>
    </w:p>
    <w:p>
      <w:pPr>
        <w:pStyle w:val="56"/>
        <w:tabs>
          <w:tab w:val="left" w:pos="420"/>
        </w:tabs>
        <w:spacing w:beforeLines="50"/>
        <w:ind w:firstLine="567"/>
        <w:rPr>
          <w:rFonts w:ascii="宋体" w:hAnsi="宋体"/>
          <w:sz w:val="20"/>
          <w:highlight w:val="none"/>
          <w:u w:val="single"/>
        </w:rPr>
      </w:pPr>
      <w:r>
        <w:rPr>
          <w:rFonts w:hint="eastAsia" w:ascii="宋体" w:hAnsi="宋体"/>
          <w:sz w:val="20"/>
          <w:highlight w:val="none"/>
          <w:u w:val="single"/>
        </w:rPr>
        <w:t>运营服务费全费用综合单价不作调整。</w:t>
      </w:r>
    </w:p>
    <w:p>
      <w:pPr>
        <w:pStyle w:val="56"/>
        <w:widowControl w:val="0"/>
        <w:spacing w:beforeLines="50"/>
        <w:jc w:val="center"/>
        <w:rPr>
          <w:rFonts w:ascii="新宋体" w:hAnsi="新宋体" w:eastAsia="新宋体" w:cs="新宋体"/>
          <w:b/>
          <w:kern w:val="2"/>
          <w:sz w:val="28"/>
          <w:szCs w:val="28"/>
          <w:highlight w:val="none"/>
        </w:rPr>
      </w:pPr>
      <w:bookmarkStart w:id="313" w:name="_Toc31440"/>
      <w:bookmarkStart w:id="314" w:name="_Toc246596699"/>
      <w:r>
        <w:rPr>
          <w:rFonts w:hint="eastAsia" w:ascii="新宋体" w:hAnsi="新宋体" w:eastAsia="新宋体" w:cs="新宋体"/>
          <w:b/>
          <w:kern w:val="2"/>
          <w:sz w:val="28"/>
          <w:szCs w:val="28"/>
          <w:highlight w:val="none"/>
        </w:rPr>
        <w:t>第十三节  项目的财务管理</w:t>
      </w:r>
      <w:bookmarkEnd w:id="313"/>
      <w:bookmarkEnd w:id="314"/>
    </w:p>
    <w:p>
      <w:pPr>
        <w:pStyle w:val="56"/>
        <w:keepNext/>
        <w:keepLines/>
        <w:spacing w:before="120" w:after="120"/>
        <w:ind w:firstLine="500"/>
        <w:outlineLvl w:val="4"/>
        <w:rPr>
          <w:rFonts w:ascii="宋体" w:hAnsi="宋体"/>
          <w:b/>
          <w:szCs w:val="20"/>
          <w:highlight w:val="none"/>
        </w:rPr>
      </w:pPr>
      <w:bookmarkStart w:id="315" w:name="_Toc246596700"/>
      <w:bookmarkStart w:id="316" w:name="_Toc11797"/>
      <w:r>
        <w:rPr>
          <w:rFonts w:hint="eastAsia" w:ascii="宋体" w:hAnsi="宋体"/>
          <w:b/>
          <w:szCs w:val="20"/>
          <w:highlight w:val="none"/>
        </w:rPr>
        <w:t>13.1 乙方的基本</w:t>
      </w:r>
      <w:bookmarkStart w:id="317" w:name="_Hlt209929955"/>
      <w:bookmarkEnd w:id="317"/>
      <w:r>
        <w:rPr>
          <w:rFonts w:hint="eastAsia" w:ascii="宋体" w:hAnsi="宋体"/>
          <w:b/>
          <w:szCs w:val="20"/>
          <w:highlight w:val="none"/>
        </w:rPr>
        <w:t>义务</w:t>
      </w:r>
      <w:bookmarkEnd w:id="315"/>
      <w:bookmarkEnd w:id="316"/>
    </w:p>
    <w:p>
      <w:pPr>
        <w:pStyle w:val="56"/>
        <w:tabs>
          <w:tab w:val="left" w:pos="420"/>
        </w:tabs>
        <w:spacing w:beforeLines="50"/>
        <w:ind w:firstLine="567"/>
        <w:rPr>
          <w:rFonts w:ascii="宋体" w:hAnsi="宋体"/>
          <w:sz w:val="20"/>
          <w:highlight w:val="none"/>
        </w:rPr>
      </w:pPr>
      <w:r>
        <w:rPr>
          <w:rFonts w:hint="eastAsia" w:ascii="宋体" w:hAnsi="宋体"/>
          <w:sz w:val="20"/>
          <w:highlight w:val="none"/>
        </w:rPr>
        <w:t>在运营期内，乙方应全权承担项目设施的运营前接收、运营维护和移交等运营委托事项，独立负责和完成接收和正常运营时所需的流动资金筹措。对本项目应设立专账，并建立起完善的财务管理制度。</w:t>
      </w:r>
    </w:p>
    <w:p>
      <w:pPr>
        <w:pStyle w:val="56"/>
        <w:keepNext/>
        <w:keepLines/>
        <w:spacing w:before="120" w:after="120"/>
        <w:ind w:firstLine="500"/>
        <w:outlineLvl w:val="4"/>
        <w:rPr>
          <w:rFonts w:ascii="宋体" w:hAnsi="宋体"/>
          <w:b/>
          <w:szCs w:val="20"/>
          <w:highlight w:val="none"/>
        </w:rPr>
      </w:pPr>
      <w:bookmarkStart w:id="318" w:name="_Hlt209929991"/>
      <w:bookmarkEnd w:id="318"/>
      <w:bookmarkStart w:id="319" w:name="_Toc246596702"/>
      <w:bookmarkStart w:id="320" w:name="_Toc23244"/>
      <w:r>
        <w:rPr>
          <w:rFonts w:hint="eastAsia" w:ascii="宋体" w:hAnsi="宋体"/>
          <w:b/>
          <w:szCs w:val="20"/>
          <w:highlight w:val="none"/>
        </w:rPr>
        <w:t>13.2 项目融资限制</w:t>
      </w:r>
      <w:bookmarkEnd w:id="319"/>
      <w:bookmarkEnd w:id="320"/>
    </w:p>
    <w:p>
      <w:pPr>
        <w:pStyle w:val="56"/>
        <w:tabs>
          <w:tab w:val="left" w:pos="420"/>
        </w:tabs>
        <w:spacing w:beforeLines="50"/>
        <w:ind w:firstLine="567"/>
        <w:rPr>
          <w:rFonts w:ascii="宋体" w:hAnsi="宋体"/>
          <w:sz w:val="20"/>
          <w:highlight w:val="none"/>
        </w:rPr>
      </w:pPr>
      <w:r>
        <w:rPr>
          <w:rFonts w:hint="eastAsia" w:ascii="宋体" w:hAnsi="宋体"/>
          <w:sz w:val="20"/>
          <w:highlight w:val="none"/>
        </w:rPr>
        <w:t>在整个运营期内，乙方不得将本项目运营权及相关权益向任何第三方进行转让、出租、质押或其他任何处置。</w:t>
      </w:r>
    </w:p>
    <w:p>
      <w:pPr>
        <w:pStyle w:val="56"/>
        <w:keepNext/>
        <w:keepLines/>
        <w:spacing w:before="120" w:after="120"/>
        <w:ind w:firstLine="500"/>
        <w:outlineLvl w:val="4"/>
        <w:rPr>
          <w:rFonts w:ascii="宋体" w:hAnsi="宋体"/>
          <w:b/>
          <w:szCs w:val="20"/>
          <w:highlight w:val="none"/>
        </w:rPr>
      </w:pPr>
      <w:bookmarkStart w:id="321" w:name="_Hlt243565065"/>
      <w:bookmarkEnd w:id="321"/>
      <w:bookmarkStart w:id="322" w:name="_Hlt211520032"/>
      <w:bookmarkEnd w:id="322"/>
      <w:bookmarkStart w:id="323" w:name="_Hlt199867198"/>
      <w:bookmarkEnd w:id="323"/>
      <w:bookmarkStart w:id="324" w:name="_Hlt199185533"/>
      <w:bookmarkEnd w:id="324"/>
      <w:bookmarkStart w:id="325" w:name="_Toc32630"/>
      <w:bookmarkStart w:id="326" w:name="_Toc246596707"/>
      <w:r>
        <w:rPr>
          <w:rFonts w:hint="eastAsia" w:ascii="宋体" w:hAnsi="宋体"/>
          <w:b/>
          <w:szCs w:val="20"/>
          <w:highlight w:val="none"/>
        </w:rPr>
        <w:t>13.</w:t>
      </w:r>
      <w:bookmarkStart w:id="327" w:name="_Hlt92737415"/>
      <w:r>
        <w:rPr>
          <w:rFonts w:hint="eastAsia" w:ascii="宋体" w:hAnsi="宋体"/>
          <w:b/>
          <w:szCs w:val="20"/>
          <w:highlight w:val="none"/>
        </w:rPr>
        <w:t>3 财务监督和检查</w:t>
      </w:r>
      <w:bookmarkEnd w:id="325"/>
      <w:bookmarkEnd w:id="326"/>
      <w:bookmarkEnd w:id="327"/>
    </w:p>
    <w:p>
      <w:pPr>
        <w:pStyle w:val="56"/>
        <w:tabs>
          <w:tab w:val="left" w:pos="420"/>
        </w:tabs>
        <w:spacing w:beforeLines="50"/>
        <w:ind w:firstLine="567"/>
        <w:rPr>
          <w:rFonts w:ascii="宋体" w:hAnsi="宋体"/>
          <w:sz w:val="20"/>
          <w:highlight w:val="none"/>
        </w:rPr>
      </w:pPr>
      <w:r>
        <w:rPr>
          <w:rFonts w:hint="eastAsia" w:ascii="宋体" w:hAnsi="宋体"/>
          <w:sz w:val="20"/>
          <w:highlight w:val="none"/>
        </w:rPr>
        <w:t>乙方应按照国家相关法律法规依法接受相关机构</w:t>
      </w:r>
      <w:bookmarkStart w:id="328" w:name="_Hlt92609893"/>
      <w:bookmarkEnd w:id="328"/>
      <w:r>
        <w:rPr>
          <w:rFonts w:hint="eastAsia" w:ascii="宋体" w:hAnsi="宋体"/>
          <w:sz w:val="20"/>
          <w:highlight w:val="none"/>
        </w:rPr>
        <w:t>的审计、监督和检查。甲方可能随时合理要求乙方提供有关财务状况等其他资料，以监督乙方遵守中国法律</w:t>
      </w:r>
      <w:bookmarkStart w:id="329" w:name="_Hlt199902771"/>
      <w:bookmarkEnd w:id="329"/>
      <w:r>
        <w:rPr>
          <w:rFonts w:hint="eastAsia" w:ascii="宋体" w:hAnsi="宋体"/>
          <w:sz w:val="20"/>
          <w:highlight w:val="none"/>
        </w:rPr>
        <w:t>和运营服务协议。</w:t>
      </w:r>
      <w:bookmarkStart w:id="330" w:name="_Hlt199866387"/>
      <w:bookmarkEnd w:id="330"/>
      <w:bookmarkStart w:id="331" w:name="_Hlt92609929"/>
      <w:bookmarkEnd w:id="331"/>
    </w:p>
    <w:p>
      <w:pPr>
        <w:pStyle w:val="56"/>
        <w:widowControl w:val="0"/>
        <w:spacing w:beforeLines="50"/>
        <w:jc w:val="center"/>
        <w:rPr>
          <w:rFonts w:ascii="新宋体" w:hAnsi="新宋体" w:eastAsia="新宋体" w:cs="新宋体"/>
          <w:b/>
          <w:kern w:val="2"/>
          <w:sz w:val="28"/>
          <w:szCs w:val="28"/>
          <w:highlight w:val="none"/>
        </w:rPr>
      </w:pPr>
      <w:bookmarkStart w:id="332" w:name="_Hlt212697555"/>
      <w:bookmarkEnd w:id="332"/>
      <w:bookmarkStart w:id="333" w:name="_Toc246596708"/>
      <w:r>
        <w:rPr>
          <w:rFonts w:hint="eastAsia" w:ascii="新宋体" w:hAnsi="新宋体" w:eastAsia="新宋体" w:cs="新宋体"/>
          <w:b/>
          <w:kern w:val="2"/>
          <w:sz w:val="28"/>
          <w:szCs w:val="28"/>
          <w:highlight w:val="none"/>
        </w:rPr>
        <w:t xml:space="preserve">第十四节 </w:t>
      </w:r>
      <w:bookmarkStart w:id="334" w:name="_Toc202676965"/>
      <w:r>
        <w:rPr>
          <w:rFonts w:hint="eastAsia" w:ascii="新宋体" w:hAnsi="新宋体" w:eastAsia="新宋体" w:cs="新宋体"/>
          <w:b/>
          <w:kern w:val="2"/>
          <w:sz w:val="28"/>
          <w:szCs w:val="28"/>
          <w:highlight w:val="none"/>
        </w:rPr>
        <w:t xml:space="preserve"> 不可抗力</w:t>
      </w:r>
      <w:bookmarkEnd w:id="333"/>
      <w:bookmarkEnd w:id="334"/>
    </w:p>
    <w:p>
      <w:pPr>
        <w:pStyle w:val="56"/>
        <w:keepNext/>
        <w:keepLines/>
        <w:spacing w:before="120" w:after="120"/>
        <w:ind w:firstLine="500"/>
        <w:outlineLvl w:val="4"/>
        <w:rPr>
          <w:rFonts w:ascii="宋体" w:hAnsi="宋体"/>
          <w:b/>
          <w:szCs w:val="20"/>
          <w:highlight w:val="none"/>
        </w:rPr>
      </w:pPr>
      <w:bookmarkStart w:id="335" w:name="_14.1_不可抗力引起的终止履行"/>
      <w:bookmarkEnd w:id="335"/>
      <w:bookmarkStart w:id="336" w:name="_Toc202676966"/>
      <w:bookmarkStart w:id="337" w:name="_Toc246596709"/>
      <w:r>
        <w:rPr>
          <w:rFonts w:hint="eastAsia" w:ascii="宋体" w:hAnsi="宋体"/>
          <w:b/>
          <w:szCs w:val="20"/>
          <w:highlight w:val="none"/>
        </w:rPr>
        <w:t>14.1 不可抗力引起的终止履行</w:t>
      </w:r>
      <w:bookmarkEnd w:id="336"/>
      <w:bookmarkEnd w:id="337"/>
    </w:p>
    <w:p>
      <w:pPr>
        <w:pStyle w:val="56"/>
        <w:tabs>
          <w:tab w:val="left" w:pos="420"/>
        </w:tabs>
        <w:spacing w:beforeLines="50"/>
        <w:ind w:firstLine="567"/>
        <w:rPr>
          <w:rFonts w:ascii="宋体" w:hAnsi="宋体"/>
          <w:sz w:val="20"/>
          <w:highlight w:val="none"/>
        </w:rPr>
      </w:pPr>
      <w:r>
        <w:rPr>
          <w:rFonts w:hint="eastAsia" w:ascii="宋体" w:hAnsi="宋体"/>
          <w:sz w:val="20"/>
          <w:highlight w:val="none"/>
        </w:rPr>
        <w:t>在任何一方由于不可抗力事件使该方不能全部或部分履行其运营服务协议项下义务的情况下，该方应有权中止履行运营服务协议项下的义务(运营服务协议第</w:t>
      </w:r>
      <w:r>
        <w:rPr>
          <w:highlight w:val="none"/>
        </w:rPr>
        <w:fldChar w:fldCharType="begin"/>
      </w:r>
      <w:r>
        <w:rPr>
          <w:highlight w:val="none"/>
        </w:rPr>
        <w:instrText xml:space="preserve"> HYPERLINK \l "_15.1_终止事件" </w:instrText>
      </w:r>
      <w:r>
        <w:rPr>
          <w:highlight w:val="none"/>
        </w:rPr>
        <w:fldChar w:fldCharType="separate"/>
      </w:r>
      <w:r>
        <w:rPr>
          <w:rFonts w:hint="eastAsia" w:ascii="宋体" w:hAnsi="宋体"/>
          <w:sz w:val="20"/>
          <w:szCs w:val="20"/>
          <w:highlight w:val="none"/>
        </w:rPr>
        <w:t>14</w:t>
      </w:r>
      <w:r>
        <w:rPr>
          <w:rFonts w:hint="eastAsia" w:ascii="宋体" w:hAnsi="宋体"/>
          <w:sz w:val="20"/>
          <w:szCs w:val="20"/>
          <w:highlight w:val="none"/>
        </w:rPr>
        <w:fldChar w:fldCharType="end"/>
      </w:r>
      <w:r>
        <w:rPr>
          <w:rFonts w:hint="eastAsia" w:ascii="宋体" w:hAnsi="宋体"/>
          <w:sz w:val="20"/>
          <w:highlight w:val="none"/>
        </w:rPr>
        <w:t>.6和15.8款项下终止补偿时的支付义务除外)：</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该事件是在该方签订运营服务协议时不能合理预见，并且声称不可抗力的一方对该事件及其后果不能克服和不能避免的，包括但不限于：</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（a）任何战争行为（无论是否宣战）、入侵、武装冲突、外敌行为、封锁、暴乱、恐怖活动或军事力量的使用；</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（b）闪电、地震、地沉、地隆、山崩、飓风、风暴、火灾、洪水、干旱、陨石撞击和火山爆发，或任何其它天灾；</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（c）发生瘟疫和大规模流行性疾病；</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（d）任何征用；</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（e）影响污水处理厂所在场地的任何状态和情况（包括土壤、地下、环境、地理、地质工程和水文状况的变化所引致的）；</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（f）进水水质ph值或其他污染物对污水处理厂工艺系统造成毁灭性影响；</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（g）由于非乙方原因导致项目设施的外供电长期中断；</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（h）政府部门实施进口限制、配额或分配限制；</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（i）全国性、地区性或行业性罢工；</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（j）可导致终止的法律变更。</w:t>
      </w:r>
    </w:p>
    <w:p>
      <w:pPr>
        <w:pStyle w:val="56"/>
        <w:keepNext/>
        <w:keepLines/>
        <w:spacing w:before="120" w:after="120"/>
        <w:ind w:firstLine="500"/>
        <w:outlineLvl w:val="4"/>
        <w:rPr>
          <w:rFonts w:ascii="宋体" w:hAnsi="宋体"/>
          <w:b/>
          <w:szCs w:val="20"/>
          <w:highlight w:val="none"/>
        </w:rPr>
      </w:pPr>
      <w:bookmarkStart w:id="338" w:name="_Toc246596710"/>
      <w:bookmarkStart w:id="339" w:name="_Toc202676967"/>
      <w:r>
        <w:rPr>
          <w:rFonts w:hint="eastAsia" w:ascii="宋体" w:hAnsi="宋体"/>
          <w:b/>
          <w:szCs w:val="20"/>
          <w:highlight w:val="none"/>
        </w:rPr>
        <w:t>14.2 适用于乙方的例外情况</w:t>
      </w:r>
      <w:bookmarkEnd w:id="338"/>
      <w:bookmarkEnd w:id="339"/>
    </w:p>
    <w:p>
      <w:pPr>
        <w:pStyle w:val="56"/>
        <w:tabs>
          <w:tab w:val="left" w:pos="420"/>
        </w:tabs>
        <w:spacing w:beforeLines="50"/>
        <w:ind w:firstLine="567"/>
        <w:rPr>
          <w:rFonts w:ascii="宋体" w:hAnsi="宋体"/>
          <w:sz w:val="20"/>
          <w:highlight w:val="none"/>
        </w:rPr>
      </w:pPr>
      <w:r>
        <w:rPr>
          <w:rFonts w:hint="eastAsia" w:ascii="宋体" w:hAnsi="宋体"/>
          <w:sz w:val="20"/>
          <w:highlight w:val="none"/>
        </w:rPr>
        <w:t>乙方无权将任何下述情况视作不可抗力事件而终止履行运营服务协议或作为其不履行运营服务协议项下义务的理由,除非下述情况是由于符合第14.1条的某一事件所致：</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 xml:space="preserve">（a）乙方的任一运营分包商或供应商，在履行协议方面发生过失或项目设施零配件、药剂及更新设备等的供应的交付上发生延误； </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（b）项目设施接收时就已明确的任何材料、设备、机器和零配件的任何明显或潜在的缺陷；或</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（c）项目设施的材料、设备、机器或零件的故障或正常磨损。</w:t>
      </w:r>
    </w:p>
    <w:p>
      <w:pPr>
        <w:pStyle w:val="56"/>
        <w:keepNext/>
        <w:keepLines/>
        <w:spacing w:before="120" w:after="120"/>
        <w:ind w:firstLine="500"/>
        <w:outlineLvl w:val="4"/>
        <w:rPr>
          <w:rFonts w:ascii="宋体" w:hAnsi="宋体"/>
          <w:b/>
          <w:szCs w:val="20"/>
          <w:highlight w:val="none"/>
        </w:rPr>
      </w:pPr>
      <w:bookmarkStart w:id="340" w:name="_Toc202676968"/>
      <w:bookmarkStart w:id="341" w:name="_Toc246596711"/>
      <w:r>
        <w:rPr>
          <w:rFonts w:hint="eastAsia" w:ascii="宋体" w:hAnsi="宋体"/>
          <w:b/>
          <w:szCs w:val="20"/>
          <w:highlight w:val="none"/>
        </w:rPr>
        <w:t>14.3 适用于甲方的例外情况</w:t>
      </w:r>
      <w:bookmarkEnd w:id="340"/>
      <w:bookmarkEnd w:id="341"/>
    </w:p>
    <w:p>
      <w:pPr>
        <w:pStyle w:val="56"/>
        <w:tabs>
          <w:tab w:val="left" w:pos="420"/>
        </w:tabs>
        <w:spacing w:beforeLines="50"/>
        <w:ind w:firstLine="567"/>
        <w:rPr>
          <w:rFonts w:ascii="宋体" w:hAnsi="宋体"/>
          <w:sz w:val="20"/>
          <w:highlight w:val="none"/>
        </w:rPr>
      </w:pPr>
      <w:r>
        <w:rPr>
          <w:rFonts w:hint="eastAsia" w:ascii="宋体" w:hAnsi="宋体"/>
          <w:sz w:val="20"/>
          <w:highlight w:val="none"/>
        </w:rPr>
        <w:t>甲方无权将任何下述情况视作不可抗力事件而终止履行其运营服务协议项下的义务或作为其不履行协议项下义务的理由：</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（a）政府部门实行的封锁、进口限制或配额限制；</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（b）对项目设施或其任何部分实行国有化或征收；</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（c）法律变更；</w:t>
      </w:r>
    </w:p>
    <w:p>
      <w:pPr>
        <w:pStyle w:val="56"/>
        <w:keepNext/>
        <w:keepLines/>
        <w:spacing w:before="120" w:after="120"/>
        <w:ind w:firstLine="500"/>
        <w:outlineLvl w:val="4"/>
        <w:rPr>
          <w:rFonts w:ascii="宋体" w:hAnsi="宋体"/>
          <w:b/>
          <w:szCs w:val="20"/>
          <w:highlight w:val="none"/>
        </w:rPr>
      </w:pPr>
      <w:bookmarkStart w:id="342" w:name="_Toc202676969"/>
      <w:bookmarkStart w:id="343" w:name="_Toc246596712"/>
      <w:r>
        <w:rPr>
          <w:rFonts w:hint="eastAsia" w:ascii="宋体" w:hAnsi="宋体"/>
          <w:b/>
          <w:szCs w:val="20"/>
          <w:highlight w:val="none"/>
        </w:rPr>
        <w:t>14.4 通知程序</w:t>
      </w:r>
      <w:bookmarkEnd w:id="342"/>
      <w:bookmarkEnd w:id="343"/>
    </w:p>
    <w:p>
      <w:pPr>
        <w:pStyle w:val="56"/>
        <w:tabs>
          <w:tab w:val="left" w:pos="420"/>
        </w:tabs>
        <w:spacing w:beforeLines="50"/>
        <w:ind w:firstLine="567"/>
        <w:rPr>
          <w:rFonts w:ascii="宋体" w:hAnsi="宋体"/>
          <w:sz w:val="20"/>
          <w:highlight w:val="none"/>
        </w:rPr>
      </w:pPr>
      <w:r>
        <w:rPr>
          <w:rFonts w:hint="eastAsia" w:ascii="宋体" w:hAnsi="宋体"/>
          <w:sz w:val="20"/>
          <w:highlight w:val="none"/>
        </w:rPr>
        <w:t>声称受到不可抗力影响的一方应在知道不可抗力事件发生之后及时书面通知另一方有关不可抗力事件的发生和可能产生的影响，包括该不可抗力事件发生</w:t>
      </w:r>
      <w:bookmarkStart w:id="344" w:name="_Hlt212827913"/>
      <w:bookmarkEnd w:id="344"/>
      <w:r>
        <w:rPr>
          <w:rFonts w:hint="eastAsia" w:ascii="宋体" w:hAnsi="宋体"/>
          <w:sz w:val="20"/>
          <w:highlight w:val="none"/>
        </w:rPr>
        <w:t>的日期和预计停止的事件，以及对该方履行在运营服务协议项下义务的影响。声称受到不可抗力影响的一方还应提供另一方可能合理要求的证明。</w:t>
      </w:r>
    </w:p>
    <w:p>
      <w:pPr>
        <w:pStyle w:val="56"/>
        <w:keepNext/>
        <w:keepLines/>
        <w:spacing w:before="120" w:after="120"/>
        <w:ind w:firstLine="500"/>
        <w:outlineLvl w:val="4"/>
        <w:rPr>
          <w:rFonts w:ascii="宋体" w:hAnsi="宋体"/>
          <w:b/>
          <w:szCs w:val="20"/>
          <w:highlight w:val="none"/>
        </w:rPr>
      </w:pPr>
      <w:bookmarkStart w:id="345" w:name="_Toc246596713"/>
      <w:bookmarkStart w:id="346" w:name="_Toc202676970"/>
      <w:r>
        <w:rPr>
          <w:rFonts w:hint="eastAsia" w:ascii="宋体" w:hAnsi="宋体"/>
          <w:b/>
          <w:szCs w:val="20"/>
          <w:highlight w:val="none"/>
        </w:rPr>
        <w:t>14.5 费用及时间表的修改</w:t>
      </w:r>
      <w:bookmarkEnd w:id="345"/>
      <w:bookmarkEnd w:id="346"/>
    </w:p>
    <w:p>
      <w:pPr>
        <w:pStyle w:val="56"/>
        <w:tabs>
          <w:tab w:val="left" w:pos="420"/>
        </w:tabs>
        <w:spacing w:beforeLines="50"/>
        <w:ind w:firstLine="567"/>
        <w:rPr>
          <w:rFonts w:ascii="宋体" w:hAnsi="宋体"/>
          <w:sz w:val="20"/>
          <w:highlight w:val="none"/>
        </w:rPr>
      </w:pPr>
      <w:r>
        <w:rPr>
          <w:rFonts w:hint="eastAsia" w:ascii="宋体" w:hAnsi="宋体"/>
          <w:sz w:val="20"/>
          <w:highlight w:val="none"/>
        </w:rPr>
        <w:t>发生不可抗力时：</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a）双方应各自承担由于不可抗力情况对其造成的支出；</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b）甲方应根据运营服务协议第14.6条向乙方支付一定的运营服务费；</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c）如果声称遭受不可抗力影响的一方已履行了第14.4条的通知程序，则应受影响方要求，运营服务协议规定的履行某项义务的任何期限应根据不可抗力对履行该项义务产生影响相同时间相应顺延。</w:t>
      </w:r>
    </w:p>
    <w:p>
      <w:pPr>
        <w:pStyle w:val="56"/>
        <w:keepNext/>
        <w:keepLines/>
        <w:spacing w:before="120" w:after="120"/>
        <w:ind w:firstLine="500"/>
        <w:outlineLvl w:val="4"/>
        <w:rPr>
          <w:rFonts w:ascii="宋体" w:hAnsi="宋体"/>
          <w:b/>
          <w:szCs w:val="20"/>
          <w:highlight w:val="none"/>
        </w:rPr>
      </w:pPr>
      <w:bookmarkStart w:id="347" w:name="_Toc202676971"/>
      <w:bookmarkStart w:id="348" w:name="_Toc246596714"/>
      <w:r>
        <w:rPr>
          <w:rFonts w:hint="eastAsia" w:ascii="宋体" w:hAnsi="宋体"/>
          <w:b/>
          <w:szCs w:val="20"/>
          <w:highlight w:val="none"/>
        </w:rPr>
        <w:t>14.6 不可抗力期间的付款</w:t>
      </w:r>
      <w:bookmarkEnd w:id="347"/>
      <w:bookmarkEnd w:id="348"/>
    </w:p>
    <w:p>
      <w:pPr>
        <w:pStyle w:val="56"/>
        <w:tabs>
          <w:tab w:val="left" w:pos="420"/>
        </w:tabs>
        <w:spacing w:beforeLines="50"/>
        <w:ind w:firstLine="567"/>
        <w:rPr>
          <w:rFonts w:ascii="宋体" w:hAnsi="宋体"/>
          <w:sz w:val="20"/>
          <w:highlight w:val="none"/>
        </w:rPr>
      </w:pPr>
      <w:r>
        <w:rPr>
          <w:rFonts w:hint="eastAsia" w:ascii="宋体" w:hAnsi="宋体"/>
          <w:sz w:val="20"/>
          <w:highlight w:val="none"/>
        </w:rPr>
        <w:t>在运营期内，如果乙方按照第14.4条的规定发出通知，说明由于发生了不可抗力，该不可抗力影响乙方全部或部分履行其按第5章处理达到出水水质标准的义务，则在上述不可抗力发生或持续的每个月或其部分时间内（但以第14.9条为前提），甲方应按照</w:t>
      </w:r>
      <w:r>
        <w:rPr>
          <w:highlight w:val="none"/>
        </w:rPr>
        <w:fldChar w:fldCharType="begin"/>
      </w:r>
      <w:r>
        <w:rPr>
          <w:highlight w:val="none"/>
        </w:rPr>
        <w:instrText xml:space="preserve"> HYPERLINK \l "_附录1_污水处理服务费的计算" </w:instrText>
      </w:r>
      <w:r>
        <w:rPr>
          <w:highlight w:val="none"/>
        </w:rPr>
        <w:fldChar w:fldCharType="separate"/>
      </w:r>
      <w:r>
        <w:rPr>
          <w:rFonts w:hint="eastAsia" w:ascii="宋体" w:hAnsi="宋体"/>
          <w:sz w:val="20"/>
          <w:szCs w:val="20"/>
          <w:highlight w:val="none"/>
        </w:rPr>
        <w:t>附录1</w:t>
      </w:r>
      <w:r>
        <w:rPr>
          <w:rFonts w:hint="eastAsia" w:ascii="宋体" w:hAnsi="宋体"/>
          <w:sz w:val="20"/>
          <w:szCs w:val="20"/>
          <w:highlight w:val="none"/>
        </w:rPr>
        <w:fldChar w:fldCharType="end"/>
      </w:r>
      <w:r>
        <w:rPr>
          <w:rFonts w:hint="eastAsia" w:ascii="宋体" w:hAnsi="宋体"/>
          <w:sz w:val="20"/>
          <w:highlight w:val="none"/>
        </w:rPr>
        <w:t>《运营服务费的计算》中的有关不可抗力期间的付费公式支付相应的运营服务费或停产补偿费用。</w:t>
      </w:r>
    </w:p>
    <w:p>
      <w:pPr>
        <w:pStyle w:val="56"/>
        <w:keepNext/>
        <w:keepLines/>
        <w:spacing w:before="120" w:after="120"/>
        <w:ind w:firstLine="500"/>
        <w:outlineLvl w:val="4"/>
        <w:rPr>
          <w:rFonts w:ascii="宋体" w:hAnsi="宋体"/>
          <w:b/>
          <w:szCs w:val="20"/>
          <w:highlight w:val="none"/>
        </w:rPr>
      </w:pPr>
      <w:bookmarkStart w:id="349" w:name="_Toc246596715"/>
      <w:bookmarkStart w:id="350" w:name="_Toc202676972"/>
      <w:r>
        <w:rPr>
          <w:rFonts w:hint="eastAsia" w:ascii="宋体" w:hAnsi="宋体"/>
          <w:b/>
          <w:szCs w:val="20"/>
          <w:highlight w:val="none"/>
        </w:rPr>
        <w:t>14.7 减少损失和协商的责任</w:t>
      </w:r>
      <w:bookmarkEnd w:id="349"/>
      <w:bookmarkEnd w:id="350"/>
    </w:p>
    <w:p>
      <w:pPr>
        <w:pStyle w:val="56"/>
        <w:tabs>
          <w:tab w:val="left" w:pos="420"/>
        </w:tabs>
        <w:spacing w:beforeLines="50"/>
        <w:ind w:firstLine="567"/>
        <w:rPr>
          <w:rFonts w:ascii="宋体" w:hAnsi="宋体"/>
          <w:sz w:val="20"/>
          <w:highlight w:val="none"/>
        </w:rPr>
      </w:pPr>
      <w:r>
        <w:rPr>
          <w:rFonts w:hint="eastAsia" w:ascii="宋体" w:hAnsi="宋体"/>
          <w:sz w:val="20"/>
          <w:highlight w:val="none"/>
        </w:rPr>
        <w:t>受到不可抗力影响的一方应尽合理的努力减少不可抗力的影响，包括为采取有效的措施支付合理的金额。双方应协商制定并实施补救计划及合理的替代措施以消除不可抗力，并确定为减少不可抗力给每一方带来的损失应采取的合理措施。声称遭受不可抗力的一方在不可抗力消除之后应尽快恢复履行运营服务协议项下的义务。</w:t>
      </w:r>
    </w:p>
    <w:p>
      <w:pPr>
        <w:pStyle w:val="56"/>
        <w:keepNext/>
        <w:keepLines/>
        <w:spacing w:before="120" w:after="120"/>
        <w:ind w:firstLine="500"/>
        <w:outlineLvl w:val="4"/>
        <w:rPr>
          <w:rFonts w:ascii="宋体" w:hAnsi="宋体"/>
          <w:b/>
          <w:szCs w:val="20"/>
          <w:highlight w:val="none"/>
        </w:rPr>
      </w:pPr>
      <w:bookmarkStart w:id="351" w:name="_Toc246596716"/>
      <w:bookmarkStart w:id="352" w:name="_Toc202676973"/>
      <w:r>
        <w:rPr>
          <w:rFonts w:hint="eastAsia" w:ascii="宋体" w:hAnsi="宋体"/>
          <w:b/>
          <w:szCs w:val="20"/>
          <w:highlight w:val="none"/>
        </w:rPr>
        <w:t>14.8 不可抗力造成的终止</w:t>
      </w:r>
      <w:bookmarkEnd w:id="351"/>
      <w:bookmarkEnd w:id="352"/>
    </w:p>
    <w:p>
      <w:pPr>
        <w:pStyle w:val="56"/>
        <w:tabs>
          <w:tab w:val="left" w:pos="420"/>
        </w:tabs>
        <w:spacing w:beforeLines="50"/>
        <w:ind w:firstLine="567"/>
        <w:rPr>
          <w:rFonts w:ascii="宋体" w:hAnsi="宋体"/>
          <w:sz w:val="20"/>
          <w:highlight w:val="none"/>
        </w:rPr>
      </w:pPr>
      <w:r>
        <w:rPr>
          <w:rFonts w:hint="eastAsia" w:ascii="宋体" w:hAnsi="宋体"/>
          <w:sz w:val="20"/>
          <w:highlight w:val="none"/>
        </w:rPr>
        <w:t>如果任何不可抗力事件阻止一方履行其义务的时间自该不可抗力事件发生日起连续超过六十（60）天，双方应协商决定继续履行运营服务协议的条件或者同意终止运营服务协议。如果自不可抗力发生后九十（90）天之内双方不能就继续履行的条件或终止运营服务协议达成一致意见，任何一方可以在给予另一方书面通知后终止运营服务协议。</w:t>
      </w:r>
    </w:p>
    <w:p>
      <w:pPr>
        <w:pStyle w:val="56"/>
        <w:keepNext/>
        <w:keepLines/>
        <w:spacing w:before="120" w:after="120"/>
        <w:ind w:firstLine="500"/>
        <w:outlineLvl w:val="4"/>
        <w:rPr>
          <w:rFonts w:ascii="宋体" w:hAnsi="宋体"/>
          <w:b/>
          <w:szCs w:val="20"/>
          <w:highlight w:val="none"/>
        </w:rPr>
      </w:pPr>
      <w:bookmarkStart w:id="353" w:name="_Toc202676974"/>
      <w:bookmarkStart w:id="354" w:name="_Toc246596717"/>
      <w:r>
        <w:rPr>
          <w:rFonts w:hint="eastAsia" w:ascii="宋体" w:hAnsi="宋体"/>
          <w:b/>
          <w:szCs w:val="20"/>
          <w:highlight w:val="none"/>
        </w:rPr>
        <w:t>14.9 法律变更阻止履约</w:t>
      </w:r>
      <w:bookmarkEnd w:id="353"/>
      <w:bookmarkEnd w:id="354"/>
    </w:p>
    <w:p>
      <w:pPr>
        <w:pStyle w:val="56"/>
        <w:tabs>
          <w:tab w:val="left" w:pos="420"/>
        </w:tabs>
        <w:spacing w:beforeLines="50"/>
        <w:ind w:firstLine="567"/>
        <w:rPr>
          <w:rFonts w:ascii="宋体" w:hAnsi="宋体"/>
          <w:sz w:val="20"/>
          <w:highlight w:val="none"/>
        </w:rPr>
      </w:pPr>
      <w:r>
        <w:rPr>
          <w:rFonts w:hint="eastAsia" w:ascii="宋体" w:hAnsi="宋体"/>
          <w:sz w:val="20"/>
          <w:highlight w:val="none"/>
        </w:rPr>
        <w:t>如果由于法律变更且符合第14.1条规定的标准，致使乙方不能履行其在运营服务协议项下的义务：</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a）乙方有权终止履行其在运营服务协议项下的义务；</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b）发生在开始运营之后的法律变更应视为第</w:t>
      </w:r>
      <w:r>
        <w:rPr>
          <w:highlight w:val="none"/>
        </w:rPr>
        <w:fldChar w:fldCharType="begin"/>
      </w:r>
      <w:r>
        <w:rPr>
          <w:highlight w:val="none"/>
        </w:rPr>
        <w:instrText xml:space="preserve"> HYPERLINK \l "_14.1_不可抗力引起的终止履行" </w:instrText>
      </w:r>
      <w:r>
        <w:rPr>
          <w:highlight w:val="none"/>
        </w:rPr>
        <w:fldChar w:fldCharType="separate"/>
      </w:r>
      <w:r>
        <w:rPr>
          <w:rFonts w:hint="eastAsia" w:ascii="宋体" w:hAnsi="宋体"/>
          <w:sz w:val="20"/>
          <w:szCs w:val="20"/>
          <w:highlight w:val="none"/>
        </w:rPr>
        <w:t>14.1</w:t>
      </w:r>
      <w:r>
        <w:rPr>
          <w:rFonts w:hint="eastAsia" w:ascii="宋体" w:hAnsi="宋体"/>
          <w:sz w:val="20"/>
          <w:szCs w:val="20"/>
          <w:highlight w:val="none"/>
        </w:rPr>
        <w:fldChar w:fldCharType="end"/>
      </w:r>
      <w:r>
        <w:rPr>
          <w:rFonts w:hint="eastAsia" w:ascii="宋体" w:hAnsi="宋体"/>
          <w:sz w:val="20"/>
          <w:highlight w:val="none"/>
        </w:rPr>
        <w:t>条所述的导致付款的事件；</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c）第14.4、14.5、14.6、14.7和14.8条的规定应予以适用，如同该等法律变更是不可抗力事件；并且</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d）该等法律变更应被视作包含在运营服务协议中任何其它地方提及的不可抗力事件中，如同是第</w:t>
      </w:r>
      <w:r>
        <w:rPr>
          <w:highlight w:val="none"/>
        </w:rPr>
        <w:fldChar w:fldCharType="begin"/>
      </w:r>
      <w:r>
        <w:rPr>
          <w:highlight w:val="none"/>
        </w:rPr>
        <w:instrText xml:space="preserve"> HYPERLINK \l "_13.1_不可抗力引起的终止履行" </w:instrText>
      </w:r>
      <w:r>
        <w:rPr>
          <w:highlight w:val="none"/>
        </w:rPr>
        <w:fldChar w:fldCharType="separate"/>
      </w:r>
      <w:r>
        <w:rPr>
          <w:rFonts w:hint="eastAsia" w:ascii="宋体" w:hAnsi="宋体"/>
          <w:sz w:val="20"/>
          <w:szCs w:val="20"/>
          <w:highlight w:val="none"/>
        </w:rPr>
        <w:t>14.1</w:t>
      </w:r>
      <w:r>
        <w:rPr>
          <w:rFonts w:hint="eastAsia" w:ascii="宋体" w:hAnsi="宋体"/>
          <w:sz w:val="20"/>
          <w:szCs w:val="20"/>
          <w:highlight w:val="none"/>
        </w:rPr>
        <w:fldChar w:fldCharType="end"/>
      </w:r>
      <w:r>
        <w:rPr>
          <w:rFonts w:hint="eastAsia" w:ascii="宋体" w:hAnsi="宋体"/>
          <w:sz w:val="20"/>
          <w:highlight w:val="none"/>
        </w:rPr>
        <w:t>条所列的一项不可抗力事件。</w:t>
      </w:r>
    </w:p>
    <w:p>
      <w:pPr>
        <w:pStyle w:val="56"/>
        <w:tabs>
          <w:tab w:val="left" w:pos="420"/>
        </w:tabs>
        <w:spacing w:beforeLines="50"/>
        <w:ind w:firstLine="567"/>
        <w:rPr>
          <w:rFonts w:ascii="宋体" w:hAnsi="宋体"/>
          <w:sz w:val="20"/>
          <w:highlight w:val="none"/>
        </w:rPr>
      </w:pPr>
      <w:r>
        <w:rPr>
          <w:rFonts w:hint="eastAsia" w:ascii="宋体" w:hAnsi="宋体"/>
          <w:sz w:val="20"/>
          <w:highlight w:val="none"/>
          <w:u w:val="single"/>
        </w:rPr>
        <w:t>但法律变更导致乙方运营成本增加或预期收入降低不应视作不可抗力事件。</w:t>
      </w:r>
    </w:p>
    <w:p>
      <w:pPr>
        <w:pStyle w:val="56"/>
        <w:widowControl w:val="0"/>
        <w:spacing w:beforeLines="50"/>
        <w:jc w:val="center"/>
        <w:rPr>
          <w:rFonts w:ascii="新宋体" w:hAnsi="新宋体" w:eastAsia="新宋体" w:cs="新宋体"/>
          <w:b/>
          <w:kern w:val="2"/>
          <w:sz w:val="28"/>
          <w:szCs w:val="28"/>
          <w:highlight w:val="none"/>
        </w:rPr>
      </w:pPr>
      <w:bookmarkStart w:id="355" w:name="_Hlt212820743"/>
      <w:bookmarkEnd w:id="355"/>
      <w:bookmarkStart w:id="356" w:name="_第十五章__终止"/>
      <w:bookmarkEnd w:id="356"/>
      <w:bookmarkStart w:id="357" w:name="_Toc246596718"/>
      <w:r>
        <w:rPr>
          <w:rFonts w:hint="eastAsia" w:ascii="新宋体" w:hAnsi="新宋体" w:eastAsia="新宋体" w:cs="新宋体"/>
          <w:b/>
          <w:kern w:val="2"/>
          <w:sz w:val="28"/>
          <w:szCs w:val="28"/>
          <w:highlight w:val="none"/>
        </w:rPr>
        <w:t xml:space="preserve">第十五节  </w:t>
      </w:r>
      <w:bookmarkStart w:id="358" w:name="_Toc202676975"/>
      <w:r>
        <w:rPr>
          <w:rFonts w:hint="eastAsia" w:ascii="新宋体" w:hAnsi="新宋体" w:eastAsia="新宋体" w:cs="新宋体"/>
          <w:b/>
          <w:kern w:val="2"/>
          <w:sz w:val="28"/>
          <w:szCs w:val="28"/>
          <w:highlight w:val="none"/>
        </w:rPr>
        <w:t>终止</w:t>
      </w:r>
      <w:bookmarkEnd w:id="357"/>
      <w:bookmarkEnd w:id="358"/>
    </w:p>
    <w:p>
      <w:pPr>
        <w:pStyle w:val="56"/>
        <w:keepNext/>
        <w:keepLines/>
        <w:spacing w:before="120" w:after="120"/>
        <w:ind w:firstLine="500"/>
        <w:outlineLvl w:val="4"/>
        <w:rPr>
          <w:rFonts w:ascii="宋体" w:hAnsi="宋体"/>
          <w:b/>
          <w:szCs w:val="20"/>
          <w:highlight w:val="none"/>
        </w:rPr>
      </w:pPr>
      <w:bookmarkStart w:id="359" w:name="_15.1_终止事件"/>
      <w:bookmarkEnd w:id="359"/>
      <w:bookmarkStart w:id="360" w:name="_Toc202676976"/>
      <w:bookmarkStart w:id="361" w:name="_Toc246596719"/>
      <w:r>
        <w:rPr>
          <w:rFonts w:hint="eastAsia" w:ascii="宋体" w:hAnsi="宋体"/>
          <w:b/>
          <w:szCs w:val="20"/>
          <w:highlight w:val="none"/>
        </w:rPr>
        <w:t>15.1 终止事件</w:t>
      </w:r>
      <w:bookmarkEnd w:id="360"/>
      <w:bookmarkEnd w:id="361"/>
    </w:p>
    <w:p>
      <w:pPr>
        <w:pStyle w:val="56"/>
        <w:tabs>
          <w:tab w:val="left" w:pos="420"/>
        </w:tabs>
        <w:spacing w:beforeLines="50"/>
        <w:ind w:firstLine="567"/>
        <w:rPr>
          <w:rFonts w:ascii="宋体" w:hAnsi="宋体"/>
          <w:sz w:val="20"/>
          <w:highlight w:val="none"/>
        </w:rPr>
      </w:pPr>
      <w:r>
        <w:rPr>
          <w:rFonts w:hint="eastAsia" w:ascii="宋体" w:hAnsi="宋体"/>
          <w:sz w:val="20"/>
          <w:highlight w:val="none"/>
        </w:rPr>
        <w:t xml:space="preserve">运营服务协议应在下述任一事件最先发生之时终止： </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根据第14.8条，由于不可抗力事件终止运营服务协议；</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根据第15.2条规定，在乙方违约事件后，甲方终止运营服务协议；</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根据第15.3条规定，在甲方违约事件后，乙方终止运营服务协议。</w:t>
      </w:r>
    </w:p>
    <w:p>
      <w:pPr>
        <w:pStyle w:val="56"/>
        <w:keepNext/>
        <w:keepLines/>
        <w:spacing w:before="120" w:after="120"/>
        <w:ind w:firstLine="500"/>
        <w:outlineLvl w:val="4"/>
        <w:rPr>
          <w:rFonts w:ascii="宋体" w:hAnsi="宋体"/>
          <w:b/>
          <w:szCs w:val="20"/>
          <w:highlight w:val="none"/>
        </w:rPr>
      </w:pPr>
      <w:bookmarkStart w:id="362" w:name="_15.2_项目公司违约事件"/>
      <w:bookmarkEnd w:id="362"/>
      <w:bookmarkStart w:id="363" w:name="_Hlt212313795"/>
      <w:bookmarkEnd w:id="363"/>
      <w:bookmarkStart w:id="364" w:name="_Toc202676977"/>
      <w:bookmarkStart w:id="365" w:name="_Toc246596720"/>
      <w:r>
        <w:rPr>
          <w:rFonts w:hint="eastAsia" w:ascii="宋体" w:hAnsi="宋体"/>
          <w:b/>
          <w:szCs w:val="20"/>
          <w:highlight w:val="none"/>
        </w:rPr>
        <w:t>15.2 乙方违约事件</w:t>
      </w:r>
      <w:bookmarkEnd w:id="364"/>
      <w:bookmarkEnd w:id="365"/>
    </w:p>
    <w:p>
      <w:pPr>
        <w:pStyle w:val="56"/>
        <w:tabs>
          <w:tab w:val="left" w:pos="420"/>
        </w:tabs>
        <w:spacing w:beforeLines="50"/>
        <w:ind w:firstLine="567"/>
        <w:rPr>
          <w:rFonts w:ascii="宋体" w:hAnsi="宋体"/>
          <w:sz w:val="20"/>
          <w:highlight w:val="none"/>
        </w:rPr>
      </w:pPr>
      <w:r>
        <w:rPr>
          <w:rFonts w:hint="eastAsia" w:ascii="宋体" w:hAnsi="宋体"/>
          <w:sz w:val="20"/>
          <w:highlight w:val="none"/>
        </w:rPr>
        <w:t>下述每一条款所述事件，如果不是由于甲方或不可抗力所致并且未在允许的时间（如有）内得到改正，应视为乙方违约事件，甲方有权立即发出终止意向通知：</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a）在任何一个运营年，除经批准的项目设施正常大修期间外，在进水达标的情况下出水未达到出水水质标准的情况累计超过十（10）个运营日或连续三（3）个运营日的；</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b）受限于第</w:t>
      </w:r>
      <w:r>
        <w:rPr>
          <w:highlight w:val="none"/>
        </w:rPr>
        <w:fldChar w:fldCharType="begin"/>
      </w:r>
      <w:r>
        <w:rPr>
          <w:highlight w:val="none"/>
        </w:rPr>
        <w:instrText xml:space="preserve"> HYPERLINK \l "_8.2__紧急削减或关闭" </w:instrText>
      </w:r>
      <w:r>
        <w:rPr>
          <w:highlight w:val="none"/>
        </w:rPr>
        <w:fldChar w:fldCharType="separate"/>
      </w:r>
      <w:r>
        <w:rPr>
          <w:rFonts w:hint="eastAsia" w:ascii="宋体" w:hAnsi="宋体"/>
          <w:sz w:val="20"/>
          <w:szCs w:val="20"/>
          <w:highlight w:val="none"/>
        </w:rPr>
        <w:t>8</w:t>
      </w:r>
      <w:bookmarkStart w:id="366" w:name="_Hlt212826996"/>
      <w:r>
        <w:rPr>
          <w:rFonts w:hint="eastAsia" w:ascii="宋体" w:hAnsi="宋体"/>
          <w:sz w:val="20"/>
          <w:szCs w:val="20"/>
          <w:highlight w:val="none"/>
        </w:rPr>
        <w:t>.</w:t>
      </w:r>
      <w:bookmarkEnd w:id="366"/>
      <w:r>
        <w:rPr>
          <w:rFonts w:hint="eastAsia" w:ascii="宋体" w:hAnsi="宋体"/>
          <w:sz w:val="20"/>
          <w:szCs w:val="20"/>
          <w:highlight w:val="none"/>
        </w:rPr>
        <w:t>2</w:t>
      </w:r>
      <w:r>
        <w:rPr>
          <w:rFonts w:hint="eastAsia" w:ascii="宋体" w:hAnsi="宋体"/>
          <w:sz w:val="20"/>
          <w:szCs w:val="20"/>
          <w:highlight w:val="none"/>
        </w:rPr>
        <w:fldChar w:fldCharType="end"/>
      </w:r>
      <w:r>
        <w:rPr>
          <w:rFonts w:hint="eastAsia" w:ascii="宋体" w:hAnsi="宋体"/>
          <w:sz w:val="20"/>
          <w:highlight w:val="none"/>
        </w:rPr>
        <w:t>条、第8.3条，</w:t>
      </w:r>
      <w:bookmarkStart w:id="367" w:name="_Hlt212697360"/>
      <w:bookmarkEnd w:id="367"/>
      <w:r>
        <w:rPr>
          <w:rFonts w:hint="eastAsia" w:ascii="宋体" w:hAnsi="宋体"/>
          <w:sz w:val="20"/>
          <w:highlight w:val="none"/>
        </w:rPr>
        <w:t>乙方暂停项目设施运营连续达到十五（15）天；</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c）乙方未能根据运营服务协议运营和维护项目设施，致使在项目场地或附近的人员和财产的安全受到严重不良影响或产生严重不良后果；</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d）乙方依中国法律清算或其资不抵债；</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e）项目流动资金贷款人开始实施其在担保协议项下的担保权利并足以影响到项目设施的正常运行；</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f）乙方在运营服务协议中作的声明被证明在提供时严重有误，使其履行运营服务协议项下义务的能力受到严重不利影响；</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g）乙方及其雇员蓄意损坏或破坏甲方进水管网的任何部分；</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h）乙方未能履行其在运营服务协议项下的任何其它义务而构成对运营服务协议的重大违约，并且乙方在收到甲方发出说明该违约的书面通知和要求其对此进行补救后的二十（20）天之内未能补救；</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i) 未经过甲方书面批准同意，乙方的任何变动足以影响运营服务协议的履行；</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j) 以及不经过甲方同意的削减和暂停也可作为乙方的违约事件（运营服务协议第8.2款及8.5.2款规定的情形除外）。</w:t>
      </w:r>
    </w:p>
    <w:p>
      <w:pPr>
        <w:pStyle w:val="56"/>
        <w:tabs>
          <w:tab w:val="left" w:pos="420"/>
        </w:tabs>
        <w:spacing w:beforeLines="50"/>
        <w:ind w:firstLine="567"/>
        <w:rPr>
          <w:rFonts w:ascii="宋体" w:hAnsi="宋体"/>
          <w:sz w:val="20"/>
          <w:highlight w:val="none"/>
          <w:u w:val="single"/>
        </w:rPr>
      </w:pPr>
      <w:r>
        <w:rPr>
          <w:rFonts w:hint="eastAsia" w:ascii="宋体" w:hAnsi="宋体"/>
          <w:sz w:val="20"/>
          <w:highlight w:val="none"/>
          <w:u w:val="single"/>
        </w:rPr>
        <w:t>k）无论何种原因，乙方受到环保主管部门处罚累计二（2）次及以上，或同一（1）运营年度被通报累计二（2）次及以上，或使甲方可能承担任何环保（法律）风险，则视为乙方违约。</w:t>
      </w:r>
    </w:p>
    <w:p>
      <w:pPr>
        <w:pStyle w:val="56"/>
        <w:tabs>
          <w:tab w:val="left" w:pos="420"/>
        </w:tabs>
        <w:spacing w:beforeLines="50"/>
        <w:ind w:firstLine="567"/>
        <w:rPr>
          <w:rFonts w:ascii="宋体" w:hAnsi="宋体"/>
          <w:sz w:val="20"/>
          <w:highlight w:val="none"/>
          <w:u w:val="single"/>
        </w:rPr>
      </w:pPr>
      <w:r>
        <w:rPr>
          <w:rFonts w:hint="eastAsia" w:ascii="宋体" w:hAnsi="宋体"/>
          <w:sz w:val="20"/>
          <w:highlight w:val="none"/>
          <w:u w:val="single"/>
        </w:rPr>
        <w:t>l）本项目通水试运行之日起六个月内未通过环保验收的，排除进水量不足、进水严重超标因素的。</w:t>
      </w:r>
    </w:p>
    <w:p>
      <w:pPr>
        <w:pStyle w:val="56"/>
        <w:tabs>
          <w:tab w:val="left" w:pos="420"/>
        </w:tabs>
        <w:spacing w:beforeLines="50"/>
        <w:ind w:firstLine="567"/>
        <w:rPr>
          <w:rFonts w:ascii="宋体" w:hAnsi="宋体"/>
          <w:sz w:val="20"/>
          <w:highlight w:val="none"/>
          <w:u w:val="single"/>
        </w:rPr>
      </w:pPr>
      <w:r>
        <w:rPr>
          <w:rFonts w:hint="eastAsia" w:ascii="宋体" w:hAnsi="宋体"/>
          <w:sz w:val="20"/>
          <w:highlight w:val="none"/>
          <w:u w:val="single"/>
        </w:rPr>
        <w:t>m)第20.10款规定的情形。</w:t>
      </w:r>
    </w:p>
    <w:p>
      <w:pPr>
        <w:pStyle w:val="56"/>
        <w:keepNext/>
        <w:keepLines/>
        <w:spacing w:before="120" w:after="120"/>
        <w:ind w:firstLine="500"/>
        <w:outlineLvl w:val="4"/>
        <w:rPr>
          <w:rFonts w:ascii="宋体" w:hAnsi="宋体"/>
          <w:b/>
          <w:szCs w:val="20"/>
          <w:highlight w:val="none"/>
        </w:rPr>
      </w:pPr>
      <w:bookmarkStart w:id="368" w:name="_15.3_市水务局违约事件"/>
      <w:bookmarkEnd w:id="368"/>
      <w:bookmarkStart w:id="369" w:name="_Toc202676978"/>
      <w:bookmarkStart w:id="370" w:name="_Toc246596721"/>
      <w:r>
        <w:rPr>
          <w:rFonts w:hint="eastAsia" w:ascii="宋体" w:hAnsi="宋体"/>
          <w:b/>
          <w:szCs w:val="20"/>
          <w:highlight w:val="none"/>
        </w:rPr>
        <w:t>15.3 甲方违约事件</w:t>
      </w:r>
      <w:bookmarkEnd w:id="369"/>
      <w:bookmarkEnd w:id="370"/>
    </w:p>
    <w:p>
      <w:pPr>
        <w:pStyle w:val="56"/>
        <w:tabs>
          <w:tab w:val="left" w:pos="420"/>
        </w:tabs>
        <w:spacing w:beforeLines="50"/>
        <w:ind w:firstLine="567"/>
        <w:rPr>
          <w:rFonts w:ascii="宋体" w:hAnsi="宋体"/>
          <w:sz w:val="20"/>
          <w:highlight w:val="none"/>
        </w:rPr>
      </w:pPr>
      <w:r>
        <w:rPr>
          <w:rFonts w:hint="eastAsia" w:ascii="宋体" w:hAnsi="宋体"/>
          <w:sz w:val="20"/>
          <w:highlight w:val="none"/>
        </w:rPr>
        <w:t>下述所述事件，如果不是由于乙方违约事件或不可抗力所致，并且未能在允许的时间（如有）内得到补救，应视为甲方违约事件，乙方有权立即发出终止意向通知：</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甲方严重违反运营服务协议项下的义务，并在收到乙方发出说明此违约的书面通知和要求甲方就此进行补救的书面通知后九十（90）天内，甲方未能补救。</w:t>
      </w:r>
    </w:p>
    <w:p>
      <w:pPr>
        <w:pStyle w:val="56"/>
        <w:keepNext/>
        <w:keepLines/>
        <w:spacing w:before="120" w:after="120"/>
        <w:ind w:firstLine="500"/>
        <w:outlineLvl w:val="4"/>
        <w:rPr>
          <w:rFonts w:ascii="宋体" w:hAnsi="宋体"/>
          <w:b/>
          <w:szCs w:val="20"/>
          <w:highlight w:val="none"/>
        </w:rPr>
      </w:pPr>
      <w:bookmarkStart w:id="371" w:name="_15.4_终止意向通知"/>
      <w:bookmarkEnd w:id="371"/>
      <w:bookmarkStart w:id="372" w:name="_Toc202676979"/>
      <w:bookmarkStart w:id="373" w:name="_Toc246596722"/>
      <w:r>
        <w:rPr>
          <w:rFonts w:hint="eastAsia" w:ascii="宋体" w:hAnsi="宋体"/>
          <w:b/>
          <w:szCs w:val="20"/>
          <w:highlight w:val="none"/>
        </w:rPr>
        <w:t>15.4 终止意向通知</w:t>
      </w:r>
      <w:bookmarkEnd w:id="372"/>
      <w:bookmarkEnd w:id="373"/>
    </w:p>
    <w:p>
      <w:pPr>
        <w:pStyle w:val="56"/>
        <w:tabs>
          <w:tab w:val="left" w:pos="420"/>
        </w:tabs>
        <w:spacing w:beforeLines="50"/>
        <w:ind w:firstLine="567"/>
        <w:rPr>
          <w:rFonts w:ascii="宋体" w:hAnsi="宋体"/>
          <w:sz w:val="20"/>
          <w:highlight w:val="none"/>
        </w:rPr>
      </w:pPr>
      <w:r>
        <w:rPr>
          <w:rFonts w:hint="eastAsia" w:ascii="宋体" w:hAnsi="宋体"/>
          <w:sz w:val="20"/>
          <w:highlight w:val="none"/>
        </w:rPr>
        <w:t>任何终止意向通知均应适当详细说明导致发出该通知(“终止意向通知”)的违约事件情况。同时，任一方向另一方发出的任何终止意向通知应同时提交给乙方投资人一份复印件。在发出终止意向通知后，双方应在三十（30）天期限内，或双方书面同意的更长期内协商避免终止运营服务协议而应采取的措施。</w:t>
      </w:r>
    </w:p>
    <w:p>
      <w:pPr>
        <w:pStyle w:val="56"/>
        <w:keepNext/>
        <w:keepLines/>
        <w:spacing w:before="120" w:after="120"/>
        <w:ind w:firstLine="500"/>
        <w:outlineLvl w:val="4"/>
        <w:rPr>
          <w:rFonts w:ascii="宋体" w:hAnsi="宋体"/>
          <w:b/>
          <w:szCs w:val="20"/>
          <w:highlight w:val="none"/>
        </w:rPr>
      </w:pPr>
      <w:bookmarkStart w:id="374" w:name="_15.5_终止通知"/>
      <w:bookmarkEnd w:id="374"/>
      <w:bookmarkStart w:id="375" w:name="_Hlt212950169"/>
      <w:bookmarkEnd w:id="375"/>
      <w:bookmarkStart w:id="376" w:name="_Toc202676980"/>
      <w:bookmarkStart w:id="377" w:name="_Toc246596723"/>
      <w:r>
        <w:rPr>
          <w:rFonts w:hint="eastAsia" w:ascii="宋体" w:hAnsi="宋体"/>
          <w:b/>
          <w:szCs w:val="20"/>
          <w:highlight w:val="none"/>
        </w:rPr>
        <w:t>15.5 终止通知</w:t>
      </w:r>
      <w:bookmarkEnd w:id="376"/>
      <w:bookmarkEnd w:id="377"/>
    </w:p>
    <w:p>
      <w:pPr>
        <w:pStyle w:val="56"/>
        <w:tabs>
          <w:tab w:val="left" w:pos="420"/>
        </w:tabs>
        <w:spacing w:beforeLines="50"/>
        <w:ind w:firstLine="567"/>
        <w:rPr>
          <w:rFonts w:ascii="宋体" w:hAnsi="宋体"/>
          <w:sz w:val="20"/>
          <w:highlight w:val="none"/>
        </w:rPr>
      </w:pPr>
      <w:r>
        <w:rPr>
          <w:rFonts w:hint="eastAsia" w:ascii="宋体" w:hAnsi="宋体"/>
          <w:sz w:val="20"/>
          <w:highlight w:val="none"/>
        </w:rPr>
        <w:t>受第15.6条约束，在第15.4条规定的协商期满时，除非</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a）双方另外达成一致意见；或者</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b) 导致终止意向通知的乙方违约事件或甲方违约事件已得到补救。</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发出终止意向通知的一方可向另一方、乙方投资人和甲方相关部门发出通知（“终止通知”）并在上述各方收到通知后，立即终止运营服务协议。</w:t>
      </w:r>
    </w:p>
    <w:p>
      <w:pPr>
        <w:pStyle w:val="56"/>
        <w:keepNext/>
        <w:keepLines/>
        <w:spacing w:before="120" w:after="120"/>
        <w:ind w:firstLine="500"/>
        <w:outlineLvl w:val="4"/>
        <w:rPr>
          <w:rFonts w:ascii="宋体" w:hAnsi="宋体"/>
          <w:b/>
          <w:szCs w:val="20"/>
          <w:highlight w:val="none"/>
        </w:rPr>
      </w:pPr>
      <w:bookmarkStart w:id="378" w:name="_Toc246596724"/>
      <w:bookmarkStart w:id="379" w:name="_Toc10418"/>
      <w:r>
        <w:rPr>
          <w:rFonts w:hint="eastAsia" w:ascii="宋体" w:hAnsi="宋体"/>
          <w:b/>
          <w:szCs w:val="20"/>
          <w:highlight w:val="none"/>
        </w:rPr>
        <w:t>15.6 甲方的权利</w:t>
      </w:r>
      <w:bookmarkEnd w:id="378"/>
      <w:bookmarkEnd w:id="379"/>
    </w:p>
    <w:p>
      <w:pPr>
        <w:pStyle w:val="56"/>
        <w:tabs>
          <w:tab w:val="left" w:pos="420"/>
        </w:tabs>
        <w:spacing w:beforeLines="50"/>
        <w:ind w:firstLine="567"/>
        <w:rPr>
          <w:rFonts w:ascii="宋体" w:hAnsi="宋体"/>
          <w:sz w:val="20"/>
          <w:highlight w:val="none"/>
        </w:rPr>
      </w:pPr>
      <w:r>
        <w:rPr>
          <w:rFonts w:hint="eastAsia" w:ascii="宋体" w:hAnsi="宋体"/>
          <w:sz w:val="20"/>
          <w:highlight w:val="none"/>
        </w:rPr>
        <w:t>15.6.1 甲方接管运营项目设施</w:t>
      </w:r>
      <w:bookmarkStart w:id="380" w:name="_Hlt93385725"/>
      <w:bookmarkEnd w:id="380"/>
      <w:r>
        <w:rPr>
          <w:rFonts w:hint="eastAsia" w:ascii="宋体" w:hAnsi="宋体"/>
          <w:sz w:val="20"/>
          <w:highlight w:val="none"/>
        </w:rPr>
        <w:t>的权利</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(a) 在运营期内，如果乙方违约事件发生并持续，并对乙方根据运营服务协议运营和维护污水处理厂设施的能力产生严重不利影响，则在甲方发出终止意向通知之后并直至终止通知之间甲方或其指定机构有权，但无义务，替代乙方接管项目设施的运营，以使项目设施继续运营或完成任何必要的修理以保证项目设施不间断地收纳输送污水和处理进厂污水。在此情况下，乙方应承担与甲方或其指定机构合作的义务。</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(b) 任何情况下，甲方选择接管运营项目设施不应视为本项目运营权的转让或承担乙方作为项目设施运营权人的义务。</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(c) 在甲方或其指定机构运营项目设施期间，乙方无义务支付在甲方及其指定机构接管项目设施的运营之日以后发生的运营费用。在因乙方发生违约事件甲方发出终止意向通知之日起，甲方无义务向乙方支付任何服务费，直至乙方按照运营服务协议接替或承担项目设施的运营。</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(d) 甲方应有权在任何时候退出对项目设施的运营，在此情况下乙方应全面负责项目设施运营，直到任何一方发出正式终止通知。</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15.6.2甲方在任何时候终止运营服务协议的权利</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如果在乙方违约事件发生之后，甲方已发出终止意向通知，并且乙方违约事件在协商期满之日前未得以补救，则甲方应有权在上述日期之后的任何时候发出正式终止通知以终止运营服务协议。</w:t>
      </w:r>
    </w:p>
    <w:p>
      <w:pPr>
        <w:pStyle w:val="56"/>
        <w:tabs>
          <w:tab w:val="left" w:pos="420"/>
        </w:tabs>
        <w:spacing w:beforeLines="50"/>
        <w:ind w:firstLine="567"/>
        <w:rPr>
          <w:rFonts w:ascii="宋体" w:hAnsi="宋体"/>
          <w:b/>
          <w:sz w:val="20"/>
          <w:highlight w:val="none"/>
        </w:rPr>
      </w:pPr>
      <w:bookmarkStart w:id="381" w:name="_Hlt200158679"/>
      <w:bookmarkEnd w:id="381"/>
      <w:bookmarkStart w:id="382" w:name="_Toc246596725"/>
      <w:bookmarkStart w:id="383" w:name="_Toc13412"/>
      <w:r>
        <w:rPr>
          <w:rFonts w:hint="eastAsia" w:ascii="宋体" w:hAnsi="宋体"/>
          <w:b/>
          <w:sz w:val="20"/>
          <w:highlight w:val="none"/>
        </w:rPr>
        <w:t>15.7 终止的一般后果</w:t>
      </w:r>
      <w:bookmarkEnd w:id="382"/>
      <w:bookmarkEnd w:id="383"/>
    </w:p>
    <w:p>
      <w:pPr>
        <w:pStyle w:val="56"/>
        <w:tabs>
          <w:tab w:val="left" w:pos="420"/>
        </w:tabs>
        <w:spacing w:beforeLines="50"/>
        <w:ind w:firstLine="567"/>
        <w:rPr>
          <w:rFonts w:ascii="宋体" w:hAnsi="宋体"/>
          <w:sz w:val="20"/>
          <w:highlight w:val="none"/>
        </w:rPr>
      </w:pPr>
      <w:r>
        <w:rPr>
          <w:rFonts w:hint="eastAsia" w:ascii="宋体" w:hAnsi="宋体"/>
          <w:sz w:val="20"/>
          <w:highlight w:val="none"/>
        </w:rPr>
        <w:t>运营服务协议终止后，双方在运营服务协议项下不再有进一步的义务，但根据第15.8条可能到期应付的任何款项，以及运营服务协议到期或终止之前发生的而在运营服务协议到期或终止之日尚未支付的付款义务除外；运营服务协议的终止不影响运营服务协议中争议解决条款和任何在运营服务协议终止后仍然有效的其它条款。</w:t>
      </w:r>
    </w:p>
    <w:p>
      <w:pPr>
        <w:pStyle w:val="56"/>
        <w:keepNext/>
        <w:keepLines/>
        <w:spacing w:before="120" w:after="120"/>
        <w:ind w:firstLine="500"/>
        <w:outlineLvl w:val="4"/>
        <w:rPr>
          <w:rFonts w:ascii="宋体" w:hAnsi="宋体"/>
          <w:b/>
          <w:szCs w:val="20"/>
          <w:highlight w:val="none"/>
        </w:rPr>
      </w:pPr>
      <w:bookmarkStart w:id="384" w:name="_Hlt94373439"/>
      <w:bookmarkEnd w:id="384"/>
      <w:bookmarkStart w:id="385" w:name="_Hlt93415420"/>
      <w:bookmarkEnd w:id="385"/>
      <w:bookmarkStart w:id="386" w:name="_16.6_终止后的补偿"/>
      <w:bookmarkEnd w:id="386"/>
      <w:bookmarkStart w:id="387" w:name="_Toc10043"/>
      <w:bookmarkStart w:id="388" w:name="_Toc246596726"/>
      <w:r>
        <w:rPr>
          <w:rFonts w:hint="eastAsia" w:ascii="宋体" w:hAnsi="宋体"/>
          <w:b/>
          <w:szCs w:val="20"/>
          <w:highlight w:val="none"/>
        </w:rPr>
        <w:t>15.8 终止后的补偿</w:t>
      </w:r>
      <w:bookmarkEnd w:id="387"/>
      <w:bookmarkEnd w:id="388"/>
    </w:p>
    <w:p>
      <w:pPr>
        <w:pStyle w:val="56"/>
        <w:tabs>
          <w:tab w:val="left" w:pos="420"/>
        </w:tabs>
        <w:spacing w:beforeLines="50"/>
        <w:ind w:firstLine="567"/>
        <w:rPr>
          <w:rFonts w:ascii="宋体" w:hAnsi="宋体"/>
          <w:sz w:val="20"/>
          <w:highlight w:val="none"/>
        </w:rPr>
      </w:pPr>
      <w:r>
        <w:rPr>
          <w:rFonts w:hint="eastAsia" w:ascii="宋体" w:hAnsi="宋体"/>
          <w:sz w:val="20"/>
          <w:highlight w:val="none"/>
        </w:rPr>
        <w:t>15.8.1乙方违约事件导致的终止</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如果甲方因乙方严重违约事件而根据15.2（a）至（i）条规定终止运营服务协议，甲方有权收回对乙方运营权，兑现履约保函中的相应数额，及按照</w:t>
      </w:r>
      <w:r>
        <w:rPr>
          <w:highlight w:val="none"/>
        </w:rPr>
        <w:fldChar w:fldCharType="begin"/>
      </w:r>
      <w:r>
        <w:rPr>
          <w:highlight w:val="none"/>
        </w:rPr>
        <w:instrText xml:space="preserve"> HYPERLINK \l "_17.2_终止后的合理补偿" </w:instrText>
      </w:r>
      <w:r>
        <w:rPr>
          <w:highlight w:val="none"/>
        </w:rPr>
        <w:fldChar w:fldCharType="separate"/>
      </w:r>
      <w:r>
        <w:rPr>
          <w:rFonts w:hint="eastAsia" w:ascii="宋体" w:hAnsi="宋体"/>
          <w:sz w:val="20"/>
          <w:szCs w:val="20"/>
          <w:highlight w:val="none"/>
        </w:rPr>
        <w:t>17</w:t>
      </w:r>
      <w:bookmarkStart w:id="389" w:name="_Hlt246700283"/>
      <w:bookmarkStart w:id="390" w:name="_Hlt246700841"/>
      <w:r>
        <w:rPr>
          <w:rFonts w:hint="eastAsia" w:ascii="宋体" w:hAnsi="宋体"/>
          <w:sz w:val="20"/>
          <w:szCs w:val="20"/>
          <w:highlight w:val="none"/>
        </w:rPr>
        <w:t>.</w:t>
      </w:r>
      <w:bookmarkEnd w:id="389"/>
      <w:bookmarkEnd w:id="390"/>
      <w:bookmarkStart w:id="391" w:name="_Hlt246702285"/>
      <w:r>
        <w:rPr>
          <w:rFonts w:hint="eastAsia" w:ascii="宋体" w:hAnsi="宋体"/>
          <w:sz w:val="20"/>
          <w:szCs w:val="20"/>
          <w:highlight w:val="none"/>
        </w:rPr>
        <w:t>2</w:t>
      </w:r>
      <w:bookmarkEnd w:id="391"/>
      <w:r>
        <w:rPr>
          <w:rFonts w:hint="eastAsia" w:ascii="宋体" w:hAnsi="宋体"/>
          <w:sz w:val="20"/>
          <w:szCs w:val="20"/>
          <w:highlight w:val="none"/>
        </w:rPr>
        <w:fldChar w:fldCharType="end"/>
      </w:r>
      <w:r>
        <w:rPr>
          <w:rFonts w:hint="eastAsia" w:ascii="宋体" w:hAnsi="宋体"/>
          <w:sz w:val="20"/>
          <w:highlight w:val="none"/>
        </w:rPr>
        <w:t>条的约定获得乙方违约赔偿金并付清乙方累计应收运营服务费后收回项目设施资产，并不承担任何其它义务。</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15.8.2甲方违约事件导致的终止</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如果在生效日后乙方因甲方违约事件根据第</w:t>
      </w:r>
      <w:r>
        <w:rPr>
          <w:highlight w:val="none"/>
        </w:rPr>
        <w:fldChar w:fldCharType="begin"/>
      </w:r>
      <w:r>
        <w:rPr>
          <w:highlight w:val="none"/>
        </w:rPr>
        <w:instrText xml:space="preserve"> HYPERLINK \l "_16.2_项目公司的终止" </w:instrText>
      </w:r>
      <w:r>
        <w:rPr>
          <w:highlight w:val="none"/>
        </w:rPr>
        <w:fldChar w:fldCharType="separate"/>
      </w:r>
      <w:r>
        <w:rPr>
          <w:rFonts w:hint="eastAsia" w:ascii="宋体" w:hAnsi="宋体"/>
          <w:sz w:val="20"/>
          <w:szCs w:val="20"/>
          <w:highlight w:val="none"/>
        </w:rPr>
        <w:t>1</w:t>
      </w:r>
      <w:bookmarkStart w:id="392" w:name="_Hlt202342485"/>
      <w:r>
        <w:rPr>
          <w:rFonts w:hint="eastAsia" w:ascii="宋体" w:hAnsi="宋体"/>
          <w:sz w:val="20"/>
          <w:szCs w:val="20"/>
          <w:highlight w:val="none"/>
        </w:rPr>
        <w:t>5.</w:t>
      </w:r>
      <w:bookmarkEnd w:id="392"/>
      <w:r>
        <w:rPr>
          <w:rFonts w:hint="eastAsia" w:ascii="宋体" w:hAnsi="宋体"/>
          <w:sz w:val="20"/>
          <w:szCs w:val="20"/>
          <w:highlight w:val="none"/>
        </w:rPr>
        <w:t>3</w:t>
      </w:r>
      <w:r>
        <w:rPr>
          <w:rFonts w:hint="eastAsia" w:ascii="宋体" w:hAnsi="宋体"/>
          <w:sz w:val="20"/>
          <w:szCs w:val="20"/>
          <w:highlight w:val="none"/>
        </w:rPr>
        <w:fldChar w:fldCharType="end"/>
      </w:r>
      <w:r>
        <w:rPr>
          <w:rFonts w:hint="eastAsia" w:ascii="宋体" w:hAnsi="宋体"/>
          <w:sz w:val="20"/>
          <w:highlight w:val="none"/>
        </w:rPr>
        <w:t>条终止运营服务协议，则乙方应将项目设施转让给甲方或其指定机构。如果这种转让发生，甲方或其指定机构应向乙方按照</w:t>
      </w:r>
      <w:r>
        <w:rPr>
          <w:highlight w:val="none"/>
        </w:rPr>
        <w:fldChar w:fldCharType="begin"/>
      </w:r>
      <w:r>
        <w:rPr>
          <w:highlight w:val="none"/>
        </w:rPr>
        <w:instrText xml:space="preserve"> HYPERLINK \l "_17.2_终止后的合理补偿" </w:instrText>
      </w:r>
      <w:r>
        <w:rPr>
          <w:highlight w:val="none"/>
        </w:rPr>
        <w:fldChar w:fldCharType="separate"/>
      </w:r>
      <w:r>
        <w:rPr>
          <w:rFonts w:hint="eastAsia" w:ascii="宋体" w:hAnsi="宋体"/>
          <w:sz w:val="20"/>
          <w:szCs w:val="20"/>
          <w:highlight w:val="none"/>
        </w:rPr>
        <w:t>17</w:t>
      </w:r>
      <w:bookmarkStart w:id="393" w:name="_Hlt246701074"/>
      <w:r>
        <w:rPr>
          <w:rFonts w:hint="eastAsia" w:ascii="宋体" w:hAnsi="宋体"/>
          <w:sz w:val="20"/>
          <w:szCs w:val="20"/>
          <w:highlight w:val="none"/>
        </w:rPr>
        <w:t>.</w:t>
      </w:r>
      <w:bookmarkEnd w:id="393"/>
      <w:r>
        <w:rPr>
          <w:rFonts w:hint="eastAsia" w:ascii="宋体" w:hAnsi="宋体"/>
          <w:sz w:val="20"/>
          <w:szCs w:val="20"/>
          <w:highlight w:val="none"/>
        </w:rPr>
        <w:t>2</w:t>
      </w:r>
      <w:r>
        <w:rPr>
          <w:rFonts w:hint="eastAsia" w:ascii="宋体" w:hAnsi="宋体"/>
          <w:sz w:val="20"/>
          <w:szCs w:val="20"/>
          <w:highlight w:val="none"/>
        </w:rPr>
        <w:fldChar w:fldCharType="end"/>
      </w:r>
      <w:r>
        <w:rPr>
          <w:rFonts w:hint="eastAsia" w:ascii="宋体" w:hAnsi="宋体"/>
          <w:sz w:val="20"/>
          <w:highlight w:val="none"/>
        </w:rPr>
        <w:t>条的约定支付一定的合理补偿。</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15.8.3第</w:t>
      </w:r>
      <w:r>
        <w:rPr>
          <w:highlight w:val="none"/>
        </w:rPr>
        <w:fldChar w:fldCharType="begin"/>
      </w:r>
      <w:r>
        <w:rPr>
          <w:highlight w:val="none"/>
        </w:rPr>
        <w:instrText xml:space="preserve"> HYPERLINK \l "_15.1_不可抗力" </w:instrText>
      </w:r>
      <w:r>
        <w:rPr>
          <w:highlight w:val="none"/>
        </w:rPr>
        <w:fldChar w:fldCharType="separate"/>
      </w:r>
      <w:r>
        <w:rPr>
          <w:rFonts w:hint="eastAsia" w:ascii="宋体" w:hAnsi="宋体"/>
          <w:sz w:val="20"/>
          <w:szCs w:val="20"/>
          <w:highlight w:val="none"/>
        </w:rPr>
        <w:t>14.1</w:t>
      </w:r>
      <w:r>
        <w:rPr>
          <w:rFonts w:hint="eastAsia" w:ascii="宋体" w:hAnsi="宋体"/>
          <w:sz w:val="20"/>
          <w:szCs w:val="20"/>
          <w:highlight w:val="none"/>
        </w:rPr>
        <w:fldChar w:fldCharType="end"/>
      </w:r>
      <w:r>
        <w:rPr>
          <w:rFonts w:hint="eastAsia" w:ascii="宋体" w:hAnsi="宋体"/>
          <w:sz w:val="20"/>
          <w:highlight w:val="none"/>
        </w:rPr>
        <w:t>款项下不可抗力事件导致的终止</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因第14.1款项下不可抗力事件导致任何一方依据第1</w:t>
      </w:r>
      <w:r>
        <w:rPr>
          <w:highlight w:val="none"/>
        </w:rPr>
        <w:fldChar w:fldCharType="begin"/>
      </w:r>
      <w:r>
        <w:rPr>
          <w:highlight w:val="none"/>
        </w:rPr>
        <w:instrText xml:space="preserve"> HYPERLINK \l "_15.1_不可抗力" </w:instrText>
      </w:r>
      <w:r>
        <w:rPr>
          <w:highlight w:val="none"/>
        </w:rPr>
        <w:fldChar w:fldCharType="separate"/>
      </w:r>
      <w:r>
        <w:rPr>
          <w:rFonts w:hint="eastAsia" w:ascii="宋体" w:hAnsi="宋体"/>
          <w:sz w:val="20"/>
          <w:highlight w:val="none"/>
        </w:rPr>
        <w:t>4</w:t>
      </w:r>
      <w:r>
        <w:rPr>
          <w:rFonts w:hint="eastAsia" w:ascii="宋体" w:hAnsi="宋体"/>
          <w:sz w:val="20"/>
          <w:szCs w:val="20"/>
          <w:highlight w:val="none"/>
        </w:rPr>
        <w:t>.8</w:t>
      </w:r>
      <w:r>
        <w:rPr>
          <w:rFonts w:hint="eastAsia" w:ascii="宋体" w:hAnsi="宋体"/>
          <w:sz w:val="20"/>
          <w:szCs w:val="20"/>
          <w:highlight w:val="none"/>
        </w:rPr>
        <w:fldChar w:fldCharType="end"/>
      </w:r>
      <w:r>
        <w:rPr>
          <w:rFonts w:hint="eastAsia" w:ascii="宋体" w:hAnsi="宋体"/>
          <w:sz w:val="20"/>
          <w:highlight w:val="none"/>
        </w:rPr>
        <w:t>条终止运营服务协议，甲方应向乙方支付一定的合理补偿。甲方支付该项补偿后，乙方应将项目设施移交给甲方或其指定机构。</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15.8.4未包括在第</w:t>
      </w:r>
      <w:r>
        <w:rPr>
          <w:highlight w:val="none"/>
        </w:rPr>
        <w:fldChar w:fldCharType="begin"/>
      </w:r>
      <w:r>
        <w:rPr>
          <w:highlight w:val="none"/>
        </w:rPr>
        <w:instrText xml:space="preserve"> HYPERLINK \l "_15.1_不可抗力" </w:instrText>
      </w:r>
      <w:r>
        <w:rPr>
          <w:highlight w:val="none"/>
        </w:rPr>
        <w:fldChar w:fldCharType="separate"/>
      </w:r>
      <w:r>
        <w:rPr>
          <w:rFonts w:hint="eastAsia" w:ascii="宋体" w:hAnsi="宋体"/>
          <w:sz w:val="20"/>
          <w:highlight w:val="none"/>
        </w:rPr>
        <w:t>14.1</w:t>
      </w:r>
      <w:r>
        <w:rPr>
          <w:rFonts w:hint="eastAsia" w:ascii="宋体" w:hAnsi="宋体"/>
          <w:sz w:val="20"/>
          <w:highlight w:val="none"/>
        </w:rPr>
        <w:fldChar w:fldCharType="end"/>
      </w:r>
      <w:r>
        <w:rPr>
          <w:rFonts w:hint="eastAsia" w:ascii="宋体" w:hAnsi="宋体"/>
          <w:sz w:val="20"/>
          <w:highlight w:val="none"/>
        </w:rPr>
        <w:t>款项下的不可抗力事件导致的终止</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如果出现未包括在第14.1款项下的不可抗力事件，但对项目设施造成实质性损坏，致使任何一方依据第14.8条终止运营服务协议，甲方应向乙方支付一定的合理补偿。甲方支付该项补偿后，乙方应将项目设施移交给甲方或其指定机构。</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15.8.5未包括在第</w:t>
      </w:r>
      <w:r>
        <w:rPr>
          <w:highlight w:val="none"/>
        </w:rPr>
        <w:fldChar w:fldCharType="begin"/>
      </w:r>
      <w:r>
        <w:rPr>
          <w:highlight w:val="none"/>
        </w:rPr>
        <w:instrText xml:space="preserve"> HYPERLINK \l "_15.1_不可抗力" </w:instrText>
      </w:r>
      <w:r>
        <w:rPr>
          <w:highlight w:val="none"/>
        </w:rPr>
        <w:fldChar w:fldCharType="separate"/>
      </w:r>
      <w:r>
        <w:rPr>
          <w:rFonts w:hint="eastAsia" w:ascii="宋体" w:hAnsi="宋体"/>
          <w:sz w:val="20"/>
          <w:highlight w:val="none"/>
        </w:rPr>
        <w:t>14.1</w:t>
      </w:r>
      <w:r>
        <w:rPr>
          <w:rFonts w:hint="eastAsia" w:ascii="宋体" w:hAnsi="宋体"/>
          <w:sz w:val="20"/>
          <w:highlight w:val="none"/>
        </w:rPr>
        <w:fldChar w:fldCharType="end"/>
      </w:r>
      <w:r>
        <w:rPr>
          <w:rFonts w:hint="eastAsia" w:ascii="宋体" w:hAnsi="宋体"/>
          <w:sz w:val="20"/>
          <w:highlight w:val="none"/>
        </w:rPr>
        <w:t>款项下的影响乙方的不可抗力导致的其它终止</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如果出现未包括在第14.1款项下的不可抗力事件影响到乙方，但未对项目设施造成严重损坏，致使任何一方依据第14.8条终止运营服务协议,甲方应向乙方支付一定的合理补偿。甲方支付该项补偿后，乙方应将项目设施移交给甲方或其指定机构。</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15.8.6未包括在第</w:t>
      </w:r>
      <w:r>
        <w:rPr>
          <w:highlight w:val="none"/>
        </w:rPr>
        <w:fldChar w:fldCharType="begin"/>
      </w:r>
      <w:r>
        <w:rPr>
          <w:highlight w:val="none"/>
        </w:rPr>
        <w:instrText xml:space="preserve"> HYPERLINK \l "_15.1_不可抗力" </w:instrText>
      </w:r>
      <w:r>
        <w:rPr>
          <w:highlight w:val="none"/>
        </w:rPr>
        <w:fldChar w:fldCharType="separate"/>
      </w:r>
      <w:r>
        <w:rPr>
          <w:rFonts w:hint="eastAsia" w:ascii="宋体" w:hAnsi="宋体"/>
          <w:sz w:val="20"/>
          <w:highlight w:val="none"/>
        </w:rPr>
        <w:t>14.1</w:t>
      </w:r>
      <w:r>
        <w:rPr>
          <w:rFonts w:hint="eastAsia" w:ascii="宋体" w:hAnsi="宋体"/>
          <w:sz w:val="20"/>
          <w:highlight w:val="none"/>
        </w:rPr>
        <w:fldChar w:fldCharType="end"/>
      </w:r>
      <w:r>
        <w:rPr>
          <w:rFonts w:hint="eastAsia" w:ascii="宋体" w:hAnsi="宋体"/>
          <w:sz w:val="20"/>
          <w:highlight w:val="none"/>
        </w:rPr>
        <w:t>款项下的影响甲方的不可抗力而导致的终止</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如果出现未包括在第14.1款项下的不可抗力事件影响到甲方，致使任何一方依据第14.8条终止运营服务协议，甲方应向乙方支付一定的合理补偿。甲方支付该项补偿后，乙方应将项目设施移交给甲方或其指定机构。</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15.8.</w:t>
      </w:r>
      <w:bookmarkStart w:id="394" w:name="_Hlt94372417"/>
      <w:bookmarkEnd w:id="394"/>
      <w:r>
        <w:rPr>
          <w:rFonts w:hint="eastAsia" w:ascii="宋体" w:hAnsi="宋体"/>
          <w:sz w:val="20"/>
          <w:highlight w:val="none"/>
        </w:rPr>
        <w:t>7合理补偿之界定</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上述合理补偿是指由于乙方运营业务终止导致其前期资源投入和预期利益受损，按照行业内相关运营惯例、运营服务协议约定的相关折算规则及考虑合理需要等因素，甲方给与乙方进行的补偿。与该等合理补偿折算有关的具体内容和标准将在运营服务协议第</w:t>
      </w:r>
      <w:bookmarkStart w:id="395" w:name="_Hlt199176710"/>
      <w:r>
        <w:rPr>
          <w:rFonts w:hint="eastAsia" w:ascii="宋体" w:hAnsi="宋体"/>
          <w:sz w:val="20"/>
          <w:highlight w:val="none"/>
        </w:rPr>
        <w:fldChar w:fldCharType="begin"/>
      </w:r>
      <w:r>
        <w:rPr>
          <w:rFonts w:hint="eastAsia" w:ascii="宋体" w:hAnsi="宋体"/>
          <w:sz w:val="20"/>
          <w:highlight w:val="none"/>
        </w:rPr>
        <w:instrText xml:space="preserve"> HYPERLINK  \l "_17.2_终止后的合理补偿" </w:instrText>
      </w:r>
      <w:r>
        <w:rPr>
          <w:rFonts w:hint="eastAsia" w:ascii="宋体" w:hAnsi="宋体"/>
          <w:sz w:val="20"/>
          <w:highlight w:val="none"/>
        </w:rPr>
        <w:fldChar w:fldCharType="separate"/>
      </w:r>
      <w:r>
        <w:rPr>
          <w:rFonts w:hint="eastAsia" w:ascii="宋体" w:hAnsi="宋体"/>
          <w:sz w:val="20"/>
          <w:szCs w:val="20"/>
          <w:highlight w:val="none"/>
        </w:rPr>
        <w:t>1</w:t>
      </w:r>
      <w:bookmarkStart w:id="396" w:name="_Hlt199171880"/>
      <w:r>
        <w:rPr>
          <w:rFonts w:hint="eastAsia" w:ascii="宋体" w:hAnsi="宋体"/>
          <w:sz w:val="20"/>
          <w:szCs w:val="20"/>
          <w:highlight w:val="none"/>
        </w:rPr>
        <w:t>7</w:t>
      </w:r>
      <w:bookmarkEnd w:id="396"/>
      <w:r>
        <w:rPr>
          <w:rFonts w:hint="eastAsia" w:ascii="宋体" w:hAnsi="宋体"/>
          <w:sz w:val="20"/>
          <w:highlight w:val="none"/>
        </w:rPr>
        <w:fldChar w:fldCharType="end"/>
      </w:r>
      <w:bookmarkEnd w:id="395"/>
      <w:r>
        <w:rPr>
          <w:rFonts w:hint="eastAsia" w:ascii="宋体" w:hAnsi="宋体"/>
          <w:sz w:val="20"/>
          <w:highlight w:val="none"/>
        </w:rPr>
        <w:t>章中予以规定。</w:t>
      </w:r>
    </w:p>
    <w:p>
      <w:pPr>
        <w:pStyle w:val="56"/>
        <w:keepNext/>
        <w:keepLines/>
        <w:spacing w:before="120" w:after="120"/>
        <w:ind w:firstLine="500"/>
        <w:outlineLvl w:val="4"/>
        <w:rPr>
          <w:rFonts w:ascii="宋体" w:hAnsi="宋体"/>
          <w:b/>
          <w:szCs w:val="20"/>
          <w:highlight w:val="none"/>
        </w:rPr>
      </w:pPr>
      <w:bookmarkStart w:id="397" w:name="_Hlt211520266"/>
      <w:bookmarkEnd w:id="397"/>
      <w:bookmarkStart w:id="398" w:name="_Toc29665"/>
      <w:bookmarkStart w:id="399" w:name="_Toc246596727"/>
      <w:r>
        <w:rPr>
          <w:rFonts w:hint="eastAsia" w:ascii="宋体" w:hAnsi="宋体"/>
          <w:b/>
          <w:szCs w:val="20"/>
          <w:highlight w:val="none"/>
        </w:rPr>
        <w:t>15.9 保险收益的使用</w:t>
      </w:r>
      <w:bookmarkEnd w:id="398"/>
      <w:bookmarkEnd w:id="399"/>
    </w:p>
    <w:p>
      <w:pPr>
        <w:pStyle w:val="56"/>
        <w:tabs>
          <w:tab w:val="left" w:pos="420"/>
        </w:tabs>
        <w:spacing w:beforeLines="50"/>
        <w:ind w:firstLine="567"/>
        <w:rPr>
          <w:rFonts w:ascii="宋体" w:hAnsi="宋体"/>
          <w:sz w:val="20"/>
          <w:highlight w:val="none"/>
        </w:rPr>
      </w:pPr>
      <w:r>
        <w:rPr>
          <w:rFonts w:hint="eastAsia" w:ascii="宋体" w:hAnsi="宋体"/>
          <w:sz w:val="20"/>
          <w:highlight w:val="none"/>
        </w:rPr>
        <w:t>如果运营服务协议根据第15.1款终止，并且甲方有义务根据第17.2款的相关规定向乙方支付补偿金额，则乙方同意：</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(a)该补偿金额应扣除认定保险赔款的数额；</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b)将其所有因出险而从保险公司获得的赔偿用于已损坏或灭失的项目设施的维修或更新，使其恢复到出险之前的功能、性能和状态。若所获得的保险赔偿不足以实现上述目的，则差额应由乙方承担；在不可抗力情形下，该差额部分由协议双方各分担一半；</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(c)乙方根据运营服务协议要求的保险单有权得到的但未用于维修项目设施的任何保险赔偿应以下列顺序使用：</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 xml:space="preserve">(i) 余额(如有)用于减少甲方向乙方支付的补偿金额； </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(ii) 然后所剩余额(如有)支付给乙方。</w:t>
      </w:r>
    </w:p>
    <w:p>
      <w:pPr>
        <w:pStyle w:val="56"/>
        <w:keepNext/>
        <w:keepLines/>
        <w:spacing w:before="120" w:after="120"/>
        <w:ind w:firstLine="500"/>
        <w:outlineLvl w:val="4"/>
        <w:rPr>
          <w:rFonts w:ascii="宋体" w:hAnsi="宋体"/>
          <w:b/>
          <w:szCs w:val="20"/>
          <w:highlight w:val="none"/>
        </w:rPr>
      </w:pPr>
      <w:bookmarkStart w:id="400" w:name="_16.8_终止后的移交程序"/>
      <w:bookmarkEnd w:id="400"/>
      <w:bookmarkStart w:id="401" w:name="_Toc246596728"/>
      <w:bookmarkStart w:id="402" w:name="_Toc10659"/>
      <w:r>
        <w:rPr>
          <w:rFonts w:hint="eastAsia" w:ascii="宋体" w:hAnsi="宋体"/>
          <w:b/>
          <w:szCs w:val="20"/>
          <w:highlight w:val="none"/>
        </w:rPr>
        <w:t>15.10 终止后的移交程序</w:t>
      </w:r>
      <w:bookmarkEnd w:id="401"/>
      <w:bookmarkEnd w:id="402"/>
    </w:p>
    <w:p>
      <w:pPr>
        <w:pStyle w:val="56"/>
        <w:tabs>
          <w:tab w:val="left" w:pos="420"/>
        </w:tabs>
        <w:spacing w:beforeLines="50"/>
        <w:ind w:firstLine="567"/>
        <w:rPr>
          <w:rFonts w:ascii="宋体" w:hAnsi="宋体"/>
          <w:sz w:val="20"/>
          <w:highlight w:val="none"/>
        </w:rPr>
      </w:pPr>
      <w:r>
        <w:rPr>
          <w:rFonts w:hint="eastAsia" w:ascii="宋体" w:hAnsi="宋体"/>
          <w:sz w:val="20"/>
          <w:highlight w:val="none"/>
        </w:rPr>
        <w:t>下列规定适用于运营服务协议按照本第15章提前终止后乙方将项目移交给甲方或其指定机构：</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（a）乙方在收到第17.2条项下应支付的补偿数额之后，乙方应向甲方移交以下资产的拥有权利和移交后的潜在利益，包括：</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i.  项目场地；</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ii. 项目设施；</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iii.与项目设施相关使用的所有设备、机器、零配件、化学品以及其它动产；</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iv. 运营和维护项目设施所要求的所有技术和专有技术（包括以许可或分许可的方式）；</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v.  所有尚未到期的保证、保险和其它协议（只要这些是可以转让的）的权利、义务及移交后的潜在利益；以及</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vi. 与项目设施更新改造工程有关的所有手册、图纸、文件和资料。</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所有上述资产应不存在任何债务负担，也不应存在归咎于乙方的环境污染。</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（b）如果终止发生在接收完成之前，乙方应保证在终止日之前对已接收的所有项目设施已按适用法律和运营服务协议规定向甲方进行了必要的交接与说明。</w:t>
      </w:r>
    </w:p>
    <w:p>
      <w:pPr>
        <w:pStyle w:val="56"/>
        <w:keepNext/>
        <w:keepLines/>
        <w:spacing w:before="120" w:after="120"/>
        <w:ind w:firstLine="500"/>
        <w:outlineLvl w:val="4"/>
        <w:rPr>
          <w:rFonts w:ascii="宋体" w:hAnsi="宋体"/>
          <w:b/>
          <w:szCs w:val="20"/>
          <w:highlight w:val="none"/>
        </w:rPr>
      </w:pPr>
      <w:bookmarkStart w:id="403" w:name="_Hlt92872241"/>
      <w:bookmarkEnd w:id="403"/>
      <w:bookmarkStart w:id="404" w:name="_Toc246596729"/>
      <w:bookmarkStart w:id="405" w:name="_Toc21422"/>
      <w:r>
        <w:rPr>
          <w:rFonts w:hint="eastAsia" w:ascii="宋体" w:hAnsi="宋体"/>
          <w:b/>
          <w:szCs w:val="20"/>
          <w:highlight w:val="none"/>
        </w:rPr>
        <w:t>15.11 补救之累积</w:t>
      </w:r>
      <w:bookmarkEnd w:id="404"/>
      <w:bookmarkEnd w:id="405"/>
    </w:p>
    <w:p>
      <w:pPr>
        <w:pStyle w:val="56"/>
        <w:tabs>
          <w:tab w:val="left" w:pos="420"/>
        </w:tabs>
        <w:spacing w:beforeLines="50"/>
        <w:ind w:firstLine="567"/>
        <w:rPr>
          <w:rFonts w:ascii="宋体" w:hAnsi="宋体"/>
          <w:sz w:val="20"/>
          <w:highlight w:val="none"/>
        </w:rPr>
      </w:pPr>
      <w:r>
        <w:rPr>
          <w:rFonts w:hint="eastAsia" w:ascii="宋体" w:hAnsi="宋体"/>
          <w:sz w:val="20"/>
          <w:highlight w:val="none"/>
        </w:rPr>
        <w:t>任一方行使终止运营服务协议的权利并不排除该方采取运营服务协议规定的或法律提供的其它补救措施。补救措施均是累积的。任一方采取的、或未能采取的一种或多种补救措施并不限制或排除该方采取其它补救措施，亦不构成该方放弃其它补救措施。</w:t>
      </w:r>
    </w:p>
    <w:p>
      <w:pPr>
        <w:pStyle w:val="56"/>
        <w:keepNext/>
        <w:keepLines/>
        <w:spacing w:before="120" w:after="120"/>
        <w:ind w:firstLine="500"/>
        <w:outlineLvl w:val="4"/>
        <w:rPr>
          <w:rFonts w:ascii="宋体" w:hAnsi="宋体"/>
          <w:b/>
          <w:szCs w:val="20"/>
          <w:highlight w:val="none"/>
        </w:rPr>
      </w:pPr>
      <w:bookmarkStart w:id="406" w:name="_Hlt211520316"/>
      <w:bookmarkEnd w:id="406"/>
      <w:bookmarkStart w:id="407" w:name="_Toc22599"/>
      <w:bookmarkStart w:id="408" w:name="_Toc246596730"/>
      <w:r>
        <w:rPr>
          <w:rFonts w:hint="eastAsia" w:ascii="宋体" w:hAnsi="宋体"/>
          <w:b/>
          <w:szCs w:val="20"/>
          <w:highlight w:val="none"/>
        </w:rPr>
        <w:t>15.12 对责任的限制</w:t>
      </w:r>
      <w:bookmarkEnd w:id="407"/>
      <w:bookmarkEnd w:id="408"/>
    </w:p>
    <w:p>
      <w:pPr>
        <w:pStyle w:val="56"/>
        <w:tabs>
          <w:tab w:val="left" w:pos="420"/>
        </w:tabs>
        <w:spacing w:beforeLines="50"/>
        <w:ind w:firstLine="567"/>
        <w:rPr>
          <w:rFonts w:ascii="宋体" w:hAnsi="宋体"/>
          <w:sz w:val="20"/>
          <w:highlight w:val="none"/>
        </w:rPr>
      </w:pPr>
      <w:r>
        <w:rPr>
          <w:rFonts w:hint="eastAsia" w:ascii="宋体" w:hAnsi="宋体"/>
          <w:sz w:val="20"/>
          <w:highlight w:val="none"/>
        </w:rPr>
        <w:t>(a) 运营服务协议依据第15章终止后，甲方不应就上述终止或导致上述终止的任何事件向乙方承担任何责任，但根据运营服务协议已事先约定的应付未付款项、违约赔偿和解决有关补偿费的支付除外(如有的话)。</w:t>
      </w:r>
    </w:p>
    <w:p>
      <w:pPr>
        <w:pStyle w:val="56"/>
        <w:tabs>
          <w:tab w:val="left" w:pos="6580"/>
        </w:tabs>
        <w:ind w:firstLine="606" w:firstLineChars="300"/>
        <w:jc w:val="left"/>
        <w:rPr>
          <w:rFonts w:ascii="宋体" w:hAnsi="宋体"/>
          <w:sz w:val="20"/>
          <w:highlight w:val="none"/>
        </w:rPr>
      </w:pPr>
      <w:r>
        <w:rPr>
          <w:rFonts w:hint="eastAsia" w:ascii="宋体" w:hAnsi="宋体"/>
          <w:sz w:val="20"/>
          <w:highlight w:val="none"/>
        </w:rPr>
        <w:t>(b) 运营服务协议依据第15章终止后，乙方应单独负责终止与项目有关的所有对外事务，以确保项目设施在终止收回日无负债、无对外担保、无法律诉讼等情况，除非乙方与甲方就项目设施在终止移交日的债权债务处理等事项已另外达成协议。</w:t>
      </w:r>
      <w:bookmarkStart w:id="409" w:name="_Hlt200158540"/>
      <w:bookmarkEnd w:id="409"/>
    </w:p>
    <w:p>
      <w:pPr>
        <w:pStyle w:val="56"/>
        <w:keepNext/>
        <w:keepLines/>
        <w:spacing w:before="120" w:after="120"/>
        <w:ind w:firstLine="500"/>
        <w:outlineLvl w:val="4"/>
        <w:rPr>
          <w:rFonts w:ascii="宋体" w:hAnsi="宋体"/>
          <w:b/>
          <w:szCs w:val="20"/>
          <w:highlight w:val="none"/>
        </w:rPr>
      </w:pPr>
      <w:bookmarkStart w:id="410" w:name="_Toc202676982"/>
      <w:bookmarkStart w:id="411" w:name="_Toc246596731"/>
      <w:bookmarkStart w:id="412" w:name="_Hlt212823020"/>
      <w:r>
        <w:rPr>
          <w:rFonts w:hint="eastAsia" w:ascii="宋体" w:hAnsi="宋体"/>
          <w:b/>
          <w:szCs w:val="20"/>
          <w:highlight w:val="none"/>
        </w:rPr>
        <w:t>15.13 终止的后果</w:t>
      </w:r>
      <w:bookmarkEnd w:id="410"/>
      <w:bookmarkEnd w:id="411"/>
    </w:p>
    <w:bookmarkEnd w:id="412"/>
    <w:p>
      <w:pPr>
        <w:pStyle w:val="56"/>
        <w:tabs>
          <w:tab w:val="left" w:pos="420"/>
        </w:tabs>
        <w:spacing w:beforeLines="50"/>
        <w:ind w:firstLine="567"/>
        <w:rPr>
          <w:rFonts w:ascii="宋体" w:hAnsi="宋体"/>
          <w:sz w:val="20"/>
          <w:highlight w:val="none"/>
        </w:rPr>
      </w:pPr>
      <w:r>
        <w:rPr>
          <w:rFonts w:hint="eastAsia" w:ascii="宋体" w:hAnsi="宋体"/>
          <w:sz w:val="20"/>
          <w:highlight w:val="none"/>
        </w:rPr>
        <w:t>运营服务协议终止后，除在该终止或期满前产生的义务外,双方在运营服务协议项下无其它义务。该终止不得影响有关解决争议的规定、本章的规定或运营服务协议明确规定在该终止后继续有效的其它规定。</w:t>
      </w:r>
    </w:p>
    <w:p>
      <w:pPr>
        <w:pStyle w:val="56"/>
        <w:keepNext/>
        <w:keepLines/>
        <w:spacing w:before="120" w:after="120"/>
        <w:ind w:firstLine="500"/>
        <w:outlineLvl w:val="4"/>
        <w:rPr>
          <w:rFonts w:ascii="宋体" w:hAnsi="宋体"/>
          <w:b/>
          <w:szCs w:val="20"/>
          <w:highlight w:val="none"/>
        </w:rPr>
      </w:pPr>
      <w:bookmarkStart w:id="413" w:name="_Toc246596732"/>
      <w:bookmarkStart w:id="414" w:name="_Toc202676983"/>
      <w:r>
        <w:rPr>
          <w:rFonts w:hint="eastAsia" w:ascii="宋体" w:hAnsi="宋体"/>
          <w:b/>
          <w:szCs w:val="20"/>
          <w:highlight w:val="none"/>
        </w:rPr>
        <w:t>15.14 其它补救措施</w:t>
      </w:r>
      <w:bookmarkEnd w:id="413"/>
      <w:bookmarkEnd w:id="414"/>
    </w:p>
    <w:p>
      <w:pPr>
        <w:pStyle w:val="56"/>
        <w:tabs>
          <w:tab w:val="left" w:pos="420"/>
        </w:tabs>
        <w:spacing w:beforeLines="50"/>
        <w:ind w:firstLine="567"/>
        <w:rPr>
          <w:rFonts w:ascii="宋体" w:hAnsi="宋体"/>
          <w:sz w:val="20"/>
          <w:highlight w:val="none"/>
        </w:rPr>
      </w:pPr>
      <w:r>
        <w:rPr>
          <w:rFonts w:hint="eastAsia" w:ascii="宋体" w:hAnsi="宋体"/>
          <w:sz w:val="20"/>
          <w:highlight w:val="none"/>
        </w:rPr>
        <w:t>受第15.12条规定的约束，一方根据运营服务协议行使终止运营服务协议的权利不排除该方采取运营服务协议规定的或法律所允许的其它适用的补救措施，补救措施是累积的，且一方采取的或未采取的一种或多种补救措施，不应限制或排除该方采取其它补救措施。亦不构成对其它补救措施的弃权。</w:t>
      </w:r>
      <w:bookmarkStart w:id="415" w:name="_Hlt212700654"/>
      <w:bookmarkEnd w:id="415"/>
    </w:p>
    <w:p>
      <w:pPr>
        <w:pStyle w:val="56"/>
        <w:keepNext/>
        <w:keepLines/>
        <w:spacing w:before="120" w:after="120"/>
        <w:ind w:firstLine="500"/>
        <w:outlineLvl w:val="4"/>
        <w:rPr>
          <w:rFonts w:ascii="宋体" w:hAnsi="宋体"/>
          <w:b/>
          <w:szCs w:val="20"/>
          <w:highlight w:val="none"/>
        </w:rPr>
      </w:pPr>
      <w:bookmarkStart w:id="416" w:name="_Toc246596733"/>
      <w:bookmarkStart w:id="417" w:name="_Toc21562"/>
      <w:bookmarkStart w:id="418" w:name="_Toc202676984"/>
      <w:r>
        <w:rPr>
          <w:rFonts w:hint="eastAsia" w:ascii="宋体" w:hAnsi="宋体"/>
          <w:b/>
          <w:szCs w:val="20"/>
          <w:highlight w:val="none"/>
        </w:rPr>
        <w:t>15.15 继续有效</w:t>
      </w:r>
      <w:bookmarkEnd w:id="416"/>
      <w:bookmarkEnd w:id="417"/>
    </w:p>
    <w:p>
      <w:pPr>
        <w:pStyle w:val="56"/>
        <w:tabs>
          <w:tab w:val="left" w:pos="420"/>
        </w:tabs>
        <w:spacing w:beforeLines="50"/>
        <w:ind w:firstLine="567"/>
        <w:rPr>
          <w:rFonts w:ascii="宋体" w:hAnsi="宋体"/>
          <w:sz w:val="20"/>
          <w:highlight w:val="none"/>
        </w:rPr>
      </w:pPr>
      <w:r>
        <w:rPr>
          <w:rFonts w:hint="eastAsia" w:ascii="宋体" w:hAnsi="宋体"/>
          <w:sz w:val="20"/>
          <w:highlight w:val="none"/>
        </w:rPr>
        <w:t>本章的规定在运营服务协议终止后应仍然有效</w:t>
      </w:r>
      <w:bookmarkEnd w:id="418"/>
      <w:r>
        <w:rPr>
          <w:rFonts w:hint="eastAsia" w:ascii="宋体" w:hAnsi="宋体"/>
          <w:sz w:val="20"/>
          <w:highlight w:val="none"/>
        </w:rPr>
        <w:t>。</w:t>
      </w:r>
    </w:p>
    <w:p>
      <w:pPr>
        <w:pStyle w:val="56"/>
        <w:widowControl w:val="0"/>
        <w:spacing w:beforeLines="50"/>
        <w:jc w:val="center"/>
        <w:rPr>
          <w:rFonts w:ascii="新宋体" w:hAnsi="新宋体" w:eastAsia="新宋体" w:cs="新宋体"/>
          <w:b/>
          <w:kern w:val="2"/>
          <w:sz w:val="28"/>
          <w:szCs w:val="28"/>
          <w:highlight w:val="none"/>
        </w:rPr>
      </w:pPr>
      <w:bookmarkStart w:id="419" w:name="_Hlt212823054"/>
      <w:bookmarkEnd w:id="419"/>
      <w:bookmarkStart w:id="420" w:name="_Toc246596734"/>
      <w:r>
        <w:rPr>
          <w:rFonts w:hint="eastAsia" w:ascii="新宋体" w:hAnsi="新宋体" w:eastAsia="新宋体" w:cs="新宋体"/>
          <w:b/>
          <w:kern w:val="2"/>
          <w:sz w:val="28"/>
          <w:szCs w:val="28"/>
          <w:highlight w:val="none"/>
        </w:rPr>
        <w:t xml:space="preserve">第十六节  </w:t>
      </w:r>
      <w:bookmarkStart w:id="421" w:name="_Toc202676985"/>
      <w:r>
        <w:rPr>
          <w:rFonts w:hint="eastAsia" w:ascii="新宋体" w:hAnsi="新宋体" w:eastAsia="新宋体" w:cs="新宋体"/>
          <w:b/>
          <w:kern w:val="2"/>
          <w:sz w:val="28"/>
          <w:szCs w:val="28"/>
          <w:highlight w:val="none"/>
        </w:rPr>
        <w:t>违约赔偿</w:t>
      </w:r>
      <w:bookmarkEnd w:id="420"/>
      <w:bookmarkEnd w:id="421"/>
    </w:p>
    <w:p>
      <w:pPr>
        <w:pStyle w:val="56"/>
        <w:keepNext/>
        <w:keepLines/>
        <w:spacing w:before="120" w:after="120"/>
        <w:ind w:firstLine="424" w:firstLineChars="200"/>
        <w:outlineLvl w:val="4"/>
        <w:rPr>
          <w:rFonts w:ascii="宋体" w:hAnsi="宋体"/>
          <w:b/>
          <w:szCs w:val="20"/>
          <w:highlight w:val="none"/>
        </w:rPr>
      </w:pPr>
      <w:bookmarkStart w:id="422" w:name="_16.1_赔偿"/>
      <w:bookmarkEnd w:id="422"/>
      <w:bookmarkStart w:id="423" w:name="_Toc246596735"/>
      <w:bookmarkStart w:id="424" w:name="_Toc202676986"/>
      <w:r>
        <w:rPr>
          <w:rFonts w:hint="eastAsia" w:ascii="宋体" w:hAnsi="宋体"/>
          <w:b/>
          <w:szCs w:val="20"/>
          <w:highlight w:val="none"/>
        </w:rPr>
        <w:t>16.1 赔偿</w:t>
      </w:r>
      <w:bookmarkEnd w:id="423"/>
      <w:bookmarkEnd w:id="424"/>
    </w:p>
    <w:p>
      <w:pPr>
        <w:pStyle w:val="56"/>
        <w:tabs>
          <w:tab w:val="left" w:pos="420"/>
        </w:tabs>
        <w:spacing w:beforeLines="50"/>
        <w:ind w:firstLine="567"/>
        <w:rPr>
          <w:rFonts w:ascii="宋体" w:hAnsi="宋体"/>
          <w:sz w:val="20"/>
          <w:highlight w:val="none"/>
        </w:rPr>
      </w:pPr>
      <w:r>
        <w:rPr>
          <w:rFonts w:hint="eastAsia" w:ascii="宋体" w:hAnsi="宋体"/>
          <w:sz w:val="20"/>
          <w:highlight w:val="none"/>
        </w:rPr>
        <w:t>以运营服务协议的其它规定为前提，每一方应有权获得因违约方违约而使该方遭受的任何损失、支出和费用的赔偿，该项赔偿由违约方支付。该项赔偿不应超过违约方在签订运营服务协议时预见或应当预见的损失。</w:t>
      </w:r>
    </w:p>
    <w:p>
      <w:pPr>
        <w:pStyle w:val="56"/>
        <w:keepNext/>
        <w:keepLines/>
        <w:spacing w:before="120" w:after="120"/>
        <w:ind w:firstLine="500"/>
        <w:outlineLvl w:val="4"/>
        <w:rPr>
          <w:rFonts w:ascii="宋体" w:hAnsi="宋体"/>
          <w:b/>
          <w:szCs w:val="20"/>
          <w:highlight w:val="none"/>
        </w:rPr>
      </w:pPr>
      <w:bookmarkStart w:id="425" w:name="_Toc246596736"/>
      <w:bookmarkStart w:id="426" w:name="_Toc202676987"/>
      <w:r>
        <w:rPr>
          <w:rFonts w:hint="eastAsia" w:ascii="宋体" w:hAnsi="宋体"/>
          <w:b/>
          <w:szCs w:val="20"/>
          <w:highlight w:val="none"/>
        </w:rPr>
        <w:t>16.2 免责</w:t>
      </w:r>
      <w:bookmarkEnd w:id="425"/>
      <w:bookmarkEnd w:id="426"/>
    </w:p>
    <w:p>
      <w:pPr>
        <w:pStyle w:val="56"/>
        <w:tabs>
          <w:tab w:val="left" w:pos="420"/>
        </w:tabs>
        <w:spacing w:beforeLines="50"/>
        <w:ind w:firstLine="567"/>
        <w:rPr>
          <w:rFonts w:ascii="宋体" w:hAnsi="宋体"/>
          <w:sz w:val="20"/>
          <w:highlight w:val="none"/>
        </w:rPr>
      </w:pPr>
      <w:r>
        <w:rPr>
          <w:rFonts w:hint="eastAsia" w:ascii="宋体" w:hAnsi="宋体"/>
          <w:sz w:val="20"/>
          <w:highlight w:val="none"/>
        </w:rPr>
        <w:t>如果一方证明其违约是由于第14章规定的不可抗力造成的，则该方对违约不承担责任。</w:t>
      </w:r>
    </w:p>
    <w:p>
      <w:pPr>
        <w:pStyle w:val="56"/>
        <w:keepNext/>
        <w:keepLines/>
        <w:spacing w:before="120" w:after="120"/>
        <w:ind w:firstLine="500"/>
        <w:outlineLvl w:val="4"/>
        <w:rPr>
          <w:rFonts w:ascii="宋体" w:hAnsi="宋体"/>
          <w:b/>
          <w:szCs w:val="20"/>
          <w:highlight w:val="none"/>
        </w:rPr>
      </w:pPr>
      <w:bookmarkStart w:id="427" w:name="_Toc202676988"/>
      <w:bookmarkStart w:id="428" w:name="_Toc246596737"/>
      <w:r>
        <w:rPr>
          <w:rFonts w:hint="eastAsia" w:ascii="宋体" w:hAnsi="宋体"/>
          <w:b/>
          <w:szCs w:val="20"/>
          <w:highlight w:val="none"/>
        </w:rPr>
        <w:t>16.3 减轻损失的措施</w:t>
      </w:r>
      <w:bookmarkEnd w:id="427"/>
      <w:bookmarkEnd w:id="428"/>
    </w:p>
    <w:p>
      <w:pPr>
        <w:pStyle w:val="56"/>
        <w:tabs>
          <w:tab w:val="left" w:pos="420"/>
        </w:tabs>
        <w:spacing w:beforeLines="50"/>
        <w:ind w:firstLine="567"/>
        <w:rPr>
          <w:rFonts w:ascii="宋体" w:hAnsi="宋体"/>
          <w:sz w:val="20"/>
          <w:highlight w:val="none"/>
        </w:rPr>
      </w:pPr>
      <w:r>
        <w:rPr>
          <w:rFonts w:hint="eastAsia" w:ascii="宋体" w:hAnsi="宋体"/>
          <w:sz w:val="20"/>
          <w:highlight w:val="none"/>
        </w:rPr>
        <w:t>由于另一方违约而遭受损失或可能会遭受损失的一方应采取合理行动减轻或最大程度的减少另一方违约引起的损失。如果一方未能采取此类措施，违约方可以请求从赔偿金额中扣除应能够减轻或减少的损失金额。</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受损害的一方应有权从另一方获得在试图减轻和减少损失中发生的任何费用。</w:t>
      </w:r>
    </w:p>
    <w:p>
      <w:pPr>
        <w:pStyle w:val="56"/>
        <w:keepNext/>
        <w:keepLines/>
        <w:spacing w:before="120" w:after="120"/>
        <w:ind w:firstLine="500"/>
        <w:outlineLvl w:val="4"/>
        <w:rPr>
          <w:rFonts w:ascii="宋体" w:hAnsi="宋体"/>
          <w:b/>
          <w:szCs w:val="20"/>
          <w:highlight w:val="none"/>
        </w:rPr>
      </w:pPr>
      <w:bookmarkStart w:id="429" w:name="_Toc246596738"/>
      <w:bookmarkStart w:id="430" w:name="_Toc202676989"/>
      <w:r>
        <w:rPr>
          <w:rFonts w:hint="eastAsia" w:ascii="宋体" w:hAnsi="宋体"/>
          <w:b/>
          <w:szCs w:val="20"/>
          <w:highlight w:val="none"/>
        </w:rPr>
        <w:t>16.4 部分由于受损害方造成的损失</w:t>
      </w:r>
      <w:bookmarkEnd w:id="429"/>
      <w:bookmarkEnd w:id="430"/>
    </w:p>
    <w:p>
      <w:pPr>
        <w:pStyle w:val="56"/>
        <w:tabs>
          <w:tab w:val="left" w:pos="420"/>
        </w:tabs>
        <w:spacing w:beforeLines="50"/>
        <w:ind w:firstLine="567"/>
        <w:rPr>
          <w:rFonts w:ascii="宋体" w:hAnsi="宋体"/>
          <w:sz w:val="20"/>
          <w:highlight w:val="none"/>
        </w:rPr>
      </w:pPr>
      <w:r>
        <w:rPr>
          <w:rFonts w:hint="eastAsia" w:ascii="宋体" w:hAnsi="宋体"/>
          <w:sz w:val="20"/>
          <w:highlight w:val="none"/>
        </w:rPr>
        <w:t>如果损失部分是由于受损害方的作为或不作为造成的，或产生于应由受损害方承担风险的另一事件，应从赔偿的数额中扣除这些因素造成的损失。</w:t>
      </w:r>
    </w:p>
    <w:p>
      <w:pPr>
        <w:pStyle w:val="56"/>
        <w:keepNext/>
        <w:keepLines/>
        <w:spacing w:before="120" w:after="120"/>
        <w:ind w:firstLine="500"/>
        <w:outlineLvl w:val="4"/>
        <w:rPr>
          <w:rFonts w:ascii="宋体" w:hAnsi="宋体"/>
          <w:b/>
          <w:szCs w:val="20"/>
          <w:highlight w:val="none"/>
        </w:rPr>
      </w:pPr>
      <w:bookmarkStart w:id="431" w:name="_Toc246596739"/>
      <w:bookmarkStart w:id="432" w:name="_Toc202676990"/>
      <w:r>
        <w:rPr>
          <w:rFonts w:hint="eastAsia" w:ascii="宋体" w:hAnsi="宋体"/>
          <w:b/>
          <w:szCs w:val="20"/>
          <w:highlight w:val="none"/>
        </w:rPr>
        <w:t>16.5 对间接损失不负责任</w:t>
      </w:r>
      <w:bookmarkEnd w:id="431"/>
      <w:bookmarkEnd w:id="432"/>
    </w:p>
    <w:p>
      <w:pPr>
        <w:pStyle w:val="56"/>
        <w:tabs>
          <w:tab w:val="left" w:pos="420"/>
        </w:tabs>
        <w:spacing w:beforeLines="50"/>
        <w:ind w:firstLine="567"/>
        <w:rPr>
          <w:rFonts w:ascii="宋体" w:hAnsi="宋体"/>
          <w:sz w:val="20"/>
          <w:highlight w:val="none"/>
        </w:rPr>
      </w:pPr>
      <w:r>
        <w:rPr>
          <w:rFonts w:hint="eastAsia" w:ascii="宋体" w:hAnsi="宋体"/>
          <w:sz w:val="20"/>
          <w:highlight w:val="none"/>
        </w:rPr>
        <w:t>除非运营服务协议另有规定，就运营服务协议产生的或与之相关的任何赔索，任何一方不负责赔偿另一方的任何间接、特殊或附带的损失或惩罚性损失赔偿，无论其是否基于协议、侵权行为（包括过失、严格责任）或其它原因，除非该方行为构成严重不当行为。</w:t>
      </w:r>
    </w:p>
    <w:p>
      <w:pPr>
        <w:pStyle w:val="56"/>
        <w:keepNext/>
        <w:keepLines/>
        <w:spacing w:before="120" w:after="120"/>
        <w:ind w:firstLine="500"/>
        <w:outlineLvl w:val="4"/>
        <w:rPr>
          <w:rFonts w:ascii="宋体" w:hAnsi="宋体"/>
          <w:b/>
          <w:szCs w:val="20"/>
          <w:highlight w:val="none"/>
        </w:rPr>
      </w:pPr>
      <w:bookmarkStart w:id="433" w:name="_Toc202676991"/>
      <w:bookmarkStart w:id="434" w:name="_Toc246596740"/>
      <w:r>
        <w:rPr>
          <w:rFonts w:hint="eastAsia" w:ascii="宋体" w:hAnsi="宋体"/>
          <w:b/>
          <w:szCs w:val="20"/>
          <w:highlight w:val="none"/>
        </w:rPr>
        <w:t>16.6 补救之累积</w:t>
      </w:r>
      <w:bookmarkEnd w:id="433"/>
      <w:bookmarkEnd w:id="434"/>
    </w:p>
    <w:p>
      <w:pPr>
        <w:pStyle w:val="56"/>
        <w:tabs>
          <w:tab w:val="left" w:pos="420"/>
        </w:tabs>
        <w:spacing w:beforeLines="50"/>
        <w:ind w:firstLine="567"/>
        <w:rPr>
          <w:rFonts w:ascii="宋体" w:hAnsi="宋体"/>
          <w:sz w:val="20"/>
          <w:highlight w:val="none"/>
        </w:rPr>
      </w:pPr>
      <w:r>
        <w:rPr>
          <w:rFonts w:hint="eastAsia" w:ascii="宋体" w:hAnsi="宋体"/>
          <w:sz w:val="20"/>
          <w:highlight w:val="none"/>
        </w:rPr>
        <w:t>本章不得阻止任何一方行使运营服务协议或法律规定的任何其它补救措施。</w:t>
      </w:r>
    </w:p>
    <w:p>
      <w:pPr>
        <w:pStyle w:val="56"/>
        <w:widowControl w:val="0"/>
        <w:spacing w:beforeLines="50"/>
        <w:jc w:val="center"/>
        <w:rPr>
          <w:rFonts w:ascii="新宋体" w:hAnsi="新宋体" w:eastAsia="新宋体" w:cs="新宋体"/>
          <w:b/>
          <w:kern w:val="2"/>
          <w:sz w:val="28"/>
          <w:szCs w:val="28"/>
          <w:highlight w:val="none"/>
        </w:rPr>
      </w:pPr>
      <w:bookmarkStart w:id="435" w:name="_Hlt211520333"/>
      <w:bookmarkEnd w:id="435"/>
      <w:bookmarkStart w:id="436" w:name="_Toc246596741"/>
      <w:bookmarkStart w:id="437" w:name="_Toc83892594"/>
      <w:bookmarkStart w:id="438" w:name="_Toc15480"/>
      <w:r>
        <w:rPr>
          <w:rFonts w:hint="eastAsia" w:ascii="新宋体" w:hAnsi="新宋体" w:eastAsia="新宋体" w:cs="新宋体"/>
          <w:b/>
          <w:kern w:val="2"/>
          <w:sz w:val="28"/>
          <w:szCs w:val="28"/>
          <w:highlight w:val="none"/>
        </w:rPr>
        <w:t>第</w:t>
      </w:r>
      <w:bookmarkStart w:id="439" w:name="_Hlt92877772"/>
      <w:bookmarkEnd w:id="439"/>
      <w:bookmarkStart w:id="440" w:name="_Hlt92878042"/>
      <w:bookmarkEnd w:id="440"/>
      <w:r>
        <w:rPr>
          <w:rFonts w:hint="eastAsia" w:ascii="新宋体" w:hAnsi="新宋体" w:eastAsia="新宋体" w:cs="新宋体"/>
          <w:b/>
          <w:kern w:val="2"/>
          <w:sz w:val="28"/>
          <w:szCs w:val="28"/>
          <w:highlight w:val="none"/>
        </w:rPr>
        <w:t>十七节  补 偿</w:t>
      </w:r>
      <w:bookmarkEnd w:id="436"/>
      <w:bookmarkEnd w:id="437"/>
      <w:bookmarkEnd w:id="438"/>
    </w:p>
    <w:p>
      <w:pPr>
        <w:pStyle w:val="56"/>
        <w:keepNext/>
        <w:keepLines/>
        <w:spacing w:before="120" w:after="120"/>
        <w:ind w:firstLine="500"/>
        <w:outlineLvl w:val="4"/>
        <w:rPr>
          <w:rFonts w:ascii="宋体" w:hAnsi="宋体"/>
          <w:b/>
          <w:szCs w:val="20"/>
          <w:highlight w:val="none"/>
        </w:rPr>
      </w:pPr>
      <w:bookmarkStart w:id="441" w:name="_Hlt198926436"/>
      <w:bookmarkEnd w:id="441"/>
      <w:bookmarkStart w:id="442" w:name="_Hlt198926415"/>
      <w:bookmarkEnd w:id="442"/>
      <w:bookmarkStart w:id="443" w:name="_Hlt199907341"/>
      <w:bookmarkEnd w:id="443"/>
      <w:bookmarkStart w:id="444" w:name="_17.1_一般补偿"/>
      <w:bookmarkEnd w:id="444"/>
      <w:bookmarkStart w:id="445" w:name="_Toc15180"/>
      <w:bookmarkStart w:id="446" w:name="_Toc246596742"/>
      <w:r>
        <w:rPr>
          <w:rFonts w:hint="eastAsia" w:ascii="宋体" w:hAnsi="宋体"/>
          <w:b/>
          <w:szCs w:val="20"/>
          <w:highlight w:val="none"/>
        </w:rPr>
        <w:t>17.1 一般补偿</w:t>
      </w:r>
      <w:bookmarkEnd w:id="445"/>
      <w:bookmarkEnd w:id="446"/>
    </w:p>
    <w:p>
      <w:pPr>
        <w:pStyle w:val="56"/>
        <w:tabs>
          <w:tab w:val="left" w:pos="420"/>
        </w:tabs>
        <w:spacing w:beforeLines="50"/>
        <w:ind w:firstLine="567"/>
        <w:rPr>
          <w:rFonts w:ascii="宋体" w:hAnsi="宋体"/>
          <w:sz w:val="20"/>
          <w:highlight w:val="none"/>
        </w:rPr>
      </w:pPr>
      <w:r>
        <w:rPr>
          <w:rFonts w:hint="eastAsia" w:ascii="宋体" w:hAnsi="宋体"/>
          <w:sz w:val="20"/>
          <w:highlight w:val="none"/>
        </w:rPr>
        <w:t>17.1.1 获得一般补偿的权利</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在运营期内，如发生下述事件（下称“补偿事件”）：</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（a）根据第</w:t>
      </w:r>
      <w:r>
        <w:rPr>
          <w:highlight w:val="none"/>
        </w:rPr>
        <w:fldChar w:fldCharType="begin"/>
      </w:r>
      <w:r>
        <w:rPr>
          <w:highlight w:val="none"/>
        </w:rPr>
        <w:instrText xml:space="preserve"> HYPERLINK \l "_15.1_不可抗力" </w:instrText>
      </w:r>
      <w:r>
        <w:rPr>
          <w:highlight w:val="none"/>
        </w:rPr>
        <w:fldChar w:fldCharType="separate"/>
      </w:r>
      <w:r>
        <w:rPr>
          <w:rFonts w:hint="eastAsia" w:ascii="宋体" w:hAnsi="宋体"/>
          <w:sz w:val="20"/>
          <w:szCs w:val="20"/>
          <w:highlight w:val="none"/>
        </w:rPr>
        <w:t>14</w:t>
      </w:r>
      <w:bookmarkStart w:id="447" w:name="_Hlt92876415"/>
      <w:bookmarkEnd w:id="447"/>
      <w:r>
        <w:rPr>
          <w:rFonts w:hint="eastAsia" w:ascii="宋体" w:hAnsi="宋体"/>
          <w:sz w:val="20"/>
          <w:szCs w:val="20"/>
          <w:highlight w:val="none"/>
        </w:rPr>
        <w:t>.1</w:t>
      </w:r>
      <w:r>
        <w:rPr>
          <w:rFonts w:hint="eastAsia" w:ascii="宋体" w:hAnsi="宋体"/>
          <w:sz w:val="20"/>
          <w:szCs w:val="20"/>
          <w:highlight w:val="none"/>
        </w:rPr>
        <w:fldChar w:fldCharType="end"/>
      </w:r>
      <w:bookmarkStart w:id="448" w:name="_Hlt202605991"/>
      <w:bookmarkEnd w:id="448"/>
      <w:r>
        <w:rPr>
          <w:rFonts w:hint="eastAsia" w:ascii="宋体" w:hAnsi="宋体"/>
          <w:sz w:val="20"/>
          <w:highlight w:val="none"/>
        </w:rPr>
        <w:t>条款发生不可抗力事件或根据第</w:t>
      </w:r>
      <w:r>
        <w:rPr>
          <w:highlight w:val="none"/>
        </w:rPr>
        <w:fldChar w:fldCharType="begin"/>
      </w:r>
      <w:r>
        <w:rPr>
          <w:highlight w:val="none"/>
        </w:rPr>
        <w:instrText xml:space="preserve"> HYPERLINK \l "_15.1_不可抗力" </w:instrText>
      </w:r>
      <w:r>
        <w:rPr>
          <w:highlight w:val="none"/>
        </w:rPr>
        <w:fldChar w:fldCharType="separate"/>
      </w:r>
      <w:r>
        <w:rPr>
          <w:rFonts w:hint="eastAsia" w:ascii="宋体" w:hAnsi="宋体"/>
          <w:sz w:val="20"/>
          <w:szCs w:val="20"/>
          <w:highlight w:val="none"/>
        </w:rPr>
        <w:t>8.5</w:t>
      </w:r>
      <w:r>
        <w:rPr>
          <w:rFonts w:hint="eastAsia" w:ascii="宋体" w:hAnsi="宋体"/>
          <w:sz w:val="20"/>
          <w:szCs w:val="20"/>
          <w:highlight w:val="none"/>
        </w:rPr>
        <w:fldChar w:fldCharType="end"/>
      </w:r>
      <w:r>
        <w:rPr>
          <w:rFonts w:hint="eastAsia" w:ascii="宋体" w:hAnsi="宋体"/>
          <w:sz w:val="20"/>
          <w:highlight w:val="none"/>
        </w:rPr>
        <w:t>条发生经甲方认可批准的暂停或部分暂停，导致污水处理厂全面停产；</w:t>
      </w:r>
    </w:p>
    <w:p>
      <w:pPr>
        <w:pStyle w:val="56"/>
        <w:tabs>
          <w:tab w:val="left" w:pos="420"/>
        </w:tabs>
        <w:spacing w:beforeLines="50"/>
        <w:ind w:firstLine="567"/>
        <w:rPr>
          <w:rFonts w:ascii="宋体" w:hAnsi="宋体"/>
          <w:sz w:val="20"/>
          <w:highlight w:val="none"/>
        </w:rPr>
      </w:pPr>
      <w:bookmarkStart w:id="449" w:name="_Hlt202605949"/>
      <w:bookmarkEnd w:id="449"/>
      <w:r>
        <w:rPr>
          <w:rFonts w:hint="eastAsia" w:ascii="宋体" w:hAnsi="宋体"/>
          <w:sz w:val="20"/>
          <w:highlight w:val="none"/>
        </w:rPr>
        <w:t>（b）应甲方要求对厂区外项目配套设施进行的抢修，导致乙方运营费用的额外增加；</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（c）按照甲方要求在运营期内进行的工况调整和设备改造，导致乙方运营费用的增加。</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则乙方有权依照本第17章中相关条款,从甲方获得相应补偿。</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17.1.2 补偿原则</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（a）生效日期后发生第</w:t>
      </w:r>
      <w:r>
        <w:rPr>
          <w:highlight w:val="none"/>
        </w:rPr>
        <w:fldChar w:fldCharType="begin"/>
      </w:r>
      <w:r>
        <w:rPr>
          <w:highlight w:val="none"/>
        </w:rPr>
        <w:instrText xml:space="preserve"> HYPERLINK \l "_14.1_不可抗力引起的终止履行" </w:instrText>
      </w:r>
      <w:r>
        <w:rPr>
          <w:highlight w:val="none"/>
        </w:rPr>
        <w:fldChar w:fldCharType="separate"/>
      </w:r>
      <w:r>
        <w:rPr>
          <w:rFonts w:hint="eastAsia" w:ascii="宋体" w:hAnsi="宋体"/>
          <w:sz w:val="20"/>
          <w:szCs w:val="20"/>
          <w:highlight w:val="none"/>
        </w:rPr>
        <w:t>14.1</w:t>
      </w:r>
      <w:bookmarkStart w:id="450" w:name="_Hlt199153440"/>
      <w:r>
        <w:rPr>
          <w:rFonts w:hint="eastAsia" w:ascii="宋体" w:hAnsi="宋体"/>
          <w:sz w:val="20"/>
          <w:szCs w:val="20"/>
          <w:highlight w:val="none"/>
        </w:rPr>
        <w:t>（</w:t>
      </w:r>
      <w:bookmarkEnd w:id="450"/>
      <w:bookmarkStart w:id="451" w:name="_Hlt212827709"/>
      <w:r>
        <w:rPr>
          <w:rFonts w:hint="eastAsia" w:ascii="宋体" w:hAnsi="宋体"/>
          <w:sz w:val="20"/>
          <w:szCs w:val="20"/>
          <w:highlight w:val="none"/>
        </w:rPr>
        <w:t>d</w:t>
      </w:r>
      <w:bookmarkEnd w:id="451"/>
      <w:bookmarkStart w:id="452" w:name="_Hlt212827786"/>
      <w:r>
        <w:rPr>
          <w:rFonts w:hint="eastAsia" w:ascii="宋体" w:hAnsi="宋体"/>
          <w:sz w:val="20"/>
          <w:szCs w:val="20"/>
          <w:highlight w:val="none"/>
        </w:rPr>
        <w:t>）</w:t>
      </w:r>
      <w:bookmarkEnd w:id="452"/>
      <w:bookmarkStart w:id="453" w:name="_Hlt212824102"/>
      <w:r>
        <w:rPr>
          <w:rFonts w:hint="eastAsia" w:ascii="宋体" w:hAnsi="宋体"/>
          <w:sz w:val="20"/>
          <w:szCs w:val="20"/>
          <w:highlight w:val="none"/>
        </w:rPr>
        <w:t>、</w:t>
      </w:r>
      <w:bookmarkEnd w:id="453"/>
      <w:bookmarkStart w:id="454" w:name="_Hlt212824058"/>
      <w:r>
        <w:rPr>
          <w:rFonts w:hint="eastAsia" w:ascii="宋体" w:hAnsi="宋体"/>
          <w:sz w:val="20"/>
          <w:szCs w:val="20"/>
          <w:highlight w:val="none"/>
        </w:rPr>
        <w:t>（</w:t>
      </w:r>
      <w:bookmarkEnd w:id="454"/>
      <w:r>
        <w:rPr>
          <w:rFonts w:hint="eastAsia" w:ascii="宋体" w:hAnsi="宋体"/>
          <w:sz w:val="20"/>
          <w:szCs w:val="20"/>
          <w:highlight w:val="none"/>
        </w:rPr>
        <w:t>h）</w:t>
      </w:r>
      <w:r>
        <w:rPr>
          <w:rFonts w:hint="eastAsia" w:ascii="宋体" w:hAnsi="宋体"/>
          <w:sz w:val="20"/>
          <w:szCs w:val="20"/>
          <w:highlight w:val="none"/>
        </w:rPr>
        <w:fldChar w:fldCharType="end"/>
      </w:r>
      <w:r>
        <w:rPr>
          <w:rFonts w:hint="eastAsia" w:ascii="宋体" w:hAnsi="宋体"/>
          <w:sz w:val="20"/>
          <w:highlight w:val="none"/>
        </w:rPr>
        <w:t>条款项下的不可抗力事件的补偿：</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此等不可抗力或因甲方要求如导致本项目每年实际运营维护成本增加，甲方将以第三方机构评估测算结果为依据按照投标报价同比例下浮后对乙方给予补偿。</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（b）生效日期后发生第</w:t>
      </w:r>
      <w:r>
        <w:rPr>
          <w:highlight w:val="none"/>
        </w:rPr>
        <w:fldChar w:fldCharType="begin"/>
      </w:r>
      <w:r>
        <w:rPr>
          <w:highlight w:val="none"/>
        </w:rPr>
        <w:instrText xml:space="preserve"> HYPERLINK \l "_14.1_不可抗力引起的终止履行" </w:instrText>
      </w:r>
      <w:r>
        <w:rPr>
          <w:highlight w:val="none"/>
        </w:rPr>
        <w:fldChar w:fldCharType="separate"/>
      </w:r>
      <w:r>
        <w:rPr>
          <w:rFonts w:hint="eastAsia" w:ascii="宋体" w:hAnsi="宋体"/>
          <w:sz w:val="20"/>
          <w:szCs w:val="20"/>
          <w:highlight w:val="none"/>
        </w:rPr>
        <w:t>1</w:t>
      </w:r>
      <w:bookmarkStart w:id="455" w:name="_Hlt199153494"/>
      <w:r>
        <w:rPr>
          <w:rFonts w:hint="eastAsia" w:ascii="宋体" w:hAnsi="宋体"/>
          <w:sz w:val="20"/>
          <w:szCs w:val="20"/>
          <w:highlight w:val="none"/>
        </w:rPr>
        <w:t>4</w:t>
      </w:r>
      <w:bookmarkStart w:id="456" w:name="_Hlt212824238"/>
      <w:r>
        <w:rPr>
          <w:rFonts w:hint="eastAsia" w:ascii="宋体" w:hAnsi="宋体"/>
          <w:sz w:val="20"/>
          <w:szCs w:val="20"/>
          <w:highlight w:val="none"/>
        </w:rPr>
        <w:t>.</w:t>
      </w:r>
      <w:bookmarkEnd w:id="455"/>
      <w:bookmarkEnd w:id="456"/>
      <w:bookmarkStart w:id="457" w:name="_Hlt212828060"/>
      <w:r>
        <w:rPr>
          <w:rFonts w:hint="eastAsia" w:ascii="宋体" w:hAnsi="宋体"/>
          <w:sz w:val="20"/>
          <w:szCs w:val="20"/>
          <w:highlight w:val="none"/>
        </w:rPr>
        <w:t>1</w:t>
      </w:r>
      <w:bookmarkEnd w:id="457"/>
      <w:bookmarkStart w:id="458" w:name="_Hlt212824276"/>
      <w:bookmarkStart w:id="459" w:name="_Hlt212824293"/>
      <w:r>
        <w:rPr>
          <w:rFonts w:hint="eastAsia" w:ascii="宋体" w:hAnsi="宋体"/>
          <w:sz w:val="20"/>
          <w:szCs w:val="20"/>
          <w:highlight w:val="none"/>
        </w:rPr>
        <w:t>（</w:t>
      </w:r>
      <w:bookmarkEnd w:id="458"/>
      <w:bookmarkEnd w:id="459"/>
      <w:r>
        <w:rPr>
          <w:rFonts w:hint="eastAsia" w:ascii="宋体" w:hAnsi="宋体"/>
          <w:sz w:val="20"/>
          <w:szCs w:val="20"/>
          <w:highlight w:val="none"/>
        </w:rPr>
        <w:t>j）</w:t>
      </w:r>
      <w:r>
        <w:rPr>
          <w:rFonts w:hint="eastAsia" w:ascii="宋体" w:hAnsi="宋体"/>
          <w:sz w:val="20"/>
          <w:szCs w:val="20"/>
          <w:highlight w:val="none"/>
        </w:rPr>
        <w:fldChar w:fldCharType="end"/>
      </w:r>
      <w:r>
        <w:rPr>
          <w:rFonts w:hint="eastAsia" w:ascii="宋体" w:hAnsi="宋体"/>
          <w:sz w:val="20"/>
          <w:highlight w:val="none"/>
        </w:rPr>
        <w:t>条款项下的法律变更事件时：</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如在运营服务协议生效后，任何政府部门通过、颁布、修改、废除或重新解释的任何与本项目相关的适用法规；任何</w:t>
      </w:r>
      <w:bookmarkStart w:id="460" w:name="_Hlt94372207"/>
      <w:bookmarkEnd w:id="460"/>
      <w:r>
        <w:rPr>
          <w:rFonts w:hint="eastAsia" w:ascii="宋体" w:hAnsi="宋体"/>
          <w:sz w:val="20"/>
          <w:highlight w:val="none"/>
        </w:rPr>
        <w:t>政府部门实施的关于签发、续展或修改任何批准的任何条件等造成的法律变更，导致</w:t>
      </w:r>
      <w:bookmarkStart w:id="461" w:name="_Hlt93218375"/>
      <w:bookmarkEnd w:id="461"/>
      <w:r>
        <w:rPr>
          <w:rFonts w:hint="eastAsia" w:ascii="宋体" w:hAnsi="宋体"/>
          <w:sz w:val="20"/>
          <w:highlight w:val="none"/>
        </w:rPr>
        <w:t>对项目的运营、维护和移交的要求发生任何变化等，使得对乙方发生不利或获益的情况下，任一方均有权要求另一方以第三方机构评估测算结果为依据按照投标报价同比例下浮后给予对方以合理的补偿或抵减，以使其达到与其若未发生这些法律变更的情况下基本相同的经济状况。</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（c）生效日期后发生第</w:t>
      </w:r>
      <w:r>
        <w:rPr>
          <w:highlight w:val="none"/>
        </w:rPr>
        <w:fldChar w:fldCharType="begin"/>
      </w:r>
      <w:r>
        <w:rPr>
          <w:highlight w:val="none"/>
        </w:rPr>
        <w:instrText xml:space="preserve"> HYPERLINK \l "_15.1_不可抗力" </w:instrText>
      </w:r>
      <w:r>
        <w:rPr>
          <w:highlight w:val="none"/>
        </w:rPr>
        <w:fldChar w:fldCharType="separate"/>
      </w:r>
      <w:r>
        <w:rPr>
          <w:rFonts w:hint="eastAsia" w:ascii="宋体" w:hAnsi="宋体"/>
          <w:sz w:val="20"/>
          <w:szCs w:val="20"/>
          <w:highlight w:val="none"/>
        </w:rPr>
        <w:t>14.1（a）、</w:t>
      </w:r>
      <w:bookmarkStart w:id="462" w:name="_Hlt198926462"/>
      <w:r>
        <w:rPr>
          <w:rFonts w:hint="eastAsia" w:ascii="宋体" w:hAnsi="宋体"/>
          <w:sz w:val="20"/>
          <w:szCs w:val="20"/>
          <w:highlight w:val="none"/>
        </w:rPr>
        <w:t>（</w:t>
      </w:r>
      <w:bookmarkEnd w:id="462"/>
      <w:r>
        <w:rPr>
          <w:rFonts w:hint="eastAsia" w:ascii="宋体" w:hAnsi="宋体"/>
          <w:sz w:val="20"/>
          <w:szCs w:val="20"/>
          <w:highlight w:val="none"/>
        </w:rPr>
        <w:t>b）、（c）、</w:t>
      </w:r>
      <w:bookmarkStart w:id="463" w:name="_Hlt198926221"/>
      <w:r>
        <w:rPr>
          <w:rFonts w:hint="eastAsia" w:ascii="宋体" w:hAnsi="宋体"/>
          <w:sz w:val="20"/>
          <w:szCs w:val="20"/>
          <w:highlight w:val="none"/>
        </w:rPr>
        <w:t>（</w:t>
      </w:r>
      <w:bookmarkEnd w:id="463"/>
      <w:r>
        <w:rPr>
          <w:rFonts w:hint="eastAsia" w:ascii="宋体" w:hAnsi="宋体"/>
          <w:sz w:val="20"/>
          <w:szCs w:val="20"/>
          <w:highlight w:val="none"/>
        </w:rPr>
        <w:t>e）、（f）、（g）或（i）</w:t>
      </w:r>
      <w:r>
        <w:rPr>
          <w:rFonts w:hint="eastAsia" w:ascii="宋体" w:hAnsi="宋体"/>
          <w:sz w:val="20"/>
          <w:szCs w:val="20"/>
          <w:highlight w:val="none"/>
        </w:rPr>
        <w:fldChar w:fldCharType="end"/>
      </w:r>
      <w:r>
        <w:rPr>
          <w:rFonts w:hint="eastAsia" w:ascii="宋体" w:hAnsi="宋体"/>
          <w:sz w:val="20"/>
          <w:highlight w:val="none"/>
        </w:rPr>
        <w:t>条款项下的不可抗力事件时的补偿：</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此等不可抗力导致本项目每年运营成本增加低于上年运营收入的10%或在50万元之内时，由乙方自行承担；运营成本支出超过以上金额的额外增加部分，甲方应承担扣除乙方获付保险赔款后剩余部分金额百分之五十（50%）的补偿责任。</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(d) 对厂区外项目设施实施紧急抢修费用的补偿：</w:t>
      </w:r>
      <w:bookmarkStart w:id="464" w:name="_Hlt209930912"/>
      <w:bookmarkEnd w:id="464"/>
    </w:p>
    <w:p>
      <w:pPr>
        <w:pStyle w:val="56"/>
        <w:tabs>
          <w:tab w:val="left" w:pos="420"/>
        </w:tabs>
        <w:spacing w:beforeLines="50"/>
        <w:ind w:firstLine="567"/>
        <w:rPr>
          <w:rFonts w:ascii="宋体" w:hAnsi="宋体"/>
          <w:sz w:val="20"/>
          <w:highlight w:val="none"/>
        </w:rPr>
      </w:pPr>
      <w:r>
        <w:rPr>
          <w:rFonts w:hint="eastAsia" w:ascii="宋体" w:hAnsi="宋体"/>
          <w:sz w:val="20"/>
          <w:highlight w:val="none"/>
        </w:rPr>
        <w:t>对乙方按照甲方紧急指令实际发生的抢修成本（不含人工费用）支出，在经甲方审核确认后三（3）个月内予以补偿。</w:t>
      </w:r>
      <w:bookmarkStart w:id="465" w:name="_Hlt209931385"/>
      <w:bookmarkEnd w:id="465"/>
    </w:p>
    <w:p>
      <w:pPr>
        <w:pStyle w:val="56"/>
        <w:tabs>
          <w:tab w:val="left" w:pos="420"/>
        </w:tabs>
        <w:spacing w:beforeLines="50"/>
        <w:ind w:firstLine="567"/>
        <w:rPr>
          <w:rFonts w:ascii="宋体" w:hAnsi="宋体"/>
          <w:sz w:val="20"/>
          <w:highlight w:val="none"/>
        </w:rPr>
      </w:pPr>
      <w:r>
        <w:rPr>
          <w:rFonts w:hint="eastAsia" w:ascii="宋体" w:hAnsi="宋体"/>
          <w:sz w:val="20"/>
          <w:highlight w:val="none"/>
        </w:rPr>
        <w:t>（e）运营成本：</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本项目包括人工、能源以及化学药品的等与此有关的补偿，甲方不予考虑。</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17.1.3 以其它方式已补偿的损失</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就乙方因补偿事件而发生的损失、损害或责任（包括增加的运营成本），甲方没有义务对已从下列符合另行获取补偿或抵销的损失部分提供补偿：</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（a）乙方有权获得的保险赔款；</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（b）乙方已从其它途径获得补偿；</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（c）甲方按照运营服务协议其它规定或以其它方式提供补偿；</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（d）法律变更使乙方的经常性支出减少或以其它方式已获补偿。</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17.1.4补偿形式</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（a）补偿形式：</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 xml:space="preserve">    i）抵减违约金；</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 xml:space="preserve">    ii）每一个付费月结算时一次性补偿。</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 xml:space="preserve">  （b）补偿方式的优先：</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 xml:space="preserve">    i）乙方应付违约金的抵减（如有）；</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 xml:space="preserve">    ii）每一个付费月结算时一次性补偿;</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 xml:space="preserve">    iii）每一运营周年双方对各种费用结算审核完成后，纳入应付余额中一次性结算补偿（如有）。</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17.1.5 补偿事件的通知</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当按照上述第17.1条款规定而使乙方有权获得补偿时，乙方应书面通知甲方补偿事件的发生及其可能之影响，包括有关损失的性质和估计数额（下称“补偿通知”）。</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17.1.6 协商谈判期：</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（a）甲方收到补偿通知后，当事各方应以诚意进行协商谈判，并尽其最大努力就补偿的形式、数额及时间达成一致；</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（b）若在谈判开始后二十日（20）内当事方未能就补偿达成一致，则按照运营服务协议第</w:t>
      </w:r>
      <w:r>
        <w:rPr>
          <w:highlight w:val="none"/>
        </w:rPr>
        <w:fldChar w:fldCharType="begin"/>
      </w:r>
      <w:r>
        <w:rPr>
          <w:highlight w:val="none"/>
        </w:rPr>
        <w:instrText xml:space="preserve"> HYPERLINK \l "_第22章_争议的解决" </w:instrText>
      </w:r>
      <w:r>
        <w:rPr>
          <w:highlight w:val="none"/>
        </w:rPr>
        <w:fldChar w:fldCharType="separate"/>
      </w:r>
      <w:bookmarkStart w:id="466" w:name="_Hlt94374922"/>
      <w:bookmarkEnd w:id="466"/>
      <w:r>
        <w:rPr>
          <w:rFonts w:hint="eastAsia" w:ascii="宋体" w:hAnsi="宋体"/>
          <w:sz w:val="20"/>
          <w:szCs w:val="20"/>
          <w:highlight w:val="none"/>
        </w:rPr>
        <w:t>19</w:t>
      </w:r>
      <w:r>
        <w:rPr>
          <w:rFonts w:hint="eastAsia" w:ascii="宋体" w:hAnsi="宋体"/>
          <w:sz w:val="20"/>
          <w:szCs w:val="20"/>
          <w:highlight w:val="none"/>
        </w:rPr>
        <w:fldChar w:fldCharType="end"/>
      </w:r>
      <w:r>
        <w:rPr>
          <w:rFonts w:hint="eastAsia" w:ascii="宋体" w:hAnsi="宋体"/>
          <w:sz w:val="20"/>
          <w:highlight w:val="none"/>
        </w:rPr>
        <w:t>章规定解决。</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17.1.7 对责任的限制</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乙方同意，如果甲方按照第17章的规定提供补偿，甲方对乙方不再承担有关补偿事件的任何其它责任。</w:t>
      </w:r>
    </w:p>
    <w:p>
      <w:pPr>
        <w:pStyle w:val="56"/>
        <w:keepNext/>
        <w:keepLines/>
        <w:spacing w:before="120" w:after="120"/>
        <w:ind w:firstLine="500"/>
        <w:outlineLvl w:val="4"/>
        <w:rPr>
          <w:rFonts w:ascii="宋体" w:hAnsi="宋体"/>
          <w:b/>
          <w:szCs w:val="20"/>
          <w:highlight w:val="none"/>
        </w:rPr>
      </w:pPr>
      <w:bookmarkStart w:id="467" w:name="_17.2_终止后的合理补偿"/>
      <w:bookmarkEnd w:id="467"/>
      <w:bookmarkStart w:id="468" w:name="_Toc246596743"/>
      <w:bookmarkStart w:id="469" w:name="_Toc1868"/>
      <w:r>
        <w:rPr>
          <w:rFonts w:hint="eastAsia" w:ascii="宋体" w:hAnsi="宋体"/>
          <w:b/>
          <w:szCs w:val="20"/>
          <w:highlight w:val="none"/>
        </w:rPr>
        <w:t xml:space="preserve">17.2 </w:t>
      </w:r>
      <w:bookmarkStart w:id="470" w:name="_Hlt92878312"/>
      <w:bookmarkEnd w:id="470"/>
      <w:r>
        <w:rPr>
          <w:rFonts w:hint="eastAsia" w:ascii="宋体" w:hAnsi="宋体"/>
          <w:b/>
          <w:szCs w:val="20"/>
          <w:highlight w:val="none"/>
        </w:rPr>
        <w:t>终止后的合理补偿</w:t>
      </w:r>
      <w:bookmarkEnd w:id="468"/>
      <w:bookmarkEnd w:id="469"/>
      <w:r>
        <w:rPr>
          <w:rFonts w:hint="eastAsia" w:ascii="宋体" w:hAnsi="宋体"/>
          <w:b/>
          <w:szCs w:val="20"/>
          <w:highlight w:val="none"/>
        </w:rPr>
        <w:t>或赔偿</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17.2.1若运营服务协议所指的项目设施在运营期内根据第</w:t>
      </w:r>
      <w:r>
        <w:rPr>
          <w:highlight w:val="none"/>
        </w:rPr>
        <w:fldChar w:fldCharType="begin"/>
      </w:r>
      <w:r>
        <w:rPr>
          <w:highlight w:val="none"/>
        </w:rPr>
        <w:instrText xml:space="preserve"> HYPERLINK \l "_第十五章__终止" </w:instrText>
      </w:r>
      <w:r>
        <w:rPr>
          <w:highlight w:val="none"/>
        </w:rPr>
        <w:fldChar w:fldCharType="separate"/>
      </w:r>
      <w:r>
        <w:rPr>
          <w:rFonts w:hint="eastAsia" w:ascii="宋体" w:hAnsi="宋体"/>
          <w:sz w:val="20"/>
          <w:szCs w:val="20"/>
          <w:highlight w:val="none"/>
        </w:rPr>
        <w:t>15</w:t>
      </w:r>
      <w:r>
        <w:rPr>
          <w:rFonts w:hint="eastAsia" w:ascii="宋体" w:hAnsi="宋体"/>
          <w:sz w:val="20"/>
          <w:szCs w:val="20"/>
          <w:highlight w:val="none"/>
        </w:rPr>
        <w:fldChar w:fldCharType="end"/>
      </w:r>
      <w:r>
        <w:rPr>
          <w:rFonts w:hint="eastAsia" w:ascii="宋体" w:hAnsi="宋体"/>
          <w:sz w:val="20"/>
          <w:highlight w:val="none"/>
        </w:rPr>
        <w:t>章终止，甲方应根据表17.2对由乙方购置的生活和办公器用具折旧残值的规定对乙方予以合理</w:t>
      </w:r>
      <w:bookmarkStart w:id="471" w:name="_Hlt93415470"/>
      <w:bookmarkEnd w:id="471"/>
      <w:r>
        <w:rPr>
          <w:rFonts w:hint="eastAsia" w:ascii="宋体" w:hAnsi="宋体"/>
          <w:sz w:val="20"/>
          <w:highlight w:val="none"/>
        </w:rPr>
        <w:t>补偿。</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 xml:space="preserve">              表17.2</w:t>
      </w:r>
      <w:bookmarkStart w:id="472" w:name="_Hlt200159386"/>
      <w:r>
        <w:rPr>
          <w:rFonts w:hint="eastAsia" w:ascii="宋体" w:hAnsi="宋体"/>
          <w:sz w:val="20"/>
          <w:highlight w:val="none"/>
        </w:rPr>
        <w:t xml:space="preserve"> 项目设施终止补偿事件及补偿金对照表</w:t>
      </w:r>
      <w:bookmarkEnd w:id="472"/>
    </w:p>
    <w:tbl>
      <w:tblPr>
        <w:tblStyle w:val="25"/>
        <w:tblpPr w:leftFromText="180" w:rightFromText="180" w:vertAnchor="text" w:horzAnchor="margin" w:tblpXSpec="center" w:tblpY="263"/>
        <w:tblW w:w="818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686"/>
        <w:gridCol w:w="1701"/>
        <w:gridCol w:w="19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17" w:type="dxa"/>
            <w:vAlign w:val="center"/>
          </w:tcPr>
          <w:p>
            <w:pPr>
              <w:pStyle w:val="56"/>
              <w:spacing w:beforeLines="50"/>
              <w:jc w:val="center"/>
              <w:rPr>
                <w:rFonts w:asciiTheme="minorEastAsia" w:hAnsiTheme="minorEastAsia" w:eastAsiaTheme="minorEastAsia" w:cstheme="minorEastAsia"/>
                <w:bCs/>
                <w:sz w:val="20"/>
                <w:szCs w:val="20"/>
                <w:highlight w:val="none"/>
              </w:rPr>
            </w:pPr>
            <w:r>
              <w:rPr>
                <w:rFonts w:hint="eastAsia" w:asciiTheme="minorEastAsia" w:hAnsiTheme="minorEastAsia" w:eastAsiaTheme="minorEastAsia" w:cstheme="minorEastAsia"/>
                <w:bCs/>
                <w:sz w:val="20"/>
                <w:szCs w:val="20"/>
                <w:highlight w:val="none"/>
              </w:rPr>
              <w:t>序号</w:t>
            </w:r>
          </w:p>
        </w:tc>
        <w:tc>
          <w:tcPr>
            <w:tcW w:w="3686" w:type="dxa"/>
            <w:vAlign w:val="center"/>
          </w:tcPr>
          <w:p>
            <w:pPr>
              <w:pStyle w:val="56"/>
              <w:spacing w:beforeLines="50"/>
              <w:jc w:val="center"/>
              <w:textAlignment w:val="baseline"/>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事件与涉及条款</w:t>
            </w:r>
          </w:p>
          <w:p>
            <w:pPr>
              <w:pStyle w:val="56"/>
              <w:spacing w:beforeLines="50"/>
              <w:jc w:val="center"/>
              <w:textAlignment w:val="baseline"/>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（导致协议提前终止的原因）</w:t>
            </w:r>
          </w:p>
        </w:tc>
        <w:tc>
          <w:tcPr>
            <w:tcW w:w="1701" w:type="dxa"/>
            <w:vAlign w:val="center"/>
          </w:tcPr>
          <w:p>
            <w:pPr>
              <w:pStyle w:val="56"/>
              <w:spacing w:beforeLines="50"/>
              <w:textAlignment w:val="baseline"/>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协议提前终止</w:t>
            </w:r>
          </w:p>
          <w:p>
            <w:pPr>
              <w:pStyle w:val="56"/>
              <w:spacing w:beforeLines="50"/>
              <w:textAlignment w:val="baseline"/>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所属时期</w:t>
            </w:r>
          </w:p>
        </w:tc>
        <w:tc>
          <w:tcPr>
            <w:tcW w:w="1984" w:type="dxa"/>
            <w:vAlign w:val="center"/>
          </w:tcPr>
          <w:p>
            <w:pPr>
              <w:pStyle w:val="56"/>
              <w:spacing w:beforeLines="50"/>
              <w:jc w:val="center"/>
              <w:textAlignment w:val="baseline"/>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终止</w:t>
            </w:r>
          </w:p>
          <w:p>
            <w:pPr>
              <w:pStyle w:val="56"/>
              <w:spacing w:beforeLines="50"/>
              <w:jc w:val="center"/>
              <w:textAlignment w:val="baseline"/>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补（赔）偿金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17" w:type="dxa"/>
            <w:vMerge w:val="restart"/>
            <w:vAlign w:val="center"/>
          </w:tcPr>
          <w:p>
            <w:pPr>
              <w:pStyle w:val="56"/>
              <w:spacing w:beforeLines="50"/>
              <w:jc w:val="center"/>
              <w:rPr>
                <w:rFonts w:asciiTheme="minorEastAsia" w:hAnsiTheme="minorEastAsia" w:eastAsiaTheme="minorEastAsia" w:cstheme="minorEastAsia"/>
                <w:bCs/>
                <w:sz w:val="20"/>
                <w:szCs w:val="20"/>
                <w:highlight w:val="none"/>
              </w:rPr>
            </w:pPr>
            <w:r>
              <w:rPr>
                <w:rFonts w:hint="eastAsia" w:asciiTheme="minorEastAsia" w:hAnsiTheme="minorEastAsia" w:eastAsiaTheme="minorEastAsia" w:cstheme="minorEastAsia"/>
                <w:bCs/>
                <w:sz w:val="20"/>
                <w:szCs w:val="20"/>
                <w:highlight w:val="none"/>
              </w:rPr>
              <w:t>1</w:t>
            </w:r>
          </w:p>
        </w:tc>
        <w:tc>
          <w:tcPr>
            <w:tcW w:w="3686" w:type="dxa"/>
            <w:vMerge w:val="restart"/>
            <w:vAlign w:val="center"/>
          </w:tcPr>
          <w:p>
            <w:pPr>
              <w:pStyle w:val="56"/>
              <w:spacing w:beforeLines="50"/>
              <w:jc w:val="center"/>
              <w:textAlignment w:val="baseline"/>
              <w:rPr>
                <w:rFonts w:asciiTheme="minorEastAsia" w:hAnsiTheme="minorEastAsia" w:eastAsiaTheme="minorEastAsia" w:cstheme="minorEastAsia"/>
                <w:bCs/>
                <w:highlight w:val="none"/>
                <w:u w:val="single"/>
              </w:rPr>
            </w:pPr>
            <w:r>
              <w:rPr>
                <w:rFonts w:hint="eastAsia" w:asciiTheme="minorEastAsia" w:hAnsiTheme="minorEastAsia" w:eastAsiaTheme="minorEastAsia" w:cstheme="minorEastAsia"/>
                <w:bCs/>
                <w:highlight w:val="none"/>
              </w:rPr>
              <w:fldChar w:fldCharType="begin"/>
            </w:r>
            <w:r>
              <w:rPr>
                <w:rFonts w:hint="eastAsia" w:asciiTheme="minorEastAsia" w:hAnsiTheme="minorEastAsia" w:eastAsiaTheme="minorEastAsia" w:cstheme="minorEastAsia"/>
                <w:bCs/>
                <w:highlight w:val="none"/>
              </w:rPr>
              <w:instrText xml:space="preserve"> HYPERLINK  \l "_15.1_终止事件" </w:instrText>
            </w:r>
            <w:r>
              <w:rPr>
                <w:rFonts w:hint="eastAsia" w:asciiTheme="minorEastAsia" w:hAnsiTheme="minorEastAsia" w:eastAsiaTheme="minorEastAsia" w:cstheme="minorEastAsia"/>
                <w:bCs/>
                <w:highlight w:val="none"/>
              </w:rPr>
              <w:fldChar w:fldCharType="separate"/>
            </w:r>
            <w:r>
              <w:rPr>
                <w:rFonts w:hint="eastAsia" w:asciiTheme="minorEastAsia" w:hAnsiTheme="minorEastAsia" w:eastAsiaTheme="minorEastAsia" w:cstheme="minorEastAsia"/>
                <w:bCs/>
                <w:highlight w:val="none"/>
                <w:u w:val="single"/>
              </w:rPr>
              <w:t>1</w:t>
            </w:r>
            <w:bookmarkStart w:id="473" w:name="_Hlt212830365"/>
            <w:r>
              <w:rPr>
                <w:rFonts w:hint="eastAsia" w:asciiTheme="minorEastAsia" w:hAnsiTheme="minorEastAsia" w:eastAsiaTheme="minorEastAsia" w:cstheme="minorEastAsia"/>
                <w:bCs/>
                <w:highlight w:val="none"/>
                <w:u w:val="single"/>
              </w:rPr>
              <w:t>5.</w:t>
            </w:r>
            <w:bookmarkEnd w:id="473"/>
            <w:r>
              <w:rPr>
                <w:rFonts w:hint="eastAsia" w:asciiTheme="minorEastAsia" w:hAnsiTheme="minorEastAsia" w:eastAsiaTheme="minorEastAsia" w:cstheme="minorEastAsia"/>
                <w:bCs/>
                <w:highlight w:val="none"/>
                <w:u w:val="single"/>
              </w:rPr>
              <w:t>2</w:t>
            </w:r>
          </w:p>
          <w:p>
            <w:pPr>
              <w:pStyle w:val="56"/>
              <w:spacing w:beforeLines="50"/>
              <w:jc w:val="center"/>
              <w:textAlignment w:val="baseline"/>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fldChar w:fldCharType="end"/>
            </w:r>
            <w:r>
              <w:rPr>
                <w:rFonts w:hint="eastAsia" w:asciiTheme="minorEastAsia" w:hAnsiTheme="minorEastAsia" w:eastAsiaTheme="minorEastAsia" w:cstheme="minorEastAsia"/>
                <w:bCs/>
                <w:highlight w:val="none"/>
              </w:rPr>
              <w:t>（乙方违约）</w:t>
            </w:r>
          </w:p>
        </w:tc>
        <w:tc>
          <w:tcPr>
            <w:tcW w:w="1701" w:type="dxa"/>
            <w:vAlign w:val="center"/>
          </w:tcPr>
          <w:p>
            <w:pPr>
              <w:pStyle w:val="56"/>
              <w:spacing w:beforeLines="50"/>
              <w:textAlignment w:val="baseline"/>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运营初期终止</w:t>
            </w:r>
          </w:p>
        </w:tc>
        <w:tc>
          <w:tcPr>
            <w:tcW w:w="1984" w:type="dxa"/>
            <w:vAlign w:val="center"/>
          </w:tcPr>
          <w:p>
            <w:pPr>
              <w:pStyle w:val="56"/>
              <w:spacing w:beforeLines="50"/>
              <w:jc w:val="center"/>
              <w:textAlignment w:val="baseline"/>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A-B</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817" w:type="dxa"/>
            <w:vMerge w:val="continue"/>
            <w:vAlign w:val="center"/>
          </w:tcPr>
          <w:p>
            <w:pPr>
              <w:pStyle w:val="56"/>
              <w:spacing w:beforeLines="50"/>
              <w:ind w:firstLine="567"/>
              <w:jc w:val="center"/>
              <w:rPr>
                <w:rFonts w:asciiTheme="minorEastAsia" w:hAnsiTheme="minorEastAsia" w:eastAsiaTheme="minorEastAsia" w:cstheme="minorEastAsia"/>
                <w:bCs/>
                <w:sz w:val="20"/>
                <w:szCs w:val="20"/>
                <w:highlight w:val="none"/>
              </w:rPr>
            </w:pPr>
          </w:p>
        </w:tc>
        <w:tc>
          <w:tcPr>
            <w:tcW w:w="3686" w:type="dxa"/>
            <w:vMerge w:val="continue"/>
            <w:vAlign w:val="center"/>
          </w:tcPr>
          <w:p>
            <w:pPr>
              <w:pStyle w:val="56"/>
              <w:spacing w:beforeLines="50"/>
              <w:ind w:firstLine="567"/>
              <w:jc w:val="center"/>
              <w:textAlignment w:val="baseline"/>
              <w:rPr>
                <w:rFonts w:asciiTheme="minorEastAsia" w:hAnsiTheme="minorEastAsia" w:eastAsiaTheme="minorEastAsia" w:cstheme="minorEastAsia"/>
                <w:bCs/>
                <w:highlight w:val="none"/>
              </w:rPr>
            </w:pPr>
          </w:p>
        </w:tc>
        <w:tc>
          <w:tcPr>
            <w:tcW w:w="1701" w:type="dxa"/>
            <w:vAlign w:val="center"/>
          </w:tcPr>
          <w:p>
            <w:pPr>
              <w:pStyle w:val="56"/>
              <w:spacing w:beforeLines="50"/>
              <w:textAlignment w:val="baseline"/>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运营期间终止</w:t>
            </w:r>
          </w:p>
        </w:tc>
        <w:tc>
          <w:tcPr>
            <w:tcW w:w="1984" w:type="dxa"/>
            <w:vAlign w:val="center"/>
          </w:tcPr>
          <w:p>
            <w:pPr>
              <w:pStyle w:val="56"/>
              <w:spacing w:beforeLines="50"/>
              <w:jc w:val="center"/>
              <w:textAlignment w:val="baseline"/>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A-C</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817" w:type="dxa"/>
            <w:vMerge w:val="restart"/>
            <w:vAlign w:val="center"/>
          </w:tcPr>
          <w:p>
            <w:pPr>
              <w:pStyle w:val="56"/>
              <w:spacing w:beforeLines="50"/>
              <w:jc w:val="center"/>
              <w:rPr>
                <w:rFonts w:asciiTheme="minorEastAsia" w:hAnsiTheme="minorEastAsia" w:eastAsiaTheme="minorEastAsia" w:cstheme="minorEastAsia"/>
                <w:bCs/>
                <w:sz w:val="20"/>
                <w:szCs w:val="20"/>
                <w:highlight w:val="none"/>
              </w:rPr>
            </w:pPr>
            <w:r>
              <w:rPr>
                <w:rFonts w:hint="eastAsia" w:asciiTheme="minorEastAsia" w:hAnsiTheme="minorEastAsia" w:eastAsiaTheme="minorEastAsia" w:cstheme="minorEastAsia"/>
                <w:bCs/>
                <w:sz w:val="20"/>
                <w:szCs w:val="20"/>
                <w:highlight w:val="none"/>
              </w:rPr>
              <w:t>2</w:t>
            </w:r>
          </w:p>
        </w:tc>
        <w:tc>
          <w:tcPr>
            <w:tcW w:w="3686" w:type="dxa"/>
            <w:vMerge w:val="restart"/>
            <w:vAlign w:val="center"/>
          </w:tcPr>
          <w:p>
            <w:pPr>
              <w:pStyle w:val="56"/>
              <w:spacing w:beforeLines="50"/>
              <w:jc w:val="center"/>
              <w:textAlignment w:val="baseline"/>
              <w:rPr>
                <w:rFonts w:asciiTheme="minorEastAsia" w:hAnsiTheme="minorEastAsia" w:eastAsiaTheme="minorEastAsia" w:cstheme="minorEastAsia"/>
                <w:bCs/>
                <w:highlight w:val="none"/>
              </w:rPr>
            </w:pPr>
            <w:r>
              <w:rPr>
                <w:highlight w:val="none"/>
              </w:rPr>
              <w:fldChar w:fldCharType="begin"/>
            </w:r>
            <w:r>
              <w:rPr>
                <w:highlight w:val="none"/>
              </w:rPr>
              <w:instrText xml:space="preserve"> HYPERLINK \l "_16.2_特许经营者的终止" </w:instrText>
            </w:r>
            <w:r>
              <w:rPr>
                <w:highlight w:val="none"/>
              </w:rPr>
              <w:fldChar w:fldCharType="separate"/>
            </w:r>
            <w:r>
              <w:rPr>
                <w:rFonts w:hint="eastAsia" w:asciiTheme="minorEastAsia" w:hAnsiTheme="minorEastAsia" w:eastAsiaTheme="minorEastAsia" w:cstheme="minorEastAsia"/>
                <w:bCs/>
                <w:highlight w:val="none"/>
                <w:u w:val="single"/>
              </w:rPr>
              <w:t>15.3</w:t>
            </w:r>
            <w:r>
              <w:rPr>
                <w:rFonts w:hint="eastAsia" w:asciiTheme="minorEastAsia" w:hAnsiTheme="minorEastAsia" w:eastAsiaTheme="minorEastAsia" w:cstheme="minorEastAsia"/>
                <w:bCs/>
                <w:highlight w:val="none"/>
                <w:u w:val="single"/>
              </w:rPr>
              <w:fldChar w:fldCharType="end"/>
            </w:r>
          </w:p>
          <w:p>
            <w:pPr>
              <w:pStyle w:val="56"/>
              <w:spacing w:beforeLines="50"/>
              <w:jc w:val="center"/>
              <w:textAlignment w:val="baseline"/>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（甲方违约）</w:t>
            </w:r>
          </w:p>
        </w:tc>
        <w:tc>
          <w:tcPr>
            <w:tcW w:w="1701" w:type="dxa"/>
            <w:vAlign w:val="center"/>
          </w:tcPr>
          <w:p>
            <w:pPr>
              <w:pStyle w:val="56"/>
              <w:spacing w:beforeLines="50"/>
              <w:textAlignment w:val="baseline"/>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运营初期终止</w:t>
            </w:r>
          </w:p>
        </w:tc>
        <w:tc>
          <w:tcPr>
            <w:tcW w:w="1984" w:type="dxa"/>
            <w:vAlign w:val="center"/>
          </w:tcPr>
          <w:p>
            <w:pPr>
              <w:pStyle w:val="56"/>
              <w:spacing w:beforeLines="50"/>
              <w:jc w:val="center"/>
              <w:textAlignment w:val="baseline"/>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A+B/2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80" w:hRule="atLeast"/>
        </w:trPr>
        <w:tc>
          <w:tcPr>
            <w:tcW w:w="817" w:type="dxa"/>
            <w:vMerge w:val="continue"/>
            <w:vAlign w:val="center"/>
          </w:tcPr>
          <w:p>
            <w:pPr>
              <w:pStyle w:val="56"/>
              <w:spacing w:beforeLines="50"/>
              <w:ind w:firstLine="567"/>
              <w:jc w:val="center"/>
              <w:rPr>
                <w:rFonts w:asciiTheme="minorEastAsia" w:hAnsiTheme="minorEastAsia" w:eastAsiaTheme="minorEastAsia" w:cstheme="minorEastAsia"/>
                <w:bCs/>
                <w:sz w:val="20"/>
                <w:szCs w:val="20"/>
                <w:highlight w:val="none"/>
              </w:rPr>
            </w:pPr>
          </w:p>
        </w:tc>
        <w:tc>
          <w:tcPr>
            <w:tcW w:w="3686" w:type="dxa"/>
            <w:vMerge w:val="continue"/>
            <w:vAlign w:val="center"/>
          </w:tcPr>
          <w:p>
            <w:pPr>
              <w:pStyle w:val="56"/>
              <w:spacing w:beforeLines="50"/>
              <w:ind w:firstLine="567"/>
              <w:jc w:val="center"/>
              <w:textAlignment w:val="baseline"/>
              <w:rPr>
                <w:rFonts w:asciiTheme="minorEastAsia" w:hAnsiTheme="minorEastAsia" w:eastAsiaTheme="minorEastAsia" w:cstheme="minorEastAsia"/>
                <w:bCs/>
                <w:highlight w:val="none"/>
              </w:rPr>
            </w:pPr>
          </w:p>
        </w:tc>
        <w:tc>
          <w:tcPr>
            <w:tcW w:w="1701" w:type="dxa"/>
            <w:vAlign w:val="center"/>
          </w:tcPr>
          <w:p>
            <w:pPr>
              <w:pStyle w:val="56"/>
              <w:spacing w:beforeLines="50"/>
              <w:textAlignment w:val="baseline"/>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运营期间终止</w:t>
            </w:r>
          </w:p>
        </w:tc>
        <w:tc>
          <w:tcPr>
            <w:tcW w:w="1984" w:type="dxa"/>
            <w:vAlign w:val="center"/>
          </w:tcPr>
          <w:p>
            <w:pPr>
              <w:pStyle w:val="56"/>
              <w:spacing w:beforeLines="50"/>
              <w:jc w:val="center"/>
              <w:textAlignment w:val="baseline"/>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A+C/2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17" w:type="dxa"/>
            <w:vMerge w:val="restart"/>
            <w:vAlign w:val="center"/>
          </w:tcPr>
          <w:p>
            <w:pPr>
              <w:pStyle w:val="56"/>
              <w:spacing w:beforeLines="50"/>
              <w:jc w:val="center"/>
              <w:rPr>
                <w:rFonts w:asciiTheme="minorEastAsia" w:hAnsiTheme="minorEastAsia" w:eastAsiaTheme="minorEastAsia" w:cstheme="minorEastAsia"/>
                <w:bCs/>
                <w:sz w:val="20"/>
                <w:szCs w:val="20"/>
                <w:highlight w:val="none"/>
              </w:rPr>
            </w:pPr>
            <w:r>
              <w:rPr>
                <w:rFonts w:hint="eastAsia" w:asciiTheme="minorEastAsia" w:hAnsiTheme="minorEastAsia" w:eastAsiaTheme="minorEastAsia" w:cstheme="minorEastAsia"/>
                <w:bCs/>
                <w:sz w:val="20"/>
                <w:szCs w:val="20"/>
                <w:highlight w:val="none"/>
              </w:rPr>
              <w:t>3</w:t>
            </w:r>
          </w:p>
        </w:tc>
        <w:tc>
          <w:tcPr>
            <w:tcW w:w="3686" w:type="dxa"/>
            <w:vMerge w:val="restart"/>
            <w:vAlign w:val="center"/>
          </w:tcPr>
          <w:p>
            <w:pPr>
              <w:pStyle w:val="56"/>
              <w:spacing w:beforeLines="50"/>
              <w:jc w:val="center"/>
              <w:textAlignment w:val="baseline"/>
              <w:rPr>
                <w:rFonts w:asciiTheme="minorEastAsia" w:hAnsiTheme="minorEastAsia" w:eastAsiaTheme="minorEastAsia" w:cstheme="minorEastAsia"/>
                <w:bCs/>
                <w:highlight w:val="none"/>
              </w:rPr>
            </w:pPr>
            <w:r>
              <w:rPr>
                <w:highlight w:val="none"/>
              </w:rPr>
              <w:fldChar w:fldCharType="begin"/>
            </w:r>
            <w:r>
              <w:rPr>
                <w:highlight w:val="none"/>
              </w:rPr>
              <w:instrText xml:space="preserve"> HYPERLINK \l "_15.1_不可抗力" </w:instrText>
            </w:r>
            <w:r>
              <w:rPr>
                <w:highlight w:val="none"/>
              </w:rPr>
              <w:fldChar w:fldCharType="separate"/>
            </w:r>
            <w:r>
              <w:rPr>
                <w:rFonts w:hint="eastAsia" w:asciiTheme="minorEastAsia" w:hAnsiTheme="minorEastAsia" w:eastAsiaTheme="minorEastAsia" w:cstheme="minorEastAsia"/>
                <w:bCs/>
                <w:highlight w:val="none"/>
                <w:u w:val="single"/>
              </w:rPr>
              <w:t>14.1  a、b、c、e、f、g或i</w:t>
            </w:r>
            <w:r>
              <w:rPr>
                <w:rFonts w:hint="eastAsia" w:asciiTheme="minorEastAsia" w:hAnsiTheme="minorEastAsia" w:eastAsiaTheme="minorEastAsia" w:cstheme="minorEastAsia"/>
                <w:bCs/>
                <w:highlight w:val="none"/>
                <w:u w:val="single"/>
              </w:rPr>
              <w:fldChar w:fldCharType="end"/>
            </w:r>
          </w:p>
          <w:p>
            <w:pPr>
              <w:pStyle w:val="56"/>
              <w:spacing w:beforeLines="50"/>
              <w:jc w:val="center"/>
              <w:textAlignment w:val="baseline"/>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（不可抗力事件）</w:t>
            </w:r>
          </w:p>
        </w:tc>
        <w:tc>
          <w:tcPr>
            <w:tcW w:w="1701" w:type="dxa"/>
            <w:vAlign w:val="center"/>
          </w:tcPr>
          <w:p>
            <w:pPr>
              <w:pStyle w:val="56"/>
              <w:spacing w:beforeLines="50"/>
              <w:textAlignment w:val="baseline"/>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运营初期终止</w:t>
            </w:r>
          </w:p>
        </w:tc>
        <w:tc>
          <w:tcPr>
            <w:tcW w:w="1984" w:type="dxa"/>
            <w:vAlign w:val="center"/>
          </w:tcPr>
          <w:p>
            <w:pPr>
              <w:pStyle w:val="56"/>
              <w:spacing w:beforeLines="50"/>
              <w:jc w:val="center"/>
              <w:textAlignment w:val="baseline"/>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A+D/2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817" w:type="dxa"/>
            <w:vMerge w:val="continue"/>
            <w:vAlign w:val="center"/>
          </w:tcPr>
          <w:p>
            <w:pPr>
              <w:pStyle w:val="56"/>
              <w:spacing w:beforeLines="50"/>
              <w:ind w:firstLine="567"/>
              <w:jc w:val="center"/>
              <w:rPr>
                <w:rFonts w:asciiTheme="minorEastAsia" w:hAnsiTheme="minorEastAsia" w:eastAsiaTheme="minorEastAsia" w:cstheme="minorEastAsia"/>
                <w:bCs/>
                <w:sz w:val="20"/>
                <w:szCs w:val="20"/>
                <w:highlight w:val="none"/>
              </w:rPr>
            </w:pPr>
          </w:p>
        </w:tc>
        <w:tc>
          <w:tcPr>
            <w:tcW w:w="3686" w:type="dxa"/>
            <w:vMerge w:val="continue"/>
            <w:vAlign w:val="center"/>
          </w:tcPr>
          <w:p>
            <w:pPr>
              <w:pStyle w:val="56"/>
              <w:spacing w:beforeLines="50"/>
              <w:ind w:firstLine="567"/>
              <w:jc w:val="center"/>
              <w:textAlignment w:val="baseline"/>
              <w:rPr>
                <w:rFonts w:asciiTheme="minorEastAsia" w:hAnsiTheme="minorEastAsia" w:eastAsiaTheme="minorEastAsia" w:cstheme="minorEastAsia"/>
                <w:bCs/>
                <w:highlight w:val="none"/>
              </w:rPr>
            </w:pPr>
          </w:p>
        </w:tc>
        <w:tc>
          <w:tcPr>
            <w:tcW w:w="1701" w:type="dxa"/>
            <w:vAlign w:val="center"/>
          </w:tcPr>
          <w:p>
            <w:pPr>
              <w:pStyle w:val="56"/>
              <w:spacing w:beforeLines="50"/>
              <w:textAlignment w:val="baseline"/>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运营期间终止</w:t>
            </w:r>
          </w:p>
        </w:tc>
        <w:tc>
          <w:tcPr>
            <w:tcW w:w="1984" w:type="dxa"/>
            <w:vAlign w:val="center"/>
          </w:tcPr>
          <w:p>
            <w:pPr>
              <w:pStyle w:val="56"/>
              <w:spacing w:beforeLines="50"/>
              <w:jc w:val="center"/>
              <w:textAlignment w:val="baseline"/>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A+D/2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817" w:type="dxa"/>
            <w:vMerge w:val="restart"/>
            <w:vAlign w:val="center"/>
          </w:tcPr>
          <w:p>
            <w:pPr>
              <w:pStyle w:val="56"/>
              <w:spacing w:beforeLines="50"/>
              <w:jc w:val="center"/>
              <w:rPr>
                <w:rFonts w:asciiTheme="minorEastAsia" w:hAnsiTheme="minorEastAsia" w:eastAsiaTheme="minorEastAsia" w:cstheme="minorEastAsia"/>
                <w:bCs/>
                <w:sz w:val="20"/>
                <w:szCs w:val="20"/>
                <w:highlight w:val="none"/>
              </w:rPr>
            </w:pPr>
            <w:r>
              <w:rPr>
                <w:rFonts w:hint="eastAsia" w:asciiTheme="minorEastAsia" w:hAnsiTheme="minorEastAsia" w:eastAsiaTheme="minorEastAsia" w:cstheme="minorEastAsia"/>
                <w:bCs/>
                <w:sz w:val="20"/>
                <w:szCs w:val="20"/>
                <w:highlight w:val="none"/>
              </w:rPr>
              <w:t>4</w:t>
            </w:r>
          </w:p>
        </w:tc>
        <w:tc>
          <w:tcPr>
            <w:tcW w:w="3686" w:type="dxa"/>
            <w:vMerge w:val="restart"/>
            <w:vAlign w:val="center"/>
          </w:tcPr>
          <w:p>
            <w:pPr>
              <w:pStyle w:val="56"/>
              <w:spacing w:beforeLines="50"/>
              <w:jc w:val="center"/>
              <w:textAlignment w:val="baseline"/>
              <w:rPr>
                <w:rFonts w:asciiTheme="minorEastAsia" w:hAnsiTheme="minorEastAsia" w:eastAsiaTheme="minorEastAsia" w:cstheme="minorEastAsia"/>
                <w:bCs/>
                <w:highlight w:val="none"/>
              </w:rPr>
            </w:pPr>
            <w:r>
              <w:rPr>
                <w:highlight w:val="none"/>
              </w:rPr>
              <w:fldChar w:fldCharType="begin"/>
            </w:r>
            <w:r>
              <w:rPr>
                <w:highlight w:val="none"/>
              </w:rPr>
              <w:instrText xml:space="preserve"> HYPERLINK \l "_15.1_不可抗力" </w:instrText>
            </w:r>
            <w:r>
              <w:rPr>
                <w:highlight w:val="none"/>
              </w:rPr>
              <w:fldChar w:fldCharType="separate"/>
            </w:r>
            <w:r>
              <w:rPr>
                <w:rFonts w:hint="eastAsia" w:asciiTheme="minorEastAsia" w:hAnsiTheme="minorEastAsia" w:eastAsiaTheme="minorEastAsia" w:cstheme="minorEastAsia"/>
                <w:bCs/>
                <w:highlight w:val="none"/>
                <w:u w:val="single"/>
              </w:rPr>
              <w:t>14.1  d、h或j</w:t>
            </w:r>
            <w:r>
              <w:rPr>
                <w:rFonts w:hint="eastAsia" w:asciiTheme="minorEastAsia" w:hAnsiTheme="minorEastAsia" w:eastAsiaTheme="minorEastAsia" w:cstheme="minorEastAsia"/>
                <w:bCs/>
                <w:highlight w:val="none"/>
                <w:u w:val="single"/>
              </w:rPr>
              <w:fldChar w:fldCharType="end"/>
            </w:r>
          </w:p>
          <w:p>
            <w:pPr>
              <w:pStyle w:val="56"/>
              <w:spacing w:beforeLines="50"/>
              <w:jc w:val="center"/>
              <w:textAlignment w:val="baseline"/>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（法律政策变更）</w:t>
            </w:r>
          </w:p>
        </w:tc>
        <w:tc>
          <w:tcPr>
            <w:tcW w:w="1701" w:type="dxa"/>
            <w:vAlign w:val="center"/>
          </w:tcPr>
          <w:p>
            <w:pPr>
              <w:pStyle w:val="56"/>
              <w:spacing w:beforeLines="50"/>
              <w:textAlignment w:val="baseline"/>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运营初期终止</w:t>
            </w:r>
          </w:p>
        </w:tc>
        <w:tc>
          <w:tcPr>
            <w:tcW w:w="1984" w:type="dxa"/>
            <w:vAlign w:val="center"/>
          </w:tcPr>
          <w:p>
            <w:pPr>
              <w:pStyle w:val="56"/>
              <w:spacing w:beforeLines="50"/>
              <w:jc w:val="center"/>
              <w:textAlignment w:val="baseline"/>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A+B/3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817" w:type="dxa"/>
            <w:vMerge w:val="continue"/>
            <w:vAlign w:val="center"/>
          </w:tcPr>
          <w:p>
            <w:pPr>
              <w:pStyle w:val="56"/>
              <w:spacing w:beforeLines="50"/>
              <w:ind w:firstLine="567"/>
              <w:rPr>
                <w:rFonts w:asciiTheme="minorEastAsia" w:hAnsiTheme="minorEastAsia" w:eastAsiaTheme="minorEastAsia" w:cstheme="minorEastAsia"/>
                <w:bCs/>
                <w:highlight w:val="none"/>
              </w:rPr>
            </w:pPr>
          </w:p>
        </w:tc>
        <w:tc>
          <w:tcPr>
            <w:tcW w:w="3686" w:type="dxa"/>
            <w:vMerge w:val="continue"/>
            <w:vAlign w:val="center"/>
          </w:tcPr>
          <w:p>
            <w:pPr>
              <w:pStyle w:val="56"/>
              <w:spacing w:beforeLines="50"/>
              <w:ind w:firstLine="567"/>
              <w:textAlignment w:val="baseline"/>
              <w:rPr>
                <w:rFonts w:asciiTheme="minorEastAsia" w:hAnsiTheme="minorEastAsia" w:eastAsiaTheme="minorEastAsia" w:cstheme="minorEastAsia"/>
                <w:bCs/>
                <w:highlight w:val="none"/>
              </w:rPr>
            </w:pPr>
          </w:p>
        </w:tc>
        <w:tc>
          <w:tcPr>
            <w:tcW w:w="1701" w:type="dxa"/>
            <w:vAlign w:val="center"/>
          </w:tcPr>
          <w:p>
            <w:pPr>
              <w:pStyle w:val="56"/>
              <w:spacing w:beforeLines="50"/>
              <w:textAlignment w:val="baseline"/>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运营期间终止</w:t>
            </w:r>
          </w:p>
        </w:tc>
        <w:tc>
          <w:tcPr>
            <w:tcW w:w="1984" w:type="dxa"/>
            <w:vAlign w:val="center"/>
          </w:tcPr>
          <w:p>
            <w:pPr>
              <w:pStyle w:val="56"/>
              <w:spacing w:beforeLines="50"/>
              <w:jc w:val="center"/>
              <w:textAlignment w:val="baseline"/>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A+C/3</w:t>
            </w:r>
          </w:p>
        </w:tc>
      </w:tr>
    </w:tbl>
    <w:p>
      <w:pPr>
        <w:pStyle w:val="56"/>
        <w:tabs>
          <w:tab w:val="left" w:pos="420"/>
        </w:tabs>
        <w:spacing w:beforeLines="50"/>
        <w:ind w:firstLine="567"/>
        <w:rPr>
          <w:rFonts w:ascii="宋体" w:hAnsi="宋体"/>
          <w:sz w:val="20"/>
          <w:highlight w:val="none"/>
        </w:rPr>
      </w:pPr>
      <w:r>
        <w:rPr>
          <w:rFonts w:hint="eastAsia" w:ascii="宋体" w:hAnsi="宋体"/>
          <w:sz w:val="20"/>
          <w:highlight w:val="none"/>
        </w:rPr>
        <w:t>其中，运营初期指开始运营日起的第一个周年，运营期间指开始运营日起的第二个或第三个周年，字母A、B、C、D分别用于表示不同的提前终止情形下，作为应付的终止补偿金中的不同组成部分。该等字母代表下列金额：</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A=终止时乙方累计应收未结运营服务费；</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B=乙方</w:t>
      </w:r>
      <w:bookmarkStart w:id="474" w:name="_Hlt212951484"/>
      <w:bookmarkEnd w:id="474"/>
      <w:r>
        <w:rPr>
          <w:rFonts w:hint="eastAsia" w:ascii="宋体" w:hAnsi="宋体"/>
          <w:sz w:val="20"/>
          <w:highlight w:val="none"/>
        </w:rPr>
        <w:t>履约保证金金额；</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C=运营期间乙方或甲方发生违约终止时之违约金金额，取“所运营项目正常运营年运营服务费收入×30%”或“当月执行的运营服务费单价×365×每个镇日处理设计规模（×30%”的大值；</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D=乙方因发生不可抗力而实际承担的那部分损失金额。</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由于不可抗力造成项目协议提前终止时，甲方与乙方根据运营服务协议</w:t>
      </w:r>
      <w:r>
        <w:rPr>
          <w:highlight w:val="none"/>
        </w:rPr>
        <w:fldChar w:fldCharType="begin"/>
      </w:r>
      <w:r>
        <w:rPr>
          <w:highlight w:val="none"/>
        </w:rPr>
        <w:instrText xml:space="preserve"> HYPERLINK \l "_14.8_保险" </w:instrText>
      </w:r>
      <w:r>
        <w:rPr>
          <w:highlight w:val="none"/>
        </w:rPr>
        <w:fldChar w:fldCharType="separate"/>
      </w:r>
      <w:r>
        <w:rPr>
          <w:rFonts w:hint="eastAsia" w:ascii="宋体" w:hAnsi="宋体"/>
          <w:sz w:val="20"/>
          <w:szCs w:val="20"/>
          <w:highlight w:val="none"/>
        </w:rPr>
        <w:t>15</w:t>
      </w:r>
      <w:bookmarkStart w:id="475" w:name="_Hlt212860822"/>
      <w:r>
        <w:rPr>
          <w:rFonts w:hint="eastAsia" w:ascii="宋体" w:hAnsi="宋体"/>
          <w:sz w:val="20"/>
          <w:szCs w:val="20"/>
          <w:highlight w:val="none"/>
        </w:rPr>
        <w:t>.</w:t>
      </w:r>
      <w:bookmarkEnd w:id="475"/>
      <w:r>
        <w:rPr>
          <w:rFonts w:hint="eastAsia" w:ascii="宋体" w:hAnsi="宋体"/>
          <w:sz w:val="20"/>
          <w:szCs w:val="20"/>
          <w:highlight w:val="none"/>
        </w:rPr>
        <w:t>9</w:t>
      </w:r>
      <w:r>
        <w:rPr>
          <w:rFonts w:hint="eastAsia" w:ascii="宋体" w:hAnsi="宋体"/>
          <w:sz w:val="20"/>
          <w:szCs w:val="20"/>
          <w:highlight w:val="none"/>
        </w:rPr>
        <w:fldChar w:fldCharType="end"/>
      </w:r>
      <w:r>
        <w:rPr>
          <w:rFonts w:hint="eastAsia" w:ascii="宋体" w:hAnsi="宋体"/>
          <w:sz w:val="20"/>
          <w:highlight w:val="none"/>
        </w:rPr>
        <w:t>（b） 关于保险金使用的约定，将各承担保险赔偿金不能弥补之实际损失额50%的部分。</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终止补（赔）偿金额为负数时，表示双方进行终止结算时乙方应向甲方缴纳的保证金、处罚金或违约金之金额。</w:t>
      </w:r>
    </w:p>
    <w:p>
      <w:pPr>
        <w:pStyle w:val="56"/>
        <w:tabs>
          <w:tab w:val="left" w:pos="420"/>
        </w:tabs>
        <w:spacing w:beforeLines="50"/>
        <w:ind w:firstLine="567"/>
        <w:rPr>
          <w:rFonts w:ascii="宋体" w:hAnsi="宋体"/>
          <w:sz w:val="20"/>
          <w:highlight w:val="none"/>
        </w:rPr>
      </w:pPr>
      <w:bookmarkStart w:id="476" w:name="_Hlt200188973"/>
      <w:bookmarkEnd w:id="476"/>
      <w:r>
        <w:rPr>
          <w:rFonts w:hint="eastAsia" w:ascii="宋体" w:hAnsi="宋体"/>
          <w:sz w:val="20"/>
          <w:highlight w:val="none"/>
        </w:rPr>
        <w:t>17.2.2 对第17.2.1条款所规定补偿的计算必须经甲方指定的机构审计验证。</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 xml:space="preserve">17.2.3 根据运营服务协议第15章发生的终止所引起的甲方或其指定机构对乙方的补偿，将优先用于偿还项目债权人的债务余额（如有）。 </w:t>
      </w:r>
    </w:p>
    <w:p>
      <w:pPr>
        <w:pStyle w:val="56"/>
        <w:widowControl w:val="0"/>
        <w:spacing w:beforeLines="50"/>
        <w:jc w:val="center"/>
        <w:rPr>
          <w:rFonts w:ascii="新宋体" w:hAnsi="新宋体" w:eastAsia="新宋体" w:cs="新宋体"/>
          <w:b/>
          <w:kern w:val="2"/>
          <w:sz w:val="28"/>
          <w:szCs w:val="28"/>
          <w:highlight w:val="none"/>
        </w:rPr>
      </w:pPr>
      <w:bookmarkStart w:id="477" w:name="_Toc246596744"/>
      <w:r>
        <w:rPr>
          <w:rFonts w:hint="eastAsia" w:ascii="新宋体" w:hAnsi="新宋体" w:eastAsia="新宋体" w:cs="新宋体"/>
          <w:b/>
          <w:kern w:val="2"/>
          <w:sz w:val="28"/>
          <w:szCs w:val="28"/>
          <w:highlight w:val="none"/>
        </w:rPr>
        <w:t xml:space="preserve">第十八节  </w:t>
      </w:r>
      <w:bookmarkStart w:id="478" w:name="_Toc202676992"/>
      <w:r>
        <w:rPr>
          <w:rFonts w:hint="eastAsia" w:ascii="新宋体" w:hAnsi="新宋体" w:eastAsia="新宋体" w:cs="新宋体"/>
          <w:b/>
          <w:kern w:val="2"/>
          <w:sz w:val="28"/>
          <w:szCs w:val="28"/>
          <w:highlight w:val="none"/>
        </w:rPr>
        <w:t>转让</w:t>
      </w:r>
      <w:bookmarkEnd w:id="477"/>
      <w:bookmarkEnd w:id="478"/>
    </w:p>
    <w:p>
      <w:pPr>
        <w:pStyle w:val="56"/>
        <w:keepNext/>
        <w:keepLines/>
        <w:spacing w:before="120" w:after="120"/>
        <w:ind w:firstLine="500"/>
        <w:outlineLvl w:val="4"/>
        <w:rPr>
          <w:rFonts w:ascii="宋体" w:hAnsi="宋体"/>
          <w:b/>
          <w:szCs w:val="20"/>
          <w:highlight w:val="none"/>
        </w:rPr>
      </w:pPr>
      <w:bookmarkStart w:id="479" w:name="_Toc202676993"/>
      <w:bookmarkStart w:id="480" w:name="_Toc246596745"/>
      <w:r>
        <w:rPr>
          <w:rFonts w:hint="eastAsia" w:ascii="宋体" w:hAnsi="宋体"/>
          <w:b/>
          <w:szCs w:val="20"/>
          <w:highlight w:val="none"/>
        </w:rPr>
        <w:t>18.1 甲方的声明</w:t>
      </w:r>
      <w:bookmarkEnd w:id="479"/>
      <w:bookmarkEnd w:id="480"/>
    </w:p>
    <w:p>
      <w:pPr>
        <w:pStyle w:val="56"/>
        <w:tabs>
          <w:tab w:val="left" w:pos="420"/>
        </w:tabs>
        <w:spacing w:beforeLines="50"/>
        <w:ind w:firstLine="567"/>
        <w:rPr>
          <w:rFonts w:ascii="宋体" w:hAnsi="宋体"/>
          <w:sz w:val="20"/>
          <w:highlight w:val="none"/>
        </w:rPr>
      </w:pPr>
      <w:r>
        <w:rPr>
          <w:rFonts w:hint="eastAsia" w:ascii="宋体" w:hAnsi="宋体"/>
          <w:sz w:val="20"/>
          <w:highlight w:val="none"/>
        </w:rPr>
        <w:t>甲方的更名或与其它公司的合并或联合，对其出让或转让其运营服务协议项下全部或部分的权利或义务将不构成影响。在前述情况发生时，甲方将确保发生变更后的运营服务协议继承实体将：</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(i)具有与甲方同样的财务支付实力；</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(ii)具有承担甲方所承担的在运营服务协议下的所有权利、义务和责任的能力和授权；</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(iii)接受并完全承担甲方在运营服务协议项下义务的履行，包括但不限于涉及污水处理厂日常运营服务及监管方面的义务。</w:t>
      </w:r>
    </w:p>
    <w:p>
      <w:pPr>
        <w:pStyle w:val="56"/>
        <w:keepNext/>
        <w:keepLines/>
        <w:spacing w:before="120" w:after="120"/>
        <w:ind w:firstLine="500"/>
        <w:outlineLvl w:val="4"/>
        <w:rPr>
          <w:rFonts w:ascii="宋体" w:hAnsi="宋体"/>
          <w:b/>
          <w:szCs w:val="20"/>
          <w:highlight w:val="none"/>
        </w:rPr>
      </w:pPr>
      <w:bookmarkStart w:id="481" w:name="_Hlt212286808"/>
      <w:bookmarkEnd w:id="481"/>
      <w:bookmarkStart w:id="482" w:name="_Toc202676994"/>
      <w:bookmarkStart w:id="483" w:name="_Toc246596746"/>
      <w:r>
        <w:rPr>
          <w:rFonts w:hint="eastAsia" w:ascii="宋体" w:hAnsi="宋体"/>
          <w:b/>
          <w:szCs w:val="20"/>
          <w:highlight w:val="none"/>
        </w:rPr>
        <w:t>18.2 乙方的转让</w:t>
      </w:r>
      <w:bookmarkEnd w:id="482"/>
      <w:bookmarkEnd w:id="483"/>
    </w:p>
    <w:p>
      <w:pPr>
        <w:pStyle w:val="56"/>
        <w:tabs>
          <w:tab w:val="left" w:pos="420"/>
        </w:tabs>
        <w:spacing w:beforeLines="50"/>
        <w:ind w:firstLine="567"/>
        <w:rPr>
          <w:rFonts w:ascii="宋体" w:hAnsi="宋体"/>
          <w:sz w:val="20"/>
          <w:highlight w:val="none"/>
        </w:rPr>
      </w:pPr>
      <w:r>
        <w:rPr>
          <w:rFonts w:hint="eastAsia" w:ascii="宋体" w:hAnsi="宋体"/>
          <w:sz w:val="20"/>
          <w:highlight w:val="none"/>
        </w:rPr>
        <w:t>未经甲方事先书面同意，乙方不得对下列各项向任何其他第三方进行转让、赠与、抵押、质押、设置滞留权或其它方式加以处置，但向甲方或其指定机构的转让除外：</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a) 其在运营服务协议下的任何权利和权益；</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b) 项目设施及用地占用权或用于本项目的任何其它主要资产；</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c) 乙方所全资持有的乙方任何股份（但在其作为实际控制人的控股成员单位之间的全额转让除外）。</w:t>
      </w:r>
    </w:p>
    <w:p>
      <w:pPr>
        <w:pStyle w:val="56"/>
        <w:widowControl w:val="0"/>
        <w:spacing w:beforeLines="50"/>
        <w:jc w:val="center"/>
        <w:rPr>
          <w:rFonts w:ascii="新宋体" w:hAnsi="新宋体" w:eastAsia="新宋体" w:cs="新宋体"/>
          <w:b/>
          <w:kern w:val="2"/>
          <w:sz w:val="28"/>
          <w:szCs w:val="28"/>
          <w:highlight w:val="none"/>
        </w:rPr>
      </w:pPr>
      <w:bookmarkStart w:id="484" w:name="_第十九章__争议的解决"/>
      <w:bookmarkEnd w:id="484"/>
      <w:bookmarkStart w:id="485" w:name="_Toc246596747"/>
      <w:r>
        <w:rPr>
          <w:rFonts w:hint="eastAsia" w:ascii="新宋体" w:hAnsi="新宋体" w:eastAsia="新宋体" w:cs="新宋体"/>
          <w:b/>
          <w:kern w:val="2"/>
          <w:sz w:val="28"/>
          <w:szCs w:val="28"/>
          <w:highlight w:val="none"/>
        </w:rPr>
        <w:t xml:space="preserve">第十九节  </w:t>
      </w:r>
      <w:bookmarkStart w:id="486" w:name="_Toc202676995"/>
      <w:r>
        <w:rPr>
          <w:rFonts w:hint="eastAsia" w:ascii="新宋体" w:hAnsi="新宋体" w:eastAsia="新宋体" w:cs="新宋体"/>
          <w:b/>
          <w:kern w:val="2"/>
          <w:sz w:val="28"/>
          <w:szCs w:val="28"/>
          <w:highlight w:val="none"/>
        </w:rPr>
        <w:t>争议的解决</w:t>
      </w:r>
      <w:bookmarkEnd w:id="485"/>
      <w:bookmarkEnd w:id="486"/>
    </w:p>
    <w:p>
      <w:pPr>
        <w:pStyle w:val="56"/>
        <w:keepNext/>
        <w:keepLines/>
        <w:spacing w:before="120" w:after="120"/>
        <w:ind w:firstLine="500"/>
        <w:outlineLvl w:val="4"/>
        <w:rPr>
          <w:rFonts w:ascii="宋体" w:hAnsi="宋体"/>
          <w:b/>
          <w:szCs w:val="20"/>
          <w:highlight w:val="none"/>
        </w:rPr>
      </w:pPr>
      <w:bookmarkStart w:id="487" w:name="_Hlt212313679"/>
      <w:bookmarkEnd w:id="487"/>
      <w:bookmarkStart w:id="488" w:name="_19.1_运营协调小组的友好解决"/>
      <w:bookmarkEnd w:id="488"/>
      <w:bookmarkStart w:id="489" w:name="_Toc202676996"/>
      <w:bookmarkStart w:id="490" w:name="_Toc246596748"/>
      <w:r>
        <w:rPr>
          <w:rFonts w:hint="eastAsia" w:ascii="宋体" w:hAnsi="宋体"/>
          <w:b/>
          <w:szCs w:val="20"/>
          <w:highlight w:val="none"/>
        </w:rPr>
        <w:t>19.1 运营协调小组的友好解决</w:t>
      </w:r>
      <w:bookmarkEnd w:id="489"/>
      <w:bookmarkEnd w:id="490"/>
    </w:p>
    <w:p>
      <w:pPr>
        <w:pStyle w:val="56"/>
        <w:tabs>
          <w:tab w:val="left" w:pos="420"/>
        </w:tabs>
        <w:spacing w:beforeLines="50"/>
        <w:ind w:firstLine="567"/>
        <w:rPr>
          <w:rFonts w:ascii="宋体" w:hAnsi="宋体"/>
          <w:sz w:val="20"/>
          <w:highlight w:val="none"/>
        </w:rPr>
      </w:pPr>
      <w:r>
        <w:rPr>
          <w:rFonts w:hint="eastAsia" w:ascii="宋体" w:hAnsi="宋体"/>
          <w:sz w:val="20"/>
          <w:highlight w:val="none"/>
        </w:rPr>
        <w:t>19.1.1 运营协调小组的成立</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运营服务协议正式签署后十五(15)天之内，双方应成立一个由三(</w:t>
      </w:r>
      <w:bookmarkStart w:id="491" w:name="_Hlt212700414"/>
      <w:bookmarkEnd w:id="491"/>
      <w:r>
        <w:rPr>
          <w:rFonts w:hint="eastAsia" w:ascii="宋体" w:hAnsi="宋体"/>
          <w:sz w:val="20"/>
          <w:highlight w:val="none"/>
        </w:rPr>
        <w:t>3)名乙方代表和三(3)名甲方代表组成的运营协调小组。任何一方均可在任何时间经通知另一方后更换运营协调小组成员。该小组的任何决定应得到小组全体成员的一致通过。</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运营协调小组应负责按照第19.1.2条的规定解决有关包括但不限于项目设施在运营期发生的运营管理及维护等方面争议。这些协调事项应包括：</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（1）双方就运营前期项目设施的各类测试验收、涉及的相关交接清点方面的计划、安排和程序；</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（2）双方就项目设施的日常运营维护与监管方面的对接和议事沟通程序；</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（3）运营期内涉及项目设施大修更新改造的任何具体事宜；</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（4）涉及双方在协议履行中单方无法化解的各类争议；</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（5）讨论在发生突发或不可抗力事件影响项目设施运行时应采取的步骤；</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（6）双方同意的其它相关事项。</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19.1.2  运营协调小组的友好解决</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若双方对由于运营服务协议或其项下有关条款的解释，包括关于其存在、有效或终止的任何问题产生任何争议、分歧或索赔，则经运营协调小组任一成员要求，该小组须及时会晤，并尽力通过协商友好解决，运营协调小组的一致决议对各方均有约束力，若在提出上述要求后三十（30）天内该争议未能得到解决，则应适用第19.2条的规定。</w:t>
      </w:r>
    </w:p>
    <w:p>
      <w:pPr>
        <w:pStyle w:val="56"/>
        <w:keepNext/>
        <w:keepLines/>
        <w:spacing w:before="120" w:after="120"/>
        <w:ind w:firstLine="500"/>
        <w:outlineLvl w:val="4"/>
        <w:rPr>
          <w:rFonts w:ascii="宋体" w:hAnsi="宋体"/>
          <w:b/>
          <w:szCs w:val="20"/>
          <w:highlight w:val="none"/>
        </w:rPr>
      </w:pPr>
      <w:bookmarkStart w:id="492" w:name="_Toc202676997"/>
      <w:bookmarkStart w:id="493" w:name="_Toc246596749"/>
      <w:r>
        <w:rPr>
          <w:rFonts w:hint="eastAsia" w:ascii="宋体" w:hAnsi="宋体"/>
          <w:b/>
          <w:szCs w:val="20"/>
          <w:highlight w:val="none"/>
        </w:rPr>
        <w:t>19.2 专家小组的调解</w:t>
      </w:r>
      <w:bookmarkEnd w:id="492"/>
      <w:bookmarkEnd w:id="493"/>
    </w:p>
    <w:p>
      <w:pPr>
        <w:pStyle w:val="56"/>
        <w:tabs>
          <w:tab w:val="left" w:pos="420"/>
        </w:tabs>
        <w:spacing w:beforeLines="50"/>
        <w:ind w:firstLine="567"/>
        <w:rPr>
          <w:rFonts w:ascii="宋体" w:hAnsi="宋体"/>
          <w:sz w:val="20"/>
          <w:highlight w:val="none"/>
        </w:rPr>
      </w:pPr>
      <w:r>
        <w:rPr>
          <w:rFonts w:hint="eastAsia" w:ascii="宋体" w:hAnsi="宋体"/>
          <w:sz w:val="20"/>
          <w:highlight w:val="none"/>
        </w:rPr>
        <w:t>若双方不能根据第19.1条规定解决争议、分歧或索赔，任何一方可将争议、分歧或索赔提交由运营协调小组一致同意选定的一个专家小组来进行调解解决。</w:t>
      </w:r>
    </w:p>
    <w:p>
      <w:pPr>
        <w:pStyle w:val="56"/>
        <w:keepNext/>
        <w:keepLines/>
        <w:spacing w:before="120" w:after="120"/>
        <w:ind w:firstLine="500"/>
        <w:outlineLvl w:val="4"/>
        <w:rPr>
          <w:rFonts w:ascii="宋体" w:hAnsi="宋体"/>
          <w:b/>
          <w:szCs w:val="20"/>
          <w:highlight w:val="none"/>
        </w:rPr>
      </w:pPr>
      <w:bookmarkStart w:id="494" w:name="_Toc246596750"/>
      <w:bookmarkStart w:id="495" w:name="_Toc202676998"/>
      <w:r>
        <w:rPr>
          <w:rFonts w:hint="eastAsia" w:ascii="宋体" w:hAnsi="宋体"/>
          <w:b/>
          <w:szCs w:val="20"/>
          <w:highlight w:val="none"/>
        </w:rPr>
        <w:t>19.3 诉讼</w:t>
      </w:r>
      <w:bookmarkEnd w:id="494"/>
      <w:bookmarkEnd w:id="495"/>
    </w:p>
    <w:p>
      <w:pPr>
        <w:pStyle w:val="56"/>
        <w:tabs>
          <w:tab w:val="left" w:pos="420"/>
        </w:tabs>
        <w:spacing w:beforeLines="50"/>
        <w:ind w:firstLine="567"/>
        <w:rPr>
          <w:rFonts w:ascii="宋体" w:hAnsi="宋体"/>
          <w:sz w:val="20"/>
          <w:highlight w:val="none"/>
        </w:rPr>
      </w:pPr>
      <w:r>
        <w:rPr>
          <w:rFonts w:hint="eastAsia" w:ascii="宋体" w:hAnsi="宋体"/>
          <w:sz w:val="20"/>
          <w:highlight w:val="none"/>
        </w:rPr>
        <w:t xml:space="preserve">若双方未能根据第19.1和19.2条解决争议、分歧或索赔，且经专家小组协调十五（15）日后仍无法解决时，任何一方有权就该争议、分歧或索赔事项提交项目所在地人民法院审理。 </w:t>
      </w:r>
    </w:p>
    <w:p>
      <w:pPr>
        <w:pStyle w:val="56"/>
        <w:keepNext/>
        <w:keepLines/>
        <w:spacing w:before="120" w:after="120"/>
        <w:ind w:firstLine="500"/>
        <w:outlineLvl w:val="4"/>
        <w:rPr>
          <w:rFonts w:ascii="宋体" w:hAnsi="宋体"/>
          <w:b/>
          <w:szCs w:val="20"/>
          <w:highlight w:val="none"/>
        </w:rPr>
      </w:pPr>
      <w:bookmarkStart w:id="496" w:name="_Toc202677000"/>
      <w:bookmarkStart w:id="497" w:name="_Toc246596752"/>
      <w:r>
        <w:rPr>
          <w:rFonts w:hint="eastAsia" w:ascii="宋体" w:hAnsi="宋体"/>
          <w:b/>
          <w:szCs w:val="20"/>
          <w:highlight w:val="none"/>
        </w:rPr>
        <w:t>19.4 继续有效的义务</w:t>
      </w:r>
      <w:bookmarkEnd w:id="496"/>
      <w:bookmarkEnd w:id="497"/>
    </w:p>
    <w:p>
      <w:pPr>
        <w:pStyle w:val="56"/>
        <w:tabs>
          <w:tab w:val="left" w:pos="420"/>
        </w:tabs>
        <w:spacing w:beforeLines="50"/>
        <w:ind w:firstLine="567"/>
        <w:rPr>
          <w:rFonts w:ascii="宋体" w:hAnsi="宋体"/>
          <w:sz w:val="20"/>
          <w:highlight w:val="none"/>
        </w:rPr>
      </w:pPr>
      <w:r>
        <w:rPr>
          <w:rFonts w:hint="eastAsia" w:ascii="宋体" w:hAnsi="宋体"/>
          <w:sz w:val="20"/>
          <w:highlight w:val="none"/>
        </w:rPr>
        <w:t>本章规定的争议解决条款在运营服务协议终止后继续有效。</w:t>
      </w:r>
    </w:p>
    <w:p>
      <w:pPr>
        <w:pStyle w:val="56"/>
        <w:widowControl w:val="0"/>
        <w:spacing w:beforeLines="50"/>
        <w:jc w:val="center"/>
        <w:rPr>
          <w:rFonts w:ascii="新宋体" w:hAnsi="新宋体" w:eastAsia="新宋体" w:cs="新宋体"/>
          <w:b/>
          <w:kern w:val="2"/>
          <w:sz w:val="28"/>
          <w:szCs w:val="28"/>
          <w:highlight w:val="none"/>
        </w:rPr>
      </w:pPr>
      <w:bookmarkStart w:id="498" w:name="_第二十章__其它条款"/>
      <w:bookmarkEnd w:id="498"/>
      <w:bookmarkStart w:id="499" w:name="_Toc246596753"/>
      <w:r>
        <w:rPr>
          <w:rFonts w:hint="eastAsia" w:ascii="新宋体" w:hAnsi="新宋体" w:eastAsia="新宋体" w:cs="新宋体"/>
          <w:b/>
          <w:kern w:val="2"/>
          <w:sz w:val="28"/>
          <w:szCs w:val="28"/>
          <w:highlight w:val="none"/>
        </w:rPr>
        <w:t xml:space="preserve">第二十节  </w:t>
      </w:r>
      <w:bookmarkStart w:id="500" w:name="_Toc202677001"/>
      <w:r>
        <w:rPr>
          <w:rFonts w:hint="eastAsia" w:ascii="新宋体" w:hAnsi="新宋体" w:eastAsia="新宋体" w:cs="新宋体"/>
          <w:b/>
          <w:kern w:val="2"/>
          <w:sz w:val="28"/>
          <w:szCs w:val="28"/>
          <w:highlight w:val="none"/>
        </w:rPr>
        <w:t>其它条款</w:t>
      </w:r>
      <w:bookmarkEnd w:id="499"/>
      <w:bookmarkEnd w:id="500"/>
    </w:p>
    <w:p>
      <w:pPr>
        <w:pStyle w:val="56"/>
        <w:keepNext/>
        <w:keepLines/>
        <w:spacing w:before="120" w:after="120"/>
        <w:ind w:firstLine="500"/>
        <w:outlineLvl w:val="4"/>
        <w:rPr>
          <w:rFonts w:ascii="宋体" w:hAnsi="宋体"/>
          <w:b/>
          <w:szCs w:val="20"/>
          <w:highlight w:val="none"/>
        </w:rPr>
      </w:pPr>
      <w:bookmarkStart w:id="501" w:name="_Hlt212286303"/>
      <w:bookmarkEnd w:id="501"/>
      <w:bookmarkStart w:id="502" w:name="_Toc246596754"/>
      <w:bookmarkStart w:id="503" w:name="_Toc202677002"/>
      <w:r>
        <w:rPr>
          <w:rFonts w:hint="eastAsia" w:ascii="宋体" w:hAnsi="宋体"/>
          <w:b/>
          <w:szCs w:val="20"/>
          <w:highlight w:val="none"/>
        </w:rPr>
        <w:t>20.1 运营服务协议的完整性</w:t>
      </w:r>
      <w:bookmarkEnd w:id="502"/>
      <w:bookmarkEnd w:id="503"/>
    </w:p>
    <w:p>
      <w:pPr>
        <w:pStyle w:val="56"/>
        <w:tabs>
          <w:tab w:val="left" w:pos="420"/>
        </w:tabs>
        <w:spacing w:beforeLines="50"/>
        <w:ind w:firstLine="567"/>
        <w:rPr>
          <w:rFonts w:ascii="宋体" w:hAnsi="宋体"/>
          <w:sz w:val="20"/>
          <w:highlight w:val="none"/>
        </w:rPr>
      </w:pPr>
      <w:r>
        <w:rPr>
          <w:rFonts w:hint="eastAsia" w:ascii="宋体" w:hAnsi="宋体"/>
          <w:sz w:val="20"/>
          <w:highlight w:val="none"/>
        </w:rPr>
        <w:t>运营服务协议成为双方之间就运营服务协议所述事项的全部共识，并且取代双方以前就同样事项而达成的所有书面和口头的声明、协议或安排。</w:t>
      </w:r>
    </w:p>
    <w:p>
      <w:pPr>
        <w:pStyle w:val="56"/>
        <w:keepNext/>
        <w:keepLines/>
        <w:spacing w:before="120" w:after="120"/>
        <w:ind w:firstLine="500"/>
        <w:outlineLvl w:val="4"/>
        <w:rPr>
          <w:rFonts w:ascii="宋体" w:hAnsi="宋体"/>
          <w:b/>
          <w:szCs w:val="20"/>
          <w:highlight w:val="none"/>
        </w:rPr>
      </w:pPr>
      <w:bookmarkStart w:id="504" w:name="_Toc246596755"/>
      <w:bookmarkStart w:id="505" w:name="_Toc202677003"/>
      <w:r>
        <w:rPr>
          <w:rFonts w:hint="eastAsia" w:ascii="宋体" w:hAnsi="宋体"/>
          <w:b/>
          <w:szCs w:val="20"/>
          <w:highlight w:val="none"/>
        </w:rPr>
        <w:t>20.2 可分割性</w:t>
      </w:r>
      <w:bookmarkEnd w:id="504"/>
      <w:bookmarkEnd w:id="505"/>
    </w:p>
    <w:p>
      <w:pPr>
        <w:pStyle w:val="56"/>
        <w:tabs>
          <w:tab w:val="left" w:pos="420"/>
        </w:tabs>
        <w:spacing w:beforeLines="50"/>
        <w:ind w:firstLine="567"/>
        <w:rPr>
          <w:rFonts w:ascii="宋体" w:hAnsi="宋体"/>
          <w:sz w:val="20"/>
          <w:highlight w:val="none"/>
        </w:rPr>
      </w:pPr>
      <w:r>
        <w:rPr>
          <w:rFonts w:hint="eastAsia" w:ascii="宋体" w:hAnsi="宋体"/>
          <w:sz w:val="20"/>
          <w:highlight w:val="none"/>
        </w:rPr>
        <w:t>如果运营服务协议任何条款不合法、无效或不可执行，或者被任何有管辖权的法院宣布为不合法、无效或不可执行，则：</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运营服务协议其它条款仍然有效和可执行；</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并且双方应商定以合法、有效和可执行的条款对不合法、无效或不可执行的条款加以修改或替换，其结果应尽可能平衡双方之间的利益。</w:t>
      </w:r>
    </w:p>
    <w:p>
      <w:pPr>
        <w:pStyle w:val="56"/>
        <w:keepNext/>
        <w:keepLines/>
        <w:spacing w:before="120" w:after="120"/>
        <w:ind w:firstLine="500"/>
        <w:outlineLvl w:val="4"/>
        <w:rPr>
          <w:rFonts w:ascii="宋体" w:hAnsi="宋体"/>
          <w:b/>
          <w:szCs w:val="20"/>
          <w:highlight w:val="none"/>
        </w:rPr>
      </w:pPr>
      <w:bookmarkStart w:id="506" w:name="_Toc202677004"/>
      <w:bookmarkStart w:id="507" w:name="_Toc246596756"/>
      <w:r>
        <w:rPr>
          <w:rFonts w:hint="eastAsia" w:ascii="宋体" w:hAnsi="宋体"/>
          <w:b/>
          <w:szCs w:val="20"/>
          <w:highlight w:val="none"/>
        </w:rPr>
        <w:t>20.3 保密</w:t>
      </w:r>
      <w:bookmarkEnd w:id="506"/>
      <w:bookmarkEnd w:id="507"/>
    </w:p>
    <w:p>
      <w:pPr>
        <w:pStyle w:val="56"/>
        <w:tabs>
          <w:tab w:val="left" w:pos="420"/>
        </w:tabs>
        <w:spacing w:beforeLines="50"/>
        <w:ind w:firstLine="567"/>
        <w:rPr>
          <w:rFonts w:ascii="宋体" w:hAnsi="宋体"/>
          <w:sz w:val="20"/>
          <w:highlight w:val="none"/>
        </w:rPr>
      </w:pPr>
      <w:r>
        <w:rPr>
          <w:rFonts w:hint="eastAsia" w:ascii="宋体" w:hAnsi="宋体"/>
          <w:sz w:val="20"/>
          <w:highlight w:val="none"/>
        </w:rPr>
        <w:t>任何一方及其雇员、承包商、顾问或代理应对其获得的尚未公布的或以其它形式公开的所有与运营服务协议及项目相关的资料和文件（无论是财务、技术或其它方面的资料和文件）予以保密，并且未经另一方的同意，不得在运营权结束后的五（5）年内提供给第三方或公众，但法律要求提供的除外。这一限制不得阻碍任何一方在取得另一方面同意的情况下发布含有有关本项目进展的非敏感信息的新闻稿。本条规定在运营服务协议终止后依然有效。</w:t>
      </w:r>
    </w:p>
    <w:p>
      <w:pPr>
        <w:pStyle w:val="56"/>
        <w:keepNext/>
        <w:keepLines/>
        <w:spacing w:before="120" w:after="120"/>
        <w:ind w:firstLine="500"/>
        <w:outlineLvl w:val="4"/>
        <w:rPr>
          <w:rFonts w:ascii="宋体" w:hAnsi="宋体"/>
          <w:b/>
          <w:szCs w:val="20"/>
          <w:highlight w:val="none"/>
        </w:rPr>
      </w:pPr>
      <w:bookmarkStart w:id="508" w:name="_Toc246596757"/>
      <w:bookmarkStart w:id="509" w:name="_Toc202677005"/>
      <w:r>
        <w:rPr>
          <w:rFonts w:hint="eastAsia" w:ascii="宋体" w:hAnsi="宋体"/>
          <w:b/>
          <w:szCs w:val="20"/>
          <w:highlight w:val="none"/>
        </w:rPr>
        <w:t>20.4 通知</w:t>
      </w:r>
      <w:bookmarkEnd w:id="508"/>
      <w:bookmarkEnd w:id="509"/>
    </w:p>
    <w:p>
      <w:pPr>
        <w:pStyle w:val="56"/>
        <w:tabs>
          <w:tab w:val="left" w:pos="420"/>
        </w:tabs>
        <w:spacing w:beforeLines="50"/>
        <w:ind w:firstLine="567"/>
        <w:rPr>
          <w:rFonts w:ascii="宋体" w:hAnsi="宋体"/>
          <w:sz w:val="20"/>
          <w:highlight w:val="none"/>
        </w:rPr>
      </w:pPr>
      <w:r>
        <w:rPr>
          <w:rFonts w:hint="eastAsia" w:ascii="宋体" w:hAnsi="宋体"/>
          <w:sz w:val="20"/>
          <w:highlight w:val="none"/>
        </w:rPr>
        <w:t>除非另有规定，运营服务协议项下所发出的通知应为专门通知，以中文的书面形式，通过专递、公认的国际快递、邮寄、电传或传真等方式按下述地址送至或发至双方：</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 xml:space="preserve">甲  方：                               乙 方：                             </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 xml:space="preserve">名  称：                               名  称：                              </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 xml:space="preserve">地  址：                               地  址：                            </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 xml:space="preserve">收件人：                               收件人：                             </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 xml:space="preserve">电  邮：                               电  邮：                           </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 xml:space="preserve">传  真：                               传  真：                             </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 xml:space="preserve">邮  编：                               邮  编：                                                        </w:t>
      </w:r>
    </w:p>
    <w:p>
      <w:pPr>
        <w:pStyle w:val="56"/>
        <w:tabs>
          <w:tab w:val="left" w:pos="420"/>
        </w:tabs>
        <w:spacing w:beforeLines="50"/>
        <w:ind w:firstLine="567"/>
        <w:rPr>
          <w:rFonts w:ascii="宋体" w:hAnsi="宋体"/>
          <w:spacing w:val="-14"/>
          <w:sz w:val="20"/>
          <w:highlight w:val="none"/>
        </w:rPr>
      </w:pPr>
      <w:r>
        <w:rPr>
          <w:rFonts w:hint="eastAsia" w:ascii="宋体" w:hAnsi="宋体"/>
          <w:spacing w:val="-14"/>
          <w:sz w:val="20"/>
          <w:highlight w:val="none"/>
        </w:rPr>
        <w:t>或送至由一方随时通知另一方的其它地址、电传号码或传真号码，下述情况应视为已送达或寄到：</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若采用信件方式通过专人递交，国际快递或邮寄方式（要求有回执的挂号信）寄送至该地址；</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若采用电传或传真方式，准确地发至上述的电传或传真号码。</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如果一方更改地址和/或收件人，其应在采用新的地址和/或收件人之前书面通知另一方。</w:t>
      </w:r>
    </w:p>
    <w:p>
      <w:pPr>
        <w:pStyle w:val="56"/>
        <w:keepNext/>
        <w:keepLines/>
        <w:spacing w:before="120" w:after="120"/>
        <w:ind w:firstLine="500"/>
        <w:outlineLvl w:val="4"/>
        <w:rPr>
          <w:rFonts w:ascii="宋体" w:hAnsi="宋体"/>
          <w:b/>
          <w:szCs w:val="20"/>
          <w:highlight w:val="none"/>
        </w:rPr>
      </w:pPr>
      <w:bookmarkStart w:id="510" w:name="_Toc246596758"/>
      <w:bookmarkStart w:id="511" w:name="_Toc202677006"/>
      <w:r>
        <w:rPr>
          <w:rFonts w:hint="eastAsia" w:ascii="宋体" w:hAnsi="宋体"/>
          <w:b/>
          <w:szCs w:val="20"/>
          <w:highlight w:val="none"/>
        </w:rPr>
        <w:t>20.5 不弃权</w:t>
      </w:r>
      <w:bookmarkEnd w:id="510"/>
      <w:bookmarkEnd w:id="511"/>
    </w:p>
    <w:p>
      <w:pPr>
        <w:pStyle w:val="56"/>
        <w:tabs>
          <w:tab w:val="left" w:pos="420"/>
        </w:tabs>
        <w:spacing w:beforeLines="50"/>
        <w:ind w:firstLine="567"/>
        <w:rPr>
          <w:rFonts w:ascii="宋体" w:hAnsi="宋体"/>
          <w:sz w:val="20"/>
          <w:highlight w:val="none"/>
        </w:rPr>
      </w:pPr>
      <w:r>
        <w:rPr>
          <w:rFonts w:hint="eastAsia" w:ascii="宋体" w:hAnsi="宋体"/>
          <w:sz w:val="20"/>
          <w:highlight w:val="none"/>
        </w:rPr>
        <w:t>任何一方如果未通过书面形式声明弃权，均不被视为放弃运营服务协议中的任何条款。如果任何一方未坚持严格履行运营服务协议中的任何条款，或未行使其运营服务协议中规定的任何权利，均不应被视为对任何上述条款的放弃或对今后行使任何上述权利的放弃。</w:t>
      </w:r>
    </w:p>
    <w:p>
      <w:pPr>
        <w:pStyle w:val="56"/>
        <w:keepNext/>
        <w:keepLines/>
        <w:spacing w:before="120" w:after="120"/>
        <w:ind w:firstLine="500"/>
        <w:outlineLvl w:val="4"/>
        <w:rPr>
          <w:rFonts w:ascii="宋体" w:hAnsi="宋体"/>
          <w:b/>
          <w:szCs w:val="20"/>
          <w:highlight w:val="none"/>
        </w:rPr>
      </w:pPr>
      <w:bookmarkStart w:id="512" w:name="_Toc202677007"/>
      <w:bookmarkStart w:id="513" w:name="_Toc246596759"/>
      <w:r>
        <w:rPr>
          <w:rFonts w:hint="eastAsia" w:ascii="宋体" w:hAnsi="宋体"/>
          <w:b/>
          <w:szCs w:val="20"/>
          <w:highlight w:val="none"/>
        </w:rPr>
        <w:t>20.6 管辖法律</w:t>
      </w:r>
      <w:bookmarkEnd w:id="512"/>
      <w:bookmarkEnd w:id="513"/>
    </w:p>
    <w:p>
      <w:pPr>
        <w:pStyle w:val="56"/>
        <w:tabs>
          <w:tab w:val="left" w:pos="420"/>
        </w:tabs>
        <w:spacing w:beforeLines="50"/>
        <w:ind w:firstLine="567"/>
        <w:rPr>
          <w:rFonts w:ascii="宋体" w:hAnsi="宋体"/>
          <w:sz w:val="20"/>
          <w:highlight w:val="none"/>
        </w:rPr>
      </w:pPr>
      <w:r>
        <w:rPr>
          <w:rFonts w:hint="eastAsia" w:ascii="宋体" w:hAnsi="宋体"/>
          <w:sz w:val="20"/>
          <w:highlight w:val="none"/>
        </w:rPr>
        <w:t>运营服务协议受颁布的中华人民共和国法律管辖，并根据其解释。</w:t>
      </w:r>
    </w:p>
    <w:p>
      <w:pPr>
        <w:pStyle w:val="56"/>
        <w:keepNext/>
        <w:keepLines/>
        <w:spacing w:before="120" w:after="120"/>
        <w:ind w:firstLine="500"/>
        <w:outlineLvl w:val="4"/>
        <w:rPr>
          <w:rFonts w:ascii="宋体" w:hAnsi="宋体"/>
          <w:b/>
          <w:szCs w:val="20"/>
          <w:highlight w:val="none"/>
        </w:rPr>
      </w:pPr>
      <w:bookmarkStart w:id="514" w:name="_Toc246596760"/>
      <w:bookmarkStart w:id="515" w:name="_Toc202677008"/>
      <w:r>
        <w:rPr>
          <w:rFonts w:hint="eastAsia" w:ascii="宋体" w:hAnsi="宋体"/>
          <w:b/>
          <w:szCs w:val="20"/>
          <w:highlight w:val="none"/>
        </w:rPr>
        <w:t>20.7 文字</w:t>
      </w:r>
      <w:bookmarkEnd w:id="514"/>
      <w:bookmarkEnd w:id="515"/>
    </w:p>
    <w:p>
      <w:pPr>
        <w:pStyle w:val="56"/>
        <w:tabs>
          <w:tab w:val="left" w:pos="420"/>
        </w:tabs>
        <w:spacing w:beforeLines="50"/>
        <w:ind w:firstLine="567"/>
        <w:rPr>
          <w:rFonts w:ascii="宋体" w:hAnsi="宋体"/>
          <w:sz w:val="20"/>
          <w:highlight w:val="none"/>
        </w:rPr>
      </w:pPr>
      <w:r>
        <w:rPr>
          <w:rFonts w:hint="eastAsia" w:ascii="宋体" w:hAnsi="宋体"/>
          <w:sz w:val="20"/>
          <w:highlight w:val="none"/>
        </w:rPr>
        <w:t>运营服务协议以中文订立。运营服务协议正本一式十二（12）份，具有同等效力，甲方和乙方各执六（6）份。</w:t>
      </w:r>
    </w:p>
    <w:p>
      <w:pPr>
        <w:pStyle w:val="56"/>
        <w:keepNext/>
        <w:keepLines/>
        <w:spacing w:before="120" w:after="120"/>
        <w:ind w:firstLine="500"/>
        <w:outlineLvl w:val="4"/>
        <w:rPr>
          <w:rFonts w:ascii="宋体" w:hAnsi="宋体"/>
          <w:b/>
          <w:szCs w:val="20"/>
          <w:highlight w:val="none"/>
        </w:rPr>
      </w:pPr>
      <w:bookmarkStart w:id="516" w:name="_Toc202677009"/>
      <w:bookmarkStart w:id="517" w:name="_Toc246596761"/>
      <w:r>
        <w:rPr>
          <w:rFonts w:hint="eastAsia" w:ascii="宋体" w:hAnsi="宋体"/>
          <w:b/>
          <w:szCs w:val="20"/>
          <w:highlight w:val="none"/>
        </w:rPr>
        <w:t>20.8 修正</w:t>
      </w:r>
      <w:bookmarkEnd w:id="516"/>
      <w:bookmarkEnd w:id="517"/>
    </w:p>
    <w:p>
      <w:pPr>
        <w:pStyle w:val="56"/>
        <w:tabs>
          <w:tab w:val="left" w:pos="420"/>
        </w:tabs>
        <w:spacing w:beforeLines="50"/>
        <w:ind w:firstLine="567"/>
        <w:rPr>
          <w:rFonts w:ascii="宋体" w:hAnsi="宋体"/>
          <w:sz w:val="20"/>
          <w:highlight w:val="none"/>
        </w:rPr>
      </w:pPr>
      <w:r>
        <w:rPr>
          <w:rFonts w:hint="eastAsia" w:ascii="宋体" w:hAnsi="宋体"/>
          <w:sz w:val="20"/>
          <w:highlight w:val="none"/>
        </w:rPr>
        <w:t>运营服务协议的任何修改、增加或变化只有经双方授权代表书面签署后才有效和具有约束力。</w:t>
      </w:r>
    </w:p>
    <w:p>
      <w:pPr>
        <w:pStyle w:val="56"/>
        <w:keepNext/>
        <w:keepLines/>
        <w:spacing w:before="120" w:after="120"/>
        <w:ind w:firstLine="500"/>
        <w:outlineLvl w:val="4"/>
        <w:rPr>
          <w:rFonts w:ascii="宋体" w:hAnsi="宋体"/>
          <w:b/>
          <w:szCs w:val="20"/>
          <w:highlight w:val="none"/>
        </w:rPr>
      </w:pPr>
      <w:bookmarkStart w:id="518" w:name="_Toc202677010"/>
      <w:bookmarkStart w:id="519" w:name="_Toc246596762"/>
      <w:r>
        <w:rPr>
          <w:rFonts w:hint="eastAsia" w:ascii="宋体" w:hAnsi="宋体"/>
          <w:b/>
          <w:szCs w:val="20"/>
          <w:highlight w:val="none"/>
        </w:rPr>
        <w:t>20.9 协议文件</w:t>
      </w:r>
      <w:bookmarkEnd w:id="518"/>
      <w:bookmarkEnd w:id="519"/>
    </w:p>
    <w:p>
      <w:pPr>
        <w:pStyle w:val="56"/>
        <w:tabs>
          <w:tab w:val="left" w:pos="420"/>
        </w:tabs>
        <w:spacing w:beforeLines="50"/>
        <w:ind w:firstLine="567"/>
        <w:rPr>
          <w:rFonts w:ascii="宋体" w:hAnsi="宋体"/>
          <w:sz w:val="20"/>
          <w:highlight w:val="none"/>
        </w:rPr>
      </w:pPr>
      <w:r>
        <w:rPr>
          <w:rFonts w:hint="eastAsia" w:ascii="宋体" w:hAnsi="宋体"/>
          <w:sz w:val="20"/>
          <w:highlight w:val="none"/>
        </w:rPr>
        <w:t>运营服务协议签署时包括附件一（含附录1 至8）、附件二、附件三、附件四及附件五共计五个附件，每个附件及其附录在此均被视为包含在运营服务协议中的有效组成内容。</w:t>
      </w:r>
    </w:p>
    <w:p>
      <w:pPr>
        <w:pStyle w:val="56"/>
        <w:tabs>
          <w:tab w:val="left" w:pos="420"/>
        </w:tabs>
        <w:spacing w:beforeLines="50"/>
        <w:rPr>
          <w:rFonts w:ascii="宋体" w:hAnsi="宋体"/>
          <w:b/>
          <w:szCs w:val="20"/>
          <w:highlight w:val="none"/>
        </w:rPr>
      </w:pPr>
      <w:r>
        <w:rPr>
          <w:rFonts w:hint="eastAsia" w:ascii="宋体" w:hAnsi="宋体"/>
          <w:b/>
          <w:szCs w:val="20"/>
          <w:highlight w:val="none"/>
        </w:rPr>
        <w:t xml:space="preserve">     20.10协议执行过程中的考核</w:t>
      </w:r>
    </w:p>
    <w:p>
      <w:pPr>
        <w:pStyle w:val="56"/>
        <w:tabs>
          <w:tab w:val="left" w:pos="420"/>
        </w:tabs>
        <w:spacing w:beforeLines="50"/>
        <w:rPr>
          <w:rFonts w:ascii="宋体" w:hAnsi="宋体"/>
          <w:b/>
          <w:szCs w:val="20"/>
          <w:highlight w:val="none"/>
        </w:rPr>
      </w:pPr>
      <w:r>
        <w:rPr>
          <w:rFonts w:hint="eastAsia" w:ascii="宋体" w:hAnsi="宋体"/>
          <w:b/>
          <w:szCs w:val="20"/>
          <w:highlight w:val="none"/>
        </w:rPr>
        <w:t xml:space="preserve">    </w:t>
      </w:r>
      <w:r>
        <w:rPr>
          <w:rFonts w:hint="eastAsia" w:ascii="宋体" w:hAnsi="宋体"/>
          <w:sz w:val="20"/>
          <w:highlight w:val="none"/>
        </w:rPr>
        <w:t xml:space="preserve"> </w:t>
      </w:r>
      <w:r>
        <w:rPr>
          <w:rFonts w:hint="eastAsia" w:ascii="宋体" w:hAnsi="宋体"/>
          <w:sz w:val="20"/>
          <w:highlight w:val="none"/>
          <w:u w:val="single"/>
        </w:rPr>
        <w:t>运营服务协议附件四列明了运营期对运营及协议执行情况的考核标准（试行），届时将由甲方召集相关部门对污水处理厂的运行管理情况进行考核，对年度考核不合格（考核得分低于60分）的，甲方将要求乙方在既有履约担保的基础上，增加履约担保伍拾（50）万元，如乙方未能在规定时间二十八（28）天内增加履约担保，或连续二（2）个季度考核不合格，则将判定为乙方缺乏履约能力，甲方有权终止协议并按照第15.2乙方违约进行处理。</w:t>
      </w:r>
    </w:p>
    <w:p>
      <w:pPr>
        <w:pStyle w:val="56"/>
        <w:keepNext/>
        <w:keepLines/>
        <w:spacing w:before="120" w:after="120"/>
        <w:ind w:firstLine="500"/>
        <w:outlineLvl w:val="4"/>
        <w:rPr>
          <w:rFonts w:ascii="宋体" w:hAnsi="宋体"/>
          <w:b/>
          <w:szCs w:val="20"/>
          <w:highlight w:val="none"/>
        </w:rPr>
      </w:pPr>
      <w:bookmarkStart w:id="520" w:name="_Toc246596763"/>
      <w:r>
        <w:rPr>
          <w:rFonts w:hint="eastAsia" w:ascii="宋体" w:hAnsi="宋体"/>
          <w:b/>
          <w:szCs w:val="20"/>
          <w:highlight w:val="none"/>
        </w:rPr>
        <w:t>20.11 协议的生效</w:t>
      </w:r>
      <w:bookmarkEnd w:id="520"/>
    </w:p>
    <w:p>
      <w:pPr>
        <w:pStyle w:val="56"/>
        <w:tabs>
          <w:tab w:val="left" w:pos="420"/>
        </w:tabs>
        <w:spacing w:beforeLines="50"/>
        <w:ind w:firstLine="567"/>
        <w:rPr>
          <w:rFonts w:ascii="宋体" w:hAnsi="宋体"/>
          <w:sz w:val="20"/>
          <w:highlight w:val="none"/>
        </w:rPr>
      </w:pPr>
      <w:r>
        <w:rPr>
          <w:rFonts w:hint="eastAsia" w:ascii="宋体" w:hAnsi="宋体"/>
          <w:sz w:val="20"/>
          <w:highlight w:val="none"/>
        </w:rPr>
        <w:t>本运营服务协议自正式签署之日起生效，并应在整个运营期内保持完全有效，但根据运营服务协议修改或终止的情况除外。</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运营服务协议由甲乙双方及经正式授权的代表签署，以昭信守。</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甲方名称[印章]                                     乙方名称[印章]</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法定代表人：                                       法定代表人：</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开户银行：                                         开户银行：</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账号：                                             账号：</w:t>
      </w:r>
    </w:p>
    <w:p>
      <w:pPr>
        <w:pStyle w:val="56"/>
        <w:tabs>
          <w:tab w:val="left" w:pos="420"/>
        </w:tabs>
        <w:spacing w:beforeLines="50"/>
        <w:ind w:firstLine="567"/>
        <w:rPr>
          <w:rFonts w:ascii="宋体" w:hAnsi="宋体"/>
          <w:sz w:val="20"/>
          <w:highlight w:val="none"/>
        </w:rPr>
      </w:pPr>
      <w:r>
        <w:rPr>
          <w:rFonts w:hint="eastAsia" w:ascii="宋体" w:hAnsi="宋体"/>
          <w:sz w:val="20"/>
          <w:highlight w:val="none"/>
        </w:rPr>
        <w:t>联系人电话：                                       联系人电话：</w:t>
      </w:r>
    </w:p>
    <w:p>
      <w:pPr>
        <w:pStyle w:val="56"/>
        <w:tabs>
          <w:tab w:val="left" w:pos="420"/>
        </w:tabs>
        <w:spacing w:beforeLines="50"/>
        <w:rPr>
          <w:rFonts w:ascii="宋体" w:hAnsi="宋体"/>
          <w:b/>
          <w:bCs/>
          <w:sz w:val="20"/>
          <w:highlight w:val="none"/>
        </w:rPr>
      </w:pPr>
    </w:p>
    <w:p>
      <w:pPr>
        <w:pStyle w:val="56"/>
        <w:tabs>
          <w:tab w:val="left" w:pos="420"/>
        </w:tabs>
        <w:spacing w:beforeLines="50"/>
        <w:rPr>
          <w:rFonts w:ascii="宋体" w:hAnsi="宋体"/>
          <w:b/>
          <w:bCs/>
          <w:sz w:val="20"/>
          <w:highlight w:val="none"/>
        </w:rPr>
      </w:pPr>
    </w:p>
    <w:p>
      <w:pPr>
        <w:pStyle w:val="56"/>
        <w:tabs>
          <w:tab w:val="left" w:pos="420"/>
        </w:tabs>
        <w:spacing w:beforeLines="50"/>
        <w:rPr>
          <w:rFonts w:ascii="宋体" w:hAnsi="宋体"/>
          <w:b/>
          <w:bCs/>
          <w:sz w:val="20"/>
          <w:highlight w:val="none"/>
        </w:rPr>
      </w:pPr>
    </w:p>
    <w:p>
      <w:pPr>
        <w:pStyle w:val="56"/>
        <w:tabs>
          <w:tab w:val="left" w:pos="420"/>
        </w:tabs>
        <w:spacing w:beforeLines="50"/>
        <w:rPr>
          <w:rFonts w:ascii="宋体" w:hAnsi="宋体"/>
          <w:b/>
          <w:bCs/>
          <w:sz w:val="20"/>
          <w:highlight w:val="none"/>
        </w:rPr>
      </w:pPr>
    </w:p>
    <w:p>
      <w:pPr>
        <w:pStyle w:val="56"/>
        <w:tabs>
          <w:tab w:val="left" w:pos="420"/>
        </w:tabs>
        <w:spacing w:beforeLines="50"/>
        <w:rPr>
          <w:rFonts w:ascii="宋体" w:hAnsi="宋体"/>
          <w:b/>
          <w:bCs/>
          <w:sz w:val="20"/>
          <w:highlight w:val="none"/>
        </w:rPr>
      </w:pPr>
    </w:p>
    <w:p>
      <w:pPr>
        <w:pStyle w:val="56"/>
        <w:tabs>
          <w:tab w:val="left" w:pos="420"/>
        </w:tabs>
        <w:spacing w:beforeLines="50"/>
        <w:rPr>
          <w:rFonts w:ascii="宋体" w:hAnsi="宋体"/>
          <w:b/>
          <w:bCs/>
          <w:sz w:val="20"/>
          <w:highlight w:val="none"/>
        </w:rPr>
      </w:pPr>
      <w:r>
        <w:rPr>
          <w:rFonts w:hint="eastAsia" w:ascii="宋体" w:hAnsi="宋体"/>
          <w:b/>
          <w:bCs/>
          <w:sz w:val="20"/>
          <w:highlight w:val="none"/>
        </w:rPr>
        <w:t xml:space="preserve">附件一 </w:t>
      </w:r>
    </w:p>
    <w:p>
      <w:pPr>
        <w:pStyle w:val="56"/>
        <w:spacing w:beforeLines="50"/>
        <w:textAlignment w:val="baseline"/>
        <w:rPr>
          <w:rFonts w:ascii="宋体" w:hAnsi="宋体"/>
          <w:b/>
          <w:sz w:val="20"/>
          <w:szCs w:val="20"/>
          <w:highlight w:val="none"/>
        </w:rPr>
      </w:pPr>
      <w:bookmarkStart w:id="521" w:name="_Toc202677011"/>
      <w:bookmarkStart w:id="522" w:name="_Toc246596764"/>
      <w:r>
        <w:rPr>
          <w:rFonts w:hint="eastAsia" w:ascii="宋体" w:hAnsi="宋体"/>
          <w:b/>
          <w:sz w:val="20"/>
          <w:szCs w:val="20"/>
          <w:highlight w:val="none"/>
        </w:rPr>
        <w:t>附录1 运营服务费的计算</w:t>
      </w:r>
    </w:p>
    <w:tbl>
      <w:tblPr>
        <w:tblStyle w:val="26"/>
        <w:tblW w:w="93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497"/>
        <w:gridCol w:w="7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850" w:type="dxa"/>
            <w:vAlign w:val="center"/>
          </w:tcPr>
          <w:p>
            <w:pPr>
              <w:spacing w:line="360" w:lineRule="auto"/>
              <w:jc w:val="center"/>
              <w:rPr>
                <w:highlight w:val="none"/>
              </w:rPr>
            </w:pPr>
            <w:r>
              <w:rPr>
                <w:rFonts w:hint="eastAsia"/>
                <w:highlight w:val="none"/>
              </w:rPr>
              <w:t>序号</w:t>
            </w:r>
          </w:p>
        </w:tc>
        <w:tc>
          <w:tcPr>
            <w:tcW w:w="1497" w:type="dxa"/>
            <w:vAlign w:val="center"/>
          </w:tcPr>
          <w:p>
            <w:pPr>
              <w:spacing w:line="360" w:lineRule="auto"/>
              <w:jc w:val="center"/>
              <w:rPr>
                <w:highlight w:val="none"/>
              </w:rPr>
            </w:pPr>
            <w:r>
              <w:rPr>
                <w:rFonts w:hint="eastAsia"/>
                <w:highlight w:val="none"/>
              </w:rPr>
              <w:t>集镇名称</w:t>
            </w:r>
          </w:p>
        </w:tc>
        <w:tc>
          <w:tcPr>
            <w:tcW w:w="7032" w:type="dxa"/>
            <w:vAlign w:val="center"/>
          </w:tcPr>
          <w:p>
            <w:pPr>
              <w:spacing w:line="360" w:lineRule="auto"/>
              <w:jc w:val="center"/>
              <w:rPr>
                <w:highlight w:val="none"/>
              </w:rPr>
            </w:pPr>
            <w:r>
              <w:rPr>
                <w:rFonts w:hint="eastAsia"/>
                <w:highlight w:val="none"/>
              </w:rPr>
              <w:t>设计处理量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850" w:type="dxa"/>
            <w:vAlign w:val="center"/>
          </w:tcPr>
          <w:p>
            <w:pPr>
              <w:spacing w:line="360" w:lineRule="auto"/>
              <w:jc w:val="center"/>
              <w:rPr>
                <w:highlight w:val="none"/>
              </w:rPr>
            </w:pPr>
            <w:r>
              <w:rPr>
                <w:rFonts w:hint="eastAsia"/>
                <w:highlight w:val="none"/>
              </w:rPr>
              <w:t>1</w:t>
            </w:r>
          </w:p>
        </w:tc>
        <w:tc>
          <w:tcPr>
            <w:tcW w:w="1497" w:type="dxa"/>
            <w:vAlign w:val="center"/>
          </w:tcPr>
          <w:p>
            <w:pPr>
              <w:spacing w:line="360" w:lineRule="auto"/>
              <w:jc w:val="center"/>
              <w:rPr>
                <w:highlight w:val="none"/>
              </w:rPr>
            </w:pPr>
            <w:r>
              <w:rPr>
                <w:rFonts w:hint="eastAsia"/>
                <w:highlight w:val="none"/>
              </w:rPr>
              <w:t>湖南</w:t>
            </w:r>
          </w:p>
        </w:tc>
        <w:tc>
          <w:tcPr>
            <w:tcW w:w="7032" w:type="dxa"/>
            <w:vAlign w:val="center"/>
          </w:tcPr>
          <w:p>
            <w:pPr>
              <w:spacing w:line="360" w:lineRule="auto"/>
              <w:jc w:val="center"/>
              <w:rPr>
                <w:highlight w:val="none"/>
              </w:rPr>
            </w:pPr>
            <w:r>
              <w:rPr>
                <w:rFonts w:hint="eastAsia"/>
                <w:highlight w:val="none"/>
              </w:rPr>
              <w:t>400m</w:t>
            </w:r>
            <w:r>
              <w:rPr>
                <w:rFonts w:hint="eastAsia"/>
                <w:highlight w:val="none"/>
                <w:vertAlign w:val="superscript"/>
              </w:rPr>
              <w:t>3</w:t>
            </w:r>
            <w:r>
              <w:rPr>
                <w:rFonts w:hint="eastAsia"/>
                <w:highlight w:val="none"/>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850" w:type="dxa"/>
            <w:vAlign w:val="center"/>
          </w:tcPr>
          <w:p>
            <w:pPr>
              <w:spacing w:line="360" w:lineRule="auto"/>
              <w:jc w:val="center"/>
              <w:rPr>
                <w:highlight w:val="none"/>
              </w:rPr>
            </w:pPr>
            <w:r>
              <w:rPr>
                <w:rFonts w:hint="eastAsia"/>
                <w:highlight w:val="none"/>
              </w:rPr>
              <w:t>2</w:t>
            </w:r>
          </w:p>
        </w:tc>
        <w:tc>
          <w:tcPr>
            <w:tcW w:w="1497" w:type="dxa"/>
            <w:vAlign w:val="center"/>
          </w:tcPr>
          <w:p>
            <w:pPr>
              <w:spacing w:line="360" w:lineRule="auto"/>
              <w:jc w:val="center"/>
              <w:rPr>
                <w:highlight w:val="none"/>
              </w:rPr>
            </w:pPr>
            <w:r>
              <w:rPr>
                <w:rFonts w:hint="eastAsia"/>
                <w:highlight w:val="none"/>
              </w:rPr>
              <w:t>后溪</w:t>
            </w:r>
          </w:p>
        </w:tc>
        <w:tc>
          <w:tcPr>
            <w:tcW w:w="7032" w:type="dxa"/>
            <w:vAlign w:val="center"/>
          </w:tcPr>
          <w:p>
            <w:pPr>
              <w:spacing w:line="360" w:lineRule="auto"/>
              <w:jc w:val="center"/>
              <w:rPr>
                <w:highlight w:val="none"/>
              </w:rPr>
            </w:pPr>
            <w:r>
              <w:rPr>
                <w:rFonts w:hint="eastAsia"/>
                <w:highlight w:val="none"/>
              </w:rPr>
              <w:t>800m</w:t>
            </w:r>
            <w:r>
              <w:rPr>
                <w:rFonts w:hint="eastAsia"/>
                <w:highlight w:val="none"/>
                <w:vertAlign w:val="superscript"/>
              </w:rPr>
              <w:t>3</w:t>
            </w:r>
            <w:r>
              <w:rPr>
                <w:rFonts w:hint="eastAsia"/>
                <w:highlight w:val="none"/>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850" w:type="dxa"/>
            <w:vAlign w:val="center"/>
          </w:tcPr>
          <w:p>
            <w:pPr>
              <w:spacing w:line="360" w:lineRule="auto"/>
              <w:jc w:val="center"/>
              <w:rPr>
                <w:highlight w:val="none"/>
              </w:rPr>
            </w:pPr>
            <w:r>
              <w:rPr>
                <w:rFonts w:hint="eastAsia"/>
                <w:highlight w:val="none"/>
              </w:rPr>
              <w:t>3</w:t>
            </w:r>
          </w:p>
        </w:tc>
        <w:tc>
          <w:tcPr>
            <w:tcW w:w="1497" w:type="dxa"/>
            <w:vAlign w:val="center"/>
          </w:tcPr>
          <w:p>
            <w:pPr>
              <w:spacing w:line="360" w:lineRule="auto"/>
              <w:jc w:val="center"/>
              <w:rPr>
                <w:highlight w:val="none"/>
              </w:rPr>
            </w:pPr>
            <w:r>
              <w:rPr>
                <w:rFonts w:hint="eastAsia"/>
                <w:highlight w:val="none"/>
              </w:rPr>
              <w:t>廿里</w:t>
            </w:r>
          </w:p>
        </w:tc>
        <w:tc>
          <w:tcPr>
            <w:tcW w:w="7032" w:type="dxa"/>
            <w:vAlign w:val="center"/>
          </w:tcPr>
          <w:p>
            <w:pPr>
              <w:spacing w:line="360" w:lineRule="auto"/>
              <w:jc w:val="center"/>
              <w:rPr>
                <w:highlight w:val="none"/>
              </w:rPr>
            </w:pPr>
            <w:r>
              <w:rPr>
                <w:rFonts w:hint="eastAsia"/>
                <w:highlight w:val="none"/>
              </w:rPr>
              <w:t>1000m</w:t>
            </w:r>
            <w:r>
              <w:rPr>
                <w:rFonts w:hint="eastAsia"/>
                <w:highlight w:val="none"/>
                <w:vertAlign w:val="superscript"/>
              </w:rPr>
              <w:t>3</w:t>
            </w:r>
            <w:r>
              <w:rPr>
                <w:rFonts w:hint="eastAsia"/>
                <w:highlight w:val="none"/>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850" w:type="dxa"/>
            <w:vAlign w:val="center"/>
          </w:tcPr>
          <w:p>
            <w:pPr>
              <w:spacing w:line="360" w:lineRule="auto"/>
              <w:jc w:val="center"/>
              <w:rPr>
                <w:highlight w:val="none"/>
              </w:rPr>
            </w:pPr>
            <w:r>
              <w:rPr>
                <w:rFonts w:hint="eastAsia"/>
                <w:highlight w:val="none"/>
              </w:rPr>
              <w:t>4</w:t>
            </w:r>
          </w:p>
        </w:tc>
        <w:tc>
          <w:tcPr>
            <w:tcW w:w="1497" w:type="dxa"/>
            <w:vAlign w:val="center"/>
          </w:tcPr>
          <w:p>
            <w:pPr>
              <w:spacing w:line="360" w:lineRule="auto"/>
              <w:jc w:val="center"/>
              <w:rPr>
                <w:highlight w:val="none"/>
              </w:rPr>
            </w:pPr>
            <w:r>
              <w:rPr>
                <w:rFonts w:hint="eastAsia"/>
                <w:highlight w:val="none"/>
              </w:rPr>
              <w:t>全旺</w:t>
            </w:r>
          </w:p>
        </w:tc>
        <w:tc>
          <w:tcPr>
            <w:tcW w:w="7032" w:type="dxa"/>
            <w:vAlign w:val="center"/>
          </w:tcPr>
          <w:p>
            <w:pPr>
              <w:spacing w:line="360" w:lineRule="auto"/>
              <w:jc w:val="center"/>
              <w:rPr>
                <w:highlight w:val="none"/>
              </w:rPr>
            </w:pPr>
            <w:r>
              <w:rPr>
                <w:rFonts w:hint="eastAsia"/>
                <w:highlight w:val="none"/>
              </w:rPr>
              <w:t>800m</w:t>
            </w:r>
            <w:r>
              <w:rPr>
                <w:rFonts w:hint="eastAsia"/>
                <w:highlight w:val="none"/>
                <w:vertAlign w:val="superscript"/>
              </w:rPr>
              <w:t>3</w:t>
            </w:r>
            <w:r>
              <w:rPr>
                <w:rFonts w:hint="eastAsia"/>
                <w:highlight w:val="none"/>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850" w:type="dxa"/>
            <w:vAlign w:val="center"/>
          </w:tcPr>
          <w:p>
            <w:pPr>
              <w:spacing w:line="360" w:lineRule="auto"/>
              <w:jc w:val="center"/>
              <w:rPr>
                <w:highlight w:val="none"/>
              </w:rPr>
            </w:pPr>
            <w:r>
              <w:rPr>
                <w:rFonts w:hint="eastAsia"/>
                <w:highlight w:val="none"/>
              </w:rPr>
              <w:t>5</w:t>
            </w:r>
          </w:p>
        </w:tc>
        <w:tc>
          <w:tcPr>
            <w:tcW w:w="1497" w:type="dxa"/>
            <w:vAlign w:val="center"/>
          </w:tcPr>
          <w:p>
            <w:pPr>
              <w:spacing w:line="360" w:lineRule="auto"/>
              <w:jc w:val="center"/>
              <w:rPr>
                <w:highlight w:val="none"/>
              </w:rPr>
            </w:pPr>
            <w:r>
              <w:rPr>
                <w:rFonts w:hint="eastAsia"/>
                <w:highlight w:val="none"/>
              </w:rPr>
              <w:t>大洲</w:t>
            </w:r>
          </w:p>
        </w:tc>
        <w:tc>
          <w:tcPr>
            <w:tcW w:w="7032" w:type="dxa"/>
            <w:vAlign w:val="center"/>
          </w:tcPr>
          <w:p>
            <w:pPr>
              <w:spacing w:line="360" w:lineRule="auto"/>
              <w:jc w:val="center"/>
              <w:rPr>
                <w:highlight w:val="none"/>
              </w:rPr>
            </w:pPr>
            <w:r>
              <w:rPr>
                <w:rFonts w:hint="eastAsia"/>
                <w:highlight w:val="none"/>
              </w:rPr>
              <w:t>800m</w:t>
            </w:r>
            <w:r>
              <w:rPr>
                <w:rFonts w:hint="eastAsia"/>
                <w:highlight w:val="none"/>
                <w:vertAlign w:val="superscript"/>
              </w:rPr>
              <w:t>3</w:t>
            </w:r>
            <w:r>
              <w:rPr>
                <w:rFonts w:hint="eastAsia"/>
                <w:highlight w:val="none"/>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850" w:type="dxa"/>
            <w:vAlign w:val="center"/>
          </w:tcPr>
          <w:p>
            <w:pPr>
              <w:spacing w:line="360" w:lineRule="auto"/>
              <w:jc w:val="center"/>
              <w:rPr>
                <w:highlight w:val="none"/>
              </w:rPr>
            </w:pPr>
            <w:r>
              <w:rPr>
                <w:rFonts w:hint="eastAsia"/>
                <w:highlight w:val="none"/>
              </w:rPr>
              <w:t>6</w:t>
            </w:r>
          </w:p>
        </w:tc>
        <w:tc>
          <w:tcPr>
            <w:tcW w:w="1497" w:type="dxa"/>
            <w:vAlign w:val="center"/>
          </w:tcPr>
          <w:p>
            <w:pPr>
              <w:spacing w:line="360" w:lineRule="auto"/>
              <w:jc w:val="center"/>
              <w:rPr>
                <w:highlight w:val="none"/>
              </w:rPr>
            </w:pPr>
            <w:r>
              <w:rPr>
                <w:rFonts w:hint="eastAsia"/>
                <w:highlight w:val="none"/>
              </w:rPr>
              <w:t>高家</w:t>
            </w:r>
          </w:p>
        </w:tc>
        <w:tc>
          <w:tcPr>
            <w:tcW w:w="7032" w:type="dxa"/>
            <w:vAlign w:val="center"/>
          </w:tcPr>
          <w:p>
            <w:pPr>
              <w:spacing w:line="360" w:lineRule="auto"/>
              <w:jc w:val="center"/>
              <w:rPr>
                <w:highlight w:val="none"/>
              </w:rPr>
            </w:pPr>
            <w:r>
              <w:rPr>
                <w:rFonts w:hint="eastAsia"/>
                <w:highlight w:val="none"/>
              </w:rPr>
              <w:t>800m</w:t>
            </w:r>
            <w:r>
              <w:rPr>
                <w:rFonts w:hint="eastAsia"/>
                <w:highlight w:val="none"/>
                <w:vertAlign w:val="superscript"/>
              </w:rPr>
              <w:t>3</w:t>
            </w:r>
            <w:r>
              <w:rPr>
                <w:rFonts w:hint="eastAsia"/>
                <w:highlight w:val="none"/>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850" w:type="dxa"/>
            <w:vAlign w:val="center"/>
          </w:tcPr>
          <w:p>
            <w:pPr>
              <w:spacing w:line="360" w:lineRule="auto"/>
              <w:jc w:val="center"/>
              <w:rPr>
                <w:highlight w:val="none"/>
              </w:rPr>
            </w:pPr>
            <w:r>
              <w:rPr>
                <w:rFonts w:hint="eastAsia"/>
                <w:highlight w:val="none"/>
              </w:rPr>
              <w:t>7</w:t>
            </w:r>
          </w:p>
        </w:tc>
        <w:tc>
          <w:tcPr>
            <w:tcW w:w="1497" w:type="dxa"/>
            <w:vAlign w:val="center"/>
          </w:tcPr>
          <w:p>
            <w:pPr>
              <w:spacing w:line="360" w:lineRule="auto"/>
              <w:jc w:val="center"/>
              <w:rPr>
                <w:highlight w:val="none"/>
              </w:rPr>
            </w:pPr>
            <w:r>
              <w:rPr>
                <w:rFonts w:hint="eastAsia"/>
                <w:highlight w:val="none"/>
              </w:rPr>
              <w:t>杜泽</w:t>
            </w:r>
          </w:p>
        </w:tc>
        <w:tc>
          <w:tcPr>
            <w:tcW w:w="7032" w:type="dxa"/>
            <w:vAlign w:val="center"/>
          </w:tcPr>
          <w:p>
            <w:pPr>
              <w:spacing w:line="360" w:lineRule="auto"/>
              <w:jc w:val="center"/>
              <w:rPr>
                <w:highlight w:val="none"/>
              </w:rPr>
            </w:pPr>
            <w:r>
              <w:rPr>
                <w:rFonts w:hint="eastAsia"/>
                <w:highlight w:val="none"/>
              </w:rPr>
              <w:t>800m</w:t>
            </w:r>
            <w:r>
              <w:rPr>
                <w:rFonts w:hint="eastAsia"/>
                <w:highlight w:val="none"/>
                <w:vertAlign w:val="superscript"/>
              </w:rPr>
              <w:t>3</w:t>
            </w:r>
            <w:r>
              <w:rPr>
                <w:rFonts w:hint="eastAsia"/>
                <w:highlight w:val="none"/>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850" w:type="dxa"/>
            <w:vAlign w:val="center"/>
          </w:tcPr>
          <w:p>
            <w:pPr>
              <w:spacing w:line="360" w:lineRule="auto"/>
              <w:jc w:val="center"/>
              <w:rPr>
                <w:highlight w:val="none"/>
              </w:rPr>
            </w:pPr>
            <w:r>
              <w:rPr>
                <w:rFonts w:hint="eastAsia"/>
                <w:highlight w:val="none"/>
              </w:rPr>
              <w:t>8</w:t>
            </w:r>
          </w:p>
        </w:tc>
        <w:tc>
          <w:tcPr>
            <w:tcW w:w="1497" w:type="dxa"/>
            <w:vAlign w:val="center"/>
          </w:tcPr>
          <w:p>
            <w:pPr>
              <w:spacing w:line="360" w:lineRule="auto"/>
              <w:jc w:val="center"/>
              <w:rPr>
                <w:highlight w:val="none"/>
              </w:rPr>
            </w:pPr>
            <w:r>
              <w:rPr>
                <w:rFonts w:hint="eastAsia"/>
                <w:highlight w:val="none"/>
              </w:rPr>
              <w:t>莲花</w:t>
            </w:r>
          </w:p>
        </w:tc>
        <w:tc>
          <w:tcPr>
            <w:tcW w:w="7032" w:type="dxa"/>
            <w:vAlign w:val="center"/>
          </w:tcPr>
          <w:p>
            <w:pPr>
              <w:spacing w:line="360" w:lineRule="auto"/>
              <w:jc w:val="center"/>
              <w:rPr>
                <w:highlight w:val="none"/>
              </w:rPr>
            </w:pPr>
            <w:r>
              <w:rPr>
                <w:rFonts w:hint="eastAsia"/>
                <w:highlight w:val="none"/>
              </w:rPr>
              <w:t>800m</w:t>
            </w:r>
            <w:r>
              <w:rPr>
                <w:rFonts w:hint="eastAsia"/>
                <w:highlight w:val="none"/>
                <w:vertAlign w:val="superscript"/>
              </w:rPr>
              <w:t>3</w:t>
            </w:r>
            <w:r>
              <w:rPr>
                <w:rFonts w:hint="eastAsia"/>
                <w:highlight w:val="none"/>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850" w:type="dxa"/>
            <w:vAlign w:val="center"/>
          </w:tcPr>
          <w:p>
            <w:pPr>
              <w:spacing w:line="360" w:lineRule="auto"/>
              <w:jc w:val="center"/>
              <w:rPr>
                <w:highlight w:val="none"/>
              </w:rPr>
            </w:pPr>
            <w:r>
              <w:rPr>
                <w:rFonts w:hint="eastAsia"/>
                <w:highlight w:val="none"/>
              </w:rPr>
              <w:t>9</w:t>
            </w:r>
          </w:p>
        </w:tc>
        <w:tc>
          <w:tcPr>
            <w:tcW w:w="1497" w:type="dxa"/>
            <w:vAlign w:val="center"/>
          </w:tcPr>
          <w:p>
            <w:pPr>
              <w:spacing w:line="360" w:lineRule="auto"/>
              <w:jc w:val="center"/>
              <w:rPr>
                <w:highlight w:val="none"/>
              </w:rPr>
            </w:pPr>
            <w:r>
              <w:rPr>
                <w:rFonts w:hint="eastAsia"/>
                <w:highlight w:val="none"/>
              </w:rPr>
              <w:t>峡川</w:t>
            </w:r>
          </w:p>
        </w:tc>
        <w:tc>
          <w:tcPr>
            <w:tcW w:w="7032" w:type="dxa"/>
            <w:vAlign w:val="center"/>
          </w:tcPr>
          <w:p>
            <w:pPr>
              <w:spacing w:line="360" w:lineRule="auto"/>
              <w:jc w:val="center"/>
              <w:rPr>
                <w:highlight w:val="none"/>
              </w:rPr>
            </w:pPr>
            <w:r>
              <w:rPr>
                <w:rFonts w:hint="eastAsia"/>
                <w:highlight w:val="none"/>
              </w:rPr>
              <w:t>500m</w:t>
            </w:r>
            <w:r>
              <w:rPr>
                <w:rFonts w:hint="eastAsia"/>
                <w:highlight w:val="none"/>
                <w:vertAlign w:val="superscript"/>
              </w:rPr>
              <w:t>3</w:t>
            </w:r>
            <w:r>
              <w:rPr>
                <w:rFonts w:hint="eastAsia"/>
                <w:highlight w:val="none"/>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850" w:type="dxa"/>
            <w:vAlign w:val="center"/>
          </w:tcPr>
          <w:p>
            <w:pPr>
              <w:spacing w:line="360" w:lineRule="auto"/>
              <w:jc w:val="center"/>
              <w:rPr>
                <w:highlight w:val="none"/>
              </w:rPr>
            </w:pPr>
            <w:r>
              <w:rPr>
                <w:rFonts w:hint="eastAsia"/>
                <w:highlight w:val="none"/>
              </w:rPr>
              <w:t>10</w:t>
            </w:r>
          </w:p>
        </w:tc>
        <w:tc>
          <w:tcPr>
            <w:tcW w:w="1497" w:type="dxa"/>
            <w:vAlign w:val="center"/>
          </w:tcPr>
          <w:p>
            <w:pPr>
              <w:spacing w:line="360" w:lineRule="auto"/>
              <w:jc w:val="center"/>
              <w:rPr>
                <w:highlight w:val="none"/>
              </w:rPr>
            </w:pPr>
            <w:r>
              <w:rPr>
                <w:rFonts w:hint="eastAsia"/>
                <w:highlight w:val="none"/>
              </w:rPr>
              <w:t>上方</w:t>
            </w:r>
          </w:p>
        </w:tc>
        <w:tc>
          <w:tcPr>
            <w:tcW w:w="7032" w:type="dxa"/>
            <w:vAlign w:val="center"/>
          </w:tcPr>
          <w:p>
            <w:pPr>
              <w:spacing w:line="360" w:lineRule="auto"/>
              <w:jc w:val="center"/>
              <w:rPr>
                <w:highlight w:val="none"/>
              </w:rPr>
            </w:pPr>
            <w:r>
              <w:rPr>
                <w:rFonts w:hint="eastAsia"/>
                <w:highlight w:val="none"/>
              </w:rPr>
              <w:t>1200m</w:t>
            </w:r>
            <w:r>
              <w:rPr>
                <w:rFonts w:hint="eastAsia"/>
                <w:highlight w:val="none"/>
                <w:vertAlign w:val="superscript"/>
              </w:rPr>
              <w:t>3</w:t>
            </w:r>
            <w:r>
              <w:rPr>
                <w:rFonts w:hint="eastAsia"/>
                <w:highlight w:val="none"/>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850" w:type="dxa"/>
            <w:vAlign w:val="center"/>
          </w:tcPr>
          <w:p>
            <w:pPr>
              <w:spacing w:line="360" w:lineRule="auto"/>
              <w:jc w:val="center"/>
              <w:rPr>
                <w:highlight w:val="none"/>
              </w:rPr>
            </w:pPr>
            <w:r>
              <w:rPr>
                <w:rFonts w:hint="eastAsia"/>
                <w:highlight w:val="none"/>
              </w:rPr>
              <w:t>11</w:t>
            </w:r>
          </w:p>
        </w:tc>
        <w:tc>
          <w:tcPr>
            <w:tcW w:w="1497" w:type="dxa"/>
            <w:vAlign w:val="center"/>
          </w:tcPr>
          <w:p>
            <w:pPr>
              <w:spacing w:line="360" w:lineRule="auto"/>
              <w:jc w:val="center"/>
              <w:rPr>
                <w:highlight w:val="none"/>
              </w:rPr>
            </w:pPr>
            <w:r>
              <w:rPr>
                <w:rFonts w:hint="eastAsia"/>
                <w:highlight w:val="none"/>
              </w:rPr>
              <w:t>合计</w:t>
            </w:r>
          </w:p>
        </w:tc>
        <w:tc>
          <w:tcPr>
            <w:tcW w:w="7032" w:type="dxa"/>
            <w:vAlign w:val="center"/>
          </w:tcPr>
          <w:p>
            <w:pPr>
              <w:spacing w:line="360" w:lineRule="auto"/>
              <w:jc w:val="center"/>
              <w:rPr>
                <w:highlight w:val="none"/>
              </w:rPr>
            </w:pPr>
            <w:r>
              <w:rPr>
                <w:rFonts w:hint="eastAsia"/>
                <w:highlight w:val="none"/>
              </w:rPr>
              <w:t>7900m</w:t>
            </w:r>
            <w:r>
              <w:rPr>
                <w:rFonts w:hint="eastAsia"/>
                <w:highlight w:val="none"/>
                <w:vertAlign w:val="superscript"/>
              </w:rPr>
              <w:t>3</w:t>
            </w:r>
            <w:r>
              <w:rPr>
                <w:rFonts w:hint="eastAsia"/>
                <w:highlight w:val="none"/>
              </w:rPr>
              <w:t>/d</w:t>
            </w:r>
          </w:p>
        </w:tc>
      </w:tr>
    </w:tbl>
    <w:p>
      <w:pPr>
        <w:pStyle w:val="56"/>
        <w:tabs>
          <w:tab w:val="left" w:pos="567"/>
        </w:tabs>
        <w:spacing w:beforeLines="50"/>
        <w:ind w:firstLine="567"/>
        <w:rPr>
          <w:rFonts w:ascii="宋体" w:hAnsi="宋体"/>
          <w:bCs/>
          <w:sz w:val="20"/>
          <w:szCs w:val="20"/>
          <w:highlight w:val="none"/>
        </w:rPr>
      </w:pPr>
      <w:r>
        <w:rPr>
          <w:rFonts w:hint="eastAsia" w:ascii="宋体" w:hAnsi="宋体"/>
          <w:bCs/>
          <w:sz w:val="20"/>
          <w:szCs w:val="20"/>
          <w:highlight w:val="none"/>
        </w:rPr>
        <w:t>以污水处理厂的正常运营、达标排放为前提，甲方应区分以下不同情况，依照本附录公式或方法的约定按</w:t>
      </w:r>
      <w:r>
        <w:rPr>
          <w:rFonts w:hint="eastAsia" w:ascii="宋体" w:hAnsi="宋体"/>
          <w:bCs/>
          <w:sz w:val="20"/>
          <w:szCs w:val="20"/>
          <w:highlight w:val="none"/>
          <w:lang w:eastAsia="zh-CN"/>
        </w:rPr>
        <w:t>季度</w:t>
      </w:r>
      <w:r>
        <w:rPr>
          <w:rFonts w:hint="eastAsia" w:ascii="宋体" w:hAnsi="宋体"/>
          <w:bCs/>
          <w:sz w:val="20"/>
          <w:szCs w:val="20"/>
          <w:highlight w:val="none"/>
        </w:rPr>
        <w:t>计算应实际支付给乙方的运营服务费。为简明表述起见做如下设定：</w:t>
      </w:r>
    </w:p>
    <w:p>
      <w:pPr>
        <w:pStyle w:val="56"/>
        <w:numPr>
          <w:ilvl w:val="0"/>
          <w:numId w:val="11"/>
        </w:numPr>
        <w:tabs>
          <w:tab w:val="left" w:pos="720"/>
        </w:tabs>
        <w:spacing w:beforeLines="50"/>
        <w:ind w:firstLine="567"/>
        <w:rPr>
          <w:rFonts w:ascii="宋体" w:hAnsi="宋体"/>
          <w:b/>
          <w:sz w:val="20"/>
          <w:szCs w:val="20"/>
          <w:highlight w:val="none"/>
        </w:rPr>
      </w:pPr>
      <w:r>
        <w:rPr>
          <w:rFonts w:hint="eastAsia" w:ascii="宋体" w:hAnsi="宋体"/>
          <w:b/>
          <w:sz w:val="20"/>
          <w:szCs w:val="20"/>
          <w:highlight w:val="none"/>
        </w:rPr>
        <w:t>日进水量不超过项目处理能力（单镇污水厂处理能力）时的应付运营服务费结算：</w:t>
      </w:r>
    </w:p>
    <w:p>
      <w:pPr>
        <w:pStyle w:val="56"/>
        <w:tabs>
          <w:tab w:val="left" w:pos="720"/>
        </w:tabs>
        <w:spacing w:beforeLines="50"/>
        <w:ind w:firstLine="606" w:firstLineChars="300"/>
        <w:rPr>
          <w:rFonts w:ascii="宋体" w:hAnsi="宋体"/>
          <w:b/>
          <w:color w:val="FF0000"/>
          <w:sz w:val="20"/>
          <w:szCs w:val="20"/>
          <w:highlight w:val="none"/>
        </w:rPr>
      </w:pPr>
      <w:r>
        <w:rPr>
          <w:rFonts w:hint="eastAsia" w:ascii="宋体" w:hAnsi="宋体"/>
          <w:b/>
          <w:color w:val="FF0000"/>
          <w:sz w:val="20"/>
          <w:szCs w:val="20"/>
          <w:highlight w:val="none"/>
        </w:rPr>
        <w:t>日实际处理量</w:t>
      </w:r>
      <w:r>
        <w:rPr>
          <w:rFonts w:hint="eastAsia" w:ascii="宋体" w:hAnsi="宋体"/>
          <w:b/>
          <w:bCs/>
          <w:color w:val="FF0000"/>
          <w:sz w:val="20"/>
          <w:szCs w:val="20"/>
          <w:highlight w:val="none"/>
        </w:rPr>
        <w:t>×项目设施运营服务费全费用综合单价（中标单价）×天数</w:t>
      </w:r>
    </w:p>
    <w:p>
      <w:pPr>
        <w:pStyle w:val="56"/>
        <w:spacing w:beforeLines="50"/>
        <w:ind w:firstLine="567"/>
        <w:rPr>
          <w:rFonts w:ascii="宋体" w:hAnsi="宋体"/>
          <w:b/>
          <w:sz w:val="20"/>
          <w:szCs w:val="20"/>
          <w:highlight w:val="none"/>
        </w:rPr>
      </w:pPr>
      <w:r>
        <w:rPr>
          <w:rFonts w:hint="eastAsia" w:ascii="宋体" w:hAnsi="宋体"/>
          <w:b/>
          <w:sz w:val="20"/>
          <w:szCs w:val="20"/>
          <w:highlight w:val="none"/>
        </w:rPr>
        <w:t>2</w:t>
      </w:r>
      <w:r>
        <w:rPr>
          <w:rFonts w:ascii="宋体" w:hAnsi="宋体"/>
          <w:b/>
          <w:sz w:val="20"/>
          <w:szCs w:val="20"/>
          <w:highlight w:val="none"/>
        </w:rPr>
        <w:t>.</w:t>
      </w:r>
      <w:r>
        <w:rPr>
          <w:rFonts w:hint="eastAsia" w:ascii="宋体" w:hAnsi="宋体"/>
          <w:b/>
          <w:sz w:val="20"/>
          <w:szCs w:val="20"/>
          <w:highlight w:val="none"/>
        </w:rPr>
        <w:t xml:space="preserve"> 不可抗力事件造成的</w:t>
      </w:r>
      <w:r>
        <w:rPr>
          <w:rFonts w:hint="eastAsia" w:ascii="宋体" w:hAnsi="宋体"/>
          <w:b/>
          <w:sz w:val="20"/>
          <w:szCs w:val="20"/>
          <w:highlight w:val="none"/>
          <w:u w:val="single"/>
        </w:rPr>
        <w:t>停产期间保底运营服务费</w:t>
      </w:r>
    </w:p>
    <w:p>
      <w:pPr>
        <w:pStyle w:val="56"/>
        <w:tabs>
          <w:tab w:val="left" w:pos="720"/>
        </w:tabs>
        <w:spacing w:beforeLines="50"/>
        <w:ind w:firstLine="567"/>
        <w:rPr>
          <w:rFonts w:ascii="宋体" w:hAnsi="宋体"/>
          <w:bCs/>
          <w:sz w:val="20"/>
          <w:szCs w:val="20"/>
          <w:highlight w:val="none"/>
        </w:rPr>
      </w:pPr>
      <w:r>
        <w:rPr>
          <w:rFonts w:hint="eastAsia" w:ascii="宋体" w:hAnsi="宋体"/>
          <w:bCs/>
          <w:sz w:val="20"/>
          <w:szCs w:val="20"/>
          <w:highlight w:val="none"/>
        </w:rPr>
        <w:t>在运营期内且协议执行尚未终止时，如发生运营服务协议约定的不可抗力事件</w:t>
      </w:r>
      <w:r>
        <w:rPr>
          <w:rFonts w:hint="eastAsia" w:ascii="宋体" w:hAnsi="宋体"/>
          <w:bCs/>
          <w:sz w:val="20"/>
          <w:szCs w:val="20"/>
          <w:highlight w:val="none"/>
          <w:u w:val="single"/>
        </w:rPr>
        <w:t>（污水进水质量不符合规定标准或控制范围的情形除外</w:t>
      </w:r>
      <w:r>
        <w:rPr>
          <w:rFonts w:hint="eastAsia" w:ascii="宋体" w:hAnsi="宋体"/>
          <w:bCs/>
          <w:sz w:val="20"/>
          <w:szCs w:val="20"/>
          <w:highlight w:val="none"/>
        </w:rPr>
        <w:t>），造成污水处理设施完全停产的严重停产运营期间，此期间应付的保底运营服务费</w:t>
      </w:r>
      <w:r>
        <w:rPr>
          <w:rFonts w:hint="eastAsia" w:ascii="宋体" w:hAnsi="宋体"/>
          <w:bCs/>
          <w:sz w:val="20"/>
          <w:szCs w:val="20"/>
          <w:highlight w:val="none"/>
          <w:lang w:val="fr-FR"/>
        </w:rPr>
        <w:t>，</w:t>
      </w:r>
      <w:r>
        <w:rPr>
          <w:rFonts w:hint="eastAsia" w:ascii="宋体" w:hAnsi="宋体"/>
          <w:bCs/>
          <w:sz w:val="20"/>
          <w:szCs w:val="20"/>
          <w:highlight w:val="none"/>
        </w:rPr>
        <w:t xml:space="preserve">即 ： </w:t>
      </w:r>
    </w:p>
    <w:p>
      <w:pPr>
        <w:pStyle w:val="56"/>
        <w:spacing w:beforeLines="50"/>
        <w:ind w:firstLine="567"/>
        <w:rPr>
          <w:rFonts w:ascii="宋体" w:hAnsi="宋体"/>
          <w:bCs/>
          <w:i/>
          <w:color w:val="FF0000"/>
          <w:sz w:val="20"/>
          <w:szCs w:val="20"/>
          <w:highlight w:val="none"/>
        </w:rPr>
      </w:pPr>
      <w:r>
        <w:rPr>
          <w:rFonts w:hint="eastAsia" w:ascii="宋体" w:hAnsi="宋体"/>
          <w:b/>
          <w:bCs/>
          <w:color w:val="FF0000"/>
          <w:sz w:val="20"/>
          <w:szCs w:val="20"/>
          <w:highlight w:val="none"/>
        </w:rPr>
        <w:t>日设计处理量40%×项目设施运营服务费全费用综合单价（中标单价）×天数</w:t>
      </w:r>
    </w:p>
    <w:p>
      <w:pPr>
        <w:pStyle w:val="56"/>
        <w:tabs>
          <w:tab w:val="left" w:pos="720"/>
        </w:tabs>
        <w:spacing w:beforeLines="50"/>
        <w:ind w:firstLine="567"/>
        <w:rPr>
          <w:rFonts w:ascii="宋体" w:hAnsi="宋体"/>
          <w:b/>
          <w:sz w:val="20"/>
          <w:szCs w:val="20"/>
          <w:highlight w:val="none"/>
        </w:rPr>
      </w:pPr>
      <w:r>
        <w:rPr>
          <w:rFonts w:hint="eastAsia" w:ascii="宋体" w:hAnsi="宋体"/>
          <w:b/>
          <w:sz w:val="20"/>
          <w:szCs w:val="20"/>
          <w:highlight w:val="none"/>
        </w:rPr>
        <w:t>3. 暂停服务期间应付的</w:t>
      </w:r>
      <w:r>
        <w:rPr>
          <w:rFonts w:hint="eastAsia" w:ascii="宋体" w:hAnsi="宋体"/>
          <w:b/>
          <w:sz w:val="20"/>
          <w:szCs w:val="20"/>
          <w:highlight w:val="none"/>
          <w:u w:val="single"/>
        </w:rPr>
        <w:t>停产期间保底运营服务费</w:t>
      </w:r>
    </w:p>
    <w:p>
      <w:pPr>
        <w:pStyle w:val="56"/>
        <w:tabs>
          <w:tab w:val="left" w:pos="720"/>
        </w:tabs>
        <w:spacing w:beforeLines="50"/>
        <w:ind w:firstLine="567"/>
        <w:rPr>
          <w:rFonts w:ascii="宋体" w:hAnsi="宋体"/>
          <w:bCs/>
          <w:sz w:val="20"/>
          <w:szCs w:val="20"/>
          <w:highlight w:val="none"/>
        </w:rPr>
      </w:pPr>
      <w:r>
        <w:rPr>
          <w:rFonts w:hint="eastAsia" w:ascii="宋体" w:hAnsi="宋体"/>
          <w:bCs/>
          <w:sz w:val="20"/>
          <w:szCs w:val="20"/>
          <w:highlight w:val="none"/>
        </w:rPr>
        <w:t>⑴由于甲方原因发生的暂停</w:t>
      </w:r>
    </w:p>
    <w:p>
      <w:pPr>
        <w:pStyle w:val="56"/>
        <w:spacing w:beforeLines="50"/>
        <w:ind w:firstLine="567"/>
        <w:rPr>
          <w:rFonts w:ascii="宋体" w:hAnsi="宋体"/>
          <w:bCs/>
          <w:i/>
          <w:color w:val="FF0000"/>
          <w:sz w:val="20"/>
          <w:szCs w:val="20"/>
          <w:highlight w:val="none"/>
        </w:rPr>
      </w:pPr>
      <w:r>
        <w:rPr>
          <w:rFonts w:hint="eastAsia" w:ascii="宋体" w:hAnsi="宋体"/>
          <w:bCs/>
          <w:sz w:val="20"/>
          <w:szCs w:val="20"/>
          <w:highlight w:val="none"/>
        </w:rPr>
        <w:t>对于由于甲方原因经主管机构批准、认可或要求的计划外特殊暂停服务且造成污水处理设施完全停产的运营期间，结算按</w:t>
      </w:r>
      <w:r>
        <w:rPr>
          <w:rFonts w:hint="eastAsia" w:ascii="宋体" w:hAnsi="宋体"/>
          <w:b/>
          <w:bCs/>
          <w:color w:val="FF0000"/>
          <w:sz w:val="20"/>
          <w:szCs w:val="20"/>
          <w:highlight w:val="none"/>
        </w:rPr>
        <w:t>日设计处理量40%×项目设施运营服务费全费用综合单价（中标单价）×天数。</w:t>
      </w:r>
    </w:p>
    <w:p>
      <w:pPr>
        <w:pStyle w:val="56"/>
        <w:tabs>
          <w:tab w:val="left" w:pos="720"/>
        </w:tabs>
        <w:spacing w:beforeLines="50"/>
        <w:ind w:firstLine="567"/>
        <w:rPr>
          <w:rFonts w:ascii="宋体" w:hAnsi="宋体"/>
          <w:bCs/>
          <w:sz w:val="20"/>
          <w:szCs w:val="20"/>
          <w:highlight w:val="none"/>
        </w:rPr>
      </w:pPr>
      <w:r>
        <w:rPr>
          <w:rFonts w:hint="eastAsia" w:ascii="宋体" w:hAnsi="宋体"/>
          <w:bCs/>
          <w:sz w:val="20"/>
          <w:szCs w:val="20"/>
          <w:highlight w:val="none"/>
        </w:rPr>
        <w:t>⑵ 未经甲方批准、认可或要求的其他计划外暂停，该暂停服务期间甲方将不承担支付运营服务费和保底运营服务费的义务，并有权追究乙方未能及时处理收集输送进厂污水的违约责任。</w:t>
      </w:r>
    </w:p>
    <w:p>
      <w:pPr>
        <w:pStyle w:val="56"/>
        <w:tabs>
          <w:tab w:val="left" w:pos="720"/>
        </w:tabs>
        <w:spacing w:beforeLines="50"/>
        <w:ind w:firstLine="567"/>
        <w:rPr>
          <w:rFonts w:ascii="宋体" w:hAnsi="宋体"/>
          <w:b/>
          <w:sz w:val="20"/>
          <w:szCs w:val="20"/>
          <w:highlight w:val="none"/>
        </w:rPr>
      </w:pPr>
      <w:r>
        <w:rPr>
          <w:rFonts w:hint="eastAsia" w:ascii="宋体" w:hAnsi="宋体"/>
          <w:b/>
          <w:sz w:val="20"/>
          <w:szCs w:val="20"/>
          <w:highlight w:val="none"/>
        </w:rPr>
        <w:t>4．停产补偿费用的计付方式</w:t>
      </w:r>
    </w:p>
    <w:p>
      <w:pPr>
        <w:pStyle w:val="56"/>
        <w:spacing w:beforeLines="50"/>
        <w:ind w:firstLine="567"/>
        <w:rPr>
          <w:rFonts w:ascii="宋体" w:hAnsi="宋体"/>
          <w:bCs/>
          <w:i/>
          <w:color w:val="FF0000"/>
          <w:sz w:val="20"/>
          <w:szCs w:val="20"/>
          <w:highlight w:val="none"/>
        </w:rPr>
      </w:pPr>
      <w:r>
        <w:rPr>
          <w:rFonts w:hint="eastAsia" w:ascii="宋体" w:hAnsi="宋体"/>
          <w:bCs/>
          <w:sz w:val="20"/>
          <w:szCs w:val="20"/>
          <w:highlight w:val="none"/>
        </w:rPr>
        <w:t>在因不可抗力或暂停服务期间发生保底补偿费用结算按</w:t>
      </w:r>
      <w:r>
        <w:rPr>
          <w:rFonts w:hint="eastAsia" w:ascii="宋体" w:hAnsi="宋体"/>
          <w:b/>
          <w:bCs/>
          <w:color w:val="FF0000"/>
          <w:sz w:val="20"/>
          <w:szCs w:val="20"/>
          <w:highlight w:val="none"/>
        </w:rPr>
        <w:t>日设计处理量40%×项目设施运营服务费全费用综合单价（中标单价）×天数。</w:t>
      </w:r>
    </w:p>
    <w:p>
      <w:pPr>
        <w:pStyle w:val="56"/>
        <w:tabs>
          <w:tab w:val="left" w:pos="720"/>
        </w:tabs>
        <w:spacing w:beforeLines="50"/>
        <w:ind w:firstLine="567"/>
        <w:rPr>
          <w:rFonts w:ascii="宋体" w:hAnsi="宋体"/>
          <w:bCs/>
          <w:sz w:val="20"/>
          <w:szCs w:val="20"/>
          <w:highlight w:val="none"/>
        </w:rPr>
      </w:pPr>
      <w:r>
        <w:rPr>
          <w:rFonts w:hint="eastAsia" w:ascii="宋体" w:hAnsi="宋体"/>
          <w:bCs/>
          <w:sz w:val="20"/>
          <w:szCs w:val="20"/>
          <w:highlight w:val="none"/>
        </w:rPr>
        <w:t>乙方应依据各自实际发生完全停产服务天数，按上述约定方式计算后单独就每次发生金额及累计余额做好记录并及时报甲方审核确认，待下一次运营服务费支付时一并支付或累计至该周年一次结清。</w:t>
      </w:r>
    </w:p>
    <w:p>
      <w:pPr>
        <w:pStyle w:val="56"/>
        <w:tabs>
          <w:tab w:val="left" w:pos="720"/>
        </w:tabs>
        <w:spacing w:beforeLines="50"/>
        <w:ind w:firstLine="567"/>
        <w:rPr>
          <w:rFonts w:ascii="宋体" w:hAnsi="宋体"/>
          <w:bCs/>
          <w:sz w:val="20"/>
          <w:szCs w:val="20"/>
          <w:highlight w:val="none"/>
        </w:rPr>
      </w:pPr>
      <w:r>
        <w:rPr>
          <w:rFonts w:hint="eastAsia" w:ascii="宋体" w:hAnsi="宋体"/>
          <w:bCs/>
          <w:sz w:val="20"/>
          <w:szCs w:val="20"/>
          <w:highlight w:val="none"/>
          <w:lang w:val="en-US" w:eastAsia="zh-CN"/>
        </w:rPr>
        <w:t>5</w:t>
      </w:r>
      <w:r>
        <w:rPr>
          <w:rFonts w:hint="eastAsia" w:ascii="宋体" w:hAnsi="宋体"/>
          <w:bCs/>
          <w:sz w:val="20"/>
          <w:szCs w:val="20"/>
          <w:highlight w:val="none"/>
        </w:rPr>
        <w:t>. 运营服务费全费用综合单价</w:t>
      </w:r>
    </w:p>
    <w:p>
      <w:pPr>
        <w:pStyle w:val="56"/>
        <w:tabs>
          <w:tab w:val="left" w:pos="720"/>
        </w:tabs>
        <w:spacing w:beforeLines="50"/>
        <w:ind w:firstLine="567"/>
        <w:rPr>
          <w:rFonts w:ascii="宋体" w:hAnsi="宋体"/>
          <w:bCs/>
          <w:sz w:val="20"/>
          <w:szCs w:val="20"/>
          <w:highlight w:val="none"/>
        </w:rPr>
      </w:pPr>
      <w:r>
        <w:rPr>
          <w:rFonts w:hint="eastAsia" w:ascii="宋体" w:hAnsi="宋体"/>
          <w:bCs/>
          <w:sz w:val="20"/>
          <w:szCs w:val="20"/>
          <w:highlight w:val="none"/>
        </w:rPr>
        <w:t>项目运营服务费全费用综合单价为：</w:t>
      </w:r>
    </w:p>
    <w:p>
      <w:pPr>
        <w:pStyle w:val="56"/>
        <w:tabs>
          <w:tab w:val="left" w:pos="720"/>
        </w:tabs>
        <w:spacing w:beforeLines="50"/>
        <w:ind w:firstLine="567"/>
        <w:rPr>
          <w:rFonts w:ascii="宋体" w:hAnsi="宋体"/>
          <w:bCs/>
          <w:sz w:val="20"/>
          <w:szCs w:val="20"/>
          <w:highlight w:val="none"/>
        </w:rPr>
      </w:pPr>
      <w:r>
        <w:rPr>
          <w:rFonts w:hint="eastAsia" w:ascii="宋体" w:hAnsi="宋体"/>
          <w:bCs/>
          <w:sz w:val="20"/>
          <w:szCs w:val="20"/>
          <w:highlight w:val="none"/>
        </w:rPr>
        <w:t>（1） 项目设施运营服务费全费用综合单价为：     元/立方米（小数点后四位）, 即运营服务费全费用综合单价（含税）=运营期运营服务费签约合同价÷（7900×365×3）；</w:t>
      </w:r>
    </w:p>
    <w:p>
      <w:pPr>
        <w:pStyle w:val="56"/>
        <w:tabs>
          <w:tab w:val="left" w:pos="720"/>
        </w:tabs>
        <w:spacing w:beforeLines="50"/>
        <w:ind w:firstLine="567"/>
        <w:rPr>
          <w:rFonts w:ascii="宋体" w:hAnsi="宋体"/>
          <w:bCs/>
          <w:sz w:val="20"/>
          <w:szCs w:val="20"/>
          <w:highlight w:val="none"/>
        </w:rPr>
      </w:pPr>
      <w:r>
        <w:rPr>
          <w:rFonts w:hint="eastAsia" w:ascii="宋体" w:hAnsi="宋体"/>
          <w:bCs/>
          <w:sz w:val="20"/>
          <w:szCs w:val="20"/>
          <w:highlight w:val="none"/>
        </w:rPr>
        <w:t>（2）项目远期设施（如有）投产运营后，城东污水处理厂（三期）全厂运营服务费全费用综合单价根据第三方会计师事务所测算出全费用综合单价后按投标价下浮比例下浮后确定；</w:t>
      </w:r>
    </w:p>
    <w:p>
      <w:pPr>
        <w:pStyle w:val="56"/>
        <w:tabs>
          <w:tab w:val="left" w:pos="720"/>
        </w:tabs>
        <w:spacing w:beforeLines="50"/>
        <w:ind w:firstLine="567"/>
        <w:rPr>
          <w:rFonts w:ascii="宋体" w:hAnsi="宋体"/>
          <w:bCs/>
          <w:sz w:val="20"/>
          <w:szCs w:val="20"/>
          <w:highlight w:val="none"/>
        </w:rPr>
      </w:pPr>
      <w:r>
        <w:rPr>
          <w:rFonts w:hint="eastAsia" w:ascii="宋体" w:hAnsi="宋体"/>
          <w:bCs/>
          <w:sz w:val="20"/>
          <w:szCs w:val="20"/>
          <w:highlight w:val="none"/>
        </w:rPr>
        <w:t>（3）本次运营服务费全费用综合单价将作为初始基准单价，在运营期内不作调整。</w:t>
      </w:r>
    </w:p>
    <w:p>
      <w:pPr>
        <w:pStyle w:val="56"/>
        <w:widowControl w:val="0"/>
        <w:tabs>
          <w:tab w:val="left" w:pos="720"/>
        </w:tabs>
        <w:spacing w:beforeLines="50"/>
        <w:ind w:left="567"/>
        <w:rPr>
          <w:rFonts w:ascii="宋体" w:hAnsi="宋体"/>
          <w:b/>
          <w:sz w:val="20"/>
          <w:szCs w:val="20"/>
          <w:highlight w:val="none"/>
        </w:rPr>
      </w:pPr>
      <w:r>
        <w:rPr>
          <w:rFonts w:hint="eastAsia" w:ascii="宋体" w:hAnsi="宋体"/>
          <w:b/>
          <w:sz w:val="20"/>
          <w:szCs w:val="20"/>
          <w:highlight w:val="none"/>
          <w:lang w:val="en-US" w:eastAsia="zh-CN"/>
        </w:rPr>
        <w:t>6</w:t>
      </w:r>
      <w:r>
        <w:rPr>
          <w:rFonts w:hint="eastAsia" w:ascii="宋体" w:hAnsi="宋体"/>
          <w:b/>
          <w:sz w:val="20"/>
          <w:szCs w:val="20"/>
          <w:highlight w:val="none"/>
        </w:rPr>
        <w:t>.运营服务费全费用综合单价构成</w:t>
      </w:r>
    </w:p>
    <w:p>
      <w:pPr>
        <w:pStyle w:val="56"/>
        <w:tabs>
          <w:tab w:val="left" w:pos="720"/>
        </w:tabs>
        <w:spacing w:beforeLines="50"/>
        <w:ind w:firstLine="567"/>
        <w:rPr>
          <w:rFonts w:ascii="宋体" w:hAnsi="宋体"/>
          <w:bCs/>
          <w:sz w:val="20"/>
          <w:szCs w:val="20"/>
          <w:highlight w:val="none"/>
        </w:rPr>
      </w:pPr>
      <w:r>
        <w:rPr>
          <w:rFonts w:hint="eastAsia" w:ascii="宋体" w:hAnsi="宋体"/>
          <w:bCs/>
          <w:sz w:val="20"/>
          <w:szCs w:val="20"/>
          <w:highlight w:val="none"/>
        </w:rPr>
        <w:t>见附件五中《衢州市衢江区集镇污水处理厂）初始运营服务费全费用综合单价构成表》等与乙方投标报价相关之附表内容。上述所列初始全费用综合单价及构成为以后对有关补偿和违约金费用进行测算时具有可追溯性的重要参考基准。</w:t>
      </w:r>
    </w:p>
    <w:bookmarkEnd w:id="521"/>
    <w:bookmarkEnd w:id="522"/>
    <w:p>
      <w:pPr>
        <w:pStyle w:val="56"/>
        <w:tabs>
          <w:tab w:val="left" w:pos="567"/>
        </w:tabs>
        <w:spacing w:beforeLines="50"/>
        <w:ind w:firstLine="567"/>
        <w:rPr>
          <w:rFonts w:ascii="宋体" w:hAnsi="宋体"/>
          <w:b/>
          <w:bCs/>
          <w:sz w:val="20"/>
          <w:szCs w:val="20"/>
          <w:highlight w:val="none"/>
        </w:rPr>
      </w:pPr>
      <w:bookmarkStart w:id="523" w:name="_附录1_污水处理服务费的计算"/>
      <w:bookmarkEnd w:id="523"/>
      <w:r>
        <w:rPr>
          <w:rFonts w:hint="eastAsia" w:ascii="宋体" w:hAnsi="宋体"/>
          <w:b/>
          <w:bCs/>
          <w:sz w:val="20"/>
          <w:szCs w:val="20"/>
          <w:highlight w:val="none"/>
          <w:lang w:val="en-US" w:eastAsia="zh-CN"/>
        </w:rPr>
        <w:t>7</w:t>
      </w:r>
      <w:r>
        <w:rPr>
          <w:rFonts w:hint="eastAsia" w:ascii="宋体" w:hAnsi="宋体"/>
          <w:b/>
          <w:bCs/>
          <w:sz w:val="20"/>
          <w:szCs w:val="20"/>
          <w:highlight w:val="none"/>
        </w:rPr>
        <w:t xml:space="preserve">. </w:t>
      </w:r>
      <w:r>
        <w:rPr>
          <w:rFonts w:ascii="宋体" w:hAnsi="宋体"/>
          <w:b/>
          <w:bCs/>
          <w:sz w:val="20"/>
          <w:szCs w:val="20"/>
          <w:highlight w:val="none"/>
        </w:rPr>
        <w:t>运行管理考核</w:t>
      </w:r>
    </w:p>
    <w:p>
      <w:pPr>
        <w:pStyle w:val="56"/>
        <w:tabs>
          <w:tab w:val="left" w:pos="420"/>
        </w:tabs>
        <w:spacing w:beforeLines="50"/>
        <w:ind w:firstLine="567"/>
        <w:rPr>
          <w:rFonts w:ascii="宋体" w:hAnsi="宋体"/>
          <w:sz w:val="20"/>
          <w:szCs w:val="20"/>
          <w:highlight w:val="none"/>
        </w:rPr>
      </w:pPr>
      <w:r>
        <w:rPr>
          <w:rFonts w:ascii="宋体" w:hAnsi="宋体"/>
          <w:sz w:val="20"/>
          <w:szCs w:val="20"/>
          <w:highlight w:val="none"/>
        </w:rPr>
        <w:t>项目建设期及运营维护期内，</w:t>
      </w:r>
      <w:r>
        <w:rPr>
          <w:rFonts w:hint="eastAsia" w:ascii="宋体" w:hAnsi="宋体"/>
          <w:sz w:val="20"/>
          <w:szCs w:val="20"/>
          <w:highlight w:val="none"/>
        </w:rPr>
        <w:t>甲方</w:t>
      </w:r>
      <w:r>
        <w:rPr>
          <w:rFonts w:ascii="宋体" w:hAnsi="宋体"/>
          <w:sz w:val="20"/>
          <w:szCs w:val="20"/>
          <w:highlight w:val="none"/>
        </w:rPr>
        <w:t>还对</w:t>
      </w:r>
      <w:r>
        <w:rPr>
          <w:rFonts w:hint="eastAsia" w:ascii="宋体" w:hAnsi="宋体"/>
          <w:sz w:val="20"/>
          <w:szCs w:val="20"/>
          <w:highlight w:val="none"/>
        </w:rPr>
        <w:t>乙方</w:t>
      </w:r>
      <w:r>
        <w:rPr>
          <w:rFonts w:ascii="宋体" w:hAnsi="宋体"/>
          <w:sz w:val="20"/>
          <w:szCs w:val="20"/>
          <w:highlight w:val="none"/>
        </w:rPr>
        <w:t>建设及运营维护绩效进行考核，污水服务费根据绩效考核进行调整。</w:t>
      </w:r>
      <w:r>
        <w:rPr>
          <w:rFonts w:hint="eastAsia" w:ascii="宋体" w:hAnsi="宋体"/>
          <w:sz w:val="20"/>
          <w:szCs w:val="20"/>
          <w:highlight w:val="none"/>
        </w:rPr>
        <w:t>甲方</w:t>
      </w:r>
      <w:r>
        <w:rPr>
          <w:rFonts w:ascii="宋体" w:hAnsi="宋体"/>
          <w:sz w:val="20"/>
          <w:szCs w:val="20"/>
          <w:highlight w:val="none"/>
        </w:rPr>
        <w:t>对本项目全部污水处理设施进行运行绩效评价，评价标准为</w:t>
      </w:r>
      <w:r>
        <w:rPr>
          <w:rFonts w:hint="eastAsia" w:ascii="宋体" w:hAnsi="宋体"/>
          <w:sz w:val="20"/>
          <w:szCs w:val="20"/>
          <w:highlight w:val="none"/>
        </w:rPr>
        <w:t>衢江区集镇</w:t>
      </w:r>
      <w:r>
        <w:rPr>
          <w:rFonts w:ascii="宋体" w:hAnsi="宋体"/>
          <w:sz w:val="20"/>
          <w:szCs w:val="20"/>
          <w:highlight w:val="none"/>
        </w:rPr>
        <w:t>污水处理厂运行管理考核细则，绩效考核打分由相应行业主管部门制定，绩效考核每季度进行一次，相关绩效考核费用由</w:t>
      </w:r>
      <w:r>
        <w:rPr>
          <w:rFonts w:hint="eastAsia" w:ascii="宋体" w:hAnsi="宋体"/>
          <w:sz w:val="20"/>
          <w:szCs w:val="20"/>
          <w:highlight w:val="none"/>
        </w:rPr>
        <w:t>甲方</w:t>
      </w:r>
      <w:r>
        <w:rPr>
          <w:rFonts w:ascii="宋体" w:hAnsi="宋体"/>
          <w:sz w:val="20"/>
          <w:szCs w:val="20"/>
          <w:highlight w:val="none"/>
        </w:rPr>
        <w:t xml:space="preserve">承担，项目协议期内以上考核标准发生变化，则相应调整运营绩效评价标准（具体考核标准见“附件四  </w:t>
      </w:r>
      <w:r>
        <w:rPr>
          <w:rFonts w:hint="eastAsia" w:ascii="宋体" w:hAnsi="宋体"/>
          <w:sz w:val="20"/>
          <w:szCs w:val="20"/>
          <w:highlight w:val="none"/>
        </w:rPr>
        <w:t>衢江区集镇</w:t>
      </w:r>
      <w:r>
        <w:rPr>
          <w:rFonts w:ascii="宋体" w:hAnsi="宋体"/>
          <w:sz w:val="20"/>
          <w:szCs w:val="20"/>
          <w:highlight w:val="none"/>
        </w:rPr>
        <w:t>污水处理厂）运行管理考核细则”）。</w:t>
      </w:r>
    </w:p>
    <w:p>
      <w:pPr>
        <w:pStyle w:val="56"/>
        <w:tabs>
          <w:tab w:val="left" w:pos="420"/>
        </w:tabs>
        <w:spacing w:beforeLines="50"/>
        <w:ind w:firstLine="567"/>
        <w:rPr>
          <w:rFonts w:ascii="宋体" w:hAnsi="宋体"/>
          <w:sz w:val="20"/>
          <w:szCs w:val="20"/>
          <w:highlight w:val="none"/>
        </w:rPr>
      </w:pPr>
      <w:r>
        <w:rPr>
          <w:rFonts w:hint="eastAsia" w:ascii="宋体" w:hAnsi="宋体"/>
          <w:sz w:val="20"/>
          <w:szCs w:val="20"/>
          <w:highlight w:val="none"/>
        </w:rPr>
        <w:t>甲方</w:t>
      </w:r>
      <w:r>
        <w:rPr>
          <w:rFonts w:ascii="宋体" w:hAnsi="宋体"/>
          <w:sz w:val="20"/>
          <w:szCs w:val="20"/>
          <w:highlight w:val="none"/>
        </w:rPr>
        <w:t>根据上一季度的绩效评分结果调整</w:t>
      </w:r>
      <w:r>
        <w:rPr>
          <w:rFonts w:hint="eastAsia" w:ascii="宋体" w:hAnsi="宋体"/>
          <w:sz w:val="20"/>
          <w:szCs w:val="20"/>
          <w:highlight w:val="none"/>
        </w:rPr>
        <w:t>甲方</w:t>
      </w:r>
      <w:r>
        <w:rPr>
          <w:rFonts w:ascii="宋体" w:hAnsi="宋体"/>
          <w:sz w:val="20"/>
          <w:szCs w:val="20"/>
          <w:highlight w:val="none"/>
        </w:rPr>
        <w:t>该</w:t>
      </w:r>
      <w:r>
        <w:rPr>
          <w:rFonts w:hint="eastAsia" w:ascii="宋体" w:hAnsi="宋体"/>
          <w:sz w:val="20"/>
          <w:szCs w:val="20"/>
          <w:highlight w:val="none"/>
        </w:rPr>
        <w:t>季度</w:t>
      </w:r>
      <w:r>
        <w:rPr>
          <w:rFonts w:ascii="宋体" w:hAnsi="宋体"/>
          <w:sz w:val="20"/>
          <w:szCs w:val="20"/>
          <w:highlight w:val="none"/>
        </w:rPr>
        <w:t>需要支付污水处理运营</w:t>
      </w:r>
      <w:r>
        <w:rPr>
          <w:rFonts w:hint="eastAsia" w:ascii="宋体" w:hAnsi="宋体"/>
          <w:sz w:val="20"/>
          <w:szCs w:val="20"/>
          <w:highlight w:val="none"/>
        </w:rPr>
        <w:t>服务</w:t>
      </w:r>
      <w:r>
        <w:rPr>
          <w:rFonts w:ascii="宋体" w:hAnsi="宋体"/>
          <w:sz w:val="20"/>
          <w:szCs w:val="20"/>
          <w:highlight w:val="none"/>
        </w:rPr>
        <w:t>费，</w:t>
      </w:r>
      <w:r>
        <w:rPr>
          <w:rFonts w:hint="eastAsia" w:ascii="宋体" w:hAnsi="宋体"/>
          <w:sz w:val="20"/>
          <w:szCs w:val="20"/>
          <w:highlight w:val="none"/>
        </w:rPr>
        <w:t>乙方</w:t>
      </w:r>
      <w:r>
        <w:rPr>
          <w:rFonts w:ascii="宋体" w:hAnsi="宋体"/>
          <w:sz w:val="20"/>
          <w:szCs w:val="20"/>
          <w:highlight w:val="none"/>
        </w:rPr>
        <w:t>未达到绩效标准的，根据未达情形对项目的影响程度扣减相应的付款。</w:t>
      </w:r>
    </w:p>
    <w:p>
      <w:pPr>
        <w:pStyle w:val="56"/>
        <w:tabs>
          <w:tab w:val="left" w:pos="420"/>
        </w:tabs>
        <w:spacing w:beforeLines="50"/>
        <w:ind w:firstLine="567"/>
        <w:rPr>
          <w:rFonts w:ascii="宋体" w:hAnsi="宋体"/>
          <w:sz w:val="20"/>
          <w:szCs w:val="20"/>
          <w:highlight w:val="none"/>
        </w:rPr>
      </w:pPr>
      <w:r>
        <w:rPr>
          <w:rFonts w:hint="eastAsia" w:ascii="宋体" w:hAnsi="宋体"/>
          <w:sz w:val="20"/>
          <w:szCs w:val="20"/>
          <w:highlight w:val="none"/>
        </w:rPr>
        <w:t>运营服务费</w:t>
      </w:r>
      <w:r>
        <w:rPr>
          <w:rFonts w:ascii="宋体" w:hAnsi="宋体"/>
          <w:sz w:val="20"/>
          <w:szCs w:val="20"/>
          <w:highlight w:val="none"/>
        </w:rPr>
        <w:t>按实际发生的处理水量、</w:t>
      </w:r>
      <w:r>
        <w:rPr>
          <w:rFonts w:hint="eastAsia" w:ascii="宋体" w:hAnsi="宋体"/>
          <w:sz w:val="20"/>
          <w:szCs w:val="20"/>
          <w:highlight w:val="none"/>
        </w:rPr>
        <w:t>运营服务费全费用综合单价（</w:t>
      </w:r>
      <w:r>
        <w:rPr>
          <w:rFonts w:hint="eastAsia" w:ascii="宋体" w:hAnsi="宋体" w:eastAsia="宋体" w:cs="Times New Roman"/>
          <w:sz w:val="20"/>
          <w:szCs w:val="20"/>
          <w:highlight w:val="none"/>
        </w:rPr>
        <w:t>当月执行的运营服务费单价</w:t>
      </w:r>
      <w:r>
        <w:rPr>
          <w:rFonts w:hint="eastAsia" w:ascii="宋体" w:hAnsi="宋体"/>
          <w:sz w:val="20"/>
          <w:szCs w:val="20"/>
          <w:highlight w:val="none"/>
        </w:rPr>
        <w:t>）</w:t>
      </w:r>
      <w:r>
        <w:rPr>
          <w:rFonts w:ascii="宋体" w:hAnsi="宋体"/>
          <w:sz w:val="20"/>
          <w:szCs w:val="20"/>
          <w:highlight w:val="none"/>
        </w:rPr>
        <w:t>和运行绩效评价系数按月</w:t>
      </w:r>
      <w:r>
        <w:rPr>
          <w:rFonts w:hint="eastAsia" w:ascii="宋体" w:hAnsi="宋体"/>
          <w:sz w:val="20"/>
          <w:szCs w:val="20"/>
          <w:highlight w:val="none"/>
          <w:lang w:eastAsia="zh-CN"/>
        </w:rPr>
        <w:t>按季度</w:t>
      </w:r>
      <w:r>
        <w:rPr>
          <w:rFonts w:ascii="宋体" w:hAnsi="宋体"/>
          <w:sz w:val="20"/>
          <w:szCs w:val="20"/>
          <w:highlight w:val="none"/>
        </w:rPr>
        <w:t>进行结算，计算公式如下：</w:t>
      </w:r>
    </w:p>
    <w:p>
      <w:pPr>
        <w:pStyle w:val="56"/>
        <w:spacing w:beforeLines="50" w:afterLines="50" w:line="280" w:lineRule="exact"/>
        <w:ind w:firstLine="606" w:firstLineChars="300"/>
        <w:rPr>
          <w:rFonts w:ascii="宋体"/>
          <w:sz w:val="28"/>
          <w:szCs w:val="22"/>
          <w:highlight w:val="none"/>
        </w:rPr>
      </w:pPr>
      <w:r>
        <w:rPr>
          <w:rFonts w:hint="eastAsia" w:ascii="Cambria Math" w:hAnsi="Cambria Math"/>
          <w:sz w:val="20"/>
          <w:szCs w:val="20"/>
          <w:highlight w:val="none"/>
        </w:rPr>
        <w:t>C=C</w:t>
      </w:r>
      <w:r>
        <w:rPr>
          <w:rFonts w:hint="eastAsia" w:ascii="Cambria Math" w:hAnsi="Cambria Math"/>
          <w:sz w:val="20"/>
          <w:szCs w:val="20"/>
          <w:highlight w:val="none"/>
          <w:vertAlign w:val="subscript"/>
        </w:rPr>
        <w:t>n</w:t>
      </w:r>
      <w:r>
        <w:rPr>
          <w:rFonts w:hint="eastAsia" w:ascii="Cambria Math" w:hAnsi="Cambria Math"/>
          <w:sz w:val="20"/>
          <w:szCs w:val="20"/>
          <w:highlight w:val="none"/>
        </w:rPr>
        <w:t>×K</w:t>
      </w:r>
    </w:p>
    <w:p>
      <w:pPr>
        <w:pStyle w:val="56"/>
        <w:tabs>
          <w:tab w:val="left" w:pos="420"/>
        </w:tabs>
        <w:spacing w:beforeLines="50" w:line="280" w:lineRule="exact"/>
        <w:ind w:firstLine="567"/>
        <w:rPr>
          <w:rFonts w:ascii="宋体" w:hAnsi="宋体"/>
          <w:sz w:val="20"/>
          <w:szCs w:val="20"/>
          <w:highlight w:val="none"/>
        </w:rPr>
      </w:pPr>
      <w:r>
        <w:rPr>
          <w:rFonts w:ascii="宋体" w:hAnsi="宋体"/>
          <w:sz w:val="20"/>
          <w:szCs w:val="20"/>
          <w:highlight w:val="none"/>
        </w:rPr>
        <w:t>其中：</w:t>
      </w:r>
    </w:p>
    <w:p>
      <w:pPr>
        <w:pStyle w:val="56"/>
        <w:tabs>
          <w:tab w:val="left" w:pos="420"/>
        </w:tabs>
        <w:spacing w:beforeLines="50" w:line="280" w:lineRule="exact"/>
        <w:ind w:firstLine="567"/>
        <w:rPr>
          <w:rFonts w:ascii="宋体" w:hAnsi="宋体"/>
          <w:sz w:val="20"/>
          <w:szCs w:val="20"/>
          <w:highlight w:val="none"/>
        </w:rPr>
      </w:pPr>
      <w:r>
        <w:rPr>
          <w:rFonts w:hint="eastAsia" w:ascii="宋体" w:hAnsi="宋体"/>
          <w:sz w:val="20"/>
          <w:szCs w:val="20"/>
          <w:highlight w:val="none"/>
        </w:rPr>
        <w:t>C</w:t>
      </w:r>
      <w:r>
        <w:rPr>
          <w:rFonts w:ascii="宋体" w:hAnsi="宋体"/>
          <w:sz w:val="20"/>
          <w:szCs w:val="20"/>
          <w:highlight w:val="none"/>
        </w:rPr>
        <w:t>——调整后的月</w:t>
      </w:r>
      <w:r>
        <w:rPr>
          <w:rFonts w:hint="eastAsia" w:ascii="宋体" w:hAnsi="宋体"/>
          <w:sz w:val="20"/>
          <w:szCs w:val="20"/>
          <w:highlight w:val="none"/>
        </w:rPr>
        <w:t>运营服务费</w:t>
      </w:r>
      <w:r>
        <w:rPr>
          <w:rFonts w:ascii="宋体" w:hAnsi="宋体"/>
          <w:sz w:val="20"/>
          <w:szCs w:val="20"/>
          <w:highlight w:val="none"/>
        </w:rPr>
        <w:t>。</w:t>
      </w:r>
    </w:p>
    <w:p>
      <w:pPr>
        <w:pStyle w:val="56"/>
        <w:tabs>
          <w:tab w:val="left" w:pos="420"/>
        </w:tabs>
        <w:spacing w:beforeLines="50" w:line="280" w:lineRule="exact"/>
        <w:ind w:firstLine="567"/>
        <w:rPr>
          <w:rFonts w:ascii="宋体" w:hAnsi="宋体"/>
          <w:sz w:val="20"/>
          <w:szCs w:val="20"/>
          <w:highlight w:val="none"/>
        </w:rPr>
      </w:pPr>
      <w:r>
        <w:rPr>
          <w:rFonts w:hint="eastAsia" w:ascii="宋体" w:hAnsi="宋体"/>
          <w:sz w:val="20"/>
          <w:szCs w:val="20"/>
          <w:highlight w:val="none"/>
        </w:rPr>
        <w:t>C</w:t>
      </w:r>
      <w:r>
        <w:rPr>
          <w:rFonts w:hint="eastAsia" w:ascii="宋体" w:hAnsi="宋体"/>
          <w:sz w:val="20"/>
          <w:szCs w:val="20"/>
          <w:highlight w:val="none"/>
          <w:vertAlign w:val="subscript"/>
        </w:rPr>
        <w:t>n</w:t>
      </w:r>
      <w:r>
        <w:rPr>
          <w:rFonts w:ascii="宋体" w:hAnsi="宋体"/>
          <w:sz w:val="20"/>
          <w:szCs w:val="20"/>
          <w:highlight w:val="none"/>
        </w:rPr>
        <w:t>——考核调整前</w:t>
      </w:r>
      <w:r>
        <w:rPr>
          <w:rFonts w:hint="eastAsia" w:ascii="宋体" w:hAnsi="宋体"/>
          <w:sz w:val="20"/>
          <w:szCs w:val="20"/>
          <w:highlight w:val="none"/>
        </w:rPr>
        <w:t>运营服务费</w:t>
      </w:r>
      <w:r>
        <w:rPr>
          <w:rFonts w:ascii="宋体" w:hAnsi="宋体"/>
          <w:sz w:val="20"/>
          <w:szCs w:val="20"/>
          <w:highlight w:val="none"/>
        </w:rPr>
        <w:t>。</w:t>
      </w:r>
    </w:p>
    <w:p>
      <w:pPr>
        <w:pStyle w:val="56"/>
        <w:tabs>
          <w:tab w:val="left" w:pos="420"/>
        </w:tabs>
        <w:spacing w:beforeLines="50" w:line="280" w:lineRule="exact"/>
        <w:ind w:firstLine="567"/>
        <w:rPr>
          <w:rFonts w:ascii="宋体" w:hAnsi="宋体"/>
          <w:sz w:val="20"/>
          <w:szCs w:val="20"/>
          <w:highlight w:val="none"/>
        </w:rPr>
      </w:pPr>
      <w:r>
        <w:rPr>
          <w:rFonts w:ascii="宋体" w:hAnsi="宋体"/>
          <w:sz w:val="20"/>
          <w:szCs w:val="20"/>
          <w:highlight w:val="none"/>
        </w:rPr>
        <w:t>K——绩效评价系数。根据运行绩效评价得分情况，确定用于计算</w:t>
      </w:r>
      <w:r>
        <w:rPr>
          <w:rFonts w:hint="eastAsia" w:ascii="宋体" w:hAnsi="宋体"/>
          <w:sz w:val="20"/>
          <w:szCs w:val="20"/>
          <w:highlight w:val="none"/>
        </w:rPr>
        <w:t>运营服务费</w:t>
      </w:r>
      <w:r>
        <w:rPr>
          <w:rFonts w:ascii="宋体" w:hAnsi="宋体"/>
          <w:sz w:val="20"/>
          <w:szCs w:val="20"/>
          <w:highlight w:val="none"/>
        </w:rPr>
        <w:t>的运行绩效评价系数K见下表：</w:t>
      </w:r>
    </w:p>
    <w:p>
      <w:pPr>
        <w:pStyle w:val="56"/>
        <w:tabs>
          <w:tab w:val="left" w:pos="420"/>
        </w:tabs>
        <w:spacing w:beforeLines="50" w:line="320" w:lineRule="exact"/>
        <w:ind w:firstLine="567"/>
        <w:jc w:val="center"/>
        <w:rPr>
          <w:rFonts w:ascii="宋体" w:hAnsi="宋体"/>
          <w:sz w:val="20"/>
          <w:szCs w:val="20"/>
          <w:highlight w:val="none"/>
        </w:rPr>
      </w:pPr>
      <w:r>
        <w:rPr>
          <w:rFonts w:ascii="宋体" w:hAnsi="宋体"/>
          <w:sz w:val="20"/>
          <w:szCs w:val="20"/>
          <w:highlight w:val="none"/>
        </w:rPr>
        <w:t>表1：运行绩效评价系数</w:t>
      </w:r>
    </w:p>
    <w:tbl>
      <w:tblPr>
        <w:tblStyle w:val="25"/>
        <w:tblW w:w="72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0"/>
        <w:gridCol w:w="2926"/>
        <w:gridCol w:w="2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540" w:type="dxa"/>
            <w:vAlign w:val="center"/>
          </w:tcPr>
          <w:p>
            <w:pPr>
              <w:pStyle w:val="56"/>
              <w:adjustRightInd w:val="0"/>
              <w:snapToGrid w:val="0"/>
              <w:jc w:val="center"/>
              <w:rPr>
                <w:rFonts w:ascii="宋体"/>
                <w:sz w:val="20"/>
                <w:szCs w:val="20"/>
                <w:highlight w:val="none"/>
              </w:rPr>
            </w:pPr>
            <w:r>
              <w:rPr>
                <w:rFonts w:hint="eastAsia" w:ascii="宋体" w:hAnsi="宋体"/>
                <w:sz w:val="20"/>
                <w:szCs w:val="20"/>
                <w:highlight w:val="none"/>
              </w:rPr>
              <w:t>编号</w:t>
            </w:r>
          </w:p>
        </w:tc>
        <w:tc>
          <w:tcPr>
            <w:tcW w:w="2926" w:type="dxa"/>
            <w:vAlign w:val="center"/>
          </w:tcPr>
          <w:p>
            <w:pPr>
              <w:pStyle w:val="56"/>
              <w:adjustRightInd w:val="0"/>
              <w:snapToGrid w:val="0"/>
              <w:jc w:val="center"/>
              <w:rPr>
                <w:rFonts w:ascii="宋体" w:hAnsi="宋体"/>
                <w:sz w:val="20"/>
                <w:szCs w:val="20"/>
                <w:highlight w:val="none"/>
              </w:rPr>
            </w:pPr>
            <w:r>
              <w:rPr>
                <w:rFonts w:hint="eastAsia" w:ascii="宋体" w:hAnsi="宋体"/>
                <w:sz w:val="20"/>
                <w:szCs w:val="20"/>
                <w:highlight w:val="none"/>
              </w:rPr>
              <w:t>绩效评价得分</w:t>
            </w:r>
            <w:r>
              <w:rPr>
                <w:rFonts w:ascii="宋体" w:hAnsi="宋体"/>
                <w:sz w:val="20"/>
                <w:szCs w:val="20"/>
                <w:highlight w:val="none"/>
              </w:rPr>
              <w:t>S</w:t>
            </w:r>
          </w:p>
        </w:tc>
        <w:tc>
          <w:tcPr>
            <w:tcW w:w="2773" w:type="dxa"/>
            <w:vAlign w:val="center"/>
          </w:tcPr>
          <w:p>
            <w:pPr>
              <w:pStyle w:val="56"/>
              <w:adjustRightInd w:val="0"/>
              <w:snapToGrid w:val="0"/>
              <w:jc w:val="center"/>
              <w:rPr>
                <w:rFonts w:ascii="宋体" w:hAnsi="宋体"/>
                <w:sz w:val="20"/>
                <w:szCs w:val="20"/>
                <w:highlight w:val="none"/>
              </w:rPr>
            </w:pPr>
            <w:r>
              <w:rPr>
                <w:rFonts w:hint="eastAsia" w:ascii="宋体" w:hAnsi="宋体"/>
                <w:sz w:val="20"/>
                <w:szCs w:val="20"/>
                <w:highlight w:val="none"/>
              </w:rPr>
              <w:t>运行绩效评价系数</w:t>
            </w:r>
            <w:r>
              <w:rPr>
                <w:rFonts w:ascii="宋体" w:hAnsi="宋体"/>
                <w:sz w:val="20"/>
                <w:szCs w:val="20"/>
                <w:highlight w:val="none"/>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540" w:type="dxa"/>
            <w:vAlign w:val="center"/>
          </w:tcPr>
          <w:p>
            <w:pPr>
              <w:pStyle w:val="56"/>
              <w:adjustRightInd w:val="0"/>
              <w:snapToGrid w:val="0"/>
              <w:jc w:val="center"/>
              <w:rPr>
                <w:rFonts w:ascii="宋体" w:hAnsi="宋体"/>
                <w:sz w:val="20"/>
                <w:szCs w:val="20"/>
                <w:highlight w:val="none"/>
              </w:rPr>
            </w:pPr>
            <w:r>
              <w:rPr>
                <w:rFonts w:ascii="宋体" w:hAnsi="宋体"/>
                <w:sz w:val="20"/>
                <w:szCs w:val="20"/>
                <w:highlight w:val="none"/>
              </w:rPr>
              <w:t>1</w:t>
            </w:r>
          </w:p>
        </w:tc>
        <w:tc>
          <w:tcPr>
            <w:tcW w:w="2926" w:type="dxa"/>
            <w:vAlign w:val="center"/>
          </w:tcPr>
          <w:p>
            <w:pPr>
              <w:pStyle w:val="56"/>
              <w:adjustRightInd w:val="0"/>
              <w:snapToGrid w:val="0"/>
              <w:jc w:val="center"/>
              <w:rPr>
                <w:rFonts w:ascii="宋体" w:hAnsi="宋体"/>
                <w:sz w:val="20"/>
                <w:szCs w:val="20"/>
                <w:highlight w:val="none"/>
              </w:rPr>
            </w:pPr>
            <w:r>
              <w:rPr>
                <w:rFonts w:hint="eastAsia" w:ascii="宋体" w:hAnsi="宋体"/>
                <w:sz w:val="20"/>
                <w:szCs w:val="20"/>
                <w:highlight w:val="none"/>
              </w:rPr>
              <w:t>S＞</w:t>
            </w:r>
            <w:r>
              <w:rPr>
                <w:rFonts w:ascii="宋体" w:hAnsi="宋体"/>
                <w:sz w:val="20"/>
                <w:szCs w:val="20"/>
                <w:highlight w:val="none"/>
              </w:rPr>
              <w:t>90</w:t>
            </w:r>
          </w:p>
        </w:tc>
        <w:tc>
          <w:tcPr>
            <w:tcW w:w="2773" w:type="dxa"/>
            <w:vAlign w:val="center"/>
          </w:tcPr>
          <w:p>
            <w:pPr>
              <w:pStyle w:val="56"/>
              <w:adjustRightInd w:val="0"/>
              <w:snapToGrid w:val="0"/>
              <w:jc w:val="center"/>
              <w:rPr>
                <w:rFonts w:ascii="宋体" w:hAnsi="宋体"/>
                <w:sz w:val="20"/>
                <w:szCs w:val="20"/>
                <w:highlight w:val="none"/>
              </w:rPr>
            </w:pPr>
            <w:r>
              <w:rPr>
                <w:rFonts w:hint="eastAsia" w:ascii="宋体" w:hAnsi="宋体"/>
                <w:sz w:val="20"/>
                <w:szCs w:val="20"/>
                <w:highlight w:val="none"/>
              </w:rPr>
              <w:t>K=</w:t>
            </w:r>
            <w:r>
              <w:rPr>
                <w:rFonts w:ascii="宋体" w:hAnsi="宋体"/>
                <w:sz w:val="20"/>
                <w:szCs w:val="20"/>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540" w:type="dxa"/>
            <w:vAlign w:val="center"/>
          </w:tcPr>
          <w:p>
            <w:pPr>
              <w:pStyle w:val="56"/>
              <w:adjustRightInd w:val="0"/>
              <w:snapToGrid w:val="0"/>
              <w:jc w:val="center"/>
              <w:rPr>
                <w:rFonts w:ascii="宋体" w:hAnsi="宋体"/>
                <w:sz w:val="20"/>
                <w:szCs w:val="20"/>
                <w:highlight w:val="none"/>
              </w:rPr>
            </w:pPr>
            <w:r>
              <w:rPr>
                <w:rFonts w:ascii="宋体" w:hAnsi="宋体"/>
                <w:sz w:val="20"/>
                <w:szCs w:val="20"/>
                <w:highlight w:val="none"/>
              </w:rPr>
              <w:t>2</w:t>
            </w:r>
          </w:p>
        </w:tc>
        <w:tc>
          <w:tcPr>
            <w:tcW w:w="2926" w:type="dxa"/>
            <w:vAlign w:val="center"/>
          </w:tcPr>
          <w:p>
            <w:pPr>
              <w:pStyle w:val="56"/>
              <w:adjustRightInd w:val="0"/>
              <w:snapToGrid w:val="0"/>
              <w:jc w:val="center"/>
              <w:rPr>
                <w:rFonts w:ascii="宋体" w:hAnsi="宋体"/>
                <w:sz w:val="20"/>
                <w:szCs w:val="20"/>
                <w:highlight w:val="none"/>
              </w:rPr>
            </w:pPr>
            <w:r>
              <w:rPr>
                <w:rFonts w:hint="eastAsia" w:ascii="宋体" w:hAnsi="宋体"/>
                <w:sz w:val="20"/>
                <w:szCs w:val="20"/>
                <w:highlight w:val="none"/>
              </w:rPr>
              <w:t>80＜S≤</w:t>
            </w:r>
            <w:r>
              <w:rPr>
                <w:rFonts w:ascii="宋体" w:hAnsi="宋体"/>
                <w:sz w:val="20"/>
                <w:szCs w:val="20"/>
                <w:highlight w:val="none"/>
              </w:rPr>
              <w:t>90</w:t>
            </w:r>
          </w:p>
        </w:tc>
        <w:tc>
          <w:tcPr>
            <w:tcW w:w="2773" w:type="dxa"/>
            <w:vAlign w:val="center"/>
          </w:tcPr>
          <w:p>
            <w:pPr>
              <w:pStyle w:val="56"/>
              <w:adjustRightInd w:val="0"/>
              <w:snapToGrid w:val="0"/>
              <w:jc w:val="center"/>
              <w:rPr>
                <w:rFonts w:ascii="宋体" w:hAnsi="宋体"/>
                <w:sz w:val="20"/>
                <w:szCs w:val="20"/>
                <w:highlight w:val="none"/>
              </w:rPr>
            </w:pPr>
            <w:r>
              <w:rPr>
                <w:rFonts w:hint="eastAsia" w:ascii="宋体" w:hAnsi="宋体"/>
                <w:sz w:val="20"/>
                <w:szCs w:val="20"/>
                <w:highlight w:val="none"/>
              </w:rPr>
              <w:t>0.9＜K≤1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540" w:type="dxa"/>
            <w:vAlign w:val="center"/>
          </w:tcPr>
          <w:p>
            <w:pPr>
              <w:pStyle w:val="56"/>
              <w:adjustRightInd w:val="0"/>
              <w:snapToGrid w:val="0"/>
              <w:jc w:val="center"/>
              <w:rPr>
                <w:rFonts w:ascii="宋体" w:hAnsi="宋体"/>
                <w:sz w:val="20"/>
                <w:szCs w:val="20"/>
                <w:highlight w:val="none"/>
              </w:rPr>
            </w:pPr>
            <w:r>
              <w:rPr>
                <w:rFonts w:ascii="宋体" w:hAnsi="宋体"/>
                <w:sz w:val="20"/>
                <w:szCs w:val="20"/>
                <w:highlight w:val="none"/>
              </w:rPr>
              <w:t>3</w:t>
            </w:r>
          </w:p>
        </w:tc>
        <w:tc>
          <w:tcPr>
            <w:tcW w:w="2926" w:type="dxa"/>
            <w:vAlign w:val="center"/>
          </w:tcPr>
          <w:p>
            <w:pPr>
              <w:pStyle w:val="56"/>
              <w:adjustRightInd w:val="0"/>
              <w:snapToGrid w:val="0"/>
              <w:jc w:val="center"/>
              <w:rPr>
                <w:rFonts w:ascii="宋体" w:hAnsi="宋体"/>
                <w:sz w:val="20"/>
                <w:szCs w:val="20"/>
                <w:highlight w:val="none"/>
              </w:rPr>
            </w:pPr>
            <w:r>
              <w:rPr>
                <w:rFonts w:hint="eastAsia" w:ascii="宋体" w:hAnsi="宋体"/>
                <w:sz w:val="20"/>
                <w:szCs w:val="20"/>
                <w:highlight w:val="none"/>
              </w:rPr>
              <w:t>70＜S≤8</w:t>
            </w:r>
            <w:r>
              <w:rPr>
                <w:rFonts w:ascii="宋体" w:hAnsi="宋体"/>
                <w:sz w:val="20"/>
                <w:szCs w:val="20"/>
                <w:highlight w:val="none"/>
              </w:rPr>
              <w:t>0</w:t>
            </w:r>
          </w:p>
        </w:tc>
        <w:tc>
          <w:tcPr>
            <w:tcW w:w="2773" w:type="dxa"/>
            <w:vAlign w:val="center"/>
          </w:tcPr>
          <w:p>
            <w:pPr>
              <w:pStyle w:val="56"/>
              <w:adjustRightInd w:val="0"/>
              <w:snapToGrid w:val="0"/>
              <w:jc w:val="center"/>
              <w:rPr>
                <w:rFonts w:ascii="宋体" w:hAnsi="宋体"/>
                <w:sz w:val="20"/>
                <w:szCs w:val="20"/>
                <w:highlight w:val="none"/>
              </w:rPr>
            </w:pPr>
            <w:r>
              <w:rPr>
                <w:rFonts w:hint="eastAsia" w:ascii="宋体" w:hAnsi="宋体"/>
                <w:sz w:val="20"/>
                <w:szCs w:val="20"/>
                <w:highlight w:val="none"/>
              </w:rPr>
              <w:t>0.7＜K≤0.9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540" w:type="dxa"/>
            <w:vAlign w:val="center"/>
          </w:tcPr>
          <w:p>
            <w:pPr>
              <w:pStyle w:val="56"/>
              <w:adjustRightInd w:val="0"/>
              <w:snapToGrid w:val="0"/>
              <w:jc w:val="center"/>
              <w:rPr>
                <w:rFonts w:ascii="宋体" w:hAnsi="宋体"/>
                <w:sz w:val="20"/>
                <w:szCs w:val="20"/>
                <w:highlight w:val="none"/>
              </w:rPr>
            </w:pPr>
            <w:r>
              <w:rPr>
                <w:rFonts w:ascii="宋体" w:hAnsi="宋体"/>
                <w:sz w:val="20"/>
                <w:szCs w:val="20"/>
                <w:highlight w:val="none"/>
              </w:rPr>
              <w:t>4</w:t>
            </w:r>
          </w:p>
        </w:tc>
        <w:tc>
          <w:tcPr>
            <w:tcW w:w="2926" w:type="dxa"/>
            <w:vAlign w:val="center"/>
          </w:tcPr>
          <w:p>
            <w:pPr>
              <w:pStyle w:val="56"/>
              <w:adjustRightInd w:val="0"/>
              <w:snapToGrid w:val="0"/>
              <w:jc w:val="center"/>
              <w:rPr>
                <w:rFonts w:ascii="宋体" w:hAnsi="宋体"/>
                <w:sz w:val="20"/>
                <w:szCs w:val="20"/>
                <w:highlight w:val="none"/>
              </w:rPr>
            </w:pPr>
            <w:r>
              <w:rPr>
                <w:rFonts w:hint="eastAsia" w:ascii="宋体" w:hAnsi="宋体"/>
                <w:sz w:val="20"/>
                <w:szCs w:val="20"/>
                <w:highlight w:val="none"/>
              </w:rPr>
              <w:t>S≤</w:t>
            </w:r>
            <w:r>
              <w:rPr>
                <w:rFonts w:ascii="宋体" w:hAnsi="宋体"/>
                <w:sz w:val="20"/>
                <w:szCs w:val="20"/>
                <w:highlight w:val="none"/>
              </w:rPr>
              <w:t>70</w:t>
            </w:r>
          </w:p>
        </w:tc>
        <w:tc>
          <w:tcPr>
            <w:tcW w:w="2773" w:type="dxa"/>
            <w:vAlign w:val="center"/>
          </w:tcPr>
          <w:p>
            <w:pPr>
              <w:pStyle w:val="56"/>
              <w:adjustRightInd w:val="0"/>
              <w:snapToGrid w:val="0"/>
              <w:jc w:val="center"/>
              <w:rPr>
                <w:rFonts w:ascii="宋体" w:hAnsi="宋体"/>
                <w:sz w:val="20"/>
                <w:szCs w:val="20"/>
                <w:highlight w:val="none"/>
              </w:rPr>
            </w:pPr>
            <w:r>
              <w:rPr>
                <w:rFonts w:hint="eastAsia" w:ascii="宋体" w:hAnsi="宋体"/>
                <w:sz w:val="20"/>
                <w:szCs w:val="20"/>
                <w:highlight w:val="none"/>
              </w:rPr>
              <w:t>K≤</w:t>
            </w:r>
            <w:r>
              <w:rPr>
                <w:rFonts w:ascii="宋体" w:hAnsi="宋体"/>
                <w:sz w:val="20"/>
                <w:szCs w:val="20"/>
                <w:highlight w:val="none"/>
              </w:rPr>
              <w:t>0.70</w:t>
            </w:r>
          </w:p>
        </w:tc>
      </w:tr>
    </w:tbl>
    <w:p>
      <w:pPr>
        <w:pStyle w:val="56"/>
        <w:tabs>
          <w:tab w:val="left" w:pos="420"/>
        </w:tabs>
        <w:spacing w:beforeLines="50"/>
        <w:ind w:firstLine="567"/>
        <w:rPr>
          <w:rFonts w:ascii="宋体" w:hAnsi="宋体"/>
          <w:sz w:val="20"/>
          <w:szCs w:val="20"/>
          <w:highlight w:val="none"/>
        </w:rPr>
      </w:pPr>
      <w:r>
        <w:rPr>
          <w:rFonts w:ascii="宋体" w:hAnsi="宋体"/>
          <w:sz w:val="20"/>
          <w:szCs w:val="20"/>
          <w:highlight w:val="none"/>
        </w:rPr>
        <w:t>注：</w:t>
      </w:r>
    </w:p>
    <w:p>
      <w:pPr>
        <w:pStyle w:val="56"/>
        <w:tabs>
          <w:tab w:val="left" w:pos="420"/>
        </w:tabs>
        <w:spacing w:beforeLines="50"/>
        <w:ind w:firstLine="567"/>
        <w:rPr>
          <w:rFonts w:ascii="宋体" w:hAnsi="宋体"/>
          <w:sz w:val="20"/>
          <w:szCs w:val="20"/>
          <w:highlight w:val="none"/>
        </w:rPr>
      </w:pPr>
      <w:r>
        <w:rPr>
          <w:rFonts w:hint="eastAsia" w:ascii="宋体" w:hAnsi="宋体"/>
          <w:sz w:val="20"/>
          <w:szCs w:val="20"/>
          <w:highlight w:val="none"/>
        </w:rPr>
        <w:t>（</w:t>
      </w:r>
      <w:r>
        <w:rPr>
          <w:rFonts w:ascii="宋体" w:hAnsi="宋体"/>
          <w:sz w:val="20"/>
          <w:szCs w:val="20"/>
          <w:highlight w:val="none"/>
        </w:rPr>
        <w:t>1</w:t>
      </w:r>
      <w:r>
        <w:rPr>
          <w:rFonts w:hint="eastAsia" w:ascii="宋体" w:hAnsi="宋体"/>
          <w:sz w:val="20"/>
          <w:szCs w:val="20"/>
          <w:highlight w:val="none"/>
        </w:rPr>
        <w:t>）</w:t>
      </w:r>
      <w:r>
        <w:rPr>
          <w:rFonts w:ascii="宋体" w:hAnsi="宋体"/>
          <w:sz w:val="20"/>
          <w:szCs w:val="20"/>
          <w:highlight w:val="none"/>
        </w:rPr>
        <w:t>运行绩效考核系数，根据绩效评价得分在相应的区间内用插入法计算。</w:t>
      </w:r>
    </w:p>
    <w:p>
      <w:pPr>
        <w:pStyle w:val="56"/>
        <w:tabs>
          <w:tab w:val="left" w:pos="420"/>
        </w:tabs>
        <w:spacing w:beforeLines="50"/>
        <w:ind w:firstLine="567"/>
        <w:rPr>
          <w:rFonts w:ascii="宋体" w:hAnsi="宋体"/>
          <w:sz w:val="20"/>
          <w:szCs w:val="20"/>
          <w:highlight w:val="none"/>
        </w:rPr>
      </w:pPr>
      <w:r>
        <w:rPr>
          <w:rFonts w:hint="eastAsia" w:ascii="宋体" w:hAnsi="宋体"/>
          <w:sz w:val="20"/>
          <w:szCs w:val="20"/>
          <w:highlight w:val="none"/>
        </w:rPr>
        <w:t>（2）</w:t>
      </w:r>
      <w:r>
        <w:rPr>
          <w:rFonts w:ascii="宋体" w:hAnsi="宋体"/>
          <w:sz w:val="20"/>
          <w:szCs w:val="20"/>
          <w:highlight w:val="none"/>
        </w:rPr>
        <w:t>当绩效评分得分小于80分时，</w:t>
      </w:r>
      <w:r>
        <w:rPr>
          <w:rFonts w:hint="eastAsia" w:ascii="宋体" w:hAnsi="宋体"/>
          <w:sz w:val="20"/>
          <w:szCs w:val="20"/>
          <w:highlight w:val="none"/>
        </w:rPr>
        <w:t>甲方</w:t>
      </w:r>
      <w:r>
        <w:rPr>
          <w:rFonts w:ascii="宋体" w:hAnsi="宋体"/>
          <w:sz w:val="20"/>
          <w:szCs w:val="20"/>
          <w:highlight w:val="none"/>
        </w:rPr>
        <w:t>可向</w:t>
      </w:r>
      <w:r>
        <w:rPr>
          <w:rFonts w:hint="eastAsia" w:ascii="宋体" w:hAnsi="宋体"/>
          <w:sz w:val="20"/>
          <w:szCs w:val="20"/>
          <w:highlight w:val="none"/>
        </w:rPr>
        <w:t>乙方</w:t>
      </w:r>
      <w:r>
        <w:rPr>
          <w:rFonts w:ascii="宋体" w:hAnsi="宋体"/>
          <w:sz w:val="20"/>
          <w:szCs w:val="20"/>
          <w:highlight w:val="none"/>
        </w:rPr>
        <w:t>发出整改通知书要求整改，</w:t>
      </w:r>
      <w:r>
        <w:rPr>
          <w:rFonts w:hint="eastAsia" w:ascii="宋体" w:hAnsi="宋体"/>
          <w:sz w:val="20"/>
          <w:szCs w:val="20"/>
          <w:highlight w:val="none"/>
        </w:rPr>
        <w:t>乙方</w:t>
      </w:r>
      <w:r>
        <w:rPr>
          <w:rFonts w:ascii="宋体" w:hAnsi="宋体"/>
          <w:sz w:val="20"/>
          <w:szCs w:val="20"/>
          <w:highlight w:val="none"/>
        </w:rPr>
        <w:t>须在下一个考核周期内完成整改。</w:t>
      </w:r>
    </w:p>
    <w:p>
      <w:pPr>
        <w:pStyle w:val="56"/>
        <w:tabs>
          <w:tab w:val="left" w:pos="720"/>
        </w:tabs>
        <w:spacing w:beforeLines="50"/>
        <w:ind w:left="567"/>
        <w:rPr>
          <w:rFonts w:ascii="宋体" w:hAnsi="宋体"/>
          <w:b/>
          <w:sz w:val="20"/>
          <w:szCs w:val="20"/>
          <w:highlight w:val="none"/>
        </w:rPr>
      </w:pPr>
      <w:r>
        <w:rPr>
          <w:rFonts w:hint="eastAsia" w:ascii="宋体" w:hAnsi="宋体"/>
          <w:b/>
          <w:sz w:val="20"/>
          <w:szCs w:val="20"/>
          <w:highlight w:val="none"/>
          <w:lang w:val="en-US" w:eastAsia="zh-CN"/>
        </w:rPr>
        <w:t>8</w:t>
      </w:r>
      <w:r>
        <w:rPr>
          <w:rFonts w:hint="eastAsia" w:ascii="宋体" w:hAnsi="宋体"/>
          <w:b/>
          <w:sz w:val="20"/>
          <w:szCs w:val="20"/>
          <w:highlight w:val="none"/>
        </w:rPr>
        <w:t>.每</w:t>
      </w:r>
      <w:r>
        <w:rPr>
          <w:rFonts w:hint="eastAsia" w:ascii="宋体" w:hAnsi="宋体"/>
          <w:b/>
          <w:sz w:val="20"/>
          <w:szCs w:val="20"/>
          <w:highlight w:val="none"/>
          <w:lang w:eastAsia="zh-CN"/>
        </w:rPr>
        <w:t>季度</w:t>
      </w:r>
      <w:r>
        <w:rPr>
          <w:rFonts w:hint="eastAsia" w:ascii="宋体" w:hAnsi="宋体"/>
          <w:b/>
          <w:sz w:val="20"/>
          <w:szCs w:val="20"/>
          <w:highlight w:val="none"/>
        </w:rPr>
        <w:t>实付运营服务费</w:t>
      </w:r>
    </w:p>
    <w:p>
      <w:pPr>
        <w:pStyle w:val="56"/>
        <w:tabs>
          <w:tab w:val="left" w:pos="567"/>
        </w:tabs>
        <w:spacing w:beforeLines="50"/>
        <w:ind w:firstLine="567"/>
        <w:rPr>
          <w:rFonts w:ascii="宋体" w:hAnsi="宋体"/>
          <w:bCs/>
          <w:sz w:val="20"/>
          <w:szCs w:val="20"/>
          <w:highlight w:val="none"/>
        </w:rPr>
      </w:pPr>
      <w:r>
        <w:rPr>
          <w:rFonts w:hint="eastAsia" w:ascii="宋体" w:hAnsi="宋体"/>
          <w:bCs/>
          <w:sz w:val="20"/>
          <w:szCs w:val="20"/>
          <w:highlight w:val="none"/>
        </w:rPr>
        <w:t>按本附录前述约定的方法计算出每</w:t>
      </w:r>
      <w:r>
        <w:rPr>
          <w:rFonts w:hint="eastAsia" w:ascii="宋体" w:hAnsi="宋体"/>
          <w:bCs/>
          <w:sz w:val="20"/>
          <w:szCs w:val="20"/>
          <w:highlight w:val="none"/>
          <w:lang w:eastAsia="zh-CN"/>
        </w:rPr>
        <w:t>季度</w:t>
      </w:r>
      <w:r>
        <w:rPr>
          <w:rFonts w:hint="eastAsia" w:ascii="宋体" w:hAnsi="宋体"/>
          <w:bCs/>
          <w:sz w:val="20"/>
          <w:szCs w:val="20"/>
          <w:highlight w:val="none"/>
        </w:rPr>
        <w:t>应付运营服务费后，在扣除了无争议的“实际处理水量不足的违约金”和“违反出水质量标准的违约金”以及其它条款规定的任何违约金款项后，即有：</w:t>
      </w:r>
    </w:p>
    <w:p>
      <w:pPr>
        <w:pStyle w:val="56"/>
        <w:tabs>
          <w:tab w:val="left" w:pos="567"/>
        </w:tabs>
        <w:spacing w:beforeLines="50"/>
        <w:ind w:firstLine="567"/>
        <w:rPr>
          <w:rFonts w:ascii="宋体" w:hAnsi="宋体"/>
          <w:bCs/>
          <w:sz w:val="20"/>
          <w:szCs w:val="20"/>
          <w:highlight w:val="none"/>
        </w:rPr>
      </w:pPr>
      <w:r>
        <w:rPr>
          <w:rFonts w:hint="eastAsia" w:ascii="宋体" w:hAnsi="宋体"/>
          <w:bCs/>
          <w:sz w:val="20"/>
          <w:szCs w:val="20"/>
          <w:highlight w:val="none"/>
          <w:lang w:eastAsia="zh-CN"/>
        </w:rPr>
        <w:t>每季度</w:t>
      </w:r>
      <w:r>
        <w:rPr>
          <w:rFonts w:hint="eastAsia" w:ascii="宋体" w:hAnsi="宋体"/>
          <w:bCs/>
          <w:sz w:val="20"/>
          <w:szCs w:val="20"/>
          <w:highlight w:val="none"/>
        </w:rPr>
        <w:t>实付运营服务费=</w:t>
      </w:r>
      <w:r>
        <w:rPr>
          <w:rFonts w:hint="eastAsia" w:ascii="宋体" w:hAnsi="宋体"/>
          <w:bCs/>
          <w:sz w:val="20"/>
          <w:szCs w:val="20"/>
          <w:highlight w:val="none"/>
          <w:lang w:eastAsia="zh-CN"/>
        </w:rPr>
        <w:t>每季度</w:t>
      </w:r>
      <w:r>
        <w:rPr>
          <w:rFonts w:hint="eastAsia" w:ascii="宋体" w:hAnsi="宋体"/>
          <w:bCs/>
          <w:sz w:val="20"/>
          <w:szCs w:val="20"/>
          <w:highlight w:val="none"/>
        </w:rPr>
        <w:t>应付运营服务费－</w:t>
      </w:r>
      <w:r>
        <w:rPr>
          <w:rFonts w:hint="eastAsia" w:ascii="宋体" w:hAnsi="宋体"/>
          <w:bCs/>
          <w:sz w:val="20"/>
          <w:szCs w:val="20"/>
          <w:highlight w:val="none"/>
          <w:lang w:eastAsia="zh-CN"/>
        </w:rPr>
        <w:t>每季度</w:t>
      </w:r>
      <w:r>
        <w:rPr>
          <w:rFonts w:hint="eastAsia" w:ascii="宋体" w:hAnsi="宋体"/>
          <w:bCs/>
          <w:sz w:val="20"/>
          <w:szCs w:val="20"/>
          <w:highlight w:val="none"/>
        </w:rPr>
        <w:t>应扣减违约金</w:t>
      </w:r>
    </w:p>
    <w:p>
      <w:pPr>
        <w:pStyle w:val="56"/>
        <w:tabs>
          <w:tab w:val="left" w:pos="567"/>
        </w:tabs>
        <w:spacing w:beforeLines="50"/>
        <w:ind w:firstLine="567"/>
        <w:rPr>
          <w:rFonts w:ascii="宋体" w:hAnsi="宋体"/>
          <w:bCs/>
          <w:sz w:val="20"/>
          <w:szCs w:val="20"/>
          <w:highlight w:val="none"/>
        </w:rPr>
      </w:pPr>
      <w:r>
        <w:rPr>
          <w:rFonts w:hint="eastAsia" w:ascii="宋体" w:hAnsi="宋体"/>
          <w:bCs/>
          <w:sz w:val="20"/>
          <w:szCs w:val="20"/>
          <w:highlight w:val="none"/>
        </w:rPr>
        <w:t>甲方将按日历月份</w:t>
      </w:r>
      <w:r>
        <w:rPr>
          <w:rFonts w:hint="eastAsia" w:ascii="宋体" w:hAnsi="宋体"/>
          <w:bCs/>
          <w:sz w:val="20"/>
          <w:szCs w:val="20"/>
          <w:highlight w:val="none"/>
          <w:lang w:eastAsia="zh-CN"/>
        </w:rPr>
        <w:t>每季度</w:t>
      </w:r>
      <w:r>
        <w:rPr>
          <w:rFonts w:hint="eastAsia" w:ascii="宋体" w:hAnsi="宋体"/>
          <w:bCs/>
          <w:sz w:val="20"/>
          <w:szCs w:val="20"/>
          <w:highlight w:val="none"/>
        </w:rPr>
        <w:t>向乙方支付运营服务费。乙方</w:t>
      </w:r>
      <w:r>
        <w:rPr>
          <w:rFonts w:hint="eastAsia" w:ascii="宋体" w:hAnsi="宋体"/>
          <w:bCs/>
          <w:sz w:val="20"/>
          <w:szCs w:val="20"/>
          <w:highlight w:val="none"/>
          <w:lang w:eastAsia="zh-CN"/>
        </w:rPr>
        <w:t>每季度</w:t>
      </w:r>
      <w:r>
        <w:rPr>
          <w:rFonts w:hint="eastAsia" w:ascii="宋体" w:hAnsi="宋体"/>
          <w:bCs/>
          <w:sz w:val="20"/>
          <w:szCs w:val="20"/>
          <w:highlight w:val="none"/>
        </w:rPr>
        <w:t>应按照运营服务协议的有关规定和以上</w:t>
      </w:r>
      <w:r>
        <w:rPr>
          <w:rFonts w:hint="eastAsia" w:ascii="宋体" w:hAnsi="宋体"/>
          <w:bCs/>
          <w:sz w:val="20"/>
          <w:szCs w:val="20"/>
          <w:highlight w:val="none"/>
          <w:lang w:eastAsia="zh-CN"/>
        </w:rPr>
        <w:t>季度</w:t>
      </w:r>
      <w:r>
        <w:rPr>
          <w:rFonts w:hint="eastAsia" w:ascii="宋体" w:hAnsi="宋体"/>
          <w:bCs/>
          <w:sz w:val="20"/>
          <w:szCs w:val="20"/>
          <w:highlight w:val="none"/>
        </w:rPr>
        <w:t>实付服务费金额向甲方开具收款凭证。</w:t>
      </w:r>
    </w:p>
    <w:p>
      <w:pPr>
        <w:pStyle w:val="56"/>
        <w:tabs>
          <w:tab w:val="left" w:pos="567"/>
        </w:tabs>
        <w:spacing w:beforeLines="50"/>
        <w:ind w:firstLine="567"/>
        <w:rPr>
          <w:rFonts w:ascii="宋体" w:hAnsi="宋体"/>
          <w:bCs/>
          <w:sz w:val="20"/>
          <w:szCs w:val="20"/>
          <w:highlight w:val="none"/>
        </w:rPr>
      </w:pPr>
    </w:p>
    <w:p>
      <w:pPr>
        <w:pStyle w:val="56"/>
        <w:spacing w:beforeLines="50"/>
        <w:textAlignment w:val="baseline"/>
        <w:rPr>
          <w:rFonts w:ascii="宋体" w:hAnsi="宋体"/>
          <w:b/>
          <w:sz w:val="20"/>
          <w:szCs w:val="20"/>
          <w:highlight w:val="none"/>
        </w:rPr>
      </w:pPr>
      <w:bookmarkStart w:id="524" w:name="_Toc202677012"/>
      <w:bookmarkStart w:id="525" w:name="_Toc246596766"/>
      <w:r>
        <w:rPr>
          <w:rFonts w:hint="eastAsia" w:ascii="宋体" w:hAnsi="宋体"/>
          <w:b/>
          <w:sz w:val="20"/>
          <w:szCs w:val="20"/>
          <w:highlight w:val="none"/>
        </w:rPr>
        <w:t>附录2 处理污水量的计量</w:t>
      </w:r>
      <w:bookmarkEnd w:id="524"/>
      <w:bookmarkEnd w:id="525"/>
    </w:p>
    <w:p>
      <w:pPr>
        <w:pStyle w:val="56"/>
        <w:spacing w:beforeLines="50"/>
        <w:ind w:firstLine="567"/>
        <w:rPr>
          <w:rFonts w:ascii="宋体" w:hAnsi="宋体"/>
          <w:bCs/>
          <w:sz w:val="20"/>
          <w:szCs w:val="20"/>
          <w:highlight w:val="none"/>
          <w:lang w:val="fr-FR"/>
        </w:rPr>
      </w:pPr>
      <w:r>
        <w:rPr>
          <w:rFonts w:hint="eastAsia" w:ascii="宋体" w:hAnsi="宋体"/>
          <w:bCs/>
          <w:sz w:val="20"/>
          <w:szCs w:val="20"/>
          <w:highlight w:val="none"/>
        </w:rPr>
        <w:t xml:space="preserve">1. </w:t>
      </w:r>
      <w:r>
        <w:rPr>
          <w:rFonts w:hint="eastAsia" w:ascii="宋体" w:hAnsi="宋体"/>
          <w:bCs/>
          <w:sz w:val="20"/>
          <w:szCs w:val="20"/>
          <w:highlight w:val="none"/>
          <w:lang w:val="fr-FR"/>
        </w:rPr>
        <w:t>乙方应在污水处理厂甲方建设时已安装好的出水流量计位置完成污水处理厂进、出水水量的计量工作。</w:t>
      </w:r>
    </w:p>
    <w:p>
      <w:pPr>
        <w:pStyle w:val="56"/>
        <w:spacing w:beforeLines="50"/>
        <w:ind w:firstLine="567"/>
        <w:rPr>
          <w:rFonts w:ascii="宋体" w:hAnsi="宋体"/>
          <w:bCs/>
          <w:sz w:val="20"/>
          <w:szCs w:val="20"/>
          <w:highlight w:val="none"/>
          <w:lang w:val="fr-FR"/>
        </w:rPr>
      </w:pPr>
      <w:r>
        <w:rPr>
          <w:rFonts w:hint="eastAsia" w:ascii="宋体" w:hAnsi="宋体"/>
          <w:bCs/>
          <w:sz w:val="20"/>
          <w:szCs w:val="20"/>
          <w:highlight w:val="none"/>
        </w:rPr>
        <w:t xml:space="preserve">2. </w:t>
      </w:r>
      <w:r>
        <w:rPr>
          <w:rFonts w:hint="eastAsia" w:ascii="宋体" w:hAnsi="宋体"/>
          <w:bCs/>
          <w:sz w:val="20"/>
          <w:szCs w:val="20"/>
          <w:highlight w:val="none"/>
          <w:lang w:val="fr-FR"/>
        </w:rPr>
        <w:t>乙方应按运营服务协议规定进行流量计的连续测量、计算和记录出水量，并应确保这些流量计能够以在线方式分别向污水处理厂的中央控制室连续传送上述计量结果，包括瞬时和时、日、月和年的累计流量。</w:t>
      </w:r>
    </w:p>
    <w:p>
      <w:pPr>
        <w:pStyle w:val="56"/>
        <w:spacing w:beforeLines="50"/>
        <w:ind w:firstLine="567"/>
        <w:rPr>
          <w:rFonts w:ascii="宋体" w:hAnsi="宋体"/>
          <w:bCs/>
          <w:sz w:val="20"/>
          <w:szCs w:val="20"/>
          <w:highlight w:val="none"/>
          <w:lang w:val="fr-FR"/>
        </w:rPr>
      </w:pPr>
      <w:r>
        <w:rPr>
          <w:rFonts w:hint="eastAsia" w:ascii="宋体" w:hAnsi="宋体"/>
          <w:bCs/>
          <w:sz w:val="20"/>
          <w:szCs w:val="20"/>
          <w:highlight w:val="none"/>
        </w:rPr>
        <w:t xml:space="preserve">3. </w:t>
      </w:r>
      <w:r>
        <w:rPr>
          <w:rFonts w:hint="eastAsia" w:ascii="宋体" w:hAnsi="宋体"/>
          <w:bCs/>
          <w:sz w:val="20"/>
          <w:szCs w:val="20"/>
          <w:highlight w:val="none"/>
          <w:lang w:val="fr-FR"/>
        </w:rPr>
        <w:t>出水流量计由乙方在每月的最后一日抄表，以确定出水水量，水量将以立方米计算，甲方有权随时核查乙方的抄表记录。</w:t>
      </w:r>
    </w:p>
    <w:p>
      <w:pPr>
        <w:pStyle w:val="56"/>
        <w:spacing w:beforeLines="50"/>
        <w:ind w:firstLine="567"/>
        <w:rPr>
          <w:rFonts w:ascii="宋体" w:hAnsi="宋体"/>
          <w:bCs/>
          <w:sz w:val="20"/>
          <w:szCs w:val="20"/>
          <w:highlight w:val="none"/>
          <w:lang w:val="fr-FR"/>
        </w:rPr>
      </w:pPr>
      <w:r>
        <w:rPr>
          <w:rFonts w:hint="eastAsia" w:ascii="宋体" w:hAnsi="宋体"/>
          <w:bCs/>
          <w:sz w:val="20"/>
          <w:szCs w:val="20"/>
          <w:highlight w:val="none"/>
        </w:rPr>
        <w:t xml:space="preserve">4. </w:t>
      </w:r>
      <w:r>
        <w:rPr>
          <w:rFonts w:hint="eastAsia" w:ascii="宋体" w:hAnsi="宋体"/>
          <w:bCs/>
          <w:sz w:val="20"/>
          <w:szCs w:val="20"/>
          <w:highlight w:val="none"/>
          <w:lang w:val="fr-FR"/>
        </w:rPr>
        <w:t>出水计量点所计量的出水水量作为乙方处理的实际水量。</w:t>
      </w:r>
    </w:p>
    <w:p>
      <w:pPr>
        <w:pStyle w:val="56"/>
        <w:tabs>
          <w:tab w:val="left" w:pos="567"/>
        </w:tabs>
        <w:spacing w:beforeLines="50"/>
        <w:ind w:firstLine="567"/>
        <w:rPr>
          <w:rFonts w:ascii="宋体" w:hAnsi="宋体"/>
          <w:bCs/>
          <w:sz w:val="20"/>
          <w:szCs w:val="20"/>
          <w:highlight w:val="none"/>
          <w:lang w:val="fr-FR"/>
        </w:rPr>
      </w:pPr>
      <w:r>
        <w:rPr>
          <w:rFonts w:hint="eastAsia" w:ascii="宋体" w:hAnsi="宋体"/>
          <w:bCs/>
          <w:sz w:val="20"/>
          <w:szCs w:val="20"/>
          <w:highlight w:val="none"/>
        </w:rPr>
        <w:t xml:space="preserve">5. </w:t>
      </w:r>
      <w:r>
        <w:rPr>
          <w:rFonts w:hint="eastAsia" w:ascii="宋体" w:hAnsi="宋体"/>
          <w:bCs/>
          <w:sz w:val="20"/>
          <w:szCs w:val="20"/>
          <w:highlight w:val="none"/>
          <w:lang w:val="fr-FR"/>
        </w:rPr>
        <w:t>在某一个月（n）内出水总水量（Q</w:t>
      </w:r>
      <w:r>
        <w:rPr>
          <w:rFonts w:hint="eastAsia" w:ascii="宋体" w:hAnsi="宋体"/>
          <w:bCs/>
          <w:sz w:val="20"/>
          <w:szCs w:val="20"/>
          <w:highlight w:val="none"/>
          <w:vertAlign w:val="subscript"/>
          <w:lang w:val="fr-FR"/>
        </w:rPr>
        <w:t>n</w:t>
      </w:r>
      <w:r>
        <w:rPr>
          <w:rFonts w:hint="eastAsia" w:ascii="宋体" w:hAnsi="宋体"/>
          <w:bCs/>
          <w:sz w:val="20"/>
          <w:szCs w:val="20"/>
          <w:highlight w:val="none"/>
          <w:lang w:val="fr-FR"/>
        </w:rPr>
        <w:t>）应等于出水流量计当月所记录的水量（VM）减去该流量计上月（n-1）记录的出水量。</w:t>
      </w:r>
    </w:p>
    <w:p>
      <w:pPr>
        <w:pStyle w:val="56"/>
        <w:spacing w:beforeLines="50"/>
        <w:ind w:firstLine="567"/>
        <w:rPr>
          <w:rFonts w:ascii="宋体" w:hAnsi="宋体"/>
          <w:bCs/>
          <w:sz w:val="20"/>
          <w:szCs w:val="20"/>
          <w:highlight w:val="none"/>
          <w:lang w:val="fr-FR"/>
        </w:rPr>
      </w:pPr>
      <w:r>
        <w:rPr>
          <w:rFonts w:hint="eastAsia" w:ascii="宋体" w:hAnsi="宋体"/>
          <w:bCs/>
          <w:sz w:val="20"/>
          <w:szCs w:val="20"/>
          <w:highlight w:val="none"/>
          <w:lang w:val="fr-FR"/>
        </w:rPr>
        <w:t>即：Q</w:t>
      </w:r>
      <w:r>
        <w:rPr>
          <w:rFonts w:hint="eastAsia" w:ascii="宋体" w:hAnsi="宋体"/>
          <w:bCs/>
          <w:sz w:val="20"/>
          <w:szCs w:val="20"/>
          <w:highlight w:val="none"/>
          <w:vertAlign w:val="subscript"/>
          <w:lang w:val="fr-FR"/>
        </w:rPr>
        <w:t>n</w:t>
      </w:r>
      <w:r>
        <w:rPr>
          <w:rFonts w:hint="eastAsia" w:ascii="宋体" w:hAnsi="宋体"/>
          <w:bCs/>
          <w:sz w:val="20"/>
          <w:szCs w:val="20"/>
          <w:highlight w:val="none"/>
          <w:lang w:val="fr-FR"/>
        </w:rPr>
        <w:t xml:space="preserve"> =VM(n)-VM(n-1)</w:t>
      </w:r>
    </w:p>
    <w:p>
      <w:pPr>
        <w:pStyle w:val="56"/>
        <w:tabs>
          <w:tab w:val="left" w:pos="567"/>
        </w:tabs>
        <w:spacing w:beforeLines="50"/>
        <w:ind w:firstLine="567"/>
        <w:rPr>
          <w:rFonts w:ascii="宋体" w:hAnsi="宋体"/>
          <w:bCs/>
          <w:sz w:val="20"/>
          <w:szCs w:val="20"/>
          <w:highlight w:val="none"/>
          <w:lang w:val="fr-FR"/>
        </w:rPr>
      </w:pPr>
      <w:r>
        <w:rPr>
          <w:rFonts w:hint="eastAsia" w:ascii="宋体" w:hAnsi="宋体"/>
          <w:bCs/>
          <w:sz w:val="20"/>
          <w:szCs w:val="20"/>
          <w:highlight w:val="none"/>
        </w:rPr>
        <w:t xml:space="preserve">6. </w:t>
      </w:r>
      <w:r>
        <w:rPr>
          <w:rFonts w:hint="eastAsia" w:ascii="宋体" w:hAnsi="宋体"/>
          <w:bCs/>
          <w:sz w:val="20"/>
          <w:szCs w:val="20"/>
          <w:highlight w:val="none"/>
          <w:lang w:val="fr-FR"/>
        </w:rPr>
        <w:t>在污水处理厂任一个发生暂停服务的月度，乙方应对暂停期间每日的进、出水流量计做连续、单独的计量记录，其间在某一天（第i日）内出水水量（q</w:t>
      </w:r>
      <w:r>
        <w:rPr>
          <w:rFonts w:hint="eastAsia" w:ascii="宋体" w:hAnsi="宋体"/>
          <w:bCs/>
          <w:sz w:val="20"/>
          <w:szCs w:val="20"/>
          <w:highlight w:val="none"/>
          <w:vertAlign w:val="subscript"/>
          <w:lang w:val="fr-FR"/>
        </w:rPr>
        <w:t>i</w:t>
      </w:r>
      <w:r>
        <w:rPr>
          <w:rFonts w:hint="eastAsia" w:ascii="宋体" w:hAnsi="宋体"/>
          <w:bCs/>
          <w:sz w:val="20"/>
          <w:szCs w:val="20"/>
          <w:highlight w:val="none"/>
          <w:lang w:val="fr-FR"/>
        </w:rPr>
        <w:t>）应等于出水流量计当日所记录的水量（VD）减去该流量计上一天（第i-1日）记录的出水量。</w:t>
      </w:r>
    </w:p>
    <w:p>
      <w:pPr>
        <w:pStyle w:val="56"/>
        <w:spacing w:beforeLines="50"/>
        <w:ind w:firstLine="567"/>
        <w:rPr>
          <w:rFonts w:ascii="宋体" w:hAnsi="宋体"/>
          <w:bCs/>
          <w:sz w:val="20"/>
          <w:szCs w:val="20"/>
          <w:highlight w:val="none"/>
          <w:lang w:val="fr-FR"/>
        </w:rPr>
      </w:pPr>
      <w:r>
        <w:rPr>
          <w:rFonts w:hint="eastAsia" w:ascii="宋体" w:hAnsi="宋体"/>
          <w:bCs/>
          <w:sz w:val="20"/>
          <w:szCs w:val="20"/>
          <w:highlight w:val="none"/>
          <w:lang w:val="fr-FR"/>
        </w:rPr>
        <w:t>即：q</w:t>
      </w:r>
      <w:r>
        <w:rPr>
          <w:rFonts w:hint="eastAsia" w:ascii="宋体" w:hAnsi="宋体"/>
          <w:bCs/>
          <w:sz w:val="20"/>
          <w:szCs w:val="20"/>
          <w:highlight w:val="none"/>
          <w:vertAlign w:val="subscript"/>
          <w:lang w:val="fr-FR"/>
        </w:rPr>
        <w:t>i</w:t>
      </w:r>
      <w:r>
        <w:rPr>
          <w:rFonts w:hint="eastAsia" w:ascii="宋体" w:hAnsi="宋体"/>
          <w:bCs/>
          <w:sz w:val="20"/>
          <w:szCs w:val="20"/>
          <w:highlight w:val="none"/>
          <w:lang w:val="fr-FR"/>
        </w:rPr>
        <w:t>=VD(i)-VD(i-1)</w:t>
      </w:r>
    </w:p>
    <w:p>
      <w:pPr>
        <w:pStyle w:val="56"/>
        <w:spacing w:beforeLines="50"/>
        <w:ind w:firstLine="567"/>
        <w:rPr>
          <w:rFonts w:ascii="宋体" w:hAnsi="宋体"/>
          <w:bCs/>
          <w:sz w:val="20"/>
          <w:szCs w:val="20"/>
          <w:highlight w:val="none"/>
          <w:lang w:val="fr-FR"/>
        </w:rPr>
      </w:pPr>
      <w:r>
        <w:rPr>
          <w:rFonts w:hint="eastAsia" w:ascii="宋体" w:hAnsi="宋体"/>
          <w:bCs/>
          <w:sz w:val="20"/>
          <w:szCs w:val="20"/>
          <w:highlight w:val="none"/>
        </w:rPr>
        <w:t xml:space="preserve">7. </w:t>
      </w:r>
      <w:r>
        <w:rPr>
          <w:rFonts w:hint="eastAsia" w:ascii="宋体" w:hAnsi="宋体"/>
          <w:bCs/>
          <w:sz w:val="20"/>
          <w:szCs w:val="20"/>
          <w:highlight w:val="none"/>
          <w:lang w:val="fr-FR"/>
        </w:rPr>
        <w:t>在污水处理厂开始运营日之月份（0）起，双方应立即将所有流量计确立一个基础读数，以确定每一污水流量计的VM(0)值。此后，流量计不得归零，如果因技术原因必须归零时，乙方至少提前三（3）个工作日书面通知甲方。流量计归零时，需要有甲方指定代表或监督员到场。</w:t>
      </w:r>
    </w:p>
    <w:p>
      <w:pPr>
        <w:pStyle w:val="56"/>
        <w:spacing w:beforeLines="50"/>
        <w:ind w:firstLine="567"/>
        <w:rPr>
          <w:rFonts w:ascii="宋体" w:hAnsi="宋体"/>
          <w:bCs/>
          <w:sz w:val="20"/>
          <w:szCs w:val="20"/>
          <w:highlight w:val="none"/>
          <w:lang w:val="fr-FR"/>
        </w:rPr>
      </w:pPr>
    </w:p>
    <w:p>
      <w:pPr>
        <w:pStyle w:val="56"/>
        <w:spacing w:beforeLines="50"/>
        <w:textAlignment w:val="baseline"/>
        <w:rPr>
          <w:rFonts w:ascii="宋体" w:hAnsi="宋体"/>
          <w:b/>
          <w:sz w:val="20"/>
          <w:szCs w:val="20"/>
          <w:highlight w:val="none"/>
        </w:rPr>
      </w:pPr>
      <w:bookmarkStart w:id="526" w:name="_Toc246596767"/>
      <w:bookmarkStart w:id="527" w:name="_Toc202677013"/>
      <w:r>
        <w:rPr>
          <w:rFonts w:hint="eastAsia" w:ascii="宋体" w:hAnsi="宋体"/>
          <w:b/>
          <w:sz w:val="20"/>
          <w:szCs w:val="20"/>
          <w:highlight w:val="none"/>
        </w:rPr>
        <w:t>附录3 水样的采集和储存</w:t>
      </w:r>
      <w:bookmarkEnd w:id="526"/>
      <w:bookmarkEnd w:id="527"/>
    </w:p>
    <w:p>
      <w:pPr>
        <w:pStyle w:val="56"/>
        <w:widowControl w:val="0"/>
        <w:tabs>
          <w:tab w:val="left" w:pos="721"/>
        </w:tabs>
        <w:spacing w:beforeLines="50"/>
        <w:ind w:left="7" w:firstLine="563" w:firstLineChars="279"/>
        <w:rPr>
          <w:rFonts w:ascii="宋体" w:hAnsi="宋体"/>
          <w:bCs/>
          <w:sz w:val="20"/>
          <w:szCs w:val="20"/>
          <w:highlight w:val="none"/>
          <w:lang w:val="fr-FR"/>
        </w:rPr>
      </w:pPr>
      <w:r>
        <w:rPr>
          <w:rFonts w:hint="eastAsia" w:ascii="宋体" w:hAnsi="宋体"/>
          <w:bCs/>
          <w:sz w:val="20"/>
          <w:szCs w:val="20"/>
          <w:highlight w:val="none"/>
        </w:rPr>
        <w:t xml:space="preserve">1. </w:t>
      </w:r>
      <w:r>
        <w:rPr>
          <w:rFonts w:hint="eastAsia" w:ascii="宋体" w:hAnsi="宋体"/>
          <w:bCs/>
          <w:sz w:val="20"/>
          <w:szCs w:val="20"/>
          <w:highlight w:val="none"/>
          <w:lang w:val="fr-FR"/>
        </w:rPr>
        <w:t>水样的采集应满足国家标准《水质采样方案设计技术规定GB12997-91》和国家标准《水质采样技术指导GB12998-91》的要求。</w:t>
      </w:r>
    </w:p>
    <w:p>
      <w:pPr>
        <w:pStyle w:val="56"/>
        <w:widowControl w:val="0"/>
        <w:tabs>
          <w:tab w:val="left" w:pos="721"/>
        </w:tabs>
        <w:spacing w:beforeLines="50"/>
        <w:ind w:left="567"/>
        <w:rPr>
          <w:rFonts w:ascii="宋体" w:hAnsi="宋体"/>
          <w:bCs/>
          <w:sz w:val="20"/>
          <w:szCs w:val="20"/>
          <w:highlight w:val="none"/>
          <w:lang w:val="fr-FR"/>
        </w:rPr>
      </w:pPr>
      <w:r>
        <w:rPr>
          <w:rFonts w:hint="eastAsia" w:ascii="宋体" w:hAnsi="宋体"/>
          <w:bCs/>
          <w:sz w:val="20"/>
          <w:szCs w:val="20"/>
          <w:highlight w:val="none"/>
        </w:rPr>
        <w:t xml:space="preserve">2. </w:t>
      </w:r>
      <w:r>
        <w:rPr>
          <w:rFonts w:hint="eastAsia" w:ascii="宋体" w:hAnsi="宋体"/>
          <w:bCs/>
          <w:sz w:val="20"/>
          <w:szCs w:val="20"/>
          <w:highlight w:val="none"/>
          <w:lang w:val="fr-FR"/>
        </w:rPr>
        <w:t>水样储存应满足国家标准《水质采样样品的保存和管理技术规定GB12999-91》的要求。</w:t>
      </w:r>
    </w:p>
    <w:p>
      <w:pPr>
        <w:pStyle w:val="56"/>
        <w:widowControl w:val="0"/>
        <w:tabs>
          <w:tab w:val="left" w:pos="721"/>
        </w:tabs>
        <w:spacing w:beforeLines="50"/>
        <w:ind w:left="7" w:firstLine="563" w:firstLineChars="279"/>
        <w:rPr>
          <w:rFonts w:ascii="宋体" w:hAnsi="宋体"/>
          <w:bCs/>
          <w:sz w:val="20"/>
          <w:szCs w:val="20"/>
          <w:highlight w:val="none"/>
          <w:lang w:val="fr-FR"/>
        </w:rPr>
      </w:pPr>
      <w:r>
        <w:rPr>
          <w:rFonts w:hint="eastAsia" w:ascii="宋体" w:hAnsi="宋体"/>
          <w:bCs/>
          <w:sz w:val="20"/>
          <w:szCs w:val="20"/>
          <w:highlight w:val="none"/>
        </w:rPr>
        <w:t xml:space="preserve">3. </w:t>
      </w:r>
      <w:r>
        <w:rPr>
          <w:rFonts w:hint="eastAsia" w:ascii="宋体" w:hAnsi="宋体"/>
          <w:bCs/>
          <w:sz w:val="20"/>
          <w:szCs w:val="20"/>
          <w:highlight w:val="none"/>
          <w:lang w:val="fr-FR"/>
        </w:rPr>
        <w:t>检测水质的进水水样和出水水样应按污水处理厂设计或环保主管部门要求的采样点采取。</w:t>
      </w:r>
    </w:p>
    <w:p>
      <w:pPr>
        <w:pStyle w:val="56"/>
        <w:widowControl w:val="0"/>
        <w:tabs>
          <w:tab w:val="left" w:pos="721"/>
        </w:tabs>
        <w:spacing w:beforeLines="50"/>
        <w:rPr>
          <w:rFonts w:ascii="宋体" w:hAnsi="宋体"/>
          <w:bCs/>
          <w:sz w:val="20"/>
          <w:szCs w:val="20"/>
          <w:highlight w:val="none"/>
          <w:lang w:val="fr-FR"/>
        </w:rPr>
      </w:pPr>
      <w:r>
        <w:rPr>
          <w:rFonts w:hint="eastAsia" w:ascii="宋体" w:hAnsi="宋体"/>
          <w:bCs/>
          <w:sz w:val="20"/>
          <w:szCs w:val="20"/>
          <w:highlight w:val="none"/>
        </w:rPr>
        <w:t xml:space="preserve">      4. </w:t>
      </w:r>
      <w:r>
        <w:rPr>
          <w:rFonts w:hint="eastAsia" w:ascii="宋体" w:hAnsi="宋体"/>
          <w:bCs/>
          <w:sz w:val="20"/>
          <w:szCs w:val="20"/>
          <w:highlight w:val="none"/>
          <w:lang w:val="fr-FR"/>
        </w:rPr>
        <w:t>进水水样和出水水样均应每日连续二十四（24）小时使用自动采样设备采集水样。采样设备采样间隔不得大于一（1）小时，每日于9 :00按前二十四小时各时段等量</w:t>
      </w:r>
      <w:r>
        <w:rPr>
          <w:rFonts w:hint="eastAsia" w:ascii="宋体" w:hAnsi="宋体"/>
          <w:bCs/>
          <w:sz w:val="20"/>
          <w:szCs w:val="20"/>
          <w:highlight w:val="none"/>
        </w:rPr>
        <w:t>综合采样混合方法确定前一运营日进出水水质是否达标，即将各时段经</w:t>
      </w:r>
      <w:r>
        <w:rPr>
          <w:rFonts w:hint="eastAsia" w:ascii="宋体" w:hAnsi="宋体"/>
          <w:bCs/>
          <w:sz w:val="20"/>
          <w:szCs w:val="20"/>
          <w:highlight w:val="none"/>
          <w:lang w:val="fr-FR"/>
        </w:rPr>
        <w:t>采样设备自动采集的</w:t>
      </w:r>
      <w:r>
        <w:rPr>
          <w:rFonts w:hint="eastAsia" w:ascii="宋体" w:hAnsi="宋体"/>
          <w:bCs/>
          <w:sz w:val="20"/>
          <w:szCs w:val="20"/>
          <w:highlight w:val="none"/>
        </w:rPr>
        <w:t>等量</w:t>
      </w:r>
      <w:r>
        <w:rPr>
          <w:rFonts w:hint="eastAsia" w:ascii="宋体" w:hAnsi="宋体"/>
          <w:bCs/>
          <w:sz w:val="20"/>
          <w:szCs w:val="20"/>
          <w:highlight w:val="none"/>
          <w:lang w:val="fr-FR"/>
        </w:rPr>
        <w:t>水样经均匀混合后，分别作为送检的进水水样和出水水样，作为每日供进行水质检测获得“</w:t>
      </w:r>
      <w:r>
        <w:rPr>
          <w:highlight w:val="none"/>
        </w:rPr>
        <w:fldChar w:fldCharType="begin"/>
      </w:r>
      <w:r>
        <w:rPr>
          <w:highlight w:val="none"/>
        </w:rPr>
        <w:instrText xml:space="preserve"> HYPERLINK \l "_1.1__定义与解释" </w:instrText>
      </w:r>
      <w:r>
        <w:rPr>
          <w:highlight w:val="none"/>
        </w:rPr>
        <w:fldChar w:fldCharType="separate"/>
      </w:r>
      <w:r>
        <w:rPr>
          <w:rFonts w:hint="eastAsia" w:ascii="宋体" w:hAnsi="宋体"/>
          <w:bCs/>
          <w:sz w:val="20"/>
          <w:szCs w:val="20"/>
          <w:highlight w:val="none"/>
          <w:u w:val="single"/>
        </w:rPr>
        <w:t>日检测</w:t>
      </w:r>
      <w:bookmarkStart w:id="528" w:name="_Hlt215986841"/>
      <w:r>
        <w:rPr>
          <w:rFonts w:hint="eastAsia" w:ascii="宋体" w:hAnsi="宋体"/>
          <w:bCs/>
          <w:sz w:val="20"/>
          <w:szCs w:val="20"/>
          <w:highlight w:val="none"/>
          <w:u w:val="single"/>
        </w:rPr>
        <w:t>平</w:t>
      </w:r>
      <w:bookmarkEnd w:id="528"/>
      <w:r>
        <w:rPr>
          <w:rFonts w:hint="eastAsia" w:ascii="宋体" w:hAnsi="宋体"/>
          <w:bCs/>
          <w:sz w:val="20"/>
          <w:szCs w:val="20"/>
          <w:highlight w:val="none"/>
          <w:u w:val="single"/>
        </w:rPr>
        <w:t>均值</w:t>
      </w:r>
      <w:r>
        <w:rPr>
          <w:rFonts w:hint="eastAsia" w:ascii="宋体" w:hAnsi="宋体"/>
          <w:bCs/>
          <w:sz w:val="20"/>
          <w:szCs w:val="20"/>
          <w:highlight w:val="none"/>
          <w:u w:val="single"/>
        </w:rPr>
        <w:fldChar w:fldCharType="end"/>
      </w:r>
      <w:r>
        <w:rPr>
          <w:rFonts w:hint="eastAsia" w:ascii="宋体" w:hAnsi="宋体"/>
          <w:bCs/>
          <w:sz w:val="20"/>
          <w:szCs w:val="20"/>
          <w:highlight w:val="none"/>
          <w:lang w:val="fr-FR"/>
        </w:rPr>
        <w:t>”时使用。</w:t>
      </w:r>
    </w:p>
    <w:p>
      <w:pPr>
        <w:pStyle w:val="56"/>
        <w:widowControl w:val="0"/>
        <w:tabs>
          <w:tab w:val="left" w:pos="721"/>
        </w:tabs>
        <w:spacing w:beforeLines="50"/>
        <w:rPr>
          <w:rFonts w:ascii="宋体" w:hAnsi="宋体"/>
          <w:bCs/>
          <w:sz w:val="20"/>
          <w:szCs w:val="20"/>
          <w:highlight w:val="none"/>
          <w:lang w:val="fr-FR"/>
        </w:rPr>
      </w:pPr>
      <w:r>
        <w:rPr>
          <w:rFonts w:hint="eastAsia" w:ascii="宋体" w:hAnsi="宋体"/>
          <w:bCs/>
          <w:sz w:val="20"/>
          <w:szCs w:val="20"/>
          <w:highlight w:val="none"/>
        </w:rPr>
        <w:t xml:space="preserve">      5. </w:t>
      </w:r>
      <w:r>
        <w:rPr>
          <w:rFonts w:hint="eastAsia" w:ascii="宋体" w:hAnsi="宋体"/>
          <w:bCs/>
          <w:sz w:val="20"/>
          <w:szCs w:val="20"/>
          <w:highlight w:val="none"/>
          <w:lang w:val="fr-FR"/>
        </w:rPr>
        <w:t>每次提取的水样应分装A和B两瓶，A瓶用于乙方自行检测，B瓶留作备用水样，每瓶备用水样应不少于2000ml，瓶上须明确采样日期和采样点，进水和出水的备用水样须分开存放，在4</w:t>
      </w:r>
      <w:r>
        <w:rPr>
          <w:rFonts w:hint="eastAsia" w:ascii="宋体" w:hAnsi="宋体"/>
          <w:bCs/>
          <w:sz w:val="20"/>
          <w:szCs w:val="20"/>
          <w:highlight w:val="none"/>
          <w:vertAlign w:val="superscript"/>
          <w:lang w:val="fr-FR"/>
        </w:rPr>
        <w:t>o</w:t>
      </w:r>
      <w:r>
        <w:rPr>
          <w:rFonts w:hint="eastAsia" w:ascii="宋体" w:hAnsi="宋体"/>
          <w:bCs/>
          <w:sz w:val="20"/>
          <w:szCs w:val="20"/>
          <w:highlight w:val="none"/>
          <w:lang w:val="fr-FR"/>
        </w:rPr>
        <w:t xml:space="preserve">C以下储存条件下保存，保存时限至少应为四十八（48）小时。 </w:t>
      </w:r>
    </w:p>
    <w:p>
      <w:pPr>
        <w:pStyle w:val="56"/>
        <w:spacing w:beforeLines="50"/>
        <w:ind w:firstLine="567"/>
        <w:rPr>
          <w:rFonts w:ascii="宋体" w:hAnsi="宋体"/>
          <w:bCs/>
          <w:sz w:val="20"/>
          <w:szCs w:val="20"/>
          <w:highlight w:val="none"/>
          <w:lang w:val="fr-FR"/>
        </w:rPr>
      </w:pPr>
    </w:p>
    <w:p>
      <w:pPr>
        <w:pStyle w:val="56"/>
        <w:spacing w:beforeLines="50"/>
        <w:textAlignment w:val="baseline"/>
        <w:rPr>
          <w:rFonts w:ascii="宋体" w:hAnsi="宋体"/>
          <w:b/>
          <w:sz w:val="20"/>
          <w:szCs w:val="20"/>
          <w:highlight w:val="none"/>
        </w:rPr>
      </w:pPr>
      <w:bookmarkStart w:id="529" w:name="_Toc246596768"/>
      <w:bookmarkStart w:id="530" w:name="_Toc202677014"/>
      <w:r>
        <w:rPr>
          <w:rFonts w:hint="eastAsia" w:ascii="宋体" w:hAnsi="宋体"/>
          <w:b/>
          <w:sz w:val="20"/>
          <w:szCs w:val="20"/>
          <w:highlight w:val="none"/>
        </w:rPr>
        <w:t>附录4 污水处理厂厂区平面规划与布置</w:t>
      </w:r>
      <w:bookmarkEnd w:id="529"/>
      <w:bookmarkEnd w:id="530"/>
    </w:p>
    <w:p>
      <w:pPr>
        <w:pStyle w:val="56"/>
        <w:spacing w:beforeLines="50"/>
        <w:ind w:firstLine="567"/>
        <w:rPr>
          <w:rFonts w:ascii="宋体" w:hAnsi="宋体"/>
          <w:bCs/>
          <w:sz w:val="20"/>
          <w:szCs w:val="20"/>
          <w:highlight w:val="none"/>
        </w:rPr>
      </w:pPr>
      <w:r>
        <w:rPr>
          <w:rFonts w:hint="eastAsia" w:ascii="宋体" w:hAnsi="宋体"/>
          <w:bCs/>
          <w:sz w:val="20"/>
          <w:szCs w:val="20"/>
          <w:highlight w:val="none"/>
        </w:rPr>
        <w:t>乙方向甲方提交一份衢州市衢江区集镇污水处理厂厂区内实际平面布置示意图，其中对污水处理厂进厂大门、综合楼等建筑物位置和进水接收点和出水交付点，进水流量计和出水流量计位置，以及进水水质检测点和出水水质检测点必须在该平面布置图中予以明示并做简单说明。</w:t>
      </w:r>
    </w:p>
    <w:p>
      <w:pPr>
        <w:pStyle w:val="56"/>
        <w:spacing w:beforeLines="50"/>
        <w:textAlignment w:val="baseline"/>
        <w:rPr>
          <w:rFonts w:ascii="宋体" w:hAnsi="宋体"/>
          <w:b/>
          <w:sz w:val="20"/>
          <w:szCs w:val="20"/>
          <w:highlight w:val="none"/>
        </w:rPr>
      </w:pPr>
      <w:bookmarkStart w:id="531" w:name="_Toc202677015"/>
      <w:bookmarkStart w:id="532" w:name="_Toc246596769"/>
      <w:r>
        <w:rPr>
          <w:rFonts w:hint="eastAsia" w:ascii="宋体" w:hAnsi="宋体"/>
          <w:b/>
          <w:sz w:val="20"/>
          <w:szCs w:val="20"/>
          <w:highlight w:val="none"/>
        </w:rPr>
        <w:t>附录5 进水水质超标的处理</w:t>
      </w:r>
      <w:bookmarkEnd w:id="531"/>
      <w:bookmarkEnd w:id="532"/>
    </w:p>
    <w:p>
      <w:pPr>
        <w:pStyle w:val="56"/>
        <w:tabs>
          <w:tab w:val="left" w:pos="721"/>
        </w:tabs>
        <w:spacing w:beforeLines="50"/>
        <w:rPr>
          <w:rFonts w:ascii="宋体" w:hAnsi="宋体"/>
          <w:bCs/>
          <w:sz w:val="20"/>
          <w:szCs w:val="20"/>
          <w:highlight w:val="none"/>
          <w:lang w:val="fr-FR"/>
        </w:rPr>
      </w:pPr>
      <w:r>
        <w:rPr>
          <w:rFonts w:hint="eastAsia" w:ascii="宋体" w:hAnsi="宋体"/>
          <w:bCs/>
          <w:sz w:val="20"/>
          <w:szCs w:val="20"/>
          <w:highlight w:val="none"/>
        </w:rPr>
        <w:t xml:space="preserve">     1. </w:t>
      </w:r>
      <w:r>
        <w:rPr>
          <w:rFonts w:hint="eastAsia" w:ascii="宋体" w:hAnsi="宋体"/>
          <w:bCs/>
          <w:sz w:val="20"/>
          <w:szCs w:val="20"/>
          <w:highlight w:val="none"/>
          <w:lang w:val="fr-FR"/>
        </w:rPr>
        <w:t xml:space="preserve"> 进水中除pH值以外的任何一种进水主要水质指标超过运营服务协议第</w:t>
      </w:r>
      <w:r>
        <w:rPr>
          <w:rFonts w:hint="eastAsia" w:ascii="宋体" w:hAnsi="宋体"/>
          <w:bCs/>
          <w:sz w:val="20"/>
          <w:szCs w:val="20"/>
          <w:highlight w:val="none"/>
          <w:u w:val="single"/>
          <w:lang w:val="fr-FR"/>
        </w:rPr>
        <w:t>5.1.1</w:t>
      </w:r>
      <w:r>
        <w:rPr>
          <w:rFonts w:hint="eastAsia" w:ascii="宋体" w:hAnsi="宋体"/>
          <w:bCs/>
          <w:sz w:val="20"/>
          <w:szCs w:val="20"/>
          <w:highlight w:val="none"/>
          <w:lang w:val="fr-FR"/>
        </w:rPr>
        <w:t>条款规定的进水水质标准</w:t>
      </w:r>
      <w:r>
        <w:rPr>
          <w:rFonts w:hint="eastAsia" w:ascii="宋体" w:hAnsi="宋体"/>
          <w:bCs/>
          <w:sz w:val="20"/>
          <w:szCs w:val="20"/>
          <w:highlight w:val="none"/>
        </w:rPr>
        <w:t>15</w:t>
      </w:r>
      <w:r>
        <w:rPr>
          <w:rFonts w:hint="eastAsia" w:ascii="宋体" w:hAnsi="宋体"/>
          <w:bCs/>
          <w:sz w:val="20"/>
          <w:szCs w:val="20"/>
          <w:highlight w:val="none"/>
          <w:lang w:val="fr-FR"/>
        </w:rPr>
        <w:t>%以内（含</w:t>
      </w:r>
      <w:r>
        <w:rPr>
          <w:rFonts w:hint="eastAsia" w:ascii="宋体" w:hAnsi="宋体"/>
          <w:bCs/>
          <w:sz w:val="20"/>
          <w:szCs w:val="20"/>
          <w:highlight w:val="none"/>
        </w:rPr>
        <w:t>15</w:t>
      </w:r>
      <w:r>
        <w:rPr>
          <w:rFonts w:hint="eastAsia" w:ascii="宋体" w:hAnsi="宋体"/>
          <w:bCs/>
          <w:sz w:val="20"/>
          <w:szCs w:val="20"/>
          <w:highlight w:val="none"/>
          <w:lang w:val="fr-FR"/>
        </w:rPr>
        <w:t>%）时，视为此种超标在污水处理厂正常处理范围之内，乙方应及时向环保主管部门及甲方报告，并有义务保证出水水质符合运营服务协议第</w:t>
      </w:r>
      <w:r>
        <w:rPr>
          <w:rFonts w:hint="eastAsia" w:ascii="宋体" w:hAnsi="宋体"/>
          <w:bCs/>
          <w:sz w:val="20"/>
          <w:szCs w:val="20"/>
          <w:highlight w:val="none"/>
          <w:u w:val="single"/>
          <w:lang w:val="fr-FR"/>
        </w:rPr>
        <w:t>5.1.2</w:t>
      </w:r>
      <w:r>
        <w:rPr>
          <w:rFonts w:hint="eastAsia" w:ascii="宋体" w:hAnsi="宋体"/>
          <w:bCs/>
          <w:sz w:val="20"/>
          <w:szCs w:val="20"/>
          <w:highlight w:val="none"/>
          <w:lang w:val="fr-FR"/>
        </w:rPr>
        <w:t>条款规定的出水质量标准。</w:t>
      </w:r>
    </w:p>
    <w:p>
      <w:pPr>
        <w:pStyle w:val="56"/>
        <w:tabs>
          <w:tab w:val="left" w:pos="721"/>
        </w:tabs>
        <w:spacing w:beforeLines="50"/>
        <w:rPr>
          <w:rFonts w:ascii="宋体" w:hAnsi="宋体"/>
          <w:bCs/>
          <w:sz w:val="20"/>
          <w:szCs w:val="20"/>
          <w:highlight w:val="none"/>
          <w:lang w:val="fr-FR"/>
        </w:rPr>
      </w:pPr>
      <w:r>
        <w:rPr>
          <w:rFonts w:hint="eastAsia" w:ascii="宋体" w:hAnsi="宋体"/>
          <w:bCs/>
          <w:sz w:val="20"/>
          <w:szCs w:val="20"/>
          <w:highlight w:val="none"/>
        </w:rPr>
        <w:t xml:space="preserve">     2. </w:t>
      </w:r>
      <w:r>
        <w:rPr>
          <w:rFonts w:hint="eastAsia" w:ascii="宋体" w:hAnsi="宋体"/>
          <w:bCs/>
          <w:sz w:val="20"/>
          <w:szCs w:val="20"/>
          <w:highlight w:val="none"/>
          <w:lang w:val="fr-FR"/>
        </w:rPr>
        <w:t>进水中除pH值以外的任何一种进水主要水质指标超过运营服务协议第</w:t>
      </w:r>
      <w:r>
        <w:rPr>
          <w:rFonts w:hint="eastAsia" w:ascii="宋体" w:hAnsi="宋体"/>
          <w:bCs/>
          <w:sz w:val="20"/>
          <w:szCs w:val="20"/>
          <w:highlight w:val="none"/>
          <w:u w:val="single"/>
          <w:lang w:val="fr-FR"/>
        </w:rPr>
        <w:t>5.1.1</w:t>
      </w:r>
      <w:r>
        <w:rPr>
          <w:rFonts w:hint="eastAsia" w:ascii="宋体" w:hAnsi="宋体"/>
          <w:bCs/>
          <w:sz w:val="20"/>
          <w:szCs w:val="20"/>
          <w:highlight w:val="none"/>
          <w:lang w:val="fr-FR"/>
        </w:rPr>
        <w:t>条款规定的进水水质标准</w:t>
      </w:r>
      <w:r>
        <w:rPr>
          <w:rFonts w:hint="eastAsia" w:ascii="宋体" w:hAnsi="宋体"/>
          <w:bCs/>
          <w:sz w:val="20"/>
          <w:szCs w:val="20"/>
          <w:highlight w:val="none"/>
        </w:rPr>
        <w:t>15</w:t>
      </w:r>
      <w:r>
        <w:rPr>
          <w:rFonts w:hint="eastAsia" w:ascii="宋体" w:hAnsi="宋体"/>
          <w:bCs/>
          <w:sz w:val="20"/>
          <w:szCs w:val="20"/>
          <w:highlight w:val="none"/>
          <w:lang w:val="fr-FR"/>
        </w:rPr>
        <w:t>%以上（不含</w:t>
      </w:r>
      <w:r>
        <w:rPr>
          <w:rFonts w:hint="eastAsia" w:ascii="宋体" w:hAnsi="宋体"/>
          <w:bCs/>
          <w:sz w:val="20"/>
          <w:szCs w:val="20"/>
          <w:highlight w:val="none"/>
        </w:rPr>
        <w:t>15</w:t>
      </w:r>
      <w:r>
        <w:rPr>
          <w:rFonts w:hint="eastAsia" w:ascii="宋体" w:hAnsi="宋体"/>
          <w:bCs/>
          <w:sz w:val="20"/>
          <w:szCs w:val="20"/>
          <w:highlight w:val="none"/>
          <w:lang w:val="fr-FR"/>
        </w:rPr>
        <w:t>%）或</w:t>
      </w:r>
      <w:r>
        <w:rPr>
          <w:rFonts w:hint="eastAsia" w:ascii="宋体" w:hAnsi="宋体"/>
          <w:bCs/>
          <w:sz w:val="20"/>
          <w:szCs w:val="20"/>
          <w:highlight w:val="none"/>
        </w:rPr>
        <w:t>进水水质符合设计标准但难以满足可生化性指标要求（指进水BOD</w:t>
      </w:r>
      <w:r>
        <w:rPr>
          <w:rFonts w:hint="eastAsia" w:ascii="宋体" w:hAnsi="宋体"/>
          <w:bCs/>
          <w:sz w:val="20"/>
          <w:szCs w:val="20"/>
          <w:highlight w:val="none"/>
          <w:vertAlign w:val="subscript"/>
        </w:rPr>
        <w:t>5</w:t>
      </w:r>
      <w:r>
        <w:rPr>
          <w:rFonts w:hint="eastAsia" w:ascii="宋体" w:hAnsi="宋体"/>
          <w:bCs/>
          <w:sz w:val="20"/>
          <w:szCs w:val="20"/>
          <w:highlight w:val="none"/>
        </w:rPr>
        <w:t>/CODcr ≤0.3时）</w:t>
      </w:r>
      <w:r>
        <w:rPr>
          <w:rFonts w:hint="eastAsia" w:ascii="宋体" w:hAnsi="宋体"/>
          <w:bCs/>
          <w:sz w:val="20"/>
          <w:szCs w:val="20"/>
          <w:highlight w:val="none"/>
          <w:lang w:val="fr-FR"/>
        </w:rPr>
        <w:t>的，甲方将不就此向乙方收取违约金，乙方应及时向环保主管部门及甲方报告，并努力保证污水处理厂出水水质尽量接近表</w:t>
      </w:r>
      <w:r>
        <w:rPr>
          <w:rFonts w:hint="eastAsia" w:ascii="宋体" w:hAnsi="宋体"/>
          <w:bCs/>
          <w:sz w:val="20"/>
          <w:szCs w:val="20"/>
          <w:highlight w:val="none"/>
        </w:rPr>
        <w:t>5.1.2的</w:t>
      </w:r>
      <w:r>
        <w:rPr>
          <w:rFonts w:hint="eastAsia" w:ascii="宋体" w:hAnsi="宋体"/>
          <w:bCs/>
          <w:sz w:val="20"/>
          <w:szCs w:val="20"/>
          <w:highlight w:val="none"/>
          <w:lang w:val="fr-FR"/>
        </w:rPr>
        <w:t>排放标准，甲方将协助乙方协调超标排放事宜。</w:t>
      </w:r>
    </w:p>
    <w:p>
      <w:pPr>
        <w:pStyle w:val="56"/>
        <w:tabs>
          <w:tab w:val="left" w:pos="721"/>
        </w:tabs>
        <w:ind w:firstLine="404" w:firstLineChars="200"/>
        <w:rPr>
          <w:rFonts w:ascii="宋体" w:hAnsi="宋体"/>
          <w:bCs/>
          <w:sz w:val="20"/>
          <w:szCs w:val="20"/>
          <w:highlight w:val="none"/>
          <w:lang w:val="fr-FR"/>
        </w:rPr>
      </w:pPr>
      <w:r>
        <w:rPr>
          <w:rFonts w:hint="eastAsia" w:ascii="宋体" w:hAnsi="宋体"/>
          <w:bCs/>
          <w:sz w:val="20"/>
          <w:szCs w:val="20"/>
          <w:highlight w:val="none"/>
        </w:rPr>
        <w:t>3.</w:t>
      </w:r>
      <w:r>
        <w:rPr>
          <w:rFonts w:hint="eastAsia" w:ascii="宋体" w:hAnsi="宋体"/>
          <w:bCs/>
          <w:sz w:val="20"/>
          <w:szCs w:val="20"/>
          <w:highlight w:val="none"/>
          <w:lang w:val="fr-FR"/>
        </w:rPr>
        <w:t>乙方应就水质超标情况及时通知环保主管部门及甲方核实并提请获得相应免责处理，同时应尽最大努力使污水处理厂出水水质符合尾水出水质量标准。</w:t>
      </w:r>
    </w:p>
    <w:p>
      <w:pPr>
        <w:pStyle w:val="56"/>
        <w:tabs>
          <w:tab w:val="left" w:pos="567"/>
        </w:tabs>
        <w:spacing w:beforeLines="50"/>
        <w:ind w:firstLine="567"/>
        <w:rPr>
          <w:rFonts w:ascii="宋体" w:hAnsi="宋体"/>
          <w:bCs/>
          <w:sz w:val="20"/>
          <w:szCs w:val="20"/>
          <w:highlight w:val="none"/>
          <w:lang w:val="fr-FR"/>
        </w:rPr>
      </w:pPr>
      <w:r>
        <w:rPr>
          <w:rFonts w:hint="eastAsia" w:ascii="宋体" w:hAnsi="宋体"/>
          <w:bCs/>
          <w:sz w:val="20"/>
          <w:szCs w:val="20"/>
          <w:highlight w:val="none"/>
        </w:rPr>
        <w:t>4.</w:t>
      </w:r>
      <w:r>
        <w:rPr>
          <w:rFonts w:hint="eastAsia" w:ascii="宋体" w:hAnsi="宋体"/>
          <w:bCs/>
          <w:sz w:val="20"/>
          <w:szCs w:val="20"/>
          <w:highlight w:val="none"/>
          <w:lang w:val="fr-FR"/>
        </w:rPr>
        <w:t>甲方将不就此向乙方收取超标排放违约金，但导致行政处罚则由乙方承担，且甲方不再追究乙方违约责任。</w:t>
      </w:r>
    </w:p>
    <w:p>
      <w:pPr>
        <w:pStyle w:val="56"/>
        <w:tabs>
          <w:tab w:val="left" w:pos="567"/>
        </w:tabs>
        <w:spacing w:beforeLines="50"/>
        <w:ind w:firstLine="567"/>
        <w:rPr>
          <w:rFonts w:ascii="宋体" w:hAnsi="宋体"/>
          <w:bCs/>
          <w:sz w:val="20"/>
          <w:szCs w:val="20"/>
          <w:highlight w:val="none"/>
          <w:lang w:val="fr-FR"/>
        </w:rPr>
      </w:pPr>
      <w:r>
        <w:rPr>
          <w:rFonts w:hint="eastAsia" w:ascii="宋体" w:hAnsi="宋体"/>
          <w:bCs/>
          <w:sz w:val="20"/>
          <w:szCs w:val="20"/>
          <w:highlight w:val="none"/>
        </w:rPr>
        <w:t xml:space="preserve">5. </w:t>
      </w:r>
      <w:r>
        <w:rPr>
          <w:rFonts w:hint="eastAsia" w:ascii="宋体" w:hAnsi="宋体"/>
          <w:bCs/>
          <w:sz w:val="20"/>
          <w:szCs w:val="20"/>
          <w:highlight w:val="none"/>
          <w:lang w:val="fr-FR"/>
        </w:rPr>
        <w:t>如果进水中除pH值以外的任何一种进水主要水质指标连续三十（30）日以上超过运营服务协议第</w:t>
      </w:r>
      <w:r>
        <w:rPr>
          <w:rFonts w:hint="eastAsia" w:ascii="宋体" w:hAnsi="宋体"/>
          <w:bCs/>
          <w:sz w:val="20"/>
          <w:szCs w:val="20"/>
          <w:highlight w:val="none"/>
          <w:u w:val="single"/>
          <w:lang w:val="fr-FR"/>
        </w:rPr>
        <w:t>5.1.1</w:t>
      </w:r>
      <w:r>
        <w:rPr>
          <w:rFonts w:hint="eastAsia" w:ascii="宋体" w:hAnsi="宋体"/>
          <w:bCs/>
          <w:sz w:val="20"/>
          <w:szCs w:val="20"/>
          <w:highlight w:val="none"/>
          <w:lang w:val="fr-FR"/>
        </w:rPr>
        <w:t>条款规定的进水水质标准</w:t>
      </w:r>
      <w:r>
        <w:rPr>
          <w:rFonts w:hint="eastAsia" w:ascii="宋体" w:hAnsi="宋体"/>
          <w:bCs/>
          <w:sz w:val="20"/>
          <w:szCs w:val="20"/>
          <w:highlight w:val="none"/>
        </w:rPr>
        <w:t>3</w:t>
      </w:r>
      <w:r>
        <w:rPr>
          <w:rFonts w:hint="eastAsia" w:ascii="宋体" w:hAnsi="宋体"/>
          <w:bCs/>
          <w:sz w:val="20"/>
          <w:szCs w:val="20"/>
          <w:highlight w:val="none"/>
          <w:lang w:val="fr-FR"/>
        </w:rPr>
        <w:t>0%以上（不含</w:t>
      </w:r>
      <w:r>
        <w:rPr>
          <w:rFonts w:hint="eastAsia" w:ascii="宋体" w:hAnsi="宋体"/>
          <w:bCs/>
          <w:sz w:val="20"/>
          <w:szCs w:val="20"/>
          <w:highlight w:val="none"/>
        </w:rPr>
        <w:t>3</w:t>
      </w:r>
      <w:r>
        <w:rPr>
          <w:rFonts w:hint="eastAsia" w:ascii="宋体" w:hAnsi="宋体"/>
          <w:bCs/>
          <w:sz w:val="20"/>
          <w:szCs w:val="20"/>
          <w:highlight w:val="none"/>
          <w:lang w:val="fr-FR"/>
        </w:rPr>
        <w:t>0%），乙方应与甲方就设备改造及有关的费用或修改进水质量标准进行协商。如在协商期间，进水</w:t>
      </w:r>
      <w:bookmarkStart w:id="533" w:name="_Hlt212287564"/>
      <w:bookmarkEnd w:id="533"/>
      <w:r>
        <w:rPr>
          <w:rFonts w:hint="eastAsia" w:ascii="宋体" w:hAnsi="宋体"/>
          <w:bCs/>
          <w:sz w:val="20"/>
          <w:szCs w:val="20"/>
          <w:highlight w:val="none"/>
          <w:lang w:val="fr-FR"/>
        </w:rPr>
        <w:t>质量恢复到协议第</w:t>
      </w:r>
      <w:r>
        <w:rPr>
          <w:rFonts w:hint="eastAsia" w:ascii="宋体" w:hAnsi="宋体"/>
          <w:bCs/>
          <w:sz w:val="20"/>
          <w:szCs w:val="20"/>
          <w:highlight w:val="none"/>
          <w:u w:val="single"/>
          <w:lang w:val="fr-FR"/>
        </w:rPr>
        <w:t>5.1.1</w:t>
      </w:r>
      <w:r>
        <w:rPr>
          <w:rFonts w:hint="eastAsia" w:ascii="宋体" w:hAnsi="宋体"/>
          <w:bCs/>
          <w:sz w:val="20"/>
          <w:szCs w:val="20"/>
          <w:highlight w:val="none"/>
          <w:lang w:val="fr-FR"/>
        </w:rPr>
        <w:t>条款规定的进水水质标准，则双方按原规定执行。</w:t>
      </w:r>
    </w:p>
    <w:p>
      <w:pPr>
        <w:pStyle w:val="56"/>
        <w:tabs>
          <w:tab w:val="left" w:pos="567"/>
        </w:tabs>
        <w:spacing w:beforeLines="50"/>
        <w:ind w:firstLine="567"/>
        <w:rPr>
          <w:rFonts w:ascii="宋体" w:hAnsi="宋体"/>
          <w:bCs/>
          <w:sz w:val="20"/>
          <w:szCs w:val="20"/>
          <w:highlight w:val="none"/>
        </w:rPr>
      </w:pPr>
      <w:r>
        <w:rPr>
          <w:rFonts w:hint="eastAsia" w:ascii="宋体" w:hAnsi="宋体"/>
          <w:bCs/>
          <w:sz w:val="20"/>
          <w:szCs w:val="20"/>
          <w:highlight w:val="none"/>
        </w:rPr>
        <w:t>6. 在任何进水水质情况下，每日出水水质卫生标准均应达到国家一级A出水标准粪大肠菌群≤10</w:t>
      </w:r>
      <w:r>
        <w:rPr>
          <w:rFonts w:hint="eastAsia" w:ascii="宋体" w:hAnsi="宋体"/>
          <w:bCs/>
          <w:sz w:val="20"/>
          <w:szCs w:val="20"/>
          <w:highlight w:val="none"/>
          <w:vertAlign w:val="superscript"/>
        </w:rPr>
        <w:t>3</w:t>
      </w:r>
      <w:r>
        <w:rPr>
          <w:rFonts w:hint="eastAsia" w:ascii="宋体" w:hAnsi="宋体"/>
          <w:bCs/>
          <w:sz w:val="20"/>
          <w:szCs w:val="20"/>
          <w:highlight w:val="none"/>
        </w:rPr>
        <w:t>个/L的要求。</w:t>
      </w:r>
    </w:p>
    <w:p>
      <w:pPr>
        <w:pStyle w:val="56"/>
        <w:tabs>
          <w:tab w:val="left" w:pos="567"/>
        </w:tabs>
        <w:spacing w:beforeLines="50"/>
        <w:ind w:firstLine="567"/>
        <w:rPr>
          <w:rFonts w:ascii="宋体" w:hAnsi="宋体"/>
          <w:bCs/>
          <w:sz w:val="20"/>
          <w:szCs w:val="20"/>
          <w:highlight w:val="none"/>
        </w:rPr>
      </w:pPr>
    </w:p>
    <w:p>
      <w:pPr>
        <w:pStyle w:val="56"/>
        <w:spacing w:beforeLines="50"/>
        <w:textAlignment w:val="baseline"/>
        <w:rPr>
          <w:rFonts w:ascii="宋体" w:hAnsi="宋体"/>
          <w:b/>
          <w:sz w:val="20"/>
          <w:szCs w:val="20"/>
          <w:highlight w:val="none"/>
        </w:rPr>
      </w:pPr>
      <w:bookmarkStart w:id="534" w:name="_Toc202677016"/>
      <w:bookmarkStart w:id="535" w:name="_Toc246596770"/>
      <w:r>
        <w:rPr>
          <w:rFonts w:hint="eastAsia" w:ascii="宋体" w:hAnsi="宋体"/>
          <w:b/>
          <w:sz w:val="20"/>
          <w:szCs w:val="20"/>
          <w:highlight w:val="none"/>
        </w:rPr>
        <w:t>附录6 污水出水水质不合格及污泥超标的违约金</w:t>
      </w:r>
      <w:bookmarkEnd w:id="534"/>
      <w:bookmarkEnd w:id="535"/>
    </w:p>
    <w:p>
      <w:pPr>
        <w:pStyle w:val="56"/>
        <w:spacing w:beforeLines="50"/>
        <w:ind w:firstLine="567"/>
        <w:rPr>
          <w:rFonts w:ascii="宋体" w:hAnsi="宋体"/>
          <w:bCs/>
          <w:i/>
          <w:sz w:val="20"/>
          <w:szCs w:val="20"/>
          <w:highlight w:val="none"/>
        </w:rPr>
      </w:pPr>
      <w:r>
        <w:rPr>
          <w:rFonts w:hint="eastAsia" w:ascii="宋体" w:hAnsi="宋体"/>
          <w:bCs/>
          <w:sz w:val="20"/>
          <w:szCs w:val="20"/>
          <w:highlight w:val="none"/>
        </w:rPr>
        <w:t xml:space="preserve">1. </w:t>
      </w:r>
      <w:r>
        <w:rPr>
          <w:rFonts w:hint="eastAsia" w:ascii="宋体" w:hAnsi="宋体"/>
          <w:bCs/>
          <w:sz w:val="20"/>
          <w:szCs w:val="20"/>
          <w:highlight w:val="none"/>
          <w:lang w:val="fr-FR"/>
        </w:rPr>
        <w:t>乙方在进水水质符合</w:t>
      </w:r>
      <w:r>
        <w:rPr>
          <w:highlight w:val="none"/>
        </w:rPr>
        <w:fldChar w:fldCharType="begin"/>
      </w:r>
      <w:r>
        <w:rPr>
          <w:highlight w:val="none"/>
        </w:rPr>
        <w:instrText xml:space="preserve"> HYPERLINK \l "_5.1__污水处理厂进出水质量及污泥排放标准" </w:instrText>
      </w:r>
      <w:r>
        <w:rPr>
          <w:highlight w:val="none"/>
        </w:rPr>
        <w:fldChar w:fldCharType="separate"/>
      </w:r>
      <w:r>
        <w:rPr>
          <w:rFonts w:hint="eastAsia" w:ascii="宋体" w:hAnsi="宋体"/>
          <w:bCs/>
          <w:sz w:val="20"/>
          <w:szCs w:val="20"/>
          <w:highlight w:val="none"/>
          <w:u w:val="single"/>
        </w:rPr>
        <w:t>5.1.1</w:t>
      </w:r>
      <w:r>
        <w:rPr>
          <w:rFonts w:hint="eastAsia" w:ascii="宋体" w:hAnsi="宋体"/>
          <w:bCs/>
          <w:sz w:val="20"/>
          <w:szCs w:val="20"/>
          <w:highlight w:val="none"/>
          <w:u w:val="single"/>
        </w:rPr>
        <w:fldChar w:fldCharType="end"/>
      </w:r>
      <w:r>
        <w:rPr>
          <w:rFonts w:hint="eastAsia" w:ascii="宋体" w:hAnsi="宋体"/>
          <w:bCs/>
          <w:sz w:val="20"/>
          <w:szCs w:val="20"/>
          <w:highlight w:val="none"/>
          <w:lang w:val="fr-FR"/>
        </w:rPr>
        <w:t>进水质量设计标准要时，如将基本</w:t>
      </w:r>
      <w:r>
        <w:rPr>
          <w:rFonts w:hint="eastAsia" w:ascii="宋体" w:hAnsi="宋体"/>
          <w:bCs/>
          <w:sz w:val="20"/>
          <w:szCs w:val="20"/>
          <w:highlight w:val="none"/>
        </w:rPr>
        <w:t>未经任何处理且严重不达标的污水直接排入如厂外水体，一经查实将按照相关法规规定向甲方支付处罚违约金，该违约金可按照下式计算：</w:t>
      </w:r>
      <w:r>
        <w:rPr>
          <w:rFonts w:hint="eastAsia" w:ascii="宋体" w:hAnsi="宋体"/>
          <w:bCs/>
          <w:i/>
          <w:sz w:val="20"/>
          <w:szCs w:val="20"/>
          <w:highlight w:val="none"/>
        </w:rPr>
        <w:t xml:space="preserve"> </w:t>
      </w:r>
    </w:p>
    <w:p>
      <w:pPr>
        <w:pStyle w:val="56"/>
        <w:spacing w:beforeLines="50"/>
        <w:ind w:firstLine="567"/>
        <w:rPr>
          <w:rFonts w:ascii="宋体" w:hAnsi="宋体"/>
          <w:bCs/>
          <w:sz w:val="20"/>
          <w:szCs w:val="20"/>
          <w:highlight w:val="none"/>
        </w:rPr>
      </w:pPr>
      <w:r>
        <w:rPr>
          <w:rFonts w:hint="eastAsia" w:ascii="宋体" w:hAnsi="宋体"/>
          <w:b/>
          <w:sz w:val="20"/>
          <w:szCs w:val="20"/>
          <w:highlight w:val="none"/>
        </w:rPr>
        <w:t>未处理污水处罚违约金</w:t>
      </w:r>
      <w:r>
        <w:rPr>
          <w:rFonts w:hint="eastAsia" w:ascii="宋体" w:hAnsi="宋体"/>
          <w:bCs/>
          <w:sz w:val="20"/>
          <w:szCs w:val="20"/>
          <w:highlight w:val="none"/>
        </w:rPr>
        <w:t>=经核实认定的当日进水量×20元/立方米</w:t>
      </w:r>
    </w:p>
    <w:p>
      <w:pPr>
        <w:pStyle w:val="56"/>
        <w:tabs>
          <w:tab w:val="left" w:pos="721"/>
          <w:tab w:val="left" w:pos="4500"/>
        </w:tabs>
        <w:spacing w:beforeLines="50"/>
        <w:ind w:firstLine="567"/>
        <w:rPr>
          <w:rFonts w:ascii="宋体" w:hAnsi="宋体"/>
          <w:bCs/>
          <w:sz w:val="20"/>
          <w:szCs w:val="20"/>
          <w:highlight w:val="none"/>
          <w:lang w:val="fr-FR"/>
        </w:rPr>
      </w:pPr>
      <w:r>
        <w:rPr>
          <w:rFonts w:hint="eastAsia" w:ascii="宋体" w:hAnsi="宋体"/>
          <w:bCs/>
          <w:sz w:val="20"/>
          <w:szCs w:val="20"/>
          <w:highlight w:val="none"/>
        </w:rPr>
        <w:t>此处基本未处理且严重不达标污水的认定将以进、出水检测点水污染物指标</w:t>
      </w:r>
      <w:r>
        <w:rPr>
          <w:rFonts w:hint="eastAsia" w:ascii="宋体" w:hAnsi="宋体"/>
          <w:bCs/>
          <w:sz w:val="20"/>
          <w:szCs w:val="20"/>
          <w:highlight w:val="none"/>
          <w:lang w:val="fr-FR" w:eastAsia="zh-TW"/>
        </w:rPr>
        <w:t>COD</w:t>
      </w:r>
      <w:r>
        <w:rPr>
          <w:rFonts w:hint="eastAsia" w:ascii="宋体" w:hAnsi="宋体"/>
          <w:bCs/>
          <w:sz w:val="20"/>
          <w:szCs w:val="20"/>
          <w:highlight w:val="none"/>
          <w:vertAlign w:val="subscript"/>
          <w:lang w:val="fr-FR" w:eastAsia="zh-TW"/>
        </w:rPr>
        <w:t>CR</w:t>
      </w:r>
      <w:r>
        <w:rPr>
          <w:rFonts w:hint="eastAsia" w:ascii="宋体" w:hAnsi="宋体"/>
          <w:bCs/>
          <w:sz w:val="20"/>
          <w:szCs w:val="20"/>
          <w:highlight w:val="none"/>
        </w:rPr>
        <w:t>的削减情况来衡量，具体判定标准为：出水</w:t>
      </w:r>
      <w:r>
        <w:rPr>
          <w:rFonts w:hint="eastAsia" w:ascii="宋体" w:hAnsi="宋体"/>
          <w:bCs/>
          <w:sz w:val="20"/>
          <w:szCs w:val="20"/>
          <w:highlight w:val="none"/>
          <w:lang w:val="fr-FR" w:eastAsia="zh-TW"/>
        </w:rPr>
        <w:t>COD</w:t>
      </w:r>
      <w:r>
        <w:rPr>
          <w:rFonts w:hint="eastAsia" w:ascii="宋体" w:hAnsi="宋体"/>
          <w:bCs/>
          <w:sz w:val="20"/>
          <w:szCs w:val="20"/>
          <w:highlight w:val="none"/>
          <w:vertAlign w:val="subscript"/>
          <w:lang w:val="fr-FR" w:eastAsia="zh-TW"/>
        </w:rPr>
        <w:t>CR</w:t>
      </w:r>
      <w:r>
        <w:rPr>
          <w:rFonts w:hint="eastAsia" w:ascii="宋体" w:hAnsi="宋体"/>
          <w:bCs/>
          <w:sz w:val="20"/>
          <w:szCs w:val="20"/>
          <w:highlight w:val="none"/>
        </w:rPr>
        <w:t>超标且其实际去除率低于30%，即以（进水</w:t>
      </w:r>
      <w:r>
        <w:rPr>
          <w:rFonts w:hint="eastAsia" w:ascii="宋体" w:hAnsi="宋体"/>
          <w:bCs/>
          <w:sz w:val="20"/>
          <w:szCs w:val="20"/>
          <w:highlight w:val="none"/>
          <w:lang w:val="fr-FR" w:eastAsia="zh-TW"/>
        </w:rPr>
        <w:t>COD</w:t>
      </w:r>
      <w:r>
        <w:rPr>
          <w:rFonts w:hint="eastAsia" w:ascii="宋体" w:hAnsi="宋体"/>
          <w:bCs/>
          <w:sz w:val="20"/>
          <w:szCs w:val="20"/>
          <w:highlight w:val="none"/>
          <w:vertAlign w:val="subscript"/>
          <w:lang w:val="fr-FR" w:eastAsia="zh-TW"/>
        </w:rPr>
        <w:t>CR</w:t>
      </w:r>
      <w:r>
        <w:rPr>
          <w:rFonts w:hint="eastAsia" w:ascii="宋体" w:hAnsi="宋体"/>
          <w:bCs/>
          <w:sz w:val="20"/>
          <w:szCs w:val="20"/>
          <w:highlight w:val="none"/>
        </w:rPr>
        <w:t>检测指标－出水</w:t>
      </w:r>
      <w:r>
        <w:rPr>
          <w:rFonts w:hint="eastAsia" w:ascii="宋体" w:hAnsi="宋体"/>
          <w:bCs/>
          <w:sz w:val="20"/>
          <w:szCs w:val="20"/>
          <w:highlight w:val="none"/>
          <w:lang w:val="fr-FR" w:eastAsia="zh-TW"/>
        </w:rPr>
        <w:t>COD</w:t>
      </w:r>
      <w:r>
        <w:rPr>
          <w:rFonts w:hint="eastAsia" w:ascii="宋体" w:hAnsi="宋体"/>
          <w:bCs/>
          <w:sz w:val="20"/>
          <w:szCs w:val="20"/>
          <w:highlight w:val="none"/>
          <w:vertAlign w:val="subscript"/>
          <w:lang w:val="fr-FR" w:eastAsia="zh-TW"/>
        </w:rPr>
        <w:t>CR</w:t>
      </w:r>
      <w:r>
        <w:rPr>
          <w:rFonts w:hint="eastAsia" w:ascii="宋体" w:hAnsi="宋体"/>
          <w:bCs/>
          <w:sz w:val="20"/>
          <w:szCs w:val="20"/>
          <w:highlight w:val="none"/>
        </w:rPr>
        <w:t>检测指标）／进水</w:t>
      </w:r>
      <w:r>
        <w:rPr>
          <w:rFonts w:hint="eastAsia" w:ascii="宋体" w:hAnsi="宋体"/>
          <w:bCs/>
          <w:sz w:val="20"/>
          <w:szCs w:val="20"/>
          <w:highlight w:val="none"/>
          <w:lang w:val="fr-FR" w:eastAsia="zh-TW"/>
        </w:rPr>
        <w:t>COD</w:t>
      </w:r>
      <w:r>
        <w:rPr>
          <w:rFonts w:hint="eastAsia" w:ascii="宋体" w:hAnsi="宋体"/>
          <w:bCs/>
          <w:sz w:val="20"/>
          <w:szCs w:val="20"/>
          <w:highlight w:val="none"/>
          <w:vertAlign w:val="subscript"/>
          <w:lang w:val="fr-FR" w:eastAsia="zh-TW"/>
        </w:rPr>
        <w:t>CR</w:t>
      </w:r>
      <w:r>
        <w:rPr>
          <w:rFonts w:hint="eastAsia" w:ascii="宋体" w:hAnsi="宋体"/>
          <w:bCs/>
          <w:sz w:val="20"/>
          <w:szCs w:val="20"/>
          <w:highlight w:val="none"/>
        </w:rPr>
        <w:t>检测指标之比值是否 ≤ 30%来判定。</w:t>
      </w:r>
    </w:p>
    <w:p>
      <w:pPr>
        <w:pStyle w:val="56"/>
        <w:tabs>
          <w:tab w:val="left" w:pos="721"/>
        </w:tabs>
        <w:spacing w:beforeLines="50"/>
        <w:ind w:firstLine="567"/>
        <w:rPr>
          <w:rFonts w:ascii="宋体" w:hAnsi="宋体"/>
          <w:bCs/>
          <w:sz w:val="20"/>
          <w:szCs w:val="20"/>
          <w:highlight w:val="none"/>
          <w:lang w:val="fr-FR"/>
        </w:rPr>
      </w:pPr>
      <w:r>
        <w:rPr>
          <w:rFonts w:hint="eastAsia" w:ascii="宋体" w:hAnsi="宋体"/>
          <w:bCs/>
          <w:sz w:val="20"/>
          <w:szCs w:val="20"/>
          <w:highlight w:val="none"/>
        </w:rPr>
        <w:t xml:space="preserve">2. </w:t>
      </w:r>
      <w:r>
        <w:rPr>
          <w:rFonts w:hint="eastAsia" w:ascii="宋体" w:hAnsi="宋体"/>
          <w:bCs/>
          <w:sz w:val="20"/>
          <w:szCs w:val="20"/>
          <w:highlight w:val="none"/>
          <w:lang w:val="fr-FR"/>
        </w:rPr>
        <w:t>出水水质不合格违约金</w:t>
      </w:r>
    </w:p>
    <w:p>
      <w:pPr>
        <w:pStyle w:val="56"/>
        <w:spacing w:beforeLines="50"/>
        <w:ind w:firstLine="567"/>
        <w:rPr>
          <w:rFonts w:ascii="宋体" w:hAnsi="宋体"/>
          <w:bCs/>
          <w:sz w:val="20"/>
          <w:szCs w:val="20"/>
          <w:highlight w:val="none"/>
          <w:lang w:val="fr-FR"/>
        </w:rPr>
      </w:pPr>
      <w:r>
        <w:rPr>
          <w:rFonts w:hint="eastAsia" w:ascii="宋体" w:hAnsi="宋体"/>
          <w:bCs/>
          <w:sz w:val="20"/>
          <w:szCs w:val="20"/>
          <w:highlight w:val="none"/>
          <w:lang w:val="fr-FR"/>
        </w:rPr>
        <w:t>虽经处理但乙方出水水质仍出现超标时：</w:t>
      </w:r>
    </w:p>
    <w:p>
      <w:pPr>
        <w:pStyle w:val="56"/>
        <w:spacing w:beforeLines="50"/>
        <w:ind w:firstLine="567"/>
        <w:rPr>
          <w:rFonts w:ascii="宋体" w:hAnsi="宋体"/>
          <w:bCs/>
          <w:sz w:val="20"/>
          <w:szCs w:val="20"/>
          <w:highlight w:val="none"/>
        </w:rPr>
      </w:pPr>
      <w:r>
        <w:rPr>
          <w:rFonts w:hint="eastAsia" w:ascii="宋体" w:hAnsi="宋体"/>
          <w:b/>
          <w:sz w:val="20"/>
          <w:szCs w:val="20"/>
          <w:highlight w:val="none"/>
          <w:lang w:val="fr-FR"/>
        </w:rPr>
        <w:t>出水水质不合格违约金</w:t>
      </w:r>
      <w:r>
        <w:rPr>
          <w:rFonts w:hint="eastAsia" w:ascii="宋体" w:hAnsi="宋体"/>
          <w:bCs/>
          <w:sz w:val="20"/>
          <w:szCs w:val="20"/>
          <w:highlight w:val="none"/>
          <w:lang w:val="fr-FR"/>
        </w:rPr>
        <w:t>＝</w:t>
      </w:r>
      <w:r>
        <w:rPr>
          <w:rFonts w:hint="eastAsia" w:ascii="宋体" w:hAnsi="宋体"/>
          <w:bCs/>
          <w:sz w:val="20"/>
          <w:szCs w:val="20"/>
          <w:highlight w:val="none"/>
        </w:rPr>
        <w:t>经核实认定</w:t>
      </w:r>
      <w:r>
        <w:rPr>
          <w:rFonts w:hint="eastAsia" w:ascii="宋体" w:hAnsi="宋体"/>
          <w:bCs/>
          <w:sz w:val="20"/>
          <w:szCs w:val="20"/>
          <w:highlight w:val="none"/>
          <w:lang w:val="fr-FR"/>
        </w:rPr>
        <w:t>的</w:t>
      </w:r>
      <w:r>
        <w:rPr>
          <w:rFonts w:hint="eastAsia" w:ascii="宋体" w:hAnsi="宋体"/>
          <w:bCs/>
          <w:sz w:val="20"/>
          <w:szCs w:val="20"/>
          <w:highlight w:val="none"/>
        </w:rPr>
        <w:t>当日</w:t>
      </w:r>
      <w:r>
        <w:rPr>
          <w:rFonts w:hint="eastAsia" w:ascii="宋体" w:hAnsi="宋体"/>
          <w:bCs/>
          <w:sz w:val="20"/>
          <w:szCs w:val="20"/>
          <w:highlight w:val="none"/>
          <w:lang w:val="fr-FR"/>
        </w:rPr>
        <w:t>出水水量×当月执行的运营服务费单价×2</w:t>
      </w:r>
    </w:p>
    <w:p>
      <w:pPr>
        <w:pStyle w:val="56"/>
        <w:widowControl w:val="0"/>
        <w:tabs>
          <w:tab w:val="left" w:pos="756"/>
        </w:tabs>
        <w:spacing w:beforeLines="50"/>
        <w:ind w:firstLine="567"/>
        <w:rPr>
          <w:rFonts w:ascii="宋体" w:hAnsi="宋体"/>
          <w:bCs/>
          <w:kern w:val="2"/>
          <w:sz w:val="20"/>
          <w:szCs w:val="20"/>
          <w:highlight w:val="none"/>
          <w:lang w:val="fr-FR"/>
        </w:rPr>
      </w:pPr>
      <w:r>
        <w:rPr>
          <w:rFonts w:hint="eastAsia" w:ascii="宋体" w:hAnsi="宋体"/>
          <w:bCs/>
          <w:kern w:val="2"/>
          <w:sz w:val="20"/>
          <w:szCs w:val="20"/>
          <w:highlight w:val="none"/>
        </w:rPr>
        <w:t>3. 污染物浓度指标达标率月度考核不合格违约金的计算</w:t>
      </w:r>
    </w:p>
    <w:p>
      <w:pPr>
        <w:pStyle w:val="56"/>
        <w:spacing w:beforeLines="50"/>
        <w:ind w:firstLine="567"/>
        <w:rPr>
          <w:rFonts w:ascii="宋体" w:hAnsi="宋体"/>
          <w:bCs/>
          <w:sz w:val="20"/>
          <w:szCs w:val="20"/>
          <w:highlight w:val="none"/>
        </w:rPr>
      </w:pPr>
      <w:r>
        <w:rPr>
          <w:rFonts w:hint="eastAsia" w:ascii="宋体" w:hAnsi="宋体"/>
          <w:bCs/>
          <w:sz w:val="20"/>
          <w:szCs w:val="20"/>
          <w:highlight w:val="none"/>
        </w:rPr>
        <w:t>污水处理厂按监管部门规定的污染物排放标准，在进水污染物浓度符合设计进水指标情况下，包括PH、COD、BOD、SS、氨氮、总氮、总磷、粪大肠菌群等八项常规出水指标人工检测每月达标率应不低于96.7%，实行在线监测PH、COD、NH</w:t>
      </w:r>
      <w:r>
        <w:rPr>
          <w:rFonts w:hint="eastAsia" w:ascii="宋体" w:hAnsi="宋体"/>
          <w:bCs/>
          <w:sz w:val="20"/>
          <w:szCs w:val="20"/>
          <w:highlight w:val="none"/>
          <w:vertAlign w:val="subscript"/>
        </w:rPr>
        <w:t>3</w:t>
      </w:r>
      <w:r>
        <w:rPr>
          <w:rFonts w:hint="eastAsia" w:ascii="宋体" w:hAnsi="宋体"/>
          <w:bCs/>
          <w:sz w:val="20"/>
          <w:szCs w:val="20"/>
          <w:highlight w:val="none"/>
        </w:rPr>
        <w:t>-N、TP、TN指标每月日均值达标率应不低于96.7%。污水处理厂某一出水污染物指标的月达标率如低于上述指标要求，则视为其该项污染物指标月度不合格，甲方将从每月运营服务付费中按每一不合格单项扣减0.5万元来计扣月度污染物不合格违约金。 </w:t>
      </w:r>
    </w:p>
    <w:p>
      <w:pPr>
        <w:pStyle w:val="56"/>
        <w:spacing w:beforeLines="50"/>
        <w:ind w:firstLine="567"/>
        <w:rPr>
          <w:rFonts w:ascii="宋体" w:hAnsi="宋体"/>
          <w:bCs/>
          <w:sz w:val="20"/>
          <w:szCs w:val="20"/>
          <w:highlight w:val="none"/>
        </w:rPr>
      </w:pPr>
      <w:r>
        <w:rPr>
          <w:rFonts w:hint="eastAsia" w:ascii="宋体" w:hAnsi="宋体"/>
          <w:bCs/>
          <w:sz w:val="20"/>
          <w:szCs w:val="20"/>
          <w:highlight w:val="none"/>
        </w:rPr>
        <w:t>4.污泥含水率超标违约金的计算</w:t>
      </w:r>
    </w:p>
    <w:p>
      <w:pPr>
        <w:pStyle w:val="56"/>
        <w:spacing w:beforeLines="50"/>
        <w:ind w:firstLine="567"/>
        <w:rPr>
          <w:rFonts w:ascii="宋体" w:hAnsi="宋体"/>
          <w:bCs/>
          <w:sz w:val="20"/>
          <w:szCs w:val="20"/>
          <w:highlight w:val="none"/>
        </w:rPr>
      </w:pPr>
      <w:r>
        <w:rPr>
          <w:rFonts w:hint="eastAsia" w:ascii="宋体" w:hAnsi="宋体"/>
          <w:bCs/>
          <w:sz w:val="20"/>
          <w:szCs w:val="20"/>
          <w:highlight w:val="none"/>
        </w:rPr>
        <w:t>污水处理厂按规定的污泥含水率标准，日常检测及复检每月达标率应不低于93.3%。污水处理厂污泥含水率指标的月达标率如低于上述指标要求，则视为其污泥排放指标月度不合格，甲方将从每月运营服务付费中按每月0.1万元来计扣月度污泥排放不合格违约金。</w:t>
      </w:r>
    </w:p>
    <w:p>
      <w:pPr>
        <w:pStyle w:val="56"/>
        <w:numPr>
          <w:ilvl w:val="0"/>
          <w:numId w:val="12"/>
        </w:numPr>
        <w:spacing w:beforeLines="50"/>
        <w:ind w:firstLine="567"/>
        <w:rPr>
          <w:rFonts w:ascii="宋体" w:hAnsi="宋体"/>
          <w:sz w:val="20"/>
          <w:highlight w:val="none"/>
        </w:rPr>
      </w:pPr>
      <w:r>
        <w:rPr>
          <w:rFonts w:hint="eastAsia" w:ascii="宋体" w:hAnsi="宋体"/>
          <w:sz w:val="20"/>
          <w:highlight w:val="none"/>
        </w:rPr>
        <w:t>大气污染物排放、噪声超标违约金的计算</w:t>
      </w:r>
    </w:p>
    <w:p>
      <w:pPr>
        <w:pStyle w:val="56"/>
        <w:spacing w:beforeLines="50"/>
        <w:rPr>
          <w:rFonts w:ascii="宋体" w:hAnsi="宋体"/>
          <w:sz w:val="20"/>
          <w:highlight w:val="none"/>
        </w:rPr>
      </w:pPr>
      <w:r>
        <w:rPr>
          <w:rFonts w:hint="eastAsia" w:ascii="宋体" w:hAnsi="宋体"/>
          <w:sz w:val="20"/>
          <w:highlight w:val="none"/>
        </w:rPr>
        <w:t xml:space="preserve">    </w:t>
      </w:r>
      <w:r>
        <w:rPr>
          <w:rFonts w:hint="eastAsia" w:ascii="宋体" w:hAnsi="宋体"/>
          <w:bCs/>
          <w:sz w:val="20"/>
          <w:szCs w:val="20"/>
          <w:highlight w:val="none"/>
        </w:rPr>
        <w:t>污水处理厂</w:t>
      </w:r>
      <w:r>
        <w:rPr>
          <w:rFonts w:hint="eastAsia" w:ascii="宋体" w:hAnsi="宋体"/>
          <w:sz w:val="20"/>
          <w:highlight w:val="none"/>
        </w:rPr>
        <w:t>大气污染物排放或噪声在第三方或环保部门</w:t>
      </w:r>
      <w:r>
        <w:rPr>
          <w:rFonts w:hint="eastAsia" w:ascii="宋体" w:hAnsi="宋体"/>
          <w:bCs/>
          <w:sz w:val="20"/>
          <w:szCs w:val="20"/>
          <w:highlight w:val="none"/>
        </w:rPr>
        <w:t>检测中超标的，甲方将从运营服务费中按每次0.1万元来计扣排放不合格违约金。</w:t>
      </w:r>
    </w:p>
    <w:p>
      <w:pPr>
        <w:pStyle w:val="56"/>
        <w:spacing w:beforeLines="50"/>
        <w:ind w:firstLine="567"/>
        <w:rPr>
          <w:rFonts w:ascii="宋体" w:hAnsi="宋体"/>
          <w:bCs/>
          <w:sz w:val="20"/>
          <w:szCs w:val="20"/>
          <w:highlight w:val="none"/>
          <w:lang w:val="fr-FR"/>
        </w:rPr>
      </w:pPr>
      <w:r>
        <w:rPr>
          <w:rFonts w:hint="eastAsia" w:ascii="宋体" w:hAnsi="宋体"/>
          <w:bCs/>
          <w:sz w:val="20"/>
          <w:szCs w:val="20"/>
          <w:highlight w:val="none"/>
        </w:rPr>
        <w:t>上述违约金不应视作已缴纳环保或政府部门的罚款。</w:t>
      </w:r>
    </w:p>
    <w:p>
      <w:pPr>
        <w:pStyle w:val="56"/>
        <w:spacing w:beforeLines="50"/>
        <w:ind w:firstLine="567"/>
        <w:rPr>
          <w:rFonts w:ascii="宋体" w:hAnsi="宋体"/>
          <w:bCs/>
          <w:sz w:val="20"/>
          <w:szCs w:val="20"/>
          <w:highlight w:val="none"/>
          <w:lang w:val="fr-FR"/>
        </w:rPr>
      </w:pPr>
      <w:r>
        <w:rPr>
          <w:rFonts w:hint="eastAsia" w:ascii="宋体" w:hAnsi="宋体"/>
          <w:bCs/>
          <w:sz w:val="20"/>
          <w:szCs w:val="20"/>
          <w:highlight w:val="none"/>
          <w:lang w:val="fr-FR"/>
        </w:rPr>
        <w:t>注：不可抗力期间不适用</w:t>
      </w:r>
    </w:p>
    <w:p>
      <w:pPr>
        <w:pStyle w:val="56"/>
        <w:spacing w:beforeLines="50"/>
        <w:textAlignment w:val="baseline"/>
        <w:rPr>
          <w:rFonts w:ascii="宋体" w:hAnsi="宋体"/>
          <w:b/>
          <w:sz w:val="20"/>
          <w:szCs w:val="20"/>
          <w:highlight w:val="none"/>
        </w:rPr>
      </w:pPr>
      <w:bookmarkStart w:id="536" w:name="_Toc202677018"/>
      <w:bookmarkStart w:id="537" w:name="_Toc246596772"/>
      <w:r>
        <w:rPr>
          <w:rFonts w:hint="eastAsia" w:ascii="宋体" w:hAnsi="宋体"/>
          <w:b/>
          <w:sz w:val="20"/>
          <w:szCs w:val="20"/>
          <w:highlight w:val="none"/>
        </w:rPr>
        <w:t>附录7 污水处理厂水质及污泥检测项目、周期和标准</w:t>
      </w:r>
      <w:bookmarkEnd w:id="536"/>
      <w:bookmarkEnd w:id="537"/>
    </w:p>
    <w:p>
      <w:pPr>
        <w:pStyle w:val="56"/>
        <w:spacing w:beforeLines="50"/>
        <w:ind w:firstLine="567"/>
        <w:rPr>
          <w:rFonts w:ascii="宋体" w:hAnsi="宋体"/>
          <w:bCs/>
          <w:sz w:val="20"/>
          <w:szCs w:val="20"/>
          <w:highlight w:val="none"/>
          <w:lang w:val="fr-FR"/>
        </w:rPr>
      </w:pPr>
      <w:r>
        <w:rPr>
          <w:rFonts w:hint="eastAsia" w:ascii="宋体" w:hAnsi="宋体"/>
          <w:bCs/>
          <w:sz w:val="20"/>
          <w:szCs w:val="20"/>
          <w:highlight w:val="none"/>
          <w:lang w:val="fr-FR"/>
        </w:rPr>
        <w:t>1、水质检测项目及周期表</w:t>
      </w:r>
    </w:p>
    <w:tbl>
      <w:tblPr>
        <w:tblStyle w:val="25"/>
        <w:tblW w:w="96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2711"/>
        <w:gridCol w:w="689"/>
        <w:gridCol w:w="714"/>
        <w:gridCol w:w="4098"/>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705"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序号</w:t>
            </w:r>
          </w:p>
        </w:tc>
        <w:tc>
          <w:tcPr>
            <w:tcW w:w="2711"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项目</w:t>
            </w:r>
          </w:p>
        </w:tc>
        <w:tc>
          <w:tcPr>
            <w:tcW w:w="689"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周期</w:t>
            </w:r>
          </w:p>
        </w:tc>
        <w:tc>
          <w:tcPr>
            <w:tcW w:w="714"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序号</w:t>
            </w:r>
          </w:p>
        </w:tc>
        <w:tc>
          <w:tcPr>
            <w:tcW w:w="4098"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项目</w:t>
            </w:r>
          </w:p>
        </w:tc>
        <w:tc>
          <w:tcPr>
            <w:tcW w:w="780"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705"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1</w:t>
            </w:r>
          </w:p>
        </w:tc>
        <w:tc>
          <w:tcPr>
            <w:tcW w:w="2711"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PH值</w:t>
            </w:r>
          </w:p>
        </w:tc>
        <w:tc>
          <w:tcPr>
            <w:tcW w:w="689" w:type="dxa"/>
            <w:vMerge w:val="restart"/>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每</w:t>
            </w:r>
          </w:p>
          <w:p>
            <w:pPr>
              <w:pStyle w:val="56"/>
              <w:spacing w:beforeLines="50"/>
              <w:rPr>
                <w:rFonts w:ascii="宋体" w:hAnsi="宋体"/>
                <w:bCs/>
                <w:sz w:val="20"/>
                <w:szCs w:val="20"/>
                <w:highlight w:val="none"/>
              </w:rPr>
            </w:pPr>
            <w:r>
              <w:rPr>
                <w:rFonts w:hint="eastAsia" w:ascii="宋体" w:hAnsi="宋体"/>
                <w:bCs/>
                <w:sz w:val="20"/>
                <w:szCs w:val="20"/>
                <w:highlight w:val="none"/>
              </w:rPr>
              <w:t>日</w:t>
            </w:r>
          </w:p>
          <w:p>
            <w:pPr>
              <w:pStyle w:val="56"/>
              <w:spacing w:beforeLines="50"/>
              <w:rPr>
                <w:rFonts w:ascii="宋体" w:hAnsi="宋体"/>
                <w:bCs/>
                <w:sz w:val="20"/>
                <w:szCs w:val="20"/>
                <w:highlight w:val="none"/>
              </w:rPr>
            </w:pPr>
            <w:r>
              <w:rPr>
                <w:rFonts w:hint="eastAsia" w:ascii="宋体" w:hAnsi="宋体"/>
                <w:bCs/>
                <w:sz w:val="20"/>
                <w:szCs w:val="20"/>
                <w:highlight w:val="none"/>
              </w:rPr>
              <w:t>一</w:t>
            </w:r>
          </w:p>
          <w:p>
            <w:pPr>
              <w:pStyle w:val="56"/>
              <w:spacing w:beforeLines="50"/>
              <w:rPr>
                <w:rFonts w:ascii="宋体" w:hAnsi="宋体"/>
                <w:bCs/>
                <w:sz w:val="20"/>
                <w:szCs w:val="20"/>
                <w:highlight w:val="none"/>
              </w:rPr>
            </w:pPr>
            <w:r>
              <w:rPr>
                <w:rFonts w:hint="eastAsia" w:ascii="宋体" w:hAnsi="宋体"/>
                <w:bCs/>
                <w:sz w:val="20"/>
                <w:szCs w:val="20"/>
                <w:highlight w:val="none"/>
              </w:rPr>
              <w:t>次</w:t>
            </w:r>
          </w:p>
        </w:tc>
        <w:tc>
          <w:tcPr>
            <w:tcW w:w="714"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21</w:t>
            </w:r>
          </w:p>
        </w:tc>
        <w:tc>
          <w:tcPr>
            <w:tcW w:w="4098"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动植物油类</w:t>
            </w:r>
          </w:p>
        </w:tc>
        <w:tc>
          <w:tcPr>
            <w:tcW w:w="780" w:type="dxa"/>
            <w:vMerge w:val="restart"/>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每</w:t>
            </w:r>
          </w:p>
          <w:p>
            <w:pPr>
              <w:pStyle w:val="56"/>
              <w:spacing w:beforeLines="50"/>
              <w:rPr>
                <w:rFonts w:ascii="宋体" w:hAnsi="宋体"/>
                <w:bCs/>
                <w:sz w:val="20"/>
                <w:szCs w:val="20"/>
                <w:highlight w:val="none"/>
              </w:rPr>
            </w:pPr>
            <w:r>
              <w:rPr>
                <w:rFonts w:hint="eastAsia" w:ascii="宋体" w:hAnsi="宋体"/>
                <w:bCs/>
                <w:sz w:val="20"/>
                <w:szCs w:val="20"/>
                <w:highlight w:val="none"/>
              </w:rPr>
              <w:t>月</w:t>
            </w:r>
          </w:p>
          <w:p>
            <w:pPr>
              <w:pStyle w:val="56"/>
              <w:spacing w:beforeLines="50"/>
              <w:rPr>
                <w:rFonts w:ascii="宋体" w:hAnsi="宋体"/>
                <w:bCs/>
                <w:sz w:val="20"/>
                <w:szCs w:val="20"/>
                <w:highlight w:val="none"/>
              </w:rPr>
            </w:pPr>
            <w:r>
              <w:rPr>
                <w:rFonts w:hint="eastAsia" w:ascii="宋体" w:hAnsi="宋体"/>
                <w:bCs/>
                <w:sz w:val="20"/>
                <w:szCs w:val="20"/>
                <w:highlight w:val="none"/>
              </w:rPr>
              <w:t>一</w:t>
            </w:r>
          </w:p>
          <w:p>
            <w:pPr>
              <w:pStyle w:val="56"/>
              <w:spacing w:beforeLines="50"/>
              <w:rPr>
                <w:rFonts w:ascii="宋体" w:hAnsi="宋体"/>
                <w:bCs/>
                <w:sz w:val="20"/>
                <w:szCs w:val="20"/>
                <w:highlight w:val="none"/>
              </w:rPr>
            </w:pPr>
            <w:r>
              <w:rPr>
                <w:rFonts w:hint="eastAsia" w:ascii="宋体" w:hAnsi="宋体"/>
                <w:bCs/>
                <w:sz w:val="20"/>
                <w:szCs w:val="20"/>
                <w:highlight w:val="none"/>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705"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2</w:t>
            </w:r>
          </w:p>
        </w:tc>
        <w:tc>
          <w:tcPr>
            <w:tcW w:w="2711"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悬浮物SS</w:t>
            </w:r>
          </w:p>
        </w:tc>
        <w:tc>
          <w:tcPr>
            <w:tcW w:w="689" w:type="dxa"/>
            <w:vMerge w:val="continue"/>
            <w:vAlign w:val="center"/>
          </w:tcPr>
          <w:p>
            <w:pPr>
              <w:pStyle w:val="56"/>
              <w:spacing w:beforeLines="50"/>
              <w:ind w:firstLine="567"/>
              <w:rPr>
                <w:rFonts w:ascii="宋体" w:hAnsi="宋体"/>
                <w:bCs/>
                <w:sz w:val="20"/>
                <w:szCs w:val="20"/>
                <w:highlight w:val="none"/>
              </w:rPr>
            </w:pPr>
          </w:p>
        </w:tc>
        <w:tc>
          <w:tcPr>
            <w:tcW w:w="714"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22</w:t>
            </w:r>
          </w:p>
        </w:tc>
        <w:tc>
          <w:tcPr>
            <w:tcW w:w="4098"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石油类</w:t>
            </w:r>
          </w:p>
        </w:tc>
        <w:tc>
          <w:tcPr>
            <w:tcW w:w="780" w:type="dxa"/>
            <w:vMerge w:val="continue"/>
            <w:vAlign w:val="center"/>
          </w:tcPr>
          <w:p>
            <w:pPr>
              <w:pStyle w:val="56"/>
              <w:spacing w:beforeLines="50"/>
              <w:ind w:firstLine="567"/>
              <w:rPr>
                <w:rFonts w:ascii="宋体" w:hAnsi="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705"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3</w:t>
            </w:r>
          </w:p>
        </w:tc>
        <w:tc>
          <w:tcPr>
            <w:tcW w:w="2711"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生化需氧量BOD</w:t>
            </w:r>
            <w:r>
              <w:rPr>
                <w:rFonts w:hint="eastAsia" w:ascii="宋体" w:hAnsi="宋体"/>
                <w:bCs/>
                <w:sz w:val="20"/>
                <w:szCs w:val="20"/>
                <w:highlight w:val="none"/>
                <w:vertAlign w:val="subscript"/>
              </w:rPr>
              <w:t>5</w:t>
            </w:r>
          </w:p>
        </w:tc>
        <w:tc>
          <w:tcPr>
            <w:tcW w:w="689" w:type="dxa"/>
            <w:vMerge w:val="continue"/>
            <w:vAlign w:val="center"/>
          </w:tcPr>
          <w:p>
            <w:pPr>
              <w:pStyle w:val="56"/>
              <w:spacing w:beforeLines="50"/>
              <w:ind w:firstLine="567"/>
              <w:rPr>
                <w:rFonts w:ascii="宋体" w:hAnsi="宋体"/>
                <w:bCs/>
                <w:sz w:val="20"/>
                <w:szCs w:val="20"/>
                <w:highlight w:val="none"/>
              </w:rPr>
            </w:pPr>
          </w:p>
        </w:tc>
        <w:tc>
          <w:tcPr>
            <w:tcW w:w="714"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23</w:t>
            </w:r>
          </w:p>
        </w:tc>
        <w:tc>
          <w:tcPr>
            <w:tcW w:w="4098"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阴离子合成洗涤剂</w:t>
            </w:r>
          </w:p>
        </w:tc>
        <w:tc>
          <w:tcPr>
            <w:tcW w:w="780" w:type="dxa"/>
            <w:vMerge w:val="continue"/>
            <w:vAlign w:val="center"/>
          </w:tcPr>
          <w:p>
            <w:pPr>
              <w:pStyle w:val="56"/>
              <w:spacing w:beforeLines="50"/>
              <w:ind w:firstLine="567"/>
              <w:rPr>
                <w:rFonts w:ascii="宋体" w:hAnsi="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11" w:hRule="atLeast"/>
        </w:trPr>
        <w:tc>
          <w:tcPr>
            <w:tcW w:w="705"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4</w:t>
            </w:r>
          </w:p>
        </w:tc>
        <w:tc>
          <w:tcPr>
            <w:tcW w:w="2711"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化学需氧量COD</w:t>
            </w:r>
            <w:r>
              <w:rPr>
                <w:rFonts w:hint="eastAsia" w:ascii="宋体" w:hAnsi="宋体"/>
                <w:bCs/>
                <w:sz w:val="20"/>
                <w:szCs w:val="20"/>
                <w:highlight w:val="none"/>
                <w:vertAlign w:val="subscript"/>
              </w:rPr>
              <w:t>cr</w:t>
            </w:r>
          </w:p>
        </w:tc>
        <w:tc>
          <w:tcPr>
            <w:tcW w:w="689" w:type="dxa"/>
            <w:vMerge w:val="continue"/>
            <w:vAlign w:val="center"/>
          </w:tcPr>
          <w:p>
            <w:pPr>
              <w:pStyle w:val="56"/>
              <w:spacing w:beforeLines="50"/>
              <w:ind w:firstLine="567"/>
              <w:rPr>
                <w:rFonts w:ascii="宋体" w:hAnsi="宋体"/>
                <w:bCs/>
                <w:sz w:val="20"/>
                <w:szCs w:val="20"/>
                <w:highlight w:val="none"/>
              </w:rPr>
            </w:pPr>
          </w:p>
        </w:tc>
        <w:tc>
          <w:tcPr>
            <w:tcW w:w="714"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24</w:t>
            </w:r>
          </w:p>
        </w:tc>
        <w:tc>
          <w:tcPr>
            <w:tcW w:w="4098"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色度</w:t>
            </w:r>
          </w:p>
        </w:tc>
        <w:tc>
          <w:tcPr>
            <w:tcW w:w="780" w:type="dxa"/>
            <w:vMerge w:val="continue"/>
            <w:vAlign w:val="center"/>
          </w:tcPr>
          <w:p>
            <w:pPr>
              <w:pStyle w:val="56"/>
              <w:spacing w:beforeLines="50"/>
              <w:ind w:firstLine="567"/>
              <w:rPr>
                <w:rFonts w:ascii="宋体" w:hAnsi="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705"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5</w:t>
            </w:r>
          </w:p>
        </w:tc>
        <w:tc>
          <w:tcPr>
            <w:tcW w:w="2711"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总氮TN</w:t>
            </w:r>
          </w:p>
        </w:tc>
        <w:tc>
          <w:tcPr>
            <w:tcW w:w="689" w:type="dxa"/>
            <w:vMerge w:val="continue"/>
            <w:vAlign w:val="center"/>
          </w:tcPr>
          <w:p>
            <w:pPr>
              <w:pStyle w:val="56"/>
              <w:spacing w:beforeLines="50"/>
              <w:ind w:firstLine="567"/>
              <w:rPr>
                <w:rFonts w:ascii="宋体" w:hAnsi="宋体"/>
                <w:bCs/>
                <w:sz w:val="20"/>
                <w:szCs w:val="20"/>
                <w:highlight w:val="none"/>
              </w:rPr>
            </w:pPr>
          </w:p>
        </w:tc>
        <w:tc>
          <w:tcPr>
            <w:tcW w:w="714"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25</w:t>
            </w:r>
          </w:p>
        </w:tc>
        <w:tc>
          <w:tcPr>
            <w:tcW w:w="4098"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甲醛</w:t>
            </w:r>
          </w:p>
        </w:tc>
        <w:tc>
          <w:tcPr>
            <w:tcW w:w="780" w:type="dxa"/>
            <w:vMerge w:val="continue"/>
            <w:vAlign w:val="center"/>
          </w:tcPr>
          <w:p>
            <w:pPr>
              <w:pStyle w:val="56"/>
              <w:spacing w:beforeLines="50"/>
              <w:ind w:firstLine="567"/>
              <w:rPr>
                <w:rFonts w:ascii="宋体" w:hAnsi="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705"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6</w:t>
            </w:r>
          </w:p>
        </w:tc>
        <w:tc>
          <w:tcPr>
            <w:tcW w:w="2711"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氨氮NH</w:t>
            </w:r>
            <w:r>
              <w:rPr>
                <w:rFonts w:hint="eastAsia" w:ascii="宋体" w:hAnsi="宋体"/>
                <w:bCs/>
                <w:sz w:val="20"/>
                <w:szCs w:val="20"/>
                <w:highlight w:val="none"/>
                <w:vertAlign w:val="subscript"/>
              </w:rPr>
              <w:t>4</w:t>
            </w:r>
            <w:r>
              <w:rPr>
                <w:rFonts w:hint="eastAsia" w:ascii="宋体" w:hAnsi="宋体"/>
                <w:bCs/>
                <w:sz w:val="20"/>
                <w:szCs w:val="20"/>
                <w:highlight w:val="none"/>
                <w:vertAlign w:val="superscript"/>
              </w:rPr>
              <w:t>+</w:t>
            </w:r>
            <w:r>
              <w:rPr>
                <w:rFonts w:hint="eastAsia" w:ascii="宋体" w:hAnsi="宋体"/>
                <w:bCs/>
                <w:sz w:val="20"/>
                <w:szCs w:val="20"/>
                <w:highlight w:val="none"/>
              </w:rPr>
              <w:t>-N</w:t>
            </w:r>
          </w:p>
        </w:tc>
        <w:tc>
          <w:tcPr>
            <w:tcW w:w="689" w:type="dxa"/>
            <w:vMerge w:val="continue"/>
            <w:vAlign w:val="center"/>
          </w:tcPr>
          <w:p>
            <w:pPr>
              <w:pStyle w:val="56"/>
              <w:spacing w:beforeLines="50"/>
              <w:ind w:firstLine="567"/>
              <w:rPr>
                <w:rFonts w:ascii="宋体" w:hAnsi="宋体"/>
                <w:bCs/>
                <w:sz w:val="20"/>
                <w:szCs w:val="20"/>
                <w:highlight w:val="none"/>
              </w:rPr>
            </w:pPr>
          </w:p>
        </w:tc>
        <w:tc>
          <w:tcPr>
            <w:tcW w:w="714"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26</w:t>
            </w:r>
          </w:p>
        </w:tc>
        <w:tc>
          <w:tcPr>
            <w:tcW w:w="4098"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苯胺</w:t>
            </w:r>
          </w:p>
        </w:tc>
        <w:tc>
          <w:tcPr>
            <w:tcW w:w="780" w:type="dxa"/>
            <w:vMerge w:val="restart"/>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每</w:t>
            </w:r>
          </w:p>
          <w:p>
            <w:pPr>
              <w:pStyle w:val="56"/>
              <w:spacing w:beforeLines="50"/>
              <w:rPr>
                <w:rFonts w:ascii="宋体" w:hAnsi="宋体"/>
                <w:bCs/>
                <w:sz w:val="20"/>
                <w:szCs w:val="20"/>
                <w:highlight w:val="none"/>
              </w:rPr>
            </w:pPr>
            <w:r>
              <w:rPr>
                <w:rFonts w:hint="eastAsia" w:ascii="宋体" w:hAnsi="宋体"/>
                <w:bCs/>
                <w:sz w:val="20"/>
                <w:szCs w:val="20"/>
                <w:highlight w:val="none"/>
              </w:rPr>
              <w:t>半</w:t>
            </w:r>
          </w:p>
          <w:p>
            <w:pPr>
              <w:pStyle w:val="56"/>
              <w:spacing w:beforeLines="50"/>
              <w:rPr>
                <w:rFonts w:ascii="宋体" w:hAnsi="宋体"/>
                <w:bCs/>
                <w:sz w:val="20"/>
                <w:szCs w:val="20"/>
                <w:highlight w:val="none"/>
              </w:rPr>
            </w:pPr>
            <w:r>
              <w:rPr>
                <w:rFonts w:hint="eastAsia" w:ascii="宋体" w:hAnsi="宋体"/>
                <w:bCs/>
                <w:sz w:val="20"/>
                <w:szCs w:val="20"/>
                <w:highlight w:val="none"/>
              </w:rPr>
              <w:t>年</w:t>
            </w:r>
          </w:p>
          <w:p>
            <w:pPr>
              <w:pStyle w:val="56"/>
              <w:spacing w:beforeLines="50"/>
              <w:rPr>
                <w:rFonts w:ascii="宋体" w:hAnsi="宋体"/>
                <w:bCs/>
                <w:sz w:val="20"/>
                <w:szCs w:val="20"/>
                <w:highlight w:val="none"/>
              </w:rPr>
            </w:pPr>
            <w:r>
              <w:rPr>
                <w:rFonts w:hint="eastAsia" w:ascii="宋体" w:hAnsi="宋体"/>
                <w:bCs/>
                <w:sz w:val="20"/>
                <w:szCs w:val="20"/>
                <w:highlight w:val="none"/>
              </w:rPr>
              <w:t>一</w:t>
            </w:r>
          </w:p>
          <w:p>
            <w:pPr>
              <w:pStyle w:val="56"/>
              <w:spacing w:beforeLines="50"/>
              <w:rPr>
                <w:rFonts w:ascii="宋体" w:hAnsi="宋体"/>
                <w:bCs/>
                <w:sz w:val="20"/>
                <w:szCs w:val="20"/>
                <w:highlight w:val="none"/>
              </w:rPr>
            </w:pPr>
            <w:r>
              <w:rPr>
                <w:rFonts w:hint="eastAsia" w:ascii="宋体" w:hAnsi="宋体"/>
                <w:bCs/>
                <w:sz w:val="20"/>
                <w:szCs w:val="20"/>
                <w:highlight w:val="none"/>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705"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7</w:t>
            </w:r>
          </w:p>
        </w:tc>
        <w:tc>
          <w:tcPr>
            <w:tcW w:w="2711"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总磷TP</w:t>
            </w:r>
          </w:p>
        </w:tc>
        <w:tc>
          <w:tcPr>
            <w:tcW w:w="689" w:type="dxa"/>
            <w:vMerge w:val="continue"/>
            <w:vAlign w:val="center"/>
          </w:tcPr>
          <w:p>
            <w:pPr>
              <w:pStyle w:val="56"/>
              <w:spacing w:beforeLines="50"/>
              <w:ind w:firstLine="567"/>
              <w:rPr>
                <w:rFonts w:ascii="宋体" w:hAnsi="宋体"/>
                <w:bCs/>
                <w:sz w:val="20"/>
                <w:szCs w:val="20"/>
                <w:highlight w:val="none"/>
              </w:rPr>
            </w:pPr>
          </w:p>
        </w:tc>
        <w:tc>
          <w:tcPr>
            <w:tcW w:w="714"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27</w:t>
            </w:r>
          </w:p>
        </w:tc>
        <w:tc>
          <w:tcPr>
            <w:tcW w:w="4098"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六价铬</w:t>
            </w:r>
          </w:p>
        </w:tc>
        <w:tc>
          <w:tcPr>
            <w:tcW w:w="780" w:type="dxa"/>
            <w:vMerge w:val="continue"/>
            <w:vAlign w:val="center"/>
          </w:tcPr>
          <w:p>
            <w:pPr>
              <w:pStyle w:val="56"/>
              <w:spacing w:beforeLines="50"/>
              <w:ind w:firstLine="567"/>
              <w:rPr>
                <w:rFonts w:ascii="宋体" w:hAnsi="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705"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8</w:t>
            </w:r>
          </w:p>
        </w:tc>
        <w:tc>
          <w:tcPr>
            <w:tcW w:w="2711"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SV%</w:t>
            </w:r>
          </w:p>
        </w:tc>
        <w:tc>
          <w:tcPr>
            <w:tcW w:w="689" w:type="dxa"/>
            <w:vMerge w:val="restart"/>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每</w:t>
            </w:r>
          </w:p>
          <w:p>
            <w:pPr>
              <w:pStyle w:val="56"/>
              <w:spacing w:beforeLines="50"/>
              <w:rPr>
                <w:rFonts w:ascii="宋体" w:hAnsi="宋体"/>
                <w:bCs/>
                <w:sz w:val="20"/>
                <w:szCs w:val="20"/>
                <w:highlight w:val="none"/>
              </w:rPr>
            </w:pPr>
            <w:r>
              <w:rPr>
                <w:rFonts w:hint="eastAsia" w:ascii="宋体" w:hAnsi="宋体"/>
                <w:bCs/>
                <w:sz w:val="20"/>
                <w:szCs w:val="20"/>
                <w:highlight w:val="none"/>
              </w:rPr>
              <w:t>周</w:t>
            </w:r>
          </w:p>
          <w:p>
            <w:pPr>
              <w:pStyle w:val="56"/>
              <w:spacing w:beforeLines="50"/>
              <w:rPr>
                <w:rFonts w:ascii="宋体" w:hAnsi="宋体"/>
                <w:bCs/>
                <w:sz w:val="20"/>
                <w:szCs w:val="20"/>
                <w:highlight w:val="none"/>
              </w:rPr>
            </w:pPr>
            <w:r>
              <w:rPr>
                <w:rFonts w:hint="eastAsia" w:ascii="宋体" w:hAnsi="宋体"/>
                <w:bCs/>
                <w:sz w:val="20"/>
                <w:szCs w:val="20"/>
                <w:highlight w:val="none"/>
              </w:rPr>
              <w:t>一</w:t>
            </w:r>
          </w:p>
          <w:p>
            <w:pPr>
              <w:pStyle w:val="56"/>
              <w:spacing w:beforeLines="50"/>
              <w:rPr>
                <w:rFonts w:ascii="宋体" w:hAnsi="宋体"/>
                <w:bCs/>
                <w:sz w:val="20"/>
                <w:szCs w:val="20"/>
                <w:highlight w:val="none"/>
              </w:rPr>
            </w:pPr>
            <w:r>
              <w:rPr>
                <w:rFonts w:hint="eastAsia" w:ascii="宋体" w:hAnsi="宋体"/>
                <w:bCs/>
                <w:sz w:val="20"/>
                <w:szCs w:val="20"/>
                <w:highlight w:val="none"/>
              </w:rPr>
              <w:t>次</w:t>
            </w:r>
          </w:p>
        </w:tc>
        <w:tc>
          <w:tcPr>
            <w:tcW w:w="714"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28</w:t>
            </w:r>
          </w:p>
        </w:tc>
        <w:tc>
          <w:tcPr>
            <w:tcW w:w="4098"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总汞</w:t>
            </w:r>
          </w:p>
        </w:tc>
        <w:tc>
          <w:tcPr>
            <w:tcW w:w="780" w:type="dxa"/>
            <w:vMerge w:val="continue"/>
            <w:vAlign w:val="center"/>
          </w:tcPr>
          <w:p>
            <w:pPr>
              <w:pStyle w:val="56"/>
              <w:spacing w:beforeLines="50"/>
              <w:ind w:firstLine="567"/>
              <w:rPr>
                <w:rFonts w:ascii="宋体" w:hAnsi="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11" w:hRule="atLeast"/>
        </w:trPr>
        <w:tc>
          <w:tcPr>
            <w:tcW w:w="705"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9</w:t>
            </w:r>
          </w:p>
        </w:tc>
        <w:tc>
          <w:tcPr>
            <w:tcW w:w="2711"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MLSS</w:t>
            </w:r>
          </w:p>
        </w:tc>
        <w:tc>
          <w:tcPr>
            <w:tcW w:w="689" w:type="dxa"/>
            <w:vMerge w:val="continue"/>
            <w:vAlign w:val="center"/>
          </w:tcPr>
          <w:p>
            <w:pPr>
              <w:pStyle w:val="56"/>
              <w:spacing w:beforeLines="50"/>
              <w:ind w:firstLine="567"/>
              <w:rPr>
                <w:rFonts w:ascii="宋体" w:hAnsi="宋体"/>
                <w:bCs/>
                <w:sz w:val="20"/>
                <w:szCs w:val="20"/>
                <w:highlight w:val="none"/>
              </w:rPr>
            </w:pPr>
          </w:p>
        </w:tc>
        <w:tc>
          <w:tcPr>
            <w:tcW w:w="714"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29</w:t>
            </w:r>
          </w:p>
        </w:tc>
        <w:tc>
          <w:tcPr>
            <w:tcW w:w="4098"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烷基汞</w:t>
            </w:r>
          </w:p>
        </w:tc>
        <w:tc>
          <w:tcPr>
            <w:tcW w:w="780" w:type="dxa"/>
            <w:vMerge w:val="continue"/>
            <w:vAlign w:val="center"/>
          </w:tcPr>
          <w:p>
            <w:pPr>
              <w:pStyle w:val="56"/>
              <w:spacing w:beforeLines="50"/>
              <w:ind w:firstLine="567"/>
              <w:rPr>
                <w:rFonts w:ascii="宋体" w:hAnsi="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705"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10</w:t>
            </w:r>
          </w:p>
        </w:tc>
        <w:tc>
          <w:tcPr>
            <w:tcW w:w="2711"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溶解氧</w:t>
            </w:r>
          </w:p>
        </w:tc>
        <w:tc>
          <w:tcPr>
            <w:tcW w:w="689" w:type="dxa"/>
            <w:vMerge w:val="continue"/>
            <w:vAlign w:val="center"/>
          </w:tcPr>
          <w:p>
            <w:pPr>
              <w:pStyle w:val="56"/>
              <w:spacing w:beforeLines="50"/>
              <w:ind w:firstLine="567"/>
              <w:rPr>
                <w:rFonts w:ascii="宋体" w:hAnsi="宋体"/>
                <w:bCs/>
                <w:sz w:val="20"/>
                <w:szCs w:val="20"/>
                <w:highlight w:val="none"/>
              </w:rPr>
            </w:pPr>
          </w:p>
        </w:tc>
        <w:tc>
          <w:tcPr>
            <w:tcW w:w="714"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30</w:t>
            </w:r>
          </w:p>
        </w:tc>
        <w:tc>
          <w:tcPr>
            <w:tcW w:w="4098"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总镉</w:t>
            </w:r>
          </w:p>
        </w:tc>
        <w:tc>
          <w:tcPr>
            <w:tcW w:w="780" w:type="dxa"/>
            <w:vMerge w:val="continue"/>
            <w:vAlign w:val="center"/>
          </w:tcPr>
          <w:p>
            <w:pPr>
              <w:pStyle w:val="56"/>
              <w:spacing w:beforeLines="50"/>
              <w:ind w:firstLine="567"/>
              <w:rPr>
                <w:rFonts w:ascii="宋体" w:hAnsi="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705"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11</w:t>
            </w:r>
          </w:p>
        </w:tc>
        <w:tc>
          <w:tcPr>
            <w:tcW w:w="2711"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硝酸盐氮（亚硝酸盐氮）</w:t>
            </w:r>
          </w:p>
        </w:tc>
        <w:tc>
          <w:tcPr>
            <w:tcW w:w="689" w:type="dxa"/>
            <w:vMerge w:val="continue"/>
            <w:vAlign w:val="center"/>
          </w:tcPr>
          <w:p>
            <w:pPr>
              <w:pStyle w:val="56"/>
              <w:spacing w:beforeLines="50"/>
              <w:ind w:firstLine="567"/>
              <w:rPr>
                <w:rFonts w:ascii="宋体" w:hAnsi="宋体"/>
                <w:bCs/>
                <w:sz w:val="20"/>
                <w:szCs w:val="20"/>
                <w:highlight w:val="none"/>
              </w:rPr>
            </w:pPr>
          </w:p>
        </w:tc>
        <w:tc>
          <w:tcPr>
            <w:tcW w:w="714"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31</w:t>
            </w:r>
          </w:p>
        </w:tc>
        <w:tc>
          <w:tcPr>
            <w:tcW w:w="4098"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总铬</w:t>
            </w:r>
          </w:p>
        </w:tc>
        <w:tc>
          <w:tcPr>
            <w:tcW w:w="780" w:type="dxa"/>
            <w:vMerge w:val="continue"/>
            <w:vAlign w:val="center"/>
          </w:tcPr>
          <w:p>
            <w:pPr>
              <w:pStyle w:val="56"/>
              <w:spacing w:beforeLines="50"/>
              <w:ind w:firstLine="567"/>
              <w:rPr>
                <w:rFonts w:ascii="宋体" w:hAnsi="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705"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12</w:t>
            </w:r>
          </w:p>
        </w:tc>
        <w:tc>
          <w:tcPr>
            <w:tcW w:w="2711"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MLVSS</w:t>
            </w:r>
          </w:p>
        </w:tc>
        <w:tc>
          <w:tcPr>
            <w:tcW w:w="689" w:type="dxa"/>
            <w:vMerge w:val="continue"/>
            <w:vAlign w:val="center"/>
          </w:tcPr>
          <w:p>
            <w:pPr>
              <w:pStyle w:val="56"/>
              <w:spacing w:beforeLines="50"/>
              <w:ind w:firstLine="567"/>
              <w:rPr>
                <w:rFonts w:ascii="宋体" w:hAnsi="宋体"/>
                <w:bCs/>
                <w:sz w:val="20"/>
                <w:szCs w:val="20"/>
                <w:highlight w:val="none"/>
              </w:rPr>
            </w:pPr>
          </w:p>
        </w:tc>
        <w:tc>
          <w:tcPr>
            <w:tcW w:w="714"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32</w:t>
            </w:r>
          </w:p>
        </w:tc>
        <w:tc>
          <w:tcPr>
            <w:tcW w:w="4098"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总砷</w:t>
            </w:r>
          </w:p>
        </w:tc>
        <w:tc>
          <w:tcPr>
            <w:tcW w:w="780" w:type="dxa"/>
            <w:vMerge w:val="continue"/>
            <w:vAlign w:val="center"/>
          </w:tcPr>
          <w:p>
            <w:pPr>
              <w:pStyle w:val="56"/>
              <w:spacing w:beforeLines="50"/>
              <w:ind w:firstLine="567"/>
              <w:rPr>
                <w:rFonts w:ascii="宋体" w:hAnsi="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705"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13</w:t>
            </w:r>
          </w:p>
        </w:tc>
        <w:tc>
          <w:tcPr>
            <w:tcW w:w="2711"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粪大肠菌群</w:t>
            </w:r>
          </w:p>
        </w:tc>
        <w:tc>
          <w:tcPr>
            <w:tcW w:w="689" w:type="dxa"/>
            <w:vMerge w:val="continue"/>
            <w:vAlign w:val="center"/>
          </w:tcPr>
          <w:p>
            <w:pPr>
              <w:pStyle w:val="56"/>
              <w:spacing w:beforeLines="50"/>
              <w:ind w:firstLine="567"/>
              <w:rPr>
                <w:rFonts w:ascii="宋体" w:hAnsi="宋体"/>
                <w:bCs/>
                <w:sz w:val="20"/>
                <w:szCs w:val="20"/>
                <w:highlight w:val="none"/>
              </w:rPr>
            </w:pPr>
          </w:p>
        </w:tc>
        <w:tc>
          <w:tcPr>
            <w:tcW w:w="714"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33</w:t>
            </w:r>
          </w:p>
        </w:tc>
        <w:tc>
          <w:tcPr>
            <w:tcW w:w="4098"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总铅</w:t>
            </w:r>
          </w:p>
        </w:tc>
        <w:tc>
          <w:tcPr>
            <w:tcW w:w="780" w:type="dxa"/>
            <w:vMerge w:val="continue"/>
            <w:vAlign w:val="center"/>
          </w:tcPr>
          <w:p>
            <w:pPr>
              <w:pStyle w:val="56"/>
              <w:spacing w:beforeLines="50"/>
              <w:ind w:firstLine="567"/>
              <w:rPr>
                <w:rFonts w:ascii="宋体" w:hAnsi="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11" w:hRule="atLeast"/>
        </w:trPr>
        <w:tc>
          <w:tcPr>
            <w:tcW w:w="705"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14</w:t>
            </w:r>
          </w:p>
        </w:tc>
        <w:tc>
          <w:tcPr>
            <w:tcW w:w="2711"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总固体</w:t>
            </w:r>
          </w:p>
        </w:tc>
        <w:tc>
          <w:tcPr>
            <w:tcW w:w="689" w:type="dxa"/>
            <w:vMerge w:val="continue"/>
            <w:vAlign w:val="center"/>
          </w:tcPr>
          <w:p>
            <w:pPr>
              <w:pStyle w:val="56"/>
              <w:spacing w:beforeLines="50"/>
              <w:ind w:firstLine="567"/>
              <w:rPr>
                <w:rFonts w:ascii="宋体" w:hAnsi="宋体"/>
                <w:bCs/>
                <w:sz w:val="20"/>
                <w:szCs w:val="20"/>
                <w:highlight w:val="none"/>
              </w:rPr>
            </w:pPr>
          </w:p>
        </w:tc>
        <w:tc>
          <w:tcPr>
            <w:tcW w:w="714"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34</w:t>
            </w:r>
          </w:p>
        </w:tc>
        <w:tc>
          <w:tcPr>
            <w:tcW w:w="4098"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总镍</w:t>
            </w:r>
          </w:p>
        </w:tc>
        <w:tc>
          <w:tcPr>
            <w:tcW w:w="780" w:type="dxa"/>
            <w:vMerge w:val="continue"/>
            <w:vAlign w:val="center"/>
          </w:tcPr>
          <w:p>
            <w:pPr>
              <w:pStyle w:val="56"/>
              <w:spacing w:beforeLines="50"/>
              <w:ind w:firstLine="567"/>
              <w:rPr>
                <w:rFonts w:ascii="宋体" w:hAnsi="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705"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15</w:t>
            </w:r>
          </w:p>
        </w:tc>
        <w:tc>
          <w:tcPr>
            <w:tcW w:w="2711"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溶解性固体</w:t>
            </w:r>
          </w:p>
        </w:tc>
        <w:tc>
          <w:tcPr>
            <w:tcW w:w="689" w:type="dxa"/>
            <w:vMerge w:val="continue"/>
            <w:vAlign w:val="center"/>
          </w:tcPr>
          <w:p>
            <w:pPr>
              <w:pStyle w:val="56"/>
              <w:spacing w:beforeLines="50"/>
              <w:ind w:firstLine="567"/>
              <w:rPr>
                <w:rFonts w:ascii="宋体" w:hAnsi="宋体"/>
                <w:bCs/>
                <w:sz w:val="20"/>
                <w:szCs w:val="20"/>
                <w:highlight w:val="none"/>
              </w:rPr>
            </w:pPr>
          </w:p>
        </w:tc>
        <w:tc>
          <w:tcPr>
            <w:tcW w:w="714"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35</w:t>
            </w:r>
          </w:p>
        </w:tc>
        <w:tc>
          <w:tcPr>
            <w:tcW w:w="4098"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总铜</w:t>
            </w:r>
          </w:p>
        </w:tc>
        <w:tc>
          <w:tcPr>
            <w:tcW w:w="780" w:type="dxa"/>
            <w:vMerge w:val="continue"/>
            <w:vAlign w:val="center"/>
          </w:tcPr>
          <w:p>
            <w:pPr>
              <w:pStyle w:val="56"/>
              <w:spacing w:beforeLines="50"/>
              <w:ind w:firstLine="567"/>
              <w:rPr>
                <w:rFonts w:ascii="宋体" w:hAnsi="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705"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16</w:t>
            </w:r>
          </w:p>
        </w:tc>
        <w:tc>
          <w:tcPr>
            <w:tcW w:w="2711"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TOC</w:t>
            </w:r>
          </w:p>
        </w:tc>
        <w:tc>
          <w:tcPr>
            <w:tcW w:w="689" w:type="dxa"/>
            <w:vMerge w:val="restart"/>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每月一次</w:t>
            </w:r>
          </w:p>
        </w:tc>
        <w:tc>
          <w:tcPr>
            <w:tcW w:w="714"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36</w:t>
            </w:r>
          </w:p>
        </w:tc>
        <w:tc>
          <w:tcPr>
            <w:tcW w:w="4098"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总锌</w:t>
            </w:r>
          </w:p>
        </w:tc>
        <w:tc>
          <w:tcPr>
            <w:tcW w:w="780" w:type="dxa"/>
            <w:vMerge w:val="continue"/>
            <w:vAlign w:val="center"/>
          </w:tcPr>
          <w:p>
            <w:pPr>
              <w:pStyle w:val="56"/>
              <w:spacing w:beforeLines="50"/>
              <w:ind w:firstLine="567"/>
              <w:rPr>
                <w:rFonts w:ascii="宋体" w:hAnsi="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705"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17</w:t>
            </w:r>
          </w:p>
        </w:tc>
        <w:tc>
          <w:tcPr>
            <w:tcW w:w="2711"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硫化物</w:t>
            </w:r>
          </w:p>
        </w:tc>
        <w:tc>
          <w:tcPr>
            <w:tcW w:w="689" w:type="dxa"/>
            <w:vMerge w:val="continue"/>
            <w:vAlign w:val="center"/>
          </w:tcPr>
          <w:p>
            <w:pPr>
              <w:pStyle w:val="56"/>
              <w:spacing w:beforeLines="50"/>
              <w:ind w:firstLine="567"/>
              <w:rPr>
                <w:rFonts w:ascii="宋体" w:hAnsi="宋体"/>
                <w:bCs/>
                <w:sz w:val="20"/>
                <w:szCs w:val="20"/>
                <w:highlight w:val="none"/>
              </w:rPr>
            </w:pPr>
          </w:p>
        </w:tc>
        <w:tc>
          <w:tcPr>
            <w:tcW w:w="714"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37</w:t>
            </w:r>
          </w:p>
        </w:tc>
        <w:tc>
          <w:tcPr>
            <w:tcW w:w="4098"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有机磷农药</w:t>
            </w:r>
          </w:p>
        </w:tc>
        <w:tc>
          <w:tcPr>
            <w:tcW w:w="780" w:type="dxa"/>
            <w:vMerge w:val="continue"/>
            <w:vAlign w:val="center"/>
          </w:tcPr>
          <w:p>
            <w:pPr>
              <w:pStyle w:val="56"/>
              <w:spacing w:beforeLines="50"/>
              <w:ind w:firstLine="567"/>
              <w:rPr>
                <w:rFonts w:ascii="宋体" w:hAnsi="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705"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18</w:t>
            </w:r>
          </w:p>
        </w:tc>
        <w:tc>
          <w:tcPr>
            <w:tcW w:w="2711"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氰化物</w:t>
            </w:r>
          </w:p>
        </w:tc>
        <w:tc>
          <w:tcPr>
            <w:tcW w:w="689" w:type="dxa"/>
            <w:vMerge w:val="continue"/>
            <w:vAlign w:val="center"/>
          </w:tcPr>
          <w:p>
            <w:pPr>
              <w:pStyle w:val="56"/>
              <w:spacing w:beforeLines="50"/>
              <w:ind w:firstLine="567"/>
              <w:rPr>
                <w:rFonts w:ascii="宋体" w:hAnsi="宋体"/>
                <w:bCs/>
                <w:sz w:val="20"/>
                <w:szCs w:val="20"/>
                <w:highlight w:val="none"/>
              </w:rPr>
            </w:pPr>
          </w:p>
        </w:tc>
        <w:tc>
          <w:tcPr>
            <w:tcW w:w="714"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38</w:t>
            </w:r>
          </w:p>
        </w:tc>
        <w:tc>
          <w:tcPr>
            <w:tcW w:w="4098"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有机氯化物</w:t>
            </w:r>
          </w:p>
        </w:tc>
        <w:tc>
          <w:tcPr>
            <w:tcW w:w="780" w:type="dxa"/>
            <w:vMerge w:val="continue"/>
            <w:vAlign w:val="center"/>
          </w:tcPr>
          <w:p>
            <w:pPr>
              <w:pStyle w:val="56"/>
              <w:spacing w:beforeLines="50"/>
              <w:ind w:firstLine="567"/>
              <w:rPr>
                <w:rFonts w:ascii="宋体" w:hAnsi="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11" w:hRule="atLeast"/>
        </w:trPr>
        <w:tc>
          <w:tcPr>
            <w:tcW w:w="705"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19</w:t>
            </w:r>
          </w:p>
        </w:tc>
        <w:tc>
          <w:tcPr>
            <w:tcW w:w="2711"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氯化物</w:t>
            </w:r>
          </w:p>
        </w:tc>
        <w:tc>
          <w:tcPr>
            <w:tcW w:w="689" w:type="dxa"/>
            <w:vMerge w:val="continue"/>
            <w:vAlign w:val="center"/>
          </w:tcPr>
          <w:p>
            <w:pPr>
              <w:pStyle w:val="56"/>
              <w:spacing w:beforeLines="50"/>
              <w:ind w:firstLine="567"/>
              <w:rPr>
                <w:rFonts w:ascii="宋体" w:hAnsi="宋体"/>
                <w:bCs/>
                <w:sz w:val="20"/>
                <w:szCs w:val="20"/>
                <w:highlight w:val="none"/>
              </w:rPr>
            </w:pPr>
          </w:p>
        </w:tc>
        <w:tc>
          <w:tcPr>
            <w:tcW w:w="714"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39</w:t>
            </w:r>
          </w:p>
        </w:tc>
        <w:tc>
          <w:tcPr>
            <w:tcW w:w="4098"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苯酚及挥发酚</w:t>
            </w:r>
          </w:p>
        </w:tc>
        <w:tc>
          <w:tcPr>
            <w:tcW w:w="780" w:type="dxa"/>
            <w:vMerge w:val="continue"/>
            <w:vAlign w:val="center"/>
          </w:tcPr>
          <w:p>
            <w:pPr>
              <w:pStyle w:val="56"/>
              <w:spacing w:beforeLines="50"/>
              <w:ind w:firstLine="567"/>
              <w:rPr>
                <w:rFonts w:ascii="宋体" w:hAnsi="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rPr>
        <w:tc>
          <w:tcPr>
            <w:tcW w:w="705"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20</w:t>
            </w:r>
          </w:p>
        </w:tc>
        <w:tc>
          <w:tcPr>
            <w:tcW w:w="2711"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氟化物</w:t>
            </w:r>
          </w:p>
        </w:tc>
        <w:tc>
          <w:tcPr>
            <w:tcW w:w="689" w:type="dxa"/>
            <w:vMerge w:val="continue"/>
            <w:vAlign w:val="center"/>
          </w:tcPr>
          <w:p>
            <w:pPr>
              <w:pStyle w:val="56"/>
              <w:spacing w:beforeLines="50"/>
              <w:ind w:firstLine="567"/>
              <w:rPr>
                <w:rFonts w:ascii="宋体" w:hAnsi="宋体"/>
                <w:bCs/>
                <w:sz w:val="20"/>
                <w:szCs w:val="20"/>
                <w:highlight w:val="none"/>
              </w:rPr>
            </w:pPr>
          </w:p>
        </w:tc>
        <w:tc>
          <w:tcPr>
            <w:tcW w:w="714"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40</w:t>
            </w:r>
          </w:p>
        </w:tc>
        <w:tc>
          <w:tcPr>
            <w:tcW w:w="4098"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有机苯化物</w:t>
            </w:r>
          </w:p>
        </w:tc>
        <w:tc>
          <w:tcPr>
            <w:tcW w:w="780" w:type="dxa"/>
            <w:vMerge w:val="continue"/>
            <w:vAlign w:val="center"/>
          </w:tcPr>
          <w:p>
            <w:pPr>
              <w:pStyle w:val="56"/>
              <w:spacing w:beforeLines="50"/>
              <w:ind w:firstLine="567"/>
              <w:rPr>
                <w:rFonts w:ascii="宋体" w:hAnsi="宋体"/>
                <w:bCs/>
                <w:sz w:val="20"/>
                <w:szCs w:val="20"/>
                <w:highlight w:val="none"/>
              </w:rPr>
            </w:pPr>
          </w:p>
        </w:tc>
      </w:tr>
    </w:tbl>
    <w:p>
      <w:pPr>
        <w:pStyle w:val="56"/>
        <w:spacing w:beforeLines="50"/>
        <w:ind w:firstLine="567"/>
        <w:rPr>
          <w:rFonts w:ascii="宋体" w:hAnsi="宋体"/>
          <w:bCs/>
          <w:sz w:val="20"/>
          <w:szCs w:val="20"/>
          <w:highlight w:val="none"/>
          <w:lang w:val="fr-FR"/>
        </w:rPr>
      </w:pPr>
      <w:r>
        <w:rPr>
          <w:rFonts w:hint="eastAsia" w:ascii="宋体" w:hAnsi="宋体"/>
          <w:bCs/>
          <w:sz w:val="20"/>
          <w:szCs w:val="20"/>
          <w:highlight w:val="none"/>
          <w:lang w:val="fr-FR"/>
        </w:rPr>
        <w:t>2、污泥检测项目及周期</w:t>
      </w:r>
    </w:p>
    <w:tbl>
      <w:tblPr>
        <w:tblStyle w:val="25"/>
        <w:tblW w:w="91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8"/>
        <w:gridCol w:w="3873"/>
        <w:gridCol w:w="3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188"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序号</w:t>
            </w:r>
          </w:p>
        </w:tc>
        <w:tc>
          <w:tcPr>
            <w:tcW w:w="3873"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项目</w:t>
            </w:r>
          </w:p>
        </w:tc>
        <w:tc>
          <w:tcPr>
            <w:tcW w:w="3098"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2188"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1</w:t>
            </w:r>
          </w:p>
        </w:tc>
        <w:tc>
          <w:tcPr>
            <w:tcW w:w="3873"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含水率</w:t>
            </w:r>
          </w:p>
        </w:tc>
        <w:tc>
          <w:tcPr>
            <w:tcW w:w="3098" w:type="dxa"/>
            <w:vMerge w:val="restart"/>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每日一次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2188"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2</w:t>
            </w:r>
          </w:p>
        </w:tc>
        <w:tc>
          <w:tcPr>
            <w:tcW w:w="3873"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PH值</w:t>
            </w:r>
          </w:p>
        </w:tc>
        <w:tc>
          <w:tcPr>
            <w:tcW w:w="3098" w:type="dxa"/>
            <w:vMerge w:val="continue"/>
            <w:vAlign w:val="center"/>
          </w:tcPr>
          <w:p>
            <w:pPr>
              <w:pStyle w:val="56"/>
              <w:spacing w:beforeLines="50"/>
              <w:ind w:firstLine="567"/>
              <w:rPr>
                <w:rFonts w:ascii="宋体" w:hAnsi="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2188"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3</w:t>
            </w:r>
          </w:p>
        </w:tc>
        <w:tc>
          <w:tcPr>
            <w:tcW w:w="3873"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粪大肠杆菌</w:t>
            </w:r>
          </w:p>
        </w:tc>
        <w:tc>
          <w:tcPr>
            <w:tcW w:w="3098"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每月一次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0" w:hRule="atLeast"/>
          <w:jc w:val="center"/>
        </w:trPr>
        <w:tc>
          <w:tcPr>
            <w:tcW w:w="2188"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4</w:t>
            </w:r>
          </w:p>
        </w:tc>
        <w:tc>
          <w:tcPr>
            <w:tcW w:w="3873"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总镉</w:t>
            </w:r>
          </w:p>
        </w:tc>
        <w:tc>
          <w:tcPr>
            <w:tcW w:w="3098" w:type="dxa"/>
            <w:vMerge w:val="restart"/>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每</w:t>
            </w:r>
          </w:p>
          <w:p>
            <w:pPr>
              <w:pStyle w:val="56"/>
              <w:spacing w:beforeLines="50"/>
              <w:ind w:firstLine="567"/>
              <w:rPr>
                <w:rFonts w:ascii="宋体" w:hAnsi="宋体"/>
                <w:bCs/>
                <w:sz w:val="20"/>
                <w:szCs w:val="20"/>
                <w:highlight w:val="none"/>
              </w:rPr>
            </w:pPr>
            <w:r>
              <w:rPr>
                <w:rFonts w:hint="eastAsia" w:ascii="宋体" w:hAnsi="宋体"/>
                <w:bCs/>
                <w:sz w:val="20"/>
                <w:szCs w:val="20"/>
                <w:highlight w:val="none"/>
              </w:rPr>
              <w:t>季</w:t>
            </w:r>
          </w:p>
          <w:p>
            <w:pPr>
              <w:pStyle w:val="56"/>
              <w:spacing w:beforeLines="50"/>
              <w:ind w:firstLine="567"/>
              <w:rPr>
                <w:rFonts w:ascii="宋体" w:hAnsi="宋体"/>
                <w:bCs/>
                <w:sz w:val="20"/>
                <w:szCs w:val="20"/>
                <w:highlight w:val="none"/>
              </w:rPr>
            </w:pPr>
            <w:r>
              <w:rPr>
                <w:rFonts w:hint="eastAsia" w:ascii="宋体" w:hAnsi="宋体"/>
                <w:bCs/>
                <w:sz w:val="20"/>
                <w:szCs w:val="20"/>
                <w:highlight w:val="none"/>
              </w:rPr>
              <w:t>度</w:t>
            </w:r>
          </w:p>
          <w:p>
            <w:pPr>
              <w:pStyle w:val="56"/>
              <w:spacing w:beforeLines="50"/>
              <w:ind w:firstLine="567"/>
              <w:rPr>
                <w:rFonts w:ascii="宋体" w:hAnsi="宋体"/>
                <w:bCs/>
                <w:sz w:val="20"/>
                <w:szCs w:val="20"/>
                <w:highlight w:val="none"/>
              </w:rPr>
            </w:pPr>
            <w:r>
              <w:rPr>
                <w:rFonts w:hint="eastAsia" w:ascii="宋体" w:hAnsi="宋体"/>
                <w:bCs/>
                <w:sz w:val="20"/>
                <w:szCs w:val="20"/>
                <w:highlight w:val="none"/>
              </w:rPr>
              <w:t>一</w:t>
            </w:r>
          </w:p>
          <w:p>
            <w:pPr>
              <w:pStyle w:val="56"/>
              <w:spacing w:beforeLines="50"/>
              <w:ind w:firstLine="567"/>
              <w:rPr>
                <w:rFonts w:ascii="宋体" w:hAnsi="宋体"/>
                <w:bCs/>
                <w:sz w:val="20"/>
                <w:szCs w:val="20"/>
                <w:highlight w:val="none"/>
              </w:rPr>
            </w:pPr>
            <w:r>
              <w:rPr>
                <w:rFonts w:hint="eastAsia" w:ascii="宋体" w:hAnsi="宋体"/>
                <w:bCs/>
                <w:sz w:val="20"/>
                <w:szCs w:val="20"/>
                <w:highlight w:val="none"/>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2188"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5</w:t>
            </w:r>
          </w:p>
        </w:tc>
        <w:tc>
          <w:tcPr>
            <w:tcW w:w="3873"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总汞</w:t>
            </w:r>
          </w:p>
        </w:tc>
        <w:tc>
          <w:tcPr>
            <w:tcW w:w="3098" w:type="dxa"/>
            <w:vMerge w:val="continue"/>
            <w:vAlign w:val="center"/>
          </w:tcPr>
          <w:p>
            <w:pPr>
              <w:pStyle w:val="56"/>
              <w:spacing w:beforeLines="50"/>
              <w:ind w:firstLine="567"/>
              <w:rPr>
                <w:rFonts w:ascii="宋体" w:hAnsi="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2188"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6</w:t>
            </w:r>
          </w:p>
        </w:tc>
        <w:tc>
          <w:tcPr>
            <w:tcW w:w="3873"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总铅</w:t>
            </w:r>
          </w:p>
        </w:tc>
        <w:tc>
          <w:tcPr>
            <w:tcW w:w="3098" w:type="dxa"/>
            <w:vMerge w:val="continue"/>
            <w:vAlign w:val="center"/>
          </w:tcPr>
          <w:p>
            <w:pPr>
              <w:pStyle w:val="56"/>
              <w:spacing w:beforeLines="50"/>
              <w:ind w:firstLine="567"/>
              <w:rPr>
                <w:rFonts w:ascii="宋体" w:hAnsi="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2188"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7</w:t>
            </w:r>
          </w:p>
        </w:tc>
        <w:tc>
          <w:tcPr>
            <w:tcW w:w="3873"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总铬</w:t>
            </w:r>
          </w:p>
        </w:tc>
        <w:tc>
          <w:tcPr>
            <w:tcW w:w="3098" w:type="dxa"/>
            <w:vMerge w:val="continue"/>
            <w:vAlign w:val="center"/>
          </w:tcPr>
          <w:p>
            <w:pPr>
              <w:pStyle w:val="56"/>
              <w:spacing w:beforeLines="50"/>
              <w:ind w:firstLine="567"/>
              <w:rPr>
                <w:rFonts w:ascii="宋体" w:hAnsi="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2188"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8</w:t>
            </w:r>
          </w:p>
        </w:tc>
        <w:tc>
          <w:tcPr>
            <w:tcW w:w="3873"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总砷</w:t>
            </w:r>
          </w:p>
        </w:tc>
        <w:tc>
          <w:tcPr>
            <w:tcW w:w="3098" w:type="dxa"/>
            <w:vMerge w:val="continue"/>
            <w:vAlign w:val="center"/>
          </w:tcPr>
          <w:p>
            <w:pPr>
              <w:pStyle w:val="56"/>
              <w:spacing w:beforeLines="50"/>
              <w:ind w:firstLine="567"/>
              <w:rPr>
                <w:rFonts w:ascii="宋体" w:hAnsi="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0" w:hRule="atLeast"/>
          <w:jc w:val="center"/>
        </w:trPr>
        <w:tc>
          <w:tcPr>
            <w:tcW w:w="2188"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9</w:t>
            </w:r>
          </w:p>
        </w:tc>
        <w:tc>
          <w:tcPr>
            <w:tcW w:w="3873"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总镍</w:t>
            </w:r>
          </w:p>
        </w:tc>
        <w:tc>
          <w:tcPr>
            <w:tcW w:w="3098" w:type="dxa"/>
            <w:vMerge w:val="continue"/>
            <w:vAlign w:val="center"/>
          </w:tcPr>
          <w:p>
            <w:pPr>
              <w:pStyle w:val="56"/>
              <w:spacing w:beforeLines="50"/>
              <w:ind w:firstLine="567"/>
              <w:rPr>
                <w:rFonts w:ascii="宋体" w:hAnsi="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2188"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10</w:t>
            </w:r>
          </w:p>
        </w:tc>
        <w:tc>
          <w:tcPr>
            <w:tcW w:w="3873"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总锌</w:t>
            </w:r>
          </w:p>
        </w:tc>
        <w:tc>
          <w:tcPr>
            <w:tcW w:w="3098" w:type="dxa"/>
            <w:vMerge w:val="continue"/>
            <w:vAlign w:val="center"/>
          </w:tcPr>
          <w:p>
            <w:pPr>
              <w:pStyle w:val="56"/>
              <w:spacing w:beforeLines="50"/>
              <w:ind w:firstLine="567"/>
              <w:rPr>
                <w:rFonts w:ascii="宋体" w:hAnsi="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2188"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11</w:t>
            </w:r>
          </w:p>
        </w:tc>
        <w:tc>
          <w:tcPr>
            <w:tcW w:w="3873"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总铜</w:t>
            </w:r>
          </w:p>
        </w:tc>
        <w:tc>
          <w:tcPr>
            <w:tcW w:w="3098" w:type="dxa"/>
            <w:vMerge w:val="continue"/>
            <w:vAlign w:val="center"/>
          </w:tcPr>
          <w:p>
            <w:pPr>
              <w:pStyle w:val="56"/>
              <w:spacing w:beforeLines="50"/>
              <w:ind w:firstLine="567"/>
              <w:rPr>
                <w:rFonts w:ascii="宋体" w:hAnsi="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2188"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12</w:t>
            </w:r>
          </w:p>
        </w:tc>
        <w:tc>
          <w:tcPr>
            <w:tcW w:w="3873"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总氮</w:t>
            </w:r>
          </w:p>
        </w:tc>
        <w:tc>
          <w:tcPr>
            <w:tcW w:w="3098" w:type="dxa"/>
            <w:vMerge w:val="continue"/>
            <w:vAlign w:val="center"/>
          </w:tcPr>
          <w:p>
            <w:pPr>
              <w:pStyle w:val="56"/>
              <w:spacing w:beforeLines="50"/>
              <w:ind w:firstLine="567"/>
              <w:rPr>
                <w:rFonts w:ascii="宋体" w:hAnsi="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2188"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13</w:t>
            </w:r>
          </w:p>
        </w:tc>
        <w:tc>
          <w:tcPr>
            <w:tcW w:w="3873"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总磷</w:t>
            </w:r>
          </w:p>
        </w:tc>
        <w:tc>
          <w:tcPr>
            <w:tcW w:w="3098" w:type="dxa"/>
            <w:vMerge w:val="continue"/>
            <w:vAlign w:val="center"/>
          </w:tcPr>
          <w:p>
            <w:pPr>
              <w:pStyle w:val="56"/>
              <w:spacing w:beforeLines="50"/>
              <w:ind w:firstLine="567"/>
              <w:rPr>
                <w:rFonts w:ascii="宋体" w:hAnsi="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0" w:hRule="atLeast"/>
          <w:jc w:val="center"/>
        </w:trPr>
        <w:tc>
          <w:tcPr>
            <w:tcW w:w="2188"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14</w:t>
            </w:r>
          </w:p>
        </w:tc>
        <w:tc>
          <w:tcPr>
            <w:tcW w:w="3873"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总钾</w:t>
            </w:r>
          </w:p>
        </w:tc>
        <w:tc>
          <w:tcPr>
            <w:tcW w:w="3098" w:type="dxa"/>
            <w:vMerge w:val="continue"/>
            <w:vAlign w:val="center"/>
          </w:tcPr>
          <w:p>
            <w:pPr>
              <w:pStyle w:val="56"/>
              <w:spacing w:beforeLines="50"/>
              <w:ind w:firstLine="567"/>
              <w:rPr>
                <w:rFonts w:ascii="宋体" w:hAnsi="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2188"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15</w:t>
            </w:r>
          </w:p>
        </w:tc>
        <w:tc>
          <w:tcPr>
            <w:tcW w:w="3873"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定性检测</w:t>
            </w:r>
          </w:p>
        </w:tc>
        <w:tc>
          <w:tcPr>
            <w:tcW w:w="3098"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每年一次</w:t>
            </w:r>
          </w:p>
        </w:tc>
      </w:tr>
    </w:tbl>
    <w:p>
      <w:pPr>
        <w:pStyle w:val="56"/>
        <w:numPr>
          <w:ilvl w:val="0"/>
          <w:numId w:val="13"/>
        </w:numPr>
        <w:spacing w:beforeLines="50"/>
        <w:ind w:firstLine="567"/>
        <w:rPr>
          <w:rFonts w:ascii="宋体" w:hAnsi="宋体"/>
          <w:bCs/>
          <w:sz w:val="20"/>
          <w:szCs w:val="20"/>
          <w:highlight w:val="none"/>
        </w:rPr>
      </w:pPr>
      <w:r>
        <w:rPr>
          <w:rFonts w:hint="eastAsia" w:ascii="宋体" w:hAnsi="宋体"/>
          <w:bCs/>
          <w:sz w:val="20"/>
          <w:szCs w:val="20"/>
          <w:highlight w:val="none"/>
        </w:rPr>
        <w:t>污水泵站及关键节点检测项目及周期</w:t>
      </w:r>
    </w:p>
    <w:tbl>
      <w:tblPr>
        <w:tblStyle w:val="25"/>
        <w:tblW w:w="9218" w:type="dxa"/>
        <w:tblInd w:w="2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2809"/>
        <w:gridCol w:w="768"/>
        <w:gridCol w:w="795"/>
        <w:gridCol w:w="3338"/>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13"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序号</w:t>
            </w:r>
          </w:p>
        </w:tc>
        <w:tc>
          <w:tcPr>
            <w:tcW w:w="2809"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项目</w:t>
            </w:r>
          </w:p>
        </w:tc>
        <w:tc>
          <w:tcPr>
            <w:tcW w:w="768"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周期</w:t>
            </w:r>
          </w:p>
        </w:tc>
        <w:tc>
          <w:tcPr>
            <w:tcW w:w="795"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序号</w:t>
            </w:r>
          </w:p>
        </w:tc>
        <w:tc>
          <w:tcPr>
            <w:tcW w:w="3338"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项目</w:t>
            </w:r>
          </w:p>
        </w:tc>
        <w:tc>
          <w:tcPr>
            <w:tcW w:w="795"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trPr>
        <w:tc>
          <w:tcPr>
            <w:tcW w:w="713"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1</w:t>
            </w:r>
          </w:p>
        </w:tc>
        <w:tc>
          <w:tcPr>
            <w:tcW w:w="2809"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PH值</w:t>
            </w:r>
          </w:p>
        </w:tc>
        <w:tc>
          <w:tcPr>
            <w:tcW w:w="768" w:type="dxa"/>
            <w:vMerge w:val="restart"/>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每</w:t>
            </w:r>
          </w:p>
          <w:p>
            <w:pPr>
              <w:pStyle w:val="56"/>
              <w:spacing w:beforeLines="50"/>
              <w:rPr>
                <w:rFonts w:ascii="宋体" w:hAnsi="宋体"/>
                <w:bCs/>
                <w:sz w:val="20"/>
                <w:szCs w:val="20"/>
                <w:highlight w:val="none"/>
              </w:rPr>
            </w:pPr>
            <w:r>
              <w:rPr>
                <w:rFonts w:hint="eastAsia" w:ascii="宋体" w:hAnsi="宋体"/>
                <w:bCs/>
                <w:sz w:val="20"/>
                <w:szCs w:val="20"/>
                <w:highlight w:val="none"/>
              </w:rPr>
              <w:t>日</w:t>
            </w:r>
          </w:p>
          <w:p>
            <w:pPr>
              <w:pStyle w:val="56"/>
              <w:spacing w:beforeLines="50"/>
              <w:rPr>
                <w:rFonts w:ascii="宋体" w:hAnsi="宋体"/>
                <w:bCs/>
                <w:sz w:val="20"/>
                <w:szCs w:val="20"/>
                <w:highlight w:val="none"/>
              </w:rPr>
            </w:pPr>
            <w:r>
              <w:rPr>
                <w:rFonts w:hint="eastAsia" w:ascii="宋体" w:hAnsi="宋体"/>
                <w:bCs/>
                <w:sz w:val="20"/>
                <w:szCs w:val="20"/>
                <w:highlight w:val="none"/>
              </w:rPr>
              <w:t>一</w:t>
            </w:r>
          </w:p>
          <w:p>
            <w:pPr>
              <w:pStyle w:val="56"/>
              <w:spacing w:beforeLines="50"/>
              <w:rPr>
                <w:rFonts w:ascii="宋体" w:hAnsi="宋体"/>
                <w:bCs/>
                <w:sz w:val="20"/>
                <w:szCs w:val="20"/>
                <w:highlight w:val="none"/>
              </w:rPr>
            </w:pPr>
            <w:r>
              <w:rPr>
                <w:rFonts w:hint="eastAsia" w:ascii="宋体" w:hAnsi="宋体"/>
                <w:bCs/>
                <w:sz w:val="20"/>
                <w:szCs w:val="20"/>
                <w:highlight w:val="none"/>
              </w:rPr>
              <w:t>次</w:t>
            </w:r>
          </w:p>
        </w:tc>
        <w:tc>
          <w:tcPr>
            <w:tcW w:w="795"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7</w:t>
            </w:r>
          </w:p>
        </w:tc>
        <w:tc>
          <w:tcPr>
            <w:tcW w:w="3338"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生化需氧量BOD</w:t>
            </w:r>
            <w:r>
              <w:rPr>
                <w:rFonts w:hint="eastAsia" w:ascii="宋体" w:hAnsi="宋体"/>
                <w:bCs/>
                <w:sz w:val="20"/>
                <w:szCs w:val="20"/>
                <w:highlight w:val="none"/>
                <w:vertAlign w:val="subscript"/>
              </w:rPr>
              <w:t>5</w:t>
            </w:r>
          </w:p>
        </w:tc>
        <w:tc>
          <w:tcPr>
            <w:tcW w:w="795" w:type="dxa"/>
            <w:vMerge w:val="restart"/>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每</w:t>
            </w:r>
          </w:p>
          <w:p>
            <w:pPr>
              <w:pStyle w:val="56"/>
              <w:spacing w:beforeLines="50"/>
              <w:rPr>
                <w:rFonts w:ascii="宋体" w:hAnsi="宋体"/>
                <w:bCs/>
                <w:sz w:val="20"/>
                <w:szCs w:val="20"/>
                <w:highlight w:val="none"/>
              </w:rPr>
            </w:pPr>
            <w:r>
              <w:rPr>
                <w:rFonts w:hint="eastAsia" w:ascii="宋体" w:hAnsi="宋体"/>
                <w:bCs/>
                <w:sz w:val="20"/>
                <w:szCs w:val="20"/>
                <w:highlight w:val="none"/>
              </w:rPr>
              <w:t>月</w:t>
            </w:r>
          </w:p>
          <w:p>
            <w:pPr>
              <w:pStyle w:val="56"/>
              <w:spacing w:beforeLines="50"/>
              <w:rPr>
                <w:rFonts w:ascii="宋体" w:hAnsi="宋体"/>
                <w:bCs/>
                <w:sz w:val="20"/>
                <w:szCs w:val="20"/>
                <w:highlight w:val="none"/>
              </w:rPr>
            </w:pPr>
            <w:r>
              <w:rPr>
                <w:rFonts w:hint="eastAsia" w:ascii="宋体" w:hAnsi="宋体"/>
                <w:bCs/>
                <w:sz w:val="20"/>
                <w:szCs w:val="20"/>
                <w:highlight w:val="none"/>
              </w:rPr>
              <w:t>一</w:t>
            </w:r>
          </w:p>
          <w:p>
            <w:pPr>
              <w:pStyle w:val="56"/>
              <w:spacing w:beforeLines="50"/>
              <w:rPr>
                <w:rFonts w:ascii="宋体" w:hAnsi="宋体"/>
                <w:bCs/>
                <w:sz w:val="20"/>
                <w:szCs w:val="20"/>
                <w:highlight w:val="none"/>
              </w:rPr>
            </w:pPr>
            <w:r>
              <w:rPr>
                <w:rFonts w:hint="eastAsia" w:ascii="宋体" w:hAnsi="宋体"/>
                <w:bCs/>
                <w:sz w:val="20"/>
                <w:szCs w:val="20"/>
                <w:highlight w:val="none"/>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trPr>
        <w:tc>
          <w:tcPr>
            <w:tcW w:w="713"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2</w:t>
            </w:r>
          </w:p>
        </w:tc>
        <w:tc>
          <w:tcPr>
            <w:tcW w:w="2809"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悬浮物SS</w:t>
            </w:r>
          </w:p>
        </w:tc>
        <w:tc>
          <w:tcPr>
            <w:tcW w:w="768" w:type="dxa"/>
            <w:vMerge w:val="continue"/>
            <w:vAlign w:val="center"/>
          </w:tcPr>
          <w:p>
            <w:pPr>
              <w:pStyle w:val="56"/>
              <w:spacing w:beforeLines="50"/>
              <w:ind w:firstLine="567"/>
              <w:rPr>
                <w:rFonts w:ascii="宋体" w:hAnsi="宋体"/>
                <w:bCs/>
                <w:sz w:val="20"/>
                <w:szCs w:val="20"/>
                <w:highlight w:val="none"/>
              </w:rPr>
            </w:pPr>
          </w:p>
        </w:tc>
        <w:tc>
          <w:tcPr>
            <w:tcW w:w="795"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8</w:t>
            </w:r>
          </w:p>
        </w:tc>
        <w:tc>
          <w:tcPr>
            <w:tcW w:w="3338"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石油类</w:t>
            </w:r>
          </w:p>
        </w:tc>
        <w:tc>
          <w:tcPr>
            <w:tcW w:w="795" w:type="dxa"/>
            <w:vMerge w:val="continue"/>
            <w:vAlign w:val="center"/>
          </w:tcPr>
          <w:p>
            <w:pPr>
              <w:pStyle w:val="56"/>
              <w:spacing w:beforeLines="50"/>
              <w:ind w:firstLine="567"/>
              <w:rPr>
                <w:rFonts w:ascii="宋体" w:hAnsi="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trPr>
        <w:tc>
          <w:tcPr>
            <w:tcW w:w="713"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3</w:t>
            </w:r>
          </w:p>
        </w:tc>
        <w:tc>
          <w:tcPr>
            <w:tcW w:w="2809"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化学需氧量COD</w:t>
            </w:r>
            <w:r>
              <w:rPr>
                <w:rFonts w:hint="eastAsia" w:ascii="宋体" w:hAnsi="宋体"/>
                <w:bCs/>
                <w:sz w:val="20"/>
                <w:szCs w:val="20"/>
                <w:highlight w:val="none"/>
                <w:vertAlign w:val="subscript"/>
              </w:rPr>
              <w:t>cr</w:t>
            </w:r>
          </w:p>
        </w:tc>
        <w:tc>
          <w:tcPr>
            <w:tcW w:w="768" w:type="dxa"/>
            <w:vMerge w:val="continue"/>
            <w:vAlign w:val="center"/>
          </w:tcPr>
          <w:p>
            <w:pPr>
              <w:pStyle w:val="56"/>
              <w:spacing w:beforeLines="50"/>
              <w:ind w:firstLine="567"/>
              <w:rPr>
                <w:rFonts w:ascii="宋体" w:hAnsi="宋体"/>
                <w:bCs/>
                <w:sz w:val="20"/>
                <w:szCs w:val="20"/>
                <w:highlight w:val="none"/>
              </w:rPr>
            </w:pPr>
          </w:p>
        </w:tc>
        <w:tc>
          <w:tcPr>
            <w:tcW w:w="795"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9</w:t>
            </w:r>
          </w:p>
        </w:tc>
        <w:tc>
          <w:tcPr>
            <w:tcW w:w="3338"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阴离子合成洗涤剂</w:t>
            </w:r>
          </w:p>
        </w:tc>
        <w:tc>
          <w:tcPr>
            <w:tcW w:w="795" w:type="dxa"/>
            <w:vMerge w:val="continue"/>
            <w:vAlign w:val="center"/>
          </w:tcPr>
          <w:p>
            <w:pPr>
              <w:pStyle w:val="56"/>
              <w:spacing w:beforeLines="50"/>
              <w:ind w:firstLine="567"/>
              <w:rPr>
                <w:rFonts w:ascii="宋体" w:hAnsi="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trPr>
        <w:tc>
          <w:tcPr>
            <w:tcW w:w="713"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4</w:t>
            </w:r>
          </w:p>
        </w:tc>
        <w:tc>
          <w:tcPr>
            <w:tcW w:w="2809"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总氮TN</w:t>
            </w:r>
          </w:p>
        </w:tc>
        <w:tc>
          <w:tcPr>
            <w:tcW w:w="768" w:type="dxa"/>
            <w:vMerge w:val="continue"/>
            <w:vAlign w:val="center"/>
          </w:tcPr>
          <w:p>
            <w:pPr>
              <w:pStyle w:val="56"/>
              <w:spacing w:beforeLines="50"/>
              <w:ind w:firstLine="567"/>
              <w:rPr>
                <w:rFonts w:ascii="宋体" w:hAnsi="宋体"/>
                <w:bCs/>
                <w:sz w:val="20"/>
                <w:szCs w:val="20"/>
                <w:highlight w:val="none"/>
              </w:rPr>
            </w:pPr>
          </w:p>
        </w:tc>
        <w:tc>
          <w:tcPr>
            <w:tcW w:w="795"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10</w:t>
            </w:r>
          </w:p>
        </w:tc>
        <w:tc>
          <w:tcPr>
            <w:tcW w:w="3338"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色度</w:t>
            </w:r>
          </w:p>
        </w:tc>
        <w:tc>
          <w:tcPr>
            <w:tcW w:w="795" w:type="dxa"/>
            <w:vMerge w:val="continue"/>
            <w:vAlign w:val="center"/>
          </w:tcPr>
          <w:p>
            <w:pPr>
              <w:pStyle w:val="56"/>
              <w:spacing w:beforeLines="50"/>
              <w:ind w:firstLine="567"/>
              <w:rPr>
                <w:rFonts w:ascii="宋体" w:hAnsi="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trPr>
        <w:tc>
          <w:tcPr>
            <w:tcW w:w="713"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5</w:t>
            </w:r>
          </w:p>
        </w:tc>
        <w:tc>
          <w:tcPr>
            <w:tcW w:w="2809"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氨氮NH</w:t>
            </w:r>
            <w:r>
              <w:rPr>
                <w:rFonts w:hint="eastAsia" w:ascii="宋体" w:hAnsi="宋体"/>
                <w:bCs/>
                <w:sz w:val="20"/>
                <w:szCs w:val="20"/>
                <w:highlight w:val="none"/>
                <w:vertAlign w:val="subscript"/>
              </w:rPr>
              <w:t>4</w:t>
            </w:r>
            <w:r>
              <w:rPr>
                <w:rFonts w:hint="eastAsia" w:ascii="宋体" w:hAnsi="宋体"/>
                <w:bCs/>
                <w:sz w:val="20"/>
                <w:szCs w:val="20"/>
                <w:highlight w:val="none"/>
                <w:vertAlign w:val="superscript"/>
              </w:rPr>
              <w:t>+</w:t>
            </w:r>
            <w:r>
              <w:rPr>
                <w:rFonts w:hint="eastAsia" w:ascii="宋体" w:hAnsi="宋体"/>
                <w:bCs/>
                <w:sz w:val="20"/>
                <w:szCs w:val="20"/>
                <w:highlight w:val="none"/>
              </w:rPr>
              <w:t>-N</w:t>
            </w:r>
          </w:p>
        </w:tc>
        <w:tc>
          <w:tcPr>
            <w:tcW w:w="768" w:type="dxa"/>
            <w:vMerge w:val="continue"/>
            <w:vAlign w:val="center"/>
          </w:tcPr>
          <w:p>
            <w:pPr>
              <w:pStyle w:val="56"/>
              <w:spacing w:beforeLines="50"/>
              <w:ind w:firstLine="567"/>
              <w:rPr>
                <w:rFonts w:ascii="宋体" w:hAnsi="宋体"/>
                <w:bCs/>
                <w:sz w:val="20"/>
                <w:szCs w:val="20"/>
                <w:highlight w:val="none"/>
              </w:rPr>
            </w:pPr>
          </w:p>
        </w:tc>
        <w:tc>
          <w:tcPr>
            <w:tcW w:w="795"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11</w:t>
            </w:r>
          </w:p>
        </w:tc>
        <w:tc>
          <w:tcPr>
            <w:tcW w:w="3338" w:type="dxa"/>
            <w:vAlign w:val="center"/>
          </w:tcPr>
          <w:p>
            <w:pPr>
              <w:pStyle w:val="56"/>
              <w:spacing w:beforeLines="50"/>
              <w:ind w:firstLine="567"/>
              <w:rPr>
                <w:rFonts w:ascii="宋体" w:hAnsi="宋体"/>
                <w:bCs/>
                <w:sz w:val="20"/>
                <w:szCs w:val="20"/>
                <w:highlight w:val="none"/>
              </w:rPr>
            </w:pPr>
          </w:p>
        </w:tc>
        <w:tc>
          <w:tcPr>
            <w:tcW w:w="795" w:type="dxa"/>
            <w:vMerge w:val="continue"/>
            <w:vAlign w:val="center"/>
          </w:tcPr>
          <w:p>
            <w:pPr>
              <w:pStyle w:val="56"/>
              <w:spacing w:beforeLines="50"/>
              <w:ind w:firstLine="567"/>
              <w:rPr>
                <w:rFonts w:ascii="宋体" w:hAnsi="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rPr>
        <w:tc>
          <w:tcPr>
            <w:tcW w:w="713"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6</w:t>
            </w:r>
          </w:p>
        </w:tc>
        <w:tc>
          <w:tcPr>
            <w:tcW w:w="2809"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总磷TP</w:t>
            </w:r>
          </w:p>
        </w:tc>
        <w:tc>
          <w:tcPr>
            <w:tcW w:w="768" w:type="dxa"/>
            <w:vMerge w:val="continue"/>
            <w:vAlign w:val="center"/>
          </w:tcPr>
          <w:p>
            <w:pPr>
              <w:pStyle w:val="56"/>
              <w:spacing w:beforeLines="50"/>
              <w:ind w:firstLine="567"/>
              <w:rPr>
                <w:rFonts w:ascii="宋体" w:hAnsi="宋体"/>
                <w:bCs/>
                <w:sz w:val="20"/>
                <w:szCs w:val="20"/>
                <w:highlight w:val="none"/>
              </w:rPr>
            </w:pPr>
          </w:p>
        </w:tc>
        <w:tc>
          <w:tcPr>
            <w:tcW w:w="795"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12</w:t>
            </w:r>
          </w:p>
        </w:tc>
        <w:tc>
          <w:tcPr>
            <w:tcW w:w="3338" w:type="dxa"/>
            <w:vAlign w:val="center"/>
          </w:tcPr>
          <w:p>
            <w:pPr>
              <w:pStyle w:val="56"/>
              <w:spacing w:beforeLines="50"/>
              <w:ind w:firstLine="567"/>
              <w:rPr>
                <w:rFonts w:ascii="宋体" w:hAnsi="宋体"/>
                <w:bCs/>
                <w:sz w:val="20"/>
                <w:szCs w:val="20"/>
                <w:highlight w:val="none"/>
              </w:rPr>
            </w:pPr>
          </w:p>
        </w:tc>
        <w:tc>
          <w:tcPr>
            <w:tcW w:w="795" w:type="dxa"/>
            <w:vMerge w:val="continue"/>
            <w:vAlign w:val="center"/>
          </w:tcPr>
          <w:p>
            <w:pPr>
              <w:pStyle w:val="56"/>
              <w:spacing w:beforeLines="50"/>
              <w:rPr>
                <w:rFonts w:ascii="宋体" w:hAnsi="宋体"/>
                <w:bCs/>
                <w:sz w:val="20"/>
                <w:szCs w:val="20"/>
                <w:highlight w:val="none"/>
              </w:rPr>
            </w:pPr>
          </w:p>
        </w:tc>
      </w:tr>
    </w:tbl>
    <w:p>
      <w:pPr>
        <w:pStyle w:val="56"/>
        <w:spacing w:beforeLines="50"/>
        <w:ind w:firstLine="567"/>
        <w:rPr>
          <w:rFonts w:ascii="宋体" w:hAnsi="宋体"/>
          <w:bCs/>
          <w:sz w:val="20"/>
          <w:szCs w:val="20"/>
          <w:highlight w:val="none"/>
        </w:rPr>
      </w:pPr>
    </w:p>
    <w:p>
      <w:pPr>
        <w:pStyle w:val="56"/>
        <w:spacing w:beforeLines="50"/>
        <w:ind w:firstLine="567"/>
        <w:rPr>
          <w:rFonts w:ascii="宋体" w:hAnsi="宋体"/>
          <w:bCs/>
          <w:sz w:val="20"/>
          <w:szCs w:val="20"/>
          <w:highlight w:val="none"/>
          <w:lang w:val="fr-FR"/>
        </w:rPr>
      </w:pPr>
      <w:r>
        <w:rPr>
          <w:rFonts w:hint="eastAsia" w:ascii="宋体" w:hAnsi="宋体"/>
          <w:bCs/>
          <w:sz w:val="20"/>
          <w:szCs w:val="20"/>
          <w:highlight w:val="none"/>
          <w:lang w:val="fr-FR"/>
        </w:rPr>
        <w:t xml:space="preserve">注：具体各指标检测时需参照以下标准或规定执行    </w:t>
      </w:r>
    </w:p>
    <w:tbl>
      <w:tblPr>
        <w:tblStyle w:val="25"/>
        <w:tblW w:w="925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568"/>
        <w:gridCol w:w="3284"/>
        <w:gridCol w:w="340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2568" w:type="dxa"/>
            <w:tcBorders>
              <w:top w:val="single" w:color="auto" w:sz="12" w:space="0"/>
              <w:left w:val="single" w:color="auto" w:sz="12" w:space="0"/>
              <w:bottom w:val="single" w:color="auto" w:sz="4" w:space="0"/>
              <w:right w:val="single" w:color="auto" w:sz="4" w:space="0"/>
            </w:tcBorders>
          </w:tcPr>
          <w:p>
            <w:pPr>
              <w:pStyle w:val="56"/>
              <w:spacing w:beforeLines="50"/>
              <w:rPr>
                <w:rFonts w:ascii="宋体" w:hAnsi="宋体"/>
                <w:bCs/>
                <w:sz w:val="20"/>
                <w:szCs w:val="20"/>
                <w:highlight w:val="none"/>
              </w:rPr>
            </w:pPr>
            <w:r>
              <w:rPr>
                <w:rFonts w:hint="eastAsia" w:ascii="宋体" w:hAnsi="宋体"/>
                <w:bCs/>
                <w:sz w:val="20"/>
                <w:szCs w:val="20"/>
                <w:highlight w:val="none"/>
              </w:rPr>
              <w:t>COD</w:t>
            </w:r>
            <w:r>
              <w:rPr>
                <w:rFonts w:hint="eastAsia" w:ascii="宋体" w:hAnsi="宋体"/>
                <w:bCs/>
                <w:sz w:val="20"/>
                <w:szCs w:val="20"/>
                <w:highlight w:val="none"/>
                <w:vertAlign w:val="subscript"/>
              </w:rPr>
              <w:t>Cr</w:t>
            </w:r>
            <w:r>
              <w:rPr>
                <w:rFonts w:hint="eastAsia" w:ascii="宋体" w:hAnsi="宋体"/>
                <w:bCs/>
                <w:sz w:val="20"/>
                <w:szCs w:val="20"/>
                <w:highlight w:val="none"/>
              </w:rPr>
              <w:t>—化学需氧量</w:t>
            </w:r>
          </w:p>
        </w:tc>
        <w:tc>
          <w:tcPr>
            <w:tcW w:w="3284" w:type="dxa"/>
            <w:tcBorders>
              <w:top w:val="single" w:color="auto" w:sz="12" w:space="0"/>
              <w:left w:val="single" w:color="auto" w:sz="4" w:space="0"/>
              <w:bottom w:val="single" w:color="auto" w:sz="4" w:space="0"/>
              <w:right w:val="single" w:color="auto" w:sz="4" w:space="0"/>
            </w:tcBorders>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重铬酸盐法</w:t>
            </w:r>
          </w:p>
        </w:tc>
        <w:tc>
          <w:tcPr>
            <w:tcW w:w="3407" w:type="dxa"/>
            <w:tcBorders>
              <w:top w:val="single" w:color="auto" w:sz="12" w:space="0"/>
              <w:left w:val="single" w:color="auto" w:sz="4" w:space="0"/>
              <w:bottom w:val="single" w:color="auto" w:sz="4" w:space="0"/>
              <w:right w:val="single" w:color="auto" w:sz="12" w:space="0"/>
            </w:tcBorders>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GB11914-89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568" w:type="dxa"/>
            <w:tcBorders>
              <w:top w:val="single" w:color="auto" w:sz="4" w:space="0"/>
              <w:left w:val="single" w:color="auto" w:sz="12" w:space="0"/>
              <w:bottom w:val="single" w:color="auto" w:sz="4" w:space="0"/>
              <w:right w:val="single" w:color="auto" w:sz="4" w:space="0"/>
            </w:tcBorders>
          </w:tcPr>
          <w:p>
            <w:pPr>
              <w:pStyle w:val="56"/>
              <w:spacing w:beforeLines="50"/>
              <w:rPr>
                <w:rFonts w:ascii="宋体" w:hAnsi="宋体"/>
                <w:bCs/>
                <w:sz w:val="20"/>
                <w:szCs w:val="20"/>
                <w:highlight w:val="none"/>
              </w:rPr>
            </w:pPr>
            <w:r>
              <w:rPr>
                <w:rFonts w:hint="eastAsia" w:ascii="宋体" w:hAnsi="宋体"/>
                <w:bCs/>
                <w:sz w:val="20"/>
                <w:szCs w:val="20"/>
                <w:highlight w:val="none"/>
              </w:rPr>
              <w:t>BOD</w:t>
            </w:r>
            <w:r>
              <w:rPr>
                <w:rFonts w:hint="eastAsia" w:ascii="宋体" w:hAnsi="宋体"/>
                <w:bCs/>
                <w:sz w:val="20"/>
                <w:szCs w:val="20"/>
                <w:highlight w:val="none"/>
                <w:vertAlign w:val="subscript"/>
              </w:rPr>
              <w:t>5</w:t>
            </w:r>
            <w:r>
              <w:rPr>
                <w:rFonts w:hint="eastAsia" w:ascii="宋体" w:hAnsi="宋体"/>
                <w:bCs/>
                <w:sz w:val="20"/>
                <w:szCs w:val="20"/>
                <w:highlight w:val="none"/>
              </w:rPr>
              <w:t>—五日生化需氧量</w:t>
            </w:r>
          </w:p>
        </w:tc>
        <w:tc>
          <w:tcPr>
            <w:tcW w:w="3284" w:type="dxa"/>
            <w:tcBorders>
              <w:top w:val="single" w:color="auto" w:sz="4" w:space="0"/>
              <w:left w:val="single" w:color="auto" w:sz="4" w:space="0"/>
              <w:bottom w:val="single" w:color="auto" w:sz="4" w:space="0"/>
              <w:right w:val="single" w:color="auto" w:sz="4" w:space="0"/>
            </w:tcBorders>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稀释与接种法</w:t>
            </w:r>
          </w:p>
        </w:tc>
        <w:tc>
          <w:tcPr>
            <w:tcW w:w="3407" w:type="dxa"/>
            <w:tcBorders>
              <w:top w:val="single" w:color="auto" w:sz="4" w:space="0"/>
              <w:left w:val="single" w:color="auto" w:sz="4" w:space="0"/>
              <w:bottom w:val="single" w:color="auto" w:sz="4" w:space="0"/>
              <w:right w:val="single" w:color="auto" w:sz="12" w:space="0"/>
            </w:tcBorders>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GB7488-87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568" w:type="dxa"/>
            <w:tcBorders>
              <w:top w:val="single" w:color="auto" w:sz="4" w:space="0"/>
              <w:left w:val="single" w:color="auto" w:sz="12" w:space="0"/>
              <w:bottom w:val="single" w:color="auto" w:sz="4" w:space="0"/>
              <w:right w:val="single" w:color="auto" w:sz="4" w:space="0"/>
            </w:tcBorders>
          </w:tcPr>
          <w:p>
            <w:pPr>
              <w:pStyle w:val="56"/>
              <w:spacing w:beforeLines="50"/>
              <w:rPr>
                <w:rFonts w:ascii="宋体" w:hAnsi="宋体"/>
                <w:bCs/>
                <w:sz w:val="20"/>
                <w:szCs w:val="20"/>
                <w:highlight w:val="none"/>
              </w:rPr>
            </w:pPr>
            <w:r>
              <w:rPr>
                <w:rFonts w:hint="eastAsia" w:ascii="宋体" w:hAnsi="宋体"/>
                <w:bCs/>
                <w:sz w:val="20"/>
                <w:szCs w:val="20"/>
                <w:highlight w:val="none"/>
              </w:rPr>
              <w:t>NH</w:t>
            </w:r>
            <w:r>
              <w:rPr>
                <w:rFonts w:hint="eastAsia" w:ascii="宋体" w:hAnsi="宋体"/>
                <w:bCs/>
                <w:sz w:val="20"/>
                <w:szCs w:val="20"/>
                <w:highlight w:val="none"/>
                <w:vertAlign w:val="subscript"/>
              </w:rPr>
              <w:t>3</w:t>
            </w:r>
            <w:r>
              <w:rPr>
                <w:rFonts w:hint="eastAsia" w:ascii="宋体" w:hAnsi="宋体"/>
                <w:bCs/>
                <w:sz w:val="20"/>
                <w:szCs w:val="20"/>
                <w:highlight w:val="none"/>
              </w:rPr>
              <w:t>-N—氨氮</w:t>
            </w:r>
          </w:p>
        </w:tc>
        <w:tc>
          <w:tcPr>
            <w:tcW w:w="3284" w:type="dxa"/>
            <w:tcBorders>
              <w:top w:val="single" w:color="auto" w:sz="4" w:space="0"/>
              <w:left w:val="single" w:color="auto" w:sz="4" w:space="0"/>
              <w:bottom w:val="single" w:color="auto" w:sz="4" w:space="0"/>
              <w:right w:val="single" w:color="auto" w:sz="4" w:space="0"/>
            </w:tcBorders>
          </w:tcPr>
          <w:p>
            <w:pPr>
              <w:pStyle w:val="56"/>
              <w:spacing w:beforeLines="50"/>
              <w:rPr>
                <w:rFonts w:ascii="宋体" w:hAnsi="宋体"/>
                <w:bCs/>
                <w:sz w:val="20"/>
                <w:szCs w:val="20"/>
                <w:highlight w:val="none"/>
              </w:rPr>
            </w:pPr>
            <w:r>
              <w:rPr>
                <w:rFonts w:hint="eastAsia" w:ascii="宋体" w:hAnsi="宋体"/>
                <w:bCs/>
                <w:sz w:val="20"/>
                <w:szCs w:val="20"/>
                <w:highlight w:val="none"/>
              </w:rPr>
              <w:t>钠氏试剂比色法</w:t>
            </w:r>
          </w:p>
        </w:tc>
        <w:tc>
          <w:tcPr>
            <w:tcW w:w="3407" w:type="dxa"/>
            <w:tcBorders>
              <w:top w:val="single" w:color="auto" w:sz="4" w:space="0"/>
              <w:left w:val="single" w:color="auto" w:sz="4" w:space="0"/>
              <w:bottom w:val="single" w:color="auto" w:sz="4" w:space="0"/>
              <w:right w:val="single" w:color="auto" w:sz="12" w:space="0"/>
            </w:tcBorders>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GB7479-87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568" w:type="dxa"/>
            <w:tcBorders>
              <w:top w:val="single" w:color="auto" w:sz="4" w:space="0"/>
              <w:left w:val="single" w:color="auto" w:sz="12" w:space="0"/>
              <w:bottom w:val="single" w:color="auto" w:sz="4" w:space="0"/>
              <w:right w:val="single" w:color="auto" w:sz="4" w:space="0"/>
            </w:tcBorders>
          </w:tcPr>
          <w:p>
            <w:pPr>
              <w:pStyle w:val="56"/>
              <w:spacing w:beforeLines="50"/>
              <w:rPr>
                <w:rFonts w:ascii="宋体" w:hAnsi="宋体"/>
                <w:bCs/>
                <w:sz w:val="20"/>
                <w:szCs w:val="20"/>
                <w:highlight w:val="none"/>
              </w:rPr>
            </w:pPr>
            <w:r>
              <w:rPr>
                <w:rFonts w:hint="eastAsia" w:ascii="宋体" w:hAnsi="宋体"/>
                <w:bCs/>
                <w:sz w:val="20"/>
                <w:szCs w:val="20"/>
                <w:highlight w:val="none"/>
              </w:rPr>
              <w:t>TP—总磷</w:t>
            </w:r>
          </w:p>
        </w:tc>
        <w:tc>
          <w:tcPr>
            <w:tcW w:w="3284" w:type="dxa"/>
            <w:tcBorders>
              <w:top w:val="single" w:color="auto" w:sz="4" w:space="0"/>
              <w:left w:val="single" w:color="auto" w:sz="4" w:space="0"/>
              <w:bottom w:val="single" w:color="auto" w:sz="4" w:space="0"/>
              <w:right w:val="single" w:color="auto" w:sz="4" w:space="0"/>
            </w:tcBorders>
          </w:tcPr>
          <w:p>
            <w:pPr>
              <w:pStyle w:val="56"/>
              <w:spacing w:beforeLines="50"/>
              <w:rPr>
                <w:rFonts w:ascii="宋体" w:hAnsi="宋体"/>
                <w:bCs/>
                <w:sz w:val="20"/>
                <w:szCs w:val="20"/>
                <w:highlight w:val="none"/>
              </w:rPr>
            </w:pPr>
            <w:r>
              <w:rPr>
                <w:rFonts w:hint="eastAsia" w:ascii="宋体" w:hAnsi="宋体"/>
                <w:bCs/>
                <w:sz w:val="20"/>
                <w:szCs w:val="20"/>
                <w:highlight w:val="none"/>
              </w:rPr>
              <w:t>钼酸铵分光光度法</w:t>
            </w:r>
          </w:p>
        </w:tc>
        <w:tc>
          <w:tcPr>
            <w:tcW w:w="3407" w:type="dxa"/>
            <w:tcBorders>
              <w:top w:val="single" w:color="auto" w:sz="4" w:space="0"/>
              <w:left w:val="single" w:color="auto" w:sz="4" w:space="0"/>
              <w:bottom w:val="single" w:color="auto" w:sz="4" w:space="0"/>
              <w:right w:val="single" w:color="auto" w:sz="12" w:space="0"/>
            </w:tcBorders>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GB11893-89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2568" w:type="dxa"/>
            <w:tcBorders>
              <w:top w:val="single" w:color="auto" w:sz="4" w:space="0"/>
              <w:left w:val="single" w:color="auto" w:sz="12" w:space="0"/>
              <w:bottom w:val="single" w:color="auto" w:sz="4" w:space="0"/>
              <w:right w:val="single" w:color="auto" w:sz="4" w:space="0"/>
            </w:tcBorders>
          </w:tcPr>
          <w:p>
            <w:pPr>
              <w:pStyle w:val="56"/>
              <w:spacing w:beforeLines="50"/>
              <w:rPr>
                <w:rFonts w:ascii="宋体" w:hAnsi="宋体"/>
                <w:bCs/>
                <w:sz w:val="20"/>
                <w:szCs w:val="20"/>
                <w:highlight w:val="none"/>
              </w:rPr>
            </w:pPr>
            <w:r>
              <w:rPr>
                <w:rFonts w:hint="eastAsia" w:ascii="宋体" w:hAnsi="宋体"/>
                <w:bCs/>
                <w:sz w:val="20"/>
                <w:szCs w:val="20"/>
                <w:highlight w:val="none"/>
              </w:rPr>
              <w:t>TN—总氮</w:t>
            </w:r>
          </w:p>
        </w:tc>
        <w:tc>
          <w:tcPr>
            <w:tcW w:w="3284" w:type="dxa"/>
            <w:tcBorders>
              <w:top w:val="single" w:color="auto" w:sz="4" w:space="0"/>
              <w:left w:val="single" w:color="auto" w:sz="4" w:space="0"/>
              <w:bottom w:val="single" w:color="auto" w:sz="4" w:space="0"/>
              <w:right w:val="single" w:color="auto" w:sz="4" w:space="0"/>
            </w:tcBorders>
          </w:tcPr>
          <w:p>
            <w:pPr>
              <w:pStyle w:val="56"/>
              <w:spacing w:beforeLines="50"/>
              <w:rPr>
                <w:rFonts w:ascii="宋体" w:hAnsi="宋体"/>
                <w:bCs/>
                <w:sz w:val="20"/>
                <w:szCs w:val="20"/>
                <w:highlight w:val="none"/>
              </w:rPr>
            </w:pPr>
            <w:r>
              <w:rPr>
                <w:rFonts w:hint="eastAsia" w:ascii="宋体" w:hAnsi="宋体"/>
                <w:bCs/>
                <w:sz w:val="20"/>
                <w:szCs w:val="20"/>
                <w:highlight w:val="none"/>
              </w:rPr>
              <w:t>过硫酸钾氧化-消解-紫外分光光度法</w:t>
            </w:r>
          </w:p>
        </w:tc>
        <w:tc>
          <w:tcPr>
            <w:tcW w:w="3407" w:type="dxa"/>
            <w:tcBorders>
              <w:top w:val="single" w:color="auto" w:sz="4" w:space="0"/>
              <w:left w:val="single" w:color="auto" w:sz="4" w:space="0"/>
              <w:bottom w:val="single" w:color="auto" w:sz="4" w:space="0"/>
              <w:right w:val="single" w:color="auto" w:sz="12" w:space="0"/>
            </w:tcBorders>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GB11894-89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568" w:type="dxa"/>
            <w:tcBorders>
              <w:top w:val="single" w:color="auto" w:sz="4" w:space="0"/>
              <w:left w:val="single" w:color="auto" w:sz="12" w:space="0"/>
              <w:bottom w:val="single" w:color="auto" w:sz="4" w:space="0"/>
              <w:right w:val="single" w:color="auto" w:sz="4" w:space="0"/>
            </w:tcBorders>
          </w:tcPr>
          <w:p>
            <w:pPr>
              <w:pStyle w:val="56"/>
              <w:spacing w:beforeLines="50"/>
              <w:rPr>
                <w:rFonts w:ascii="宋体" w:hAnsi="宋体"/>
                <w:bCs/>
                <w:sz w:val="20"/>
                <w:szCs w:val="20"/>
                <w:highlight w:val="none"/>
              </w:rPr>
            </w:pPr>
            <w:r>
              <w:rPr>
                <w:rFonts w:hint="eastAsia" w:ascii="宋体" w:hAnsi="宋体"/>
                <w:bCs/>
                <w:sz w:val="20"/>
                <w:szCs w:val="20"/>
                <w:highlight w:val="none"/>
              </w:rPr>
              <w:t>粪大肠菌群数</w:t>
            </w:r>
          </w:p>
        </w:tc>
        <w:tc>
          <w:tcPr>
            <w:tcW w:w="3284" w:type="dxa"/>
            <w:tcBorders>
              <w:top w:val="single" w:color="auto" w:sz="4" w:space="0"/>
              <w:left w:val="single" w:color="auto" w:sz="4" w:space="0"/>
              <w:bottom w:val="single" w:color="auto" w:sz="4" w:space="0"/>
              <w:right w:val="single" w:color="auto" w:sz="4" w:space="0"/>
            </w:tcBorders>
          </w:tcPr>
          <w:p>
            <w:pPr>
              <w:pStyle w:val="56"/>
              <w:spacing w:beforeLines="50"/>
              <w:rPr>
                <w:rFonts w:ascii="宋体" w:hAnsi="宋体"/>
                <w:bCs/>
                <w:sz w:val="20"/>
                <w:szCs w:val="20"/>
                <w:highlight w:val="none"/>
              </w:rPr>
            </w:pPr>
            <w:r>
              <w:rPr>
                <w:rFonts w:hint="eastAsia" w:ascii="宋体" w:hAnsi="宋体"/>
                <w:bCs/>
                <w:sz w:val="20"/>
                <w:szCs w:val="20"/>
                <w:highlight w:val="none"/>
              </w:rPr>
              <w:t>多管发酵法</w:t>
            </w:r>
          </w:p>
        </w:tc>
        <w:tc>
          <w:tcPr>
            <w:tcW w:w="3407" w:type="dxa"/>
            <w:tcBorders>
              <w:top w:val="single" w:color="auto" w:sz="4" w:space="0"/>
              <w:left w:val="single" w:color="auto" w:sz="4" w:space="0"/>
              <w:bottom w:val="single" w:color="auto" w:sz="4" w:space="0"/>
              <w:right w:val="single" w:color="auto" w:sz="12" w:space="0"/>
            </w:tcBorders>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《水和废水监测分析方法》第四版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568" w:type="dxa"/>
            <w:tcBorders>
              <w:top w:val="single" w:color="auto" w:sz="4" w:space="0"/>
              <w:left w:val="single" w:color="auto" w:sz="12" w:space="0"/>
              <w:bottom w:val="single" w:color="auto" w:sz="4" w:space="0"/>
              <w:right w:val="single" w:color="auto" w:sz="4" w:space="0"/>
            </w:tcBorders>
          </w:tcPr>
          <w:p>
            <w:pPr>
              <w:pStyle w:val="56"/>
              <w:spacing w:beforeLines="50"/>
              <w:rPr>
                <w:rFonts w:ascii="宋体" w:hAnsi="宋体"/>
                <w:bCs/>
                <w:sz w:val="20"/>
                <w:szCs w:val="20"/>
                <w:highlight w:val="none"/>
              </w:rPr>
            </w:pPr>
            <w:r>
              <w:rPr>
                <w:rFonts w:hint="eastAsia" w:ascii="宋体" w:hAnsi="宋体"/>
                <w:bCs/>
                <w:sz w:val="20"/>
                <w:szCs w:val="20"/>
                <w:highlight w:val="none"/>
              </w:rPr>
              <w:t>SS</w:t>
            </w:r>
          </w:p>
        </w:tc>
        <w:tc>
          <w:tcPr>
            <w:tcW w:w="3284" w:type="dxa"/>
            <w:tcBorders>
              <w:top w:val="single" w:color="auto" w:sz="4" w:space="0"/>
              <w:left w:val="single" w:color="auto" w:sz="4" w:space="0"/>
              <w:bottom w:val="single" w:color="auto" w:sz="4" w:space="0"/>
              <w:right w:val="single" w:color="auto" w:sz="4" w:space="0"/>
            </w:tcBorders>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重量法</w:t>
            </w:r>
          </w:p>
        </w:tc>
        <w:tc>
          <w:tcPr>
            <w:tcW w:w="3407" w:type="dxa"/>
            <w:tcBorders>
              <w:top w:val="single" w:color="auto" w:sz="4" w:space="0"/>
              <w:left w:val="single" w:color="auto" w:sz="4" w:space="0"/>
              <w:bottom w:val="single" w:color="auto" w:sz="4" w:space="0"/>
              <w:right w:val="single" w:color="auto" w:sz="12" w:space="0"/>
            </w:tcBorders>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GB/T 11901-1989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2568" w:type="dxa"/>
            <w:tcBorders>
              <w:top w:val="single" w:color="auto" w:sz="4" w:space="0"/>
              <w:left w:val="single" w:color="auto" w:sz="12" w:space="0"/>
              <w:bottom w:val="single" w:color="auto" w:sz="12" w:space="0"/>
              <w:right w:val="single" w:color="auto" w:sz="4" w:space="0"/>
            </w:tcBorders>
          </w:tcPr>
          <w:p>
            <w:pPr>
              <w:pStyle w:val="56"/>
              <w:spacing w:beforeLines="50"/>
              <w:rPr>
                <w:rFonts w:ascii="宋体" w:hAnsi="宋体"/>
                <w:bCs/>
                <w:sz w:val="20"/>
                <w:szCs w:val="20"/>
                <w:highlight w:val="none"/>
              </w:rPr>
            </w:pPr>
            <w:r>
              <w:rPr>
                <w:rFonts w:hint="eastAsia" w:ascii="宋体" w:hAnsi="宋体"/>
                <w:bCs/>
                <w:sz w:val="20"/>
                <w:szCs w:val="20"/>
                <w:highlight w:val="none"/>
              </w:rPr>
              <w:t>污泥含水率</w:t>
            </w:r>
          </w:p>
        </w:tc>
        <w:tc>
          <w:tcPr>
            <w:tcW w:w="3284" w:type="dxa"/>
            <w:tcBorders>
              <w:top w:val="single" w:color="auto" w:sz="4" w:space="0"/>
              <w:left w:val="single" w:color="auto" w:sz="4" w:space="0"/>
              <w:bottom w:val="single" w:color="auto" w:sz="12" w:space="0"/>
              <w:right w:val="single" w:color="auto" w:sz="4" w:space="0"/>
            </w:tcBorders>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土壤水分测定法</w:t>
            </w:r>
          </w:p>
        </w:tc>
        <w:tc>
          <w:tcPr>
            <w:tcW w:w="3407" w:type="dxa"/>
            <w:tcBorders>
              <w:top w:val="single" w:color="auto" w:sz="4" w:space="0"/>
              <w:left w:val="single" w:color="auto" w:sz="4" w:space="0"/>
              <w:bottom w:val="single" w:color="auto" w:sz="12" w:space="0"/>
              <w:right w:val="single" w:color="auto" w:sz="12" w:space="0"/>
            </w:tcBorders>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NY/T52-1987</w:t>
            </w:r>
          </w:p>
        </w:tc>
      </w:tr>
    </w:tbl>
    <w:p>
      <w:pPr>
        <w:pStyle w:val="56"/>
        <w:widowControl w:val="0"/>
        <w:spacing w:beforeLines="50"/>
        <w:ind w:firstLine="567"/>
        <w:rPr>
          <w:rFonts w:ascii="宋体" w:hAnsi="宋体"/>
          <w:bCs/>
          <w:kern w:val="2"/>
          <w:sz w:val="20"/>
          <w:szCs w:val="20"/>
          <w:highlight w:val="none"/>
        </w:rPr>
      </w:pPr>
      <w:r>
        <w:rPr>
          <w:rFonts w:hint="eastAsia" w:ascii="宋体" w:hAnsi="宋体"/>
          <w:bCs/>
          <w:kern w:val="2"/>
          <w:sz w:val="20"/>
          <w:szCs w:val="20"/>
          <w:highlight w:val="none"/>
        </w:rPr>
        <w:t>3、涉及的相关标准</w:t>
      </w:r>
    </w:p>
    <w:p>
      <w:pPr>
        <w:pStyle w:val="56"/>
        <w:widowControl w:val="0"/>
        <w:numPr>
          <w:ilvl w:val="0"/>
          <w:numId w:val="14"/>
        </w:numPr>
        <w:tabs>
          <w:tab w:val="left" w:pos="756"/>
          <w:tab w:val="left" w:pos="1134"/>
        </w:tabs>
        <w:spacing w:beforeLines="50"/>
        <w:ind w:hanging="660"/>
        <w:jc w:val="left"/>
        <w:rPr>
          <w:rFonts w:ascii="宋体" w:hAnsi="宋体"/>
          <w:bCs/>
          <w:kern w:val="2"/>
          <w:sz w:val="20"/>
          <w:szCs w:val="20"/>
          <w:highlight w:val="none"/>
        </w:rPr>
      </w:pPr>
      <w:r>
        <w:rPr>
          <w:rFonts w:hint="eastAsia" w:ascii="宋体" w:hAnsi="宋体"/>
          <w:bCs/>
          <w:kern w:val="2"/>
          <w:sz w:val="20"/>
          <w:szCs w:val="20"/>
          <w:highlight w:val="none"/>
        </w:rPr>
        <w:t>《城市污水处理厂运行、维护及其安全技术规程》  （CJJ60-2011）</w:t>
      </w:r>
    </w:p>
    <w:p>
      <w:pPr>
        <w:pStyle w:val="56"/>
        <w:widowControl w:val="0"/>
        <w:numPr>
          <w:ilvl w:val="0"/>
          <w:numId w:val="14"/>
        </w:numPr>
        <w:tabs>
          <w:tab w:val="left" w:pos="756"/>
          <w:tab w:val="left" w:pos="1134"/>
        </w:tabs>
        <w:spacing w:beforeLines="50"/>
        <w:ind w:hanging="660"/>
        <w:jc w:val="left"/>
        <w:rPr>
          <w:rFonts w:ascii="宋体" w:hAnsi="宋体"/>
          <w:bCs/>
          <w:kern w:val="2"/>
          <w:sz w:val="20"/>
          <w:szCs w:val="20"/>
          <w:highlight w:val="none"/>
        </w:rPr>
      </w:pPr>
      <w:r>
        <w:rPr>
          <w:rFonts w:hint="eastAsia" w:ascii="宋体" w:hAnsi="宋体"/>
          <w:bCs/>
          <w:kern w:val="2"/>
          <w:sz w:val="20"/>
          <w:szCs w:val="20"/>
          <w:highlight w:val="none"/>
        </w:rPr>
        <w:t>进水水质的检测内容、频率及方法，执行（GB8978—1996）的规定；</w:t>
      </w:r>
    </w:p>
    <w:p>
      <w:pPr>
        <w:pStyle w:val="56"/>
        <w:widowControl w:val="0"/>
        <w:numPr>
          <w:ilvl w:val="0"/>
          <w:numId w:val="14"/>
        </w:numPr>
        <w:tabs>
          <w:tab w:val="left" w:pos="756"/>
          <w:tab w:val="left" w:pos="1134"/>
        </w:tabs>
        <w:spacing w:beforeLines="50"/>
        <w:ind w:hanging="660"/>
        <w:jc w:val="left"/>
        <w:rPr>
          <w:rFonts w:ascii="宋体" w:hAnsi="宋体"/>
          <w:bCs/>
          <w:kern w:val="2"/>
          <w:sz w:val="20"/>
          <w:szCs w:val="20"/>
          <w:highlight w:val="none"/>
        </w:rPr>
      </w:pPr>
      <w:r>
        <w:rPr>
          <w:rFonts w:hint="eastAsia" w:ascii="宋体" w:hAnsi="宋体"/>
          <w:bCs/>
          <w:kern w:val="2"/>
          <w:sz w:val="20"/>
          <w:szCs w:val="20"/>
          <w:highlight w:val="none"/>
        </w:rPr>
        <w:t>出水水质的检测内容、频率及方法，执行（GB18918—2002）的规定，进出水同步检测；</w:t>
      </w:r>
    </w:p>
    <w:p>
      <w:pPr>
        <w:pStyle w:val="56"/>
        <w:widowControl w:val="0"/>
        <w:numPr>
          <w:ilvl w:val="0"/>
          <w:numId w:val="14"/>
        </w:numPr>
        <w:tabs>
          <w:tab w:val="left" w:pos="756"/>
          <w:tab w:val="left" w:pos="1134"/>
        </w:tabs>
        <w:spacing w:beforeLines="50"/>
        <w:ind w:hanging="660"/>
        <w:jc w:val="left"/>
        <w:rPr>
          <w:rFonts w:ascii="宋体" w:hAnsi="宋体"/>
          <w:bCs/>
          <w:kern w:val="2"/>
          <w:sz w:val="20"/>
          <w:szCs w:val="20"/>
          <w:highlight w:val="none"/>
        </w:rPr>
      </w:pPr>
      <w:r>
        <w:rPr>
          <w:rFonts w:hint="eastAsia" w:ascii="宋体" w:hAnsi="宋体"/>
          <w:bCs/>
          <w:kern w:val="2"/>
          <w:sz w:val="20"/>
          <w:szCs w:val="20"/>
          <w:highlight w:val="none"/>
        </w:rPr>
        <w:t>脱水后泥饼检测，执行《城市污水处理厂污水污泥排放标准》（CJ/T3070-1999）的规定。</w:t>
      </w:r>
    </w:p>
    <w:p>
      <w:pPr>
        <w:pStyle w:val="56"/>
        <w:spacing w:beforeLines="50"/>
        <w:ind w:firstLine="567"/>
        <w:rPr>
          <w:rFonts w:ascii="宋体" w:hAnsi="宋体"/>
          <w:bCs/>
          <w:sz w:val="20"/>
          <w:szCs w:val="20"/>
          <w:highlight w:val="none"/>
        </w:rPr>
      </w:pPr>
      <w:r>
        <w:rPr>
          <w:rFonts w:hint="eastAsia" w:ascii="宋体" w:hAnsi="宋体"/>
          <w:bCs/>
          <w:sz w:val="20"/>
          <w:szCs w:val="20"/>
          <w:highlight w:val="none"/>
        </w:rPr>
        <w:t>4、备检样本的保存</w:t>
      </w:r>
    </w:p>
    <w:p>
      <w:pPr>
        <w:pStyle w:val="56"/>
        <w:spacing w:beforeLines="50"/>
        <w:ind w:firstLine="567"/>
        <w:rPr>
          <w:rFonts w:ascii="宋体" w:hAnsi="宋体"/>
          <w:bCs/>
          <w:sz w:val="20"/>
          <w:szCs w:val="20"/>
          <w:highlight w:val="none"/>
        </w:rPr>
      </w:pPr>
      <w:r>
        <w:rPr>
          <w:rFonts w:hint="eastAsia" w:ascii="宋体" w:hAnsi="宋体"/>
          <w:bCs/>
          <w:sz w:val="20"/>
          <w:szCs w:val="20"/>
          <w:highlight w:val="none"/>
        </w:rPr>
        <w:t>污水处理厂于运营期间，日常采集用于检测的进出水水样及污泥检样，除自行检测需用的样本外，尚需采集备用样本，每份备用样本的采集水量应不少于2000ml,采集泥量应不少于2000g，并需保存于≦4℃的条件下。备用样本的保存时限为四十八（48）小时。</w:t>
      </w:r>
    </w:p>
    <w:p>
      <w:pPr>
        <w:pStyle w:val="56"/>
        <w:numPr>
          <w:ilvl w:val="0"/>
          <w:numId w:val="13"/>
        </w:numPr>
        <w:spacing w:beforeLines="50"/>
        <w:ind w:firstLine="567"/>
        <w:rPr>
          <w:rFonts w:ascii="宋体" w:hAnsi="宋体"/>
          <w:bCs/>
          <w:sz w:val="20"/>
          <w:szCs w:val="20"/>
          <w:highlight w:val="none"/>
          <w:lang w:val="fr-FR"/>
        </w:rPr>
      </w:pPr>
      <w:r>
        <w:rPr>
          <w:rFonts w:hint="eastAsia" w:ascii="宋体" w:hAnsi="宋体"/>
          <w:bCs/>
          <w:sz w:val="20"/>
          <w:szCs w:val="20"/>
          <w:highlight w:val="none"/>
          <w:lang w:val="fr-FR"/>
        </w:rPr>
        <w:t>为确保污水处理厂的正常运行，乙方应积极进行常规检测项目及周期外的检测分析工作，费用包含在投标报价中。</w:t>
      </w:r>
    </w:p>
    <w:p>
      <w:pPr>
        <w:pStyle w:val="56"/>
        <w:spacing w:beforeLines="50"/>
        <w:textAlignment w:val="baseline"/>
        <w:rPr>
          <w:rFonts w:ascii="宋体" w:hAnsi="宋体"/>
          <w:b/>
          <w:sz w:val="20"/>
          <w:szCs w:val="20"/>
          <w:highlight w:val="none"/>
        </w:rPr>
      </w:pPr>
      <w:bookmarkStart w:id="538" w:name="_Toc202677019"/>
      <w:bookmarkStart w:id="539" w:name="_Toc246596773"/>
      <w:r>
        <w:rPr>
          <w:rFonts w:hint="eastAsia" w:ascii="宋体" w:hAnsi="宋体"/>
          <w:b/>
          <w:sz w:val="20"/>
          <w:szCs w:val="20"/>
          <w:highlight w:val="none"/>
        </w:rPr>
        <w:t>附录8  运营服务费</w:t>
      </w:r>
      <w:bookmarkEnd w:id="538"/>
      <w:bookmarkEnd w:id="539"/>
      <w:r>
        <w:rPr>
          <w:rFonts w:hint="eastAsia" w:ascii="宋体" w:hAnsi="宋体"/>
          <w:b/>
          <w:sz w:val="20"/>
          <w:szCs w:val="20"/>
          <w:highlight w:val="none"/>
        </w:rPr>
        <w:t>申请单</w:t>
      </w:r>
    </w:p>
    <w:p>
      <w:pPr>
        <w:pStyle w:val="56"/>
        <w:spacing w:beforeLines="50"/>
        <w:ind w:firstLine="567"/>
        <w:rPr>
          <w:rFonts w:ascii="宋体" w:hAnsi="宋体"/>
          <w:bCs/>
          <w:sz w:val="20"/>
          <w:szCs w:val="20"/>
          <w:highlight w:val="none"/>
        </w:rPr>
      </w:pPr>
      <w:r>
        <w:rPr>
          <w:rFonts w:hint="eastAsia" w:ascii="宋体" w:hAnsi="宋体"/>
          <w:bCs/>
          <w:sz w:val="20"/>
          <w:szCs w:val="20"/>
          <w:highlight w:val="none"/>
        </w:rPr>
        <w:t>致：</w:t>
      </w:r>
    </w:p>
    <w:p>
      <w:pPr>
        <w:pStyle w:val="56"/>
        <w:spacing w:beforeLines="50"/>
        <w:ind w:firstLine="567"/>
        <w:rPr>
          <w:rFonts w:ascii="宋体" w:hAnsi="宋体"/>
          <w:bCs/>
          <w:sz w:val="20"/>
          <w:szCs w:val="20"/>
          <w:highlight w:val="none"/>
        </w:rPr>
      </w:pPr>
      <w:r>
        <w:rPr>
          <w:rFonts w:hint="eastAsia" w:ascii="宋体" w:hAnsi="宋体"/>
          <w:bCs/>
          <w:sz w:val="20"/>
          <w:szCs w:val="20"/>
          <w:highlight w:val="none"/>
        </w:rPr>
        <w:t>（</w:t>
      </w:r>
      <w:r>
        <w:rPr>
          <w:rFonts w:hint="eastAsia" w:ascii="宋体" w:hAnsi="宋体"/>
          <w:bCs/>
          <w:sz w:val="20"/>
          <w:szCs w:val="20"/>
          <w:highlight w:val="none"/>
          <w:u w:val="single"/>
        </w:rPr>
        <w:t xml:space="preserve">     </w:t>
      </w:r>
      <w:r>
        <w:rPr>
          <w:rFonts w:hint="eastAsia" w:ascii="宋体" w:hAnsi="宋体"/>
          <w:bCs/>
          <w:sz w:val="20"/>
          <w:szCs w:val="20"/>
          <w:highlight w:val="none"/>
        </w:rPr>
        <w:t>年</w:t>
      </w:r>
      <w:r>
        <w:rPr>
          <w:rFonts w:hint="eastAsia" w:ascii="宋体" w:hAnsi="宋体"/>
          <w:bCs/>
          <w:sz w:val="20"/>
          <w:szCs w:val="20"/>
          <w:highlight w:val="none"/>
          <w:u w:val="single"/>
        </w:rPr>
        <w:t xml:space="preserve">     </w:t>
      </w:r>
      <w:r>
        <w:rPr>
          <w:rFonts w:hint="eastAsia" w:ascii="宋体" w:hAnsi="宋体"/>
          <w:bCs/>
          <w:sz w:val="20"/>
          <w:szCs w:val="20"/>
          <w:highlight w:val="none"/>
        </w:rPr>
        <w:t>月）衢江区集镇污水处理厂运营服务费申请单</w:t>
      </w:r>
    </w:p>
    <w:tbl>
      <w:tblPr>
        <w:tblStyle w:val="2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898"/>
        <w:gridCol w:w="1701"/>
        <w:gridCol w:w="2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 w:hRule="atLeast"/>
          <w:jc w:val="center"/>
        </w:trPr>
        <w:tc>
          <w:tcPr>
            <w:tcW w:w="675"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序号</w:t>
            </w:r>
          </w:p>
        </w:tc>
        <w:tc>
          <w:tcPr>
            <w:tcW w:w="3898"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科 目</w:t>
            </w:r>
          </w:p>
        </w:tc>
        <w:tc>
          <w:tcPr>
            <w:tcW w:w="1701"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 xml:space="preserve"> 金额（万元）</w:t>
            </w:r>
          </w:p>
        </w:tc>
        <w:tc>
          <w:tcPr>
            <w:tcW w:w="2248" w:type="dxa"/>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jc w:val="center"/>
        </w:trPr>
        <w:tc>
          <w:tcPr>
            <w:tcW w:w="675"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1</w:t>
            </w:r>
          </w:p>
        </w:tc>
        <w:tc>
          <w:tcPr>
            <w:tcW w:w="3898"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lang w:eastAsia="zh-CN"/>
              </w:rPr>
              <w:t>每季度</w:t>
            </w:r>
            <w:r>
              <w:rPr>
                <w:rFonts w:hint="eastAsia" w:ascii="宋体" w:hAnsi="宋体"/>
                <w:bCs/>
                <w:sz w:val="20"/>
                <w:szCs w:val="20"/>
                <w:highlight w:val="none"/>
              </w:rPr>
              <w:t>应付运营服务费：</w:t>
            </w:r>
          </w:p>
        </w:tc>
        <w:tc>
          <w:tcPr>
            <w:tcW w:w="1701" w:type="dxa"/>
            <w:vAlign w:val="center"/>
          </w:tcPr>
          <w:p>
            <w:pPr>
              <w:pStyle w:val="56"/>
              <w:spacing w:beforeLines="50"/>
              <w:ind w:firstLine="567"/>
              <w:rPr>
                <w:rFonts w:ascii="宋体" w:hAnsi="宋体"/>
                <w:bCs/>
                <w:sz w:val="20"/>
                <w:szCs w:val="20"/>
                <w:highlight w:val="none"/>
              </w:rPr>
            </w:pPr>
          </w:p>
        </w:tc>
        <w:tc>
          <w:tcPr>
            <w:tcW w:w="2248" w:type="dxa"/>
            <w:vAlign w:val="center"/>
          </w:tcPr>
          <w:p>
            <w:pPr>
              <w:pStyle w:val="56"/>
              <w:spacing w:beforeLines="50"/>
              <w:ind w:firstLine="567"/>
              <w:rPr>
                <w:rFonts w:ascii="宋体" w:hAnsi="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jc w:val="center"/>
        </w:trPr>
        <w:tc>
          <w:tcPr>
            <w:tcW w:w="675"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2</w:t>
            </w:r>
          </w:p>
        </w:tc>
        <w:tc>
          <w:tcPr>
            <w:tcW w:w="3898"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lang w:eastAsia="zh-CN"/>
              </w:rPr>
              <w:t>每季度</w:t>
            </w:r>
            <w:r>
              <w:rPr>
                <w:rFonts w:hint="eastAsia" w:ascii="宋体" w:hAnsi="宋体"/>
                <w:bCs/>
                <w:sz w:val="20"/>
                <w:szCs w:val="20"/>
                <w:highlight w:val="none"/>
              </w:rPr>
              <w:t>违约</w:t>
            </w:r>
            <w:bookmarkStart w:id="540" w:name="_Hlt212958785"/>
            <w:bookmarkEnd w:id="540"/>
            <w:r>
              <w:rPr>
                <w:rFonts w:hint="eastAsia" w:ascii="宋体" w:hAnsi="宋体"/>
                <w:bCs/>
                <w:sz w:val="20"/>
                <w:szCs w:val="20"/>
                <w:highlight w:val="none"/>
              </w:rPr>
              <w:t>金扣减</w:t>
            </w:r>
          </w:p>
        </w:tc>
        <w:tc>
          <w:tcPr>
            <w:tcW w:w="1701" w:type="dxa"/>
            <w:vAlign w:val="center"/>
          </w:tcPr>
          <w:p>
            <w:pPr>
              <w:pStyle w:val="56"/>
              <w:spacing w:beforeLines="50"/>
              <w:ind w:firstLine="567"/>
              <w:rPr>
                <w:rFonts w:ascii="宋体" w:hAnsi="宋体"/>
                <w:bCs/>
                <w:sz w:val="20"/>
                <w:szCs w:val="20"/>
                <w:highlight w:val="none"/>
              </w:rPr>
            </w:pPr>
          </w:p>
        </w:tc>
        <w:tc>
          <w:tcPr>
            <w:tcW w:w="2248" w:type="dxa"/>
            <w:vAlign w:val="center"/>
          </w:tcPr>
          <w:p>
            <w:pPr>
              <w:pStyle w:val="56"/>
              <w:spacing w:beforeLines="50"/>
              <w:ind w:firstLine="567"/>
              <w:rPr>
                <w:rFonts w:ascii="宋体" w:hAnsi="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675"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3</w:t>
            </w:r>
          </w:p>
        </w:tc>
        <w:tc>
          <w:tcPr>
            <w:tcW w:w="3898"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lang w:eastAsia="zh-CN"/>
              </w:rPr>
              <w:t>每季度</w:t>
            </w:r>
            <w:r>
              <w:rPr>
                <w:rFonts w:hint="eastAsia" w:ascii="宋体" w:hAnsi="宋体"/>
                <w:bCs/>
                <w:sz w:val="20"/>
                <w:szCs w:val="20"/>
                <w:highlight w:val="none"/>
              </w:rPr>
              <w:t>应抵与应退</w:t>
            </w:r>
          </w:p>
        </w:tc>
        <w:tc>
          <w:tcPr>
            <w:tcW w:w="1701" w:type="dxa"/>
            <w:vAlign w:val="center"/>
          </w:tcPr>
          <w:p>
            <w:pPr>
              <w:pStyle w:val="56"/>
              <w:spacing w:beforeLines="50"/>
              <w:ind w:firstLine="567"/>
              <w:rPr>
                <w:rFonts w:ascii="宋体" w:hAnsi="宋体"/>
                <w:bCs/>
                <w:sz w:val="20"/>
                <w:szCs w:val="20"/>
                <w:highlight w:val="none"/>
              </w:rPr>
            </w:pPr>
            <w:bookmarkStart w:id="541" w:name="_Hlt212962946"/>
            <w:bookmarkEnd w:id="541"/>
          </w:p>
        </w:tc>
        <w:tc>
          <w:tcPr>
            <w:tcW w:w="2248" w:type="dxa"/>
            <w:vAlign w:val="center"/>
          </w:tcPr>
          <w:p>
            <w:pPr>
              <w:pStyle w:val="56"/>
              <w:spacing w:beforeLines="50"/>
              <w:ind w:firstLine="567"/>
              <w:rPr>
                <w:rFonts w:ascii="宋体" w:hAnsi="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 w:hRule="atLeast"/>
          <w:jc w:val="center"/>
        </w:trPr>
        <w:tc>
          <w:tcPr>
            <w:tcW w:w="675"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4</w:t>
            </w:r>
          </w:p>
        </w:tc>
        <w:tc>
          <w:tcPr>
            <w:tcW w:w="3898"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lang w:eastAsia="zh-CN"/>
              </w:rPr>
              <w:t>每季度</w:t>
            </w:r>
            <w:r>
              <w:rPr>
                <w:rFonts w:hint="eastAsia" w:ascii="宋体" w:hAnsi="宋体"/>
                <w:bCs/>
                <w:sz w:val="20"/>
                <w:szCs w:val="20"/>
                <w:highlight w:val="none"/>
              </w:rPr>
              <w:t>累计待付调整或补偿费余额</w:t>
            </w:r>
          </w:p>
          <w:p>
            <w:pPr>
              <w:pStyle w:val="56"/>
              <w:spacing w:beforeLines="50"/>
              <w:rPr>
                <w:rFonts w:ascii="宋体" w:hAnsi="宋体"/>
                <w:bCs/>
                <w:sz w:val="20"/>
                <w:szCs w:val="20"/>
                <w:highlight w:val="none"/>
              </w:rPr>
            </w:pPr>
            <w:r>
              <w:rPr>
                <w:rFonts w:hint="eastAsia" w:ascii="宋体" w:hAnsi="宋体"/>
                <w:bCs/>
                <w:sz w:val="20"/>
                <w:szCs w:val="20"/>
                <w:highlight w:val="none"/>
              </w:rPr>
              <w:t>（</w:t>
            </w:r>
            <w:r>
              <w:rPr>
                <w:rFonts w:hint="eastAsia" w:ascii="宋体" w:hAnsi="宋体"/>
                <w:bCs/>
                <w:sz w:val="20"/>
                <w:szCs w:val="20"/>
                <w:highlight w:val="none"/>
                <w:lang w:eastAsia="zh-CN"/>
              </w:rPr>
              <w:t>每季度</w:t>
            </w:r>
            <w:r>
              <w:rPr>
                <w:rFonts w:hint="eastAsia" w:ascii="宋体" w:hAnsi="宋体"/>
                <w:bCs/>
                <w:sz w:val="20"/>
                <w:szCs w:val="20"/>
                <w:highlight w:val="none"/>
              </w:rPr>
              <w:t>结清/每周年结清）</w:t>
            </w:r>
          </w:p>
        </w:tc>
        <w:tc>
          <w:tcPr>
            <w:tcW w:w="1701" w:type="dxa"/>
            <w:vAlign w:val="center"/>
          </w:tcPr>
          <w:p>
            <w:pPr>
              <w:pStyle w:val="56"/>
              <w:spacing w:beforeLines="50"/>
              <w:ind w:firstLine="567"/>
              <w:rPr>
                <w:rFonts w:ascii="宋体" w:hAnsi="宋体"/>
                <w:bCs/>
                <w:sz w:val="20"/>
                <w:szCs w:val="20"/>
                <w:highlight w:val="none"/>
              </w:rPr>
            </w:pPr>
          </w:p>
        </w:tc>
        <w:tc>
          <w:tcPr>
            <w:tcW w:w="2248" w:type="dxa"/>
            <w:vAlign w:val="center"/>
          </w:tcPr>
          <w:p>
            <w:pPr>
              <w:pStyle w:val="56"/>
              <w:spacing w:beforeLines="50"/>
              <w:ind w:firstLine="567"/>
              <w:rPr>
                <w:rFonts w:ascii="宋体" w:hAnsi="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675" w:type="dxa"/>
            <w:vMerge w:val="restart"/>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5</w:t>
            </w:r>
          </w:p>
        </w:tc>
        <w:tc>
          <w:tcPr>
            <w:tcW w:w="3898" w:type="dxa"/>
            <w:vMerge w:val="restart"/>
            <w:vAlign w:val="center"/>
          </w:tcPr>
          <w:p>
            <w:pPr>
              <w:pStyle w:val="56"/>
              <w:spacing w:beforeLines="50"/>
              <w:rPr>
                <w:rFonts w:ascii="宋体" w:hAnsi="宋体"/>
                <w:bCs/>
                <w:sz w:val="20"/>
                <w:szCs w:val="20"/>
                <w:highlight w:val="none"/>
              </w:rPr>
            </w:pPr>
            <w:r>
              <w:rPr>
                <w:rFonts w:hint="eastAsia" w:ascii="宋体" w:hAnsi="宋体"/>
                <w:bCs/>
                <w:sz w:val="20"/>
                <w:szCs w:val="20"/>
                <w:highlight w:val="none"/>
                <w:lang w:eastAsia="zh-CN"/>
              </w:rPr>
              <w:t>每季度</w:t>
            </w:r>
            <w:r>
              <w:rPr>
                <w:rFonts w:hint="eastAsia" w:ascii="宋体" w:hAnsi="宋体"/>
                <w:bCs/>
                <w:sz w:val="20"/>
                <w:szCs w:val="20"/>
                <w:highlight w:val="none"/>
              </w:rPr>
              <w:t>实付总计（1-2±3）</w:t>
            </w:r>
          </w:p>
        </w:tc>
        <w:tc>
          <w:tcPr>
            <w:tcW w:w="3949" w:type="dxa"/>
            <w:gridSpan w:val="2"/>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675" w:type="dxa"/>
            <w:vMerge w:val="continue"/>
            <w:vAlign w:val="center"/>
          </w:tcPr>
          <w:p>
            <w:pPr>
              <w:pStyle w:val="56"/>
              <w:spacing w:beforeLines="50"/>
              <w:ind w:firstLine="567"/>
              <w:rPr>
                <w:rFonts w:ascii="宋体" w:hAnsi="宋体"/>
                <w:bCs/>
                <w:sz w:val="20"/>
                <w:szCs w:val="20"/>
                <w:highlight w:val="none"/>
              </w:rPr>
            </w:pPr>
          </w:p>
        </w:tc>
        <w:tc>
          <w:tcPr>
            <w:tcW w:w="3898" w:type="dxa"/>
            <w:vMerge w:val="continue"/>
            <w:vAlign w:val="center"/>
          </w:tcPr>
          <w:p>
            <w:pPr>
              <w:pStyle w:val="56"/>
              <w:spacing w:beforeLines="50"/>
              <w:ind w:firstLine="567"/>
              <w:rPr>
                <w:rFonts w:ascii="宋体" w:hAnsi="宋体"/>
                <w:bCs/>
                <w:sz w:val="20"/>
                <w:szCs w:val="20"/>
                <w:highlight w:val="none"/>
              </w:rPr>
            </w:pPr>
          </w:p>
        </w:tc>
        <w:tc>
          <w:tcPr>
            <w:tcW w:w="3949" w:type="dxa"/>
            <w:gridSpan w:val="2"/>
            <w:vAlign w:val="center"/>
          </w:tcPr>
          <w:p>
            <w:pPr>
              <w:pStyle w:val="56"/>
              <w:spacing w:beforeLines="50"/>
              <w:ind w:firstLine="567"/>
              <w:rPr>
                <w:rFonts w:ascii="宋体" w:hAnsi="宋体"/>
                <w:bCs/>
                <w:sz w:val="20"/>
                <w:szCs w:val="20"/>
                <w:highlight w:val="none"/>
              </w:rPr>
            </w:pPr>
            <w:r>
              <w:rPr>
                <w:rFonts w:hint="eastAsia" w:ascii="宋体" w:hAnsi="宋体"/>
                <w:bCs/>
                <w:sz w:val="20"/>
                <w:szCs w:val="20"/>
                <w:highlight w:val="none"/>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26" w:hRule="atLeast"/>
          <w:jc w:val="center"/>
        </w:trPr>
        <w:tc>
          <w:tcPr>
            <w:tcW w:w="675"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6</w:t>
            </w:r>
          </w:p>
        </w:tc>
        <w:tc>
          <w:tcPr>
            <w:tcW w:w="7847" w:type="dxa"/>
            <w:gridSpan w:val="3"/>
            <w:vAlign w:val="center"/>
          </w:tcPr>
          <w:tbl>
            <w:tblPr>
              <w:tblStyle w:val="25"/>
              <w:tblW w:w="78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1" w:hRule="atLeast"/>
                <w:jc w:val="center"/>
              </w:trPr>
              <w:tc>
                <w:tcPr>
                  <w:tcW w:w="7847"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承包单位申报意见：</w:t>
                  </w:r>
                </w:p>
                <w:p>
                  <w:pPr>
                    <w:pStyle w:val="56"/>
                    <w:spacing w:beforeLines="50"/>
                    <w:rPr>
                      <w:rFonts w:ascii="宋体" w:hAnsi="宋体"/>
                      <w:bCs/>
                      <w:sz w:val="20"/>
                      <w:szCs w:val="20"/>
                      <w:highlight w:val="none"/>
                    </w:rPr>
                  </w:pPr>
                  <w:r>
                    <w:rPr>
                      <w:rFonts w:hint="eastAsia" w:ascii="宋体" w:hAnsi="宋体"/>
                      <w:bCs/>
                      <w:sz w:val="20"/>
                      <w:szCs w:val="20"/>
                      <w:highlight w:val="none"/>
                    </w:rPr>
                    <w:t xml:space="preserve">     </w:t>
                  </w:r>
                </w:p>
                <w:p>
                  <w:pPr>
                    <w:pStyle w:val="56"/>
                    <w:spacing w:beforeLines="50"/>
                    <w:rPr>
                      <w:rFonts w:ascii="宋体" w:hAnsi="宋体"/>
                      <w:bCs/>
                      <w:sz w:val="20"/>
                      <w:szCs w:val="20"/>
                      <w:highlight w:val="none"/>
                    </w:rPr>
                  </w:pPr>
                  <w:r>
                    <w:rPr>
                      <w:rFonts w:hint="eastAsia" w:ascii="宋体" w:hAnsi="宋体"/>
                      <w:bCs/>
                      <w:sz w:val="20"/>
                      <w:szCs w:val="20"/>
                      <w:highlight w:val="none"/>
                    </w:rPr>
                    <w:t>法人代表（签字）：                 单位 盖章：</w:t>
                  </w:r>
                </w:p>
                <w:p>
                  <w:pPr>
                    <w:pStyle w:val="56"/>
                    <w:spacing w:beforeLines="50"/>
                    <w:rPr>
                      <w:rFonts w:ascii="宋体" w:hAnsi="宋体"/>
                      <w:bCs/>
                      <w:sz w:val="20"/>
                      <w:szCs w:val="20"/>
                      <w:highlight w:val="none"/>
                    </w:rPr>
                  </w:pPr>
                  <w:r>
                    <w:rPr>
                      <w:rFonts w:hint="eastAsia" w:ascii="宋体" w:hAnsi="宋体"/>
                      <w:bCs/>
                      <w:sz w:val="20"/>
                      <w:szCs w:val="20"/>
                      <w:highlight w:val="none"/>
                    </w:rPr>
                    <w:t xml:space="preserve">                                   年  月  日</w:t>
                  </w:r>
                </w:p>
                <w:p>
                  <w:pPr>
                    <w:pStyle w:val="56"/>
                    <w:spacing w:beforeLines="50"/>
                    <w:rPr>
                      <w:rFonts w:ascii="宋体" w:hAnsi="宋体"/>
                      <w:bCs/>
                      <w:sz w:val="20"/>
                      <w:szCs w:val="20"/>
                      <w:highlight w:val="none"/>
                    </w:rPr>
                  </w:pPr>
                  <w:r>
                    <w:rPr>
                      <w:rFonts w:hint="eastAsia" w:ascii="宋体" w:hAnsi="宋体"/>
                      <w:bCs/>
                      <w:sz w:val="20"/>
                      <w:szCs w:val="20"/>
                      <w:highlight w:val="none"/>
                    </w:rPr>
                    <w:t xml:space="preserve">                                               </w:t>
                  </w:r>
                </w:p>
              </w:tc>
            </w:tr>
          </w:tbl>
          <w:p>
            <w:pPr>
              <w:pStyle w:val="56"/>
              <w:spacing w:beforeLines="50"/>
              <w:rPr>
                <w:rFonts w:ascii="宋体" w:hAnsi="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 w:hRule="atLeast"/>
          <w:jc w:val="center"/>
        </w:trPr>
        <w:tc>
          <w:tcPr>
            <w:tcW w:w="675"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7</w:t>
            </w:r>
          </w:p>
        </w:tc>
        <w:tc>
          <w:tcPr>
            <w:tcW w:w="7847" w:type="dxa"/>
            <w:gridSpan w:val="3"/>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镇政府意见：</w:t>
            </w:r>
          </w:p>
          <w:p>
            <w:pPr>
              <w:pStyle w:val="56"/>
              <w:spacing w:beforeLines="50"/>
              <w:rPr>
                <w:rFonts w:ascii="宋体" w:hAnsi="宋体"/>
                <w:bCs/>
                <w:sz w:val="20"/>
                <w:szCs w:val="20"/>
                <w:highlight w:val="none"/>
              </w:rPr>
            </w:pPr>
          </w:p>
          <w:p>
            <w:pPr>
              <w:pStyle w:val="56"/>
              <w:spacing w:beforeLines="50"/>
              <w:rPr>
                <w:rFonts w:ascii="宋体" w:hAnsi="宋体"/>
                <w:b/>
                <w:sz w:val="20"/>
                <w:szCs w:val="20"/>
                <w:highlight w:val="none"/>
              </w:rPr>
            </w:pPr>
            <w:r>
              <w:rPr>
                <w:rFonts w:hint="eastAsia" w:ascii="宋体" w:hAnsi="宋体"/>
                <w:bCs/>
                <w:sz w:val="20"/>
                <w:szCs w:val="20"/>
                <w:highlight w:val="none"/>
              </w:rPr>
              <w:t>负责人（签字）：</w:t>
            </w:r>
          </w:p>
          <w:p>
            <w:pPr>
              <w:pStyle w:val="56"/>
              <w:spacing w:beforeLines="50"/>
              <w:rPr>
                <w:rFonts w:ascii="宋体" w:hAnsi="宋体"/>
                <w:bCs/>
                <w:sz w:val="20"/>
                <w:szCs w:val="20"/>
                <w:highlight w:val="none"/>
              </w:rPr>
            </w:pPr>
            <w:r>
              <w:rPr>
                <w:rFonts w:hint="eastAsia" w:ascii="宋体" w:hAnsi="宋体"/>
                <w:bCs/>
                <w:sz w:val="20"/>
                <w:szCs w:val="20"/>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 w:hRule="atLeast"/>
          <w:jc w:val="center"/>
        </w:trPr>
        <w:tc>
          <w:tcPr>
            <w:tcW w:w="675"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8</w:t>
            </w:r>
          </w:p>
        </w:tc>
        <w:tc>
          <w:tcPr>
            <w:tcW w:w="7847" w:type="dxa"/>
            <w:gridSpan w:val="3"/>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科室审核意见：</w:t>
            </w:r>
          </w:p>
          <w:p>
            <w:pPr>
              <w:pStyle w:val="56"/>
              <w:spacing w:beforeLines="50"/>
              <w:rPr>
                <w:rFonts w:ascii="宋体" w:hAnsi="宋体"/>
                <w:bCs/>
                <w:sz w:val="20"/>
                <w:szCs w:val="20"/>
                <w:highlight w:val="none"/>
              </w:rPr>
            </w:pPr>
            <w:r>
              <w:rPr>
                <w:rFonts w:hint="eastAsia" w:ascii="宋体" w:hAnsi="宋体"/>
                <w:bCs/>
                <w:sz w:val="20"/>
                <w:szCs w:val="20"/>
                <w:highlight w:val="none"/>
              </w:rPr>
              <w:t>经办人：                          科室长：</w:t>
            </w:r>
          </w:p>
          <w:p>
            <w:pPr>
              <w:pStyle w:val="56"/>
              <w:spacing w:beforeLines="50"/>
              <w:rPr>
                <w:rFonts w:ascii="宋体" w:hAnsi="宋体"/>
                <w:bCs/>
                <w:sz w:val="20"/>
                <w:szCs w:val="20"/>
                <w:highlight w:val="none"/>
              </w:rPr>
            </w:pPr>
            <w:r>
              <w:rPr>
                <w:rFonts w:hint="eastAsia" w:ascii="宋体" w:hAnsi="宋体"/>
                <w:bCs/>
                <w:sz w:val="20"/>
                <w:szCs w:val="20"/>
                <w:highlight w:val="none"/>
              </w:rPr>
              <w:t>年  月  日                       年  月  日</w:t>
            </w:r>
          </w:p>
          <w:p>
            <w:pPr>
              <w:pStyle w:val="56"/>
              <w:spacing w:beforeLines="50"/>
              <w:rPr>
                <w:rFonts w:ascii="宋体" w:hAnsi="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9" w:hRule="atLeast"/>
          <w:jc w:val="center"/>
        </w:trPr>
        <w:tc>
          <w:tcPr>
            <w:tcW w:w="675" w:type="dxa"/>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8</w:t>
            </w:r>
          </w:p>
        </w:tc>
        <w:tc>
          <w:tcPr>
            <w:tcW w:w="7847" w:type="dxa"/>
            <w:gridSpan w:val="3"/>
            <w:vAlign w:val="center"/>
          </w:tcPr>
          <w:p>
            <w:pPr>
              <w:pStyle w:val="56"/>
              <w:spacing w:beforeLines="50"/>
              <w:rPr>
                <w:rFonts w:ascii="宋体" w:hAnsi="宋体"/>
                <w:bCs/>
                <w:sz w:val="20"/>
                <w:szCs w:val="20"/>
                <w:highlight w:val="none"/>
              </w:rPr>
            </w:pPr>
            <w:r>
              <w:rPr>
                <w:rFonts w:hint="eastAsia" w:ascii="宋体" w:hAnsi="宋体"/>
                <w:bCs/>
                <w:sz w:val="20"/>
                <w:szCs w:val="20"/>
                <w:highlight w:val="none"/>
              </w:rPr>
              <w:t>分管领导审核意见：</w:t>
            </w:r>
          </w:p>
          <w:p>
            <w:pPr>
              <w:pStyle w:val="56"/>
              <w:spacing w:beforeLines="50"/>
              <w:rPr>
                <w:rFonts w:ascii="宋体" w:hAnsi="宋体"/>
                <w:bCs/>
                <w:sz w:val="20"/>
                <w:szCs w:val="20"/>
                <w:highlight w:val="none"/>
              </w:rPr>
            </w:pPr>
            <w:r>
              <w:rPr>
                <w:rFonts w:hint="eastAsia" w:ascii="宋体" w:hAnsi="宋体"/>
                <w:bCs/>
                <w:sz w:val="20"/>
                <w:szCs w:val="20"/>
                <w:highlight w:val="none"/>
              </w:rPr>
              <w:t xml:space="preserve">     </w:t>
            </w:r>
          </w:p>
          <w:p>
            <w:pPr>
              <w:pStyle w:val="56"/>
              <w:spacing w:beforeLines="50"/>
              <w:ind w:firstLine="3434" w:firstLineChars="1700"/>
              <w:rPr>
                <w:rFonts w:ascii="宋体" w:hAnsi="宋体"/>
                <w:bCs/>
                <w:sz w:val="20"/>
                <w:szCs w:val="20"/>
                <w:highlight w:val="none"/>
              </w:rPr>
            </w:pPr>
            <w:r>
              <w:rPr>
                <w:rFonts w:hint="eastAsia" w:ascii="宋体" w:hAnsi="宋体"/>
                <w:bCs/>
                <w:sz w:val="20"/>
                <w:szCs w:val="20"/>
                <w:highlight w:val="none"/>
              </w:rPr>
              <w:t>年  月  日</w:t>
            </w:r>
          </w:p>
          <w:p>
            <w:pPr>
              <w:pStyle w:val="56"/>
              <w:spacing w:beforeLines="50"/>
              <w:rPr>
                <w:rFonts w:ascii="宋体" w:hAnsi="宋体"/>
                <w:bCs/>
                <w:sz w:val="20"/>
                <w:szCs w:val="20"/>
                <w:highlight w:val="none"/>
              </w:rPr>
            </w:pPr>
          </w:p>
        </w:tc>
      </w:tr>
    </w:tbl>
    <w:p>
      <w:pPr>
        <w:pStyle w:val="56"/>
        <w:spacing w:beforeLines="50"/>
        <w:ind w:firstLine="567"/>
        <w:rPr>
          <w:rFonts w:ascii="宋体" w:hAnsi="宋体"/>
          <w:bCs/>
          <w:sz w:val="20"/>
          <w:szCs w:val="20"/>
          <w:highlight w:val="none"/>
        </w:rPr>
      </w:pPr>
      <w:r>
        <w:rPr>
          <w:rFonts w:hint="eastAsia" w:ascii="宋体" w:hAnsi="宋体"/>
          <w:bCs/>
          <w:sz w:val="20"/>
          <w:szCs w:val="20"/>
          <w:highlight w:val="none"/>
        </w:rPr>
        <w:t>注：</w:t>
      </w:r>
    </w:p>
    <w:p>
      <w:pPr>
        <w:pStyle w:val="56"/>
        <w:tabs>
          <w:tab w:val="left" w:pos="1260"/>
        </w:tabs>
        <w:spacing w:beforeLines="50"/>
        <w:ind w:firstLine="567"/>
        <w:rPr>
          <w:rFonts w:ascii="宋体" w:hAnsi="宋体"/>
          <w:bCs/>
          <w:sz w:val="20"/>
          <w:szCs w:val="20"/>
          <w:highlight w:val="none"/>
        </w:rPr>
      </w:pPr>
      <w:r>
        <w:rPr>
          <w:rFonts w:hint="eastAsia" w:ascii="宋体" w:hAnsi="宋体"/>
          <w:bCs/>
          <w:sz w:val="20"/>
          <w:szCs w:val="20"/>
          <w:highlight w:val="none"/>
        </w:rPr>
        <w:t>支付时间：1） 甲方应在</w:t>
      </w:r>
      <w:r>
        <w:rPr>
          <w:rFonts w:hint="eastAsia" w:ascii="宋体" w:hAnsi="宋体"/>
          <w:bCs/>
          <w:sz w:val="20"/>
          <w:szCs w:val="20"/>
          <w:highlight w:val="none"/>
          <w:u w:val="single"/>
        </w:rPr>
        <w:t xml:space="preserve">    </w:t>
      </w:r>
      <w:r>
        <w:rPr>
          <w:rFonts w:hint="eastAsia" w:ascii="宋体" w:hAnsi="宋体"/>
          <w:bCs/>
          <w:sz w:val="20"/>
          <w:szCs w:val="20"/>
          <w:highlight w:val="none"/>
        </w:rPr>
        <w:t>年</w:t>
      </w:r>
      <w:r>
        <w:rPr>
          <w:rFonts w:hint="eastAsia" w:ascii="宋体" w:hAnsi="宋体"/>
          <w:bCs/>
          <w:sz w:val="20"/>
          <w:szCs w:val="20"/>
          <w:highlight w:val="none"/>
          <w:u w:val="single"/>
        </w:rPr>
        <w:t xml:space="preserve">    </w:t>
      </w:r>
      <w:r>
        <w:rPr>
          <w:rFonts w:hint="eastAsia" w:ascii="宋体" w:hAnsi="宋体"/>
          <w:bCs/>
          <w:sz w:val="20"/>
          <w:szCs w:val="20"/>
          <w:highlight w:val="none"/>
        </w:rPr>
        <w:t>月的20日之前向乙方支付自（ ）年（ ）月（ ）日起至（ ）年（ ）月（ ）日止的运营服务费：</w:t>
      </w:r>
    </w:p>
    <w:p>
      <w:pPr>
        <w:pStyle w:val="56"/>
        <w:spacing w:beforeLines="50"/>
        <w:ind w:firstLine="567"/>
        <w:rPr>
          <w:rFonts w:ascii="宋体" w:hAnsi="宋体"/>
          <w:bCs/>
          <w:sz w:val="20"/>
          <w:szCs w:val="20"/>
          <w:highlight w:val="none"/>
        </w:rPr>
      </w:pPr>
      <w:r>
        <w:rPr>
          <w:rFonts w:hint="eastAsia" w:ascii="宋体" w:hAnsi="宋体"/>
          <w:bCs/>
          <w:sz w:val="20"/>
          <w:szCs w:val="20"/>
          <w:highlight w:val="none"/>
        </w:rPr>
        <w:t>2） 甲方应在</w:t>
      </w:r>
      <w:r>
        <w:rPr>
          <w:rFonts w:hint="eastAsia" w:ascii="宋体" w:hAnsi="宋体"/>
          <w:bCs/>
          <w:sz w:val="20"/>
          <w:szCs w:val="20"/>
          <w:highlight w:val="none"/>
          <w:u w:val="single"/>
        </w:rPr>
        <w:t xml:space="preserve">    </w:t>
      </w:r>
      <w:r>
        <w:rPr>
          <w:rFonts w:hint="eastAsia" w:ascii="宋体" w:hAnsi="宋体"/>
          <w:bCs/>
          <w:sz w:val="20"/>
          <w:szCs w:val="20"/>
          <w:highlight w:val="none"/>
        </w:rPr>
        <w:t>年1月15日之前向乙方支付自（ ）年（ ）月（ ）日起至（ ）年（ ）月（ ）日止的年度服务费。</w:t>
      </w:r>
    </w:p>
    <w:p>
      <w:pPr>
        <w:pStyle w:val="56"/>
        <w:tabs>
          <w:tab w:val="left" w:pos="720"/>
        </w:tabs>
        <w:spacing w:beforeLines="50"/>
        <w:ind w:firstLine="567"/>
        <w:rPr>
          <w:rFonts w:ascii="宋体" w:hAnsi="宋体"/>
          <w:bCs/>
          <w:sz w:val="20"/>
          <w:szCs w:val="20"/>
          <w:highlight w:val="none"/>
        </w:rPr>
      </w:pPr>
      <w:r>
        <w:rPr>
          <w:rFonts w:hint="eastAsia" w:ascii="宋体" w:hAnsi="宋体"/>
          <w:bCs/>
          <w:sz w:val="20"/>
          <w:szCs w:val="20"/>
          <w:highlight w:val="none"/>
        </w:rPr>
        <w:t>计算公式：见运营服务协议附录1。</w:t>
      </w:r>
    </w:p>
    <w:p>
      <w:pPr>
        <w:pStyle w:val="56"/>
        <w:tabs>
          <w:tab w:val="left" w:pos="720"/>
        </w:tabs>
        <w:spacing w:beforeLines="50"/>
        <w:ind w:firstLine="567"/>
        <w:rPr>
          <w:rFonts w:ascii="宋体" w:hAnsi="宋体"/>
          <w:bCs/>
          <w:sz w:val="20"/>
          <w:szCs w:val="20"/>
          <w:highlight w:val="none"/>
        </w:rPr>
      </w:pPr>
      <w:r>
        <w:rPr>
          <w:rFonts w:hint="eastAsia" w:ascii="宋体" w:hAnsi="宋体"/>
          <w:bCs/>
          <w:sz w:val="20"/>
          <w:szCs w:val="20"/>
          <w:highlight w:val="none"/>
        </w:rPr>
        <w:t>基准服务费计算参数：</w:t>
      </w:r>
    </w:p>
    <w:p>
      <w:pPr>
        <w:pStyle w:val="56"/>
        <w:tabs>
          <w:tab w:val="left" w:pos="1260"/>
        </w:tabs>
        <w:spacing w:beforeLines="50"/>
        <w:ind w:firstLine="567"/>
        <w:rPr>
          <w:rFonts w:ascii="宋体" w:hAnsi="宋体"/>
          <w:bCs/>
          <w:sz w:val="20"/>
          <w:szCs w:val="20"/>
          <w:highlight w:val="none"/>
        </w:rPr>
      </w:pPr>
      <w:r>
        <w:rPr>
          <w:rFonts w:hint="eastAsia" w:ascii="宋体" w:hAnsi="宋体"/>
          <w:bCs/>
          <w:sz w:val="20"/>
          <w:szCs w:val="20"/>
          <w:highlight w:val="none"/>
        </w:rPr>
        <w:t>运营服务费全费用综合单价：</w:t>
      </w:r>
      <w:r>
        <w:rPr>
          <w:rFonts w:hint="eastAsia" w:ascii="宋体" w:hAnsi="宋体"/>
          <w:bCs/>
          <w:sz w:val="20"/>
          <w:szCs w:val="20"/>
          <w:highlight w:val="none"/>
          <w:u w:val="single"/>
        </w:rPr>
        <w:t xml:space="preserve">     </w:t>
      </w:r>
      <w:r>
        <w:rPr>
          <w:rFonts w:hint="eastAsia" w:ascii="宋体" w:hAnsi="宋体"/>
          <w:bCs/>
          <w:sz w:val="20"/>
          <w:szCs w:val="20"/>
          <w:highlight w:val="none"/>
        </w:rPr>
        <w:t>元/立方米；</w:t>
      </w:r>
    </w:p>
    <w:p>
      <w:pPr>
        <w:pStyle w:val="56"/>
        <w:tabs>
          <w:tab w:val="left" w:pos="1260"/>
        </w:tabs>
        <w:spacing w:beforeLines="50"/>
        <w:ind w:firstLine="567"/>
        <w:rPr>
          <w:rFonts w:ascii="宋体" w:hAnsi="宋体"/>
          <w:bCs/>
          <w:sz w:val="20"/>
          <w:szCs w:val="20"/>
          <w:highlight w:val="none"/>
        </w:rPr>
      </w:pPr>
      <w:r>
        <w:rPr>
          <w:rFonts w:hint="eastAsia" w:ascii="宋体" w:hAnsi="宋体"/>
          <w:bCs/>
          <w:sz w:val="20"/>
          <w:szCs w:val="20"/>
          <w:highlight w:val="none"/>
          <w:lang w:eastAsia="zh-CN"/>
        </w:rPr>
        <w:t>每季度</w:t>
      </w:r>
      <w:r>
        <w:rPr>
          <w:rFonts w:hint="eastAsia" w:ascii="宋体" w:hAnsi="宋体"/>
          <w:bCs/>
          <w:sz w:val="20"/>
          <w:szCs w:val="20"/>
          <w:highlight w:val="none"/>
        </w:rPr>
        <w:t>执行的运营服务费全费用综合单价：</w:t>
      </w:r>
      <w:r>
        <w:rPr>
          <w:rFonts w:hint="eastAsia" w:ascii="宋体" w:hAnsi="宋体"/>
          <w:bCs/>
          <w:sz w:val="20"/>
          <w:szCs w:val="20"/>
          <w:highlight w:val="none"/>
          <w:u w:val="single"/>
        </w:rPr>
        <w:t xml:space="preserve">   </w:t>
      </w:r>
      <w:r>
        <w:rPr>
          <w:rFonts w:hint="eastAsia" w:ascii="宋体" w:hAnsi="宋体"/>
          <w:bCs/>
          <w:sz w:val="20"/>
          <w:szCs w:val="20"/>
          <w:highlight w:val="none"/>
        </w:rPr>
        <w:t>元/立方米；</w:t>
      </w:r>
    </w:p>
    <w:p>
      <w:pPr>
        <w:pStyle w:val="56"/>
        <w:tabs>
          <w:tab w:val="left" w:pos="1260"/>
          <w:tab w:val="left" w:pos="1800"/>
        </w:tabs>
        <w:spacing w:beforeLines="50"/>
        <w:ind w:firstLine="567"/>
        <w:rPr>
          <w:rFonts w:ascii="宋体" w:hAnsi="宋体"/>
          <w:bCs/>
          <w:sz w:val="20"/>
          <w:szCs w:val="20"/>
          <w:highlight w:val="none"/>
        </w:rPr>
      </w:pPr>
      <w:r>
        <w:rPr>
          <w:rFonts w:hint="eastAsia" w:ascii="宋体" w:hAnsi="宋体"/>
          <w:bCs/>
          <w:sz w:val="20"/>
          <w:szCs w:val="20"/>
          <w:highlight w:val="none"/>
          <w:lang w:eastAsia="zh-CN"/>
        </w:rPr>
        <w:t>每季度</w:t>
      </w:r>
      <w:r>
        <w:rPr>
          <w:rFonts w:hint="eastAsia" w:ascii="宋体" w:hAnsi="宋体"/>
          <w:bCs/>
          <w:sz w:val="20"/>
          <w:szCs w:val="20"/>
          <w:highlight w:val="none"/>
        </w:rPr>
        <w:t>实际天数为</w:t>
      </w:r>
      <w:r>
        <w:rPr>
          <w:rFonts w:hint="eastAsia" w:ascii="宋体" w:hAnsi="宋体"/>
          <w:bCs/>
          <w:sz w:val="20"/>
          <w:szCs w:val="20"/>
          <w:highlight w:val="none"/>
          <w:u w:val="single"/>
        </w:rPr>
        <w:t xml:space="preserve">   </w:t>
      </w:r>
      <w:r>
        <w:rPr>
          <w:rFonts w:hint="eastAsia" w:ascii="宋体" w:hAnsi="宋体"/>
          <w:bCs/>
          <w:sz w:val="20"/>
          <w:szCs w:val="20"/>
          <w:highlight w:val="none"/>
        </w:rPr>
        <w:t>天；</w:t>
      </w:r>
      <w:r>
        <w:rPr>
          <w:rFonts w:hint="eastAsia" w:ascii="宋体" w:hAnsi="宋体"/>
          <w:bCs/>
          <w:sz w:val="20"/>
          <w:szCs w:val="20"/>
          <w:highlight w:val="none"/>
          <w:lang w:eastAsia="zh-CN"/>
        </w:rPr>
        <w:t>每季度</w:t>
      </w:r>
      <w:r>
        <w:rPr>
          <w:rFonts w:hint="eastAsia" w:ascii="宋体" w:hAnsi="宋体"/>
          <w:bCs/>
          <w:sz w:val="20"/>
          <w:szCs w:val="20"/>
          <w:highlight w:val="none"/>
        </w:rPr>
        <w:t>停产天数为</w:t>
      </w:r>
      <w:r>
        <w:rPr>
          <w:rFonts w:hint="eastAsia" w:ascii="宋体" w:hAnsi="宋体"/>
          <w:bCs/>
          <w:sz w:val="20"/>
          <w:szCs w:val="20"/>
          <w:highlight w:val="none"/>
          <w:u w:val="single"/>
        </w:rPr>
        <w:t xml:space="preserve">   </w:t>
      </w:r>
      <w:r>
        <w:rPr>
          <w:rFonts w:hint="eastAsia" w:ascii="宋体" w:hAnsi="宋体"/>
          <w:bCs/>
          <w:sz w:val="20"/>
          <w:szCs w:val="20"/>
          <w:highlight w:val="none"/>
        </w:rPr>
        <w:t>天；</w:t>
      </w:r>
    </w:p>
    <w:p>
      <w:pPr>
        <w:pStyle w:val="56"/>
        <w:tabs>
          <w:tab w:val="left" w:pos="1260"/>
          <w:tab w:val="left" w:pos="1800"/>
        </w:tabs>
        <w:spacing w:beforeLines="50"/>
        <w:ind w:firstLine="567"/>
        <w:rPr>
          <w:rFonts w:ascii="宋体" w:hAnsi="宋体"/>
          <w:bCs/>
          <w:sz w:val="20"/>
          <w:szCs w:val="20"/>
          <w:highlight w:val="none"/>
        </w:rPr>
      </w:pPr>
      <w:r>
        <w:rPr>
          <w:rFonts w:hint="eastAsia" w:ascii="宋体" w:hAnsi="宋体"/>
          <w:bCs/>
          <w:sz w:val="20"/>
          <w:szCs w:val="20"/>
          <w:highlight w:val="none"/>
          <w:lang w:eastAsia="zh-CN"/>
        </w:rPr>
        <w:t>每季度</w:t>
      </w:r>
      <w:r>
        <w:rPr>
          <w:rFonts w:hint="eastAsia" w:ascii="宋体" w:hAnsi="宋体"/>
          <w:bCs/>
          <w:sz w:val="20"/>
          <w:szCs w:val="20"/>
          <w:highlight w:val="none"/>
        </w:rPr>
        <w:t>实际污水处理量为</w:t>
      </w:r>
      <w:r>
        <w:rPr>
          <w:rFonts w:hint="eastAsia" w:ascii="宋体" w:hAnsi="宋体"/>
          <w:bCs/>
          <w:sz w:val="20"/>
          <w:szCs w:val="20"/>
          <w:highlight w:val="none"/>
          <w:u w:val="single"/>
        </w:rPr>
        <w:t xml:space="preserve">    </w:t>
      </w:r>
      <w:r>
        <w:rPr>
          <w:rFonts w:hint="eastAsia" w:ascii="宋体" w:hAnsi="宋体"/>
          <w:bCs/>
          <w:sz w:val="20"/>
          <w:szCs w:val="20"/>
          <w:highlight w:val="none"/>
        </w:rPr>
        <w:t>万立方米/天。</w:t>
      </w:r>
    </w:p>
    <w:p>
      <w:pPr>
        <w:pStyle w:val="56"/>
        <w:tabs>
          <w:tab w:val="left" w:pos="1260"/>
          <w:tab w:val="left" w:pos="1800"/>
        </w:tabs>
        <w:spacing w:beforeLines="50"/>
        <w:ind w:firstLine="567"/>
        <w:rPr>
          <w:rFonts w:ascii="宋体" w:hAnsi="宋体"/>
          <w:bCs/>
          <w:sz w:val="20"/>
          <w:szCs w:val="20"/>
          <w:highlight w:val="none"/>
        </w:rPr>
      </w:pPr>
      <w:r>
        <w:rPr>
          <w:rFonts w:hint="eastAsia" w:ascii="宋体" w:hAnsi="宋体"/>
          <w:bCs/>
          <w:sz w:val="20"/>
          <w:szCs w:val="20"/>
          <w:highlight w:val="none"/>
        </w:rPr>
        <w:t>对违约金扣减、抵扣与退还或补偿费金额的说明（可另附）</w:t>
      </w:r>
    </w:p>
    <w:p>
      <w:pPr>
        <w:pStyle w:val="56"/>
        <w:spacing w:beforeLines="50"/>
        <w:ind w:firstLine="567"/>
        <w:rPr>
          <w:rFonts w:ascii="宋体" w:hAnsi="宋体"/>
          <w:bCs/>
          <w:sz w:val="20"/>
          <w:szCs w:val="20"/>
          <w:highlight w:val="none"/>
        </w:rPr>
      </w:pPr>
      <w:r>
        <w:rPr>
          <w:rFonts w:hint="eastAsia" w:ascii="宋体" w:hAnsi="宋体"/>
          <w:bCs/>
          <w:sz w:val="20"/>
          <w:szCs w:val="20"/>
          <w:highlight w:val="none"/>
        </w:rPr>
        <w:t xml:space="preserve">                                             乙方</w:t>
      </w:r>
    </w:p>
    <w:p>
      <w:pPr>
        <w:pStyle w:val="56"/>
        <w:spacing w:beforeLines="50"/>
        <w:ind w:firstLine="567"/>
        <w:rPr>
          <w:rFonts w:ascii="宋体" w:hAnsi="宋体"/>
          <w:bCs/>
          <w:sz w:val="20"/>
          <w:szCs w:val="20"/>
          <w:highlight w:val="none"/>
        </w:rPr>
      </w:pPr>
    </w:p>
    <w:p>
      <w:pPr>
        <w:pStyle w:val="56"/>
        <w:spacing w:beforeLines="50"/>
        <w:ind w:firstLine="567"/>
        <w:rPr>
          <w:rFonts w:ascii="宋体" w:hAnsi="宋体"/>
          <w:bCs/>
          <w:sz w:val="20"/>
          <w:szCs w:val="20"/>
          <w:highlight w:val="none"/>
        </w:rPr>
      </w:pPr>
    </w:p>
    <w:p>
      <w:pPr>
        <w:pStyle w:val="56"/>
        <w:spacing w:beforeLines="50"/>
        <w:ind w:firstLine="606" w:firstLineChars="300"/>
        <w:rPr>
          <w:rFonts w:ascii="宋体" w:hAnsi="宋体"/>
          <w:bCs/>
          <w:sz w:val="20"/>
          <w:szCs w:val="20"/>
          <w:highlight w:val="none"/>
        </w:rPr>
      </w:pPr>
      <w:r>
        <w:rPr>
          <w:rFonts w:hint="eastAsia" w:ascii="宋体" w:hAnsi="宋体"/>
          <w:bCs/>
          <w:sz w:val="20"/>
          <w:szCs w:val="20"/>
          <w:highlight w:val="none"/>
        </w:rPr>
        <w:t xml:space="preserve">                                         </w:t>
      </w:r>
      <w:r>
        <w:rPr>
          <w:rFonts w:hint="eastAsia" w:ascii="宋体" w:hAnsi="宋体"/>
          <w:bCs/>
          <w:sz w:val="20"/>
          <w:szCs w:val="20"/>
          <w:highlight w:val="none"/>
          <w:u w:val="single"/>
        </w:rPr>
        <w:t xml:space="preserve">      </w:t>
      </w:r>
      <w:r>
        <w:rPr>
          <w:rFonts w:hint="eastAsia" w:ascii="宋体" w:hAnsi="宋体"/>
          <w:bCs/>
          <w:sz w:val="20"/>
          <w:szCs w:val="20"/>
          <w:highlight w:val="none"/>
        </w:rPr>
        <w:t>年</w:t>
      </w:r>
      <w:r>
        <w:rPr>
          <w:rFonts w:hint="eastAsia" w:ascii="宋体" w:hAnsi="宋体"/>
          <w:bCs/>
          <w:sz w:val="20"/>
          <w:szCs w:val="20"/>
          <w:highlight w:val="none"/>
          <w:u w:val="single"/>
        </w:rPr>
        <w:t xml:space="preserve">    </w:t>
      </w:r>
      <w:r>
        <w:rPr>
          <w:rFonts w:hint="eastAsia" w:ascii="宋体" w:hAnsi="宋体"/>
          <w:bCs/>
          <w:sz w:val="20"/>
          <w:szCs w:val="20"/>
          <w:highlight w:val="none"/>
        </w:rPr>
        <w:t>月</w:t>
      </w:r>
      <w:r>
        <w:rPr>
          <w:rFonts w:hint="eastAsia" w:ascii="宋体" w:hAnsi="宋体"/>
          <w:bCs/>
          <w:sz w:val="20"/>
          <w:szCs w:val="20"/>
          <w:highlight w:val="none"/>
          <w:u w:val="single"/>
        </w:rPr>
        <w:t xml:space="preserve">    </w:t>
      </w:r>
      <w:r>
        <w:rPr>
          <w:rFonts w:hint="eastAsia" w:ascii="宋体" w:hAnsi="宋体"/>
          <w:bCs/>
          <w:sz w:val="20"/>
          <w:szCs w:val="20"/>
          <w:highlight w:val="none"/>
        </w:rPr>
        <w:t>日</w:t>
      </w:r>
    </w:p>
    <w:p>
      <w:pPr>
        <w:pStyle w:val="56"/>
        <w:keepNext/>
        <w:keepLines/>
        <w:spacing w:before="120" w:after="120"/>
        <w:ind w:firstLine="212" w:firstLineChars="100"/>
        <w:outlineLvl w:val="4"/>
        <w:rPr>
          <w:rFonts w:ascii="宋体" w:hAnsi="宋体"/>
          <w:b/>
          <w:szCs w:val="20"/>
          <w:highlight w:val="none"/>
        </w:rPr>
      </w:pPr>
      <w:bookmarkStart w:id="542" w:name="_Hlt215644109"/>
      <w:bookmarkEnd w:id="542"/>
      <w:bookmarkStart w:id="543" w:name="_Toc246596774"/>
      <w:bookmarkStart w:id="544" w:name="_Toc202677022"/>
    </w:p>
    <w:p>
      <w:pPr>
        <w:pStyle w:val="56"/>
        <w:keepNext/>
        <w:keepLines/>
        <w:spacing w:before="120" w:after="120"/>
        <w:outlineLvl w:val="4"/>
        <w:rPr>
          <w:rFonts w:ascii="宋体" w:hAnsi="宋体"/>
          <w:b/>
          <w:szCs w:val="20"/>
          <w:highlight w:val="none"/>
        </w:rPr>
      </w:pPr>
      <w:r>
        <w:rPr>
          <w:rFonts w:hint="eastAsia" w:ascii="宋体" w:hAnsi="宋体"/>
          <w:b/>
          <w:szCs w:val="20"/>
          <w:highlight w:val="none"/>
        </w:rPr>
        <w:t>附件二  保险</w:t>
      </w:r>
      <w:bookmarkEnd w:id="543"/>
      <w:bookmarkEnd w:id="544"/>
    </w:p>
    <w:p>
      <w:pPr>
        <w:pStyle w:val="56"/>
        <w:spacing w:beforeLines="50"/>
        <w:ind w:firstLine="567"/>
        <w:rPr>
          <w:rFonts w:ascii="宋体" w:hAnsi="宋体"/>
          <w:bCs/>
          <w:sz w:val="20"/>
          <w:szCs w:val="20"/>
          <w:highlight w:val="none"/>
          <w:lang w:val="fr-FR"/>
        </w:rPr>
      </w:pPr>
      <w:r>
        <w:rPr>
          <w:rFonts w:hint="eastAsia" w:ascii="宋体" w:hAnsi="宋体"/>
          <w:bCs/>
          <w:sz w:val="20"/>
          <w:szCs w:val="20"/>
          <w:highlight w:val="none"/>
        </w:rPr>
        <w:t>在整个运营期内，乙方应按本行业的国家管理规定办理和维持合理的项目设施运营保险。</w:t>
      </w:r>
    </w:p>
    <w:p>
      <w:pPr>
        <w:pStyle w:val="56"/>
        <w:spacing w:beforeLines="50"/>
        <w:ind w:firstLine="567"/>
        <w:rPr>
          <w:rFonts w:ascii="宋体" w:hAnsi="宋体"/>
          <w:bCs/>
          <w:sz w:val="20"/>
          <w:szCs w:val="20"/>
          <w:highlight w:val="none"/>
          <w:lang w:val="fr-FR"/>
        </w:rPr>
      </w:pPr>
      <w:r>
        <w:rPr>
          <w:rFonts w:hint="eastAsia" w:ascii="宋体" w:hAnsi="宋体"/>
          <w:bCs/>
          <w:sz w:val="20"/>
          <w:szCs w:val="20"/>
          <w:highlight w:val="none"/>
        </w:rPr>
        <w:t>乙方应按运营服务协议和本附件办理保险，乙方的保险应符合《中华人民共和国保险法》和其它适用法律的要求。</w:t>
      </w:r>
    </w:p>
    <w:p>
      <w:pPr>
        <w:pStyle w:val="56"/>
        <w:spacing w:beforeLines="50"/>
        <w:ind w:firstLine="567"/>
        <w:rPr>
          <w:rFonts w:ascii="宋体" w:hAnsi="宋体"/>
          <w:bCs/>
          <w:sz w:val="20"/>
          <w:szCs w:val="20"/>
          <w:highlight w:val="none"/>
        </w:rPr>
      </w:pPr>
      <w:r>
        <w:rPr>
          <w:rFonts w:hint="eastAsia" w:ascii="宋体" w:hAnsi="宋体"/>
          <w:bCs/>
          <w:sz w:val="20"/>
          <w:szCs w:val="20"/>
          <w:highlight w:val="none"/>
        </w:rPr>
        <w:t>乙方应在污水处理厂建设完工开始运营日或该日之前自费投保并在整个运营期内保持下列险种的保险。但是，如果从保险公司处无法获得，或无法以合理的商业条件获得该等保险，则乙方没有义务获得该等保险。除上述规定外，这种情况不解除或限制乙方在运营服务协议项下的义务。这些险种包括：</w:t>
      </w:r>
    </w:p>
    <w:p>
      <w:pPr>
        <w:pStyle w:val="56"/>
        <w:widowControl w:val="0"/>
        <w:numPr>
          <w:ilvl w:val="0"/>
          <w:numId w:val="15"/>
        </w:numPr>
        <w:tabs>
          <w:tab w:val="left" w:pos="840"/>
        </w:tabs>
        <w:spacing w:beforeLines="50"/>
        <w:ind w:hanging="1020"/>
        <w:jc w:val="left"/>
        <w:rPr>
          <w:rFonts w:ascii="宋体" w:hAnsi="宋体"/>
          <w:bCs/>
          <w:sz w:val="20"/>
          <w:szCs w:val="20"/>
          <w:highlight w:val="none"/>
        </w:rPr>
      </w:pPr>
      <w:r>
        <w:rPr>
          <w:rFonts w:hint="eastAsia" w:ascii="宋体" w:hAnsi="宋体"/>
          <w:bCs/>
          <w:sz w:val="20"/>
          <w:szCs w:val="20"/>
          <w:highlight w:val="none"/>
        </w:rPr>
        <w:t>财产一切险</w:t>
      </w:r>
    </w:p>
    <w:p>
      <w:pPr>
        <w:pStyle w:val="56"/>
        <w:spacing w:beforeLines="50"/>
        <w:ind w:firstLine="567"/>
        <w:rPr>
          <w:rFonts w:ascii="宋体" w:hAnsi="宋体"/>
          <w:bCs/>
          <w:sz w:val="20"/>
          <w:szCs w:val="20"/>
          <w:highlight w:val="none"/>
        </w:rPr>
      </w:pPr>
      <w:r>
        <w:rPr>
          <w:rFonts w:hint="eastAsia" w:ascii="宋体" w:hAnsi="宋体"/>
          <w:bCs/>
          <w:sz w:val="20"/>
          <w:szCs w:val="20"/>
          <w:highlight w:val="none"/>
        </w:rPr>
        <w:t>责任范围：对构成项目设施组成部分的、正在使用的并位于污水处理厂场地的所有建筑物、构筑物、设备。化学品、零备件和其它材料和/或不动产所有损失或损坏的所有一般及惯常的可保风险，包括但不限于火灾、雷电、爆炸、暴雨、台风、水灾、旱灾、地震、故意破坏、设计缺陷等。</w:t>
      </w:r>
    </w:p>
    <w:p>
      <w:pPr>
        <w:pStyle w:val="56"/>
        <w:spacing w:beforeLines="50"/>
        <w:ind w:firstLine="567"/>
        <w:rPr>
          <w:rFonts w:ascii="宋体" w:hAnsi="宋体"/>
          <w:bCs/>
          <w:sz w:val="20"/>
          <w:szCs w:val="20"/>
          <w:highlight w:val="none"/>
        </w:rPr>
      </w:pPr>
      <w:r>
        <w:rPr>
          <w:rFonts w:hint="eastAsia" w:ascii="宋体" w:hAnsi="宋体"/>
          <w:bCs/>
          <w:sz w:val="20"/>
          <w:szCs w:val="20"/>
          <w:highlight w:val="none"/>
        </w:rPr>
        <w:t>保险金额：污水处理厂场地内所有设施的全部重置价值</w:t>
      </w:r>
    </w:p>
    <w:p>
      <w:pPr>
        <w:pStyle w:val="56"/>
        <w:spacing w:beforeLines="50"/>
        <w:ind w:firstLine="567"/>
        <w:rPr>
          <w:rFonts w:ascii="宋体" w:hAnsi="宋体"/>
          <w:bCs/>
          <w:sz w:val="20"/>
          <w:szCs w:val="20"/>
          <w:highlight w:val="none"/>
        </w:rPr>
      </w:pPr>
      <w:r>
        <w:rPr>
          <w:rFonts w:hint="eastAsia" w:ascii="宋体" w:hAnsi="宋体"/>
          <w:bCs/>
          <w:sz w:val="20"/>
          <w:szCs w:val="20"/>
          <w:highlight w:val="none"/>
        </w:rPr>
        <w:t>保险期间：以年为单位，可延续。</w:t>
      </w:r>
    </w:p>
    <w:p>
      <w:pPr>
        <w:pStyle w:val="56"/>
        <w:spacing w:beforeLines="50"/>
        <w:ind w:firstLine="567"/>
        <w:rPr>
          <w:rFonts w:ascii="宋体" w:hAnsi="宋体"/>
          <w:bCs/>
          <w:sz w:val="20"/>
          <w:szCs w:val="20"/>
          <w:highlight w:val="none"/>
        </w:rPr>
      </w:pPr>
      <w:r>
        <w:rPr>
          <w:rFonts w:hint="eastAsia" w:ascii="宋体" w:hAnsi="宋体"/>
          <w:bCs/>
          <w:sz w:val="20"/>
          <w:szCs w:val="20"/>
          <w:highlight w:val="none"/>
        </w:rPr>
        <w:t>被保险人：甲方及其可能选择的其他方（条件是该其他方拥有或可获得在此保险下的可保利益）。</w:t>
      </w:r>
    </w:p>
    <w:p>
      <w:pPr>
        <w:pStyle w:val="56"/>
        <w:widowControl w:val="0"/>
        <w:numPr>
          <w:ilvl w:val="0"/>
          <w:numId w:val="15"/>
        </w:numPr>
        <w:tabs>
          <w:tab w:val="left" w:pos="840"/>
        </w:tabs>
        <w:spacing w:beforeLines="50"/>
        <w:ind w:hanging="1020"/>
        <w:jc w:val="left"/>
        <w:rPr>
          <w:rFonts w:ascii="宋体" w:hAnsi="宋体"/>
          <w:bCs/>
          <w:sz w:val="20"/>
          <w:szCs w:val="20"/>
          <w:highlight w:val="none"/>
        </w:rPr>
      </w:pPr>
      <w:r>
        <w:rPr>
          <w:rFonts w:hint="eastAsia" w:ascii="宋体" w:hAnsi="宋体"/>
          <w:bCs/>
          <w:sz w:val="20"/>
          <w:szCs w:val="20"/>
          <w:highlight w:val="none"/>
        </w:rPr>
        <w:t>机械故障损坏停运险</w:t>
      </w:r>
    </w:p>
    <w:p>
      <w:pPr>
        <w:pStyle w:val="56"/>
        <w:spacing w:beforeLines="50"/>
        <w:ind w:firstLine="567"/>
        <w:rPr>
          <w:rFonts w:ascii="宋体" w:hAnsi="宋体"/>
          <w:bCs/>
          <w:sz w:val="20"/>
          <w:szCs w:val="20"/>
          <w:highlight w:val="none"/>
        </w:rPr>
      </w:pPr>
      <w:r>
        <w:rPr>
          <w:rFonts w:hint="eastAsia" w:ascii="宋体" w:hAnsi="宋体"/>
          <w:bCs/>
          <w:sz w:val="20"/>
          <w:szCs w:val="20"/>
          <w:highlight w:val="none"/>
        </w:rPr>
        <w:t>责任范围：对构成项目设施组成部分的、并位于污水处理厂场地的所有机电设备的突然和不可预见的有形损失或损坏的保险。</w:t>
      </w:r>
    </w:p>
    <w:p>
      <w:pPr>
        <w:pStyle w:val="56"/>
        <w:spacing w:beforeLines="50"/>
        <w:ind w:firstLine="567"/>
        <w:rPr>
          <w:rFonts w:ascii="宋体" w:hAnsi="宋体"/>
          <w:bCs/>
          <w:sz w:val="20"/>
          <w:szCs w:val="20"/>
          <w:highlight w:val="none"/>
        </w:rPr>
      </w:pPr>
      <w:r>
        <w:rPr>
          <w:rFonts w:hint="eastAsia" w:ascii="宋体" w:hAnsi="宋体"/>
          <w:bCs/>
          <w:sz w:val="20"/>
          <w:szCs w:val="20"/>
          <w:highlight w:val="none"/>
        </w:rPr>
        <w:t>保险金额：污水处理厂场地内所有机电设备的全部重置价值</w:t>
      </w:r>
    </w:p>
    <w:p>
      <w:pPr>
        <w:pStyle w:val="56"/>
        <w:spacing w:beforeLines="50"/>
        <w:ind w:firstLine="567"/>
        <w:rPr>
          <w:rFonts w:ascii="宋体" w:hAnsi="宋体"/>
          <w:bCs/>
          <w:sz w:val="20"/>
          <w:szCs w:val="20"/>
          <w:highlight w:val="none"/>
        </w:rPr>
      </w:pPr>
      <w:r>
        <w:rPr>
          <w:rFonts w:hint="eastAsia" w:ascii="宋体" w:hAnsi="宋体"/>
          <w:bCs/>
          <w:sz w:val="20"/>
          <w:szCs w:val="20"/>
          <w:highlight w:val="none"/>
        </w:rPr>
        <w:t>保险期间：以年为单位，可延续。</w:t>
      </w:r>
    </w:p>
    <w:p>
      <w:pPr>
        <w:pStyle w:val="56"/>
        <w:spacing w:beforeLines="50"/>
        <w:ind w:firstLine="567"/>
        <w:rPr>
          <w:rFonts w:ascii="宋体" w:hAnsi="宋体"/>
          <w:bCs/>
          <w:sz w:val="20"/>
          <w:szCs w:val="20"/>
          <w:highlight w:val="none"/>
        </w:rPr>
      </w:pPr>
      <w:r>
        <w:rPr>
          <w:rFonts w:hint="eastAsia" w:ascii="宋体" w:hAnsi="宋体"/>
          <w:bCs/>
          <w:sz w:val="20"/>
          <w:szCs w:val="20"/>
          <w:highlight w:val="none"/>
        </w:rPr>
        <w:t>被保险人：甲方及其可能选择的其他方（条件是该其他方拥有或可获得在此保险下的可保利益）。</w:t>
      </w:r>
    </w:p>
    <w:p>
      <w:pPr>
        <w:pStyle w:val="56"/>
        <w:widowControl w:val="0"/>
        <w:numPr>
          <w:ilvl w:val="0"/>
          <w:numId w:val="15"/>
        </w:numPr>
        <w:tabs>
          <w:tab w:val="left" w:pos="840"/>
        </w:tabs>
        <w:spacing w:beforeLines="50"/>
        <w:ind w:hanging="1020"/>
        <w:jc w:val="left"/>
        <w:rPr>
          <w:rFonts w:ascii="宋体" w:hAnsi="宋体"/>
          <w:bCs/>
          <w:sz w:val="20"/>
          <w:szCs w:val="20"/>
          <w:highlight w:val="none"/>
        </w:rPr>
      </w:pPr>
      <w:r>
        <w:rPr>
          <w:rFonts w:hint="eastAsia" w:ascii="宋体" w:hAnsi="宋体"/>
          <w:bCs/>
          <w:sz w:val="20"/>
          <w:szCs w:val="20"/>
          <w:highlight w:val="none"/>
        </w:rPr>
        <w:t>机械故障损坏之业务中断险</w:t>
      </w:r>
    </w:p>
    <w:p>
      <w:pPr>
        <w:pStyle w:val="56"/>
        <w:spacing w:beforeLines="50"/>
        <w:ind w:firstLine="567"/>
        <w:rPr>
          <w:rFonts w:ascii="宋体" w:hAnsi="宋体"/>
          <w:bCs/>
          <w:sz w:val="20"/>
          <w:szCs w:val="20"/>
          <w:highlight w:val="none"/>
        </w:rPr>
      </w:pPr>
      <w:r>
        <w:rPr>
          <w:rFonts w:hint="eastAsia" w:ascii="宋体" w:hAnsi="宋体"/>
          <w:bCs/>
          <w:sz w:val="20"/>
          <w:szCs w:val="20"/>
          <w:highlight w:val="none"/>
        </w:rPr>
        <w:t>责任范围：在十二（12）个月保障期内（投保的中断期间），因机械故障损坏项下所承保的可保风险造成的业务中断或受到干扰而产生的利息、附加利息和规定的常规费用的损失。</w:t>
      </w:r>
    </w:p>
    <w:p>
      <w:pPr>
        <w:pStyle w:val="56"/>
        <w:spacing w:beforeLines="50"/>
        <w:ind w:firstLine="567"/>
        <w:rPr>
          <w:rFonts w:ascii="宋体" w:hAnsi="宋体"/>
          <w:bCs/>
          <w:sz w:val="20"/>
          <w:szCs w:val="20"/>
          <w:highlight w:val="none"/>
        </w:rPr>
      </w:pPr>
      <w:r>
        <w:rPr>
          <w:rFonts w:hint="eastAsia" w:ascii="宋体" w:hAnsi="宋体"/>
          <w:bCs/>
          <w:sz w:val="20"/>
          <w:szCs w:val="20"/>
          <w:highlight w:val="none"/>
        </w:rPr>
        <w:t>保险金额：等于十二（12）个月保障期内发生的利息、附加利息、计划的本金付款和规定的常规费用的总额。</w:t>
      </w:r>
    </w:p>
    <w:p>
      <w:pPr>
        <w:pStyle w:val="56"/>
        <w:spacing w:beforeLines="50"/>
        <w:ind w:firstLine="567"/>
        <w:rPr>
          <w:rFonts w:ascii="宋体" w:hAnsi="宋体"/>
          <w:bCs/>
          <w:sz w:val="20"/>
          <w:szCs w:val="20"/>
          <w:highlight w:val="none"/>
        </w:rPr>
      </w:pPr>
      <w:r>
        <w:rPr>
          <w:rFonts w:hint="eastAsia" w:ascii="宋体" w:hAnsi="宋体"/>
          <w:bCs/>
          <w:sz w:val="20"/>
          <w:szCs w:val="20"/>
          <w:highlight w:val="none"/>
        </w:rPr>
        <w:t>保险期间：以年为单位，可延续。</w:t>
      </w:r>
    </w:p>
    <w:p>
      <w:pPr>
        <w:pStyle w:val="56"/>
        <w:spacing w:beforeLines="50"/>
        <w:ind w:firstLine="567"/>
        <w:rPr>
          <w:rFonts w:ascii="宋体" w:hAnsi="宋体"/>
          <w:bCs/>
          <w:sz w:val="20"/>
          <w:szCs w:val="20"/>
          <w:highlight w:val="none"/>
        </w:rPr>
      </w:pPr>
      <w:r>
        <w:rPr>
          <w:rFonts w:hint="eastAsia" w:ascii="宋体" w:hAnsi="宋体"/>
          <w:bCs/>
          <w:sz w:val="20"/>
          <w:szCs w:val="20"/>
          <w:highlight w:val="none"/>
        </w:rPr>
        <w:t>被保险人：甲方及其可能选择的其他方（条件是该其他方拥有或可获得在此保险下的可保利益）。</w:t>
      </w:r>
    </w:p>
    <w:p>
      <w:pPr>
        <w:pStyle w:val="56"/>
        <w:widowControl w:val="0"/>
        <w:numPr>
          <w:ilvl w:val="0"/>
          <w:numId w:val="15"/>
        </w:numPr>
        <w:tabs>
          <w:tab w:val="left" w:pos="840"/>
        </w:tabs>
        <w:spacing w:beforeLines="50"/>
        <w:ind w:hanging="800"/>
        <w:jc w:val="left"/>
        <w:rPr>
          <w:rFonts w:ascii="宋体" w:hAnsi="宋体"/>
          <w:bCs/>
          <w:sz w:val="20"/>
          <w:szCs w:val="20"/>
          <w:highlight w:val="none"/>
        </w:rPr>
      </w:pPr>
      <w:r>
        <w:rPr>
          <w:rFonts w:hint="eastAsia" w:ascii="宋体" w:hAnsi="宋体"/>
          <w:bCs/>
          <w:sz w:val="20"/>
          <w:szCs w:val="20"/>
          <w:highlight w:val="none"/>
        </w:rPr>
        <w:t>第三者责任险</w:t>
      </w:r>
    </w:p>
    <w:p>
      <w:pPr>
        <w:pStyle w:val="56"/>
        <w:spacing w:beforeLines="50"/>
        <w:ind w:firstLine="567"/>
        <w:rPr>
          <w:rFonts w:ascii="宋体" w:hAnsi="宋体"/>
          <w:bCs/>
          <w:sz w:val="20"/>
          <w:szCs w:val="20"/>
          <w:highlight w:val="none"/>
        </w:rPr>
      </w:pPr>
      <w:r>
        <w:rPr>
          <w:rFonts w:hint="eastAsia" w:ascii="宋体" w:hAnsi="宋体"/>
          <w:bCs/>
          <w:sz w:val="20"/>
          <w:szCs w:val="20"/>
          <w:highlight w:val="none"/>
        </w:rPr>
        <w:t>责任范围：因运营和维护污水处理厂的设施造成的对第三者人身伤害或财产损失所应承担的法律责任的保险。</w:t>
      </w:r>
    </w:p>
    <w:p>
      <w:pPr>
        <w:pStyle w:val="56"/>
        <w:spacing w:beforeLines="50"/>
        <w:ind w:firstLine="567"/>
        <w:rPr>
          <w:rFonts w:ascii="宋体" w:hAnsi="宋体"/>
          <w:bCs/>
          <w:sz w:val="20"/>
          <w:szCs w:val="20"/>
          <w:highlight w:val="none"/>
        </w:rPr>
      </w:pPr>
      <w:r>
        <w:rPr>
          <w:rFonts w:hint="eastAsia" w:ascii="宋体" w:hAnsi="宋体"/>
          <w:bCs/>
          <w:sz w:val="20"/>
          <w:szCs w:val="20"/>
          <w:highlight w:val="none"/>
        </w:rPr>
        <w:t>保险金额：每次事故责任限额人民币贰佰（200）万元，保险事故次数不限。</w:t>
      </w:r>
    </w:p>
    <w:p>
      <w:pPr>
        <w:pStyle w:val="56"/>
        <w:spacing w:beforeLines="50"/>
        <w:ind w:firstLine="567"/>
        <w:rPr>
          <w:rFonts w:ascii="宋体" w:hAnsi="宋体"/>
          <w:bCs/>
          <w:sz w:val="20"/>
          <w:szCs w:val="20"/>
          <w:highlight w:val="none"/>
        </w:rPr>
      </w:pPr>
      <w:r>
        <w:rPr>
          <w:rFonts w:hint="eastAsia" w:ascii="宋体" w:hAnsi="宋体"/>
          <w:bCs/>
          <w:sz w:val="20"/>
          <w:szCs w:val="20"/>
          <w:highlight w:val="none"/>
        </w:rPr>
        <w:t>保险期间：以年为单位，可延续。</w:t>
      </w:r>
    </w:p>
    <w:p>
      <w:pPr>
        <w:pStyle w:val="56"/>
        <w:spacing w:beforeLines="50"/>
        <w:ind w:firstLine="567"/>
        <w:rPr>
          <w:rFonts w:ascii="宋体" w:hAnsi="宋体"/>
          <w:bCs/>
          <w:sz w:val="20"/>
          <w:szCs w:val="20"/>
          <w:highlight w:val="none"/>
        </w:rPr>
      </w:pPr>
      <w:r>
        <w:rPr>
          <w:rFonts w:hint="eastAsia" w:ascii="宋体" w:hAnsi="宋体"/>
          <w:bCs/>
          <w:sz w:val="20"/>
          <w:szCs w:val="20"/>
          <w:highlight w:val="none"/>
        </w:rPr>
        <w:t>被保险人：甲方及其可能选择的其他方（条件是该其他方拥有或可获得在此保险下的可保利益）。</w:t>
      </w:r>
    </w:p>
    <w:p>
      <w:pPr>
        <w:pStyle w:val="56"/>
        <w:widowControl w:val="0"/>
        <w:numPr>
          <w:ilvl w:val="0"/>
          <w:numId w:val="15"/>
        </w:numPr>
        <w:tabs>
          <w:tab w:val="left" w:pos="840"/>
        </w:tabs>
        <w:spacing w:beforeLines="50"/>
        <w:ind w:hanging="800"/>
        <w:jc w:val="left"/>
        <w:rPr>
          <w:rFonts w:ascii="宋体" w:hAnsi="宋体"/>
          <w:bCs/>
          <w:sz w:val="20"/>
          <w:szCs w:val="20"/>
          <w:highlight w:val="none"/>
        </w:rPr>
      </w:pPr>
      <w:r>
        <w:rPr>
          <w:rFonts w:hint="eastAsia" w:ascii="宋体" w:hAnsi="宋体"/>
          <w:bCs/>
          <w:sz w:val="20"/>
          <w:szCs w:val="20"/>
          <w:highlight w:val="none"/>
        </w:rPr>
        <w:t>其它险种</w:t>
      </w:r>
    </w:p>
    <w:p>
      <w:pPr>
        <w:pStyle w:val="56"/>
        <w:spacing w:beforeLines="50"/>
        <w:ind w:firstLine="567"/>
        <w:rPr>
          <w:rFonts w:ascii="宋体" w:hAnsi="宋体"/>
          <w:bCs/>
          <w:sz w:val="20"/>
          <w:szCs w:val="20"/>
          <w:highlight w:val="none"/>
        </w:rPr>
      </w:pPr>
      <w:r>
        <w:rPr>
          <w:rFonts w:hint="eastAsia" w:ascii="宋体" w:hAnsi="宋体"/>
          <w:bCs/>
          <w:sz w:val="20"/>
          <w:szCs w:val="20"/>
          <w:highlight w:val="none"/>
        </w:rPr>
        <w:t>其它通常的、合理的或者遵循贷款人及适用法律要求所必须的保险。</w:t>
      </w:r>
    </w:p>
    <w:p>
      <w:pPr>
        <w:pStyle w:val="56"/>
        <w:widowControl w:val="0"/>
        <w:numPr>
          <w:ilvl w:val="0"/>
          <w:numId w:val="16"/>
        </w:numPr>
        <w:tabs>
          <w:tab w:val="left" w:pos="600"/>
        </w:tabs>
        <w:spacing w:beforeLines="50"/>
        <w:ind w:hanging="870"/>
        <w:jc w:val="left"/>
        <w:rPr>
          <w:rFonts w:ascii="宋体" w:hAnsi="宋体"/>
          <w:bCs/>
          <w:sz w:val="20"/>
          <w:szCs w:val="20"/>
          <w:highlight w:val="none"/>
        </w:rPr>
      </w:pPr>
      <w:r>
        <w:rPr>
          <w:rFonts w:hint="eastAsia" w:ascii="宋体" w:hAnsi="宋体"/>
          <w:bCs/>
          <w:sz w:val="20"/>
          <w:szCs w:val="20"/>
          <w:highlight w:val="none"/>
        </w:rPr>
        <w:t>保险商和保险单</w:t>
      </w:r>
    </w:p>
    <w:p>
      <w:pPr>
        <w:pStyle w:val="56"/>
        <w:spacing w:beforeLines="50"/>
        <w:ind w:firstLine="567"/>
        <w:rPr>
          <w:rFonts w:ascii="宋体" w:hAnsi="宋体"/>
          <w:bCs/>
          <w:sz w:val="20"/>
          <w:szCs w:val="20"/>
          <w:highlight w:val="none"/>
        </w:rPr>
      </w:pPr>
      <w:r>
        <w:rPr>
          <w:rFonts w:hint="eastAsia" w:ascii="宋体" w:hAnsi="宋体"/>
          <w:bCs/>
          <w:sz w:val="20"/>
          <w:szCs w:val="20"/>
          <w:highlight w:val="none"/>
        </w:rPr>
        <w:t>乙方应在获准在中国经营保险业务的、具有良好信誉并经甲方同意的保险商处保持完全有效的保险，并向甲方提供所有的保险证书供查验，证明乙方已按照甲方要求获得了保险单据，同时向甲方提供全部保险单据的复印件及保险费已付凭据的复印件。乙方一旦收到续保证书和保险批单凭据也应及时提交给甲方。</w:t>
      </w:r>
    </w:p>
    <w:p>
      <w:pPr>
        <w:pStyle w:val="56"/>
        <w:spacing w:beforeLines="50"/>
        <w:ind w:firstLine="567"/>
        <w:rPr>
          <w:rFonts w:ascii="宋体" w:hAnsi="宋体"/>
          <w:bCs/>
          <w:sz w:val="20"/>
          <w:szCs w:val="20"/>
          <w:highlight w:val="none"/>
        </w:rPr>
      </w:pPr>
      <w:r>
        <w:rPr>
          <w:rFonts w:hint="eastAsia" w:ascii="宋体" w:hAnsi="宋体"/>
          <w:bCs/>
          <w:sz w:val="20"/>
          <w:szCs w:val="20"/>
          <w:highlight w:val="none"/>
        </w:rPr>
        <w:t>保险单应包括保险商就以下各项做出的确认：</w:t>
      </w:r>
    </w:p>
    <w:p>
      <w:pPr>
        <w:pStyle w:val="56"/>
        <w:tabs>
          <w:tab w:val="left" w:pos="945"/>
        </w:tabs>
        <w:spacing w:beforeLines="50"/>
        <w:ind w:firstLine="567"/>
        <w:rPr>
          <w:rFonts w:ascii="宋体" w:hAnsi="宋体"/>
          <w:bCs/>
          <w:sz w:val="20"/>
          <w:szCs w:val="20"/>
          <w:highlight w:val="none"/>
        </w:rPr>
      </w:pPr>
      <w:r>
        <w:rPr>
          <w:rFonts w:hint="eastAsia" w:ascii="宋体" w:hAnsi="宋体"/>
          <w:bCs/>
          <w:sz w:val="20"/>
          <w:szCs w:val="20"/>
          <w:highlight w:val="none"/>
        </w:rPr>
        <w:t>a）保险商已经获得充分的信息以便在假设该等信息不存在实质性误导的前提下评估对保单项下所有风险进行承保的风险。</w:t>
      </w:r>
    </w:p>
    <w:p>
      <w:pPr>
        <w:pStyle w:val="56"/>
        <w:tabs>
          <w:tab w:val="left" w:pos="945"/>
        </w:tabs>
        <w:spacing w:beforeLines="50"/>
        <w:ind w:firstLine="567"/>
        <w:rPr>
          <w:rFonts w:ascii="宋体" w:hAnsi="宋体"/>
          <w:bCs/>
          <w:sz w:val="20"/>
          <w:szCs w:val="20"/>
          <w:highlight w:val="none"/>
        </w:rPr>
      </w:pPr>
      <w:r>
        <w:rPr>
          <w:rFonts w:hint="eastAsia" w:ascii="宋体" w:hAnsi="宋体"/>
          <w:bCs/>
          <w:sz w:val="20"/>
          <w:szCs w:val="20"/>
          <w:highlight w:val="none"/>
        </w:rPr>
        <w:t>b) 甲方没有授权任何人，就甲方成为共同被保险人代其作出任何声明。</w:t>
      </w:r>
    </w:p>
    <w:p>
      <w:pPr>
        <w:pStyle w:val="56"/>
        <w:tabs>
          <w:tab w:val="left" w:pos="840"/>
        </w:tabs>
        <w:spacing w:beforeLines="50"/>
        <w:ind w:firstLine="567"/>
        <w:rPr>
          <w:rFonts w:ascii="宋体" w:hAnsi="宋体"/>
          <w:bCs/>
          <w:sz w:val="20"/>
          <w:szCs w:val="20"/>
          <w:highlight w:val="none"/>
        </w:rPr>
      </w:pPr>
      <w:r>
        <w:rPr>
          <w:rFonts w:hint="eastAsia" w:ascii="宋体" w:hAnsi="宋体"/>
          <w:bCs/>
          <w:sz w:val="20"/>
          <w:szCs w:val="20"/>
          <w:highlight w:val="none"/>
        </w:rPr>
        <w:t>c) 就其同意为甲方提供共同保险的决定而言，保险商并未依赖或要求任何信息。</w:t>
      </w:r>
    </w:p>
    <w:p>
      <w:pPr>
        <w:pStyle w:val="56"/>
        <w:widowControl w:val="0"/>
        <w:tabs>
          <w:tab w:val="left" w:pos="600"/>
        </w:tabs>
        <w:spacing w:beforeLines="50"/>
        <w:ind w:left="567"/>
        <w:rPr>
          <w:rFonts w:ascii="宋体" w:hAnsi="宋体"/>
          <w:bCs/>
          <w:sz w:val="20"/>
          <w:szCs w:val="20"/>
          <w:highlight w:val="none"/>
        </w:rPr>
      </w:pPr>
      <w:r>
        <w:rPr>
          <w:rFonts w:hint="eastAsia" w:ascii="宋体" w:hAnsi="宋体"/>
          <w:bCs/>
          <w:sz w:val="20"/>
          <w:szCs w:val="20"/>
          <w:highlight w:val="none"/>
        </w:rPr>
        <w:t>d)未能获得和保持保险</w:t>
      </w:r>
    </w:p>
    <w:p>
      <w:pPr>
        <w:pStyle w:val="56"/>
        <w:spacing w:beforeLines="50"/>
        <w:ind w:firstLine="567"/>
        <w:rPr>
          <w:rFonts w:ascii="宋体" w:hAnsi="宋体"/>
          <w:bCs/>
          <w:sz w:val="20"/>
          <w:szCs w:val="20"/>
          <w:highlight w:val="none"/>
        </w:rPr>
      </w:pPr>
      <w:r>
        <w:rPr>
          <w:rFonts w:hint="eastAsia" w:ascii="宋体" w:hAnsi="宋体"/>
          <w:bCs/>
          <w:sz w:val="20"/>
          <w:szCs w:val="20"/>
          <w:highlight w:val="none"/>
        </w:rPr>
        <w:t>如果乙方未取得本</w:t>
      </w:r>
      <w:r>
        <w:rPr>
          <w:highlight w:val="none"/>
        </w:rPr>
        <w:fldChar w:fldCharType="begin"/>
      </w:r>
      <w:r>
        <w:rPr>
          <w:highlight w:val="none"/>
        </w:rPr>
        <w:instrText xml:space="preserve"> HYPERLINK \l "_附件4_保险" </w:instrText>
      </w:r>
      <w:r>
        <w:rPr>
          <w:highlight w:val="none"/>
        </w:rPr>
        <w:fldChar w:fldCharType="separate"/>
      </w:r>
      <w:r>
        <w:rPr>
          <w:rFonts w:hint="eastAsia" w:ascii="宋体" w:hAnsi="宋体"/>
          <w:bCs/>
          <w:sz w:val="20"/>
          <w:szCs w:val="20"/>
          <w:highlight w:val="none"/>
          <w:u w:val="single"/>
        </w:rPr>
        <w:t>附件二</w:t>
      </w:r>
      <w:r>
        <w:rPr>
          <w:rFonts w:hint="eastAsia" w:ascii="宋体" w:hAnsi="宋体"/>
          <w:bCs/>
          <w:sz w:val="20"/>
          <w:szCs w:val="20"/>
          <w:highlight w:val="none"/>
          <w:u w:val="single"/>
        </w:rPr>
        <w:fldChar w:fldCharType="end"/>
      </w:r>
      <w:r>
        <w:rPr>
          <w:rFonts w:hint="eastAsia" w:ascii="宋体" w:hAnsi="宋体"/>
          <w:bCs/>
          <w:sz w:val="20"/>
          <w:szCs w:val="20"/>
          <w:highlight w:val="none"/>
        </w:rPr>
        <w:t>所要求的保险或未向甲方提供上述第3条所述的保险单、保险费付款凭据、续保证明及保险批单凭据等的复印件，则甲方有权购买这类保险，费用由乙方承担，乙方应及时支付给甲方其为购买该类保险支付的款项。</w:t>
      </w:r>
    </w:p>
    <w:p>
      <w:pPr>
        <w:pStyle w:val="56"/>
        <w:spacing w:beforeLines="50"/>
        <w:ind w:firstLine="567"/>
        <w:rPr>
          <w:rFonts w:ascii="宋体" w:hAnsi="宋体"/>
          <w:bCs/>
          <w:sz w:val="20"/>
          <w:szCs w:val="20"/>
          <w:highlight w:val="none"/>
          <w:u w:val="single"/>
        </w:rPr>
      </w:pPr>
      <w:r>
        <w:rPr>
          <w:rFonts w:hint="eastAsia" w:ascii="宋体" w:hAnsi="宋体"/>
          <w:bCs/>
          <w:sz w:val="20"/>
          <w:szCs w:val="20"/>
          <w:highlight w:val="none"/>
          <w:u w:val="single"/>
        </w:rPr>
        <w:t>（6）如乙方应保未保，风险与损失将自行承担，同时，对甲方造成损失的，甲方将依法追偿。</w:t>
      </w:r>
    </w:p>
    <w:p>
      <w:pPr>
        <w:pStyle w:val="56"/>
        <w:spacing w:beforeLines="50"/>
        <w:rPr>
          <w:rFonts w:ascii="宋体" w:hAnsi="宋体"/>
          <w:b/>
          <w:sz w:val="20"/>
          <w:szCs w:val="20"/>
          <w:highlight w:val="none"/>
        </w:rPr>
      </w:pPr>
      <w:bookmarkStart w:id="545" w:name="_附件三__履约保函格式"/>
      <w:bookmarkEnd w:id="545"/>
      <w:bookmarkStart w:id="546" w:name="_Toc246596775"/>
      <w:r>
        <w:rPr>
          <w:rFonts w:hint="eastAsia" w:ascii="宋体" w:hAnsi="宋体"/>
          <w:b/>
          <w:sz w:val="20"/>
          <w:szCs w:val="20"/>
          <w:highlight w:val="none"/>
        </w:rPr>
        <w:t>附件三  履约保函格式</w:t>
      </w:r>
      <w:bookmarkEnd w:id="546"/>
    </w:p>
    <w:p>
      <w:pPr>
        <w:pStyle w:val="56"/>
        <w:spacing w:beforeLines="50"/>
        <w:ind w:firstLine="567"/>
        <w:rPr>
          <w:rFonts w:ascii="宋体" w:hAnsi="宋体"/>
          <w:bCs/>
          <w:sz w:val="20"/>
          <w:szCs w:val="20"/>
          <w:highlight w:val="none"/>
          <w:lang w:val="fr-FR"/>
        </w:rPr>
      </w:pPr>
      <w:r>
        <w:rPr>
          <w:rFonts w:hint="eastAsia" w:ascii="宋体" w:hAnsi="宋体"/>
          <w:bCs/>
          <w:sz w:val="20"/>
          <w:szCs w:val="20"/>
          <w:highlight w:val="none"/>
          <w:lang w:val="fr-FR"/>
        </w:rPr>
        <w:t>履约保函格式按中标人实际提供的格式，但须完全满足本协议中对履约保函的相关约定。</w:t>
      </w:r>
    </w:p>
    <w:p>
      <w:pPr>
        <w:pStyle w:val="56"/>
        <w:spacing w:beforeLines="50"/>
        <w:rPr>
          <w:rFonts w:ascii="宋体" w:hAnsi="宋体"/>
          <w:b/>
          <w:sz w:val="20"/>
          <w:szCs w:val="20"/>
          <w:highlight w:val="none"/>
        </w:rPr>
      </w:pPr>
      <w:r>
        <w:rPr>
          <w:rFonts w:hint="eastAsia" w:ascii="宋体" w:hAnsi="宋体"/>
          <w:b/>
          <w:sz w:val="20"/>
          <w:szCs w:val="20"/>
          <w:highlight w:val="none"/>
        </w:rPr>
        <w:t>附件四   衢州市衢江区集镇污水处理厂运行管理考核细则</w:t>
      </w:r>
    </w:p>
    <w:p>
      <w:pPr>
        <w:pStyle w:val="56"/>
        <w:spacing w:line="423" w:lineRule="exact"/>
        <w:ind w:left="60"/>
        <w:jc w:val="left"/>
        <w:rPr>
          <w:rFonts w:ascii="宋体" w:hAnsi="宋体" w:cs="宋体"/>
          <w:b/>
          <w:bCs/>
          <w:sz w:val="20"/>
          <w:szCs w:val="20"/>
          <w:highlight w:val="none"/>
        </w:rPr>
      </w:pPr>
      <w:r>
        <w:rPr>
          <w:rFonts w:hint="eastAsia" w:ascii="宋体" w:hAnsi="宋体" w:cs="宋体"/>
          <w:b/>
          <w:bCs/>
          <w:sz w:val="20"/>
          <w:szCs w:val="20"/>
          <w:highlight w:val="none"/>
        </w:rPr>
        <w:t>一、 目标管理（25 分）</w:t>
      </w:r>
    </w:p>
    <w:p>
      <w:pPr>
        <w:pStyle w:val="56"/>
        <w:spacing w:line="53" w:lineRule="exact"/>
        <w:jc w:val="left"/>
        <w:rPr>
          <w:rFonts w:ascii="宋体" w:hAnsi="宋体" w:cs="宋体"/>
          <w:sz w:val="20"/>
          <w:szCs w:val="20"/>
          <w:highlight w:val="none"/>
        </w:rPr>
      </w:pPr>
    </w:p>
    <w:tbl>
      <w:tblPr>
        <w:tblStyle w:val="25"/>
        <w:tblW w:w="9537" w:type="dxa"/>
        <w:tblInd w:w="35" w:type="dxa"/>
        <w:tblLayout w:type="fixed"/>
        <w:tblCellMar>
          <w:top w:w="0" w:type="dxa"/>
          <w:left w:w="0" w:type="dxa"/>
          <w:bottom w:w="0" w:type="dxa"/>
          <w:right w:w="0" w:type="dxa"/>
        </w:tblCellMar>
      </w:tblPr>
      <w:tblGrid>
        <w:gridCol w:w="1100"/>
        <w:gridCol w:w="1087"/>
        <w:gridCol w:w="3576"/>
        <w:gridCol w:w="3774"/>
      </w:tblGrid>
      <w:tr>
        <w:tblPrEx>
          <w:tblCellMar>
            <w:top w:w="0" w:type="dxa"/>
            <w:left w:w="0" w:type="dxa"/>
            <w:bottom w:w="0" w:type="dxa"/>
            <w:right w:w="0" w:type="dxa"/>
          </w:tblCellMar>
        </w:tblPrEx>
        <w:trPr>
          <w:trHeight w:val="320" w:hRule="atLeast"/>
        </w:trPr>
        <w:tc>
          <w:tcPr>
            <w:tcW w:w="2187" w:type="dxa"/>
            <w:gridSpan w:val="2"/>
            <w:vMerge w:val="restart"/>
            <w:tcBorders>
              <w:top w:val="single" w:color="auto" w:sz="8" w:space="0"/>
              <w:left w:val="single" w:color="auto" w:sz="8" w:space="0"/>
              <w:right w:val="single" w:color="auto" w:sz="8" w:space="0"/>
            </w:tcBorders>
            <w:vAlign w:val="center"/>
          </w:tcPr>
          <w:p>
            <w:pPr>
              <w:pStyle w:val="56"/>
              <w:jc w:val="center"/>
              <w:rPr>
                <w:b/>
                <w:bCs/>
                <w:sz w:val="20"/>
                <w:szCs w:val="20"/>
                <w:highlight w:val="none"/>
              </w:rPr>
            </w:pPr>
            <w:r>
              <w:rPr>
                <w:rFonts w:hint="eastAsia"/>
                <w:b/>
                <w:bCs/>
                <w:sz w:val="20"/>
                <w:szCs w:val="20"/>
                <w:highlight w:val="none"/>
              </w:rPr>
              <w:t>考核内容</w:t>
            </w:r>
          </w:p>
        </w:tc>
        <w:tc>
          <w:tcPr>
            <w:tcW w:w="3576" w:type="dxa"/>
            <w:vMerge w:val="restart"/>
            <w:tcBorders>
              <w:top w:val="single" w:color="auto" w:sz="8" w:space="0"/>
              <w:right w:val="single" w:color="auto" w:sz="8" w:space="0"/>
            </w:tcBorders>
            <w:vAlign w:val="center"/>
          </w:tcPr>
          <w:p>
            <w:pPr>
              <w:pStyle w:val="56"/>
              <w:jc w:val="center"/>
              <w:rPr>
                <w:b/>
                <w:bCs/>
                <w:sz w:val="20"/>
                <w:szCs w:val="20"/>
                <w:highlight w:val="none"/>
              </w:rPr>
            </w:pPr>
            <w:r>
              <w:rPr>
                <w:rFonts w:hint="eastAsia"/>
                <w:b/>
                <w:bCs/>
                <w:sz w:val="20"/>
                <w:szCs w:val="20"/>
                <w:highlight w:val="none"/>
              </w:rPr>
              <w:t>评分标准</w:t>
            </w:r>
          </w:p>
        </w:tc>
        <w:tc>
          <w:tcPr>
            <w:tcW w:w="3774" w:type="dxa"/>
            <w:vMerge w:val="restart"/>
            <w:tcBorders>
              <w:top w:val="single" w:color="auto" w:sz="8" w:space="0"/>
              <w:right w:val="single" w:color="auto" w:sz="8" w:space="0"/>
            </w:tcBorders>
            <w:vAlign w:val="center"/>
          </w:tcPr>
          <w:p>
            <w:pPr>
              <w:pStyle w:val="56"/>
              <w:jc w:val="center"/>
              <w:rPr>
                <w:b/>
                <w:bCs/>
                <w:sz w:val="20"/>
                <w:szCs w:val="20"/>
                <w:highlight w:val="none"/>
              </w:rPr>
            </w:pPr>
            <w:r>
              <w:rPr>
                <w:rFonts w:hint="eastAsia"/>
                <w:b/>
                <w:bCs/>
                <w:sz w:val="20"/>
                <w:szCs w:val="20"/>
                <w:highlight w:val="none"/>
              </w:rPr>
              <w:t>考核说明</w:t>
            </w:r>
          </w:p>
        </w:tc>
      </w:tr>
      <w:tr>
        <w:tblPrEx>
          <w:tblCellMar>
            <w:top w:w="0" w:type="dxa"/>
            <w:left w:w="0" w:type="dxa"/>
            <w:bottom w:w="0" w:type="dxa"/>
            <w:right w:w="0" w:type="dxa"/>
          </w:tblCellMar>
        </w:tblPrEx>
        <w:trPr>
          <w:trHeight w:val="320" w:hRule="atLeast"/>
        </w:trPr>
        <w:tc>
          <w:tcPr>
            <w:tcW w:w="2187" w:type="dxa"/>
            <w:gridSpan w:val="2"/>
            <w:vMerge w:val="continue"/>
            <w:tcBorders>
              <w:left w:val="single" w:color="auto" w:sz="8" w:space="0"/>
              <w:bottom w:val="single" w:color="auto" w:sz="8" w:space="0"/>
              <w:right w:val="single" w:color="auto" w:sz="8" w:space="0"/>
            </w:tcBorders>
            <w:vAlign w:val="center"/>
          </w:tcPr>
          <w:p>
            <w:pPr>
              <w:pStyle w:val="56"/>
              <w:jc w:val="left"/>
              <w:rPr>
                <w:sz w:val="20"/>
                <w:szCs w:val="20"/>
                <w:highlight w:val="none"/>
              </w:rPr>
            </w:pPr>
          </w:p>
        </w:tc>
        <w:tc>
          <w:tcPr>
            <w:tcW w:w="3576" w:type="dxa"/>
            <w:vMerge w:val="continue"/>
            <w:tcBorders>
              <w:bottom w:val="single" w:color="auto" w:sz="8" w:space="0"/>
              <w:right w:val="single" w:color="auto" w:sz="8" w:space="0"/>
            </w:tcBorders>
            <w:vAlign w:val="center"/>
          </w:tcPr>
          <w:p>
            <w:pPr>
              <w:pStyle w:val="56"/>
              <w:jc w:val="left"/>
              <w:rPr>
                <w:sz w:val="20"/>
                <w:szCs w:val="20"/>
                <w:highlight w:val="none"/>
              </w:rPr>
            </w:pPr>
          </w:p>
        </w:tc>
        <w:tc>
          <w:tcPr>
            <w:tcW w:w="3774" w:type="dxa"/>
            <w:vMerge w:val="continue"/>
            <w:tcBorders>
              <w:bottom w:val="single" w:color="auto" w:sz="8" w:space="0"/>
              <w:right w:val="single" w:color="auto" w:sz="8" w:space="0"/>
            </w:tcBorders>
            <w:vAlign w:val="center"/>
          </w:tcPr>
          <w:p>
            <w:pPr>
              <w:pStyle w:val="56"/>
              <w:jc w:val="left"/>
              <w:rPr>
                <w:sz w:val="20"/>
                <w:szCs w:val="20"/>
                <w:highlight w:val="none"/>
              </w:rPr>
            </w:pPr>
          </w:p>
        </w:tc>
      </w:tr>
      <w:tr>
        <w:tblPrEx>
          <w:tblCellMar>
            <w:top w:w="0" w:type="dxa"/>
            <w:left w:w="0" w:type="dxa"/>
            <w:bottom w:w="0" w:type="dxa"/>
            <w:right w:w="0" w:type="dxa"/>
          </w:tblCellMar>
        </w:tblPrEx>
        <w:trPr>
          <w:trHeight w:val="1148" w:hRule="atLeast"/>
        </w:trPr>
        <w:tc>
          <w:tcPr>
            <w:tcW w:w="1100" w:type="dxa"/>
            <w:vMerge w:val="restart"/>
            <w:tcBorders>
              <w:left w:val="single" w:color="auto" w:sz="8" w:space="0"/>
              <w:right w:val="single" w:color="auto" w:sz="4" w:space="0"/>
            </w:tcBorders>
            <w:vAlign w:val="center"/>
          </w:tcPr>
          <w:p>
            <w:pPr>
              <w:pStyle w:val="56"/>
              <w:jc w:val="center"/>
              <w:rPr>
                <w:sz w:val="20"/>
                <w:szCs w:val="20"/>
                <w:highlight w:val="none"/>
              </w:rPr>
            </w:pPr>
            <w:r>
              <w:rPr>
                <w:rFonts w:hint="eastAsia"/>
                <w:sz w:val="20"/>
                <w:szCs w:val="20"/>
                <w:highlight w:val="none"/>
              </w:rPr>
              <w:t>污水处理</w:t>
            </w:r>
          </w:p>
          <w:p>
            <w:pPr>
              <w:pStyle w:val="56"/>
              <w:jc w:val="center"/>
              <w:rPr>
                <w:sz w:val="20"/>
                <w:szCs w:val="20"/>
                <w:highlight w:val="none"/>
              </w:rPr>
            </w:pPr>
            <w:r>
              <w:rPr>
                <w:rFonts w:hint="eastAsia"/>
                <w:sz w:val="20"/>
                <w:szCs w:val="20"/>
                <w:highlight w:val="none"/>
              </w:rPr>
              <w:t>质量</w:t>
            </w:r>
          </w:p>
          <w:p>
            <w:pPr>
              <w:pStyle w:val="56"/>
              <w:jc w:val="left"/>
              <w:rPr>
                <w:sz w:val="20"/>
                <w:szCs w:val="20"/>
                <w:highlight w:val="none"/>
              </w:rPr>
            </w:pPr>
            <w:r>
              <w:rPr>
                <w:rFonts w:hint="eastAsia"/>
                <w:sz w:val="20"/>
                <w:szCs w:val="20"/>
                <w:highlight w:val="none"/>
              </w:rPr>
              <w:t>（15分）</w:t>
            </w:r>
          </w:p>
        </w:tc>
        <w:tc>
          <w:tcPr>
            <w:tcW w:w="1087" w:type="dxa"/>
            <w:tcBorders>
              <w:top w:val="single" w:color="auto" w:sz="4" w:space="0"/>
              <w:left w:val="single" w:color="auto" w:sz="4" w:space="0"/>
              <w:bottom w:val="single" w:color="auto" w:sz="4" w:space="0"/>
              <w:right w:val="single" w:color="auto" w:sz="4" w:space="0"/>
            </w:tcBorders>
            <w:vAlign w:val="center"/>
          </w:tcPr>
          <w:p>
            <w:pPr>
              <w:pStyle w:val="56"/>
              <w:jc w:val="center"/>
              <w:rPr>
                <w:sz w:val="20"/>
                <w:szCs w:val="20"/>
                <w:highlight w:val="none"/>
              </w:rPr>
            </w:pPr>
            <w:r>
              <w:rPr>
                <w:rFonts w:hint="eastAsia"/>
                <w:sz w:val="20"/>
                <w:szCs w:val="20"/>
                <w:highlight w:val="none"/>
              </w:rPr>
              <w:t>出水水质</w:t>
            </w:r>
          </w:p>
          <w:p>
            <w:pPr>
              <w:pStyle w:val="56"/>
              <w:jc w:val="center"/>
              <w:rPr>
                <w:sz w:val="20"/>
                <w:szCs w:val="20"/>
                <w:highlight w:val="none"/>
              </w:rPr>
            </w:pPr>
            <w:r>
              <w:rPr>
                <w:rFonts w:hint="eastAsia"/>
                <w:sz w:val="20"/>
                <w:szCs w:val="20"/>
                <w:highlight w:val="none"/>
              </w:rPr>
              <w:t>（9分）</w:t>
            </w:r>
          </w:p>
        </w:tc>
        <w:tc>
          <w:tcPr>
            <w:tcW w:w="3576" w:type="dxa"/>
            <w:tcBorders>
              <w:top w:val="single" w:color="auto" w:sz="4" w:space="0"/>
              <w:left w:val="single" w:color="auto" w:sz="4" w:space="0"/>
              <w:bottom w:val="single" w:color="auto" w:sz="4" w:space="0"/>
              <w:right w:val="single" w:color="auto" w:sz="4" w:space="0"/>
            </w:tcBorders>
            <w:vAlign w:val="center"/>
          </w:tcPr>
          <w:p>
            <w:pPr>
              <w:pStyle w:val="56"/>
              <w:jc w:val="left"/>
              <w:rPr>
                <w:sz w:val="20"/>
                <w:szCs w:val="20"/>
                <w:highlight w:val="none"/>
              </w:rPr>
            </w:pPr>
            <w:r>
              <w:rPr>
                <w:rFonts w:hint="eastAsia"/>
                <w:sz w:val="20"/>
                <w:szCs w:val="20"/>
                <w:highlight w:val="none"/>
              </w:rPr>
              <w:t>有一项不达标即认定为一天不达标，一天不达标扣 1 分，扣完为止。</w:t>
            </w:r>
          </w:p>
        </w:tc>
        <w:tc>
          <w:tcPr>
            <w:tcW w:w="3774" w:type="dxa"/>
            <w:tcBorders>
              <w:top w:val="single" w:color="auto" w:sz="4" w:space="0"/>
              <w:left w:val="single" w:color="auto" w:sz="4" w:space="0"/>
              <w:bottom w:val="single" w:color="auto" w:sz="4" w:space="0"/>
              <w:right w:val="single" w:color="auto" w:sz="4" w:space="0"/>
            </w:tcBorders>
            <w:vAlign w:val="center"/>
          </w:tcPr>
          <w:p>
            <w:pPr>
              <w:pStyle w:val="56"/>
              <w:jc w:val="left"/>
              <w:rPr>
                <w:sz w:val="20"/>
                <w:szCs w:val="20"/>
                <w:highlight w:val="none"/>
              </w:rPr>
            </w:pPr>
            <w:r>
              <w:rPr>
                <w:rFonts w:hint="eastAsia"/>
                <w:sz w:val="20"/>
                <w:szCs w:val="20"/>
                <w:highlight w:val="none"/>
              </w:rPr>
              <w:t>考核的主要出水水质指标为 PH、CODcr、BOD5、SS、NH3-N、TN、TP。查在线监测记录及第三方抽检结果。出水取样点设在标准排放口。</w:t>
            </w:r>
          </w:p>
        </w:tc>
      </w:tr>
      <w:tr>
        <w:tblPrEx>
          <w:tblCellMar>
            <w:top w:w="0" w:type="dxa"/>
            <w:left w:w="0" w:type="dxa"/>
            <w:bottom w:w="0" w:type="dxa"/>
            <w:right w:w="0" w:type="dxa"/>
          </w:tblCellMar>
        </w:tblPrEx>
        <w:trPr>
          <w:trHeight w:val="627" w:hRule="atLeast"/>
        </w:trPr>
        <w:tc>
          <w:tcPr>
            <w:tcW w:w="1100" w:type="dxa"/>
            <w:vMerge w:val="continue"/>
            <w:tcBorders>
              <w:left w:val="single" w:color="auto" w:sz="8" w:space="0"/>
              <w:right w:val="single" w:color="auto" w:sz="4" w:space="0"/>
            </w:tcBorders>
            <w:vAlign w:val="center"/>
          </w:tcPr>
          <w:p>
            <w:pPr>
              <w:pStyle w:val="56"/>
              <w:jc w:val="left"/>
              <w:rPr>
                <w:sz w:val="20"/>
                <w:szCs w:val="20"/>
                <w:highlight w:val="none"/>
              </w:rPr>
            </w:pPr>
          </w:p>
        </w:tc>
        <w:tc>
          <w:tcPr>
            <w:tcW w:w="1087" w:type="dxa"/>
            <w:tcBorders>
              <w:top w:val="single" w:color="auto" w:sz="4" w:space="0"/>
              <w:left w:val="single" w:color="auto" w:sz="4" w:space="0"/>
              <w:bottom w:val="single" w:color="auto" w:sz="4" w:space="0"/>
              <w:right w:val="single" w:color="auto" w:sz="4" w:space="0"/>
            </w:tcBorders>
            <w:vAlign w:val="center"/>
          </w:tcPr>
          <w:p>
            <w:pPr>
              <w:pStyle w:val="56"/>
              <w:widowControl w:val="0"/>
              <w:autoSpaceDN w:val="0"/>
              <w:spacing w:line="0" w:lineRule="atLeast"/>
              <w:jc w:val="center"/>
              <w:textAlignment w:val="center"/>
              <w:rPr>
                <w:rFonts w:ascii="宋体" w:hAnsi="宋体"/>
                <w:sz w:val="20"/>
                <w:szCs w:val="20"/>
                <w:highlight w:val="none"/>
              </w:rPr>
            </w:pPr>
            <w:r>
              <w:rPr>
                <w:rFonts w:ascii="宋体" w:hAnsi="宋体"/>
                <w:sz w:val="20"/>
                <w:szCs w:val="20"/>
                <w:highlight w:val="none"/>
              </w:rPr>
              <w:t>污水处理量</w:t>
            </w:r>
          </w:p>
          <w:p>
            <w:pPr>
              <w:pStyle w:val="56"/>
              <w:widowControl w:val="0"/>
              <w:autoSpaceDN w:val="0"/>
              <w:spacing w:line="0" w:lineRule="atLeast"/>
              <w:jc w:val="center"/>
              <w:textAlignment w:val="center"/>
              <w:rPr>
                <w:sz w:val="20"/>
                <w:szCs w:val="20"/>
                <w:highlight w:val="none"/>
              </w:rPr>
            </w:pPr>
            <w:r>
              <w:rPr>
                <w:rFonts w:ascii="宋体" w:hAnsi="宋体"/>
                <w:sz w:val="20"/>
                <w:szCs w:val="20"/>
                <w:highlight w:val="none"/>
              </w:rPr>
              <w:t>（</w:t>
            </w:r>
            <w:r>
              <w:rPr>
                <w:rFonts w:hint="eastAsia" w:ascii="宋体" w:hAnsi="宋体"/>
                <w:sz w:val="20"/>
                <w:szCs w:val="20"/>
                <w:highlight w:val="none"/>
              </w:rPr>
              <w:t>2</w:t>
            </w:r>
            <w:r>
              <w:rPr>
                <w:rFonts w:ascii="宋体" w:hAnsi="宋体"/>
                <w:sz w:val="20"/>
                <w:szCs w:val="20"/>
                <w:highlight w:val="none"/>
              </w:rPr>
              <w:t>）</w:t>
            </w:r>
          </w:p>
        </w:tc>
        <w:tc>
          <w:tcPr>
            <w:tcW w:w="3576" w:type="dxa"/>
            <w:tcBorders>
              <w:top w:val="single" w:color="auto" w:sz="4" w:space="0"/>
              <w:left w:val="single" w:color="auto" w:sz="4" w:space="0"/>
              <w:bottom w:val="single" w:color="auto" w:sz="4" w:space="0"/>
              <w:right w:val="single" w:color="auto" w:sz="4" w:space="0"/>
            </w:tcBorders>
            <w:vAlign w:val="center"/>
          </w:tcPr>
          <w:p>
            <w:pPr>
              <w:pStyle w:val="56"/>
              <w:widowControl w:val="0"/>
              <w:autoSpaceDN w:val="0"/>
              <w:spacing w:line="0" w:lineRule="atLeast"/>
              <w:textAlignment w:val="center"/>
              <w:rPr>
                <w:sz w:val="20"/>
                <w:szCs w:val="20"/>
                <w:highlight w:val="none"/>
              </w:rPr>
            </w:pPr>
            <w:r>
              <w:rPr>
                <w:rFonts w:hint="eastAsia" w:ascii="宋体" w:hAnsi="宋体"/>
                <w:sz w:val="20"/>
                <w:szCs w:val="20"/>
                <w:highlight w:val="none"/>
              </w:rPr>
              <w:t>在不超过项目处理能力110%，且水质符合设计进水标准情况下稳定运行，水量全部达标排放，得2分。否则</w:t>
            </w:r>
            <w:r>
              <w:rPr>
                <w:rFonts w:hint="eastAsia"/>
                <w:sz w:val="20"/>
                <w:szCs w:val="20"/>
                <w:highlight w:val="none"/>
              </w:rPr>
              <w:t>一天不达标扣 0.5分，扣完为止。</w:t>
            </w:r>
          </w:p>
        </w:tc>
        <w:tc>
          <w:tcPr>
            <w:tcW w:w="3774" w:type="dxa"/>
            <w:tcBorders>
              <w:top w:val="single" w:color="auto" w:sz="4" w:space="0"/>
              <w:left w:val="single" w:color="auto" w:sz="4" w:space="0"/>
              <w:bottom w:val="single" w:color="auto" w:sz="4" w:space="0"/>
              <w:right w:val="single" w:color="auto" w:sz="4" w:space="0"/>
            </w:tcBorders>
            <w:vAlign w:val="center"/>
          </w:tcPr>
          <w:p>
            <w:pPr>
              <w:pStyle w:val="56"/>
              <w:widowControl w:val="0"/>
              <w:autoSpaceDN w:val="0"/>
              <w:spacing w:line="0" w:lineRule="atLeast"/>
              <w:textAlignment w:val="center"/>
              <w:rPr>
                <w:sz w:val="20"/>
                <w:szCs w:val="20"/>
                <w:highlight w:val="none"/>
              </w:rPr>
            </w:pPr>
            <w:r>
              <w:rPr>
                <w:rFonts w:ascii="宋体" w:hAnsi="宋体"/>
                <w:sz w:val="20"/>
                <w:szCs w:val="20"/>
                <w:highlight w:val="none"/>
              </w:rPr>
              <w:t>查阅进水流量抄表记录或</w:t>
            </w:r>
            <w:r>
              <w:rPr>
                <w:rFonts w:hint="eastAsia" w:ascii="宋体" w:hAnsi="宋体"/>
                <w:sz w:val="20"/>
                <w:szCs w:val="20"/>
                <w:highlight w:val="none"/>
              </w:rPr>
              <w:t>在线污水处理流量</w:t>
            </w:r>
          </w:p>
        </w:tc>
      </w:tr>
      <w:tr>
        <w:tblPrEx>
          <w:tblCellMar>
            <w:top w:w="0" w:type="dxa"/>
            <w:left w:w="0" w:type="dxa"/>
            <w:bottom w:w="0" w:type="dxa"/>
            <w:right w:w="0" w:type="dxa"/>
          </w:tblCellMar>
        </w:tblPrEx>
        <w:trPr>
          <w:trHeight w:val="552" w:hRule="atLeast"/>
        </w:trPr>
        <w:tc>
          <w:tcPr>
            <w:tcW w:w="1100" w:type="dxa"/>
            <w:vMerge w:val="continue"/>
            <w:tcBorders>
              <w:left w:val="single" w:color="auto" w:sz="8" w:space="0"/>
              <w:right w:val="single" w:color="auto" w:sz="4" w:space="0"/>
            </w:tcBorders>
            <w:vAlign w:val="center"/>
          </w:tcPr>
          <w:p>
            <w:pPr>
              <w:pStyle w:val="56"/>
              <w:jc w:val="left"/>
              <w:rPr>
                <w:sz w:val="20"/>
                <w:szCs w:val="20"/>
                <w:highlight w:val="none"/>
              </w:rPr>
            </w:pPr>
          </w:p>
        </w:tc>
        <w:tc>
          <w:tcPr>
            <w:tcW w:w="1087" w:type="dxa"/>
            <w:tcBorders>
              <w:top w:val="single" w:color="auto" w:sz="4" w:space="0"/>
              <w:left w:val="single" w:color="auto" w:sz="4" w:space="0"/>
              <w:right w:val="single" w:color="auto" w:sz="4" w:space="0"/>
            </w:tcBorders>
            <w:vAlign w:val="center"/>
          </w:tcPr>
          <w:p>
            <w:pPr>
              <w:pStyle w:val="56"/>
              <w:jc w:val="center"/>
              <w:rPr>
                <w:sz w:val="20"/>
                <w:szCs w:val="20"/>
                <w:highlight w:val="none"/>
              </w:rPr>
            </w:pPr>
            <w:r>
              <w:rPr>
                <w:rFonts w:hint="eastAsia"/>
                <w:sz w:val="20"/>
                <w:szCs w:val="20"/>
                <w:highlight w:val="none"/>
              </w:rPr>
              <w:t>处理状态</w:t>
            </w:r>
          </w:p>
          <w:p>
            <w:pPr>
              <w:pStyle w:val="56"/>
              <w:jc w:val="center"/>
              <w:rPr>
                <w:sz w:val="20"/>
                <w:szCs w:val="20"/>
                <w:highlight w:val="none"/>
              </w:rPr>
            </w:pPr>
            <w:r>
              <w:rPr>
                <w:rFonts w:hint="eastAsia"/>
                <w:sz w:val="20"/>
                <w:szCs w:val="20"/>
                <w:highlight w:val="none"/>
              </w:rPr>
              <w:t>（3 分）</w:t>
            </w:r>
          </w:p>
        </w:tc>
        <w:tc>
          <w:tcPr>
            <w:tcW w:w="3576" w:type="dxa"/>
            <w:tcBorders>
              <w:top w:val="single" w:color="auto" w:sz="4" w:space="0"/>
              <w:left w:val="single" w:color="auto" w:sz="4" w:space="0"/>
              <w:right w:val="single" w:color="auto" w:sz="4" w:space="0"/>
            </w:tcBorders>
            <w:vAlign w:val="center"/>
          </w:tcPr>
          <w:p>
            <w:pPr>
              <w:pStyle w:val="56"/>
              <w:jc w:val="left"/>
              <w:rPr>
                <w:sz w:val="20"/>
                <w:szCs w:val="20"/>
                <w:highlight w:val="none"/>
              </w:rPr>
            </w:pPr>
            <w:r>
              <w:rPr>
                <w:rFonts w:hint="eastAsia"/>
                <w:sz w:val="20"/>
                <w:szCs w:val="20"/>
                <w:highlight w:val="none"/>
              </w:rPr>
              <w:t>各处理单元运行正常，得 3 分；否则，有一个装置运行不正常扣0.5分，扣完为止</w:t>
            </w:r>
          </w:p>
        </w:tc>
        <w:tc>
          <w:tcPr>
            <w:tcW w:w="3774" w:type="dxa"/>
            <w:tcBorders>
              <w:top w:val="single" w:color="auto" w:sz="4" w:space="0"/>
              <w:left w:val="single" w:color="auto" w:sz="4" w:space="0"/>
              <w:bottom w:val="single" w:color="auto" w:sz="4" w:space="0"/>
              <w:right w:val="single" w:color="auto" w:sz="4" w:space="0"/>
            </w:tcBorders>
            <w:vAlign w:val="center"/>
          </w:tcPr>
          <w:p>
            <w:pPr>
              <w:pStyle w:val="56"/>
              <w:jc w:val="left"/>
              <w:rPr>
                <w:sz w:val="20"/>
                <w:szCs w:val="20"/>
                <w:highlight w:val="none"/>
              </w:rPr>
            </w:pPr>
            <w:r>
              <w:rPr>
                <w:rFonts w:hint="eastAsia"/>
                <w:sz w:val="20"/>
                <w:szCs w:val="20"/>
                <w:highlight w:val="none"/>
              </w:rPr>
              <w:t>查看现场</w:t>
            </w:r>
          </w:p>
        </w:tc>
      </w:tr>
      <w:tr>
        <w:tblPrEx>
          <w:tblCellMar>
            <w:top w:w="0" w:type="dxa"/>
            <w:left w:w="0" w:type="dxa"/>
            <w:bottom w:w="0" w:type="dxa"/>
            <w:right w:w="0" w:type="dxa"/>
          </w:tblCellMar>
        </w:tblPrEx>
        <w:trPr>
          <w:trHeight w:val="312" w:hRule="atLeast"/>
        </w:trPr>
        <w:tc>
          <w:tcPr>
            <w:tcW w:w="1100" w:type="dxa"/>
            <w:vMerge w:val="continue"/>
            <w:tcBorders>
              <w:left w:val="single" w:color="auto" w:sz="8" w:space="0"/>
              <w:right w:val="single" w:color="auto" w:sz="4" w:space="0"/>
            </w:tcBorders>
            <w:vAlign w:val="center"/>
          </w:tcPr>
          <w:p>
            <w:pPr>
              <w:pStyle w:val="56"/>
              <w:jc w:val="left"/>
              <w:rPr>
                <w:sz w:val="20"/>
                <w:szCs w:val="20"/>
                <w:highlight w:val="none"/>
              </w:rPr>
            </w:pPr>
          </w:p>
        </w:tc>
        <w:tc>
          <w:tcPr>
            <w:tcW w:w="1087" w:type="dxa"/>
            <w:tcBorders>
              <w:top w:val="single" w:color="auto" w:sz="4" w:space="0"/>
              <w:left w:val="single" w:color="auto" w:sz="4" w:space="0"/>
              <w:bottom w:val="single" w:color="auto" w:sz="4" w:space="0"/>
              <w:right w:val="single" w:color="auto" w:sz="4" w:space="0"/>
            </w:tcBorders>
            <w:vAlign w:val="center"/>
          </w:tcPr>
          <w:p>
            <w:pPr>
              <w:pStyle w:val="56"/>
              <w:jc w:val="center"/>
              <w:rPr>
                <w:sz w:val="20"/>
                <w:szCs w:val="20"/>
                <w:highlight w:val="none"/>
              </w:rPr>
            </w:pPr>
            <w:r>
              <w:rPr>
                <w:rFonts w:hint="eastAsia"/>
                <w:sz w:val="20"/>
                <w:szCs w:val="20"/>
                <w:highlight w:val="none"/>
              </w:rPr>
              <w:t>实际运行天</w:t>
            </w:r>
          </w:p>
          <w:p>
            <w:pPr>
              <w:pStyle w:val="56"/>
              <w:jc w:val="center"/>
              <w:rPr>
                <w:sz w:val="20"/>
                <w:szCs w:val="20"/>
                <w:highlight w:val="none"/>
              </w:rPr>
            </w:pPr>
            <w:r>
              <w:rPr>
                <w:rFonts w:hint="eastAsia"/>
                <w:sz w:val="20"/>
                <w:szCs w:val="20"/>
                <w:highlight w:val="none"/>
              </w:rPr>
              <w:t>数（1 分）</w:t>
            </w:r>
          </w:p>
        </w:tc>
        <w:tc>
          <w:tcPr>
            <w:tcW w:w="3576" w:type="dxa"/>
            <w:tcBorders>
              <w:top w:val="single" w:color="auto" w:sz="4" w:space="0"/>
              <w:left w:val="single" w:color="auto" w:sz="4" w:space="0"/>
              <w:bottom w:val="single" w:color="auto" w:sz="4" w:space="0"/>
              <w:right w:val="single" w:color="auto" w:sz="4" w:space="0"/>
            </w:tcBorders>
            <w:vAlign w:val="center"/>
          </w:tcPr>
          <w:p>
            <w:pPr>
              <w:pStyle w:val="56"/>
              <w:jc w:val="left"/>
              <w:rPr>
                <w:sz w:val="20"/>
                <w:szCs w:val="20"/>
                <w:highlight w:val="none"/>
              </w:rPr>
            </w:pPr>
            <w:r>
              <w:rPr>
                <w:rFonts w:hint="eastAsia"/>
                <w:sz w:val="20"/>
                <w:szCs w:val="20"/>
                <w:highlight w:val="none"/>
              </w:rPr>
              <w:t>实际运行天数符合相关协议约定要求并保持连续运行，因故停（限）产程序符合要求。符合得 1 分，否则，不得分</w:t>
            </w:r>
          </w:p>
        </w:tc>
        <w:tc>
          <w:tcPr>
            <w:tcW w:w="3774" w:type="dxa"/>
            <w:tcBorders>
              <w:top w:val="single" w:color="auto" w:sz="4" w:space="0"/>
              <w:left w:val="single" w:color="auto" w:sz="4" w:space="0"/>
              <w:bottom w:val="single" w:color="auto" w:sz="4" w:space="0"/>
              <w:right w:val="single" w:color="auto" w:sz="4" w:space="0"/>
            </w:tcBorders>
            <w:vAlign w:val="center"/>
          </w:tcPr>
          <w:p>
            <w:pPr>
              <w:pStyle w:val="56"/>
              <w:jc w:val="left"/>
              <w:rPr>
                <w:sz w:val="20"/>
                <w:szCs w:val="20"/>
                <w:highlight w:val="none"/>
              </w:rPr>
            </w:pPr>
            <w:r>
              <w:rPr>
                <w:rFonts w:hint="eastAsia"/>
                <w:sz w:val="20"/>
                <w:szCs w:val="20"/>
                <w:highlight w:val="none"/>
              </w:rPr>
              <w:t>年实际运行天数不得少于 350 天</w:t>
            </w:r>
          </w:p>
        </w:tc>
      </w:tr>
      <w:tr>
        <w:tblPrEx>
          <w:tblCellMar>
            <w:top w:w="0" w:type="dxa"/>
            <w:left w:w="0" w:type="dxa"/>
            <w:bottom w:w="0" w:type="dxa"/>
            <w:right w:w="0" w:type="dxa"/>
          </w:tblCellMar>
        </w:tblPrEx>
        <w:trPr>
          <w:trHeight w:val="1285" w:hRule="atLeast"/>
        </w:trPr>
        <w:tc>
          <w:tcPr>
            <w:tcW w:w="1100" w:type="dxa"/>
            <w:vMerge w:val="restart"/>
            <w:tcBorders>
              <w:top w:val="single" w:color="auto" w:sz="8" w:space="0"/>
              <w:left w:val="single" w:color="auto" w:sz="8" w:space="0"/>
              <w:right w:val="single" w:color="auto" w:sz="8" w:space="0"/>
            </w:tcBorders>
            <w:vAlign w:val="center"/>
          </w:tcPr>
          <w:p>
            <w:pPr>
              <w:pStyle w:val="56"/>
              <w:jc w:val="center"/>
              <w:rPr>
                <w:sz w:val="20"/>
                <w:szCs w:val="20"/>
                <w:highlight w:val="none"/>
              </w:rPr>
            </w:pPr>
            <w:r>
              <w:rPr>
                <w:rFonts w:hint="eastAsia"/>
                <w:sz w:val="20"/>
                <w:szCs w:val="20"/>
                <w:highlight w:val="none"/>
              </w:rPr>
              <w:t>污泥处理</w:t>
            </w:r>
          </w:p>
          <w:p>
            <w:pPr>
              <w:pStyle w:val="56"/>
              <w:jc w:val="center"/>
              <w:rPr>
                <w:sz w:val="20"/>
                <w:szCs w:val="20"/>
                <w:highlight w:val="none"/>
              </w:rPr>
            </w:pPr>
            <w:r>
              <w:rPr>
                <w:rFonts w:hint="eastAsia"/>
                <w:sz w:val="20"/>
                <w:szCs w:val="20"/>
                <w:highlight w:val="none"/>
              </w:rPr>
              <w:t>质量和处</w:t>
            </w:r>
          </w:p>
          <w:p>
            <w:pPr>
              <w:pStyle w:val="56"/>
              <w:jc w:val="center"/>
              <w:rPr>
                <w:sz w:val="20"/>
                <w:szCs w:val="20"/>
                <w:highlight w:val="none"/>
              </w:rPr>
            </w:pPr>
            <w:r>
              <w:rPr>
                <w:rFonts w:hint="eastAsia"/>
                <w:sz w:val="20"/>
                <w:szCs w:val="20"/>
                <w:highlight w:val="none"/>
              </w:rPr>
              <w:t>置要求</w:t>
            </w:r>
          </w:p>
          <w:p>
            <w:pPr>
              <w:pStyle w:val="56"/>
              <w:jc w:val="center"/>
              <w:rPr>
                <w:sz w:val="20"/>
                <w:szCs w:val="20"/>
                <w:highlight w:val="none"/>
              </w:rPr>
            </w:pPr>
            <w:r>
              <w:rPr>
                <w:rFonts w:hint="eastAsia"/>
                <w:sz w:val="20"/>
                <w:szCs w:val="20"/>
                <w:highlight w:val="none"/>
              </w:rPr>
              <w:t>（6 分）</w:t>
            </w:r>
          </w:p>
        </w:tc>
        <w:tc>
          <w:tcPr>
            <w:tcW w:w="1087" w:type="dxa"/>
            <w:tcBorders>
              <w:top w:val="single" w:color="auto" w:sz="4" w:space="0"/>
              <w:right w:val="single" w:color="auto" w:sz="8" w:space="0"/>
            </w:tcBorders>
            <w:vAlign w:val="center"/>
          </w:tcPr>
          <w:p>
            <w:pPr>
              <w:pStyle w:val="56"/>
              <w:jc w:val="left"/>
              <w:rPr>
                <w:sz w:val="20"/>
                <w:szCs w:val="20"/>
                <w:highlight w:val="none"/>
              </w:rPr>
            </w:pPr>
            <w:r>
              <w:rPr>
                <w:rFonts w:hint="eastAsia"/>
                <w:sz w:val="20"/>
                <w:szCs w:val="20"/>
                <w:highlight w:val="none"/>
              </w:rPr>
              <w:t>月平均污泥</w:t>
            </w:r>
          </w:p>
          <w:p>
            <w:pPr>
              <w:pStyle w:val="56"/>
              <w:jc w:val="center"/>
              <w:rPr>
                <w:sz w:val="20"/>
                <w:szCs w:val="20"/>
                <w:highlight w:val="none"/>
              </w:rPr>
            </w:pPr>
            <w:r>
              <w:rPr>
                <w:rFonts w:hint="eastAsia"/>
                <w:sz w:val="20"/>
                <w:szCs w:val="20"/>
                <w:highlight w:val="none"/>
              </w:rPr>
              <w:t>含水率≤</w:t>
            </w:r>
          </w:p>
          <w:p>
            <w:pPr>
              <w:pStyle w:val="56"/>
              <w:jc w:val="left"/>
              <w:rPr>
                <w:sz w:val="20"/>
                <w:szCs w:val="20"/>
                <w:highlight w:val="none"/>
              </w:rPr>
            </w:pPr>
            <w:r>
              <w:rPr>
                <w:rFonts w:hint="eastAsia"/>
                <w:sz w:val="20"/>
                <w:szCs w:val="20"/>
                <w:highlight w:val="none"/>
              </w:rPr>
              <w:t>60%</w:t>
            </w:r>
          </w:p>
          <w:p>
            <w:pPr>
              <w:pStyle w:val="56"/>
              <w:jc w:val="left"/>
              <w:rPr>
                <w:sz w:val="20"/>
                <w:szCs w:val="20"/>
                <w:highlight w:val="none"/>
              </w:rPr>
            </w:pPr>
            <w:r>
              <w:rPr>
                <w:rFonts w:hint="eastAsia"/>
                <w:sz w:val="20"/>
                <w:szCs w:val="20"/>
                <w:highlight w:val="none"/>
              </w:rPr>
              <w:t>（2 分）</w:t>
            </w:r>
          </w:p>
        </w:tc>
        <w:tc>
          <w:tcPr>
            <w:tcW w:w="3576" w:type="dxa"/>
            <w:tcBorders>
              <w:top w:val="single" w:color="auto" w:sz="4" w:space="0"/>
              <w:right w:val="single" w:color="auto" w:sz="8" w:space="0"/>
            </w:tcBorders>
            <w:vAlign w:val="center"/>
          </w:tcPr>
          <w:p>
            <w:pPr>
              <w:pStyle w:val="56"/>
              <w:jc w:val="left"/>
              <w:rPr>
                <w:sz w:val="20"/>
                <w:szCs w:val="20"/>
                <w:highlight w:val="none"/>
              </w:rPr>
            </w:pPr>
            <w:r>
              <w:rPr>
                <w:rFonts w:hint="eastAsia"/>
                <w:sz w:val="20"/>
                <w:szCs w:val="20"/>
                <w:highlight w:val="none"/>
              </w:rPr>
              <w:t>（1）月平均污泥含水率≤60%，得 2 分；</w:t>
            </w:r>
          </w:p>
          <w:p>
            <w:pPr>
              <w:pStyle w:val="56"/>
              <w:jc w:val="left"/>
              <w:rPr>
                <w:sz w:val="20"/>
                <w:szCs w:val="20"/>
                <w:highlight w:val="none"/>
              </w:rPr>
            </w:pPr>
            <w:r>
              <w:rPr>
                <w:rFonts w:hint="eastAsia"/>
                <w:sz w:val="20"/>
                <w:szCs w:val="20"/>
                <w:highlight w:val="none"/>
              </w:rPr>
              <w:t>（2）60%＜月平均污泥含水率≤62%，得 1 分；</w:t>
            </w:r>
          </w:p>
          <w:p>
            <w:pPr>
              <w:pStyle w:val="56"/>
              <w:jc w:val="left"/>
              <w:rPr>
                <w:sz w:val="20"/>
                <w:szCs w:val="20"/>
                <w:highlight w:val="none"/>
              </w:rPr>
            </w:pPr>
            <w:r>
              <w:rPr>
                <w:rFonts w:hint="eastAsia"/>
                <w:sz w:val="20"/>
                <w:szCs w:val="20"/>
                <w:highlight w:val="none"/>
              </w:rPr>
              <w:t>（3）月平均污泥含水率＞62%，不得分</w:t>
            </w:r>
          </w:p>
        </w:tc>
        <w:tc>
          <w:tcPr>
            <w:tcW w:w="3774" w:type="dxa"/>
            <w:tcBorders>
              <w:top w:val="single" w:color="auto" w:sz="4" w:space="0"/>
              <w:bottom w:val="single" w:color="auto" w:sz="4" w:space="0"/>
              <w:right w:val="single" w:color="auto" w:sz="8" w:space="0"/>
            </w:tcBorders>
            <w:vAlign w:val="center"/>
          </w:tcPr>
          <w:p>
            <w:pPr>
              <w:pStyle w:val="56"/>
              <w:jc w:val="left"/>
              <w:rPr>
                <w:sz w:val="20"/>
                <w:szCs w:val="20"/>
                <w:highlight w:val="none"/>
              </w:rPr>
            </w:pPr>
            <w:r>
              <w:rPr>
                <w:rFonts w:hint="eastAsia"/>
                <w:sz w:val="20"/>
                <w:szCs w:val="20"/>
                <w:highlight w:val="none"/>
              </w:rPr>
              <w:t>以第三方抽检结果为主要依据，结合查看污水处理厂台账及现场</w:t>
            </w:r>
          </w:p>
        </w:tc>
      </w:tr>
      <w:tr>
        <w:tblPrEx>
          <w:tblCellMar>
            <w:top w:w="0" w:type="dxa"/>
            <w:left w:w="0" w:type="dxa"/>
            <w:bottom w:w="0" w:type="dxa"/>
            <w:right w:w="0" w:type="dxa"/>
          </w:tblCellMar>
        </w:tblPrEx>
        <w:trPr>
          <w:trHeight w:val="443" w:hRule="atLeast"/>
        </w:trPr>
        <w:tc>
          <w:tcPr>
            <w:tcW w:w="1100" w:type="dxa"/>
            <w:vMerge w:val="continue"/>
            <w:tcBorders>
              <w:left w:val="single" w:color="auto" w:sz="8" w:space="0"/>
              <w:right w:val="single" w:color="auto" w:sz="8" w:space="0"/>
            </w:tcBorders>
            <w:vAlign w:val="center"/>
          </w:tcPr>
          <w:p>
            <w:pPr>
              <w:pStyle w:val="56"/>
              <w:jc w:val="left"/>
              <w:rPr>
                <w:sz w:val="20"/>
                <w:szCs w:val="20"/>
                <w:highlight w:val="none"/>
              </w:rPr>
            </w:pPr>
          </w:p>
        </w:tc>
        <w:tc>
          <w:tcPr>
            <w:tcW w:w="1087" w:type="dxa"/>
            <w:tcBorders>
              <w:top w:val="single" w:color="auto" w:sz="4" w:space="0"/>
              <w:right w:val="single" w:color="auto" w:sz="8" w:space="0"/>
            </w:tcBorders>
            <w:vAlign w:val="center"/>
          </w:tcPr>
          <w:p>
            <w:pPr>
              <w:pStyle w:val="56"/>
              <w:widowControl w:val="0"/>
              <w:autoSpaceDN w:val="0"/>
              <w:spacing w:line="0" w:lineRule="atLeast"/>
              <w:jc w:val="center"/>
              <w:textAlignment w:val="center"/>
              <w:rPr>
                <w:sz w:val="20"/>
                <w:szCs w:val="20"/>
                <w:highlight w:val="none"/>
              </w:rPr>
            </w:pPr>
            <w:r>
              <w:rPr>
                <w:rFonts w:ascii="宋体" w:hAnsi="宋体"/>
                <w:sz w:val="20"/>
                <w:szCs w:val="20"/>
                <w:highlight w:val="none"/>
              </w:rPr>
              <w:t>污泥处理设施（</w:t>
            </w:r>
            <w:r>
              <w:rPr>
                <w:rFonts w:hint="eastAsia" w:ascii="宋体" w:hAnsi="宋体"/>
                <w:sz w:val="20"/>
                <w:szCs w:val="20"/>
                <w:highlight w:val="none"/>
              </w:rPr>
              <w:t>2</w:t>
            </w:r>
            <w:r>
              <w:rPr>
                <w:rFonts w:ascii="宋体" w:hAnsi="宋体"/>
                <w:sz w:val="20"/>
                <w:szCs w:val="20"/>
                <w:highlight w:val="none"/>
              </w:rPr>
              <w:t>）</w:t>
            </w:r>
          </w:p>
        </w:tc>
        <w:tc>
          <w:tcPr>
            <w:tcW w:w="3576" w:type="dxa"/>
            <w:tcBorders>
              <w:top w:val="single" w:color="auto" w:sz="4" w:space="0"/>
              <w:right w:val="single" w:color="auto" w:sz="8" w:space="0"/>
            </w:tcBorders>
            <w:vAlign w:val="center"/>
          </w:tcPr>
          <w:p>
            <w:pPr>
              <w:pStyle w:val="56"/>
              <w:widowControl w:val="0"/>
              <w:autoSpaceDN w:val="0"/>
              <w:spacing w:line="0" w:lineRule="atLeast"/>
              <w:textAlignment w:val="center"/>
              <w:rPr>
                <w:sz w:val="20"/>
                <w:szCs w:val="20"/>
                <w:highlight w:val="none"/>
              </w:rPr>
            </w:pPr>
            <w:r>
              <w:rPr>
                <w:rFonts w:ascii="宋体" w:hAnsi="宋体"/>
                <w:sz w:val="20"/>
                <w:szCs w:val="20"/>
                <w:highlight w:val="none"/>
              </w:rPr>
              <w:t>污泥处理设施运行正常，得</w:t>
            </w:r>
            <w:r>
              <w:rPr>
                <w:rFonts w:hint="eastAsia" w:ascii="宋体" w:hAnsi="宋体"/>
                <w:sz w:val="20"/>
                <w:szCs w:val="20"/>
                <w:highlight w:val="none"/>
              </w:rPr>
              <w:t>2</w:t>
            </w:r>
            <w:r>
              <w:rPr>
                <w:rFonts w:ascii="宋体" w:hAnsi="宋体"/>
                <w:sz w:val="20"/>
                <w:szCs w:val="20"/>
                <w:highlight w:val="none"/>
              </w:rPr>
              <w:t>分；</w:t>
            </w:r>
          </w:p>
        </w:tc>
        <w:tc>
          <w:tcPr>
            <w:tcW w:w="3774" w:type="dxa"/>
            <w:tcBorders>
              <w:top w:val="single" w:color="auto" w:sz="4" w:space="0"/>
              <w:bottom w:val="single" w:color="auto" w:sz="4" w:space="0"/>
              <w:right w:val="single" w:color="auto" w:sz="8" w:space="0"/>
            </w:tcBorders>
            <w:vAlign w:val="center"/>
          </w:tcPr>
          <w:p>
            <w:pPr>
              <w:pStyle w:val="56"/>
              <w:widowControl w:val="0"/>
              <w:autoSpaceDN w:val="0"/>
              <w:spacing w:line="0" w:lineRule="atLeast"/>
              <w:textAlignment w:val="center"/>
              <w:rPr>
                <w:sz w:val="20"/>
                <w:szCs w:val="20"/>
                <w:highlight w:val="none"/>
              </w:rPr>
            </w:pPr>
            <w:r>
              <w:rPr>
                <w:rFonts w:ascii="宋体" w:hAnsi="宋体"/>
                <w:sz w:val="20"/>
                <w:szCs w:val="20"/>
                <w:highlight w:val="none"/>
              </w:rPr>
              <w:t>现场查看污泥处理设施运行情况</w:t>
            </w:r>
          </w:p>
        </w:tc>
      </w:tr>
      <w:tr>
        <w:tblPrEx>
          <w:tblCellMar>
            <w:top w:w="0" w:type="dxa"/>
            <w:left w:w="0" w:type="dxa"/>
            <w:bottom w:w="0" w:type="dxa"/>
            <w:right w:w="0" w:type="dxa"/>
          </w:tblCellMar>
        </w:tblPrEx>
        <w:trPr>
          <w:trHeight w:val="947" w:hRule="atLeast"/>
        </w:trPr>
        <w:tc>
          <w:tcPr>
            <w:tcW w:w="1100" w:type="dxa"/>
            <w:vMerge w:val="continue"/>
            <w:tcBorders>
              <w:left w:val="single" w:color="auto" w:sz="8" w:space="0"/>
              <w:right w:val="single" w:color="auto" w:sz="8" w:space="0"/>
            </w:tcBorders>
            <w:vAlign w:val="bottom"/>
          </w:tcPr>
          <w:p>
            <w:pPr>
              <w:pStyle w:val="56"/>
              <w:jc w:val="left"/>
              <w:rPr>
                <w:sz w:val="20"/>
                <w:szCs w:val="20"/>
                <w:highlight w:val="none"/>
              </w:rPr>
            </w:pPr>
          </w:p>
        </w:tc>
        <w:tc>
          <w:tcPr>
            <w:tcW w:w="1087" w:type="dxa"/>
            <w:tcBorders>
              <w:top w:val="single" w:color="auto" w:sz="4" w:space="0"/>
              <w:right w:val="single" w:color="auto" w:sz="8" w:space="0"/>
            </w:tcBorders>
            <w:vAlign w:val="center"/>
          </w:tcPr>
          <w:p>
            <w:pPr>
              <w:pStyle w:val="56"/>
              <w:jc w:val="center"/>
              <w:rPr>
                <w:sz w:val="20"/>
                <w:szCs w:val="20"/>
                <w:highlight w:val="none"/>
              </w:rPr>
            </w:pPr>
            <w:r>
              <w:rPr>
                <w:rFonts w:hint="eastAsia"/>
                <w:sz w:val="20"/>
                <w:szCs w:val="20"/>
                <w:highlight w:val="none"/>
              </w:rPr>
              <w:t>污泥安全</w:t>
            </w:r>
          </w:p>
          <w:p>
            <w:pPr>
              <w:pStyle w:val="56"/>
              <w:jc w:val="center"/>
              <w:rPr>
                <w:sz w:val="20"/>
                <w:szCs w:val="20"/>
                <w:highlight w:val="none"/>
              </w:rPr>
            </w:pPr>
            <w:r>
              <w:rPr>
                <w:rFonts w:hint="eastAsia"/>
                <w:sz w:val="20"/>
                <w:szCs w:val="20"/>
                <w:highlight w:val="none"/>
              </w:rPr>
              <w:t>处置过程</w:t>
            </w:r>
          </w:p>
          <w:p>
            <w:pPr>
              <w:pStyle w:val="56"/>
              <w:jc w:val="center"/>
              <w:rPr>
                <w:sz w:val="20"/>
                <w:szCs w:val="20"/>
                <w:highlight w:val="none"/>
              </w:rPr>
            </w:pPr>
            <w:r>
              <w:rPr>
                <w:rFonts w:hint="eastAsia"/>
                <w:sz w:val="20"/>
                <w:szCs w:val="20"/>
                <w:highlight w:val="none"/>
              </w:rPr>
              <w:t>（2分）</w:t>
            </w:r>
          </w:p>
        </w:tc>
        <w:tc>
          <w:tcPr>
            <w:tcW w:w="3576" w:type="dxa"/>
            <w:tcBorders>
              <w:top w:val="single" w:color="auto" w:sz="4" w:space="0"/>
              <w:right w:val="single" w:color="auto" w:sz="8" w:space="0"/>
            </w:tcBorders>
            <w:vAlign w:val="center"/>
          </w:tcPr>
          <w:p>
            <w:pPr>
              <w:pStyle w:val="56"/>
              <w:jc w:val="left"/>
              <w:rPr>
                <w:sz w:val="20"/>
                <w:szCs w:val="20"/>
                <w:highlight w:val="none"/>
              </w:rPr>
            </w:pPr>
            <w:r>
              <w:rPr>
                <w:rFonts w:hint="eastAsia"/>
                <w:sz w:val="20"/>
                <w:szCs w:val="20"/>
                <w:highlight w:val="none"/>
              </w:rPr>
              <w:t>（1）认真执行污泥处置协议，不会造成二次污染，得 2 分；</w:t>
            </w:r>
          </w:p>
          <w:p>
            <w:pPr>
              <w:pStyle w:val="56"/>
              <w:jc w:val="left"/>
              <w:rPr>
                <w:sz w:val="20"/>
                <w:szCs w:val="20"/>
                <w:highlight w:val="none"/>
              </w:rPr>
            </w:pPr>
            <w:r>
              <w:rPr>
                <w:rFonts w:hint="eastAsia"/>
                <w:sz w:val="20"/>
                <w:szCs w:val="20"/>
                <w:highlight w:val="none"/>
              </w:rPr>
              <w:t>（2）处置污泥、污泥运输不规范的，每项扣0.5分，扣完为止。</w:t>
            </w:r>
          </w:p>
        </w:tc>
        <w:tc>
          <w:tcPr>
            <w:tcW w:w="3774" w:type="dxa"/>
            <w:tcBorders>
              <w:top w:val="single" w:color="auto" w:sz="4" w:space="0"/>
              <w:bottom w:val="single" w:color="auto" w:sz="4" w:space="0"/>
              <w:right w:val="single" w:color="auto" w:sz="8" w:space="0"/>
            </w:tcBorders>
            <w:vAlign w:val="center"/>
          </w:tcPr>
          <w:p>
            <w:pPr>
              <w:pStyle w:val="56"/>
              <w:jc w:val="left"/>
              <w:rPr>
                <w:sz w:val="20"/>
                <w:szCs w:val="20"/>
                <w:highlight w:val="none"/>
              </w:rPr>
            </w:pPr>
            <w:r>
              <w:rPr>
                <w:rFonts w:hint="eastAsia"/>
                <w:sz w:val="20"/>
                <w:szCs w:val="20"/>
                <w:highlight w:val="none"/>
              </w:rPr>
              <w:t>查现场、相关资料</w:t>
            </w:r>
          </w:p>
        </w:tc>
      </w:tr>
      <w:tr>
        <w:tblPrEx>
          <w:tblCellMar>
            <w:top w:w="0" w:type="dxa"/>
            <w:left w:w="0" w:type="dxa"/>
            <w:bottom w:w="0" w:type="dxa"/>
            <w:right w:w="0" w:type="dxa"/>
          </w:tblCellMar>
        </w:tblPrEx>
        <w:tc>
          <w:tcPr>
            <w:tcW w:w="2187" w:type="dxa"/>
            <w:gridSpan w:val="2"/>
            <w:tcBorders>
              <w:top w:val="single" w:color="auto" w:sz="4" w:space="0"/>
              <w:left w:val="single" w:color="auto" w:sz="4" w:space="0"/>
              <w:bottom w:val="single" w:color="auto" w:sz="4" w:space="0"/>
              <w:right w:val="single" w:color="auto" w:sz="8" w:space="0"/>
            </w:tcBorders>
            <w:vAlign w:val="center"/>
          </w:tcPr>
          <w:p>
            <w:pPr>
              <w:pStyle w:val="56"/>
              <w:jc w:val="left"/>
              <w:rPr>
                <w:sz w:val="20"/>
                <w:szCs w:val="20"/>
                <w:highlight w:val="none"/>
              </w:rPr>
            </w:pPr>
            <w:r>
              <w:rPr>
                <w:rFonts w:hint="eastAsia"/>
                <w:sz w:val="20"/>
                <w:szCs w:val="20"/>
                <w:highlight w:val="none"/>
              </w:rPr>
              <w:t>节能减排任务完成</w:t>
            </w:r>
          </w:p>
          <w:p>
            <w:pPr>
              <w:pStyle w:val="56"/>
              <w:jc w:val="left"/>
              <w:rPr>
                <w:sz w:val="20"/>
                <w:szCs w:val="20"/>
                <w:highlight w:val="none"/>
              </w:rPr>
            </w:pPr>
            <w:r>
              <w:rPr>
                <w:rFonts w:hint="eastAsia"/>
                <w:sz w:val="20"/>
                <w:szCs w:val="20"/>
                <w:highlight w:val="none"/>
              </w:rPr>
              <w:t>情况（2分）</w:t>
            </w:r>
          </w:p>
        </w:tc>
        <w:tc>
          <w:tcPr>
            <w:tcW w:w="3576" w:type="dxa"/>
            <w:tcBorders>
              <w:top w:val="single" w:color="auto" w:sz="4" w:space="0"/>
              <w:bottom w:val="single" w:color="auto" w:sz="4" w:space="0"/>
              <w:right w:val="single" w:color="auto" w:sz="8" w:space="0"/>
            </w:tcBorders>
            <w:vAlign w:val="center"/>
          </w:tcPr>
          <w:p>
            <w:pPr>
              <w:pStyle w:val="56"/>
              <w:jc w:val="left"/>
              <w:rPr>
                <w:sz w:val="20"/>
                <w:szCs w:val="20"/>
                <w:highlight w:val="none"/>
              </w:rPr>
            </w:pPr>
            <w:r>
              <w:rPr>
                <w:rFonts w:hint="eastAsia"/>
                <w:sz w:val="20"/>
                <w:szCs w:val="20"/>
                <w:highlight w:val="none"/>
              </w:rPr>
              <w:t>完成目标任务，得 2 分；否则，不得分</w:t>
            </w:r>
          </w:p>
        </w:tc>
        <w:tc>
          <w:tcPr>
            <w:tcW w:w="3774" w:type="dxa"/>
            <w:tcBorders>
              <w:top w:val="single" w:color="auto" w:sz="4" w:space="0"/>
              <w:bottom w:val="single" w:color="auto" w:sz="4" w:space="0"/>
              <w:right w:val="single" w:color="auto" w:sz="4" w:space="0"/>
            </w:tcBorders>
            <w:vAlign w:val="center"/>
          </w:tcPr>
          <w:p>
            <w:pPr>
              <w:pStyle w:val="56"/>
              <w:jc w:val="left"/>
              <w:rPr>
                <w:sz w:val="20"/>
                <w:szCs w:val="20"/>
                <w:highlight w:val="none"/>
              </w:rPr>
            </w:pPr>
            <w:r>
              <w:rPr>
                <w:rFonts w:hint="eastAsia"/>
                <w:sz w:val="20"/>
                <w:szCs w:val="20"/>
                <w:highlight w:val="none"/>
              </w:rPr>
              <w:t>能够全面完成上级部门下达的年度节能减排目标任务</w:t>
            </w:r>
          </w:p>
        </w:tc>
      </w:tr>
      <w:tr>
        <w:tblPrEx>
          <w:tblCellMar>
            <w:top w:w="0" w:type="dxa"/>
            <w:left w:w="0" w:type="dxa"/>
            <w:bottom w:w="0" w:type="dxa"/>
            <w:right w:w="0" w:type="dxa"/>
          </w:tblCellMar>
        </w:tblPrEx>
        <w:tc>
          <w:tcPr>
            <w:tcW w:w="2187" w:type="dxa"/>
            <w:gridSpan w:val="2"/>
            <w:tcBorders>
              <w:top w:val="single" w:color="auto" w:sz="4" w:space="0"/>
              <w:left w:val="single" w:color="auto" w:sz="4" w:space="0"/>
              <w:bottom w:val="single" w:color="auto" w:sz="4" w:space="0"/>
              <w:right w:val="single" w:color="auto" w:sz="8" w:space="0"/>
            </w:tcBorders>
            <w:vAlign w:val="center"/>
          </w:tcPr>
          <w:p>
            <w:pPr>
              <w:pStyle w:val="56"/>
              <w:jc w:val="left"/>
              <w:rPr>
                <w:sz w:val="20"/>
                <w:szCs w:val="20"/>
                <w:highlight w:val="none"/>
              </w:rPr>
            </w:pPr>
            <w:r>
              <w:rPr>
                <w:rFonts w:hint="eastAsia"/>
                <w:sz w:val="20"/>
                <w:szCs w:val="20"/>
                <w:highlight w:val="none"/>
              </w:rPr>
              <w:t>大气污染物及噪声</w:t>
            </w:r>
          </w:p>
          <w:p>
            <w:pPr>
              <w:pStyle w:val="56"/>
              <w:jc w:val="left"/>
              <w:rPr>
                <w:sz w:val="20"/>
                <w:szCs w:val="20"/>
                <w:highlight w:val="none"/>
              </w:rPr>
            </w:pPr>
            <w:r>
              <w:rPr>
                <w:rFonts w:hint="eastAsia"/>
                <w:sz w:val="20"/>
                <w:szCs w:val="20"/>
                <w:highlight w:val="none"/>
              </w:rPr>
              <w:t>控制（2 分）</w:t>
            </w:r>
          </w:p>
        </w:tc>
        <w:tc>
          <w:tcPr>
            <w:tcW w:w="3576" w:type="dxa"/>
            <w:tcBorders>
              <w:top w:val="single" w:color="auto" w:sz="4" w:space="0"/>
              <w:bottom w:val="single" w:color="auto" w:sz="4" w:space="0"/>
              <w:right w:val="single" w:color="auto" w:sz="8" w:space="0"/>
            </w:tcBorders>
            <w:vAlign w:val="center"/>
          </w:tcPr>
          <w:p>
            <w:pPr>
              <w:pStyle w:val="56"/>
              <w:jc w:val="left"/>
              <w:rPr>
                <w:sz w:val="20"/>
                <w:szCs w:val="20"/>
                <w:highlight w:val="none"/>
              </w:rPr>
            </w:pPr>
            <w:r>
              <w:rPr>
                <w:rFonts w:hint="eastAsia"/>
                <w:sz w:val="20"/>
                <w:szCs w:val="20"/>
                <w:highlight w:val="none"/>
              </w:rPr>
              <w:t>有一项不达标即认定为一天不达标，一天不达标扣 0.2 分，扣完为止</w:t>
            </w:r>
          </w:p>
        </w:tc>
        <w:tc>
          <w:tcPr>
            <w:tcW w:w="3774" w:type="dxa"/>
            <w:tcBorders>
              <w:top w:val="single" w:color="auto" w:sz="4" w:space="0"/>
              <w:bottom w:val="single" w:color="auto" w:sz="4" w:space="0"/>
              <w:right w:val="single" w:color="auto" w:sz="4" w:space="0"/>
            </w:tcBorders>
            <w:vAlign w:val="center"/>
          </w:tcPr>
          <w:p>
            <w:pPr>
              <w:pStyle w:val="56"/>
              <w:jc w:val="left"/>
              <w:rPr>
                <w:sz w:val="20"/>
                <w:szCs w:val="20"/>
                <w:highlight w:val="none"/>
              </w:rPr>
            </w:pPr>
            <w:r>
              <w:rPr>
                <w:rFonts w:hint="eastAsia"/>
                <w:sz w:val="20"/>
                <w:szCs w:val="20"/>
                <w:highlight w:val="none"/>
              </w:rPr>
              <w:t>执行《城镇污水处理厂污染物排放标准》（GB18918－2002）相关标准</w:t>
            </w:r>
          </w:p>
        </w:tc>
      </w:tr>
    </w:tbl>
    <w:p>
      <w:pPr>
        <w:pStyle w:val="56"/>
        <w:spacing w:line="423" w:lineRule="exact"/>
        <w:ind w:left="60" w:right="949" w:rightChars="448"/>
        <w:jc w:val="left"/>
        <w:rPr>
          <w:rFonts w:ascii="宋体" w:hAnsi="宋体" w:cs="宋体"/>
          <w:b/>
          <w:bCs/>
          <w:sz w:val="20"/>
          <w:szCs w:val="20"/>
          <w:highlight w:val="none"/>
        </w:rPr>
      </w:pPr>
      <w:r>
        <w:rPr>
          <w:rFonts w:hint="eastAsia" w:ascii="宋体" w:hAnsi="宋体" w:cs="宋体"/>
          <w:b/>
          <w:bCs/>
          <w:sz w:val="20"/>
          <w:szCs w:val="20"/>
          <w:highlight w:val="none"/>
        </w:rPr>
        <w:t>二、生产运行管理（12 分）</w:t>
      </w:r>
    </w:p>
    <w:tbl>
      <w:tblPr>
        <w:tblStyle w:val="25"/>
        <w:tblW w:w="9487" w:type="dxa"/>
        <w:tblInd w:w="60" w:type="dxa"/>
        <w:tblLayout w:type="fixed"/>
        <w:tblCellMar>
          <w:top w:w="0" w:type="dxa"/>
          <w:left w:w="0" w:type="dxa"/>
          <w:bottom w:w="0" w:type="dxa"/>
          <w:right w:w="0" w:type="dxa"/>
        </w:tblCellMar>
      </w:tblPr>
      <w:tblGrid>
        <w:gridCol w:w="1687"/>
        <w:gridCol w:w="6020"/>
        <w:gridCol w:w="1780"/>
      </w:tblGrid>
      <w:tr>
        <w:tblPrEx>
          <w:tblCellMar>
            <w:top w:w="0" w:type="dxa"/>
            <w:left w:w="0" w:type="dxa"/>
            <w:bottom w:w="0" w:type="dxa"/>
            <w:right w:w="0" w:type="dxa"/>
          </w:tblCellMar>
        </w:tblPrEx>
        <w:trPr>
          <w:trHeight w:val="374" w:hRule="atLeast"/>
        </w:trPr>
        <w:tc>
          <w:tcPr>
            <w:tcW w:w="1687" w:type="dxa"/>
            <w:tcBorders>
              <w:top w:val="single" w:color="auto" w:sz="4" w:space="0"/>
              <w:left w:val="single" w:color="auto" w:sz="4" w:space="0"/>
              <w:bottom w:val="single" w:color="auto" w:sz="4" w:space="0"/>
              <w:right w:val="single" w:color="auto" w:sz="8" w:space="0"/>
            </w:tcBorders>
            <w:vAlign w:val="center"/>
          </w:tcPr>
          <w:p>
            <w:pPr>
              <w:pStyle w:val="56"/>
              <w:jc w:val="center"/>
              <w:rPr>
                <w:rFonts w:ascii="宋体" w:hAnsi="宋体" w:cs="宋体"/>
                <w:b/>
                <w:bCs/>
                <w:sz w:val="20"/>
                <w:szCs w:val="20"/>
                <w:highlight w:val="none"/>
              </w:rPr>
            </w:pPr>
            <w:r>
              <w:rPr>
                <w:rFonts w:hint="eastAsia" w:ascii="宋体" w:hAnsi="宋体" w:cs="宋体"/>
                <w:b/>
                <w:bCs/>
                <w:sz w:val="20"/>
                <w:szCs w:val="20"/>
                <w:highlight w:val="none"/>
              </w:rPr>
              <w:t>考核内容</w:t>
            </w:r>
          </w:p>
        </w:tc>
        <w:tc>
          <w:tcPr>
            <w:tcW w:w="6020" w:type="dxa"/>
            <w:tcBorders>
              <w:top w:val="single" w:color="auto" w:sz="4" w:space="0"/>
              <w:bottom w:val="single" w:color="auto" w:sz="4" w:space="0"/>
              <w:right w:val="single" w:color="auto" w:sz="8" w:space="0"/>
            </w:tcBorders>
            <w:vAlign w:val="center"/>
          </w:tcPr>
          <w:p>
            <w:pPr>
              <w:pStyle w:val="56"/>
              <w:jc w:val="center"/>
              <w:rPr>
                <w:rFonts w:ascii="宋体" w:hAnsi="宋体" w:cs="宋体"/>
                <w:b/>
                <w:bCs/>
                <w:sz w:val="20"/>
                <w:szCs w:val="20"/>
                <w:highlight w:val="none"/>
              </w:rPr>
            </w:pPr>
            <w:r>
              <w:rPr>
                <w:rFonts w:hint="eastAsia" w:ascii="宋体" w:hAnsi="宋体" w:cs="宋体"/>
                <w:b/>
                <w:bCs/>
                <w:sz w:val="20"/>
                <w:szCs w:val="20"/>
                <w:highlight w:val="none"/>
              </w:rPr>
              <w:t>评分标准</w:t>
            </w:r>
          </w:p>
        </w:tc>
        <w:tc>
          <w:tcPr>
            <w:tcW w:w="1780" w:type="dxa"/>
            <w:tcBorders>
              <w:top w:val="single" w:color="auto" w:sz="4" w:space="0"/>
              <w:bottom w:val="single" w:color="auto" w:sz="4" w:space="0"/>
              <w:right w:val="single" w:color="auto" w:sz="4" w:space="0"/>
            </w:tcBorders>
            <w:vAlign w:val="center"/>
          </w:tcPr>
          <w:p>
            <w:pPr>
              <w:pStyle w:val="56"/>
              <w:jc w:val="center"/>
              <w:rPr>
                <w:rFonts w:ascii="宋体" w:hAnsi="宋体" w:cs="宋体"/>
                <w:b/>
                <w:bCs/>
                <w:sz w:val="20"/>
                <w:szCs w:val="20"/>
                <w:highlight w:val="none"/>
              </w:rPr>
            </w:pPr>
            <w:r>
              <w:rPr>
                <w:rFonts w:hint="eastAsia" w:ascii="宋体" w:hAnsi="宋体" w:cs="宋体"/>
                <w:b/>
                <w:bCs/>
                <w:sz w:val="20"/>
                <w:szCs w:val="20"/>
                <w:highlight w:val="none"/>
              </w:rPr>
              <w:t>考核说明</w:t>
            </w:r>
          </w:p>
        </w:tc>
      </w:tr>
      <w:tr>
        <w:tblPrEx>
          <w:tblCellMar>
            <w:top w:w="0" w:type="dxa"/>
            <w:left w:w="0" w:type="dxa"/>
            <w:bottom w:w="0" w:type="dxa"/>
            <w:right w:w="0" w:type="dxa"/>
          </w:tblCellMar>
        </w:tblPrEx>
        <w:trPr>
          <w:trHeight w:val="374" w:hRule="atLeast"/>
        </w:trPr>
        <w:tc>
          <w:tcPr>
            <w:tcW w:w="1687" w:type="dxa"/>
            <w:tcBorders>
              <w:top w:val="single" w:color="auto" w:sz="4" w:space="0"/>
              <w:left w:val="single" w:color="auto" w:sz="4" w:space="0"/>
              <w:bottom w:val="single" w:color="auto" w:sz="4" w:space="0"/>
              <w:right w:val="single" w:color="auto" w:sz="8" w:space="0"/>
            </w:tcBorders>
            <w:vAlign w:val="center"/>
          </w:tcPr>
          <w:p>
            <w:pPr>
              <w:pStyle w:val="56"/>
              <w:widowControl w:val="0"/>
              <w:autoSpaceDN w:val="0"/>
              <w:spacing w:line="0" w:lineRule="atLeast"/>
              <w:jc w:val="center"/>
              <w:textAlignment w:val="center"/>
              <w:rPr>
                <w:rFonts w:ascii="宋体" w:hAnsi="宋体"/>
                <w:sz w:val="20"/>
                <w:szCs w:val="20"/>
                <w:highlight w:val="none"/>
              </w:rPr>
            </w:pPr>
            <w:r>
              <w:rPr>
                <w:rFonts w:hint="eastAsia" w:ascii="宋体" w:hAnsi="宋体"/>
                <w:sz w:val="20"/>
                <w:szCs w:val="20"/>
                <w:highlight w:val="none"/>
              </w:rPr>
              <w:t>工艺管理规定及执行情况（3 分）</w:t>
            </w:r>
          </w:p>
        </w:tc>
        <w:tc>
          <w:tcPr>
            <w:tcW w:w="6020" w:type="dxa"/>
            <w:tcBorders>
              <w:top w:val="single" w:color="auto" w:sz="4" w:space="0"/>
              <w:bottom w:val="single" w:color="auto" w:sz="4" w:space="0"/>
              <w:right w:val="single" w:color="auto" w:sz="8" w:space="0"/>
            </w:tcBorders>
            <w:vAlign w:val="center"/>
          </w:tcPr>
          <w:p>
            <w:pPr>
              <w:pStyle w:val="56"/>
              <w:widowControl w:val="0"/>
              <w:autoSpaceDN w:val="0"/>
              <w:spacing w:line="0" w:lineRule="atLeast"/>
              <w:textAlignment w:val="center"/>
              <w:rPr>
                <w:rFonts w:ascii="宋体" w:hAnsi="宋体"/>
                <w:sz w:val="20"/>
                <w:szCs w:val="20"/>
                <w:highlight w:val="none"/>
              </w:rPr>
            </w:pPr>
            <w:r>
              <w:rPr>
                <w:rFonts w:hint="eastAsia" w:ascii="宋体" w:hAnsi="宋体"/>
                <w:sz w:val="20"/>
                <w:szCs w:val="20"/>
                <w:highlight w:val="none"/>
              </w:rPr>
              <w:t>有全面、详细的工艺运行管理规定、调控方案、应急预案，有年度、月度工艺运行报告并分析到位，得 3 分，每少一项，扣 0.5 分，扣完为止</w:t>
            </w:r>
          </w:p>
        </w:tc>
        <w:tc>
          <w:tcPr>
            <w:tcW w:w="1780" w:type="dxa"/>
            <w:tcBorders>
              <w:top w:val="single" w:color="auto" w:sz="4" w:space="0"/>
              <w:bottom w:val="single" w:color="auto" w:sz="4" w:space="0"/>
              <w:right w:val="single" w:color="auto" w:sz="4" w:space="0"/>
            </w:tcBorders>
            <w:vAlign w:val="center"/>
          </w:tcPr>
          <w:p>
            <w:pPr>
              <w:pStyle w:val="56"/>
              <w:widowControl w:val="0"/>
              <w:autoSpaceDN w:val="0"/>
              <w:spacing w:line="0" w:lineRule="atLeast"/>
              <w:textAlignment w:val="center"/>
              <w:rPr>
                <w:rFonts w:ascii="宋体" w:hAnsi="宋体"/>
                <w:sz w:val="20"/>
                <w:szCs w:val="20"/>
                <w:highlight w:val="none"/>
              </w:rPr>
            </w:pPr>
            <w:r>
              <w:rPr>
                <w:rFonts w:hint="eastAsia" w:ascii="宋体" w:hAnsi="宋体"/>
                <w:sz w:val="20"/>
                <w:szCs w:val="20"/>
                <w:highlight w:val="none"/>
              </w:rPr>
              <w:t>查看相关资料</w:t>
            </w:r>
          </w:p>
        </w:tc>
      </w:tr>
      <w:tr>
        <w:tblPrEx>
          <w:tblCellMar>
            <w:top w:w="0" w:type="dxa"/>
            <w:left w:w="0" w:type="dxa"/>
            <w:bottom w:w="0" w:type="dxa"/>
            <w:right w:w="0" w:type="dxa"/>
          </w:tblCellMar>
        </w:tblPrEx>
        <w:trPr>
          <w:trHeight w:val="374" w:hRule="atLeast"/>
        </w:trPr>
        <w:tc>
          <w:tcPr>
            <w:tcW w:w="1687" w:type="dxa"/>
            <w:tcBorders>
              <w:top w:val="single" w:color="auto" w:sz="4" w:space="0"/>
              <w:left w:val="single" w:color="auto" w:sz="4" w:space="0"/>
              <w:bottom w:val="single" w:color="auto" w:sz="4" w:space="0"/>
              <w:right w:val="single" w:color="auto" w:sz="8" w:space="0"/>
            </w:tcBorders>
            <w:vAlign w:val="center"/>
          </w:tcPr>
          <w:p>
            <w:pPr>
              <w:pStyle w:val="56"/>
              <w:widowControl w:val="0"/>
              <w:autoSpaceDN w:val="0"/>
              <w:spacing w:line="0" w:lineRule="atLeast"/>
              <w:jc w:val="center"/>
              <w:textAlignment w:val="center"/>
              <w:rPr>
                <w:rFonts w:ascii="宋体" w:hAnsi="宋体"/>
                <w:sz w:val="20"/>
                <w:szCs w:val="20"/>
                <w:highlight w:val="none"/>
              </w:rPr>
            </w:pPr>
            <w:r>
              <w:rPr>
                <w:rFonts w:hint="eastAsia" w:ascii="宋体" w:hAnsi="宋体"/>
                <w:sz w:val="20"/>
                <w:szCs w:val="20"/>
                <w:highlight w:val="none"/>
              </w:rPr>
              <w:t>生产计划及实施</w:t>
            </w:r>
          </w:p>
          <w:p>
            <w:pPr>
              <w:pStyle w:val="56"/>
              <w:widowControl w:val="0"/>
              <w:autoSpaceDN w:val="0"/>
              <w:spacing w:line="0" w:lineRule="atLeast"/>
              <w:jc w:val="center"/>
              <w:textAlignment w:val="center"/>
              <w:rPr>
                <w:rFonts w:ascii="宋体" w:hAnsi="宋体"/>
                <w:sz w:val="20"/>
                <w:szCs w:val="20"/>
                <w:highlight w:val="none"/>
              </w:rPr>
            </w:pPr>
            <w:r>
              <w:rPr>
                <w:rFonts w:hint="eastAsia" w:ascii="宋体" w:hAnsi="宋体"/>
                <w:sz w:val="20"/>
                <w:szCs w:val="20"/>
                <w:highlight w:val="none"/>
              </w:rPr>
              <w:t>（2 分）</w:t>
            </w:r>
          </w:p>
        </w:tc>
        <w:tc>
          <w:tcPr>
            <w:tcW w:w="6020" w:type="dxa"/>
            <w:tcBorders>
              <w:top w:val="single" w:color="auto" w:sz="4" w:space="0"/>
              <w:bottom w:val="single" w:color="auto" w:sz="4" w:space="0"/>
              <w:right w:val="single" w:color="auto" w:sz="8" w:space="0"/>
            </w:tcBorders>
            <w:vAlign w:val="center"/>
          </w:tcPr>
          <w:p>
            <w:pPr>
              <w:pStyle w:val="56"/>
              <w:widowControl w:val="0"/>
              <w:autoSpaceDN w:val="0"/>
              <w:spacing w:line="0" w:lineRule="atLeast"/>
              <w:textAlignment w:val="center"/>
              <w:rPr>
                <w:rFonts w:ascii="宋体" w:hAnsi="宋体"/>
                <w:sz w:val="20"/>
                <w:szCs w:val="20"/>
                <w:highlight w:val="none"/>
              </w:rPr>
            </w:pPr>
            <w:r>
              <w:rPr>
                <w:rFonts w:hint="eastAsia" w:ascii="宋体" w:hAnsi="宋体"/>
                <w:sz w:val="20"/>
                <w:szCs w:val="20"/>
                <w:highlight w:val="none"/>
              </w:rPr>
              <w:t>(1)制定科学、合理的年度、月度生产计划，并按计划有序实施，按时、按量完成，得 2 分；</w:t>
            </w:r>
          </w:p>
          <w:p>
            <w:pPr>
              <w:pStyle w:val="56"/>
              <w:widowControl w:val="0"/>
              <w:autoSpaceDN w:val="0"/>
              <w:spacing w:line="0" w:lineRule="atLeast"/>
              <w:textAlignment w:val="center"/>
              <w:rPr>
                <w:rFonts w:ascii="宋体" w:hAnsi="宋体"/>
                <w:sz w:val="20"/>
                <w:szCs w:val="20"/>
                <w:highlight w:val="none"/>
              </w:rPr>
            </w:pPr>
            <w:r>
              <w:rPr>
                <w:rFonts w:hint="eastAsia" w:ascii="宋体" w:hAnsi="宋体"/>
                <w:sz w:val="20"/>
                <w:szCs w:val="20"/>
                <w:highlight w:val="none"/>
              </w:rPr>
              <w:t>(2)有科学、合理的年度、月度生产计划，但未按计划有序实施，得 1 分；</w:t>
            </w:r>
          </w:p>
          <w:p>
            <w:pPr>
              <w:pStyle w:val="56"/>
              <w:widowControl w:val="0"/>
              <w:autoSpaceDN w:val="0"/>
              <w:spacing w:line="0" w:lineRule="atLeast"/>
              <w:textAlignment w:val="center"/>
              <w:rPr>
                <w:rFonts w:ascii="宋体" w:hAnsi="宋体"/>
                <w:sz w:val="20"/>
                <w:szCs w:val="20"/>
                <w:highlight w:val="none"/>
              </w:rPr>
            </w:pPr>
            <w:r>
              <w:rPr>
                <w:rFonts w:hint="eastAsia" w:ascii="宋体" w:hAnsi="宋体"/>
                <w:sz w:val="20"/>
                <w:szCs w:val="20"/>
                <w:highlight w:val="none"/>
              </w:rPr>
              <w:t>(3)无科学、合理的年度、月度生产计划，不得分。</w:t>
            </w:r>
          </w:p>
        </w:tc>
        <w:tc>
          <w:tcPr>
            <w:tcW w:w="1780" w:type="dxa"/>
            <w:tcBorders>
              <w:top w:val="single" w:color="auto" w:sz="4" w:space="0"/>
              <w:bottom w:val="single" w:color="auto" w:sz="4" w:space="0"/>
              <w:right w:val="single" w:color="auto" w:sz="4" w:space="0"/>
            </w:tcBorders>
            <w:vAlign w:val="center"/>
          </w:tcPr>
          <w:p>
            <w:pPr>
              <w:pStyle w:val="56"/>
              <w:widowControl w:val="0"/>
              <w:autoSpaceDN w:val="0"/>
              <w:spacing w:line="0" w:lineRule="atLeast"/>
              <w:textAlignment w:val="center"/>
              <w:rPr>
                <w:rFonts w:ascii="宋体" w:hAnsi="宋体"/>
                <w:sz w:val="20"/>
                <w:szCs w:val="20"/>
                <w:highlight w:val="none"/>
              </w:rPr>
            </w:pPr>
            <w:r>
              <w:rPr>
                <w:rFonts w:hint="eastAsia" w:ascii="宋体" w:hAnsi="宋体"/>
                <w:sz w:val="20"/>
                <w:szCs w:val="20"/>
                <w:highlight w:val="none"/>
              </w:rPr>
              <w:t>查看年度、月度生产计划及实施情况记录</w:t>
            </w:r>
          </w:p>
        </w:tc>
      </w:tr>
      <w:tr>
        <w:tblPrEx>
          <w:tblCellMar>
            <w:top w:w="0" w:type="dxa"/>
            <w:left w:w="0" w:type="dxa"/>
            <w:bottom w:w="0" w:type="dxa"/>
            <w:right w:w="0" w:type="dxa"/>
          </w:tblCellMar>
        </w:tblPrEx>
        <w:trPr>
          <w:trHeight w:val="581" w:hRule="atLeast"/>
        </w:trPr>
        <w:tc>
          <w:tcPr>
            <w:tcW w:w="1687" w:type="dxa"/>
            <w:tcBorders>
              <w:left w:val="single" w:color="auto" w:sz="8" w:space="0"/>
              <w:bottom w:val="single" w:color="auto" w:sz="8" w:space="0"/>
              <w:right w:val="single" w:color="auto" w:sz="8" w:space="0"/>
            </w:tcBorders>
            <w:vAlign w:val="center"/>
          </w:tcPr>
          <w:p>
            <w:pPr>
              <w:pStyle w:val="56"/>
              <w:widowControl w:val="0"/>
              <w:autoSpaceDN w:val="0"/>
              <w:spacing w:line="0" w:lineRule="atLeast"/>
              <w:jc w:val="center"/>
              <w:textAlignment w:val="center"/>
              <w:rPr>
                <w:rFonts w:ascii="宋体" w:hAnsi="宋体"/>
                <w:sz w:val="20"/>
                <w:szCs w:val="20"/>
                <w:highlight w:val="none"/>
              </w:rPr>
            </w:pPr>
            <w:r>
              <w:rPr>
                <w:rFonts w:hint="eastAsia" w:ascii="宋体" w:hAnsi="宋体"/>
                <w:sz w:val="20"/>
                <w:szCs w:val="20"/>
                <w:highlight w:val="none"/>
              </w:rPr>
              <w:t>人员配备</w:t>
            </w:r>
          </w:p>
          <w:p>
            <w:pPr>
              <w:pStyle w:val="56"/>
              <w:widowControl w:val="0"/>
              <w:autoSpaceDN w:val="0"/>
              <w:spacing w:line="0" w:lineRule="atLeast"/>
              <w:jc w:val="center"/>
              <w:textAlignment w:val="center"/>
              <w:rPr>
                <w:rFonts w:ascii="宋体" w:hAnsi="宋体"/>
                <w:sz w:val="20"/>
                <w:szCs w:val="20"/>
                <w:highlight w:val="none"/>
              </w:rPr>
            </w:pPr>
            <w:r>
              <w:rPr>
                <w:rFonts w:hint="eastAsia" w:ascii="宋体" w:hAnsi="宋体"/>
                <w:sz w:val="20"/>
                <w:szCs w:val="20"/>
                <w:highlight w:val="none"/>
              </w:rPr>
              <w:t>（2 分）</w:t>
            </w:r>
          </w:p>
        </w:tc>
        <w:tc>
          <w:tcPr>
            <w:tcW w:w="6020" w:type="dxa"/>
            <w:tcBorders>
              <w:bottom w:val="single" w:color="auto" w:sz="8" w:space="0"/>
              <w:right w:val="single" w:color="auto" w:sz="8" w:space="0"/>
            </w:tcBorders>
            <w:vAlign w:val="center"/>
          </w:tcPr>
          <w:p>
            <w:pPr>
              <w:pStyle w:val="56"/>
              <w:widowControl w:val="0"/>
              <w:autoSpaceDN w:val="0"/>
              <w:spacing w:line="0" w:lineRule="atLeast"/>
              <w:textAlignment w:val="center"/>
              <w:rPr>
                <w:rFonts w:ascii="宋体" w:hAnsi="宋体"/>
                <w:sz w:val="20"/>
                <w:szCs w:val="20"/>
                <w:highlight w:val="none"/>
              </w:rPr>
            </w:pPr>
            <w:r>
              <w:rPr>
                <w:rFonts w:hint="eastAsia" w:ascii="宋体" w:hAnsi="宋体"/>
                <w:sz w:val="20"/>
                <w:szCs w:val="20"/>
                <w:highlight w:val="none"/>
              </w:rPr>
              <w:t>（1）根据处理规模及岗位要求配备人员，人员配备满足处理规模要求，得 2 分；</w:t>
            </w:r>
          </w:p>
        </w:tc>
        <w:tc>
          <w:tcPr>
            <w:tcW w:w="1780" w:type="dxa"/>
            <w:tcBorders>
              <w:bottom w:val="single" w:color="auto" w:sz="8" w:space="0"/>
              <w:right w:val="single" w:color="auto" w:sz="8" w:space="0"/>
            </w:tcBorders>
            <w:vAlign w:val="center"/>
          </w:tcPr>
          <w:p>
            <w:pPr>
              <w:pStyle w:val="56"/>
              <w:widowControl w:val="0"/>
              <w:autoSpaceDN w:val="0"/>
              <w:spacing w:line="0" w:lineRule="atLeast"/>
              <w:textAlignment w:val="center"/>
              <w:rPr>
                <w:rFonts w:ascii="宋体" w:hAnsi="宋体"/>
                <w:sz w:val="20"/>
                <w:szCs w:val="20"/>
                <w:highlight w:val="none"/>
              </w:rPr>
            </w:pPr>
            <w:r>
              <w:rPr>
                <w:rFonts w:hint="eastAsia" w:ascii="宋体" w:hAnsi="宋体"/>
                <w:sz w:val="20"/>
                <w:szCs w:val="20"/>
                <w:highlight w:val="none"/>
              </w:rPr>
              <w:t>提供职工名单和分工。</w:t>
            </w:r>
          </w:p>
        </w:tc>
      </w:tr>
      <w:tr>
        <w:trPr>
          <w:trHeight w:val="1425" w:hRule="atLeast"/>
        </w:trPr>
        <w:tc>
          <w:tcPr>
            <w:tcW w:w="1687" w:type="dxa"/>
            <w:tcBorders>
              <w:left w:val="single" w:color="auto" w:sz="8" w:space="0"/>
              <w:bottom w:val="single" w:color="auto" w:sz="8" w:space="0"/>
              <w:right w:val="single" w:color="auto" w:sz="8" w:space="0"/>
            </w:tcBorders>
            <w:vAlign w:val="center"/>
          </w:tcPr>
          <w:p>
            <w:pPr>
              <w:pStyle w:val="56"/>
              <w:widowControl w:val="0"/>
              <w:autoSpaceDN w:val="0"/>
              <w:spacing w:line="0" w:lineRule="atLeast"/>
              <w:jc w:val="center"/>
              <w:textAlignment w:val="center"/>
              <w:rPr>
                <w:rFonts w:ascii="宋体" w:hAnsi="宋体"/>
                <w:sz w:val="20"/>
                <w:szCs w:val="20"/>
                <w:highlight w:val="none"/>
              </w:rPr>
            </w:pPr>
            <w:r>
              <w:rPr>
                <w:rFonts w:hint="eastAsia" w:ascii="宋体" w:hAnsi="宋体"/>
                <w:sz w:val="20"/>
                <w:szCs w:val="20"/>
                <w:highlight w:val="none"/>
              </w:rPr>
              <w:t>持证上岗</w:t>
            </w:r>
          </w:p>
          <w:p>
            <w:pPr>
              <w:pStyle w:val="56"/>
              <w:widowControl w:val="0"/>
              <w:autoSpaceDN w:val="0"/>
              <w:spacing w:line="0" w:lineRule="atLeast"/>
              <w:jc w:val="center"/>
              <w:textAlignment w:val="center"/>
              <w:rPr>
                <w:rFonts w:ascii="宋体" w:hAnsi="宋体"/>
                <w:sz w:val="20"/>
                <w:szCs w:val="20"/>
                <w:highlight w:val="none"/>
              </w:rPr>
            </w:pPr>
            <w:r>
              <w:rPr>
                <w:rFonts w:hint="eastAsia" w:ascii="宋体" w:hAnsi="宋体"/>
                <w:sz w:val="20"/>
                <w:szCs w:val="20"/>
                <w:highlight w:val="none"/>
              </w:rPr>
              <w:t>（2 分）</w:t>
            </w:r>
          </w:p>
        </w:tc>
        <w:tc>
          <w:tcPr>
            <w:tcW w:w="6020" w:type="dxa"/>
            <w:tcBorders>
              <w:bottom w:val="single" w:color="auto" w:sz="8" w:space="0"/>
              <w:right w:val="single" w:color="auto" w:sz="8" w:space="0"/>
            </w:tcBorders>
            <w:vAlign w:val="center"/>
          </w:tcPr>
          <w:p>
            <w:pPr>
              <w:pStyle w:val="56"/>
              <w:widowControl w:val="0"/>
              <w:autoSpaceDN w:val="0"/>
              <w:spacing w:line="0" w:lineRule="atLeast"/>
              <w:textAlignment w:val="center"/>
              <w:rPr>
                <w:rFonts w:ascii="宋体" w:hAnsi="宋体"/>
                <w:sz w:val="20"/>
                <w:szCs w:val="20"/>
                <w:highlight w:val="none"/>
              </w:rPr>
            </w:pPr>
            <w:r>
              <w:rPr>
                <w:rFonts w:hint="eastAsia" w:ascii="宋体" w:hAnsi="宋体"/>
                <w:sz w:val="20"/>
                <w:szCs w:val="20"/>
                <w:highlight w:val="none"/>
              </w:rPr>
              <w:t>操作人员持证（省级行业颁发的资质证书）上岗率应达到 100%，特殊工种操作人员需培训合格,持证上岗,得 1.5 分;否则,不得分。</w:t>
            </w:r>
          </w:p>
          <w:p>
            <w:pPr>
              <w:pStyle w:val="56"/>
              <w:widowControl w:val="0"/>
              <w:autoSpaceDN w:val="0"/>
              <w:spacing w:line="0" w:lineRule="atLeast"/>
              <w:textAlignment w:val="center"/>
              <w:rPr>
                <w:rFonts w:ascii="宋体" w:hAnsi="宋体"/>
                <w:sz w:val="20"/>
                <w:szCs w:val="20"/>
                <w:highlight w:val="none"/>
              </w:rPr>
            </w:pPr>
            <w:r>
              <w:rPr>
                <w:rFonts w:hint="eastAsia" w:ascii="宋体" w:hAnsi="宋体"/>
                <w:sz w:val="20"/>
                <w:szCs w:val="20"/>
                <w:highlight w:val="none"/>
              </w:rPr>
              <w:t>（2）应定期分别对操作人员进行专业培训，熟练掌握“三好”“四会”内容。即管好、用好、修好、会使用、会保养、会检查、会排除故障。有完整、真实的培训记录及材料，得 0.5 分，否则，不得分</w:t>
            </w:r>
          </w:p>
        </w:tc>
        <w:tc>
          <w:tcPr>
            <w:tcW w:w="1780" w:type="dxa"/>
            <w:tcBorders>
              <w:bottom w:val="single" w:color="auto" w:sz="8" w:space="0"/>
              <w:right w:val="single" w:color="auto" w:sz="8" w:space="0"/>
            </w:tcBorders>
            <w:vAlign w:val="center"/>
          </w:tcPr>
          <w:p>
            <w:pPr>
              <w:pStyle w:val="56"/>
              <w:widowControl w:val="0"/>
              <w:autoSpaceDN w:val="0"/>
              <w:spacing w:line="0" w:lineRule="atLeast"/>
              <w:textAlignment w:val="center"/>
              <w:rPr>
                <w:rFonts w:ascii="宋体" w:hAnsi="宋体"/>
                <w:sz w:val="20"/>
                <w:szCs w:val="20"/>
                <w:highlight w:val="none"/>
              </w:rPr>
            </w:pPr>
            <w:r>
              <w:rPr>
                <w:rFonts w:hint="eastAsia" w:ascii="宋体" w:hAnsi="宋体"/>
                <w:sz w:val="20"/>
                <w:szCs w:val="20"/>
                <w:highlight w:val="none"/>
              </w:rPr>
              <w:t>查看上岗证复印件及培训记录、资料</w:t>
            </w:r>
          </w:p>
        </w:tc>
      </w:tr>
      <w:tr>
        <w:tblPrEx>
          <w:tblCellMar>
            <w:top w:w="0" w:type="dxa"/>
            <w:left w:w="0" w:type="dxa"/>
            <w:bottom w:w="0" w:type="dxa"/>
            <w:right w:w="0" w:type="dxa"/>
          </w:tblCellMar>
        </w:tblPrEx>
        <w:trPr>
          <w:trHeight w:val="880" w:hRule="atLeast"/>
        </w:trPr>
        <w:tc>
          <w:tcPr>
            <w:tcW w:w="1687" w:type="dxa"/>
            <w:tcBorders>
              <w:left w:val="single" w:color="auto" w:sz="8" w:space="0"/>
              <w:bottom w:val="single" w:color="auto" w:sz="8" w:space="0"/>
              <w:right w:val="single" w:color="auto" w:sz="8" w:space="0"/>
            </w:tcBorders>
            <w:vAlign w:val="center"/>
          </w:tcPr>
          <w:p>
            <w:pPr>
              <w:pStyle w:val="56"/>
              <w:widowControl w:val="0"/>
              <w:autoSpaceDN w:val="0"/>
              <w:spacing w:line="0" w:lineRule="atLeast"/>
              <w:jc w:val="center"/>
              <w:textAlignment w:val="center"/>
              <w:rPr>
                <w:rFonts w:ascii="宋体" w:hAnsi="宋体"/>
                <w:sz w:val="20"/>
                <w:szCs w:val="20"/>
                <w:highlight w:val="none"/>
              </w:rPr>
            </w:pPr>
            <w:r>
              <w:rPr>
                <w:rFonts w:hint="eastAsia" w:ascii="宋体" w:hAnsi="宋体"/>
                <w:sz w:val="20"/>
                <w:szCs w:val="20"/>
                <w:highlight w:val="none"/>
              </w:rPr>
              <w:t>技改</w:t>
            </w:r>
          </w:p>
          <w:p>
            <w:pPr>
              <w:pStyle w:val="56"/>
              <w:widowControl w:val="0"/>
              <w:autoSpaceDN w:val="0"/>
              <w:spacing w:line="0" w:lineRule="atLeast"/>
              <w:jc w:val="center"/>
              <w:textAlignment w:val="center"/>
              <w:rPr>
                <w:rFonts w:ascii="宋体" w:hAnsi="宋体"/>
                <w:sz w:val="20"/>
                <w:szCs w:val="20"/>
                <w:highlight w:val="none"/>
              </w:rPr>
            </w:pPr>
            <w:r>
              <w:rPr>
                <w:rFonts w:hint="eastAsia" w:ascii="宋体" w:hAnsi="宋体"/>
                <w:sz w:val="20"/>
                <w:szCs w:val="20"/>
                <w:highlight w:val="none"/>
              </w:rPr>
              <w:t>（1 分）</w:t>
            </w:r>
          </w:p>
        </w:tc>
        <w:tc>
          <w:tcPr>
            <w:tcW w:w="6020" w:type="dxa"/>
            <w:tcBorders>
              <w:bottom w:val="single" w:color="auto" w:sz="8" w:space="0"/>
              <w:right w:val="single" w:color="auto" w:sz="8" w:space="0"/>
            </w:tcBorders>
            <w:vAlign w:val="center"/>
          </w:tcPr>
          <w:p>
            <w:pPr>
              <w:pStyle w:val="56"/>
              <w:widowControl w:val="0"/>
              <w:autoSpaceDN w:val="0"/>
              <w:spacing w:line="0" w:lineRule="atLeast"/>
              <w:textAlignment w:val="center"/>
              <w:rPr>
                <w:rFonts w:ascii="宋体" w:hAnsi="宋体"/>
                <w:sz w:val="20"/>
                <w:szCs w:val="20"/>
                <w:highlight w:val="none"/>
              </w:rPr>
            </w:pPr>
            <w:r>
              <w:rPr>
                <w:rFonts w:hint="eastAsia" w:ascii="宋体" w:hAnsi="宋体"/>
                <w:sz w:val="20"/>
                <w:szCs w:val="20"/>
                <w:highlight w:val="none"/>
              </w:rPr>
              <w:t>有技改措施且已付诸实施，并能产生较好的效果，得 1 分，否则，不得分</w:t>
            </w:r>
          </w:p>
        </w:tc>
        <w:tc>
          <w:tcPr>
            <w:tcW w:w="1780" w:type="dxa"/>
            <w:tcBorders>
              <w:bottom w:val="single" w:color="auto" w:sz="8" w:space="0"/>
              <w:right w:val="single" w:color="auto" w:sz="8" w:space="0"/>
            </w:tcBorders>
            <w:vAlign w:val="center"/>
          </w:tcPr>
          <w:p>
            <w:pPr>
              <w:pStyle w:val="56"/>
              <w:widowControl w:val="0"/>
              <w:autoSpaceDN w:val="0"/>
              <w:spacing w:line="0" w:lineRule="atLeast"/>
              <w:textAlignment w:val="center"/>
              <w:rPr>
                <w:rFonts w:ascii="宋体" w:hAnsi="宋体"/>
                <w:sz w:val="20"/>
                <w:szCs w:val="20"/>
                <w:highlight w:val="none"/>
              </w:rPr>
            </w:pPr>
            <w:r>
              <w:rPr>
                <w:rFonts w:hint="eastAsia" w:ascii="宋体" w:hAnsi="宋体"/>
                <w:sz w:val="20"/>
                <w:szCs w:val="20"/>
                <w:highlight w:val="none"/>
              </w:rPr>
              <w:t>指工艺、设施、设备等方面的技术改革、革新工作</w:t>
            </w:r>
          </w:p>
        </w:tc>
      </w:tr>
    </w:tbl>
    <w:p>
      <w:pPr>
        <w:pStyle w:val="56"/>
        <w:spacing w:line="423" w:lineRule="exact"/>
        <w:ind w:left="60" w:right="949" w:rightChars="448"/>
        <w:jc w:val="left"/>
        <w:rPr>
          <w:rFonts w:ascii="宋体" w:hAnsi="宋体" w:cs="宋体"/>
          <w:b/>
          <w:bCs/>
          <w:sz w:val="20"/>
          <w:szCs w:val="20"/>
          <w:highlight w:val="none"/>
        </w:rPr>
      </w:pPr>
      <w:r>
        <w:rPr>
          <w:rFonts w:hint="eastAsia" w:ascii="宋体" w:hAnsi="宋体" w:cs="宋体"/>
          <w:b/>
          <w:bCs/>
          <w:sz w:val="20"/>
          <w:szCs w:val="20"/>
          <w:highlight w:val="none"/>
        </w:rPr>
        <w:t>三、台账及档案管理（11 分）</w:t>
      </w:r>
    </w:p>
    <w:tbl>
      <w:tblPr>
        <w:tblStyle w:val="25"/>
        <w:tblW w:w="9475" w:type="dxa"/>
        <w:tblInd w:w="72" w:type="dxa"/>
        <w:tblLayout w:type="fixed"/>
        <w:tblCellMar>
          <w:top w:w="0" w:type="dxa"/>
          <w:left w:w="0" w:type="dxa"/>
          <w:bottom w:w="0" w:type="dxa"/>
          <w:right w:w="0" w:type="dxa"/>
        </w:tblCellMar>
      </w:tblPr>
      <w:tblGrid>
        <w:gridCol w:w="1688"/>
        <w:gridCol w:w="2842"/>
        <w:gridCol w:w="4945"/>
      </w:tblGrid>
      <w:tr>
        <w:tblPrEx>
          <w:tblCellMar>
            <w:top w:w="0" w:type="dxa"/>
            <w:left w:w="0" w:type="dxa"/>
            <w:bottom w:w="0" w:type="dxa"/>
            <w:right w:w="0" w:type="dxa"/>
          </w:tblCellMar>
        </w:tblPrEx>
        <w:trPr>
          <w:trHeight w:val="203" w:hRule="atLeast"/>
        </w:trPr>
        <w:tc>
          <w:tcPr>
            <w:tcW w:w="1688" w:type="dxa"/>
            <w:tcBorders>
              <w:top w:val="single" w:color="auto" w:sz="4" w:space="0"/>
              <w:left w:val="single" w:color="auto" w:sz="4" w:space="0"/>
              <w:bottom w:val="single" w:color="auto" w:sz="4" w:space="0"/>
              <w:right w:val="single" w:color="auto" w:sz="8" w:space="0"/>
            </w:tcBorders>
            <w:vAlign w:val="center"/>
          </w:tcPr>
          <w:p>
            <w:pPr>
              <w:pStyle w:val="56"/>
              <w:jc w:val="center"/>
              <w:rPr>
                <w:b/>
                <w:bCs/>
                <w:sz w:val="20"/>
                <w:szCs w:val="20"/>
                <w:highlight w:val="none"/>
              </w:rPr>
            </w:pPr>
            <w:r>
              <w:rPr>
                <w:rFonts w:hint="eastAsia"/>
                <w:b/>
                <w:bCs/>
                <w:sz w:val="20"/>
                <w:szCs w:val="20"/>
                <w:highlight w:val="none"/>
              </w:rPr>
              <w:t>考核内容</w:t>
            </w:r>
          </w:p>
        </w:tc>
        <w:tc>
          <w:tcPr>
            <w:tcW w:w="2842" w:type="dxa"/>
            <w:tcBorders>
              <w:top w:val="single" w:color="auto" w:sz="4" w:space="0"/>
              <w:bottom w:val="single" w:color="auto" w:sz="4" w:space="0"/>
              <w:right w:val="single" w:color="auto" w:sz="8" w:space="0"/>
            </w:tcBorders>
            <w:vAlign w:val="center"/>
          </w:tcPr>
          <w:p>
            <w:pPr>
              <w:pStyle w:val="56"/>
              <w:jc w:val="center"/>
              <w:rPr>
                <w:b/>
                <w:bCs/>
                <w:sz w:val="20"/>
                <w:szCs w:val="20"/>
                <w:highlight w:val="none"/>
              </w:rPr>
            </w:pPr>
            <w:r>
              <w:rPr>
                <w:rFonts w:hint="eastAsia"/>
                <w:b/>
                <w:bCs/>
                <w:sz w:val="20"/>
                <w:szCs w:val="20"/>
                <w:highlight w:val="none"/>
              </w:rPr>
              <w:t>评分标准</w:t>
            </w:r>
          </w:p>
        </w:tc>
        <w:tc>
          <w:tcPr>
            <w:tcW w:w="4945" w:type="dxa"/>
            <w:tcBorders>
              <w:top w:val="single" w:color="auto" w:sz="4" w:space="0"/>
              <w:bottom w:val="single" w:color="auto" w:sz="4" w:space="0"/>
              <w:right w:val="single" w:color="auto" w:sz="4" w:space="0"/>
            </w:tcBorders>
            <w:vAlign w:val="center"/>
          </w:tcPr>
          <w:p>
            <w:pPr>
              <w:pStyle w:val="56"/>
              <w:jc w:val="center"/>
              <w:rPr>
                <w:b/>
                <w:bCs/>
                <w:sz w:val="20"/>
                <w:szCs w:val="20"/>
                <w:highlight w:val="none"/>
              </w:rPr>
            </w:pPr>
            <w:r>
              <w:rPr>
                <w:rFonts w:hint="eastAsia"/>
                <w:b/>
                <w:bCs/>
                <w:sz w:val="20"/>
                <w:szCs w:val="20"/>
                <w:highlight w:val="none"/>
              </w:rPr>
              <w:t>考核说明</w:t>
            </w:r>
          </w:p>
        </w:tc>
      </w:tr>
      <w:tr>
        <w:tblPrEx>
          <w:tblCellMar>
            <w:top w:w="0" w:type="dxa"/>
            <w:left w:w="0" w:type="dxa"/>
            <w:bottom w:w="0" w:type="dxa"/>
            <w:right w:w="0" w:type="dxa"/>
          </w:tblCellMar>
        </w:tblPrEx>
        <w:trPr>
          <w:trHeight w:val="696" w:hRule="atLeast"/>
        </w:trPr>
        <w:tc>
          <w:tcPr>
            <w:tcW w:w="1688" w:type="dxa"/>
            <w:tcBorders>
              <w:top w:val="single" w:color="auto" w:sz="4" w:space="0"/>
              <w:left w:val="single" w:color="auto" w:sz="4" w:space="0"/>
              <w:bottom w:val="single" w:color="auto" w:sz="4" w:space="0"/>
              <w:right w:val="single" w:color="auto" w:sz="8" w:space="0"/>
            </w:tcBorders>
            <w:vAlign w:val="center"/>
          </w:tcPr>
          <w:p>
            <w:pPr>
              <w:pStyle w:val="56"/>
              <w:jc w:val="left"/>
              <w:rPr>
                <w:sz w:val="20"/>
                <w:szCs w:val="20"/>
                <w:highlight w:val="none"/>
              </w:rPr>
            </w:pPr>
            <w:r>
              <w:rPr>
                <w:rFonts w:hint="eastAsia"/>
                <w:sz w:val="20"/>
                <w:szCs w:val="20"/>
                <w:highlight w:val="none"/>
              </w:rPr>
              <w:t>污水台账</w:t>
            </w:r>
          </w:p>
          <w:p>
            <w:pPr>
              <w:pStyle w:val="56"/>
              <w:jc w:val="left"/>
              <w:rPr>
                <w:sz w:val="20"/>
                <w:szCs w:val="20"/>
                <w:highlight w:val="none"/>
              </w:rPr>
            </w:pPr>
            <w:r>
              <w:rPr>
                <w:rFonts w:hint="eastAsia"/>
                <w:sz w:val="20"/>
                <w:szCs w:val="20"/>
                <w:highlight w:val="none"/>
              </w:rPr>
              <w:t>（2 分）</w:t>
            </w:r>
          </w:p>
        </w:tc>
        <w:tc>
          <w:tcPr>
            <w:tcW w:w="2842" w:type="dxa"/>
            <w:tcBorders>
              <w:top w:val="single" w:color="auto" w:sz="4" w:space="0"/>
              <w:bottom w:val="single" w:color="auto" w:sz="4" w:space="0"/>
              <w:right w:val="single" w:color="auto" w:sz="8" w:space="0"/>
            </w:tcBorders>
            <w:vAlign w:val="center"/>
          </w:tcPr>
          <w:p>
            <w:pPr>
              <w:pStyle w:val="56"/>
              <w:widowControl w:val="0"/>
              <w:autoSpaceDN w:val="0"/>
              <w:spacing w:line="0" w:lineRule="atLeast"/>
              <w:textAlignment w:val="center"/>
              <w:rPr>
                <w:rFonts w:ascii="宋体" w:hAnsi="宋体"/>
                <w:sz w:val="20"/>
                <w:szCs w:val="20"/>
                <w:highlight w:val="none"/>
              </w:rPr>
            </w:pPr>
            <w:r>
              <w:rPr>
                <w:rFonts w:hint="eastAsia" w:ascii="宋体" w:hAnsi="宋体"/>
                <w:sz w:val="20"/>
                <w:szCs w:val="20"/>
                <w:highlight w:val="none"/>
              </w:rPr>
              <w:t>台账记录齐全、真实、可靠，得2分；每缺一项扣 0.5 分，扣完为止；记录数据不真实，不得分；无运行台账，不得分</w:t>
            </w:r>
          </w:p>
        </w:tc>
        <w:tc>
          <w:tcPr>
            <w:tcW w:w="4945" w:type="dxa"/>
            <w:tcBorders>
              <w:top w:val="single" w:color="auto" w:sz="4" w:space="0"/>
              <w:bottom w:val="single" w:color="auto" w:sz="4" w:space="0"/>
              <w:right w:val="single" w:color="auto" w:sz="4" w:space="0"/>
            </w:tcBorders>
            <w:vAlign w:val="center"/>
          </w:tcPr>
          <w:p>
            <w:pPr>
              <w:pStyle w:val="56"/>
              <w:jc w:val="left"/>
              <w:rPr>
                <w:sz w:val="20"/>
                <w:szCs w:val="20"/>
                <w:highlight w:val="none"/>
              </w:rPr>
            </w:pPr>
            <w:r>
              <w:rPr>
                <w:rFonts w:hint="eastAsia"/>
                <w:sz w:val="20"/>
                <w:szCs w:val="20"/>
                <w:highlight w:val="none"/>
              </w:rPr>
              <w:t>原始记录应包括：预处理及初级处理、二级处理、深度处理；消毒、加药记录等各工艺段的原始记录；统计报表包括工艺运行的统计日报、月报、年报等。</w:t>
            </w:r>
          </w:p>
        </w:tc>
      </w:tr>
      <w:tr>
        <w:tblPrEx>
          <w:tblCellMar>
            <w:top w:w="0" w:type="dxa"/>
            <w:left w:w="0" w:type="dxa"/>
            <w:bottom w:w="0" w:type="dxa"/>
            <w:right w:w="0" w:type="dxa"/>
          </w:tblCellMar>
        </w:tblPrEx>
        <w:trPr>
          <w:trHeight w:val="505" w:hRule="atLeast"/>
        </w:trPr>
        <w:tc>
          <w:tcPr>
            <w:tcW w:w="1688" w:type="dxa"/>
            <w:tcBorders>
              <w:top w:val="single" w:color="auto" w:sz="4" w:space="0"/>
              <w:left w:val="single" w:color="auto" w:sz="4" w:space="0"/>
              <w:bottom w:val="single" w:color="auto" w:sz="4" w:space="0"/>
              <w:right w:val="single" w:color="auto" w:sz="8" w:space="0"/>
            </w:tcBorders>
            <w:vAlign w:val="center"/>
          </w:tcPr>
          <w:p>
            <w:pPr>
              <w:pStyle w:val="56"/>
              <w:jc w:val="left"/>
              <w:rPr>
                <w:sz w:val="20"/>
                <w:szCs w:val="20"/>
                <w:highlight w:val="none"/>
              </w:rPr>
            </w:pPr>
            <w:r>
              <w:rPr>
                <w:rFonts w:hint="eastAsia"/>
                <w:sz w:val="20"/>
                <w:szCs w:val="20"/>
                <w:highlight w:val="none"/>
              </w:rPr>
              <w:t>污泥台账</w:t>
            </w:r>
          </w:p>
          <w:p>
            <w:pPr>
              <w:pStyle w:val="56"/>
              <w:jc w:val="left"/>
              <w:rPr>
                <w:sz w:val="20"/>
                <w:szCs w:val="20"/>
                <w:highlight w:val="none"/>
              </w:rPr>
            </w:pPr>
            <w:r>
              <w:rPr>
                <w:rFonts w:hint="eastAsia"/>
                <w:sz w:val="20"/>
                <w:szCs w:val="20"/>
                <w:highlight w:val="none"/>
              </w:rPr>
              <w:t>（2分）</w:t>
            </w:r>
          </w:p>
        </w:tc>
        <w:tc>
          <w:tcPr>
            <w:tcW w:w="2842" w:type="dxa"/>
            <w:tcBorders>
              <w:top w:val="single" w:color="auto" w:sz="4" w:space="0"/>
              <w:bottom w:val="single" w:color="auto" w:sz="4" w:space="0"/>
              <w:right w:val="single" w:color="auto" w:sz="8" w:space="0"/>
            </w:tcBorders>
            <w:vAlign w:val="center"/>
          </w:tcPr>
          <w:p>
            <w:pPr>
              <w:pStyle w:val="56"/>
              <w:widowControl w:val="0"/>
              <w:autoSpaceDN w:val="0"/>
              <w:spacing w:line="0" w:lineRule="atLeast"/>
              <w:textAlignment w:val="center"/>
              <w:rPr>
                <w:rFonts w:ascii="宋体" w:hAnsi="宋体"/>
                <w:sz w:val="20"/>
                <w:szCs w:val="20"/>
                <w:highlight w:val="none"/>
              </w:rPr>
            </w:pPr>
            <w:r>
              <w:rPr>
                <w:rFonts w:hint="eastAsia" w:ascii="宋体" w:hAnsi="宋体"/>
                <w:sz w:val="20"/>
                <w:szCs w:val="20"/>
                <w:highlight w:val="none"/>
              </w:rPr>
              <w:t>台账记录齐全、真实、可靠，得2 分；每缺一项扣 0.5 分，扣完为止；记录数据不真实，不得分；无运行台账，不得分</w:t>
            </w:r>
          </w:p>
        </w:tc>
        <w:tc>
          <w:tcPr>
            <w:tcW w:w="4945" w:type="dxa"/>
            <w:tcBorders>
              <w:top w:val="single" w:color="auto" w:sz="4" w:space="0"/>
              <w:bottom w:val="single" w:color="auto" w:sz="4" w:space="0"/>
              <w:right w:val="single" w:color="auto" w:sz="4" w:space="0"/>
            </w:tcBorders>
            <w:vAlign w:val="center"/>
          </w:tcPr>
          <w:p>
            <w:pPr>
              <w:pStyle w:val="56"/>
              <w:jc w:val="left"/>
              <w:rPr>
                <w:sz w:val="20"/>
                <w:szCs w:val="20"/>
                <w:highlight w:val="none"/>
              </w:rPr>
            </w:pPr>
            <w:r>
              <w:rPr>
                <w:rFonts w:hint="eastAsia"/>
                <w:sz w:val="20"/>
                <w:szCs w:val="20"/>
                <w:highlight w:val="none"/>
              </w:rPr>
              <w:t>原始记录应包括：絮凝剂用量记录、脱水机房运行记录、污泥运输联单、污泥运输记录等。</w:t>
            </w:r>
          </w:p>
        </w:tc>
      </w:tr>
      <w:tr>
        <w:tblPrEx>
          <w:tblCellMar>
            <w:top w:w="0" w:type="dxa"/>
            <w:left w:w="0" w:type="dxa"/>
            <w:bottom w:w="0" w:type="dxa"/>
            <w:right w:w="0" w:type="dxa"/>
          </w:tblCellMar>
        </w:tblPrEx>
        <w:trPr>
          <w:trHeight w:val="793" w:hRule="atLeast"/>
        </w:trPr>
        <w:tc>
          <w:tcPr>
            <w:tcW w:w="1688" w:type="dxa"/>
            <w:tcBorders>
              <w:top w:val="single" w:color="auto" w:sz="4" w:space="0"/>
              <w:left w:val="single" w:color="auto" w:sz="4" w:space="0"/>
              <w:bottom w:val="single" w:color="auto" w:sz="4" w:space="0"/>
              <w:right w:val="single" w:color="auto" w:sz="8" w:space="0"/>
            </w:tcBorders>
            <w:vAlign w:val="center"/>
          </w:tcPr>
          <w:p>
            <w:pPr>
              <w:pStyle w:val="56"/>
              <w:jc w:val="left"/>
              <w:rPr>
                <w:sz w:val="20"/>
                <w:szCs w:val="20"/>
                <w:highlight w:val="none"/>
              </w:rPr>
            </w:pPr>
            <w:r>
              <w:rPr>
                <w:rFonts w:hint="eastAsia"/>
                <w:sz w:val="20"/>
                <w:szCs w:val="20"/>
                <w:highlight w:val="none"/>
              </w:rPr>
              <w:t>设备及在线仪表台账</w:t>
            </w:r>
          </w:p>
          <w:p>
            <w:pPr>
              <w:pStyle w:val="56"/>
              <w:jc w:val="left"/>
              <w:rPr>
                <w:sz w:val="20"/>
                <w:szCs w:val="20"/>
                <w:highlight w:val="none"/>
              </w:rPr>
            </w:pPr>
            <w:r>
              <w:rPr>
                <w:rFonts w:hint="eastAsia"/>
                <w:sz w:val="20"/>
                <w:szCs w:val="20"/>
                <w:highlight w:val="none"/>
              </w:rPr>
              <w:t>（1.5 分）</w:t>
            </w:r>
          </w:p>
        </w:tc>
        <w:tc>
          <w:tcPr>
            <w:tcW w:w="2842" w:type="dxa"/>
            <w:tcBorders>
              <w:top w:val="single" w:color="auto" w:sz="4" w:space="0"/>
              <w:bottom w:val="single" w:color="auto" w:sz="4" w:space="0"/>
              <w:right w:val="single" w:color="auto" w:sz="8" w:space="0"/>
            </w:tcBorders>
            <w:vAlign w:val="center"/>
          </w:tcPr>
          <w:p>
            <w:pPr>
              <w:pStyle w:val="56"/>
              <w:widowControl w:val="0"/>
              <w:autoSpaceDN w:val="0"/>
              <w:spacing w:line="0" w:lineRule="atLeast"/>
              <w:textAlignment w:val="center"/>
              <w:rPr>
                <w:rFonts w:ascii="宋体" w:hAnsi="宋体"/>
                <w:sz w:val="20"/>
                <w:szCs w:val="20"/>
                <w:highlight w:val="none"/>
              </w:rPr>
            </w:pPr>
            <w:r>
              <w:rPr>
                <w:rFonts w:hint="eastAsia" w:ascii="宋体" w:hAnsi="宋体"/>
                <w:sz w:val="20"/>
                <w:szCs w:val="20"/>
                <w:highlight w:val="none"/>
              </w:rPr>
              <w:t>台账记录齐全、真实、可靠，得1.5 分；每缺一项扣 0.5 分，扣完为止；记录数据不真实，不得分；无运行台账，不得分。</w:t>
            </w:r>
          </w:p>
        </w:tc>
        <w:tc>
          <w:tcPr>
            <w:tcW w:w="4945" w:type="dxa"/>
            <w:tcBorders>
              <w:top w:val="single" w:color="auto" w:sz="4" w:space="0"/>
              <w:bottom w:val="single" w:color="auto" w:sz="4" w:space="0"/>
              <w:right w:val="single" w:color="auto" w:sz="4" w:space="0"/>
            </w:tcBorders>
            <w:vAlign w:val="center"/>
          </w:tcPr>
          <w:p>
            <w:pPr>
              <w:pStyle w:val="56"/>
              <w:jc w:val="left"/>
              <w:rPr>
                <w:sz w:val="20"/>
                <w:szCs w:val="20"/>
                <w:highlight w:val="none"/>
              </w:rPr>
            </w:pPr>
            <w:r>
              <w:rPr>
                <w:rFonts w:hint="eastAsia"/>
                <w:sz w:val="20"/>
                <w:szCs w:val="20"/>
                <w:highlight w:val="none"/>
              </w:rPr>
              <w:t>原始记录应包括：设备汇总记录、设备档案、维保计划及记录、备品备件进出库记录、变电所记录、在线仪表的维护校验记录等。统计报表包括设备统计日报、月报、年报等。</w:t>
            </w:r>
          </w:p>
        </w:tc>
      </w:tr>
      <w:tr>
        <w:tblPrEx>
          <w:tblCellMar>
            <w:top w:w="0" w:type="dxa"/>
            <w:left w:w="0" w:type="dxa"/>
            <w:bottom w:w="0" w:type="dxa"/>
            <w:right w:w="0" w:type="dxa"/>
          </w:tblCellMar>
        </w:tblPrEx>
        <w:trPr>
          <w:trHeight w:val="596" w:hRule="atLeast"/>
        </w:trPr>
        <w:tc>
          <w:tcPr>
            <w:tcW w:w="1688" w:type="dxa"/>
            <w:tcBorders>
              <w:top w:val="single" w:color="auto" w:sz="4" w:space="0"/>
              <w:left w:val="single" w:color="auto" w:sz="4" w:space="0"/>
              <w:bottom w:val="single" w:color="auto" w:sz="4" w:space="0"/>
              <w:right w:val="single" w:color="auto" w:sz="8" w:space="0"/>
            </w:tcBorders>
            <w:vAlign w:val="center"/>
          </w:tcPr>
          <w:p>
            <w:pPr>
              <w:pStyle w:val="56"/>
              <w:jc w:val="left"/>
              <w:rPr>
                <w:sz w:val="20"/>
                <w:szCs w:val="20"/>
                <w:highlight w:val="none"/>
              </w:rPr>
            </w:pPr>
            <w:r>
              <w:rPr>
                <w:rFonts w:hint="eastAsia"/>
                <w:sz w:val="20"/>
                <w:szCs w:val="20"/>
                <w:highlight w:val="none"/>
              </w:rPr>
              <w:t>化验台账</w:t>
            </w:r>
          </w:p>
          <w:p>
            <w:pPr>
              <w:pStyle w:val="56"/>
              <w:jc w:val="left"/>
              <w:rPr>
                <w:sz w:val="20"/>
                <w:szCs w:val="20"/>
                <w:highlight w:val="none"/>
              </w:rPr>
            </w:pPr>
            <w:r>
              <w:rPr>
                <w:rFonts w:hint="eastAsia"/>
                <w:sz w:val="20"/>
                <w:szCs w:val="20"/>
                <w:highlight w:val="none"/>
              </w:rPr>
              <w:t>（1.5 分）</w:t>
            </w:r>
          </w:p>
        </w:tc>
        <w:tc>
          <w:tcPr>
            <w:tcW w:w="2842" w:type="dxa"/>
            <w:tcBorders>
              <w:top w:val="single" w:color="auto" w:sz="4" w:space="0"/>
              <w:bottom w:val="single" w:color="auto" w:sz="4" w:space="0"/>
              <w:right w:val="single" w:color="auto" w:sz="8" w:space="0"/>
            </w:tcBorders>
            <w:vAlign w:val="center"/>
          </w:tcPr>
          <w:p>
            <w:pPr>
              <w:pStyle w:val="56"/>
              <w:widowControl w:val="0"/>
              <w:autoSpaceDN w:val="0"/>
              <w:spacing w:line="0" w:lineRule="atLeast"/>
              <w:textAlignment w:val="center"/>
              <w:rPr>
                <w:rFonts w:ascii="宋体" w:hAnsi="宋体"/>
                <w:sz w:val="20"/>
                <w:szCs w:val="20"/>
                <w:highlight w:val="none"/>
              </w:rPr>
            </w:pPr>
            <w:r>
              <w:rPr>
                <w:rFonts w:hint="eastAsia" w:ascii="宋体" w:hAnsi="宋体"/>
                <w:sz w:val="20"/>
                <w:szCs w:val="20"/>
                <w:highlight w:val="none"/>
              </w:rPr>
              <w:t>台账记录齐全、真实、可靠，得1.5 分；每缺一项扣 0.5 分，扣完为止；记录数据不真实，不得分；无运行台账，不得分。</w:t>
            </w:r>
          </w:p>
        </w:tc>
        <w:tc>
          <w:tcPr>
            <w:tcW w:w="4945" w:type="dxa"/>
            <w:tcBorders>
              <w:top w:val="single" w:color="auto" w:sz="4" w:space="0"/>
              <w:bottom w:val="single" w:color="auto" w:sz="4" w:space="0"/>
              <w:right w:val="single" w:color="auto" w:sz="4" w:space="0"/>
            </w:tcBorders>
            <w:vAlign w:val="center"/>
          </w:tcPr>
          <w:p>
            <w:pPr>
              <w:pStyle w:val="56"/>
              <w:jc w:val="left"/>
              <w:rPr>
                <w:sz w:val="20"/>
                <w:szCs w:val="20"/>
                <w:highlight w:val="none"/>
              </w:rPr>
            </w:pPr>
            <w:r>
              <w:rPr>
                <w:rFonts w:hint="eastAsia"/>
                <w:sz w:val="20"/>
                <w:szCs w:val="20"/>
                <w:highlight w:val="none"/>
              </w:rPr>
              <w:t>原始记录应包括：检测记录、采样记录、库存记录、</w:t>
            </w:r>
          </w:p>
          <w:p>
            <w:pPr>
              <w:pStyle w:val="56"/>
              <w:jc w:val="left"/>
              <w:rPr>
                <w:sz w:val="20"/>
                <w:szCs w:val="20"/>
                <w:highlight w:val="none"/>
              </w:rPr>
            </w:pPr>
            <w:r>
              <w:rPr>
                <w:rFonts w:hint="eastAsia"/>
                <w:sz w:val="20"/>
                <w:szCs w:val="20"/>
                <w:highlight w:val="none"/>
              </w:rPr>
              <w:t>量值溯源记录、其他化验记录等。统计报表包括化验、统计日报、月报、年报等</w:t>
            </w:r>
          </w:p>
        </w:tc>
      </w:tr>
      <w:tr>
        <w:tblPrEx>
          <w:tblCellMar>
            <w:top w:w="0" w:type="dxa"/>
            <w:left w:w="0" w:type="dxa"/>
            <w:bottom w:w="0" w:type="dxa"/>
            <w:right w:w="0" w:type="dxa"/>
          </w:tblCellMar>
        </w:tblPrEx>
        <w:trPr>
          <w:trHeight w:val="793" w:hRule="atLeast"/>
        </w:trPr>
        <w:tc>
          <w:tcPr>
            <w:tcW w:w="1688" w:type="dxa"/>
            <w:tcBorders>
              <w:top w:val="single" w:color="auto" w:sz="4" w:space="0"/>
              <w:left w:val="single" w:color="auto" w:sz="4" w:space="0"/>
              <w:bottom w:val="single" w:color="auto" w:sz="4" w:space="0"/>
              <w:right w:val="single" w:color="auto" w:sz="8" w:space="0"/>
            </w:tcBorders>
            <w:vAlign w:val="center"/>
          </w:tcPr>
          <w:p>
            <w:pPr>
              <w:pStyle w:val="56"/>
              <w:jc w:val="left"/>
              <w:rPr>
                <w:sz w:val="20"/>
                <w:szCs w:val="20"/>
                <w:highlight w:val="none"/>
              </w:rPr>
            </w:pPr>
            <w:r>
              <w:rPr>
                <w:rFonts w:hint="eastAsia"/>
                <w:sz w:val="20"/>
                <w:szCs w:val="20"/>
                <w:highlight w:val="none"/>
              </w:rPr>
              <w:t>其它台账</w:t>
            </w:r>
          </w:p>
          <w:p>
            <w:pPr>
              <w:pStyle w:val="56"/>
              <w:jc w:val="left"/>
              <w:rPr>
                <w:sz w:val="20"/>
                <w:szCs w:val="20"/>
                <w:highlight w:val="none"/>
              </w:rPr>
            </w:pPr>
            <w:r>
              <w:rPr>
                <w:rFonts w:hint="eastAsia"/>
                <w:sz w:val="20"/>
                <w:szCs w:val="20"/>
                <w:highlight w:val="none"/>
              </w:rPr>
              <w:t>（2 分）</w:t>
            </w:r>
          </w:p>
        </w:tc>
        <w:tc>
          <w:tcPr>
            <w:tcW w:w="2842" w:type="dxa"/>
            <w:tcBorders>
              <w:top w:val="single" w:color="auto" w:sz="4" w:space="0"/>
              <w:bottom w:val="single" w:color="auto" w:sz="4" w:space="0"/>
              <w:right w:val="single" w:color="auto" w:sz="8" w:space="0"/>
            </w:tcBorders>
            <w:vAlign w:val="center"/>
          </w:tcPr>
          <w:p>
            <w:pPr>
              <w:pStyle w:val="56"/>
              <w:widowControl w:val="0"/>
              <w:autoSpaceDN w:val="0"/>
              <w:spacing w:line="0" w:lineRule="atLeast"/>
              <w:textAlignment w:val="center"/>
              <w:rPr>
                <w:rFonts w:ascii="宋体" w:hAnsi="宋体"/>
                <w:sz w:val="20"/>
                <w:szCs w:val="20"/>
                <w:highlight w:val="none"/>
              </w:rPr>
            </w:pPr>
            <w:r>
              <w:rPr>
                <w:rFonts w:hint="eastAsia" w:ascii="宋体" w:hAnsi="宋体"/>
                <w:sz w:val="20"/>
                <w:szCs w:val="20"/>
                <w:highlight w:val="none"/>
              </w:rPr>
              <w:t>台账记录齐全、真实、可靠，得2 分；每缺一项扣 0.5 分，扣完为止；记录数据不真实，不得分；无运行台账，不得分</w:t>
            </w:r>
          </w:p>
        </w:tc>
        <w:tc>
          <w:tcPr>
            <w:tcW w:w="4945" w:type="dxa"/>
            <w:tcBorders>
              <w:top w:val="single" w:color="auto" w:sz="4" w:space="0"/>
              <w:bottom w:val="single" w:color="auto" w:sz="4" w:space="0"/>
              <w:right w:val="single" w:color="auto" w:sz="4" w:space="0"/>
            </w:tcBorders>
            <w:vAlign w:val="center"/>
          </w:tcPr>
          <w:p>
            <w:pPr>
              <w:pStyle w:val="56"/>
              <w:jc w:val="left"/>
              <w:rPr>
                <w:sz w:val="20"/>
                <w:szCs w:val="20"/>
                <w:highlight w:val="none"/>
              </w:rPr>
            </w:pPr>
            <w:r>
              <w:rPr>
                <w:rFonts w:hint="eastAsia"/>
                <w:sz w:val="20"/>
                <w:szCs w:val="20"/>
                <w:highlight w:val="none"/>
              </w:rPr>
              <w:t>包括：巡视记录、职工三级教育记录、安全教育记录、职工培训记录等。做好成本分析报表，包括月报、年报、年汇总表、各项费用支出明细年汇总表、电耗、药耗年汇总表等。</w:t>
            </w:r>
          </w:p>
        </w:tc>
      </w:tr>
      <w:tr>
        <w:tblPrEx>
          <w:tblCellMar>
            <w:top w:w="0" w:type="dxa"/>
            <w:left w:w="0" w:type="dxa"/>
            <w:bottom w:w="0" w:type="dxa"/>
            <w:right w:w="0" w:type="dxa"/>
          </w:tblCellMar>
        </w:tblPrEx>
        <w:trPr>
          <w:trHeight w:val="646" w:hRule="atLeast"/>
        </w:trPr>
        <w:tc>
          <w:tcPr>
            <w:tcW w:w="1688" w:type="dxa"/>
            <w:tcBorders>
              <w:top w:val="single" w:color="auto" w:sz="4" w:space="0"/>
              <w:left w:val="single" w:color="auto" w:sz="4" w:space="0"/>
              <w:bottom w:val="single" w:color="auto" w:sz="4" w:space="0"/>
              <w:right w:val="single" w:color="auto" w:sz="8" w:space="0"/>
            </w:tcBorders>
            <w:vAlign w:val="center"/>
          </w:tcPr>
          <w:p>
            <w:pPr>
              <w:pStyle w:val="56"/>
              <w:jc w:val="left"/>
              <w:rPr>
                <w:sz w:val="20"/>
                <w:szCs w:val="20"/>
                <w:highlight w:val="none"/>
              </w:rPr>
            </w:pPr>
            <w:r>
              <w:rPr>
                <w:rFonts w:hint="eastAsia"/>
                <w:sz w:val="20"/>
                <w:szCs w:val="20"/>
                <w:highlight w:val="none"/>
              </w:rPr>
              <w:t>档案管理</w:t>
            </w:r>
          </w:p>
          <w:p>
            <w:pPr>
              <w:pStyle w:val="56"/>
              <w:jc w:val="left"/>
              <w:rPr>
                <w:sz w:val="20"/>
                <w:szCs w:val="20"/>
                <w:highlight w:val="none"/>
              </w:rPr>
            </w:pPr>
            <w:r>
              <w:rPr>
                <w:rFonts w:hint="eastAsia"/>
                <w:sz w:val="20"/>
                <w:szCs w:val="20"/>
                <w:highlight w:val="none"/>
              </w:rPr>
              <w:t>（2 分）</w:t>
            </w:r>
          </w:p>
        </w:tc>
        <w:tc>
          <w:tcPr>
            <w:tcW w:w="2842" w:type="dxa"/>
            <w:tcBorders>
              <w:top w:val="single" w:color="auto" w:sz="4" w:space="0"/>
              <w:bottom w:val="single" w:color="auto" w:sz="4" w:space="0"/>
              <w:right w:val="single" w:color="auto" w:sz="8" w:space="0"/>
            </w:tcBorders>
            <w:vAlign w:val="center"/>
          </w:tcPr>
          <w:p>
            <w:pPr>
              <w:pStyle w:val="56"/>
              <w:jc w:val="left"/>
              <w:rPr>
                <w:sz w:val="20"/>
                <w:szCs w:val="20"/>
                <w:highlight w:val="none"/>
              </w:rPr>
            </w:pPr>
            <w:r>
              <w:rPr>
                <w:rFonts w:hint="eastAsia" w:ascii="宋体" w:hAnsi="宋体"/>
                <w:sz w:val="20"/>
                <w:szCs w:val="20"/>
                <w:highlight w:val="none"/>
              </w:rPr>
              <w:t>各小项，每满足一项得 0.4 分，否则，该小项不得分</w:t>
            </w:r>
          </w:p>
        </w:tc>
        <w:tc>
          <w:tcPr>
            <w:tcW w:w="4945" w:type="dxa"/>
            <w:tcBorders>
              <w:top w:val="single" w:color="auto" w:sz="4" w:space="0"/>
              <w:bottom w:val="single" w:color="auto" w:sz="4" w:space="0"/>
              <w:right w:val="single" w:color="auto" w:sz="4" w:space="0"/>
            </w:tcBorders>
            <w:vAlign w:val="center"/>
          </w:tcPr>
          <w:p>
            <w:pPr>
              <w:pStyle w:val="56"/>
              <w:jc w:val="left"/>
              <w:rPr>
                <w:sz w:val="20"/>
                <w:szCs w:val="20"/>
                <w:highlight w:val="none"/>
              </w:rPr>
            </w:pPr>
            <w:r>
              <w:rPr>
                <w:rFonts w:hint="eastAsia"/>
                <w:sz w:val="20"/>
                <w:szCs w:val="20"/>
                <w:highlight w:val="none"/>
              </w:rPr>
              <w:t>（1）配备专（兼）职档案管理人员；（2）制定明确的档案管理制度；（3）按规定建立有生产运行、水质、设备、材料管理、技术管理、安全、财务、文秘、人事等档案；（4）档案资料应真实、无缺失；（5）档案管理制度应明确各类档案保存期限。</w:t>
            </w:r>
          </w:p>
        </w:tc>
      </w:tr>
    </w:tbl>
    <w:p>
      <w:pPr>
        <w:pStyle w:val="56"/>
        <w:spacing w:line="423" w:lineRule="exact"/>
        <w:ind w:left="60"/>
        <w:jc w:val="left"/>
        <w:rPr>
          <w:rFonts w:ascii="宋体" w:hAnsi="宋体" w:cs="宋体"/>
          <w:b/>
          <w:bCs/>
          <w:sz w:val="20"/>
          <w:szCs w:val="20"/>
          <w:highlight w:val="none"/>
        </w:rPr>
      </w:pPr>
      <w:r>
        <w:rPr>
          <w:rFonts w:hint="eastAsia" w:ascii="宋体" w:hAnsi="宋体" w:cs="宋体"/>
          <w:b/>
          <w:bCs/>
          <w:sz w:val="20"/>
          <w:szCs w:val="20"/>
          <w:highlight w:val="none"/>
        </w:rPr>
        <w:t>四、污水处理能耗及成本（4 分）</w:t>
      </w:r>
    </w:p>
    <w:p>
      <w:pPr>
        <w:pStyle w:val="56"/>
        <w:spacing w:line="236" w:lineRule="exact"/>
        <w:jc w:val="left"/>
        <w:rPr>
          <w:rFonts w:ascii="宋体" w:hAnsi="宋体" w:cs="宋体"/>
          <w:sz w:val="20"/>
          <w:szCs w:val="20"/>
          <w:highlight w:val="none"/>
        </w:rPr>
      </w:pPr>
    </w:p>
    <w:tbl>
      <w:tblPr>
        <w:tblStyle w:val="25"/>
        <w:tblW w:w="9413" w:type="dxa"/>
        <w:tblInd w:w="97" w:type="dxa"/>
        <w:tblLayout w:type="fixed"/>
        <w:tblCellMar>
          <w:top w:w="0" w:type="dxa"/>
          <w:left w:w="0" w:type="dxa"/>
          <w:bottom w:w="0" w:type="dxa"/>
          <w:right w:w="0" w:type="dxa"/>
        </w:tblCellMar>
      </w:tblPr>
      <w:tblGrid>
        <w:gridCol w:w="1640"/>
        <w:gridCol w:w="4823"/>
        <w:gridCol w:w="2950"/>
      </w:tblGrid>
      <w:tr>
        <w:tblPrEx>
          <w:tblCellMar>
            <w:top w:w="0" w:type="dxa"/>
            <w:left w:w="0" w:type="dxa"/>
            <w:bottom w:w="0" w:type="dxa"/>
            <w:right w:w="0" w:type="dxa"/>
          </w:tblCellMar>
        </w:tblPrEx>
        <w:trPr>
          <w:trHeight w:val="223" w:hRule="atLeast"/>
        </w:trPr>
        <w:tc>
          <w:tcPr>
            <w:tcW w:w="1640" w:type="dxa"/>
            <w:tcBorders>
              <w:top w:val="single" w:color="auto" w:sz="4" w:space="0"/>
              <w:left w:val="single" w:color="auto" w:sz="4" w:space="0"/>
              <w:bottom w:val="single" w:color="auto" w:sz="4" w:space="0"/>
              <w:right w:val="single" w:color="auto" w:sz="8" w:space="0"/>
            </w:tcBorders>
            <w:vAlign w:val="center"/>
          </w:tcPr>
          <w:p>
            <w:pPr>
              <w:pStyle w:val="56"/>
              <w:jc w:val="center"/>
              <w:rPr>
                <w:b/>
                <w:bCs/>
                <w:sz w:val="20"/>
                <w:szCs w:val="20"/>
                <w:highlight w:val="none"/>
              </w:rPr>
            </w:pPr>
            <w:r>
              <w:rPr>
                <w:rFonts w:hint="eastAsia"/>
                <w:b/>
                <w:bCs/>
                <w:sz w:val="20"/>
                <w:szCs w:val="20"/>
                <w:highlight w:val="none"/>
              </w:rPr>
              <w:t>考核内容</w:t>
            </w:r>
          </w:p>
        </w:tc>
        <w:tc>
          <w:tcPr>
            <w:tcW w:w="4823" w:type="dxa"/>
            <w:tcBorders>
              <w:top w:val="single" w:color="auto" w:sz="4" w:space="0"/>
              <w:bottom w:val="single" w:color="auto" w:sz="4" w:space="0"/>
              <w:right w:val="single" w:color="auto" w:sz="8" w:space="0"/>
            </w:tcBorders>
            <w:vAlign w:val="center"/>
          </w:tcPr>
          <w:p>
            <w:pPr>
              <w:pStyle w:val="56"/>
              <w:jc w:val="center"/>
              <w:rPr>
                <w:b/>
                <w:bCs/>
                <w:sz w:val="20"/>
                <w:szCs w:val="20"/>
                <w:highlight w:val="none"/>
              </w:rPr>
            </w:pPr>
            <w:r>
              <w:rPr>
                <w:rFonts w:hint="eastAsia"/>
                <w:b/>
                <w:bCs/>
                <w:sz w:val="20"/>
                <w:szCs w:val="20"/>
                <w:highlight w:val="none"/>
              </w:rPr>
              <w:t>评分标准</w:t>
            </w:r>
          </w:p>
        </w:tc>
        <w:tc>
          <w:tcPr>
            <w:tcW w:w="2950" w:type="dxa"/>
            <w:tcBorders>
              <w:top w:val="single" w:color="auto" w:sz="4" w:space="0"/>
              <w:bottom w:val="single" w:color="auto" w:sz="4" w:space="0"/>
              <w:right w:val="single" w:color="auto" w:sz="4" w:space="0"/>
            </w:tcBorders>
            <w:vAlign w:val="center"/>
          </w:tcPr>
          <w:p>
            <w:pPr>
              <w:pStyle w:val="56"/>
              <w:jc w:val="center"/>
              <w:rPr>
                <w:b/>
                <w:bCs/>
                <w:sz w:val="20"/>
                <w:szCs w:val="20"/>
                <w:highlight w:val="none"/>
              </w:rPr>
            </w:pPr>
            <w:r>
              <w:rPr>
                <w:rFonts w:hint="eastAsia"/>
                <w:b/>
                <w:bCs/>
                <w:sz w:val="20"/>
                <w:szCs w:val="20"/>
                <w:highlight w:val="none"/>
              </w:rPr>
              <w:t>考核说明</w:t>
            </w:r>
          </w:p>
        </w:tc>
      </w:tr>
      <w:tr>
        <w:tblPrEx>
          <w:tblCellMar>
            <w:top w:w="0" w:type="dxa"/>
            <w:left w:w="0" w:type="dxa"/>
            <w:bottom w:w="0" w:type="dxa"/>
            <w:right w:w="0" w:type="dxa"/>
          </w:tblCellMar>
        </w:tblPrEx>
        <w:trPr>
          <w:trHeight w:val="753" w:hRule="atLeast"/>
        </w:trPr>
        <w:tc>
          <w:tcPr>
            <w:tcW w:w="1640" w:type="dxa"/>
            <w:tcBorders>
              <w:top w:val="single" w:color="auto" w:sz="4" w:space="0"/>
              <w:left w:val="single" w:color="auto" w:sz="4" w:space="0"/>
              <w:bottom w:val="single" w:color="auto" w:sz="4" w:space="0"/>
              <w:right w:val="single" w:color="auto" w:sz="8" w:space="0"/>
            </w:tcBorders>
            <w:vAlign w:val="center"/>
          </w:tcPr>
          <w:p>
            <w:pPr>
              <w:pStyle w:val="56"/>
              <w:jc w:val="center"/>
              <w:rPr>
                <w:sz w:val="20"/>
                <w:szCs w:val="20"/>
                <w:highlight w:val="none"/>
              </w:rPr>
            </w:pPr>
            <w:r>
              <w:rPr>
                <w:rFonts w:hint="eastAsia"/>
                <w:sz w:val="20"/>
                <w:szCs w:val="20"/>
                <w:highlight w:val="none"/>
              </w:rPr>
              <w:t>能耗一览表</w:t>
            </w:r>
          </w:p>
          <w:p>
            <w:pPr>
              <w:pStyle w:val="56"/>
              <w:jc w:val="center"/>
              <w:rPr>
                <w:sz w:val="20"/>
                <w:szCs w:val="20"/>
                <w:highlight w:val="none"/>
              </w:rPr>
            </w:pPr>
            <w:r>
              <w:rPr>
                <w:rFonts w:hint="eastAsia"/>
                <w:sz w:val="20"/>
                <w:szCs w:val="20"/>
                <w:highlight w:val="none"/>
              </w:rPr>
              <w:t>（2分）</w:t>
            </w:r>
          </w:p>
        </w:tc>
        <w:tc>
          <w:tcPr>
            <w:tcW w:w="4823" w:type="dxa"/>
            <w:tcBorders>
              <w:top w:val="single" w:color="auto" w:sz="4" w:space="0"/>
              <w:bottom w:val="single" w:color="auto" w:sz="4" w:space="0"/>
              <w:right w:val="single" w:color="auto" w:sz="8" w:space="0"/>
            </w:tcBorders>
            <w:vAlign w:val="center"/>
          </w:tcPr>
          <w:p>
            <w:pPr>
              <w:pStyle w:val="56"/>
              <w:jc w:val="left"/>
              <w:rPr>
                <w:sz w:val="20"/>
                <w:szCs w:val="20"/>
                <w:highlight w:val="none"/>
              </w:rPr>
            </w:pPr>
            <w:r>
              <w:rPr>
                <w:rFonts w:hint="eastAsia"/>
                <w:sz w:val="20"/>
                <w:szCs w:val="20"/>
                <w:highlight w:val="none"/>
              </w:rPr>
              <w:t>污水处理年度、月度运行单位耗电一览表完整，数据准确、真实，得 2 分；</w:t>
            </w:r>
          </w:p>
          <w:p>
            <w:pPr>
              <w:pStyle w:val="56"/>
              <w:jc w:val="left"/>
              <w:rPr>
                <w:sz w:val="20"/>
                <w:szCs w:val="20"/>
                <w:highlight w:val="none"/>
              </w:rPr>
            </w:pPr>
            <w:r>
              <w:rPr>
                <w:rFonts w:hint="eastAsia"/>
                <w:sz w:val="20"/>
                <w:szCs w:val="20"/>
                <w:highlight w:val="none"/>
              </w:rPr>
              <w:t>不完整得 1 分；不真实不得分</w:t>
            </w:r>
          </w:p>
        </w:tc>
        <w:tc>
          <w:tcPr>
            <w:tcW w:w="2950" w:type="dxa"/>
            <w:tcBorders>
              <w:top w:val="single" w:color="auto" w:sz="4" w:space="0"/>
              <w:bottom w:val="single" w:color="auto" w:sz="4" w:space="0"/>
              <w:right w:val="single" w:color="auto" w:sz="4" w:space="0"/>
            </w:tcBorders>
            <w:vAlign w:val="center"/>
          </w:tcPr>
          <w:p>
            <w:pPr>
              <w:pStyle w:val="56"/>
              <w:jc w:val="left"/>
              <w:rPr>
                <w:sz w:val="20"/>
                <w:szCs w:val="20"/>
                <w:highlight w:val="none"/>
              </w:rPr>
            </w:pPr>
            <w:r>
              <w:rPr>
                <w:rFonts w:hint="eastAsia"/>
                <w:sz w:val="20"/>
                <w:szCs w:val="20"/>
                <w:highlight w:val="none"/>
              </w:rPr>
              <w:t>查年度、月度运行单位耗电一览表</w:t>
            </w:r>
          </w:p>
        </w:tc>
      </w:tr>
      <w:tr>
        <w:tblPrEx>
          <w:tblCellMar>
            <w:top w:w="0" w:type="dxa"/>
            <w:left w:w="0" w:type="dxa"/>
            <w:bottom w:w="0" w:type="dxa"/>
            <w:right w:w="0" w:type="dxa"/>
          </w:tblCellMar>
        </w:tblPrEx>
        <w:trPr>
          <w:trHeight w:val="730" w:hRule="atLeast"/>
        </w:trPr>
        <w:tc>
          <w:tcPr>
            <w:tcW w:w="1640" w:type="dxa"/>
            <w:tcBorders>
              <w:top w:val="single" w:color="auto" w:sz="4" w:space="0"/>
              <w:left w:val="single" w:color="auto" w:sz="4" w:space="0"/>
              <w:bottom w:val="single" w:color="auto" w:sz="4" w:space="0"/>
              <w:right w:val="single" w:color="auto" w:sz="8" w:space="0"/>
            </w:tcBorders>
            <w:vAlign w:val="center"/>
          </w:tcPr>
          <w:p>
            <w:pPr>
              <w:pStyle w:val="56"/>
              <w:jc w:val="center"/>
              <w:rPr>
                <w:sz w:val="20"/>
                <w:szCs w:val="20"/>
                <w:highlight w:val="none"/>
              </w:rPr>
            </w:pPr>
            <w:r>
              <w:rPr>
                <w:rFonts w:hint="eastAsia"/>
                <w:sz w:val="20"/>
                <w:szCs w:val="20"/>
                <w:highlight w:val="none"/>
              </w:rPr>
              <w:t>成本一览表</w:t>
            </w:r>
          </w:p>
          <w:p>
            <w:pPr>
              <w:pStyle w:val="56"/>
              <w:jc w:val="center"/>
              <w:rPr>
                <w:sz w:val="20"/>
                <w:szCs w:val="20"/>
                <w:highlight w:val="none"/>
              </w:rPr>
            </w:pPr>
            <w:r>
              <w:rPr>
                <w:rFonts w:hint="eastAsia"/>
                <w:sz w:val="20"/>
                <w:szCs w:val="20"/>
                <w:highlight w:val="none"/>
              </w:rPr>
              <w:t>（2 分）</w:t>
            </w:r>
          </w:p>
        </w:tc>
        <w:tc>
          <w:tcPr>
            <w:tcW w:w="4823" w:type="dxa"/>
            <w:tcBorders>
              <w:top w:val="single" w:color="auto" w:sz="4" w:space="0"/>
              <w:bottom w:val="single" w:color="auto" w:sz="4" w:space="0"/>
              <w:right w:val="single" w:color="auto" w:sz="8" w:space="0"/>
            </w:tcBorders>
            <w:vAlign w:val="center"/>
          </w:tcPr>
          <w:p>
            <w:pPr>
              <w:pStyle w:val="56"/>
              <w:jc w:val="left"/>
              <w:rPr>
                <w:sz w:val="20"/>
                <w:szCs w:val="20"/>
                <w:highlight w:val="none"/>
              </w:rPr>
            </w:pPr>
            <w:r>
              <w:rPr>
                <w:rFonts w:hint="eastAsia"/>
                <w:sz w:val="20"/>
                <w:szCs w:val="20"/>
                <w:highlight w:val="none"/>
              </w:rPr>
              <w:t>运行成本分析一览表完整，数据准确、真实，得 2分；不完整，得 1 分；不真实，不得分</w:t>
            </w:r>
          </w:p>
        </w:tc>
        <w:tc>
          <w:tcPr>
            <w:tcW w:w="2950" w:type="dxa"/>
            <w:tcBorders>
              <w:top w:val="single" w:color="auto" w:sz="4" w:space="0"/>
              <w:bottom w:val="single" w:color="auto" w:sz="4" w:space="0"/>
              <w:right w:val="single" w:color="auto" w:sz="4" w:space="0"/>
            </w:tcBorders>
            <w:vAlign w:val="center"/>
          </w:tcPr>
          <w:p>
            <w:pPr>
              <w:pStyle w:val="56"/>
              <w:jc w:val="left"/>
              <w:rPr>
                <w:sz w:val="20"/>
                <w:szCs w:val="20"/>
                <w:highlight w:val="none"/>
              </w:rPr>
            </w:pPr>
            <w:r>
              <w:rPr>
                <w:rFonts w:hint="eastAsia"/>
                <w:sz w:val="20"/>
                <w:szCs w:val="20"/>
                <w:highlight w:val="none"/>
              </w:rPr>
              <w:t>要求运行成本分析一览表数据完整、真实、准确</w:t>
            </w:r>
          </w:p>
        </w:tc>
      </w:tr>
    </w:tbl>
    <w:p>
      <w:pPr>
        <w:pStyle w:val="56"/>
        <w:spacing w:line="423" w:lineRule="exact"/>
        <w:ind w:left="60"/>
        <w:jc w:val="left"/>
        <w:rPr>
          <w:rFonts w:ascii="宋体" w:hAnsi="宋体" w:cs="宋体"/>
          <w:b/>
          <w:bCs/>
          <w:sz w:val="20"/>
          <w:szCs w:val="20"/>
          <w:highlight w:val="none"/>
        </w:rPr>
      </w:pPr>
      <w:r>
        <w:rPr>
          <w:rFonts w:hint="eastAsia" w:ascii="宋体" w:hAnsi="宋体" w:cs="宋体"/>
          <w:b/>
          <w:bCs/>
          <w:sz w:val="20"/>
          <w:szCs w:val="20"/>
          <w:highlight w:val="none"/>
        </w:rPr>
        <w:t>五、水质与检验（10 分）</w:t>
      </w:r>
    </w:p>
    <w:tbl>
      <w:tblPr>
        <w:tblStyle w:val="25"/>
        <w:tblW w:w="9400"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13"/>
        <w:gridCol w:w="2182"/>
        <w:gridCol w:w="5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613" w:type="dxa"/>
            <w:vAlign w:val="center"/>
          </w:tcPr>
          <w:p>
            <w:pPr>
              <w:pStyle w:val="56"/>
              <w:jc w:val="center"/>
              <w:rPr>
                <w:b/>
                <w:bCs/>
                <w:sz w:val="20"/>
                <w:szCs w:val="20"/>
                <w:highlight w:val="none"/>
              </w:rPr>
            </w:pPr>
            <w:r>
              <w:rPr>
                <w:rFonts w:hint="eastAsia"/>
                <w:b/>
                <w:bCs/>
                <w:sz w:val="20"/>
                <w:szCs w:val="20"/>
                <w:highlight w:val="none"/>
              </w:rPr>
              <w:t>考核内容</w:t>
            </w:r>
          </w:p>
        </w:tc>
        <w:tc>
          <w:tcPr>
            <w:tcW w:w="2182" w:type="dxa"/>
            <w:vAlign w:val="center"/>
          </w:tcPr>
          <w:p>
            <w:pPr>
              <w:pStyle w:val="56"/>
              <w:jc w:val="center"/>
              <w:rPr>
                <w:b/>
                <w:bCs/>
                <w:sz w:val="20"/>
                <w:szCs w:val="20"/>
                <w:highlight w:val="none"/>
              </w:rPr>
            </w:pPr>
            <w:r>
              <w:rPr>
                <w:rFonts w:hint="eastAsia"/>
                <w:b/>
                <w:bCs/>
                <w:sz w:val="20"/>
                <w:szCs w:val="20"/>
                <w:highlight w:val="none"/>
              </w:rPr>
              <w:t>评分标准</w:t>
            </w:r>
          </w:p>
        </w:tc>
        <w:tc>
          <w:tcPr>
            <w:tcW w:w="5605" w:type="dxa"/>
            <w:vAlign w:val="center"/>
          </w:tcPr>
          <w:p>
            <w:pPr>
              <w:pStyle w:val="56"/>
              <w:jc w:val="center"/>
              <w:rPr>
                <w:b/>
                <w:bCs/>
                <w:sz w:val="20"/>
                <w:szCs w:val="20"/>
                <w:highlight w:val="none"/>
              </w:rPr>
            </w:pPr>
            <w:r>
              <w:rPr>
                <w:rFonts w:hint="eastAsia"/>
                <w:b/>
                <w:bCs/>
                <w:sz w:val="20"/>
                <w:szCs w:val="20"/>
                <w:highlight w:val="none"/>
              </w:rPr>
              <w:t>考核说明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trPr>
        <w:tc>
          <w:tcPr>
            <w:tcW w:w="1613" w:type="dxa"/>
            <w:vAlign w:val="center"/>
          </w:tcPr>
          <w:p>
            <w:pPr>
              <w:pStyle w:val="56"/>
              <w:jc w:val="left"/>
              <w:rPr>
                <w:sz w:val="20"/>
                <w:szCs w:val="20"/>
                <w:highlight w:val="none"/>
              </w:rPr>
            </w:pPr>
            <w:r>
              <w:rPr>
                <w:rFonts w:hint="eastAsia"/>
                <w:sz w:val="20"/>
                <w:szCs w:val="20"/>
                <w:highlight w:val="none"/>
              </w:rPr>
              <w:t>化验室配备</w:t>
            </w:r>
          </w:p>
          <w:p>
            <w:pPr>
              <w:pStyle w:val="56"/>
              <w:jc w:val="left"/>
              <w:rPr>
                <w:sz w:val="20"/>
                <w:szCs w:val="20"/>
                <w:highlight w:val="none"/>
              </w:rPr>
            </w:pPr>
            <w:r>
              <w:rPr>
                <w:rFonts w:hint="eastAsia"/>
                <w:sz w:val="20"/>
                <w:szCs w:val="20"/>
                <w:highlight w:val="none"/>
              </w:rPr>
              <w:t>（3 分）</w:t>
            </w:r>
          </w:p>
        </w:tc>
        <w:tc>
          <w:tcPr>
            <w:tcW w:w="2182" w:type="dxa"/>
            <w:vAlign w:val="center"/>
          </w:tcPr>
          <w:p>
            <w:pPr>
              <w:pStyle w:val="56"/>
              <w:jc w:val="left"/>
              <w:rPr>
                <w:sz w:val="20"/>
                <w:szCs w:val="20"/>
                <w:highlight w:val="none"/>
              </w:rPr>
            </w:pPr>
            <w:r>
              <w:rPr>
                <w:rFonts w:hint="eastAsia"/>
                <w:sz w:val="20"/>
                <w:szCs w:val="20"/>
                <w:highlight w:val="none"/>
              </w:rPr>
              <w:t>每满足一项，得 1 分，否则，该小项不得分。未配备化验室</w:t>
            </w:r>
          </w:p>
          <w:p>
            <w:pPr>
              <w:pStyle w:val="56"/>
              <w:jc w:val="left"/>
              <w:rPr>
                <w:sz w:val="20"/>
                <w:szCs w:val="20"/>
                <w:highlight w:val="none"/>
              </w:rPr>
            </w:pPr>
            <w:r>
              <w:rPr>
                <w:rFonts w:hint="eastAsia"/>
                <w:sz w:val="20"/>
                <w:szCs w:val="20"/>
                <w:highlight w:val="none"/>
              </w:rPr>
              <w:t>的，此项不得分</w:t>
            </w:r>
          </w:p>
        </w:tc>
        <w:tc>
          <w:tcPr>
            <w:tcW w:w="5605" w:type="dxa"/>
            <w:vAlign w:val="center"/>
          </w:tcPr>
          <w:p>
            <w:pPr>
              <w:pStyle w:val="56"/>
              <w:jc w:val="left"/>
              <w:rPr>
                <w:sz w:val="20"/>
                <w:szCs w:val="20"/>
                <w:highlight w:val="none"/>
              </w:rPr>
            </w:pPr>
            <w:r>
              <w:rPr>
                <w:rFonts w:hint="eastAsia"/>
                <w:sz w:val="20"/>
                <w:szCs w:val="20"/>
                <w:highlight w:val="none"/>
              </w:rPr>
              <w:t>（1）污水处理厂应根据处理规模、处理程度建立化验室，配备合适的化验人员和化验设备，并能正常开展常规项目检测。（2）合理设置水质检测化验的各个岗位，并且，化验操作、药品保管、质量管理等各岗位都应该制定严格的岗位责任制，从而确保水质分析的可靠性。（3）化学品、危险化学品仓库均应按要求布设，规章制度齐全并按相关规定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71" w:hRule="atLeast"/>
        </w:trPr>
        <w:tc>
          <w:tcPr>
            <w:tcW w:w="1613" w:type="dxa"/>
            <w:vAlign w:val="center"/>
          </w:tcPr>
          <w:p>
            <w:pPr>
              <w:pStyle w:val="56"/>
              <w:jc w:val="left"/>
              <w:rPr>
                <w:sz w:val="20"/>
                <w:szCs w:val="20"/>
                <w:highlight w:val="none"/>
              </w:rPr>
            </w:pPr>
            <w:r>
              <w:rPr>
                <w:rFonts w:hint="eastAsia"/>
                <w:sz w:val="20"/>
                <w:szCs w:val="20"/>
                <w:highlight w:val="none"/>
              </w:rPr>
              <w:t>化验项目及频次</w:t>
            </w:r>
          </w:p>
          <w:p>
            <w:pPr>
              <w:pStyle w:val="56"/>
              <w:jc w:val="left"/>
              <w:rPr>
                <w:sz w:val="20"/>
                <w:szCs w:val="20"/>
                <w:highlight w:val="none"/>
              </w:rPr>
            </w:pPr>
            <w:r>
              <w:rPr>
                <w:rFonts w:hint="eastAsia"/>
                <w:sz w:val="20"/>
                <w:szCs w:val="20"/>
                <w:highlight w:val="none"/>
              </w:rPr>
              <w:t>（3 分）</w:t>
            </w:r>
          </w:p>
        </w:tc>
        <w:tc>
          <w:tcPr>
            <w:tcW w:w="2182" w:type="dxa"/>
            <w:vAlign w:val="center"/>
          </w:tcPr>
          <w:p>
            <w:pPr>
              <w:pStyle w:val="56"/>
              <w:jc w:val="left"/>
              <w:rPr>
                <w:sz w:val="20"/>
                <w:szCs w:val="20"/>
                <w:highlight w:val="none"/>
              </w:rPr>
            </w:pPr>
            <w:r>
              <w:rPr>
                <w:rFonts w:hint="eastAsia"/>
                <w:sz w:val="20"/>
                <w:szCs w:val="20"/>
                <w:highlight w:val="none"/>
              </w:rPr>
              <w:t>化验项目及频次齐全，得 3 分；化验项目每少一项，扣 0.5分；频次每少一次，扣 0.5分，扣完为止；未开展化验工作，不得分</w:t>
            </w:r>
          </w:p>
        </w:tc>
        <w:tc>
          <w:tcPr>
            <w:tcW w:w="5605" w:type="dxa"/>
            <w:vAlign w:val="center"/>
          </w:tcPr>
          <w:p>
            <w:pPr>
              <w:pStyle w:val="56"/>
              <w:jc w:val="left"/>
              <w:rPr>
                <w:sz w:val="20"/>
                <w:szCs w:val="20"/>
                <w:highlight w:val="none"/>
              </w:rPr>
            </w:pPr>
            <w:r>
              <w:rPr>
                <w:rFonts w:hint="eastAsia"/>
                <w:sz w:val="20"/>
                <w:szCs w:val="20"/>
                <w:highlight w:val="none"/>
              </w:rPr>
              <w:t>严格的水质检测周期和完善的水质检测项目，是保障水质检测质量的重要手段。污水处理厂化验项目及频次参照 CJJ60《城市污水处理厂运行、维护及其安全技术规程》中的规定。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1" w:hRule="atLeast"/>
        </w:trPr>
        <w:tc>
          <w:tcPr>
            <w:tcW w:w="1613" w:type="dxa"/>
            <w:vAlign w:val="center"/>
          </w:tcPr>
          <w:p>
            <w:pPr>
              <w:pStyle w:val="56"/>
              <w:jc w:val="left"/>
              <w:rPr>
                <w:sz w:val="20"/>
                <w:szCs w:val="20"/>
                <w:highlight w:val="none"/>
              </w:rPr>
            </w:pPr>
            <w:r>
              <w:rPr>
                <w:rFonts w:hint="eastAsia"/>
                <w:sz w:val="20"/>
                <w:szCs w:val="20"/>
                <w:highlight w:val="none"/>
              </w:rPr>
              <w:t>化验分析方法</w:t>
            </w:r>
          </w:p>
          <w:p>
            <w:pPr>
              <w:pStyle w:val="56"/>
              <w:jc w:val="left"/>
              <w:rPr>
                <w:sz w:val="20"/>
                <w:szCs w:val="20"/>
                <w:highlight w:val="none"/>
              </w:rPr>
            </w:pPr>
            <w:r>
              <w:rPr>
                <w:rFonts w:hint="eastAsia"/>
                <w:sz w:val="20"/>
                <w:szCs w:val="20"/>
                <w:highlight w:val="none"/>
              </w:rPr>
              <w:t>（2 分）</w:t>
            </w:r>
          </w:p>
        </w:tc>
        <w:tc>
          <w:tcPr>
            <w:tcW w:w="2182" w:type="dxa"/>
            <w:vAlign w:val="center"/>
          </w:tcPr>
          <w:p>
            <w:pPr>
              <w:pStyle w:val="56"/>
              <w:jc w:val="left"/>
              <w:rPr>
                <w:sz w:val="20"/>
                <w:szCs w:val="20"/>
                <w:highlight w:val="none"/>
              </w:rPr>
            </w:pPr>
            <w:r>
              <w:rPr>
                <w:rFonts w:hint="eastAsia"/>
                <w:sz w:val="20"/>
                <w:szCs w:val="20"/>
                <w:highlight w:val="none"/>
              </w:rPr>
              <w:t>采用国家或行业标准检验分析方法，得 2 分；每有一项不符合要求，扣 0.5 分，扣完为止</w:t>
            </w:r>
          </w:p>
        </w:tc>
        <w:tc>
          <w:tcPr>
            <w:tcW w:w="5605" w:type="dxa"/>
            <w:vAlign w:val="center"/>
          </w:tcPr>
          <w:p>
            <w:pPr>
              <w:pStyle w:val="56"/>
              <w:jc w:val="left"/>
              <w:rPr>
                <w:sz w:val="20"/>
                <w:szCs w:val="20"/>
                <w:highlight w:val="none"/>
              </w:rPr>
            </w:pPr>
            <w:r>
              <w:rPr>
                <w:rFonts w:hint="eastAsia"/>
                <w:sz w:val="20"/>
                <w:szCs w:val="20"/>
                <w:highlight w:val="none"/>
              </w:rPr>
              <w:t>按照《城镇污水处理厂污染物排放标准》（GB 18918－2002）的规定或建设部 CJ/T51—2004《城市污水水质检验方法标准》、CJ/T221—</w:t>
            </w:r>
          </w:p>
          <w:p>
            <w:pPr>
              <w:pStyle w:val="56"/>
              <w:jc w:val="left"/>
              <w:rPr>
                <w:sz w:val="20"/>
                <w:szCs w:val="20"/>
                <w:highlight w:val="none"/>
              </w:rPr>
            </w:pPr>
            <w:r>
              <w:rPr>
                <w:rFonts w:hint="eastAsia"/>
                <w:sz w:val="20"/>
                <w:szCs w:val="20"/>
                <w:highlight w:val="none"/>
              </w:rPr>
              <w:t>2005《城市污水污泥检验方法》执行。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7" w:hRule="atLeast"/>
        </w:trPr>
        <w:tc>
          <w:tcPr>
            <w:tcW w:w="1613" w:type="dxa"/>
            <w:vAlign w:val="center"/>
          </w:tcPr>
          <w:p>
            <w:pPr>
              <w:pStyle w:val="56"/>
              <w:jc w:val="left"/>
              <w:rPr>
                <w:sz w:val="20"/>
                <w:szCs w:val="20"/>
                <w:highlight w:val="none"/>
              </w:rPr>
            </w:pPr>
            <w:r>
              <w:rPr>
                <w:rFonts w:hint="eastAsia"/>
                <w:sz w:val="20"/>
                <w:szCs w:val="20"/>
                <w:highlight w:val="none"/>
              </w:rPr>
              <w:t>化验质量控制</w:t>
            </w:r>
          </w:p>
          <w:p>
            <w:pPr>
              <w:pStyle w:val="56"/>
              <w:jc w:val="left"/>
              <w:rPr>
                <w:sz w:val="20"/>
                <w:szCs w:val="20"/>
                <w:highlight w:val="none"/>
              </w:rPr>
            </w:pPr>
            <w:r>
              <w:rPr>
                <w:rFonts w:hint="eastAsia"/>
                <w:sz w:val="20"/>
                <w:szCs w:val="20"/>
                <w:highlight w:val="none"/>
              </w:rPr>
              <w:t>（2 分）</w:t>
            </w:r>
          </w:p>
        </w:tc>
        <w:tc>
          <w:tcPr>
            <w:tcW w:w="2182" w:type="dxa"/>
            <w:vAlign w:val="center"/>
          </w:tcPr>
          <w:p>
            <w:pPr>
              <w:pStyle w:val="56"/>
              <w:jc w:val="left"/>
              <w:rPr>
                <w:sz w:val="20"/>
                <w:szCs w:val="20"/>
                <w:highlight w:val="none"/>
              </w:rPr>
            </w:pPr>
            <w:r>
              <w:rPr>
                <w:rFonts w:hint="eastAsia"/>
                <w:sz w:val="20"/>
                <w:szCs w:val="20"/>
                <w:highlight w:val="none"/>
              </w:rPr>
              <w:t>每有一项不符合要求，扣 1 分，扣完为止</w:t>
            </w:r>
          </w:p>
        </w:tc>
        <w:tc>
          <w:tcPr>
            <w:tcW w:w="5605" w:type="dxa"/>
            <w:vAlign w:val="center"/>
          </w:tcPr>
          <w:p>
            <w:pPr>
              <w:pStyle w:val="56"/>
              <w:jc w:val="left"/>
              <w:rPr>
                <w:sz w:val="20"/>
                <w:szCs w:val="20"/>
                <w:highlight w:val="none"/>
              </w:rPr>
            </w:pPr>
            <w:r>
              <w:rPr>
                <w:rFonts w:hint="eastAsia"/>
                <w:sz w:val="20"/>
                <w:szCs w:val="20"/>
                <w:highlight w:val="none"/>
              </w:rPr>
              <w:t>化验室内部应建立健全水质分析质量保证体系。质量保证体系是实验室内部实施质量管理的法规，覆盖了样品、试剂、仪器设备、检验方法、检测过程、量值溯源与校准过程、设施与环境以及人员素质等全部质量控制要求；水质检测化验的各个技术环节，如：样品采集和保存、化验操作、仪器使用、药品保管等，都应该制定严格的安全技术规程，避免发生安全事故；每日样品需进行精密度（平行双样）和准确度（加标回收）控制，定期进行标准样品、仪器设备的量值溯源，并完整保存记录。</w:t>
            </w:r>
          </w:p>
        </w:tc>
      </w:tr>
    </w:tbl>
    <w:p>
      <w:pPr>
        <w:pStyle w:val="56"/>
        <w:spacing w:line="423" w:lineRule="exact"/>
        <w:ind w:left="60"/>
        <w:jc w:val="left"/>
        <w:rPr>
          <w:rFonts w:ascii="宋体" w:hAnsi="宋体" w:cs="宋体"/>
          <w:b/>
          <w:bCs/>
          <w:sz w:val="20"/>
          <w:szCs w:val="20"/>
          <w:highlight w:val="none"/>
        </w:rPr>
      </w:pPr>
      <w:r>
        <w:rPr>
          <w:rFonts w:hint="eastAsia" w:ascii="宋体" w:hAnsi="宋体" w:cs="宋体"/>
          <w:b/>
          <w:bCs/>
          <w:sz w:val="20"/>
          <w:szCs w:val="20"/>
          <w:highlight w:val="none"/>
        </w:rPr>
        <w:t>六、设备与仪表（14 分）</w:t>
      </w:r>
    </w:p>
    <w:tbl>
      <w:tblPr>
        <w:tblStyle w:val="25"/>
        <w:tblW w:w="9363" w:type="dxa"/>
        <w:tblInd w:w="197" w:type="dxa"/>
        <w:tblLayout w:type="fixed"/>
        <w:tblCellMar>
          <w:top w:w="0" w:type="dxa"/>
          <w:left w:w="0" w:type="dxa"/>
          <w:bottom w:w="0" w:type="dxa"/>
          <w:right w:w="0" w:type="dxa"/>
        </w:tblCellMar>
      </w:tblPr>
      <w:tblGrid>
        <w:gridCol w:w="1538"/>
        <w:gridCol w:w="2125"/>
        <w:gridCol w:w="5700"/>
      </w:tblGrid>
      <w:tr>
        <w:tblPrEx>
          <w:tblCellMar>
            <w:top w:w="0" w:type="dxa"/>
            <w:left w:w="0" w:type="dxa"/>
            <w:bottom w:w="0" w:type="dxa"/>
            <w:right w:w="0" w:type="dxa"/>
          </w:tblCellMar>
        </w:tblPrEx>
        <w:trPr>
          <w:trHeight w:val="393" w:hRule="atLeast"/>
        </w:trPr>
        <w:tc>
          <w:tcPr>
            <w:tcW w:w="1538" w:type="dxa"/>
            <w:tcBorders>
              <w:top w:val="single" w:color="auto" w:sz="4" w:space="0"/>
              <w:left w:val="single" w:color="auto" w:sz="4" w:space="0"/>
              <w:bottom w:val="single" w:color="auto" w:sz="4" w:space="0"/>
              <w:right w:val="single" w:color="auto" w:sz="8" w:space="0"/>
            </w:tcBorders>
            <w:vAlign w:val="center"/>
          </w:tcPr>
          <w:p>
            <w:pPr>
              <w:pStyle w:val="56"/>
              <w:jc w:val="center"/>
              <w:rPr>
                <w:b/>
                <w:bCs/>
                <w:sz w:val="20"/>
                <w:szCs w:val="20"/>
                <w:highlight w:val="none"/>
              </w:rPr>
            </w:pPr>
            <w:r>
              <w:rPr>
                <w:rFonts w:hint="eastAsia"/>
                <w:b/>
                <w:bCs/>
                <w:sz w:val="20"/>
                <w:szCs w:val="20"/>
                <w:highlight w:val="none"/>
              </w:rPr>
              <w:t>考核内容</w:t>
            </w:r>
          </w:p>
        </w:tc>
        <w:tc>
          <w:tcPr>
            <w:tcW w:w="2125" w:type="dxa"/>
            <w:tcBorders>
              <w:top w:val="single" w:color="auto" w:sz="4" w:space="0"/>
              <w:bottom w:val="single" w:color="auto" w:sz="4" w:space="0"/>
              <w:right w:val="single" w:color="auto" w:sz="8" w:space="0"/>
            </w:tcBorders>
            <w:vAlign w:val="center"/>
          </w:tcPr>
          <w:p>
            <w:pPr>
              <w:pStyle w:val="56"/>
              <w:jc w:val="center"/>
              <w:rPr>
                <w:b/>
                <w:bCs/>
                <w:sz w:val="20"/>
                <w:szCs w:val="20"/>
                <w:highlight w:val="none"/>
              </w:rPr>
            </w:pPr>
            <w:r>
              <w:rPr>
                <w:rFonts w:hint="eastAsia"/>
                <w:b/>
                <w:bCs/>
                <w:sz w:val="20"/>
                <w:szCs w:val="20"/>
                <w:highlight w:val="none"/>
              </w:rPr>
              <w:t>评分标准</w:t>
            </w:r>
          </w:p>
        </w:tc>
        <w:tc>
          <w:tcPr>
            <w:tcW w:w="5700" w:type="dxa"/>
            <w:tcBorders>
              <w:top w:val="single" w:color="auto" w:sz="4" w:space="0"/>
              <w:bottom w:val="single" w:color="auto" w:sz="4" w:space="0"/>
              <w:right w:val="single" w:color="auto" w:sz="4" w:space="0"/>
            </w:tcBorders>
            <w:vAlign w:val="center"/>
          </w:tcPr>
          <w:p>
            <w:pPr>
              <w:pStyle w:val="56"/>
              <w:jc w:val="center"/>
              <w:rPr>
                <w:b/>
                <w:bCs/>
                <w:sz w:val="20"/>
                <w:szCs w:val="20"/>
                <w:highlight w:val="none"/>
              </w:rPr>
            </w:pPr>
            <w:r>
              <w:rPr>
                <w:rFonts w:hint="eastAsia"/>
                <w:b/>
                <w:bCs/>
                <w:sz w:val="20"/>
                <w:szCs w:val="20"/>
                <w:highlight w:val="none"/>
              </w:rPr>
              <w:t>考核说明</w:t>
            </w:r>
          </w:p>
        </w:tc>
      </w:tr>
      <w:tr>
        <w:tblPrEx>
          <w:tblCellMar>
            <w:top w:w="0" w:type="dxa"/>
            <w:left w:w="0" w:type="dxa"/>
            <w:bottom w:w="0" w:type="dxa"/>
            <w:right w:w="0" w:type="dxa"/>
          </w:tblCellMar>
        </w:tblPrEx>
        <w:trPr>
          <w:trHeight w:val="1368" w:hRule="atLeast"/>
        </w:trPr>
        <w:tc>
          <w:tcPr>
            <w:tcW w:w="1538" w:type="dxa"/>
            <w:tcBorders>
              <w:top w:val="single" w:color="auto" w:sz="4" w:space="0"/>
              <w:left w:val="single" w:color="auto" w:sz="4" w:space="0"/>
              <w:bottom w:val="single" w:color="auto" w:sz="4" w:space="0"/>
              <w:right w:val="single" w:color="auto" w:sz="8" w:space="0"/>
            </w:tcBorders>
            <w:vAlign w:val="center"/>
          </w:tcPr>
          <w:p>
            <w:pPr>
              <w:pStyle w:val="56"/>
              <w:jc w:val="left"/>
              <w:rPr>
                <w:sz w:val="20"/>
                <w:szCs w:val="20"/>
                <w:highlight w:val="none"/>
              </w:rPr>
            </w:pPr>
            <w:r>
              <w:rPr>
                <w:rFonts w:hint="eastAsia"/>
                <w:sz w:val="20"/>
                <w:szCs w:val="20"/>
                <w:highlight w:val="none"/>
              </w:rPr>
              <w:t>设备运行状况</w:t>
            </w:r>
          </w:p>
          <w:p>
            <w:pPr>
              <w:pStyle w:val="56"/>
              <w:jc w:val="left"/>
              <w:rPr>
                <w:sz w:val="20"/>
                <w:szCs w:val="20"/>
                <w:highlight w:val="none"/>
              </w:rPr>
            </w:pPr>
            <w:r>
              <w:rPr>
                <w:rFonts w:hint="eastAsia"/>
                <w:sz w:val="20"/>
                <w:szCs w:val="20"/>
                <w:highlight w:val="none"/>
              </w:rPr>
              <w:t>（3分）</w:t>
            </w:r>
          </w:p>
        </w:tc>
        <w:tc>
          <w:tcPr>
            <w:tcW w:w="2125" w:type="dxa"/>
            <w:tcBorders>
              <w:top w:val="single" w:color="auto" w:sz="4" w:space="0"/>
              <w:bottom w:val="single" w:color="auto" w:sz="4" w:space="0"/>
              <w:right w:val="single" w:color="auto" w:sz="4" w:space="0"/>
            </w:tcBorders>
            <w:vAlign w:val="center"/>
          </w:tcPr>
          <w:p>
            <w:pPr>
              <w:pStyle w:val="56"/>
              <w:jc w:val="left"/>
              <w:rPr>
                <w:sz w:val="20"/>
                <w:szCs w:val="20"/>
                <w:highlight w:val="none"/>
              </w:rPr>
            </w:pPr>
            <w:r>
              <w:rPr>
                <w:rFonts w:hint="eastAsia"/>
                <w:sz w:val="20"/>
                <w:szCs w:val="20"/>
                <w:highlight w:val="none"/>
              </w:rPr>
              <w:t>每有一项不符合要求，扣 0.5 分，扣完为止</w:t>
            </w:r>
          </w:p>
        </w:tc>
        <w:tc>
          <w:tcPr>
            <w:tcW w:w="5700" w:type="dxa"/>
            <w:tcBorders>
              <w:top w:val="single" w:color="auto" w:sz="4" w:space="0"/>
              <w:left w:val="single" w:color="auto" w:sz="4" w:space="0"/>
              <w:bottom w:val="single" w:color="auto" w:sz="8" w:space="0"/>
              <w:right w:val="single" w:color="auto" w:sz="8" w:space="0"/>
            </w:tcBorders>
            <w:vAlign w:val="center"/>
          </w:tcPr>
          <w:p>
            <w:pPr>
              <w:pStyle w:val="56"/>
              <w:jc w:val="left"/>
              <w:rPr>
                <w:sz w:val="20"/>
                <w:szCs w:val="20"/>
                <w:highlight w:val="none"/>
              </w:rPr>
            </w:pPr>
            <w:r>
              <w:rPr>
                <w:rFonts w:hint="eastAsia"/>
                <w:sz w:val="20"/>
                <w:szCs w:val="20"/>
                <w:highlight w:val="none"/>
              </w:rPr>
              <w:t>设备外观整洁；螺栓齐全牢固；油漆良好无锈蚀；设备无腐蚀，无渗漏，润滑充分；仪器仪表准确灵敏；附属设备工作正常；整机运行平稳可靠；使用高效节能设备；设施、设备的油箱、水泵、管道等无跑、冒、滴、漏现象；设备完好率应＞95%。</w:t>
            </w:r>
          </w:p>
        </w:tc>
      </w:tr>
      <w:tr>
        <w:tblPrEx>
          <w:tblCellMar>
            <w:top w:w="0" w:type="dxa"/>
            <w:left w:w="0" w:type="dxa"/>
            <w:bottom w:w="0" w:type="dxa"/>
            <w:right w:w="0" w:type="dxa"/>
          </w:tblCellMar>
        </w:tblPrEx>
        <w:trPr>
          <w:trHeight w:val="2122" w:hRule="atLeast"/>
        </w:trPr>
        <w:tc>
          <w:tcPr>
            <w:tcW w:w="1538" w:type="dxa"/>
            <w:tcBorders>
              <w:top w:val="single" w:color="auto" w:sz="4" w:space="0"/>
              <w:left w:val="single" w:color="auto" w:sz="4" w:space="0"/>
              <w:bottom w:val="single" w:color="auto" w:sz="4" w:space="0"/>
              <w:right w:val="single" w:color="auto" w:sz="8" w:space="0"/>
            </w:tcBorders>
            <w:vAlign w:val="center"/>
          </w:tcPr>
          <w:p>
            <w:pPr>
              <w:pStyle w:val="56"/>
              <w:jc w:val="left"/>
              <w:rPr>
                <w:sz w:val="20"/>
                <w:szCs w:val="20"/>
                <w:highlight w:val="none"/>
              </w:rPr>
            </w:pPr>
            <w:r>
              <w:rPr>
                <w:rFonts w:hint="eastAsia"/>
                <w:sz w:val="20"/>
                <w:szCs w:val="20"/>
                <w:highlight w:val="none"/>
              </w:rPr>
              <w:t>自控及在线监测仪表（3 分）</w:t>
            </w:r>
          </w:p>
        </w:tc>
        <w:tc>
          <w:tcPr>
            <w:tcW w:w="2125" w:type="dxa"/>
            <w:tcBorders>
              <w:top w:val="single" w:color="auto" w:sz="4" w:space="0"/>
              <w:bottom w:val="single" w:color="auto" w:sz="4" w:space="0"/>
              <w:right w:val="single" w:color="auto" w:sz="4" w:space="0"/>
            </w:tcBorders>
            <w:vAlign w:val="center"/>
          </w:tcPr>
          <w:p>
            <w:pPr>
              <w:pStyle w:val="56"/>
              <w:jc w:val="left"/>
              <w:rPr>
                <w:sz w:val="20"/>
                <w:szCs w:val="20"/>
                <w:highlight w:val="none"/>
              </w:rPr>
            </w:pPr>
            <w:r>
              <w:rPr>
                <w:rFonts w:hint="eastAsia"/>
                <w:sz w:val="20"/>
                <w:szCs w:val="20"/>
                <w:highlight w:val="none"/>
              </w:rPr>
              <w:t>每有一项不符合要求，扣 0.5 分，扣完为止</w:t>
            </w:r>
          </w:p>
        </w:tc>
        <w:tc>
          <w:tcPr>
            <w:tcW w:w="5700" w:type="dxa"/>
            <w:tcBorders>
              <w:left w:val="single" w:color="auto" w:sz="4" w:space="0"/>
              <w:bottom w:val="single" w:color="auto" w:sz="8" w:space="0"/>
              <w:right w:val="single" w:color="auto" w:sz="8" w:space="0"/>
            </w:tcBorders>
            <w:vAlign w:val="center"/>
          </w:tcPr>
          <w:p>
            <w:pPr>
              <w:pStyle w:val="56"/>
              <w:jc w:val="left"/>
              <w:rPr>
                <w:sz w:val="20"/>
                <w:szCs w:val="20"/>
                <w:highlight w:val="none"/>
              </w:rPr>
            </w:pPr>
            <w:r>
              <w:rPr>
                <w:rFonts w:hint="eastAsia"/>
                <w:sz w:val="20"/>
                <w:szCs w:val="20"/>
                <w:highlight w:val="none"/>
              </w:rPr>
              <w:t>在线自动监控设备及配套设施保持良好的运行状态；污水处理厂应在工艺流程中安装用于指导生产的在线仪表如液位计、PH 计、DO、浊度仪等，仪表的完好率不应低于 90%，仪表的运转率不应低于 90%；中控监控主站、PLC 子站、通讯网络以及各种仪表、控制器件正常运行、有自动生成的电子报表、有自控及在线仪表的维护校验记录等；应定期将在线监测仪表数据与化验室手工检测数据进行比对，互相校验准确性。</w:t>
            </w:r>
          </w:p>
        </w:tc>
      </w:tr>
      <w:tr>
        <w:tblPrEx>
          <w:tblCellMar>
            <w:top w:w="0" w:type="dxa"/>
            <w:left w:w="0" w:type="dxa"/>
            <w:bottom w:w="0" w:type="dxa"/>
            <w:right w:w="0" w:type="dxa"/>
          </w:tblCellMar>
        </w:tblPrEx>
        <w:trPr>
          <w:trHeight w:val="1588" w:hRule="atLeast"/>
        </w:trPr>
        <w:tc>
          <w:tcPr>
            <w:tcW w:w="1538" w:type="dxa"/>
            <w:tcBorders>
              <w:top w:val="single" w:color="auto" w:sz="4" w:space="0"/>
              <w:left w:val="single" w:color="auto" w:sz="4" w:space="0"/>
              <w:bottom w:val="single" w:color="auto" w:sz="4" w:space="0"/>
              <w:right w:val="single" w:color="auto" w:sz="8" w:space="0"/>
            </w:tcBorders>
            <w:vAlign w:val="center"/>
          </w:tcPr>
          <w:p>
            <w:pPr>
              <w:pStyle w:val="56"/>
              <w:jc w:val="left"/>
              <w:rPr>
                <w:sz w:val="20"/>
                <w:szCs w:val="20"/>
                <w:highlight w:val="none"/>
              </w:rPr>
            </w:pPr>
            <w:r>
              <w:rPr>
                <w:rFonts w:hint="eastAsia"/>
                <w:sz w:val="20"/>
                <w:szCs w:val="20"/>
                <w:highlight w:val="none"/>
              </w:rPr>
              <w:t>大中小修管理</w:t>
            </w:r>
          </w:p>
          <w:p>
            <w:pPr>
              <w:pStyle w:val="56"/>
              <w:jc w:val="left"/>
              <w:rPr>
                <w:sz w:val="20"/>
                <w:szCs w:val="20"/>
                <w:highlight w:val="none"/>
              </w:rPr>
            </w:pPr>
            <w:r>
              <w:rPr>
                <w:rFonts w:hint="eastAsia"/>
                <w:sz w:val="20"/>
                <w:szCs w:val="20"/>
                <w:highlight w:val="none"/>
              </w:rPr>
              <w:t>（2 分）</w:t>
            </w:r>
          </w:p>
        </w:tc>
        <w:tc>
          <w:tcPr>
            <w:tcW w:w="2125" w:type="dxa"/>
            <w:tcBorders>
              <w:top w:val="single" w:color="auto" w:sz="4" w:space="0"/>
              <w:bottom w:val="single" w:color="auto" w:sz="4" w:space="0"/>
              <w:right w:val="single" w:color="auto" w:sz="4" w:space="0"/>
            </w:tcBorders>
            <w:vAlign w:val="center"/>
          </w:tcPr>
          <w:p>
            <w:pPr>
              <w:pStyle w:val="56"/>
              <w:jc w:val="left"/>
              <w:rPr>
                <w:sz w:val="20"/>
                <w:szCs w:val="20"/>
                <w:highlight w:val="none"/>
              </w:rPr>
            </w:pPr>
            <w:r>
              <w:rPr>
                <w:rFonts w:hint="eastAsia"/>
                <w:sz w:val="20"/>
                <w:szCs w:val="20"/>
                <w:highlight w:val="none"/>
              </w:rPr>
              <w:t>每有一项不符合要求，扣 0.5 分，扣完为止</w:t>
            </w:r>
          </w:p>
        </w:tc>
        <w:tc>
          <w:tcPr>
            <w:tcW w:w="5700" w:type="dxa"/>
            <w:tcBorders>
              <w:left w:val="single" w:color="auto" w:sz="4" w:space="0"/>
              <w:bottom w:val="single" w:color="auto" w:sz="8" w:space="0"/>
              <w:right w:val="single" w:color="auto" w:sz="8" w:space="0"/>
            </w:tcBorders>
            <w:vAlign w:val="center"/>
          </w:tcPr>
          <w:p>
            <w:pPr>
              <w:pStyle w:val="56"/>
              <w:jc w:val="left"/>
              <w:rPr>
                <w:sz w:val="20"/>
                <w:szCs w:val="20"/>
                <w:highlight w:val="none"/>
              </w:rPr>
            </w:pPr>
            <w:r>
              <w:rPr>
                <w:rFonts w:hint="eastAsia"/>
                <w:sz w:val="20"/>
                <w:szCs w:val="20"/>
                <w:highlight w:val="none"/>
              </w:rPr>
              <w:t>一般设备运行到 8,000 小时至 10,000 小时或突然出现无法运行的重大故障时，须对设备进行大修；当设备运行到 1,500 小时至 2,500 小时或设备局部出现较大故障时，要对设备进行中修；小修应按照设备定期维修规定的内容、和定期检查中所发现的</w:t>
            </w:r>
          </w:p>
          <w:p>
            <w:pPr>
              <w:pStyle w:val="56"/>
              <w:jc w:val="left"/>
              <w:rPr>
                <w:sz w:val="20"/>
                <w:szCs w:val="20"/>
                <w:highlight w:val="none"/>
              </w:rPr>
            </w:pPr>
            <w:r>
              <w:rPr>
                <w:rFonts w:hint="eastAsia"/>
                <w:sz w:val="20"/>
                <w:szCs w:val="20"/>
                <w:highlight w:val="none"/>
              </w:rPr>
              <w:t>问题及时进行。</w:t>
            </w:r>
          </w:p>
        </w:tc>
      </w:tr>
      <w:tr>
        <w:tblPrEx>
          <w:tblCellMar>
            <w:top w:w="0" w:type="dxa"/>
            <w:left w:w="0" w:type="dxa"/>
            <w:bottom w:w="0" w:type="dxa"/>
            <w:right w:w="0" w:type="dxa"/>
          </w:tblCellMar>
        </w:tblPrEx>
        <w:trPr>
          <w:trHeight w:val="1242" w:hRule="atLeast"/>
        </w:trPr>
        <w:tc>
          <w:tcPr>
            <w:tcW w:w="1538" w:type="dxa"/>
            <w:tcBorders>
              <w:top w:val="single" w:color="auto" w:sz="4" w:space="0"/>
              <w:left w:val="single" w:color="auto" w:sz="4" w:space="0"/>
              <w:bottom w:val="single" w:color="auto" w:sz="4" w:space="0"/>
              <w:right w:val="single" w:color="auto" w:sz="8" w:space="0"/>
            </w:tcBorders>
            <w:vAlign w:val="center"/>
          </w:tcPr>
          <w:p>
            <w:pPr>
              <w:pStyle w:val="56"/>
              <w:jc w:val="left"/>
              <w:rPr>
                <w:sz w:val="20"/>
                <w:szCs w:val="20"/>
                <w:highlight w:val="none"/>
              </w:rPr>
            </w:pPr>
            <w:r>
              <w:rPr>
                <w:rFonts w:hint="eastAsia"/>
                <w:sz w:val="20"/>
                <w:szCs w:val="20"/>
                <w:highlight w:val="none"/>
              </w:rPr>
              <w:t>备品备件</w:t>
            </w:r>
          </w:p>
          <w:p>
            <w:pPr>
              <w:pStyle w:val="56"/>
              <w:jc w:val="left"/>
              <w:rPr>
                <w:sz w:val="20"/>
                <w:szCs w:val="20"/>
                <w:highlight w:val="none"/>
              </w:rPr>
            </w:pPr>
            <w:r>
              <w:rPr>
                <w:rFonts w:hint="eastAsia"/>
                <w:sz w:val="20"/>
                <w:szCs w:val="20"/>
                <w:highlight w:val="none"/>
              </w:rPr>
              <w:t>（1 分）</w:t>
            </w:r>
          </w:p>
        </w:tc>
        <w:tc>
          <w:tcPr>
            <w:tcW w:w="2125" w:type="dxa"/>
            <w:tcBorders>
              <w:top w:val="single" w:color="auto" w:sz="4" w:space="0"/>
              <w:bottom w:val="single" w:color="auto" w:sz="4" w:space="0"/>
              <w:right w:val="single" w:color="auto" w:sz="4" w:space="0"/>
            </w:tcBorders>
            <w:vAlign w:val="center"/>
          </w:tcPr>
          <w:p>
            <w:pPr>
              <w:pStyle w:val="56"/>
              <w:jc w:val="left"/>
              <w:rPr>
                <w:sz w:val="20"/>
                <w:szCs w:val="20"/>
                <w:highlight w:val="none"/>
              </w:rPr>
            </w:pPr>
            <w:r>
              <w:rPr>
                <w:rFonts w:hint="eastAsia"/>
                <w:sz w:val="20"/>
                <w:szCs w:val="20"/>
                <w:highlight w:val="none"/>
              </w:rPr>
              <w:t>备品备件齐全，建立相应档案，得 1 分；每有一项不符合要求，扣 0.5分，扣完为止</w:t>
            </w:r>
          </w:p>
        </w:tc>
        <w:tc>
          <w:tcPr>
            <w:tcW w:w="5700" w:type="dxa"/>
            <w:tcBorders>
              <w:left w:val="single" w:color="auto" w:sz="4" w:space="0"/>
              <w:bottom w:val="single" w:color="auto" w:sz="8" w:space="0"/>
              <w:right w:val="single" w:color="auto" w:sz="8" w:space="0"/>
            </w:tcBorders>
            <w:vAlign w:val="center"/>
          </w:tcPr>
          <w:p>
            <w:pPr>
              <w:pStyle w:val="56"/>
              <w:jc w:val="left"/>
              <w:rPr>
                <w:sz w:val="20"/>
                <w:szCs w:val="20"/>
                <w:highlight w:val="none"/>
              </w:rPr>
            </w:pPr>
            <w:r>
              <w:rPr>
                <w:rFonts w:hint="eastAsia"/>
                <w:sz w:val="20"/>
                <w:szCs w:val="20"/>
                <w:highlight w:val="none"/>
              </w:rPr>
              <w:t>备品备件原则是少品种,低限量,关键必备；备品的分类编号、名称、规格型号、使用设备编号、单位、库存量、单价、购买厂商、订货周期等应记录齐全。较大件必须注明重量、耗材材质、需润滑设备必须由润滑油型号，即必须表明相关重要型号。</w:t>
            </w:r>
          </w:p>
        </w:tc>
      </w:tr>
      <w:tr>
        <w:tblPrEx>
          <w:tblCellMar>
            <w:top w:w="0" w:type="dxa"/>
            <w:left w:w="0" w:type="dxa"/>
            <w:bottom w:w="0" w:type="dxa"/>
            <w:right w:w="0" w:type="dxa"/>
          </w:tblCellMar>
        </w:tblPrEx>
        <w:trPr>
          <w:trHeight w:val="719" w:hRule="atLeast"/>
        </w:trPr>
        <w:tc>
          <w:tcPr>
            <w:tcW w:w="1538" w:type="dxa"/>
            <w:tcBorders>
              <w:top w:val="single" w:color="auto" w:sz="4" w:space="0"/>
              <w:left w:val="single" w:color="auto" w:sz="4" w:space="0"/>
              <w:bottom w:val="single" w:color="auto" w:sz="4" w:space="0"/>
              <w:right w:val="single" w:color="auto" w:sz="8" w:space="0"/>
            </w:tcBorders>
            <w:vAlign w:val="center"/>
          </w:tcPr>
          <w:p>
            <w:pPr>
              <w:pStyle w:val="56"/>
              <w:jc w:val="left"/>
              <w:rPr>
                <w:sz w:val="20"/>
                <w:szCs w:val="20"/>
                <w:highlight w:val="none"/>
              </w:rPr>
            </w:pPr>
            <w:r>
              <w:rPr>
                <w:rFonts w:hint="eastAsia"/>
                <w:sz w:val="20"/>
                <w:szCs w:val="20"/>
                <w:highlight w:val="none"/>
              </w:rPr>
              <w:t>设施设备日常检查维护（2 分）</w:t>
            </w:r>
          </w:p>
        </w:tc>
        <w:tc>
          <w:tcPr>
            <w:tcW w:w="2125" w:type="dxa"/>
            <w:tcBorders>
              <w:top w:val="single" w:color="auto" w:sz="4" w:space="0"/>
              <w:bottom w:val="single" w:color="auto" w:sz="4" w:space="0"/>
              <w:right w:val="single" w:color="auto" w:sz="4" w:space="0"/>
            </w:tcBorders>
            <w:vAlign w:val="center"/>
          </w:tcPr>
          <w:p>
            <w:pPr>
              <w:pStyle w:val="56"/>
              <w:jc w:val="left"/>
              <w:rPr>
                <w:sz w:val="20"/>
                <w:szCs w:val="20"/>
                <w:highlight w:val="none"/>
              </w:rPr>
            </w:pPr>
            <w:r>
              <w:rPr>
                <w:rFonts w:hint="eastAsia"/>
                <w:sz w:val="20"/>
                <w:szCs w:val="20"/>
                <w:highlight w:val="none"/>
              </w:rPr>
              <w:t>有详细、真实的情况记录，得 2 分，否则，不得分</w:t>
            </w:r>
          </w:p>
        </w:tc>
        <w:tc>
          <w:tcPr>
            <w:tcW w:w="5700" w:type="dxa"/>
            <w:tcBorders>
              <w:left w:val="single" w:color="auto" w:sz="4" w:space="0"/>
              <w:bottom w:val="single" w:color="auto" w:sz="8" w:space="0"/>
              <w:right w:val="single" w:color="auto" w:sz="8" w:space="0"/>
            </w:tcBorders>
            <w:vAlign w:val="center"/>
          </w:tcPr>
          <w:p>
            <w:pPr>
              <w:pStyle w:val="56"/>
              <w:jc w:val="left"/>
              <w:rPr>
                <w:sz w:val="20"/>
                <w:szCs w:val="20"/>
                <w:highlight w:val="none"/>
              </w:rPr>
            </w:pPr>
            <w:r>
              <w:rPr>
                <w:rFonts w:hint="eastAsia"/>
                <w:sz w:val="20"/>
                <w:szCs w:val="20"/>
                <w:highlight w:val="none"/>
              </w:rPr>
              <w:t>应做好设备设施的日常巡视检查工作，</w:t>
            </w:r>
          </w:p>
        </w:tc>
      </w:tr>
      <w:tr>
        <w:tblPrEx>
          <w:tblCellMar>
            <w:top w:w="0" w:type="dxa"/>
            <w:left w:w="0" w:type="dxa"/>
            <w:bottom w:w="0" w:type="dxa"/>
            <w:right w:w="0" w:type="dxa"/>
          </w:tblCellMar>
        </w:tblPrEx>
        <w:trPr>
          <w:trHeight w:val="638" w:hRule="atLeast"/>
        </w:trPr>
        <w:tc>
          <w:tcPr>
            <w:tcW w:w="1538" w:type="dxa"/>
            <w:tcBorders>
              <w:top w:val="single" w:color="auto" w:sz="4" w:space="0"/>
              <w:left w:val="single" w:color="auto" w:sz="4" w:space="0"/>
              <w:bottom w:val="single" w:color="auto" w:sz="4" w:space="0"/>
              <w:right w:val="single" w:color="auto" w:sz="8" w:space="0"/>
            </w:tcBorders>
            <w:vAlign w:val="center"/>
          </w:tcPr>
          <w:p>
            <w:pPr>
              <w:pStyle w:val="56"/>
              <w:jc w:val="left"/>
              <w:rPr>
                <w:sz w:val="20"/>
                <w:szCs w:val="20"/>
                <w:highlight w:val="none"/>
              </w:rPr>
            </w:pPr>
            <w:r>
              <w:rPr>
                <w:rFonts w:hint="eastAsia"/>
                <w:sz w:val="20"/>
                <w:szCs w:val="20"/>
                <w:highlight w:val="none"/>
              </w:rPr>
              <w:t>检测与检定</w:t>
            </w:r>
          </w:p>
          <w:p>
            <w:pPr>
              <w:pStyle w:val="56"/>
              <w:jc w:val="left"/>
              <w:rPr>
                <w:sz w:val="20"/>
                <w:szCs w:val="20"/>
                <w:highlight w:val="none"/>
              </w:rPr>
            </w:pPr>
            <w:r>
              <w:rPr>
                <w:rFonts w:hint="eastAsia"/>
                <w:sz w:val="20"/>
                <w:szCs w:val="20"/>
                <w:highlight w:val="none"/>
              </w:rPr>
              <w:t>（1 分）</w:t>
            </w:r>
          </w:p>
        </w:tc>
        <w:tc>
          <w:tcPr>
            <w:tcW w:w="2125" w:type="dxa"/>
            <w:tcBorders>
              <w:top w:val="single" w:color="auto" w:sz="4" w:space="0"/>
              <w:bottom w:val="single" w:color="auto" w:sz="4" w:space="0"/>
              <w:right w:val="single" w:color="auto" w:sz="4" w:space="0"/>
            </w:tcBorders>
            <w:vAlign w:val="center"/>
          </w:tcPr>
          <w:p>
            <w:pPr>
              <w:pStyle w:val="56"/>
              <w:jc w:val="left"/>
              <w:rPr>
                <w:sz w:val="20"/>
                <w:szCs w:val="20"/>
                <w:highlight w:val="none"/>
              </w:rPr>
            </w:pPr>
            <w:r>
              <w:rPr>
                <w:rFonts w:hint="eastAsia"/>
                <w:sz w:val="20"/>
                <w:szCs w:val="20"/>
                <w:highlight w:val="none"/>
              </w:rPr>
              <w:t>有记录和证明材料，得 1 分，否则，不得分</w:t>
            </w:r>
          </w:p>
        </w:tc>
        <w:tc>
          <w:tcPr>
            <w:tcW w:w="5700" w:type="dxa"/>
            <w:tcBorders>
              <w:left w:val="single" w:color="auto" w:sz="4" w:space="0"/>
              <w:bottom w:val="single" w:color="auto" w:sz="8" w:space="0"/>
              <w:right w:val="single" w:color="auto" w:sz="8" w:space="0"/>
            </w:tcBorders>
            <w:vAlign w:val="center"/>
          </w:tcPr>
          <w:p>
            <w:pPr>
              <w:pStyle w:val="56"/>
              <w:jc w:val="left"/>
              <w:rPr>
                <w:sz w:val="20"/>
                <w:szCs w:val="20"/>
                <w:highlight w:val="none"/>
              </w:rPr>
            </w:pPr>
            <w:r>
              <w:rPr>
                <w:rFonts w:hint="eastAsia"/>
                <w:sz w:val="20"/>
                <w:szCs w:val="20"/>
                <w:highlight w:val="none"/>
              </w:rPr>
              <w:t>特种（重点）设备的检测、检定应按有关规定定期进行，并有详细记录和证明材料</w:t>
            </w:r>
          </w:p>
        </w:tc>
      </w:tr>
      <w:tr>
        <w:tblPrEx>
          <w:tblCellMar>
            <w:top w:w="0" w:type="dxa"/>
            <w:left w:w="0" w:type="dxa"/>
            <w:bottom w:w="0" w:type="dxa"/>
            <w:right w:w="0" w:type="dxa"/>
          </w:tblCellMar>
        </w:tblPrEx>
        <w:trPr>
          <w:trHeight w:val="2129" w:hRule="atLeast"/>
        </w:trPr>
        <w:tc>
          <w:tcPr>
            <w:tcW w:w="1538" w:type="dxa"/>
            <w:tcBorders>
              <w:top w:val="single" w:color="auto" w:sz="4" w:space="0"/>
              <w:left w:val="single" w:color="auto" w:sz="4" w:space="0"/>
              <w:bottom w:val="single" w:color="auto" w:sz="4" w:space="0"/>
              <w:right w:val="single" w:color="auto" w:sz="8" w:space="0"/>
            </w:tcBorders>
            <w:vAlign w:val="center"/>
          </w:tcPr>
          <w:p>
            <w:pPr>
              <w:pStyle w:val="56"/>
              <w:jc w:val="left"/>
              <w:rPr>
                <w:sz w:val="20"/>
                <w:szCs w:val="20"/>
                <w:highlight w:val="none"/>
              </w:rPr>
            </w:pPr>
            <w:r>
              <w:rPr>
                <w:rFonts w:hint="eastAsia"/>
                <w:sz w:val="20"/>
                <w:szCs w:val="20"/>
                <w:highlight w:val="none"/>
              </w:rPr>
              <w:t>变配电装置</w:t>
            </w:r>
          </w:p>
          <w:p>
            <w:pPr>
              <w:pStyle w:val="56"/>
              <w:jc w:val="left"/>
              <w:rPr>
                <w:sz w:val="20"/>
                <w:szCs w:val="20"/>
                <w:highlight w:val="none"/>
              </w:rPr>
            </w:pPr>
            <w:r>
              <w:rPr>
                <w:rFonts w:hint="eastAsia"/>
                <w:sz w:val="20"/>
                <w:szCs w:val="20"/>
                <w:highlight w:val="none"/>
              </w:rPr>
              <w:t>（2 分）</w:t>
            </w:r>
          </w:p>
        </w:tc>
        <w:tc>
          <w:tcPr>
            <w:tcW w:w="2125" w:type="dxa"/>
            <w:tcBorders>
              <w:top w:val="single" w:color="auto" w:sz="4" w:space="0"/>
              <w:bottom w:val="single" w:color="auto" w:sz="4" w:space="0"/>
              <w:right w:val="single" w:color="auto" w:sz="4" w:space="0"/>
            </w:tcBorders>
            <w:vAlign w:val="center"/>
          </w:tcPr>
          <w:p>
            <w:pPr>
              <w:pStyle w:val="56"/>
              <w:jc w:val="left"/>
              <w:rPr>
                <w:sz w:val="20"/>
                <w:szCs w:val="20"/>
                <w:highlight w:val="none"/>
              </w:rPr>
            </w:pPr>
            <w:r>
              <w:rPr>
                <w:rFonts w:hint="eastAsia"/>
                <w:sz w:val="20"/>
                <w:szCs w:val="20"/>
                <w:highlight w:val="none"/>
              </w:rPr>
              <w:t>每有一项不符合要求，扣 0.5 分，扣完为止</w:t>
            </w:r>
          </w:p>
        </w:tc>
        <w:tc>
          <w:tcPr>
            <w:tcW w:w="5700" w:type="dxa"/>
            <w:tcBorders>
              <w:left w:val="single" w:color="auto" w:sz="4" w:space="0"/>
              <w:bottom w:val="single" w:color="auto" w:sz="8" w:space="0"/>
              <w:right w:val="single" w:color="auto" w:sz="8" w:space="0"/>
            </w:tcBorders>
            <w:vAlign w:val="center"/>
          </w:tcPr>
          <w:p>
            <w:pPr>
              <w:pStyle w:val="56"/>
              <w:jc w:val="left"/>
              <w:rPr>
                <w:sz w:val="20"/>
                <w:szCs w:val="20"/>
                <w:highlight w:val="none"/>
              </w:rPr>
            </w:pPr>
            <w:r>
              <w:rPr>
                <w:rFonts w:hint="eastAsia"/>
                <w:sz w:val="20"/>
                <w:szCs w:val="20"/>
                <w:highlight w:val="none"/>
              </w:rPr>
              <w:t>电气设备符合安全要求；变、配电装置的工作电压、工作负荷和控制温度应在额定值的允许变化范围内运行；根据具体情况和要求，选用含义相符的标示牌，并悬挂在适合的位置上；变、配电设备及其周围环境应保持安全、整洁、卫生，并应设有防小动物装置和自控设备降温措施；直流屏有定期检查记录；电气设备现场照明良好，通道通畅。</w:t>
            </w:r>
          </w:p>
        </w:tc>
      </w:tr>
    </w:tbl>
    <w:p>
      <w:pPr>
        <w:pStyle w:val="56"/>
        <w:spacing w:line="20" w:lineRule="exact"/>
        <w:jc w:val="left"/>
        <w:rPr>
          <w:rFonts w:ascii="宋体" w:hAnsi="宋体" w:cs="宋体"/>
          <w:sz w:val="20"/>
          <w:szCs w:val="20"/>
          <w:highlight w:val="none"/>
        </w:rPr>
      </w:pPr>
      <w:r>
        <w:rPr>
          <w:rFonts w:ascii="宋体" w:hAnsi="宋体" w:cs="宋体"/>
          <w:sz w:val="20"/>
          <w:szCs w:val="20"/>
          <w:highlight w:val="none"/>
        </w:rPr>
        <w:drawing>
          <wp:anchor distT="0" distB="0" distL="114300" distR="114300" simplePos="0" relativeHeight="251658240" behindDoc="1" locked="0" layoutInCell="0" allowOverlap="1">
            <wp:simplePos x="0" y="0"/>
            <wp:positionH relativeFrom="column">
              <wp:posOffset>4039870</wp:posOffset>
            </wp:positionH>
            <wp:positionV relativeFrom="paragraph">
              <wp:posOffset>-4474845</wp:posOffset>
            </wp:positionV>
            <wp:extent cx="6350" cy="6350"/>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pic:cNvPicPr>
                  </pic:nvPicPr>
                  <pic:blipFill>
                    <a:blip r:embed="rId8"/>
                    <a:stretch>
                      <a:fillRect/>
                    </a:stretch>
                  </pic:blipFill>
                  <pic:spPr>
                    <a:xfrm>
                      <a:off x="0" y="0"/>
                      <a:ext cx="6350" cy="6350"/>
                    </a:xfrm>
                    <a:prstGeom prst="rect">
                      <a:avLst/>
                    </a:prstGeom>
                    <a:noFill/>
                    <a:ln w="9525">
                      <a:noFill/>
                    </a:ln>
                  </pic:spPr>
                </pic:pic>
              </a:graphicData>
            </a:graphic>
          </wp:anchor>
        </w:drawing>
      </w:r>
    </w:p>
    <w:p>
      <w:pPr>
        <w:pStyle w:val="56"/>
        <w:spacing w:line="423" w:lineRule="exact"/>
        <w:ind w:left="60"/>
        <w:jc w:val="left"/>
        <w:rPr>
          <w:rFonts w:ascii="宋体" w:hAnsi="宋体" w:cs="宋体"/>
          <w:sz w:val="20"/>
          <w:szCs w:val="20"/>
          <w:highlight w:val="none"/>
        </w:rPr>
      </w:pPr>
      <w:r>
        <w:rPr>
          <w:rFonts w:hint="eastAsia" w:ascii="宋体" w:hAnsi="宋体" w:cs="宋体"/>
          <w:b/>
          <w:bCs/>
          <w:sz w:val="20"/>
          <w:szCs w:val="20"/>
          <w:highlight w:val="none"/>
        </w:rPr>
        <w:t>七、安全管理（7 分）</w:t>
      </w:r>
    </w:p>
    <w:tbl>
      <w:tblPr>
        <w:tblStyle w:val="25"/>
        <w:tblW w:w="9325" w:type="dxa"/>
        <w:tblInd w:w="210" w:type="dxa"/>
        <w:tblLayout w:type="fixed"/>
        <w:tblCellMar>
          <w:top w:w="0" w:type="dxa"/>
          <w:left w:w="0" w:type="dxa"/>
          <w:bottom w:w="0" w:type="dxa"/>
          <w:right w:w="0" w:type="dxa"/>
        </w:tblCellMar>
      </w:tblPr>
      <w:tblGrid>
        <w:gridCol w:w="1562"/>
        <w:gridCol w:w="2088"/>
        <w:gridCol w:w="5675"/>
      </w:tblGrid>
      <w:tr>
        <w:tblPrEx>
          <w:tblCellMar>
            <w:top w:w="0" w:type="dxa"/>
            <w:left w:w="0" w:type="dxa"/>
            <w:bottom w:w="0" w:type="dxa"/>
            <w:right w:w="0" w:type="dxa"/>
          </w:tblCellMar>
        </w:tblPrEx>
        <w:trPr>
          <w:trHeight w:val="237" w:hRule="atLeast"/>
        </w:trPr>
        <w:tc>
          <w:tcPr>
            <w:tcW w:w="1562" w:type="dxa"/>
            <w:tcBorders>
              <w:top w:val="single" w:color="auto" w:sz="4" w:space="0"/>
              <w:left w:val="single" w:color="auto" w:sz="4" w:space="0"/>
              <w:bottom w:val="single" w:color="auto" w:sz="4" w:space="0"/>
              <w:right w:val="single" w:color="auto" w:sz="4" w:space="0"/>
            </w:tcBorders>
            <w:vAlign w:val="center"/>
          </w:tcPr>
          <w:p>
            <w:pPr>
              <w:pStyle w:val="56"/>
              <w:jc w:val="center"/>
              <w:rPr>
                <w:b/>
                <w:bCs/>
                <w:sz w:val="20"/>
                <w:szCs w:val="20"/>
                <w:highlight w:val="none"/>
              </w:rPr>
            </w:pPr>
            <w:r>
              <w:rPr>
                <w:rFonts w:hint="eastAsia"/>
                <w:b/>
                <w:bCs/>
                <w:sz w:val="20"/>
                <w:szCs w:val="20"/>
                <w:highlight w:val="none"/>
              </w:rPr>
              <w:t>考核内容</w:t>
            </w:r>
          </w:p>
        </w:tc>
        <w:tc>
          <w:tcPr>
            <w:tcW w:w="2088" w:type="dxa"/>
            <w:tcBorders>
              <w:top w:val="single" w:color="auto" w:sz="4" w:space="0"/>
              <w:left w:val="single" w:color="auto" w:sz="4" w:space="0"/>
              <w:bottom w:val="single" w:color="auto" w:sz="4" w:space="0"/>
              <w:right w:val="single" w:color="auto" w:sz="4" w:space="0"/>
            </w:tcBorders>
            <w:vAlign w:val="center"/>
          </w:tcPr>
          <w:p>
            <w:pPr>
              <w:pStyle w:val="56"/>
              <w:jc w:val="center"/>
              <w:rPr>
                <w:b/>
                <w:bCs/>
                <w:sz w:val="20"/>
                <w:szCs w:val="20"/>
                <w:highlight w:val="none"/>
              </w:rPr>
            </w:pPr>
            <w:r>
              <w:rPr>
                <w:rFonts w:hint="eastAsia"/>
                <w:b/>
                <w:bCs/>
                <w:sz w:val="20"/>
                <w:szCs w:val="20"/>
                <w:highlight w:val="none"/>
              </w:rPr>
              <w:t>评分标准</w:t>
            </w:r>
          </w:p>
        </w:tc>
        <w:tc>
          <w:tcPr>
            <w:tcW w:w="5675" w:type="dxa"/>
            <w:tcBorders>
              <w:top w:val="single" w:color="auto" w:sz="8" w:space="0"/>
              <w:left w:val="single" w:color="auto" w:sz="4" w:space="0"/>
              <w:bottom w:val="single" w:color="auto" w:sz="8" w:space="0"/>
              <w:right w:val="single" w:color="auto" w:sz="8" w:space="0"/>
            </w:tcBorders>
            <w:vAlign w:val="center"/>
          </w:tcPr>
          <w:p>
            <w:pPr>
              <w:pStyle w:val="56"/>
              <w:jc w:val="center"/>
              <w:rPr>
                <w:b/>
                <w:bCs/>
                <w:sz w:val="20"/>
                <w:szCs w:val="20"/>
                <w:highlight w:val="none"/>
              </w:rPr>
            </w:pPr>
            <w:r>
              <w:rPr>
                <w:rFonts w:hint="eastAsia"/>
                <w:b/>
                <w:bCs/>
                <w:sz w:val="20"/>
                <w:szCs w:val="20"/>
                <w:highlight w:val="none"/>
              </w:rPr>
              <w:t>考核说明</w:t>
            </w:r>
          </w:p>
        </w:tc>
      </w:tr>
      <w:tr>
        <w:tblPrEx>
          <w:tblCellMar>
            <w:top w:w="0" w:type="dxa"/>
            <w:left w:w="0" w:type="dxa"/>
            <w:bottom w:w="0" w:type="dxa"/>
            <w:right w:w="0" w:type="dxa"/>
          </w:tblCellMar>
        </w:tblPrEx>
        <w:trPr>
          <w:trHeight w:val="1074" w:hRule="atLeast"/>
        </w:trPr>
        <w:tc>
          <w:tcPr>
            <w:tcW w:w="1562" w:type="dxa"/>
            <w:tcBorders>
              <w:top w:val="single" w:color="auto" w:sz="4" w:space="0"/>
              <w:left w:val="single" w:color="auto" w:sz="4" w:space="0"/>
              <w:bottom w:val="single" w:color="auto" w:sz="4" w:space="0"/>
              <w:right w:val="single" w:color="auto" w:sz="4" w:space="0"/>
            </w:tcBorders>
            <w:vAlign w:val="center"/>
          </w:tcPr>
          <w:p>
            <w:pPr>
              <w:pStyle w:val="56"/>
              <w:jc w:val="left"/>
              <w:rPr>
                <w:sz w:val="20"/>
                <w:szCs w:val="20"/>
                <w:highlight w:val="none"/>
              </w:rPr>
            </w:pPr>
            <w:r>
              <w:rPr>
                <w:rFonts w:hint="eastAsia"/>
                <w:sz w:val="20"/>
                <w:szCs w:val="20"/>
                <w:highlight w:val="none"/>
              </w:rPr>
              <w:t>安全管理人员及管理机构（1 分）</w:t>
            </w:r>
          </w:p>
        </w:tc>
        <w:tc>
          <w:tcPr>
            <w:tcW w:w="2088" w:type="dxa"/>
            <w:tcBorders>
              <w:top w:val="single" w:color="auto" w:sz="4" w:space="0"/>
              <w:left w:val="single" w:color="auto" w:sz="4" w:space="0"/>
              <w:bottom w:val="single" w:color="auto" w:sz="4" w:space="0"/>
              <w:right w:val="single" w:color="auto" w:sz="4" w:space="0"/>
            </w:tcBorders>
            <w:vAlign w:val="center"/>
          </w:tcPr>
          <w:p>
            <w:pPr>
              <w:pStyle w:val="56"/>
              <w:jc w:val="left"/>
              <w:rPr>
                <w:sz w:val="20"/>
                <w:szCs w:val="20"/>
                <w:highlight w:val="none"/>
              </w:rPr>
            </w:pPr>
            <w:r>
              <w:rPr>
                <w:rFonts w:hint="eastAsia"/>
                <w:sz w:val="20"/>
                <w:szCs w:val="20"/>
                <w:highlight w:val="none"/>
              </w:rPr>
              <w:t>每缺一项扣 0.5分</w:t>
            </w:r>
          </w:p>
        </w:tc>
        <w:tc>
          <w:tcPr>
            <w:tcW w:w="5675" w:type="dxa"/>
            <w:tcBorders>
              <w:left w:val="single" w:color="auto" w:sz="4" w:space="0"/>
              <w:bottom w:val="single" w:color="auto" w:sz="8" w:space="0"/>
              <w:right w:val="single" w:color="auto" w:sz="8" w:space="0"/>
            </w:tcBorders>
            <w:vAlign w:val="center"/>
          </w:tcPr>
          <w:p>
            <w:pPr>
              <w:pStyle w:val="56"/>
              <w:jc w:val="left"/>
              <w:rPr>
                <w:sz w:val="20"/>
                <w:szCs w:val="20"/>
                <w:highlight w:val="none"/>
              </w:rPr>
            </w:pPr>
            <w:r>
              <w:rPr>
                <w:rFonts w:hint="eastAsia"/>
                <w:sz w:val="20"/>
                <w:szCs w:val="20"/>
                <w:highlight w:val="none"/>
              </w:rPr>
              <w:t>污水处理厂应设置专职安全管理人员；要有健全的三级安全管理机构；各级均有明确的安全责任制；安全管理人员应持有地市级以上安全生产管理部门的安全上岗证。</w:t>
            </w:r>
          </w:p>
        </w:tc>
      </w:tr>
      <w:tr>
        <w:tblPrEx>
          <w:tblCellMar>
            <w:top w:w="0" w:type="dxa"/>
            <w:left w:w="0" w:type="dxa"/>
            <w:bottom w:w="0" w:type="dxa"/>
            <w:right w:w="0" w:type="dxa"/>
          </w:tblCellMar>
        </w:tblPrEx>
        <w:trPr>
          <w:trHeight w:val="960" w:hRule="atLeast"/>
        </w:trPr>
        <w:tc>
          <w:tcPr>
            <w:tcW w:w="1562" w:type="dxa"/>
            <w:tcBorders>
              <w:top w:val="single" w:color="auto" w:sz="4" w:space="0"/>
              <w:left w:val="single" w:color="auto" w:sz="4" w:space="0"/>
              <w:bottom w:val="single" w:color="auto" w:sz="4" w:space="0"/>
              <w:right w:val="single" w:color="auto" w:sz="4" w:space="0"/>
            </w:tcBorders>
            <w:vAlign w:val="center"/>
          </w:tcPr>
          <w:p>
            <w:pPr>
              <w:pStyle w:val="56"/>
              <w:jc w:val="left"/>
              <w:rPr>
                <w:sz w:val="20"/>
                <w:szCs w:val="20"/>
                <w:highlight w:val="none"/>
              </w:rPr>
            </w:pPr>
            <w:r>
              <w:rPr>
                <w:rFonts w:hint="eastAsia"/>
                <w:sz w:val="20"/>
                <w:szCs w:val="20"/>
                <w:highlight w:val="none"/>
              </w:rPr>
              <w:t>安全管理制度</w:t>
            </w:r>
          </w:p>
          <w:p>
            <w:pPr>
              <w:pStyle w:val="56"/>
              <w:jc w:val="left"/>
              <w:rPr>
                <w:sz w:val="20"/>
                <w:szCs w:val="20"/>
                <w:highlight w:val="none"/>
              </w:rPr>
            </w:pPr>
            <w:r>
              <w:rPr>
                <w:rFonts w:hint="eastAsia"/>
                <w:sz w:val="20"/>
                <w:szCs w:val="20"/>
                <w:highlight w:val="none"/>
              </w:rPr>
              <w:t>（2 分）</w:t>
            </w:r>
          </w:p>
        </w:tc>
        <w:tc>
          <w:tcPr>
            <w:tcW w:w="2088" w:type="dxa"/>
            <w:tcBorders>
              <w:top w:val="single" w:color="auto" w:sz="4" w:space="0"/>
              <w:left w:val="single" w:color="auto" w:sz="4" w:space="0"/>
              <w:bottom w:val="single" w:color="auto" w:sz="4" w:space="0"/>
              <w:right w:val="single" w:color="auto" w:sz="4" w:space="0"/>
            </w:tcBorders>
            <w:vAlign w:val="center"/>
          </w:tcPr>
          <w:p>
            <w:pPr>
              <w:pStyle w:val="56"/>
              <w:jc w:val="left"/>
              <w:rPr>
                <w:sz w:val="20"/>
                <w:szCs w:val="20"/>
                <w:highlight w:val="none"/>
              </w:rPr>
            </w:pPr>
            <w:r>
              <w:rPr>
                <w:rFonts w:hint="eastAsia"/>
                <w:sz w:val="20"/>
                <w:szCs w:val="20"/>
                <w:highlight w:val="none"/>
              </w:rPr>
              <w:t>每缺一项扣 0.5 分</w:t>
            </w:r>
          </w:p>
        </w:tc>
        <w:tc>
          <w:tcPr>
            <w:tcW w:w="5675" w:type="dxa"/>
            <w:tcBorders>
              <w:left w:val="single" w:color="auto" w:sz="4" w:space="0"/>
              <w:bottom w:val="single" w:color="auto" w:sz="8" w:space="0"/>
              <w:right w:val="single" w:color="auto" w:sz="8" w:space="0"/>
            </w:tcBorders>
            <w:vAlign w:val="center"/>
          </w:tcPr>
          <w:p>
            <w:pPr>
              <w:pStyle w:val="56"/>
              <w:jc w:val="left"/>
              <w:rPr>
                <w:sz w:val="20"/>
                <w:szCs w:val="20"/>
                <w:highlight w:val="none"/>
              </w:rPr>
            </w:pPr>
            <w:r>
              <w:rPr>
                <w:rFonts w:hint="eastAsia"/>
                <w:sz w:val="20"/>
                <w:szCs w:val="20"/>
                <w:highlight w:val="none"/>
              </w:rPr>
              <w:t>制定齐全、详细的安全规章制度；安全检查日志记录齐全；发现安全隐患有积极的响应措施、并能及时解决；安全检查台账、安全隐患排除、安全检查整改情况记录齐全。</w:t>
            </w:r>
          </w:p>
        </w:tc>
      </w:tr>
      <w:tr>
        <w:tblPrEx>
          <w:tblCellMar>
            <w:top w:w="0" w:type="dxa"/>
            <w:left w:w="0" w:type="dxa"/>
            <w:bottom w:w="0" w:type="dxa"/>
            <w:right w:w="0" w:type="dxa"/>
          </w:tblCellMar>
        </w:tblPrEx>
        <w:trPr>
          <w:trHeight w:val="374" w:hRule="atLeast"/>
        </w:trPr>
        <w:tc>
          <w:tcPr>
            <w:tcW w:w="1562" w:type="dxa"/>
            <w:tcBorders>
              <w:top w:val="single" w:color="auto" w:sz="4" w:space="0"/>
              <w:left w:val="single" w:color="auto" w:sz="4" w:space="0"/>
              <w:bottom w:val="single" w:color="auto" w:sz="4" w:space="0"/>
              <w:right w:val="single" w:color="auto" w:sz="4" w:space="0"/>
            </w:tcBorders>
            <w:vAlign w:val="center"/>
          </w:tcPr>
          <w:p>
            <w:pPr>
              <w:pStyle w:val="56"/>
              <w:jc w:val="left"/>
              <w:rPr>
                <w:sz w:val="20"/>
                <w:szCs w:val="20"/>
                <w:highlight w:val="none"/>
              </w:rPr>
            </w:pPr>
            <w:r>
              <w:rPr>
                <w:rFonts w:hint="eastAsia"/>
                <w:sz w:val="20"/>
                <w:szCs w:val="20"/>
                <w:highlight w:val="none"/>
              </w:rPr>
              <w:t>安全规程及防护</w:t>
            </w:r>
          </w:p>
          <w:p>
            <w:pPr>
              <w:pStyle w:val="56"/>
              <w:jc w:val="left"/>
              <w:rPr>
                <w:sz w:val="20"/>
                <w:szCs w:val="20"/>
                <w:highlight w:val="none"/>
              </w:rPr>
            </w:pPr>
            <w:r>
              <w:rPr>
                <w:rFonts w:hint="eastAsia"/>
                <w:sz w:val="20"/>
                <w:szCs w:val="20"/>
                <w:highlight w:val="none"/>
              </w:rPr>
              <w:t>（1 分）</w:t>
            </w:r>
          </w:p>
        </w:tc>
        <w:tc>
          <w:tcPr>
            <w:tcW w:w="2088" w:type="dxa"/>
            <w:tcBorders>
              <w:top w:val="single" w:color="auto" w:sz="4" w:space="0"/>
              <w:left w:val="single" w:color="auto" w:sz="4" w:space="0"/>
              <w:bottom w:val="single" w:color="auto" w:sz="4" w:space="0"/>
              <w:right w:val="single" w:color="auto" w:sz="4" w:space="0"/>
            </w:tcBorders>
            <w:vAlign w:val="center"/>
          </w:tcPr>
          <w:p>
            <w:pPr>
              <w:pStyle w:val="56"/>
              <w:jc w:val="left"/>
              <w:rPr>
                <w:sz w:val="20"/>
                <w:szCs w:val="20"/>
                <w:highlight w:val="none"/>
              </w:rPr>
            </w:pPr>
            <w:r>
              <w:rPr>
                <w:rFonts w:hint="eastAsia"/>
                <w:sz w:val="20"/>
                <w:szCs w:val="20"/>
                <w:highlight w:val="none"/>
              </w:rPr>
              <w:t>每缺一项扣 0.5 分，扣完为止</w:t>
            </w:r>
          </w:p>
        </w:tc>
        <w:tc>
          <w:tcPr>
            <w:tcW w:w="5675" w:type="dxa"/>
            <w:tcBorders>
              <w:left w:val="single" w:color="auto" w:sz="4" w:space="0"/>
              <w:bottom w:val="single" w:color="auto" w:sz="8" w:space="0"/>
              <w:right w:val="single" w:color="auto" w:sz="8" w:space="0"/>
            </w:tcBorders>
            <w:vAlign w:val="center"/>
          </w:tcPr>
          <w:p>
            <w:pPr>
              <w:pStyle w:val="56"/>
              <w:jc w:val="left"/>
              <w:rPr>
                <w:sz w:val="20"/>
                <w:szCs w:val="20"/>
                <w:highlight w:val="none"/>
              </w:rPr>
            </w:pPr>
            <w:r>
              <w:rPr>
                <w:rFonts w:hint="eastAsia"/>
                <w:sz w:val="20"/>
                <w:szCs w:val="20"/>
                <w:highlight w:val="none"/>
              </w:rPr>
              <w:t>操作规程齐全、到位；岗位人员由必须的安全防护措施；必要场所有安全警示牌；有毒、有害场所配备由安全防护仪器、仪表、器具；密闭空间作业应配备符合要求的通风设备、个人防护用品、检测设备、照明设备、通讯设备和应急救援设备；重视易燃、易爆、剧毒药品的保管、储存和领用，制定相应的管理制度，并严格执行；剧毒药品应制定更严格的保管使用制度，例如严格专柜储存、双人双锁保管等。</w:t>
            </w:r>
          </w:p>
        </w:tc>
      </w:tr>
      <w:tr>
        <w:tblPrEx>
          <w:tblCellMar>
            <w:top w:w="0" w:type="dxa"/>
            <w:left w:w="0" w:type="dxa"/>
            <w:bottom w:w="0" w:type="dxa"/>
            <w:right w:w="0" w:type="dxa"/>
          </w:tblCellMar>
        </w:tblPrEx>
        <w:trPr>
          <w:trHeight w:val="1437" w:hRule="atLeast"/>
        </w:trPr>
        <w:tc>
          <w:tcPr>
            <w:tcW w:w="1562" w:type="dxa"/>
            <w:tcBorders>
              <w:top w:val="single" w:color="auto" w:sz="4" w:space="0"/>
              <w:left w:val="single" w:color="auto" w:sz="4" w:space="0"/>
              <w:bottom w:val="single" w:color="auto" w:sz="4" w:space="0"/>
              <w:right w:val="single" w:color="auto" w:sz="4" w:space="0"/>
            </w:tcBorders>
            <w:vAlign w:val="center"/>
          </w:tcPr>
          <w:p>
            <w:pPr>
              <w:pStyle w:val="56"/>
              <w:jc w:val="left"/>
              <w:rPr>
                <w:sz w:val="20"/>
                <w:szCs w:val="20"/>
                <w:highlight w:val="none"/>
              </w:rPr>
            </w:pPr>
            <w:r>
              <w:rPr>
                <w:rFonts w:hint="eastAsia"/>
                <w:sz w:val="20"/>
                <w:szCs w:val="20"/>
                <w:highlight w:val="none"/>
              </w:rPr>
              <w:t>安全培训（1 分）</w:t>
            </w:r>
          </w:p>
        </w:tc>
        <w:tc>
          <w:tcPr>
            <w:tcW w:w="2088" w:type="dxa"/>
            <w:tcBorders>
              <w:top w:val="single" w:color="auto" w:sz="4" w:space="0"/>
              <w:left w:val="single" w:color="auto" w:sz="4" w:space="0"/>
              <w:bottom w:val="single" w:color="auto" w:sz="4" w:space="0"/>
              <w:right w:val="single" w:color="auto" w:sz="4" w:space="0"/>
            </w:tcBorders>
            <w:vAlign w:val="center"/>
          </w:tcPr>
          <w:p>
            <w:pPr>
              <w:pStyle w:val="56"/>
              <w:jc w:val="left"/>
              <w:rPr>
                <w:sz w:val="20"/>
                <w:szCs w:val="20"/>
                <w:highlight w:val="none"/>
              </w:rPr>
            </w:pPr>
            <w:r>
              <w:rPr>
                <w:rFonts w:hint="eastAsia"/>
                <w:sz w:val="20"/>
                <w:szCs w:val="20"/>
                <w:highlight w:val="none"/>
              </w:rPr>
              <w:t>每缺一项扣 0.5 分</w:t>
            </w:r>
          </w:p>
        </w:tc>
        <w:tc>
          <w:tcPr>
            <w:tcW w:w="5675" w:type="dxa"/>
            <w:tcBorders>
              <w:left w:val="single" w:color="auto" w:sz="4" w:space="0"/>
              <w:bottom w:val="single" w:color="auto" w:sz="8" w:space="0"/>
              <w:right w:val="single" w:color="auto" w:sz="8" w:space="0"/>
            </w:tcBorders>
            <w:vAlign w:val="center"/>
          </w:tcPr>
          <w:p>
            <w:pPr>
              <w:pStyle w:val="56"/>
              <w:jc w:val="left"/>
              <w:rPr>
                <w:sz w:val="20"/>
                <w:szCs w:val="20"/>
                <w:highlight w:val="none"/>
              </w:rPr>
            </w:pPr>
            <w:r>
              <w:rPr>
                <w:rFonts w:hint="eastAsia"/>
                <w:sz w:val="20"/>
                <w:szCs w:val="20"/>
                <w:highlight w:val="none"/>
              </w:rPr>
              <w:t>安全培训要有年度、月度计划；结合工作岗位对职工进行安全教育，安全教育台帐齐全；</w:t>
            </w:r>
          </w:p>
          <w:p>
            <w:pPr>
              <w:pStyle w:val="56"/>
              <w:jc w:val="left"/>
              <w:rPr>
                <w:sz w:val="20"/>
                <w:szCs w:val="20"/>
                <w:highlight w:val="none"/>
              </w:rPr>
            </w:pPr>
            <w:r>
              <w:rPr>
                <w:rFonts w:hint="eastAsia"/>
                <w:sz w:val="20"/>
                <w:szCs w:val="20"/>
                <w:highlight w:val="none"/>
              </w:rPr>
              <w:t>三级安全培训要有培训内容及培训人员签字；厂主管领导和安全负责人要接受正规安全培训并具有地市级以上安全生产管理部门的安全资格证。</w:t>
            </w:r>
          </w:p>
        </w:tc>
      </w:tr>
      <w:tr>
        <w:tblPrEx>
          <w:tblCellMar>
            <w:top w:w="0" w:type="dxa"/>
            <w:left w:w="0" w:type="dxa"/>
            <w:bottom w:w="0" w:type="dxa"/>
            <w:right w:w="0" w:type="dxa"/>
          </w:tblCellMar>
        </w:tblPrEx>
        <w:trPr>
          <w:trHeight w:val="1443" w:hRule="atLeast"/>
        </w:trPr>
        <w:tc>
          <w:tcPr>
            <w:tcW w:w="1562" w:type="dxa"/>
            <w:tcBorders>
              <w:top w:val="single" w:color="auto" w:sz="4" w:space="0"/>
              <w:left w:val="single" w:color="auto" w:sz="4" w:space="0"/>
              <w:bottom w:val="single" w:color="auto" w:sz="4" w:space="0"/>
              <w:right w:val="single" w:color="auto" w:sz="4" w:space="0"/>
            </w:tcBorders>
            <w:vAlign w:val="center"/>
          </w:tcPr>
          <w:p>
            <w:pPr>
              <w:pStyle w:val="56"/>
              <w:jc w:val="left"/>
              <w:rPr>
                <w:sz w:val="20"/>
                <w:szCs w:val="20"/>
                <w:highlight w:val="none"/>
              </w:rPr>
            </w:pPr>
            <w:r>
              <w:rPr>
                <w:rFonts w:hint="eastAsia"/>
                <w:sz w:val="20"/>
                <w:szCs w:val="20"/>
                <w:highlight w:val="none"/>
              </w:rPr>
              <w:t>应急预案（2 分）</w:t>
            </w:r>
          </w:p>
        </w:tc>
        <w:tc>
          <w:tcPr>
            <w:tcW w:w="2088" w:type="dxa"/>
            <w:tcBorders>
              <w:top w:val="single" w:color="auto" w:sz="4" w:space="0"/>
              <w:left w:val="single" w:color="auto" w:sz="4" w:space="0"/>
              <w:bottom w:val="single" w:color="auto" w:sz="4" w:space="0"/>
              <w:right w:val="single" w:color="auto" w:sz="4" w:space="0"/>
            </w:tcBorders>
            <w:vAlign w:val="center"/>
          </w:tcPr>
          <w:p>
            <w:pPr>
              <w:pStyle w:val="56"/>
              <w:jc w:val="left"/>
              <w:rPr>
                <w:sz w:val="20"/>
                <w:szCs w:val="20"/>
                <w:highlight w:val="none"/>
              </w:rPr>
            </w:pPr>
            <w:r>
              <w:rPr>
                <w:rFonts w:hint="eastAsia"/>
                <w:sz w:val="20"/>
                <w:szCs w:val="20"/>
                <w:highlight w:val="none"/>
              </w:rPr>
              <w:t>建立完善的污水处理厂安全应急预案，并定期组织演练，得2 分；有预案但未定期组织演练，得 1 分；无预案，不得分</w:t>
            </w:r>
          </w:p>
        </w:tc>
        <w:tc>
          <w:tcPr>
            <w:tcW w:w="5675" w:type="dxa"/>
            <w:tcBorders>
              <w:left w:val="single" w:color="auto" w:sz="4" w:space="0"/>
              <w:bottom w:val="single" w:color="auto" w:sz="8" w:space="0"/>
              <w:right w:val="single" w:color="auto" w:sz="8" w:space="0"/>
            </w:tcBorders>
            <w:vAlign w:val="center"/>
          </w:tcPr>
          <w:p>
            <w:pPr>
              <w:pStyle w:val="56"/>
              <w:jc w:val="left"/>
              <w:rPr>
                <w:sz w:val="20"/>
                <w:szCs w:val="20"/>
                <w:highlight w:val="none"/>
              </w:rPr>
            </w:pPr>
            <w:r>
              <w:rPr>
                <w:rFonts w:hint="eastAsia"/>
                <w:sz w:val="20"/>
                <w:szCs w:val="20"/>
                <w:highlight w:val="none"/>
              </w:rPr>
              <w:t>专项应急预案应包括：主要工艺控制参数异常、主要设备故障、在线仪表等异常情况的工艺应急预案；化验室应制定各项安全技术规范及应急预案；管道、电气、停电、停水、雪灾、泄漏、主要设备故障、自控网络及在线仪表等突发事件、事故及火灾、水灾、爆炸、中毒等重大安全事故的预案。</w:t>
            </w:r>
          </w:p>
        </w:tc>
      </w:tr>
    </w:tbl>
    <w:p>
      <w:pPr>
        <w:pStyle w:val="56"/>
        <w:spacing w:line="423" w:lineRule="exact"/>
        <w:ind w:left="60"/>
        <w:jc w:val="left"/>
        <w:rPr>
          <w:rFonts w:ascii="宋体" w:hAnsi="宋体" w:cs="宋体"/>
          <w:b/>
          <w:bCs/>
          <w:sz w:val="20"/>
          <w:szCs w:val="20"/>
          <w:highlight w:val="none"/>
        </w:rPr>
      </w:pPr>
      <w:r>
        <w:rPr>
          <w:rFonts w:hint="eastAsia" w:ascii="宋体" w:hAnsi="宋体" w:cs="宋体"/>
          <w:b/>
          <w:bCs/>
          <w:sz w:val="20"/>
          <w:szCs w:val="20"/>
          <w:highlight w:val="none"/>
        </w:rPr>
        <w:t>八、厂容厂貌（5 分）</w:t>
      </w:r>
    </w:p>
    <w:tbl>
      <w:tblPr>
        <w:tblStyle w:val="25"/>
        <w:tblW w:w="9325" w:type="dxa"/>
        <w:tblInd w:w="222" w:type="dxa"/>
        <w:tblLayout w:type="fixed"/>
        <w:tblCellMar>
          <w:top w:w="0" w:type="dxa"/>
          <w:left w:w="0" w:type="dxa"/>
          <w:bottom w:w="0" w:type="dxa"/>
          <w:right w:w="0" w:type="dxa"/>
        </w:tblCellMar>
      </w:tblPr>
      <w:tblGrid>
        <w:gridCol w:w="1575"/>
        <w:gridCol w:w="1388"/>
        <w:gridCol w:w="6362"/>
      </w:tblGrid>
      <w:tr>
        <w:tblPrEx>
          <w:tblCellMar>
            <w:top w:w="0" w:type="dxa"/>
            <w:left w:w="0" w:type="dxa"/>
            <w:bottom w:w="0" w:type="dxa"/>
            <w:right w:w="0" w:type="dxa"/>
          </w:tblCellMar>
        </w:tblPrEx>
        <w:trPr>
          <w:trHeight w:val="393" w:hRule="atLeast"/>
        </w:trPr>
        <w:tc>
          <w:tcPr>
            <w:tcW w:w="1575" w:type="dxa"/>
            <w:tcBorders>
              <w:top w:val="single" w:color="auto" w:sz="4" w:space="0"/>
              <w:left w:val="single" w:color="auto" w:sz="4" w:space="0"/>
              <w:bottom w:val="single" w:color="auto" w:sz="4" w:space="0"/>
              <w:right w:val="single" w:color="auto" w:sz="4" w:space="0"/>
            </w:tcBorders>
            <w:vAlign w:val="center"/>
          </w:tcPr>
          <w:p>
            <w:pPr>
              <w:pStyle w:val="56"/>
              <w:jc w:val="center"/>
              <w:rPr>
                <w:b/>
                <w:bCs/>
                <w:sz w:val="20"/>
                <w:szCs w:val="20"/>
                <w:highlight w:val="none"/>
              </w:rPr>
            </w:pPr>
            <w:r>
              <w:rPr>
                <w:rFonts w:hint="eastAsia"/>
                <w:b/>
                <w:bCs/>
                <w:sz w:val="20"/>
                <w:szCs w:val="20"/>
                <w:highlight w:val="none"/>
              </w:rPr>
              <w:t>考核内容</w:t>
            </w:r>
          </w:p>
        </w:tc>
        <w:tc>
          <w:tcPr>
            <w:tcW w:w="1388" w:type="dxa"/>
            <w:tcBorders>
              <w:top w:val="single" w:color="auto" w:sz="4" w:space="0"/>
              <w:left w:val="single" w:color="auto" w:sz="4" w:space="0"/>
              <w:bottom w:val="single" w:color="auto" w:sz="4" w:space="0"/>
              <w:right w:val="single" w:color="auto" w:sz="4" w:space="0"/>
            </w:tcBorders>
            <w:vAlign w:val="center"/>
          </w:tcPr>
          <w:p>
            <w:pPr>
              <w:pStyle w:val="56"/>
              <w:jc w:val="center"/>
              <w:rPr>
                <w:b/>
                <w:bCs/>
                <w:sz w:val="20"/>
                <w:szCs w:val="20"/>
                <w:highlight w:val="none"/>
              </w:rPr>
            </w:pPr>
            <w:r>
              <w:rPr>
                <w:rFonts w:hint="eastAsia"/>
                <w:b/>
                <w:bCs/>
                <w:sz w:val="20"/>
                <w:szCs w:val="20"/>
                <w:highlight w:val="none"/>
              </w:rPr>
              <w:t>评分标准</w:t>
            </w:r>
          </w:p>
        </w:tc>
        <w:tc>
          <w:tcPr>
            <w:tcW w:w="6362" w:type="dxa"/>
            <w:tcBorders>
              <w:top w:val="single" w:color="auto" w:sz="4" w:space="0"/>
              <w:left w:val="single" w:color="auto" w:sz="4" w:space="0"/>
              <w:bottom w:val="single" w:color="auto" w:sz="4" w:space="0"/>
              <w:right w:val="single" w:color="auto" w:sz="4" w:space="0"/>
            </w:tcBorders>
            <w:vAlign w:val="center"/>
          </w:tcPr>
          <w:p>
            <w:pPr>
              <w:pStyle w:val="56"/>
              <w:jc w:val="center"/>
              <w:rPr>
                <w:b/>
                <w:bCs/>
                <w:sz w:val="20"/>
                <w:szCs w:val="20"/>
                <w:highlight w:val="none"/>
              </w:rPr>
            </w:pPr>
            <w:r>
              <w:rPr>
                <w:rFonts w:hint="eastAsia"/>
                <w:b/>
                <w:bCs/>
                <w:sz w:val="20"/>
                <w:szCs w:val="20"/>
                <w:highlight w:val="none"/>
              </w:rPr>
              <w:t>考核说明</w:t>
            </w:r>
          </w:p>
        </w:tc>
      </w:tr>
      <w:tr>
        <w:tblPrEx>
          <w:tblCellMar>
            <w:top w:w="0" w:type="dxa"/>
            <w:left w:w="0" w:type="dxa"/>
            <w:bottom w:w="0" w:type="dxa"/>
            <w:right w:w="0" w:type="dxa"/>
          </w:tblCellMar>
        </w:tblPrEx>
        <w:trPr>
          <w:trHeight w:val="1577" w:hRule="atLeast"/>
        </w:trPr>
        <w:tc>
          <w:tcPr>
            <w:tcW w:w="1575" w:type="dxa"/>
            <w:tcBorders>
              <w:top w:val="single" w:color="auto" w:sz="4" w:space="0"/>
              <w:left w:val="single" w:color="auto" w:sz="4" w:space="0"/>
              <w:bottom w:val="single" w:color="auto" w:sz="4" w:space="0"/>
              <w:right w:val="single" w:color="auto" w:sz="4" w:space="0"/>
            </w:tcBorders>
            <w:vAlign w:val="center"/>
          </w:tcPr>
          <w:p>
            <w:pPr>
              <w:pStyle w:val="56"/>
              <w:jc w:val="left"/>
              <w:rPr>
                <w:sz w:val="20"/>
                <w:szCs w:val="20"/>
                <w:highlight w:val="none"/>
              </w:rPr>
            </w:pPr>
            <w:r>
              <w:rPr>
                <w:rFonts w:hint="eastAsia"/>
                <w:sz w:val="20"/>
                <w:szCs w:val="20"/>
                <w:highlight w:val="none"/>
              </w:rPr>
              <w:t>室外（1 分）</w:t>
            </w:r>
          </w:p>
        </w:tc>
        <w:tc>
          <w:tcPr>
            <w:tcW w:w="1388" w:type="dxa"/>
            <w:tcBorders>
              <w:top w:val="single" w:color="auto" w:sz="4" w:space="0"/>
              <w:left w:val="single" w:color="auto" w:sz="4" w:space="0"/>
              <w:bottom w:val="single" w:color="auto" w:sz="4" w:space="0"/>
              <w:right w:val="single" w:color="auto" w:sz="4" w:space="0"/>
            </w:tcBorders>
            <w:vAlign w:val="center"/>
          </w:tcPr>
          <w:p>
            <w:pPr>
              <w:pStyle w:val="56"/>
              <w:jc w:val="left"/>
              <w:rPr>
                <w:sz w:val="20"/>
                <w:szCs w:val="20"/>
                <w:highlight w:val="none"/>
              </w:rPr>
            </w:pPr>
            <w:r>
              <w:rPr>
                <w:rFonts w:hint="eastAsia"/>
                <w:sz w:val="20"/>
                <w:szCs w:val="20"/>
                <w:highlight w:val="none"/>
              </w:rPr>
              <w:t>每有一项不符合要求，扣 0.2 分，扣完为止</w:t>
            </w:r>
          </w:p>
        </w:tc>
        <w:tc>
          <w:tcPr>
            <w:tcW w:w="6362" w:type="dxa"/>
            <w:tcBorders>
              <w:top w:val="single" w:color="auto" w:sz="4" w:space="0"/>
              <w:left w:val="single" w:color="auto" w:sz="4" w:space="0"/>
              <w:bottom w:val="single" w:color="auto" w:sz="4" w:space="0"/>
              <w:right w:val="single" w:color="auto" w:sz="4" w:space="0"/>
            </w:tcBorders>
            <w:vAlign w:val="center"/>
          </w:tcPr>
          <w:p>
            <w:pPr>
              <w:pStyle w:val="56"/>
              <w:jc w:val="left"/>
              <w:rPr>
                <w:sz w:val="20"/>
                <w:szCs w:val="20"/>
                <w:highlight w:val="none"/>
              </w:rPr>
            </w:pPr>
            <w:r>
              <w:rPr>
                <w:rFonts w:hint="eastAsia"/>
                <w:sz w:val="20"/>
                <w:szCs w:val="20"/>
                <w:highlight w:val="none"/>
              </w:rPr>
              <w:t>建筑物外观整洁、无明显的破损、渗漏、污染；厂区内道路完好、无破损、无积水、积尘、垃圾，必要时在主要路段设立指示和指示标志，无道路安全隐患；厂内设有机动车和费机动车停车场，车辆在固定场所停放有序。其它区域严禁各种车辆随意停放；厂内照明设施完好；厂内绿化、景观良好，且绿地植被无死亡缺损现象；生产区内无堆放与生产工作无关的杂物，保持清洁整齐。</w:t>
            </w:r>
          </w:p>
        </w:tc>
      </w:tr>
      <w:tr>
        <w:tblPrEx>
          <w:tblCellMar>
            <w:top w:w="0" w:type="dxa"/>
            <w:left w:w="0" w:type="dxa"/>
            <w:bottom w:w="0" w:type="dxa"/>
            <w:right w:w="0" w:type="dxa"/>
          </w:tblCellMar>
        </w:tblPrEx>
        <w:trPr>
          <w:trHeight w:val="1269" w:hRule="atLeast"/>
        </w:trPr>
        <w:tc>
          <w:tcPr>
            <w:tcW w:w="1575" w:type="dxa"/>
            <w:tcBorders>
              <w:top w:val="single" w:color="auto" w:sz="4" w:space="0"/>
              <w:left w:val="single" w:color="auto" w:sz="4" w:space="0"/>
              <w:bottom w:val="single" w:color="auto" w:sz="4" w:space="0"/>
              <w:right w:val="single" w:color="auto" w:sz="4" w:space="0"/>
            </w:tcBorders>
            <w:vAlign w:val="center"/>
          </w:tcPr>
          <w:p>
            <w:pPr>
              <w:pStyle w:val="56"/>
              <w:jc w:val="left"/>
              <w:rPr>
                <w:sz w:val="20"/>
                <w:szCs w:val="20"/>
                <w:highlight w:val="none"/>
              </w:rPr>
            </w:pPr>
            <w:r>
              <w:rPr>
                <w:rFonts w:hint="eastAsia"/>
                <w:sz w:val="20"/>
                <w:szCs w:val="20"/>
                <w:highlight w:val="none"/>
              </w:rPr>
              <w:t>室内（2 分）</w:t>
            </w:r>
          </w:p>
        </w:tc>
        <w:tc>
          <w:tcPr>
            <w:tcW w:w="1388" w:type="dxa"/>
            <w:tcBorders>
              <w:top w:val="single" w:color="auto" w:sz="4" w:space="0"/>
              <w:left w:val="single" w:color="auto" w:sz="4" w:space="0"/>
              <w:bottom w:val="single" w:color="auto" w:sz="4" w:space="0"/>
              <w:right w:val="single" w:color="auto" w:sz="4" w:space="0"/>
            </w:tcBorders>
            <w:vAlign w:val="center"/>
          </w:tcPr>
          <w:p>
            <w:pPr>
              <w:pStyle w:val="56"/>
              <w:jc w:val="left"/>
              <w:rPr>
                <w:sz w:val="20"/>
                <w:szCs w:val="20"/>
                <w:highlight w:val="none"/>
              </w:rPr>
            </w:pPr>
            <w:r>
              <w:rPr>
                <w:rFonts w:hint="eastAsia"/>
                <w:sz w:val="20"/>
                <w:szCs w:val="20"/>
                <w:highlight w:val="none"/>
              </w:rPr>
              <w:t>每有一项不符合要求，扣 0.5分，扣完为止</w:t>
            </w:r>
          </w:p>
        </w:tc>
        <w:tc>
          <w:tcPr>
            <w:tcW w:w="6362" w:type="dxa"/>
            <w:tcBorders>
              <w:top w:val="single" w:color="auto" w:sz="4" w:space="0"/>
              <w:left w:val="single" w:color="auto" w:sz="4" w:space="0"/>
              <w:bottom w:val="single" w:color="auto" w:sz="4" w:space="0"/>
              <w:right w:val="single" w:color="auto" w:sz="4" w:space="0"/>
            </w:tcBorders>
            <w:vAlign w:val="center"/>
          </w:tcPr>
          <w:p>
            <w:pPr>
              <w:pStyle w:val="56"/>
              <w:jc w:val="left"/>
              <w:rPr>
                <w:sz w:val="20"/>
                <w:szCs w:val="20"/>
                <w:highlight w:val="none"/>
              </w:rPr>
            </w:pPr>
            <w:r>
              <w:rPr>
                <w:rFonts w:hint="eastAsia"/>
                <w:sz w:val="20"/>
                <w:szCs w:val="20"/>
                <w:highlight w:val="none"/>
              </w:rPr>
              <w:t>办公室、值班室、操作室、机房内物品摆放整齐，无烟头污渍，门、窗、玻璃明亮无破损，墙壁整洁，不得放置与工作无关的公私物品；办公桌椅摆放整齐无破损，各类操作工具应整齐放置在指定地点；食堂、淋浴室、卫生间设施齐全、无破损、无异味；作人员着装整齐、干净、文明礼貌。</w:t>
            </w:r>
          </w:p>
        </w:tc>
      </w:tr>
      <w:tr>
        <w:tblPrEx>
          <w:tblCellMar>
            <w:top w:w="0" w:type="dxa"/>
            <w:left w:w="0" w:type="dxa"/>
            <w:bottom w:w="0" w:type="dxa"/>
            <w:right w:w="0" w:type="dxa"/>
          </w:tblCellMar>
        </w:tblPrEx>
        <w:trPr>
          <w:trHeight w:val="1255" w:hRule="atLeast"/>
        </w:trPr>
        <w:tc>
          <w:tcPr>
            <w:tcW w:w="1575" w:type="dxa"/>
            <w:tcBorders>
              <w:top w:val="single" w:color="auto" w:sz="4" w:space="0"/>
              <w:left w:val="single" w:color="auto" w:sz="4" w:space="0"/>
              <w:bottom w:val="single" w:color="auto" w:sz="4" w:space="0"/>
              <w:right w:val="single" w:color="auto" w:sz="4" w:space="0"/>
            </w:tcBorders>
            <w:vAlign w:val="center"/>
          </w:tcPr>
          <w:p>
            <w:pPr>
              <w:pStyle w:val="56"/>
              <w:jc w:val="left"/>
              <w:rPr>
                <w:sz w:val="20"/>
                <w:szCs w:val="20"/>
                <w:highlight w:val="none"/>
              </w:rPr>
            </w:pPr>
            <w:r>
              <w:rPr>
                <w:rFonts w:hint="eastAsia"/>
                <w:sz w:val="20"/>
                <w:szCs w:val="20"/>
                <w:highlight w:val="none"/>
              </w:rPr>
              <w:t>构筑物、管道等</w:t>
            </w:r>
          </w:p>
          <w:p>
            <w:pPr>
              <w:pStyle w:val="56"/>
              <w:jc w:val="left"/>
              <w:rPr>
                <w:sz w:val="20"/>
                <w:szCs w:val="20"/>
                <w:highlight w:val="none"/>
              </w:rPr>
            </w:pPr>
            <w:r>
              <w:rPr>
                <w:rFonts w:hint="eastAsia"/>
                <w:sz w:val="20"/>
                <w:szCs w:val="20"/>
                <w:highlight w:val="none"/>
              </w:rPr>
              <w:t>（2分）</w:t>
            </w:r>
          </w:p>
        </w:tc>
        <w:tc>
          <w:tcPr>
            <w:tcW w:w="1388" w:type="dxa"/>
            <w:tcBorders>
              <w:top w:val="single" w:color="auto" w:sz="4" w:space="0"/>
              <w:left w:val="single" w:color="auto" w:sz="4" w:space="0"/>
              <w:bottom w:val="single" w:color="auto" w:sz="4" w:space="0"/>
              <w:right w:val="single" w:color="auto" w:sz="4" w:space="0"/>
            </w:tcBorders>
            <w:vAlign w:val="center"/>
          </w:tcPr>
          <w:p>
            <w:pPr>
              <w:pStyle w:val="56"/>
              <w:jc w:val="left"/>
              <w:rPr>
                <w:sz w:val="20"/>
                <w:szCs w:val="20"/>
                <w:highlight w:val="none"/>
              </w:rPr>
            </w:pPr>
            <w:r>
              <w:rPr>
                <w:rFonts w:hint="eastAsia"/>
                <w:sz w:val="20"/>
                <w:szCs w:val="20"/>
                <w:highlight w:val="none"/>
              </w:rPr>
              <w:t>每有一项不符合要求，扣 0.5 分，扣完为止</w:t>
            </w:r>
          </w:p>
        </w:tc>
        <w:tc>
          <w:tcPr>
            <w:tcW w:w="6362" w:type="dxa"/>
            <w:tcBorders>
              <w:top w:val="single" w:color="auto" w:sz="4" w:space="0"/>
              <w:left w:val="single" w:color="auto" w:sz="4" w:space="0"/>
              <w:bottom w:val="single" w:color="auto" w:sz="4" w:space="0"/>
              <w:right w:val="single" w:color="auto" w:sz="4" w:space="0"/>
            </w:tcBorders>
            <w:vAlign w:val="center"/>
          </w:tcPr>
          <w:p>
            <w:pPr>
              <w:pStyle w:val="56"/>
              <w:jc w:val="left"/>
              <w:rPr>
                <w:sz w:val="20"/>
                <w:szCs w:val="20"/>
                <w:highlight w:val="none"/>
              </w:rPr>
            </w:pPr>
            <w:r>
              <w:rPr>
                <w:rFonts w:hint="eastAsia"/>
                <w:sz w:val="20"/>
                <w:szCs w:val="20"/>
                <w:highlight w:val="none"/>
              </w:rPr>
              <w:t>构筑物外观整洁，无渗漏；堰口、池壁保持清洁、完好、出水均匀，池面清洁；各种管道、闸阀无破损、无泄露，色标明显；各种井盖整齐完好，井内无杂物、积水、污物；井内和露地的管阀、管件无缺损，无明显锈蚀；电缆沟内无积水和杂物垃圾，盖板完整，各种线路按规定摆放整齐，标示明显。</w:t>
            </w:r>
          </w:p>
        </w:tc>
      </w:tr>
    </w:tbl>
    <w:p>
      <w:pPr>
        <w:pStyle w:val="56"/>
        <w:spacing w:line="423" w:lineRule="exact"/>
        <w:ind w:left="60"/>
        <w:jc w:val="left"/>
        <w:rPr>
          <w:rFonts w:ascii="宋体" w:hAnsi="宋体" w:cs="宋体"/>
          <w:b/>
          <w:bCs/>
          <w:sz w:val="20"/>
          <w:szCs w:val="20"/>
          <w:highlight w:val="none"/>
        </w:rPr>
      </w:pPr>
      <w:r>
        <w:rPr>
          <w:rFonts w:hint="eastAsia" w:ascii="宋体" w:hAnsi="宋体" w:cs="宋体"/>
          <w:b/>
          <w:bCs/>
          <w:sz w:val="20"/>
          <w:szCs w:val="20"/>
          <w:highlight w:val="none"/>
        </w:rPr>
        <w:t>九、制度建设（6 分）</w:t>
      </w:r>
    </w:p>
    <w:tbl>
      <w:tblPr>
        <w:tblStyle w:val="25"/>
        <w:tblW w:w="9300" w:type="dxa"/>
        <w:tblInd w:w="2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75"/>
        <w:gridCol w:w="3400"/>
        <w:gridCol w:w="4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1" w:hRule="atLeast"/>
        </w:trPr>
        <w:tc>
          <w:tcPr>
            <w:tcW w:w="1475" w:type="dxa"/>
            <w:vAlign w:val="center"/>
          </w:tcPr>
          <w:p>
            <w:pPr>
              <w:pStyle w:val="56"/>
              <w:jc w:val="center"/>
              <w:rPr>
                <w:b/>
                <w:bCs/>
                <w:sz w:val="20"/>
                <w:szCs w:val="20"/>
                <w:highlight w:val="none"/>
              </w:rPr>
            </w:pPr>
            <w:r>
              <w:rPr>
                <w:rFonts w:hint="eastAsia"/>
                <w:b/>
                <w:bCs/>
                <w:sz w:val="20"/>
                <w:szCs w:val="20"/>
                <w:highlight w:val="none"/>
              </w:rPr>
              <w:t>考核内容</w:t>
            </w:r>
          </w:p>
        </w:tc>
        <w:tc>
          <w:tcPr>
            <w:tcW w:w="3400" w:type="dxa"/>
            <w:vAlign w:val="center"/>
          </w:tcPr>
          <w:p>
            <w:pPr>
              <w:pStyle w:val="56"/>
              <w:jc w:val="center"/>
              <w:rPr>
                <w:b/>
                <w:bCs/>
                <w:sz w:val="20"/>
                <w:szCs w:val="20"/>
                <w:highlight w:val="none"/>
              </w:rPr>
            </w:pPr>
            <w:r>
              <w:rPr>
                <w:rFonts w:hint="eastAsia"/>
                <w:b/>
                <w:bCs/>
                <w:sz w:val="20"/>
                <w:szCs w:val="20"/>
                <w:highlight w:val="none"/>
              </w:rPr>
              <w:t>评分标准</w:t>
            </w:r>
          </w:p>
        </w:tc>
        <w:tc>
          <w:tcPr>
            <w:tcW w:w="4425" w:type="dxa"/>
            <w:vAlign w:val="center"/>
          </w:tcPr>
          <w:p>
            <w:pPr>
              <w:pStyle w:val="56"/>
              <w:jc w:val="center"/>
              <w:rPr>
                <w:b/>
                <w:bCs/>
                <w:sz w:val="20"/>
                <w:szCs w:val="20"/>
                <w:highlight w:val="none"/>
              </w:rPr>
            </w:pPr>
            <w:r>
              <w:rPr>
                <w:rFonts w:hint="eastAsia"/>
                <w:b/>
                <w:bCs/>
                <w:sz w:val="20"/>
                <w:szCs w:val="20"/>
                <w:highlight w:val="none"/>
              </w:rPr>
              <w:t>考核说明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66" w:hRule="atLeast"/>
        </w:trPr>
        <w:tc>
          <w:tcPr>
            <w:tcW w:w="1475" w:type="dxa"/>
            <w:vAlign w:val="center"/>
          </w:tcPr>
          <w:p>
            <w:pPr>
              <w:pStyle w:val="56"/>
              <w:jc w:val="center"/>
              <w:rPr>
                <w:sz w:val="20"/>
                <w:szCs w:val="20"/>
                <w:highlight w:val="none"/>
              </w:rPr>
            </w:pPr>
            <w:r>
              <w:rPr>
                <w:rFonts w:hint="eastAsia"/>
                <w:sz w:val="20"/>
                <w:szCs w:val="20"/>
                <w:highlight w:val="none"/>
              </w:rPr>
              <w:t>操作管理</w:t>
            </w:r>
          </w:p>
          <w:p>
            <w:pPr>
              <w:pStyle w:val="56"/>
              <w:jc w:val="center"/>
              <w:rPr>
                <w:sz w:val="20"/>
                <w:szCs w:val="20"/>
                <w:highlight w:val="none"/>
              </w:rPr>
            </w:pPr>
            <w:r>
              <w:rPr>
                <w:rFonts w:hint="eastAsia"/>
                <w:sz w:val="20"/>
                <w:szCs w:val="20"/>
                <w:highlight w:val="none"/>
              </w:rPr>
              <w:t>（3 分）</w:t>
            </w:r>
          </w:p>
        </w:tc>
        <w:tc>
          <w:tcPr>
            <w:tcW w:w="3400" w:type="dxa"/>
            <w:vAlign w:val="center"/>
          </w:tcPr>
          <w:p>
            <w:pPr>
              <w:pStyle w:val="56"/>
              <w:jc w:val="left"/>
              <w:rPr>
                <w:sz w:val="20"/>
                <w:szCs w:val="20"/>
                <w:highlight w:val="none"/>
              </w:rPr>
            </w:pPr>
            <w:r>
              <w:rPr>
                <w:rFonts w:hint="eastAsia"/>
                <w:sz w:val="20"/>
                <w:szCs w:val="20"/>
                <w:highlight w:val="none"/>
              </w:rPr>
              <w:t>每缺一项，扣 0.5 分，扣完为止</w:t>
            </w:r>
          </w:p>
        </w:tc>
        <w:tc>
          <w:tcPr>
            <w:tcW w:w="4425" w:type="dxa"/>
            <w:vAlign w:val="center"/>
          </w:tcPr>
          <w:p>
            <w:pPr>
              <w:pStyle w:val="56"/>
              <w:jc w:val="left"/>
              <w:rPr>
                <w:sz w:val="20"/>
                <w:szCs w:val="20"/>
                <w:highlight w:val="none"/>
              </w:rPr>
            </w:pPr>
            <w:r>
              <w:rPr>
                <w:rFonts w:hint="eastAsia"/>
                <w:sz w:val="20"/>
                <w:szCs w:val="20"/>
                <w:highlight w:val="none"/>
              </w:rPr>
              <w:t>污水处理厂应建立并逐步完善科学、合理的构筑物、设备、岗位、安全的各项操作规程；各工艺段均应制定操作规程，明确工艺参数和工艺调整的范围和程序；各工艺段均应有安全操作规程、防护规程；岗位责任制度、巡检制度、设备管理制度、化验室管理制度、岗位工作职责等各项规章制度齐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5" w:hRule="atLeast"/>
        </w:trPr>
        <w:tc>
          <w:tcPr>
            <w:tcW w:w="1475" w:type="dxa"/>
            <w:vAlign w:val="center"/>
          </w:tcPr>
          <w:p>
            <w:pPr>
              <w:pStyle w:val="56"/>
              <w:jc w:val="center"/>
              <w:rPr>
                <w:sz w:val="20"/>
                <w:szCs w:val="20"/>
                <w:highlight w:val="none"/>
              </w:rPr>
            </w:pPr>
            <w:r>
              <w:rPr>
                <w:rFonts w:hint="eastAsia"/>
                <w:sz w:val="20"/>
                <w:szCs w:val="20"/>
                <w:highlight w:val="none"/>
              </w:rPr>
              <w:t>考核制度</w:t>
            </w:r>
          </w:p>
          <w:p>
            <w:pPr>
              <w:pStyle w:val="56"/>
              <w:jc w:val="center"/>
              <w:rPr>
                <w:sz w:val="20"/>
                <w:szCs w:val="20"/>
                <w:highlight w:val="none"/>
              </w:rPr>
            </w:pPr>
            <w:r>
              <w:rPr>
                <w:rFonts w:hint="eastAsia"/>
                <w:sz w:val="20"/>
                <w:szCs w:val="20"/>
                <w:highlight w:val="none"/>
              </w:rPr>
              <w:t>（1 分）</w:t>
            </w:r>
          </w:p>
        </w:tc>
        <w:tc>
          <w:tcPr>
            <w:tcW w:w="3400" w:type="dxa"/>
            <w:vAlign w:val="center"/>
          </w:tcPr>
          <w:p>
            <w:pPr>
              <w:pStyle w:val="56"/>
              <w:jc w:val="left"/>
              <w:rPr>
                <w:sz w:val="20"/>
                <w:szCs w:val="20"/>
                <w:highlight w:val="none"/>
              </w:rPr>
            </w:pPr>
            <w:r>
              <w:rPr>
                <w:rFonts w:hint="eastAsia"/>
                <w:sz w:val="20"/>
                <w:szCs w:val="20"/>
                <w:highlight w:val="none"/>
              </w:rPr>
              <w:t>有考核制度并能严格实施，得 1分；有考核制度但不能很好地实施，得 0.5分，无考核制度，不得分</w:t>
            </w:r>
          </w:p>
        </w:tc>
        <w:tc>
          <w:tcPr>
            <w:tcW w:w="4425" w:type="dxa"/>
            <w:vAlign w:val="center"/>
          </w:tcPr>
          <w:p>
            <w:pPr>
              <w:pStyle w:val="56"/>
              <w:jc w:val="left"/>
              <w:rPr>
                <w:sz w:val="20"/>
                <w:szCs w:val="20"/>
                <w:highlight w:val="none"/>
              </w:rPr>
            </w:pPr>
            <w:r>
              <w:rPr>
                <w:rFonts w:hint="eastAsia"/>
                <w:sz w:val="20"/>
                <w:szCs w:val="20"/>
                <w:highlight w:val="none"/>
              </w:rPr>
              <w:t>污水处理厂应制定严格、规范的各类考核制度并认真</w:t>
            </w:r>
          </w:p>
          <w:p>
            <w:pPr>
              <w:pStyle w:val="56"/>
              <w:jc w:val="left"/>
              <w:rPr>
                <w:sz w:val="20"/>
                <w:szCs w:val="20"/>
                <w:highlight w:val="none"/>
              </w:rPr>
            </w:pPr>
            <w:r>
              <w:rPr>
                <w:rFonts w:hint="eastAsia"/>
                <w:sz w:val="20"/>
                <w:szCs w:val="20"/>
                <w:highlight w:val="none"/>
              </w:rPr>
              <w:t>实施，不断提高管理水平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70" w:hRule="atLeast"/>
        </w:trPr>
        <w:tc>
          <w:tcPr>
            <w:tcW w:w="1475" w:type="dxa"/>
            <w:vAlign w:val="center"/>
          </w:tcPr>
          <w:p>
            <w:pPr>
              <w:pStyle w:val="56"/>
              <w:jc w:val="left"/>
              <w:rPr>
                <w:sz w:val="20"/>
                <w:szCs w:val="20"/>
                <w:highlight w:val="none"/>
              </w:rPr>
            </w:pPr>
            <w:r>
              <w:rPr>
                <w:rFonts w:hint="eastAsia"/>
                <w:sz w:val="20"/>
                <w:szCs w:val="20"/>
                <w:highlight w:val="none"/>
              </w:rPr>
              <w:t>信息建设</w:t>
            </w:r>
          </w:p>
          <w:p>
            <w:pPr>
              <w:pStyle w:val="56"/>
              <w:jc w:val="left"/>
              <w:rPr>
                <w:sz w:val="20"/>
                <w:szCs w:val="20"/>
                <w:highlight w:val="none"/>
              </w:rPr>
            </w:pPr>
            <w:r>
              <w:rPr>
                <w:rFonts w:hint="eastAsia"/>
                <w:sz w:val="20"/>
                <w:szCs w:val="20"/>
                <w:highlight w:val="none"/>
              </w:rPr>
              <w:t>（1 分）</w:t>
            </w:r>
          </w:p>
        </w:tc>
        <w:tc>
          <w:tcPr>
            <w:tcW w:w="3400" w:type="dxa"/>
            <w:vAlign w:val="center"/>
          </w:tcPr>
          <w:p>
            <w:pPr>
              <w:pStyle w:val="56"/>
              <w:jc w:val="left"/>
              <w:rPr>
                <w:sz w:val="20"/>
                <w:szCs w:val="20"/>
                <w:highlight w:val="none"/>
              </w:rPr>
            </w:pPr>
            <w:r>
              <w:rPr>
                <w:rFonts w:hint="eastAsia"/>
                <w:sz w:val="20"/>
                <w:szCs w:val="20"/>
                <w:highlight w:val="none"/>
              </w:rPr>
              <w:t>有良好的信息化建设平台，能很好地通过对内对外信息平台为生产服务；凡纳入“全国城镇污水处理信息系统”的污水处理厂，应申报及时，数据填写真实、可靠，得 1 分；否则，不得分</w:t>
            </w:r>
          </w:p>
        </w:tc>
        <w:tc>
          <w:tcPr>
            <w:tcW w:w="4425" w:type="dxa"/>
            <w:vAlign w:val="center"/>
          </w:tcPr>
          <w:p>
            <w:pPr>
              <w:pStyle w:val="56"/>
              <w:jc w:val="left"/>
              <w:rPr>
                <w:sz w:val="20"/>
                <w:szCs w:val="20"/>
                <w:highlight w:val="none"/>
              </w:rPr>
            </w:pPr>
            <w:r>
              <w:rPr>
                <w:rFonts w:hint="eastAsia"/>
                <w:sz w:val="20"/>
                <w:szCs w:val="20"/>
                <w:highlight w:val="none"/>
              </w:rPr>
              <w:t>严格杜绝因填报工作不及时，不真实、不可靠被上级部</w:t>
            </w:r>
          </w:p>
          <w:p>
            <w:pPr>
              <w:pStyle w:val="56"/>
              <w:jc w:val="left"/>
              <w:rPr>
                <w:sz w:val="20"/>
                <w:szCs w:val="20"/>
                <w:highlight w:val="none"/>
              </w:rPr>
            </w:pPr>
            <w:r>
              <w:rPr>
                <w:rFonts w:hint="eastAsia"/>
                <w:sz w:val="20"/>
                <w:szCs w:val="20"/>
                <w:highlight w:val="none"/>
              </w:rPr>
              <w:t>门通报情况的发生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0" w:hRule="atLeast"/>
        </w:trPr>
        <w:tc>
          <w:tcPr>
            <w:tcW w:w="1475" w:type="dxa"/>
            <w:vAlign w:val="center"/>
          </w:tcPr>
          <w:p>
            <w:pPr>
              <w:pStyle w:val="56"/>
              <w:jc w:val="left"/>
              <w:rPr>
                <w:sz w:val="20"/>
                <w:szCs w:val="20"/>
                <w:highlight w:val="none"/>
              </w:rPr>
            </w:pPr>
            <w:r>
              <w:rPr>
                <w:rFonts w:hint="eastAsia"/>
                <w:sz w:val="20"/>
                <w:szCs w:val="20"/>
                <w:highlight w:val="none"/>
              </w:rPr>
              <w:t>企业文化建设（1分）</w:t>
            </w:r>
          </w:p>
        </w:tc>
        <w:tc>
          <w:tcPr>
            <w:tcW w:w="3400" w:type="dxa"/>
            <w:vAlign w:val="center"/>
          </w:tcPr>
          <w:p>
            <w:pPr>
              <w:pStyle w:val="56"/>
              <w:jc w:val="left"/>
              <w:rPr>
                <w:sz w:val="20"/>
                <w:szCs w:val="20"/>
                <w:highlight w:val="none"/>
              </w:rPr>
            </w:pPr>
            <w:r>
              <w:rPr>
                <w:rFonts w:hint="eastAsia"/>
                <w:sz w:val="20"/>
                <w:szCs w:val="20"/>
                <w:highlight w:val="none"/>
              </w:rPr>
              <w:t>有良好的企业文化氛围，得1 分，否则，不得分</w:t>
            </w:r>
          </w:p>
        </w:tc>
        <w:tc>
          <w:tcPr>
            <w:tcW w:w="4425" w:type="dxa"/>
            <w:vAlign w:val="center"/>
          </w:tcPr>
          <w:p>
            <w:pPr>
              <w:pStyle w:val="56"/>
              <w:jc w:val="left"/>
              <w:rPr>
                <w:sz w:val="20"/>
                <w:szCs w:val="20"/>
                <w:highlight w:val="none"/>
              </w:rPr>
            </w:pPr>
            <w:r>
              <w:rPr>
                <w:rFonts w:hint="eastAsia"/>
                <w:sz w:val="20"/>
                <w:szCs w:val="20"/>
                <w:highlight w:val="none"/>
              </w:rPr>
              <w:t>企业文化包括宣传、招牌、门面、服饰、工作环境、人员素质、生产运营能力、管理水平、资本实力、产品质量等。</w:t>
            </w:r>
          </w:p>
        </w:tc>
      </w:tr>
    </w:tbl>
    <w:p>
      <w:pPr>
        <w:pStyle w:val="56"/>
        <w:spacing w:line="423" w:lineRule="exact"/>
        <w:ind w:left="60"/>
        <w:jc w:val="left"/>
        <w:rPr>
          <w:rFonts w:ascii="宋体" w:hAnsi="宋体" w:cs="宋体"/>
          <w:b/>
          <w:bCs/>
          <w:sz w:val="20"/>
          <w:szCs w:val="20"/>
          <w:highlight w:val="none"/>
        </w:rPr>
      </w:pPr>
      <w:r>
        <w:rPr>
          <w:rFonts w:hint="eastAsia" w:ascii="宋体" w:hAnsi="宋体" w:cs="宋体"/>
          <w:b/>
          <w:bCs/>
          <w:sz w:val="20"/>
          <w:szCs w:val="20"/>
          <w:highlight w:val="none"/>
        </w:rPr>
        <w:t>十、其他方面（8 分）</w:t>
      </w:r>
    </w:p>
    <w:tbl>
      <w:tblPr>
        <w:tblStyle w:val="25"/>
        <w:tblW w:w="9318"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47"/>
        <w:gridCol w:w="1174"/>
        <w:gridCol w:w="3384"/>
        <w:gridCol w:w="3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trPr>
        <w:tc>
          <w:tcPr>
            <w:tcW w:w="2421" w:type="dxa"/>
            <w:gridSpan w:val="2"/>
            <w:vAlign w:val="center"/>
          </w:tcPr>
          <w:p>
            <w:pPr>
              <w:pStyle w:val="56"/>
              <w:jc w:val="center"/>
              <w:rPr>
                <w:b/>
                <w:bCs/>
                <w:sz w:val="20"/>
                <w:szCs w:val="20"/>
                <w:highlight w:val="none"/>
              </w:rPr>
            </w:pPr>
            <w:r>
              <w:rPr>
                <w:rFonts w:hint="eastAsia"/>
                <w:b/>
                <w:bCs/>
                <w:sz w:val="20"/>
                <w:szCs w:val="20"/>
                <w:highlight w:val="none"/>
              </w:rPr>
              <w:t>考核内容</w:t>
            </w:r>
          </w:p>
        </w:tc>
        <w:tc>
          <w:tcPr>
            <w:tcW w:w="3384" w:type="dxa"/>
            <w:vAlign w:val="center"/>
          </w:tcPr>
          <w:p>
            <w:pPr>
              <w:pStyle w:val="56"/>
              <w:jc w:val="center"/>
              <w:rPr>
                <w:b/>
                <w:bCs/>
                <w:sz w:val="20"/>
                <w:szCs w:val="20"/>
                <w:highlight w:val="none"/>
              </w:rPr>
            </w:pPr>
            <w:r>
              <w:rPr>
                <w:rFonts w:hint="eastAsia"/>
                <w:b/>
                <w:bCs/>
                <w:sz w:val="20"/>
                <w:szCs w:val="20"/>
                <w:highlight w:val="none"/>
              </w:rPr>
              <w:t>评分标准</w:t>
            </w:r>
          </w:p>
        </w:tc>
        <w:tc>
          <w:tcPr>
            <w:tcW w:w="3513" w:type="dxa"/>
            <w:vAlign w:val="center"/>
          </w:tcPr>
          <w:p>
            <w:pPr>
              <w:pStyle w:val="56"/>
              <w:jc w:val="center"/>
              <w:rPr>
                <w:b/>
                <w:bCs/>
                <w:sz w:val="20"/>
                <w:szCs w:val="20"/>
                <w:highlight w:val="none"/>
              </w:rPr>
            </w:pPr>
            <w:r>
              <w:rPr>
                <w:rFonts w:hint="eastAsia"/>
                <w:b/>
                <w:bCs/>
                <w:sz w:val="20"/>
                <w:szCs w:val="20"/>
                <w:highlight w:val="none"/>
              </w:rPr>
              <w:t>考核说明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26" w:hRule="atLeast"/>
        </w:trPr>
        <w:tc>
          <w:tcPr>
            <w:tcW w:w="1247" w:type="dxa"/>
            <w:vAlign w:val="center"/>
          </w:tcPr>
          <w:p>
            <w:pPr>
              <w:pStyle w:val="56"/>
              <w:jc w:val="left"/>
              <w:rPr>
                <w:sz w:val="20"/>
                <w:szCs w:val="20"/>
                <w:highlight w:val="none"/>
              </w:rPr>
            </w:pPr>
            <w:r>
              <w:rPr>
                <w:rFonts w:hint="eastAsia"/>
                <w:sz w:val="20"/>
                <w:szCs w:val="20"/>
                <w:highlight w:val="none"/>
              </w:rPr>
              <w:t>企业资质管理（1 分）</w:t>
            </w:r>
          </w:p>
        </w:tc>
        <w:tc>
          <w:tcPr>
            <w:tcW w:w="1174" w:type="dxa"/>
            <w:vAlign w:val="center"/>
          </w:tcPr>
          <w:p>
            <w:pPr>
              <w:pStyle w:val="56"/>
              <w:jc w:val="left"/>
              <w:rPr>
                <w:sz w:val="20"/>
                <w:szCs w:val="20"/>
                <w:highlight w:val="none"/>
              </w:rPr>
            </w:pPr>
            <w:r>
              <w:rPr>
                <w:rFonts w:hint="eastAsia"/>
                <w:sz w:val="20"/>
                <w:szCs w:val="20"/>
                <w:highlight w:val="none"/>
              </w:rPr>
              <w:t>出水水质</w:t>
            </w:r>
          </w:p>
          <w:p>
            <w:pPr>
              <w:pStyle w:val="56"/>
              <w:jc w:val="left"/>
              <w:rPr>
                <w:sz w:val="20"/>
                <w:szCs w:val="20"/>
                <w:highlight w:val="none"/>
              </w:rPr>
            </w:pPr>
            <w:r>
              <w:rPr>
                <w:rFonts w:hint="eastAsia"/>
                <w:sz w:val="20"/>
                <w:szCs w:val="20"/>
                <w:highlight w:val="none"/>
              </w:rPr>
              <w:t>（1分）</w:t>
            </w:r>
          </w:p>
        </w:tc>
        <w:tc>
          <w:tcPr>
            <w:tcW w:w="3384" w:type="dxa"/>
            <w:vAlign w:val="center"/>
          </w:tcPr>
          <w:p>
            <w:pPr>
              <w:pStyle w:val="56"/>
              <w:jc w:val="left"/>
              <w:rPr>
                <w:sz w:val="20"/>
                <w:szCs w:val="20"/>
                <w:highlight w:val="none"/>
              </w:rPr>
            </w:pPr>
            <w:r>
              <w:rPr>
                <w:rFonts w:hint="eastAsia"/>
                <w:sz w:val="20"/>
                <w:szCs w:val="20"/>
                <w:highlight w:val="none"/>
              </w:rPr>
              <w:t>有运营资质并正常进行审核，得 1 分，否则，不得分</w:t>
            </w:r>
          </w:p>
        </w:tc>
        <w:tc>
          <w:tcPr>
            <w:tcW w:w="3513" w:type="dxa"/>
            <w:vAlign w:val="center"/>
          </w:tcPr>
          <w:p>
            <w:pPr>
              <w:pStyle w:val="56"/>
              <w:jc w:val="left"/>
              <w:rPr>
                <w:sz w:val="20"/>
                <w:szCs w:val="20"/>
                <w:highlight w:val="none"/>
              </w:rPr>
            </w:pPr>
            <w:r>
              <w:rPr>
                <w:rFonts w:hint="eastAsia"/>
                <w:sz w:val="20"/>
                <w:szCs w:val="20"/>
                <w:highlight w:val="none"/>
              </w:rPr>
              <w:t>为保证污水处理厂的正常运行，本市污水处理运营企业必须具备相应的资质和技术条件。即根据《环境污染治理设施运营资质许可管理办法》的规定，取得环保行业协会颁发的“污染治理设施运营服务认证证书”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07" w:hRule="atLeast"/>
        </w:trPr>
        <w:tc>
          <w:tcPr>
            <w:tcW w:w="1247" w:type="dxa"/>
            <w:vMerge w:val="restart"/>
            <w:vAlign w:val="center"/>
          </w:tcPr>
          <w:p>
            <w:pPr>
              <w:pStyle w:val="56"/>
              <w:jc w:val="left"/>
              <w:rPr>
                <w:sz w:val="20"/>
                <w:szCs w:val="20"/>
                <w:highlight w:val="none"/>
              </w:rPr>
            </w:pPr>
            <w:r>
              <w:rPr>
                <w:rFonts w:hint="eastAsia"/>
                <w:sz w:val="20"/>
                <w:szCs w:val="20"/>
                <w:highlight w:val="none"/>
              </w:rPr>
              <w:t>接受监</w:t>
            </w:r>
          </w:p>
          <w:p>
            <w:pPr>
              <w:pStyle w:val="56"/>
              <w:jc w:val="left"/>
              <w:rPr>
                <w:sz w:val="20"/>
                <w:szCs w:val="20"/>
                <w:highlight w:val="none"/>
              </w:rPr>
            </w:pPr>
            <w:r>
              <w:rPr>
                <w:rFonts w:hint="eastAsia"/>
                <w:sz w:val="20"/>
                <w:szCs w:val="20"/>
                <w:highlight w:val="none"/>
              </w:rPr>
              <w:t>管单位</w:t>
            </w:r>
          </w:p>
          <w:p>
            <w:pPr>
              <w:pStyle w:val="56"/>
              <w:jc w:val="left"/>
              <w:rPr>
                <w:sz w:val="20"/>
                <w:szCs w:val="20"/>
                <w:highlight w:val="none"/>
              </w:rPr>
            </w:pPr>
            <w:r>
              <w:rPr>
                <w:rFonts w:hint="eastAsia"/>
                <w:sz w:val="20"/>
                <w:szCs w:val="20"/>
                <w:highlight w:val="none"/>
              </w:rPr>
              <w:t>和相关</w:t>
            </w:r>
          </w:p>
          <w:p>
            <w:pPr>
              <w:pStyle w:val="56"/>
              <w:jc w:val="left"/>
              <w:rPr>
                <w:sz w:val="20"/>
                <w:szCs w:val="20"/>
                <w:highlight w:val="none"/>
              </w:rPr>
            </w:pPr>
            <w:r>
              <w:rPr>
                <w:rFonts w:hint="eastAsia"/>
                <w:sz w:val="20"/>
                <w:szCs w:val="20"/>
                <w:highlight w:val="none"/>
              </w:rPr>
              <w:t>部门的</w:t>
            </w:r>
          </w:p>
          <w:p>
            <w:pPr>
              <w:pStyle w:val="56"/>
              <w:jc w:val="left"/>
              <w:rPr>
                <w:sz w:val="20"/>
                <w:szCs w:val="20"/>
                <w:highlight w:val="none"/>
              </w:rPr>
            </w:pPr>
            <w:r>
              <w:rPr>
                <w:rFonts w:hint="eastAsia"/>
                <w:sz w:val="20"/>
                <w:szCs w:val="20"/>
                <w:highlight w:val="none"/>
              </w:rPr>
              <w:t>监督管</w:t>
            </w:r>
          </w:p>
          <w:p>
            <w:pPr>
              <w:pStyle w:val="56"/>
              <w:jc w:val="left"/>
              <w:rPr>
                <w:sz w:val="20"/>
                <w:szCs w:val="20"/>
                <w:highlight w:val="none"/>
              </w:rPr>
            </w:pPr>
            <w:r>
              <w:rPr>
                <w:rFonts w:hint="eastAsia"/>
                <w:sz w:val="20"/>
                <w:szCs w:val="20"/>
                <w:highlight w:val="none"/>
              </w:rPr>
              <w:t>理情况</w:t>
            </w:r>
          </w:p>
          <w:p>
            <w:pPr>
              <w:pStyle w:val="56"/>
              <w:jc w:val="left"/>
              <w:rPr>
                <w:sz w:val="20"/>
                <w:szCs w:val="20"/>
                <w:highlight w:val="none"/>
              </w:rPr>
            </w:pPr>
            <w:r>
              <w:rPr>
                <w:rFonts w:hint="eastAsia"/>
                <w:sz w:val="20"/>
                <w:szCs w:val="20"/>
                <w:highlight w:val="none"/>
              </w:rPr>
              <w:t>（7 分）</w:t>
            </w:r>
          </w:p>
        </w:tc>
        <w:tc>
          <w:tcPr>
            <w:tcW w:w="1174" w:type="dxa"/>
            <w:vAlign w:val="center"/>
          </w:tcPr>
          <w:p>
            <w:pPr>
              <w:pStyle w:val="56"/>
              <w:jc w:val="left"/>
              <w:rPr>
                <w:sz w:val="20"/>
                <w:szCs w:val="20"/>
                <w:highlight w:val="none"/>
              </w:rPr>
            </w:pPr>
            <w:r>
              <w:rPr>
                <w:rFonts w:hint="eastAsia"/>
                <w:sz w:val="20"/>
                <w:szCs w:val="20"/>
                <w:highlight w:val="none"/>
              </w:rPr>
              <w:t>严格履行生产运营报告制度（1分）</w:t>
            </w:r>
          </w:p>
        </w:tc>
        <w:tc>
          <w:tcPr>
            <w:tcW w:w="3384" w:type="dxa"/>
            <w:vAlign w:val="center"/>
          </w:tcPr>
          <w:p>
            <w:pPr>
              <w:pStyle w:val="56"/>
              <w:jc w:val="left"/>
              <w:rPr>
                <w:sz w:val="20"/>
                <w:szCs w:val="20"/>
                <w:highlight w:val="none"/>
              </w:rPr>
            </w:pPr>
            <w:r>
              <w:rPr>
                <w:rFonts w:hint="eastAsia"/>
                <w:sz w:val="20"/>
                <w:szCs w:val="20"/>
                <w:highlight w:val="none"/>
              </w:rPr>
              <w:t>及时向监管单位上报日常运行报表、月度运营成本报表等、年度财务会计报表等各类生产运营类报表，且报表数据真实，不得虚报、瞒报、漏报，得 1 分，否则，不得分</w:t>
            </w:r>
          </w:p>
        </w:tc>
        <w:tc>
          <w:tcPr>
            <w:tcW w:w="3513" w:type="dxa"/>
            <w:vAlign w:val="center"/>
          </w:tcPr>
          <w:p>
            <w:pPr>
              <w:pStyle w:val="56"/>
              <w:jc w:val="left"/>
              <w:rPr>
                <w:sz w:val="20"/>
                <w:szCs w:val="20"/>
                <w:highlight w:val="none"/>
              </w:rPr>
            </w:pPr>
            <w:r>
              <w:rPr>
                <w:rFonts w:hint="eastAsia"/>
                <w:sz w:val="20"/>
                <w:szCs w:val="20"/>
                <w:highlight w:val="none"/>
              </w:rPr>
              <w:t>依据《运营服务协议》相关条款执行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26" w:hRule="atLeast"/>
        </w:trPr>
        <w:tc>
          <w:tcPr>
            <w:tcW w:w="1247" w:type="dxa"/>
            <w:vMerge w:val="continue"/>
            <w:vAlign w:val="center"/>
          </w:tcPr>
          <w:p>
            <w:pPr>
              <w:pStyle w:val="56"/>
              <w:jc w:val="left"/>
              <w:rPr>
                <w:sz w:val="20"/>
                <w:szCs w:val="20"/>
                <w:highlight w:val="none"/>
              </w:rPr>
            </w:pPr>
          </w:p>
        </w:tc>
        <w:tc>
          <w:tcPr>
            <w:tcW w:w="1174" w:type="dxa"/>
            <w:vAlign w:val="center"/>
          </w:tcPr>
          <w:p>
            <w:pPr>
              <w:pStyle w:val="56"/>
              <w:jc w:val="left"/>
              <w:rPr>
                <w:sz w:val="20"/>
                <w:szCs w:val="20"/>
                <w:highlight w:val="none"/>
              </w:rPr>
            </w:pPr>
            <w:r>
              <w:rPr>
                <w:rFonts w:hint="eastAsia"/>
                <w:sz w:val="20"/>
                <w:szCs w:val="20"/>
                <w:highlight w:val="none"/>
              </w:rPr>
              <w:t>自觉接受监管情况（1 分）</w:t>
            </w:r>
          </w:p>
        </w:tc>
        <w:tc>
          <w:tcPr>
            <w:tcW w:w="3384" w:type="dxa"/>
            <w:vAlign w:val="center"/>
          </w:tcPr>
          <w:p>
            <w:pPr>
              <w:pStyle w:val="56"/>
              <w:jc w:val="left"/>
              <w:rPr>
                <w:sz w:val="20"/>
                <w:szCs w:val="20"/>
                <w:highlight w:val="none"/>
              </w:rPr>
            </w:pPr>
            <w:r>
              <w:rPr>
                <w:rFonts w:hint="eastAsia"/>
                <w:sz w:val="20"/>
                <w:szCs w:val="20"/>
                <w:highlight w:val="none"/>
              </w:rPr>
              <w:t>接受监管单位和相关部门的监督管理的要求、意见及建议，并能及时落实、整改；对于监管单位的监管工作应积极予以配合，自觉接受监管；对于下达的各项计划和工作任务，能够及时、认真执行、完成，得 1 分，否则，不得分</w:t>
            </w:r>
          </w:p>
        </w:tc>
        <w:tc>
          <w:tcPr>
            <w:tcW w:w="3513" w:type="dxa"/>
            <w:vAlign w:val="center"/>
          </w:tcPr>
          <w:p>
            <w:pPr>
              <w:pStyle w:val="56"/>
              <w:jc w:val="left"/>
              <w:rPr>
                <w:sz w:val="20"/>
                <w:szCs w:val="20"/>
                <w:highlight w:val="none"/>
              </w:rPr>
            </w:pPr>
            <w:r>
              <w:rPr>
                <w:rFonts w:hint="eastAsia"/>
                <w:sz w:val="20"/>
                <w:szCs w:val="20"/>
                <w:highlight w:val="none"/>
              </w:rPr>
              <w:t>由监管单位根据实际监管考核情况认定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28" w:hRule="atLeast"/>
        </w:trPr>
        <w:tc>
          <w:tcPr>
            <w:tcW w:w="1247" w:type="dxa"/>
            <w:vAlign w:val="center"/>
          </w:tcPr>
          <w:p>
            <w:pPr>
              <w:pStyle w:val="56"/>
              <w:jc w:val="left"/>
              <w:rPr>
                <w:sz w:val="20"/>
                <w:szCs w:val="20"/>
                <w:highlight w:val="none"/>
              </w:rPr>
            </w:pPr>
          </w:p>
        </w:tc>
        <w:tc>
          <w:tcPr>
            <w:tcW w:w="1174" w:type="dxa"/>
            <w:vAlign w:val="center"/>
          </w:tcPr>
          <w:p>
            <w:pPr>
              <w:pStyle w:val="56"/>
              <w:jc w:val="left"/>
              <w:rPr>
                <w:sz w:val="20"/>
                <w:szCs w:val="20"/>
                <w:highlight w:val="none"/>
              </w:rPr>
            </w:pPr>
            <w:r>
              <w:rPr>
                <w:rFonts w:hint="eastAsia"/>
                <w:sz w:val="20"/>
                <w:szCs w:val="20"/>
                <w:highlight w:val="none"/>
              </w:rPr>
              <w:t>履约情况</w:t>
            </w:r>
          </w:p>
          <w:p>
            <w:pPr>
              <w:pStyle w:val="56"/>
              <w:jc w:val="left"/>
              <w:rPr>
                <w:sz w:val="20"/>
                <w:szCs w:val="20"/>
                <w:highlight w:val="none"/>
              </w:rPr>
            </w:pPr>
            <w:r>
              <w:rPr>
                <w:rFonts w:hint="eastAsia"/>
                <w:sz w:val="20"/>
                <w:szCs w:val="20"/>
                <w:highlight w:val="none"/>
              </w:rPr>
              <w:t>（5 分）</w:t>
            </w:r>
          </w:p>
        </w:tc>
        <w:tc>
          <w:tcPr>
            <w:tcW w:w="3384" w:type="dxa"/>
            <w:vAlign w:val="center"/>
          </w:tcPr>
          <w:p>
            <w:pPr>
              <w:pStyle w:val="56"/>
              <w:jc w:val="left"/>
              <w:rPr>
                <w:sz w:val="20"/>
                <w:szCs w:val="20"/>
                <w:highlight w:val="none"/>
              </w:rPr>
            </w:pPr>
            <w:r>
              <w:rPr>
                <w:rFonts w:hint="eastAsia"/>
                <w:sz w:val="20"/>
                <w:szCs w:val="20"/>
                <w:highlight w:val="none"/>
              </w:rPr>
              <w:t>下列情形每发生一次，不得分。</w:t>
            </w:r>
          </w:p>
          <w:p>
            <w:pPr>
              <w:pStyle w:val="56"/>
              <w:jc w:val="left"/>
              <w:rPr>
                <w:sz w:val="20"/>
                <w:szCs w:val="20"/>
                <w:highlight w:val="none"/>
              </w:rPr>
            </w:pPr>
            <w:r>
              <w:rPr>
                <w:rFonts w:hint="eastAsia"/>
                <w:sz w:val="20"/>
                <w:szCs w:val="20"/>
                <w:highlight w:val="none"/>
              </w:rPr>
              <w:t>（1）出水水质不达标，并被扣除运营服务费的；</w:t>
            </w:r>
          </w:p>
          <w:p>
            <w:pPr>
              <w:pStyle w:val="56"/>
              <w:jc w:val="left"/>
              <w:rPr>
                <w:sz w:val="20"/>
                <w:szCs w:val="20"/>
                <w:highlight w:val="none"/>
              </w:rPr>
            </w:pPr>
            <w:r>
              <w:rPr>
                <w:rFonts w:hint="eastAsia"/>
                <w:sz w:val="20"/>
                <w:szCs w:val="20"/>
                <w:highlight w:val="none"/>
              </w:rPr>
              <w:t>（2）出厂污泥不达标，并被扣除运营服务费的；</w:t>
            </w:r>
          </w:p>
          <w:p>
            <w:pPr>
              <w:pStyle w:val="56"/>
              <w:jc w:val="left"/>
              <w:rPr>
                <w:sz w:val="20"/>
                <w:szCs w:val="20"/>
                <w:highlight w:val="none"/>
              </w:rPr>
            </w:pPr>
            <w:r>
              <w:rPr>
                <w:rFonts w:hint="eastAsia"/>
                <w:sz w:val="20"/>
                <w:szCs w:val="20"/>
                <w:highlight w:val="none"/>
              </w:rPr>
              <w:t>（3）噪声、臭气不达标，并被扣除运营服务费的；</w:t>
            </w:r>
          </w:p>
          <w:p>
            <w:pPr>
              <w:pStyle w:val="56"/>
              <w:jc w:val="left"/>
              <w:rPr>
                <w:sz w:val="20"/>
                <w:szCs w:val="20"/>
                <w:highlight w:val="none"/>
              </w:rPr>
            </w:pPr>
            <w:r>
              <w:rPr>
                <w:rFonts w:hint="eastAsia"/>
                <w:sz w:val="20"/>
                <w:szCs w:val="20"/>
                <w:highlight w:val="none"/>
              </w:rPr>
              <w:t>（4）发现有偷排行为的；</w:t>
            </w:r>
          </w:p>
          <w:p>
            <w:pPr>
              <w:pStyle w:val="56"/>
              <w:jc w:val="left"/>
              <w:rPr>
                <w:sz w:val="20"/>
                <w:szCs w:val="20"/>
                <w:highlight w:val="none"/>
              </w:rPr>
            </w:pPr>
            <w:r>
              <w:rPr>
                <w:rFonts w:hint="eastAsia"/>
                <w:sz w:val="20"/>
                <w:szCs w:val="20"/>
                <w:highlight w:val="none"/>
              </w:rPr>
              <w:t>（5）擅自调整流量计、液位计及各种在线监测仪表的；</w:t>
            </w:r>
          </w:p>
          <w:p>
            <w:pPr>
              <w:pStyle w:val="56"/>
              <w:jc w:val="left"/>
              <w:rPr>
                <w:sz w:val="20"/>
                <w:szCs w:val="20"/>
                <w:highlight w:val="none"/>
              </w:rPr>
            </w:pPr>
            <w:r>
              <w:rPr>
                <w:rFonts w:hint="eastAsia"/>
                <w:sz w:val="20"/>
                <w:szCs w:val="20"/>
                <w:highlight w:val="none"/>
              </w:rPr>
              <w:t>（6）擅自为第三方处理污水的；</w:t>
            </w:r>
          </w:p>
          <w:p>
            <w:pPr>
              <w:pStyle w:val="56"/>
              <w:jc w:val="left"/>
              <w:rPr>
                <w:sz w:val="20"/>
                <w:szCs w:val="20"/>
                <w:highlight w:val="none"/>
              </w:rPr>
            </w:pPr>
            <w:r>
              <w:rPr>
                <w:rFonts w:hint="eastAsia"/>
                <w:sz w:val="20"/>
                <w:szCs w:val="20"/>
                <w:highlight w:val="none"/>
              </w:rPr>
              <w:t>（7）污水处理各工艺段设备设施未完整运行的；</w:t>
            </w:r>
          </w:p>
          <w:p>
            <w:pPr>
              <w:pStyle w:val="56"/>
              <w:jc w:val="left"/>
              <w:rPr>
                <w:sz w:val="20"/>
                <w:szCs w:val="20"/>
                <w:highlight w:val="none"/>
              </w:rPr>
            </w:pPr>
            <w:r>
              <w:rPr>
                <w:rFonts w:hint="eastAsia"/>
                <w:sz w:val="20"/>
                <w:szCs w:val="20"/>
                <w:highlight w:val="none"/>
              </w:rPr>
              <w:t>（8）污水处理厂主要负责人在工作时间内赴外地，时间超过 24 小时且未向监管部门请假的</w:t>
            </w:r>
          </w:p>
        </w:tc>
        <w:tc>
          <w:tcPr>
            <w:tcW w:w="3513" w:type="dxa"/>
            <w:vAlign w:val="center"/>
          </w:tcPr>
          <w:p>
            <w:pPr>
              <w:pStyle w:val="56"/>
              <w:jc w:val="left"/>
              <w:rPr>
                <w:sz w:val="20"/>
                <w:szCs w:val="20"/>
                <w:highlight w:val="none"/>
              </w:rPr>
            </w:pPr>
            <w:r>
              <w:rPr>
                <w:rFonts w:hint="eastAsia"/>
                <w:sz w:val="20"/>
                <w:szCs w:val="20"/>
                <w:highlight w:val="none"/>
              </w:rPr>
              <w:t>由监管单位根据实际监管考核情况认定</w:t>
            </w:r>
          </w:p>
        </w:tc>
      </w:tr>
    </w:tbl>
    <w:p>
      <w:pPr>
        <w:pStyle w:val="56"/>
        <w:widowControl w:val="0"/>
        <w:spacing w:line="0" w:lineRule="atLeast"/>
        <w:rPr>
          <w:rFonts w:ascii="宋体" w:hAnsi="宋体" w:cs="宋体"/>
          <w:sz w:val="20"/>
          <w:szCs w:val="20"/>
          <w:highlight w:val="none"/>
        </w:rPr>
      </w:pPr>
      <w:r>
        <w:rPr>
          <w:rFonts w:hint="eastAsia" w:ascii="宋体" w:hAnsi="宋体" w:cs="宋体"/>
          <w:sz w:val="20"/>
          <w:szCs w:val="20"/>
          <w:highlight w:val="none"/>
        </w:rPr>
        <w:t>说明：《</w:t>
      </w:r>
      <w:r>
        <w:rPr>
          <w:rFonts w:hint="eastAsia" w:ascii="宋体" w:hAnsi="宋体" w:cs="宋体"/>
          <w:bCs/>
          <w:sz w:val="20"/>
          <w:szCs w:val="20"/>
          <w:highlight w:val="none"/>
        </w:rPr>
        <w:t>衢州市城东污水处理厂（三期）运营服务协议管理考核标准（试行）</w:t>
      </w:r>
      <w:r>
        <w:rPr>
          <w:rFonts w:hint="eastAsia" w:ascii="宋体" w:hAnsi="宋体" w:cs="宋体"/>
          <w:sz w:val="20"/>
          <w:szCs w:val="20"/>
          <w:highlight w:val="none"/>
        </w:rPr>
        <w:t>》将根据污水处理厂实际运行情况定期进行修订。</w:t>
      </w:r>
    </w:p>
    <w:p>
      <w:pPr>
        <w:pStyle w:val="56"/>
        <w:keepNext/>
        <w:keepLines/>
        <w:tabs>
          <w:tab w:val="left" w:pos="1584"/>
        </w:tabs>
        <w:spacing w:before="120" w:after="120"/>
        <w:outlineLvl w:val="2"/>
        <w:rPr>
          <w:b/>
          <w:sz w:val="24"/>
          <w:szCs w:val="24"/>
          <w:highlight w:val="none"/>
        </w:rPr>
      </w:pPr>
      <w:bookmarkStart w:id="547" w:name="_Toc10663433"/>
      <w:bookmarkStart w:id="548" w:name="_Toc382360358"/>
      <w:bookmarkStart w:id="549" w:name="_Toc256000026"/>
      <w:r>
        <w:rPr>
          <w:rFonts w:hint="eastAsia"/>
          <w:b/>
          <w:sz w:val="24"/>
          <w:szCs w:val="24"/>
          <w:highlight w:val="none"/>
        </w:rPr>
        <w:t>附件五 运营服务费价格构成和成本效益分析文件</w:t>
      </w:r>
      <w:bookmarkEnd w:id="547"/>
      <w:bookmarkEnd w:id="548"/>
      <w:bookmarkEnd w:id="549"/>
    </w:p>
    <w:p>
      <w:pPr>
        <w:pStyle w:val="56"/>
        <w:spacing w:beforeLines="50"/>
        <w:rPr>
          <w:rFonts w:ascii="宋体" w:hAnsi="宋体" w:cs="宋体"/>
          <w:bCs/>
          <w:sz w:val="20"/>
          <w:szCs w:val="20"/>
          <w:highlight w:val="none"/>
        </w:rPr>
      </w:pPr>
      <w:r>
        <w:rPr>
          <w:rFonts w:hint="eastAsia" w:ascii="宋体" w:hAnsi="宋体" w:cs="宋体"/>
          <w:bCs/>
          <w:sz w:val="20"/>
          <w:szCs w:val="20"/>
          <w:highlight w:val="none"/>
        </w:rPr>
        <w:t>（一）衢州市衢江区集镇污水处理厂运营成本估算基础数据表</w:t>
      </w:r>
    </w:p>
    <w:tbl>
      <w:tblPr>
        <w:tblStyle w:val="25"/>
        <w:tblW w:w="90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1"/>
        <w:gridCol w:w="1572"/>
        <w:gridCol w:w="2294"/>
        <w:gridCol w:w="1343"/>
        <w:gridCol w:w="1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5897" w:type="dxa"/>
            <w:gridSpan w:val="3"/>
          </w:tcPr>
          <w:p>
            <w:pPr>
              <w:pStyle w:val="56"/>
              <w:overflowPunct w:val="0"/>
              <w:spacing w:beforeLines="50"/>
              <w:ind w:firstLine="567"/>
              <w:jc w:val="center"/>
              <w:rPr>
                <w:rFonts w:ascii="宋体" w:hAnsi="宋体" w:cs="宋体"/>
                <w:bCs/>
                <w:sz w:val="20"/>
                <w:szCs w:val="20"/>
                <w:highlight w:val="none"/>
              </w:rPr>
            </w:pPr>
            <w:r>
              <w:rPr>
                <w:rFonts w:hint="eastAsia" w:ascii="宋体" w:hAnsi="宋体" w:cs="宋体"/>
                <w:bCs/>
                <w:sz w:val="20"/>
                <w:szCs w:val="20"/>
                <w:highlight w:val="none"/>
              </w:rPr>
              <w:t>项     目</w:t>
            </w:r>
          </w:p>
        </w:tc>
        <w:tc>
          <w:tcPr>
            <w:tcW w:w="1343" w:type="dxa"/>
          </w:tcPr>
          <w:p>
            <w:pPr>
              <w:pStyle w:val="56"/>
              <w:overflowPunct w:val="0"/>
              <w:spacing w:beforeLines="50"/>
              <w:jc w:val="center"/>
              <w:rPr>
                <w:rFonts w:ascii="宋体" w:hAnsi="宋体" w:cs="宋体"/>
                <w:bCs/>
                <w:sz w:val="20"/>
                <w:szCs w:val="20"/>
                <w:highlight w:val="none"/>
              </w:rPr>
            </w:pPr>
            <w:r>
              <w:rPr>
                <w:rFonts w:hint="eastAsia" w:ascii="宋体" w:hAnsi="宋体" w:cs="宋体"/>
                <w:bCs/>
                <w:sz w:val="20"/>
                <w:szCs w:val="20"/>
                <w:highlight w:val="none"/>
              </w:rPr>
              <w:t>参数取值</w:t>
            </w:r>
          </w:p>
        </w:tc>
        <w:tc>
          <w:tcPr>
            <w:tcW w:w="1818" w:type="dxa"/>
          </w:tcPr>
          <w:p>
            <w:pPr>
              <w:pStyle w:val="56"/>
              <w:overflowPunct w:val="0"/>
              <w:spacing w:beforeLines="50"/>
              <w:jc w:val="center"/>
              <w:rPr>
                <w:rFonts w:ascii="宋体" w:hAnsi="宋体" w:cs="宋体"/>
                <w:bCs/>
                <w:sz w:val="20"/>
                <w:szCs w:val="20"/>
                <w:highlight w:val="none"/>
              </w:rPr>
            </w:pPr>
            <w:r>
              <w:rPr>
                <w:rFonts w:hint="eastAsia" w:ascii="宋体" w:hAnsi="宋体" w:cs="宋体"/>
                <w:bCs/>
                <w:sz w:val="20"/>
                <w:szCs w:val="20"/>
                <w:highlight w:val="none"/>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 w:hRule="atLeast"/>
          <w:jc w:val="center"/>
        </w:trPr>
        <w:tc>
          <w:tcPr>
            <w:tcW w:w="2031" w:type="dxa"/>
            <w:vMerge w:val="restart"/>
            <w:vAlign w:val="center"/>
          </w:tcPr>
          <w:p>
            <w:pPr>
              <w:pStyle w:val="56"/>
              <w:overflowPunct w:val="0"/>
              <w:spacing w:beforeLines="50"/>
              <w:jc w:val="center"/>
              <w:rPr>
                <w:rFonts w:ascii="宋体" w:hAnsi="宋体" w:cs="宋体"/>
                <w:bCs/>
                <w:sz w:val="20"/>
                <w:szCs w:val="20"/>
                <w:highlight w:val="none"/>
              </w:rPr>
            </w:pPr>
            <w:r>
              <w:rPr>
                <w:rFonts w:hint="eastAsia" w:ascii="宋体" w:hAnsi="宋体" w:cs="宋体"/>
                <w:bCs/>
                <w:sz w:val="20"/>
                <w:szCs w:val="20"/>
                <w:highlight w:val="none"/>
              </w:rPr>
              <w:t>药剂费</w:t>
            </w:r>
          </w:p>
        </w:tc>
        <w:tc>
          <w:tcPr>
            <w:tcW w:w="1572" w:type="dxa"/>
            <w:vMerge w:val="restart"/>
            <w:vAlign w:val="center"/>
          </w:tcPr>
          <w:p>
            <w:pPr>
              <w:pStyle w:val="56"/>
              <w:overflowPunct w:val="0"/>
              <w:spacing w:beforeLines="50"/>
              <w:jc w:val="center"/>
              <w:rPr>
                <w:rFonts w:ascii="宋体" w:hAnsi="宋体" w:cs="宋体"/>
                <w:bCs/>
                <w:sz w:val="20"/>
                <w:szCs w:val="20"/>
                <w:highlight w:val="none"/>
              </w:rPr>
            </w:pPr>
            <w:r>
              <w:rPr>
                <w:rFonts w:hint="eastAsia" w:ascii="宋体" w:hAnsi="宋体" w:cs="宋体"/>
                <w:bCs/>
                <w:sz w:val="20"/>
                <w:szCs w:val="20"/>
                <w:highlight w:val="none"/>
              </w:rPr>
              <w:t>絮凝剂PAM</w:t>
            </w:r>
          </w:p>
        </w:tc>
        <w:tc>
          <w:tcPr>
            <w:tcW w:w="2294" w:type="dxa"/>
          </w:tcPr>
          <w:p>
            <w:pPr>
              <w:pStyle w:val="56"/>
              <w:overflowPunct w:val="0"/>
              <w:spacing w:beforeLines="50"/>
              <w:jc w:val="center"/>
              <w:rPr>
                <w:rFonts w:ascii="宋体" w:hAnsi="宋体" w:cs="宋体"/>
                <w:bCs/>
                <w:sz w:val="20"/>
                <w:szCs w:val="20"/>
                <w:highlight w:val="none"/>
              </w:rPr>
            </w:pPr>
            <w:r>
              <w:rPr>
                <w:rFonts w:hint="eastAsia" w:ascii="宋体" w:hAnsi="宋体" w:cs="宋体"/>
                <w:bCs/>
                <w:sz w:val="20"/>
                <w:szCs w:val="20"/>
                <w:highlight w:val="none"/>
              </w:rPr>
              <w:t>单价</w:t>
            </w:r>
          </w:p>
        </w:tc>
        <w:tc>
          <w:tcPr>
            <w:tcW w:w="1343" w:type="dxa"/>
          </w:tcPr>
          <w:p>
            <w:pPr>
              <w:pStyle w:val="56"/>
              <w:overflowPunct w:val="0"/>
              <w:spacing w:beforeLines="50"/>
              <w:ind w:firstLine="567"/>
              <w:rPr>
                <w:rFonts w:ascii="宋体" w:hAnsi="宋体" w:cs="宋体"/>
                <w:bCs/>
                <w:sz w:val="20"/>
                <w:szCs w:val="20"/>
                <w:highlight w:val="none"/>
              </w:rPr>
            </w:pPr>
          </w:p>
        </w:tc>
        <w:tc>
          <w:tcPr>
            <w:tcW w:w="1818" w:type="dxa"/>
          </w:tcPr>
          <w:p>
            <w:pPr>
              <w:pStyle w:val="56"/>
              <w:overflowPunct w:val="0"/>
              <w:spacing w:beforeLines="50"/>
              <w:rPr>
                <w:rFonts w:ascii="宋体" w:hAnsi="宋体" w:cs="宋体"/>
                <w:bCs/>
                <w:sz w:val="20"/>
                <w:szCs w:val="20"/>
                <w:highlight w:val="none"/>
              </w:rPr>
            </w:pPr>
            <w:r>
              <w:rPr>
                <w:rFonts w:hint="eastAsia" w:ascii="宋体" w:hAnsi="宋体" w:cs="宋体"/>
                <w:bCs/>
                <w:sz w:val="20"/>
                <w:szCs w:val="20"/>
                <w:highlight w:val="none"/>
              </w:rPr>
              <w:t>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2031" w:type="dxa"/>
            <w:vMerge w:val="continue"/>
          </w:tcPr>
          <w:p>
            <w:pPr>
              <w:pStyle w:val="56"/>
              <w:overflowPunct w:val="0"/>
              <w:spacing w:beforeLines="50"/>
              <w:ind w:firstLine="567"/>
              <w:jc w:val="center"/>
              <w:rPr>
                <w:rFonts w:ascii="宋体" w:hAnsi="宋体" w:cs="宋体"/>
                <w:bCs/>
                <w:sz w:val="20"/>
                <w:szCs w:val="20"/>
                <w:highlight w:val="none"/>
              </w:rPr>
            </w:pPr>
          </w:p>
        </w:tc>
        <w:tc>
          <w:tcPr>
            <w:tcW w:w="1572" w:type="dxa"/>
            <w:vMerge w:val="continue"/>
          </w:tcPr>
          <w:p>
            <w:pPr>
              <w:pStyle w:val="56"/>
              <w:overflowPunct w:val="0"/>
              <w:spacing w:beforeLines="50"/>
              <w:ind w:firstLine="567"/>
              <w:jc w:val="center"/>
              <w:rPr>
                <w:rFonts w:ascii="宋体" w:hAnsi="宋体" w:cs="宋体"/>
                <w:bCs/>
                <w:sz w:val="20"/>
                <w:szCs w:val="20"/>
                <w:highlight w:val="none"/>
              </w:rPr>
            </w:pPr>
          </w:p>
        </w:tc>
        <w:tc>
          <w:tcPr>
            <w:tcW w:w="2294" w:type="dxa"/>
          </w:tcPr>
          <w:p>
            <w:pPr>
              <w:pStyle w:val="56"/>
              <w:overflowPunct w:val="0"/>
              <w:spacing w:beforeLines="50"/>
              <w:jc w:val="center"/>
              <w:rPr>
                <w:rFonts w:ascii="宋体" w:hAnsi="宋体" w:cs="宋体"/>
                <w:bCs/>
                <w:sz w:val="20"/>
                <w:szCs w:val="20"/>
                <w:highlight w:val="none"/>
              </w:rPr>
            </w:pPr>
            <w:r>
              <w:rPr>
                <w:rFonts w:hint="eastAsia" w:ascii="宋体" w:hAnsi="宋体" w:cs="宋体"/>
                <w:bCs/>
                <w:sz w:val="20"/>
                <w:szCs w:val="20"/>
                <w:highlight w:val="none"/>
              </w:rPr>
              <w:t>单位污水处理耗用量</w:t>
            </w:r>
          </w:p>
        </w:tc>
        <w:tc>
          <w:tcPr>
            <w:tcW w:w="1343" w:type="dxa"/>
          </w:tcPr>
          <w:p>
            <w:pPr>
              <w:pStyle w:val="56"/>
              <w:overflowPunct w:val="0"/>
              <w:spacing w:beforeLines="50"/>
              <w:ind w:firstLine="567"/>
              <w:rPr>
                <w:rFonts w:ascii="宋体" w:hAnsi="宋体" w:cs="宋体"/>
                <w:bCs/>
                <w:sz w:val="20"/>
                <w:szCs w:val="20"/>
                <w:highlight w:val="none"/>
              </w:rPr>
            </w:pPr>
          </w:p>
        </w:tc>
        <w:tc>
          <w:tcPr>
            <w:tcW w:w="1818" w:type="dxa"/>
          </w:tcPr>
          <w:p>
            <w:pPr>
              <w:pStyle w:val="56"/>
              <w:overflowPunct w:val="0"/>
              <w:spacing w:beforeLines="50"/>
              <w:rPr>
                <w:rFonts w:ascii="宋体" w:hAnsi="宋体" w:cs="宋体"/>
                <w:bCs/>
                <w:sz w:val="20"/>
                <w:szCs w:val="20"/>
                <w:highlight w:val="none"/>
              </w:rPr>
            </w:pPr>
            <w:r>
              <w:rPr>
                <w:rFonts w:hint="eastAsia" w:ascii="宋体" w:hAnsi="宋体" w:cs="宋体"/>
                <w:bCs/>
                <w:sz w:val="20"/>
                <w:szCs w:val="20"/>
                <w:highlight w:val="none"/>
              </w:rPr>
              <w:t>千克/立方米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2031" w:type="dxa"/>
            <w:vMerge w:val="continue"/>
          </w:tcPr>
          <w:p>
            <w:pPr>
              <w:pStyle w:val="56"/>
              <w:overflowPunct w:val="0"/>
              <w:spacing w:beforeLines="50"/>
              <w:ind w:firstLine="567"/>
              <w:jc w:val="center"/>
              <w:rPr>
                <w:rFonts w:ascii="宋体" w:hAnsi="宋体" w:cs="宋体"/>
                <w:bCs/>
                <w:sz w:val="20"/>
                <w:szCs w:val="20"/>
                <w:highlight w:val="none"/>
              </w:rPr>
            </w:pPr>
          </w:p>
        </w:tc>
        <w:tc>
          <w:tcPr>
            <w:tcW w:w="1572" w:type="dxa"/>
            <w:vMerge w:val="restart"/>
            <w:vAlign w:val="center"/>
          </w:tcPr>
          <w:p>
            <w:pPr>
              <w:pStyle w:val="56"/>
              <w:overflowPunct w:val="0"/>
              <w:spacing w:beforeLines="50"/>
              <w:jc w:val="center"/>
              <w:rPr>
                <w:rFonts w:ascii="宋体" w:hAnsi="宋体" w:cs="宋体"/>
                <w:bCs/>
                <w:sz w:val="20"/>
                <w:szCs w:val="20"/>
                <w:highlight w:val="none"/>
              </w:rPr>
            </w:pPr>
            <w:r>
              <w:rPr>
                <w:rFonts w:hint="eastAsia" w:ascii="宋体" w:hAnsi="宋体" w:cs="宋体"/>
                <w:bCs/>
                <w:sz w:val="20"/>
                <w:szCs w:val="20"/>
                <w:highlight w:val="none"/>
              </w:rPr>
              <w:t>助凝剂</w:t>
            </w:r>
          </w:p>
          <w:p>
            <w:pPr>
              <w:pStyle w:val="56"/>
              <w:overflowPunct w:val="0"/>
              <w:spacing w:beforeLines="50"/>
              <w:jc w:val="center"/>
              <w:rPr>
                <w:rFonts w:ascii="宋体" w:hAnsi="宋体" w:cs="宋体"/>
                <w:bCs/>
                <w:sz w:val="20"/>
                <w:szCs w:val="20"/>
                <w:highlight w:val="none"/>
              </w:rPr>
            </w:pPr>
            <w:r>
              <w:rPr>
                <w:rFonts w:hint="eastAsia" w:ascii="宋体" w:hAnsi="宋体" w:cs="宋体"/>
                <w:bCs/>
                <w:sz w:val="20"/>
                <w:szCs w:val="20"/>
                <w:highlight w:val="none"/>
              </w:rPr>
              <w:t>PAC</w:t>
            </w:r>
          </w:p>
        </w:tc>
        <w:tc>
          <w:tcPr>
            <w:tcW w:w="2294" w:type="dxa"/>
          </w:tcPr>
          <w:p>
            <w:pPr>
              <w:pStyle w:val="56"/>
              <w:overflowPunct w:val="0"/>
              <w:spacing w:beforeLines="50"/>
              <w:jc w:val="center"/>
              <w:rPr>
                <w:rFonts w:ascii="宋体" w:hAnsi="宋体" w:cs="宋体"/>
                <w:bCs/>
                <w:sz w:val="20"/>
                <w:szCs w:val="20"/>
                <w:highlight w:val="none"/>
              </w:rPr>
            </w:pPr>
            <w:r>
              <w:rPr>
                <w:rFonts w:hint="eastAsia" w:ascii="宋体" w:hAnsi="宋体" w:cs="宋体"/>
                <w:bCs/>
                <w:sz w:val="20"/>
                <w:szCs w:val="20"/>
                <w:highlight w:val="none"/>
              </w:rPr>
              <w:t>单价</w:t>
            </w:r>
          </w:p>
        </w:tc>
        <w:tc>
          <w:tcPr>
            <w:tcW w:w="1343" w:type="dxa"/>
          </w:tcPr>
          <w:p>
            <w:pPr>
              <w:pStyle w:val="56"/>
              <w:overflowPunct w:val="0"/>
              <w:spacing w:beforeLines="50"/>
              <w:ind w:firstLine="567"/>
              <w:rPr>
                <w:rFonts w:ascii="宋体" w:hAnsi="宋体" w:cs="宋体"/>
                <w:bCs/>
                <w:sz w:val="20"/>
                <w:szCs w:val="20"/>
                <w:highlight w:val="none"/>
              </w:rPr>
            </w:pPr>
          </w:p>
        </w:tc>
        <w:tc>
          <w:tcPr>
            <w:tcW w:w="1818" w:type="dxa"/>
          </w:tcPr>
          <w:p>
            <w:pPr>
              <w:pStyle w:val="56"/>
              <w:overflowPunct w:val="0"/>
              <w:spacing w:beforeLines="50"/>
              <w:rPr>
                <w:rFonts w:ascii="宋体" w:hAnsi="宋体" w:cs="宋体"/>
                <w:bCs/>
                <w:sz w:val="20"/>
                <w:szCs w:val="20"/>
                <w:highlight w:val="none"/>
              </w:rPr>
            </w:pPr>
            <w:r>
              <w:rPr>
                <w:rFonts w:hint="eastAsia" w:ascii="宋体" w:hAnsi="宋体" w:cs="宋体"/>
                <w:bCs/>
                <w:sz w:val="20"/>
                <w:szCs w:val="20"/>
                <w:highlight w:val="none"/>
              </w:rPr>
              <w:t>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2031" w:type="dxa"/>
            <w:vMerge w:val="continue"/>
          </w:tcPr>
          <w:p>
            <w:pPr>
              <w:pStyle w:val="56"/>
              <w:overflowPunct w:val="0"/>
              <w:spacing w:beforeLines="50"/>
              <w:ind w:firstLine="567"/>
              <w:jc w:val="center"/>
              <w:rPr>
                <w:rFonts w:ascii="宋体" w:hAnsi="宋体" w:cs="宋体"/>
                <w:bCs/>
                <w:sz w:val="20"/>
                <w:szCs w:val="20"/>
                <w:highlight w:val="none"/>
              </w:rPr>
            </w:pPr>
          </w:p>
        </w:tc>
        <w:tc>
          <w:tcPr>
            <w:tcW w:w="1572" w:type="dxa"/>
            <w:vMerge w:val="continue"/>
          </w:tcPr>
          <w:p>
            <w:pPr>
              <w:pStyle w:val="56"/>
              <w:overflowPunct w:val="0"/>
              <w:spacing w:beforeLines="50"/>
              <w:ind w:firstLine="567"/>
              <w:jc w:val="center"/>
              <w:rPr>
                <w:rFonts w:ascii="宋体" w:hAnsi="宋体" w:cs="宋体"/>
                <w:bCs/>
                <w:sz w:val="20"/>
                <w:szCs w:val="20"/>
                <w:highlight w:val="none"/>
              </w:rPr>
            </w:pPr>
          </w:p>
        </w:tc>
        <w:tc>
          <w:tcPr>
            <w:tcW w:w="2294" w:type="dxa"/>
          </w:tcPr>
          <w:p>
            <w:pPr>
              <w:pStyle w:val="56"/>
              <w:overflowPunct w:val="0"/>
              <w:spacing w:beforeLines="50"/>
              <w:jc w:val="center"/>
              <w:rPr>
                <w:rFonts w:ascii="宋体" w:hAnsi="宋体" w:cs="宋体"/>
                <w:bCs/>
                <w:sz w:val="20"/>
                <w:szCs w:val="20"/>
                <w:highlight w:val="none"/>
              </w:rPr>
            </w:pPr>
            <w:r>
              <w:rPr>
                <w:rFonts w:hint="eastAsia" w:ascii="宋体" w:hAnsi="宋体" w:cs="宋体"/>
                <w:bCs/>
                <w:sz w:val="20"/>
                <w:szCs w:val="20"/>
                <w:highlight w:val="none"/>
              </w:rPr>
              <w:t>单位污水处理耗用量</w:t>
            </w:r>
          </w:p>
        </w:tc>
        <w:tc>
          <w:tcPr>
            <w:tcW w:w="1343" w:type="dxa"/>
          </w:tcPr>
          <w:p>
            <w:pPr>
              <w:pStyle w:val="56"/>
              <w:overflowPunct w:val="0"/>
              <w:spacing w:beforeLines="50"/>
              <w:ind w:firstLine="567"/>
              <w:rPr>
                <w:rFonts w:ascii="宋体" w:hAnsi="宋体" w:cs="宋体"/>
                <w:bCs/>
                <w:sz w:val="20"/>
                <w:szCs w:val="20"/>
                <w:highlight w:val="none"/>
              </w:rPr>
            </w:pPr>
          </w:p>
        </w:tc>
        <w:tc>
          <w:tcPr>
            <w:tcW w:w="1818" w:type="dxa"/>
          </w:tcPr>
          <w:p>
            <w:pPr>
              <w:pStyle w:val="56"/>
              <w:overflowPunct w:val="0"/>
              <w:spacing w:beforeLines="50"/>
              <w:rPr>
                <w:rFonts w:ascii="宋体" w:hAnsi="宋体" w:cs="宋体"/>
                <w:bCs/>
                <w:sz w:val="20"/>
                <w:szCs w:val="20"/>
                <w:highlight w:val="none"/>
              </w:rPr>
            </w:pPr>
            <w:r>
              <w:rPr>
                <w:rFonts w:hint="eastAsia" w:ascii="宋体" w:hAnsi="宋体" w:cs="宋体"/>
                <w:bCs/>
                <w:sz w:val="20"/>
                <w:szCs w:val="20"/>
                <w:highlight w:val="none"/>
              </w:rPr>
              <w:t>千克/立方米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2031" w:type="dxa"/>
            <w:vMerge w:val="continue"/>
          </w:tcPr>
          <w:p>
            <w:pPr>
              <w:pStyle w:val="56"/>
              <w:overflowPunct w:val="0"/>
              <w:spacing w:beforeLines="50"/>
              <w:ind w:firstLine="567"/>
              <w:jc w:val="center"/>
              <w:rPr>
                <w:rFonts w:ascii="宋体" w:hAnsi="宋体" w:cs="宋体"/>
                <w:bCs/>
                <w:sz w:val="20"/>
                <w:szCs w:val="20"/>
                <w:highlight w:val="none"/>
              </w:rPr>
            </w:pPr>
          </w:p>
        </w:tc>
        <w:tc>
          <w:tcPr>
            <w:tcW w:w="1572" w:type="dxa"/>
            <w:vMerge w:val="restart"/>
            <w:vAlign w:val="center"/>
          </w:tcPr>
          <w:p>
            <w:pPr>
              <w:pStyle w:val="56"/>
              <w:overflowPunct w:val="0"/>
              <w:spacing w:beforeLines="50"/>
              <w:jc w:val="center"/>
              <w:rPr>
                <w:rFonts w:ascii="宋体" w:hAnsi="宋体" w:cs="宋体"/>
                <w:bCs/>
                <w:sz w:val="20"/>
                <w:szCs w:val="20"/>
                <w:highlight w:val="none"/>
              </w:rPr>
            </w:pPr>
            <w:r>
              <w:rPr>
                <w:rFonts w:hint="eastAsia" w:ascii="宋体" w:hAnsi="宋体" w:cs="宋体"/>
                <w:bCs/>
                <w:sz w:val="20"/>
                <w:szCs w:val="20"/>
                <w:highlight w:val="none"/>
              </w:rPr>
              <w:t>三氯化铁</w:t>
            </w:r>
          </w:p>
        </w:tc>
        <w:tc>
          <w:tcPr>
            <w:tcW w:w="2294" w:type="dxa"/>
          </w:tcPr>
          <w:p>
            <w:pPr>
              <w:pStyle w:val="56"/>
              <w:overflowPunct w:val="0"/>
              <w:spacing w:beforeLines="50"/>
              <w:jc w:val="center"/>
              <w:rPr>
                <w:rFonts w:ascii="宋体" w:hAnsi="宋体" w:cs="宋体"/>
                <w:bCs/>
                <w:sz w:val="20"/>
                <w:szCs w:val="20"/>
                <w:highlight w:val="none"/>
              </w:rPr>
            </w:pPr>
            <w:r>
              <w:rPr>
                <w:rFonts w:hint="eastAsia" w:ascii="宋体" w:hAnsi="宋体" w:cs="宋体"/>
                <w:bCs/>
                <w:sz w:val="20"/>
                <w:szCs w:val="20"/>
                <w:highlight w:val="none"/>
              </w:rPr>
              <w:t>单价</w:t>
            </w:r>
          </w:p>
        </w:tc>
        <w:tc>
          <w:tcPr>
            <w:tcW w:w="1343" w:type="dxa"/>
          </w:tcPr>
          <w:p>
            <w:pPr>
              <w:pStyle w:val="56"/>
              <w:overflowPunct w:val="0"/>
              <w:spacing w:beforeLines="50"/>
              <w:ind w:firstLine="567"/>
              <w:rPr>
                <w:rFonts w:ascii="宋体" w:hAnsi="宋体" w:cs="宋体"/>
                <w:bCs/>
                <w:sz w:val="20"/>
                <w:szCs w:val="20"/>
                <w:highlight w:val="none"/>
              </w:rPr>
            </w:pPr>
          </w:p>
        </w:tc>
        <w:tc>
          <w:tcPr>
            <w:tcW w:w="1818" w:type="dxa"/>
          </w:tcPr>
          <w:p>
            <w:pPr>
              <w:pStyle w:val="56"/>
              <w:overflowPunct w:val="0"/>
              <w:spacing w:beforeLines="50"/>
              <w:rPr>
                <w:rFonts w:ascii="宋体" w:hAnsi="宋体" w:cs="宋体"/>
                <w:bCs/>
                <w:sz w:val="20"/>
                <w:szCs w:val="20"/>
                <w:highlight w:val="none"/>
              </w:rPr>
            </w:pPr>
            <w:r>
              <w:rPr>
                <w:rFonts w:hint="eastAsia" w:ascii="宋体" w:hAnsi="宋体" w:cs="宋体"/>
                <w:bCs/>
                <w:sz w:val="20"/>
                <w:szCs w:val="20"/>
                <w:highlight w:val="none"/>
              </w:rPr>
              <w:t>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2031" w:type="dxa"/>
            <w:vMerge w:val="continue"/>
          </w:tcPr>
          <w:p>
            <w:pPr>
              <w:pStyle w:val="56"/>
              <w:overflowPunct w:val="0"/>
              <w:spacing w:beforeLines="50"/>
              <w:ind w:firstLine="567"/>
              <w:jc w:val="center"/>
              <w:rPr>
                <w:rFonts w:ascii="宋体" w:hAnsi="宋体" w:cs="宋体"/>
                <w:bCs/>
                <w:sz w:val="20"/>
                <w:szCs w:val="20"/>
                <w:highlight w:val="none"/>
              </w:rPr>
            </w:pPr>
          </w:p>
        </w:tc>
        <w:tc>
          <w:tcPr>
            <w:tcW w:w="1572" w:type="dxa"/>
            <w:vMerge w:val="continue"/>
            <w:vAlign w:val="center"/>
          </w:tcPr>
          <w:p>
            <w:pPr>
              <w:pStyle w:val="56"/>
              <w:overflowPunct w:val="0"/>
              <w:spacing w:beforeLines="50"/>
              <w:ind w:firstLine="567"/>
              <w:jc w:val="center"/>
              <w:rPr>
                <w:rFonts w:ascii="宋体" w:hAnsi="宋体" w:cs="宋体"/>
                <w:bCs/>
                <w:sz w:val="20"/>
                <w:szCs w:val="20"/>
                <w:highlight w:val="none"/>
              </w:rPr>
            </w:pPr>
          </w:p>
        </w:tc>
        <w:tc>
          <w:tcPr>
            <w:tcW w:w="2294" w:type="dxa"/>
          </w:tcPr>
          <w:p>
            <w:pPr>
              <w:pStyle w:val="56"/>
              <w:overflowPunct w:val="0"/>
              <w:spacing w:beforeLines="50"/>
              <w:jc w:val="center"/>
              <w:rPr>
                <w:rFonts w:ascii="宋体" w:hAnsi="宋体" w:cs="宋体"/>
                <w:bCs/>
                <w:sz w:val="20"/>
                <w:szCs w:val="20"/>
                <w:highlight w:val="none"/>
              </w:rPr>
            </w:pPr>
            <w:r>
              <w:rPr>
                <w:rFonts w:hint="eastAsia" w:ascii="宋体" w:hAnsi="宋体" w:cs="宋体"/>
                <w:bCs/>
                <w:sz w:val="20"/>
                <w:szCs w:val="20"/>
                <w:highlight w:val="none"/>
              </w:rPr>
              <w:t>单位污水处理耗用量</w:t>
            </w:r>
          </w:p>
        </w:tc>
        <w:tc>
          <w:tcPr>
            <w:tcW w:w="1343" w:type="dxa"/>
          </w:tcPr>
          <w:p>
            <w:pPr>
              <w:pStyle w:val="56"/>
              <w:overflowPunct w:val="0"/>
              <w:spacing w:beforeLines="50"/>
              <w:ind w:firstLine="567"/>
              <w:rPr>
                <w:rFonts w:ascii="宋体" w:hAnsi="宋体" w:cs="宋体"/>
                <w:bCs/>
                <w:sz w:val="20"/>
                <w:szCs w:val="20"/>
                <w:highlight w:val="none"/>
              </w:rPr>
            </w:pPr>
          </w:p>
        </w:tc>
        <w:tc>
          <w:tcPr>
            <w:tcW w:w="1818" w:type="dxa"/>
          </w:tcPr>
          <w:p>
            <w:pPr>
              <w:pStyle w:val="56"/>
              <w:overflowPunct w:val="0"/>
              <w:spacing w:beforeLines="50"/>
              <w:rPr>
                <w:rFonts w:ascii="宋体" w:hAnsi="宋体" w:cs="宋体"/>
                <w:bCs/>
                <w:sz w:val="20"/>
                <w:szCs w:val="20"/>
                <w:highlight w:val="none"/>
              </w:rPr>
            </w:pPr>
            <w:r>
              <w:rPr>
                <w:rFonts w:hint="eastAsia" w:ascii="宋体" w:hAnsi="宋体" w:cs="宋体"/>
                <w:bCs/>
                <w:sz w:val="20"/>
                <w:szCs w:val="20"/>
                <w:highlight w:val="none"/>
              </w:rPr>
              <w:t>千克/立方米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2031" w:type="dxa"/>
            <w:vMerge w:val="continue"/>
          </w:tcPr>
          <w:p>
            <w:pPr>
              <w:pStyle w:val="56"/>
              <w:overflowPunct w:val="0"/>
              <w:spacing w:beforeLines="50"/>
              <w:ind w:firstLine="567"/>
              <w:jc w:val="center"/>
              <w:rPr>
                <w:rFonts w:ascii="宋体" w:hAnsi="宋体" w:cs="宋体"/>
                <w:bCs/>
                <w:sz w:val="20"/>
                <w:szCs w:val="20"/>
                <w:highlight w:val="none"/>
              </w:rPr>
            </w:pPr>
          </w:p>
        </w:tc>
        <w:tc>
          <w:tcPr>
            <w:tcW w:w="1572" w:type="dxa"/>
            <w:vMerge w:val="restart"/>
            <w:vAlign w:val="center"/>
          </w:tcPr>
          <w:p>
            <w:pPr>
              <w:pStyle w:val="56"/>
              <w:overflowPunct w:val="0"/>
              <w:spacing w:beforeLines="50"/>
              <w:jc w:val="center"/>
              <w:rPr>
                <w:rFonts w:ascii="宋体" w:hAnsi="宋体" w:cs="宋体"/>
                <w:bCs/>
                <w:sz w:val="20"/>
                <w:szCs w:val="20"/>
                <w:highlight w:val="none"/>
              </w:rPr>
            </w:pPr>
            <w:r>
              <w:rPr>
                <w:rFonts w:hint="eastAsia" w:ascii="宋体" w:hAnsi="宋体" w:cs="宋体"/>
                <w:bCs/>
                <w:sz w:val="20"/>
                <w:szCs w:val="20"/>
                <w:highlight w:val="none"/>
              </w:rPr>
              <w:t>10%次氯酸钠</w:t>
            </w:r>
          </w:p>
        </w:tc>
        <w:tc>
          <w:tcPr>
            <w:tcW w:w="2294" w:type="dxa"/>
          </w:tcPr>
          <w:p>
            <w:pPr>
              <w:pStyle w:val="56"/>
              <w:overflowPunct w:val="0"/>
              <w:spacing w:beforeLines="50"/>
              <w:jc w:val="center"/>
              <w:rPr>
                <w:rFonts w:ascii="宋体" w:hAnsi="宋体" w:cs="宋体"/>
                <w:bCs/>
                <w:sz w:val="20"/>
                <w:szCs w:val="20"/>
                <w:highlight w:val="none"/>
              </w:rPr>
            </w:pPr>
            <w:r>
              <w:rPr>
                <w:rFonts w:hint="eastAsia" w:ascii="宋体" w:hAnsi="宋体" w:cs="宋体"/>
                <w:bCs/>
                <w:sz w:val="20"/>
                <w:szCs w:val="20"/>
                <w:highlight w:val="none"/>
              </w:rPr>
              <w:t>单价</w:t>
            </w:r>
          </w:p>
        </w:tc>
        <w:tc>
          <w:tcPr>
            <w:tcW w:w="1343" w:type="dxa"/>
          </w:tcPr>
          <w:p>
            <w:pPr>
              <w:pStyle w:val="56"/>
              <w:overflowPunct w:val="0"/>
              <w:spacing w:beforeLines="50"/>
              <w:ind w:firstLine="567"/>
              <w:rPr>
                <w:rFonts w:ascii="宋体" w:hAnsi="宋体" w:cs="宋体"/>
                <w:bCs/>
                <w:sz w:val="20"/>
                <w:szCs w:val="20"/>
                <w:highlight w:val="none"/>
              </w:rPr>
            </w:pPr>
          </w:p>
        </w:tc>
        <w:tc>
          <w:tcPr>
            <w:tcW w:w="1818" w:type="dxa"/>
          </w:tcPr>
          <w:p>
            <w:pPr>
              <w:pStyle w:val="56"/>
              <w:overflowPunct w:val="0"/>
              <w:spacing w:beforeLines="50"/>
              <w:rPr>
                <w:rFonts w:ascii="宋体" w:hAnsi="宋体" w:cs="宋体"/>
                <w:bCs/>
                <w:sz w:val="20"/>
                <w:szCs w:val="20"/>
                <w:highlight w:val="none"/>
              </w:rPr>
            </w:pPr>
            <w:r>
              <w:rPr>
                <w:rFonts w:hint="eastAsia" w:ascii="宋体" w:hAnsi="宋体" w:cs="宋体"/>
                <w:bCs/>
                <w:sz w:val="20"/>
                <w:szCs w:val="20"/>
                <w:highlight w:val="none"/>
              </w:rPr>
              <w:t>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2031" w:type="dxa"/>
            <w:vMerge w:val="continue"/>
          </w:tcPr>
          <w:p>
            <w:pPr>
              <w:pStyle w:val="56"/>
              <w:overflowPunct w:val="0"/>
              <w:spacing w:beforeLines="50"/>
              <w:ind w:firstLine="567"/>
              <w:jc w:val="center"/>
              <w:rPr>
                <w:rFonts w:ascii="宋体" w:hAnsi="宋体" w:cs="宋体"/>
                <w:bCs/>
                <w:sz w:val="20"/>
                <w:szCs w:val="20"/>
                <w:highlight w:val="none"/>
              </w:rPr>
            </w:pPr>
          </w:p>
        </w:tc>
        <w:tc>
          <w:tcPr>
            <w:tcW w:w="1572" w:type="dxa"/>
            <w:vMerge w:val="continue"/>
            <w:vAlign w:val="center"/>
          </w:tcPr>
          <w:p>
            <w:pPr>
              <w:pStyle w:val="56"/>
              <w:overflowPunct w:val="0"/>
              <w:spacing w:beforeLines="50"/>
              <w:ind w:firstLine="567"/>
              <w:jc w:val="center"/>
              <w:rPr>
                <w:rFonts w:ascii="宋体" w:hAnsi="宋体" w:cs="宋体"/>
                <w:bCs/>
                <w:sz w:val="20"/>
                <w:szCs w:val="20"/>
                <w:highlight w:val="none"/>
              </w:rPr>
            </w:pPr>
          </w:p>
        </w:tc>
        <w:tc>
          <w:tcPr>
            <w:tcW w:w="2294" w:type="dxa"/>
          </w:tcPr>
          <w:p>
            <w:pPr>
              <w:pStyle w:val="56"/>
              <w:overflowPunct w:val="0"/>
              <w:spacing w:beforeLines="50"/>
              <w:jc w:val="center"/>
              <w:rPr>
                <w:rFonts w:ascii="宋体" w:hAnsi="宋体" w:cs="宋体"/>
                <w:bCs/>
                <w:sz w:val="20"/>
                <w:szCs w:val="20"/>
                <w:highlight w:val="none"/>
              </w:rPr>
            </w:pPr>
            <w:r>
              <w:rPr>
                <w:rFonts w:hint="eastAsia" w:ascii="宋体" w:hAnsi="宋体" w:cs="宋体"/>
                <w:bCs/>
                <w:sz w:val="20"/>
                <w:szCs w:val="20"/>
                <w:highlight w:val="none"/>
              </w:rPr>
              <w:t>单位污水处理耗用量</w:t>
            </w:r>
          </w:p>
        </w:tc>
        <w:tc>
          <w:tcPr>
            <w:tcW w:w="1343" w:type="dxa"/>
          </w:tcPr>
          <w:p>
            <w:pPr>
              <w:pStyle w:val="56"/>
              <w:overflowPunct w:val="0"/>
              <w:spacing w:beforeLines="50"/>
              <w:ind w:firstLine="567"/>
              <w:rPr>
                <w:rFonts w:ascii="宋体" w:hAnsi="宋体" w:cs="宋体"/>
                <w:bCs/>
                <w:sz w:val="20"/>
                <w:szCs w:val="20"/>
                <w:highlight w:val="none"/>
              </w:rPr>
            </w:pPr>
          </w:p>
        </w:tc>
        <w:tc>
          <w:tcPr>
            <w:tcW w:w="1818" w:type="dxa"/>
          </w:tcPr>
          <w:p>
            <w:pPr>
              <w:pStyle w:val="56"/>
              <w:overflowPunct w:val="0"/>
              <w:spacing w:beforeLines="50"/>
              <w:rPr>
                <w:rFonts w:ascii="宋体" w:hAnsi="宋体" w:cs="宋体"/>
                <w:bCs/>
                <w:sz w:val="20"/>
                <w:szCs w:val="20"/>
                <w:highlight w:val="none"/>
              </w:rPr>
            </w:pPr>
            <w:r>
              <w:rPr>
                <w:rFonts w:hint="eastAsia" w:ascii="宋体" w:hAnsi="宋体" w:cs="宋体"/>
                <w:bCs/>
                <w:sz w:val="20"/>
                <w:szCs w:val="20"/>
                <w:highlight w:val="none"/>
              </w:rPr>
              <w:t>千克/立方米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2031" w:type="dxa"/>
            <w:vMerge w:val="continue"/>
          </w:tcPr>
          <w:p>
            <w:pPr>
              <w:pStyle w:val="56"/>
              <w:overflowPunct w:val="0"/>
              <w:spacing w:beforeLines="50"/>
              <w:ind w:firstLine="567"/>
              <w:jc w:val="center"/>
              <w:rPr>
                <w:rFonts w:ascii="宋体" w:hAnsi="宋体" w:cs="宋体"/>
                <w:bCs/>
                <w:sz w:val="20"/>
                <w:szCs w:val="20"/>
                <w:highlight w:val="none"/>
              </w:rPr>
            </w:pPr>
          </w:p>
        </w:tc>
        <w:tc>
          <w:tcPr>
            <w:tcW w:w="1572" w:type="dxa"/>
            <w:vMerge w:val="restart"/>
            <w:vAlign w:val="center"/>
          </w:tcPr>
          <w:p>
            <w:pPr>
              <w:pStyle w:val="56"/>
              <w:overflowPunct w:val="0"/>
              <w:spacing w:beforeLines="50"/>
              <w:ind w:firstLine="567"/>
              <w:jc w:val="center"/>
              <w:rPr>
                <w:rFonts w:ascii="宋体" w:hAnsi="宋体" w:cs="宋体"/>
                <w:bCs/>
                <w:sz w:val="20"/>
                <w:szCs w:val="20"/>
                <w:highlight w:val="none"/>
              </w:rPr>
            </w:pPr>
            <w:r>
              <w:rPr>
                <w:rFonts w:hint="eastAsia" w:ascii="宋体" w:hAnsi="宋体" w:cs="宋体"/>
                <w:bCs/>
                <w:sz w:val="20"/>
                <w:szCs w:val="20"/>
                <w:highlight w:val="none"/>
              </w:rPr>
              <w:t>氧气</w:t>
            </w:r>
          </w:p>
        </w:tc>
        <w:tc>
          <w:tcPr>
            <w:tcW w:w="2294" w:type="dxa"/>
          </w:tcPr>
          <w:p>
            <w:pPr>
              <w:pStyle w:val="56"/>
              <w:overflowPunct w:val="0"/>
              <w:spacing w:beforeLines="50"/>
              <w:jc w:val="center"/>
              <w:rPr>
                <w:rFonts w:ascii="宋体" w:hAnsi="宋体" w:cs="宋体"/>
                <w:bCs/>
                <w:sz w:val="20"/>
                <w:szCs w:val="20"/>
                <w:highlight w:val="none"/>
              </w:rPr>
            </w:pPr>
            <w:r>
              <w:rPr>
                <w:rFonts w:hint="eastAsia" w:ascii="宋体" w:hAnsi="宋体" w:cs="宋体"/>
                <w:bCs/>
                <w:sz w:val="20"/>
                <w:szCs w:val="20"/>
                <w:highlight w:val="none"/>
              </w:rPr>
              <w:t>单价</w:t>
            </w:r>
          </w:p>
        </w:tc>
        <w:tc>
          <w:tcPr>
            <w:tcW w:w="1343" w:type="dxa"/>
          </w:tcPr>
          <w:p>
            <w:pPr>
              <w:pStyle w:val="56"/>
              <w:overflowPunct w:val="0"/>
              <w:spacing w:beforeLines="50"/>
              <w:ind w:firstLine="567"/>
              <w:rPr>
                <w:rFonts w:ascii="宋体" w:hAnsi="宋体" w:cs="宋体"/>
                <w:bCs/>
                <w:sz w:val="20"/>
                <w:szCs w:val="20"/>
                <w:highlight w:val="none"/>
              </w:rPr>
            </w:pPr>
          </w:p>
        </w:tc>
        <w:tc>
          <w:tcPr>
            <w:tcW w:w="1818" w:type="dxa"/>
          </w:tcPr>
          <w:p>
            <w:pPr>
              <w:pStyle w:val="56"/>
              <w:overflowPunct w:val="0"/>
              <w:spacing w:beforeLines="50"/>
              <w:rPr>
                <w:rFonts w:ascii="宋体" w:hAnsi="宋体" w:cs="宋体"/>
                <w:bCs/>
                <w:sz w:val="20"/>
                <w:szCs w:val="20"/>
                <w:highlight w:val="none"/>
              </w:rPr>
            </w:pPr>
            <w:r>
              <w:rPr>
                <w:rFonts w:hint="eastAsia" w:ascii="宋体" w:hAnsi="宋体" w:cs="宋体"/>
                <w:bCs/>
                <w:sz w:val="20"/>
                <w:szCs w:val="20"/>
                <w:highlight w:val="none"/>
              </w:rPr>
              <w:t>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2031" w:type="dxa"/>
            <w:vMerge w:val="continue"/>
          </w:tcPr>
          <w:p>
            <w:pPr>
              <w:pStyle w:val="56"/>
              <w:overflowPunct w:val="0"/>
              <w:spacing w:beforeLines="50"/>
              <w:ind w:firstLine="567"/>
              <w:jc w:val="center"/>
              <w:rPr>
                <w:rFonts w:ascii="宋体" w:hAnsi="宋体" w:cs="宋体"/>
                <w:bCs/>
                <w:sz w:val="20"/>
                <w:szCs w:val="20"/>
                <w:highlight w:val="none"/>
              </w:rPr>
            </w:pPr>
          </w:p>
        </w:tc>
        <w:tc>
          <w:tcPr>
            <w:tcW w:w="1572" w:type="dxa"/>
            <w:vMerge w:val="continue"/>
            <w:vAlign w:val="center"/>
          </w:tcPr>
          <w:p>
            <w:pPr>
              <w:pStyle w:val="56"/>
              <w:overflowPunct w:val="0"/>
              <w:spacing w:beforeLines="50"/>
              <w:ind w:firstLine="567"/>
              <w:jc w:val="center"/>
              <w:rPr>
                <w:rFonts w:ascii="宋体" w:hAnsi="宋体" w:cs="宋体"/>
                <w:bCs/>
                <w:sz w:val="20"/>
                <w:szCs w:val="20"/>
                <w:highlight w:val="none"/>
              </w:rPr>
            </w:pPr>
          </w:p>
        </w:tc>
        <w:tc>
          <w:tcPr>
            <w:tcW w:w="2294" w:type="dxa"/>
          </w:tcPr>
          <w:p>
            <w:pPr>
              <w:pStyle w:val="56"/>
              <w:overflowPunct w:val="0"/>
              <w:spacing w:beforeLines="50"/>
              <w:jc w:val="center"/>
              <w:rPr>
                <w:rFonts w:ascii="宋体" w:hAnsi="宋体" w:cs="宋体"/>
                <w:bCs/>
                <w:sz w:val="20"/>
                <w:szCs w:val="20"/>
                <w:highlight w:val="none"/>
              </w:rPr>
            </w:pPr>
            <w:r>
              <w:rPr>
                <w:rFonts w:hint="eastAsia" w:ascii="宋体" w:hAnsi="宋体" w:cs="宋体"/>
                <w:bCs/>
                <w:sz w:val="20"/>
                <w:szCs w:val="20"/>
                <w:highlight w:val="none"/>
              </w:rPr>
              <w:t>单位污水处理耗用量</w:t>
            </w:r>
          </w:p>
        </w:tc>
        <w:tc>
          <w:tcPr>
            <w:tcW w:w="1343" w:type="dxa"/>
          </w:tcPr>
          <w:p>
            <w:pPr>
              <w:pStyle w:val="56"/>
              <w:overflowPunct w:val="0"/>
              <w:spacing w:beforeLines="50"/>
              <w:ind w:firstLine="567"/>
              <w:rPr>
                <w:rFonts w:ascii="宋体" w:hAnsi="宋体" w:cs="宋体"/>
                <w:bCs/>
                <w:sz w:val="20"/>
                <w:szCs w:val="20"/>
                <w:highlight w:val="none"/>
              </w:rPr>
            </w:pPr>
          </w:p>
        </w:tc>
        <w:tc>
          <w:tcPr>
            <w:tcW w:w="1818" w:type="dxa"/>
          </w:tcPr>
          <w:p>
            <w:pPr>
              <w:pStyle w:val="56"/>
              <w:overflowPunct w:val="0"/>
              <w:spacing w:beforeLines="50"/>
              <w:rPr>
                <w:rFonts w:ascii="宋体" w:hAnsi="宋体" w:cs="宋体"/>
                <w:bCs/>
                <w:sz w:val="20"/>
                <w:szCs w:val="20"/>
                <w:highlight w:val="none"/>
              </w:rPr>
            </w:pPr>
            <w:r>
              <w:rPr>
                <w:rFonts w:hint="eastAsia" w:ascii="宋体" w:hAnsi="宋体" w:cs="宋体"/>
                <w:bCs/>
                <w:sz w:val="20"/>
                <w:szCs w:val="20"/>
                <w:highlight w:val="none"/>
              </w:rPr>
              <w:t>千克/立方米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2031" w:type="dxa"/>
            <w:vMerge w:val="continue"/>
          </w:tcPr>
          <w:p>
            <w:pPr>
              <w:pStyle w:val="56"/>
              <w:overflowPunct w:val="0"/>
              <w:spacing w:beforeLines="50"/>
              <w:ind w:firstLine="567"/>
              <w:jc w:val="center"/>
              <w:rPr>
                <w:rFonts w:ascii="宋体" w:hAnsi="宋体" w:cs="宋体"/>
                <w:bCs/>
                <w:sz w:val="20"/>
                <w:szCs w:val="20"/>
                <w:highlight w:val="none"/>
              </w:rPr>
            </w:pPr>
          </w:p>
        </w:tc>
        <w:tc>
          <w:tcPr>
            <w:tcW w:w="1572" w:type="dxa"/>
            <w:vMerge w:val="restart"/>
          </w:tcPr>
          <w:p>
            <w:pPr>
              <w:pStyle w:val="56"/>
              <w:overflowPunct w:val="0"/>
              <w:spacing w:beforeLines="50"/>
              <w:jc w:val="center"/>
              <w:rPr>
                <w:rFonts w:ascii="宋体" w:hAnsi="宋体" w:cs="宋体"/>
                <w:bCs/>
                <w:sz w:val="20"/>
                <w:szCs w:val="20"/>
                <w:highlight w:val="none"/>
              </w:rPr>
            </w:pPr>
            <w:r>
              <w:rPr>
                <w:rFonts w:hint="eastAsia" w:ascii="宋体" w:hAnsi="宋体" w:cs="宋体"/>
                <w:bCs/>
                <w:sz w:val="20"/>
                <w:szCs w:val="20"/>
                <w:highlight w:val="none"/>
              </w:rPr>
              <w:t>其他所需</w:t>
            </w:r>
          </w:p>
          <w:p>
            <w:pPr>
              <w:pStyle w:val="56"/>
              <w:overflowPunct w:val="0"/>
              <w:spacing w:beforeLines="50"/>
              <w:jc w:val="center"/>
              <w:rPr>
                <w:rFonts w:ascii="宋体" w:hAnsi="宋体" w:cs="宋体"/>
                <w:bCs/>
                <w:sz w:val="20"/>
                <w:szCs w:val="20"/>
                <w:highlight w:val="none"/>
              </w:rPr>
            </w:pPr>
            <w:r>
              <w:rPr>
                <w:rFonts w:hint="eastAsia" w:ascii="宋体" w:hAnsi="宋体" w:cs="宋体"/>
                <w:bCs/>
                <w:sz w:val="20"/>
                <w:szCs w:val="20"/>
                <w:highlight w:val="none"/>
              </w:rPr>
              <w:t>药剂</w:t>
            </w:r>
          </w:p>
        </w:tc>
        <w:tc>
          <w:tcPr>
            <w:tcW w:w="2294" w:type="dxa"/>
          </w:tcPr>
          <w:p>
            <w:pPr>
              <w:pStyle w:val="56"/>
              <w:overflowPunct w:val="0"/>
              <w:spacing w:beforeLines="50"/>
              <w:jc w:val="center"/>
              <w:rPr>
                <w:rFonts w:ascii="宋体" w:hAnsi="宋体" w:cs="宋体"/>
                <w:bCs/>
                <w:sz w:val="20"/>
                <w:szCs w:val="20"/>
                <w:highlight w:val="none"/>
              </w:rPr>
            </w:pPr>
            <w:r>
              <w:rPr>
                <w:rFonts w:hint="eastAsia" w:ascii="宋体" w:hAnsi="宋体" w:cs="宋体"/>
                <w:bCs/>
                <w:sz w:val="20"/>
                <w:szCs w:val="20"/>
                <w:highlight w:val="none"/>
              </w:rPr>
              <w:t>单价</w:t>
            </w:r>
          </w:p>
        </w:tc>
        <w:tc>
          <w:tcPr>
            <w:tcW w:w="1343" w:type="dxa"/>
          </w:tcPr>
          <w:p>
            <w:pPr>
              <w:pStyle w:val="56"/>
              <w:overflowPunct w:val="0"/>
              <w:spacing w:beforeLines="50"/>
              <w:ind w:firstLine="567"/>
              <w:rPr>
                <w:rFonts w:ascii="宋体" w:hAnsi="宋体" w:cs="宋体"/>
                <w:bCs/>
                <w:sz w:val="20"/>
                <w:szCs w:val="20"/>
                <w:highlight w:val="none"/>
              </w:rPr>
            </w:pPr>
          </w:p>
        </w:tc>
        <w:tc>
          <w:tcPr>
            <w:tcW w:w="1818" w:type="dxa"/>
          </w:tcPr>
          <w:p>
            <w:pPr>
              <w:pStyle w:val="56"/>
              <w:overflowPunct w:val="0"/>
              <w:spacing w:beforeLines="50"/>
              <w:rPr>
                <w:rFonts w:ascii="宋体" w:hAnsi="宋体" w:cs="宋体"/>
                <w:bCs/>
                <w:sz w:val="20"/>
                <w:szCs w:val="20"/>
                <w:highlight w:val="none"/>
              </w:rPr>
            </w:pPr>
            <w:r>
              <w:rPr>
                <w:rFonts w:hint="eastAsia" w:ascii="宋体" w:hAnsi="宋体" w:cs="宋体"/>
                <w:bCs/>
                <w:sz w:val="20"/>
                <w:szCs w:val="20"/>
                <w:highlight w:val="none"/>
              </w:rPr>
              <w:t>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2031" w:type="dxa"/>
            <w:vMerge w:val="continue"/>
          </w:tcPr>
          <w:p>
            <w:pPr>
              <w:pStyle w:val="56"/>
              <w:overflowPunct w:val="0"/>
              <w:spacing w:beforeLines="50"/>
              <w:ind w:firstLine="567"/>
              <w:jc w:val="center"/>
              <w:rPr>
                <w:rFonts w:ascii="宋体" w:hAnsi="宋体" w:cs="宋体"/>
                <w:bCs/>
                <w:sz w:val="20"/>
                <w:szCs w:val="20"/>
                <w:highlight w:val="none"/>
              </w:rPr>
            </w:pPr>
          </w:p>
        </w:tc>
        <w:tc>
          <w:tcPr>
            <w:tcW w:w="1572" w:type="dxa"/>
            <w:vMerge w:val="continue"/>
          </w:tcPr>
          <w:p>
            <w:pPr>
              <w:pStyle w:val="56"/>
              <w:overflowPunct w:val="0"/>
              <w:spacing w:beforeLines="50"/>
              <w:ind w:firstLine="567"/>
              <w:jc w:val="center"/>
              <w:rPr>
                <w:rFonts w:ascii="宋体" w:hAnsi="宋体" w:cs="宋体"/>
                <w:bCs/>
                <w:sz w:val="20"/>
                <w:szCs w:val="20"/>
                <w:highlight w:val="none"/>
              </w:rPr>
            </w:pPr>
          </w:p>
        </w:tc>
        <w:tc>
          <w:tcPr>
            <w:tcW w:w="2294" w:type="dxa"/>
          </w:tcPr>
          <w:p>
            <w:pPr>
              <w:pStyle w:val="56"/>
              <w:overflowPunct w:val="0"/>
              <w:spacing w:beforeLines="50"/>
              <w:jc w:val="center"/>
              <w:rPr>
                <w:rFonts w:ascii="宋体" w:hAnsi="宋体" w:cs="宋体"/>
                <w:bCs/>
                <w:sz w:val="20"/>
                <w:szCs w:val="20"/>
                <w:highlight w:val="none"/>
              </w:rPr>
            </w:pPr>
            <w:r>
              <w:rPr>
                <w:rFonts w:hint="eastAsia" w:ascii="宋体" w:hAnsi="宋体" w:cs="宋体"/>
                <w:bCs/>
                <w:sz w:val="20"/>
                <w:szCs w:val="20"/>
                <w:highlight w:val="none"/>
              </w:rPr>
              <w:t>单位污水处理耗用量</w:t>
            </w:r>
          </w:p>
        </w:tc>
        <w:tc>
          <w:tcPr>
            <w:tcW w:w="1343" w:type="dxa"/>
          </w:tcPr>
          <w:p>
            <w:pPr>
              <w:pStyle w:val="56"/>
              <w:overflowPunct w:val="0"/>
              <w:spacing w:beforeLines="50"/>
              <w:ind w:firstLine="567"/>
              <w:rPr>
                <w:rFonts w:ascii="宋体" w:hAnsi="宋体" w:cs="宋体"/>
                <w:bCs/>
                <w:sz w:val="20"/>
                <w:szCs w:val="20"/>
                <w:highlight w:val="none"/>
              </w:rPr>
            </w:pPr>
          </w:p>
        </w:tc>
        <w:tc>
          <w:tcPr>
            <w:tcW w:w="1818" w:type="dxa"/>
          </w:tcPr>
          <w:p>
            <w:pPr>
              <w:pStyle w:val="56"/>
              <w:overflowPunct w:val="0"/>
              <w:spacing w:beforeLines="50"/>
              <w:rPr>
                <w:rFonts w:ascii="宋体" w:hAnsi="宋体" w:cs="宋体"/>
                <w:bCs/>
                <w:sz w:val="20"/>
                <w:szCs w:val="20"/>
                <w:highlight w:val="none"/>
              </w:rPr>
            </w:pPr>
            <w:r>
              <w:rPr>
                <w:rFonts w:hint="eastAsia" w:ascii="宋体" w:hAnsi="宋体" w:cs="宋体"/>
                <w:bCs/>
                <w:sz w:val="20"/>
                <w:szCs w:val="20"/>
                <w:highlight w:val="none"/>
              </w:rPr>
              <w:t>千克/立方米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2031" w:type="dxa"/>
            <w:vMerge w:val="continue"/>
          </w:tcPr>
          <w:p>
            <w:pPr>
              <w:pStyle w:val="56"/>
              <w:overflowPunct w:val="0"/>
              <w:spacing w:beforeLines="50"/>
              <w:ind w:firstLine="567"/>
              <w:jc w:val="center"/>
              <w:rPr>
                <w:rFonts w:ascii="宋体" w:hAnsi="宋体" w:cs="宋体"/>
                <w:bCs/>
                <w:sz w:val="20"/>
                <w:szCs w:val="20"/>
                <w:highlight w:val="none"/>
              </w:rPr>
            </w:pPr>
          </w:p>
        </w:tc>
        <w:tc>
          <w:tcPr>
            <w:tcW w:w="1572" w:type="dxa"/>
            <w:vMerge w:val="restart"/>
          </w:tcPr>
          <w:p>
            <w:pPr>
              <w:pStyle w:val="56"/>
              <w:overflowPunct w:val="0"/>
              <w:spacing w:beforeLines="50"/>
              <w:jc w:val="center"/>
              <w:rPr>
                <w:rFonts w:ascii="宋体" w:hAnsi="宋体" w:cs="宋体"/>
                <w:bCs/>
                <w:sz w:val="20"/>
                <w:szCs w:val="20"/>
                <w:highlight w:val="none"/>
              </w:rPr>
            </w:pPr>
            <w:r>
              <w:rPr>
                <w:rFonts w:hint="eastAsia" w:ascii="宋体" w:hAnsi="宋体" w:cs="宋体"/>
                <w:bCs/>
                <w:sz w:val="20"/>
                <w:szCs w:val="20"/>
                <w:highlight w:val="none"/>
              </w:rPr>
              <w:t>......</w:t>
            </w:r>
          </w:p>
          <w:p>
            <w:pPr>
              <w:pStyle w:val="56"/>
              <w:overflowPunct w:val="0"/>
              <w:spacing w:beforeLines="50"/>
              <w:jc w:val="center"/>
              <w:rPr>
                <w:rFonts w:ascii="宋体" w:hAnsi="宋体" w:cs="宋体"/>
                <w:bCs/>
                <w:sz w:val="20"/>
                <w:szCs w:val="20"/>
                <w:highlight w:val="none"/>
              </w:rPr>
            </w:pPr>
            <w:r>
              <w:rPr>
                <w:rFonts w:hint="eastAsia" w:ascii="宋体" w:hAnsi="宋体" w:cs="宋体"/>
                <w:bCs/>
                <w:sz w:val="20"/>
                <w:szCs w:val="20"/>
                <w:highlight w:val="none"/>
              </w:rPr>
              <w:t>（可扩展）</w:t>
            </w:r>
          </w:p>
        </w:tc>
        <w:tc>
          <w:tcPr>
            <w:tcW w:w="2294" w:type="dxa"/>
          </w:tcPr>
          <w:p>
            <w:pPr>
              <w:pStyle w:val="56"/>
              <w:overflowPunct w:val="0"/>
              <w:spacing w:beforeLines="50"/>
              <w:jc w:val="center"/>
              <w:rPr>
                <w:rFonts w:ascii="宋体" w:hAnsi="宋体" w:cs="宋体"/>
                <w:bCs/>
                <w:sz w:val="20"/>
                <w:szCs w:val="20"/>
                <w:highlight w:val="none"/>
              </w:rPr>
            </w:pPr>
          </w:p>
        </w:tc>
        <w:tc>
          <w:tcPr>
            <w:tcW w:w="1343" w:type="dxa"/>
          </w:tcPr>
          <w:p>
            <w:pPr>
              <w:pStyle w:val="56"/>
              <w:overflowPunct w:val="0"/>
              <w:spacing w:beforeLines="50"/>
              <w:ind w:firstLine="567"/>
              <w:rPr>
                <w:rFonts w:ascii="宋体" w:hAnsi="宋体" w:cs="宋体"/>
                <w:bCs/>
                <w:sz w:val="20"/>
                <w:szCs w:val="20"/>
                <w:highlight w:val="none"/>
              </w:rPr>
            </w:pPr>
          </w:p>
        </w:tc>
        <w:tc>
          <w:tcPr>
            <w:tcW w:w="1818" w:type="dxa"/>
          </w:tcPr>
          <w:p>
            <w:pPr>
              <w:pStyle w:val="56"/>
              <w:overflowPunct w:val="0"/>
              <w:spacing w:beforeLines="50"/>
              <w:rPr>
                <w:rFonts w:ascii="宋体" w:hAnsi="宋体" w:cs="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2031" w:type="dxa"/>
            <w:vMerge w:val="continue"/>
          </w:tcPr>
          <w:p>
            <w:pPr>
              <w:pStyle w:val="56"/>
              <w:overflowPunct w:val="0"/>
              <w:spacing w:beforeLines="50"/>
              <w:ind w:firstLine="567"/>
              <w:jc w:val="center"/>
              <w:rPr>
                <w:rFonts w:ascii="宋体" w:hAnsi="宋体" w:cs="宋体"/>
                <w:bCs/>
                <w:sz w:val="20"/>
                <w:szCs w:val="20"/>
                <w:highlight w:val="none"/>
              </w:rPr>
            </w:pPr>
          </w:p>
        </w:tc>
        <w:tc>
          <w:tcPr>
            <w:tcW w:w="1572" w:type="dxa"/>
            <w:vMerge w:val="continue"/>
          </w:tcPr>
          <w:p>
            <w:pPr>
              <w:pStyle w:val="56"/>
              <w:overflowPunct w:val="0"/>
              <w:spacing w:beforeLines="50"/>
              <w:ind w:firstLine="567"/>
              <w:jc w:val="center"/>
              <w:rPr>
                <w:rFonts w:ascii="宋体" w:hAnsi="宋体" w:cs="宋体"/>
                <w:bCs/>
                <w:sz w:val="20"/>
                <w:szCs w:val="20"/>
                <w:highlight w:val="none"/>
              </w:rPr>
            </w:pPr>
          </w:p>
        </w:tc>
        <w:tc>
          <w:tcPr>
            <w:tcW w:w="2294" w:type="dxa"/>
          </w:tcPr>
          <w:p>
            <w:pPr>
              <w:pStyle w:val="56"/>
              <w:overflowPunct w:val="0"/>
              <w:spacing w:beforeLines="50"/>
              <w:jc w:val="center"/>
              <w:rPr>
                <w:rFonts w:ascii="宋体" w:hAnsi="宋体" w:cs="宋体"/>
                <w:bCs/>
                <w:sz w:val="20"/>
                <w:szCs w:val="20"/>
                <w:highlight w:val="none"/>
              </w:rPr>
            </w:pPr>
          </w:p>
        </w:tc>
        <w:tc>
          <w:tcPr>
            <w:tcW w:w="1343" w:type="dxa"/>
          </w:tcPr>
          <w:p>
            <w:pPr>
              <w:pStyle w:val="56"/>
              <w:overflowPunct w:val="0"/>
              <w:spacing w:beforeLines="50"/>
              <w:ind w:firstLine="567"/>
              <w:rPr>
                <w:rFonts w:ascii="宋体" w:hAnsi="宋体" w:cs="宋体"/>
                <w:bCs/>
                <w:sz w:val="20"/>
                <w:szCs w:val="20"/>
                <w:highlight w:val="none"/>
              </w:rPr>
            </w:pPr>
          </w:p>
        </w:tc>
        <w:tc>
          <w:tcPr>
            <w:tcW w:w="1818" w:type="dxa"/>
          </w:tcPr>
          <w:p>
            <w:pPr>
              <w:pStyle w:val="56"/>
              <w:overflowPunct w:val="0"/>
              <w:spacing w:beforeLines="50"/>
              <w:rPr>
                <w:rFonts w:ascii="宋体" w:hAnsi="宋体" w:cs="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2031" w:type="dxa"/>
            <w:vMerge w:val="continue"/>
          </w:tcPr>
          <w:p>
            <w:pPr>
              <w:pStyle w:val="56"/>
              <w:overflowPunct w:val="0"/>
              <w:spacing w:beforeLines="50"/>
              <w:ind w:firstLine="567"/>
              <w:jc w:val="center"/>
              <w:rPr>
                <w:rFonts w:ascii="宋体" w:hAnsi="宋体" w:cs="宋体"/>
                <w:bCs/>
                <w:sz w:val="20"/>
                <w:szCs w:val="20"/>
                <w:highlight w:val="none"/>
              </w:rPr>
            </w:pPr>
          </w:p>
        </w:tc>
        <w:tc>
          <w:tcPr>
            <w:tcW w:w="3866" w:type="dxa"/>
            <w:gridSpan w:val="2"/>
          </w:tcPr>
          <w:p>
            <w:pPr>
              <w:pStyle w:val="56"/>
              <w:overflowPunct w:val="0"/>
              <w:spacing w:beforeLines="50"/>
              <w:jc w:val="center"/>
              <w:rPr>
                <w:rFonts w:ascii="宋体" w:hAnsi="宋体" w:cs="宋体"/>
                <w:bCs/>
                <w:sz w:val="20"/>
                <w:szCs w:val="20"/>
                <w:highlight w:val="none"/>
              </w:rPr>
            </w:pPr>
            <w:r>
              <w:rPr>
                <w:rFonts w:hint="eastAsia" w:ascii="宋体" w:hAnsi="宋体" w:cs="宋体"/>
                <w:bCs/>
                <w:sz w:val="20"/>
                <w:szCs w:val="20"/>
                <w:highlight w:val="none"/>
              </w:rPr>
              <w:t>年药剂费用总额</w:t>
            </w:r>
          </w:p>
        </w:tc>
        <w:tc>
          <w:tcPr>
            <w:tcW w:w="1343" w:type="dxa"/>
          </w:tcPr>
          <w:p>
            <w:pPr>
              <w:pStyle w:val="56"/>
              <w:overflowPunct w:val="0"/>
              <w:spacing w:beforeLines="50"/>
              <w:ind w:firstLine="567"/>
              <w:rPr>
                <w:rFonts w:ascii="宋体" w:hAnsi="宋体" w:cs="宋体"/>
                <w:bCs/>
                <w:sz w:val="20"/>
                <w:szCs w:val="20"/>
                <w:highlight w:val="none"/>
              </w:rPr>
            </w:pPr>
          </w:p>
        </w:tc>
        <w:tc>
          <w:tcPr>
            <w:tcW w:w="1818" w:type="dxa"/>
          </w:tcPr>
          <w:p>
            <w:pPr>
              <w:pStyle w:val="56"/>
              <w:overflowPunct w:val="0"/>
              <w:spacing w:beforeLines="50"/>
              <w:rPr>
                <w:rFonts w:ascii="宋体" w:hAnsi="宋体" w:cs="宋体"/>
                <w:bCs/>
                <w:sz w:val="20"/>
                <w:szCs w:val="20"/>
                <w:highlight w:val="none"/>
              </w:rPr>
            </w:pPr>
            <w:r>
              <w:rPr>
                <w:rFonts w:hint="eastAsia" w:ascii="宋体" w:hAnsi="宋体" w:cs="宋体"/>
                <w:bCs/>
                <w:sz w:val="20"/>
                <w:szCs w:val="20"/>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2031" w:type="dxa"/>
            <w:vMerge w:val="continue"/>
          </w:tcPr>
          <w:p>
            <w:pPr>
              <w:pStyle w:val="56"/>
              <w:overflowPunct w:val="0"/>
              <w:spacing w:beforeLines="50"/>
              <w:ind w:firstLine="567"/>
              <w:jc w:val="center"/>
              <w:rPr>
                <w:rFonts w:ascii="宋体" w:hAnsi="宋体" w:cs="宋体"/>
                <w:bCs/>
                <w:sz w:val="20"/>
                <w:szCs w:val="20"/>
                <w:highlight w:val="none"/>
              </w:rPr>
            </w:pPr>
          </w:p>
        </w:tc>
        <w:tc>
          <w:tcPr>
            <w:tcW w:w="3866" w:type="dxa"/>
            <w:gridSpan w:val="2"/>
          </w:tcPr>
          <w:p>
            <w:pPr>
              <w:pStyle w:val="56"/>
              <w:overflowPunct w:val="0"/>
              <w:spacing w:beforeLines="50"/>
              <w:jc w:val="center"/>
              <w:rPr>
                <w:rFonts w:ascii="宋体" w:hAnsi="宋体" w:cs="宋体"/>
                <w:bCs/>
                <w:sz w:val="20"/>
                <w:szCs w:val="20"/>
                <w:highlight w:val="none"/>
              </w:rPr>
            </w:pPr>
            <w:r>
              <w:rPr>
                <w:rFonts w:hint="eastAsia" w:ascii="宋体" w:hAnsi="宋体" w:cs="宋体"/>
                <w:bCs/>
                <w:sz w:val="20"/>
                <w:szCs w:val="20"/>
                <w:highlight w:val="none"/>
              </w:rPr>
              <w:t>单位污水处理药剂费用</w:t>
            </w:r>
          </w:p>
        </w:tc>
        <w:tc>
          <w:tcPr>
            <w:tcW w:w="1343" w:type="dxa"/>
          </w:tcPr>
          <w:p>
            <w:pPr>
              <w:pStyle w:val="56"/>
              <w:overflowPunct w:val="0"/>
              <w:spacing w:beforeLines="50"/>
              <w:ind w:firstLine="567"/>
              <w:rPr>
                <w:rFonts w:ascii="宋体" w:hAnsi="宋体" w:cs="宋体"/>
                <w:bCs/>
                <w:sz w:val="20"/>
                <w:szCs w:val="20"/>
                <w:highlight w:val="none"/>
              </w:rPr>
            </w:pPr>
          </w:p>
        </w:tc>
        <w:tc>
          <w:tcPr>
            <w:tcW w:w="1818" w:type="dxa"/>
          </w:tcPr>
          <w:p>
            <w:pPr>
              <w:pStyle w:val="56"/>
              <w:overflowPunct w:val="0"/>
              <w:spacing w:beforeLines="50"/>
              <w:rPr>
                <w:rFonts w:ascii="宋体" w:hAnsi="宋体" w:cs="宋体"/>
                <w:bCs/>
                <w:sz w:val="20"/>
                <w:szCs w:val="20"/>
                <w:highlight w:val="none"/>
              </w:rPr>
            </w:pPr>
            <w:r>
              <w:rPr>
                <w:rFonts w:hint="eastAsia" w:ascii="宋体" w:hAnsi="宋体" w:cs="宋体"/>
                <w:bCs/>
                <w:sz w:val="20"/>
                <w:szCs w:val="20"/>
                <w:highlight w:val="none"/>
              </w:rPr>
              <w:t>元/立方米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2031" w:type="dxa"/>
            <w:vMerge w:val="restart"/>
          </w:tcPr>
          <w:p>
            <w:pPr>
              <w:pStyle w:val="56"/>
              <w:overflowPunct w:val="0"/>
              <w:spacing w:beforeLines="50"/>
              <w:ind w:firstLine="567"/>
              <w:jc w:val="center"/>
              <w:rPr>
                <w:rFonts w:ascii="宋体" w:hAnsi="宋体" w:cs="宋体"/>
                <w:bCs/>
                <w:sz w:val="20"/>
                <w:szCs w:val="20"/>
                <w:highlight w:val="none"/>
              </w:rPr>
            </w:pPr>
            <w:r>
              <w:rPr>
                <w:rFonts w:hint="eastAsia" w:ascii="宋体" w:hAnsi="宋体" w:cs="宋体"/>
                <w:bCs/>
                <w:sz w:val="20"/>
                <w:szCs w:val="20"/>
                <w:highlight w:val="none"/>
              </w:rPr>
              <w:t>水费</w:t>
            </w:r>
          </w:p>
        </w:tc>
        <w:tc>
          <w:tcPr>
            <w:tcW w:w="3866" w:type="dxa"/>
            <w:gridSpan w:val="2"/>
          </w:tcPr>
          <w:p>
            <w:pPr>
              <w:pStyle w:val="56"/>
              <w:overflowPunct w:val="0"/>
              <w:spacing w:beforeLines="50"/>
              <w:jc w:val="center"/>
              <w:rPr>
                <w:rFonts w:ascii="宋体" w:hAnsi="宋体" w:cs="宋体"/>
                <w:bCs/>
                <w:sz w:val="20"/>
                <w:szCs w:val="20"/>
                <w:highlight w:val="none"/>
              </w:rPr>
            </w:pPr>
            <w:r>
              <w:rPr>
                <w:rFonts w:hint="eastAsia" w:ascii="宋体" w:hAnsi="宋体" w:cs="宋体"/>
                <w:bCs/>
                <w:sz w:val="20"/>
                <w:szCs w:val="20"/>
                <w:highlight w:val="none"/>
              </w:rPr>
              <w:t>单价</w:t>
            </w:r>
          </w:p>
        </w:tc>
        <w:tc>
          <w:tcPr>
            <w:tcW w:w="1343" w:type="dxa"/>
          </w:tcPr>
          <w:p>
            <w:pPr>
              <w:pStyle w:val="56"/>
              <w:overflowPunct w:val="0"/>
              <w:spacing w:beforeLines="50"/>
              <w:ind w:firstLine="567"/>
              <w:rPr>
                <w:rFonts w:ascii="宋体" w:hAnsi="宋体" w:cs="宋体"/>
                <w:bCs/>
                <w:sz w:val="20"/>
                <w:szCs w:val="20"/>
                <w:highlight w:val="none"/>
              </w:rPr>
            </w:pPr>
          </w:p>
        </w:tc>
        <w:tc>
          <w:tcPr>
            <w:tcW w:w="1818" w:type="dxa"/>
          </w:tcPr>
          <w:p>
            <w:pPr>
              <w:pStyle w:val="56"/>
              <w:overflowPunct w:val="0"/>
              <w:spacing w:beforeLines="50"/>
              <w:rPr>
                <w:rFonts w:ascii="宋体" w:hAnsi="宋体" w:cs="宋体"/>
                <w:bCs/>
                <w:sz w:val="20"/>
                <w:szCs w:val="20"/>
                <w:highlight w:val="none"/>
              </w:rPr>
            </w:pPr>
            <w:r>
              <w:rPr>
                <w:rFonts w:hint="eastAsia" w:ascii="宋体" w:hAnsi="宋体" w:cs="宋体"/>
                <w:bCs/>
                <w:sz w:val="20"/>
                <w:szCs w:val="20"/>
                <w:highlight w:val="none"/>
              </w:rPr>
              <w:t>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2031" w:type="dxa"/>
            <w:vMerge w:val="continue"/>
          </w:tcPr>
          <w:p>
            <w:pPr>
              <w:pStyle w:val="56"/>
              <w:overflowPunct w:val="0"/>
              <w:spacing w:beforeLines="50"/>
              <w:ind w:firstLine="567"/>
              <w:jc w:val="center"/>
              <w:rPr>
                <w:rFonts w:ascii="宋体" w:hAnsi="宋体" w:cs="宋体"/>
                <w:bCs/>
                <w:sz w:val="20"/>
                <w:szCs w:val="20"/>
                <w:highlight w:val="none"/>
              </w:rPr>
            </w:pPr>
          </w:p>
        </w:tc>
        <w:tc>
          <w:tcPr>
            <w:tcW w:w="3866" w:type="dxa"/>
            <w:gridSpan w:val="2"/>
          </w:tcPr>
          <w:p>
            <w:pPr>
              <w:pStyle w:val="56"/>
              <w:overflowPunct w:val="0"/>
              <w:spacing w:beforeLines="50"/>
              <w:jc w:val="center"/>
              <w:rPr>
                <w:rFonts w:ascii="宋体" w:hAnsi="宋体" w:cs="宋体"/>
                <w:bCs/>
                <w:sz w:val="20"/>
                <w:szCs w:val="20"/>
                <w:highlight w:val="none"/>
              </w:rPr>
            </w:pPr>
            <w:r>
              <w:rPr>
                <w:rFonts w:hint="eastAsia" w:ascii="宋体" w:hAnsi="宋体" w:cs="宋体"/>
                <w:bCs/>
                <w:sz w:val="20"/>
                <w:szCs w:val="20"/>
                <w:highlight w:val="none"/>
              </w:rPr>
              <w:t>单位污水处理耗用量</w:t>
            </w:r>
          </w:p>
        </w:tc>
        <w:tc>
          <w:tcPr>
            <w:tcW w:w="1343" w:type="dxa"/>
          </w:tcPr>
          <w:p>
            <w:pPr>
              <w:pStyle w:val="56"/>
              <w:overflowPunct w:val="0"/>
              <w:spacing w:beforeLines="50"/>
              <w:ind w:firstLine="567"/>
              <w:rPr>
                <w:rFonts w:ascii="宋体" w:hAnsi="宋体" w:cs="宋体"/>
                <w:bCs/>
                <w:sz w:val="20"/>
                <w:szCs w:val="20"/>
                <w:highlight w:val="none"/>
              </w:rPr>
            </w:pPr>
          </w:p>
        </w:tc>
        <w:tc>
          <w:tcPr>
            <w:tcW w:w="1818" w:type="dxa"/>
          </w:tcPr>
          <w:p>
            <w:pPr>
              <w:pStyle w:val="56"/>
              <w:overflowPunct w:val="0"/>
              <w:spacing w:beforeLines="50"/>
              <w:rPr>
                <w:rFonts w:ascii="宋体" w:hAnsi="宋体" w:cs="宋体"/>
                <w:bCs/>
                <w:sz w:val="20"/>
                <w:szCs w:val="20"/>
                <w:highlight w:val="none"/>
              </w:rPr>
            </w:pPr>
            <w:r>
              <w:rPr>
                <w:rFonts w:hint="eastAsia" w:ascii="宋体" w:hAnsi="宋体" w:cs="宋体"/>
                <w:bCs/>
                <w:sz w:val="20"/>
                <w:szCs w:val="20"/>
                <w:highlight w:val="none"/>
              </w:rPr>
              <w:t>千克/立方米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2031" w:type="dxa"/>
            <w:vMerge w:val="restart"/>
            <w:vAlign w:val="center"/>
          </w:tcPr>
          <w:p>
            <w:pPr>
              <w:pStyle w:val="56"/>
              <w:overflowPunct w:val="0"/>
              <w:spacing w:beforeLines="50"/>
              <w:jc w:val="center"/>
              <w:rPr>
                <w:rFonts w:ascii="宋体" w:hAnsi="宋体" w:cs="宋体"/>
                <w:bCs/>
                <w:sz w:val="20"/>
                <w:szCs w:val="20"/>
                <w:highlight w:val="none"/>
              </w:rPr>
            </w:pPr>
            <w:r>
              <w:rPr>
                <w:rFonts w:hint="eastAsia" w:ascii="宋体" w:hAnsi="宋体" w:cs="宋体"/>
                <w:bCs/>
                <w:sz w:val="20"/>
                <w:szCs w:val="20"/>
                <w:highlight w:val="none"/>
              </w:rPr>
              <w:t>污泥处置费</w:t>
            </w:r>
          </w:p>
        </w:tc>
        <w:tc>
          <w:tcPr>
            <w:tcW w:w="3866" w:type="dxa"/>
            <w:gridSpan w:val="2"/>
          </w:tcPr>
          <w:p>
            <w:pPr>
              <w:pStyle w:val="56"/>
              <w:overflowPunct w:val="0"/>
              <w:spacing w:beforeLines="50"/>
              <w:jc w:val="center"/>
              <w:rPr>
                <w:rFonts w:ascii="宋体" w:hAnsi="宋体" w:cs="宋体"/>
                <w:bCs/>
                <w:sz w:val="20"/>
                <w:szCs w:val="20"/>
                <w:highlight w:val="none"/>
              </w:rPr>
            </w:pPr>
            <w:r>
              <w:rPr>
                <w:rFonts w:hint="eastAsia" w:ascii="宋体" w:hAnsi="宋体" w:cs="宋体"/>
                <w:bCs/>
                <w:sz w:val="20"/>
                <w:szCs w:val="20"/>
                <w:highlight w:val="none"/>
              </w:rPr>
              <w:t>单位干污泥产量</w:t>
            </w:r>
          </w:p>
        </w:tc>
        <w:tc>
          <w:tcPr>
            <w:tcW w:w="1343" w:type="dxa"/>
          </w:tcPr>
          <w:p>
            <w:pPr>
              <w:pStyle w:val="56"/>
              <w:overflowPunct w:val="0"/>
              <w:spacing w:beforeLines="50"/>
              <w:ind w:firstLine="567"/>
              <w:rPr>
                <w:rFonts w:ascii="宋体" w:hAnsi="宋体" w:cs="宋体"/>
                <w:bCs/>
                <w:sz w:val="20"/>
                <w:szCs w:val="20"/>
                <w:highlight w:val="none"/>
              </w:rPr>
            </w:pPr>
          </w:p>
        </w:tc>
        <w:tc>
          <w:tcPr>
            <w:tcW w:w="1818" w:type="dxa"/>
          </w:tcPr>
          <w:p>
            <w:pPr>
              <w:pStyle w:val="56"/>
              <w:overflowPunct w:val="0"/>
              <w:spacing w:beforeLines="50"/>
              <w:rPr>
                <w:rFonts w:ascii="宋体" w:hAnsi="宋体" w:cs="宋体"/>
                <w:bCs/>
                <w:sz w:val="20"/>
                <w:szCs w:val="20"/>
                <w:highlight w:val="none"/>
              </w:rPr>
            </w:pPr>
            <w:r>
              <w:rPr>
                <w:rFonts w:hint="eastAsia" w:ascii="宋体" w:hAnsi="宋体" w:cs="宋体"/>
                <w:bCs/>
                <w:sz w:val="20"/>
                <w:szCs w:val="20"/>
                <w:highlight w:val="none"/>
              </w:rPr>
              <w:t>吨/万立方米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2031" w:type="dxa"/>
            <w:vMerge w:val="continue"/>
            <w:vAlign w:val="center"/>
          </w:tcPr>
          <w:p>
            <w:pPr>
              <w:pStyle w:val="56"/>
              <w:overflowPunct w:val="0"/>
              <w:spacing w:beforeLines="50"/>
              <w:ind w:firstLine="567"/>
              <w:jc w:val="center"/>
              <w:rPr>
                <w:rFonts w:ascii="宋体" w:hAnsi="宋体" w:cs="宋体"/>
                <w:bCs/>
                <w:sz w:val="20"/>
                <w:szCs w:val="20"/>
                <w:highlight w:val="none"/>
              </w:rPr>
            </w:pPr>
          </w:p>
        </w:tc>
        <w:tc>
          <w:tcPr>
            <w:tcW w:w="3866" w:type="dxa"/>
            <w:gridSpan w:val="2"/>
          </w:tcPr>
          <w:p>
            <w:pPr>
              <w:pStyle w:val="56"/>
              <w:overflowPunct w:val="0"/>
              <w:spacing w:beforeLines="50"/>
              <w:jc w:val="center"/>
              <w:rPr>
                <w:rFonts w:ascii="宋体" w:hAnsi="宋体" w:cs="宋体"/>
                <w:bCs/>
                <w:sz w:val="20"/>
                <w:szCs w:val="20"/>
                <w:highlight w:val="none"/>
              </w:rPr>
            </w:pPr>
            <w:r>
              <w:rPr>
                <w:rFonts w:hint="eastAsia" w:ascii="宋体" w:hAnsi="宋体" w:cs="宋体"/>
                <w:bCs/>
                <w:sz w:val="20"/>
                <w:szCs w:val="20"/>
                <w:highlight w:val="none"/>
              </w:rPr>
              <w:t>单位污泥处置费</w:t>
            </w:r>
          </w:p>
        </w:tc>
        <w:tc>
          <w:tcPr>
            <w:tcW w:w="1343" w:type="dxa"/>
          </w:tcPr>
          <w:p>
            <w:pPr>
              <w:pStyle w:val="56"/>
              <w:overflowPunct w:val="0"/>
              <w:spacing w:beforeLines="50"/>
              <w:ind w:firstLine="567"/>
              <w:rPr>
                <w:rFonts w:ascii="宋体" w:hAnsi="宋体" w:cs="宋体"/>
                <w:bCs/>
                <w:sz w:val="20"/>
                <w:szCs w:val="20"/>
                <w:highlight w:val="none"/>
              </w:rPr>
            </w:pPr>
          </w:p>
        </w:tc>
        <w:tc>
          <w:tcPr>
            <w:tcW w:w="1818" w:type="dxa"/>
          </w:tcPr>
          <w:p>
            <w:pPr>
              <w:pStyle w:val="56"/>
              <w:overflowPunct w:val="0"/>
              <w:spacing w:beforeLines="50"/>
              <w:rPr>
                <w:rFonts w:ascii="宋体" w:hAnsi="宋体" w:cs="宋体"/>
                <w:bCs/>
                <w:sz w:val="20"/>
                <w:szCs w:val="20"/>
                <w:highlight w:val="none"/>
              </w:rPr>
            </w:pPr>
            <w:r>
              <w:rPr>
                <w:rFonts w:hint="eastAsia" w:ascii="宋体" w:hAnsi="宋体" w:cs="宋体"/>
                <w:bCs/>
                <w:sz w:val="20"/>
                <w:szCs w:val="20"/>
                <w:highlight w:val="none"/>
              </w:rPr>
              <w:t>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2031" w:type="dxa"/>
            <w:vMerge w:val="restart"/>
            <w:vAlign w:val="center"/>
          </w:tcPr>
          <w:p>
            <w:pPr>
              <w:pStyle w:val="56"/>
              <w:overflowPunct w:val="0"/>
              <w:spacing w:beforeLines="50"/>
              <w:jc w:val="center"/>
              <w:rPr>
                <w:rFonts w:ascii="宋体" w:hAnsi="宋体" w:cs="宋体"/>
                <w:bCs/>
                <w:sz w:val="20"/>
                <w:szCs w:val="20"/>
                <w:highlight w:val="none"/>
              </w:rPr>
            </w:pPr>
            <w:r>
              <w:rPr>
                <w:rFonts w:hint="eastAsia" w:ascii="宋体" w:hAnsi="宋体" w:cs="宋体"/>
                <w:bCs/>
                <w:sz w:val="20"/>
                <w:szCs w:val="20"/>
                <w:highlight w:val="none"/>
              </w:rPr>
              <w:t>工资福利费</w:t>
            </w:r>
          </w:p>
        </w:tc>
        <w:tc>
          <w:tcPr>
            <w:tcW w:w="3866" w:type="dxa"/>
            <w:gridSpan w:val="2"/>
          </w:tcPr>
          <w:p>
            <w:pPr>
              <w:pStyle w:val="56"/>
              <w:overflowPunct w:val="0"/>
              <w:spacing w:beforeLines="50"/>
              <w:jc w:val="center"/>
              <w:rPr>
                <w:rFonts w:ascii="宋体" w:hAnsi="宋体" w:cs="宋体"/>
                <w:bCs/>
                <w:sz w:val="20"/>
                <w:szCs w:val="20"/>
                <w:highlight w:val="none"/>
              </w:rPr>
            </w:pPr>
            <w:r>
              <w:rPr>
                <w:rFonts w:hint="eastAsia" w:ascii="宋体" w:hAnsi="宋体" w:cs="宋体"/>
                <w:bCs/>
                <w:sz w:val="20"/>
                <w:szCs w:val="20"/>
                <w:highlight w:val="none"/>
              </w:rPr>
              <w:t>职工人数</w:t>
            </w:r>
          </w:p>
        </w:tc>
        <w:tc>
          <w:tcPr>
            <w:tcW w:w="1343" w:type="dxa"/>
          </w:tcPr>
          <w:p>
            <w:pPr>
              <w:pStyle w:val="56"/>
              <w:overflowPunct w:val="0"/>
              <w:spacing w:beforeLines="50"/>
              <w:ind w:firstLine="567"/>
              <w:rPr>
                <w:rFonts w:ascii="宋体" w:hAnsi="宋体" w:cs="宋体"/>
                <w:bCs/>
                <w:sz w:val="20"/>
                <w:szCs w:val="20"/>
                <w:highlight w:val="none"/>
              </w:rPr>
            </w:pPr>
          </w:p>
        </w:tc>
        <w:tc>
          <w:tcPr>
            <w:tcW w:w="1818" w:type="dxa"/>
          </w:tcPr>
          <w:p>
            <w:pPr>
              <w:pStyle w:val="56"/>
              <w:overflowPunct w:val="0"/>
              <w:spacing w:beforeLines="50"/>
              <w:rPr>
                <w:rFonts w:ascii="宋体" w:hAnsi="宋体" w:cs="宋体"/>
                <w:bCs/>
                <w:sz w:val="20"/>
                <w:szCs w:val="20"/>
                <w:highlight w:val="none"/>
              </w:rPr>
            </w:pPr>
            <w:r>
              <w:rPr>
                <w:rFonts w:hint="eastAsia" w:ascii="宋体" w:hAnsi="宋体" w:cs="宋体"/>
                <w:bCs/>
                <w:sz w:val="20"/>
                <w:szCs w:val="20"/>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2031" w:type="dxa"/>
            <w:vMerge w:val="continue"/>
          </w:tcPr>
          <w:p>
            <w:pPr>
              <w:pStyle w:val="56"/>
              <w:overflowPunct w:val="0"/>
              <w:spacing w:beforeLines="50"/>
              <w:ind w:firstLine="567"/>
              <w:jc w:val="center"/>
              <w:rPr>
                <w:rFonts w:ascii="宋体" w:hAnsi="宋体" w:cs="宋体"/>
                <w:bCs/>
                <w:sz w:val="20"/>
                <w:szCs w:val="20"/>
                <w:highlight w:val="none"/>
              </w:rPr>
            </w:pPr>
          </w:p>
        </w:tc>
        <w:tc>
          <w:tcPr>
            <w:tcW w:w="3866" w:type="dxa"/>
            <w:gridSpan w:val="2"/>
          </w:tcPr>
          <w:p>
            <w:pPr>
              <w:pStyle w:val="56"/>
              <w:overflowPunct w:val="0"/>
              <w:spacing w:beforeLines="50"/>
              <w:jc w:val="center"/>
              <w:rPr>
                <w:rFonts w:ascii="宋体" w:hAnsi="宋体" w:cs="宋体"/>
                <w:bCs/>
                <w:sz w:val="20"/>
                <w:szCs w:val="20"/>
                <w:highlight w:val="none"/>
              </w:rPr>
            </w:pPr>
            <w:r>
              <w:rPr>
                <w:rFonts w:hint="eastAsia" w:ascii="宋体" w:hAnsi="宋体" w:cs="宋体"/>
                <w:bCs/>
                <w:sz w:val="20"/>
                <w:szCs w:val="20"/>
                <w:highlight w:val="none"/>
              </w:rPr>
              <w:t>年人均工资及福利费（含社保）</w:t>
            </w:r>
          </w:p>
        </w:tc>
        <w:tc>
          <w:tcPr>
            <w:tcW w:w="1343" w:type="dxa"/>
          </w:tcPr>
          <w:p>
            <w:pPr>
              <w:pStyle w:val="56"/>
              <w:overflowPunct w:val="0"/>
              <w:spacing w:beforeLines="50"/>
              <w:ind w:firstLine="567"/>
              <w:rPr>
                <w:rFonts w:ascii="宋体" w:hAnsi="宋体" w:cs="宋体"/>
                <w:bCs/>
                <w:sz w:val="20"/>
                <w:szCs w:val="20"/>
                <w:highlight w:val="none"/>
              </w:rPr>
            </w:pPr>
          </w:p>
        </w:tc>
        <w:tc>
          <w:tcPr>
            <w:tcW w:w="1818" w:type="dxa"/>
          </w:tcPr>
          <w:p>
            <w:pPr>
              <w:pStyle w:val="56"/>
              <w:overflowPunct w:val="0"/>
              <w:spacing w:beforeLines="50"/>
              <w:rPr>
                <w:rFonts w:ascii="宋体" w:hAnsi="宋体" w:cs="宋体"/>
                <w:bCs/>
                <w:sz w:val="20"/>
                <w:szCs w:val="20"/>
                <w:highlight w:val="none"/>
              </w:rPr>
            </w:pPr>
            <w:r>
              <w:rPr>
                <w:rFonts w:hint="eastAsia" w:ascii="宋体" w:hAnsi="宋体" w:cs="宋体"/>
                <w:bCs/>
                <w:sz w:val="20"/>
                <w:szCs w:val="20"/>
                <w:highlight w:val="none"/>
              </w:rPr>
              <w:t>元/人·年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2031" w:type="dxa"/>
            <w:vMerge w:val="continue"/>
          </w:tcPr>
          <w:p>
            <w:pPr>
              <w:pStyle w:val="56"/>
              <w:overflowPunct w:val="0"/>
              <w:spacing w:beforeLines="50"/>
              <w:ind w:firstLine="567"/>
              <w:jc w:val="center"/>
              <w:rPr>
                <w:rFonts w:ascii="宋体" w:hAnsi="宋体" w:cs="宋体"/>
                <w:bCs/>
                <w:sz w:val="20"/>
                <w:szCs w:val="20"/>
                <w:highlight w:val="none"/>
              </w:rPr>
            </w:pPr>
          </w:p>
        </w:tc>
        <w:tc>
          <w:tcPr>
            <w:tcW w:w="3866" w:type="dxa"/>
            <w:gridSpan w:val="2"/>
          </w:tcPr>
          <w:p>
            <w:pPr>
              <w:pStyle w:val="56"/>
              <w:overflowPunct w:val="0"/>
              <w:spacing w:beforeLines="50"/>
              <w:jc w:val="center"/>
              <w:rPr>
                <w:rFonts w:ascii="宋体" w:hAnsi="宋体" w:cs="宋体"/>
                <w:bCs/>
                <w:sz w:val="20"/>
                <w:szCs w:val="20"/>
                <w:highlight w:val="none"/>
              </w:rPr>
            </w:pPr>
            <w:r>
              <w:rPr>
                <w:rFonts w:hint="eastAsia" w:ascii="宋体" w:hAnsi="宋体" w:cs="宋体"/>
                <w:bCs/>
                <w:sz w:val="20"/>
                <w:szCs w:val="20"/>
                <w:highlight w:val="none"/>
              </w:rPr>
              <w:t>年工资及福利费总额（含社保）</w:t>
            </w:r>
          </w:p>
        </w:tc>
        <w:tc>
          <w:tcPr>
            <w:tcW w:w="1343" w:type="dxa"/>
          </w:tcPr>
          <w:p>
            <w:pPr>
              <w:pStyle w:val="56"/>
              <w:overflowPunct w:val="0"/>
              <w:spacing w:beforeLines="50"/>
              <w:ind w:firstLine="567"/>
              <w:rPr>
                <w:rFonts w:ascii="宋体" w:hAnsi="宋体" w:cs="宋体"/>
                <w:bCs/>
                <w:sz w:val="20"/>
                <w:szCs w:val="20"/>
                <w:highlight w:val="none"/>
              </w:rPr>
            </w:pPr>
          </w:p>
        </w:tc>
        <w:tc>
          <w:tcPr>
            <w:tcW w:w="1818" w:type="dxa"/>
          </w:tcPr>
          <w:p>
            <w:pPr>
              <w:pStyle w:val="56"/>
              <w:overflowPunct w:val="0"/>
              <w:spacing w:beforeLines="50"/>
              <w:rPr>
                <w:rFonts w:ascii="宋体" w:hAnsi="宋体" w:cs="宋体"/>
                <w:bCs/>
                <w:sz w:val="20"/>
                <w:szCs w:val="20"/>
                <w:highlight w:val="none"/>
              </w:rPr>
            </w:pPr>
            <w:r>
              <w:rPr>
                <w:rFonts w:hint="eastAsia" w:ascii="宋体" w:hAnsi="宋体" w:cs="宋体"/>
                <w:bCs/>
                <w:sz w:val="20"/>
                <w:szCs w:val="20"/>
                <w:highlight w:val="none"/>
              </w:rPr>
              <w:t>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2031" w:type="dxa"/>
            <w:vMerge w:val="continue"/>
          </w:tcPr>
          <w:p>
            <w:pPr>
              <w:pStyle w:val="56"/>
              <w:overflowPunct w:val="0"/>
              <w:spacing w:beforeLines="50"/>
              <w:ind w:firstLine="567"/>
              <w:jc w:val="center"/>
              <w:rPr>
                <w:rFonts w:ascii="宋体" w:hAnsi="宋体" w:cs="宋体"/>
                <w:bCs/>
                <w:sz w:val="20"/>
                <w:szCs w:val="20"/>
                <w:highlight w:val="none"/>
              </w:rPr>
            </w:pPr>
          </w:p>
        </w:tc>
        <w:tc>
          <w:tcPr>
            <w:tcW w:w="3866" w:type="dxa"/>
            <w:gridSpan w:val="2"/>
          </w:tcPr>
          <w:p>
            <w:pPr>
              <w:pStyle w:val="56"/>
              <w:overflowPunct w:val="0"/>
              <w:spacing w:beforeLines="50"/>
              <w:jc w:val="center"/>
              <w:rPr>
                <w:rFonts w:ascii="宋体" w:hAnsi="宋体" w:cs="宋体"/>
                <w:bCs/>
                <w:sz w:val="20"/>
                <w:szCs w:val="20"/>
                <w:highlight w:val="none"/>
              </w:rPr>
            </w:pPr>
            <w:r>
              <w:rPr>
                <w:rFonts w:hint="eastAsia" w:ascii="宋体" w:hAnsi="宋体" w:cs="宋体"/>
                <w:bCs/>
                <w:sz w:val="20"/>
                <w:szCs w:val="20"/>
                <w:highlight w:val="none"/>
              </w:rPr>
              <w:t>单位污水处理人工费用</w:t>
            </w:r>
          </w:p>
        </w:tc>
        <w:tc>
          <w:tcPr>
            <w:tcW w:w="1343" w:type="dxa"/>
          </w:tcPr>
          <w:p>
            <w:pPr>
              <w:pStyle w:val="56"/>
              <w:overflowPunct w:val="0"/>
              <w:spacing w:beforeLines="50"/>
              <w:ind w:firstLine="567"/>
              <w:rPr>
                <w:rFonts w:ascii="宋体" w:hAnsi="宋体" w:cs="宋体"/>
                <w:bCs/>
                <w:sz w:val="20"/>
                <w:szCs w:val="20"/>
                <w:highlight w:val="none"/>
              </w:rPr>
            </w:pPr>
          </w:p>
        </w:tc>
        <w:tc>
          <w:tcPr>
            <w:tcW w:w="1818" w:type="dxa"/>
          </w:tcPr>
          <w:p>
            <w:pPr>
              <w:pStyle w:val="56"/>
              <w:overflowPunct w:val="0"/>
              <w:spacing w:beforeLines="50"/>
              <w:rPr>
                <w:rFonts w:ascii="宋体" w:hAnsi="宋体" w:cs="宋体"/>
                <w:bCs/>
                <w:sz w:val="20"/>
                <w:szCs w:val="20"/>
                <w:highlight w:val="none"/>
              </w:rPr>
            </w:pPr>
            <w:r>
              <w:rPr>
                <w:rFonts w:hint="eastAsia" w:ascii="宋体" w:hAnsi="宋体" w:cs="宋体"/>
                <w:bCs/>
                <w:sz w:val="20"/>
                <w:szCs w:val="20"/>
                <w:highlight w:val="none"/>
              </w:rPr>
              <w:t>元/立方米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2031" w:type="dxa"/>
            <w:vMerge w:val="restart"/>
            <w:vAlign w:val="center"/>
          </w:tcPr>
          <w:p>
            <w:pPr>
              <w:pStyle w:val="56"/>
              <w:overflowPunct w:val="0"/>
              <w:spacing w:beforeLines="50"/>
              <w:jc w:val="center"/>
              <w:rPr>
                <w:rFonts w:ascii="宋体" w:hAnsi="宋体" w:cs="宋体"/>
                <w:bCs/>
                <w:sz w:val="20"/>
                <w:szCs w:val="20"/>
                <w:highlight w:val="none"/>
              </w:rPr>
            </w:pPr>
            <w:r>
              <w:rPr>
                <w:rFonts w:hint="eastAsia" w:ascii="宋体" w:hAnsi="宋体" w:cs="宋体"/>
                <w:bCs/>
                <w:sz w:val="20"/>
                <w:szCs w:val="20"/>
                <w:highlight w:val="none"/>
              </w:rPr>
              <w:t>相关取费费率</w:t>
            </w:r>
          </w:p>
        </w:tc>
        <w:tc>
          <w:tcPr>
            <w:tcW w:w="3866" w:type="dxa"/>
            <w:gridSpan w:val="2"/>
          </w:tcPr>
          <w:p>
            <w:pPr>
              <w:pStyle w:val="56"/>
              <w:overflowPunct w:val="0"/>
              <w:spacing w:beforeLines="50"/>
              <w:jc w:val="center"/>
              <w:rPr>
                <w:rFonts w:ascii="宋体" w:hAnsi="宋体" w:cs="宋体"/>
                <w:bCs/>
                <w:sz w:val="20"/>
                <w:szCs w:val="20"/>
                <w:highlight w:val="none"/>
              </w:rPr>
            </w:pPr>
            <w:r>
              <w:rPr>
                <w:rFonts w:hint="eastAsia" w:ascii="宋体" w:hAnsi="宋体" w:cs="宋体"/>
                <w:bCs/>
                <w:sz w:val="20"/>
                <w:szCs w:val="20"/>
                <w:highlight w:val="none"/>
              </w:rPr>
              <w:t>日常检修维护费率</w:t>
            </w:r>
          </w:p>
        </w:tc>
        <w:tc>
          <w:tcPr>
            <w:tcW w:w="1343" w:type="dxa"/>
          </w:tcPr>
          <w:p>
            <w:pPr>
              <w:pStyle w:val="56"/>
              <w:overflowPunct w:val="0"/>
              <w:spacing w:beforeLines="50"/>
              <w:ind w:firstLine="567"/>
              <w:rPr>
                <w:rFonts w:ascii="宋体" w:hAnsi="宋体" w:cs="宋体"/>
                <w:bCs/>
                <w:sz w:val="20"/>
                <w:szCs w:val="20"/>
                <w:highlight w:val="none"/>
              </w:rPr>
            </w:pPr>
          </w:p>
        </w:tc>
        <w:tc>
          <w:tcPr>
            <w:tcW w:w="1818" w:type="dxa"/>
          </w:tcPr>
          <w:p>
            <w:pPr>
              <w:pStyle w:val="56"/>
              <w:overflowPunct w:val="0"/>
              <w:spacing w:beforeLines="50"/>
              <w:rPr>
                <w:rFonts w:ascii="宋体" w:hAnsi="宋体" w:cs="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2031" w:type="dxa"/>
            <w:vMerge w:val="continue"/>
          </w:tcPr>
          <w:p>
            <w:pPr>
              <w:pStyle w:val="56"/>
              <w:overflowPunct w:val="0"/>
              <w:spacing w:beforeLines="50"/>
              <w:ind w:firstLine="567"/>
              <w:jc w:val="center"/>
              <w:rPr>
                <w:rFonts w:ascii="宋体" w:hAnsi="宋体" w:cs="宋体"/>
                <w:bCs/>
                <w:sz w:val="20"/>
                <w:szCs w:val="20"/>
                <w:highlight w:val="none"/>
              </w:rPr>
            </w:pPr>
          </w:p>
        </w:tc>
        <w:tc>
          <w:tcPr>
            <w:tcW w:w="3866" w:type="dxa"/>
            <w:gridSpan w:val="2"/>
          </w:tcPr>
          <w:p>
            <w:pPr>
              <w:pStyle w:val="56"/>
              <w:overflowPunct w:val="0"/>
              <w:spacing w:beforeLines="50"/>
              <w:jc w:val="center"/>
              <w:rPr>
                <w:rFonts w:ascii="宋体" w:hAnsi="宋体" w:cs="宋体"/>
                <w:bCs/>
                <w:sz w:val="20"/>
                <w:szCs w:val="20"/>
                <w:highlight w:val="none"/>
              </w:rPr>
            </w:pPr>
            <w:r>
              <w:rPr>
                <w:rFonts w:hint="eastAsia" w:ascii="宋体" w:hAnsi="宋体" w:cs="宋体"/>
                <w:bCs/>
                <w:sz w:val="20"/>
                <w:szCs w:val="20"/>
                <w:highlight w:val="none"/>
              </w:rPr>
              <w:t>管理费率</w:t>
            </w:r>
          </w:p>
        </w:tc>
        <w:tc>
          <w:tcPr>
            <w:tcW w:w="1343" w:type="dxa"/>
          </w:tcPr>
          <w:p>
            <w:pPr>
              <w:pStyle w:val="56"/>
              <w:overflowPunct w:val="0"/>
              <w:spacing w:beforeLines="50"/>
              <w:ind w:firstLine="567"/>
              <w:rPr>
                <w:rFonts w:ascii="宋体" w:hAnsi="宋体" w:cs="宋体"/>
                <w:bCs/>
                <w:sz w:val="20"/>
                <w:szCs w:val="20"/>
                <w:highlight w:val="none"/>
              </w:rPr>
            </w:pPr>
          </w:p>
        </w:tc>
        <w:tc>
          <w:tcPr>
            <w:tcW w:w="1818" w:type="dxa"/>
          </w:tcPr>
          <w:p>
            <w:pPr>
              <w:pStyle w:val="56"/>
              <w:overflowPunct w:val="0"/>
              <w:spacing w:beforeLines="50"/>
              <w:ind w:firstLine="567"/>
              <w:rPr>
                <w:rFonts w:ascii="宋体" w:hAnsi="宋体" w:cs="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2031" w:type="dxa"/>
            <w:vMerge w:val="continue"/>
          </w:tcPr>
          <w:p>
            <w:pPr>
              <w:pStyle w:val="56"/>
              <w:overflowPunct w:val="0"/>
              <w:spacing w:beforeLines="50"/>
              <w:ind w:firstLine="567"/>
              <w:jc w:val="center"/>
              <w:rPr>
                <w:rFonts w:ascii="宋体" w:hAnsi="宋体" w:cs="宋体"/>
                <w:bCs/>
                <w:sz w:val="20"/>
                <w:szCs w:val="20"/>
                <w:highlight w:val="none"/>
              </w:rPr>
            </w:pPr>
          </w:p>
        </w:tc>
        <w:tc>
          <w:tcPr>
            <w:tcW w:w="3866" w:type="dxa"/>
            <w:gridSpan w:val="2"/>
          </w:tcPr>
          <w:p>
            <w:pPr>
              <w:pStyle w:val="56"/>
              <w:overflowPunct w:val="0"/>
              <w:spacing w:beforeLines="50"/>
              <w:jc w:val="center"/>
              <w:rPr>
                <w:rFonts w:ascii="宋体" w:hAnsi="宋体" w:cs="宋体"/>
                <w:bCs/>
                <w:sz w:val="20"/>
                <w:szCs w:val="20"/>
                <w:highlight w:val="none"/>
              </w:rPr>
            </w:pPr>
            <w:r>
              <w:rPr>
                <w:rFonts w:hint="eastAsia" w:ascii="宋体" w:hAnsi="宋体" w:cs="宋体"/>
                <w:bCs/>
                <w:sz w:val="20"/>
                <w:szCs w:val="20"/>
                <w:highlight w:val="none"/>
              </w:rPr>
              <w:t>检验费</w:t>
            </w:r>
          </w:p>
        </w:tc>
        <w:tc>
          <w:tcPr>
            <w:tcW w:w="1343" w:type="dxa"/>
          </w:tcPr>
          <w:p>
            <w:pPr>
              <w:pStyle w:val="56"/>
              <w:overflowPunct w:val="0"/>
              <w:spacing w:beforeLines="50"/>
              <w:ind w:firstLine="567"/>
              <w:rPr>
                <w:rFonts w:ascii="宋体" w:hAnsi="宋体" w:cs="宋体"/>
                <w:bCs/>
                <w:sz w:val="20"/>
                <w:szCs w:val="20"/>
                <w:highlight w:val="none"/>
              </w:rPr>
            </w:pPr>
          </w:p>
        </w:tc>
        <w:tc>
          <w:tcPr>
            <w:tcW w:w="1818" w:type="dxa"/>
          </w:tcPr>
          <w:p>
            <w:pPr>
              <w:pStyle w:val="56"/>
              <w:overflowPunct w:val="0"/>
              <w:spacing w:beforeLines="50"/>
              <w:ind w:firstLine="567"/>
              <w:rPr>
                <w:rFonts w:ascii="宋体" w:hAnsi="宋体" w:cs="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2031" w:type="dxa"/>
            <w:vMerge w:val="continue"/>
          </w:tcPr>
          <w:p>
            <w:pPr>
              <w:pStyle w:val="56"/>
              <w:overflowPunct w:val="0"/>
              <w:spacing w:beforeLines="50"/>
              <w:ind w:firstLine="567"/>
              <w:jc w:val="center"/>
              <w:rPr>
                <w:rFonts w:ascii="宋体" w:hAnsi="宋体" w:cs="宋体"/>
                <w:bCs/>
                <w:sz w:val="20"/>
                <w:szCs w:val="20"/>
                <w:highlight w:val="none"/>
              </w:rPr>
            </w:pPr>
          </w:p>
        </w:tc>
        <w:tc>
          <w:tcPr>
            <w:tcW w:w="3866" w:type="dxa"/>
            <w:gridSpan w:val="2"/>
          </w:tcPr>
          <w:p>
            <w:pPr>
              <w:pStyle w:val="56"/>
              <w:overflowPunct w:val="0"/>
              <w:spacing w:beforeLines="50"/>
              <w:jc w:val="center"/>
              <w:rPr>
                <w:rFonts w:ascii="宋体" w:hAnsi="宋体" w:cs="宋体"/>
                <w:bCs/>
                <w:sz w:val="20"/>
                <w:szCs w:val="20"/>
                <w:highlight w:val="none"/>
              </w:rPr>
            </w:pPr>
          </w:p>
        </w:tc>
        <w:tc>
          <w:tcPr>
            <w:tcW w:w="1343" w:type="dxa"/>
          </w:tcPr>
          <w:p>
            <w:pPr>
              <w:pStyle w:val="56"/>
              <w:overflowPunct w:val="0"/>
              <w:spacing w:beforeLines="50"/>
              <w:ind w:firstLine="567"/>
              <w:rPr>
                <w:rFonts w:ascii="宋体" w:hAnsi="宋体" w:cs="宋体"/>
                <w:bCs/>
                <w:sz w:val="20"/>
                <w:szCs w:val="20"/>
                <w:highlight w:val="none"/>
              </w:rPr>
            </w:pPr>
          </w:p>
        </w:tc>
        <w:tc>
          <w:tcPr>
            <w:tcW w:w="1818" w:type="dxa"/>
          </w:tcPr>
          <w:p>
            <w:pPr>
              <w:pStyle w:val="56"/>
              <w:overflowPunct w:val="0"/>
              <w:spacing w:beforeLines="50"/>
              <w:ind w:firstLine="567"/>
              <w:rPr>
                <w:rFonts w:ascii="宋体" w:hAnsi="宋体" w:cs="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2031" w:type="dxa"/>
            <w:vAlign w:val="center"/>
          </w:tcPr>
          <w:p>
            <w:pPr>
              <w:pStyle w:val="56"/>
              <w:overflowPunct w:val="0"/>
              <w:spacing w:beforeLines="50"/>
              <w:jc w:val="center"/>
              <w:rPr>
                <w:rFonts w:ascii="宋体" w:hAnsi="宋体" w:cs="宋体"/>
                <w:bCs/>
                <w:sz w:val="20"/>
                <w:szCs w:val="20"/>
                <w:highlight w:val="none"/>
              </w:rPr>
            </w:pPr>
            <w:r>
              <w:rPr>
                <w:rFonts w:hint="eastAsia" w:ascii="宋体" w:hAnsi="宋体" w:cs="宋体"/>
                <w:bCs/>
                <w:sz w:val="20"/>
                <w:szCs w:val="20"/>
                <w:highlight w:val="none"/>
              </w:rPr>
              <w:t>其他（请详列）</w:t>
            </w:r>
          </w:p>
        </w:tc>
        <w:tc>
          <w:tcPr>
            <w:tcW w:w="3866" w:type="dxa"/>
            <w:gridSpan w:val="2"/>
          </w:tcPr>
          <w:p>
            <w:pPr>
              <w:pStyle w:val="56"/>
              <w:overflowPunct w:val="0"/>
              <w:spacing w:beforeLines="50"/>
              <w:jc w:val="center"/>
              <w:rPr>
                <w:rFonts w:ascii="宋体" w:hAnsi="宋体" w:cs="宋体"/>
                <w:bCs/>
                <w:sz w:val="20"/>
                <w:szCs w:val="20"/>
                <w:highlight w:val="none"/>
              </w:rPr>
            </w:pPr>
          </w:p>
        </w:tc>
        <w:tc>
          <w:tcPr>
            <w:tcW w:w="1343" w:type="dxa"/>
          </w:tcPr>
          <w:p>
            <w:pPr>
              <w:pStyle w:val="56"/>
              <w:overflowPunct w:val="0"/>
              <w:spacing w:beforeLines="50"/>
              <w:ind w:firstLine="567"/>
              <w:rPr>
                <w:rFonts w:ascii="宋体" w:hAnsi="宋体" w:cs="宋体"/>
                <w:bCs/>
                <w:sz w:val="20"/>
                <w:szCs w:val="20"/>
                <w:highlight w:val="none"/>
              </w:rPr>
            </w:pPr>
          </w:p>
        </w:tc>
        <w:tc>
          <w:tcPr>
            <w:tcW w:w="1818" w:type="dxa"/>
          </w:tcPr>
          <w:p>
            <w:pPr>
              <w:pStyle w:val="56"/>
              <w:overflowPunct w:val="0"/>
              <w:spacing w:beforeLines="50"/>
              <w:rPr>
                <w:rFonts w:ascii="宋体" w:hAnsi="宋体" w:cs="宋体"/>
                <w:bCs/>
                <w:sz w:val="20"/>
                <w:szCs w:val="20"/>
                <w:highlight w:val="none"/>
              </w:rPr>
            </w:pPr>
          </w:p>
        </w:tc>
      </w:tr>
    </w:tbl>
    <w:p>
      <w:pPr>
        <w:pStyle w:val="56"/>
        <w:spacing w:beforeLines="50"/>
        <w:rPr>
          <w:rFonts w:ascii="宋体" w:hAnsi="宋体" w:cs="宋体"/>
          <w:bCs/>
          <w:sz w:val="20"/>
          <w:szCs w:val="20"/>
          <w:highlight w:val="none"/>
        </w:rPr>
      </w:pPr>
      <w:r>
        <w:rPr>
          <w:rFonts w:hint="eastAsia" w:ascii="宋体" w:hAnsi="宋体" w:cs="宋体"/>
          <w:bCs/>
          <w:sz w:val="20"/>
          <w:szCs w:val="20"/>
          <w:highlight w:val="none"/>
        </w:rPr>
        <w:t>（二）衢州市衢江区集镇污水处理厂日常运营维护成本费用表</w:t>
      </w:r>
    </w:p>
    <w:p>
      <w:pPr>
        <w:pStyle w:val="56"/>
        <w:overflowPunct w:val="0"/>
        <w:spacing w:beforeLines="50"/>
        <w:ind w:firstLine="567"/>
        <w:jc w:val="center"/>
        <w:rPr>
          <w:rFonts w:ascii="宋体" w:hAnsi="宋体" w:cs="宋体"/>
          <w:bCs/>
          <w:sz w:val="20"/>
          <w:szCs w:val="20"/>
          <w:highlight w:val="none"/>
        </w:rPr>
      </w:pPr>
      <w:r>
        <w:rPr>
          <w:rFonts w:hint="eastAsia" w:ascii="宋体" w:hAnsi="宋体" w:cs="宋体"/>
          <w:bCs/>
          <w:sz w:val="20"/>
          <w:szCs w:val="20"/>
          <w:highlight w:val="none"/>
        </w:rPr>
        <w:t xml:space="preserve">                                                        单位：人民币万元</w:t>
      </w:r>
    </w:p>
    <w:tbl>
      <w:tblPr>
        <w:tblStyle w:val="25"/>
        <w:tblW w:w="91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1"/>
        <w:gridCol w:w="3715"/>
        <w:gridCol w:w="1082"/>
        <w:gridCol w:w="2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1371" w:type="dxa"/>
          </w:tcPr>
          <w:p>
            <w:pPr>
              <w:pStyle w:val="56"/>
              <w:overflowPunct w:val="0"/>
              <w:spacing w:line="0" w:lineRule="atLeast"/>
              <w:jc w:val="center"/>
              <w:rPr>
                <w:rFonts w:ascii="宋体" w:hAnsi="宋体" w:cs="宋体"/>
                <w:bCs/>
                <w:sz w:val="20"/>
                <w:szCs w:val="20"/>
                <w:highlight w:val="none"/>
              </w:rPr>
            </w:pPr>
            <w:r>
              <w:rPr>
                <w:rFonts w:hint="eastAsia" w:ascii="宋体" w:hAnsi="宋体" w:cs="宋体"/>
                <w:bCs/>
                <w:sz w:val="20"/>
                <w:szCs w:val="20"/>
                <w:highlight w:val="none"/>
              </w:rPr>
              <w:t>序号</w:t>
            </w:r>
          </w:p>
        </w:tc>
        <w:tc>
          <w:tcPr>
            <w:tcW w:w="3715" w:type="dxa"/>
          </w:tcPr>
          <w:p>
            <w:pPr>
              <w:pStyle w:val="56"/>
              <w:overflowPunct w:val="0"/>
              <w:spacing w:line="0" w:lineRule="atLeast"/>
              <w:jc w:val="center"/>
              <w:rPr>
                <w:rFonts w:ascii="宋体" w:hAnsi="宋体" w:cs="宋体"/>
                <w:bCs/>
                <w:sz w:val="20"/>
                <w:szCs w:val="20"/>
                <w:highlight w:val="none"/>
              </w:rPr>
            </w:pPr>
            <w:r>
              <w:rPr>
                <w:rFonts w:hint="eastAsia" w:ascii="宋体" w:hAnsi="宋体" w:cs="宋体"/>
                <w:bCs/>
                <w:sz w:val="20"/>
                <w:szCs w:val="20"/>
                <w:highlight w:val="none"/>
              </w:rPr>
              <w:t>成本项目</w:t>
            </w:r>
          </w:p>
        </w:tc>
        <w:tc>
          <w:tcPr>
            <w:tcW w:w="1082" w:type="dxa"/>
          </w:tcPr>
          <w:p>
            <w:pPr>
              <w:pStyle w:val="56"/>
              <w:overflowPunct w:val="0"/>
              <w:spacing w:line="0" w:lineRule="atLeast"/>
              <w:jc w:val="center"/>
              <w:rPr>
                <w:rFonts w:ascii="宋体" w:hAnsi="宋体" w:cs="宋体"/>
                <w:bCs/>
                <w:sz w:val="20"/>
                <w:szCs w:val="20"/>
                <w:highlight w:val="none"/>
              </w:rPr>
            </w:pPr>
            <w:r>
              <w:rPr>
                <w:rFonts w:hint="eastAsia" w:ascii="宋体" w:hAnsi="宋体" w:cs="宋体"/>
                <w:bCs/>
                <w:sz w:val="20"/>
                <w:szCs w:val="20"/>
                <w:highlight w:val="none"/>
              </w:rPr>
              <w:t>每年</w:t>
            </w:r>
          </w:p>
        </w:tc>
        <w:tc>
          <w:tcPr>
            <w:tcW w:w="2936" w:type="dxa"/>
          </w:tcPr>
          <w:p>
            <w:pPr>
              <w:pStyle w:val="56"/>
              <w:overflowPunct w:val="0"/>
              <w:spacing w:line="0" w:lineRule="atLeast"/>
              <w:jc w:val="center"/>
              <w:rPr>
                <w:rFonts w:ascii="宋体" w:hAnsi="宋体" w:cs="宋体"/>
                <w:bCs/>
                <w:sz w:val="20"/>
                <w:szCs w:val="20"/>
                <w:highlight w:val="none"/>
              </w:rPr>
            </w:pPr>
            <w:r>
              <w:rPr>
                <w:rFonts w:hint="eastAsia" w:ascii="宋体" w:hAnsi="宋体" w:cs="宋体"/>
                <w:bCs/>
                <w:sz w:val="20"/>
                <w:szCs w:val="20"/>
                <w:highlight w:val="none"/>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1371" w:type="dxa"/>
            <w:vAlign w:val="center"/>
          </w:tcPr>
          <w:p>
            <w:pPr>
              <w:pStyle w:val="56"/>
              <w:overflowPunct w:val="0"/>
              <w:spacing w:line="0" w:lineRule="atLeast"/>
              <w:jc w:val="center"/>
              <w:rPr>
                <w:rFonts w:ascii="宋体" w:hAnsi="宋体" w:cs="宋体"/>
                <w:bCs/>
                <w:sz w:val="20"/>
                <w:szCs w:val="20"/>
                <w:highlight w:val="none"/>
              </w:rPr>
            </w:pPr>
            <w:r>
              <w:rPr>
                <w:rFonts w:hint="eastAsia" w:ascii="宋体" w:hAnsi="宋体" w:cs="宋体"/>
                <w:bCs/>
                <w:sz w:val="20"/>
                <w:szCs w:val="20"/>
                <w:highlight w:val="none"/>
              </w:rPr>
              <w:t>1</w:t>
            </w:r>
          </w:p>
        </w:tc>
        <w:tc>
          <w:tcPr>
            <w:tcW w:w="3715" w:type="dxa"/>
            <w:vAlign w:val="center"/>
          </w:tcPr>
          <w:p>
            <w:pPr>
              <w:pStyle w:val="56"/>
              <w:overflowPunct w:val="0"/>
              <w:spacing w:line="0" w:lineRule="atLeast"/>
              <w:jc w:val="center"/>
              <w:rPr>
                <w:rFonts w:ascii="宋体" w:hAnsi="宋体" w:cs="宋体"/>
                <w:bCs/>
                <w:sz w:val="20"/>
                <w:szCs w:val="20"/>
                <w:highlight w:val="none"/>
              </w:rPr>
            </w:pPr>
            <w:r>
              <w:rPr>
                <w:rFonts w:hint="eastAsia" w:ascii="宋体" w:hAnsi="宋体" w:cs="宋体"/>
                <w:bCs/>
                <w:sz w:val="20"/>
                <w:szCs w:val="20"/>
                <w:highlight w:val="none"/>
              </w:rPr>
              <w:t>工资福利费</w:t>
            </w:r>
          </w:p>
        </w:tc>
        <w:tc>
          <w:tcPr>
            <w:tcW w:w="1082" w:type="dxa"/>
            <w:vAlign w:val="center"/>
          </w:tcPr>
          <w:p>
            <w:pPr>
              <w:pStyle w:val="56"/>
              <w:overflowPunct w:val="0"/>
              <w:spacing w:line="0" w:lineRule="atLeast"/>
              <w:ind w:firstLine="567"/>
              <w:rPr>
                <w:rFonts w:ascii="宋体" w:hAnsi="宋体" w:cs="宋体"/>
                <w:bCs/>
                <w:sz w:val="20"/>
                <w:szCs w:val="20"/>
                <w:highlight w:val="none"/>
              </w:rPr>
            </w:pPr>
          </w:p>
        </w:tc>
        <w:tc>
          <w:tcPr>
            <w:tcW w:w="2936" w:type="dxa"/>
            <w:vAlign w:val="center"/>
          </w:tcPr>
          <w:p>
            <w:pPr>
              <w:pStyle w:val="56"/>
              <w:overflowPunct w:val="0"/>
              <w:spacing w:line="0" w:lineRule="atLeast"/>
              <w:ind w:firstLine="567"/>
              <w:rPr>
                <w:rFonts w:ascii="宋体" w:hAnsi="宋体" w:cs="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1371" w:type="dxa"/>
            <w:vAlign w:val="center"/>
          </w:tcPr>
          <w:p>
            <w:pPr>
              <w:pStyle w:val="56"/>
              <w:overflowPunct w:val="0"/>
              <w:spacing w:line="0" w:lineRule="atLeast"/>
              <w:jc w:val="center"/>
              <w:rPr>
                <w:rFonts w:ascii="宋体" w:hAnsi="宋体" w:cs="宋体"/>
                <w:bCs/>
                <w:sz w:val="20"/>
                <w:szCs w:val="20"/>
                <w:highlight w:val="none"/>
              </w:rPr>
            </w:pPr>
            <w:r>
              <w:rPr>
                <w:rFonts w:hint="eastAsia" w:ascii="宋体" w:hAnsi="宋体" w:cs="宋体"/>
                <w:bCs/>
                <w:sz w:val="20"/>
                <w:szCs w:val="20"/>
                <w:highlight w:val="none"/>
              </w:rPr>
              <w:t>2</w:t>
            </w:r>
          </w:p>
        </w:tc>
        <w:tc>
          <w:tcPr>
            <w:tcW w:w="3715" w:type="dxa"/>
            <w:vAlign w:val="center"/>
          </w:tcPr>
          <w:p>
            <w:pPr>
              <w:pStyle w:val="56"/>
              <w:overflowPunct w:val="0"/>
              <w:spacing w:line="0" w:lineRule="atLeast"/>
              <w:jc w:val="center"/>
              <w:rPr>
                <w:rFonts w:ascii="宋体" w:hAnsi="宋体" w:cs="宋体"/>
                <w:bCs/>
                <w:sz w:val="20"/>
                <w:szCs w:val="20"/>
                <w:highlight w:val="none"/>
              </w:rPr>
            </w:pPr>
            <w:r>
              <w:rPr>
                <w:rFonts w:hint="eastAsia" w:ascii="宋体" w:hAnsi="宋体" w:cs="宋体"/>
                <w:bCs/>
                <w:sz w:val="20"/>
                <w:szCs w:val="20"/>
                <w:highlight w:val="none"/>
              </w:rPr>
              <w:t>管理费</w:t>
            </w:r>
          </w:p>
        </w:tc>
        <w:tc>
          <w:tcPr>
            <w:tcW w:w="1082" w:type="dxa"/>
            <w:vAlign w:val="center"/>
          </w:tcPr>
          <w:p>
            <w:pPr>
              <w:pStyle w:val="56"/>
              <w:overflowPunct w:val="0"/>
              <w:spacing w:line="0" w:lineRule="atLeast"/>
              <w:ind w:firstLine="567"/>
              <w:rPr>
                <w:rFonts w:ascii="宋体" w:hAnsi="宋体" w:cs="宋体"/>
                <w:bCs/>
                <w:sz w:val="20"/>
                <w:szCs w:val="20"/>
                <w:highlight w:val="none"/>
              </w:rPr>
            </w:pPr>
          </w:p>
        </w:tc>
        <w:tc>
          <w:tcPr>
            <w:tcW w:w="2936" w:type="dxa"/>
            <w:vAlign w:val="center"/>
          </w:tcPr>
          <w:p>
            <w:pPr>
              <w:pStyle w:val="56"/>
              <w:overflowPunct w:val="0"/>
              <w:spacing w:line="0" w:lineRule="atLeast"/>
              <w:ind w:firstLine="567"/>
              <w:rPr>
                <w:rFonts w:ascii="宋体" w:hAnsi="宋体" w:cs="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1371" w:type="dxa"/>
            <w:vAlign w:val="center"/>
          </w:tcPr>
          <w:p>
            <w:pPr>
              <w:pStyle w:val="56"/>
              <w:overflowPunct w:val="0"/>
              <w:spacing w:line="0" w:lineRule="atLeast"/>
              <w:jc w:val="center"/>
              <w:rPr>
                <w:rFonts w:ascii="宋体" w:hAnsi="宋体" w:cs="宋体"/>
                <w:bCs/>
                <w:sz w:val="20"/>
                <w:szCs w:val="20"/>
                <w:highlight w:val="none"/>
              </w:rPr>
            </w:pPr>
            <w:r>
              <w:rPr>
                <w:rFonts w:hint="eastAsia" w:ascii="宋体" w:hAnsi="宋体" w:cs="宋体"/>
                <w:bCs/>
                <w:sz w:val="20"/>
                <w:szCs w:val="20"/>
                <w:highlight w:val="none"/>
              </w:rPr>
              <w:t>3</w:t>
            </w:r>
          </w:p>
        </w:tc>
        <w:tc>
          <w:tcPr>
            <w:tcW w:w="3715" w:type="dxa"/>
            <w:vAlign w:val="center"/>
          </w:tcPr>
          <w:p>
            <w:pPr>
              <w:pStyle w:val="56"/>
              <w:overflowPunct w:val="0"/>
              <w:spacing w:line="0" w:lineRule="atLeast"/>
              <w:jc w:val="center"/>
              <w:rPr>
                <w:rFonts w:ascii="宋体" w:hAnsi="宋体" w:cs="宋体"/>
                <w:bCs/>
                <w:sz w:val="20"/>
                <w:szCs w:val="20"/>
                <w:highlight w:val="none"/>
              </w:rPr>
            </w:pPr>
            <w:r>
              <w:rPr>
                <w:rFonts w:hint="eastAsia" w:ascii="宋体" w:hAnsi="宋体" w:cs="宋体"/>
                <w:bCs/>
                <w:sz w:val="20"/>
                <w:szCs w:val="20"/>
                <w:highlight w:val="none"/>
              </w:rPr>
              <w:t>办公设备购置</w:t>
            </w:r>
          </w:p>
        </w:tc>
        <w:tc>
          <w:tcPr>
            <w:tcW w:w="1082" w:type="dxa"/>
            <w:vAlign w:val="center"/>
          </w:tcPr>
          <w:p>
            <w:pPr>
              <w:pStyle w:val="56"/>
              <w:overflowPunct w:val="0"/>
              <w:spacing w:line="0" w:lineRule="atLeast"/>
              <w:ind w:firstLine="567"/>
              <w:rPr>
                <w:rFonts w:ascii="宋体" w:hAnsi="宋体" w:cs="宋体"/>
                <w:bCs/>
                <w:sz w:val="20"/>
                <w:szCs w:val="20"/>
                <w:highlight w:val="none"/>
              </w:rPr>
            </w:pPr>
          </w:p>
        </w:tc>
        <w:tc>
          <w:tcPr>
            <w:tcW w:w="2936" w:type="dxa"/>
            <w:vAlign w:val="center"/>
          </w:tcPr>
          <w:p>
            <w:pPr>
              <w:pStyle w:val="56"/>
              <w:overflowPunct w:val="0"/>
              <w:spacing w:line="0" w:lineRule="atLeast"/>
              <w:ind w:firstLine="567"/>
              <w:rPr>
                <w:rFonts w:ascii="宋体" w:hAnsi="宋体" w:cs="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1371" w:type="dxa"/>
            <w:vAlign w:val="center"/>
          </w:tcPr>
          <w:p>
            <w:pPr>
              <w:pStyle w:val="56"/>
              <w:overflowPunct w:val="0"/>
              <w:spacing w:line="0" w:lineRule="atLeast"/>
              <w:jc w:val="center"/>
              <w:rPr>
                <w:rFonts w:ascii="宋体" w:hAnsi="宋体" w:cs="宋体"/>
                <w:bCs/>
                <w:sz w:val="20"/>
                <w:szCs w:val="20"/>
                <w:highlight w:val="none"/>
              </w:rPr>
            </w:pPr>
            <w:r>
              <w:rPr>
                <w:rFonts w:hint="eastAsia" w:ascii="宋体" w:hAnsi="宋体" w:cs="宋体"/>
                <w:bCs/>
                <w:sz w:val="20"/>
                <w:szCs w:val="20"/>
                <w:highlight w:val="none"/>
              </w:rPr>
              <w:t>4</w:t>
            </w:r>
          </w:p>
        </w:tc>
        <w:tc>
          <w:tcPr>
            <w:tcW w:w="3715" w:type="dxa"/>
            <w:vAlign w:val="center"/>
          </w:tcPr>
          <w:p>
            <w:pPr>
              <w:pStyle w:val="56"/>
              <w:overflowPunct w:val="0"/>
              <w:spacing w:line="0" w:lineRule="atLeast"/>
              <w:jc w:val="center"/>
              <w:rPr>
                <w:rFonts w:ascii="宋体" w:hAnsi="宋体" w:cs="宋体"/>
                <w:bCs/>
                <w:sz w:val="20"/>
                <w:szCs w:val="20"/>
                <w:highlight w:val="none"/>
              </w:rPr>
            </w:pPr>
            <w:r>
              <w:rPr>
                <w:rFonts w:hint="eastAsia" w:ascii="宋体" w:hAnsi="宋体" w:cs="宋体"/>
                <w:bCs/>
                <w:sz w:val="20"/>
                <w:szCs w:val="20"/>
                <w:highlight w:val="none"/>
              </w:rPr>
              <w:t>日常维护费</w:t>
            </w:r>
          </w:p>
        </w:tc>
        <w:tc>
          <w:tcPr>
            <w:tcW w:w="1082" w:type="dxa"/>
            <w:vAlign w:val="center"/>
          </w:tcPr>
          <w:p>
            <w:pPr>
              <w:pStyle w:val="56"/>
              <w:overflowPunct w:val="0"/>
              <w:spacing w:line="0" w:lineRule="atLeast"/>
              <w:ind w:firstLine="567"/>
              <w:rPr>
                <w:rFonts w:ascii="宋体" w:hAnsi="宋体" w:cs="宋体"/>
                <w:bCs/>
                <w:sz w:val="20"/>
                <w:szCs w:val="20"/>
                <w:highlight w:val="none"/>
              </w:rPr>
            </w:pPr>
          </w:p>
        </w:tc>
        <w:tc>
          <w:tcPr>
            <w:tcW w:w="2936" w:type="dxa"/>
            <w:vAlign w:val="center"/>
          </w:tcPr>
          <w:p>
            <w:pPr>
              <w:pStyle w:val="56"/>
              <w:overflowPunct w:val="0"/>
              <w:spacing w:line="0" w:lineRule="atLeast"/>
              <w:ind w:firstLine="567"/>
              <w:rPr>
                <w:rFonts w:ascii="宋体" w:hAnsi="宋体" w:cs="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1371" w:type="dxa"/>
            <w:vAlign w:val="center"/>
          </w:tcPr>
          <w:p>
            <w:pPr>
              <w:pStyle w:val="56"/>
              <w:overflowPunct w:val="0"/>
              <w:spacing w:line="0" w:lineRule="atLeast"/>
              <w:jc w:val="center"/>
              <w:rPr>
                <w:rFonts w:ascii="宋体" w:hAnsi="宋体" w:cs="宋体"/>
                <w:bCs/>
                <w:sz w:val="20"/>
                <w:szCs w:val="20"/>
                <w:highlight w:val="none"/>
              </w:rPr>
            </w:pPr>
            <w:r>
              <w:rPr>
                <w:rFonts w:hint="eastAsia" w:ascii="宋体" w:hAnsi="宋体" w:cs="宋体"/>
                <w:bCs/>
                <w:sz w:val="20"/>
                <w:szCs w:val="20"/>
                <w:highlight w:val="none"/>
              </w:rPr>
              <w:t>5</w:t>
            </w:r>
          </w:p>
        </w:tc>
        <w:tc>
          <w:tcPr>
            <w:tcW w:w="3715" w:type="dxa"/>
            <w:vAlign w:val="center"/>
          </w:tcPr>
          <w:p>
            <w:pPr>
              <w:pStyle w:val="56"/>
              <w:overflowPunct w:val="0"/>
              <w:spacing w:line="0" w:lineRule="atLeast"/>
              <w:jc w:val="center"/>
              <w:rPr>
                <w:rFonts w:ascii="宋体" w:hAnsi="宋体" w:cs="宋体"/>
                <w:bCs/>
                <w:sz w:val="20"/>
                <w:szCs w:val="20"/>
                <w:highlight w:val="none"/>
              </w:rPr>
            </w:pPr>
            <w:r>
              <w:rPr>
                <w:rFonts w:hint="eastAsia" w:ascii="宋体" w:hAnsi="宋体" w:cs="宋体"/>
                <w:bCs/>
                <w:sz w:val="20"/>
                <w:szCs w:val="20"/>
                <w:highlight w:val="none"/>
              </w:rPr>
              <w:t>检验费</w:t>
            </w:r>
          </w:p>
        </w:tc>
        <w:tc>
          <w:tcPr>
            <w:tcW w:w="1082" w:type="dxa"/>
            <w:vAlign w:val="center"/>
          </w:tcPr>
          <w:p>
            <w:pPr>
              <w:pStyle w:val="56"/>
              <w:overflowPunct w:val="0"/>
              <w:spacing w:line="0" w:lineRule="atLeast"/>
              <w:ind w:firstLine="567"/>
              <w:rPr>
                <w:rFonts w:ascii="宋体" w:hAnsi="宋体" w:cs="宋体"/>
                <w:bCs/>
                <w:sz w:val="20"/>
                <w:szCs w:val="20"/>
                <w:highlight w:val="none"/>
              </w:rPr>
            </w:pPr>
          </w:p>
        </w:tc>
        <w:tc>
          <w:tcPr>
            <w:tcW w:w="2936" w:type="dxa"/>
            <w:vAlign w:val="center"/>
          </w:tcPr>
          <w:p>
            <w:pPr>
              <w:pStyle w:val="56"/>
              <w:overflowPunct w:val="0"/>
              <w:spacing w:line="0" w:lineRule="atLeast"/>
              <w:ind w:firstLine="567"/>
              <w:rPr>
                <w:rFonts w:ascii="宋体" w:hAnsi="宋体" w:cs="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1371" w:type="dxa"/>
            <w:vAlign w:val="center"/>
          </w:tcPr>
          <w:p>
            <w:pPr>
              <w:pStyle w:val="56"/>
              <w:overflowPunct w:val="0"/>
              <w:spacing w:line="0" w:lineRule="atLeast"/>
              <w:jc w:val="center"/>
              <w:rPr>
                <w:rFonts w:ascii="宋体" w:hAnsi="宋体" w:cs="宋体"/>
                <w:bCs/>
                <w:sz w:val="20"/>
                <w:szCs w:val="20"/>
                <w:highlight w:val="none"/>
              </w:rPr>
            </w:pPr>
            <w:r>
              <w:rPr>
                <w:rFonts w:hint="eastAsia" w:ascii="宋体" w:hAnsi="宋体" w:cs="宋体"/>
                <w:bCs/>
                <w:sz w:val="20"/>
                <w:szCs w:val="20"/>
                <w:highlight w:val="none"/>
              </w:rPr>
              <w:t>6</w:t>
            </w:r>
          </w:p>
        </w:tc>
        <w:tc>
          <w:tcPr>
            <w:tcW w:w="3715" w:type="dxa"/>
            <w:vAlign w:val="center"/>
          </w:tcPr>
          <w:p>
            <w:pPr>
              <w:pStyle w:val="56"/>
              <w:overflowPunct w:val="0"/>
              <w:spacing w:line="0" w:lineRule="atLeast"/>
              <w:jc w:val="center"/>
              <w:rPr>
                <w:rFonts w:ascii="宋体" w:hAnsi="宋体" w:cs="宋体"/>
                <w:bCs/>
                <w:sz w:val="20"/>
                <w:szCs w:val="20"/>
                <w:highlight w:val="none"/>
              </w:rPr>
            </w:pPr>
            <w:r>
              <w:rPr>
                <w:rFonts w:hint="eastAsia" w:ascii="宋体" w:hAnsi="宋体" w:cs="宋体"/>
                <w:bCs/>
                <w:sz w:val="20"/>
                <w:szCs w:val="20"/>
                <w:highlight w:val="none"/>
              </w:rPr>
              <w:t>环保在线监测</w:t>
            </w:r>
          </w:p>
        </w:tc>
        <w:tc>
          <w:tcPr>
            <w:tcW w:w="1082" w:type="dxa"/>
            <w:vAlign w:val="center"/>
          </w:tcPr>
          <w:p>
            <w:pPr>
              <w:pStyle w:val="56"/>
              <w:overflowPunct w:val="0"/>
              <w:spacing w:line="0" w:lineRule="atLeast"/>
              <w:ind w:firstLine="567"/>
              <w:rPr>
                <w:rFonts w:ascii="宋体" w:hAnsi="宋体" w:cs="宋体"/>
                <w:bCs/>
                <w:sz w:val="20"/>
                <w:szCs w:val="20"/>
                <w:highlight w:val="none"/>
              </w:rPr>
            </w:pPr>
          </w:p>
        </w:tc>
        <w:tc>
          <w:tcPr>
            <w:tcW w:w="2936" w:type="dxa"/>
            <w:vAlign w:val="center"/>
          </w:tcPr>
          <w:p>
            <w:pPr>
              <w:pStyle w:val="56"/>
              <w:overflowPunct w:val="0"/>
              <w:spacing w:line="0" w:lineRule="atLeast"/>
              <w:ind w:firstLine="567"/>
              <w:rPr>
                <w:rFonts w:ascii="宋体" w:hAnsi="宋体" w:cs="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1371" w:type="dxa"/>
            <w:vAlign w:val="center"/>
          </w:tcPr>
          <w:p>
            <w:pPr>
              <w:pStyle w:val="56"/>
              <w:overflowPunct w:val="0"/>
              <w:spacing w:line="0" w:lineRule="atLeast"/>
              <w:jc w:val="center"/>
              <w:rPr>
                <w:rFonts w:ascii="宋体" w:hAnsi="宋体" w:cs="宋体"/>
                <w:bCs/>
                <w:sz w:val="20"/>
                <w:szCs w:val="20"/>
                <w:highlight w:val="none"/>
              </w:rPr>
            </w:pPr>
            <w:r>
              <w:rPr>
                <w:rFonts w:hint="eastAsia" w:ascii="宋体" w:hAnsi="宋体" w:cs="宋体"/>
                <w:bCs/>
                <w:sz w:val="20"/>
                <w:szCs w:val="20"/>
                <w:highlight w:val="none"/>
              </w:rPr>
              <w:t>7</w:t>
            </w:r>
          </w:p>
        </w:tc>
        <w:tc>
          <w:tcPr>
            <w:tcW w:w="3715" w:type="dxa"/>
            <w:vAlign w:val="center"/>
          </w:tcPr>
          <w:p>
            <w:pPr>
              <w:pStyle w:val="56"/>
              <w:overflowPunct w:val="0"/>
              <w:spacing w:line="0" w:lineRule="atLeast"/>
              <w:jc w:val="center"/>
              <w:rPr>
                <w:rFonts w:ascii="宋体" w:hAnsi="宋体" w:cs="宋体"/>
                <w:bCs/>
                <w:sz w:val="20"/>
                <w:szCs w:val="20"/>
                <w:highlight w:val="none"/>
              </w:rPr>
            </w:pPr>
            <w:r>
              <w:rPr>
                <w:rFonts w:hint="eastAsia" w:ascii="宋体" w:hAnsi="宋体" w:cs="宋体"/>
                <w:bCs/>
                <w:sz w:val="20"/>
                <w:szCs w:val="20"/>
                <w:highlight w:val="none"/>
              </w:rPr>
              <w:t>污泥定性监测</w:t>
            </w:r>
          </w:p>
        </w:tc>
        <w:tc>
          <w:tcPr>
            <w:tcW w:w="1082" w:type="dxa"/>
            <w:vAlign w:val="center"/>
          </w:tcPr>
          <w:p>
            <w:pPr>
              <w:pStyle w:val="56"/>
              <w:overflowPunct w:val="0"/>
              <w:spacing w:line="0" w:lineRule="atLeast"/>
              <w:ind w:firstLine="567"/>
              <w:rPr>
                <w:rFonts w:ascii="宋体" w:hAnsi="宋体" w:cs="宋体"/>
                <w:bCs/>
                <w:sz w:val="20"/>
                <w:szCs w:val="20"/>
                <w:highlight w:val="none"/>
              </w:rPr>
            </w:pPr>
          </w:p>
        </w:tc>
        <w:tc>
          <w:tcPr>
            <w:tcW w:w="2936" w:type="dxa"/>
            <w:vAlign w:val="center"/>
          </w:tcPr>
          <w:p>
            <w:pPr>
              <w:pStyle w:val="56"/>
              <w:overflowPunct w:val="0"/>
              <w:spacing w:line="0" w:lineRule="atLeast"/>
              <w:ind w:firstLine="567"/>
              <w:rPr>
                <w:rFonts w:ascii="宋体" w:hAnsi="宋体" w:cs="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1371" w:type="dxa"/>
            <w:vAlign w:val="center"/>
          </w:tcPr>
          <w:p>
            <w:pPr>
              <w:pStyle w:val="56"/>
              <w:overflowPunct w:val="0"/>
              <w:spacing w:line="0" w:lineRule="atLeast"/>
              <w:jc w:val="center"/>
              <w:rPr>
                <w:rFonts w:ascii="宋体" w:hAnsi="宋体" w:cs="宋体"/>
                <w:bCs/>
                <w:sz w:val="20"/>
                <w:szCs w:val="20"/>
                <w:highlight w:val="none"/>
              </w:rPr>
            </w:pPr>
            <w:r>
              <w:rPr>
                <w:rFonts w:hint="eastAsia" w:ascii="宋体" w:hAnsi="宋体" w:cs="宋体"/>
                <w:bCs/>
                <w:sz w:val="20"/>
                <w:szCs w:val="20"/>
                <w:highlight w:val="none"/>
              </w:rPr>
              <w:t>8</w:t>
            </w:r>
          </w:p>
        </w:tc>
        <w:tc>
          <w:tcPr>
            <w:tcW w:w="3715" w:type="dxa"/>
            <w:vAlign w:val="center"/>
          </w:tcPr>
          <w:p>
            <w:pPr>
              <w:pStyle w:val="56"/>
              <w:overflowPunct w:val="0"/>
              <w:spacing w:line="0" w:lineRule="atLeast"/>
              <w:jc w:val="center"/>
              <w:rPr>
                <w:rFonts w:ascii="宋体" w:hAnsi="宋体" w:cs="宋体"/>
                <w:bCs/>
                <w:sz w:val="20"/>
                <w:szCs w:val="20"/>
                <w:highlight w:val="none"/>
              </w:rPr>
            </w:pPr>
            <w:r>
              <w:rPr>
                <w:rFonts w:hint="eastAsia" w:ascii="宋体" w:hAnsi="宋体" w:cs="宋体"/>
                <w:bCs/>
                <w:sz w:val="20"/>
                <w:szCs w:val="20"/>
                <w:highlight w:val="none"/>
              </w:rPr>
              <w:t>污泥处置费</w:t>
            </w:r>
          </w:p>
        </w:tc>
        <w:tc>
          <w:tcPr>
            <w:tcW w:w="1082" w:type="dxa"/>
            <w:vAlign w:val="center"/>
          </w:tcPr>
          <w:p>
            <w:pPr>
              <w:pStyle w:val="56"/>
              <w:overflowPunct w:val="0"/>
              <w:spacing w:line="0" w:lineRule="atLeast"/>
              <w:ind w:firstLine="567"/>
              <w:rPr>
                <w:rFonts w:ascii="宋体" w:hAnsi="宋体" w:cs="宋体"/>
                <w:bCs/>
                <w:sz w:val="20"/>
                <w:szCs w:val="20"/>
                <w:highlight w:val="none"/>
              </w:rPr>
            </w:pPr>
          </w:p>
        </w:tc>
        <w:tc>
          <w:tcPr>
            <w:tcW w:w="2936" w:type="dxa"/>
            <w:vAlign w:val="center"/>
          </w:tcPr>
          <w:p>
            <w:pPr>
              <w:pStyle w:val="56"/>
              <w:overflowPunct w:val="0"/>
              <w:spacing w:line="0" w:lineRule="atLeast"/>
              <w:ind w:firstLine="567"/>
              <w:rPr>
                <w:rFonts w:ascii="宋体" w:hAnsi="宋体" w:cs="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1371" w:type="dxa"/>
            <w:vAlign w:val="center"/>
          </w:tcPr>
          <w:p>
            <w:pPr>
              <w:pStyle w:val="56"/>
              <w:overflowPunct w:val="0"/>
              <w:spacing w:line="0" w:lineRule="atLeast"/>
              <w:jc w:val="center"/>
              <w:rPr>
                <w:rFonts w:ascii="宋体" w:hAnsi="宋体" w:cs="宋体"/>
                <w:bCs/>
                <w:sz w:val="20"/>
                <w:szCs w:val="20"/>
                <w:highlight w:val="none"/>
              </w:rPr>
            </w:pPr>
            <w:r>
              <w:rPr>
                <w:rFonts w:hint="eastAsia" w:ascii="宋体" w:hAnsi="宋体" w:cs="宋体"/>
                <w:bCs/>
                <w:sz w:val="20"/>
                <w:szCs w:val="20"/>
                <w:highlight w:val="none"/>
              </w:rPr>
              <w:t>9</w:t>
            </w:r>
          </w:p>
        </w:tc>
        <w:tc>
          <w:tcPr>
            <w:tcW w:w="3715" w:type="dxa"/>
            <w:vAlign w:val="center"/>
          </w:tcPr>
          <w:p>
            <w:pPr>
              <w:pStyle w:val="56"/>
              <w:overflowPunct w:val="0"/>
              <w:spacing w:line="0" w:lineRule="atLeast"/>
              <w:jc w:val="center"/>
              <w:rPr>
                <w:rFonts w:ascii="宋体" w:hAnsi="宋体" w:cs="宋体"/>
                <w:bCs/>
                <w:sz w:val="20"/>
                <w:szCs w:val="20"/>
                <w:highlight w:val="none"/>
              </w:rPr>
            </w:pPr>
            <w:r>
              <w:rPr>
                <w:rFonts w:hint="eastAsia" w:ascii="宋体" w:hAnsi="宋体" w:cs="宋体"/>
                <w:bCs/>
                <w:sz w:val="20"/>
                <w:szCs w:val="20"/>
                <w:highlight w:val="none"/>
              </w:rPr>
              <w:t>水费</w:t>
            </w:r>
          </w:p>
        </w:tc>
        <w:tc>
          <w:tcPr>
            <w:tcW w:w="1082" w:type="dxa"/>
            <w:vAlign w:val="center"/>
          </w:tcPr>
          <w:p>
            <w:pPr>
              <w:pStyle w:val="56"/>
              <w:overflowPunct w:val="0"/>
              <w:spacing w:line="0" w:lineRule="atLeast"/>
              <w:ind w:firstLine="567"/>
              <w:rPr>
                <w:rFonts w:ascii="宋体" w:hAnsi="宋体" w:cs="宋体"/>
                <w:bCs/>
                <w:sz w:val="20"/>
                <w:szCs w:val="20"/>
                <w:highlight w:val="none"/>
              </w:rPr>
            </w:pPr>
          </w:p>
        </w:tc>
        <w:tc>
          <w:tcPr>
            <w:tcW w:w="2936" w:type="dxa"/>
            <w:vAlign w:val="center"/>
          </w:tcPr>
          <w:p>
            <w:pPr>
              <w:pStyle w:val="56"/>
              <w:overflowPunct w:val="0"/>
              <w:spacing w:line="0" w:lineRule="atLeast"/>
              <w:ind w:firstLine="567"/>
              <w:rPr>
                <w:rFonts w:ascii="宋体" w:hAnsi="宋体" w:cs="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1371" w:type="dxa"/>
            <w:vAlign w:val="center"/>
          </w:tcPr>
          <w:p>
            <w:pPr>
              <w:pStyle w:val="56"/>
              <w:overflowPunct w:val="0"/>
              <w:spacing w:line="0" w:lineRule="atLeast"/>
              <w:jc w:val="center"/>
              <w:rPr>
                <w:rFonts w:ascii="宋体" w:hAnsi="宋体" w:cs="宋体"/>
                <w:bCs/>
                <w:sz w:val="20"/>
                <w:szCs w:val="20"/>
                <w:highlight w:val="none"/>
              </w:rPr>
            </w:pPr>
            <w:r>
              <w:rPr>
                <w:rFonts w:hint="eastAsia" w:ascii="宋体" w:hAnsi="宋体" w:cs="宋体"/>
                <w:bCs/>
                <w:sz w:val="20"/>
                <w:szCs w:val="20"/>
                <w:highlight w:val="none"/>
              </w:rPr>
              <w:t>10</w:t>
            </w:r>
          </w:p>
        </w:tc>
        <w:tc>
          <w:tcPr>
            <w:tcW w:w="3715" w:type="dxa"/>
            <w:vAlign w:val="center"/>
          </w:tcPr>
          <w:p>
            <w:pPr>
              <w:pStyle w:val="56"/>
              <w:overflowPunct w:val="0"/>
              <w:spacing w:line="0" w:lineRule="atLeast"/>
              <w:jc w:val="center"/>
              <w:rPr>
                <w:rFonts w:ascii="宋体" w:hAnsi="宋体" w:cs="宋体"/>
                <w:bCs/>
                <w:sz w:val="20"/>
                <w:szCs w:val="20"/>
                <w:highlight w:val="none"/>
              </w:rPr>
            </w:pPr>
            <w:r>
              <w:rPr>
                <w:rFonts w:hint="eastAsia" w:ascii="宋体" w:hAnsi="宋体" w:cs="宋体"/>
                <w:bCs/>
                <w:sz w:val="20"/>
                <w:szCs w:val="20"/>
                <w:highlight w:val="none"/>
              </w:rPr>
              <w:t>药剂费</w:t>
            </w:r>
          </w:p>
        </w:tc>
        <w:tc>
          <w:tcPr>
            <w:tcW w:w="1082" w:type="dxa"/>
            <w:vAlign w:val="center"/>
          </w:tcPr>
          <w:p>
            <w:pPr>
              <w:pStyle w:val="56"/>
              <w:overflowPunct w:val="0"/>
              <w:spacing w:line="0" w:lineRule="atLeast"/>
              <w:ind w:firstLine="567"/>
              <w:rPr>
                <w:rFonts w:ascii="宋体" w:hAnsi="宋体" w:cs="宋体"/>
                <w:bCs/>
                <w:sz w:val="20"/>
                <w:szCs w:val="20"/>
                <w:highlight w:val="none"/>
              </w:rPr>
            </w:pPr>
          </w:p>
        </w:tc>
        <w:tc>
          <w:tcPr>
            <w:tcW w:w="2936" w:type="dxa"/>
            <w:vAlign w:val="center"/>
          </w:tcPr>
          <w:p>
            <w:pPr>
              <w:pStyle w:val="56"/>
              <w:overflowPunct w:val="0"/>
              <w:spacing w:line="0" w:lineRule="atLeast"/>
              <w:ind w:firstLine="567"/>
              <w:rPr>
                <w:rFonts w:ascii="宋体" w:hAnsi="宋体" w:cs="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1371" w:type="dxa"/>
            <w:vAlign w:val="center"/>
          </w:tcPr>
          <w:p>
            <w:pPr>
              <w:pStyle w:val="56"/>
              <w:overflowPunct w:val="0"/>
              <w:spacing w:line="0" w:lineRule="atLeast"/>
              <w:jc w:val="center"/>
              <w:rPr>
                <w:rFonts w:ascii="宋体" w:hAnsi="宋体" w:cs="宋体"/>
                <w:bCs/>
                <w:sz w:val="20"/>
                <w:szCs w:val="20"/>
                <w:highlight w:val="none"/>
              </w:rPr>
            </w:pPr>
            <w:r>
              <w:rPr>
                <w:rFonts w:hint="eastAsia" w:ascii="宋体" w:hAnsi="宋体" w:cs="宋体"/>
                <w:bCs/>
                <w:sz w:val="20"/>
                <w:szCs w:val="20"/>
                <w:highlight w:val="none"/>
              </w:rPr>
              <w:t>11</w:t>
            </w:r>
          </w:p>
        </w:tc>
        <w:tc>
          <w:tcPr>
            <w:tcW w:w="3715" w:type="dxa"/>
            <w:vAlign w:val="center"/>
          </w:tcPr>
          <w:p>
            <w:pPr>
              <w:pStyle w:val="56"/>
              <w:overflowPunct w:val="0"/>
              <w:spacing w:line="0" w:lineRule="atLeast"/>
              <w:jc w:val="center"/>
              <w:rPr>
                <w:rFonts w:ascii="宋体" w:hAnsi="宋体" w:cs="宋体"/>
                <w:bCs/>
                <w:sz w:val="20"/>
                <w:szCs w:val="20"/>
                <w:highlight w:val="none"/>
              </w:rPr>
            </w:pPr>
            <w:r>
              <w:rPr>
                <w:rFonts w:hint="eastAsia" w:ascii="宋体" w:hAnsi="宋体" w:cs="宋体"/>
                <w:bCs/>
                <w:sz w:val="20"/>
                <w:szCs w:val="20"/>
                <w:highlight w:val="none"/>
              </w:rPr>
              <w:t>保险费</w:t>
            </w:r>
          </w:p>
        </w:tc>
        <w:tc>
          <w:tcPr>
            <w:tcW w:w="1082" w:type="dxa"/>
            <w:vAlign w:val="center"/>
          </w:tcPr>
          <w:p>
            <w:pPr>
              <w:pStyle w:val="56"/>
              <w:overflowPunct w:val="0"/>
              <w:spacing w:line="0" w:lineRule="atLeast"/>
              <w:ind w:firstLine="567"/>
              <w:rPr>
                <w:rFonts w:ascii="宋体" w:hAnsi="宋体" w:cs="宋体"/>
                <w:bCs/>
                <w:sz w:val="20"/>
                <w:szCs w:val="20"/>
                <w:highlight w:val="none"/>
              </w:rPr>
            </w:pPr>
          </w:p>
        </w:tc>
        <w:tc>
          <w:tcPr>
            <w:tcW w:w="2936" w:type="dxa"/>
            <w:vAlign w:val="center"/>
          </w:tcPr>
          <w:p>
            <w:pPr>
              <w:pStyle w:val="56"/>
              <w:overflowPunct w:val="0"/>
              <w:spacing w:line="0" w:lineRule="atLeast"/>
              <w:ind w:firstLine="567"/>
              <w:rPr>
                <w:rFonts w:ascii="宋体" w:hAnsi="宋体" w:cs="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1371" w:type="dxa"/>
            <w:vAlign w:val="center"/>
          </w:tcPr>
          <w:p>
            <w:pPr>
              <w:pStyle w:val="56"/>
              <w:overflowPunct w:val="0"/>
              <w:spacing w:line="0" w:lineRule="atLeast"/>
              <w:jc w:val="center"/>
              <w:rPr>
                <w:rFonts w:ascii="宋体" w:hAnsi="宋体" w:cs="宋体"/>
                <w:bCs/>
                <w:sz w:val="20"/>
                <w:szCs w:val="20"/>
                <w:highlight w:val="none"/>
              </w:rPr>
            </w:pPr>
            <w:r>
              <w:rPr>
                <w:rFonts w:hint="eastAsia" w:ascii="宋体" w:hAnsi="宋体" w:cs="宋体"/>
                <w:bCs/>
                <w:sz w:val="20"/>
                <w:szCs w:val="20"/>
                <w:highlight w:val="none"/>
              </w:rPr>
              <w:t>12</w:t>
            </w:r>
          </w:p>
        </w:tc>
        <w:tc>
          <w:tcPr>
            <w:tcW w:w="3715" w:type="dxa"/>
            <w:vAlign w:val="center"/>
          </w:tcPr>
          <w:p>
            <w:pPr>
              <w:pStyle w:val="56"/>
              <w:overflowPunct w:val="0"/>
              <w:spacing w:line="0" w:lineRule="atLeast"/>
              <w:jc w:val="center"/>
              <w:rPr>
                <w:rFonts w:ascii="宋体" w:hAnsi="宋体" w:cs="宋体"/>
                <w:bCs/>
                <w:sz w:val="20"/>
                <w:szCs w:val="20"/>
                <w:highlight w:val="none"/>
              </w:rPr>
            </w:pPr>
            <w:r>
              <w:rPr>
                <w:rFonts w:hint="eastAsia" w:ascii="宋体" w:hAnsi="宋体" w:cs="宋体"/>
                <w:bCs/>
                <w:sz w:val="20"/>
                <w:szCs w:val="20"/>
                <w:highlight w:val="none"/>
              </w:rPr>
              <w:t>财务费用</w:t>
            </w:r>
          </w:p>
        </w:tc>
        <w:tc>
          <w:tcPr>
            <w:tcW w:w="1082" w:type="dxa"/>
            <w:vAlign w:val="center"/>
          </w:tcPr>
          <w:p>
            <w:pPr>
              <w:pStyle w:val="56"/>
              <w:overflowPunct w:val="0"/>
              <w:spacing w:line="0" w:lineRule="atLeast"/>
              <w:ind w:firstLine="567"/>
              <w:rPr>
                <w:rFonts w:ascii="宋体" w:hAnsi="宋体" w:cs="宋体"/>
                <w:bCs/>
                <w:sz w:val="20"/>
                <w:szCs w:val="20"/>
                <w:highlight w:val="none"/>
              </w:rPr>
            </w:pPr>
          </w:p>
        </w:tc>
        <w:tc>
          <w:tcPr>
            <w:tcW w:w="2936" w:type="dxa"/>
            <w:vAlign w:val="center"/>
          </w:tcPr>
          <w:p>
            <w:pPr>
              <w:pStyle w:val="56"/>
              <w:overflowPunct w:val="0"/>
              <w:spacing w:line="0" w:lineRule="atLeast"/>
              <w:ind w:firstLine="567"/>
              <w:rPr>
                <w:rFonts w:ascii="宋体" w:hAnsi="宋体" w:cs="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1371" w:type="dxa"/>
            <w:vAlign w:val="center"/>
          </w:tcPr>
          <w:p>
            <w:pPr>
              <w:pStyle w:val="56"/>
              <w:overflowPunct w:val="0"/>
              <w:spacing w:line="0" w:lineRule="atLeast"/>
              <w:jc w:val="center"/>
              <w:rPr>
                <w:rFonts w:ascii="宋体" w:hAnsi="宋体" w:cs="宋体"/>
                <w:bCs/>
                <w:sz w:val="20"/>
                <w:szCs w:val="20"/>
                <w:highlight w:val="none"/>
              </w:rPr>
            </w:pPr>
            <w:r>
              <w:rPr>
                <w:rFonts w:hint="eastAsia" w:ascii="宋体" w:hAnsi="宋体" w:cs="宋体"/>
                <w:bCs/>
                <w:sz w:val="20"/>
                <w:szCs w:val="20"/>
                <w:highlight w:val="none"/>
              </w:rPr>
              <w:t>13</w:t>
            </w:r>
          </w:p>
        </w:tc>
        <w:tc>
          <w:tcPr>
            <w:tcW w:w="3715" w:type="dxa"/>
            <w:vAlign w:val="center"/>
          </w:tcPr>
          <w:p>
            <w:pPr>
              <w:pStyle w:val="56"/>
              <w:overflowPunct w:val="0"/>
              <w:spacing w:line="0" w:lineRule="atLeast"/>
              <w:jc w:val="center"/>
              <w:rPr>
                <w:rFonts w:ascii="宋体" w:hAnsi="宋体" w:cs="宋体"/>
                <w:bCs/>
                <w:spacing w:val="-8"/>
                <w:sz w:val="20"/>
                <w:szCs w:val="20"/>
                <w:highlight w:val="none"/>
              </w:rPr>
            </w:pPr>
            <w:r>
              <w:rPr>
                <w:rFonts w:hint="eastAsia" w:ascii="宋体" w:hAnsi="宋体" w:cs="宋体"/>
                <w:bCs/>
                <w:spacing w:val="-8"/>
                <w:sz w:val="20"/>
                <w:szCs w:val="20"/>
                <w:highlight w:val="none"/>
              </w:rPr>
              <w:t>其它(如有请列明)</w:t>
            </w:r>
          </w:p>
        </w:tc>
        <w:tc>
          <w:tcPr>
            <w:tcW w:w="1082" w:type="dxa"/>
            <w:vAlign w:val="center"/>
          </w:tcPr>
          <w:p>
            <w:pPr>
              <w:pStyle w:val="56"/>
              <w:overflowPunct w:val="0"/>
              <w:spacing w:line="0" w:lineRule="atLeast"/>
              <w:ind w:firstLine="567"/>
              <w:rPr>
                <w:rFonts w:ascii="宋体" w:hAnsi="宋体" w:cs="宋体"/>
                <w:bCs/>
                <w:sz w:val="20"/>
                <w:szCs w:val="20"/>
                <w:highlight w:val="none"/>
              </w:rPr>
            </w:pPr>
          </w:p>
        </w:tc>
        <w:tc>
          <w:tcPr>
            <w:tcW w:w="2936" w:type="dxa"/>
            <w:vAlign w:val="center"/>
          </w:tcPr>
          <w:p>
            <w:pPr>
              <w:pStyle w:val="56"/>
              <w:overflowPunct w:val="0"/>
              <w:spacing w:line="0" w:lineRule="atLeast"/>
              <w:ind w:firstLine="567"/>
              <w:rPr>
                <w:rFonts w:ascii="宋体" w:hAnsi="宋体" w:cs="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1371" w:type="dxa"/>
            <w:vAlign w:val="center"/>
          </w:tcPr>
          <w:p>
            <w:pPr>
              <w:pStyle w:val="56"/>
              <w:overflowPunct w:val="0"/>
              <w:spacing w:line="0" w:lineRule="atLeast"/>
              <w:jc w:val="center"/>
              <w:rPr>
                <w:rFonts w:ascii="宋体" w:hAnsi="宋体" w:cs="宋体"/>
                <w:bCs/>
                <w:sz w:val="20"/>
                <w:szCs w:val="20"/>
                <w:highlight w:val="none"/>
              </w:rPr>
            </w:pPr>
            <w:r>
              <w:rPr>
                <w:rFonts w:hint="eastAsia" w:ascii="宋体" w:hAnsi="宋体" w:cs="宋体"/>
                <w:bCs/>
                <w:sz w:val="20"/>
                <w:szCs w:val="20"/>
                <w:highlight w:val="none"/>
              </w:rPr>
              <w:t>14</w:t>
            </w:r>
          </w:p>
        </w:tc>
        <w:tc>
          <w:tcPr>
            <w:tcW w:w="3715" w:type="dxa"/>
            <w:vAlign w:val="center"/>
          </w:tcPr>
          <w:p>
            <w:pPr>
              <w:pStyle w:val="56"/>
              <w:overflowPunct w:val="0"/>
              <w:spacing w:line="0" w:lineRule="atLeast"/>
              <w:jc w:val="center"/>
              <w:rPr>
                <w:rFonts w:ascii="宋体" w:hAnsi="宋体" w:cs="宋体"/>
                <w:bCs/>
                <w:spacing w:val="-8"/>
                <w:sz w:val="20"/>
                <w:szCs w:val="20"/>
                <w:highlight w:val="none"/>
              </w:rPr>
            </w:pPr>
            <w:r>
              <w:rPr>
                <w:rFonts w:hint="eastAsia" w:ascii="宋体" w:hAnsi="宋体" w:cs="宋体"/>
                <w:bCs/>
                <w:spacing w:val="-8"/>
                <w:sz w:val="20"/>
                <w:szCs w:val="20"/>
                <w:highlight w:val="none"/>
              </w:rPr>
              <w:t>毛利润</w:t>
            </w:r>
          </w:p>
        </w:tc>
        <w:tc>
          <w:tcPr>
            <w:tcW w:w="1082" w:type="dxa"/>
            <w:vAlign w:val="center"/>
          </w:tcPr>
          <w:p>
            <w:pPr>
              <w:pStyle w:val="56"/>
              <w:overflowPunct w:val="0"/>
              <w:spacing w:line="0" w:lineRule="atLeast"/>
              <w:ind w:firstLine="567"/>
              <w:rPr>
                <w:rFonts w:ascii="宋体" w:hAnsi="宋体" w:cs="宋体"/>
                <w:bCs/>
                <w:sz w:val="20"/>
                <w:szCs w:val="20"/>
                <w:highlight w:val="none"/>
              </w:rPr>
            </w:pPr>
          </w:p>
        </w:tc>
        <w:tc>
          <w:tcPr>
            <w:tcW w:w="2936" w:type="dxa"/>
            <w:vAlign w:val="center"/>
          </w:tcPr>
          <w:p>
            <w:pPr>
              <w:pStyle w:val="56"/>
              <w:overflowPunct w:val="0"/>
              <w:spacing w:line="0" w:lineRule="atLeast"/>
              <w:ind w:firstLine="567"/>
              <w:rPr>
                <w:rFonts w:ascii="宋体" w:hAnsi="宋体" w:cs="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1371" w:type="dxa"/>
            <w:vAlign w:val="center"/>
          </w:tcPr>
          <w:p>
            <w:pPr>
              <w:pStyle w:val="56"/>
              <w:overflowPunct w:val="0"/>
              <w:spacing w:line="0" w:lineRule="atLeast"/>
              <w:jc w:val="center"/>
              <w:rPr>
                <w:rFonts w:ascii="宋体" w:hAnsi="宋体" w:cs="宋体"/>
                <w:bCs/>
                <w:sz w:val="20"/>
                <w:szCs w:val="20"/>
                <w:highlight w:val="none"/>
              </w:rPr>
            </w:pPr>
            <w:r>
              <w:rPr>
                <w:rFonts w:hint="eastAsia" w:ascii="宋体" w:hAnsi="宋体" w:cs="宋体"/>
                <w:bCs/>
                <w:sz w:val="20"/>
                <w:szCs w:val="20"/>
                <w:highlight w:val="none"/>
              </w:rPr>
              <w:t>15</w:t>
            </w:r>
          </w:p>
        </w:tc>
        <w:tc>
          <w:tcPr>
            <w:tcW w:w="3715" w:type="dxa"/>
            <w:vAlign w:val="center"/>
          </w:tcPr>
          <w:p>
            <w:pPr>
              <w:pStyle w:val="56"/>
              <w:overflowPunct w:val="0"/>
              <w:spacing w:line="0" w:lineRule="atLeast"/>
              <w:jc w:val="center"/>
              <w:rPr>
                <w:rFonts w:ascii="宋体" w:hAnsi="宋体" w:cs="宋体"/>
                <w:bCs/>
                <w:spacing w:val="-8"/>
                <w:sz w:val="20"/>
                <w:szCs w:val="20"/>
                <w:highlight w:val="none"/>
              </w:rPr>
            </w:pPr>
            <w:r>
              <w:rPr>
                <w:rFonts w:hint="eastAsia" w:ascii="宋体" w:hAnsi="宋体" w:cs="宋体"/>
                <w:bCs/>
                <w:spacing w:val="-8"/>
                <w:sz w:val="20"/>
                <w:szCs w:val="20"/>
                <w:highlight w:val="none"/>
              </w:rPr>
              <w:t>税金及附加</w:t>
            </w:r>
          </w:p>
        </w:tc>
        <w:tc>
          <w:tcPr>
            <w:tcW w:w="1082" w:type="dxa"/>
            <w:vAlign w:val="center"/>
          </w:tcPr>
          <w:p>
            <w:pPr>
              <w:pStyle w:val="56"/>
              <w:overflowPunct w:val="0"/>
              <w:spacing w:line="0" w:lineRule="atLeast"/>
              <w:ind w:firstLine="567"/>
              <w:rPr>
                <w:rFonts w:ascii="宋体" w:hAnsi="宋体" w:cs="宋体"/>
                <w:bCs/>
                <w:sz w:val="20"/>
                <w:szCs w:val="20"/>
                <w:highlight w:val="none"/>
              </w:rPr>
            </w:pPr>
          </w:p>
        </w:tc>
        <w:tc>
          <w:tcPr>
            <w:tcW w:w="2936" w:type="dxa"/>
            <w:vAlign w:val="center"/>
          </w:tcPr>
          <w:p>
            <w:pPr>
              <w:pStyle w:val="56"/>
              <w:overflowPunct w:val="0"/>
              <w:spacing w:line="0" w:lineRule="atLeast"/>
              <w:ind w:firstLine="567"/>
              <w:rPr>
                <w:rFonts w:ascii="宋体" w:hAnsi="宋体" w:cs="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1371" w:type="dxa"/>
            <w:vAlign w:val="center"/>
          </w:tcPr>
          <w:p>
            <w:pPr>
              <w:pStyle w:val="56"/>
              <w:overflowPunct w:val="0"/>
              <w:spacing w:line="0" w:lineRule="atLeast"/>
              <w:jc w:val="center"/>
              <w:rPr>
                <w:rFonts w:ascii="宋体" w:hAnsi="宋体" w:cs="宋体"/>
                <w:bCs/>
                <w:sz w:val="20"/>
                <w:szCs w:val="20"/>
                <w:highlight w:val="none"/>
              </w:rPr>
            </w:pPr>
            <w:r>
              <w:rPr>
                <w:rFonts w:hint="eastAsia" w:ascii="宋体" w:hAnsi="宋体" w:cs="宋体"/>
                <w:bCs/>
                <w:sz w:val="20"/>
                <w:szCs w:val="20"/>
                <w:highlight w:val="none"/>
              </w:rPr>
              <w:t>16</w:t>
            </w:r>
          </w:p>
        </w:tc>
        <w:tc>
          <w:tcPr>
            <w:tcW w:w="3715" w:type="dxa"/>
            <w:vAlign w:val="center"/>
          </w:tcPr>
          <w:p>
            <w:pPr>
              <w:pStyle w:val="56"/>
              <w:overflowPunct w:val="0"/>
              <w:spacing w:line="0" w:lineRule="atLeast"/>
              <w:jc w:val="center"/>
              <w:rPr>
                <w:rFonts w:ascii="宋体" w:hAnsi="宋体" w:cs="宋体"/>
                <w:bCs/>
                <w:spacing w:val="-8"/>
                <w:sz w:val="20"/>
                <w:szCs w:val="20"/>
                <w:highlight w:val="none"/>
              </w:rPr>
            </w:pPr>
            <w:r>
              <w:rPr>
                <w:rFonts w:hint="eastAsia" w:ascii="宋体" w:hAnsi="宋体" w:cs="宋体"/>
                <w:bCs/>
                <w:spacing w:val="-8"/>
                <w:sz w:val="20"/>
                <w:szCs w:val="20"/>
                <w:highlight w:val="none"/>
              </w:rPr>
              <w:t>所得税</w:t>
            </w:r>
          </w:p>
        </w:tc>
        <w:tc>
          <w:tcPr>
            <w:tcW w:w="1082" w:type="dxa"/>
            <w:vAlign w:val="center"/>
          </w:tcPr>
          <w:p>
            <w:pPr>
              <w:pStyle w:val="56"/>
              <w:overflowPunct w:val="0"/>
              <w:spacing w:line="0" w:lineRule="atLeast"/>
              <w:ind w:firstLine="567"/>
              <w:rPr>
                <w:rFonts w:ascii="宋体" w:hAnsi="宋体" w:cs="宋体"/>
                <w:bCs/>
                <w:sz w:val="20"/>
                <w:szCs w:val="20"/>
                <w:highlight w:val="none"/>
              </w:rPr>
            </w:pPr>
          </w:p>
        </w:tc>
        <w:tc>
          <w:tcPr>
            <w:tcW w:w="2936" w:type="dxa"/>
            <w:vAlign w:val="center"/>
          </w:tcPr>
          <w:p>
            <w:pPr>
              <w:pStyle w:val="56"/>
              <w:overflowPunct w:val="0"/>
              <w:spacing w:line="0" w:lineRule="atLeast"/>
              <w:ind w:firstLine="567"/>
              <w:rPr>
                <w:rFonts w:ascii="宋体" w:hAnsi="宋体" w:cs="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jc w:val="center"/>
        </w:trPr>
        <w:tc>
          <w:tcPr>
            <w:tcW w:w="1371" w:type="dxa"/>
            <w:vMerge w:val="restart"/>
            <w:vAlign w:val="center"/>
          </w:tcPr>
          <w:p>
            <w:pPr>
              <w:pStyle w:val="56"/>
              <w:overflowPunct w:val="0"/>
              <w:spacing w:beforeLines="50"/>
              <w:jc w:val="center"/>
              <w:rPr>
                <w:rFonts w:ascii="宋体" w:hAnsi="宋体" w:cs="宋体"/>
                <w:bCs/>
                <w:sz w:val="20"/>
                <w:szCs w:val="20"/>
                <w:highlight w:val="none"/>
              </w:rPr>
            </w:pPr>
            <w:r>
              <w:rPr>
                <w:rFonts w:hint="eastAsia" w:ascii="宋体" w:hAnsi="宋体" w:cs="宋体"/>
                <w:bCs/>
                <w:sz w:val="20"/>
                <w:szCs w:val="20"/>
                <w:highlight w:val="none"/>
              </w:rPr>
              <w:t>17</w:t>
            </w:r>
          </w:p>
        </w:tc>
        <w:tc>
          <w:tcPr>
            <w:tcW w:w="3715" w:type="dxa"/>
          </w:tcPr>
          <w:p>
            <w:pPr>
              <w:pStyle w:val="56"/>
              <w:overflowPunct w:val="0"/>
              <w:spacing w:line="0" w:lineRule="atLeast"/>
              <w:jc w:val="center"/>
              <w:rPr>
                <w:rFonts w:ascii="宋体" w:hAnsi="宋体" w:cs="宋体"/>
                <w:bCs/>
                <w:spacing w:val="-34"/>
                <w:sz w:val="20"/>
                <w:szCs w:val="20"/>
                <w:highlight w:val="none"/>
              </w:rPr>
            </w:pPr>
            <w:r>
              <w:rPr>
                <w:rFonts w:hint="eastAsia" w:ascii="宋体" w:hAnsi="宋体" w:cs="宋体"/>
                <w:bCs/>
                <w:sz w:val="20"/>
                <w:szCs w:val="20"/>
                <w:highlight w:val="none"/>
              </w:rPr>
              <w:t>全费用运营成本</w:t>
            </w:r>
            <w:r>
              <w:rPr>
                <w:rFonts w:hint="eastAsia" w:ascii="宋体" w:hAnsi="宋体" w:cs="宋体"/>
                <w:bCs/>
                <w:spacing w:val="-34"/>
                <w:sz w:val="20"/>
                <w:szCs w:val="20"/>
                <w:highlight w:val="none"/>
              </w:rPr>
              <w:t>（以上1-16项之和）</w:t>
            </w:r>
          </w:p>
        </w:tc>
        <w:tc>
          <w:tcPr>
            <w:tcW w:w="1082" w:type="dxa"/>
            <w:vAlign w:val="center"/>
          </w:tcPr>
          <w:p>
            <w:pPr>
              <w:pStyle w:val="56"/>
              <w:overflowPunct w:val="0"/>
              <w:spacing w:line="0" w:lineRule="atLeast"/>
              <w:ind w:firstLine="567"/>
              <w:rPr>
                <w:rFonts w:ascii="宋体" w:hAnsi="宋体" w:cs="宋体"/>
                <w:bCs/>
                <w:sz w:val="20"/>
                <w:szCs w:val="20"/>
                <w:highlight w:val="none"/>
              </w:rPr>
            </w:pPr>
          </w:p>
        </w:tc>
        <w:tc>
          <w:tcPr>
            <w:tcW w:w="2936" w:type="dxa"/>
            <w:vAlign w:val="center"/>
          </w:tcPr>
          <w:p>
            <w:pPr>
              <w:pStyle w:val="56"/>
              <w:overflowPunct w:val="0"/>
              <w:spacing w:line="0" w:lineRule="atLeast"/>
              <w:ind w:firstLine="567"/>
              <w:rPr>
                <w:rFonts w:ascii="宋体" w:hAnsi="宋体" w:cs="宋体"/>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1371" w:type="dxa"/>
            <w:vMerge w:val="continue"/>
            <w:vAlign w:val="center"/>
          </w:tcPr>
          <w:p>
            <w:pPr>
              <w:pStyle w:val="56"/>
              <w:overflowPunct w:val="0"/>
              <w:spacing w:beforeLines="50"/>
              <w:ind w:firstLine="567"/>
              <w:jc w:val="center"/>
              <w:rPr>
                <w:rFonts w:ascii="宋体" w:hAnsi="宋体" w:cs="宋体"/>
                <w:bCs/>
                <w:sz w:val="20"/>
                <w:szCs w:val="20"/>
                <w:highlight w:val="none"/>
              </w:rPr>
            </w:pPr>
          </w:p>
        </w:tc>
        <w:tc>
          <w:tcPr>
            <w:tcW w:w="3715" w:type="dxa"/>
            <w:vAlign w:val="center"/>
          </w:tcPr>
          <w:p>
            <w:pPr>
              <w:pStyle w:val="56"/>
              <w:overflowPunct w:val="0"/>
              <w:spacing w:line="0" w:lineRule="atLeast"/>
              <w:jc w:val="center"/>
              <w:rPr>
                <w:rFonts w:ascii="宋体" w:hAnsi="宋体" w:cs="宋体"/>
                <w:bCs/>
                <w:sz w:val="20"/>
                <w:szCs w:val="20"/>
                <w:highlight w:val="none"/>
              </w:rPr>
            </w:pPr>
            <w:r>
              <w:rPr>
                <w:rFonts w:hint="eastAsia" w:ascii="宋体" w:hAnsi="宋体" w:cs="宋体"/>
                <w:bCs/>
                <w:sz w:val="20"/>
                <w:szCs w:val="20"/>
                <w:highlight w:val="none"/>
              </w:rPr>
              <w:t>其中：</w:t>
            </w:r>
          </w:p>
          <w:p>
            <w:pPr>
              <w:pStyle w:val="56"/>
              <w:overflowPunct w:val="0"/>
              <w:spacing w:line="0" w:lineRule="atLeast"/>
              <w:jc w:val="center"/>
              <w:rPr>
                <w:rFonts w:ascii="宋体" w:hAnsi="宋体" w:cs="宋体"/>
                <w:bCs/>
                <w:sz w:val="20"/>
                <w:szCs w:val="20"/>
                <w:highlight w:val="none"/>
              </w:rPr>
            </w:pPr>
            <w:r>
              <w:rPr>
                <w:rFonts w:hint="eastAsia" w:ascii="宋体" w:hAnsi="宋体" w:cs="宋体"/>
                <w:bCs/>
                <w:sz w:val="20"/>
                <w:szCs w:val="20"/>
                <w:highlight w:val="none"/>
              </w:rPr>
              <w:t>① 可变成本</w:t>
            </w:r>
          </w:p>
        </w:tc>
        <w:tc>
          <w:tcPr>
            <w:tcW w:w="1082" w:type="dxa"/>
            <w:vAlign w:val="center"/>
          </w:tcPr>
          <w:p>
            <w:pPr>
              <w:pStyle w:val="56"/>
              <w:overflowPunct w:val="0"/>
              <w:spacing w:line="0" w:lineRule="atLeast"/>
              <w:ind w:firstLine="567"/>
              <w:rPr>
                <w:rFonts w:ascii="宋体" w:hAnsi="宋体" w:cs="宋体"/>
                <w:bCs/>
                <w:sz w:val="20"/>
                <w:szCs w:val="20"/>
                <w:highlight w:val="none"/>
              </w:rPr>
            </w:pPr>
          </w:p>
        </w:tc>
        <w:tc>
          <w:tcPr>
            <w:tcW w:w="2936" w:type="dxa"/>
            <w:vAlign w:val="center"/>
          </w:tcPr>
          <w:p>
            <w:pPr>
              <w:pStyle w:val="56"/>
              <w:overflowPunct w:val="0"/>
              <w:spacing w:line="0" w:lineRule="atLeast"/>
              <w:rPr>
                <w:rFonts w:ascii="宋体" w:hAnsi="宋体" w:cs="宋体"/>
                <w:bCs/>
                <w:spacing w:val="-28"/>
                <w:sz w:val="20"/>
                <w:szCs w:val="20"/>
                <w:highlight w:val="none"/>
              </w:rPr>
            </w:pPr>
            <w:r>
              <w:rPr>
                <w:rFonts w:hint="eastAsia" w:ascii="宋体" w:hAnsi="宋体" w:cs="宋体"/>
                <w:bCs/>
                <w:sz w:val="20"/>
                <w:szCs w:val="20"/>
                <w:highlight w:val="none"/>
              </w:rPr>
              <w:t>本表成本项中</w:t>
            </w:r>
            <w:r>
              <w:rPr>
                <w:rFonts w:hint="eastAsia" w:ascii="宋体" w:hAnsi="宋体" w:cs="宋体"/>
                <w:bCs/>
                <w:spacing w:val="-28"/>
                <w:sz w:val="20"/>
                <w:szCs w:val="20"/>
                <w:highlight w:val="none"/>
              </w:rPr>
              <w:t>（1+3+6+11+12+13+15+17+18+19）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1371" w:type="dxa"/>
            <w:vMerge w:val="continue"/>
            <w:vAlign w:val="center"/>
          </w:tcPr>
          <w:p>
            <w:pPr>
              <w:pStyle w:val="56"/>
              <w:overflowPunct w:val="0"/>
              <w:spacing w:beforeLines="50"/>
              <w:ind w:firstLine="567"/>
              <w:jc w:val="center"/>
              <w:rPr>
                <w:rFonts w:ascii="宋体" w:hAnsi="宋体" w:cs="宋体"/>
                <w:bCs/>
                <w:sz w:val="20"/>
                <w:szCs w:val="20"/>
                <w:highlight w:val="none"/>
              </w:rPr>
            </w:pPr>
          </w:p>
        </w:tc>
        <w:tc>
          <w:tcPr>
            <w:tcW w:w="3715" w:type="dxa"/>
            <w:vAlign w:val="center"/>
          </w:tcPr>
          <w:p>
            <w:pPr>
              <w:pStyle w:val="56"/>
              <w:overflowPunct w:val="0"/>
              <w:spacing w:line="0" w:lineRule="atLeast"/>
              <w:jc w:val="center"/>
              <w:rPr>
                <w:rFonts w:ascii="宋体" w:hAnsi="宋体" w:cs="宋体"/>
                <w:bCs/>
                <w:sz w:val="20"/>
                <w:szCs w:val="20"/>
                <w:highlight w:val="none"/>
              </w:rPr>
            </w:pPr>
            <w:r>
              <w:rPr>
                <w:rFonts w:hint="eastAsia" w:ascii="宋体" w:hAnsi="宋体" w:cs="宋体"/>
                <w:bCs/>
                <w:sz w:val="20"/>
                <w:szCs w:val="20"/>
                <w:highlight w:val="none"/>
              </w:rPr>
              <w:t>② 固定成本</w:t>
            </w:r>
          </w:p>
        </w:tc>
        <w:tc>
          <w:tcPr>
            <w:tcW w:w="1082" w:type="dxa"/>
            <w:vAlign w:val="center"/>
          </w:tcPr>
          <w:p>
            <w:pPr>
              <w:pStyle w:val="56"/>
              <w:overflowPunct w:val="0"/>
              <w:spacing w:line="0" w:lineRule="atLeast"/>
              <w:ind w:firstLine="567"/>
              <w:rPr>
                <w:rFonts w:ascii="宋体" w:hAnsi="宋体" w:cs="宋体"/>
                <w:bCs/>
                <w:sz w:val="20"/>
                <w:szCs w:val="20"/>
                <w:highlight w:val="none"/>
              </w:rPr>
            </w:pPr>
          </w:p>
        </w:tc>
        <w:tc>
          <w:tcPr>
            <w:tcW w:w="2936" w:type="dxa"/>
            <w:vAlign w:val="center"/>
          </w:tcPr>
          <w:p>
            <w:pPr>
              <w:pStyle w:val="56"/>
              <w:overflowPunct w:val="0"/>
              <w:spacing w:line="0" w:lineRule="atLeast"/>
              <w:rPr>
                <w:rFonts w:ascii="宋体" w:hAnsi="宋体" w:cs="宋体"/>
                <w:bCs/>
                <w:sz w:val="20"/>
                <w:szCs w:val="20"/>
                <w:highlight w:val="none"/>
              </w:rPr>
            </w:pPr>
            <w:r>
              <w:rPr>
                <w:rFonts w:hint="eastAsia" w:ascii="宋体" w:hAnsi="宋体" w:cs="宋体"/>
                <w:bCs/>
                <w:sz w:val="20"/>
                <w:szCs w:val="20"/>
                <w:highlight w:val="none"/>
              </w:rPr>
              <w:t>本表成本项中</w:t>
            </w:r>
          </w:p>
          <w:p>
            <w:pPr>
              <w:pStyle w:val="56"/>
              <w:overflowPunct w:val="0"/>
              <w:spacing w:line="0" w:lineRule="atLeast"/>
              <w:rPr>
                <w:rFonts w:ascii="宋体" w:hAnsi="宋体" w:cs="宋体"/>
                <w:bCs/>
                <w:spacing w:val="-20"/>
                <w:sz w:val="20"/>
                <w:szCs w:val="20"/>
                <w:highlight w:val="none"/>
              </w:rPr>
            </w:pPr>
            <w:r>
              <w:rPr>
                <w:rFonts w:hint="eastAsia" w:ascii="宋体" w:hAnsi="宋体" w:cs="宋体"/>
                <w:bCs/>
                <w:spacing w:val="-20"/>
                <w:sz w:val="20"/>
                <w:szCs w:val="20"/>
                <w:highlight w:val="none"/>
              </w:rPr>
              <w:t>(</w:t>
            </w:r>
            <w:r>
              <w:rPr>
                <w:rFonts w:hint="eastAsia" w:ascii="宋体" w:hAnsi="宋体" w:cs="宋体"/>
                <w:bCs/>
                <w:spacing w:val="-28"/>
                <w:sz w:val="20"/>
                <w:szCs w:val="20"/>
                <w:highlight w:val="none"/>
              </w:rPr>
              <w:t>2+4+5+7+8+9+10+14+16）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jc w:val="center"/>
        </w:trPr>
        <w:tc>
          <w:tcPr>
            <w:tcW w:w="1371" w:type="dxa"/>
            <w:vAlign w:val="center"/>
          </w:tcPr>
          <w:p>
            <w:pPr>
              <w:pStyle w:val="56"/>
              <w:overflowPunct w:val="0"/>
              <w:spacing w:beforeLines="50"/>
              <w:jc w:val="center"/>
              <w:rPr>
                <w:rFonts w:ascii="宋体" w:hAnsi="宋体" w:cs="宋体"/>
                <w:bCs/>
                <w:sz w:val="20"/>
                <w:szCs w:val="20"/>
                <w:highlight w:val="none"/>
              </w:rPr>
            </w:pPr>
            <w:r>
              <w:rPr>
                <w:rFonts w:hint="eastAsia" w:ascii="宋体" w:hAnsi="宋体" w:cs="宋体"/>
                <w:bCs/>
                <w:sz w:val="20"/>
                <w:szCs w:val="20"/>
                <w:highlight w:val="none"/>
              </w:rPr>
              <w:t>18</w:t>
            </w:r>
          </w:p>
        </w:tc>
        <w:tc>
          <w:tcPr>
            <w:tcW w:w="3715" w:type="dxa"/>
          </w:tcPr>
          <w:p>
            <w:pPr>
              <w:pStyle w:val="56"/>
              <w:overflowPunct w:val="0"/>
              <w:spacing w:line="0" w:lineRule="atLeast"/>
              <w:jc w:val="center"/>
              <w:rPr>
                <w:rFonts w:ascii="宋体" w:hAnsi="宋体" w:cs="宋体"/>
                <w:bCs/>
                <w:sz w:val="20"/>
                <w:szCs w:val="20"/>
                <w:highlight w:val="none"/>
              </w:rPr>
            </w:pPr>
            <w:r>
              <w:rPr>
                <w:rFonts w:hint="eastAsia" w:ascii="宋体" w:hAnsi="宋体" w:cs="宋体"/>
                <w:bCs/>
                <w:sz w:val="20"/>
                <w:szCs w:val="20"/>
                <w:highlight w:val="none"/>
              </w:rPr>
              <w:t>运营服务费全费用综合单价</w:t>
            </w:r>
          </w:p>
          <w:p>
            <w:pPr>
              <w:pStyle w:val="56"/>
              <w:overflowPunct w:val="0"/>
              <w:spacing w:line="0" w:lineRule="atLeast"/>
              <w:jc w:val="center"/>
              <w:rPr>
                <w:rFonts w:ascii="宋体" w:hAnsi="宋体" w:cs="宋体"/>
                <w:bCs/>
                <w:sz w:val="20"/>
                <w:szCs w:val="20"/>
                <w:highlight w:val="none"/>
              </w:rPr>
            </w:pPr>
            <w:r>
              <w:rPr>
                <w:rFonts w:hint="eastAsia" w:ascii="宋体" w:hAnsi="宋体" w:cs="宋体"/>
                <w:bCs/>
                <w:sz w:val="20"/>
                <w:szCs w:val="20"/>
                <w:highlight w:val="none"/>
              </w:rPr>
              <w:t>（元/立方米）</w:t>
            </w:r>
          </w:p>
        </w:tc>
        <w:tc>
          <w:tcPr>
            <w:tcW w:w="1082" w:type="dxa"/>
            <w:vAlign w:val="center"/>
          </w:tcPr>
          <w:p>
            <w:pPr>
              <w:pStyle w:val="56"/>
              <w:overflowPunct w:val="0"/>
              <w:spacing w:line="0" w:lineRule="atLeast"/>
              <w:ind w:firstLine="567"/>
              <w:rPr>
                <w:rFonts w:ascii="宋体" w:hAnsi="宋体" w:cs="宋体"/>
                <w:bCs/>
                <w:sz w:val="20"/>
                <w:szCs w:val="20"/>
                <w:highlight w:val="none"/>
              </w:rPr>
            </w:pPr>
          </w:p>
        </w:tc>
        <w:tc>
          <w:tcPr>
            <w:tcW w:w="2936" w:type="dxa"/>
            <w:vAlign w:val="center"/>
          </w:tcPr>
          <w:p>
            <w:pPr>
              <w:pStyle w:val="56"/>
              <w:overflowPunct w:val="0"/>
              <w:spacing w:line="0" w:lineRule="atLeast"/>
              <w:rPr>
                <w:rFonts w:ascii="宋体" w:hAnsi="宋体" w:cs="宋体"/>
                <w:bCs/>
                <w:sz w:val="20"/>
                <w:szCs w:val="20"/>
                <w:highlight w:val="none"/>
              </w:rPr>
            </w:pPr>
            <w:r>
              <w:rPr>
                <w:rFonts w:hint="eastAsia" w:ascii="宋体" w:hAnsi="宋体" w:cs="宋体"/>
                <w:bCs/>
                <w:sz w:val="20"/>
                <w:szCs w:val="20"/>
                <w:highlight w:val="none"/>
              </w:rPr>
              <w:t>运营服务费全费用综合单价=年总运营成本/年污水处理总量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371" w:type="dxa"/>
            <w:vAlign w:val="center"/>
          </w:tcPr>
          <w:p>
            <w:pPr>
              <w:pStyle w:val="56"/>
              <w:overflowPunct w:val="0"/>
              <w:spacing w:beforeLines="50"/>
              <w:jc w:val="center"/>
              <w:rPr>
                <w:rFonts w:ascii="宋体" w:hAnsi="宋体" w:cs="宋体"/>
                <w:bCs/>
                <w:sz w:val="20"/>
                <w:szCs w:val="20"/>
                <w:highlight w:val="none"/>
              </w:rPr>
            </w:pPr>
            <w:r>
              <w:rPr>
                <w:rFonts w:hint="eastAsia" w:ascii="宋体" w:hAnsi="宋体" w:cs="宋体"/>
                <w:bCs/>
                <w:sz w:val="20"/>
                <w:szCs w:val="20"/>
                <w:highlight w:val="none"/>
              </w:rPr>
              <w:t>19</w:t>
            </w:r>
          </w:p>
        </w:tc>
        <w:tc>
          <w:tcPr>
            <w:tcW w:w="3715" w:type="dxa"/>
          </w:tcPr>
          <w:p>
            <w:pPr>
              <w:pStyle w:val="56"/>
              <w:overflowPunct w:val="0"/>
              <w:spacing w:line="0" w:lineRule="atLeast"/>
              <w:jc w:val="center"/>
              <w:rPr>
                <w:rFonts w:ascii="宋体" w:hAnsi="宋体" w:cs="宋体"/>
                <w:bCs/>
                <w:sz w:val="20"/>
                <w:szCs w:val="20"/>
                <w:highlight w:val="none"/>
              </w:rPr>
            </w:pPr>
            <w:r>
              <w:rPr>
                <w:rFonts w:hint="eastAsia" w:ascii="宋体" w:hAnsi="宋体" w:cs="宋体"/>
                <w:bCs/>
                <w:sz w:val="20"/>
                <w:szCs w:val="20"/>
                <w:highlight w:val="none"/>
              </w:rPr>
              <w:t>运营服务费可变单价</w:t>
            </w:r>
          </w:p>
          <w:p>
            <w:pPr>
              <w:pStyle w:val="56"/>
              <w:overflowPunct w:val="0"/>
              <w:spacing w:line="0" w:lineRule="atLeast"/>
              <w:jc w:val="center"/>
              <w:rPr>
                <w:rFonts w:ascii="宋体" w:hAnsi="宋体" w:cs="宋体"/>
                <w:bCs/>
                <w:sz w:val="20"/>
                <w:szCs w:val="20"/>
                <w:highlight w:val="none"/>
              </w:rPr>
            </w:pPr>
            <w:r>
              <w:rPr>
                <w:rFonts w:hint="eastAsia" w:ascii="宋体" w:hAnsi="宋体" w:cs="宋体"/>
                <w:bCs/>
                <w:sz w:val="20"/>
                <w:szCs w:val="20"/>
                <w:highlight w:val="none"/>
              </w:rPr>
              <w:t>（元/立方米）</w:t>
            </w:r>
          </w:p>
        </w:tc>
        <w:tc>
          <w:tcPr>
            <w:tcW w:w="1082" w:type="dxa"/>
            <w:vAlign w:val="center"/>
          </w:tcPr>
          <w:p>
            <w:pPr>
              <w:pStyle w:val="56"/>
              <w:overflowPunct w:val="0"/>
              <w:spacing w:line="0" w:lineRule="atLeast"/>
              <w:ind w:firstLine="567"/>
              <w:rPr>
                <w:rFonts w:ascii="宋体" w:hAnsi="宋体" w:cs="宋体"/>
                <w:bCs/>
                <w:sz w:val="20"/>
                <w:szCs w:val="20"/>
                <w:highlight w:val="none"/>
              </w:rPr>
            </w:pPr>
          </w:p>
        </w:tc>
        <w:tc>
          <w:tcPr>
            <w:tcW w:w="2936" w:type="dxa"/>
            <w:vAlign w:val="center"/>
          </w:tcPr>
          <w:p>
            <w:pPr>
              <w:pStyle w:val="56"/>
              <w:overflowPunct w:val="0"/>
              <w:spacing w:line="0" w:lineRule="atLeast"/>
              <w:rPr>
                <w:rFonts w:ascii="宋体" w:hAnsi="宋体" w:cs="宋体"/>
                <w:bCs/>
                <w:sz w:val="20"/>
                <w:szCs w:val="20"/>
                <w:highlight w:val="none"/>
              </w:rPr>
            </w:pPr>
            <w:r>
              <w:rPr>
                <w:rFonts w:hint="eastAsia" w:ascii="宋体" w:hAnsi="宋体" w:cs="宋体"/>
                <w:bCs/>
                <w:sz w:val="20"/>
                <w:szCs w:val="20"/>
                <w:highlight w:val="none"/>
              </w:rPr>
              <w:t>运营服务费可变单价=年总可变成本/年污水处理总量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1371" w:type="dxa"/>
            <w:vAlign w:val="center"/>
          </w:tcPr>
          <w:p>
            <w:pPr>
              <w:pStyle w:val="56"/>
              <w:overflowPunct w:val="0"/>
              <w:spacing w:beforeLines="50"/>
              <w:jc w:val="center"/>
              <w:rPr>
                <w:rFonts w:ascii="宋体" w:hAnsi="宋体" w:cs="宋体"/>
                <w:bCs/>
                <w:sz w:val="20"/>
                <w:szCs w:val="20"/>
                <w:highlight w:val="none"/>
              </w:rPr>
            </w:pPr>
            <w:r>
              <w:rPr>
                <w:rFonts w:hint="eastAsia" w:ascii="宋体" w:hAnsi="宋体" w:cs="宋体"/>
                <w:bCs/>
                <w:sz w:val="20"/>
                <w:szCs w:val="20"/>
                <w:highlight w:val="none"/>
              </w:rPr>
              <w:t>20</w:t>
            </w:r>
          </w:p>
        </w:tc>
        <w:tc>
          <w:tcPr>
            <w:tcW w:w="3715" w:type="dxa"/>
          </w:tcPr>
          <w:p>
            <w:pPr>
              <w:pStyle w:val="56"/>
              <w:overflowPunct w:val="0"/>
              <w:spacing w:line="0" w:lineRule="atLeast"/>
              <w:jc w:val="center"/>
              <w:rPr>
                <w:rFonts w:ascii="宋体" w:hAnsi="宋体" w:cs="宋体"/>
                <w:bCs/>
                <w:sz w:val="20"/>
                <w:szCs w:val="20"/>
                <w:highlight w:val="none"/>
              </w:rPr>
            </w:pPr>
            <w:r>
              <w:rPr>
                <w:rFonts w:hint="eastAsia" w:ascii="宋体" w:hAnsi="宋体" w:cs="宋体"/>
                <w:bCs/>
                <w:sz w:val="20"/>
                <w:szCs w:val="20"/>
                <w:highlight w:val="none"/>
              </w:rPr>
              <w:t>运营服务费固定单价</w:t>
            </w:r>
          </w:p>
          <w:p>
            <w:pPr>
              <w:pStyle w:val="56"/>
              <w:overflowPunct w:val="0"/>
              <w:spacing w:line="0" w:lineRule="atLeast"/>
              <w:jc w:val="center"/>
              <w:rPr>
                <w:rFonts w:ascii="宋体" w:hAnsi="宋体" w:cs="宋体"/>
                <w:bCs/>
                <w:sz w:val="20"/>
                <w:szCs w:val="20"/>
                <w:highlight w:val="none"/>
              </w:rPr>
            </w:pPr>
            <w:r>
              <w:rPr>
                <w:rFonts w:hint="eastAsia" w:ascii="宋体" w:hAnsi="宋体" w:cs="宋体"/>
                <w:bCs/>
                <w:sz w:val="20"/>
                <w:szCs w:val="20"/>
                <w:highlight w:val="none"/>
              </w:rPr>
              <w:t>（元/立方米）</w:t>
            </w:r>
          </w:p>
        </w:tc>
        <w:tc>
          <w:tcPr>
            <w:tcW w:w="1082" w:type="dxa"/>
            <w:vAlign w:val="center"/>
          </w:tcPr>
          <w:p>
            <w:pPr>
              <w:pStyle w:val="56"/>
              <w:overflowPunct w:val="0"/>
              <w:spacing w:line="0" w:lineRule="atLeast"/>
              <w:ind w:firstLine="567"/>
              <w:rPr>
                <w:rFonts w:ascii="宋体" w:hAnsi="宋体" w:cs="宋体"/>
                <w:bCs/>
                <w:sz w:val="20"/>
                <w:szCs w:val="20"/>
                <w:highlight w:val="none"/>
              </w:rPr>
            </w:pPr>
          </w:p>
        </w:tc>
        <w:tc>
          <w:tcPr>
            <w:tcW w:w="2936" w:type="dxa"/>
            <w:vAlign w:val="center"/>
          </w:tcPr>
          <w:p>
            <w:pPr>
              <w:pStyle w:val="56"/>
              <w:overflowPunct w:val="0"/>
              <w:spacing w:line="0" w:lineRule="atLeast"/>
              <w:rPr>
                <w:rFonts w:ascii="宋体" w:hAnsi="宋体" w:cs="宋体"/>
                <w:bCs/>
                <w:sz w:val="20"/>
                <w:szCs w:val="20"/>
                <w:highlight w:val="none"/>
              </w:rPr>
            </w:pPr>
            <w:r>
              <w:rPr>
                <w:rFonts w:hint="eastAsia" w:ascii="宋体" w:hAnsi="宋体" w:cs="宋体"/>
                <w:bCs/>
                <w:sz w:val="20"/>
                <w:szCs w:val="20"/>
                <w:highlight w:val="none"/>
              </w:rPr>
              <w:t>运营服务费固定单价=年总固定成本/年污水处理总量</w:t>
            </w:r>
          </w:p>
        </w:tc>
      </w:tr>
    </w:tbl>
    <w:p>
      <w:pPr>
        <w:pStyle w:val="56"/>
        <w:overflowPunct w:val="0"/>
        <w:spacing w:beforeLines="50"/>
        <w:ind w:firstLine="567"/>
        <w:rPr>
          <w:rFonts w:ascii="宋体" w:hAnsi="宋体" w:cs="宋体"/>
          <w:bCs/>
          <w:sz w:val="20"/>
          <w:szCs w:val="20"/>
          <w:highlight w:val="none"/>
        </w:rPr>
      </w:pPr>
      <w:r>
        <w:rPr>
          <w:rFonts w:hint="eastAsia" w:ascii="宋体" w:hAnsi="宋体" w:cs="宋体"/>
          <w:bCs/>
          <w:sz w:val="20"/>
          <w:szCs w:val="20"/>
          <w:highlight w:val="none"/>
        </w:rPr>
        <w:t>注：年污水处理总量 = 365×该污水处理厂项目日处理规模</w:t>
      </w:r>
    </w:p>
    <w:p>
      <w:pPr>
        <w:pStyle w:val="56"/>
        <w:spacing w:beforeLines="50"/>
        <w:rPr>
          <w:rFonts w:ascii="宋体" w:hAnsi="宋体" w:cs="宋体"/>
          <w:bCs/>
          <w:sz w:val="20"/>
          <w:szCs w:val="20"/>
          <w:highlight w:val="none"/>
        </w:rPr>
      </w:pPr>
      <w:r>
        <w:rPr>
          <w:rFonts w:hint="eastAsia" w:ascii="宋体" w:hAnsi="宋体" w:cs="宋体"/>
          <w:bCs/>
          <w:sz w:val="20"/>
          <w:szCs w:val="20"/>
          <w:highlight w:val="none"/>
        </w:rPr>
        <w:t>（三）衢州市衢江区集镇污水处理厂运营服务费全费用综合单价构成表</w:t>
      </w:r>
    </w:p>
    <w:tbl>
      <w:tblPr>
        <w:tblStyle w:val="25"/>
        <w:tblW w:w="9113" w:type="dxa"/>
        <w:tblInd w:w="330" w:type="dxa"/>
        <w:tblLayout w:type="fixed"/>
        <w:tblCellMar>
          <w:top w:w="0" w:type="dxa"/>
          <w:left w:w="108" w:type="dxa"/>
          <w:bottom w:w="0" w:type="dxa"/>
          <w:right w:w="108" w:type="dxa"/>
        </w:tblCellMar>
      </w:tblPr>
      <w:tblGrid>
        <w:gridCol w:w="888"/>
        <w:gridCol w:w="1447"/>
        <w:gridCol w:w="1763"/>
        <w:gridCol w:w="1794"/>
        <w:gridCol w:w="3221"/>
      </w:tblGrid>
      <w:tr>
        <w:tblPrEx>
          <w:tblCellMar>
            <w:top w:w="0" w:type="dxa"/>
            <w:left w:w="108" w:type="dxa"/>
            <w:bottom w:w="0" w:type="dxa"/>
            <w:right w:w="108" w:type="dxa"/>
          </w:tblCellMar>
        </w:tblPrEx>
        <w:trPr>
          <w:cantSplit/>
          <w:trHeight w:val="835" w:hRule="atLeast"/>
        </w:trPr>
        <w:tc>
          <w:tcPr>
            <w:tcW w:w="888" w:type="dxa"/>
            <w:tcBorders>
              <w:top w:val="single" w:color="auto" w:sz="4" w:space="0"/>
              <w:left w:val="single" w:color="auto" w:sz="4" w:space="0"/>
              <w:bottom w:val="single" w:color="000000" w:sz="4" w:space="0"/>
              <w:right w:val="single" w:color="auto" w:sz="4" w:space="0"/>
            </w:tcBorders>
            <w:vAlign w:val="center"/>
          </w:tcPr>
          <w:p>
            <w:pPr>
              <w:pStyle w:val="56"/>
              <w:spacing w:line="0" w:lineRule="atLeast"/>
              <w:jc w:val="center"/>
              <w:rPr>
                <w:rFonts w:ascii="宋体" w:hAnsi="宋体" w:cs="宋体"/>
                <w:bCs/>
                <w:sz w:val="20"/>
                <w:szCs w:val="20"/>
                <w:highlight w:val="none"/>
              </w:rPr>
            </w:pPr>
            <w:r>
              <w:rPr>
                <w:rFonts w:hint="eastAsia" w:ascii="宋体" w:hAnsi="宋体" w:cs="宋体"/>
                <w:bCs/>
                <w:sz w:val="20"/>
                <w:szCs w:val="20"/>
                <w:highlight w:val="none"/>
              </w:rPr>
              <w:t>序号</w:t>
            </w:r>
          </w:p>
        </w:tc>
        <w:tc>
          <w:tcPr>
            <w:tcW w:w="1447" w:type="dxa"/>
            <w:tcBorders>
              <w:top w:val="single" w:color="auto" w:sz="4" w:space="0"/>
              <w:left w:val="single" w:color="auto" w:sz="4" w:space="0"/>
              <w:bottom w:val="single" w:color="auto" w:sz="4" w:space="0"/>
              <w:right w:val="single" w:color="000000" w:sz="4" w:space="0"/>
            </w:tcBorders>
            <w:vAlign w:val="center"/>
          </w:tcPr>
          <w:p>
            <w:pPr>
              <w:pStyle w:val="56"/>
              <w:spacing w:line="0" w:lineRule="atLeast"/>
              <w:jc w:val="center"/>
              <w:rPr>
                <w:rFonts w:ascii="宋体" w:hAnsi="宋体" w:cs="宋体"/>
                <w:bCs/>
                <w:sz w:val="20"/>
                <w:szCs w:val="20"/>
                <w:highlight w:val="none"/>
              </w:rPr>
            </w:pPr>
            <w:r>
              <w:rPr>
                <w:rFonts w:hint="eastAsia" w:ascii="宋体" w:hAnsi="宋体" w:cs="宋体"/>
                <w:bCs/>
                <w:sz w:val="20"/>
                <w:szCs w:val="20"/>
                <w:highlight w:val="none"/>
              </w:rPr>
              <w:t>项目名称</w:t>
            </w:r>
          </w:p>
        </w:tc>
        <w:tc>
          <w:tcPr>
            <w:tcW w:w="1763" w:type="dxa"/>
            <w:tcBorders>
              <w:top w:val="single" w:color="auto" w:sz="4" w:space="0"/>
              <w:left w:val="single" w:color="auto" w:sz="4" w:space="0"/>
              <w:bottom w:val="single" w:color="auto" w:sz="4" w:space="0"/>
              <w:right w:val="single" w:color="000000" w:sz="4" w:space="0"/>
            </w:tcBorders>
            <w:vAlign w:val="center"/>
          </w:tcPr>
          <w:p>
            <w:pPr>
              <w:pStyle w:val="56"/>
              <w:spacing w:line="0" w:lineRule="atLeast"/>
              <w:jc w:val="center"/>
              <w:rPr>
                <w:rFonts w:ascii="宋体" w:hAnsi="宋体" w:cs="宋体"/>
                <w:bCs/>
                <w:sz w:val="20"/>
                <w:szCs w:val="20"/>
                <w:highlight w:val="none"/>
              </w:rPr>
            </w:pPr>
            <w:r>
              <w:rPr>
                <w:rFonts w:hint="eastAsia" w:ascii="宋体" w:hAnsi="宋体" w:cs="宋体"/>
                <w:bCs/>
                <w:sz w:val="20"/>
                <w:szCs w:val="20"/>
                <w:highlight w:val="none"/>
              </w:rPr>
              <w:t>单位金额</w:t>
            </w:r>
          </w:p>
          <w:p>
            <w:pPr>
              <w:pStyle w:val="56"/>
              <w:spacing w:line="0" w:lineRule="atLeast"/>
              <w:jc w:val="center"/>
              <w:rPr>
                <w:rFonts w:ascii="宋体" w:hAnsi="宋体" w:cs="宋体"/>
                <w:bCs/>
                <w:sz w:val="20"/>
                <w:szCs w:val="20"/>
                <w:highlight w:val="none"/>
              </w:rPr>
            </w:pPr>
            <w:r>
              <w:rPr>
                <w:rFonts w:hint="eastAsia" w:ascii="宋体" w:hAnsi="宋体" w:cs="宋体"/>
                <w:bCs/>
                <w:sz w:val="20"/>
                <w:szCs w:val="20"/>
                <w:highlight w:val="none"/>
              </w:rPr>
              <w:t>（元/立方米）</w:t>
            </w:r>
          </w:p>
        </w:tc>
        <w:tc>
          <w:tcPr>
            <w:tcW w:w="1794" w:type="dxa"/>
            <w:tcBorders>
              <w:top w:val="single" w:color="auto" w:sz="4" w:space="0"/>
              <w:left w:val="nil"/>
              <w:bottom w:val="single" w:color="auto" w:sz="4" w:space="0"/>
              <w:right w:val="single" w:color="auto" w:sz="4" w:space="0"/>
            </w:tcBorders>
            <w:vAlign w:val="center"/>
          </w:tcPr>
          <w:p>
            <w:pPr>
              <w:pStyle w:val="56"/>
              <w:spacing w:line="0" w:lineRule="atLeast"/>
              <w:jc w:val="center"/>
              <w:rPr>
                <w:rFonts w:ascii="宋体" w:hAnsi="宋体" w:cs="宋体"/>
                <w:bCs/>
                <w:sz w:val="20"/>
                <w:szCs w:val="20"/>
                <w:highlight w:val="none"/>
              </w:rPr>
            </w:pPr>
            <w:r>
              <w:rPr>
                <w:rFonts w:hint="eastAsia" w:ascii="宋体" w:hAnsi="宋体" w:cs="宋体"/>
                <w:bCs/>
                <w:sz w:val="20"/>
                <w:szCs w:val="20"/>
                <w:highlight w:val="none"/>
              </w:rPr>
              <w:t>占单价的比例（%）</w:t>
            </w:r>
          </w:p>
        </w:tc>
        <w:tc>
          <w:tcPr>
            <w:tcW w:w="3221" w:type="dxa"/>
            <w:vMerge w:val="restart"/>
            <w:tcBorders>
              <w:top w:val="single" w:color="auto" w:sz="4" w:space="0"/>
              <w:left w:val="single" w:color="auto" w:sz="4" w:space="0"/>
              <w:right w:val="single" w:color="auto" w:sz="4" w:space="0"/>
            </w:tcBorders>
          </w:tcPr>
          <w:p>
            <w:pPr>
              <w:pStyle w:val="56"/>
              <w:spacing w:line="0" w:lineRule="atLeast"/>
              <w:rPr>
                <w:rFonts w:ascii="宋体" w:hAnsi="宋体" w:cs="宋体"/>
                <w:bCs/>
                <w:sz w:val="20"/>
                <w:szCs w:val="20"/>
                <w:highlight w:val="none"/>
              </w:rPr>
            </w:pPr>
            <w:r>
              <w:rPr>
                <w:rFonts w:hint="eastAsia" w:ascii="宋体" w:hAnsi="宋体" w:cs="宋体"/>
                <w:bCs/>
                <w:sz w:val="20"/>
                <w:szCs w:val="20"/>
                <w:highlight w:val="none"/>
              </w:rPr>
              <w:t>计算方法及原则</w:t>
            </w:r>
          </w:p>
          <w:p>
            <w:pPr>
              <w:pStyle w:val="56"/>
              <w:spacing w:line="0" w:lineRule="atLeast"/>
              <w:rPr>
                <w:rFonts w:ascii="宋体" w:hAnsi="宋体" w:cs="宋体"/>
                <w:bCs/>
                <w:sz w:val="20"/>
                <w:szCs w:val="20"/>
                <w:highlight w:val="none"/>
              </w:rPr>
            </w:pPr>
            <w:r>
              <w:rPr>
                <w:rFonts w:hint="eastAsia" w:ascii="宋体" w:hAnsi="宋体" w:cs="宋体"/>
                <w:bCs/>
                <w:sz w:val="20"/>
                <w:szCs w:val="20"/>
                <w:highlight w:val="none"/>
              </w:rPr>
              <w:t>1、取《衢州市衢江区集镇污水处理厂）日常运营维护成本费用表》中各项值金额和年污水处理量Q= 365×0.79；</w:t>
            </w:r>
          </w:p>
          <w:p>
            <w:pPr>
              <w:pStyle w:val="56"/>
              <w:spacing w:line="0" w:lineRule="atLeast"/>
              <w:rPr>
                <w:rFonts w:ascii="宋体" w:hAnsi="宋体" w:cs="宋体"/>
                <w:bCs/>
                <w:sz w:val="20"/>
                <w:szCs w:val="20"/>
                <w:highlight w:val="none"/>
              </w:rPr>
            </w:pPr>
            <w:r>
              <w:rPr>
                <w:rFonts w:hint="eastAsia" w:ascii="宋体" w:hAnsi="宋体" w:cs="宋体"/>
                <w:bCs/>
                <w:sz w:val="20"/>
                <w:szCs w:val="20"/>
                <w:highlight w:val="none"/>
              </w:rPr>
              <w:t>2、求出各成本分项所占单位金额，将各分项值分别填入左表第三列前十七项中；</w:t>
            </w:r>
          </w:p>
          <w:p>
            <w:pPr>
              <w:pStyle w:val="56"/>
              <w:spacing w:line="0" w:lineRule="atLeast"/>
              <w:rPr>
                <w:rFonts w:ascii="宋体" w:hAnsi="宋体" w:cs="宋体"/>
                <w:bCs/>
                <w:sz w:val="20"/>
                <w:szCs w:val="20"/>
                <w:highlight w:val="none"/>
              </w:rPr>
            </w:pPr>
            <w:r>
              <w:rPr>
                <w:rFonts w:hint="eastAsia" w:ascii="宋体" w:hAnsi="宋体" w:cs="宋体"/>
                <w:bCs/>
                <w:sz w:val="20"/>
                <w:szCs w:val="20"/>
                <w:highlight w:val="none"/>
              </w:rPr>
              <w:t>3、将运营服务费全费用综合单价（即报价）填入左表第三列第十八项中；</w:t>
            </w:r>
          </w:p>
          <w:p>
            <w:pPr>
              <w:pStyle w:val="56"/>
              <w:spacing w:line="0" w:lineRule="atLeast"/>
              <w:rPr>
                <w:rFonts w:ascii="宋体" w:hAnsi="宋体" w:cs="宋体"/>
                <w:bCs/>
                <w:sz w:val="20"/>
                <w:szCs w:val="20"/>
                <w:highlight w:val="none"/>
              </w:rPr>
            </w:pPr>
            <w:r>
              <w:rPr>
                <w:rFonts w:hint="eastAsia" w:ascii="宋体" w:hAnsi="宋体" w:cs="宋体"/>
                <w:bCs/>
                <w:sz w:val="20"/>
                <w:szCs w:val="20"/>
                <w:highlight w:val="none"/>
              </w:rPr>
              <w:t>4、财务费用为每年流动资金贷款利息分摊至运营服务费全费用综合单价中的数额；</w:t>
            </w:r>
          </w:p>
          <w:p>
            <w:pPr>
              <w:pStyle w:val="56"/>
              <w:spacing w:line="0" w:lineRule="atLeast"/>
              <w:rPr>
                <w:rFonts w:ascii="宋体" w:hAnsi="宋体" w:cs="宋体"/>
                <w:bCs/>
                <w:sz w:val="20"/>
                <w:szCs w:val="20"/>
                <w:highlight w:val="none"/>
              </w:rPr>
            </w:pPr>
            <w:r>
              <w:rPr>
                <w:rFonts w:hint="eastAsia" w:ascii="宋体" w:hAnsi="宋体" w:cs="宋体"/>
                <w:bCs/>
                <w:sz w:val="20"/>
                <w:szCs w:val="20"/>
                <w:highlight w:val="none"/>
              </w:rPr>
              <w:t>5、将左表第三列的数值除以运营服务费全费用综合单价，将得数之百分值填入左表第四列。</w:t>
            </w:r>
          </w:p>
        </w:tc>
      </w:tr>
      <w:tr>
        <w:tblPrEx>
          <w:tblCellMar>
            <w:top w:w="0" w:type="dxa"/>
            <w:left w:w="108" w:type="dxa"/>
            <w:bottom w:w="0" w:type="dxa"/>
            <w:right w:w="108" w:type="dxa"/>
          </w:tblCellMar>
        </w:tblPrEx>
        <w:trPr>
          <w:cantSplit/>
          <w:trHeight w:val="450" w:hRule="atLeast"/>
        </w:trPr>
        <w:tc>
          <w:tcPr>
            <w:tcW w:w="888" w:type="dxa"/>
            <w:tcBorders>
              <w:top w:val="nil"/>
              <w:left w:val="single" w:color="auto" w:sz="4" w:space="0"/>
              <w:bottom w:val="single" w:color="auto" w:sz="4" w:space="0"/>
              <w:right w:val="single" w:color="auto" w:sz="4" w:space="0"/>
            </w:tcBorders>
            <w:vAlign w:val="center"/>
          </w:tcPr>
          <w:p>
            <w:pPr>
              <w:pStyle w:val="56"/>
              <w:spacing w:line="0" w:lineRule="atLeast"/>
              <w:jc w:val="center"/>
              <w:rPr>
                <w:rFonts w:ascii="宋体" w:hAnsi="宋体" w:cs="宋体"/>
                <w:bCs/>
                <w:sz w:val="20"/>
                <w:szCs w:val="20"/>
                <w:highlight w:val="none"/>
              </w:rPr>
            </w:pPr>
            <w:r>
              <w:rPr>
                <w:rFonts w:hint="eastAsia" w:ascii="宋体" w:hAnsi="宋体" w:cs="宋体"/>
                <w:bCs/>
                <w:sz w:val="20"/>
                <w:szCs w:val="20"/>
                <w:highlight w:val="none"/>
              </w:rPr>
              <w:t>1</w:t>
            </w:r>
          </w:p>
        </w:tc>
        <w:tc>
          <w:tcPr>
            <w:tcW w:w="1447" w:type="dxa"/>
            <w:tcBorders>
              <w:top w:val="single" w:color="auto" w:sz="4" w:space="0"/>
              <w:left w:val="nil"/>
              <w:bottom w:val="single" w:color="auto" w:sz="4" w:space="0"/>
              <w:right w:val="single" w:color="auto" w:sz="4" w:space="0"/>
            </w:tcBorders>
            <w:vAlign w:val="center"/>
          </w:tcPr>
          <w:p>
            <w:pPr>
              <w:pStyle w:val="56"/>
              <w:overflowPunct w:val="0"/>
              <w:spacing w:line="0" w:lineRule="atLeast"/>
              <w:jc w:val="center"/>
              <w:rPr>
                <w:rFonts w:ascii="宋体" w:hAnsi="宋体" w:cs="宋体"/>
                <w:bCs/>
                <w:sz w:val="20"/>
                <w:szCs w:val="20"/>
                <w:highlight w:val="none"/>
              </w:rPr>
            </w:pPr>
            <w:r>
              <w:rPr>
                <w:rFonts w:hint="eastAsia" w:ascii="宋体" w:hAnsi="宋体" w:cs="宋体"/>
                <w:bCs/>
                <w:sz w:val="20"/>
                <w:szCs w:val="20"/>
                <w:highlight w:val="none"/>
              </w:rPr>
              <w:t>工资福利费</w:t>
            </w:r>
          </w:p>
        </w:tc>
        <w:tc>
          <w:tcPr>
            <w:tcW w:w="1763" w:type="dxa"/>
            <w:tcBorders>
              <w:top w:val="single" w:color="auto" w:sz="4" w:space="0"/>
              <w:left w:val="single" w:color="auto" w:sz="4" w:space="0"/>
              <w:bottom w:val="single" w:color="auto" w:sz="4" w:space="0"/>
              <w:right w:val="single" w:color="auto" w:sz="4" w:space="0"/>
            </w:tcBorders>
            <w:vAlign w:val="center"/>
          </w:tcPr>
          <w:p>
            <w:pPr>
              <w:pStyle w:val="56"/>
              <w:spacing w:line="0" w:lineRule="atLeast"/>
              <w:ind w:firstLine="567"/>
              <w:rPr>
                <w:rFonts w:ascii="宋体" w:hAnsi="宋体" w:cs="宋体"/>
                <w:bCs/>
                <w:sz w:val="20"/>
                <w:szCs w:val="20"/>
                <w:highlight w:val="none"/>
              </w:rPr>
            </w:pPr>
          </w:p>
        </w:tc>
        <w:tc>
          <w:tcPr>
            <w:tcW w:w="1794" w:type="dxa"/>
            <w:tcBorders>
              <w:top w:val="single" w:color="auto" w:sz="4" w:space="0"/>
              <w:left w:val="single" w:color="auto" w:sz="4" w:space="0"/>
              <w:bottom w:val="single" w:color="auto" w:sz="4" w:space="0"/>
              <w:right w:val="single" w:color="auto" w:sz="4" w:space="0"/>
            </w:tcBorders>
            <w:vAlign w:val="center"/>
          </w:tcPr>
          <w:p>
            <w:pPr>
              <w:pStyle w:val="56"/>
              <w:spacing w:line="0" w:lineRule="atLeast"/>
              <w:ind w:firstLine="567"/>
              <w:rPr>
                <w:rFonts w:ascii="宋体" w:hAnsi="宋体" w:cs="宋体"/>
                <w:bCs/>
                <w:sz w:val="20"/>
                <w:szCs w:val="20"/>
                <w:highlight w:val="none"/>
              </w:rPr>
            </w:pPr>
          </w:p>
        </w:tc>
        <w:tc>
          <w:tcPr>
            <w:tcW w:w="3221" w:type="dxa"/>
            <w:vMerge w:val="continue"/>
            <w:tcBorders>
              <w:left w:val="single" w:color="auto" w:sz="4" w:space="0"/>
              <w:right w:val="single" w:color="auto" w:sz="4" w:space="0"/>
            </w:tcBorders>
            <w:vAlign w:val="center"/>
          </w:tcPr>
          <w:p>
            <w:pPr>
              <w:pStyle w:val="56"/>
              <w:spacing w:line="0" w:lineRule="atLeast"/>
              <w:ind w:firstLine="567"/>
              <w:rPr>
                <w:rFonts w:ascii="宋体" w:hAnsi="宋体" w:cs="宋体"/>
                <w:bCs/>
                <w:sz w:val="20"/>
                <w:szCs w:val="20"/>
                <w:highlight w:val="none"/>
              </w:rPr>
            </w:pPr>
          </w:p>
        </w:tc>
      </w:tr>
      <w:tr>
        <w:tblPrEx>
          <w:tblCellMar>
            <w:top w:w="0" w:type="dxa"/>
            <w:left w:w="108" w:type="dxa"/>
            <w:bottom w:w="0" w:type="dxa"/>
            <w:right w:w="108" w:type="dxa"/>
          </w:tblCellMar>
        </w:tblPrEx>
        <w:trPr>
          <w:cantSplit/>
          <w:trHeight w:val="450" w:hRule="atLeast"/>
        </w:trPr>
        <w:tc>
          <w:tcPr>
            <w:tcW w:w="888" w:type="dxa"/>
            <w:tcBorders>
              <w:top w:val="single" w:color="auto" w:sz="4" w:space="0"/>
              <w:left w:val="single" w:color="auto" w:sz="4" w:space="0"/>
              <w:bottom w:val="single" w:color="auto" w:sz="4" w:space="0"/>
              <w:right w:val="single" w:color="auto" w:sz="4" w:space="0"/>
            </w:tcBorders>
            <w:vAlign w:val="center"/>
          </w:tcPr>
          <w:p>
            <w:pPr>
              <w:pStyle w:val="56"/>
              <w:spacing w:line="0" w:lineRule="atLeast"/>
              <w:jc w:val="center"/>
              <w:rPr>
                <w:rFonts w:ascii="宋体" w:hAnsi="宋体" w:cs="宋体"/>
                <w:bCs/>
                <w:sz w:val="20"/>
                <w:szCs w:val="20"/>
                <w:highlight w:val="none"/>
              </w:rPr>
            </w:pPr>
            <w:r>
              <w:rPr>
                <w:rFonts w:hint="eastAsia" w:ascii="宋体" w:hAnsi="宋体" w:cs="宋体"/>
                <w:bCs/>
                <w:sz w:val="20"/>
                <w:szCs w:val="20"/>
                <w:highlight w:val="none"/>
              </w:rPr>
              <w:t>2</w:t>
            </w:r>
          </w:p>
        </w:tc>
        <w:tc>
          <w:tcPr>
            <w:tcW w:w="1447" w:type="dxa"/>
            <w:tcBorders>
              <w:top w:val="single" w:color="auto" w:sz="4" w:space="0"/>
              <w:left w:val="nil"/>
              <w:bottom w:val="single" w:color="auto" w:sz="4" w:space="0"/>
              <w:right w:val="single" w:color="auto" w:sz="4" w:space="0"/>
            </w:tcBorders>
            <w:vAlign w:val="center"/>
          </w:tcPr>
          <w:p>
            <w:pPr>
              <w:pStyle w:val="56"/>
              <w:overflowPunct w:val="0"/>
              <w:spacing w:line="0" w:lineRule="atLeast"/>
              <w:jc w:val="center"/>
              <w:rPr>
                <w:rFonts w:ascii="宋体" w:hAnsi="宋体" w:cs="宋体"/>
                <w:bCs/>
                <w:sz w:val="20"/>
                <w:szCs w:val="20"/>
                <w:highlight w:val="none"/>
              </w:rPr>
            </w:pPr>
            <w:r>
              <w:rPr>
                <w:rFonts w:hint="eastAsia" w:ascii="宋体" w:hAnsi="宋体" w:cs="宋体"/>
                <w:bCs/>
                <w:sz w:val="20"/>
                <w:szCs w:val="20"/>
                <w:highlight w:val="none"/>
              </w:rPr>
              <w:t>管理费</w:t>
            </w:r>
          </w:p>
        </w:tc>
        <w:tc>
          <w:tcPr>
            <w:tcW w:w="1763" w:type="dxa"/>
            <w:tcBorders>
              <w:top w:val="single" w:color="auto" w:sz="4" w:space="0"/>
              <w:left w:val="single" w:color="auto" w:sz="4" w:space="0"/>
              <w:bottom w:val="single" w:color="auto" w:sz="4" w:space="0"/>
              <w:right w:val="single" w:color="auto" w:sz="4" w:space="0"/>
            </w:tcBorders>
            <w:vAlign w:val="center"/>
          </w:tcPr>
          <w:p>
            <w:pPr>
              <w:pStyle w:val="56"/>
              <w:spacing w:line="0" w:lineRule="atLeast"/>
              <w:ind w:firstLine="567"/>
              <w:rPr>
                <w:rFonts w:ascii="宋体" w:hAnsi="宋体" w:cs="宋体"/>
                <w:bCs/>
                <w:sz w:val="20"/>
                <w:szCs w:val="20"/>
                <w:highlight w:val="none"/>
              </w:rPr>
            </w:pPr>
          </w:p>
        </w:tc>
        <w:tc>
          <w:tcPr>
            <w:tcW w:w="1794" w:type="dxa"/>
            <w:tcBorders>
              <w:top w:val="single" w:color="auto" w:sz="4" w:space="0"/>
              <w:left w:val="single" w:color="auto" w:sz="4" w:space="0"/>
              <w:bottom w:val="single" w:color="auto" w:sz="4" w:space="0"/>
              <w:right w:val="single" w:color="auto" w:sz="4" w:space="0"/>
            </w:tcBorders>
            <w:vAlign w:val="center"/>
          </w:tcPr>
          <w:p>
            <w:pPr>
              <w:pStyle w:val="56"/>
              <w:spacing w:line="0" w:lineRule="atLeast"/>
              <w:ind w:firstLine="567"/>
              <w:rPr>
                <w:rFonts w:ascii="宋体" w:hAnsi="宋体" w:cs="宋体"/>
                <w:bCs/>
                <w:sz w:val="20"/>
                <w:szCs w:val="20"/>
                <w:highlight w:val="none"/>
              </w:rPr>
            </w:pPr>
          </w:p>
        </w:tc>
        <w:tc>
          <w:tcPr>
            <w:tcW w:w="3221" w:type="dxa"/>
            <w:vMerge w:val="continue"/>
            <w:tcBorders>
              <w:left w:val="single" w:color="auto" w:sz="4" w:space="0"/>
              <w:right w:val="single" w:color="auto" w:sz="4" w:space="0"/>
            </w:tcBorders>
            <w:vAlign w:val="bottom"/>
          </w:tcPr>
          <w:p>
            <w:pPr>
              <w:pStyle w:val="56"/>
              <w:spacing w:line="0" w:lineRule="atLeast"/>
              <w:ind w:firstLine="567"/>
              <w:rPr>
                <w:rFonts w:ascii="宋体" w:hAnsi="宋体" w:cs="宋体"/>
                <w:bCs/>
                <w:sz w:val="20"/>
                <w:szCs w:val="20"/>
                <w:highlight w:val="none"/>
              </w:rPr>
            </w:pPr>
          </w:p>
        </w:tc>
      </w:tr>
      <w:tr>
        <w:tblPrEx>
          <w:tblCellMar>
            <w:top w:w="0" w:type="dxa"/>
            <w:left w:w="108" w:type="dxa"/>
            <w:bottom w:w="0" w:type="dxa"/>
            <w:right w:w="108" w:type="dxa"/>
          </w:tblCellMar>
        </w:tblPrEx>
        <w:trPr>
          <w:cantSplit/>
          <w:trHeight w:val="492" w:hRule="atLeast"/>
        </w:trPr>
        <w:tc>
          <w:tcPr>
            <w:tcW w:w="888" w:type="dxa"/>
            <w:tcBorders>
              <w:top w:val="nil"/>
              <w:left w:val="single" w:color="auto" w:sz="4" w:space="0"/>
              <w:bottom w:val="single" w:color="auto" w:sz="4" w:space="0"/>
              <w:right w:val="single" w:color="auto" w:sz="4" w:space="0"/>
            </w:tcBorders>
            <w:vAlign w:val="center"/>
          </w:tcPr>
          <w:p>
            <w:pPr>
              <w:pStyle w:val="56"/>
              <w:spacing w:line="0" w:lineRule="atLeast"/>
              <w:jc w:val="center"/>
              <w:rPr>
                <w:rFonts w:ascii="宋体" w:hAnsi="宋体" w:cs="宋体"/>
                <w:bCs/>
                <w:sz w:val="20"/>
                <w:szCs w:val="20"/>
                <w:highlight w:val="none"/>
              </w:rPr>
            </w:pPr>
            <w:r>
              <w:rPr>
                <w:rFonts w:hint="eastAsia" w:ascii="宋体" w:hAnsi="宋体" w:cs="宋体"/>
                <w:bCs/>
                <w:sz w:val="20"/>
                <w:szCs w:val="20"/>
                <w:highlight w:val="none"/>
              </w:rPr>
              <w:t>3</w:t>
            </w:r>
          </w:p>
        </w:tc>
        <w:tc>
          <w:tcPr>
            <w:tcW w:w="1447" w:type="dxa"/>
            <w:tcBorders>
              <w:top w:val="single" w:color="auto" w:sz="4" w:space="0"/>
              <w:left w:val="nil"/>
              <w:bottom w:val="single" w:color="auto" w:sz="4" w:space="0"/>
              <w:right w:val="single" w:color="auto" w:sz="4" w:space="0"/>
            </w:tcBorders>
            <w:vAlign w:val="center"/>
          </w:tcPr>
          <w:p>
            <w:pPr>
              <w:pStyle w:val="56"/>
              <w:overflowPunct w:val="0"/>
              <w:spacing w:line="0" w:lineRule="atLeast"/>
              <w:jc w:val="center"/>
              <w:rPr>
                <w:rFonts w:ascii="宋体" w:hAnsi="宋体" w:cs="宋体"/>
                <w:bCs/>
                <w:sz w:val="20"/>
                <w:szCs w:val="20"/>
                <w:highlight w:val="none"/>
              </w:rPr>
            </w:pPr>
            <w:r>
              <w:rPr>
                <w:rFonts w:hint="eastAsia" w:ascii="宋体" w:hAnsi="宋体" w:cs="宋体"/>
                <w:bCs/>
                <w:sz w:val="20"/>
                <w:szCs w:val="20"/>
                <w:highlight w:val="none"/>
              </w:rPr>
              <w:t>办公设备购置</w:t>
            </w:r>
          </w:p>
        </w:tc>
        <w:tc>
          <w:tcPr>
            <w:tcW w:w="1763" w:type="dxa"/>
            <w:tcBorders>
              <w:top w:val="single" w:color="auto" w:sz="4" w:space="0"/>
              <w:left w:val="single" w:color="auto" w:sz="4" w:space="0"/>
              <w:bottom w:val="single" w:color="auto" w:sz="4" w:space="0"/>
              <w:right w:val="single" w:color="auto" w:sz="4" w:space="0"/>
            </w:tcBorders>
            <w:vAlign w:val="center"/>
          </w:tcPr>
          <w:p>
            <w:pPr>
              <w:pStyle w:val="56"/>
              <w:spacing w:line="0" w:lineRule="atLeast"/>
              <w:ind w:firstLine="567"/>
              <w:rPr>
                <w:rFonts w:ascii="宋体" w:hAnsi="宋体" w:cs="宋体"/>
                <w:bCs/>
                <w:sz w:val="20"/>
                <w:szCs w:val="20"/>
                <w:highlight w:val="none"/>
              </w:rPr>
            </w:pPr>
          </w:p>
        </w:tc>
        <w:tc>
          <w:tcPr>
            <w:tcW w:w="1794" w:type="dxa"/>
            <w:tcBorders>
              <w:top w:val="single" w:color="auto" w:sz="4" w:space="0"/>
              <w:left w:val="single" w:color="auto" w:sz="4" w:space="0"/>
              <w:bottom w:val="single" w:color="auto" w:sz="4" w:space="0"/>
              <w:right w:val="single" w:color="auto" w:sz="4" w:space="0"/>
            </w:tcBorders>
            <w:vAlign w:val="center"/>
          </w:tcPr>
          <w:p>
            <w:pPr>
              <w:pStyle w:val="56"/>
              <w:spacing w:line="0" w:lineRule="atLeast"/>
              <w:ind w:firstLine="567"/>
              <w:rPr>
                <w:rFonts w:ascii="宋体" w:hAnsi="宋体" w:cs="宋体"/>
                <w:bCs/>
                <w:sz w:val="20"/>
                <w:szCs w:val="20"/>
                <w:highlight w:val="none"/>
              </w:rPr>
            </w:pPr>
          </w:p>
        </w:tc>
        <w:tc>
          <w:tcPr>
            <w:tcW w:w="3221" w:type="dxa"/>
            <w:vMerge w:val="continue"/>
            <w:tcBorders>
              <w:left w:val="single" w:color="auto" w:sz="4" w:space="0"/>
              <w:right w:val="single" w:color="auto" w:sz="4" w:space="0"/>
            </w:tcBorders>
            <w:vAlign w:val="bottom"/>
          </w:tcPr>
          <w:p>
            <w:pPr>
              <w:pStyle w:val="56"/>
              <w:spacing w:line="0" w:lineRule="atLeast"/>
              <w:ind w:firstLine="567"/>
              <w:rPr>
                <w:rFonts w:ascii="宋体" w:hAnsi="宋体" w:cs="宋体"/>
                <w:bCs/>
                <w:sz w:val="20"/>
                <w:szCs w:val="20"/>
                <w:highlight w:val="none"/>
              </w:rPr>
            </w:pPr>
          </w:p>
        </w:tc>
      </w:tr>
      <w:tr>
        <w:tblPrEx>
          <w:tblCellMar>
            <w:top w:w="0" w:type="dxa"/>
            <w:left w:w="108" w:type="dxa"/>
            <w:bottom w:w="0" w:type="dxa"/>
            <w:right w:w="108" w:type="dxa"/>
          </w:tblCellMar>
        </w:tblPrEx>
        <w:trPr>
          <w:cantSplit/>
          <w:trHeight w:val="465" w:hRule="atLeast"/>
        </w:trPr>
        <w:tc>
          <w:tcPr>
            <w:tcW w:w="888" w:type="dxa"/>
            <w:tcBorders>
              <w:top w:val="single" w:color="auto" w:sz="4" w:space="0"/>
              <w:left w:val="single" w:color="auto" w:sz="4" w:space="0"/>
              <w:bottom w:val="single" w:color="auto" w:sz="4" w:space="0"/>
              <w:right w:val="single" w:color="auto" w:sz="4" w:space="0"/>
            </w:tcBorders>
            <w:vAlign w:val="center"/>
          </w:tcPr>
          <w:p>
            <w:pPr>
              <w:pStyle w:val="56"/>
              <w:spacing w:line="0" w:lineRule="atLeast"/>
              <w:jc w:val="center"/>
              <w:rPr>
                <w:rFonts w:ascii="宋体" w:hAnsi="宋体" w:cs="宋体"/>
                <w:bCs/>
                <w:sz w:val="20"/>
                <w:szCs w:val="20"/>
                <w:highlight w:val="none"/>
              </w:rPr>
            </w:pPr>
            <w:r>
              <w:rPr>
                <w:rFonts w:hint="eastAsia" w:ascii="宋体" w:hAnsi="宋体" w:cs="宋体"/>
                <w:bCs/>
                <w:sz w:val="20"/>
                <w:szCs w:val="20"/>
                <w:highlight w:val="none"/>
              </w:rPr>
              <w:t>4</w:t>
            </w:r>
          </w:p>
        </w:tc>
        <w:tc>
          <w:tcPr>
            <w:tcW w:w="1447" w:type="dxa"/>
            <w:tcBorders>
              <w:top w:val="single" w:color="auto" w:sz="4" w:space="0"/>
              <w:left w:val="nil"/>
              <w:bottom w:val="single" w:color="auto" w:sz="4" w:space="0"/>
              <w:right w:val="single" w:color="auto" w:sz="4" w:space="0"/>
            </w:tcBorders>
            <w:vAlign w:val="center"/>
          </w:tcPr>
          <w:p>
            <w:pPr>
              <w:pStyle w:val="56"/>
              <w:overflowPunct w:val="0"/>
              <w:spacing w:line="0" w:lineRule="atLeast"/>
              <w:jc w:val="center"/>
              <w:rPr>
                <w:rFonts w:ascii="宋体" w:hAnsi="宋体" w:cs="宋体"/>
                <w:bCs/>
                <w:sz w:val="20"/>
                <w:szCs w:val="20"/>
                <w:highlight w:val="none"/>
              </w:rPr>
            </w:pPr>
            <w:r>
              <w:rPr>
                <w:rFonts w:hint="eastAsia" w:ascii="宋体" w:hAnsi="宋体" w:cs="宋体"/>
                <w:bCs/>
                <w:sz w:val="20"/>
                <w:szCs w:val="20"/>
                <w:highlight w:val="none"/>
              </w:rPr>
              <w:t>日常维护费</w:t>
            </w:r>
          </w:p>
        </w:tc>
        <w:tc>
          <w:tcPr>
            <w:tcW w:w="1763" w:type="dxa"/>
            <w:tcBorders>
              <w:top w:val="single" w:color="auto" w:sz="4" w:space="0"/>
              <w:left w:val="single" w:color="auto" w:sz="4" w:space="0"/>
              <w:bottom w:val="single" w:color="auto" w:sz="4" w:space="0"/>
              <w:right w:val="single" w:color="auto" w:sz="4" w:space="0"/>
            </w:tcBorders>
            <w:vAlign w:val="center"/>
          </w:tcPr>
          <w:p>
            <w:pPr>
              <w:pStyle w:val="56"/>
              <w:spacing w:line="0" w:lineRule="atLeast"/>
              <w:ind w:firstLine="567"/>
              <w:rPr>
                <w:rFonts w:ascii="宋体" w:hAnsi="宋体" w:cs="宋体"/>
                <w:bCs/>
                <w:sz w:val="20"/>
                <w:szCs w:val="20"/>
                <w:highlight w:val="none"/>
              </w:rPr>
            </w:pPr>
          </w:p>
        </w:tc>
        <w:tc>
          <w:tcPr>
            <w:tcW w:w="1794" w:type="dxa"/>
            <w:tcBorders>
              <w:top w:val="single" w:color="auto" w:sz="4" w:space="0"/>
              <w:left w:val="single" w:color="auto" w:sz="4" w:space="0"/>
              <w:bottom w:val="single" w:color="auto" w:sz="4" w:space="0"/>
              <w:right w:val="single" w:color="auto" w:sz="4" w:space="0"/>
            </w:tcBorders>
            <w:vAlign w:val="center"/>
          </w:tcPr>
          <w:p>
            <w:pPr>
              <w:pStyle w:val="56"/>
              <w:spacing w:line="0" w:lineRule="atLeast"/>
              <w:ind w:firstLine="567"/>
              <w:rPr>
                <w:rFonts w:ascii="宋体" w:hAnsi="宋体" w:cs="宋体"/>
                <w:bCs/>
                <w:sz w:val="20"/>
                <w:szCs w:val="20"/>
                <w:highlight w:val="none"/>
              </w:rPr>
            </w:pPr>
          </w:p>
        </w:tc>
        <w:tc>
          <w:tcPr>
            <w:tcW w:w="3221" w:type="dxa"/>
            <w:vMerge w:val="continue"/>
            <w:tcBorders>
              <w:left w:val="single" w:color="auto" w:sz="4" w:space="0"/>
              <w:right w:val="single" w:color="auto" w:sz="4" w:space="0"/>
            </w:tcBorders>
            <w:vAlign w:val="bottom"/>
          </w:tcPr>
          <w:p>
            <w:pPr>
              <w:pStyle w:val="56"/>
              <w:spacing w:line="0" w:lineRule="atLeast"/>
              <w:ind w:firstLine="567"/>
              <w:rPr>
                <w:rFonts w:ascii="宋体" w:hAnsi="宋体" w:cs="宋体"/>
                <w:bCs/>
                <w:sz w:val="20"/>
                <w:szCs w:val="20"/>
                <w:highlight w:val="none"/>
              </w:rPr>
            </w:pPr>
          </w:p>
        </w:tc>
      </w:tr>
      <w:tr>
        <w:tblPrEx>
          <w:tblCellMar>
            <w:top w:w="0" w:type="dxa"/>
            <w:left w:w="108" w:type="dxa"/>
            <w:bottom w:w="0" w:type="dxa"/>
            <w:right w:w="108" w:type="dxa"/>
          </w:tblCellMar>
        </w:tblPrEx>
        <w:trPr>
          <w:cantSplit/>
          <w:trHeight w:val="450" w:hRule="atLeast"/>
        </w:trPr>
        <w:tc>
          <w:tcPr>
            <w:tcW w:w="888" w:type="dxa"/>
            <w:tcBorders>
              <w:top w:val="single" w:color="auto" w:sz="4" w:space="0"/>
              <w:left w:val="single" w:color="auto" w:sz="4" w:space="0"/>
              <w:bottom w:val="single" w:color="auto" w:sz="4" w:space="0"/>
              <w:right w:val="single" w:color="auto" w:sz="4" w:space="0"/>
            </w:tcBorders>
            <w:vAlign w:val="center"/>
          </w:tcPr>
          <w:p>
            <w:pPr>
              <w:pStyle w:val="56"/>
              <w:spacing w:line="0" w:lineRule="atLeast"/>
              <w:jc w:val="center"/>
              <w:rPr>
                <w:rFonts w:ascii="宋体" w:hAnsi="宋体" w:cs="宋体"/>
                <w:bCs/>
                <w:sz w:val="20"/>
                <w:szCs w:val="20"/>
                <w:highlight w:val="none"/>
              </w:rPr>
            </w:pPr>
            <w:r>
              <w:rPr>
                <w:rFonts w:hint="eastAsia" w:ascii="宋体" w:hAnsi="宋体" w:cs="宋体"/>
                <w:bCs/>
                <w:sz w:val="20"/>
                <w:szCs w:val="20"/>
                <w:highlight w:val="none"/>
              </w:rPr>
              <w:t>5</w:t>
            </w:r>
          </w:p>
        </w:tc>
        <w:tc>
          <w:tcPr>
            <w:tcW w:w="1447" w:type="dxa"/>
            <w:tcBorders>
              <w:top w:val="single" w:color="auto" w:sz="4" w:space="0"/>
              <w:left w:val="nil"/>
              <w:bottom w:val="single" w:color="auto" w:sz="4" w:space="0"/>
              <w:right w:val="single" w:color="auto" w:sz="4" w:space="0"/>
            </w:tcBorders>
            <w:vAlign w:val="center"/>
          </w:tcPr>
          <w:p>
            <w:pPr>
              <w:pStyle w:val="56"/>
              <w:overflowPunct w:val="0"/>
              <w:spacing w:line="0" w:lineRule="atLeast"/>
              <w:jc w:val="center"/>
              <w:rPr>
                <w:rFonts w:ascii="宋体" w:hAnsi="宋体" w:cs="宋体"/>
                <w:bCs/>
                <w:sz w:val="20"/>
                <w:szCs w:val="20"/>
                <w:highlight w:val="none"/>
              </w:rPr>
            </w:pPr>
            <w:r>
              <w:rPr>
                <w:rFonts w:hint="eastAsia" w:ascii="宋体" w:hAnsi="宋体" w:cs="宋体"/>
                <w:bCs/>
                <w:sz w:val="20"/>
                <w:szCs w:val="20"/>
                <w:highlight w:val="none"/>
              </w:rPr>
              <w:t>检验费</w:t>
            </w:r>
          </w:p>
        </w:tc>
        <w:tc>
          <w:tcPr>
            <w:tcW w:w="1763" w:type="dxa"/>
            <w:tcBorders>
              <w:top w:val="single" w:color="auto" w:sz="4" w:space="0"/>
              <w:left w:val="single" w:color="auto" w:sz="4" w:space="0"/>
              <w:bottom w:val="single" w:color="auto" w:sz="4" w:space="0"/>
              <w:right w:val="single" w:color="auto" w:sz="4" w:space="0"/>
            </w:tcBorders>
            <w:vAlign w:val="center"/>
          </w:tcPr>
          <w:p>
            <w:pPr>
              <w:pStyle w:val="56"/>
              <w:spacing w:line="0" w:lineRule="atLeast"/>
              <w:ind w:firstLine="567"/>
              <w:rPr>
                <w:rFonts w:ascii="宋体" w:hAnsi="宋体" w:cs="宋体"/>
                <w:bCs/>
                <w:sz w:val="20"/>
                <w:szCs w:val="20"/>
                <w:highlight w:val="none"/>
              </w:rPr>
            </w:pPr>
          </w:p>
        </w:tc>
        <w:tc>
          <w:tcPr>
            <w:tcW w:w="1794" w:type="dxa"/>
            <w:tcBorders>
              <w:top w:val="single" w:color="auto" w:sz="4" w:space="0"/>
              <w:left w:val="single" w:color="auto" w:sz="4" w:space="0"/>
              <w:bottom w:val="single" w:color="auto" w:sz="4" w:space="0"/>
              <w:right w:val="single" w:color="auto" w:sz="4" w:space="0"/>
            </w:tcBorders>
            <w:vAlign w:val="center"/>
          </w:tcPr>
          <w:p>
            <w:pPr>
              <w:pStyle w:val="56"/>
              <w:spacing w:line="0" w:lineRule="atLeast"/>
              <w:ind w:firstLine="567"/>
              <w:rPr>
                <w:rFonts w:ascii="宋体" w:hAnsi="宋体" w:cs="宋体"/>
                <w:bCs/>
                <w:sz w:val="20"/>
                <w:szCs w:val="20"/>
                <w:highlight w:val="none"/>
              </w:rPr>
            </w:pPr>
          </w:p>
        </w:tc>
        <w:tc>
          <w:tcPr>
            <w:tcW w:w="3221" w:type="dxa"/>
            <w:vMerge w:val="continue"/>
            <w:tcBorders>
              <w:left w:val="single" w:color="auto" w:sz="4" w:space="0"/>
              <w:right w:val="single" w:color="auto" w:sz="4" w:space="0"/>
            </w:tcBorders>
            <w:vAlign w:val="bottom"/>
          </w:tcPr>
          <w:p>
            <w:pPr>
              <w:pStyle w:val="56"/>
              <w:spacing w:line="0" w:lineRule="atLeast"/>
              <w:ind w:firstLine="567"/>
              <w:rPr>
                <w:rFonts w:ascii="宋体" w:hAnsi="宋体" w:cs="宋体"/>
                <w:bCs/>
                <w:sz w:val="20"/>
                <w:szCs w:val="20"/>
                <w:highlight w:val="none"/>
              </w:rPr>
            </w:pPr>
          </w:p>
        </w:tc>
      </w:tr>
      <w:tr>
        <w:tblPrEx>
          <w:tblCellMar>
            <w:top w:w="0" w:type="dxa"/>
            <w:left w:w="108" w:type="dxa"/>
            <w:bottom w:w="0" w:type="dxa"/>
            <w:right w:w="108" w:type="dxa"/>
          </w:tblCellMar>
        </w:tblPrEx>
        <w:trPr>
          <w:cantSplit/>
          <w:trHeight w:val="450" w:hRule="atLeast"/>
        </w:trPr>
        <w:tc>
          <w:tcPr>
            <w:tcW w:w="888" w:type="dxa"/>
            <w:tcBorders>
              <w:top w:val="single" w:color="auto" w:sz="4" w:space="0"/>
              <w:left w:val="single" w:color="auto" w:sz="4" w:space="0"/>
              <w:bottom w:val="single" w:color="auto" w:sz="4" w:space="0"/>
              <w:right w:val="single" w:color="auto" w:sz="4" w:space="0"/>
            </w:tcBorders>
            <w:vAlign w:val="center"/>
          </w:tcPr>
          <w:p>
            <w:pPr>
              <w:pStyle w:val="56"/>
              <w:spacing w:line="0" w:lineRule="atLeast"/>
              <w:jc w:val="center"/>
              <w:rPr>
                <w:rFonts w:ascii="宋体" w:hAnsi="宋体" w:cs="宋体"/>
                <w:bCs/>
                <w:sz w:val="20"/>
                <w:szCs w:val="20"/>
                <w:highlight w:val="none"/>
              </w:rPr>
            </w:pPr>
            <w:r>
              <w:rPr>
                <w:rFonts w:hint="eastAsia" w:ascii="宋体" w:hAnsi="宋体" w:cs="宋体"/>
                <w:bCs/>
                <w:sz w:val="20"/>
                <w:szCs w:val="20"/>
                <w:highlight w:val="none"/>
              </w:rPr>
              <w:t>6</w:t>
            </w:r>
          </w:p>
        </w:tc>
        <w:tc>
          <w:tcPr>
            <w:tcW w:w="1447" w:type="dxa"/>
            <w:tcBorders>
              <w:top w:val="single" w:color="auto" w:sz="4" w:space="0"/>
              <w:left w:val="nil"/>
              <w:bottom w:val="single" w:color="auto" w:sz="4" w:space="0"/>
              <w:right w:val="single" w:color="auto" w:sz="4" w:space="0"/>
            </w:tcBorders>
            <w:vAlign w:val="center"/>
          </w:tcPr>
          <w:p>
            <w:pPr>
              <w:pStyle w:val="56"/>
              <w:overflowPunct w:val="0"/>
              <w:spacing w:line="0" w:lineRule="atLeast"/>
              <w:jc w:val="center"/>
              <w:rPr>
                <w:rFonts w:ascii="宋体" w:hAnsi="宋体" w:cs="宋体"/>
                <w:bCs/>
                <w:sz w:val="20"/>
                <w:szCs w:val="20"/>
                <w:highlight w:val="none"/>
              </w:rPr>
            </w:pPr>
            <w:r>
              <w:rPr>
                <w:rFonts w:hint="eastAsia" w:ascii="宋体" w:hAnsi="宋体" w:cs="宋体"/>
                <w:bCs/>
                <w:sz w:val="20"/>
                <w:szCs w:val="20"/>
                <w:highlight w:val="none"/>
              </w:rPr>
              <w:t>环保在线监测</w:t>
            </w:r>
          </w:p>
        </w:tc>
        <w:tc>
          <w:tcPr>
            <w:tcW w:w="1763" w:type="dxa"/>
            <w:tcBorders>
              <w:top w:val="single" w:color="auto" w:sz="4" w:space="0"/>
              <w:left w:val="single" w:color="auto" w:sz="4" w:space="0"/>
              <w:bottom w:val="single" w:color="auto" w:sz="4" w:space="0"/>
              <w:right w:val="single" w:color="auto" w:sz="4" w:space="0"/>
            </w:tcBorders>
            <w:vAlign w:val="center"/>
          </w:tcPr>
          <w:p>
            <w:pPr>
              <w:pStyle w:val="56"/>
              <w:spacing w:line="0" w:lineRule="atLeast"/>
              <w:ind w:firstLine="567"/>
              <w:rPr>
                <w:rFonts w:ascii="宋体" w:hAnsi="宋体" w:cs="宋体"/>
                <w:bCs/>
                <w:sz w:val="20"/>
                <w:szCs w:val="20"/>
                <w:highlight w:val="none"/>
              </w:rPr>
            </w:pPr>
          </w:p>
        </w:tc>
        <w:tc>
          <w:tcPr>
            <w:tcW w:w="1794" w:type="dxa"/>
            <w:tcBorders>
              <w:top w:val="single" w:color="auto" w:sz="4" w:space="0"/>
              <w:left w:val="single" w:color="auto" w:sz="4" w:space="0"/>
              <w:bottom w:val="single" w:color="auto" w:sz="4" w:space="0"/>
              <w:right w:val="single" w:color="auto" w:sz="4" w:space="0"/>
            </w:tcBorders>
            <w:vAlign w:val="center"/>
          </w:tcPr>
          <w:p>
            <w:pPr>
              <w:pStyle w:val="56"/>
              <w:spacing w:line="0" w:lineRule="atLeast"/>
              <w:ind w:firstLine="567"/>
              <w:rPr>
                <w:rFonts w:ascii="宋体" w:hAnsi="宋体" w:cs="宋体"/>
                <w:bCs/>
                <w:sz w:val="20"/>
                <w:szCs w:val="20"/>
                <w:highlight w:val="none"/>
              </w:rPr>
            </w:pPr>
          </w:p>
        </w:tc>
        <w:tc>
          <w:tcPr>
            <w:tcW w:w="3221" w:type="dxa"/>
            <w:vMerge w:val="continue"/>
            <w:tcBorders>
              <w:left w:val="single" w:color="auto" w:sz="4" w:space="0"/>
              <w:right w:val="single" w:color="auto" w:sz="4" w:space="0"/>
            </w:tcBorders>
            <w:vAlign w:val="bottom"/>
          </w:tcPr>
          <w:p>
            <w:pPr>
              <w:pStyle w:val="56"/>
              <w:spacing w:line="0" w:lineRule="atLeast"/>
              <w:ind w:firstLine="567"/>
              <w:rPr>
                <w:rFonts w:ascii="宋体" w:hAnsi="宋体" w:cs="宋体"/>
                <w:bCs/>
                <w:sz w:val="20"/>
                <w:szCs w:val="20"/>
                <w:highlight w:val="none"/>
              </w:rPr>
            </w:pPr>
          </w:p>
        </w:tc>
      </w:tr>
      <w:tr>
        <w:tblPrEx>
          <w:tblCellMar>
            <w:top w:w="0" w:type="dxa"/>
            <w:left w:w="108" w:type="dxa"/>
            <w:bottom w:w="0" w:type="dxa"/>
            <w:right w:w="108" w:type="dxa"/>
          </w:tblCellMar>
        </w:tblPrEx>
        <w:trPr>
          <w:cantSplit/>
          <w:trHeight w:val="474" w:hRule="atLeast"/>
        </w:trPr>
        <w:tc>
          <w:tcPr>
            <w:tcW w:w="888" w:type="dxa"/>
            <w:tcBorders>
              <w:top w:val="single" w:color="auto" w:sz="4" w:space="0"/>
              <w:left w:val="single" w:color="auto" w:sz="4" w:space="0"/>
              <w:bottom w:val="single" w:color="auto" w:sz="4" w:space="0"/>
              <w:right w:val="single" w:color="auto" w:sz="4" w:space="0"/>
            </w:tcBorders>
            <w:vAlign w:val="center"/>
          </w:tcPr>
          <w:p>
            <w:pPr>
              <w:pStyle w:val="56"/>
              <w:spacing w:line="0" w:lineRule="atLeast"/>
              <w:jc w:val="center"/>
              <w:rPr>
                <w:rFonts w:ascii="宋体" w:hAnsi="宋体" w:cs="宋体"/>
                <w:bCs/>
                <w:sz w:val="20"/>
                <w:szCs w:val="20"/>
                <w:highlight w:val="none"/>
              </w:rPr>
            </w:pPr>
            <w:r>
              <w:rPr>
                <w:rFonts w:hint="eastAsia" w:ascii="宋体" w:hAnsi="宋体" w:cs="宋体"/>
                <w:bCs/>
                <w:sz w:val="20"/>
                <w:szCs w:val="20"/>
                <w:highlight w:val="none"/>
              </w:rPr>
              <w:t>7</w:t>
            </w:r>
          </w:p>
        </w:tc>
        <w:tc>
          <w:tcPr>
            <w:tcW w:w="1447" w:type="dxa"/>
            <w:tcBorders>
              <w:top w:val="single" w:color="auto" w:sz="4" w:space="0"/>
              <w:left w:val="nil"/>
              <w:bottom w:val="single" w:color="auto" w:sz="4" w:space="0"/>
              <w:right w:val="single" w:color="auto" w:sz="4" w:space="0"/>
            </w:tcBorders>
            <w:vAlign w:val="center"/>
          </w:tcPr>
          <w:p>
            <w:pPr>
              <w:pStyle w:val="56"/>
              <w:overflowPunct w:val="0"/>
              <w:spacing w:line="0" w:lineRule="atLeast"/>
              <w:jc w:val="center"/>
              <w:rPr>
                <w:rFonts w:ascii="宋体" w:hAnsi="宋体" w:cs="宋体"/>
                <w:bCs/>
                <w:spacing w:val="-20"/>
                <w:sz w:val="20"/>
                <w:szCs w:val="20"/>
                <w:highlight w:val="none"/>
              </w:rPr>
            </w:pPr>
            <w:r>
              <w:rPr>
                <w:rFonts w:hint="eastAsia" w:ascii="宋体" w:hAnsi="宋体" w:cs="宋体"/>
                <w:bCs/>
                <w:sz w:val="20"/>
                <w:szCs w:val="20"/>
                <w:highlight w:val="none"/>
              </w:rPr>
              <w:t>污泥定性监测</w:t>
            </w:r>
          </w:p>
        </w:tc>
        <w:tc>
          <w:tcPr>
            <w:tcW w:w="1763" w:type="dxa"/>
            <w:tcBorders>
              <w:top w:val="single" w:color="auto" w:sz="4" w:space="0"/>
              <w:left w:val="single" w:color="auto" w:sz="4" w:space="0"/>
              <w:bottom w:val="single" w:color="auto" w:sz="4" w:space="0"/>
              <w:right w:val="single" w:color="auto" w:sz="4" w:space="0"/>
            </w:tcBorders>
            <w:vAlign w:val="center"/>
          </w:tcPr>
          <w:p>
            <w:pPr>
              <w:pStyle w:val="56"/>
              <w:spacing w:line="0" w:lineRule="atLeast"/>
              <w:ind w:firstLine="567"/>
              <w:rPr>
                <w:rFonts w:ascii="宋体" w:hAnsi="宋体" w:cs="宋体"/>
                <w:bCs/>
                <w:sz w:val="20"/>
                <w:szCs w:val="20"/>
                <w:highlight w:val="none"/>
              </w:rPr>
            </w:pPr>
          </w:p>
        </w:tc>
        <w:tc>
          <w:tcPr>
            <w:tcW w:w="1794" w:type="dxa"/>
            <w:tcBorders>
              <w:top w:val="single" w:color="auto" w:sz="4" w:space="0"/>
              <w:left w:val="single" w:color="auto" w:sz="4" w:space="0"/>
              <w:bottom w:val="single" w:color="auto" w:sz="4" w:space="0"/>
              <w:right w:val="single" w:color="auto" w:sz="4" w:space="0"/>
            </w:tcBorders>
            <w:vAlign w:val="center"/>
          </w:tcPr>
          <w:p>
            <w:pPr>
              <w:pStyle w:val="56"/>
              <w:spacing w:line="0" w:lineRule="atLeast"/>
              <w:ind w:firstLine="567"/>
              <w:rPr>
                <w:rFonts w:ascii="宋体" w:hAnsi="宋体" w:cs="宋体"/>
                <w:bCs/>
                <w:sz w:val="20"/>
                <w:szCs w:val="20"/>
                <w:highlight w:val="none"/>
              </w:rPr>
            </w:pPr>
          </w:p>
        </w:tc>
        <w:tc>
          <w:tcPr>
            <w:tcW w:w="3221" w:type="dxa"/>
            <w:vMerge w:val="continue"/>
            <w:tcBorders>
              <w:left w:val="single" w:color="auto" w:sz="4" w:space="0"/>
              <w:right w:val="single" w:color="auto" w:sz="4" w:space="0"/>
            </w:tcBorders>
            <w:vAlign w:val="center"/>
          </w:tcPr>
          <w:p>
            <w:pPr>
              <w:pStyle w:val="56"/>
              <w:spacing w:line="0" w:lineRule="atLeast"/>
              <w:ind w:firstLine="567"/>
              <w:rPr>
                <w:rFonts w:ascii="宋体" w:hAnsi="宋体" w:cs="宋体"/>
                <w:bCs/>
                <w:sz w:val="20"/>
                <w:szCs w:val="20"/>
                <w:highlight w:val="none"/>
              </w:rPr>
            </w:pPr>
          </w:p>
        </w:tc>
      </w:tr>
      <w:tr>
        <w:tblPrEx>
          <w:tblCellMar>
            <w:top w:w="0" w:type="dxa"/>
            <w:left w:w="108" w:type="dxa"/>
            <w:bottom w:w="0" w:type="dxa"/>
            <w:right w:w="108" w:type="dxa"/>
          </w:tblCellMar>
        </w:tblPrEx>
        <w:trPr>
          <w:cantSplit/>
          <w:trHeight w:val="375" w:hRule="atLeast"/>
        </w:trPr>
        <w:tc>
          <w:tcPr>
            <w:tcW w:w="888" w:type="dxa"/>
            <w:tcBorders>
              <w:top w:val="single" w:color="auto" w:sz="4" w:space="0"/>
              <w:left w:val="single" w:color="auto" w:sz="4" w:space="0"/>
              <w:bottom w:val="single" w:color="auto" w:sz="4" w:space="0"/>
              <w:right w:val="single" w:color="auto" w:sz="4" w:space="0"/>
            </w:tcBorders>
            <w:vAlign w:val="center"/>
          </w:tcPr>
          <w:p>
            <w:pPr>
              <w:pStyle w:val="56"/>
              <w:spacing w:line="0" w:lineRule="atLeast"/>
              <w:jc w:val="center"/>
              <w:rPr>
                <w:rFonts w:ascii="宋体" w:hAnsi="宋体" w:cs="宋体"/>
                <w:bCs/>
                <w:sz w:val="20"/>
                <w:szCs w:val="20"/>
                <w:highlight w:val="none"/>
              </w:rPr>
            </w:pPr>
            <w:r>
              <w:rPr>
                <w:rFonts w:hint="eastAsia" w:ascii="宋体" w:hAnsi="宋体" w:cs="宋体"/>
                <w:bCs/>
                <w:sz w:val="20"/>
                <w:szCs w:val="20"/>
                <w:highlight w:val="none"/>
              </w:rPr>
              <w:t>8</w:t>
            </w:r>
          </w:p>
        </w:tc>
        <w:tc>
          <w:tcPr>
            <w:tcW w:w="1447" w:type="dxa"/>
            <w:tcBorders>
              <w:top w:val="single" w:color="auto" w:sz="4" w:space="0"/>
              <w:left w:val="nil"/>
              <w:bottom w:val="single" w:color="auto" w:sz="4" w:space="0"/>
              <w:right w:val="single" w:color="auto" w:sz="4" w:space="0"/>
            </w:tcBorders>
            <w:vAlign w:val="center"/>
          </w:tcPr>
          <w:p>
            <w:pPr>
              <w:pStyle w:val="56"/>
              <w:overflowPunct w:val="0"/>
              <w:spacing w:line="0" w:lineRule="atLeast"/>
              <w:jc w:val="center"/>
              <w:rPr>
                <w:rFonts w:ascii="宋体" w:hAnsi="宋体" w:cs="宋体"/>
                <w:bCs/>
                <w:sz w:val="20"/>
                <w:szCs w:val="20"/>
                <w:highlight w:val="none"/>
              </w:rPr>
            </w:pPr>
            <w:r>
              <w:rPr>
                <w:rFonts w:hint="eastAsia" w:ascii="宋体" w:hAnsi="宋体" w:cs="宋体"/>
                <w:bCs/>
                <w:sz w:val="20"/>
                <w:szCs w:val="20"/>
                <w:highlight w:val="none"/>
              </w:rPr>
              <w:t>试运行费用</w:t>
            </w:r>
          </w:p>
        </w:tc>
        <w:tc>
          <w:tcPr>
            <w:tcW w:w="1763" w:type="dxa"/>
            <w:tcBorders>
              <w:top w:val="single" w:color="auto" w:sz="4" w:space="0"/>
              <w:left w:val="single" w:color="auto" w:sz="4" w:space="0"/>
              <w:bottom w:val="single" w:color="auto" w:sz="4" w:space="0"/>
              <w:right w:val="single" w:color="auto" w:sz="4" w:space="0"/>
            </w:tcBorders>
            <w:vAlign w:val="center"/>
          </w:tcPr>
          <w:p>
            <w:pPr>
              <w:pStyle w:val="56"/>
              <w:spacing w:line="0" w:lineRule="atLeast"/>
              <w:ind w:firstLine="567"/>
              <w:rPr>
                <w:rFonts w:ascii="宋体" w:hAnsi="宋体" w:cs="宋体"/>
                <w:bCs/>
                <w:sz w:val="20"/>
                <w:szCs w:val="20"/>
                <w:highlight w:val="none"/>
              </w:rPr>
            </w:pPr>
          </w:p>
        </w:tc>
        <w:tc>
          <w:tcPr>
            <w:tcW w:w="1794" w:type="dxa"/>
            <w:tcBorders>
              <w:top w:val="single" w:color="auto" w:sz="4" w:space="0"/>
              <w:left w:val="single" w:color="auto" w:sz="4" w:space="0"/>
              <w:bottom w:val="single" w:color="auto" w:sz="4" w:space="0"/>
              <w:right w:val="single" w:color="auto" w:sz="4" w:space="0"/>
            </w:tcBorders>
            <w:vAlign w:val="center"/>
          </w:tcPr>
          <w:p>
            <w:pPr>
              <w:pStyle w:val="56"/>
              <w:spacing w:line="0" w:lineRule="atLeast"/>
              <w:ind w:firstLine="567"/>
              <w:rPr>
                <w:rFonts w:ascii="宋体" w:hAnsi="宋体" w:cs="宋体"/>
                <w:bCs/>
                <w:sz w:val="20"/>
                <w:szCs w:val="20"/>
                <w:highlight w:val="none"/>
              </w:rPr>
            </w:pPr>
          </w:p>
        </w:tc>
        <w:tc>
          <w:tcPr>
            <w:tcW w:w="3221" w:type="dxa"/>
            <w:vMerge w:val="continue"/>
            <w:tcBorders>
              <w:left w:val="single" w:color="auto" w:sz="4" w:space="0"/>
              <w:right w:val="single" w:color="auto" w:sz="4" w:space="0"/>
            </w:tcBorders>
            <w:vAlign w:val="center"/>
          </w:tcPr>
          <w:p>
            <w:pPr>
              <w:pStyle w:val="56"/>
              <w:spacing w:line="0" w:lineRule="atLeast"/>
              <w:ind w:firstLine="567"/>
              <w:rPr>
                <w:rFonts w:ascii="宋体" w:hAnsi="宋体" w:cs="宋体"/>
                <w:bCs/>
                <w:sz w:val="20"/>
                <w:szCs w:val="20"/>
                <w:highlight w:val="none"/>
              </w:rPr>
            </w:pPr>
          </w:p>
        </w:tc>
      </w:tr>
      <w:tr>
        <w:tblPrEx>
          <w:tblCellMar>
            <w:top w:w="0" w:type="dxa"/>
            <w:left w:w="108" w:type="dxa"/>
            <w:bottom w:w="0" w:type="dxa"/>
            <w:right w:w="108" w:type="dxa"/>
          </w:tblCellMar>
        </w:tblPrEx>
        <w:trPr>
          <w:cantSplit/>
          <w:trHeight w:val="375" w:hRule="atLeast"/>
        </w:trPr>
        <w:tc>
          <w:tcPr>
            <w:tcW w:w="888" w:type="dxa"/>
            <w:tcBorders>
              <w:top w:val="single" w:color="auto" w:sz="4" w:space="0"/>
              <w:left w:val="single" w:color="auto" w:sz="4" w:space="0"/>
              <w:bottom w:val="single" w:color="auto" w:sz="4" w:space="0"/>
              <w:right w:val="single" w:color="auto" w:sz="4" w:space="0"/>
            </w:tcBorders>
            <w:vAlign w:val="center"/>
          </w:tcPr>
          <w:p>
            <w:pPr>
              <w:pStyle w:val="56"/>
              <w:spacing w:beforeLines="50"/>
              <w:jc w:val="center"/>
              <w:rPr>
                <w:rFonts w:ascii="宋体" w:hAnsi="宋体" w:cs="宋体"/>
                <w:bCs/>
                <w:sz w:val="20"/>
                <w:szCs w:val="20"/>
                <w:highlight w:val="none"/>
              </w:rPr>
            </w:pPr>
            <w:r>
              <w:rPr>
                <w:rFonts w:hint="eastAsia" w:ascii="宋体" w:hAnsi="宋体" w:cs="宋体"/>
                <w:bCs/>
                <w:sz w:val="20"/>
                <w:szCs w:val="20"/>
                <w:highlight w:val="none"/>
              </w:rPr>
              <w:t>9</w:t>
            </w:r>
          </w:p>
        </w:tc>
        <w:tc>
          <w:tcPr>
            <w:tcW w:w="1447" w:type="dxa"/>
            <w:tcBorders>
              <w:top w:val="single" w:color="auto" w:sz="4" w:space="0"/>
              <w:left w:val="nil"/>
              <w:bottom w:val="single" w:color="auto" w:sz="4" w:space="0"/>
              <w:right w:val="single" w:color="auto" w:sz="4" w:space="0"/>
            </w:tcBorders>
            <w:vAlign w:val="center"/>
          </w:tcPr>
          <w:p>
            <w:pPr>
              <w:pStyle w:val="56"/>
              <w:overflowPunct w:val="0"/>
              <w:spacing w:line="0" w:lineRule="atLeast"/>
              <w:jc w:val="center"/>
              <w:rPr>
                <w:rFonts w:ascii="宋体" w:hAnsi="宋体" w:cs="宋体"/>
                <w:bCs/>
                <w:sz w:val="20"/>
                <w:szCs w:val="20"/>
                <w:highlight w:val="none"/>
              </w:rPr>
            </w:pPr>
            <w:r>
              <w:rPr>
                <w:rFonts w:hint="eastAsia" w:ascii="宋体" w:hAnsi="宋体" w:cs="宋体"/>
                <w:bCs/>
                <w:sz w:val="20"/>
                <w:szCs w:val="20"/>
                <w:highlight w:val="none"/>
              </w:rPr>
              <w:t>污泥处置费</w:t>
            </w:r>
          </w:p>
        </w:tc>
        <w:tc>
          <w:tcPr>
            <w:tcW w:w="1763" w:type="dxa"/>
            <w:tcBorders>
              <w:top w:val="single" w:color="auto" w:sz="4" w:space="0"/>
              <w:left w:val="single" w:color="auto" w:sz="4" w:space="0"/>
              <w:bottom w:val="single" w:color="auto" w:sz="4" w:space="0"/>
              <w:right w:val="single" w:color="auto" w:sz="4" w:space="0"/>
            </w:tcBorders>
            <w:vAlign w:val="center"/>
          </w:tcPr>
          <w:p>
            <w:pPr>
              <w:pStyle w:val="56"/>
              <w:spacing w:line="0" w:lineRule="atLeast"/>
              <w:ind w:firstLine="567"/>
              <w:rPr>
                <w:rFonts w:ascii="宋体" w:hAnsi="宋体" w:cs="宋体"/>
                <w:bCs/>
                <w:sz w:val="20"/>
                <w:szCs w:val="20"/>
                <w:highlight w:val="none"/>
              </w:rPr>
            </w:pPr>
          </w:p>
        </w:tc>
        <w:tc>
          <w:tcPr>
            <w:tcW w:w="1794" w:type="dxa"/>
            <w:tcBorders>
              <w:top w:val="single" w:color="auto" w:sz="4" w:space="0"/>
              <w:left w:val="single" w:color="auto" w:sz="4" w:space="0"/>
              <w:bottom w:val="single" w:color="auto" w:sz="4" w:space="0"/>
              <w:right w:val="single" w:color="auto" w:sz="4" w:space="0"/>
            </w:tcBorders>
            <w:vAlign w:val="center"/>
          </w:tcPr>
          <w:p>
            <w:pPr>
              <w:pStyle w:val="56"/>
              <w:spacing w:line="0" w:lineRule="atLeast"/>
              <w:ind w:firstLine="567"/>
              <w:rPr>
                <w:rFonts w:ascii="宋体" w:hAnsi="宋体" w:cs="宋体"/>
                <w:bCs/>
                <w:sz w:val="20"/>
                <w:szCs w:val="20"/>
                <w:highlight w:val="none"/>
              </w:rPr>
            </w:pPr>
          </w:p>
        </w:tc>
        <w:tc>
          <w:tcPr>
            <w:tcW w:w="3221" w:type="dxa"/>
            <w:vMerge w:val="continue"/>
            <w:tcBorders>
              <w:left w:val="single" w:color="auto" w:sz="4" w:space="0"/>
              <w:right w:val="single" w:color="auto" w:sz="4" w:space="0"/>
            </w:tcBorders>
            <w:vAlign w:val="center"/>
          </w:tcPr>
          <w:p>
            <w:pPr>
              <w:pStyle w:val="56"/>
              <w:spacing w:line="0" w:lineRule="atLeast"/>
              <w:ind w:firstLine="567"/>
              <w:rPr>
                <w:rFonts w:ascii="宋体" w:hAnsi="宋体" w:cs="宋体"/>
                <w:bCs/>
                <w:sz w:val="20"/>
                <w:szCs w:val="20"/>
                <w:highlight w:val="none"/>
              </w:rPr>
            </w:pPr>
          </w:p>
        </w:tc>
      </w:tr>
      <w:tr>
        <w:tblPrEx>
          <w:tblCellMar>
            <w:top w:w="0" w:type="dxa"/>
            <w:left w:w="108" w:type="dxa"/>
            <w:bottom w:w="0" w:type="dxa"/>
            <w:right w:w="108" w:type="dxa"/>
          </w:tblCellMar>
        </w:tblPrEx>
        <w:trPr>
          <w:cantSplit/>
          <w:trHeight w:val="455" w:hRule="atLeast"/>
        </w:trPr>
        <w:tc>
          <w:tcPr>
            <w:tcW w:w="888" w:type="dxa"/>
            <w:tcBorders>
              <w:top w:val="single" w:color="auto" w:sz="4" w:space="0"/>
              <w:left w:val="single" w:color="auto" w:sz="4" w:space="0"/>
              <w:bottom w:val="single" w:color="auto" w:sz="4" w:space="0"/>
              <w:right w:val="single" w:color="auto" w:sz="4" w:space="0"/>
            </w:tcBorders>
            <w:vAlign w:val="center"/>
          </w:tcPr>
          <w:p>
            <w:pPr>
              <w:pStyle w:val="56"/>
              <w:spacing w:beforeLines="50"/>
              <w:jc w:val="center"/>
              <w:rPr>
                <w:rFonts w:ascii="宋体" w:hAnsi="宋体" w:cs="宋体"/>
                <w:bCs/>
                <w:sz w:val="20"/>
                <w:szCs w:val="20"/>
                <w:highlight w:val="none"/>
              </w:rPr>
            </w:pPr>
            <w:r>
              <w:rPr>
                <w:rFonts w:hint="eastAsia" w:ascii="宋体" w:hAnsi="宋体" w:cs="宋体"/>
                <w:bCs/>
                <w:sz w:val="20"/>
                <w:szCs w:val="20"/>
                <w:highlight w:val="none"/>
              </w:rPr>
              <w:t>10</w:t>
            </w:r>
          </w:p>
        </w:tc>
        <w:tc>
          <w:tcPr>
            <w:tcW w:w="1447" w:type="dxa"/>
            <w:tcBorders>
              <w:top w:val="single" w:color="auto" w:sz="4" w:space="0"/>
              <w:left w:val="nil"/>
              <w:bottom w:val="single" w:color="auto" w:sz="4" w:space="0"/>
              <w:right w:val="single" w:color="auto" w:sz="4" w:space="0"/>
            </w:tcBorders>
            <w:vAlign w:val="center"/>
          </w:tcPr>
          <w:p>
            <w:pPr>
              <w:pStyle w:val="56"/>
              <w:overflowPunct w:val="0"/>
              <w:spacing w:line="0" w:lineRule="atLeast"/>
              <w:jc w:val="center"/>
              <w:rPr>
                <w:rFonts w:ascii="宋体" w:hAnsi="宋体" w:cs="宋体"/>
                <w:bCs/>
                <w:sz w:val="20"/>
                <w:szCs w:val="20"/>
                <w:highlight w:val="none"/>
              </w:rPr>
            </w:pPr>
            <w:r>
              <w:rPr>
                <w:rFonts w:hint="eastAsia" w:ascii="宋体" w:hAnsi="宋体" w:cs="宋体"/>
                <w:bCs/>
                <w:sz w:val="20"/>
                <w:szCs w:val="20"/>
                <w:highlight w:val="none"/>
              </w:rPr>
              <w:t>水费</w:t>
            </w:r>
          </w:p>
        </w:tc>
        <w:tc>
          <w:tcPr>
            <w:tcW w:w="1763" w:type="dxa"/>
            <w:tcBorders>
              <w:top w:val="single" w:color="auto" w:sz="4" w:space="0"/>
              <w:left w:val="single" w:color="auto" w:sz="4" w:space="0"/>
              <w:bottom w:val="single" w:color="auto" w:sz="4" w:space="0"/>
              <w:right w:val="single" w:color="auto" w:sz="4" w:space="0"/>
            </w:tcBorders>
            <w:vAlign w:val="center"/>
          </w:tcPr>
          <w:p>
            <w:pPr>
              <w:pStyle w:val="56"/>
              <w:spacing w:line="0" w:lineRule="atLeast"/>
              <w:ind w:firstLine="567"/>
              <w:jc w:val="center"/>
              <w:rPr>
                <w:rFonts w:ascii="宋体" w:hAnsi="宋体" w:cs="宋体"/>
                <w:bCs/>
                <w:sz w:val="20"/>
                <w:szCs w:val="20"/>
                <w:highlight w:val="none"/>
              </w:rPr>
            </w:pPr>
          </w:p>
        </w:tc>
        <w:tc>
          <w:tcPr>
            <w:tcW w:w="1794" w:type="dxa"/>
            <w:tcBorders>
              <w:top w:val="single" w:color="auto" w:sz="4" w:space="0"/>
              <w:left w:val="single" w:color="auto" w:sz="4" w:space="0"/>
              <w:bottom w:val="single" w:color="auto" w:sz="4" w:space="0"/>
              <w:right w:val="single" w:color="auto" w:sz="4" w:space="0"/>
            </w:tcBorders>
            <w:vAlign w:val="center"/>
          </w:tcPr>
          <w:p>
            <w:pPr>
              <w:pStyle w:val="56"/>
              <w:spacing w:line="0" w:lineRule="atLeast"/>
              <w:ind w:firstLine="567"/>
              <w:jc w:val="center"/>
              <w:rPr>
                <w:rFonts w:ascii="宋体" w:hAnsi="宋体" w:cs="宋体"/>
                <w:bCs/>
                <w:sz w:val="20"/>
                <w:szCs w:val="20"/>
                <w:highlight w:val="none"/>
              </w:rPr>
            </w:pPr>
          </w:p>
        </w:tc>
        <w:tc>
          <w:tcPr>
            <w:tcW w:w="3221" w:type="dxa"/>
            <w:vMerge w:val="continue"/>
            <w:tcBorders>
              <w:left w:val="single" w:color="auto" w:sz="4" w:space="0"/>
              <w:right w:val="single" w:color="auto" w:sz="4" w:space="0"/>
            </w:tcBorders>
            <w:vAlign w:val="center"/>
          </w:tcPr>
          <w:p>
            <w:pPr>
              <w:pStyle w:val="56"/>
              <w:spacing w:line="0" w:lineRule="atLeast"/>
              <w:rPr>
                <w:rFonts w:ascii="宋体" w:hAnsi="宋体" w:cs="宋体"/>
                <w:bCs/>
                <w:sz w:val="20"/>
                <w:szCs w:val="20"/>
                <w:highlight w:val="none"/>
              </w:rPr>
            </w:pPr>
          </w:p>
        </w:tc>
      </w:tr>
      <w:tr>
        <w:tblPrEx>
          <w:tblCellMar>
            <w:top w:w="0" w:type="dxa"/>
            <w:left w:w="108" w:type="dxa"/>
            <w:bottom w:w="0" w:type="dxa"/>
            <w:right w:w="108" w:type="dxa"/>
          </w:tblCellMar>
        </w:tblPrEx>
        <w:trPr>
          <w:cantSplit/>
          <w:trHeight w:val="455" w:hRule="atLeast"/>
        </w:trPr>
        <w:tc>
          <w:tcPr>
            <w:tcW w:w="888" w:type="dxa"/>
            <w:tcBorders>
              <w:top w:val="single" w:color="auto" w:sz="4" w:space="0"/>
              <w:left w:val="single" w:color="auto" w:sz="4" w:space="0"/>
              <w:bottom w:val="single" w:color="auto" w:sz="4" w:space="0"/>
              <w:right w:val="single" w:color="auto" w:sz="4" w:space="0"/>
            </w:tcBorders>
            <w:vAlign w:val="center"/>
          </w:tcPr>
          <w:p>
            <w:pPr>
              <w:pStyle w:val="56"/>
              <w:spacing w:beforeLines="50"/>
              <w:jc w:val="center"/>
              <w:rPr>
                <w:rFonts w:ascii="宋体" w:hAnsi="宋体" w:cs="宋体"/>
                <w:bCs/>
                <w:sz w:val="20"/>
                <w:szCs w:val="20"/>
                <w:highlight w:val="none"/>
              </w:rPr>
            </w:pPr>
            <w:r>
              <w:rPr>
                <w:rFonts w:hint="eastAsia" w:ascii="宋体" w:hAnsi="宋体" w:cs="宋体"/>
                <w:bCs/>
                <w:sz w:val="20"/>
                <w:szCs w:val="20"/>
                <w:highlight w:val="none"/>
              </w:rPr>
              <w:t>11</w:t>
            </w:r>
          </w:p>
        </w:tc>
        <w:tc>
          <w:tcPr>
            <w:tcW w:w="1447" w:type="dxa"/>
            <w:tcBorders>
              <w:top w:val="single" w:color="auto" w:sz="4" w:space="0"/>
              <w:left w:val="nil"/>
              <w:bottom w:val="single" w:color="auto" w:sz="4" w:space="0"/>
              <w:right w:val="single" w:color="auto" w:sz="4" w:space="0"/>
            </w:tcBorders>
            <w:vAlign w:val="center"/>
          </w:tcPr>
          <w:p>
            <w:pPr>
              <w:pStyle w:val="56"/>
              <w:overflowPunct w:val="0"/>
              <w:spacing w:line="0" w:lineRule="atLeast"/>
              <w:jc w:val="center"/>
              <w:rPr>
                <w:rFonts w:ascii="宋体" w:hAnsi="宋体" w:cs="宋体"/>
                <w:bCs/>
                <w:sz w:val="20"/>
                <w:szCs w:val="20"/>
                <w:highlight w:val="none"/>
              </w:rPr>
            </w:pPr>
            <w:r>
              <w:rPr>
                <w:rFonts w:hint="eastAsia" w:ascii="宋体" w:hAnsi="宋体" w:cs="宋体"/>
                <w:bCs/>
                <w:sz w:val="20"/>
                <w:szCs w:val="20"/>
                <w:highlight w:val="none"/>
              </w:rPr>
              <w:t>药剂费</w:t>
            </w:r>
          </w:p>
        </w:tc>
        <w:tc>
          <w:tcPr>
            <w:tcW w:w="1763" w:type="dxa"/>
            <w:tcBorders>
              <w:top w:val="single" w:color="auto" w:sz="4" w:space="0"/>
              <w:left w:val="single" w:color="auto" w:sz="4" w:space="0"/>
              <w:bottom w:val="single" w:color="auto" w:sz="4" w:space="0"/>
              <w:right w:val="single" w:color="auto" w:sz="4" w:space="0"/>
            </w:tcBorders>
            <w:vAlign w:val="center"/>
          </w:tcPr>
          <w:p>
            <w:pPr>
              <w:pStyle w:val="56"/>
              <w:spacing w:line="0" w:lineRule="atLeast"/>
              <w:ind w:firstLine="567"/>
              <w:jc w:val="center"/>
              <w:rPr>
                <w:rFonts w:ascii="宋体" w:hAnsi="宋体" w:cs="宋体"/>
                <w:bCs/>
                <w:sz w:val="20"/>
                <w:szCs w:val="20"/>
                <w:highlight w:val="none"/>
              </w:rPr>
            </w:pPr>
          </w:p>
        </w:tc>
        <w:tc>
          <w:tcPr>
            <w:tcW w:w="1794" w:type="dxa"/>
            <w:tcBorders>
              <w:top w:val="single" w:color="auto" w:sz="4" w:space="0"/>
              <w:left w:val="single" w:color="auto" w:sz="4" w:space="0"/>
              <w:bottom w:val="single" w:color="auto" w:sz="4" w:space="0"/>
              <w:right w:val="single" w:color="auto" w:sz="4" w:space="0"/>
            </w:tcBorders>
            <w:vAlign w:val="center"/>
          </w:tcPr>
          <w:p>
            <w:pPr>
              <w:pStyle w:val="56"/>
              <w:spacing w:line="0" w:lineRule="atLeast"/>
              <w:ind w:firstLine="567"/>
              <w:jc w:val="center"/>
              <w:rPr>
                <w:rFonts w:ascii="宋体" w:hAnsi="宋体" w:cs="宋体"/>
                <w:bCs/>
                <w:sz w:val="20"/>
                <w:szCs w:val="20"/>
                <w:highlight w:val="none"/>
              </w:rPr>
            </w:pPr>
          </w:p>
        </w:tc>
        <w:tc>
          <w:tcPr>
            <w:tcW w:w="3221" w:type="dxa"/>
            <w:vMerge w:val="continue"/>
            <w:tcBorders>
              <w:left w:val="single" w:color="auto" w:sz="4" w:space="0"/>
              <w:right w:val="single" w:color="auto" w:sz="4" w:space="0"/>
            </w:tcBorders>
            <w:vAlign w:val="center"/>
          </w:tcPr>
          <w:p>
            <w:pPr>
              <w:pStyle w:val="56"/>
              <w:spacing w:line="0" w:lineRule="atLeast"/>
              <w:rPr>
                <w:rFonts w:ascii="宋体" w:hAnsi="宋体" w:cs="宋体"/>
                <w:bCs/>
                <w:sz w:val="20"/>
                <w:szCs w:val="20"/>
                <w:highlight w:val="none"/>
              </w:rPr>
            </w:pPr>
          </w:p>
        </w:tc>
      </w:tr>
      <w:tr>
        <w:tblPrEx>
          <w:tblCellMar>
            <w:top w:w="0" w:type="dxa"/>
            <w:left w:w="108" w:type="dxa"/>
            <w:bottom w:w="0" w:type="dxa"/>
            <w:right w:w="108" w:type="dxa"/>
          </w:tblCellMar>
        </w:tblPrEx>
        <w:trPr>
          <w:cantSplit/>
          <w:trHeight w:val="455" w:hRule="atLeast"/>
        </w:trPr>
        <w:tc>
          <w:tcPr>
            <w:tcW w:w="888" w:type="dxa"/>
            <w:tcBorders>
              <w:top w:val="single" w:color="auto" w:sz="4" w:space="0"/>
              <w:left w:val="single" w:color="auto" w:sz="4" w:space="0"/>
              <w:bottom w:val="single" w:color="auto" w:sz="4" w:space="0"/>
              <w:right w:val="single" w:color="auto" w:sz="4" w:space="0"/>
            </w:tcBorders>
            <w:vAlign w:val="center"/>
          </w:tcPr>
          <w:p>
            <w:pPr>
              <w:pStyle w:val="56"/>
              <w:spacing w:beforeLines="50"/>
              <w:jc w:val="center"/>
              <w:rPr>
                <w:rFonts w:ascii="宋体" w:hAnsi="宋体" w:cs="宋体"/>
                <w:bCs/>
                <w:sz w:val="20"/>
                <w:szCs w:val="20"/>
                <w:highlight w:val="none"/>
              </w:rPr>
            </w:pPr>
            <w:r>
              <w:rPr>
                <w:rFonts w:hint="eastAsia" w:ascii="宋体" w:hAnsi="宋体" w:cs="宋体"/>
                <w:bCs/>
                <w:sz w:val="20"/>
                <w:szCs w:val="20"/>
                <w:highlight w:val="none"/>
              </w:rPr>
              <w:t>12</w:t>
            </w:r>
          </w:p>
        </w:tc>
        <w:tc>
          <w:tcPr>
            <w:tcW w:w="1447" w:type="dxa"/>
            <w:tcBorders>
              <w:top w:val="single" w:color="auto" w:sz="4" w:space="0"/>
              <w:left w:val="nil"/>
              <w:bottom w:val="single" w:color="auto" w:sz="4" w:space="0"/>
              <w:right w:val="single" w:color="auto" w:sz="4" w:space="0"/>
            </w:tcBorders>
            <w:vAlign w:val="center"/>
          </w:tcPr>
          <w:p>
            <w:pPr>
              <w:pStyle w:val="56"/>
              <w:overflowPunct w:val="0"/>
              <w:spacing w:line="0" w:lineRule="atLeast"/>
              <w:jc w:val="center"/>
              <w:rPr>
                <w:rFonts w:ascii="宋体" w:hAnsi="宋体" w:cs="宋体"/>
                <w:bCs/>
                <w:sz w:val="20"/>
                <w:szCs w:val="20"/>
                <w:highlight w:val="none"/>
              </w:rPr>
            </w:pPr>
            <w:r>
              <w:rPr>
                <w:rFonts w:hint="eastAsia" w:ascii="宋体" w:hAnsi="宋体" w:cs="宋体"/>
                <w:bCs/>
                <w:sz w:val="20"/>
                <w:szCs w:val="20"/>
                <w:highlight w:val="none"/>
              </w:rPr>
              <w:t>保险费</w:t>
            </w:r>
          </w:p>
        </w:tc>
        <w:tc>
          <w:tcPr>
            <w:tcW w:w="1763" w:type="dxa"/>
            <w:tcBorders>
              <w:top w:val="single" w:color="auto" w:sz="4" w:space="0"/>
              <w:left w:val="single" w:color="auto" w:sz="4" w:space="0"/>
              <w:bottom w:val="single" w:color="auto" w:sz="4" w:space="0"/>
              <w:right w:val="single" w:color="auto" w:sz="4" w:space="0"/>
            </w:tcBorders>
            <w:vAlign w:val="center"/>
          </w:tcPr>
          <w:p>
            <w:pPr>
              <w:pStyle w:val="56"/>
              <w:spacing w:line="0" w:lineRule="atLeast"/>
              <w:ind w:firstLine="567"/>
              <w:jc w:val="center"/>
              <w:rPr>
                <w:rFonts w:ascii="宋体" w:hAnsi="宋体" w:cs="宋体"/>
                <w:bCs/>
                <w:sz w:val="20"/>
                <w:szCs w:val="20"/>
                <w:highlight w:val="none"/>
              </w:rPr>
            </w:pPr>
          </w:p>
        </w:tc>
        <w:tc>
          <w:tcPr>
            <w:tcW w:w="1794" w:type="dxa"/>
            <w:tcBorders>
              <w:top w:val="single" w:color="auto" w:sz="4" w:space="0"/>
              <w:left w:val="single" w:color="auto" w:sz="4" w:space="0"/>
              <w:bottom w:val="single" w:color="auto" w:sz="4" w:space="0"/>
              <w:right w:val="single" w:color="auto" w:sz="4" w:space="0"/>
            </w:tcBorders>
            <w:vAlign w:val="center"/>
          </w:tcPr>
          <w:p>
            <w:pPr>
              <w:pStyle w:val="56"/>
              <w:spacing w:line="0" w:lineRule="atLeast"/>
              <w:ind w:firstLine="567"/>
              <w:jc w:val="center"/>
              <w:rPr>
                <w:rFonts w:ascii="宋体" w:hAnsi="宋体" w:cs="宋体"/>
                <w:bCs/>
                <w:sz w:val="20"/>
                <w:szCs w:val="20"/>
                <w:highlight w:val="none"/>
              </w:rPr>
            </w:pPr>
          </w:p>
        </w:tc>
        <w:tc>
          <w:tcPr>
            <w:tcW w:w="3221" w:type="dxa"/>
            <w:vMerge w:val="continue"/>
            <w:tcBorders>
              <w:left w:val="single" w:color="auto" w:sz="4" w:space="0"/>
              <w:right w:val="single" w:color="auto" w:sz="4" w:space="0"/>
            </w:tcBorders>
            <w:vAlign w:val="center"/>
          </w:tcPr>
          <w:p>
            <w:pPr>
              <w:pStyle w:val="56"/>
              <w:spacing w:line="0" w:lineRule="atLeast"/>
              <w:rPr>
                <w:rFonts w:ascii="宋体" w:hAnsi="宋体" w:cs="宋体"/>
                <w:bCs/>
                <w:sz w:val="20"/>
                <w:szCs w:val="20"/>
                <w:highlight w:val="none"/>
              </w:rPr>
            </w:pPr>
          </w:p>
        </w:tc>
      </w:tr>
      <w:tr>
        <w:tblPrEx>
          <w:tblCellMar>
            <w:top w:w="0" w:type="dxa"/>
            <w:left w:w="108" w:type="dxa"/>
            <w:bottom w:w="0" w:type="dxa"/>
            <w:right w:w="108" w:type="dxa"/>
          </w:tblCellMar>
        </w:tblPrEx>
        <w:trPr>
          <w:cantSplit/>
          <w:trHeight w:val="455" w:hRule="atLeast"/>
        </w:trPr>
        <w:tc>
          <w:tcPr>
            <w:tcW w:w="888" w:type="dxa"/>
            <w:tcBorders>
              <w:top w:val="single" w:color="auto" w:sz="4" w:space="0"/>
              <w:left w:val="single" w:color="auto" w:sz="4" w:space="0"/>
              <w:bottom w:val="single" w:color="auto" w:sz="4" w:space="0"/>
              <w:right w:val="single" w:color="auto" w:sz="4" w:space="0"/>
            </w:tcBorders>
            <w:vAlign w:val="center"/>
          </w:tcPr>
          <w:p>
            <w:pPr>
              <w:pStyle w:val="56"/>
              <w:spacing w:beforeLines="50"/>
              <w:jc w:val="center"/>
              <w:rPr>
                <w:rFonts w:ascii="宋体" w:hAnsi="宋体" w:cs="宋体"/>
                <w:bCs/>
                <w:sz w:val="20"/>
                <w:szCs w:val="20"/>
                <w:highlight w:val="none"/>
              </w:rPr>
            </w:pPr>
            <w:r>
              <w:rPr>
                <w:rFonts w:hint="eastAsia" w:ascii="宋体" w:hAnsi="宋体" w:cs="宋体"/>
                <w:bCs/>
                <w:sz w:val="20"/>
                <w:szCs w:val="20"/>
                <w:highlight w:val="none"/>
              </w:rPr>
              <w:t>13</w:t>
            </w:r>
          </w:p>
        </w:tc>
        <w:tc>
          <w:tcPr>
            <w:tcW w:w="1447" w:type="dxa"/>
            <w:tcBorders>
              <w:top w:val="single" w:color="auto" w:sz="4" w:space="0"/>
              <w:left w:val="nil"/>
              <w:bottom w:val="single" w:color="auto" w:sz="4" w:space="0"/>
              <w:right w:val="single" w:color="auto" w:sz="4" w:space="0"/>
            </w:tcBorders>
            <w:vAlign w:val="center"/>
          </w:tcPr>
          <w:p>
            <w:pPr>
              <w:pStyle w:val="56"/>
              <w:overflowPunct w:val="0"/>
              <w:spacing w:line="0" w:lineRule="atLeast"/>
              <w:jc w:val="center"/>
              <w:rPr>
                <w:rFonts w:ascii="宋体" w:hAnsi="宋体" w:cs="宋体"/>
                <w:bCs/>
                <w:sz w:val="20"/>
                <w:szCs w:val="20"/>
                <w:highlight w:val="none"/>
              </w:rPr>
            </w:pPr>
            <w:r>
              <w:rPr>
                <w:rFonts w:hint="eastAsia" w:ascii="宋体" w:hAnsi="宋体" w:cs="宋体"/>
                <w:bCs/>
                <w:sz w:val="20"/>
                <w:szCs w:val="20"/>
                <w:highlight w:val="none"/>
              </w:rPr>
              <w:t>财务费用</w:t>
            </w:r>
          </w:p>
        </w:tc>
        <w:tc>
          <w:tcPr>
            <w:tcW w:w="1763" w:type="dxa"/>
            <w:tcBorders>
              <w:top w:val="single" w:color="auto" w:sz="4" w:space="0"/>
              <w:left w:val="single" w:color="auto" w:sz="4" w:space="0"/>
              <w:bottom w:val="single" w:color="auto" w:sz="4" w:space="0"/>
              <w:right w:val="single" w:color="auto" w:sz="4" w:space="0"/>
            </w:tcBorders>
            <w:vAlign w:val="center"/>
          </w:tcPr>
          <w:p>
            <w:pPr>
              <w:pStyle w:val="56"/>
              <w:spacing w:line="0" w:lineRule="atLeast"/>
              <w:ind w:firstLine="567"/>
              <w:jc w:val="center"/>
              <w:rPr>
                <w:rFonts w:ascii="宋体" w:hAnsi="宋体" w:cs="宋体"/>
                <w:bCs/>
                <w:sz w:val="20"/>
                <w:szCs w:val="20"/>
                <w:highlight w:val="none"/>
              </w:rPr>
            </w:pPr>
          </w:p>
        </w:tc>
        <w:tc>
          <w:tcPr>
            <w:tcW w:w="1794" w:type="dxa"/>
            <w:tcBorders>
              <w:top w:val="single" w:color="auto" w:sz="4" w:space="0"/>
              <w:left w:val="single" w:color="auto" w:sz="4" w:space="0"/>
              <w:bottom w:val="single" w:color="auto" w:sz="4" w:space="0"/>
              <w:right w:val="single" w:color="auto" w:sz="4" w:space="0"/>
            </w:tcBorders>
            <w:vAlign w:val="center"/>
          </w:tcPr>
          <w:p>
            <w:pPr>
              <w:pStyle w:val="56"/>
              <w:spacing w:line="0" w:lineRule="atLeast"/>
              <w:ind w:firstLine="567"/>
              <w:jc w:val="center"/>
              <w:rPr>
                <w:rFonts w:ascii="宋体" w:hAnsi="宋体" w:cs="宋体"/>
                <w:bCs/>
                <w:sz w:val="20"/>
                <w:szCs w:val="20"/>
                <w:highlight w:val="none"/>
              </w:rPr>
            </w:pPr>
          </w:p>
        </w:tc>
        <w:tc>
          <w:tcPr>
            <w:tcW w:w="3221" w:type="dxa"/>
            <w:vMerge w:val="continue"/>
            <w:tcBorders>
              <w:left w:val="single" w:color="auto" w:sz="4" w:space="0"/>
              <w:right w:val="single" w:color="auto" w:sz="4" w:space="0"/>
            </w:tcBorders>
            <w:vAlign w:val="center"/>
          </w:tcPr>
          <w:p>
            <w:pPr>
              <w:pStyle w:val="56"/>
              <w:spacing w:line="0" w:lineRule="atLeast"/>
              <w:rPr>
                <w:rFonts w:ascii="宋体" w:hAnsi="宋体" w:cs="宋体"/>
                <w:bCs/>
                <w:sz w:val="20"/>
                <w:szCs w:val="20"/>
                <w:highlight w:val="none"/>
              </w:rPr>
            </w:pPr>
          </w:p>
        </w:tc>
      </w:tr>
      <w:tr>
        <w:tblPrEx>
          <w:tblCellMar>
            <w:top w:w="0" w:type="dxa"/>
            <w:left w:w="108" w:type="dxa"/>
            <w:bottom w:w="0" w:type="dxa"/>
            <w:right w:w="108" w:type="dxa"/>
          </w:tblCellMar>
        </w:tblPrEx>
        <w:trPr>
          <w:cantSplit/>
          <w:trHeight w:val="455" w:hRule="atLeast"/>
        </w:trPr>
        <w:tc>
          <w:tcPr>
            <w:tcW w:w="888" w:type="dxa"/>
            <w:tcBorders>
              <w:top w:val="single" w:color="auto" w:sz="4" w:space="0"/>
              <w:left w:val="single" w:color="auto" w:sz="4" w:space="0"/>
              <w:bottom w:val="single" w:color="auto" w:sz="4" w:space="0"/>
              <w:right w:val="single" w:color="auto" w:sz="4" w:space="0"/>
            </w:tcBorders>
            <w:vAlign w:val="center"/>
          </w:tcPr>
          <w:p>
            <w:pPr>
              <w:pStyle w:val="56"/>
              <w:spacing w:beforeLines="50"/>
              <w:jc w:val="center"/>
              <w:rPr>
                <w:rFonts w:ascii="宋体" w:hAnsi="宋体" w:cs="宋体"/>
                <w:bCs/>
                <w:sz w:val="20"/>
                <w:szCs w:val="20"/>
                <w:highlight w:val="none"/>
              </w:rPr>
            </w:pPr>
            <w:r>
              <w:rPr>
                <w:rFonts w:hint="eastAsia" w:ascii="宋体" w:hAnsi="宋体" w:cs="宋体"/>
                <w:bCs/>
                <w:sz w:val="20"/>
                <w:szCs w:val="20"/>
                <w:highlight w:val="none"/>
              </w:rPr>
              <w:t>14</w:t>
            </w:r>
          </w:p>
        </w:tc>
        <w:tc>
          <w:tcPr>
            <w:tcW w:w="1447" w:type="dxa"/>
            <w:tcBorders>
              <w:top w:val="single" w:color="auto" w:sz="4" w:space="0"/>
              <w:left w:val="nil"/>
              <w:bottom w:val="single" w:color="auto" w:sz="4" w:space="0"/>
              <w:right w:val="single" w:color="auto" w:sz="4" w:space="0"/>
            </w:tcBorders>
            <w:vAlign w:val="center"/>
          </w:tcPr>
          <w:p>
            <w:pPr>
              <w:pStyle w:val="56"/>
              <w:overflowPunct w:val="0"/>
              <w:spacing w:line="0" w:lineRule="atLeast"/>
              <w:jc w:val="center"/>
              <w:rPr>
                <w:rFonts w:ascii="宋体" w:hAnsi="宋体" w:cs="宋体"/>
                <w:bCs/>
                <w:sz w:val="20"/>
                <w:szCs w:val="20"/>
                <w:highlight w:val="none"/>
              </w:rPr>
            </w:pPr>
            <w:r>
              <w:rPr>
                <w:rFonts w:hint="eastAsia" w:ascii="宋体" w:hAnsi="宋体" w:cs="宋体"/>
                <w:bCs/>
                <w:spacing w:val="-8"/>
                <w:sz w:val="20"/>
                <w:szCs w:val="20"/>
                <w:highlight w:val="none"/>
              </w:rPr>
              <w:t>其它(如有请列明)</w:t>
            </w:r>
          </w:p>
        </w:tc>
        <w:tc>
          <w:tcPr>
            <w:tcW w:w="1763" w:type="dxa"/>
            <w:tcBorders>
              <w:top w:val="single" w:color="auto" w:sz="4" w:space="0"/>
              <w:left w:val="single" w:color="auto" w:sz="4" w:space="0"/>
              <w:bottom w:val="single" w:color="auto" w:sz="4" w:space="0"/>
              <w:right w:val="single" w:color="auto" w:sz="4" w:space="0"/>
            </w:tcBorders>
            <w:vAlign w:val="center"/>
          </w:tcPr>
          <w:p>
            <w:pPr>
              <w:pStyle w:val="56"/>
              <w:spacing w:line="0" w:lineRule="atLeast"/>
              <w:ind w:firstLine="567"/>
              <w:jc w:val="center"/>
              <w:rPr>
                <w:rFonts w:ascii="宋体" w:hAnsi="宋体" w:cs="宋体"/>
                <w:bCs/>
                <w:sz w:val="20"/>
                <w:szCs w:val="20"/>
                <w:highlight w:val="none"/>
              </w:rPr>
            </w:pPr>
          </w:p>
        </w:tc>
        <w:tc>
          <w:tcPr>
            <w:tcW w:w="1794" w:type="dxa"/>
            <w:tcBorders>
              <w:top w:val="single" w:color="auto" w:sz="4" w:space="0"/>
              <w:left w:val="single" w:color="auto" w:sz="4" w:space="0"/>
              <w:bottom w:val="single" w:color="auto" w:sz="4" w:space="0"/>
              <w:right w:val="single" w:color="auto" w:sz="4" w:space="0"/>
            </w:tcBorders>
            <w:vAlign w:val="center"/>
          </w:tcPr>
          <w:p>
            <w:pPr>
              <w:pStyle w:val="56"/>
              <w:spacing w:line="0" w:lineRule="atLeast"/>
              <w:ind w:firstLine="567"/>
              <w:jc w:val="center"/>
              <w:rPr>
                <w:rFonts w:ascii="宋体" w:hAnsi="宋体" w:cs="宋体"/>
                <w:bCs/>
                <w:sz w:val="20"/>
                <w:szCs w:val="20"/>
                <w:highlight w:val="none"/>
              </w:rPr>
            </w:pPr>
          </w:p>
        </w:tc>
        <w:tc>
          <w:tcPr>
            <w:tcW w:w="3221" w:type="dxa"/>
            <w:vMerge w:val="continue"/>
            <w:tcBorders>
              <w:left w:val="single" w:color="auto" w:sz="4" w:space="0"/>
              <w:right w:val="single" w:color="auto" w:sz="4" w:space="0"/>
            </w:tcBorders>
            <w:vAlign w:val="center"/>
          </w:tcPr>
          <w:p>
            <w:pPr>
              <w:pStyle w:val="56"/>
              <w:spacing w:line="0" w:lineRule="atLeast"/>
              <w:rPr>
                <w:rFonts w:ascii="宋体" w:hAnsi="宋体" w:cs="宋体"/>
                <w:bCs/>
                <w:sz w:val="20"/>
                <w:szCs w:val="20"/>
                <w:highlight w:val="none"/>
              </w:rPr>
            </w:pPr>
          </w:p>
        </w:tc>
      </w:tr>
      <w:tr>
        <w:tblPrEx>
          <w:tblCellMar>
            <w:top w:w="0" w:type="dxa"/>
            <w:left w:w="108" w:type="dxa"/>
            <w:bottom w:w="0" w:type="dxa"/>
            <w:right w:w="108" w:type="dxa"/>
          </w:tblCellMar>
        </w:tblPrEx>
        <w:trPr>
          <w:cantSplit/>
          <w:trHeight w:val="412" w:hRule="atLeast"/>
        </w:trPr>
        <w:tc>
          <w:tcPr>
            <w:tcW w:w="888" w:type="dxa"/>
            <w:tcBorders>
              <w:top w:val="single" w:color="auto" w:sz="4" w:space="0"/>
              <w:left w:val="single" w:color="auto" w:sz="4" w:space="0"/>
              <w:bottom w:val="single" w:color="auto" w:sz="4" w:space="0"/>
              <w:right w:val="single" w:color="auto" w:sz="4" w:space="0"/>
            </w:tcBorders>
            <w:vAlign w:val="center"/>
          </w:tcPr>
          <w:p>
            <w:pPr>
              <w:pStyle w:val="56"/>
              <w:spacing w:beforeLines="50"/>
              <w:jc w:val="center"/>
              <w:rPr>
                <w:rFonts w:ascii="宋体" w:hAnsi="宋体" w:cs="宋体"/>
                <w:bCs/>
                <w:sz w:val="20"/>
                <w:szCs w:val="20"/>
                <w:highlight w:val="none"/>
              </w:rPr>
            </w:pPr>
            <w:r>
              <w:rPr>
                <w:rFonts w:hint="eastAsia" w:ascii="宋体" w:hAnsi="宋体" w:cs="宋体"/>
                <w:bCs/>
                <w:sz w:val="20"/>
                <w:szCs w:val="20"/>
                <w:highlight w:val="none"/>
              </w:rPr>
              <w:t>15</w:t>
            </w:r>
          </w:p>
        </w:tc>
        <w:tc>
          <w:tcPr>
            <w:tcW w:w="1447" w:type="dxa"/>
            <w:tcBorders>
              <w:top w:val="single" w:color="auto" w:sz="4" w:space="0"/>
              <w:left w:val="nil"/>
              <w:bottom w:val="single" w:color="auto" w:sz="4" w:space="0"/>
              <w:right w:val="single" w:color="auto" w:sz="4" w:space="0"/>
            </w:tcBorders>
            <w:vAlign w:val="center"/>
          </w:tcPr>
          <w:p>
            <w:pPr>
              <w:pStyle w:val="56"/>
              <w:overflowPunct w:val="0"/>
              <w:spacing w:line="0" w:lineRule="atLeast"/>
              <w:jc w:val="center"/>
              <w:rPr>
                <w:rFonts w:ascii="宋体" w:hAnsi="宋体" w:cs="宋体"/>
                <w:bCs/>
                <w:spacing w:val="-20"/>
                <w:sz w:val="20"/>
                <w:szCs w:val="20"/>
                <w:highlight w:val="none"/>
              </w:rPr>
            </w:pPr>
            <w:r>
              <w:rPr>
                <w:rFonts w:hint="eastAsia" w:ascii="宋体" w:hAnsi="宋体" w:cs="宋体"/>
                <w:bCs/>
                <w:spacing w:val="-8"/>
                <w:sz w:val="20"/>
                <w:szCs w:val="20"/>
                <w:highlight w:val="none"/>
              </w:rPr>
              <w:t>毛利润</w:t>
            </w:r>
          </w:p>
        </w:tc>
        <w:tc>
          <w:tcPr>
            <w:tcW w:w="1763" w:type="dxa"/>
            <w:tcBorders>
              <w:top w:val="single" w:color="auto" w:sz="4" w:space="0"/>
              <w:left w:val="single" w:color="auto" w:sz="4" w:space="0"/>
              <w:bottom w:val="single" w:color="auto" w:sz="4" w:space="0"/>
              <w:right w:val="single" w:color="auto" w:sz="4" w:space="0"/>
            </w:tcBorders>
            <w:vAlign w:val="center"/>
          </w:tcPr>
          <w:p>
            <w:pPr>
              <w:pStyle w:val="56"/>
              <w:spacing w:line="0" w:lineRule="atLeast"/>
              <w:ind w:firstLine="567"/>
              <w:jc w:val="center"/>
              <w:rPr>
                <w:rFonts w:ascii="宋体" w:hAnsi="宋体" w:cs="宋体"/>
                <w:bCs/>
                <w:sz w:val="20"/>
                <w:szCs w:val="20"/>
                <w:highlight w:val="none"/>
              </w:rPr>
            </w:pPr>
          </w:p>
        </w:tc>
        <w:tc>
          <w:tcPr>
            <w:tcW w:w="1794" w:type="dxa"/>
            <w:tcBorders>
              <w:top w:val="single" w:color="auto" w:sz="4" w:space="0"/>
              <w:left w:val="single" w:color="auto" w:sz="4" w:space="0"/>
              <w:bottom w:val="single" w:color="auto" w:sz="4" w:space="0"/>
              <w:right w:val="single" w:color="auto" w:sz="4" w:space="0"/>
            </w:tcBorders>
            <w:vAlign w:val="center"/>
          </w:tcPr>
          <w:p>
            <w:pPr>
              <w:pStyle w:val="56"/>
              <w:spacing w:line="0" w:lineRule="atLeast"/>
              <w:ind w:firstLine="567"/>
              <w:jc w:val="center"/>
              <w:rPr>
                <w:rFonts w:ascii="宋体" w:hAnsi="宋体" w:cs="宋体"/>
                <w:bCs/>
                <w:sz w:val="20"/>
                <w:szCs w:val="20"/>
                <w:highlight w:val="none"/>
              </w:rPr>
            </w:pPr>
          </w:p>
        </w:tc>
        <w:tc>
          <w:tcPr>
            <w:tcW w:w="3221" w:type="dxa"/>
            <w:vMerge w:val="continue"/>
            <w:tcBorders>
              <w:left w:val="single" w:color="auto" w:sz="4" w:space="0"/>
              <w:right w:val="single" w:color="auto" w:sz="4" w:space="0"/>
            </w:tcBorders>
            <w:vAlign w:val="center"/>
          </w:tcPr>
          <w:p>
            <w:pPr>
              <w:pStyle w:val="56"/>
              <w:spacing w:line="0" w:lineRule="atLeast"/>
              <w:rPr>
                <w:rFonts w:ascii="宋体" w:hAnsi="宋体" w:cs="宋体"/>
                <w:bCs/>
                <w:sz w:val="20"/>
                <w:szCs w:val="20"/>
                <w:highlight w:val="none"/>
              </w:rPr>
            </w:pPr>
          </w:p>
        </w:tc>
      </w:tr>
      <w:tr>
        <w:tblPrEx>
          <w:tblCellMar>
            <w:top w:w="0" w:type="dxa"/>
            <w:left w:w="108" w:type="dxa"/>
            <w:bottom w:w="0" w:type="dxa"/>
            <w:right w:w="108" w:type="dxa"/>
          </w:tblCellMar>
        </w:tblPrEx>
        <w:trPr>
          <w:cantSplit/>
          <w:trHeight w:val="412" w:hRule="atLeast"/>
        </w:trPr>
        <w:tc>
          <w:tcPr>
            <w:tcW w:w="888" w:type="dxa"/>
            <w:tcBorders>
              <w:top w:val="single" w:color="auto" w:sz="4" w:space="0"/>
              <w:left w:val="single" w:color="auto" w:sz="4" w:space="0"/>
              <w:bottom w:val="single" w:color="auto" w:sz="4" w:space="0"/>
              <w:right w:val="single" w:color="auto" w:sz="4" w:space="0"/>
            </w:tcBorders>
            <w:vAlign w:val="center"/>
          </w:tcPr>
          <w:p>
            <w:pPr>
              <w:pStyle w:val="56"/>
              <w:spacing w:beforeLines="50"/>
              <w:jc w:val="center"/>
              <w:rPr>
                <w:rFonts w:ascii="宋体" w:hAnsi="宋体" w:cs="宋体"/>
                <w:bCs/>
                <w:sz w:val="20"/>
                <w:szCs w:val="20"/>
                <w:highlight w:val="none"/>
              </w:rPr>
            </w:pPr>
            <w:r>
              <w:rPr>
                <w:rFonts w:hint="eastAsia" w:ascii="宋体" w:hAnsi="宋体" w:cs="宋体"/>
                <w:bCs/>
                <w:sz w:val="20"/>
                <w:szCs w:val="20"/>
                <w:highlight w:val="none"/>
              </w:rPr>
              <w:t>16</w:t>
            </w:r>
          </w:p>
        </w:tc>
        <w:tc>
          <w:tcPr>
            <w:tcW w:w="1447" w:type="dxa"/>
            <w:tcBorders>
              <w:top w:val="single" w:color="auto" w:sz="4" w:space="0"/>
              <w:left w:val="nil"/>
              <w:bottom w:val="single" w:color="auto" w:sz="4" w:space="0"/>
              <w:right w:val="single" w:color="auto" w:sz="4" w:space="0"/>
            </w:tcBorders>
            <w:vAlign w:val="center"/>
          </w:tcPr>
          <w:p>
            <w:pPr>
              <w:pStyle w:val="56"/>
              <w:overflowPunct w:val="0"/>
              <w:spacing w:line="0" w:lineRule="atLeast"/>
              <w:jc w:val="center"/>
              <w:rPr>
                <w:rFonts w:ascii="宋体" w:hAnsi="宋体" w:cs="宋体"/>
                <w:bCs/>
                <w:spacing w:val="-8"/>
                <w:sz w:val="20"/>
                <w:szCs w:val="20"/>
                <w:highlight w:val="none"/>
              </w:rPr>
            </w:pPr>
            <w:r>
              <w:rPr>
                <w:rFonts w:hint="eastAsia" w:ascii="宋体" w:hAnsi="宋体" w:cs="宋体"/>
                <w:bCs/>
                <w:spacing w:val="-8"/>
                <w:sz w:val="20"/>
                <w:szCs w:val="20"/>
                <w:highlight w:val="none"/>
              </w:rPr>
              <w:t>税金及附加</w:t>
            </w:r>
          </w:p>
        </w:tc>
        <w:tc>
          <w:tcPr>
            <w:tcW w:w="1763" w:type="dxa"/>
            <w:tcBorders>
              <w:top w:val="single" w:color="auto" w:sz="4" w:space="0"/>
              <w:left w:val="single" w:color="auto" w:sz="4" w:space="0"/>
              <w:bottom w:val="single" w:color="auto" w:sz="4" w:space="0"/>
              <w:right w:val="single" w:color="auto" w:sz="4" w:space="0"/>
            </w:tcBorders>
            <w:vAlign w:val="center"/>
          </w:tcPr>
          <w:p>
            <w:pPr>
              <w:pStyle w:val="56"/>
              <w:spacing w:line="0" w:lineRule="atLeast"/>
              <w:ind w:firstLine="567"/>
              <w:jc w:val="center"/>
              <w:rPr>
                <w:rFonts w:ascii="宋体" w:hAnsi="宋体" w:cs="宋体"/>
                <w:bCs/>
                <w:sz w:val="20"/>
                <w:szCs w:val="20"/>
                <w:highlight w:val="none"/>
              </w:rPr>
            </w:pPr>
          </w:p>
        </w:tc>
        <w:tc>
          <w:tcPr>
            <w:tcW w:w="1794" w:type="dxa"/>
            <w:tcBorders>
              <w:top w:val="single" w:color="auto" w:sz="4" w:space="0"/>
              <w:left w:val="single" w:color="auto" w:sz="4" w:space="0"/>
              <w:bottom w:val="single" w:color="auto" w:sz="4" w:space="0"/>
              <w:right w:val="single" w:color="auto" w:sz="4" w:space="0"/>
            </w:tcBorders>
            <w:vAlign w:val="center"/>
          </w:tcPr>
          <w:p>
            <w:pPr>
              <w:pStyle w:val="56"/>
              <w:spacing w:line="0" w:lineRule="atLeast"/>
              <w:ind w:firstLine="567"/>
              <w:jc w:val="center"/>
              <w:rPr>
                <w:rFonts w:ascii="宋体" w:hAnsi="宋体" w:cs="宋体"/>
                <w:bCs/>
                <w:sz w:val="20"/>
                <w:szCs w:val="20"/>
                <w:highlight w:val="none"/>
              </w:rPr>
            </w:pPr>
          </w:p>
        </w:tc>
        <w:tc>
          <w:tcPr>
            <w:tcW w:w="3221" w:type="dxa"/>
            <w:vMerge w:val="continue"/>
            <w:tcBorders>
              <w:left w:val="single" w:color="auto" w:sz="4" w:space="0"/>
              <w:right w:val="single" w:color="auto" w:sz="4" w:space="0"/>
            </w:tcBorders>
            <w:vAlign w:val="center"/>
          </w:tcPr>
          <w:p>
            <w:pPr>
              <w:pStyle w:val="56"/>
              <w:spacing w:line="0" w:lineRule="atLeast"/>
              <w:rPr>
                <w:rFonts w:ascii="宋体" w:hAnsi="宋体" w:cs="宋体"/>
                <w:bCs/>
                <w:sz w:val="20"/>
                <w:szCs w:val="20"/>
                <w:highlight w:val="none"/>
              </w:rPr>
            </w:pPr>
          </w:p>
        </w:tc>
      </w:tr>
      <w:tr>
        <w:tblPrEx>
          <w:tblCellMar>
            <w:top w:w="0" w:type="dxa"/>
            <w:left w:w="108" w:type="dxa"/>
            <w:bottom w:w="0" w:type="dxa"/>
            <w:right w:w="108" w:type="dxa"/>
          </w:tblCellMar>
        </w:tblPrEx>
        <w:trPr>
          <w:cantSplit/>
          <w:trHeight w:val="412" w:hRule="atLeast"/>
        </w:trPr>
        <w:tc>
          <w:tcPr>
            <w:tcW w:w="888" w:type="dxa"/>
            <w:tcBorders>
              <w:top w:val="single" w:color="auto" w:sz="4" w:space="0"/>
              <w:left w:val="single" w:color="auto" w:sz="4" w:space="0"/>
              <w:bottom w:val="single" w:color="auto" w:sz="4" w:space="0"/>
              <w:right w:val="single" w:color="auto" w:sz="4" w:space="0"/>
            </w:tcBorders>
            <w:vAlign w:val="center"/>
          </w:tcPr>
          <w:p>
            <w:pPr>
              <w:pStyle w:val="56"/>
              <w:spacing w:beforeLines="50"/>
              <w:jc w:val="center"/>
              <w:rPr>
                <w:rFonts w:ascii="宋体" w:hAnsi="宋体" w:cs="宋体"/>
                <w:bCs/>
                <w:sz w:val="20"/>
                <w:szCs w:val="20"/>
                <w:highlight w:val="none"/>
              </w:rPr>
            </w:pPr>
            <w:r>
              <w:rPr>
                <w:rFonts w:hint="eastAsia" w:ascii="宋体" w:hAnsi="宋体" w:cs="宋体"/>
                <w:bCs/>
                <w:sz w:val="20"/>
                <w:szCs w:val="20"/>
                <w:highlight w:val="none"/>
              </w:rPr>
              <w:t>17</w:t>
            </w:r>
          </w:p>
        </w:tc>
        <w:tc>
          <w:tcPr>
            <w:tcW w:w="1447" w:type="dxa"/>
            <w:tcBorders>
              <w:top w:val="single" w:color="auto" w:sz="4" w:space="0"/>
              <w:left w:val="nil"/>
              <w:bottom w:val="single" w:color="auto" w:sz="4" w:space="0"/>
              <w:right w:val="single" w:color="auto" w:sz="4" w:space="0"/>
            </w:tcBorders>
            <w:vAlign w:val="center"/>
          </w:tcPr>
          <w:p>
            <w:pPr>
              <w:pStyle w:val="56"/>
              <w:overflowPunct w:val="0"/>
              <w:spacing w:line="0" w:lineRule="atLeast"/>
              <w:jc w:val="center"/>
              <w:rPr>
                <w:rFonts w:ascii="宋体" w:hAnsi="宋体" w:cs="宋体"/>
                <w:bCs/>
                <w:spacing w:val="-8"/>
                <w:sz w:val="20"/>
                <w:szCs w:val="20"/>
                <w:highlight w:val="none"/>
              </w:rPr>
            </w:pPr>
            <w:r>
              <w:rPr>
                <w:rFonts w:hint="eastAsia" w:ascii="宋体" w:hAnsi="宋体" w:cs="宋体"/>
                <w:bCs/>
                <w:spacing w:val="-8"/>
                <w:sz w:val="20"/>
                <w:szCs w:val="20"/>
                <w:highlight w:val="none"/>
              </w:rPr>
              <w:t>所得税</w:t>
            </w:r>
          </w:p>
        </w:tc>
        <w:tc>
          <w:tcPr>
            <w:tcW w:w="1763" w:type="dxa"/>
            <w:tcBorders>
              <w:top w:val="single" w:color="auto" w:sz="4" w:space="0"/>
              <w:left w:val="single" w:color="auto" w:sz="4" w:space="0"/>
              <w:bottom w:val="single" w:color="auto" w:sz="4" w:space="0"/>
              <w:right w:val="single" w:color="auto" w:sz="4" w:space="0"/>
            </w:tcBorders>
            <w:vAlign w:val="center"/>
          </w:tcPr>
          <w:p>
            <w:pPr>
              <w:pStyle w:val="56"/>
              <w:spacing w:line="0" w:lineRule="atLeast"/>
              <w:ind w:firstLine="567"/>
              <w:jc w:val="center"/>
              <w:rPr>
                <w:rFonts w:ascii="宋体" w:hAnsi="宋体" w:cs="宋体"/>
                <w:bCs/>
                <w:sz w:val="20"/>
                <w:szCs w:val="20"/>
                <w:highlight w:val="none"/>
              </w:rPr>
            </w:pPr>
          </w:p>
        </w:tc>
        <w:tc>
          <w:tcPr>
            <w:tcW w:w="1794" w:type="dxa"/>
            <w:tcBorders>
              <w:top w:val="single" w:color="auto" w:sz="4" w:space="0"/>
              <w:left w:val="single" w:color="auto" w:sz="4" w:space="0"/>
              <w:bottom w:val="single" w:color="auto" w:sz="4" w:space="0"/>
              <w:right w:val="single" w:color="auto" w:sz="4" w:space="0"/>
            </w:tcBorders>
            <w:vAlign w:val="center"/>
          </w:tcPr>
          <w:p>
            <w:pPr>
              <w:pStyle w:val="56"/>
              <w:spacing w:line="0" w:lineRule="atLeast"/>
              <w:ind w:firstLine="567"/>
              <w:jc w:val="center"/>
              <w:rPr>
                <w:rFonts w:ascii="宋体" w:hAnsi="宋体" w:cs="宋体"/>
                <w:bCs/>
                <w:sz w:val="20"/>
                <w:szCs w:val="20"/>
                <w:highlight w:val="none"/>
              </w:rPr>
            </w:pPr>
          </w:p>
        </w:tc>
        <w:tc>
          <w:tcPr>
            <w:tcW w:w="3221" w:type="dxa"/>
            <w:vMerge w:val="continue"/>
            <w:tcBorders>
              <w:left w:val="single" w:color="auto" w:sz="4" w:space="0"/>
              <w:right w:val="single" w:color="auto" w:sz="4" w:space="0"/>
            </w:tcBorders>
            <w:vAlign w:val="center"/>
          </w:tcPr>
          <w:p>
            <w:pPr>
              <w:pStyle w:val="56"/>
              <w:spacing w:line="0" w:lineRule="atLeast"/>
              <w:rPr>
                <w:rFonts w:ascii="宋体" w:hAnsi="宋体" w:cs="宋体"/>
                <w:bCs/>
                <w:sz w:val="20"/>
                <w:szCs w:val="20"/>
                <w:highlight w:val="none"/>
              </w:rPr>
            </w:pPr>
          </w:p>
        </w:tc>
      </w:tr>
      <w:tr>
        <w:tblPrEx>
          <w:tblCellMar>
            <w:top w:w="0" w:type="dxa"/>
            <w:left w:w="108" w:type="dxa"/>
            <w:bottom w:w="0" w:type="dxa"/>
            <w:right w:w="108" w:type="dxa"/>
          </w:tblCellMar>
        </w:tblPrEx>
        <w:trPr>
          <w:cantSplit/>
          <w:trHeight w:val="285" w:hRule="atLeast"/>
        </w:trPr>
        <w:tc>
          <w:tcPr>
            <w:tcW w:w="888" w:type="dxa"/>
            <w:tcBorders>
              <w:top w:val="nil"/>
              <w:left w:val="single" w:color="auto" w:sz="4" w:space="0"/>
              <w:bottom w:val="single" w:color="auto" w:sz="4" w:space="0"/>
              <w:right w:val="single" w:color="auto" w:sz="4" w:space="0"/>
            </w:tcBorders>
            <w:vAlign w:val="center"/>
          </w:tcPr>
          <w:p>
            <w:pPr>
              <w:pStyle w:val="56"/>
              <w:spacing w:beforeLines="50"/>
              <w:jc w:val="center"/>
              <w:rPr>
                <w:rFonts w:ascii="宋体" w:hAnsi="宋体" w:cs="宋体"/>
                <w:bCs/>
                <w:sz w:val="20"/>
                <w:szCs w:val="20"/>
                <w:highlight w:val="none"/>
              </w:rPr>
            </w:pPr>
            <w:r>
              <w:rPr>
                <w:rFonts w:hint="eastAsia" w:ascii="宋体" w:hAnsi="宋体" w:cs="宋体"/>
                <w:bCs/>
                <w:sz w:val="20"/>
                <w:szCs w:val="20"/>
                <w:highlight w:val="none"/>
              </w:rPr>
              <w:t>18</w:t>
            </w:r>
          </w:p>
        </w:tc>
        <w:tc>
          <w:tcPr>
            <w:tcW w:w="1447" w:type="dxa"/>
            <w:tcBorders>
              <w:top w:val="single" w:color="auto" w:sz="4" w:space="0"/>
              <w:left w:val="nil"/>
              <w:bottom w:val="single" w:color="auto" w:sz="4" w:space="0"/>
              <w:right w:val="single" w:color="auto" w:sz="4" w:space="0"/>
            </w:tcBorders>
            <w:vAlign w:val="center"/>
          </w:tcPr>
          <w:p>
            <w:pPr>
              <w:pStyle w:val="56"/>
              <w:spacing w:line="0" w:lineRule="atLeast"/>
              <w:jc w:val="center"/>
              <w:rPr>
                <w:rFonts w:ascii="宋体" w:hAnsi="宋体" w:cs="宋体"/>
                <w:bCs/>
                <w:sz w:val="20"/>
                <w:szCs w:val="20"/>
                <w:highlight w:val="none"/>
              </w:rPr>
            </w:pPr>
            <w:r>
              <w:rPr>
                <w:rFonts w:hint="eastAsia" w:ascii="宋体" w:hAnsi="宋体" w:cs="宋体"/>
                <w:bCs/>
                <w:sz w:val="20"/>
                <w:szCs w:val="20"/>
                <w:highlight w:val="none"/>
              </w:rPr>
              <w:t>合 计</w:t>
            </w:r>
          </w:p>
          <w:p>
            <w:pPr>
              <w:pStyle w:val="56"/>
              <w:spacing w:line="0" w:lineRule="atLeast"/>
              <w:jc w:val="center"/>
              <w:rPr>
                <w:rFonts w:ascii="宋体" w:hAnsi="宋体" w:cs="宋体"/>
                <w:bCs/>
                <w:sz w:val="20"/>
                <w:szCs w:val="20"/>
                <w:highlight w:val="none"/>
              </w:rPr>
            </w:pPr>
            <w:r>
              <w:rPr>
                <w:rFonts w:hint="eastAsia" w:ascii="宋体" w:hAnsi="宋体" w:cs="宋体"/>
                <w:bCs/>
                <w:sz w:val="20"/>
                <w:szCs w:val="20"/>
                <w:highlight w:val="none"/>
              </w:rPr>
              <w:t>（即运营服务费全费用综合单价）</w:t>
            </w:r>
          </w:p>
        </w:tc>
        <w:tc>
          <w:tcPr>
            <w:tcW w:w="1763" w:type="dxa"/>
            <w:tcBorders>
              <w:top w:val="single" w:color="auto" w:sz="4" w:space="0"/>
              <w:left w:val="single" w:color="auto" w:sz="4" w:space="0"/>
              <w:bottom w:val="single" w:color="auto" w:sz="4" w:space="0"/>
              <w:right w:val="single" w:color="auto" w:sz="4" w:space="0"/>
            </w:tcBorders>
            <w:vAlign w:val="bottom"/>
          </w:tcPr>
          <w:p>
            <w:pPr>
              <w:pStyle w:val="56"/>
              <w:spacing w:beforeLines="50"/>
              <w:ind w:firstLine="567"/>
              <w:rPr>
                <w:rFonts w:ascii="宋体" w:hAnsi="宋体" w:cs="宋体"/>
                <w:bCs/>
                <w:sz w:val="20"/>
                <w:szCs w:val="20"/>
                <w:highlight w:val="none"/>
              </w:rPr>
            </w:pPr>
          </w:p>
        </w:tc>
        <w:tc>
          <w:tcPr>
            <w:tcW w:w="1794" w:type="dxa"/>
            <w:tcBorders>
              <w:top w:val="single" w:color="auto" w:sz="4" w:space="0"/>
              <w:left w:val="single" w:color="auto" w:sz="4" w:space="0"/>
              <w:bottom w:val="single" w:color="auto" w:sz="4" w:space="0"/>
              <w:right w:val="single" w:color="auto" w:sz="4" w:space="0"/>
            </w:tcBorders>
            <w:vAlign w:val="bottom"/>
          </w:tcPr>
          <w:p>
            <w:pPr>
              <w:pStyle w:val="56"/>
              <w:spacing w:beforeLines="50"/>
              <w:ind w:firstLine="567"/>
              <w:rPr>
                <w:rFonts w:ascii="宋体" w:hAnsi="宋体" w:cs="宋体"/>
                <w:bCs/>
                <w:sz w:val="20"/>
                <w:szCs w:val="20"/>
                <w:highlight w:val="none"/>
              </w:rPr>
            </w:pPr>
          </w:p>
        </w:tc>
        <w:tc>
          <w:tcPr>
            <w:tcW w:w="3221" w:type="dxa"/>
            <w:vMerge w:val="continue"/>
            <w:tcBorders>
              <w:left w:val="single" w:color="auto" w:sz="4" w:space="0"/>
              <w:bottom w:val="single" w:color="auto" w:sz="4" w:space="0"/>
              <w:right w:val="single" w:color="auto" w:sz="4" w:space="0"/>
            </w:tcBorders>
            <w:vAlign w:val="bottom"/>
          </w:tcPr>
          <w:p>
            <w:pPr>
              <w:pStyle w:val="56"/>
              <w:spacing w:beforeLines="50"/>
              <w:ind w:firstLine="567"/>
              <w:rPr>
                <w:rFonts w:ascii="宋体" w:hAnsi="宋体" w:cs="宋体"/>
                <w:bCs/>
                <w:sz w:val="20"/>
                <w:szCs w:val="20"/>
                <w:highlight w:val="none"/>
              </w:rPr>
            </w:pPr>
          </w:p>
        </w:tc>
      </w:tr>
    </w:tbl>
    <w:p>
      <w:pPr>
        <w:pStyle w:val="56"/>
        <w:spacing w:beforeLines="50"/>
        <w:ind w:firstLine="567"/>
        <w:rPr>
          <w:rFonts w:ascii="宋体" w:hAnsi="宋体" w:cs="宋体"/>
          <w:bCs/>
          <w:snapToGrid w:val="0"/>
          <w:sz w:val="20"/>
          <w:szCs w:val="20"/>
          <w:highlight w:val="none"/>
        </w:rPr>
      </w:pPr>
      <w:r>
        <w:rPr>
          <w:rFonts w:hint="eastAsia" w:ascii="宋体" w:hAnsi="宋体" w:cs="宋体"/>
          <w:bCs/>
          <w:snapToGrid w:val="0"/>
          <w:sz w:val="20"/>
          <w:szCs w:val="20"/>
          <w:highlight w:val="none"/>
        </w:rPr>
        <w:t>注：</w:t>
      </w:r>
      <w:r>
        <w:rPr>
          <w:rFonts w:ascii="Wingdings" w:hAnsi="Wingdings" w:cs="宋体"/>
          <w:bCs/>
          <w:snapToGrid w:val="0"/>
          <w:sz w:val="20"/>
          <w:szCs w:val="20"/>
          <w:highlight w:val="none"/>
        </w:rPr>
        <w:t></w:t>
      </w:r>
      <w:r>
        <w:rPr>
          <w:rFonts w:hint="eastAsia" w:ascii="宋体" w:hAnsi="宋体" w:cs="宋体"/>
          <w:bCs/>
          <w:snapToGrid w:val="0"/>
          <w:sz w:val="20"/>
          <w:szCs w:val="20"/>
          <w:highlight w:val="none"/>
        </w:rPr>
        <w:t xml:space="preserve"> 化学品费不含水质检测使用的化学品或药剂；</w:t>
      </w:r>
    </w:p>
    <w:p>
      <w:pPr>
        <w:pStyle w:val="56"/>
        <w:spacing w:beforeLines="50"/>
        <w:ind w:firstLine="567"/>
        <w:rPr>
          <w:rFonts w:ascii="宋体" w:hAnsi="宋体" w:cs="宋体"/>
          <w:bCs/>
          <w:snapToGrid w:val="0"/>
          <w:sz w:val="20"/>
          <w:szCs w:val="20"/>
          <w:highlight w:val="none"/>
        </w:rPr>
      </w:pPr>
      <w:r>
        <w:rPr>
          <w:rFonts w:ascii="Wingdings" w:hAnsi="Wingdings" w:cs="宋体"/>
          <w:bCs/>
          <w:snapToGrid w:val="0"/>
          <w:sz w:val="20"/>
          <w:szCs w:val="20"/>
          <w:highlight w:val="none"/>
        </w:rPr>
        <w:t></w:t>
      </w:r>
      <w:r>
        <w:rPr>
          <w:rFonts w:hint="eastAsia" w:ascii="宋体" w:hAnsi="宋体" w:cs="宋体"/>
          <w:bCs/>
          <w:snapToGrid w:val="0"/>
          <w:sz w:val="20"/>
          <w:szCs w:val="20"/>
          <w:highlight w:val="none"/>
        </w:rPr>
        <w:t xml:space="preserve"> 管理费中不含任何工资福利费，乙方所有人员的工资及福利费（含社保）均计入第2项工资福利费中；</w:t>
      </w:r>
    </w:p>
    <w:p>
      <w:pPr>
        <w:pStyle w:val="56"/>
        <w:spacing w:beforeLines="50"/>
        <w:ind w:firstLine="567"/>
        <w:rPr>
          <w:rFonts w:ascii="宋体" w:hAnsi="宋体" w:cs="宋体"/>
          <w:bCs/>
          <w:sz w:val="20"/>
          <w:szCs w:val="20"/>
          <w:highlight w:val="none"/>
        </w:rPr>
      </w:pPr>
      <w:r>
        <w:rPr>
          <w:rFonts w:ascii="Wingdings" w:hAnsi="Wingdings" w:cs="宋体"/>
          <w:bCs/>
          <w:snapToGrid w:val="0"/>
          <w:sz w:val="20"/>
          <w:szCs w:val="20"/>
          <w:highlight w:val="none"/>
        </w:rPr>
        <w:t></w:t>
      </w:r>
      <w:r>
        <w:rPr>
          <w:rFonts w:hint="eastAsia" w:ascii="宋体" w:hAnsi="宋体" w:cs="宋体"/>
          <w:bCs/>
          <w:snapToGrid w:val="0"/>
          <w:sz w:val="20"/>
          <w:szCs w:val="20"/>
          <w:highlight w:val="none"/>
        </w:rPr>
        <w:t xml:space="preserve"> 本表数字应精确到小数点后四位。</w:t>
      </w:r>
    </w:p>
    <w:p>
      <w:pPr>
        <w:pStyle w:val="56"/>
        <w:jc w:val="center"/>
        <w:rPr>
          <w:rFonts w:ascii="黑体" w:hAnsi="黑体" w:eastAsia="黑体"/>
          <w:sz w:val="30"/>
          <w:szCs w:val="30"/>
          <w:highlight w:val="none"/>
        </w:rPr>
      </w:pPr>
    </w:p>
    <w:p>
      <w:pPr>
        <w:pStyle w:val="56"/>
        <w:jc w:val="center"/>
        <w:rPr>
          <w:rFonts w:ascii="黑体" w:hAnsi="黑体" w:eastAsia="黑体"/>
          <w:sz w:val="30"/>
          <w:szCs w:val="30"/>
          <w:highlight w:val="none"/>
        </w:rPr>
      </w:pPr>
      <w:r>
        <w:rPr>
          <w:rFonts w:hint="eastAsia" w:ascii="黑体" w:hAnsi="黑体" w:eastAsia="黑体"/>
          <w:sz w:val="30"/>
          <w:szCs w:val="30"/>
          <w:highlight w:val="none"/>
        </w:rPr>
        <w:t>（三）《衢州市衢江区集镇污水处理厂）运营服务协议》</w:t>
      </w:r>
    </w:p>
    <w:p>
      <w:pPr>
        <w:pStyle w:val="56"/>
        <w:jc w:val="center"/>
        <w:rPr>
          <w:sz w:val="30"/>
          <w:szCs w:val="30"/>
          <w:highlight w:val="none"/>
        </w:rPr>
      </w:pPr>
      <w:r>
        <w:rPr>
          <w:rFonts w:hint="eastAsia" w:ascii="黑体" w:hAnsi="黑体" w:eastAsia="黑体"/>
          <w:sz w:val="30"/>
          <w:szCs w:val="30"/>
          <w:highlight w:val="none"/>
        </w:rPr>
        <w:t>承继合同</w:t>
      </w:r>
    </w:p>
    <w:p>
      <w:pPr>
        <w:pStyle w:val="56"/>
        <w:jc w:val="left"/>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甲方：</w:t>
      </w:r>
      <w:r>
        <w:rPr>
          <w:rFonts w:hint="eastAsia" w:asciiTheme="minorEastAsia" w:hAnsiTheme="minorEastAsia" w:eastAsiaTheme="minorEastAsia" w:cstheme="minorEastAsia"/>
          <w:sz w:val="20"/>
          <w:szCs w:val="20"/>
          <w:highlight w:val="none"/>
          <w:u w:val="single"/>
        </w:rPr>
        <w:t xml:space="preserve">衢州市衢江区住房和城乡建设局    </w:t>
      </w:r>
      <w:r>
        <w:rPr>
          <w:rFonts w:hint="eastAsia" w:asciiTheme="minorEastAsia" w:hAnsiTheme="minorEastAsia" w:eastAsiaTheme="minorEastAsia" w:cstheme="minorEastAsia"/>
          <w:sz w:val="20"/>
          <w:szCs w:val="20"/>
          <w:highlight w:val="none"/>
        </w:rPr>
        <w:t>（以下简称“甲方”）</w:t>
      </w:r>
    </w:p>
    <w:p>
      <w:pPr>
        <w:pStyle w:val="56"/>
        <w:jc w:val="left"/>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乙方：</w:t>
      </w:r>
      <w:r>
        <w:rPr>
          <w:rFonts w:hint="eastAsia" w:asciiTheme="minorEastAsia" w:hAnsiTheme="minorEastAsia" w:eastAsiaTheme="minorEastAsia" w:cstheme="minorEastAsia"/>
          <w:sz w:val="20"/>
          <w:szCs w:val="20"/>
          <w:highlight w:val="none"/>
          <w:u w:val="single"/>
        </w:rPr>
        <w:t xml:space="preserve">    （中标人全称）          </w:t>
      </w:r>
      <w:r>
        <w:rPr>
          <w:rFonts w:hint="eastAsia" w:asciiTheme="minorEastAsia" w:hAnsiTheme="minorEastAsia" w:eastAsiaTheme="minorEastAsia" w:cstheme="minorEastAsia"/>
          <w:sz w:val="20"/>
          <w:szCs w:val="20"/>
          <w:highlight w:val="none"/>
        </w:rPr>
        <w:t>（以下简称“乙方”）</w:t>
      </w:r>
    </w:p>
    <w:p>
      <w:pPr>
        <w:pStyle w:val="56"/>
        <w:jc w:val="left"/>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丙方：</w:t>
      </w:r>
      <w:r>
        <w:rPr>
          <w:rFonts w:hint="eastAsia" w:asciiTheme="minorEastAsia" w:hAnsiTheme="minorEastAsia" w:eastAsiaTheme="minorEastAsia" w:cstheme="minorEastAsia"/>
          <w:sz w:val="20"/>
          <w:szCs w:val="20"/>
          <w:highlight w:val="none"/>
          <w:u w:val="single"/>
        </w:rPr>
        <w:t xml:space="preserve">    （运营项目公司全称）    </w:t>
      </w:r>
      <w:r>
        <w:rPr>
          <w:rFonts w:hint="eastAsia" w:asciiTheme="minorEastAsia" w:hAnsiTheme="minorEastAsia" w:eastAsiaTheme="minorEastAsia" w:cstheme="minorEastAsia"/>
          <w:sz w:val="20"/>
          <w:szCs w:val="20"/>
          <w:highlight w:val="none"/>
        </w:rPr>
        <w:t>（以下简称“丙方”）</w:t>
      </w:r>
    </w:p>
    <w:p>
      <w:pPr>
        <w:pStyle w:val="56"/>
        <w:jc w:val="left"/>
        <w:rPr>
          <w:rFonts w:asciiTheme="minorEastAsia" w:hAnsiTheme="minorEastAsia" w:eastAsiaTheme="minorEastAsia" w:cstheme="minorEastAsia"/>
          <w:sz w:val="20"/>
          <w:szCs w:val="20"/>
          <w:highlight w:val="none"/>
        </w:rPr>
      </w:pPr>
    </w:p>
    <w:p>
      <w:pPr>
        <w:pStyle w:val="56"/>
        <w:jc w:val="left"/>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鉴于：</w:t>
      </w:r>
    </w:p>
    <w:p>
      <w:pPr>
        <w:pStyle w:val="56"/>
        <w:ind w:firstLine="404" w:firstLineChars="200"/>
        <w:jc w:val="left"/>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甲方与乙方已于2020年</w:t>
      </w:r>
      <w:r>
        <w:rPr>
          <w:rFonts w:hint="eastAsia" w:asciiTheme="minorEastAsia" w:hAnsiTheme="minorEastAsia" w:eastAsiaTheme="minorEastAsia" w:cstheme="minorEastAsia"/>
          <w:sz w:val="20"/>
          <w:szCs w:val="20"/>
          <w:highlight w:val="none"/>
          <w:u w:val="single"/>
        </w:rPr>
        <w:t xml:space="preserve">   </w:t>
      </w:r>
      <w:r>
        <w:rPr>
          <w:rFonts w:hint="eastAsia" w:asciiTheme="minorEastAsia" w:hAnsiTheme="minorEastAsia" w:eastAsiaTheme="minorEastAsia" w:cstheme="minorEastAsia"/>
          <w:sz w:val="20"/>
          <w:szCs w:val="20"/>
          <w:highlight w:val="none"/>
        </w:rPr>
        <w:t>月签署了《衢州市衢江区集镇污水处理厂运营服务协议》：</w:t>
      </w:r>
    </w:p>
    <w:p>
      <w:pPr>
        <w:pStyle w:val="56"/>
        <w:ind w:firstLine="404" w:firstLineChars="200"/>
        <w:jc w:val="left"/>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1、上述合同规定：乙方以注册资本金人民币</w:t>
      </w:r>
      <w:r>
        <w:rPr>
          <w:rFonts w:hint="eastAsia" w:asciiTheme="minorEastAsia" w:hAnsiTheme="minorEastAsia" w:eastAsiaTheme="minorEastAsia" w:cstheme="minorEastAsia"/>
          <w:sz w:val="20"/>
          <w:szCs w:val="20"/>
          <w:highlight w:val="none"/>
          <w:u w:val="single"/>
        </w:rPr>
        <w:t xml:space="preserve">   </w:t>
      </w:r>
      <w:r>
        <w:rPr>
          <w:rFonts w:hint="eastAsia" w:asciiTheme="minorEastAsia" w:hAnsiTheme="minorEastAsia" w:eastAsiaTheme="minorEastAsia" w:cstheme="minorEastAsia"/>
          <w:sz w:val="20"/>
          <w:szCs w:val="20"/>
          <w:highlight w:val="none"/>
        </w:rPr>
        <w:t>万元，全资成立</w:t>
      </w:r>
      <w:r>
        <w:rPr>
          <w:rFonts w:hint="eastAsia" w:asciiTheme="minorEastAsia" w:hAnsiTheme="minorEastAsia" w:eastAsiaTheme="minorEastAsia" w:cstheme="minorEastAsia"/>
          <w:sz w:val="20"/>
          <w:szCs w:val="20"/>
          <w:highlight w:val="none"/>
          <w:u w:val="single"/>
        </w:rPr>
        <w:t xml:space="preserve">   （运营项目公司全称）   </w:t>
      </w:r>
      <w:r>
        <w:rPr>
          <w:rFonts w:hint="eastAsia" w:asciiTheme="minorEastAsia" w:hAnsiTheme="minorEastAsia" w:eastAsiaTheme="minorEastAsia" w:cstheme="minorEastAsia"/>
          <w:sz w:val="20"/>
          <w:szCs w:val="20"/>
          <w:highlight w:val="none"/>
        </w:rPr>
        <w:t>有限责任公司（下称“运营项目公司”或“丙方”）。运营项目公司承继乙方在《衢州市衢江区集镇污水处理厂》项下的权利和义务（乙方单独承担的权利和义务除外）。</w:t>
      </w:r>
    </w:p>
    <w:p>
      <w:pPr>
        <w:pStyle w:val="56"/>
        <w:ind w:firstLine="404" w:firstLineChars="200"/>
        <w:jc w:val="left"/>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2、依据《中华人民共和国合同法》、《（衢州市衢江区集镇污水处理厂）运营服务协议》及有关规定，甲方、乙方和丙方三方通过平等协商，达成如下一致意见：</w:t>
      </w:r>
    </w:p>
    <w:p>
      <w:pPr>
        <w:pStyle w:val="56"/>
        <w:ind w:firstLine="404" w:firstLineChars="200"/>
        <w:jc w:val="left"/>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衢州市衢江区集镇污水处理厂》中约定的乙方的所有权利义务转由丙方概括承受（乙方单独承担的权利和义务除外），本承继合同签署生效后《衢州市衢江区集镇污水处理厂运营服务协议》中约定的乙方权利与义务内容将由丙方承继。但乙方对丙方应承担的违约、赔偿责任等义务仍应承担连带责任，直到所有义务（款项）履约完毕为止。</w:t>
      </w:r>
    </w:p>
    <w:p>
      <w:pPr>
        <w:pStyle w:val="56"/>
        <w:ind w:firstLine="404" w:firstLineChars="200"/>
        <w:jc w:val="left"/>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本协议自三方签字盖章之日起生效。</w:t>
      </w:r>
    </w:p>
    <w:p>
      <w:pPr>
        <w:pStyle w:val="56"/>
        <w:ind w:firstLine="404" w:firstLineChars="200"/>
        <w:jc w:val="left"/>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本合同一式十八份，甲、乙、丙三方各执六份，各份均具有同等法律效力。</w:t>
      </w:r>
    </w:p>
    <w:p>
      <w:pPr>
        <w:pStyle w:val="56"/>
        <w:ind w:firstLine="404" w:firstLineChars="200"/>
        <w:jc w:val="left"/>
        <w:rPr>
          <w:rFonts w:asciiTheme="minorEastAsia" w:hAnsiTheme="minorEastAsia" w:eastAsiaTheme="minorEastAsia" w:cstheme="minorEastAsia"/>
          <w:sz w:val="20"/>
          <w:szCs w:val="20"/>
          <w:highlight w:val="none"/>
        </w:rPr>
      </w:pPr>
    </w:p>
    <w:p>
      <w:pPr>
        <w:pStyle w:val="56"/>
        <w:ind w:firstLine="404" w:firstLineChars="200"/>
        <w:jc w:val="left"/>
        <w:rPr>
          <w:rFonts w:asciiTheme="minorEastAsia" w:hAnsiTheme="minorEastAsia" w:eastAsiaTheme="minorEastAsia" w:cstheme="minorEastAsia"/>
          <w:sz w:val="20"/>
          <w:szCs w:val="20"/>
          <w:highlight w:val="none"/>
        </w:rPr>
      </w:pPr>
    </w:p>
    <w:p>
      <w:pPr>
        <w:pStyle w:val="56"/>
        <w:ind w:firstLine="404" w:firstLineChars="200"/>
        <w:jc w:val="left"/>
        <w:rPr>
          <w:rFonts w:asciiTheme="minorEastAsia" w:hAnsiTheme="minorEastAsia" w:eastAsiaTheme="minorEastAsia" w:cstheme="minorEastAsia"/>
          <w:sz w:val="20"/>
          <w:szCs w:val="20"/>
          <w:highlight w:val="none"/>
        </w:rPr>
      </w:pPr>
    </w:p>
    <w:p>
      <w:pPr>
        <w:pStyle w:val="56"/>
        <w:jc w:val="left"/>
        <w:rPr>
          <w:rFonts w:asciiTheme="minorEastAsia" w:hAnsiTheme="minorEastAsia" w:eastAsiaTheme="minorEastAsia" w:cstheme="minorEastAsia"/>
          <w:sz w:val="20"/>
          <w:szCs w:val="20"/>
          <w:highlight w:val="none"/>
        </w:rPr>
      </w:pPr>
    </w:p>
    <w:p>
      <w:pPr>
        <w:pStyle w:val="56"/>
        <w:jc w:val="left"/>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甲方：</w:t>
      </w:r>
      <w:r>
        <w:rPr>
          <w:rFonts w:hint="eastAsia" w:asciiTheme="minorEastAsia" w:hAnsiTheme="minorEastAsia" w:eastAsiaTheme="minorEastAsia" w:cstheme="minorEastAsia"/>
          <w:sz w:val="20"/>
          <w:szCs w:val="20"/>
          <w:highlight w:val="none"/>
          <w:u w:val="single"/>
        </w:rPr>
        <w:t>衢州市衢江区住房和城乡建设局   （公章）</w:t>
      </w:r>
    </w:p>
    <w:p>
      <w:pPr>
        <w:pStyle w:val="56"/>
        <w:jc w:val="left"/>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法定代表人（或负责人）签字：</w:t>
      </w:r>
    </w:p>
    <w:p>
      <w:pPr>
        <w:pStyle w:val="56"/>
        <w:jc w:val="left"/>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2020年</w:t>
      </w:r>
      <w:r>
        <w:rPr>
          <w:rFonts w:hint="eastAsia" w:asciiTheme="minorEastAsia" w:hAnsiTheme="minorEastAsia" w:eastAsiaTheme="minorEastAsia" w:cstheme="minorEastAsia"/>
          <w:sz w:val="20"/>
          <w:szCs w:val="20"/>
          <w:highlight w:val="none"/>
          <w:u w:val="single"/>
        </w:rPr>
        <w:t xml:space="preserve">    </w:t>
      </w:r>
      <w:r>
        <w:rPr>
          <w:rFonts w:hint="eastAsia" w:asciiTheme="minorEastAsia" w:hAnsiTheme="minorEastAsia" w:eastAsiaTheme="minorEastAsia" w:cstheme="minorEastAsia"/>
          <w:sz w:val="20"/>
          <w:szCs w:val="20"/>
          <w:highlight w:val="none"/>
        </w:rPr>
        <w:t>月</w:t>
      </w:r>
      <w:r>
        <w:rPr>
          <w:rFonts w:hint="eastAsia" w:asciiTheme="minorEastAsia" w:hAnsiTheme="minorEastAsia" w:eastAsiaTheme="minorEastAsia" w:cstheme="minorEastAsia"/>
          <w:sz w:val="20"/>
          <w:szCs w:val="20"/>
          <w:highlight w:val="none"/>
          <w:u w:val="single"/>
        </w:rPr>
        <w:t xml:space="preserve">    </w:t>
      </w:r>
      <w:r>
        <w:rPr>
          <w:rFonts w:hint="eastAsia" w:asciiTheme="minorEastAsia" w:hAnsiTheme="minorEastAsia" w:eastAsiaTheme="minorEastAsia" w:cstheme="minorEastAsia"/>
          <w:sz w:val="20"/>
          <w:szCs w:val="20"/>
          <w:highlight w:val="none"/>
        </w:rPr>
        <w:t>日</w:t>
      </w:r>
    </w:p>
    <w:p>
      <w:pPr>
        <w:pStyle w:val="56"/>
        <w:jc w:val="left"/>
        <w:rPr>
          <w:rFonts w:asciiTheme="minorEastAsia" w:hAnsiTheme="minorEastAsia" w:eastAsiaTheme="minorEastAsia" w:cstheme="minorEastAsia"/>
          <w:sz w:val="20"/>
          <w:szCs w:val="20"/>
          <w:highlight w:val="none"/>
        </w:rPr>
      </w:pPr>
    </w:p>
    <w:p>
      <w:pPr>
        <w:pStyle w:val="56"/>
        <w:jc w:val="left"/>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乙方：</w:t>
      </w:r>
      <w:r>
        <w:rPr>
          <w:rFonts w:hint="eastAsia" w:asciiTheme="minorEastAsia" w:hAnsiTheme="minorEastAsia" w:eastAsiaTheme="minorEastAsia" w:cstheme="minorEastAsia"/>
          <w:sz w:val="20"/>
          <w:szCs w:val="20"/>
          <w:highlight w:val="none"/>
          <w:u w:val="single"/>
        </w:rPr>
        <w:t xml:space="preserve">    （中标人全称）          （公章）</w:t>
      </w:r>
    </w:p>
    <w:p>
      <w:pPr>
        <w:pStyle w:val="56"/>
        <w:jc w:val="left"/>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法定代表人（或授权代表人）签字：</w:t>
      </w:r>
    </w:p>
    <w:p>
      <w:pPr>
        <w:pStyle w:val="56"/>
        <w:jc w:val="left"/>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2020年</w:t>
      </w:r>
      <w:r>
        <w:rPr>
          <w:rFonts w:hint="eastAsia" w:asciiTheme="minorEastAsia" w:hAnsiTheme="minorEastAsia" w:eastAsiaTheme="minorEastAsia" w:cstheme="minorEastAsia"/>
          <w:sz w:val="20"/>
          <w:szCs w:val="20"/>
          <w:highlight w:val="none"/>
          <w:u w:val="single"/>
        </w:rPr>
        <w:t xml:space="preserve">    </w:t>
      </w:r>
      <w:r>
        <w:rPr>
          <w:rFonts w:hint="eastAsia" w:asciiTheme="minorEastAsia" w:hAnsiTheme="minorEastAsia" w:eastAsiaTheme="minorEastAsia" w:cstheme="minorEastAsia"/>
          <w:sz w:val="20"/>
          <w:szCs w:val="20"/>
          <w:highlight w:val="none"/>
        </w:rPr>
        <w:t>月</w:t>
      </w:r>
      <w:r>
        <w:rPr>
          <w:rFonts w:hint="eastAsia" w:asciiTheme="minorEastAsia" w:hAnsiTheme="minorEastAsia" w:eastAsiaTheme="minorEastAsia" w:cstheme="minorEastAsia"/>
          <w:sz w:val="20"/>
          <w:szCs w:val="20"/>
          <w:highlight w:val="none"/>
          <w:u w:val="single"/>
        </w:rPr>
        <w:t xml:space="preserve">    </w:t>
      </w:r>
      <w:r>
        <w:rPr>
          <w:rFonts w:hint="eastAsia" w:asciiTheme="minorEastAsia" w:hAnsiTheme="minorEastAsia" w:eastAsiaTheme="minorEastAsia" w:cstheme="minorEastAsia"/>
          <w:sz w:val="20"/>
          <w:szCs w:val="20"/>
          <w:highlight w:val="none"/>
        </w:rPr>
        <w:t>日</w:t>
      </w:r>
    </w:p>
    <w:p>
      <w:pPr>
        <w:pStyle w:val="56"/>
        <w:jc w:val="left"/>
        <w:rPr>
          <w:rFonts w:asciiTheme="minorEastAsia" w:hAnsiTheme="minorEastAsia" w:eastAsiaTheme="minorEastAsia" w:cstheme="minorEastAsia"/>
          <w:sz w:val="20"/>
          <w:szCs w:val="20"/>
          <w:highlight w:val="none"/>
        </w:rPr>
      </w:pPr>
    </w:p>
    <w:p>
      <w:pPr>
        <w:pStyle w:val="56"/>
        <w:jc w:val="left"/>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丙方：</w:t>
      </w:r>
      <w:r>
        <w:rPr>
          <w:rFonts w:hint="eastAsia" w:asciiTheme="minorEastAsia" w:hAnsiTheme="minorEastAsia" w:eastAsiaTheme="minorEastAsia" w:cstheme="minorEastAsia"/>
          <w:sz w:val="20"/>
          <w:szCs w:val="20"/>
          <w:highlight w:val="none"/>
          <w:u w:val="single"/>
        </w:rPr>
        <w:t xml:space="preserve">    （运营项目公司全称）        （公章）</w:t>
      </w:r>
    </w:p>
    <w:p>
      <w:pPr>
        <w:pStyle w:val="56"/>
        <w:jc w:val="left"/>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法定代表人（或授权代表人）签字：</w:t>
      </w:r>
    </w:p>
    <w:p>
      <w:pPr>
        <w:pStyle w:val="56"/>
        <w:jc w:val="left"/>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2020年</w:t>
      </w:r>
      <w:r>
        <w:rPr>
          <w:rFonts w:hint="eastAsia" w:asciiTheme="minorEastAsia" w:hAnsiTheme="minorEastAsia" w:eastAsiaTheme="minorEastAsia" w:cstheme="minorEastAsia"/>
          <w:sz w:val="20"/>
          <w:szCs w:val="20"/>
          <w:highlight w:val="none"/>
          <w:u w:val="single"/>
        </w:rPr>
        <w:t xml:space="preserve">    </w:t>
      </w:r>
      <w:r>
        <w:rPr>
          <w:rFonts w:hint="eastAsia" w:asciiTheme="minorEastAsia" w:hAnsiTheme="minorEastAsia" w:eastAsiaTheme="minorEastAsia" w:cstheme="minorEastAsia"/>
          <w:sz w:val="20"/>
          <w:szCs w:val="20"/>
          <w:highlight w:val="none"/>
        </w:rPr>
        <w:t>月</w:t>
      </w:r>
      <w:r>
        <w:rPr>
          <w:rFonts w:hint="eastAsia" w:asciiTheme="minorEastAsia" w:hAnsiTheme="minorEastAsia" w:eastAsiaTheme="minorEastAsia" w:cstheme="minorEastAsia"/>
          <w:sz w:val="20"/>
          <w:szCs w:val="20"/>
          <w:highlight w:val="none"/>
          <w:u w:val="single"/>
        </w:rPr>
        <w:t xml:space="preserve">    </w:t>
      </w:r>
      <w:r>
        <w:rPr>
          <w:rFonts w:hint="eastAsia" w:asciiTheme="minorEastAsia" w:hAnsiTheme="minorEastAsia" w:eastAsiaTheme="minorEastAsia" w:cstheme="minorEastAsia"/>
          <w:sz w:val="20"/>
          <w:szCs w:val="20"/>
          <w:highlight w:val="none"/>
        </w:rPr>
        <w:t>日</w:t>
      </w:r>
    </w:p>
    <w:p>
      <w:pPr>
        <w:rPr>
          <w:rFonts w:asciiTheme="minorEastAsia" w:hAnsiTheme="minorEastAsia" w:eastAsiaTheme="minorEastAsia" w:cstheme="minorEastAsia"/>
          <w:color w:val="000080"/>
          <w:sz w:val="20"/>
          <w:szCs w:val="20"/>
          <w:highlight w:val="none"/>
        </w:rPr>
      </w:pPr>
      <w:r>
        <w:rPr>
          <w:rFonts w:hint="eastAsia" w:asciiTheme="minorEastAsia" w:hAnsiTheme="minorEastAsia" w:eastAsiaTheme="minorEastAsia" w:cstheme="minorEastAsia"/>
          <w:color w:val="000080"/>
          <w:sz w:val="20"/>
          <w:szCs w:val="20"/>
          <w:highlight w:val="none"/>
        </w:rPr>
        <w:t xml:space="preserve"> </w:t>
      </w:r>
    </w:p>
    <w:p>
      <w:pPr>
        <w:spacing w:line="320" w:lineRule="exact"/>
        <w:rPr>
          <w:rFonts w:asciiTheme="minorEastAsia" w:hAnsiTheme="minorEastAsia" w:eastAsiaTheme="minorEastAsia" w:cstheme="minorEastAsia"/>
          <w:color w:val="000000" w:themeColor="text1"/>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项目名称：</w:t>
      </w:r>
    </w:p>
    <w:p>
      <w:pPr>
        <w:spacing w:line="320" w:lineRule="exact"/>
        <w:rPr>
          <w:rFonts w:asciiTheme="minorEastAsia" w:hAnsiTheme="minorEastAsia" w:eastAsiaTheme="minorEastAsia" w:cstheme="minorEastAsia"/>
          <w:color w:val="000000" w:themeColor="text1"/>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甲    方：</w:t>
      </w:r>
    </w:p>
    <w:p>
      <w:pPr>
        <w:spacing w:line="320" w:lineRule="exact"/>
        <w:rPr>
          <w:rFonts w:asciiTheme="minorEastAsia" w:hAnsiTheme="minorEastAsia" w:eastAsiaTheme="minorEastAsia" w:cstheme="minorEastAsia"/>
          <w:color w:val="000000" w:themeColor="text1"/>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乙    方:</w:t>
      </w:r>
    </w:p>
    <w:p>
      <w:pPr>
        <w:spacing w:line="320" w:lineRule="exact"/>
        <w:rPr>
          <w:rFonts w:asciiTheme="minorEastAsia" w:hAnsiTheme="minorEastAsia" w:eastAsiaTheme="minorEastAsia" w:cstheme="minorEastAsia"/>
          <w:color w:val="000000" w:themeColor="text1"/>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签订日期：</w:t>
      </w:r>
    </w:p>
    <w:p>
      <w:pPr>
        <w:spacing w:line="320" w:lineRule="exact"/>
        <w:rPr>
          <w:rFonts w:asciiTheme="minorEastAsia" w:hAnsiTheme="minorEastAsia" w:eastAsiaTheme="minorEastAsia" w:cstheme="minorEastAsia"/>
          <w:color w:val="000000" w:themeColor="text1"/>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签订地点：</w:t>
      </w:r>
    </w:p>
    <w:p>
      <w:pPr>
        <w:spacing w:line="320" w:lineRule="exact"/>
        <w:ind w:firstLine="420"/>
        <w:rPr>
          <w:rFonts w:asciiTheme="minorEastAsia" w:hAnsiTheme="minorEastAsia" w:eastAsiaTheme="minorEastAsia" w:cstheme="minorEastAsia"/>
          <w:color w:val="000000" w:themeColor="text1"/>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为明确双方在该项目中承担的权利、责任和义务，根据《中华人民共和国政府采购法》、《中华人民共和国合同法》及相关法律法规，就衢江区集镇污水处理厂运维项目运维单位采购达成协议如下：</w:t>
      </w:r>
    </w:p>
    <w:p>
      <w:pPr>
        <w:numPr>
          <w:ilvl w:val="0"/>
          <w:numId w:val="17"/>
        </w:numPr>
        <w:spacing w:line="320" w:lineRule="exact"/>
        <w:jc w:val="center"/>
        <w:rPr>
          <w:rFonts w:asciiTheme="minorEastAsia" w:hAnsiTheme="minorEastAsia" w:eastAsiaTheme="minorEastAsia" w:cstheme="minorEastAsia"/>
          <w:b/>
          <w:bCs/>
          <w:color w:val="000000" w:themeColor="text1"/>
          <w:sz w:val="20"/>
          <w:szCs w:val="20"/>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0"/>
          <w:szCs w:val="20"/>
          <w:highlight w:val="none"/>
          <w14:textFill>
            <w14:solidFill>
              <w14:schemeClr w14:val="tx1"/>
            </w14:solidFill>
          </w14:textFill>
        </w:rPr>
        <w:t>定义</w:t>
      </w:r>
    </w:p>
    <w:p>
      <w:pPr>
        <w:spacing w:line="320" w:lineRule="exact"/>
        <w:ind w:left="660" w:firstLine="404" w:firstLineChars="200"/>
        <w:rPr>
          <w:rFonts w:asciiTheme="minorEastAsia" w:hAnsiTheme="minorEastAsia" w:eastAsiaTheme="minorEastAsia" w:cstheme="minorEastAsia"/>
          <w:color w:val="000000" w:themeColor="text1"/>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第一条 定义</w:t>
      </w:r>
    </w:p>
    <w:p>
      <w:pPr>
        <w:spacing w:line="320" w:lineRule="exact"/>
        <w:ind w:firstLine="404" w:firstLineChars="200"/>
        <w:rPr>
          <w:rFonts w:asciiTheme="minorEastAsia" w:hAnsiTheme="minorEastAsia" w:eastAsiaTheme="minorEastAsia" w:cstheme="minorEastAsia"/>
          <w:color w:val="000000" w:themeColor="text1"/>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（1）甲方：                     </w:t>
      </w:r>
    </w:p>
    <w:p>
      <w:pPr>
        <w:spacing w:line="320" w:lineRule="exact"/>
        <w:ind w:firstLine="404" w:firstLineChars="200"/>
        <w:rPr>
          <w:rFonts w:asciiTheme="minorEastAsia" w:hAnsiTheme="minorEastAsia" w:eastAsiaTheme="minorEastAsia" w:cstheme="minorEastAsia"/>
          <w:color w:val="000000" w:themeColor="text1"/>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（2）乙方： </w:t>
      </w:r>
    </w:p>
    <w:p>
      <w:pPr>
        <w:spacing w:line="320" w:lineRule="exact"/>
        <w:ind w:firstLine="404" w:firstLineChars="200"/>
        <w:rPr>
          <w:rFonts w:asciiTheme="minorEastAsia" w:hAnsiTheme="minorEastAsia" w:eastAsiaTheme="minorEastAsia" w:cstheme="minorEastAsia"/>
          <w:color w:val="000000" w:themeColor="text1"/>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（3）签署日：指本协议签署之日。  </w:t>
      </w:r>
    </w:p>
    <w:p>
      <w:pPr>
        <w:spacing w:line="320" w:lineRule="exact"/>
        <w:ind w:firstLine="404" w:firstLineChars="200"/>
        <w:rPr>
          <w:rFonts w:asciiTheme="minorEastAsia" w:hAnsiTheme="minorEastAsia" w:eastAsiaTheme="minorEastAsia" w:cstheme="minorEastAsia"/>
          <w:color w:val="000000" w:themeColor="text1"/>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（4）污水处理厂：指乙方依据甲方委托所运行的污水处理厂，乙方拥有协议期内的独立运营权，该污水处理厂的固定资产所有权归甲方所有。 </w:t>
      </w:r>
    </w:p>
    <w:p>
      <w:pPr>
        <w:spacing w:line="320" w:lineRule="exact"/>
        <w:ind w:firstLine="404" w:firstLineChars="200"/>
        <w:rPr>
          <w:rFonts w:asciiTheme="minorEastAsia" w:hAnsiTheme="minorEastAsia" w:eastAsiaTheme="minorEastAsia" w:cstheme="minorEastAsia"/>
          <w:color w:val="000000" w:themeColor="text1"/>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5）项目或本项目：指由甲方与乙方签署本协议，授予乙方在运营期限内运行项目设施的独家权利，由乙方提供污水处理服务并收取污水处理服务费，在运营期满后将项目设施全部完全移交给甲方，并保证正常运行。</w:t>
      </w:r>
    </w:p>
    <w:p>
      <w:pPr>
        <w:spacing w:line="320" w:lineRule="exact"/>
        <w:ind w:firstLine="404" w:firstLineChars="200"/>
        <w:rPr>
          <w:rFonts w:asciiTheme="minorEastAsia" w:hAnsiTheme="minorEastAsia" w:eastAsiaTheme="minorEastAsia" w:cstheme="minorEastAsia"/>
          <w:color w:val="000000" w:themeColor="text1"/>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（6）法律变更：指立法机关和政府部门颁布、修改、废除或重新解释的任何适用法律。 </w:t>
      </w:r>
    </w:p>
    <w:p>
      <w:pPr>
        <w:autoSpaceDE w:val="0"/>
        <w:autoSpaceDN w:val="0"/>
        <w:spacing w:line="320" w:lineRule="exact"/>
        <w:ind w:firstLine="404" w:firstLineChars="200"/>
        <w:jc w:val="left"/>
        <w:rPr>
          <w:rFonts w:asciiTheme="minorEastAsia" w:hAnsiTheme="minorEastAsia" w:eastAsiaTheme="minorEastAsia" w:cstheme="minorEastAsia"/>
          <w:color w:val="000000" w:themeColor="text1"/>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（7）水质检测指标：包括：进出水的检测指标： COD cr、NH3-N（以N计）、TN、TP、pH。（具体按双方约定执行监测） </w:t>
      </w:r>
    </w:p>
    <w:p>
      <w:pPr>
        <w:spacing w:line="320" w:lineRule="exact"/>
        <w:ind w:firstLine="404" w:firstLineChars="200"/>
        <w:rPr>
          <w:rFonts w:asciiTheme="minorEastAsia" w:hAnsiTheme="minorEastAsia" w:eastAsiaTheme="minorEastAsia" w:cstheme="minorEastAsia"/>
          <w:color w:val="000000" w:themeColor="text1"/>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（8）污泥：指在污水处理过程中产生的泥类物质。  </w:t>
      </w:r>
    </w:p>
    <w:p>
      <w:pPr>
        <w:autoSpaceDE w:val="0"/>
        <w:autoSpaceDN w:val="0"/>
        <w:spacing w:line="320" w:lineRule="exact"/>
        <w:ind w:firstLine="404" w:firstLineChars="200"/>
        <w:jc w:val="left"/>
        <w:rPr>
          <w:rFonts w:asciiTheme="minorEastAsia" w:hAnsiTheme="minorEastAsia" w:eastAsiaTheme="minorEastAsia" w:cstheme="minorEastAsia"/>
          <w:color w:val="000000" w:themeColor="text1"/>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（9）不可抗力：指本协议条款所规定的不能合理预见、不能克服并且不能避免的事件。</w:t>
      </w:r>
    </w:p>
    <w:p>
      <w:pPr>
        <w:spacing w:line="320" w:lineRule="exact"/>
        <w:ind w:firstLine="404" w:firstLineChars="200"/>
        <w:rPr>
          <w:rFonts w:asciiTheme="minorEastAsia" w:hAnsiTheme="minorEastAsia" w:eastAsiaTheme="minorEastAsia" w:cstheme="minorEastAsia"/>
          <w:color w:val="000000" w:themeColor="text1"/>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（10）本协议：指甲乙双方所达成的协议，即由双方签订的关于本项目的基本文件，以及为解释执行、调整本协议所签订的所有的附件、附录和其他文件。</w:t>
      </w:r>
    </w:p>
    <w:p>
      <w:pPr>
        <w:spacing w:line="320" w:lineRule="exact"/>
        <w:jc w:val="center"/>
        <w:rPr>
          <w:rFonts w:asciiTheme="minorEastAsia" w:hAnsiTheme="minorEastAsia" w:eastAsiaTheme="minorEastAsia" w:cstheme="minorEastAsia"/>
          <w:b/>
          <w:bCs/>
          <w:color w:val="000000" w:themeColor="text1"/>
          <w:sz w:val="20"/>
          <w:szCs w:val="20"/>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0"/>
          <w:szCs w:val="20"/>
          <w:highlight w:val="none"/>
          <w14:textFill>
            <w14:solidFill>
              <w14:schemeClr w14:val="tx1"/>
            </w14:solidFill>
          </w14:textFill>
        </w:rPr>
        <w:t>二、双方的权利</w:t>
      </w:r>
    </w:p>
    <w:p>
      <w:pPr>
        <w:spacing w:line="320" w:lineRule="exact"/>
        <w:rPr>
          <w:rFonts w:asciiTheme="minorEastAsia" w:hAnsiTheme="minorEastAsia" w:eastAsiaTheme="minorEastAsia" w:cstheme="minorEastAsia"/>
          <w:color w:val="000000" w:themeColor="text1"/>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第三条 甲方的权利  </w:t>
      </w:r>
    </w:p>
    <w:p>
      <w:pPr>
        <w:spacing w:beforeLines="25" w:afterLines="25" w:line="320" w:lineRule="exact"/>
        <w:ind w:firstLine="202" w:firstLineChars="100"/>
        <w:rPr>
          <w:rFonts w:asciiTheme="minorEastAsia" w:hAnsiTheme="minorEastAsia" w:eastAsiaTheme="minorEastAsia" w:cstheme="minorEastAsia"/>
          <w:color w:val="000000" w:themeColor="text1"/>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（1）按本合同规定，监督乙方管理与维护项目资产、依法经营和履行合同，对本项目的运营实施进行指导、协调、服务工作；</w:t>
      </w:r>
    </w:p>
    <w:p>
      <w:pPr>
        <w:spacing w:beforeLines="25" w:afterLines="25" w:line="320" w:lineRule="exact"/>
        <w:ind w:firstLine="202" w:firstLineChars="100"/>
        <w:rPr>
          <w:rFonts w:asciiTheme="minorEastAsia" w:hAnsiTheme="minorEastAsia" w:eastAsiaTheme="minorEastAsia" w:cstheme="minorEastAsia"/>
          <w:color w:val="000000" w:themeColor="text1"/>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（2）对乙方违反本合同要求的行为，有权进行核查，并要求其限期整改；</w:t>
      </w:r>
    </w:p>
    <w:p>
      <w:pPr>
        <w:spacing w:beforeLines="25" w:afterLines="25" w:line="320" w:lineRule="exact"/>
        <w:ind w:firstLine="202" w:firstLineChars="100"/>
        <w:rPr>
          <w:rFonts w:asciiTheme="minorEastAsia" w:hAnsiTheme="minorEastAsia" w:eastAsiaTheme="minorEastAsia" w:cstheme="minorEastAsia"/>
          <w:color w:val="000000" w:themeColor="text1"/>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（3）按照本合同的约定对污水处理厂的进、出</w:t>
      </w:r>
      <w:bookmarkStart w:id="550" w:name="_Hlt212959953"/>
      <w:bookmarkEnd w:id="550"/>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水情况进行监督、检查；</w:t>
      </w:r>
    </w:p>
    <w:p>
      <w:pPr>
        <w:spacing w:beforeLines="25" w:afterLines="25" w:line="320" w:lineRule="exact"/>
        <w:ind w:firstLine="202" w:firstLineChars="100"/>
        <w:rPr>
          <w:rFonts w:asciiTheme="minorEastAsia" w:hAnsiTheme="minorEastAsia" w:eastAsiaTheme="minorEastAsia" w:cstheme="minorEastAsia"/>
          <w:color w:val="000000" w:themeColor="text1"/>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（4）按照本合同的约定对乙方提交的污水处理服务费支付清单等进行审核和报批；</w:t>
      </w:r>
    </w:p>
    <w:p>
      <w:pPr>
        <w:spacing w:beforeLines="25" w:afterLines="25" w:line="320" w:lineRule="exact"/>
        <w:ind w:firstLine="202" w:firstLineChars="100"/>
        <w:rPr>
          <w:rFonts w:asciiTheme="minorEastAsia" w:hAnsiTheme="minorEastAsia" w:eastAsiaTheme="minorEastAsia" w:cstheme="minorEastAsia"/>
          <w:color w:val="000000" w:themeColor="text1"/>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（5）依法受理、调解社会公众对乙方的投诉；</w:t>
      </w:r>
    </w:p>
    <w:p>
      <w:pPr>
        <w:spacing w:beforeLines="25" w:afterLines="25" w:line="320" w:lineRule="exact"/>
        <w:ind w:firstLine="202" w:firstLineChars="100"/>
        <w:rPr>
          <w:rFonts w:asciiTheme="minorEastAsia" w:hAnsiTheme="minorEastAsia" w:eastAsiaTheme="minorEastAsia" w:cstheme="minorEastAsia"/>
          <w:color w:val="000000" w:themeColor="text1"/>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（6）法律、法规规定的其他职权。</w:t>
      </w:r>
    </w:p>
    <w:p>
      <w:pPr>
        <w:numPr>
          <w:ilvl w:val="0"/>
          <w:numId w:val="18"/>
        </w:numPr>
        <w:spacing w:line="320" w:lineRule="exact"/>
        <w:rPr>
          <w:rFonts w:asciiTheme="minorEastAsia" w:hAnsiTheme="minorEastAsia" w:eastAsiaTheme="minorEastAsia" w:cstheme="minorEastAsia"/>
          <w:color w:val="000000" w:themeColor="text1"/>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乙方的权利   </w:t>
      </w:r>
    </w:p>
    <w:p>
      <w:pPr>
        <w:spacing w:beforeLines="25" w:afterLines="25" w:line="320" w:lineRule="exact"/>
        <w:ind w:firstLine="202" w:firstLineChars="100"/>
        <w:rPr>
          <w:rFonts w:asciiTheme="minorEastAsia" w:hAnsiTheme="minorEastAsia" w:eastAsiaTheme="minorEastAsia" w:cstheme="minorEastAsia"/>
          <w:color w:val="000000" w:themeColor="text1"/>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（1）有权合理、独立地行使生产运营权和管理自主权；</w:t>
      </w:r>
    </w:p>
    <w:p>
      <w:pPr>
        <w:spacing w:beforeLines="25" w:afterLines="25" w:line="320" w:lineRule="exact"/>
        <w:ind w:firstLine="202" w:firstLineChars="100"/>
        <w:rPr>
          <w:rFonts w:asciiTheme="minorEastAsia" w:hAnsiTheme="minorEastAsia" w:eastAsiaTheme="minorEastAsia" w:cstheme="minorEastAsia"/>
          <w:color w:val="000000" w:themeColor="text1"/>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（2）有权按时足额向政府方收取应获的运营服务费用</w:t>
      </w:r>
      <w:bookmarkStart w:id="551" w:name="_Hlt212661437"/>
      <w:bookmarkEnd w:id="551"/>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p>
    <w:p>
      <w:pPr>
        <w:spacing w:beforeLines="25" w:afterLines="25" w:line="320" w:lineRule="exact"/>
        <w:ind w:firstLine="202" w:firstLineChars="100"/>
        <w:rPr>
          <w:rFonts w:asciiTheme="minorEastAsia" w:hAnsiTheme="minorEastAsia" w:eastAsiaTheme="minorEastAsia" w:cstheme="minorEastAsia"/>
          <w:color w:val="000000" w:themeColor="text1"/>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（3）对因不可抗力或因出于社会公众利益的需要或因紧急情况下，项目设施被依法征用等因素，提前终止本协议而导致其经济利益受到损害时，享有给予合理补偿的请求权。</w:t>
      </w:r>
    </w:p>
    <w:p>
      <w:pPr>
        <w:spacing w:line="320" w:lineRule="exact"/>
        <w:jc w:val="center"/>
        <w:rPr>
          <w:rFonts w:asciiTheme="minorEastAsia" w:hAnsiTheme="minorEastAsia" w:eastAsiaTheme="minorEastAsia" w:cstheme="minorEastAsia"/>
          <w:b/>
          <w:bCs/>
          <w:color w:val="000000" w:themeColor="text1"/>
          <w:sz w:val="20"/>
          <w:szCs w:val="20"/>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0"/>
          <w:szCs w:val="20"/>
          <w:highlight w:val="none"/>
          <w14:textFill>
            <w14:solidFill>
              <w14:schemeClr w14:val="tx1"/>
            </w14:solidFill>
          </w14:textFill>
        </w:rPr>
        <w:t>三、双方的基本义务</w:t>
      </w:r>
    </w:p>
    <w:p>
      <w:pPr>
        <w:spacing w:line="320" w:lineRule="exact"/>
        <w:rPr>
          <w:rFonts w:asciiTheme="minorEastAsia" w:hAnsiTheme="minorEastAsia" w:eastAsiaTheme="minorEastAsia" w:cstheme="minorEastAsia"/>
          <w:color w:val="000000" w:themeColor="text1"/>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第五条 甲方的基本义务    </w:t>
      </w:r>
    </w:p>
    <w:p>
      <w:pPr>
        <w:spacing w:line="320" w:lineRule="exact"/>
        <w:ind w:firstLine="404" w:firstLineChars="200"/>
        <w:rPr>
          <w:rFonts w:asciiTheme="minorEastAsia" w:hAnsiTheme="minorEastAsia" w:eastAsiaTheme="minorEastAsia" w:cstheme="minorEastAsia"/>
          <w:color w:val="000000" w:themeColor="text1"/>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5.1甲方应根据本协议的规定向乙方支付污水处理服务费。</w:t>
      </w:r>
    </w:p>
    <w:p>
      <w:pPr>
        <w:spacing w:beforeLines="25" w:afterLines="25" w:line="320" w:lineRule="exact"/>
        <w:ind w:firstLine="478" w:firstLineChars="237"/>
        <w:rPr>
          <w:rFonts w:asciiTheme="minorEastAsia" w:hAnsiTheme="minorEastAsia" w:eastAsiaTheme="minorEastAsia" w:cstheme="minorEastAsia"/>
          <w:color w:val="000000" w:themeColor="text1"/>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5.2确保初始移交给乙方用于运营维护的设施资产、资料的完整性和在运营期间无任何权利瑕疵（包括但不限于保证、抵押、留置、质押以及转让等）；</w:t>
      </w:r>
    </w:p>
    <w:p>
      <w:pPr>
        <w:spacing w:line="320" w:lineRule="exact"/>
        <w:ind w:firstLine="303" w:firstLineChars="150"/>
        <w:rPr>
          <w:rFonts w:asciiTheme="minorEastAsia" w:hAnsiTheme="minorEastAsia" w:eastAsiaTheme="minorEastAsia" w:cstheme="minorEastAsia"/>
          <w:color w:val="000000" w:themeColor="text1"/>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5.3在运营期内，协助乙方办理有关政府部门要求的各种与本项目有关的批准和保持批准有效。 </w:t>
      </w:r>
    </w:p>
    <w:p>
      <w:pPr>
        <w:pStyle w:val="34"/>
        <w:spacing w:line="320" w:lineRule="exact"/>
        <w:rPr>
          <w:rFonts w:asciiTheme="minorEastAsia" w:hAnsiTheme="minorEastAsia" w:eastAsiaTheme="minorEastAsia" w:cstheme="minorEastAsia"/>
          <w:color w:val="000000" w:themeColor="text1"/>
          <w:sz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0"/>
          <w:highlight w:val="none"/>
          <w14:textFill>
            <w14:solidFill>
              <w14:schemeClr w14:val="tx1"/>
            </w14:solidFill>
          </w14:textFill>
        </w:rPr>
        <w:t>5.4在运营期内,协助乙方协调各方面的关系，使运营维护工作能正常开展。</w:t>
      </w:r>
    </w:p>
    <w:p>
      <w:pPr>
        <w:spacing w:line="320" w:lineRule="exact"/>
        <w:rPr>
          <w:rFonts w:asciiTheme="minorEastAsia" w:hAnsiTheme="minorEastAsia" w:eastAsiaTheme="minorEastAsia" w:cstheme="minorEastAsia"/>
          <w:color w:val="000000" w:themeColor="text1"/>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第六条  乙方的基本义务</w:t>
      </w:r>
    </w:p>
    <w:p>
      <w:pPr>
        <w:spacing w:beforeLines="25" w:afterLines="25" w:line="320" w:lineRule="exact"/>
        <w:ind w:firstLine="478" w:firstLineChars="237"/>
        <w:rPr>
          <w:rFonts w:asciiTheme="minorEastAsia" w:hAnsiTheme="minorEastAsia" w:eastAsiaTheme="minorEastAsia" w:cstheme="minorEastAsia"/>
          <w:color w:val="000000"/>
          <w:sz w:val="20"/>
          <w:szCs w:val="20"/>
          <w:highlight w:val="none"/>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6.1必须遵守国家和地方各项法律和法规，执行国家相关技术政策及标准，完成合同规定的各项任务，确保项目设施的正常持续运行，履行为城</w:t>
      </w:r>
      <w:r>
        <w:rPr>
          <w:rFonts w:hint="eastAsia" w:asciiTheme="minorEastAsia" w:hAnsiTheme="minorEastAsia" w:eastAsiaTheme="minorEastAsia" w:cstheme="minorEastAsia"/>
          <w:color w:val="000000"/>
          <w:sz w:val="20"/>
          <w:szCs w:val="20"/>
          <w:highlight w:val="none"/>
        </w:rPr>
        <w:t>市提供合格污水处理服务的基本义务；</w:t>
      </w:r>
    </w:p>
    <w:p>
      <w:pPr>
        <w:spacing w:line="320" w:lineRule="exact"/>
        <w:ind w:firstLine="404" w:firstLineChars="200"/>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 xml:space="preserve">6.2在运营期内，乙方负责项目设施的管理、运行、维修，并在运营期满时将项目设施完好、无偿移交给甲方，并保证能正常运行。   </w:t>
      </w:r>
    </w:p>
    <w:p>
      <w:pPr>
        <w:spacing w:line="320" w:lineRule="exact"/>
        <w:ind w:firstLine="404" w:firstLineChars="200"/>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 xml:space="preserve">6.3乙方应按本协议要求，按时向甲方通报运行情况，提交与本项目有关的报告、数据、资料。  </w:t>
      </w:r>
    </w:p>
    <w:p>
      <w:pPr>
        <w:spacing w:line="320" w:lineRule="exact"/>
        <w:ind w:firstLine="303" w:firstLineChars="150"/>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6.4在合同期内，按照相关法律法规做好安全生产工作，严格执行设施安全运行操作规程，做好设施安全运行维护，承担设施运行维护管理责任，确保不发生重大事故，如因管理不善造成人身伤害、人员死亡、财务损失等安全事故，乙方承担全部赔偿责任和法律责任。</w:t>
      </w:r>
    </w:p>
    <w:p>
      <w:pPr>
        <w:spacing w:line="320" w:lineRule="exact"/>
        <w:ind w:firstLine="303" w:firstLineChars="150"/>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6.5接受甲方和当地政府相关职能部门的指导、监督、检查和考核，执行甲方和当地政府相关职能部门提出的工作要求。</w:t>
      </w:r>
    </w:p>
    <w:p>
      <w:pPr>
        <w:spacing w:line="320" w:lineRule="exact"/>
        <w:ind w:firstLine="404" w:firstLineChars="200"/>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 xml:space="preserve">6.6乙方确保进厂污水经过处理达标排放。  </w:t>
      </w:r>
    </w:p>
    <w:p>
      <w:pPr>
        <w:widowControl/>
        <w:spacing w:line="320" w:lineRule="exact"/>
        <w:jc w:val="center"/>
        <w:rPr>
          <w:rFonts w:asciiTheme="minorEastAsia" w:hAnsiTheme="minorEastAsia" w:eastAsiaTheme="minorEastAsia" w:cstheme="minorEastAsia"/>
          <w:b/>
          <w:bCs/>
          <w:sz w:val="20"/>
          <w:szCs w:val="20"/>
          <w:highlight w:val="none"/>
        </w:rPr>
      </w:pPr>
      <w:r>
        <w:rPr>
          <w:rFonts w:hint="eastAsia" w:asciiTheme="minorEastAsia" w:hAnsiTheme="minorEastAsia" w:eastAsiaTheme="minorEastAsia" w:cstheme="minorEastAsia"/>
          <w:b/>
          <w:bCs/>
          <w:sz w:val="20"/>
          <w:szCs w:val="20"/>
          <w:highlight w:val="none"/>
        </w:rPr>
        <w:t>四、污水处理服务费用的计算与支付</w:t>
      </w:r>
    </w:p>
    <w:p>
      <w:pPr>
        <w:spacing w:line="320" w:lineRule="exact"/>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 xml:space="preserve">第七条 污水处理服务费的计算  </w:t>
      </w:r>
    </w:p>
    <w:p>
      <w:pPr>
        <w:spacing w:line="320" w:lineRule="exact"/>
        <w:ind w:firstLine="404" w:firstLineChars="200"/>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根据乙方投标价格按月计费。</w:t>
      </w:r>
    </w:p>
    <w:p>
      <w:pPr>
        <w:numPr>
          <w:ilvl w:val="0"/>
          <w:numId w:val="19"/>
        </w:numPr>
        <w:spacing w:line="320" w:lineRule="exact"/>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 xml:space="preserve">污水处理服务费的支付 </w:t>
      </w:r>
    </w:p>
    <w:p>
      <w:pPr>
        <w:spacing w:line="320" w:lineRule="exact"/>
        <w:ind w:firstLine="426"/>
        <w:rPr>
          <w:rFonts w:asciiTheme="minorEastAsia" w:hAnsiTheme="minorEastAsia" w:eastAsiaTheme="minorEastAsia" w:cstheme="minorEastAsia"/>
          <w:color w:val="000000" w:themeColor="text1"/>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服务费支付：（1）合同签订后15日内采购人支付给中标供应商两个月调试期服务费作为预付款。</w:t>
      </w:r>
    </w:p>
    <w:p>
      <w:pPr>
        <w:autoSpaceDE w:val="0"/>
        <w:autoSpaceDN w:val="0"/>
        <w:adjustRightInd w:val="0"/>
        <w:snapToGrid w:val="0"/>
        <w:spacing w:line="320" w:lineRule="exact"/>
        <w:ind w:firstLine="303" w:firstLineChars="150"/>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（2）服务费用按</w:t>
      </w:r>
      <w:r>
        <w:rPr>
          <w:rFonts w:hint="eastAsia" w:asciiTheme="minorEastAsia" w:hAnsiTheme="minorEastAsia" w:eastAsiaTheme="minorEastAsia" w:cstheme="minorEastAsia"/>
          <w:color w:val="000000" w:themeColor="text1"/>
          <w:sz w:val="20"/>
          <w:szCs w:val="20"/>
          <w:highlight w:val="none"/>
          <w:lang w:eastAsia="zh-CN"/>
          <w14:textFill>
            <w14:solidFill>
              <w14:schemeClr w14:val="tx1"/>
            </w14:solidFill>
          </w14:textFill>
        </w:rPr>
        <w:t>每季度</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支付一次，在接到</w:t>
      </w:r>
      <w:r>
        <w:rPr>
          <w:rFonts w:hint="eastAsia" w:asciiTheme="minorEastAsia" w:hAnsiTheme="minorEastAsia" w:eastAsiaTheme="minorEastAsia" w:cstheme="minorEastAsia"/>
          <w:bCs/>
          <w:color w:val="000000" w:themeColor="text1"/>
          <w:sz w:val="20"/>
          <w:szCs w:val="20"/>
          <w:highlight w:val="none"/>
          <w14:textFill>
            <w14:solidFill>
              <w14:schemeClr w14:val="tx1"/>
            </w14:solidFill>
          </w14:textFill>
        </w:rPr>
        <w:t>中标供应商</w:t>
      </w:r>
      <w:r>
        <w:rPr>
          <w:rFonts w:hint="eastAsia" w:asciiTheme="minorEastAsia" w:hAnsiTheme="minorEastAsia" w:eastAsiaTheme="minorEastAsia" w:cstheme="minorEastAsia"/>
          <w:bCs/>
          <w:color w:val="000000" w:themeColor="text1"/>
          <w:sz w:val="20"/>
          <w:szCs w:val="20"/>
          <w:highlight w:val="none"/>
          <w:lang w:eastAsia="zh-CN"/>
          <w14:textFill>
            <w14:solidFill>
              <w14:schemeClr w14:val="tx1"/>
            </w14:solidFill>
          </w14:textFill>
        </w:rPr>
        <w:t>每季度</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结算申请后根据考核情况结算</w:t>
      </w:r>
      <w:r>
        <w:rPr>
          <w:rFonts w:hint="eastAsia" w:asciiTheme="minorEastAsia" w:hAnsiTheme="minorEastAsia" w:eastAsiaTheme="minorEastAsia" w:cstheme="minorEastAsia"/>
          <w:color w:val="000000" w:themeColor="text1"/>
          <w:sz w:val="20"/>
          <w:szCs w:val="20"/>
          <w:highlight w:val="none"/>
          <w:lang w:eastAsia="zh-CN"/>
          <w14:textFill>
            <w14:solidFill>
              <w14:schemeClr w14:val="tx1"/>
            </w14:solidFill>
          </w14:textFill>
        </w:rPr>
        <w:t>每季度</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的服务费用。合同期满后，最后一笔服务费须等所有设备完好、无偿移交、资料完整移交后支付。</w:t>
      </w:r>
      <w:r>
        <w:rPr>
          <w:rFonts w:hint="eastAsia" w:asciiTheme="minorEastAsia" w:hAnsiTheme="minorEastAsia" w:eastAsiaTheme="minorEastAsia" w:cstheme="minorEastAsia"/>
          <w:bCs/>
          <w:color w:val="000000" w:themeColor="text1"/>
          <w:sz w:val="20"/>
          <w:szCs w:val="20"/>
          <w:highlight w:val="none"/>
          <w14:textFill>
            <w14:solidFill>
              <w14:schemeClr w14:val="tx1"/>
            </w14:solidFill>
          </w14:textFill>
        </w:rPr>
        <w:t>服务费支付时首先抵扣预付款，预付款扣完后再另行支付。</w:t>
      </w:r>
    </w:p>
    <w:p>
      <w:pPr>
        <w:spacing w:line="320" w:lineRule="exact"/>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 xml:space="preserve">第九条 付款程序  </w:t>
      </w:r>
    </w:p>
    <w:p>
      <w:pPr>
        <w:spacing w:line="320" w:lineRule="exact"/>
        <w:ind w:firstLine="404" w:firstLineChars="200"/>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 xml:space="preserve">9.1甲方在收到乙方提交的付款通知账单之日起，应对乙方送交的付款通知账单和相关资料的计算结果进行复核确认。   </w:t>
      </w:r>
    </w:p>
    <w:p>
      <w:pPr>
        <w:spacing w:line="320" w:lineRule="exact"/>
        <w:ind w:firstLine="404" w:firstLineChars="200"/>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 xml:space="preserve">9.2 支付帐户  根据本合同应支付的所有相关费用均应按照以下规定的收款人、开户行、账户和付款方式（或乙方另行书面通知的其他中国境内银行账户），由甲方以人民币向乙方支付。 </w:t>
      </w:r>
    </w:p>
    <w:p>
      <w:pPr>
        <w:spacing w:line="320" w:lineRule="exact"/>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 xml:space="preserve">收款人：[                    ] </w:t>
      </w:r>
    </w:p>
    <w:p>
      <w:pPr>
        <w:spacing w:line="320" w:lineRule="exact"/>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 xml:space="preserve">开户行：[                    ]； </w:t>
      </w:r>
    </w:p>
    <w:p>
      <w:pPr>
        <w:spacing w:line="320" w:lineRule="exact"/>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 xml:space="preserve">账  户：[                      ]； </w:t>
      </w:r>
    </w:p>
    <w:p>
      <w:pPr>
        <w:spacing w:line="320" w:lineRule="exact"/>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 xml:space="preserve">付款方式：[                    ]。 </w:t>
      </w:r>
    </w:p>
    <w:p>
      <w:pPr>
        <w:spacing w:line="320" w:lineRule="exact"/>
        <w:jc w:val="left"/>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第十条  违约金的扣减</w:t>
      </w:r>
    </w:p>
    <w:p>
      <w:pPr>
        <w:spacing w:line="320" w:lineRule="exact"/>
        <w:ind w:firstLine="404" w:firstLineChars="200"/>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 xml:space="preserve">10.1违约金的扣减  如果发生违约情况，乙方应根据计算需要向甲方支付的违约金金额，并将该金额从污水处理服务费的发票金额中减扣。违约金计算的细节应在付款通知账单中列明。 </w:t>
      </w:r>
    </w:p>
    <w:p>
      <w:pPr>
        <w:spacing w:line="320" w:lineRule="exact"/>
        <w:jc w:val="center"/>
        <w:rPr>
          <w:rFonts w:asciiTheme="minorEastAsia" w:hAnsiTheme="minorEastAsia" w:eastAsiaTheme="minorEastAsia" w:cstheme="minorEastAsia"/>
          <w:b/>
          <w:bCs/>
          <w:sz w:val="20"/>
          <w:szCs w:val="20"/>
          <w:highlight w:val="none"/>
        </w:rPr>
      </w:pPr>
      <w:r>
        <w:rPr>
          <w:rFonts w:hint="eastAsia" w:asciiTheme="minorEastAsia" w:hAnsiTheme="minorEastAsia" w:eastAsiaTheme="minorEastAsia" w:cstheme="minorEastAsia"/>
          <w:b/>
          <w:bCs/>
          <w:sz w:val="20"/>
          <w:szCs w:val="20"/>
          <w:highlight w:val="none"/>
        </w:rPr>
        <w:t>五、资产管理与项目设施的移交</w:t>
      </w:r>
    </w:p>
    <w:p>
      <w:pPr>
        <w:spacing w:line="320" w:lineRule="exact"/>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 xml:space="preserve">第十一条 资产所有权  </w:t>
      </w:r>
    </w:p>
    <w:p>
      <w:pPr>
        <w:spacing w:line="320" w:lineRule="exact"/>
        <w:ind w:firstLine="404" w:firstLineChars="200"/>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 xml:space="preserve">11.1 运营期间，污水处理厂内的原有设施、设备的所有权及土地使用权归甲方所有。  </w:t>
      </w:r>
    </w:p>
    <w:p>
      <w:pPr>
        <w:numPr>
          <w:ilvl w:val="0"/>
          <w:numId w:val="20"/>
        </w:numPr>
        <w:spacing w:line="320" w:lineRule="exact"/>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 xml:space="preserve">项目设施移交的范围 </w:t>
      </w:r>
    </w:p>
    <w:p>
      <w:pPr>
        <w:spacing w:line="320" w:lineRule="exact"/>
        <w:ind w:firstLine="404" w:firstLineChars="200"/>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 xml:space="preserve"> 12.1移交的项目设施以现场清点数目为准，并制定交接清单，最终的交接清单需经甲、乙双方签字盖章后生效。（注：主要构筑物及相关工艺参数表以现场实际交接单为准）</w:t>
      </w:r>
    </w:p>
    <w:p>
      <w:pPr>
        <w:spacing w:line="320" w:lineRule="exact"/>
        <w:ind w:firstLine="404" w:firstLineChars="200"/>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 xml:space="preserve"> 12.2移交的内容还包括维持本项目正常运行和维护必需的所有技术图纸、规程、规范、资料；生产运行的有关图纸资料和技术文件，包括运行手册、运行记录、设计图纸以及设备寿命消耗及管理表，运行和维护项目设施所需的专有技术、专利、计算机软件及其他知识产权。  </w:t>
      </w:r>
    </w:p>
    <w:p>
      <w:pPr>
        <w:numPr>
          <w:ilvl w:val="0"/>
          <w:numId w:val="20"/>
        </w:numPr>
        <w:spacing w:line="320" w:lineRule="exact"/>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 xml:space="preserve"> 移交工作小组 </w:t>
      </w:r>
    </w:p>
    <w:p>
      <w:pPr>
        <w:spacing w:line="320" w:lineRule="exact"/>
        <w:ind w:firstLine="404" w:firstLineChars="200"/>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 xml:space="preserve"> 13.1项目设施移交工作由甲方和乙方共同组建移交工作小组，在试运营进驻运营前一周内成立移交工作小组，负责完成设施设备清点、运行交接、人员安置以及其他必要的前期工作。  </w:t>
      </w:r>
    </w:p>
    <w:p>
      <w:pPr>
        <w:spacing w:line="320" w:lineRule="exact"/>
        <w:ind w:firstLine="404" w:firstLineChars="200"/>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 xml:space="preserve">13.2移交工作小组工作至项目设施移交完成之日解散。  </w:t>
      </w:r>
    </w:p>
    <w:p>
      <w:pPr>
        <w:spacing w:line="320" w:lineRule="exact"/>
        <w:ind w:firstLine="404" w:firstLineChars="200"/>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 xml:space="preserve">13.3移交工作小组在进行上述工作过程中发生的必要费用，由双方对该费用确认后平均分担。  </w:t>
      </w:r>
    </w:p>
    <w:p>
      <w:pPr>
        <w:spacing w:line="320" w:lineRule="exact"/>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 xml:space="preserve">第十四条 责任的划分  </w:t>
      </w:r>
    </w:p>
    <w:p>
      <w:pPr>
        <w:spacing w:line="320" w:lineRule="exact"/>
        <w:ind w:firstLine="404" w:firstLineChars="200"/>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 xml:space="preserve">14.1设施、设备移交时将进行相关的设备检测，检测中发现的项目设施、设备存在的缺陷或损坏，形成设备缺陷表单。移交方应负责修复该缺陷或损坏，接收方可协助修复。 </w:t>
      </w:r>
    </w:p>
    <w:p>
      <w:pPr>
        <w:spacing w:line="320" w:lineRule="exact"/>
        <w:ind w:firstLine="404" w:firstLineChars="200"/>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 xml:space="preserve">14.2 设施、设备移交后，凡属设备供应方合同保修责任期内的，仍应由甲方协助乙方联系维修。  </w:t>
      </w:r>
    </w:p>
    <w:p>
      <w:pPr>
        <w:spacing w:line="320" w:lineRule="exact"/>
        <w:ind w:firstLine="404" w:firstLineChars="200"/>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 xml:space="preserve">14.3移交过程中，若一方对移交资产的设备、设施的性能及完好程度存在异议时，由双方共同委托具有资产评估能力的机构对存在争议的资产进行评估，评估结果具有最终效力，对双方都具有约束力。 </w:t>
      </w:r>
    </w:p>
    <w:p>
      <w:pPr>
        <w:numPr>
          <w:ilvl w:val="0"/>
          <w:numId w:val="21"/>
        </w:numPr>
        <w:spacing w:line="320" w:lineRule="exact"/>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 xml:space="preserve">项目设施的移交回转  </w:t>
      </w:r>
    </w:p>
    <w:p>
      <w:pPr>
        <w:spacing w:line="320" w:lineRule="exact"/>
        <w:ind w:firstLine="404" w:firstLineChars="200"/>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 xml:space="preserve">15.1本协议届满后，乙方无偿将项目设施交回甲方，同时保证项目设施处于良好的运行状态。 </w:t>
      </w:r>
    </w:p>
    <w:p>
      <w:pPr>
        <w:spacing w:line="320" w:lineRule="exact"/>
        <w:ind w:firstLine="404" w:firstLineChars="200"/>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 xml:space="preserve">15.2 项目设施的移交回转过程及内容同项目设施的移交过程。  </w:t>
      </w:r>
    </w:p>
    <w:p>
      <w:pPr>
        <w:spacing w:line="320" w:lineRule="exact"/>
        <w:jc w:val="center"/>
        <w:rPr>
          <w:rFonts w:asciiTheme="minorEastAsia" w:hAnsiTheme="minorEastAsia" w:eastAsiaTheme="minorEastAsia" w:cstheme="minorEastAsia"/>
          <w:b/>
          <w:bCs/>
          <w:sz w:val="20"/>
          <w:szCs w:val="20"/>
          <w:highlight w:val="none"/>
        </w:rPr>
      </w:pPr>
      <w:r>
        <w:rPr>
          <w:rFonts w:hint="eastAsia" w:asciiTheme="minorEastAsia" w:hAnsiTheme="minorEastAsia" w:eastAsiaTheme="minorEastAsia" w:cstheme="minorEastAsia"/>
          <w:b/>
          <w:bCs/>
          <w:sz w:val="20"/>
          <w:szCs w:val="20"/>
          <w:highlight w:val="none"/>
        </w:rPr>
        <w:t>六、人员办公场地安置</w:t>
      </w:r>
    </w:p>
    <w:p>
      <w:pPr>
        <w:spacing w:line="320" w:lineRule="exact"/>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 xml:space="preserve">第十六条 人员办公场地安置  </w:t>
      </w:r>
    </w:p>
    <w:p>
      <w:pPr>
        <w:spacing w:line="320" w:lineRule="exact"/>
        <w:ind w:firstLine="404" w:firstLineChars="200"/>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 xml:space="preserve">16.1运营期间乙方负责运行管理人员编制，其中人员岗位安排由乙方自行确定. </w:t>
      </w:r>
    </w:p>
    <w:p>
      <w:pPr>
        <w:spacing w:line="320" w:lineRule="exact"/>
        <w:ind w:firstLine="404" w:firstLineChars="200"/>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 xml:space="preserve">16.2本协议提前终止时,乙方在其全部人员撤离前,应确保基本的运行能力,确保项目设备、设施的连续运转。  </w:t>
      </w:r>
    </w:p>
    <w:p>
      <w:pPr>
        <w:spacing w:line="320" w:lineRule="exact"/>
        <w:rPr>
          <w:rFonts w:asciiTheme="minorEastAsia" w:hAnsiTheme="minorEastAsia" w:eastAsiaTheme="minorEastAsia" w:cstheme="minorEastAsia"/>
          <w:b/>
          <w:bCs/>
          <w:sz w:val="20"/>
          <w:szCs w:val="20"/>
          <w:highlight w:val="none"/>
        </w:rPr>
      </w:pPr>
      <w:r>
        <w:rPr>
          <w:rFonts w:hint="eastAsia" w:asciiTheme="minorEastAsia" w:hAnsiTheme="minorEastAsia" w:eastAsiaTheme="minorEastAsia" w:cstheme="minorEastAsia"/>
          <w:sz w:val="20"/>
          <w:szCs w:val="20"/>
          <w:highlight w:val="none"/>
        </w:rPr>
        <w:t xml:space="preserve">                                    </w:t>
      </w:r>
      <w:r>
        <w:rPr>
          <w:rFonts w:hint="eastAsia" w:asciiTheme="minorEastAsia" w:hAnsiTheme="minorEastAsia" w:eastAsiaTheme="minorEastAsia" w:cstheme="minorEastAsia"/>
          <w:b/>
          <w:bCs/>
          <w:sz w:val="20"/>
          <w:szCs w:val="20"/>
          <w:highlight w:val="none"/>
        </w:rPr>
        <w:t>七、项目设施的运行和维护</w:t>
      </w:r>
    </w:p>
    <w:p>
      <w:pPr>
        <w:spacing w:line="320" w:lineRule="exact"/>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 xml:space="preserve">第十七条 项目设施的运行  </w:t>
      </w:r>
    </w:p>
    <w:p>
      <w:pPr>
        <w:spacing w:line="320" w:lineRule="exact"/>
        <w:ind w:firstLine="404" w:firstLineChars="200"/>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 xml:space="preserve">17.1乙方应保证项目设施每日正常运转。因设施设备检修需暂停服务时，须报甲方批准。 </w:t>
      </w:r>
    </w:p>
    <w:p>
      <w:pPr>
        <w:spacing w:line="320" w:lineRule="exact"/>
        <w:ind w:firstLine="404" w:firstLineChars="200"/>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 xml:space="preserve">17.2运行中发生设施设备重大事故或人身伤亡事故时，乙方须负全部责任并及时采取措施处理同时立即报告甲方。  </w:t>
      </w:r>
    </w:p>
    <w:p>
      <w:pPr>
        <w:spacing w:line="320" w:lineRule="exact"/>
        <w:ind w:firstLine="404" w:firstLineChars="200"/>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 xml:space="preserve">17.3对整个项目设施设备改造须事先征得甲方同意。 </w:t>
      </w:r>
    </w:p>
    <w:p>
      <w:pPr>
        <w:spacing w:line="320" w:lineRule="exact"/>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 xml:space="preserve">第十八条 项目设施的维护  </w:t>
      </w:r>
    </w:p>
    <w:p>
      <w:pPr>
        <w:spacing w:line="320" w:lineRule="exact"/>
        <w:ind w:firstLine="404" w:firstLineChars="200"/>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 xml:space="preserve">18.1项目设施的运行与维护应符合中国法律、法规和国家行业规范、标准的要求，包括《城市污水处理厂运行、维护及其安全技术规程》（CJJ60-94）。  </w:t>
      </w:r>
    </w:p>
    <w:p>
      <w:pPr>
        <w:spacing w:line="320" w:lineRule="exact"/>
        <w:ind w:firstLine="404" w:firstLineChars="200"/>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 xml:space="preserve">18.2乙方应制定保证设施设备完好的措施和计划，并接受甲方对有关设施设备完好情况的检查。  </w:t>
      </w:r>
    </w:p>
    <w:p>
      <w:pPr>
        <w:spacing w:line="320" w:lineRule="exact"/>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 xml:space="preserve">第十九条 甲方的监管  </w:t>
      </w:r>
    </w:p>
    <w:p>
      <w:pPr>
        <w:spacing w:line="320" w:lineRule="exact"/>
        <w:ind w:firstLine="404" w:firstLineChars="200"/>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 xml:space="preserve">19.1甲方或政府其他相关行业管理部门有权派员在任何时候进入乙方的项目设施，监督项目设施的运行和维护，了解乙方的生产经营信息。  </w:t>
      </w:r>
    </w:p>
    <w:p>
      <w:pPr>
        <w:spacing w:line="320" w:lineRule="exact"/>
        <w:ind w:firstLine="404" w:firstLineChars="200"/>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 xml:space="preserve">19.2甲方所派人员发现问题时有提问和要求乙方回答的权利，并有权检查包括乙方的生产记录、设备检修和检测记录在内的全部运营记录。 </w:t>
      </w:r>
    </w:p>
    <w:p>
      <w:pPr>
        <w:spacing w:line="320" w:lineRule="exact"/>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 xml:space="preserve">第二十条 水质检测  </w:t>
      </w:r>
    </w:p>
    <w:p>
      <w:pPr>
        <w:spacing w:line="320" w:lineRule="exact"/>
        <w:ind w:firstLine="404" w:firstLineChars="200"/>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 xml:space="preserve">20.1进水和出水的水质应通过日常检测和在线检测指标确定。乙方应按照国家规定的检测分析方法进行检测，并如实向甲方报告检测结果。  </w:t>
      </w:r>
    </w:p>
    <w:p>
      <w:pPr>
        <w:spacing w:line="320" w:lineRule="exact"/>
        <w:ind w:firstLine="404" w:firstLineChars="200"/>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 xml:space="preserve">20.2按前款规定的检测程序、办法、标准和周期进行检测。  </w:t>
      </w:r>
    </w:p>
    <w:p>
      <w:pPr>
        <w:spacing w:line="320" w:lineRule="exact"/>
        <w:ind w:firstLine="404" w:firstLineChars="200"/>
        <w:rPr>
          <w:rFonts w:asciiTheme="minorEastAsia" w:hAnsiTheme="minorEastAsia" w:eastAsiaTheme="minorEastAsia" w:cstheme="minorEastAsia"/>
          <w:sz w:val="20"/>
          <w:szCs w:val="20"/>
          <w:highlight w:val="none"/>
          <w:u w:val="single"/>
        </w:rPr>
      </w:pPr>
      <w:r>
        <w:rPr>
          <w:rFonts w:hint="eastAsia" w:asciiTheme="minorEastAsia" w:hAnsiTheme="minorEastAsia" w:eastAsiaTheme="minorEastAsia" w:cstheme="minorEastAsia"/>
          <w:sz w:val="20"/>
          <w:szCs w:val="20"/>
          <w:highlight w:val="none"/>
        </w:rPr>
        <w:t>20.3乙方应记录日常检测和在线检测的所有结果，并存档备查。检测指标项目经双方约定</w:t>
      </w:r>
    </w:p>
    <w:p>
      <w:pPr>
        <w:spacing w:line="320" w:lineRule="exact"/>
        <w:ind w:firstLine="404" w:firstLineChars="200"/>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 xml:space="preserve">20.4乙方应于每月开始的五个工作日内将上月的列明日常检测指标的《月度水质报告》报送甲方，报告上月的每日进水和出水水质，对进出水水质严重不符合本协议规定标准的检测报告应立即报送。 </w:t>
      </w:r>
    </w:p>
    <w:p>
      <w:pPr>
        <w:spacing w:line="320" w:lineRule="exact"/>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 xml:space="preserve">第二十一条 水样采取和储存  </w:t>
      </w:r>
    </w:p>
    <w:p>
      <w:pPr>
        <w:spacing w:line="320" w:lineRule="exact"/>
        <w:ind w:firstLine="404" w:firstLineChars="200"/>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 xml:space="preserve">21.1水样的采集应符合国家标准《水质采样方案设计技术规定》（GB12997-91）、《水质采样技术指导》（GB12998-91）以及《地表水和污水监测技术规范》（ HJ/T91-2002）的要求。  </w:t>
      </w:r>
    </w:p>
    <w:p>
      <w:pPr>
        <w:spacing w:line="320" w:lineRule="exact"/>
        <w:ind w:firstLine="404" w:firstLineChars="200"/>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 xml:space="preserve">21.2水样储存应符合国家标准《水质采样样品的保存和管理技术规定》（GB12999-91）的 要求。  </w:t>
      </w:r>
    </w:p>
    <w:p>
      <w:pPr>
        <w:spacing w:line="320" w:lineRule="exact"/>
        <w:ind w:firstLine="404" w:firstLineChars="200"/>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21.3用于检测水质的进水水样和出水水样应分别在双方共同确认的接入点和交付点采集。 进水水样和出水水样的采样间隔不得大于五小时，每日提取采样设备采集混合水样。</w:t>
      </w:r>
    </w:p>
    <w:p>
      <w:pPr>
        <w:spacing w:line="320" w:lineRule="exact"/>
        <w:ind w:firstLine="404" w:firstLineChars="200"/>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 xml:space="preserve">21.4每次提取的水样应分装A、B两瓶，A瓶用于乙方自行检测，B瓶留作备用水样。每瓶 备用水样应不少于2000ml，瓶上须明确标明采样日期和采样点，进水和出水的备用水样须分开在4℃保存，保存时限为四十八小时。 </w:t>
      </w:r>
    </w:p>
    <w:p>
      <w:pPr>
        <w:spacing w:line="320" w:lineRule="exact"/>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 xml:space="preserve">第二十二条 甲方的核实  </w:t>
      </w:r>
    </w:p>
    <w:p>
      <w:pPr>
        <w:spacing w:line="320" w:lineRule="exact"/>
        <w:ind w:firstLine="404" w:firstLineChars="200"/>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 xml:space="preserve">22.1甲方有权对乙方的检测程序、结果、设备和仪器进行检查；就乙方进行的日常检测，甲方有权委托具有资质的水质检测机构，进行一项或多项检测，以核实乙方提供的结果。甲方抽查采样时须有乙方人员在场。经通知后，乙方人员拒不到场的，不影响抽查结果的有效性。  </w:t>
      </w:r>
    </w:p>
    <w:p>
      <w:pPr>
        <w:spacing w:line="320" w:lineRule="exact"/>
        <w:ind w:firstLine="404" w:firstLineChars="200"/>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 xml:space="preserve">22.2甲方核实或抽查的结果与乙方自检结果不一致时，以双方认可的有资质的第三方检测结果为准。  </w:t>
      </w:r>
    </w:p>
    <w:p>
      <w:pPr>
        <w:spacing w:line="320" w:lineRule="exact"/>
        <w:ind w:firstLine="404" w:firstLineChars="200"/>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 xml:space="preserve">22.3甲方委托的检验机构进行上述核实或检查的费用应由甲方承担，但是如果核实或检查的结果表明乙方检测结果不符合标准时，则乙方应负担该费用。  </w:t>
      </w:r>
    </w:p>
    <w:p>
      <w:pPr>
        <w:numPr>
          <w:ilvl w:val="0"/>
          <w:numId w:val="22"/>
        </w:numPr>
        <w:spacing w:line="320" w:lineRule="exact"/>
        <w:jc w:val="center"/>
        <w:rPr>
          <w:rFonts w:asciiTheme="minorEastAsia" w:hAnsiTheme="minorEastAsia" w:eastAsiaTheme="minorEastAsia" w:cstheme="minorEastAsia"/>
          <w:b/>
          <w:bCs/>
          <w:sz w:val="20"/>
          <w:szCs w:val="20"/>
          <w:highlight w:val="none"/>
        </w:rPr>
      </w:pPr>
      <w:r>
        <w:rPr>
          <w:rFonts w:hint="eastAsia" w:asciiTheme="minorEastAsia" w:hAnsiTheme="minorEastAsia" w:eastAsiaTheme="minorEastAsia" w:cstheme="minorEastAsia"/>
          <w:b/>
          <w:bCs/>
          <w:sz w:val="20"/>
          <w:szCs w:val="20"/>
          <w:highlight w:val="none"/>
        </w:rPr>
        <w:t>计量</w:t>
      </w:r>
    </w:p>
    <w:p>
      <w:pPr>
        <w:spacing w:line="320" w:lineRule="exact"/>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 xml:space="preserve">第二十三条 计量方法 </w:t>
      </w:r>
    </w:p>
    <w:p>
      <w:pPr>
        <w:spacing w:line="320" w:lineRule="exact"/>
        <w:ind w:firstLine="303" w:firstLineChars="150"/>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 xml:space="preserve">23.1 污水处理厂进、出水口应安装流量计各一台，双方约定以出水口流量计为付费计量仪表。 </w:t>
      </w:r>
    </w:p>
    <w:p>
      <w:pPr>
        <w:spacing w:line="320" w:lineRule="exact"/>
        <w:ind w:firstLine="303" w:firstLineChars="150"/>
        <w:rPr>
          <w:rFonts w:asciiTheme="minorEastAsia" w:hAnsiTheme="minorEastAsia" w:eastAsiaTheme="minorEastAsia" w:cstheme="minorEastAsia"/>
          <w:bCs/>
          <w:sz w:val="20"/>
          <w:szCs w:val="20"/>
          <w:highlight w:val="none"/>
        </w:rPr>
      </w:pPr>
      <w:r>
        <w:rPr>
          <w:rFonts w:hint="eastAsia" w:asciiTheme="minorEastAsia" w:hAnsiTheme="minorEastAsia" w:eastAsiaTheme="minorEastAsia" w:cstheme="minorEastAsia"/>
          <w:sz w:val="20"/>
          <w:szCs w:val="20"/>
          <w:highlight w:val="none"/>
        </w:rPr>
        <w:t>23.2</w:t>
      </w:r>
      <w:r>
        <w:rPr>
          <w:rFonts w:hint="eastAsia" w:asciiTheme="minorEastAsia" w:hAnsiTheme="minorEastAsia" w:eastAsiaTheme="minorEastAsia" w:cstheme="minorEastAsia"/>
          <w:bCs/>
          <w:sz w:val="20"/>
          <w:szCs w:val="20"/>
          <w:highlight w:val="none"/>
        </w:rPr>
        <w:t>运营期内甲乙双方定期委托相关主管部门对流量计、液位计等测量仪表进行检定或校准。</w:t>
      </w:r>
    </w:p>
    <w:p>
      <w:pPr>
        <w:spacing w:line="320" w:lineRule="exact"/>
        <w:ind w:firstLine="404" w:firstLineChars="200"/>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 xml:space="preserve">23.4甲乙双方的代表应在每个月的最后一日联合对现场流量计的读数进行记录。双方对现场流量计读数共同确认后，以出水口流量计作为该月的实际污水处理量。 </w:t>
      </w:r>
    </w:p>
    <w:p>
      <w:pPr>
        <w:spacing w:line="320" w:lineRule="exact"/>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 xml:space="preserve">第二十四条 计量结果的异议与确认  </w:t>
      </w:r>
    </w:p>
    <w:p>
      <w:pPr>
        <w:spacing w:line="320" w:lineRule="exact"/>
        <w:ind w:firstLine="404" w:firstLineChars="200"/>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 xml:space="preserve">24.1若计量装置发生意外故障，乙方应及时书面通知甲方并予以说明，经甲方确认后，则发生故障期间的每日污水处理量按上个月的日平均污水处理量计算。  </w:t>
      </w:r>
    </w:p>
    <w:p>
      <w:pPr>
        <w:spacing w:line="320" w:lineRule="exact"/>
        <w:ind w:firstLine="404" w:firstLineChars="200"/>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 xml:space="preserve">24.2任一方如对水量计量结果有异议，应自异议发生之日起3天内向对方书面提出，并可聘请双方认可的专业机构对计量装置进行检测，经检查若确实存在问题应立即纠正，检测费用由被异议方支付；反之，则由异议方支付。   </w:t>
      </w:r>
    </w:p>
    <w:p>
      <w:pPr>
        <w:spacing w:line="320" w:lineRule="exact"/>
        <w:jc w:val="center"/>
        <w:rPr>
          <w:rFonts w:asciiTheme="minorEastAsia" w:hAnsiTheme="minorEastAsia" w:eastAsiaTheme="minorEastAsia" w:cstheme="minorEastAsia"/>
          <w:b/>
          <w:bCs/>
          <w:sz w:val="20"/>
          <w:szCs w:val="20"/>
          <w:highlight w:val="none"/>
        </w:rPr>
      </w:pPr>
      <w:r>
        <w:rPr>
          <w:rFonts w:hint="eastAsia" w:asciiTheme="minorEastAsia" w:hAnsiTheme="minorEastAsia" w:eastAsiaTheme="minorEastAsia" w:cstheme="minorEastAsia"/>
          <w:b/>
          <w:bCs/>
          <w:sz w:val="20"/>
          <w:szCs w:val="20"/>
          <w:highlight w:val="none"/>
        </w:rPr>
        <w:t>十、不可抗力</w:t>
      </w:r>
    </w:p>
    <w:p>
      <w:pPr>
        <w:spacing w:line="320" w:lineRule="exact"/>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 xml:space="preserve">第二十五条 不可抗力  </w:t>
      </w:r>
    </w:p>
    <w:p>
      <w:pPr>
        <w:spacing w:line="320" w:lineRule="exact"/>
        <w:ind w:firstLine="404" w:firstLineChars="200"/>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 xml:space="preserve">25.1本协议中所指的不可抗力是指：（1）雷电、地震、火山爆发、滑坡、水灾、冰灾、暴雨、海啸、台风、龙卷风或旱灾等自然灾害 ；（2）流行病、饥荒或瘟疫；（3）战争行为、入侵、武装冲突或外敌行为、封锁或军事力量的使用，暴乱或恐怖行为；（4）全国性、地区性、城市性或行业性罢工；（5）由于不能归因于乙方的原因引起的连续壹个月以上的供电中断；（6）国家征用、征收；（7）导致本协议实际上不能履行的法律变更。  </w:t>
      </w:r>
    </w:p>
    <w:p>
      <w:pPr>
        <w:spacing w:line="320" w:lineRule="exact"/>
        <w:ind w:firstLine="404" w:firstLineChars="200"/>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 xml:space="preserve">25.2任何一方如果因不可抗力而导致不能全部或部分履行本协议规定义务的，在不可抗力的影响范围内该方可全部或部分免除在本协议项下的相应义务，并不承担任何责任。 </w:t>
      </w:r>
    </w:p>
    <w:p>
      <w:pPr>
        <w:spacing w:line="320" w:lineRule="exact"/>
        <w:ind w:firstLine="404" w:firstLineChars="200"/>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 xml:space="preserve">25.3受到不可抗力影响的一方应尽一切合理努力和采取合理措施以继续履行其在本协议下 的义务，减少不可抗力对其造成的影响。双方应协商制定并实施补救计划及合理的替代措施以消除不可抗力的影响。  </w:t>
      </w:r>
    </w:p>
    <w:p>
      <w:pPr>
        <w:spacing w:line="320" w:lineRule="exact"/>
        <w:jc w:val="center"/>
        <w:rPr>
          <w:rFonts w:asciiTheme="minorEastAsia" w:hAnsiTheme="minorEastAsia" w:eastAsiaTheme="minorEastAsia" w:cstheme="minorEastAsia"/>
          <w:b/>
          <w:bCs/>
          <w:sz w:val="20"/>
          <w:szCs w:val="20"/>
          <w:highlight w:val="none"/>
        </w:rPr>
      </w:pPr>
      <w:r>
        <w:rPr>
          <w:rFonts w:hint="eastAsia" w:asciiTheme="minorEastAsia" w:hAnsiTheme="minorEastAsia" w:eastAsiaTheme="minorEastAsia" w:cstheme="minorEastAsia"/>
          <w:b/>
          <w:bCs/>
          <w:sz w:val="20"/>
          <w:szCs w:val="20"/>
          <w:highlight w:val="none"/>
        </w:rPr>
        <w:t>十一、违约责任</w:t>
      </w:r>
    </w:p>
    <w:p>
      <w:pPr>
        <w:spacing w:line="320" w:lineRule="exact"/>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第二十六条 违约责任</w:t>
      </w:r>
    </w:p>
    <w:p>
      <w:pPr>
        <w:pStyle w:val="34"/>
        <w:spacing w:line="320" w:lineRule="exact"/>
        <w:rPr>
          <w:rFonts w:asciiTheme="minorEastAsia" w:hAnsiTheme="minorEastAsia" w:eastAsiaTheme="minorEastAsia" w:cstheme="minorEastAsia"/>
          <w:sz w:val="20"/>
          <w:highlight w:val="none"/>
        </w:rPr>
      </w:pPr>
      <w:r>
        <w:rPr>
          <w:rFonts w:hint="eastAsia" w:asciiTheme="minorEastAsia" w:hAnsiTheme="minorEastAsia" w:eastAsiaTheme="minorEastAsia" w:cstheme="minorEastAsia"/>
          <w:sz w:val="20"/>
          <w:highlight w:val="none"/>
        </w:rPr>
        <w:t>甲方根据以下情况有权终止合同：</w:t>
      </w:r>
    </w:p>
    <w:p>
      <w:pPr>
        <w:tabs>
          <w:tab w:val="left" w:pos="420"/>
        </w:tabs>
        <w:spacing w:beforeLines="50" w:line="320" w:lineRule="exact"/>
        <w:ind w:firstLine="567"/>
        <w:rPr>
          <w:rFonts w:asciiTheme="minorEastAsia" w:hAnsiTheme="minorEastAsia" w:eastAsiaTheme="minorEastAsia" w:cstheme="minorEastAsia"/>
          <w:color w:val="000000"/>
          <w:sz w:val="20"/>
          <w:szCs w:val="20"/>
          <w:highlight w:val="none"/>
        </w:rPr>
      </w:pPr>
      <w:r>
        <w:rPr>
          <w:rFonts w:hint="eastAsia" w:asciiTheme="minorEastAsia" w:hAnsiTheme="minorEastAsia" w:eastAsiaTheme="minorEastAsia" w:cstheme="minorEastAsia"/>
          <w:color w:val="000000"/>
          <w:sz w:val="20"/>
          <w:szCs w:val="20"/>
          <w:highlight w:val="none"/>
        </w:rPr>
        <w:t>（1）乙方未能根据本合同运营和维护项目设施，致使在项目场地或附近的人员和财产的安全受到严重不良影响或产生严重不良后果；</w:t>
      </w:r>
    </w:p>
    <w:p>
      <w:pPr>
        <w:tabs>
          <w:tab w:val="left" w:pos="420"/>
        </w:tabs>
        <w:spacing w:beforeLines="50" w:line="320" w:lineRule="exact"/>
        <w:ind w:firstLine="567"/>
        <w:rPr>
          <w:rFonts w:asciiTheme="minorEastAsia" w:hAnsiTheme="minorEastAsia" w:eastAsiaTheme="minorEastAsia" w:cstheme="minorEastAsia"/>
          <w:color w:val="000000"/>
          <w:sz w:val="20"/>
          <w:szCs w:val="20"/>
          <w:highlight w:val="none"/>
        </w:rPr>
      </w:pPr>
      <w:r>
        <w:rPr>
          <w:rFonts w:hint="eastAsia" w:asciiTheme="minorEastAsia" w:hAnsiTheme="minorEastAsia" w:eastAsiaTheme="minorEastAsia" w:cstheme="minorEastAsia"/>
          <w:color w:val="000000"/>
          <w:sz w:val="20"/>
          <w:szCs w:val="20"/>
          <w:highlight w:val="none"/>
        </w:rPr>
        <w:t>（2）乙方依中国法律清算或其资不抵债；</w:t>
      </w:r>
    </w:p>
    <w:p>
      <w:pPr>
        <w:tabs>
          <w:tab w:val="left" w:pos="420"/>
        </w:tabs>
        <w:spacing w:beforeLines="50" w:line="320" w:lineRule="exact"/>
        <w:ind w:firstLine="567"/>
        <w:rPr>
          <w:rFonts w:asciiTheme="minorEastAsia" w:hAnsiTheme="minorEastAsia" w:eastAsiaTheme="minorEastAsia" w:cstheme="minorEastAsia"/>
          <w:color w:val="000000"/>
          <w:sz w:val="20"/>
          <w:szCs w:val="20"/>
          <w:highlight w:val="none"/>
        </w:rPr>
      </w:pPr>
      <w:r>
        <w:rPr>
          <w:rFonts w:hint="eastAsia" w:asciiTheme="minorEastAsia" w:hAnsiTheme="minorEastAsia" w:eastAsiaTheme="minorEastAsia" w:cstheme="minorEastAsia"/>
          <w:color w:val="000000"/>
          <w:sz w:val="20"/>
          <w:szCs w:val="20"/>
          <w:highlight w:val="none"/>
        </w:rPr>
        <w:t>（3）乙方在本合同中作的声明被证明在提供时严重有误，使其履行本合同项下义务的能力受到严重不利影响；</w:t>
      </w:r>
    </w:p>
    <w:p>
      <w:pPr>
        <w:tabs>
          <w:tab w:val="left" w:pos="420"/>
        </w:tabs>
        <w:spacing w:beforeLines="50" w:line="320" w:lineRule="exact"/>
        <w:ind w:firstLine="567"/>
        <w:rPr>
          <w:rFonts w:asciiTheme="minorEastAsia" w:hAnsiTheme="minorEastAsia" w:eastAsiaTheme="minorEastAsia" w:cstheme="minorEastAsia"/>
          <w:color w:val="000000" w:themeColor="text1"/>
          <w:sz w:val="20"/>
          <w:szCs w:val="20"/>
          <w:highlight w:val="none"/>
          <w14:textFill>
            <w14:solidFill>
              <w14:schemeClr w14:val="tx1"/>
            </w14:solidFill>
          </w14:textFill>
        </w:rPr>
      </w:pPr>
      <w:r>
        <w:rPr>
          <w:rFonts w:hint="eastAsia" w:asciiTheme="minorEastAsia" w:hAnsiTheme="minorEastAsia" w:eastAsiaTheme="minorEastAsia" w:cstheme="minorEastAsia"/>
          <w:color w:val="000000"/>
          <w:sz w:val="20"/>
          <w:szCs w:val="20"/>
          <w:highlight w:val="none"/>
        </w:rPr>
        <w:t>（4）</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因中标人的原因，导致不能达到运营规模以及违反本合同约定的条款。</w:t>
      </w:r>
    </w:p>
    <w:p>
      <w:pPr>
        <w:tabs>
          <w:tab w:val="left" w:pos="420"/>
        </w:tabs>
        <w:spacing w:beforeLines="50" w:line="320" w:lineRule="exact"/>
        <w:ind w:firstLine="567"/>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color w:val="000000"/>
          <w:sz w:val="20"/>
          <w:szCs w:val="20"/>
          <w:highlight w:val="none"/>
        </w:rPr>
        <w:t xml:space="preserve">（5） </w:t>
      </w:r>
      <w:r>
        <w:rPr>
          <w:rFonts w:hint="eastAsia" w:asciiTheme="minorEastAsia" w:hAnsiTheme="minorEastAsia" w:eastAsiaTheme="minorEastAsia" w:cstheme="minorEastAsia"/>
          <w:sz w:val="20"/>
          <w:szCs w:val="20"/>
          <w:highlight w:val="none"/>
        </w:rPr>
        <w:t>乙方</w:t>
      </w:r>
      <w:r>
        <w:rPr>
          <w:rFonts w:hint="eastAsia" w:asciiTheme="minorEastAsia" w:hAnsiTheme="minorEastAsia" w:eastAsiaTheme="minorEastAsia" w:cstheme="minorEastAsia"/>
          <w:color w:val="000000"/>
          <w:sz w:val="20"/>
          <w:szCs w:val="20"/>
          <w:highlight w:val="none"/>
        </w:rPr>
        <w:t>严重违反本合同项下的义务，并在收到甲方发出说明此违约的书面通知和要求就此进行补救的书面通知后，未能在规定时间内补救。</w:t>
      </w:r>
    </w:p>
    <w:p>
      <w:pPr>
        <w:pStyle w:val="34"/>
        <w:spacing w:line="320" w:lineRule="exact"/>
        <w:rPr>
          <w:rFonts w:asciiTheme="minorEastAsia" w:hAnsiTheme="minorEastAsia" w:eastAsiaTheme="minorEastAsia" w:cstheme="minorEastAsia"/>
          <w:sz w:val="20"/>
          <w:highlight w:val="none"/>
        </w:rPr>
      </w:pPr>
      <w:r>
        <w:rPr>
          <w:rFonts w:hint="eastAsia" w:asciiTheme="minorEastAsia" w:hAnsiTheme="minorEastAsia" w:eastAsiaTheme="minorEastAsia" w:cstheme="minorEastAsia"/>
          <w:sz w:val="20"/>
          <w:highlight w:val="none"/>
        </w:rPr>
        <w:t>乙方有权根据以下情况终止合同：</w:t>
      </w:r>
    </w:p>
    <w:p>
      <w:pPr>
        <w:tabs>
          <w:tab w:val="left" w:pos="420"/>
        </w:tabs>
        <w:spacing w:beforeLines="50" w:line="320" w:lineRule="exact"/>
        <w:ind w:firstLine="567"/>
        <w:rPr>
          <w:rFonts w:asciiTheme="minorEastAsia" w:hAnsiTheme="minorEastAsia" w:eastAsiaTheme="minorEastAsia" w:cstheme="minorEastAsia"/>
          <w:color w:val="000000"/>
          <w:sz w:val="20"/>
          <w:szCs w:val="20"/>
          <w:highlight w:val="none"/>
        </w:rPr>
      </w:pPr>
      <w:r>
        <w:rPr>
          <w:rFonts w:hint="eastAsia" w:asciiTheme="minorEastAsia" w:hAnsiTheme="minorEastAsia" w:eastAsiaTheme="minorEastAsia" w:cstheme="minorEastAsia"/>
          <w:color w:val="000000"/>
          <w:sz w:val="20"/>
          <w:szCs w:val="20"/>
          <w:highlight w:val="none"/>
        </w:rPr>
        <w:t>（1）</w:t>
      </w:r>
      <w:r>
        <w:rPr>
          <w:rFonts w:hint="eastAsia" w:asciiTheme="minorEastAsia" w:hAnsiTheme="minorEastAsia" w:eastAsiaTheme="minorEastAsia" w:cstheme="minorEastAsia"/>
          <w:sz w:val="20"/>
          <w:szCs w:val="20"/>
          <w:highlight w:val="none"/>
        </w:rPr>
        <w:t>甲方</w:t>
      </w:r>
      <w:r>
        <w:rPr>
          <w:rFonts w:hint="eastAsia" w:asciiTheme="minorEastAsia" w:hAnsiTheme="minorEastAsia" w:eastAsiaTheme="minorEastAsia" w:cstheme="minorEastAsia"/>
          <w:color w:val="000000"/>
          <w:sz w:val="20"/>
          <w:szCs w:val="20"/>
          <w:highlight w:val="none"/>
        </w:rPr>
        <w:t>根据中国法律解散、关闭或资</w:t>
      </w:r>
      <w:bookmarkStart w:id="552" w:name="_Hlt212821010"/>
      <w:bookmarkEnd w:id="552"/>
      <w:r>
        <w:rPr>
          <w:rFonts w:hint="eastAsia" w:asciiTheme="minorEastAsia" w:hAnsiTheme="minorEastAsia" w:eastAsiaTheme="minorEastAsia" w:cstheme="minorEastAsia"/>
          <w:color w:val="000000"/>
          <w:sz w:val="20"/>
          <w:szCs w:val="20"/>
          <w:highlight w:val="none"/>
        </w:rPr>
        <w:t>不抵债，在不损害乙方的任何权利的情况下，业主将其在本合同下的权利和义务转让给一个有能力履约的受让人；</w:t>
      </w:r>
    </w:p>
    <w:p>
      <w:pPr>
        <w:tabs>
          <w:tab w:val="left" w:pos="420"/>
        </w:tabs>
        <w:spacing w:beforeLines="50" w:line="320" w:lineRule="exact"/>
        <w:ind w:firstLine="567"/>
        <w:rPr>
          <w:rFonts w:asciiTheme="minorEastAsia" w:hAnsiTheme="minorEastAsia" w:eastAsiaTheme="minorEastAsia" w:cstheme="minorEastAsia"/>
          <w:color w:val="000000"/>
          <w:sz w:val="20"/>
          <w:szCs w:val="20"/>
          <w:highlight w:val="none"/>
        </w:rPr>
      </w:pPr>
      <w:r>
        <w:rPr>
          <w:rFonts w:hint="eastAsia" w:asciiTheme="minorEastAsia" w:hAnsiTheme="minorEastAsia" w:eastAsiaTheme="minorEastAsia" w:cstheme="minorEastAsia"/>
          <w:color w:val="000000"/>
          <w:sz w:val="20"/>
          <w:szCs w:val="20"/>
          <w:highlight w:val="none"/>
        </w:rPr>
        <w:t xml:space="preserve">（2） </w:t>
      </w:r>
      <w:r>
        <w:rPr>
          <w:rFonts w:hint="eastAsia" w:asciiTheme="minorEastAsia" w:hAnsiTheme="minorEastAsia" w:eastAsiaTheme="minorEastAsia" w:cstheme="minorEastAsia"/>
          <w:sz w:val="20"/>
          <w:szCs w:val="20"/>
          <w:highlight w:val="none"/>
        </w:rPr>
        <w:t>甲方</w:t>
      </w:r>
      <w:r>
        <w:rPr>
          <w:rFonts w:hint="eastAsia" w:asciiTheme="minorEastAsia" w:hAnsiTheme="minorEastAsia" w:eastAsiaTheme="minorEastAsia" w:cstheme="minorEastAsia"/>
          <w:color w:val="000000"/>
          <w:sz w:val="20"/>
          <w:szCs w:val="20"/>
          <w:highlight w:val="none"/>
        </w:rPr>
        <w:t>在本合同中做的声明被证明在提供时严重有误，使业主履行本合同项下义务的能力受到严重不利影响；</w:t>
      </w:r>
    </w:p>
    <w:p>
      <w:pPr>
        <w:tabs>
          <w:tab w:val="left" w:pos="420"/>
        </w:tabs>
        <w:spacing w:beforeLines="50" w:line="320" w:lineRule="exact"/>
        <w:ind w:firstLine="567"/>
        <w:rPr>
          <w:rFonts w:asciiTheme="minorEastAsia" w:hAnsiTheme="minorEastAsia" w:eastAsiaTheme="minorEastAsia" w:cstheme="minorEastAsia"/>
          <w:color w:val="000000"/>
          <w:sz w:val="20"/>
          <w:szCs w:val="20"/>
          <w:highlight w:val="none"/>
        </w:rPr>
      </w:pPr>
      <w:r>
        <w:rPr>
          <w:rFonts w:hint="eastAsia" w:asciiTheme="minorEastAsia" w:hAnsiTheme="minorEastAsia" w:eastAsiaTheme="minorEastAsia" w:cstheme="minorEastAsia"/>
          <w:color w:val="000000"/>
          <w:sz w:val="20"/>
          <w:szCs w:val="20"/>
          <w:highlight w:val="none"/>
        </w:rPr>
        <w:t xml:space="preserve">（3） </w:t>
      </w:r>
      <w:r>
        <w:rPr>
          <w:rFonts w:hint="eastAsia" w:asciiTheme="minorEastAsia" w:hAnsiTheme="minorEastAsia" w:eastAsiaTheme="minorEastAsia" w:cstheme="minorEastAsia"/>
          <w:sz w:val="20"/>
          <w:szCs w:val="20"/>
          <w:highlight w:val="none"/>
        </w:rPr>
        <w:t>甲方</w:t>
      </w:r>
      <w:r>
        <w:rPr>
          <w:rFonts w:hint="eastAsia" w:asciiTheme="minorEastAsia" w:hAnsiTheme="minorEastAsia" w:eastAsiaTheme="minorEastAsia" w:cstheme="minorEastAsia"/>
          <w:color w:val="000000"/>
          <w:sz w:val="20"/>
          <w:szCs w:val="20"/>
          <w:highlight w:val="none"/>
        </w:rPr>
        <w:t>严重违反本合同项下的义务，并在收到乙方发出说明此违约的书面通知和要求甲方就此进行补救的书面通知后，未能在规定时间内补救。</w:t>
      </w:r>
    </w:p>
    <w:p>
      <w:pPr>
        <w:spacing w:line="320" w:lineRule="exact"/>
        <w:jc w:val="center"/>
        <w:rPr>
          <w:rFonts w:asciiTheme="minorEastAsia" w:hAnsiTheme="minorEastAsia" w:eastAsiaTheme="minorEastAsia" w:cstheme="minorEastAsia"/>
          <w:b/>
          <w:bCs/>
          <w:sz w:val="20"/>
          <w:szCs w:val="20"/>
          <w:highlight w:val="none"/>
        </w:rPr>
      </w:pPr>
      <w:r>
        <w:rPr>
          <w:rFonts w:hint="eastAsia" w:asciiTheme="minorEastAsia" w:hAnsiTheme="minorEastAsia" w:eastAsiaTheme="minorEastAsia" w:cstheme="minorEastAsia"/>
          <w:b/>
          <w:bCs/>
          <w:sz w:val="20"/>
          <w:szCs w:val="20"/>
          <w:highlight w:val="none"/>
        </w:rPr>
        <w:t>十二、争议的解决</w:t>
      </w:r>
    </w:p>
    <w:p>
      <w:pPr>
        <w:spacing w:line="320" w:lineRule="exact"/>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 xml:space="preserve">第二十七条 争议的解决  </w:t>
      </w:r>
    </w:p>
    <w:p>
      <w:pPr>
        <w:spacing w:line="320" w:lineRule="exact"/>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 xml:space="preserve">27.1对本协议有关的任何争议，双方应友好协商解决。  </w:t>
      </w:r>
    </w:p>
    <w:p>
      <w:pPr>
        <w:spacing w:line="320" w:lineRule="exact"/>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 xml:space="preserve">27.2争议未能解决的，可以通过向地区法院诉讼解决。  </w:t>
      </w:r>
    </w:p>
    <w:p>
      <w:pPr>
        <w:spacing w:line="320" w:lineRule="exact"/>
        <w:jc w:val="center"/>
        <w:rPr>
          <w:rFonts w:asciiTheme="minorEastAsia" w:hAnsiTheme="minorEastAsia" w:eastAsiaTheme="minorEastAsia" w:cstheme="minorEastAsia"/>
          <w:b/>
          <w:bCs/>
          <w:sz w:val="20"/>
          <w:szCs w:val="20"/>
          <w:highlight w:val="none"/>
        </w:rPr>
      </w:pPr>
      <w:r>
        <w:rPr>
          <w:rFonts w:hint="eastAsia" w:asciiTheme="minorEastAsia" w:hAnsiTheme="minorEastAsia" w:eastAsiaTheme="minorEastAsia" w:cstheme="minorEastAsia"/>
          <w:b/>
          <w:bCs/>
          <w:sz w:val="20"/>
          <w:szCs w:val="20"/>
          <w:highlight w:val="none"/>
        </w:rPr>
        <w:t>十三、运营期限</w:t>
      </w:r>
    </w:p>
    <w:p>
      <w:pPr>
        <w:spacing w:line="320" w:lineRule="exact"/>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 xml:space="preserve">第二十八条 运营期限  </w:t>
      </w:r>
    </w:p>
    <w:p>
      <w:pPr>
        <w:spacing w:line="320" w:lineRule="exact"/>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28.1 甲方授予乙方的运营期限为</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3</w:t>
      </w:r>
      <w:r>
        <w:rPr>
          <w:rFonts w:hint="eastAsia" w:asciiTheme="minorEastAsia" w:hAnsiTheme="minorEastAsia" w:eastAsiaTheme="minorEastAsia" w:cstheme="minorEastAsia"/>
          <w:sz w:val="20"/>
          <w:szCs w:val="20"/>
          <w:highlight w:val="none"/>
        </w:rPr>
        <w:t xml:space="preserve">周年。 </w:t>
      </w:r>
    </w:p>
    <w:p>
      <w:pPr>
        <w:spacing w:line="320" w:lineRule="exact"/>
        <w:ind w:firstLine="4040" w:firstLineChars="2000"/>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b/>
          <w:bCs/>
          <w:sz w:val="20"/>
          <w:szCs w:val="20"/>
          <w:highlight w:val="none"/>
        </w:rPr>
        <w:t>十四、终止</w:t>
      </w:r>
    </w:p>
    <w:p>
      <w:pPr>
        <w:spacing w:line="320" w:lineRule="exact"/>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 xml:space="preserve">第二十九条  终止事件  </w:t>
      </w:r>
    </w:p>
    <w:p>
      <w:pPr>
        <w:spacing w:line="320" w:lineRule="exact"/>
        <w:ind w:firstLine="505" w:firstLineChars="250"/>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本协议可因下列原因终止：</w:t>
      </w:r>
    </w:p>
    <w:p>
      <w:pPr>
        <w:pStyle w:val="34"/>
        <w:spacing w:line="320" w:lineRule="exact"/>
        <w:ind w:firstLine="606" w:firstLineChars="300"/>
        <w:rPr>
          <w:rFonts w:asciiTheme="minorEastAsia" w:hAnsiTheme="minorEastAsia" w:eastAsiaTheme="minorEastAsia" w:cstheme="minorEastAsia"/>
          <w:sz w:val="20"/>
          <w:highlight w:val="none"/>
        </w:rPr>
      </w:pPr>
      <w:r>
        <w:rPr>
          <w:rFonts w:hint="eastAsia" w:asciiTheme="minorEastAsia" w:hAnsiTheme="minorEastAsia" w:eastAsiaTheme="minorEastAsia" w:cstheme="minorEastAsia"/>
          <w:sz w:val="20"/>
          <w:highlight w:val="none"/>
        </w:rPr>
        <w:t>（1）不可抗力；</w:t>
      </w:r>
    </w:p>
    <w:p>
      <w:pPr>
        <w:spacing w:line="320" w:lineRule="exact"/>
        <w:ind w:firstLine="606" w:firstLineChars="300"/>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（2）根据条款约定，任一方违约；</w:t>
      </w:r>
    </w:p>
    <w:p>
      <w:pPr>
        <w:spacing w:line="320" w:lineRule="exact"/>
        <w:ind w:firstLine="4040" w:firstLineChars="2000"/>
        <w:rPr>
          <w:rFonts w:asciiTheme="minorEastAsia" w:hAnsiTheme="minorEastAsia" w:eastAsiaTheme="minorEastAsia" w:cstheme="minorEastAsia"/>
          <w:b/>
          <w:bCs/>
          <w:sz w:val="20"/>
          <w:szCs w:val="20"/>
          <w:highlight w:val="none"/>
        </w:rPr>
      </w:pPr>
      <w:r>
        <w:rPr>
          <w:rFonts w:hint="eastAsia" w:asciiTheme="minorEastAsia" w:hAnsiTheme="minorEastAsia" w:eastAsiaTheme="minorEastAsia" w:cstheme="minorEastAsia"/>
          <w:b/>
          <w:bCs/>
          <w:sz w:val="20"/>
          <w:szCs w:val="20"/>
          <w:highlight w:val="none"/>
        </w:rPr>
        <w:t>十五、其他</w:t>
      </w:r>
    </w:p>
    <w:p>
      <w:pPr>
        <w:spacing w:line="320" w:lineRule="exact"/>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30.1对合同条款做出任何修改，均须由甲、乙方双方协商，以书面补充合同形式进行。</w:t>
      </w:r>
    </w:p>
    <w:p>
      <w:pPr>
        <w:spacing w:line="320" w:lineRule="exact"/>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 xml:space="preserve">本协议自签署之日即对双方产生同等的约束力及法律效力。 </w:t>
      </w:r>
    </w:p>
    <w:p>
      <w:pPr>
        <w:spacing w:line="320" w:lineRule="exact"/>
        <w:rPr>
          <w:rFonts w:asciiTheme="minorEastAsia" w:hAnsiTheme="minorEastAsia" w:eastAsiaTheme="minorEastAsia" w:cstheme="minorEastAsia"/>
          <w:sz w:val="20"/>
          <w:szCs w:val="20"/>
          <w:highlight w:val="none"/>
          <w:u w:val="single"/>
        </w:rPr>
      </w:pPr>
      <w:r>
        <w:rPr>
          <w:rFonts w:hint="eastAsia" w:asciiTheme="minorEastAsia" w:hAnsiTheme="minorEastAsia" w:eastAsiaTheme="minorEastAsia" w:cstheme="minorEastAsia"/>
          <w:sz w:val="20"/>
          <w:szCs w:val="20"/>
          <w:highlight w:val="none"/>
        </w:rPr>
        <w:t xml:space="preserve">30.2本合同经甲、乙双方签字盖章后立即生效，共制作正本四份，签约双方各执二份，具有同等法律效力。    </w:t>
      </w:r>
    </w:p>
    <w:p>
      <w:pPr>
        <w:spacing w:line="320" w:lineRule="exact"/>
        <w:rPr>
          <w:rFonts w:asciiTheme="minorEastAsia" w:hAnsiTheme="minorEastAsia" w:eastAsiaTheme="minorEastAsia" w:cstheme="minorEastAsia"/>
          <w:sz w:val="20"/>
          <w:szCs w:val="20"/>
          <w:highlight w:val="none"/>
        </w:rPr>
      </w:pPr>
    </w:p>
    <w:p>
      <w:pPr>
        <w:spacing w:line="320" w:lineRule="exact"/>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甲方（盖章）：                             乙方（盖章）：</w:t>
      </w:r>
    </w:p>
    <w:p>
      <w:pPr>
        <w:spacing w:line="320" w:lineRule="exact"/>
        <w:rPr>
          <w:rFonts w:asciiTheme="minorEastAsia" w:hAnsiTheme="minorEastAsia" w:eastAsiaTheme="minorEastAsia" w:cstheme="minorEastAsia"/>
          <w:sz w:val="20"/>
          <w:szCs w:val="20"/>
          <w:highlight w:val="none"/>
          <w:u w:val="single"/>
        </w:rPr>
      </w:pPr>
    </w:p>
    <w:p>
      <w:pPr>
        <w:spacing w:line="320" w:lineRule="exact"/>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法定代表人或授权代表：                   法定代表人或授权代表：</w:t>
      </w:r>
    </w:p>
    <w:p>
      <w:pPr>
        <w:spacing w:line="320" w:lineRule="exact"/>
        <w:rPr>
          <w:rFonts w:asciiTheme="minorEastAsia" w:hAnsiTheme="minorEastAsia" w:eastAsiaTheme="minorEastAsia" w:cstheme="minorEastAsia"/>
          <w:sz w:val="20"/>
          <w:szCs w:val="20"/>
          <w:highlight w:val="none"/>
        </w:rPr>
      </w:pPr>
    </w:p>
    <w:p>
      <w:pPr>
        <w:spacing w:line="320" w:lineRule="exact"/>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 xml:space="preserve">签字日期：    年     月    日             签字日期：    年     月    日 </w:t>
      </w:r>
    </w:p>
    <w:p>
      <w:pPr>
        <w:pStyle w:val="2"/>
        <w:snapToGrid w:val="0"/>
        <w:spacing w:line="320" w:lineRule="exact"/>
        <w:jc w:val="both"/>
        <w:rPr>
          <w:rFonts w:asciiTheme="minorEastAsia" w:hAnsiTheme="minorEastAsia" w:eastAsiaTheme="minorEastAsia" w:cstheme="minorEastAsia"/>
          <w:b/>
          <w:snapToGrid w:val="0"/>
          <w:sz w:val="20"/>
          <w:highlight w:val="none"/>
        </w:rPr>
      </w:pPr>
    </w:p>
    <w:p>
      <w:pPr>
        <w:pStyle w:val="2"/>
        <w:snapToGrid w:val="0"/>
        <w:spacing w:line="320" w:lineRule="exact"/>
        <w:jc w:val="both"/>
        <w:rPr>
          <w:rFonts w:asciiTheme="minorEastAsia" w:hAnsiTheme="minorEastAsia" w:eastAsiaTheme="minorEastAsia" w:cstheme="minorEastAsia"/>
          <w:b/>
          <w:bCs/>
          <w:sz w:val="20"/>
          <w:highlight w:val="none"/>
        </w:rPr>
      </w:pPr>
      <w:r>
        <w:rPr>
          <w:rFonts w:hint="eastAsia" w:asciiTheme="minorEastAsia" w:hAnsiTheme="minorEastAsia" w:eastAsiaTheme="minorEastAsia" w:cstheme="minorEastAsia"/>
          <w:b/>
          <w:snapToGrid w:val="0"/>
          <w:sz w:val="20"/>
          <w:highlight w:val="none"/>
        </w:rPr>
        <w:t>注：本合同作为示范文本，具体以采购人与中标供应商所签定正式合同为准。</w:t>
      </w:r>
    </w:p>
    <w:p>
      <w:pPr>
        <w:spacing w:line="320" w:lineRule="exact"/>
        <w:rPr>
          <w:rFonts w:asciiTheme="minorEastAsia" w:hAnsiTheme="minorEastAsia" w:eastAsiaTheme="minorEastAsia" w:cstheme="minorEastAsia"/>
          <w:b/>
          <w:bCs/>
          <w:sz w:val="20"/>
          <w:szCs w:val="20"/>
          <w:highlight w:val="none"/>
        </w:rPr>
      </w:pPr>
    </w:p>
    <w:p>
      <w:pPr>
        <w:autoSpaceDE w:val="0"/>
        <w:autoSpaceDN w:val="0"/>
        <w:spacing w:line="460" w:lineRule="exact"/>
        <w:ind w:firstLine="444" w:firstLineChars="200"/>
        <w:rPr>
          <w:rFonts w:ascii="宋体" w:hAnsi="Courier New"/>
          <w:b/>
          <w:bCs/>
          <w:sz w:val="22"/>
          <w:szCs w:val="22"/>
          <w:highlight w:val="none"/>
        </w:rPr>
      </w:pPr>
      <w:r>
        <w:rPr>
          <w:rFonts w:hint="eastAsia" w:ascii="宋体" w:hAnsi="Courier New"/>
          <w:b/>
          <w:bCs/>
          <w:sz w:val="22"/>
          <w:szCs w:val="22"/>
          <w:highlight w:val="none"/>
        </w:rPr>
        <w:t>本</w:t>
      </w:r>
      <w:r>
        <w:rPr>
          <w:rFonts w:ascii="宋体" w:hAnsi="Courier New"/>
          <w:b/>
          <w:bCs/>
          <w:sz w:val="22"/>
          <w:szCs w:val="22"/>
          <w:highlight w:val="none"/>
        </w:rPr>
        <w:t>考核办法为</w:t>
      </w:r>
      <w:r>
        <w:rPr>
          <w:rFonts w:hint="eastAsia" w:ascii="宋体" w:hAnsi="Courier New"/>
          <w:b/>
          <w:bCs/>
          <w:sz w:val="22"/>
          <w:szCs w:val="22"/>
          <w:highlight w:val="none"/>
        </w:rPr>
        <w:t>暂定参考</w:t>
      </w:r>
      <w:r>
        <w:rPr>
          <w:rFonts w:ascii="宋体" w:hAnsi="Courier New"/>
          <w:b/>
          <w:bCs/>
          <w:sz w:val="22"/>
          <w:szCs w:val="22"/>
          <w:highlight w:val="none"/>
        </w:rPr>
        <w:t>，</w:t>
      </w:r>
      <w:r>
        <w:rPr>
          <w:rFonts w:hint="eastAsia" w:ascii="宋体" w:hAnsi="Courier New"/>
          <w:b/>
          <w:bCs/>
          <w:sz w:val="22"/>
          <w:szCs w:val="22"/>
          <w:highlight w:val="none"/>
        </w:rPr>
        <w:t>具体由采购人负责，根据上级部门要求，相关行业规定及本次招标文件规定制定考核办法</w:t>
      </w:r>
    </w:p>
    <w:p>
      <w:pPr>
        <w:tabs>
          <w:tab w:val="left" w:pos="4018"/>
        </w:tabs>
        <w:snapToGrid w:val="0"/>
        <w:spacing w:line="400" w:lineRule="exact"/>
        <w:ind w:firstLine="555" w:firstLineChars="250"/>
        <w:rPr>
          <w:rFonts w:ascii="宋体" w:hAnsi="Courier New"/>
          <w:b/>
          <w:sz w:val="22"/>
          <w:szCs w:val="22"/>
          <w:highlight w:val="none"/>
        </w:rPr>
      </w:pPr>
      <w:r>
        <w:rPr>
          <w:rFonts w:hint="eastAsia" w:ascii="宋体" w:hAnsi="Courier New"/>
          <w:b/>
          <w:sz w:val="22"/>
          <w:szCs w:val="22"/>
          <w:highlight w:val="none"/>
        </w:rPr>
        <w:t>采购人有权根据实际情况进行调整</w:t>
      </w:r>
      <w:r>
        <w:rPr>
          <w:rFonts w:ascii="宋体" w:hAnsi="Courier New"/>
          <w:b/>
          <w:sz w:val="22"/>
          <w:szCs w:val="22"/>
          <w:highlight w:val="none"/>
        </w:rPr>
        <w:t>考核办法</w:t>
      </w:r>
      <w:r>
        <w:rPr>
          <w:rFonts w:hint="eastAsia" w:ascii="宋体" w:hAnsi="Courier New"/>
          <w:b/>
          <w:sz w:val="22"/>
          <w:szCs w:val="22"/>
          <w:highlight w:val="none"/>
        </w:rPr>
        <w:t>。</w:t>
      </w:r>
    </w:p>
    <w:tbl>
      <w:tblPr>
        <w:tblStyle w:val="25"/>
        <w:tblpPr w:leftFromText="180" w:rightFromText="180" w:vertAnchor="text" w:horzAnchor="page" w:tblpX="1278" w:tblpY="428"/>
        <w:tblOverlap w:val="never"/>
        <w:tblW w:w="9537"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162"/>
        <w:gridCol w:w="6450"/>
        <w:gridCol w:w="813"/>
        <w:gridCol w:w="111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8" w:hRule="atLeast"/>
        </w:trPr>
        <w:tc>
          <w:tcPr>
            <w:tcW w:w="1162" w:type="dxa"/>
            <w:vAlign w:val="center"/>
          </w:tcPr>
          <w:p>
            <w:pPr>
              <w:widowControl/>
              <w:pBdr>
                <w:left w:val="single" w:color="auto" w:sz="4" w:space="4"/>
              </w:pBdr>
              <w:snapToGrid w:val="0"/>
              <w:spacing w:line="500" w:lineRule="exact"/>
              <w:jc w:val="center"/>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考核内容</w:t>
            </w:r>
          </w:p>
        </w:tc>
        <w:tc>
          <w:tcPr>
            <w:tcW w:w="6450" w:type="dxa"/>
            <w:vAlign w:val="center"/>
          </w:tcPr>
          <w:p>
            <w:pPr>
              <w:widowControl/>
              <w:pBdr>
                <w:left w:val="single" w:color="auto" w:sz="4" w:space="4"/>
              </w:pBdr>
              <w:snapToGrid w:val="0"/>
              <w:spacing w:line="500" w:lineRule="exact"/>
              <w:jc w:val="center"/>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评价方法</w:t>
            </w:r>
          </w:p>
        </w:tc>
        <w:tc>
          <w:tcPr>
            <w:tcW w:w="813" w:type="dxa"/>
            <w:vAlign w:val="center"/>
          </w:tcPr>
          <w:p>
            <w:pPr>
              <w:widowControl/>
              <w:pBdr>
                <w:left w:val="single" w:color="auto" w:sz="4" w:space="4"/>
              </w:pBdr>
              <w:snapToGrid w:val="0"/>
              <w:spacing w:line="500" w:lineRule="exact"/>
              <w:jc w:val="center"/>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分值</w:t>
            </w:r>
          </w:p>
        </w:tc>
        <w:tc>
          <w:tcPr>
            <w:tcW w:w="1112" w:type="dxa"/>
            <w:vAlign w:val="center"/>
          </w:tcPr>
          <w:p>
            <w:pPr>
              <w:widowControl/>
              <w:pBdr>
                <w:left w:val="single" w:color="auto" w:sz="4" w:space="4"/>
              </w:pBdr>
              <w:snapToGrid w:val="0"/>
              <w:spacing w:line="500" w:lineRule="exact"/>
              <w:jc w:val="center"/>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考核得分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1162" w:type="dxa"/>
            <w:vAlign w:val="center"/>
          </w:tcPr>
          <w:p>
            <w:pPr>
              <w:widowControl/>
              <w:pBdr>
                <w:left w:val="single" w:color="auto" w:sz="4" w:space="4"/>
              </w:pBdr>
              <w:snapToGrid w:val="0"/>
              <w:spacing w:line="440" w:lineRule="exact"/>
              <w:jc w:val="center"/>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出质水质</w:t>
            </w:r>
          </w:p>
        </w:tc>
        <w:tc>
          <w:tcPr>
            <w:tcW w:w="6450" w:type="dxa"/>
            <w:vAlign w:val="center"/>
          </w:tcPr>
          <w:p>
            <w:pPr>
              <w:widowControl/>
              <w:pBdr>
                <w:left w:val="single" w:color="auto" w:sz="4" w:space="4"/>
              </w:pBdr>
              <w:snapToGrid w:val="0"/>
              <w:spacing w:line="440" w:lineRule="exact"/>
              <w:jc w:val="left"/>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出水水质检测COD cr、NH3-N（以N计）、TN、TP、pH值月平均值达标的得20分，一月不达标，扣5分，扣完为止。</w:t>
            </w:r>
          </w:p>
        </w:tc>
        <w:tc>
          <w:tcPr>
            <w:tcW w:w="813" w:type="dxa"/>
            <w:vAlign w:val="center"/>
          </w:tcPr>
          <w:p>
            <w:pPr>
              <w:widowControl/>
              <w:pBdr>
                <w:left w:val="single" w:color="auto" w:sz="4" w:space="4"/>
              </w:pBdr>
              <w:snapToGrid w:val="0"/>
              <w:spacing w:line="440" w:lineRule="exact"/>
              <w:jc w:val="center"/>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30分</w:t>
            </w:r>
          </w:p>
        </w:tc>
        <w:tc>
          <w:tcPr>
            <w:tcW w:w="1112" w:type="dxa"/>
            <w:vAlign w:val="center"/>
          </w:tcPr>
          <w:p>
            <w:pPr>
              <w:widowControl/>
              <w:pBdr>
                <w:left w:val="single" w:color="auto" w:sz="4" w:space="4"/>
              </w:pBdr>
              <w:snapToGrid w:val="0"/>
              <w:spacing w:line="440" w:lineRule="exact"/>
              <w:jc w:val="center"/>
              <w:rPr>
                <w:rFonts w:asciiTheme="minorEastAsia" w:hAnsiTheme="minorEastAsia" w:eastAsiaTheme="minorEastAsia" w:cstheme="minorEastAsia"/>
                <w:sz w:val="20"/>
                <w:szCs w:val="20"/>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1162" w:type="dxa"/>
            <w:vAlign w:val="center"/>
          </w:tcPr>
          <w:p>
            <w:pPr>
              <w:widowControl/>
              <w:pBdr>
                <w:left w:val="single" w:color="auto" w:sz="4" w:space="4"/>
              </w:pBdr>
              <w:snapToGrid w:val="0"/>
              <w:spacing w:line="440" w:lineRule="exact"/>
              <w:jc w:val="center"/>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人员配备</w:t>
            </w:r>
          </w:p>
        </w:tc>
        <w:tc>
          <w:tcPr>
            <w:tcW w:w="6450" w:type="dxa"/>
            <w:vAlign w:val="center"/>
          </w:tcPr>
          <w:p>
            <w:pPr>
              <w:widowControl/>
              <w:pBdr>
                <w:left w:val="single" w:color="auto" w:sz="4" w:space="4"/>
              </w:pBdr>
              <w:snapToGrid w:val="0"/>
              <w:spacing w:line="440" w:lineRule="exact"/>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人员配备合理、工作经验足的得2分，未达到上述要求的，酌情扣分</w:t>
            </w:r>
          </w:p>
        </w:tc>
        <w:tc>
          <w:tcPr>
            <w:tcW w:w="813" w:type="dxa"/>
            <w:vAlign w:val="center"/>
          </w:tcPr>
          <w:p>
            <w:pPr>
              <w:widowControl/>
              <w:pBdr>
                <w:left w:val="single" w:color="auto" w:sz="4" w:space="4"/>
              </w:pBdr>
              <w:snapToGrid w:val="0"/>
              <w:spacing w:line="440" w:lineRule="exact"/>
              <w:jc w:val="center"/>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2分</w:t>
            </w:r>
          </w:p>
        </w:tc>
        <w:tc>
          <w:tcPr>
            <w:tcW w:w="1112" w:type="dxa"/>
            <w:vAlign w:val="center"/>
          </w:tcPr>
          <w:p>
            <w:pPr>
              <w:widowControl/>
              <w:pBdr>
                <w:left w:val="single" w:color="auto" w:sz="4" w:space="4"/>
              </w:pBdr>
              <w:snapToGrid w:val="0"/>
              <w:spacing w:line="440" w:lineRule="exact"/>
              <w:jc w:val="center"/>
              <w:rPr>
                <w:rFonts w:asciiTheme="minorEastAsia" w:hAnsiTheme="minorEastAsia" w:eastAsiaTheme="minorEastAsia" w:cstheme="minorEastAsia"/>
                <w:sz w:val="20"/>
                <w:szCs w:val="20"/>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1162" w:type="dxa"/>
            <w:vAlign w:val="center"/>
          </w:tcPr>
          <w:p>
            <w:pPr>
              <w:widowControl/>
              <w:pBdr>
                <w:left w:val="single" w:color="auto" w:sz="4" w:space="4"/>
              </w:pBdr>
              <w:snapToGrid w:val="0"/>
              <w:spacing w:line="440" w:lineRule="exact"/>
              <w:jc w:val="center"/>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内部管理制度</w:t>
            </w:r>
          </w:p>
        </w:tc>
        <w:tc>
          <w:tcPr>
            <w:tcW w:w="6450" w:type="dxa"/>
            <w:vAlign w:val="center"/>
          </w:tcPr>
          <w:p>
            <w:pPr>
              <w:widowControl/>
              <w:pBdr>
                <w:left w:val="single" w:color="auto" w:sz="4" w:space="4"/>
              </w:pBdr>
              <w:snapToGrid w:val="0"/>
              <w:spacing w:line="440" w:lineRule="exact"/>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各项管理制度、操作规范的齐全的得2分，管理制度上墙的得2分，未达到上述要求的，不得分</w:t>
            </w:r>
          </w:p>
        </w:tc>
        <w:tc>
          <w:tcPr>
            <w:tcW w:w="813" w:type="dxa"/>
            <w:vAlign w:val="center"/>
          </w:tcPr>
          <w:p>
            <w:pPr>
              <w:widowControl/>
              <w:pBdr>
                <w:left w:val="single" w:color="auto" w:sz="4" w:space="4"/>
              </w:pBdr>
              <w:snapToGrid w:val="0"/>
              <w:spacing w:line="440" w:lineRule="exact"/>
              <w:jc w:val="center"/>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4分</w:t>
            </w:r>
          </w:p>
        </w:tc>
        <w:tc>
          <w:tcPr>
            <w:tcW w:w="1112" w:type="dxa"/>
            <w:vAlign w:val="center"/>
          </w:tcPr>
          <w:p>
            <w:pPr>
              <w:widowControl/>
              <w:pBdr>
                <w:left w:val="single" w:color="auto" w:sz="4" w:space="4"/>
              </w:pBdr>
              <w:snapToGrid w:val="0"/>
              <w:spacing w:line="440" w:lineRule="exact"/>
              <w:jc w:val="center"/>
              <w:rPr>
                <w:rFonts w:asciiTheme="minorEastAsia" w:hAnsiTheme="minorEastAsia" w:eastAsiaTheme="minorEastAsia" w:cstheme="minorEastAsia"/>
                <w:sz w:val="20"/>
                <w:szCs w:val="20"/>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1162" w:type="dxa"/>
            <w:vAlign w:val="center"/>
          </w:tcPr>
          <w:p>
            <w:pPr>
              <w:widowControl/>
              <w:pBdr>
                <w:left w:val="single" w:color="auto" w:sz="4" w:space="4"/>
              </w:pBdr>
              <w:snapToGrid w:val="0"/>
              <w:spacing w:line="440" w:lineRule="exact"/>
              <w:jc w:val="center"/>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检测方法</w:t>
            </w:r>
          </w:p>
        </w:tc>
        <w:tc>
          <w:tcPr>
            <w:tcW w:w="6450" w:type="dxa"/>
            <w:vAlign w:val="center"/>
          </w:tcPr>
          <w:p>
            <w:pPr>
              <w:widowControl/>
              <w:pBdr>
                <w:left w:val="single" w:color="auto" w:sz="4" w:space="4"/>
              </w:pBdr>
              <w:snapToGrid w:val="0"/>
              <w:spacing w:line="440" w:lineRule="exact"/>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采用国家或行业检测方法的，得3分，未达到上述要求的，缺一项扣0.2分，扣完为止。</w:t>
            </w:r>
          </w:p>
        </w:tc>
        <w:tc>
          <w:tcPr>
            <w:tcW w:w="813" w:type="dxa"/>
            <w:vAlign w:val="center"/>
          </w:tcPr>
          <w:p>
            <w:pPr>
              <w:widowControl/>
              <w:pBdr>
                <w:left w:val="single" w:color="auto" w:sz="4" w:space="4"/>
              </w:pBdr>
              <w:snapToGrid w:val="0"/>
              <w:spacing w:line="440" w:lineRule="exact"/>
              <w:jc w:val="center"/>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3分</w:t>
            </w:r>
          </w:p>
        </w:tc>
        <w:tc>
          <w:tcPr>
            <w:tcW w:w="1112" w:type="dxa"/>
            <w:vAlign w:val="center"/>
          </w:tcPr>
          <w:p>
            <w:pPr>
              <w:widowControl/>
              <w:pBdr>
                <w:left w:val="single" w:color="auto" w:sz="4" w:space="4"/>
              </w:pBdr>
              <w:snapToGrid w:val="0"/>
              <w:spacing w:line="440" w:lineRule="exact"/>
              <w:jc w:val="center"/>
              <w:rPr>
                <w:rFonts w:asciiTheme="minorEastAsia" w:hAnsiTheme="minorEastAsia" w:eastAsiaTheme="minorEastAsia" w:cstheme="minorEastAsia"/>
                <w:sz w:val="20"/>
                <w:szCs w:val="20"/>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1162" w:type="dxa"/>
            <w:vAlign w:val="center"/>
          </w:tcPr>
          <w:p>
            <w:pPr>
              <w:widowControl/>
              <w:pBdr>
                <w:left w:val="single" w:color="auto" w:sz="4" w:space="4"/>
              </w:pBdr>
              <w:snapToGrid w:val="0"/>
              <w:spacing w:line="440" w:lineRule="exact"/>
              <w:jc w:val="center"/>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设备运行</w:t>
            </w:r>
          </w:p>
        </w:tc>
        <w:tc>
          <w:tcPr>
            <w:tcW w:w="6450" w:type="dxa"/>
            <w:vAlign w:val="center"/>
          </w:tcPr>
          <w:p>
            <w:pPr>
              <w:widowControl/>
              <w:pBdr>
                <w:left w:val="single" w:color="auto" w:sz="4" w:space="4"/>
              </w:pBdr>
              <w:snapToGrid w:val="0"/>
              <w:spacing w:line="440" w:lineRule="exact"/>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应按照进水水质和水量运行污水处理设备，不得擅自停运或减少运行台数；设备操作规程和维修保养规定执行；不符合要求的发现一处扣0.5分；</w:t>
            </w:r>
            <w:r>
              <w:rPr>
                <w:rFonts w:hint="eastAsia" w:asciiTheme="minorEastAsia" w:hAnsiTheme="minorEastAsia" w:eastAsiaTheme="minorEastAsia" w:cstheme="minorEastAsia"/>
                <w:bCs/>
                <w:sz w:val="20"/>
                <w:szCs w:val="20"/>
                <w:highlight w:val="none"/>
              </w:rPr>
              <w:t>每发现一个设备、设施运行不正常并导致污水处理作业无法正常运行的，扣0.5分，扣完为止</w:t>
            </w:r>
          </w:p>
        </w:tc>
        <w:tc>
          <w:tcPr>
            <w:tcW w:w="813" w:type="dxa"/>
            <w:vAlign w:val="center"/>
          </w:tcPr>
          <w:p>
            <w:pPr>
              <w:widowControl/>
              <w:pBdr>
                <w:left w:val="single" w:color="auto" w:sz="4" w:space="4"/>
              </w:pBdr>
              <w:snapToGrid w:val="0"/>
              <w:spacing w:line="440" w:lineRule="exact"/>
              <w:jc w:val="center"/>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6分</w:t>
            </w:r>
          </w:p>
        </w:tc>
        <w:tc>
          <w:tcPr>
            <w:tcW w:w="1112" w:type="dxa"/>
            <w:vAlign w:val="center"/>
          </w:tcPr>
          <w:p>
            <w:pPr>
              <w:widowControl/>
              <w:pBdr>
                <w:left w:val="single" w:color="auto" w:sz="4" w:space="4"/>
              </w:pBdr>
              <w:snapToGrid w:val="0"/>
              <w:spacing w:line="440" w:lineRule="exact"/>
              <w:jc w:val="center"/>
              <w:rPr>
                <w:rFonts w:asciiTheme="minorEastAsia" w:hAnsiTheme="minorEastAsia" w:eastAsiaTheme="minorEastAsia" w:cstheme="minorEastAsia"/>
                <w:sz w:val="20"/>
                <w:szCs w:val="20"/>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1162" w:type="dxa"/>
            <w:vAlign w:val="center"/>
          </w:tcPr>
          <w:p>
            <w:pPr>
              <w:widowControl/>
              <w:pBdr>
                <w:left w:val="single" w:color="auto" w:sz="4" w:space="4"/>
              </w:pBdr>
              <w:snapToGrid w:val="0"/>
              <w:spacing w:line="440" w:lineRule="exact"/>
              <w:jc w:val="center"/>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仪器按期检定</w:t>
            </w:r>
          </w:p>
        </w:tc>
        <w:tc>
          <w:tcPr>
            <w:tcW w:w="6450" w:type="dxa"/>
            <w:vAlign w:val="center"/>
          </w:tcPr>
          <w:p>
            <w:pPr>
              <w:widowControl/>
              <w:pBdr>
                <w:left w:val="single" w:color="auto" w:sz="4" w:space="4"/>
              </w:pBdr>
              <w:snapToGrid w:val="0"/>
              <w:spacing w:line="440" w:lineRule="exact"/>
              <w:jc w:val="left"/>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在用的化验仪器设备、计量仪表、工艺用仪器仪表按有关部门要求进行检定，化验仪器设备在检定周期内使用。未达到上述要求的，酌情扣分</w:t>
            </w:r>
          </w:p>
        </w:tc>
        <w:tc>
          <w:tcPr>
            <w:tcW w:w="813" w:type="dxa"/>
            <w:vAlign w:val="center"/>
          </w:tcPr>
          <w:p>
            <w:pPr>
              <w:widowControl/>
              <w:pBdr>
                <w:left w:val="single" w:color="auto" w:sz="4" w:space="4"/>
              </w:pBdr>
              <w:snapToGrid w:val="0"/>
              <w:spacing w:line="440" w:lineRule="exact"/>
              <w:jc w:val="center"/>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2分</w:t>
            </w:r>
          </w:p>
        </w:tc>
        <w:tc>
          <w:tcPr>
            <w:tcW w:w="1112" w:type="dxa"/>
            <w:vAlign w:val="center"/>
          </w:tcPr>
          <w:p>
            <w:pPr>
              <w:widowControl/>
              <w:pBdr>
                <w:left w:val="single" w:color="auto" w:sz="4" w:space="4"/>
              </w:pBdr>
              <w:snapToGrid w:val="0"/>
              <w:spacing w:line="440" w:lineRule="exact"/>
              <w:jc w:val="center"/>
              <w:rPr>
                <w:rFonts w:asciiTheme="minorEastAsia" w:hAnsiTheme="minorEastAsia" w:eastAsiaTheme="minorEastAsia" w:cstheme="minorEastAsia"/>
                <w:sz w:val="20"/>
                <w:szCs w:val="20"/>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1162" w:type="dxa"/>
            <w:vAlign w:val="center"/>
          </w:tcPr>
          <w:p>
            <w:pPr>
              <w:widowControl/>
              <w:pBdr>
                <w:left w:val="single" w:color="auto" w:sz="4" w:space="4"/>
              </w:pBdr>
              <w:snapToGrid w:val="0"/>
              <w:spacing w:line="440" w:lineRule="exact"/>
              <w:jc w:val="center"/>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设备运行台帐</w:t>
            </w:r>
          </w:p>
        </w:tc>
        <w:tc>
          <w:tcPr>
            <w:tcW w:w="6450" w:type="dxa"/>
            <w:vAlign w:val="center"/>
          </w:tcPr>
          <w:p>
            <w:pPr>
              <w:widowControl/>
              <w:pBdr>
                <w:left w:val="single" w:color="auto" w:sz="4" w:space="4"/>
              </w:pBdr>
              <w:snapToGrid w:val="0"/>
              <w:spacing w:line="440" w:lineRule="exact"/>
              <w:jc w:val="left"/>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主要设备运行记录台账，设备开停时间，设备建档等齐全；设备维护保养计划及记录台账清晰完整的得2分，得未达到上述要求的，酌情扣分</w:t>
            </w:r>
          </w:p>
        </w:tc>
        <w:tc>
          <w:tcPr>
            <w:tcW w:w="813" w:type="dxa"/>
            <w:vAlign w:val="center"/>
          </w:tcPr>
          <w:p>
            <w:pPr>
              <w:widowControl/>
              <w:pBdr>
                <w:left w:val="single" w:color="auto" w:sz="4" w:space="4"/>
              </w:pBdr>
              <w:snapToGrid w:val="0"/>
              <w:spacing w:line="440" w:lineRule="exact"/>
              <w:jc w:val="center"/>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2分</w:t>
            </w:r>
          </w:p>
        </w:tc>
        <w:tc>
          <w:tcPr>
            <w:tcW w:w="1112" w:type="dxa"/>
            <w:vAlign w:val="center"/>
          </w:tcPr>
          <w:p>
            <w:pPr>
              <w:widowControl/>
              <w:pBdr>
                <w:left w:val="single" w:color="auto" w:sz="4" w:space="4"/>
              </w:pBdr>
              <w:snapToGrid w:val="0"/>
              <w:spacing w:line="440" w:lineRule="exact"/>
              <w:jc w:val="center"/>
              <w:rPr>
                <w:rFonts w:asciiTheme="minorEastAsia" w:hAnsiTheme="minorEastAsia" w:eastAsiaTheme="minorEastAsia" w:cstheme="minorEastAsia"/>
                <w:sz w:val="20"/>
                <w:szCs w:val="20"/>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1162" w:type="dxa"/>
            <w:vAlign w:val="center"/>
          </w:tcPr>
          <w:p>
            <w:pPr>
              <w:widowControl/>
              <w:pBdr>
                <w:left w:val="single" w:color="auto" w:sz="4" w:space="4"/>
              </w:pBdr>
              <w:snapToGrid w:val="0"/>
              <w:spacing w:line="440" w:lineRule="exact"/>
              <w:jc w:val="center"/>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化验台帐</w:t>
            </w:r>
          </w:p>
        </w:tc>
        <w:tc>
          <w:tcPr>
            <w:tcW w:w="6450" w:type="dxa"/>
            <w:vAlign w:val="center"/>
          </w:tcPr>
          <w:p>
            <w:pPr>
              <w:widowControl/>
              <w:pBdr>
                <w:left w:val="single" w:color="auto" w:sz="4" w:space="4"/>
              </w:pBdr>
              <w:snapToGrid w:val="0"/>
              <w:spacing w:line="440" w:lineRule="exact"/>
              <w:jc w:val="left"/>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化验记录真实可靠、信息齐全得2分，未达到上述要求的，酌情扣分</w:t>
            </w:r>
          </w:p>
        </w:tc>
        <w:tc>
          <w:tcPr>
            <w:tcW w:w="813" w:type="dxa"/>
            <w:vAlign w:val="center"/>
          </w:tcPr>
          <w:p>
            <w:pPr>
              <w:widowControl/>
              <w:pBdr>
                <w:left w:val="single" w:color="auto" w:sz="4" w:space="4"/>
              </w:pBdr>
              <w:snapToGrid w:val="0"/>
              <w:spacing w:line="440" w:lineRule="exact"/>
              <w:jc w:val="center"/>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2分</w:t>
            </w:r>
          </w:p>
        </w:tc>
        <w:tc>
          <w:tcPr>
            <w:tcW w:w="1112" w:type="dxa"/>
            <w:vAlign w:val="center"/>
          </w:tcPr>
          <w:p>
            <w:pPr>
              <w:widowControl/>
              <w:pBdr>
                <w:left w:val="single" w:color="auto" w:sz="4" w:space="4"/>
              </w:pBdr>
              <w:snapToGrid w:val="0"/>
              <w:spacing w:line="440" w:lineRule="exact"/>
              <w:jc w:val="center"/>
              <w:rPr>
                <w:rFonts w:asciiTheme="minorEastAsia" w:hAnsiTheme="minorEastAsia" w:eastAsiaTheme="minorEastAsia" w:cstheme="minorEastAsia"/>
                <w:sz w:val="20"/>
                <w:szCs w:val="20"/>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1162" w:type="dxa"/>
            <w:vAlign w:val="center"/>
          </w:tcPr>
          <w:p>
            <w:pPr>
              <w:widowControl/>
              <w:pBdr>
                <w:left w:val="single" w:color="auto" w:sz="4" w:space="4"/>
              </w:pBdr>
              <w:snapToGrid w:val="0"/>
              <w:spacing w:line="440" w:lineRule="exact"/>
              <w:jc w:val="center"/>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备品备件</w:t>
            </w:r>
          </w:p>
        </w:tc>
        <w:tc>
          <w:tcPr>
            <w:tcW w:w="6450" w:type="dxa"/>
            <w:vAlign w:val="center"/>
          </w:tcPr>
          <w:p>
            <w:pPr>
              <w:widowControl/>
              <w:pBdr>
                <w:left w:val="single" w:color="auto" w:sz="4" w:space="4"/>
              </w:pBdr>
              <w:snapToGrid w:val="0"/>
              <w:spacing w:line="440" w:lineRule="exact"/>
              <w:jc w:val="left"/>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各类设备备品备件合理充足，能满足正常维检需要的得2分，设备备货或药剂不齐全或不充足的扣1分，扣完为止</w:t>
            </w:r>
          </w:p>
        </w:tc>
        <w:tc>
          <w:tcPr>
            <w:tcW w:w="813" w:type="dxa"/>
            <w:vAlign w:val="center"/>
          </w:tcPr>
          <w:p>
            <w:pPr>
              <w:widowControl/>
              <w:pBdr>
                <w:left w:val="single" w:color="auto" w:sz="4" w:space="4"/>
              </w:pBdr>
              <w:snapToGrid w:val="0"/>
              <w:spacing w:line="440" w:lineRule="exact"/>
              <w:jc w:val="center"/>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2分</w:t>
            </w:r>
          </w:p>
        </w:tc>
        <w:tc>
          <w:tcPr>
            <w:tcW w:w="1112" w:type="dxa"/>
            <w:vAlign w:val="center"/>
          </w:tcPr>
          <w:p>
            <w:pPr>
              <w:widowControl/>
              <w:pBdr>
                <w:left w:val="single" w:color="auto" w:sz="4" w:space="4"/>
              </w:pBdr>
              <w:snapToGrid w:val="0"/>
              <w:spacing w:line="440" w:lineRule="exact"/>
              <w:jc w:val="center"/>
              <w:rPr>
                <w:rFonts w:asciiTheme="minorEastAsia" w:hAnsiTheme="minorEastAsia" w:eastAsiaTheme="minorEastAsia" w:cstheme="minorEastAsia"/>
                <w:sz w:val="20"/>
                <w:szCs w:val="20"/>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1162" w:type="dxa"/>
            <w:vAlign w:val="center"/>
          </w:tcPr>
          <w:p>
            <w:pPr>
              <w:widowControl/>
              <w:pBdr>
                <w:left w:val="single" w:color="auto" w:sz="4" w:space="4"/>
              </w:pBdr>
              <w:snapToGrid w:val="0"/>
              <w:spacing w:line="440" w:lineRule="exact"/>
              <w:jc w:val="center"/>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档案台帐</w:t>
            </w:r>
          </w:p>
        </w:tc>
        <w:tc>
          <w:tcPr>
            <w:tcW w:w="6450" w:type="dxa"/>
            <w:vAlign w:val="center"/>
          </w:tcPr>
          <w:p>
            <w:pPr>
              <w:widowControl/>
              <w:pBdr>
                <w:left w:val="single" w:color="auto" w:sz="4" w:space="4"/>
              </w:pBdr>
              <w:snapToGrid w:val="0"/>
              <w:spacing w:line="440" w:lineRule="exact"/>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配备专（兼职）档案管理人员的，得1分；根据要求做好各类台账资料，资料完整、安全，得3分，发现一处不漏填错填扣一分，扣完为止。月报、年报统计真实可靠，运行记录等档案资料妥善保管，得3分，无月报、年报统计不得分；档案保持期限不低于三年，得3分；否则不得分。档案记录真实可靠、月报、年报、运行记录档案保存完整的得3分；未达到上述要求的，酌情扣分</w:t>
            </w:r>
          </w:p>
        </w:tc>
        <w:tc>
          <w:tcPr>
            <w:tcW w:w="813" w:type="dxa"/>
            <w:vAlign w:val="center"/>
          </w:tcPr>
          <w:p>
            <w:pPr>
              <w:widowControl/>
              <w:pBdr>
                <w:left w:val="single" w:color="auto" w:sz="4" w:space="4"/>
              </w:pBdr>
              <w:snapToGrid w:val="0"/>
              <w:spacing w:line="440" w:lineRule="exact"/>
              <w:jc w:val="center"/>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13分</w:t>
            </w:r>
          </w:p>
        </w:tc>
        <w:tc>
          <w:tcPr>
            <w:tcW w:w="1112" w:type="dxa"/>
            <w:vAlign w:val="center"/>
          </w:tcPr>
          <w:p>
            <w:pPr>
              <w:widowControl/>
              <w:pBdr>
                <w:left w:val="single" w:color="auto" w:sz="4" w:space="4"/>
              </w:pBdr>
              <w:snapToGrid w:val="0"/>
              <w:spacing w:line="440" w:lineRule="exact"/>
              <w:jc w:val="center"/>
              <w:rPr>
                <w:rFonts w:asciiTheme="minorEastAsia" w:hAnsiTheme="minorEastAsia" w:eastAsiaTheme="minorEastAsia" w:cstheme="minorEastAsia"/>
                <w:sz w:val="20"/>
                <w:szCs w:val="20"/>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85" w:hRule="atLeast"/>
        </w:trPr>
        <w:tc>
          <w:tcPr>
            <w:tcW w:w="1162" w:type="dxa"/>
            <w:vAlign w:val="center"/>
          </w:tcPr>
          <w:p>
            <w:pPr>
              <w:widowControl/>
              <w:pBdr>
                <w:left w:val="single" w:color="auto" w:sz="4" w:space="4"/>
              </w:pBdr>
              <w:snapToGrid w:val="0"/>
              <w:spacing w:line="440" w:lineRule="exact"/>
              <w:jc w:val="center"/>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信息公开</w:t>
            </w:r>
          </w:p>
        </w:tc>
        <w:tc>
          <w:tcPr>
            <w:tcW w:w="6450" w:type="dxa"/>
            <w:vAlign w:val="center"/>
          </w:tcPr>
          <w:p>
            <w:pPr>
              <w:pStyle w:val="33"/>
              <w:spacing w:line="440" w:lineRule="exact"/>
              <w:ind w:firstLine="0"/>
              <w:rPr>
                <w:rFonts w:asciiTheme="minorEastAsia" w:hAnsiTheme="minorEastAsia" w:eastAsiaTheme="minorEastAsia" w:cstheme="minorEastAsia"/>
                <w:sz w:val="20"/>
                <w:highlight w:val="none"/>
              </w:rPr>
            </w:pPr>
            <w:r>
              <w:rPr>
                <w:rFonts w:hint="eastAsia" w:asciiTheme="minorEastAsia" w:hAnsiTheme="minorEastAsia" w:eastAsiaTheme="minorEastAsia" w:cstheme="minorEastAsia"/>
                <w:sz w:val="20"/>
                <w:highlight w:val="none"/>
              </w:rPr>
              <w:t>污水处理厂要在厂区大门口自行公布运行管理相关信息，被各社区市生态保护局列为重点排污单位名录的，应当根据《浙江省环境保护厅关于推进企业事业单位环境信息公开工作的通知》的要求公开其环境信息.按规定公开的，得2分，不及时，不如实或者不全面公开的，各扣0.5分，扣完为止</w:t>
            </w:r>
          </w:p>
        </w:tc>
        <w:tc>
          <w:tcPr>
            <w:tcW w:w="813" w:type="dxa"/>
            <w:vAlign w:val="center"/>
          </w:tcPr>
          <w:p>
            <w:pPr>
              <w:widowControl/>
              <w:pBdr>
                <w:left w:val="single" w:color="auto" w:sz="4" w:space="4"/>
              </w:pBdr>
              <w:snapToGrid w:val="0"/>
              <w:spacing w:line="440" w:lineRule="exact"/>
              <w:jc w:val="center"/>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2分</w:t>
            </w:r>
          </w:p>
        </w:tc>
        <w:tc>
          <w:tcPr>
            <w:tcW w:w="1112" w:type="dxa"/>
            <w:vAlign w:val="center"/>
          </w:tcPr>
          <w:p>
            <w:pPr>
              <w:widowControl/>
              <w:pBdr>
                <w:left w:val="single" w:color="auto" w:sz="4" w:space="4"/>
              </w:pBdr>
              <w:snapToGrid w:val="0"/>
              <w:spacing w:line="440" w:lineRule="exact"/>
              <w:jc w:val="center"/>
              <w:rPr>
                <w:rFonts w:asciiTheme="minorEastAsia" w:hAnsiTheme="minorEastAsia" w:eastAsiaTheme="minorEastAsia" w:cstheme="minorEastAsia"/>
                <w:sz w:val="20"/>
                <w:szCs w:val="20"/>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1162" w:type="dxa"/>
            <w:vAlign w:val="center"/>
          </w:tcPr>
          <w:p>
            <w:pPr>
              <w:widowControl/>
              <w:pBdr>
                <w:left w:val="single" w:color="auto" w:sz="4" w:space="4"/>
              </w:pBdr>
              <w:snapToGrid w:val="0"/>
              <w:spacing w:line="440" w:lineRule="exact"/>
              <w:jc w:val="center"/>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信息报送</w:t>
            </w:r>
          </w:p>
        </w:tc>
        <w:tc>
          <w:tcPr>
            <w:tcW w:w="6450" w:type="dxa"/>
            <w:vAlign w:val="center"/>
          </w:tcPr>
          <w:p>
            <w:pPr>
              <w:widowControl/>
              <w:pBdr>
                <w:left w:val="single" w:color="auto" w:sz="4" w:space="4"/>
              </w:pBdr>
              <w:snapToGrid w:val="0"/>
              <w:spacing w:line="440" w:lineRule="exact"/>
              <w:jc w:val="left"/>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按实向有关部门报送相关信息材料信息报送，报送信息及时、完整和准确的得2分，报送不及时，不如实或者不全面报送的的，各扣0.5分，扣完为止</w:t>
            </w:r>
          </w:p>
        </w:tc>
        <w:tc>
          <w:tcPr>
            <w:tcW w:w="813" w:type="dxa"/>
            <w:vAlign w:val="center"/>
          </w:tcPr>
          <w:p>
            <w:pPr>
              <w:widowControl/>
              <w:pBdr>
                <w:left w:val="single" w:color="auto" w:sz="4" w:space="4"/>
              </w:pBdr>
              <w:snapToGrid w:val="0"/>
              <w:spacing w:line="440" w:lineRule="exact"/>
              <w:jc w:val="center"/>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2分</w:t>
            </w:r>
          </w:p>
        </w:tc>
        <w:tc>
          <w:tcPr>
            <w:tcW w:w="1112" w:type="dxa"/>
            <w:vAlign w:val="center"/>
          </w:tcPr>
          <w:p>
            <w:pPr>
              <w:widowControl/>
              <w:pBdr>
                <w:left w:val="single" w:color="auto" w:sz="4" w:space="4"/>
              </w:pBdr>
              <w:snapToGrid w:val="0"/>
              <w:spacing w:line="440" w:lineRule="exact"/>
              <w:jc w:val="center"/>
              <w:rPr>
                <w:rFonts w:asciiTheme="minorEastAsia" w:hAnsiTheme="minorEastAsia" w:eastAsiaTheme="minorEastAsia" w:cstheme="minorEastAsia"/>
                <w:sz w:val="20"/>
                <w:szCs w:val="20"/>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1162" w:type="dxa"/>
            <w:vAlign w:val="center"/>
          </w:tcPr>
          <w:p>
            <w:pPr>
              <w:widowControl/>
              <w:pBdr>
                <w:left w:val="single" w:color="auto" w:sz="4" w:space="4"/>
              </w:pBdr>
              <w:snapToGrid w:val="0"/>
              <w:spacing w:line="440" w:lineRule="exact"/>
              <w:jc w:val="center"/>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安全管理</w:t>
            </w:r>
          </w:p>
        </w:tc>
        <w:tc>
          <w:tcPr>
            <w:tcW w:w="6450" w:type="dxa"/>
            <w:vAlign w:val="center"/>
          </w:tcPr>
          <w:p>
            <w:pPr>
              <w:widowControl/>
              <w:pBdr>
                <w:left w:val="single" w:color="auto" w:sz="4" w:space="4"/>
              </w:pBdr>
              <w:snapToGrid w:val="0"/>
              <w:spacing w:line="440" w:lineRule="exact"/>
              <w:jc w:val="left"/>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安全生产管理制度完善、可操作性强，得2分；不完善、可操作性不强，得1分；无制度不得分。配备专职（兼职）安全人员得1分。安全设施、标志明显的，防护用品完好的，得3分，缺1项扣0.5分。无安全隐患的得3分，每发现1处安全隐患扣0.5分，扣分为止。</w:t>
            </w:r>
          </w:p>
        </w:tc>
        <w:tc>
          <w:tcPr>
            <w:tcW w:w="813" w:type="dxa"/>
            <w:vAlign w:val="center"/>
          </w:tcPr>
          <w:p>
            <w:pPr>
              <w:widowControl/>
              <w:pBdr>
                <w:left w:val="single" w:color="auto" w:sz="4" w:space="4"/>
              </w:pBdr>
              <w:snapToGrid w:val="0"/>
              <w:spacing w:line="440" w:lineRule="exact"/>
              <w:jc w:val="center"/>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10分</w:t>
            </w:r>
          </w:p>
        </w:tc>
        <w:tc>
          <w:tcPr>
            <w:tcW w:w="1112" w:type="dxa"/>
            <w:vAlign w:val="center"/>
          </w:tcPr>
          <w:p>
            <w:pPr>
              <w:widowControl/>
              <w:pBdr>
                <w:left w:val="single" w:color="auto" w:sz="4" w:space="4"/>
              </w:pBdr>
              <w:snapToGrid w:val="0"/>
              <w:spacing w:line="440" w:lineRule="exact"/>
              <w:jc w:val="center"/>
              <w:rPr>
                <w:rFonts w:asciiTheme="minorEastAsia" w:hAnsiTheme="minorEastAsia" w:eastAsiaTheme="minorEastAsia" w:cstheme="minorEastAsia"/>
                <w:sz w:val="20"/>
                <w:szCs w:val="20"/>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1162" w:type="dxa"/>
            <w:vAlign w:val="center"/>
          </w:tcPr>
          <w:p>
            <w:pPr>
              <w:widowControl/>
              <w:pBdr>
                <w:left w:val="single" w:color="auto" w:sz="4" w:space="4"/>
              </w:pBdr>
              <w:snapToGrid w:val="0"/>
              <w:spacing w:line="440" w:lineRule="exact"/>
              <w:jc w:val="center"/>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应急处理能力</w:t>
            </w:r>
          </w:p>
        </w:tc>
        <w:tc>
          <w:tcPr>
            <w:tcW w:w="6450" w:type="dxa"/>
            <w:vAlign w:val="center"/>
          </w:tcPr>
          <w:p>
            <w:pPr>
              <w:widowControl/>
              <w:pBdr>
                <w:left w:val="single" w:color="auto" w:sz="4" w:space="4"/>
              </w:pBdr>
              <w:snapToGrid w:val="0"/>
              <w:spacing w:line="440" w:lineRule="exact"/>
              <w:jc w:val="left"/>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有安全管理制度、有突发事件应急预案，配备必要的抢险装备、器材，且能定期组织演练的得3分，未达到要求的酌情扣分；擅自停运或者部分停运污水处理厂设施，未按照规定实现报告或者采取应急处理设施的，发现一起扣5分，扣完为止；发生进水水质水量出现重大变化可能导致出水超标，未通知排水主管部门、环境保护主管部门的，发现一起扣2分，扣完为止；发生突发事故，未及时采取防护措施，组织事故抢修的，发现一起扣3分，扣完为止。</w:t>
            </w:r>
          </w:p>
        </w:tc>
        <w:tc>
          <w:tcPr>
            <w:tcW w:w="813" w:type="dxa"/>
            <w:vAlign w:val="center"/>
          </w:tcPr>
          <w:p>
            <w:pPr>
              <w:widowControl/>
              <w:pBdr>
                <w:left w:val="single" w:color="auto" w:sz="4" w:space="4"/>
              </w:pBdr>
              <w:snapToGrid w:val="0"/>
              <w:spacing w:line="440" w:lineRule="exact"/>
              <w:jc w:val="center"/>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10分</w:t>
            </w:r>
          </w:p>
        </w:tc>
        <w:tc>
          <w:tcPr>
            <w:tcW w:w="1112" w:type="dxa"/>
            <w:vAlign w:val="center"/>
          </w:tcPr>
          <w:p>
            <w:pPr>
              <w:widowControl/>
              <w:pBdr>
                <w:left w:val="single" w:color="auto" w:sz="4" w:space="4"/>
              </w:pBdr>
              <w:snapToGrid w:val="0"/>
              <w:spacing w:line="440" w:lineRule="exact"/>
              <w:jc w:val="center"/>
              <w:rPr>
                <w:rFonts w:asciiTheme="minorEastAsia" w:hAnsiTheme="minorEastAsia" w:eastAsiaTheme="minorEastAsia" w:cstheme="minorEastAsia"/>
                <w:sz w:val="20"/>
                <w:szCs w:val="20"/>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56" w:hRule="atLeast"/>
        </w:trPr>
        <w:tc>
          <w:tcPr>
            <w:tcW w:w="1162" w:type="dxa"/>
            <w:vMerge w:val="restart"/>
            <w:vAlign w:val="center"/>
          </w:tcPr>
          <w:p>
            <w:pPr>
              <w:widowControl/>
              <w:pBdr>
                <w:left w:val="single" w:color="auto" w:sz="4" w:space="4"/>
              </w:pBdr>
              <w:snapToGrid w:val="0"/>
              <w:spacing w:line="440" w:lineRule="exact"/>
              <w:jc w:val="center"/>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厂区厂貌</w:t>
            </w:r>
          </w:p>
        </w:tc>
        <w:tc>
          <w:tcPr>
            <w:tcW w:w="6450" w:type="dxa"/>
            <w:vAlign w:val="center"/>
          </w:tcPr>
          <w:p>
            <w:pPr>
              <w:widowControl/>
              <w:pBdr>
                <w:left w:val="single" w:color="auto" w:sz="4" w:space="4"/>
              </w:pBdr>
              <w:snapToGrid w:val="0"/>
              <w:spacing w:line="440" w:lineRule="exact"/>
              <w:jc w:val="left"/>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建筑物外观整洁、无明显的破损和渗漏；设施设置明显标识，包括进水口、出水口（排放口）、污水处置单元、污泥处理和废气恶臭处理的构筑物、全部运转设备、各类管道和电缆，以及主要工艺节点；厂内道路完好、通畅，无破损；在潜在的落空、落水、窒息、中毒、触电、起火、绞伤、传染处应设置警示标识；厂内照明设施完好；厂内生活垃圾、栅渣等及时清理。一项不符合扣0.分，扣完为止</w:t>
            </w:r>
          </w:p>
        </w:tc>
        <w:tc>
          <w:tcPr>
            <w:tcW w:w="813" w:type="dxa"/>
            <w:vAlign w:val="center"/>
          </w:tcPr>
          <w:p>
            <w:pPr>
              <w:widowControl/>
              <w:pBdr>
                <w:left w:val="single" w:color="auto" w:sz="4" w:space="4"/>
              </w:pBdr>
              <w:snapToGrid w:val="0"/>
              <w:spacing w:line="440" w:lineRule="exact"/>
              <w:jc w:val="center"/>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5分</w:t>
            </w:r>
          </w:p>
        </w:tc>
        <w:tc>
          <w:tcPr>
            <w:tcW w:w="1112" w:type="dxa"/>
            <w:vAlign w:val="center"/>
          </w:tcPr>
          <w:p>
            <w:pPr>
              <w:pBdr>
                <w:left w:val="single" w:color="auto" w:sz="4" w:space="4"/>
              </w:pBdr>
              <w:snapToGrid w:val="0"/>
              <w:spacing w:line="440" w:lineRule="exact"/>
              <w:jc w:val="center"/>
              <w:rPr>
                <w:rFonts w:asciiTheme="minorEastAsia" w:hAnsiTheme="minorEastAsia" w:eastAsiaTheme="minorEastAsia" w:cstheme="minorEastAsia"/>
                <w:sz w:val="20"/>
                <w:szCs w:val="20"/>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8" w:hRule="atLeast"/>
        </w:trPr>
        <w:tc>
          <w:tcPr>
            <w:tcW w:w="1162" w:type="dxa"/>
            <w:vMerge w:val="continue"/>
            <w:vAlign w:val="center"/>
          </w:tcPr>
          <w:p>
            <w:pPr>
              <w:widowControl/>
              <w:pBdr>
                <w:left w:val="single" w:color="auto" w:sz="4" w:space="4"/>
              </w:pBdr>
              <w:snapToGrid w:val="0"/>
              <w:spacing w:line="440" w:lineRule="exact"/>
              <w:jc w:val="center"/>
              <w:rPr>
                <w:rFonts w:asciiTheme="minorEastAsia" w:hAnsiTheme="minorEastAsia" w:eastAsiaTheme="minorEastAsia" w:cstheme="minorEastAsia"/>
                <w:sz w:val="20"/>
                <w:szCs w:val="20"/>
                <w:highlight w:val="none"/>
              </w:rPr>
            </w:pPr>
          </w:p>
        </w:tc>
        <w:tc>
          <w:tcPr>
            <w:tcW w:w="6450" w:type="dxa"/>
            <w:vAlign w:val="center"/>
          </w:tcPr>
          <w:p>
            <w:pPr>
              <w:widowControl/>
              <w:pBdr>
                <w:left w:val="single" w:color="auto" w:sz="4" w:space="4"/>
              </w:pBdr>
              <w:snapToGrid w:val="0"/>
              <w:spacing w:line="440" w:lineRule="exact"/>
              <w:jc w:val="left"/>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办公室、值班室、中控室、监测室内物品摆放整齐，卫生整洁，无烟头污渍等，照明齐全有效；门、窗、玻璃明亮无破损，墙壁整洁；办公桌椅、操作工具摆放整齐；淋浴室、卫生间设施齐全、无破损、无异味；操作人员着装整齐、干净、文明礼貌</w:t>
            </w:r>
          </w:p>
        </w:tc>
        <w:tc>
          <w:tcPr>
            <w:tcW w:w="813" w:type="dxa"/>
            <w:vAlign w:val="center"/>
          </w:tcPr>
          <w:p>
            <w:pPr>
              <w:widowControl/>
              <w:pBdr>
                <w:left w:val="single" w:color="auto" w:sz="4" w:space="4"/>
              </w:pBdr>
              <w:snapToGrid w:val="0"/>
              <w:spacing w:line="440" w:lineRule="exact"/>
              <w:jc w:val="center"/>
              <w:rPr>
                <w:rFonts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5分</w:t>
            </w:r>
          </w:p>
        </w:tc>
        <w:tc>
          <w:tcPr>
            <w:tcW w:w="1112" w:type="dxa"/>
            <w:vAlign w:val="center"/>
          </w:tcPr>
          <w:p>
            <w:pPr>
              <w:widowControl/>
              <w:pBdr>
                <w:left w:val="single" w:color="auto" w:sz="4" w:space="4"/>
              </w:pBdr>
              <w:snapToGrid w:val="0"/>
              <w:spacing w:line="440" w:lineRule="exact"/>
              <w:jc w:val="center"/>
              <w:rPr>
                <w:rFonts w:asciiTheme="minorEastAsia" w:hAnsiTheme="minorEastAsia" w:eastAsiaTheme="minorEastAsia" w:cstheme="minorEastAsia"/>
                <w:sz w:val="20"/>
                <w:szCs w:val="20"/>
                <w:highlight w:val="none"/>
              </w:rPr>
            </w:pPr>
          </w:p>
        </w:tc>
      </w:tr>
    </w:tbl>
    <w:p>
      <w:pPr>
        <w:autoSpaceDE w:val="0"/>
        <w:autoSpaceDN w:val="0"/>
        <w:spacing w:line="440" w:lineRule="exact"/>
        <w:ind w:firstLine="424"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w:t>
      </w:r>
    </w:p>
    <w:p>
      <w:pPr>
        <w:autoSpaceDE w:val="0"/>
        <w:autoSpaceDN w:val="0"/>
        <w:spacing w:line="460" w:lineRule="exact"/>
        <w:ind w:firstLine="424" w:firstLineChars="200"/>
        <w:rPr>
          <w:rFonts w:ascii="宋体" w:hAnsi="宋体" w:cs="宋体"/>
          <w:color w:val="000000" w:themeColor="text1"/>
          <w:szCs w:val="21"/>
          <w:highlight w:val="none"/>
          <w14:textFill>
            <w14:solidFill>
              <w14:schemeClr w14:val="tx1"/>
            </w14:solidFill>
          </w14:textFill>
        </w:rPr>
      </w:pPr>
    </w:p>
    <w:p>
      <w:pPr>
        <w:pStyle w:val="2"/>
        <w:rPr>
          <w:rFonts w:hAnsi="宋体" w:cs="宋体"/>
          <w:color w:val="000000" w:themeColor="text1"/>
          <w:szCs w:val="21"/>
          <w:highlight w:val="none"/>
          <w:lang w:val="zh-CN"/>
          <w14:textFill>
            <w14:solidFill>
              <w14:schemeClr w14:val="tx1"/>
            </w14:solidFill>
          </w14:textFill>
        </w:rPr>
      </w:pPr>
    </w:p>
    <w:p>
      <w:pPr>
        <w:autoSpaceDE w:val="0"/>
        <w:autoSpaceDN w:val="0"/>
        <w:adjustRightInd w:val="0"/>
        <w:spacing w:line="440" w:lineRule="exact"/>
        <w:ind w:firstLine="2898" w:firstLineChars="900"/>
        <w:rPr>
          <w:rFonts w:ascii="仿宋_GB2312" w:eastAsia="仿宋_GB2312"/>
          <w:b/>
          <w:color w:val="000000"/>
          <w:sz w:val="32"/>
          <w:szCs w:val="32"/>
          <w:highlight w:val="none"/>
          <w:lang w:val="zh-CN"/>
        </w:rPr>
      </w:pPr>
      <w:r>
        <w:rPr>
          <w:rFonts w:hint="eastAsia" w:ascii="仿宋_GB2312" w:eastAsia="仿宋_GB2312"/>
          <w:b/>
          <w:color w:val="000000"/>
          <w:sz w:val="32"/>
          <w:szCs w:val="32"/>
          <w:highlight w:val="none"/>
          <w:lang w:val="zh-CN"/>
        </w:rPr>
        <w:t>第六章　投标文件相关格式</w:t>
      </w:r>
    </w:p>
    <w:p>
      <w:pPr>
        <w:pStyle w:val="2"/>
        <w:tabs>
          <w:tab w:val="left" w:pos="2472"/>
        </w:tabs>
        <w:snapToGrid w:val="0"/>
        <w:jc w:val="center"/>
        <w:rPr>
          <w:rFonts w:ascii="黑体" w:hAnsi="宋体" w:eastAsia="黑体"/>
          <w:color w:val="000000"/>
          <w:sz w:val="36"/>
          <w:szCs w:val="36"/>
          <w:highlight w:val="none"/>
        </w:rPr>
      </w:pPr>
    </w:p>
    <w:p>
      <w:pPr>
        <w:snapToGrid w:val="0"/>
        <w:spacing w:beforeLines="50" w:after="50"/>
        <w:rPr>
          <w:rFonts w:ascii="宋体" w:hAnsi="宋体"/>
          <w:b/>
          <w:bCs/>
          <w:color w:val="000000"/>
          <w:sz w:val="32"/>
          <w:szCs w:val="32"/>
          <w:highlight w:val="none"/>
        </w:rPr>
      </w:pPr>
      <w:r>
        <w:rPr>
          <w:rFonts w:hint="eastAsia" w:ascii="宋体" w:hAnsi="宋体"/>
          <w:b/>
          <w:bCs/>
          <w:color w:val="000000"/>
          <w:sz w:val="32"/>
          <w:szCs w:val="32"/>
          <w:highlight w:val="none"/>
        </w:rPr>
        <w:t>投标文件正本或副本封面式样</w:t>
      </w:r>
    </w:p>
    <w:p>
      <w:pPr>
        <w:snapToGrid w:val="0"/>
        <w:spacing w:beforeLines="50" w:after="50"/>
        <w:jc w:val="center"/>
        <w:rPr>
          <w:rFonts w:ascii="宋体" w:hAnsi="宋体"/>
          <w:b/>
          <w:color w:val="000000"/>
          <w:sz w:val="52"/>
          <w:szCs w:val="52"/>
          <w:highlight w:val="none"/>
        </w:rPr>
      </w:pPr>
    </w:p>
    <w:p>
      <w:pPr>
        <w:snapToGrid w:val="0"/>
        <w:spacing w:beforeLines="50" w:after="50"/>
        <w:jc w:val="center"/>
        <w:rPr>
          <w:rFonts w:ascii="宋体" w:hAnsi="宋体"/>
          <w:b/>
          <w:color w:val="000000"/>
          <w:sz w:val="52"/>
          <w:szCs w:val="52"/>
          <w:highlight w:val="none"/>
        </w:rPr>
      </w:pPr>
      <w:r>
        <w:rPr>
          <w:rFonts w:hint="eastAsia" w:ascii="宋体" w:hAnsi="宋体"/>
          <w:b/>
          <w:color w:val="000000"/>
          <w:sz w:val="52"/>
          <w:szCs w:val="52"/>
          <w:highlight w:val="none"/>
        </w:rPr>
        <w:t>投 标 文 件</w:t>
      </w:r>
    </w:p>
    <w:p>
      <w:pPr>
        <w:snapToGrid w:val="0"/>
        <w:spacing w:beforeLines="50" w:after="50"/>
        <w:jc w:val="center"/>
        <w:rPr>
          <w:rFonts w:ascii="宋体" w:hAnsi="宋体"/>
          <w:color w:val="000000"/>
          <w:sz w:val="24"/>
          <w:szCs w:val="20"/>
          <w:highlight w:val="none"/>
        </w:rPr>
      </w:pPr>
    </w:p>
    <w:p>
      <w:pPr>
        <w:snapToGrid w:val="0"/>
        <w:spacing w:beforeLines="50" w:after="50"/>
        <w:jc w:val="center"/>
        <w:rPr>
          <w:rFonts w:ascii="宋体" w:hAnsi="宋体"/>
          <w:b/>
          <w:color w:val="000000"/>
          <w:sz w:val="32"/>
          <w:szCs w:val="32"/>
          <w:highlight w:val="none"/>
        </w:rPr>
      </w:pPr>
    </w:p>
    <w:p>
      <w:pPr>
        <w:snapToGrid w:val="0"/>
        <w:spacing w:beforeLines="50" w:after="50"/>
        <w:jc w:val="center"/>
        <w:rPr>
          <w:rFonts w:ascii="宋体" w:hAnsi="宋体"/>
          <w:b/>
          <w:color w:val="000000"/>
          <w:sz w:val="36"/>
          <w:szCs w:val="36"/>
          <w:highlight w:val="none"/>
        </w:rPr>
      </w:pPr>
      <w:r>
        <w:rPr>
          <w:rFonts w:hint="eastAsia" w:ascii="宋体" w:hAnsi="宋体"/>
          <w:b/>
          <w:color w:val="000000"/>
          <w:sz w:val="36"/>
          <w:szCs w:val="36"/>
          <w:highlight w:val="none"/>
        </w:rPr>
        <w:t>内容：资格证明文件（或商务及技术文件、报价文件）</w:t>
      </w:r>
    </w:p>
    <w:p>
      <w:pPr>
        <w:snapToGrid w:val="0"/>
        <w:spacing w:beforeLines="50" w:after="50"/>
        <w:rPr>
          <w:rFonts w:ascii="宋体" w:hAnsi="宋体"/>
          <w:b/>
          <w:color w:val="000000"/>
          <w:sz w:val="32"/>
          <w:szCs w:val="32"/>
          <w:highlight w:val="none"/>
        </w:rPr>
      </w:pPr>
    </w:p>
    <w:p>
      <w:pPr>
        <w:adjustRightInd w:val="0"/>
        <w:snapToGrid w:val="0"/>
        <w:spacing w:line="720" w:lineRule="auto"/>
        <w:rPr>
          <w:rFonts w:ascii="宋体" w:hAnsi="宋体"/>
          <w:sz w:val="30"/>
          <w:szCs w:val="30"/>
          <w:highlight w:val="none"/>
          <w:u w:val="single"/>
        </w:rPr>
      </w:pPr>
      <w:r>
        <w:rPr>
          <w:rFonts w:hint="eastAsia" w:ascii="宋体" w:hAnsi="宋体"/>
          <w:sz w:val="30"/>
          <w:szCs w:val="30"/>
          <w:highlight w:val="none"/>
        </w:rPr>
        <w:t>项目名称：</w:t>
      </w:r>
      <w:r>
        <w:rPr>
          <w:rFonts w:hint="eastAsia" w:ascii="宋体" w:hAnsi="宋体"/>
          <w:sz w:val="30"/>
          <w:szCs w:val="30"/>
          <w:highlight w:val="none"/>
          <w:u w:val="single"/>
        </w:rPr>
        <w:t xml:space="preserve">                       </w:t>
      </w:r>
    </w:p>
    <w:p>
      <w:pPr>
        <w:snapToGrid w:val="0"/>
        <w:spacing w:beforeLines="50" w:after="50"/>
        <w:rPr>
          <w:rFonts w:ascii="宋体" w:hAnsi="宋体"/>
          <w:b/>
          <w:color w:val="000000"/>
          <w:sz w:val="30"/>
          <w:szCs w:val="30"/>
          <w:highlight w:val="none"/>
        </w:rPr>
      </w:pPr>
      <w:r>
        <w:rPr>
          <w:rFonts w:hint="eastAsia" w:ascii="宋体" w:hAnsi="宋体"/>
          <w:sz w:val="30"/>
          <w:szCs w:val="30"/>
          <w:highlight w:val="none"/>
        </w:rPr>
        <w:t>项目编号：</w:t>
      </w:r>
      <w:r>
        <w:rPr>
          <w:rFonts w:hint="eastAsia" w:ascii="宋体" w:hAnsi="宋体"/>
          <w:sz w:val="30"/>
          <w:szCs w:val="30"/>
          <w:highlight w:val="none"/>
          <w:u w:val="single"/>
        </w:rPr>
        <w:t>                       </w:t>
      </w:r>
    </w:p>
    <w:p>
      <w:pPr>
        <w:snapToGrid w:val="0"/>
        <w:spacing w:beforeLines="50" w:after="50"/>
        <w:rPr>
          <w:rFonts w:ascii="宋体" w:hAnsi="宋体"/>
          <w:b/>
          <w:color w:val="000000"/>
          <w:sz w:val="30"/>
          <w:szCs w:val="30"/>
          <w:highlight w:val="none"/>
        </w:rPr>
      </w:pPr>
      <w:r>
        <w:rPr>
          <w:rFonts w:hint="eastAsia" w:ascii="宋体" w:hAnsi="宋体"/>
          <w:b/>
          <w:color w:val="000000"/>
          <w:sz w:val="30"/>
          <w:szCs w:val="30"/>
          <w:highlight w:val="none"/>
        </w:rPr>
        <w:t xml:space="preserve">                                      </w:t>
      </w:r>
    </w:p>
    <w:p>
      <w:pPr>
        <w:snapToGrid w:val="0"/>
        <w:spacing w:beforeLines="50" w:after="50"/>
        <w:rPr>
          <w:rFonts w:ascii="宋体" w:hAnsi="宋体"/>
          <w:b/>
          <w:color w:val="000000"/>
          <w:sz w:val="30"/>
          <w:szCs w:val="30"/>
          <w:highlight w:val="none"/>
        </w:rPr>
      </w:pPr>
      <w:r>
        <w:rPr>
          <w:rFonts w:hint="eastAsia" w:ascii="宋体" w:hAnsi="宋体"/>
          <w:b/>
          <w:color w:val="000000"/>
          <w:sz w:val="30"/>
          <w:szCs w:val="30"/>
          <w:highlight w:val="none"/>
        </w:rPr>
        <w:t>投标人名称：</w:t>
      </w:r>
      <w:r>
        <w:rPr>
          <w:rFonts w:hint="eastAsia" w:ascii="宋体" w:hAnsi="宋体"/>
          <w:b/>
          <w:color w:val="000000"/>
          <w:sz w:val="30"/>
          <w:szCs w:val="30"/>
          <w:highlight w:val="none"/>
          <w:u w:val="single"/>
        </w:rPr>
        <w:t xml:space="preserve">                       </w:t>
      </w:r>
      <w:r>
        <w:rPr>
          <w:rFonts w:hint="eastAsia" w:ascii="宋体" w:hAnsi="宋体"/>
          <w:b/>
          <w:color w:val="000000"/>
          <w:sz w:val="30"/>
          <w:szCs w:val="30"/>
          <w:highlight w:val="none"/>
        </w:rPr>
        <w:t>（加盖单位公章）</w:t>
      </w:r>
    </w:p>
    <w:p>
      <w:pPr>
        <w:snapToGrid w:val="0"/>
        <w:spacing w:beforeLines="50" w:after="50"/>
        <w:rPr>
          <w:rFonts w:ascii="宋体" w:hAnsi="宋体"/>
          <w:b/>
          <w:color w:val="000000"/>
          <w:sz w:val="30"/>
          <w:szCs w:val="30"/>
          <w:highlight w:val="none"/>
        </w:rPr>
      </w:pPr>
    </w:p>
    <w:p>
      <w:pPr>
        <w:snapToGrid w:val="0"/>
        <w:spacing w:beforeLines="50" w:after="50"/>
        <w:rPr>
          <w:rFonts w:ascii="宋体" w:hAnsi="宋体"/>
          <w:b/>
          <w:color w:val="000000"/>
          <w:sz w:val="30"/>
          <w:szCs w:val="30"/>
          <w:highlight w:val="none"/>
        </w:rPr>
      </w:pPr>
      <w:r>
        <w:rPr>
          <w:rFonts w:hint="eastAsia" w:ascii="宋体" w:hAnsi="宋体"/>
          <w:b/>
          <w:color w:val="000000"/>
          <w:sz w:val="30"/>
          <w:szCs w:val="30"/>
          <w:highlight w:val="none"/>
        </w:rPr>
        <w:t>投标人法定代表人或授权委托人：</w:t>
      </w:r>
      <w:r>
        <w:rPr>
          <w:rFonts w:hint="eastAsia" w:ascii="宋体" w:hAnsi="宋体"/>
          <w:b/>
          <w:color w:val="000000"/>
          <w:sz w:val="30"/>
          <w:szCs w:val="30"/>
          <w:highlight w:val="none"/>
          <w:u w:val="single"/>
        </w:rPr>
        <w:t xml:space="preserve">        </w:t>
      </w:r>
      <w:r>
        <w:rPr>
          <w:rFonts w:hint="eastAsia" w:ascii="宋体" w:hAnsi="宋体"/>
          <w:b/>
          <w:color w:val="000000"/>
          <w:sz w:val="30"/>
          <w:szCs w:val="30"/>
          <w:highlight w:val="none"/>
        </w:rPr>
        <w:t>（签字或盖章）</w:t>
      </w:r>
    </w:p>
    <w:p>
      <w:pPr>
        <w:snapToGrid w:val="0"/>
        <w:spacing w:beforeLines="50" w:after="50"/>
        <w:rPr>
          <w:rFonts w:ascii="宋体" w:hAnsi="宋体"/>
          <w:b/>
          <w:color w:val="000000"/>
          <w:sz w:val="32"/>
          <w:szCs w:val="32"/>
          <w:highlight w:val="none"/>
        </w:rPr>
      </w:pPr>
    </w:p>
    <w:p>
      <w:pPr>
        <w:snapToGrid w:val="0"/>
        <w:spacing w:beforeLines="50" w:after="50"/>
        <w:rPr>
          <w:rFonts w:ascii="宋体" w:hAnsi="宋体"/>
          <w:b/>
          <w:color w:val="000000"/>
          <w:sz w:val="32"/>
          <w:szCs w:val="32"/>
          <w:highlight w:val="none"/>
        </w:rPr>
      </w:pPr>
    </w:p>
    <w:p>
      <w:pPr>
        <w:snapToGrid w:val="0"/>
        <w:spacing w:beforeLines="50" w:after="50"/>
        <w:rPr>
          <w:rFonts w:ascii="宋体" w:hAnsi="宋体"/>
          <w:b/>
          <w:color w:val="000000"/>
          <w:sz w:val="32"/>
          <w:szCs w:val="32"/>
          <w:highlight w:val="none"/>
        </w:rPr>
      </w:pPr>
    </w:p>
    <w:p>
      <w:pPr>
        <w:snapToGrid w:val="0"/>
        <w:spacing w:beforeLines="50" w:after="50"/>
        <w:jc w:val="center"/>
        <w:rPr>
          <w:rFonts w:ascii="宋体" w:hAnsi="宋体"/>
          <w:b/>
          <w:color w:val="000000"/>
          <w:sz w:val="32"/>
          <w:szCs w:val="32"/>
          <w:highlight w:val="none"/>
        </w:rPr>
      </w:pPr>
      <w:r>
        <w:rPr>
          <w:rFonts w:hint="eastAsia" w:ascii="宋体" w:hAnsi="宋体"/>
          <w:b/>
          <w:color w:val="000000"/>
          <w:sz w:val="32"/>
          <w:szCs w:val="32"/>
          <w:highlight w:val="none"/>
        </w:rPr>
        <w:t>日期：     年    月     日</w:t>
      </w:r>
    </w:p>
    <w:p>
      <w:pPr>
        <w:snapToGrid w:val="0"/>
        <w:spacing w:beforeLines="50" w:after="50"/>
        <w:rPr>
          <w:rFonts w:ascii="宋体" w:hAnsi="宋体"/>
          <w:color w:val="000000"/>
          <w:sz w:val="24"/>
          <w:szCs w:val="20"/>
          <w:highlight w:val="none"/>
        </w:rPr>
      </w:pPr>
    </w:p>
    <w:p>
      <w:pPr>
        <w:snapToGrid w:val="0"/>
        <w:spacing w:beforeLines="50" w:after="50"/>
        <w:rPr>
          <w:rFonts w:ascii="宋体" w:hAnsi="宋体"/>
          <w:color w:val="000000"/>
          <w:sz w:val="24"/>
          <w:szCs w:val="20"/>
          <w:highlight w:val="none"/>
        </w:rPr>
      </w:pPr>
    </w:p>
    <w:p>
      <w:pPr>
        <w:spacing w:line="500" w:lineRule="exact"/>
        <w:rPr>
          <w:rFonts w:ascii="宋体" w:hAnsi="宋体"/>
          <w:b/>
          <w:bCs/>
          <w:color w:val="000000"/>
          <w:sz w:val="28"/>
          <w:szCs w:val="28"/>
          <w:highlight w:val="none"/>
        </w:rPr>
      </w:pPr>
      <w:r>
        <w:rPr>
          <w:rFonts w:hint="eastAsia" w:ascii="宋体" w:hAnsi="宋体"/>
          <w:b/>
          <w:bCs/>
          <w:color w:val="000000"/>
          <w:sz w:val="28"/>
          <w:szCs w:val="28"/>
          <w:highlight w:val="none"/>
        </w:rPr>
        <w:t xml:space="preserve">    </w:t>
      </w:r>
    </w:p>
    <w:p>
      <w:pPr>
        <w:autoSpaceDE w:val="0"/>
        <w:autoSpaceDN w:val="0"/>
        <w:adjustRightInd w:val="0"/>
        <w:spacing w:line="440" w:lineRule="exact"/>
        <w:ind w:firstLine="3094" w:firstLineChars="700"/>
        <w:rPr>
          <w:rFonts w:ascii="宋体" w:hAnsi="宋体" w:cs="宋体"/>
          <w:b/>
          <w:bCs/>
          <w:color w:val="000000" w:themeColor="text1"/>
          <w:sz w:val="44"/>
          <w:szCs w:val="44"/>
          <w:highlight w:val="none"/>
          <w:lang w:val="zh-CN"/>
          <w14:textFill>
            <w14:solidFill>
              <w14:schemeClr w14:val="tx1"/>
            </w14:solidFill>
          </w14:textFill>
        </w:rPr>
      </w:pPr>
    </w:p>
    <w:p>
      <w:pPr>
        <w:autoSpaceDE w:val="0"/>
        <w:autoSpaceDN w:val="0"/>
        <w:adjustRightInd w:val="0"/>
        <w:spacing w:line="440" w:lineRule="exact"/>
        <w:ind w:firstLine="3094" w:firstLineChars="700"/>
        <w:rPr>
          <w:rFonts w:ascii="宋体" w:hAnsi="宋体" w:cs="宋体"/>
          <w:b/>
          <w:bCs/>
          <w:color w:val="000000" w:themeColor="text1"/>
          <w:sz w:val="44"/>
          <w:szCs w:val="44"/>
          <w:highlight w:val="none"/>
          <w:lang w:val="zh-CN"/>
          <w14:textFill>
            <w14:solidFill>
              <w14:schemeClr w14:val="tx1"/>
            </w14:solidFill>
          </w14:textFill>
        </w:rPr>
      </w:pPr>
    </w:p>
    <w:p>
      <w:pPr>
        <w:autoSpaceDE w:val="0"/>
        <w:autoSpaceDN w:val="0"/>
        <w:adjustRightInd w:val="0"/>
        <w:spacing w:line="440" w:lineRule="exact"/>
        <w:ind w:firstLine="3094" w:firstLineChars="700"/>
        <w:rPr>
          <w:rFonts w:ascii="宋体" w:hAnsi="宋体" w:cs="宋体"/>
          <w:b/>
          <w:bCs/>
          <w:color w:val="000000" w:themeColor="text1"/>
          <w:sz w:val="44"/>
          <w:szCs w:val="44"/>
          <w:highlight w:val="none"/>
          <w:lang w:val="zh-CN"/>
          <w14:textFill>
            <w14:solidFill>
              <w14:schemeClr w14:val="tx1"/>
            </w14:solidFill>
          </w14:textFill>
        </w:rPr>
      </w:pPr>
    </w:p>
    <w:p>
      <w:pPr>
        <w:autoSpaceDE w:val="0"/>
        <w:autoSpaceDN w:val="0"/>
        <w:adjustRightInd w:val="0"/>
        <w:spacing w:line="440" w:lineRule="exact"/>
        <w:ind w:firstLine="3094" w:firstLineChars="700"/>
        <w:rPr>
          <w:rFonts w:ascii="宋体" w:hAnsi="宋体" w:cs="宋体"/>
          <w:b/>
          <w:bCs/>
          <w:color w:val="000000" w:themeColor="text1"/>
          <w:sz w:val="44"/>
          <w:szCs w:val="44"/>
          <w:highlight w:val="none"/>
          <w:lang w:val="zh-CN"/>
          <w14:textFill>
            <w14:solidFill>
              <w14:schemeClr w14:val="tx1"/>
            </w14:solidFill>
          </w14:textFill>
        </w:rPr>
      </w:pPr>
      <w:r>
        <w:rPr>
          <w:rFonts w:hint="eastAsia" w:ascii="宋体" w:hAnsi="宋体" w:cs="宋体"/>
          <w:b/>
          <w:bCs/>
          <w:color w:val="000000" w:themeColor="text1"/>
          <w:sz w:val="44"/>
          <w:szCs w:val="44"/>
          <w:highlight w:val="none"/>
          <w:lang w:val="zh-CN"/>
          <w14:textFill>
            <w14:solidFill>
              <w14:schemeClr w14:val="tx1"/>
            </w14:solidFill>
          </w14:textFill>
        </w:rPr>
        <w:t>【资</w:t>
      </w:r>
      <w:r>
        <w:rPr>
          <w:rFonts w:hint="eastAsia" w:ascii="宋体" w:hAnsi="宋体" w:cs="宋体"/>
          <w:b/>
          <w:bCs/>
          <w:color w:val="000000" w:themeColor="text1"/>
          <w:sz w:val="44"/>
          <w:szCs w:val="44"/>
          <w:highlight w:val="none"/>
          <w14:textFill>
            <w14:solidFill>
              <w14:schemeClr w14:val="tx1"/>
            </w14:solidFill>
          </w14:textFill>
        </w:rPr>
        <w:t>格证明文件</w:t>
      </w:r>
      <w:r>
        <w:rPr>
          <w:rFonts w:hint="eastAsia" w:ascii="宋体" w:hAnsi="宋体" w:cs="宋体"/>
          <w:b/>
          <w:bCs/>
          <w:color w:val="000000" w:themeColor="text1"/>
          <w:sz w:val="44"/>
          <w:szCs w:val="44"/>
          <w:highlight w:val="none"/>
          <w:lang w:val="zh-CN"/>
          <w14:textFill>
            <w14:solidFill>
              <w14:schemeClr w14:val="tx1"/>
            </w14:solidFill>
          </w14:textFill>
        </w:rPr>
        <w:t>】</w:t>
      </w:r>
    </w:p>
    <w:p>
      <w:pPr>
        <w:pStyle w:val="2"/>
        <w:rPr>
          <w:highlight w:val="none"/>
          <w:lang w:val="zh-CN"/>
        </w:rPr>
      </w:pPr>
    </w:p>
    <w:p>
      <w:pPr>
        <w:adjustRightInd w:val="0"/>
        <w:snapToGrid w:val="0"/>
        <w:spacing w:line="360" w:lineRule="auto"/>
        <w:ind w:firstLine="4344" w:firstLineChars="1200"/>
        <w:rPr>
          <w:rFonts w:ascii="宋体" w:hAnsi="宋体" w:cs="宋体"/>
          <w:b/>
          <w:color w:val="000000"/>
          <w:sz w:val="36"/>
          <w:szCs w:val="36"/>
          <w:highlight w:val="none"/>
          <w:lang w:val="zh-CN"/>
        </w:rPr>
      </w:pPr>
      <w:r>
        <w:rPr>
          <w:rFonts w:hint="eastAsia" w:ascii="宋体" w:hAnsi="宋体" w:cs="宋体"/>
          <w:b/>
          <w:color w:val="000000"/>
          <w:sz w:val="36"/>
          <w:szCs w:val="36"/>
          <w:highlight w:val="none"/>
          <w:lang w:val="zh-CN"/>
        </w:rPr>
        <w:t>目</w:t>
      </w:r>
      <w:r>
        <w:rPr>
          <w:rFonts w:hint="eastAsia" w:ascii="宋体" w:hAnsi="宋体" w:cs="宋体"/>
          <w:b/>
          <w:color w:val="000000"/>
          <w:sz w:val="36"/>
          <w:szCs w:val="36"/>
          <w:highlight w:val="none"/>
        </w:rPr>
        <w:t xml:space="preserve">  </w:t>
      </w:r>
      <w:r>
        <w:rPr>
          <w:rFonts w:hint="eastAsia" w:ascii="宋体" w:hAnsi="宋体" w:cs="宋体"/>
          <w:b/>
          <w:color w:val="000000"/>
          <w:sz w:val="36"/>
          <w:szCs w:val="36"/>
          <w:highlight w:val="none"/>
          <w:lang w:val="zh-CN"/>
        </w:rPr>
        <w:t>录</w:t>
      </w:r>
    </w:p>
    <w:p>
      <w:pPr>
        <w:tabs>
          <w:tab w:val="left" w:pos="720"/>
          <w:tab w:val="left" w:pos="5355"/>
        </w:tabs>
        <w:spacing w:line="420" w:lineRule="exact"/>
        <w:ind w:firstLine="212" w:firstLineChars="100"/>
        <w:rPr>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（1）投标声明书（格式见附件）；</w:t>
      </w:r>
    </w:p>
    <w:p>
      <w:pPr>
        <w:pStyle w:val="24"/>
        <w:spacing w:line="420" w:lineRule="exact"/>
        <w:ind w:firstLine="204" w:firstLineChars="100"/>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pacing w:val="-4"/>
          <w:sz w:val="21"/>
          <w:szCs w:val="21"/>
          <w:highlight w:val="none"/>
          <w14:textFill>
            <w14:solidFill>
              <w14:schemeClr w14:val="tx1"/>
            </w14:solidFill>
          </w14:textFill>
        </w:rPr>
        <w:t>（</w:t>
      </w:r>
      <w:r>
        <w:rPr>
          <w:rFonts w:hint="eastAsia" w:ascii="宋体" w:hAnsi="宋体" w:eastAsia="宋体" w:cs="宋体"/>
          <w:color w:val="000000" w:themeColor="text1"/>
          <w:spacing w:val="-4"/>
          <w:sz w:val="21"/>
          <w:szCs w:val="21"/>
          <w:highlight w:val="none"/>
          <w:lang w:val="en-US"/>
          <w14:textFill>
            <w14:solidFill>
              <w14:schemeClr w14:val="tx1"/>
            </w14:solidFill>
          </w14:textFill>
        </w:rPr>
        <w:t>2</w:t>
      </w:r>
      <w:r>
        <w:rPr>
          <w:rFonts w:hint="eastAsia" w:ascii="宋体" w:hAnsi="宋体" w:eastAsia="宋体" w:cs="宋体"/>
          <w:color w:val="000000" w:themeColor="text1"/>
          <w:spacing w:val="-4"/>
          <w:sz w:val="21"/>
          <w:szCs w:val="21"/>
          <w:highlight w:val="none"/>
          <w14:textFill>
            <w14:solidFill>
              <w14:schemeClr w14:val="tx1"/>
            </w14:solidFill>
          </w14:textFill>
        </w:rPr>
        <w:t>）法定代表人身份证明</w:t>
      </w:r>
      <w:r>
        <w:rPr>
          <w:rFonts w:hint="eastAsia" w:ascii="宋体" w:hAnsi="宋体" w:eastAsia="宋体" w:cs="宋体"/>
          <w:color w:val="000000" w:themeColor="text1"/>
          <w:spacing w:val="-5"/>
          <w:sz w:val="21"/>
          <w:szCs w:val="21"/>
          <w:highlight w:val="none"/>
          <w14:textFill>
            <w14:solidFill>
              <w14:schemeClr w14:val="tx1"/>
            </w14:solidFill>
          </w14:textFill>
        </w:rPr>
        <w:t>或法定代表人授权委托书</w:t>
      </w:r>
      <w:r>
        <w:rPr>
          <w:rFonts w:hint="eastAsia" w:ascii="宋体" w:hAnsi="宋体" w:eastAsia="宋体" w:cs="宋体"/>
          <w:color w:val="000000" w:themeColor="text1"/>
          <w:sz w:val="21"/>
          <w:szCs w:val="21"/>
          <w:highlight w:val="none"/>
          <w14:textFill>
            <w14:solidFill>
              <w14:schemeClr w14:val="tx1"/>
            </w14:solidFill>
          </w14:textFill>
        </w:rPr>
        <w:t>（格式见附件）</w:t>
      </w:r>
      <w:r>
        <w:rPr>
          <w:rFonts w:hint="eastAsia" w:ascii="宋体" w:hAnsi="宋体" w:eastAsia="宋体" w:cs="宋体"/>
          <w:b/>
          <w:bCs/>
          <w:sz w:val="21"/>
          <w:szCs w:val="21"/>
          <w:highlight w:val="none"/>
        </w:rPr>
        <w:t>（电子标书内法定代表人授权委托书需签字的可线下签字后再将其上传至线上投标文件内）</w:t>
      </w:r>
      <w:r>
        <w:rPr>
          <w:rFonts w:hint="eastAsia" w:ascii="宋体" w:hAnsi="宋体" w:eastAsia="宋体" w:cs="宋体"/>
          <w:color w:val="000000" w:themeColor="text1"/>
          <w:sz w:val="21"/>
          <w:szCs w:val="21"/>
          <w:highlight w:val="none"/>
          <w14:textFill>
            <w14:solidFill>
              <w14:schemeClr w14:val="tx1"/>
            </w14:solidFill>
          </w14:textFill>
        </w:rPr>
        <w:t>；</w:t>
      </w:r>
    </w:p>
    <w:p>
      <w:pPr>
        <w:spacing w:line="420" w:lineRule="exact"/>
        <w:ind w:firstLine="212" w:firstLineChars="1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（3）有效期内的营业执照扫描件；</w:t>
      </w:r>
    </w:p>
    <w:p>
      <w:pPr>
        <w:spacing w:line="420" w:lineRule="exact"/>
        <w:ind w:firstLine="212" w:firstLineChars="10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w:t>
      </w:r>
      <w:r>
        <w:rPr>
          <w:rFonts w:hint="eastAsia" w:ascii="宋体" w:hAnsi="宋体" w:cs="宋体"/>
          <w:color w:val="000000" w:themeColor="text1"/>
          <w:kern w:val="0"/>
          <w:szCs w:val="21"/>
          <w:highlight w:val="none"/>
          <w14:textFill>
            <w14:solidFill>
              <w14:schemeClr w14:val="tx1"/>
            </w14:solidFill>
          </w14:textFill>
        </w:rPr>
        <w:t>2018年或2019年财务报表</w:t>
      </w:r>
      <w:r>
        <w:rPr>
          <w:rFonts w:hint="eastAsia" w:ascii="宋体" w:hAnsi="宋体" w:cs="宋体"/>
          <w:color w:val="000000" w:themeColor="text1"/>
          <w:szCs w:val="21"/>
          <w:highlight w:val="none"/>
          <w14:textFill>
            <w14:solidFill>
              <w14:schemeClr w14:val="tx1"/>
            </w14:solidFill>
          </w14:textFill>
        </w:rPr>
        <w:t>扫描件</w:t>
      </w:r>
      <w:r>
        <w:rPr>
          <w:rFonts w:hint="eastAsia" w:ascii="宋体" w:hAnsi="宋体" w:cs="宋体"/>
          <w:color w:val="000000" w:themeColor="text1"/>
          <w:kern w:val="0"/>
          <w:szCs w:val="21"/>
          <w:highlight w:val="none"/>
          <w14:textFill>
            <w14:solidFill>
              <w14:schemeClr w14:val="tx1"/>
            </w14:solidFill>
          </w14:textFill>
        </w:rPr>
        <w:t>，</w:t>
      </w:r>
      <w:r>
        <w:rPr>
          <w:rFonts w:hint="eastAsia" w:ascii="宋体" w:hAnsi="宋体" w:cs="宋体"/>
          <w:szCs w:val="21"/>
          <w:highlight w:val="none"/>
        </w:rPr>
        <w:t>新成立公司出具银行资信证明扫描件</w:t>
      </w:r>
      <w:r>
        <w:rPr>
          <w:rFonts w:hint="eastAsia" w:ascii="宋体" w:hAnsi="宋体" w:cs="宋体"/>
          <w:color w:val="000000" w:themeColor="text1"/>
          <w:szCs w:val="21"/>
          <w:highlight w:val="none"/>
          <w14:textFill>
            <w14:solidFill>
              <w14:schemeClr w14:val="tx1"/>
            </w14:solidFill>
          </w14:textFill>
        </w:rPr>
        <w:t>；</w:t>
      </w:r>
    </w:p>
    <w:p>
      <w:pPr>
        <w:spacing w:line="420" w:lineRule="exact"/>
        <w:ind w:firstLine="212" w:firstLineChars="1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w:t>
      </w:r>
      <w:r>
        <w:rPr>
          <w:rFonts w:hint="eastAsia" w:ascii="宋体" w:hAnsi="宋体"/>
          <w:color w:val="000000" w:themeColor="text1"/>
          <w:szCs w:val="21"/>
          <w:highlight w:val="none"/>
          <w14:textFill>
            <w14:solidFill>
              <w14:schemeClr w14:val="tx1"/>
            </w14:solidFill>
          </w14:textFill>
        </w:rPr>
        <w:t>具有履行合同所必需的设备和专业技术能力的承诺函</w:t>
      </w:r>
      <w:r>
        <w:rPr>
          <w:rFonts w:hint="eastAsia" w:ascii="宋体" w:hAnsi="宋体" w:cs="宋体"/>
          <w:color w:val="000000" w:themeColor="text1"/>
          <w:szCs w:val="21"/>
          <w:highlight w:val="none"/>
          <w14:textFill>
            <w14:solidFill>
              <w14:schemeClr w14:val="tx1"/>
            </w14:solidFill>
          </w14:textFill>
        </w:rPr>
        <w:t>（格式见附件）；</w:t>
      </w:r>
    </w:p>
    <w:p>
      <w:pPr>
        <w:pStyle w:val="34"/>
        <w:spacing w:line="420" w:lineRule="exact"/>
        <w:ind w:firstLine="212" w:firstLineChars="100"/>
        <w:rPr>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（6）参加政府采购活动前3年内在经营活动中没有重大违法记录的声明函（格式见附件）</w:t>
      </w:r>
      <w:r>
        <w:rPr>
          <w:rFonts w:ascii="宋体" w:hAnsi="宋体" w:cs="宋体"/>
          <w:color w:val="000000" w:themeColor="text1"/>
          <w:szCs w:val="21"/>
          <w:highlight w:val="none"/>
          <w14:textFill>
            <w14:solidFill>
              <w14:schemeClr w14:val="tx1"/>
            </w14:solidFill>
          </w14:textFill>
        </w:rPr>
        <w:t>；</w:t>
      </w:r>
    </w:p>
    <w:p>
      <w:pPr>
        <w:spacing w:line="440" w:lineRule="exact"/>
        <w:ind w:firstLine="212" w:firstLineChars="100"/>
        <w:rPr>
          <w:rFonts w:ascii="宋体" w:hAnsi="宋体" w:cs="宋体"/>
          <w:szCs w:val="21"/>
          <w:highlight w:val="none"/>
        </w:rPr>
      </w:pPr>
      <w:r>
        <w:rPr>
          <w:rFonts w:hint="eastAsia" w:ascii="宋体" w:hAnsi="宋体" w:cs="宋体"/>
          <w:color w:val="000000" w:themeColor="text1"/>
          <w:szCs w:val="21"/>
          <w:highlight w:val="none"/>
          <w14:textFill>
            <w14:solidFill>
              <w14:schemeClr w14:val="tx1"/>
            </w14:solidFill>
          </w14:textFill>
        </w:rPr>
        <w:t>（7）</w:t>
      </w:r>
      <w:r>
        <w:rPr>
          <w:rFonts w:hint="eastAsia" w:ascii="宋体" w:hAnsi="宋体" w:cs="宋体"/>
          <w:szCs w:val="21"/>
          <w:highlight w:val="none"/>
        </w:rPr>
        <w:t>提供依法缴纳税收的证明或者《依法纳税或依法免税证明》</w:t>
      </w:r>
      <w:r>
        <w:rPr>
          <w:rFonts w:hint="eastAsia" w:ascii="宋体" w:hAnsi="宋体" w:cs="宋体"/>
          <w:b/>
          <w:bCs/>
          <w:szCs w:val="21"/>
          <w:highlight w:val="none"/>
        </w:rPr>
        <w:t>（可以为税务机构官方网站查询结果）</w:t>
      </w:r>
      <w:r>
        <w:rPr>
          <w:rFonts w:hint="eastAsia" w:ascii="宋体" w:hAnsi="宋体" w:cs="宋体"/>
          <w:szCs w:val="21"/>
          <w:highlight w:val="none"/>
        </w:rPr>
        <w:t>和社保费缴纳的证明</w:t>
      </w:r>
      <w:r>
        <w:rPr>
          <w:rFonts w:hint="eastAsia" w:ascii="宋体" w:hAnsi="宋体" w:cs="宋体"/>
          <w:b/>
          <w:bCs/>
          <w:szCs w:val="21"/>
          <w:highlight w:val="none"/>
        </w:rPr>
        <w:t>（可以为税务或社保机构官方网站查询结果）（最近一季度的）</w:t>
      </w:r>
      <w:r>
        <w:rPr>
          <w:rFonts w:hint="eastAsia" w:ascii="宋体" w:hAnsi="宋体" w:cs="宋体"/>
          <w:szCs w:val="21"/>
          <w:highlight w:val="none"/>
        </w:rPr>
        <w:t>；</w:t>
      </w:r>
    </w:p>
    <w:p>
      <w:pPr>
        <w:spacing w:line="440" w:lineRule="exact"/>
        <w:ind w:firstLine="212" w:firstLineChars="1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（8）提供投标文件（投标文件）截止时间前3年内的“信用中国”网站（www.creditchina.gov.cn）、中国政府采购网（www.ccgp.gov.cn）投标人信用查询网页截图；</w:t>
      </w:r>
    </w:p>
    <w:p>
      <w:pPr>
        <w:tabs>
          <w:tab w:val="center" w:pos="4156"/>
        </w:tabs>
        <w:autoSpaceDE w:val="0"/>
        <w:autoSpaceDN w:val="0"/>
        <w:adjustRightInd w:val="0"/>
        <w:spacing w:line="440" w:lineRule="exact"/>
        <w:rPr>
          <w:rFonts w:ascii="宋体" w:hAnsi="宋体" w:cs="宋体"/>
          <w:color w:val="000000" w:themeColor="text1"/>
          <w:szCs w:val="21"/>
          <w:highlight w:val="none"/>
          <w:lang w:val="zh-CN"/>
          <w14:textFill>
            <w14:solidFill>
              <w14:schemeClr w14:val="tx1"/>
            </w14:solidFill>
          </w14:textFill>
        </w:rPr>
      </w:pPr>
      <w:r>
        <w:rPr>
          <w:rFonts w:hint="eastAsia" w:ascii="宋体" w:hAnsi="宋体" w:cs="宋体"/>
          <w:color w:val="000000" w:themeColor="text1"/>
          <w:szCs w:val="21"/>
          <w:highlight w:val="none"/>
          <w:lang w:val="zh-CN"/>
          <w14:textFill>
            <w14:solidFill>
              <w14:schemeClr w14:val="tx1"/>
            </w14:solidFill>
          </w14:textFill>
        </w:rPr>
        <w:t>　</w:t>
      </w:r>
      <w:r>
        <w:rPr>
          <w:rFonts w:hint="eastAsia" w:ascii="宋体" w:hAnsi="宋体" w:cs="宋体"/>
          <w:color w:val="000000" w:themeColor="text1"/>
          <w:szCs w:val="21"/>
          <w:highlight w:val="none"/>
          <w14:textFill>
            <w14:solidFill>
              <w14:schemeClr w14:val="tx1"/>
            </w14:solidFill>
          </w14:textFill>
        </w:rPr>
        <w:t>（9）</w:t>
      </w:r>
      <w:r>
        <w:rPr>
          <w:rFonts w:hint="eastAsia" w:ascii="宋体" w:hAnsi="宋体" w:cs="宋体"/>
          <w:color w:val="000000" w:themeColor="text1"/>
          <w:szCs w:val="21"/>
          <w:highlight w:val="none"/>
          <w:lang w:val="zh-CN"/>
          <w14:textFill>
            <w14:solidFill>
              <w14:schemeClr w14:val="tx1"/>
            </w14:solidFill>
          </w14:textFill>
        </w:rPr>
        <w:t>投标人认为需要提供的其他投标文件和资料（可自行阐述项目，做出说明）。</w:t>
      </w:r>
    </w:p>
    <w:p>
      <w:pPr>
        <w:overflowPunct w:val="0"/>
        <w:spacing w:line="440" w:lineRule="exact"/>
        <w:rPr>
          <w:rFonts w:ascii="宋体" w:hAnsi="宋体" w:cs="宋体"/>
          <w:b/>
          <w:bCs/>
          <w:color w:val="000000" w:themeColor="text1"/>
          <w:szCs w:val="21"/>
          <w:highlight w:val="none"/>
          <w14:textFill>
            <w14:solidFill>
              <w14:schemeClr w14:val="tx1"/>
            </w14:solidFill>
          </w14:textFill>
        </w:rPr>
      </w:pPr>
      <w:r>
        <w:rPr>
          <w:rFonts w:hint="eastAsia" w:ascii="宋体" w:hAnsi="宋体" w:cs="宋体"/>
          <w:b/>
          <w:color w:val="000000" w:themeColor="text1"/>
          <w:kern w:val="0"/>
          <w:szCs w:val="21"/>
          <w:highlight w:val="none"/>
          <w14:textFill>
            <w14:solidFill>
              <w14:schemeClr w14:val="tx1"/>
            </w14:solidFill>
          </w14:textFill>
        </w:rPr>
        <w:t xml:space="preserve"> </w:t>
      </w:r>
      <w:r>
        <w:rPr>
          <w:rFonts w:hint="eastAsia" w:ascii="宋体" w:hAnsi="宋体" w:cs="宋体"/>
          <w:b/>
          <w:color w:val="000000" w:themeColor="text1"/>
          <w:szCs w:val="21"/>
          <w:highlight w:val="none"/>
          <w14:textFill>
            <w14:solidFill>
              <w14:schemeClr w14:val="tx1"/>
            </w14:solidFill>
          </w14:textFill>
        </w:rPr>
        <w:t>由于本项目为电子标，投标人的法定代表人（或其委托代理人）无需出席开标现场会议，上传的扫描件</w:t>
      </w:r>
      <w:r>
        <w:rPr>
          <w:rFonts w:hint="eastAsia" w:ascii="宋体" w:hAnsi="宋体" w:cs="宋体"/>
          <w:b/>
          <w:bCs/>
          <w:color w:val="000000" w:themeColor="text1"/>
          <w:szCs w:val="21"/>
          <w:highlight w:val="none"/>
          <w14:textFill>
            <w14:solidFill>
              <w14:schemeClr w14:val="tx1"/>
            </w14:solidFill>
          </w14:textFill>
        </w:rPr>
        <w:t>需清晰可辩，并为原件扫描件（彩色）。</w:t>
      </w:r>
    </w:p>
    <w:p>
      <w:pPr>
        <w:overflowPunct w:val="0"/>
        <w:spacing w:line="440" w:lineRule="exact"/>
        <w:ind w:firstLine="424" w:firstLineChars="200"/>
        <w:rPr>
          <w:rFonts w:ascii="宋体" w:hAnsi="宋体" w:cs="宋体"/>
          <w:b/>
          <w:color w:val="FF0000"/>
          <w:szCs w:val="21"/>
          <w:highlight w:val="none"/>
        </w:rPr>
      </w:pPr>
      <w:r>
        <w:rPr>
          <w:rFonts w:hint="eastAsia" w:ascii="宋体" w:hAnsi="宋体" w:cs="宋体"/>
          <w:b/>
          <w:color w:val="FF0000"/>
          <w:szCs w:val="21"/>
          <w:highlight w:val="none"/>
        </w:rPr>
        <w:t>注：资格审查资料应包含以上所有内容，投标人的提供资格审查资料不完整或不符合招标文件要求的，则资格审查不予通过。</w:t>
      </w:r>
    </w:p>
    <w:p>
      <w:pPr>
        <w:jc w:val="center"/>
        <w:rPr>
          <w:rFonts w:ascii="黑体" w:hAnsi="宋体" w:eastAsia="黑体"/>
          <w:sz w:val="28"/>
          <w:szCs w:val="28"/>
          <w:highlight w:val="none"/>
        </w:rPr>
      </w:pPr>
    </w:p>
    <w:p>
      <w:pPr>
        <w:jc w:val="center"/>
        <w:rPr>
          <w:rFonts w:ascii="黑体" w:hAnsi="宋体" w:eastAsia="黑体"/>
          <w:sz w:val="28"/>
          <w:szCs w:val="28"/>
          <w:highlight w:val="none"/>
        </w:rPr>
      </w:pPr>
    </w:p>
    <w:p>
      <w:pPr>
        <w:pStyle w:val="2"/>
        <w:rPr>
          <w:rFonts w:hAnsi="宋体" w:cs="宋体"/>
          <w:b/>
          <w:kern w:val="2"/>
          <w:sz w:val="30"/>
          <w:szCs w:val="30"/>
          <w:highlight w:val="none"/>
          <w:lang w:val="zh-CN"/>
        </w:rPr>
      </w:pPr>
      <w:r>
        <w:rPr>
          <w:rFonts w:hint="eastAsia" w:hAnsi="宋体" w:cs="宋体"/>
          <w:b/>
          <w:kern w:val="2"/>
          <w:sz w:val="30"/>
          <w:szCs w:val="30"/>
          <w:highlight w:val="none"/>
          <w:lang w:val="zh-CN"/>
        </w:rPr>
        <w:t>注：未提供格式的请自拟</w:t>
      </w:r>
    </w:p>
    <w:p>
      <w:pPr>
        <w:jc w:val="both"/>
        <w:rPr>
          <w:rFonts w:ascii="黑体" w:hAnsi="宋体" w:eastAsia="黑体"/>
          <w:sz w:val="28"/>
          <w:szCs w:val="28"/>
          <w:highlight w:val="none"/>
        </w:rPr>
      </w:pPr>
    </w:p>
    <w:p>
      <w:pPr>
        <w:jc w:val="center"/>
        <w:rPr>
          <w:rFonts w:ascii="黑体" w:hAnsi="宋体" w:eastAsia="黑体"/>
          <w:sz w:val="28"/>
          <w:szCs w:val="28"/>
          <w:highlight w:val="none"/>
        </w:rPr>
      </w:pPr>
    </w:p>
    <w:p>
      <w:pPr>
        <w:jc w:val="center"/>
        <w:rPr>
          <w:rFonts w:ascii="黑体" w:hAnsi="宋体" w:eastAsia="黑体"/>
          <w:sz w:val="28"/>
          <w:szCs w:val="28"/>
          <w:highlight w:val="none"/>
        </w:rPr>
      </w:pPr>
    </w:p>
    <w:p>
      <w:pPr>
        <w:jc w:val="center"/>
        <w:rPr>
          <w:rFonts w:ascii="黑体" w:hAnsi="宋体" w:eastAsia="黑体"/>
          <w:sz w:val="28"/>
          <w:szCs w:val="28"/>
          <w:highlight w:val="none"/>
        </w:rPr>
      </w:pPr>
    </w:p>
    <w:p>
      <w:pPr>
        <w:jc w:val="center"/>
        <w:rPr>
          <w:rFonts w:ascii="黑体" w:hAnsi="宋体" w:eastAsia="黑体"/>
          <w:sz w:val="28"/>
          <w:szCs w:val="28"/>
          <w:highlight w:val="none"/>
        </w:rPr>
      </w:pPr>
    </w:p>
    <w:p>
      <w:pPr>
        <w:jc w:val="center"/>
        <w:rPr>
          <w:rFonts w:ascii="黑体" w:hAnsi="宋体" w:eastAsia="黑体"/>
          <w:sz w:val="28"/>
          <w:szCs w:val="28"/>
          <w:highlight w:val="none"/>
        </w:rPr>
      </w:pPr>
    </w:p>
    <w:p>
      <w:pPr>
        <w:jc w:val="center"/>
        <w:rPr>
          <w:rFonts w:ascii="黑体" w:hAnsi="宋体" w:eastAsia="黑体"/>
          <w:sz w:val="28"/>
          <w:szCs w:val="28"/>
          <w:highlight w:val="none"/>
        </w:rPr>
      </w:pPr>
    </w:p>
    <w:p>
      <w:pPr>
        <w:adjustRightInd w:val="0"/>
        <w:snapToGrid w:val="0"/>
        <w:spacing w:line="360" w:lineRule="auto"/>
        <w:ind w:firstLine="2971" w:firstLineChars="984"/>
        <w:rPr>
          <w:rFonts w:ascii="宋体" w:hAnsi="宋体" w:cs="宋体"/>
          <w:b/>
          <w:color w:val="000000"/>
          <w:sz w:val="30"/>
          <w:szCs w:val="30"/>
          <w:highlight w:val="none"/>
        </w:rPr>
      </w:pPr>
      <w:r>
        <w:rPr>
          <w:rFonts w:hint="eastAsia" w:ascii="宋体" w:hAnsi="宋体" w:cs="宋体"/>
          <w:b/>
          <w:color w:val="000000"/>
          <w:sz w:val="30"/>
          <w:szCs w:val="30"/>
          <w:highlight w:val="none"/>
        </w:rPr>
        <w:t>一、投标声明书</w:t>
      </w:r>
    </w:p>
    <w:p>
      <w:pPr>
        <w:spacing w:line="500" w:lineRule="exact"/>
        <w:ind w:firstLine="4114" w:firstLineChars="1459"/>
        <w:rPr>
          <w:b/>
          <w:color w:val="000000"/>
          <w:sz w:val="28"/>
          <w:szCs w:val="28"/>
          <w:highlight w:val="none"/>
        </w:rPr>
      </w:pPr>
    </w:p>
    <w:p>
      <w:pPr>
        <w:spacing w:line="500" w:lineRule="exact"/>
        <w:rPr>
          <w:color w:val="000000"/>
          <w:sz w:val="24"/>
          <w:highlight w:val="none"/>
        </w:rPr>
      </w:pPr>
      <w:r>
        <w:rPr>
          <w:rFonts w:hint="eastAsia"/>
          <w:color w:val="000000"/>
          <w:sz w:val="24"/>
          <w:highlight w:val="none"/>
        </w:rPr>
        <w:t>衢州市衢江区住房和城乡建设局：</w:t>
      </w:r>
    </w:p>
    <w:p>
      <w:pPr>
        <w:spacing w:line="500" w:lineRule="exact"/>
        <w:ind w:firstLine="484" w:firstLineChars="200"/>
        <w:rPr>
          <w:color w:val="000000"/>
          <w:sz w:val="24"/>
          <w:highlight w:val="none"/>
        </w:rPr>
      </w:pPr>
      <w:r>
        <w:rPr>
          <w:rFonts w:hint="eastAsia"/>
          <w:color w:val="000000"/>
          <w:sz w:val="24"/>
          <w:highlight w:val="none"/>
        </w:rPr>
        <w:t>本单位自愿参加“</w:t>
      </w:r>
      <w:r>
        <w:rPr>
          <w:rFonts w:hint="eastAsia"/>
          <w:color w:val="000000"/>
          <w:sz w:val="24"/>
          <w:highlight w:val="none"/>
          <w:u w:val="single"/>
        </w:rPr>
        <w:t xml:space="preserve">                         </w:t>
      </w:r>
      <w:r>
        <w:rPr>
          <w:rFonts w:hint="eastAsia"/>
          <w:color w:val="000000"/>
          <w:sz w:val="24"/>
          <w:highlight w:val="none"/>
        </w:rPr>
        <w:t>（项目编号：</w:t>
      </w:r>
      <w:r>
        <w:rPr>
          <w:rFonts w:hint="eastAsia" w:ascii="仿宋_GB2312" w:eastAsia="仿宋_GB2312"/>
          <w:b/>
          <w:color w:val="000000"/>
          <w:sz w:val="28"/>
          <w:szCs w:val="28"/>
          <w:highlight w:val="none"/>
        </w:rPr>
        <w:t xml:space="preserve">                  </w:t>
      </w:r>
      <w:r>
        <w:rPr>
          <w:rFonts w:hint="eastAsia"/>
          <w:color w:val="000000"/>
          <w:sz w:val="24"/>
          <w:highlight w:val="none"/>
        </w:rPr>
        <w:t>）”的投标，并保证投标文件中所列举的投标报价及相关文件和公司情况资料是真实的、合法的。</w:t>
      </w:r>
    </w:p>
    <w:p>
      <w:pPr>
        <w:spacing w:line="500" w:lineRule="exact"/>
        <w:ind w:firstLine="484" w:firstLineChars="200"/>
        <w:rPr>
          <w:color w:val="000000"/>
          <w:sz w:val="24"/>
          <w:highlight w:val="none"/>
        </w:rPr>
      </w:pPr>
      <w:r>
        <w:rPr>
          <w:rFonts w:hint="eastAsia"/>
          <w:color w:val="000000"/>
          <w:sz w:val="24"/>
          <w:highlight w:val="none"/>
        </w:rPr>
        <w:t>同意此次采购招标文件中的各项内容。</w:t>
      </w:r>
    </w:p>
    <w:p>
      <w:pPr>
        <w:spacing w:line="500" w:lineRule="exact"/>
        <w:ind w:firstLine="484" w:firstLineChars="200"/>
        <w:rPr>
          <w:color w:val="000000"/>
          <w:sz w:val="24"/>
          <w:highlight w:val="none"/>
        </w:rPr>
      </w:pPr>
      <w:r>
        <w:rPr>
          <w:rFonts w:hint="eastAsia"/>
          <w:color w:val="000000"/>
          <w:sz w:val="24"/>
          <w:highlight w:val="none"/>
        </w:rPr>
        <w:t>同意提供按照贵方可能要求的与投标相关的一切数据或资料等。</w:t>
      </w:r>
    </w:p>
    <w:p>
      <w:pPr>
        <w:spacing w:line="500" w:lineRule="exact"/>
        <w:ind w:firstLine="484" w:firstLineChars="200"/>
        <w:rPr>
          <w:color w:val="000000"/>
          <w:sz w:val="24"/>
          <w:highlight w:val="none"/>
        </w:rPr>
      </w:pPr>
      <w:r>
        <w:rPr>
          <w:rFonts w:hint="eastAsia"/>
          <w:color w:val="000000"/>
          <w:sz w:val="24"/>
          <w:highlight w:val="none"/>
        </w:rPr>
        <w:t>本单位如为中标人，保证按照投标文件的承诺与贵方签订协议书，保证履行协议书条款。</w:t>
      </w:r>
    </w:p>
    <w:p>
      <w:pPr>
        <w:spacing w:line="500" w:lineRule="exact"/>
        <w:ind w:firstLine="484" w:firstLineChars="200"/>
        <w:rPr>
          <w:color w:val="000000"/>
          <w:sz w:val="24"/>
          <w:highlight w:val="none"/>
        </w:rPr>
      </w:pPr>
    </w:p>
    <w:p>
      <w:pPr>
        <w:spacing w:line="500" w:lineRule="exact"/>
        <w:ind w:firstLine="484" w:firstLineChars="200"/>
        <w:rPr>
          <w:color w:val="000000"/>
          <w:sz w:val="24"/>
          <w:highlight w:val="none"/>
        </w:rPr>
      </w:pPr>
    </w:p>
    <w:p>
      <w:pPr>
        <w:spacing w:line="500" w:lineRule="exact"/>
        <w:ind w:firstLine="484" w:firstLineChars="200"/>
        <w:rPr>
          <w:color w:val="000000"/>
          <w:sz w:val="24"/>
          <w:highlight w:val="none"/>
        </w:rPr>
      </w:pPr>
    </w:p>
    <w:p>
      <w:pPr>
        <w:spacing w:line="500" w:lineRule="exact"/>
        <w:ind w:firstLine="484" w:firstLineChars="200"/>
        <w:rPr>
          <w:color w:val="000000"/>
          <w:sz w:val="24"/>
          <w:highlight w:val="none"/>
        </w:rPr>
      </w:pPr>
    </w:p>
    <w:p>
      <w:pPr>
        <w:spacing w:line="500" w:lineRule="exact"/>
        <w:ind w:firstLine="484" w:firstLineChars="200"/>
        <w:rPr>
          <w:color w:val="000000"/>
          <w:sz w:val="24"/>
          <w:highlight w:val="none"/>
        </w:rPr>
      </w:pPr>
    </w:p>
    <w:p>
      <w:pPr>
        <w:spacing w:line="500" w:lineRule="exact"/>
        <w:ind w:firstLine="484" w:firstLineChars="200"/>
        <w:rPr>
          <w:color w:val="000000"/>
          <w:sz w:val="24"/>
          <w:highlight w:val="none"/>
        </w:rPr>
      </w:pPr>
    </w:p>
    <w:p>
      <w:pPr>
        <w:spacing w:line="500" w:lineRule="exact"/>
        <w:ind w:firstLine="4598" w:firstLineChars="1900"/>
        <w:rPr>
          <w:color w:val="000000"/>
          <w:sz w:val="24"/>
          <w:highlight w:val="none"/>
        </w:rPr>
      </w:pPr>
      <w:r>
        <w:rPr>
          <w:rFonts w:hint="eastAsia"/>
          <w:color w:val="000000"/>
          <w:sz w:val="24"/>
          <w:highlight w:val="none"/>
        </w:rPr>
        <w:t>投标人名称（盖章）：</w:t>
      </w:r>
    </w:p>
    <w:p>
      <w:pPr>
        <w:spacing w:line="500" w:lineRule="exact"/>
        <w:ind w:firstLine="4598" w:firstLineChars="1900"/>
        <w:rPr>
          <w:color w:val="000000"/>
          <w:sz w:val="24"/>
          <w:highlight w:val="none"/>
        </w:rPr>
      </w:pPr>
      <w:r>
        <w:rPr>
          <w:rFonts w:hint="eastAsia" w:ascii="宋体" w:hAnsi="宋体"/>
          <w:color w:val="000000"/>
          <w:sz w:val="24"/>
          <w:highlight w:val="none"/>
        </w:rPr>
        <w:t>法定代表人</w:t>
      </w:r>
      <w:r>
        <w:rPr>
          <w:rFonts w:hint="eastAsia"/>
          <w:color w:val="000000"/>
          <w:sz w:val="24"/>
          <w:highlight w:val="none"/>
        </w:rPr>
        <w:t>签字</w:t>
      </w:r>
      <w:r>
        <w:rPr>
          <w:rFonts w:hint="eastAsia" w:ascii="宋体" w:hAnsi="宋体"/>
          <w:sz w:val="24"/>
          <w:highlight w:val="none"/>
        </w:rPr>
        <w:t>：</w:t>
      </w:r>
    </w:p>
    <w:p>
      <w:pPr>
        <w:spacing w:line="500" w:lineRule="exact"/>
        <w:ind w:firstLine="4598" w:firstLineChars="1900"/>
        <w:rPr>
          <w:color w:val="000000"/>
          <w:sz w:val="24"/>
          <w:highlight w:val="none"/>
        </w:rPr>
      </w:pPr>
      <w:r>
        <w:rPr>
          <w:rFonts w:hint="eastAsia"/>
          <w:color w:val="000000"/>
          <w:sz w:val="24"/>
          <w:highlight w:val="none"/>
        </w:rPr>
        <w:t>日期：   年    月    日</w:t>
      </w:r>
    </w:p>
    <w:p>
      <w:pPr>
        <w:spacing w:line="420" w:lineRule="auto"/>
        <w:rPr>
          <w:rFonts w:ascii="仿宋_GB2312" w:hAnsi="宋体" w:eastAsia="仿宋_GB2312"/>
          <w:sz w:val="24"/>
          <w:highlight w:val="none"/>
        </w:rPr>
      </w:pPr>
    </w:p>
    <w:p>
      <w:pPr>
        <w:snapToGrid w:val="0"/>
        <w:spacing w:beforeLines="50" w:after="50"/>
        <w:rPr>
          <w:rFonts w:ascii="仿宋_GB2312" w:hAnsi="宋体" w:eastAsia="仿宋_GB2312"/>
          <w:sz w:val="24"/>
          <w:highlight w:val="none"/>
        </w:rPr>
      </w:pPr>
    </w:p>
    <w:p>
      <w:pPr>
        <w:snapToGrid w:val="0"/>
        <w:spacing w:beforeLines="50" w:after="50"/>
        <w:rPr>
          <w:rFonts w:ascii="仿宋_GB2312" w:hAnsi="宋体" w:eastAsia="仿宋_GB2312"/>
          <w:sz w:val="24"/>
          <w:highlight w:val="none"/>
        </w:rPr>
      </w:pPr>
    </w:p>
    <w:p>
      <w:pPr>
        <w:spacing w:line="500" w:lineRule="exact"/>
        <w:ind w:firstLine="3948" w:firstLineChars="1400"/>
        <w:rPr>
          <w:rFonts w:ascii="宋体" w:hAnsi="宋体"/>
          <w:b/>
          <w:bCs/>
          <w:color w:val="000000"/>
          <w:sz w:val="28"/>
          <w:szCs w:val="28"/>
          <w:highlight w:val="none"/>
        </w:rPr>
      </w:pPr>
    </w:p>
    <w:p>
      <w:pPr>
        <w:spacing w:line="500" w:lineRule="exact"/>
        <w:ind w:firstLine="3948" w:firstLineChars="1400"/>
        <w:rPr>
          <w:rFonts w:ascii="宋体" w:hAnsi="宋体"/>
          <w:b/>
          <w:bCs/>
          <w:color w:val="000000"/>
          <w:sz w:val="28"/>
          <w:szCs w:val="28"/>
          <w:highlight w:val="none"/>
        </w:rPr>
      </w:pPr>
    </w:p>
    <w:p>
      <w:pPr>
        <w:spacing w:line="500" w:lineRule="exact"/>
        <w:ind w:firstLine="3948" w:firstLineChars="1400"/>
        <w:rPr>
          <w:rFonts w:ascii="宋体" w:hAnsi="宋体"/>
          <w:b/>
          <w:bCs/>
          <w:color w:val="000000"/>
          <w:sz w:val="28"/>
          <w:szCs w:val="28"/>
          <w:highlight w:val="none"/>
        </w:rPr>
      </w:pPr>
    </w:p>
    <w:p>
      <w:pPr>
        <w:pStyle w:val="2"/>
        <w:rPr>
          <w:rFonts w:hAnsi="宋体"/>
          <w:b/>
          <w:bCs/>
          <w:color w:val="000000"/>
          <w:sz w:val="28"/>
          <w:szCs w:val="28"/>
          <w:highlight w:val="none"/>
        </w:rPr>
      </w:pPr>
    </w:p>
    <w:p>
      <w:pPr>
        <w:rPr>
          <w:highlight w:val="none"/>
        </w:rPr>
      </w:pPr>
    </w:p>
    <w:p>
      <w:pPr>
        <w:pStyle w:val="2"/>
        <w:rPr>
          <w:highlight w:val="none"/>
        </w:rPr>
      </w:pPr>
    </w:p>
    <w:p>
      <w:pPr>
        <w:spacing w:line="500" w:lineRule="exact"/>
        <w:ind w:firstLine="3948" w:firstLineChars="1400"/>
        <w:rPr>
          <w:rFonts w:ascii="宋体" w:hAnsi="宋体"/>
          <w:b/>
          <w:bCs/>
          <w:color w:val="000000"/>
          <w:sz w:val="28"/>
          <w:szCs w:val="28"/>
          <w:highlight w:val="none"/>
        </w:rPr>
      </w:pPr>
    </w:p>
    <w:p>
      <w:pPr>
        <w:adjustRightInd w:val="0"/>
        <w:snapToGrid w:val="0"/>
        <w:spacing w:line="360" w:lineRule="auto"/>
        <w:ind w:firstLine="2971" w:firstLineChars="984"/>
        <w:rPr>
          <w:rFonts w:ascii="宋体" w:hAnsi="宋体" w:cs="宋体"/>
          <w:b/>
          <w:color w:val="000000"/>
          <w:sz w:val="30"/>
          <w:szCs w:val="30"/>
          <w:highlight w:val="none"/>
        </w:rPr>
      </w:pPr>
      <w:r>
        <w:rPr>
          <w:rFonts w:hint="eastAsia" w:ascii="宋体" w:hAnsi="宋体" w:cs="宋体"/>
          <w:b/>
          <w:color w:val="000000"/>
          <w:sz w:val="30"/>
          <w:szCs w:val="30"/>
          <w:highlight w:val="none"/>
        </w:rPr>
        <w:t>二、法定代表人身份证明书</w:t>
      </w:r>
    </w:p>
    <w:p>
      <w:pPr>
        <w:jc w:val="center"/>
        <w:rPr>
          <w:b/>
          <w:sz w:val="28"/>
          <w:szCs w:val="28"/>
          <w:highlight w:val="none"/>
        </w:rPr>
      </w:pPr>
    </w:p>
    <w:p>
      <w:pPr>
        <w:spacing w:line="480" w:lineRule="exact"/>
        <w:ind w:firstLine="424" w:firstLineChars="200"/>
        <w:rPr>
          <w:szCs w:val="21"/>
          <w:highlight w:val="none"/>
          <w:u w:val="single"/>
        </w:rPr>
      </w:pPr>
      <w:r>
        <w:rPr>
          <w:b/>
          <w:szCs w:val="21"/>
          <w:highlight w:val="none"/>
          <w:u w:val="single"/>
        </w:rPr>
        <w:t xml:space="preserve"> </w:t>
      </w:r>
      <w:r>
        <w:rPr>
          <w:szCs w:val="21"/>
          <w:highlight w:val="none"/>
          <w:u w:val="single"/>
        </w:rPr>
        <w:t xml:space="preserve">            </w:t>
      </w:r>
      <w:r>
        <w:rPr>
          <w:szCs w:val="21"/>
          <w:highlight w:val="none"/>
        </w:rPr>
        <w:t>（姓名）是</w:t>
      </w:r>
      <w:r>
        <w:rPr>
          <w:szCs w:val="21"/>
          <w:highlight w:val="none"/>
          <w:u w:val="single"/>
        </w:rPr>
        <w:t xml:space="preserve">                            </w:t>
      </w:r>
      <w:r>
        <w:rPr>
          <w:szCs w:val="21"/>
          <w:highlight w:val="none"/>
        </w:rPr>
        <w:t>（单位名称）的法定代表人，身份证号码为</w:t>
      </w:r>
      <w:r>
        <w:rPr>
          <w:szCs w:val="21"/>
          <w:highlight w:val="none"/>
          <w:u w:val="single"/>
        </w:rPr>
        <w:t xml:space="preserve">                    </w:t>
      </w:r>
      <w:r>
        <w:rPr>
          <w:szCs w:val="21"/>
          <w:highlight w:val="none"/>
        </w:rPr>
        <w:t>，性别</w:t>
      </w:r>
      <w:r>
        <w:rPr>
          <w:szCs w:val="21"/>
          <w:highlight w:val="none"/>
          <w:u w:val="single"/>
        </w:rPr>
        <w:t xml:space="preserve">         </w:t>
      </w:r>
      <w:r>
        <w:rPr>
          <w:szCs w:val="21"/>
          <w:highlight w:val="none"/>
        </w:rPr>
        <w:t>，职务</w:t>
      </w:r>
      <w:r>
        <w:rPr>
          <w:szCs w:val="21"/>
          <w:highlight w:val="none"/>
          <w:u w:val="single"/>
        </w:rPr>
        <w:t xml:space="preserve">       </w:t>
      </w:r>
      <w:r>
        <w:rPr>
          <w:szCs w:val="21"/>
          <w:highlight w:val="none"/>
        </w:rPr>
        <w:t>，联系电话</w:t>
      </w:r>
      <w:r>
        <w:rPr>
          <w:szCs w:val="21"/>
          <w:highlight w:val="none"/>
          <w:u w:val="single"/>
        </w:rPr>
        <w:t xml:space="preserve">              </w:t>
      </w:r>
      <w:r>
        <w:rPr>
          <w:szCs w:val="21"/>
          <w:highlight w:val="none"/>
        </w:rPr>
        <w:t>，传真</w:t>
      </w:r>
      <w:r>
        <w:rPr>
          <w:szCs w:val="21"/>
          <w:highlight w:val="none"/>
          <w:u w:val="single"/>
        </w:rPr>
        <w:t xml:space="preserve">               </w:t>
      </w:r>
      <w:r>
        <w:rPr>
          <w:szCs w:val="21"/>
          <w:highlight w:val="none"/>
        </w:rPr>
        <w:t>，联系地址：</w:t>
      </w:r>
      <w:r>
        <w:rPr>
          <w:szCs w:val="21"/>
          <w:highlight w:val="none"/>
          <w:u w:val="single"/>
        </w:rPr>
        <w:t xml:space="preserve">              </w:t>
      </w:r>
      <w:r>
        <w:rPr>
          <w:szCs w:val="21"/>
          <w:highlight w:val="none"/>
        </w:rPr>
        <w:t>，邮编</w:t>
      </w:r>
      <w:r>
        <w:rPr>
          <w:szCs w:val="21"/>
          <w:highlight w:val="none"/>
          <w:u w:val="single"/>
        </w:rPr>
        <w:t xml:space="preserve">          </w:t>
      </w:r>
    </w:p>
    <w:p>
      <w:pPr>
        <w:spacing w:line="480" w:lineRule="exact"/>
        <w:ind w:firstLine="424" w:firstLineChars="200"/>
        <w:rPr>
          <w:szCs w:val="21"/>
          <w:highlight w:val="none"/>
        </w:rPr>
      </w:pPr>
    </w:p>
    <w:p>
      <w:pPr>
        <w:spacing w:line="480" w:lineRule="exact"/>
        <w:ind w:firstLine="636" w:firstLineChars="300"/>
        <w:rPr>
          <w:szCs w:val="21"/>
          <w:highlight w:val="none"/>
        </w:rPr>
      </w:pPr>
      <w:r>
        <w:rPr>
          <w:szCs w:val="21"/>
          <w:highlight w:val="none"/>
        </w:rPr>
        <w:t xml:space="preserve">特此证明。 </w:t>
      </w:r>
    </w:p>
    <w:p>
      <w:pPr>
        <w:spacing w:line="480" w:lineRule="exact"/>
        <w:ind w:firstLine="314" w:firstLineChars="149"/>
        <w:rPr>
          <w:szCs w:val="21"/>
          <w:highlight w:val="none"/>
        </w:rPr>
      </w:pPr>
      <w:r>
        <w:rPr>
          <w:szCs w:val="21"/>
          <w:highlight w:val="none"/>
        </w:rPr>
        <w:t xml:space="preserve">       </w:t>
      </w:r>
    </w:p>
    <w:p>
      <w:pPr>
        <w:spacing w:line="480" w:lineRule="exact"/>
        <w:ind w:firstLine="1971" w:firstLineChars="930"/>
        <w:jc w:val="right"/>
        <w:rPr>
          <w:szCs w:val="21"/>
          <w:highlight w:val="none"/>
          <w:u w:val="single"/>
        </w:rPr>
      </w:pPr>
      <w:r>
        <w:rPr>
          <w:rFonts w:hint="eastAsia"/>
          <w:szCs w:val="21"/>
          <w:highlight w:val="none"/>
        </w:rPr>
        <w:t>投标人</w:t>
      </w:r>
      <w:r>
        <w:rPr>
          <w:szCs w:val="21"/>
          <w:highlight w:val="none"/>
        </w:rPr>
        <w:t>：</w:t>
      </w:r>
      <w:r>
        <w:rPr>
          <w:szCs w:val="21"/>
          <w:highlight w:val="none"/>
          <w:u w:val="single"/>
        </w:rPr>
        <w:t xml:space="preserve">                           （盖章）</w:t>
      </w:r>
    </w:p>
    <w:p>
      <w:pPr>
        <w:spacing w:line="480" w:lineRule="exact"/>
        <w:ind w:firstLine="1971" w:firstLineChars="930"/>
        <w:jc w:val="right"/>
        <w:rPr>
          <w:szCs w:val="21"/>
          <w:highlight w:val="none"/>
        </w:rPr>
      </w:pPr>
      <w:r>
        <w:rPr>
          <w:szCs w:val="21"/>
          <w:highlight w:val="none"/>
        </w:rPr>
        <w:t>法定代表人：</w:t>
      </w:r>
      <w:r>
        <w:rPr>
          <w:szCs w:val="21"/>
          <w:highlight w:val="none"/>
          <w:u w:val="single"/>
        </w:rPr>
        <w:t xml:space="preserve">                 （签名</w:t>
      </w:r>
      <w:r>
        <w:rPr>
          <w:rFonts w:hint="eastAsia"/>
          <w:szCs w:val="21"/>
          <w:highlight w:val="none"/>
          <w:u w:val="single"/>
        </w:rPr>
        <w:t>或</w:t>
      </w:r>
      <w:r>
        <w:rPr>
          <w:szCs w:val="21"/>
          <w:highlight w:val="none"/>
          <w:u w:val="single"/>
        </w:rPr>
        <w:t>盖章）</w:t>
      </w:r>
    </w:p>
    <w:p>
      <w:pPr>
        <w:spacing w:line="480" w:lineRule="exact"/>
        <w:ind w:firstLine="314" w:firstLineChars="149"/>
        <w:jc w:val="right"/>
        <w:rPr>
          <w:szCs w:val="21"/>
          <w:highlight w:val="none"/>
        </w:rPr>
      </w:pPr>
      <w:r>
        <w:rPr>
          <w:szCs w:val="21"/>
          <w:highlight w:val="none"/>
        </w:rPr>
        <w:t xml:space="preserve">                  日期：        年     月     日</w:t>
      </w:r>
    </w:p>
    <w:p>
      <w:pPr>
        <w:adjustRightInd w:val="0"/>
        <w:snapToGrid w:val="0"/>
        <w:spacing w:line="440" w:lineRule="exact"/>
        <w:rPr>
          <w:b/>
          <w:szCs w:val="21"/>
          <w:highlight w:val="none"/>
        </w:rPr>
      </w:pPr>
    </w:p>
    <w:p>
      <w:pPr>
        <w:adjustRightInd w:val="0"/>
        <w:snapToGrid w:val="0"/>
        <w:spacing w:line="440" w:lineRule="exact"/>
        <w:rPr>
          <w:b/>
          <w:szCs w:val="21"/>
          <w:highlight w:val="none"/>
        </w:rPr>
      </w:pPr>
    </w:p>
    <w:p>
      <w:pPr>
        <w:spacing w:line="440" w:lineRule="exact"/>
        <w:jc w:val="center"/>
        <w:rPr>
          <w:szCs w:val="21"/>
          <w:highlight w:val="none"/>
        </w:rPr>
      </w:pPr>
      <w:r>
        <w:rPr>
          <w:szCs w:val="21"/>
          <w:highlight w:val="none"/>
        </w:rPr>
        <w:t>--------------------------------------------------------------------------------</w:t>
      </w:r>
    </w:p>
    <w:p>
      <w:pPr>
        <w:spacing w:line="440" w:lineRule="exact"/>
        <w:jc w:val="center"/>
        <w:rPr>
          <w:szCs w:val="21"/>
          <w:highlight w:val="none"/>
        </w:rPr>
      </w:pPr>
    </w:p>
    <w:p>
      <w:pPr>
        <w:spacing w:line="440" w:lineRule="exact"/>
        <w:ind w:firstLine="424" w:firstLineChars="200"/>
        <w:rPr>
          <w:szCs w:val="21"/>
          <w:highlight w:val="none"/>
        </w:rPr>
      </w:pPr>
    </w:p>
    <w:p>
      <w:pPr>
        <w:spacing w:line="440" w:lineRule="exact"/>
        <w:ind w:firstLine="424" w:firstLineChars="200"/>
        <w:jc w:val="center"/>
        <w:rPr>
          <w:szCs w:val="21"/>
          <w:highlight w:val="none"/>
        </w:rPr>
      </w:pPr>
    </w:p>
    <w:p>
      <w:pPr>
        <w:spacing w:line="440" w:lineRule="exact"/>
        <w:ind w:firstLine="424" w:firstLineChars="200"/>
        <w:jc w:val="center"/>
        <w:rPr>
          <w:szCs w:val="21"/>
          <w:highlight w:val="none"/>
        </w:rPr>
      </w:pPr>
    </w:p>
    <w:p>
      <w:pPr>
        <w:spacing w:line="440" w:lineRule="exact"/>
        <w:ind w:firstLine="2254" w:firstLineChars="700"/>
        <w:rPr>
          <w:sz w:val="32"/>
          <w:szCs w:val="32"/>
          <w:highlight w:val="none"/>
        </w:rPr>
      </w:pPr>
      <w:r>
        <w:rPr>
          <w:sz w:val="32"/>
          <w:szCs w:val="32"/>
          <w:highlight w:val="none"/>
        </w:rPr>
        <w:t>有效身份证明复印件粘贴处</w:t>
      </w:r>
    </w:p>
    <w:p>
      <w:pPr>
        <w:spacing w:line="600" w:lineRule="exact"/>
        <w:jc w:val="center"/>
        <w:rPr>
          <w:b/>
          <w:bCs/>
          <w:spacing w:val="24"/>
          <w:sz w:val="30"/>
          <w:highlight w:val="none"/>
        </w:rPr>
      </w:pPr>
    </w:p>
    <w:p>
      <w:pPr>
        <w:spacing w:line="600" w:lineRule="exact"/>
        <w:jc w:val="center"/>
        <w:rPr>
          <w:b/>
          <w:bCs/>
          <w:spacing w:val="24"/>
          <w:sz w:val="30"/>
          <w:highlight w:val="none"/>
        </w:rPr>
      </w:pPr>
    </w:p>
    <w:p>
      <w:pPr>
        <w:spacing w:line="600" w:lineRule="exact"/>
        <w:jc w:val="center"/>
        <w:rPr>
          <w:b/>
          <w:bCs/>
          <w:spacing w:val="24"/>
          <w:sz w:val="30"/>
          <w:highlight w:val="none"/>
        </w:rPr>
      </w:pPr>
    </w:p>
    <w:p>
      <w:pPr>
        <w:spacing w:line="600" w:lineRule="exact"/>
        <w:jc w:val="center"/>
        <w:rPr>
          <w:b/>
          <w:bCs/>
          <w:spacing w:val="24"/>
          <w:sz w:val="30"/>
          <w:highlight w:val="none"/>
        </w:rPr>
      </w:pPr>
    </w:p>
    <w:p>
      <w:pPr>
        <w:spacing w:line="600" w:lineRule="exact"/>
        <w:jc w:val="center"/>
        <w:rPr>
          <w:b/>
          <w:bCs/>
          <w:spacing w:val="24"/>
          <w:sz w:val="30"/>
          <w:highlight w:val="none"/>
        </w:rPr>
      </w:pPr>
    </w:p>
    <w:p>
      <w:pPr>
        <w:spacing w:line="500" w:lineRule="exact"/>
        <w:jc w:val="center"/>
        <w:rPr>
          <w:rFonts w:ascii="宋体" w:hAnsi="宋体"/>
          <w:b/>
          <w:sz w:val="32"/>
          <w:szCs w:val="36"/>
          <w:highlight w:val="none"/>
        </w:rPr>
      </w:pPr>
    </w:p>
    <w:p>
      <w:pPr>
        <w:spacing w:line="500" w:lineRule="exact"/>
        <w:jc w:val="center"/>
        <w:rPr>
          <w:rFonts w:ascii="宋体" w:hAnsi="宋体"/>
          <w:b/>
          <w:sz w:val="32"/>
          <w:szCs w:val="36"/>
          <w:highlight w:val="none"/>
        </w:rPr>
      </w:pPr>
    </w:p>
    <w:p>
      <w:pPr>
        <w:spacing w:line="500" w:lineRule="exact"/>
        <w:jc w:val="center"/>
        <w:rPr>
          <w:rFonts w:ascii="宋体" w:hAnsi="宋体"/>
          <w:b/>
          <w:sz w:val="32"/>
          <w:szCs w:val="36"/>
          <w:highlight w:val="none"/>
        </w:rPr>
      </w:pPr>
    </w:p>
    <w:p>
      <w:pPr>
        <w:adjustRightInd w:val="0"/>
        <w:snapToGrid w:val="0"/>
        <w:spacing w:line="360" w:lineRule="auto"/>
        <w:ind w:firstLine="2971" w:firstLineChars="984"/>
        <w:rPr>
          <w:rFonts w:ascii="宋体" w:hAnsi="宋体" w:cs="宋体"/>
          <w:b/>
          <w:color w:val="000000"/>
          <w:sz w:val="30"/>
          <w:szCs w:val="30"/>
          <w:highlight w:val="none"/>
        </w:rPr>
      </w:pPr>
      <w:r>
        <w:rPr>
          <w:rFonts w:hint="eastAsia" w:ascii="宋体" w:hAnsi="宋体" w:cs="宋体"/>
          <w:b/>
          <w:color w:val="000000"/>
          <w:sz w:val="30"/>
          <w:szCs w:val="30"/>
          <w:highlight w:val="none"/>
        </w:rPr>
        <w:t>三、法定代表人授权委托书</w:t>
      </w:r>
    </w:p>
    <w:p>
      <w:pPr>
        <w:spacing w:line="500" w:lineRule="exact"/>
        <w:rPr>
          <w:rFonts w:ascii="宋体" w:hAnsi="宋体"/>
          <w:sz w:val="24"/>
          <w:highlight w:val="none"/>
        </w:rPr>
      </w:pPr>
    </w:p>
    <w:p>
      <w:pPr>
        <w:spacing w:line="500" w:lineRule="exact"/>
        <w:ind w:firstLine="106" w:firstLineChars="50"/>
        <w:rPr>
          <w:rFonts w:ascii="宋体" w:hAnsi="宋体"/>
          <w:szCs w:val="21"/>
          <w:highlight w:val="none"/>
        </w:rPr>
      </w:pPr>
      <w:r>
        <w:rPr>
          <w:rFonts w:ascii="宋体" w:hAnsi="宋体"/>
          <w:szCs w:val="21"/>
          <w:highlight w:val="none"/>
        </w:rPr>
        <w:t>______</w:t>
      </w:r>
      <w:r>
        <w:rPr>
          <w:rFonts w:ascii="宋体" w:hAnsi="宋体"/>
          <w:szCs w:val="21"/>
          <w:highlight w:val="none"/>
          <w:u w:val="single"/>
        </w:rPr>
        <w:t>_     _</w:t>
      </w:r>
      <w:r>
        <w:rPr>
          <w:rFonts w:ascii="宋体" w:hAnsi="宋体"/>
          <w:szCs w:val="21"/>
          <w:highlight w:val="none"/>
        </w:rPr>
        <w:t>_</w:t>
      </w:r>
      <w:r>
        <w:rPr>
          <w:rFonts w:hint="eastAsia" w:ascii="宋体" w:hAnsi="宋体"/>
          <w:szCs w:val="21"/>
          <w:highlight w:val="none"/>
        </w:rPr>
        <w:t>（采购单位名称）：</w:t>
      </w:r>
    </w:p>
    <w:p>
      <w:pPr>
        <w:spacing w:line="500" w:lineRule="exact"/>
        <w:rPr>
          <w:rFonts w:ascii="宋体" w:hAnsi="宋体"/>
          <w:szCs w:val="21"/>
          <w:highlight w:val="none"/>
        </w:rPr>
      </w:pPr>
      <w:r>
        <w:rPr>
          <w:rFonts w:hint="eastAsia" w:ascii="宋体" w:hAnsi="宋体"/>
          <w:szCs w:val="21"/>
          <w:highlight w:val="none"/>
        </w:rPr>
        <w:t xml:space="preserve">     我</w:t>
      </w:r>
      <w:r>
        <w:rPr>
          <w:rFonts w:hint="eastAsia" w:ascii="宋体" w:hAnsi="宋体"/>
          <w:szCs w:val="21"/>
          <w:highlight w:val="none"/>
          <w:u w:val="single"/>
        </w:rPr>
        <w:t xml:space="preserve">         </w:t>
      </w:r>
      <w:r>
        <w:rPr>
          <w:rFonts w:hint="eastAsia" w:ascii="宋体" w:hAnsi="宋体"/>
          <w:szCs w:val="21"/>
          <w:highlight w:val="none"/>
        </w:rPr>
        <w:t>（姓名）系</w:t>
      </w:r>
      <w:r>
        <w:rPr>
          <w:rFonts w:hint="eastAsia" w:ascii="宋体" w:hAnsi="宋体"/>
          <w:szCs w:val="21"/>
          <w:highlight w:val="none"/>
          <w:u w:val="single"/>
        </w:rPr>
        <w:t xml:space="preserve">              </w:t>
      </w:r>
      <w:r>
        <w:rPr>
          <w:rFonts w:hint="eastAsia" w:ascii="宋体" w:hAnsi="宋体"/>
          <w:szCs w:val="21"/>
          <w:highlight w:val="none"/>
        </w:rPr>
        <w:t>（投标人名称）的法定代表人，现授权委托本单位在职职工</w:t>
      </w:r>
      <w:r>
        <w:rPr>
          <w:rFonts w:hint="eastAsia" w:ascii="宋体" w:hAnsi="宋体"/>
          <w:szCs w:val="21"/>
          <w:highlight w:val="none"/>
          <w:u w:val="single"/>
        </w:rPr>
        <w:t xml:space="preserve">             </w:t>
      </w:r>
      <w:r>
        <w:rPr>
          <w:rFonts w:hint="eastAsia" w:ascii="宋体" w:hAnsi="宋体"/>
          <w:szCs w:val="21"/>
          <w:highlight w:val="none"/>
        </w:rPr>
        <w:t>（姓名）以我方的名义参加贵处组织的</w:t>
      </w:r>
      <w:r>
        <w:rPr>
          <w:rFonts w:hint="eastAsia" w:ascii="宋体" w:hAnsi="宋体"/>
          <w:szCs w:val="21"/>
          <w:highlight w:val="none"/>
          <w:u w:val="single"/>
        </w:rPr>
        <w:t xml:space="preserve">          （</w:t>
      </w:r>
      <w:r>
        <w:rPr>
          <w:rFonts w:hint="eastAsia" w:ascii="宋体" w:hAnsi="宋体"/>
          <w:szCs w:val="21"/>
          <w:highlight w:val="none"/>
        </w:rPr>
        <w:t>采购人名称）</w:t>
      </w:r>
      <w:r>
        <w:rPr>
          <w:rFonts w:hint="eastAsia" w:ascii="宋体" w:hAnsi="宋体"/>
          <w:szCs w:val="21"/>
          <w:highlight w:val="none"/>
          <w:u w:val="single"/>
        </w:rPr>
        <w:t xml:space="preserve">                   （</w:t>
      </w:r>
      <w:r>
        <w:rPr>
          <w:rFonts w:hint="eastAsia" w:ascii="宋体" w:hAnsi="宋体"/>
          <w:szCs w:val="21"/>
          <w:highlight w:val="none"/>
        </w:rPr>
        <w:t>项目名称），</w:t>
      </w:r>
      <w:r>
        <w:rPr>
          <w:rFonts w:hint="eastAsia" w:ascii="宋体" w:hAnsi="宋体"/>
          <w:szCs w:val="21"/>
          <w:highlight w:val="none"/>
          <w:u w:val="single"/>
        </w:rPr>
        <w:t xml:space="preserve">             </w:t>
      </w:r>
      <w:r>
        <w:rPr>
          <w:rFonts w:hint="eastAsia" w:ascii="宋体" w:hAnsi="宋体"/>
          <w:szCs w:val="21"/>
          <w:highlight w:val="none"/>
        </w:rPr>
        <w:t xml:space="preserve"> （项目编号）的投标活动，并代表我方全权办理针对上述项目的投标、开标、评标、签约等具体事务和签署相关文件。</w:t>
      </w:r>
    </w:p>
    <w:p>
      <w:pPr>
        <w:spacing w:line="500" w:lineRule="exact"/>
        <w:ind w:firstLine="424" w:firstLineChars="200"/>
        <w:rPr>
          <w:rFonts w:ascii="宋体" w:hAnsi="宋体"/>
          <w:szCs w:val="21"/>
          <w:highlight w:val="none"/>
        </w:rPr>
      </w:pPr>
      <w:r>
        <w:rPr>
          <w:rFonts w:hint="eastAsia" w:ascii="宋体" w:hAnsi="宋体"/>
          <w:szCs w:val="21"/>
          <w:highlight w:val="none"/>
        </w:rPr>
        <w:t>我方对被授权人的签名事项负全部责任。</w:t>
      </w:r>
    </w:p>
    <w:p>
      <w:pPr>
        <w:spacing w:line="500" w:lineRule="exact"/>
        <w:ind w:firstLine="424" w:firstLineChars="200"/>
        <w:rPr>
          <w:rFonts w:ascii="宋体" w:hAnsi="宋体"/>
          <w:szCs w:val="21"/>
          <w:highlight w:val="none"/>
        </w:rPr>
      </w:pPr>
      <w:r>
        <w:rPr>
          <w:rFonts w:hint="eastAsia" w:ascii="宋体" w:hAnsi="宋体"/>
          <w:szCs w:val="21"/>
          <w:highlight w:val="none"/>
        </w:rPr>
        <w:t>在撤销授权的书面通知以前，本授权书一直有效。被授权人在授权书有效期内签署的所有文件不因授权的撤销而失效。</w:t>
      </w:r>
    </w:p>
    <w:p>
      <w:pPr>
        <w:spacing w:line="500" w:lineRule="exact"/>
        <w:ind w:firstLine="424" w:firstLineChars="200"/>
        <w:rPr>
          <w:rFonts w:ascii="宋体" w:hAnsi="宋体"/>
          <w:szCs w:val="21"/>
          <w:highlight w:val="none"/>
        </w:rPr>
      </w:pPr>
      <w:r>
        <w:rPr>
          <w:rFonts w:hint="eastAsia" w:ascii="宋体" w:hAnsi="宋体"/>
          <w:szCs w:val="21"/>
          <w:highlight w:val="none"/>
        </w:rPr>
        <w:t>被授权人无转委托权，特此委托。</w:t>
      </w:r>
    </w:p>
    <w:p>
      <w:pPr>
        <w:spacing w:line="500" w:lineRule="exact"/>
        <w:rPr>
          <w:rFonts w:ascii="宋体" w:hAnsi="宋体"/>
          <w:szCs w:val="21"/>
          <w:highlight w:val="none"/>
        </w:rPr>
      </w:pPr>
    </w:p>
    <w:p>
      <w:pPr>
        <w:spacing w:line="500" w:lineRule="exact"/>
        <w:rPr>
          <w:rFonts w:ascii="宋体" w:hAnsi="宋体"/>
          <w:szCs w:val="21"/>
          <w:highlight w:val="none"/>
        </w:rPr>
      </w:pPr>
    </w:p>
    <w:p>
      <w:pPr>
        <w:spacing w:line="500" w:lineRule="exact"/>
        <w:rPr>
          <w:rFonts w:ascii="宋体" w:hAnsi="宋体"/>
          <w:szCs w:val="21"/>
          <w:highlight w:val="none"/>
          <w:u w:val="single"/>
        </w:rPr>
      </w:pPr>
      <w:r>
        <w:rPr>
          <w:rFonts w:hint="eastAsia" w:ascii="宋体" w:hAnsi="宋体"/>
          <w:szCs w:val="21"/>
          <w:highlight w:val="none"/>
        </w:rPr>
        <w:t>被授权人签名：</w:t>
      </w:r>
      <w:r>
        <w:rPr>
          <w:rFonts w:hint="eastAsia" w:ascii="宋体" w:hAnsi="宋体"/>
          <w:szCs w:val="21"/>
          <w:highlight w:val="none"/>
          <w:u w:val="single"/>
        </w:rPr>
        <w:t xml:space="preserve">            </w:t>
      </w:r>
      <w:r>
        <w:rPr>
          <w:rFonts w:hint="eastAsia" w:ascii="宋体" w:hAnsi="宋体"/>
          <w:szCs w:val="21"/>
          <w:highlight w:val="none"/>
        </w:rPr>
        <w:t xml:space="preserve">            法定代表人签名：</w:t>
      </w:r>
      <w:r>
        <w:rPr>
          <w:rFonts w:hint="eastAsia" w:ascii="宋体" w:hAnsi="宋体"/>
          <w:szCs w:val="21"/>
          <w:highlight w:val="none"/>
          <w:u w:val="single"/>
        </w:rPr>
        <w:t xml:space="preserve">             </w:t>
      </w:r>
    </w:p>
    <w:p>
      <w:pPr>
        <w:spacing w:line="500" w:lineRule="exact"/>
        <w:rPr>
          <w:rFonts w:ascii="宋体" w:hAnsi="宋体"/>
          <w:szCs w:val="21"/>
          <w:highlight w:val="none"/>
          <w:u w:val="single"/>
        </w:rPr>
      </w:pPr>
      <w:r>
        <w:rPr>
          <w:rFonts w:hint="eastAsia" w:ascii="宋体" w:hAnsi="宋体"/>
          <w:szCs w:val="21"/>
          <w:highlight w:val="none"/>
        </w:rPr>
        <w:t xml:space="preserve">        职务：</w:t>
      </w:r>
      <w:r>
        <w:rPr>
          <w:rFonts w:hint="eastAsia" w:ascii="宋体" w:hAnsi="宋体"/>
          <w:szCs w:val="21"/>
          <w:highlight w:val="none"/>
          <w:u w:val="single"/>
        </w:rPr>
        <w:t xml:space="preserve">            </w:t>
      </w:r>
    </w:p>
    <w:p>
      <w:pPr>
        <w:spacing w:line="500" w:lineRule="exact"/>
        <w:rPr>
          <w:rFonts w:ascii="宋体" w:hAnsi="宋体"/>
          <w:szCs w:val="21"/>
          <w:highlight w:val="none"/>
        </w:rPr>
      </w:pPr>
      <w:r>
        <w:rPr>
          <w:rFonts w:hint="eastAsia" w:ascii="宋体" w:hAnsi="宋体"/>
          <w:szCs w:val="21"/>
          <w:highlight w:val="none"/>
        </w:rPr>
        <w:t>被授权人身份证号码：</w:t>
      </w:r>
      <w:r>
        <w:rPr>
          <w:rFonts w:hint="eastAsia" w:ascii="宋体" w:hAnsi="宋体"/>
          <w:szCs w:val="21"/>
          <w:highlight w:val="none"/>
          <w:u w:val="single"/>
        </w:rPr>
        <w:t xml:space="preserve">                        </w:t>
      </w:r>
      <w:r>
        <w:rPr>
          <w:rFonts w:hint="eastAsia" w:ascii="宋体" w:hAnsi="宋体"/>
          <w:szCs w:val="21"/>
          <w:highlight w:val="none"/>
        </w:rPr>
        <w:t xml:space="preserve"> </w:t>
      </w:r>
    </w:p>
    <w:p>
      <w:pPr>
        <w:spacing w:line="500" w:lineRule="exact"/>
        <w:rPr>
          <w:rFonts w:ascii="宋体" w:hAnsi="宋体"/>
          <w:szCs w:val="21"/>
          <w:highlight w:val="none"/>
        </w:rPr>
      </w:pPr>
    </w:p>
    <w:p>
      <w:pPr>
        <w:spacing w:line="500" w:lineRule="exact"/>
        <w:rPr>
          <w:rFonts w:ascii="宋体" w:hAnsi="宋体"/>
          <w:szCs w:val="21"/>
          <w:highlight w:val="none"/>
        </w:rPr>
      </w:pPr>
      <w:r>
        <w:rPr>
          <w:rFonts w:hint="eastAsia" w:ascii="宋体" w:hAnsi="宋体"/>
          <w:szCs w:val="21"/>
          <w:highlight w:val="none"/>
        </w:rPr>
        <w:t>（注：须提供法定代表人及被授权代表身份证复印件）</w:t>
      </w:r>
    </w:p>
    <w:p>
      <w:pPr>
        <w:spacing w:line="500" w:lineRule="exact"/>
        <w:rPr>
          <w:rFonts w:ascii="宋体" w:hAnsi="宋体"/>
          <w:szCs w:val="21"/>
          <w:highlight w:val="none"/>
        </w:rPr>
      </w:pPr>
    </w:p>
    <w:p>
      <w:pPr>
        <w:spacing w:line="500" w:lineRule="exact"/>
        <w:rPr>
          <w:rFonts w:ascii="宋体" w:hAnsi="宋体"/>
          <w:szCs w:val="21"/>
          <w:highlight w:val="none"/>
        </w:rPr>
      </w:pPr>
    </w:p>
    <w:p>
      <w:pPr>
        <w:spacing w:line="500" w:lineRule="exact"/>
        <w:ind w:firstLine="4452" w:firstLineChars="2100"/>
        <w:rPr>
          <w:bCs/>
          <w:color w:val="000000"/>
          <w:szCs w:val="21"/>
          <w:highlight w:val="none"/>
        </w:rPr>
      </w:pPr>
      <w:r>
        <w:rPr>
          <w:rFonts w:hint="eastAsia"/>
          <w:bCs/>
          <w:color w:val="000000"/>
          <w:szCs w:val="21"/>
          <w:highlight w:val="none"/>
        </w:rPr>
        <w:t>投标人名称：（盖章）</w:t>
      </w:r>
    </w:p>
    <w:p>
      <w:pPr>
        <w:spacing w:line="500" w:lineRule="exact"/>
        <w:ind w:firstLine="4452" w:firstLineChars="2100"/>
        <w:rPr>
          <w:bCs/>
          <w:color w:val="000000"/>
          <w:szCs w:val="21"/>
          <w:highlight w:val="none"/>
        </w:rPr>
      </w:pPr>
      <w:r>
        <w:rPr>
          <w:rFonts w:hint="eastAsia"/>
          <w:bCs/>
          <w:color w:val="000000"/>
          <w:szCs w:val="21"/>
          <w:highlight w:val="none"/>
        </w:rPr>
        <w:t>日期：        年  月   日</w:t>
      </w:r>
    </w:p>
    <w:p>
      <w:pPr>
        <w:spacing w:line="500" w:lineRule="exact"/>
        <w:ind w:firstLine="2968" w:firstLineChars="1400"/>
        <w:rPr>
          <w:rFonts w:ascii="宋体" w:hAnsi="宋体"/>
          <w:b/>
          <w:bCs/>
          <w:color w:val="000000"/>
          <w:szCs w:val="21"/>
          <w:highlight w:val="none"/>
        </w:rPr>
      </w:pPr>
    </w:p>
    <w:p>
      <w:pPr>
        <w:spacing w:line="500" w:lineRule="exact"/>
        <w:ind w:firstLine="2968" w:firstLineChars="1400"/>
        <w:rPr>
          <w:rFonts w:ascii="宋体" w:hAnsi="宋体"/>
          <w:b/>
          <w:bCs/>
          <w:color w:val="000000"/>
          <w:szCs w:val="21"/>
          <w:highlight w:val="none"/>
        </w:rPr>
      </w:pPr>
    </w:p>
    <w:p>
      <w:pPr>
        <w:adjustRightInd w:val="0"/>
        <w:snapToGrid w:val="0"/>
        <w:spacing w:line="360" w:lineRule="auto"/>
        <w:rPr>
          <w:rFonts w:ascii="宋体" w:hAnsi="宋体" w:cs="宋体"/>
          <w:b/>
          <w:color w:val="000000"/>
          <w:szCs w:val="21"/>
          <w:highlight w:val="none"/>
        </w:rPr>
      </w:pPr>
    </w:p>
    <w:p>
      <w:pPr>
        <w:adjustRightInd w:val="0"/>
        <w:snapToGrid w:val="0"/>
        <w:spacing w:line="360" w:lineRule="auto"/>
        <w:ind w:firstLine="2971" w:firstLineChars="984"/>
        <w:rPr>
          <w:rFonts w:ascii="宋体" w:hAnsi="宋体" w:cs="宋体"/>
          <w:b/>
          <w:color w:val="000000"/>
          <w:sz w:val="30"/>
          <w:szCs w:val="30"/>
          <w:highlight w:val="none"/>
        </w:rPr>
      </w:pPr>
    </w:p>
    <w:p>
      <w:pPr>
        <w:adjustRightInd w:val="0"/>
        <w:snapToGrid w:val="0"/>
        <w:spacing w:line="360" w:lineRule="auto"/>
        <w:ind w:firstLine="2971" w:firstLineChars="984"/>
        <w:rPr>
          <w:rFonts w:ascii="宋体" w:hAnsi="宋体" w:cs="宋体"/>
          <w:b/>
          <w:color w:val="000000"/>
          <w:sz w:val="30"/>
          <w:szCs w:val="30"/>
          <w:highlight w:val="none"/>
        </w:rPr>
      </w:pPr>
    </w:p>
    <w:p>
      <w:pPr>
        <w:adjustRightInd w:val="0"/>
        <w:snapToGrid w:val="0"/>
        <w:spacing w:line="360" w:lineRule="auto"/>
        <w:ind w:firstLine="2971" w:firstLineChars="984"/>
        <w:rPr>
          <w:rFonts w:ascii="宋体" w:hAnsi="宋体" w:cs="宋体"/>
          <w:b/>
          <w:color w:val="000000"/>
          <w:sz w:val="30"/>
          <w:szCs w:val="30"/>
          <w:highlight w:val="none"/>
        </w:rPr>
      </w:pPr>
    </w:p>
    <w:p>
      <w:pPr>
        <w:adjustRightInd w:val="0"/>
        <w:snapToGrid w:val="0"/>
        <w:spacing w:line="360" w:lineRule="auto"/>
        <w:ind w:firstLine="2971" w:firstLineChars="984"/>
        <w:rPr>
          <w:rFonts w:ascii="宋体" w:hAnsi="宋体" w:cs="宋体"/>
          <w:b/>
          <w:color w:val="000000"/>
          <w:sz w:val="30"/>
          <w:szCs w:val="30"/>
          <w:highlight w:val="none"/>
        </w:rPr>
      </w:pPr>
    </w:p>
    <w:p>
      <w:pPr>
        <w:spacing w:line="460" w:lineRule="exact"/>
        <w:jc w:val="center"/>
        <w:rPr>
          <w:b/>
          <w:sz w:val="30"/>
          <w:highlight w:val="none"/>
        </w:rPr>
      </w:pPr>
      <w:r>
        <w:rPr>
          <w:rFonts w:hint="eastAsia"/>
          <w:b/>
          <w:sz w:val="30"/>
          <w:highlight w:val="none"/>
        </w:rPr>
        <w:t>四、</w:t>
      </w:r>
      <w:r>
        <w:rPr>
          <w:b/>
          <w:sz w:val="30"/>
          <w:highlight w:val="none"/>
        </w:rPr>
        <w:t>具有履行合同所必需的设备和专业技术能力的承诺函</w:t>
      </w:r>
    </w:p>
    <w:p>
      <w:pPr>
        <w:spacing w:line="460" w:lineRule="exact"/>
        <w:jc w:val="center"/>
        <w:rPr>
          <w:b/>
          <w:sz w:val="30"/>
          <w:highlight w:val="none"/>
        </w:rPr>
      </w:pPr>
    </w:p>
    <w:p>
      <w:pPr>
        <w:pStyle w:val="13"/>
        <w:tabs>
          <w:tab w:val="left" w:pos="3659"/>
        </w:tabs>
        <w:jc w:val="left"/>
        <w:rPr>
          <w:highlight w:val="none"/>
        </w:rPr>
      </w:pPr>
      <w:r>
        <w:rPr>
          <w:highlight w:val="none"/>
          <w:u w:val="single"/>
        </w:rPr>
        <w:t>（采购人名称）</w:t>
      </w:r>
      <w:r>
        <w:rPr>
          <w:rFonts w:hint="eastAsia"/>
          <w:highlight w:val="none"/>
          <w:u w:val="single"/>
        </w:rPr>
        <w:t xml:space="preserve">     </w:t>
      </w:r>
      <w:r>
        <w:rPr>
          <w:highlight w:val="none"/>
        </w:rPr>
        <w:t>：</w:t>
      </w:r>
    </w:p>
    <w:p>
      <w:pPr>
        <w:pStyle w:val="46"/>
        <w:rPr>
          <w:highlight w:val="none"/>
        </w:rPr>
      </w:pPr>
    </w:p>
    <w:p>
      <w:pPr>
        <w:spacing w:line="360" w:lineRule="auto"/>
        <w:ind w:firstLine="416" w:firstLineChars="200"/>
        <w:jc w:val="left"/>
        <w:rPr>
          <w:rFonts w:ascii="宋体" w:hAnsi="宋体" w:cs="宋体"/>
          <w:spacing w:val="-8"/>
          <w:szCs w:val="21"/>
          <w:highlight w:val="none"/>
        </w:rPr>
      </w:pPr>
      <w:r>
        <w:rPr>
          <w:rFonts w:hint="eastAsia" w:ascii="宋体" w:hAnsi="宋体" w:cs="宋体"/>
          <w:spacing w:val="-2"/>
          <w:szCs w:val="21"/>
          <w:highlight w:val="none"/>
        </w:rPr>
        <w:t>根据贵方</w:t>
      </w:r>
      <w:r>
        <w:rPr>
          <w:rFonts w:hint="eastAsia" w:ascii="宋体" w:hAnsi="宋体" w:cs="宋体"/>
          <w:spacing w:val="-2"/>
          <w:szCs w:val="21"/>
          <w:highlight w:val="none"/>
          <w:u w:val="single"/>
        </w:rPr>
        <w:t xml:space="preserve">        </w:t>
      </w:r>
      <w:r>
        <w:rPr>
          <w:rFonts w:hint="eastAsia" w:ascii="宋体" w:hAnsi="宋体" w:cs="宋体"/>
          <w:spacing w:val="-3"/>
          <w:szCs w:val="21"/>
          <w:highlight w:val="none"/>
          <w:u w:val="single"/>
        </w:rPr>
        <w:t>项目</w:t>
      </w:r>
      <w:r>
        <w:rPr>
          <w:rFonts w:hint="eastAsia" w:ascii="宋体" w:hAnsi="宋体" w:cs="宋体"/>
          <w:spacing w:val="-6"/>
          <w:szCs w:val="21"/>
          <w:highlight w:val="none"/>
          <w:u w:val="single"/>
        </w:rPr>
        <w:t>（</w:t>
      </w:r>
      <w:r>
        <w:rPr>
          <w:rFonts w:hint="eastAsia" w:ascii="宋体" w:hAnsi="宋体" w:cs="宋体"/>
          <w:spacing w:val="-2"/>
          <w:szCs w:val="21"/>
          <w:highlight w:val="none"/>
          <w:u w:val="single"/>
        </w:rPr>
        <w:t xml:space="preserve">项目编号：     </w:t>
      </w:r>
      <w:r>
        <w:rPr>
          <w:rFonts w:hint="eastAsia" w:ascii="宋体" w:hAnsi="宋体" w:cs="宋体"/>
          <w:spacing w:val="-3"/>
          <w:szCs w:val="21"/>
          <w:highlight w:val="none"/>
          <w:u w:val="single"/>
        </w:rPr>
        <w:t>）</w:t>
      </w:r>
      <w:r>
        <w:rPr>
          <w:rFonts w:hint="eastAsia" w:ascii="宋体" w:hAnsi="宋体" w:cs="宋体"/>
          <w:spacing w:val="-3"/>
          <w:szCs w:val="21"/>
          <w:highlight w:val="none"/>
        </w:rPr>
        <w:t>采购文件要求，我公司在完全理解采购文件技术要求、商务条款</w:t>
      </w:r>
      <w:r>
        <w:rPr>
          <w:rFonts w:hint="eastAsia" w:ascii="宋体" w:hAnsi="宋体" w:cs="宋体"/>
          <w:spacing w:val="-6"/>
          <w:szCs w:val="21"/>
          <w:highlight w:val="none"/>
        </w:rPr>
        <w:t>及其他内容的基础上，决定参与该项目的投标活动。并承诺，我公司具有履行合同所必需的设备和专业技术能力，符合政府采购法第二十二条第三款规定的资格条件</w:t>
      </w:r>
      <w:r>
        <w:rPr>
          <w:rFonts w:hint="eastAsia" w:ascii="宋体" w:hAnsi="宋体" w:cs="宋体"/>
          <w:spacing w:val="-8"/>
          <w:szCs w:val="21"/>
          <w:highlight w:val="none"/>
        </w:rPr>
        <w:t>。</w:t>
      </w:r>
    </w:p>
    <w:p>
      <w:pPr>
        <w:spacing w:line="360" w:lineRule="auto"/>
        <w:ind w:firstLine="392" w:firstLineChars="200"/>
        <w:jc w:val="left"/>
        <w:rPr>
          <w:rFonts w:ascii="宋体" w:hAnsi="宋体" w:cs="宋体"/>
          <w:spacing w:val="-3"/>
          <w:szCs w:val="21"/>
          <w:highlight w:val="none"/>
        </w:rPr>
      </w:pPr>
      <w:r>
        <w:rPr>
          <w:rFonts w:hint="eastAsia" w:ascii="宋体" w:hAnsi="宋体" w:cs="宋体"/>
          <w:spacing w:val="-8"/>
          <w:szCs w:val="21"/>
          <w:highlight w:val="none"/>
        </w:rPr>
        <w:t>本公司对上述承诺的真实性负责，如有虚假，我公司同意按我方提供虚假材料谋取中标</w:t>
      </w:r>
      <w:r>
        <w:rPr>
          <w:rFonts w:hint="eastAsia" w:ascii="宋体" w:hAnsi="宋体" w:cs="宋体"/>
          <w:szCs w:val="21"/>
          <w:highlight w:val="none"/>
        </w:rPr>
        <w:t>（成交）</w:t>
      </w:r>
      <w:r>
        <w:rPr>
          <w:rFonts w:hint="eastAsia" w:ascii="宋体" w:hAnsi="宋体" w:cs="宋体"/>
          <w:spacing w:val="-3"/>
          <w:szCs w:val="21"/>
          <w:highlight w:val="none"/>
        </w:rPr>
        <w:t>处理，并依法承担相应法律责任。</w:t>
      </w:r>
    </w:p>
    <w:p>
      <w:pPr>
        <w:spacing w:line="360" w:lineRule="auto"/>
        <w:ind w:firstLine="392" w:firstLineChars="200"/>
        <w:jc w:val="left"/>
        <w:rPr>
          <w:rFonts w:ascii="宋体" w:hAnsi="宋体" w:cs="宋体"/>
          <w:spacing w:val="-8"/>
          <w:szCs w:val="21"/>
          <w:highlight w:val="none"/>
        </w:rPr>
      </w:pPr>
      <w:r>
        <w:rPr>
          <w:rFonts w:hint="eastAsia" w:ascii="宋体" w:hAnsi="宋体" w:cs="宋体"/>
          <w:spacing w:val="-8"/>
          <w:szCs w:val="21"/>
          <w:highlight w:val="none"/>
        </w:rPr>
        <w:t>特此承诺。</w:t>
      </w:r>
    </w:p>
    <w:p>
      <w:pPr>
        <w:spacing w:line="360" w:lineRule="auto"/>
        <w:ind w:firstLine="452" w:firstLineChars="200"/>
        <w:jc w:val="left"/>
        <w:rPr>
          <w:rFonts w:ascii="宋体" w:hAnsi="宋体" w:cs="宋体"/>
          <w:spacing w:val="-8"/>
          <w:sz w:val="24"/>
          <w:highlight w:val="none"/>
        </w:rPr>
      </w:pPr>
    </w:p>
    <w:p>
      <w:pPr>
        <w:spacing w:line="440" w:lineRule="exact"/>
        <w:ind w:firstLine="4860"/>
        <w:jc w:val="left"/>
        <w:rPr>
          <w:rFonts w:ascii="宋体" w:hAnsi="宋体" w:cs="宋体"/>
          <w:b/>
          <w:bCs/>
          <w:szCs w:val="21"/>
          <w:highlight w:val="none"/>
          <w:u w:val="single"/>
        </w:rPr>
      </w:pPr>
      <w:r>
        <w:rPr>
          <w:rFonts w:hint="eastAsia" w:ascii="宋体" w:hAnsi="宋体" w:cs="宋体"/>
          <w:b/>
          <w:bCs/>
          <w:szCs w:val="21"/>
          <w:highlight w:val="none"/>
        </w:rPr>
        <w:t>投标人（盖章）：</w:t>
      </w:r>
      <w:r>
        <w:rPr>
          <w:rFonts w:hint="eastAsia" w:ascii="宋体" w:hAnsi="宋体" w:cs="宋体"/>
          <w:b/>
          <w:bCs/>
          <w:szCs w:val="21"/>
          <w:highlight w:val="none"/>
          <w:u w:val="single"/>
        </w:rPr>
        <w:t xml:space="preserve">                               </w:t>
      </w:r>
    </w:p>
    <w:p>
      <w:pPr>
        <w:pStyle w:val="24"/>
        <w:rPr>
          <w:highlight w:val="none"/>
        </w:rPr>
      </w:pPr>
    </w:p>
    <w:p>
      <w:pPr>
        <w:adjustRightInd w:val="0"/>
        <w:snapToGrid w:val="0"/>
        <w:spacing w:line="360" w:lineRule="auto"/>
        <w:ind w:firstLine="4841" w:firstLineChars="2284"/>
        <w:rPr>
          <w:rFonts w:ascii="宋体" w:hAnsi="宋体" w:cs="宋体"/>
          <w:b/>
          <w:color w:val="000000"/>
          <w:sz w:val="30"/>
          <w:szCs w:val="30"/>
          <w:highlight w:val="none"/>
        </w:rPr>
      </w:pPr>
      <w:r>
        <w:rPr>
          <w:rFonts w:hint="eastAsia" w:ascii="宋体" w:hAnsi="宋体" w:cs="宋体"/>
          <w:b/>
          <w:bCs/>
          <w:szCs w:val="21"/>
          <w:highlight w:val="none"/>
        </w:rPr>
        <w:t>日   期：    年     月     日</w:t>
      </w:r>
      <w:r>
        <w:rPr>
          <w:rFonts w:hint="eastAsia" w:ascii="宋体" w:hAnsi="宋体" w:cs="宋体"/>
          <w:szCs w:val="21"/>
          <w:highlight w:val="none"/>
        </w:rPr>
        <w:t xml:space="preserve">          </w:t>
      </w:r>
    </w:p>
    <w:p>
      <w:pPr>
        <w:adjustRightInd w:val="0"/>
        <w:snapToGrid w:val="0"/>
        <w:spacing w:line="360" w:lineRule="auto"/>
        <w:ind w:firstLine="2971" w:firstLineChars="984"/>
        <w:rPr>
          <w:rFonts w:ascii="宋体" w:hAnsi="宋体" w:cs="宋体"/>
          <w:b/>
          <w:color w:val="000000"/>
          <w:sz w:val="30"/>
          <w:szCs w:val="30"/>
          <w:highlight w:val="none"/>
        </w:rPr>
      </w:pPr>
    </w:p>
    <w:p>
      <w:pPr>
        <w:adjustRightInd w:val="0"/>
        <w:snapToGrid w:val="0"/>
        <w:spacing w:line="360" w:lineRule="auto"/>
        <w:ind w:firstLine="2971" w:firstLineChars="984"/>
        <w:rPr>
          <w:rFonts w:ascii="宋体" w:hAnsi="宋体" w:cs="宋体"/>
          <w:b/>
          <w:color w:val="000000"/>
          <w:sz w:val="30"/>
          <w:szCs w:val="30"/>
          <w:highlight w:val="none"/>
        </w:rPr>
      </w:pPr>
    </w:p>
    <w:p>
      <w:pPr>
        <w:adjustRightInd w:val="0"/>
        <w:snapToGrid w:val="0"/>
        <w:spacing w:line="360" w:lineRule="auto"/>
        <w:ind w:firstLine="2971" w:firstLineChars="984"/>
        <w:rPr>
          <w:rFonts w:ascii="宋体" w:hAnsi="宋体" w:cs="宋体"/>
          <w:b/>
          <w:color w:val="000000"/>
          <w:sz w:val="30"/>
          <w:szCs w:val="30"/>
          <w:highlight w:val="none"/>
        </w:rPr>
      </w:pPr>
    </w:p>
    <w:p>
      <w:pPr>
        <w:spacing w:line="360" w:lineRule="auto"/>
        <w:jc w:val="center"/>
        <w:rPr>
          <w:b/>
          <w:sz w:val="30"/>
          <w:highlight w:val="none"/>
        </w:rPr>
      </w:pPr>
    </w:p>
    <w:p>
      <w:pPr>
        <w:spacing w:line="360" w:lineRule="auto"/>
        <w:jc w:val="center"/>
        <w:rPr>
          <w:b/>
          <w:sz w:val="30"/>
          <w:highlight w:val="none"/>
        </w:rPr>
      </w:pPr>
    </w:p>
    <w:p>
      <w:pPr>
        <w:spacing w:line="360" w:lineRule="auto"/>
        <w:jc w:val="center"/>
        <w:rPr>
          <w:b/>
          <w:sz w:val="30"/>
          <w:highlight w:val="none"/>
        </w:rPr>
      </w:pPr>
    </w:p>
    <w:p>
      <w:pPr>
        <w:spacing w:line="360" w:lineRule="auto"/>
        <w:jc w:val="center"/>
        <w:rPr>
          <w:b/>
          <w:sz w:val="30"/>
          <w:highlight w:val="none"/>
        </w:rPr>
      </w:pPr>
    </w:p>
    <w:p>
      <w:pPr>
        <w:spacing w:line="360" w:lineRule="auto"/>
        <w:jc w:val="center"/>
        <w:rPr>
          <w:b/>
          <w:sz w:val="30"/>
          <w:highlight w:val="none"/>
        </w:rPr>
      </w:pPr>
    </w:p>
    <w:p>
      <w:pPr>
        <w:pStyle w:val="2"/>
        <w:rPr>
          <w:highlight w:val="none"/>
        </w:rPr>
      </w:pPr>
    </w:p>
    <w:p>
      <w:pPr>
        <w:spacing w:line="360" w:lineRule="auto"/>
        <w:jc w:val="center"/>
        <w:rPr>
          <w:b/>
          <w:sz w:val="30"/>
          <w:highlight w:val="none"/>
        </w:rPr>
      </w:pPr>
    </w:p>
    <w:p>
      <w:pPr>
        <w:spacing w:line="360" w:lineRule="auto"/>
        <w:jc w:val="center"/>
        <w:rPr>
          <w:b/>
          <w:sz w:val="30"/>
          <w:highlight w:val="none"/>
        </w:rPr>
      </w:pPr>
    </w:p>
    <w:p>
      <w:pPr>
        <w:spacing w:line="360" w:lineRule="auto"/>
        <w:jc w:val="center"/>
        <w:rPr>
          <w:b/>
          <w:sz w:val="30"/>
          <w:highlight w:val="none"/>
        </w:rPr>
      </w:pPr>
    </w:p>
    <w:p>
      <w:pPr>
        <w:spacing w:line="360" w:lineRule="auto"/>
        <w:jc w:val="center"/>
        <w:rPr>
          <w:b/>
          <w:sz w:val="30"/>
          <w:highlight w:val="none"/>
        </w:rPr>
      </w:pPr>
      <w:r>
        <w:rPr>
          <w:rFonts w:hint="eastAsia"/>
          <w:b/>
          <w:sz w:val="30"/>
          <w:highlight w:val="none"/>
        </w:rPr>
        <w:t>五、</w:t>
      </w:r>
      <w:r>
        <w:rPr>
          <w:b/>
          <w:sz w:val="30"/>
          <w:highlight w:val="none"/>
        </w:rPr>
        <w:t>参加本次政府采购活动前三年内</w:t>
      </w:r>
    </w:p>
    <w:p>
      <w:pPr>
        <w:spacing w:line="360" w:lineRule="auto"/>
        <w:jc w:val="center"/>
        <w:rPr>
          <w:b/>
          <w:spacing w:val="-1"/>
          <w:sz w:val="30"/>
          <w:highlight w:val="none"/>
        </w:rPr>
      </w:pPr>
      <w:r>
        <w:rPr>
          <w:b/>
          <w:spacing w:val="-1"/>
          <w:sz w:val="30"/>
          <w:highlight w:val="none"/>
        </w:rPr>
        <w:t>在经营活动中无重大违法记录承诺</w:t>
      </w:r>
      <w:r>
        <w:rPr>
          <w:rFonts w:hint="eastAsia"/>
          <w:b/>
          <w:spacing w:val="-1"/>
          <w:sz w:val="30"/>
          <w:highlight w:val="none"/>
        </w:rPr>
        <w:t>函</w:t>
      </w:r>
    </w:p>
    <w:p>
      <w:pPr>
        <w:pStyle w:val="46"/>
        <w:rPr>
          <w:highlight w:val="none"/>
        </w:rPr>
      </w:pPr>
    </w:p>
    <w:p>
      <w:pPr>
        <w:pStyle w:val="13"/>
        <w:tabs>
          <w:tab w:val="left" w:pos="3659"/>
        </w:tabs>
        <w:spacing w:after="0"/>
        <w:rPr>
          <w:highlight w:val="none"/>
        </w:rPr>
      </w:pPr>
      <w:r>
        <w:rPr>
          <w:highlight w:val="none"/>
          <w:u w:val="single"/>
        </w:rPr>
        <w:t>（采购人名称）</w:t>
      </w:r>
      <w:r>
        <w:rPr>
          <w:highlight w:val="none"/>
          <w:u w:val="single"/>
        </w:rPr>
        <w:tab/>
      </w:r>
      <w:r>
        <w:rPr>
          <w:highlight w:val="none"/>
        </w:rPr>
        <w:t>：</w:t>
      </w:r>
    </w:p>
    <w:p>
      <w:pPr>
        <w:pStyle w:val="13"/>
        <w:spacing w:after="0"/>
        <w:rPr>
          <w:sz w:val="30"/>
          <w:highlight w:val="none"/>
        </w:rPr>
      </w:pPr>
    </w:p>
    <w:p>
      <w:pPr>
        <w:pStyle w:val="13"/>
        <w:spacing w:after="0" w:line="610" w:lineRule="auto"/>
        <w:ind w:firstLine="484" w:firstLineChars="200"/>
        <w:rPr>
          <w:sz w:val="24"/>
          <w:szCs w:val="24"/>
          <w:highlight w:val="none"/>
        </w:rPr>
      </w:pPr>
      <w:r>
        <w:rPr>
          <w:sz w:val="24"/>
          <w:szCs w:val="24"/>
          <w:highlight w:val="none"/>
        </w:rPr>
        <w:t>我公司在参加本次政府采购活动前三年内，在经营活动中没有重大违法</w:t>
      </w:r>
      <w:r>
        <w:rPr>
          <w:spacing w:val="-11"/>
          <w:sz w:val="24"/>
          <w:szCs w:val="24"/>
          <w:highlight w:val="none"/>
        </w:rPr>
        <w:t>记录，严格遵守国家有关法律、法规及相关政策，遵循公开、公平、公正和诚实</w:t>
      </w:r>
      <w:r>
        <w:rPr>
          <w:sz w:val="24"/>
          <w:szCs w:val="24"/>
          <w:highlight w:val="none"/>
        </w:rPr>
        <w:t>信用的原则参加本次政府采购活动，本公司愿接受监管部门及采购单位监督。</w:t>
      </w:r>
    </w:p>
    <w:p>
      <w:pPr>
        <w:spacing w:line="360" w:lineRule="auto"/>
        <w:ind w:firstLine="484" w:firstLineChars="200"/>
        <w:jc w:val="left"/>
        <w:rPr>
          <w:rFonts w:ascii="宋体" w:hAnsi="宋体" w:cs="宋体"/>
          <w:sz w:val="24"/>
          <w:highlight w:val="none"/>
        </w:rPr>
      </w:pPr>
      <w:r>
        <w:rPr>
          <w:rFonts w:hint="eastAsia" w:ascii="宋体" w:hAnsi="宋体" w:cs="宋体"/>
          <w:sz w:val="24"/>
          <w:highlight w:val="none"/>
        </w:rPr>
        <w:t>特此承诺。</w:t>
      </w:r>
    </w:p>
    <w:p>
      <w:pPr>
        <w:pStyle w:val="46"/>
        <w:rPr>
          <w:rFonts w:ascii="宋体" w:hAnsi="宋体" w:cs="宋体"/>
          <w:sz w:val="24"/>
          <w:szCs w:val="24"/>
          <w:highlight w:val="none"/>
        </w:rPr>
      </w:pPr>
    </w:p>
    <w:p>
      <w:pPr>
        <w:pStyle w:val="46"/>
        <w:rPr>
          <w:rFonts w:ascii="宋体" w:hAnsi="宋体" w:cs="宋体"/>
          <w:sz w:val="24"/>
          <w:szCs w:val="24"/>
          <w:highlight w:val="none"/>
        </w:rPr>
      </w:pPr>
    </w:p>
    <w:p>
      <w:pPr>
        <w:spacing w:line="440" w:lineRule="exact"/>
        <w:ind w:firstLine="4860"/>
        <w:jc w:val="left"/>
        <w:rPr>
          <w:rFonts w:ascii="宋体" w:hAnsi="宋体" w:cs="宋体"/>
          <w:b/>
          <w:bCs/>
          <w:szCs w:val="21"/>
          <w:highlight w:val="none"/>
          <w:u w:val="single"/>
        </w:rPr>
      </w:pPr>
      <w:r>
        <w:rPr>
          <w:rFonts w:hint="eastAsia" w:ascii="宋体" w:hAnsi="宋体" w:cs="宋体"/>
          <w:b/>
          <w:bCs/>
          <w:szCs w:val="21"/>
          <w:highlight w:val="none"/>
        </w:rPr>
        <w:t>投标人（盖章）：</w:t>
      </w:r>
      <w:r>
        <w:rPr>
          <w:rFonts w:hint="eastAsia" w:ascii="宋体" w:hAnsi="宋体" w:cs="宋体"/>
          <w:b/>
          <w:bCs/>
          <w:szCs w:val="21"/>
          <w:highlight w:val="none"/>
          <w:u w:val="single"/>
        </w:rPr>
        <w:t xml:space="preserve">                               </w:t>
      </w:r>
    </w:p>
    <w:p>
      <w:pPr>
        <w:spacing w:line="440" w:lineRule="exact"/>
        <w:jc w:val="left"/>
        <w:rPr>
          <w:rFonts w:ascii="宋体" w:hAnsi="宋体" w:cs="宋体"/>
          <w:b/>
          <w:bCs/>
          <w:szCs w:val="21"/>
          <w:highlight w:val="none"/>
        </w:rPr>
      </w:pPr>
    </w:p>
    <w:p>
      <w:pPr>
        <w:spacing w:line="440" w:lineRule="exact"/>
        <w:ind w:firstLine="4860"/>
        <w:jc w:val="left"/>
        <w:rPr>
          <w:rFonts w:ascii="宋体" w:hAnsi="宋体" w:cs="宋体"/>
          <w:b/>
          <w:bCs/>
          <w:szCs w:val="21"/>
          <w:highlight w:val="none"/>
          <w:u w:val="single"/>
        </w:rPr>
      </w:pPr>
      <w:r>
        <w:rPr>
          <w:rFonts w:hint="eastAsia" w:ascii="宋体" w:hAnsi="宋体" w:cs="宋体"/>
          <w:b/>
          <w:bCs/>
          <w:szCs w:val="21"/>
          <w:highlight w:val="none"/>
        </w:rPr>
        <w:t>日   期：    年     月     日</w:t>
      </w:r>
    </w:p>
    <w:p>
      <w:pPr>
        <w:adjustRightInd w:val="0"/>
        <w:snapToGrid w:val="0"/>
        <w:spacing w:line="360" w:lineRule="auto"/>
        <w:ind w:firstLine="2971" w:firstLineChars="984"/>
        <w:rPr>
          <w:rFonts w:ascii="宋体" w:hAnsi="宋体" w:cs="宋体"/>
          <w:b/>
          <w:color w:val="000000"/>
          <w:sz w:val="30"/>
          <w:szCs w:val="30"/>
          <w:highlight w:val="none"/>
        </w:rPr>
      </w:pPr>
    </w:p>
    <w:p>
      <w:pPr>
        <w:spacing w:line="360" w:lineRule="auto"/>
        <w:jc w:val="left"/>
        <w:rPr>
          <w:b/>
          <w:sz w:val="30"/>
          <w:highlight w:val="none"/>
        </w:rPr>
      </w:pPr>
      <w:r>
        <w:rPr>
          <w:rFonts w:hint="eastAsia"/>
          <w:b/>
          <w:sz w:val="30"/>
          <w:highlight w:val="none"/>
        </w:rPr>
        <w:t>六、提供依法缴纳税收的证明或者《依法纳税或依法免税证明》</w:t>
      </w:r>
    </w:p>
    <w:p>
      <w:pPr>
        <w:spacing w:line="360" w:lineRule="auto"/>
        <w:ind w:firstLine="484" w:firstLineChars="200"/>
        <w:jc w:val="left"/>
        <w:rPr>
          <w:rFonts w:ascii="Calibri" w:hAnsi="Calibri"/>
          <w:sz w:val="24"/>
          <w:highlight w:val="none"/>
        </w:rPr>
      </w:pPr>
      <w:r>
        <w:rPr>
          <w:rFonts w:hint="eastAsia" w:ascii="Calibri" w:hAnsi="Calibri"/>
          <w:sz w:val="24"/>
          <w:highlight w:val="none"/>
        </w:rPr>
        <w:t>（可以为税务机构官方网站查询结果）和社保费缴纳的证明（可以为税务或社保机构官方网站查询结果）（最近一季度的）；</w:t>
      </w:r>
    </w:p>
    <w:p>
      <w:pPr>
        <w:pStyle w:val="2"/>
        <w:rPr>
          <w:highlight w:val="none"/>
        </w:rPr>
      </w:pPr>
    </w:p>
    <w:p>
      <w:pPr>
        <w:spacing w:line="360" w:lineRule="auto"/>
        <w:jc w:val="left"/>
        <w:rPr>
          <w:b/>
          <w:sz w:val="30"/>
          <w:highlight w:val="none"/>
        </w:rPr>
      </w:pPr>
      <w:r>
        <w:rPr>
          <w:rFonts w:hint="eastAsia"/>
          <w:b/>
          <w:sz w:val="30"/>
          <w:highlight w:val="none"/>
        </w:rPr>
        <w:t>七、提供投标文件（投标文件）截止时间前3年内的“信用中国”网站（www.creditchina.gov.cn）、中国政府采购网（www.ccgp.gov.cn）投标人信用查询网页截图；</w:t>
      </w:r>
    </w:p>
    <w:p>
      <w:pPr>
        <w:spacing w:line="360" w:lineRule="auto"/>
        <w:jc w:val="left"/>
        <w:rPr>
          <w:b/>
          <w:sz w:val="30"/>
          <w:highlight w:val="none"/>
          <w:lang w:val="zh-CN"/>
        </w:rPr>
      </w:pPr>
      <w:r>
        <w:rPr>
          <w:rFonts w:hint="eastAsia"/>
          <w:b/>
          <w:sz w:val="30"/>
          <w:highlight w:val="none"/>
          <w:lang w:val="zh-CN"/>
        </w:rPr>
        <w:t>八、投标人认为需要提供的其他投标文件和资料</w:t>
      </w:r>
    </w:p>
    <w:p>
      <w:pPr>
        <w:spacing w:line="360" w:lineRule="auto"/>
        <w:ind w:firstLine="484" w:firstLineChars="200"/>
        <w:jc w:val="left"/>
        <w:rPr>
          <w:rFonts w:ascii="Calibri" w:hAnsi="Calibri"/>
          <w:sz w:val="24"/>
          <w:highlight w:val="none"/>
          <w:lang w:val="zh-CN"/>
        </w:rPr>
      </w:pPr>
      <w:r>
        <w:rPr>
          <w:rFonts w:hint="eastAsia" w:ascii="Calibri" w:hAnsi="Calibri"/>
          <w:sz w:val="24"/>
          <w:highlight w:val="none"/>
          <w:lang w:val="zh-CN"/>
        </w:rPr>
        <w:t>（可自行阐述项目，做出说明）。</w:t>
      </w:r>
    </w:p>
    <w:p>
      <w:pPr>
        <w:adjustRightInd w:val="0"/>
        <w:snapToGrid w:val="0"/>
        <w:spacing w:line="360" w:lineRule="auto"/>
        <w:ind w:firstLine="2971" w:firstLineChars="984"/>
        <w:rPr>
          <w:rFonts w:ascii="宋体" w:hAnsi="宋体" w:cs="宋体"/>
          <w:b/>
          <w:color w:val="000000"/>
          <w:sz w:val="30"/>
          <w:szCs w:val="30"/>
          <w:highlight w:val="none"/>
        </w:rPr>
      </w:pPr>
    </w:p>
    <w:p>
      <w:pPr>
        <w:pStyle w:val="2"/>
        <w:rPr>
          <w:highlight w:val="none"/>
        </w:rPr>
      </w:pPr>
    </w:p>
    <w:p>
      <w:pPr>
        <w:rPr>
          <w:highlight w:val="none"/>
        </w:rPr>
      </w:pPr>
    </w:p>
    <w:p>
      <w:pPr>
        <w:autoSpaceDE w:val="0"/>
        <w:autoSpaceDN w:val="0"/>
        <w:adjustRightInd w:val="0"/>
        <w:spacing w:line="440" w:lineRule="exact"/>
        <w:ind w:firstLine="2652" w:firstLineChars="600"/>
        <w:rPr>
          <w:rFonts w:hAnsi="宋体" w:cs="宋体"/>
          <w:b/>
          <w:bCs/>
          <w:color w:val="000000" w:themeColor="text1"/>
          <w:sz w:val="36"/>
          <w:szCs w:val="36"/>
          <w:highlight w:val="none"/>
          <w14:textFill>
            <w14:solidFill>
              <w14:schemeClr w14:val="tx1"/>
            </w14:solidFill>
          </w14:textFill>
        </w:rPr>
      </w:pPr>
      <w:r>
        <w:rPr>
          <w:rFonts w:hint="eastAsia" w:ascii="宋体" w:hAnsi="宋体" w:cs="宋体"/>
          <w:b/>
          <w:bCs/>
          <w:color w:val="000000" w:themeColor="text1"/>
          <w:sz w:val="44"/>
          <w:szCs w:val="44"/>
          <w:highlight w:val="none"/>
          <w:lang w:val="zh-CN"/>
          <w14:textFill>
            <w14:solidFill>
              <w14:schemeClr w14:val="tx1"/>
            </w14:solidFill>
          </w14:textFill>
        </w:rPr>
        <w:t>【</w:t>
      </w:r>
      <w:r>
        <w:rPr>
          <w:rFonts w:hint="eastAsia" w:ascii="宋体" w:hAnsi="宋体" w:cs="宋体"/>
          <w:b/>
          <w:bCs/>
          <w:color w:val="000000" w:themeColor="text1"/>
          <w:sz w:val="44"/>
          <w:szCs w:val="44"/>
          <w:highlight w:val="none"/>
          <w14:textFill>
            <w14:solidFill>
              <w14:schemeClr w14:val="tx1"/>
            </w14:solidFill>
          </w14:textFill>
        </w:rPr>
        <w:t>商务及</w:t>
      </w:r>
      <w:r>
        <w:rPr>
          <w:rFonts w:hint="eastAsia" w:ascii="宋体" w:hAnsi="宋体" w:cs="宋体"/>
          <w:b/>
          <w:bCs/>
          <w:color w:val="000000" w:themeColor="text1"/>
          <w:sz w:val="44"/>
          <w:szCs w:val="44"/>
          <w:highlight w:val="none"/>
          <w:lang w:val="zh-CN"/>
          <w14:textFill>
            <w14:solidFill>
              <w14:schemeClr w14:val="tx1"/>
            </w14:solidFill>
          </w14:textFill>
        </w:rPr>
        <w:t>技术文件】</w:t>
      </w:r>
    </w:p>
    <w:p>
      <w:pPr>
        <w:pStyle w:val="2"/>
        <w:ind w:firstLine="3982" w:firstLineChars="1100"/>
        <w:rPr>
          <w:rFonts w:hAnsi="宋体" w:cs="宋体"/>
          <w:b/>
          <w:bCs/>
          <w:color w:val="000000" w:themeColor="text1"/>
          <w:sz w:val="36"/>
          <w:szCs w:val="36"/>
          <w:highlight w:val="none"/>
          <w14:textFill>
            <w14:solidFill>
              <w14:schemeClr w14:val="tx1"/>
            </w14:solidFill>
          </w14:textFill>
        </w:rPr>
      </w:pPr>
      <w:r>
        <w:rPr>
          <w:rFonts w:hint="eastAsia" w:hAnsi="宋体" w:cs="宋体"/>
          <w:b/>
          <w:bCs/>
          <w:color w:val="000000" w:themeColor="text1"/>
          <w:sz w:val="36"/>
          <w:szCs w:val="36"/>
          <w:highlight w:val="none"/>
          <w14:textFill>
            <w14:solidFill>
              <w14:schemeClr w14:val="tx1"/>
            </w14:solidFill>
          </w14:textFill>
        </w:rPr>
        <w:t>目 录</w:t>
      </w:r>
    </w:p>
    <w:p>
      <w:pPr>
        <w:autoSpaceDE w:val="0"/>
        <w:autoSpaceDN w:val="0"/>
        <w:adjustRightInd w:val="0"/>
        <w:spacing w:line="440" w:lineRule="exact"/>
        <w:ind w:firstLine="424" w:firstLineChars="200"/>
        <w:rPr>
          <w:rFonts w:ascii="宋体" w:hAnsi="宋体" w:cs="宋体"/>
          <w:b/>
          <w:color w:val="000000" w:themeColor="text1"/>
          <w:szCs w:val="21"/>
          <w:highlight w:val="none"/>
          <w:lang w:val="zh-CN"/>
          <w14:textFill>
            <w14:solidFill>
              <w14:schemeClr w14:val="tx1"/>
            </w14:solidFill>
          </w14:textFill>
        </w:rPr>
      </w:pPr>
      <w:r>
        <w:rPr>
          <w:rFonts w:hint="eastAsia" w:ascii="宋体" w:hAnsi="宋体" w:cs="宋体"/>
          <w:b/>
          <w:color w:val="000000" w:themeColor="text1"/>
          <w:szCs w:val="21"/>
          <w:highlight w:val="none"/>
          <w:lang w:val="zh-CN"/>
          <w14:textFill>
            <w14:solidFill>
              <w14:schemeClr w14:val="tx1"/>
            </w14:solidFill>
          </w14:textFill>
        </w:rPr>
        <w:t>（</w:t>
      </w:r>
      <w:r>
        <w:rPr>
          <w:rFonts w:hint="eastAsia" w:ascii="宋体" w:hAnsi="宋体" w:cs="宋体"/>
          <w:b/>
          <w:color w:val="000000" w:themeColor="text1"/>
          <w:szCs w:val="21"/>
          <w:highlight w:val="none"/>
          <w14:textFill>
            <w14:solidFill>
              <w14:schemeClr w14:val="tx1"/>
            </w14:solidFill>
          </w14:textFill>
        </w:rPr>
        <w:t>1</w:t>
      </w:r>
      <w:r>
        <w:rPr>
          <w:rFonts w:hint="eastAsia" w:ascii="宋体" w:hAnsi="宋体" w:cs="宋体"/>
          <w:b/>
          <w:color w:val="000000" w:themeColor="text1"/>
          <w:szCs w:val="21"/>
          <w:highlight w:val="none"/>
          <w:lang w:val="zh-CN"/>
          <w14:textFill>
            <w14:solidFill>
              <w14:schemeClr w14:val="tx1"/>
            </w14:solidFill>
          </w14:textFill>
        </w:rPr>
        <w:t>）供应商自评表（格式见附件）</w:t>
      </w:r>
    </w:p>
    <w:p>
      <w:pPr>
        <w:autoSpaceDE w:val="0"/>
        <w:autoSpaceDN w:val="0"/>
        <w:adjustRightInd w:val="0"/>
        <w:spacing w:line="440" w:lineRule="exact"/>
        <w:ind w:firstLine="424" w:firstLineChars="200"/>
        <w:rPr>
          <w:rFonts w:ascii="宋体" w:hAnsi="宋体" w:cs="宋体"/>
          <w:b/>
          <w:color w:val="000000" w:themeColor="text1"/>
          <w:szCs w:val="21"/>
          <w:highlight w:val="none"/>
          <w:lang w:val="zh-CN"/>
          <w14:textFill>
            <w14:solidFill>
              <w14:schemeClr w14:val="tx1"/>
            </w14:solidFill>
          </w14:textFill>
        </w:rPr>
      </w:pPr>
      <w:r>
        <w:rPr>
          <w:rFonts w:hint="eastAsia" w:ascii="宋体" w:hAnsi="宋体" w:cs="宋体"/>
          <w:b/>
          <w:color w:val="000000" w:themeColor="text1"/>
          <w:szCs w:val="21"/>
          <w:highlight w:val="none"/>
          <w:lang w:val="zh-CN"/>
          <w14:textFill>
            <w14:solidFill>
              <w14:schemeClr w14:val="tx1"/>
            </w14:solidFill>
          </w14:textFill>
        </w:rPr>
        <w:t>（</w:t>
      </w:r>
      <w:r>
        <w:rPr>
          <w:rFonts w:hint="eastAsia" w:ascii="宋体" w:hAnsi="宋体" w:cs="宋体"/>
          <w:b/>
          <w:color w:val="000000" w:themeColor="text1"/>
          <w:szCs w:val="21"/>
          <w:highlight w:val="none"/>
          <w14:textFill>
            <w14:solidFill>
              <w14:schemeClr w14:val="tx1"/>
            </w14:solidFill>
          </w14:textFill>
        </w:rPr>
        <w:t>2</w:t>
      </w:r>
      <w:r>
        <w:rPr>
          <w:rFonts w:hint="eastAsia" w:ascii="宋体" w:hAnsi="宋体" w:cs="宋体"/>
          <w:b/>
          <w:color w:val="000000" w:themeColor="text1"/>
          <w:szCs w:val="21"/>
          <w:highlight w:val="none"/>
          <w:lang w:val="zh-CN"/>
          <w14:textFill>
            <w14:solidFill>
              <w14:schemeClr w14:val="tx1"/>
            </w14:solidFill>
          </w14:textFill>
        </w:rPr>
        <w:t>）企业实力</w:t>
      </w:r>
      <w:r>
        <w:rPr>
          <w:rFonts w:hint="eastAsia" w:ascii="宋体" w:hAnsi="宋体" w:cs="宋体"/>
          <w:b/>
          <w:color w:val="000000" w:themeColor="text1"/>
          <w:szCs w:val="21"/>
          <w:highlight w:val="none"/>
          <w:lang w:val="zh-CN"/>
          <w14:textFill>
            <w14:solidFill>
              <w14:schemeClr w14:val="tx1"/>
            </w14:solidFill>
          </w14:textFill>
        </w:rPr>
        <w:tab/>
      </w:r>
    </w:p>
    <w:p>
      <w:pPr>
        <w:autoSpaceDE w:val="0"/>
        <w:autoSpaceDN w:val="0"/>
        <w:adjustRightInd w:val="0"/>
        <w:spacing w:line="440" w:lineRule="exact"/>
        <w:ind w:firstLine="424" w:firstLineChars="200"/>
        <w:rPr>
          <w:rFonts w:ascii="宋体" w:hAnsi="宋体" w:cs="宋体"/>
          <w:bCs/>
          <w:color w:val="000000" w:themeColor="text1"/>
          <w:szCs w:val="21"/>
          <w:highlight w:val="none"/>
          <w:lang w:val="zh-CN"/>
          <w14:textFill>
            <w14:solidFill>
              <w14:schemeClr w14:val="tx1"/>
            </w14:solidFill>
          </w14:textFill>
        </w:rPr>
      </w:pPr>
      <w:r>
        <w:rPr>
          <w:rFonts w:hint="eastAsia" w:ascii="宋体" w:hAnsi="宋体" w:cs="宋体"/>
          <w:bCs/>
          <w:color w:val="000000" w:themeColor="text1"/>
          <w:szCs w:val="21"/>
          <w:highlight w:val="none"/>
          <w:lang w:val="zh-CN"/>
          <w14:textFill>
            <w14:solidFill>
              <w14:schemeClr w14:val="tx1"/>
            </w14:solidFill>
          </w14:textFill>
        </w:rPr>
        <w:t>（</w:t>
      </w:r>
      <w:r>
        <w:rPr>
          <w:rFonts w:hint="eastAsia" w:ascii="宋体" w:hAnsi="宋体" w:cs="宋体"/>
          <w:bCs/>
          <w:color w:val="000000" w:themeColor="text1"/>
          <w:szCs w:val="21"/>
          <w:highlight w:val="none"/>
          <w14:textFill>
            <w14:solidFill>
              <w14:schemeClr w14:val="tx1"/>
            </w14:solidFill>
          </w14:textFill>
        </w:rPr>
        <w:t>2.1</w:t>
      </w:r>
      <w:r>
        <w:rPr>
          <w:rFonts w:hint="eastAsia" w:ascii="宋体" w:hAnsi="宋体" w:cs="宋体"/>
          <w:bCs/>
          <w:color w:val="000000" w:themeColor="text1"/>
          <w:szCs w:val="21"/>
          <w:highlight w:val="none"/>
          <w:lang w:val="zh-CN"/>
          <w14:textFill>
            <w14:solidFill>
              <w14:schemeClr w14:val="tx1"/>
            </w14:solidFill>
          </w14:textFill>
        </w:rPr>
        <w:t>）提供质量管理体系认证、环境管理体系认证、职业健康安全管理体系认证，且认证证书服务范围含环保、环境检测等范围；提供证书原件扫描件（彩色）。</w:t>
      </w:r>
    </w:p>
    <w:p>
      <w:pPr>
        <w:autoSpaceDE w:val="0"/>
        <w:autoSpaceDN w:val="0"/>
        <w:adjustRightInd w:val="0"/>
        <w:spacing w:line="440" w:lineRule="exact"/>
        <w:ind w:firstLine="424" w:firstLineChars="200"/>
        <w:rPr>
          <w:rFonts w:ascii="宋体" w:hAnsi="宋体" w:cs="宋体"/>
          <w:bCs/>
          <w:color w:val="000000" w:themeColor="text1"/>
          <w:szCs w:val="21"/>
          <w:highlight w:val="none"/>
          <w:lang w:val="zh-CN"/>
          <w14:textFill>
            <w14:solidFill>
              <w14:schemeClr w14:val="tx1"/>
            </w14:solidFill>
          </w14:textFill>
        </w:rPr>
      </w:pPr>
      <w:r>
        <w:rPr>
          <w:rFonts w:hint="eastAsia" w:ascii="宋体" w:hAnsi="宋体" w:cs="宋体"/>
          <w:bCs/>
          <w:color w:val="000000" w:themeColor="text1"/>
          <w:szCs w:val="21"/>
          <w:highlight w:val="none"/>
          <w:lang w:val="zh-CN"/>
          <w14:textFill>
            <w14:solidFill>
              <w14:schemeClr w14:val="tx1"/>
            </w14:solidFill>
          </w14:textFill>
        </w:rPr>
        <w:t>（</w:t>
      </w:r>
      <w:r>
        <w:rPr>
          <w:rFonts w:hint="eastAsia" w:ascii="宋体" w:hAnsi="宋体" w:cs="宋体"/>
          <w:bCs/>
          <w:color w:val="000000" w:themeColor="text1"/>
          <w:szCs w:val="21"/>
          <w:highlight w:val="none"/>
          <w14:textFill>
            <w14:solidFill>
              <w14:schemeClr w14:val="tx1"/>
            </w14:solidFill>
          </w14:textFill>
        </w:rPr>
        <w:t>2.2</w:t>
      </w:r>
      <w:r>
        <w:rPr>
          <w:rFonts w:hint="eastAsia" w:ascii="宋体" w:hAnsi="宋体" w:cs="宋体"/>
          <w:bCs/>
          <w:color w:val="000000" w:themeColor="text1"/>
          <w:szCs w:val="21"/>
          <w:highlight w:val="none"/>
          <w:lang w:val="zh-CN"/>
          <w14:textFill>
            <w14:solidFill>
              <w14:schemeClr w14:val="tx1"/>
            </w14:solidFill>
          </w14:textFill>
        </w:rPr>
        <w:t xml:space="preserve">）获得生态与环境协会颁发的运营服务能力评价证书乙级及以上（含生活污水处理设施运营服务），同时具有总承包服务能力评价证书（含水污染治理工程）乙级及以上的得3分。提供证书原件扫描件（彩色）。 </w:t>
      </w:r>
    </w:p>
    <w:p>
      <w:pPr>
        <w:autoSpaceDE w:val="0"/>
        <w:autoSpaceDN w:val="0"/>
        <w:adjustRightInd w:val="0"/>
        <w:spacing w:line="440" w:lineRule="exact"/>
        <w:ind w:firstLine="424" w:firstLineChars="200"/>
        <w:rPr>
          <w:rFonts w:ascii="宋体" w:hAnsi="宋体" w:cs="宋体"/>
          <w:b/>
          <w:color w:val="000000" w:themeColor="text1"/>
          <w:szCs w:val="21"/>
          <w:highlight w:val="none"/>
          <w:lang w:val="zh-CN"/>
          <w14:textFill>
            <w14:solidFill>
              <w14:schemeClr w14:val="tx1"/>
            </w14:solidFill>
          </w14:textFill>
        </w:rPr>
      </w:pPr>
      <w:r>
        <w:rPr>
          <w:rFonts w:hint="eastAsia" w:ascii="宋体" w:hAnsi="宋体" w:cs="宋体"/>
          <w:b/>
          <w:color w:val="000000" w:themeColor="text1"/>
          <w:szCs w:val="21"/>
          <w:highlight w:val="none"/>
          <w:lang w:val="zh-CN"/>
          <w14:textFill>
            <w14:solidFill>
              <w14:schemeClr w14:val="tx1"/>
            </w14:solidFill>
          </w14:textFill>
        </w:rPr>
        <w:t>（</w:t>
      </w:r>
      <w:r>
        <w:rPr>
          <w:rFonts w:hint="eastAsia" w:ascii="宋体" w:hAnsi="宋体" w:cs="宋体"/>
          <w:b/>
          <w:color w:val="000000" w:themeColor="text1"/>
          <w:szCs w:val="21"/>
          <w:highlight w:val="none"/>
          <w14:textFill>
            <w14:solidFill>
              <w14:schemeClr w14:val="tx1"/>
            </w14:solidFill>
          </w14:textFill>
        </w:rPr>
        <w:t>3</w:t>
      </w:r>
      <w:r>
        <w:rPr>
          <w:rFonts w:hint="eastAsia" w:ascii="宋体" w:hAnsi="宋体" w:cs="宋体"/>
          <w:b/>
          <w:color w:val="000000" w:themeColor="text1"/>
          <w:szCs w:val="21"/>
          <w:highlight w:val="none"/>
          <w:lang w:val="zh-CN"/>
          <w14:textFill>
            <w14:solidFill>
              <w14:schemeClr w14:val="tx1"/>
            </w14:solidFill>
          </w14:textFill>
        </w:rPr>
        <w:t>）企业业绩</w:t>
      </w:r>
      <w:r>
        <w:rPr>
          <w:rFonts w:hint="eastAsia" w:ascii="宋体" w:hAnsi="宋体" w:cs="宋体"/>
          <w:b/>
          <w:color w:val="000000" w:themeColor="text1"/>
          <w:szCs w:val="21"/>
          <w:highlight w:val="none"/>
          <w:lang w:val="zh-CN"/>
          <w14:textFill>
            <w14:solidFill>
              <w14:schemeClr w14:val="tx1"/>
            </w14:solidFill>
          </w14:textFill>
        </w:rPr>
        <w:tab/>
      </w:r>
    </w:p>
    <w:p>
      <w:pPr>
        <w:autoSpaceDE w:val="0"/>
        <w:autoSpaceDN w:val="0"/>
        <w:adjustRightInd w:val="0"/>
        <w:spacing w:line="440" w:lineRule="exact"/>
        <w:ind w:firstLine="424" w:firstLineChars="200"/>
        <w:rPr>
          <w:rFonts w:ascii="宋体" w:hAnsi="宋体" w:cs="宋体"/>
          <w:bCs/>
          <w:color w:val="000000" w:themeColor="text1"/>
          <w:szCs w:val="21"/>
          <w:highlight w:val="none"/>
          <w:lang w:val="zh-CN"/>
          <w14:textFill>
            <w14:solidFill>
              <w14:schemeClr w14:val="tx1"/>
            </w14:solidFill>
          </w14:textFill>
        </w:rPr>
      </w:pPr>
      <w:r>
        <w:rPr>
          <w:rFonts w:hint="eastAsia" w:ascii="宋体" w:hAnsi="宋体" w:cs="宋体"/>
          <w:bCs/>
          <w:color w:val="000000" w:themeColor="text1"/>
          <w:szCs w:val="21"/>
          <w:highlight w:val="none"/>
          <w:lang w:val="zh-CN"/>
          <w14:textFill>
            <w14:solidFill>
              <w14:schemeClr w14:val="tx1"/>
            </w14:solidFill>
          </w14:textFill>
        </w:rPr>
        <w:t>提供2017年1月1日起有过污水处理站（</w:t>
      </w:r>
      <w:r>
        <w:rPr>
          <w:rFonts w:hint="eastAsia" w:ascii="宋体" w:hAnsi="宋体" w:cs="宋体"/>
          <w:bCs/>
          <w:color w:val="000000" w:themeColor="text1"/>
          <w:szCs w:val="21"/>
          <w:highlight w:val="none"/>
          <w14:textFill>
            <w14:solidFill>
              <w14:schemeClr w14:val="tx1"/>
            </w14:solidFill>
          </w14:textFill>
        </w:rPr>
        <w:t>79</w:t>
      </w:r>
      <w:r>
        <w:rPr>
          <w:rFonts w:hint="eastAsia" w:ascii="宋体" w:hAnsi="宋体" w:cs="宋体"/>
          <w:bCs/>
          <w:color w:val="000000" w:themeColor="text1"/>
          <w:szCs w:val="21"/>
          <w:highlight w:val="none"/>
          <w:lang w:val="zh-CN"/>
          <w14:textFill>
            <w14:solidFill>
              <w14:schemeClr w14:val="tx1"/>
            </w14:solidFill>
          </w14:textFill>
        </w:rPr>
        <w:t>00吨每日）托管运营业绩。提供中标通知书及合同原件扫描件（彩色）。</w:t>
      </w:r>
    </w:p>
    <w:p>
      <w:pPr>
        <w:autoSpaceDE w:val="0"/>
        <w:autoSpaceDN w:val="0"/>
        <w:adjustRightInd w:val="0"/>
        <w:spacing w:line="440" w:lineRule="exact"/>
        <w:ind w:firstLine="424" w:firstLineChars="200"/>
        <w:rPr>
          <w:rFonts w:ascii="宋体" w:hAnsi="宋体" w:cs="宋体"/>
          <w:b/>
          <w:color w:val="000000" w:themeColor="text1"/>
          <w:szCs w:val="21"/>
          <w:highlight w:val="none"/>
          <w:lang w:val="zh-CN"/>
          <w14:textFill>
            <w14:solidFill>
              <w14:schemeClr w14:val="tx1"/>
            </w14:solidFill>
          </w14:textFill>
        </w:rPr>
      </w:pPr>
      <w:r>
        <w:rPr>
          <w:rFonts w:hint="eastAsia" w:ascii="宋体" w:hAnsi="宋体" w:cs="宋体"/>
          <w:b/>
          <w:color w:val="000000" w:themeColor="text1"/>
          <w:szCs w:val="21"/>
          <w:highlight w:val="none"/>
          <w:lang w:val="zh-CN"/>
          <w14:textFill>
            <w14:solidFill>
              <w14:schemeClr w14:val="tx1"/>
            </w14:solidFill>
          </w14:textFill>
        </w:rPr>
        <w:t>（</w:t>
      </w:r>
      <w:r>
        <w:rPr>
          <w:rFonts w:hint="eastAsia" w:ascii="宋体" w:hAnsi="宋体" w:cs="宋体"/>
          <w:b/>
          <w:color w:val="000000" w:themeColor="text1"/>
          <w:szCs w:val="21"/>
          <w:highlight w:val="none"/>
          <w14:textFill>
            <w14:solidFill>
              <w14:schemeClr w14:val="tx1"/>
            </w14:solidFill>
          </w14:textFill>
        </w:rPr>
        <w:t>4</w:t>
      </w:r>
      <w:r>
        <w:rPr>
          <w:rFonts w:hint="eastAsia" w:ascii="宋体" w:hAnsi="宋体" w:cs="宋体"/>
          <w:b/>
          <w:color w:val="000000" w:themeColor="text1"/>
          <w:szCs w:val="21"/>
          <w:highlight w:val="none"/>
          <w:lang w:val="zh-CN"/>
          <w14:textFill>
            <w14:solidFill>
              <w14:schemeClr w14:val="tx1"/>
            </w14:solidFill>
          </w14:textFill>
        </w:rPr>
        <w:t>）投入本项目的设备</w:t>
      </w:r>
      <w:r>
        <w:rPr>
          <w:rFonts w:hint="eastAsia" w:ascii="宋体" w:hAnsi="宋体" w:cs="宋体"/>
          <w:b/>
          <w:color w:val="000000" w:themeColor="text1"/>
          <w:szCs w:val="21"/>
          <w:highlight w:val="none"/>
          <w:lang w:val="zh-CN"/>
          <w14:textFill>
            <w14:solidFill>
              <w14:schemeClr w14:val="tx1"/>
            </w14:solidFill>
          </w14:textFill>
        </w:rPr>
        <w:tab/>
      </w:r>
    </w:p>
    <w:p>
      <w:pPr>
        <w:autoSpaceDE w:val="0"/>
        <w:autoSpaceDN w:val="0"/>
        <w:adjustRightInd w:val="0"/>
        <w:spacing w:line="440" w:lineRule="exact"/>
        <w:ind w:firstLine="424" w:firstLineChars="200"/>
        <w:jc w:val="left"/>
        <w:rPr>
          <w:rFonts w:hint="eastAsia" w:ascii="宋体" w:hAnsi="宋体" w:cs="宋体"/>
          <w:bCs/>
          <w:color w:val="000000" w:themeColor="text1"/>
          <w:szCs w:val="21"/>
          <w:highlight w:val="none"/>
          <w:lang w:val="zh-CN"/>
          <w14:textFill>
            <w14:solidFill>
              <w14:schemeClr w14:val="tx1"/>
            </w14:solidFill>
          </w14:textFill>
        </w:rPr>
      </w:pPr>
      <w:r>
        <w:rPr>
          <w:rFonts w:hint="eastAsia" w:ascii="宋体" w:hAnsi="宋体" w:cs="宋体"/>
          <w:bCs/>
          <w:color w:val="000000" w:themeColor="text1"/>
          <w:szCs w:val="21"/>
          <w:highlight w:val="none"/>
          <w:lang w:val="zh-CN"/>
          <w14:textFill>
            <w14:solidFill>
              <w14:schemeClr w14:val="tx1"/>
            </w14:solidFill>
          </w14:textFill>
        </w:rPr>
        <w:t>自有核定载质量500kg及以上的运维作业轻型货车</w:t>
      </w:r>
      <w:r>
        <w:rPr>
          <w:rFonts w:hint="eastAsia" w:ascii="宋体" w:hAnsi="宋体" w:cs="宋体"/>
          <w:bCs/>
          <w:color w:val="000000" w:themeColor="text1"/>
          <w:szCs w:val="21"/>
          <w:highlight w:val="none"/>
          <w:lang w:val="en-US" w:eastAsia="zh-CN"/>
          <w14:textFill>
            <w14:solidFill>
              <w14:schemeClr w14:val="tx1"/>
            </w14:solidFill>
          </w14:textFill>
        </w:rPr>
        <w:t>及</w:t>
      </w:r>
      <w:r>
        <w:rPr>
          <w:rFonts w:hint="eastAsia" w:ascii="宋体" w:hAnsi="宋体" w:cs="宋体"/>
          <w:bCs/>
          <w:color w:val="000000" w:themeColor="text1"/>
          <w:szCs w:val="21"/>
          <w:highlight w:val="none"/>
          <w:lang w:val="zh-CN"/>
          <w14:textFill>
            <w14:solidFill>
              <w14:schemeClr w14:val="tx1"/>
            </w14:solidFill>
          </w14:textFill>
        </w:rPr>
        <w:t>自有核定载质量4000kg及以上的清洗吸污专项作业车；</w:t>
      </w:r>
    </w:p>
    <w:p>
      <w:pPr>
        <w:autoSpaceDE w:val="0"/>
        <w:autoSpaceDN w:val="0"/>
        <w:adjustRightInd w:val="0"/>
        <w:spacing w:line="440" w:lineRule="exact"/>
        <w:ind w:firstLine="424" w:firstLineChars="200"/>
        <w:rPr>
          <w:rFonts w:ascii="宋体" w:hAnsi="宋体" w:cs="宋体"/>
          <w:b/>
          <w:color w:val="000000" w:themeColor="text1"/>
          <w:szCs w:val="21"/>
          <w:highlight w:val="none"/>
          <w:lang w:val="zh-CN"/>
          <w14:textFill>
            <w14:solidFill>
              <w14:schemeClr w14:val="tx1"/>
            </w14:solidFill>
          </w14:textFill>
        </w:rPr>
      </w:pPr>
      <w:r>
        <w:rPr>
          <w:rFonts w:hint="eastAsia" w:ascii="宋体" w:hAnsi="宋体" w:cs="宋体"/>
          <w:bCs/>
          <w:color w:val="000000" w:themeColor="text1"/>
          <w:szCs w:val="21"/>
          <w:highlight w:val="none"/>
          <w:lang w:val="zh-CN"/>
          <w14:textFill>
            <w14:solidFill>
              <w14:schemeClr w14:val="tx1"/>
            </w14:solidFill>
          </w14:textFill>
        </w:rPr>
        <w:t>证明材料：提供投标人企业或投标人企业法定代表人（负责人）名下的行驶证原件扫描件（彩色）。</w:t>
      </w:r>
      <w:r>
        <w:rPr>
          <w:rFonts w:hint="eastAsia" w:ascii="宋体" w:hAnsi="宋体" w:cs="宋体"/>
          <w:b/>
          <w:color w:val="000000" w:themeColor="text1"/>
          <w:szCs w:val="21"/>
          <w:highlight w:val="none"/>
          <w:lang w:val="zh-CN"/>
          <w14:textFill>
            <w14:solidFill>
              <w14:schemeClr w14:val="tx1"/>
            </w14:solidFill>
          </w14:textFill>
        </w:rPr>
        <w:t>（</w:t>
      </w:r>
      <w:r>
        <w:rPr>
          <w:rFonts w:hint="eastAsia" w:ascii="宋体" w:hAnsi="宋体" w:cs="宋体"/>
          <w:b/>
          <w:color w:val="000000" w:themeColor="text1"/>
          <w:szCs w:val="21"/>
          <w:highlight w:val="none"/>
          <w14:textFill>
            <w14:solidFill>
              <w14:schemeClr w14:val="tx1"/>
            </w14:solidFill>
          </w14:textFill>
        </w:rPr>
        <w:t>5</w:t>
      </w:r>
      <w:r>
        <w:rPr>
          <w:rFonts w:hint="eastAsia" w:ascii="宋体" w:hAnsi="宋体" w:cs="宋体"/>
          <w:b/>
          <w:color w:val="000000" w:themeColor="text1"/>
          <w:szCs w:val="21"/>
          <w:highlight w:val="none"/>
          <w:lang w:val="zh-CN"/>
          <w14:textFill>
            <w14:solidFill>
              <w14:schemeClr w14:val="tx1"/>
            </w14:solidFill>
          </w14:textFill>
        </w:rPr>
        <w:t>）投入本项目的主要人员</w:t>
      </w:r>
    </w:p>
    <w:p>
      <w:pPr>
        <w:autoSpaceDE w:val="0"/>
        <w:autoSpaceDN w:val="0"/>
        <w:adjustRightInd w:val="0"/>
        <w:spacing w:line="440" w:lineRule="exact"/>
        <w:ind w:firstLine="424" w:firstLineChars="200"/>
        <w:rPr>
          <w:rFonts w:hint="eastAsia" w:ascii="宋体" w:hAnsi="宋体" w:cs="宋体"/>
          <w:b w:val="0"/>
          <w:bCs/>
          <w:color w:val="000000" w:themeColor="text1"/>
          <w:szCs w:val="21"/>
          <w:highlight w:val="none"/>
          <w:lang w:val="zh-CN"/>
          <w14:textFill>
            <w14:solidFill>
              <w14:schemeClr w14:val="tx1"/>
            </w14:solidFill>
          </w14:textFill>
        </w:rPr>
      </w:pPr>
      <w:r>
        <w:rPr>
          <w:rFonts w:hint="eastAsia" w:ascii="宋体" w:hAnsi="宋体" w:cs="宋体"/>
          <w:b w:val="0"/>
          <w:bCs/>
          <w:color w:val="000000" w:themeColor="text1"/>
          <w:szCs w:val="21"/>
          <w:highlight w:val="none"/>
          <w:lang w:val="zh-CN"/>
          <w14:textFill>
            <w14:solidFill>
              <w14:schemeClr w14:val="tx1"/>
            </w14:solidFill>
          </w14:textFill>
        </w:rPr>
        <w:t>（</w:t>
      </w:r>
      <w:r>
        <w:rPr>
          <w:rFonts w:hint="eastAsia" w:ascii="宋体" w:hAnsi="宋体" w:cs="宋体"/>
          <w:b w:val="0"/>
          <w:bCs/>
          <w:color w:val="000000" w:themeColor="text1"/>
          <w:szCs w:val="21"/>
          <w:highlight w:val="none"/>
          <w:lang w:val="en-US" w:eastAsia="zh-CN"/>
          <w14:textFill>
            <w14:solidFill>
              <w14:schemeClr w14:val="tx1"/>
            </w14:solidFill>
          </w14:textFill>
        </w:rPr>
        <w:t>5.1</w:t>
      </w:r>
      <w:r>
        <w:rPr>
          <w:rFonts w:hint="eastAsia" w:ascii="宋体" w:hAnsi="宋体" w:cs="宋体"/>
          <w:b w:val="0"/>
          <w:bCs/>
          <w:color w:val="000000" w:themeColor="text1"/>
          <w:szCs w:val="21"/>
          <w:highlight w:val="none"/>
          <w:lang w:val="zh-CN"/>
          <w14:textFill>
            <w14:solidFill>
              <w14:schemeClr w14:val="tx1"/>
            </w14:solidFill>
          </w14:textFill>
        </w:rPr>
        <w:t>）拟派项目运营负责人（厂长）具备环保类中级工程师及以上职称。</w:t>
      </w:r>
    </w:p>
    <w:p>
      <w:pPr>
        <w:autoSpaceDE w:val="0"/>
        <w:autoSpaceDN w:val="0"/>
        <w:adjustRightInd w:val="0"/>
        <w:spacing w:line="440" w:lineRule="exact"/>
        <w:ind w:firstLine="424" w:firstLineChars="200"/>
        <w:rPr>
          <w:rFonts w:hint="eastAsia" w:ascii="宋体" w:hAnsi="宋体" w:cs="宋体"/>
          <w:b w:val="0"/>
          <w:bCs/>
          <w:color w:val="000000" w:themeColor="text1"/>
          <w:szCs w:val="21"/>
          <w:highlight w:val="none"/>
          <w:lang w:val="zh-CN"/>
          <w14:textFill>
            <w14:solidFill>
              <w14:schemeClr w14:val="tx1"/>
            </w14:solidFill>
          </w14:textFill>
        </w:rPr>
      </w:pPr>
      <w:r>
        <w:rPr>
          <w:rFonts w:hint="eastAsia" w:ascii="宋体" w:hAnsi="宋体" w:cs="宋体"/>
          <w:b w:val="0"/>
          <w:bCs/>
          <w:color w:val="000000" w:themeColor="text1"/>
          <w:szCs w:val="21"/>
          <w:highlight w:val="none"/>
          <w:lang w:val="zh-CN"/>
          <w14:textFill>
            <w14:solidFill>
              <w14:schemeClr w14:val="tx1"/>
            </w14:solidFill>
          </w14:textFill>
        </w:rPr>
        <w:t xml:space="preserve">证明材料：同时提供职称证书原件扫描件（彩色）及近三个月的社保证明（可以为税务或社保机构官方网站查询结果）。 </w:t>
      </w:r>
    </w:p>
    <w:p>
      <w:pPr>
        <w:autoSpaceDE w:val="0"/>
        <w:autoSpaceDN w:val="0"/>
        <w:adjustRightInd w:val="0"/>
        <w:spacing w:line="440" w:lineRule="exact"/>
        <w:ind w:firstLine="424" w:firstLineChars="200"/>
        <w:rPr>
          <w:rFonts w:hint="eastAsia" w:ascii="宋体" w:hAnsi="宋体" w:cs="宋体"/>
          <w:b w:val="0"/>
          <w:bCs/>
          <w:color w:val="000000" w:themeColor="text1"/>
          <w:szCs w:val="21"/>
          <w:highlight w:val="none"/>
          <w:lang w:val="zh-CN"/>
          <w14:textFill>
            <w14:solidFill>
              <w14:schemeClr w14:val="tx1"/>
            </w14:solidFill>
          </w14:textFill>
        </w:rPr>
      </w:pPr>
      <w:r>
        <w:rPr>
          <w:rFonts w:hint="eastAsia" w:ascii="宋体" w:hAnsi="宋体" w:cs="宋体"/>
          <w:b w:val="0"/>
          <w:bCs/>
          <w:color w:val="000000" w:themeColor="text1"/>
          <w:szCs w:val="21"/>
          <w:highlight w:val="none"/>
          <w:lang w:val="zh-CN"/>
          <w14:textFill>
            <w14:solidFill>
              <w14:schemeClr w14:val="tx1"/>
            </w14:solidFill>
          </w14:textFill>
        </w:rPr>
        <w:t>（</w:t>
      </w:r>
      <w:r>
        <w:rPr>
          <w:rFonts w:hint="eastAsia" w:ascii="宋体" w:hAnsi="宋体" w:cs="宋体"/>
          <w:b w:val="0"/>
          <w:bCs/>
          <w:color w:val="000000" w:themeColor="text1"/>
          <w:szCs w:val="21"/>
          <w:highlight w:val="none"/>
          <w:lang w:val="en-US" w:eastAsia="zh-CN"/>
          <w14:textFill>
            <w14:solidFill>
              <w14:schemeClr w14:val="tx1"/>
            </w14:solidFill>
          </w14:textFill>
        </w:rPr>
        <w:t>5.2</w:t>
      </w:r>
      <w:r>
        <w:rPr>
          <w:rFonts w:hint="eastAsia" w:ascii="宋体" w:hAnsi="宋体" w:cs="宋体"/>
          <w:b w:val="0"/>
          <w:bCs/>
          <w:color w:val="000000" w:themeColor="text1"/>
          <w:szCs w:val="21"/>
          <w:highlight w:val="none"/>
          <w:lang w:val="zh-CN"/>
          <w14:textFill>
            <w14:solidFill>
              <w14:schemeClr w14:val="tx1"/>
            </w14:solidFill>
          </w14:textFill>
        </w:rPr>
        <w:t>）项目组主要实施人员：投标人拟派具有水生产、输排和水处理人员3名，电工1名，水质化验员1名，以上人员具有相关专业资格；巡查员1名。具有安全生产协会颁发的有毒有害有限空间作业证书。</w:t>
      </w:r>
    </w:p>
    <w:p>
      <w:pPr>
        <w:autoSpaceDE w:val="0"/>
        <w:autoSpaceDN w:val="0"/>
        <w:adjustRightInd w:val="0"/>
        <w:spacing w:line="440" w:lineRule="exact"/>
        <w:ind w:firstLine="424" w:firstLineChars="200"/>
        <w:rPr>
          <w:rFonts w:hint="eastAsia" w:ascii="宋体" w:hAnsi="宋体" w:cs="宋体"/>
          <w:b w:val="0"/>
          <w:bCs/>
          <w:color w:val="000000" w:themeColor="text1"/>
          <w:szCs w:val="21"/>
          <w:highlight w:val="none"/>
          <w:lang w:val="zh-CN"/>
          <w14:textFill>
            <w14:solidFill>
              <w14:schemeClr w14:val="tx1"/>
            </w14:solidFill>
          </w14:textFill>
        </w:rPr>
      </w:pPr>
      <w:r>
        <w:rPr>
          <w:rFonts w:hint="eastAsia" w:ascii="宋体" w:hAnsi="宋体" w:cs="宋体"/>
          <w:b w:val="0"/>
          <w:bCs/>
          <w:color w:val="000000" w:themeColor="text1"/>
          <w:szCs w:val="21"/>
          <w:highlight w:val="none"/>
          <w:lang w:val="zh-CN"/>
          <w14:textFill>
            <w14:solidFill>
              <w14:schemeClr w14:val="tx1"/>
            </w14:solidFill>
          </w14:textFill>
        </w:rPr>
        <w:t xml:space="preserve">证明材料：同时提供证书（或专业能力证书）原件扫描件（彩色）及近三个月的社保证明（可以为税务或社保机构官方网站查询结果）。 </w:t>
      </w:r>
    </w:p>
    <w:p>
      <w:pPr>
        <w:autoSpaceDE w:val="0"/>
        <w:autoSpaceDN w:val="0"/>
        <w:adjustRightInd w:val="0"/>
        <w:spacing w:line="440" w:lineRule="exact"/>
        <w:ind w:firstLine="424" w:firstLineChars="200"/>
        <w:rPr>
          <w:rFonts w:ascii="宋体" w:hAnsi="宋体" w:cs="宋体"/>
          <w:b/>
          <w:color w:val="000000" w:themeColor="text1"/>
          <w:szCs w:val="21"/>
          <w:highlight w:val="none"/>
          <w:lang w:val="zh-CN"/>
          <w14:textFill>
            <w14:solidFill>
              <w14:schemeClr w14:val="tx1"/>
            </w14:solidFill>
          </w14:textFill>
        </w:rPr>
      </w:pPr>
      <w:r>
        <w:rPr>
          <w:rFonts w:hint="eastAsia" w:ascii="宋体" w:hAnsi="宋体" w:cs="宋体"/>
          <w:b/>
          <w:color w:val="000000" w:themeColor="text1"/>
          <w:szCs w:val="21"/>
          <w:highlight w:val="none"/>
          <w:lang w:val="zh-CN"/>
          <w14:textFill>
            <w14:solidFill>
              <w14:schemeClr w14:val="tx1"/>
            </w14:solidFill>
          </w14:textFill>
        </w:rPr>
        <w:t>（</w:t>
      </w:r>
      <w:r>
        <w:rPr>
          <w:rFonts w:hint="eastAsia" w:ascii="宋体" w:hAnsi="宋体" w:cs="宋体"/>
          <w:b/>
          <w:color w:val="000000" w:themeColor="text1"/>
          <w:szCs w:val="21"/>
          <w:highlight w:val="none"/>
          <w14:textFill>
            <w14:solidFill>
              <w14:schemeClr w14:val="tx1"/>
            </w14:solidFill>
          </w14:textFill>
        </w:rPr>
        <w:t>6</w:t>
      </w:r>
      <w:r>
        <w:rPr>
          <w:rFonts w:hint="eastAsia" w:ascii="宋体" w:hAnsi="宋体" w:cs="宋体"/>
          <w:b/>
          <w:color w:val="000000" w:themeColor="text1"/>
          <w:szCs w:val="21"/>
          <w:highlight w:val="none"/>
          <w:lang w:val="zh-CN"/>
          <w14:textFill>
            <w14:solidFill>
              <w14:schemeClr w14:val="tx1"/>
            </w14:solidFill>
          </w14:textFill>
        </w:rPr>
        <w:t>）技术力量及响应时效</w:t>
      </w:r>
      <w:r>
        <w:rPr>
          <w:rFonts w:hint="eastAsia" w:ascii="宋体" w:hAnsi="宋体" w:cs="宋体"/>
          <w:b/>
          <w:color w:val="000000" w:themeColor="text1"/>
          <w:szCs w:val="21"/>
          <w:highlight w:val="none"/>
          <w:lang w:val="zh-CN"/>
          <w14:textFill>
            <w14:solidFill>
              <w14:schemeClr w14:val="tx1"/>
            </w14:solidFill>
          </w14:textFill>
        </w:rPr>
        <w:tab/>
      </w:r>
    </w:p>
    <w:p>
      <w:pPr>
        <w:numPr>
          <w:ilvl w:val="-1"/>
          <w:numId w:val="0"/>
        </w:numPr>
        <w:autoSpaceDE w:val="0"/>
        <w:autoSpaceDN w:val="0"/>
        <w:adjustRightInd w:val="0"/>
        <w:spacing w:line="440" w:lineRule="exact"/>
        <w:ind w:firstLine="424" w:firstLineChars="200"/>
        <w:jc w:val="left"/>
        <w:rPr>
          <w:rFonts w:hint="eastAsia" w:ascii="宋体" w:hAnsi="宋体" w:cs="宋体"/>
          <w:bCs/>
          <w:color w:val="000000" w:themeColor="text1"/>
          <w:szCs w:val="21"/>
          <w:highlight w:val="none"/>
          <w:lang w:val="zh-CN"/>
          <w14:textFill>
            <w14:solidFill>
              <w14:schemeClr w14:val="tx1"/>
            </w14:solidFill>
          </w14:textFill>
        </w:rPr>
      </w:pPr>
      <w:r>
        <w:rPr>
          <w:rFonts w:hint="eastAsia" w:ascii="宋体" w:hAnsi="宋体" w:cs="宋体"/>
          <w:bCs/>
          <w:color w:val="000000" w:themeColor="text1"/>
          <w:szCs w:val="21"/>
          <w:highlight w:val="none"/>
          <w:lang w:val="zh-CN"/>
          <w14:textFill>
            <w14:solidFill>
              <w14:schemeClr w14:val="tx1"/>
            </w14:solidFill>
          </w14:textFill>
        </w:rPr>
        <w:t>（</w:t>
      </w:r>
      <w:r>
        <w:rPr>
          <w:rFonts w:hint="eastAsia" w:ascii="宋体" w:hAnsi="宋体" w:cs="宋体"/>
          <w:bCs/>
          <w:color w:val="000000" w:themeColor="text1"/>
          <w:szCs w:val="21"/>
          <w:highlight w:val="none"/>
          <w:lang w:val="zh-CN" w:eastAsia="zh-CN"/>
          <w14:textFill>
            <w14:solidFill>
              <w14:schemeClr w14:val="tx1"/>
            </w14:solidFill>
          </w14:textFill>
        </w:rPr>
        <w:t>6</w:t>
      </w:r>
      <w:r>
        <w:rPr>
          <w:rFonts w:hint="eastAsia" w:ascii="宋体" w:hAnsi="宋体" w:cs="宋体"/>
          <w:bCs/>
          <w:color w:val="000000" w:themeColor="text1"/>
          <w:szCs w:val="21"/>
          <w:highlight w:val="none"/>
          <w:lang w:val="zh-CN"/>
          <w14:textFill>
            <w14:solidFill>
              <w14:schemeClr w14:val="tx1"/>
            </w14:solidFill>
          </w14:textFill>
        </w:rPr>
        <w:t>.1</w:t>
      </w:r>
      <w:r>
        <w:rPr>
          <w:rFonts w:hint="eastAsia" w:ascii="宋体" w:hAnsi="宋体" w:cs="宋体"/>
          <w:bCs/>
          <w:color w:val="000000" w:themeColor="text1"/>
          <w:szCs w:val="21"/>
          <w:highlight w:val="none"/>
          <w:lang w:val="en-US" w:eastAsia="zh-CN"/>
          <w14:textFill>
            <w14:solidFill>
              <w14:schemeClr w14:val="tx1"/>
            </w14:solidFill>
          </w14:textFill>
        </w:rPr>
        <w:t>A</w:t>
      </w:r>
      <w:r>
        <w:rPr>
          <w:rFonts w:hint="eastAsia" w:ascii="宋体" w:hAnsi="宋体" w:cs="宋体"/>
          <w:bCs/>
          <w:color w:val="000000" w:themeColor="text1"/>
          <w:szCs w:val="21"/>
          <w:highlight w:val="none"/>
          <w:lang w:val="zh-CN"/>
          <w14:textFill>
            <w14:solidFill>
              <w14:schemeClr w14:val="tx1"/>
            </w14:solidFill>
          </w14:textFill>
        </w:rPr>
        <w:t>）投标人2017年1月1日起至招标公告日前具有水质检测实验室（检测设备清单具有分光光度计，消解器，COD恒温加热器，电子天平，隔膜真空泵，PH酸度计，通风柜等水检测设备），且能够到达现场快速响应</w:t>
      </w:r>
      <w:r>
        <w:rPr>
          <w:rFonts w:hint="eastAsia" w:ascii="宋体" w:hAnsi="宋体" w:cs="宋体"/>
          <w:bCs/>
          <w:color w:val="000000" w:themeColor="text1"/>
          <w:szCs w:val="21"/>
          <w:highlight w:val="none"/>
          <w:lang w:val="zh-CN" w:eastAsia="zh-CN"/>
          <w14:textFill>
            <w14:solidFill>
              <w14:schemeClr w14:val="tx1"/>
            </w14:solidFill>
          </w14:textFill>
        </w:rPr>
        <w:t>。</w:t>
      </w:r>
    </w:p>
    <w:p>
      <w:pPr>
        <w:numPr>
          <w:ilvl w:val="-1"/>
          <w:numId w:val="0"/>
        </w:numPr>
        <w:autoSpaceDE w:val="0"/>
        <w:autoSpaceDN w:val="0"/>
        <w:adjustRightInd w:val="0"/>
        <w:spacing w:line="440" w:lineRule="exact"/>
        <w:ind w:firstLine="424" w:firstLineChars="200"/>
        <w:jc w:val="left"/>
        <w:rPr>
          <w:rFonts w:hint="eastAsia" w:ascii="宋体" w:hAnsi="宋体" w:cs="宋体"/>
          <w:bCs/>
          <w:color w:val="000000" w:themeColor="text1"/>
          <w:szCs w:val="21"/>
          <w:highlight w:val="none"/>
          <w:lang w:val="zh-CN"/>
          <w14:textFill>
            <w14:solidFill>
              <w14:schemeClr w14:val="tx1"/>
            </w14:solidFill>
          </w14:textFill>
        </w:rPr>
      </w:pPr>
      <w:r>
        <w:rPr>
          <w:rFonts w:hint="eastAsia" w:ascii="宋体" w:hAnsi="宋体" w:cs="宋体"/>
          <w:bCs/>
          <w:color w:val="000000" w:themeColor="text1"/>
          <w:szCs w:val="21"/>
          <w:highlight w:val="none"/>
          <w:lang w:val="zh-CN" w:eastAsia="zh-CN"/>
          <w14:textFill>
            <w14:solidFill>
              <w14:schemeClr w14:val="tx1"/>
            </w14:solidFill>
          </w14:textFill>
        </w:rPr>
        <w:t>证明材料：提供</w:t>
      </w:r>
      <w:r>
        <w:rPr>
          <w:rFonts w:hint="eastAsia" w:ascii="宋体" w:hAnsi="宋体" w:cs="宋体"/>
          <w:bCs/>
          <w:color w:val="000000" w:themeColor="text1"/>
          <w:szCs w:val="21"/>
          <w:highlight w:val="none"/>
          <w:lang w:val="zh-CN"/>
          <w14:textFill>
            <w14:solidFill>
              <w14:schemeClr w14:val="tx1"/>
            </w14:solidFill>
          </w14:textFill>
        </w:rPr>
        <w:t>投标人名下购置发票原件</w:t>
      </w:r>
      <w:r>
        <w:rPr>
          <w:rFonts w:hint="eastAsia" w:ascii="宋体" w:hAnsi="宋体" w:cs="宋体"/>
          <w:bCs/>
          <w:color w:val="000000" w:themeColor="text1"/>
          <w:kern w:val="2"/>
          <w:szCs w:val="21"/>
          <w:highlight w:val="none"/>
          <w:lang w:val="zh-CN"/>
          <w14:textFill>
            <w14:solidFill>
              <w14:schemeClr w14:val="tx1"/>
            </w14:solidFill>
          </w14:textFill>
        </w:rPr>
        <w:t>描件（彩色）</w:t>
      </w:r>
      <w:r>
        <w:rPr>
          <w:rFonts w:hint="eastAsia" w:ascii="宋体" w:hAnsi="宋体" w:cs="宋体"/>
          <w:bCs/>
          <w:color w:val="000000" w:themeColor="text1"/>
          <w:szCs w:val="21"/>
          <w:highlight w:val="none"/>
          <w:lang w:val="zh-CN"/>
          <w14:textFill>
            <w14:solidFill>
              <w14:schemeClr w14:val="tx1"/>
            </w14:solidFill>
          </w14:textFill>
        </w:rPr>
        <w:t>，不提供不得分，如有虚假，一经查实做废标处理。提供响应时效承诺书（格式自拟，对应技术力量及响应时效评分细则要求提供所需内容）。</w:t>
      </w:r>
    </w:p>
    <w:p>
      <w:pPr>
        <w:numPr>
          <w:ilvl w:val="-1"/>
          <w:numId w:val="0"/>
        </w:numPr>
        <w:autoSpaceDE w:val="0"/>
        <w:autoSpaceDN w:val="0"/>
        <w:adjustRightInd w:val="0"/>
        <w:spacing w:line="440" w:lineRule="exact"/>
        <w:ind w:firstLine="424" w:firstLineChars="200"/>
        <w:jc w:val="left"/>
        <w:rPr>
          <w:rFonts w:hint="eastAsia" w:ascii="宋体" w:hAnsi="宋体" w:eastAsia="宋体" w:cs="宋体"/>
          <w:bCs/>
          <w:color w:val="000000" w:themeColor="text1"/>
          <w:szCs w:val="21"/>
          <w:highlight w:val="none"/>
          <w:lang w:val="zh-CN" w:eastAsia="zh-CN"/>
          <w14:textFill>
            <w14:solidFill>
              <w14:schemeClr w14:val="tx1"/>
            </w14:solidFill>
          </w14:textFill>
        </w:rPr>
      </w:pPr>
      <w:r>
        <w:rPr>
          <w:rFonts w:hint="eastAsia" w:ascii="宋体" w:hAnsi="宋体" w:cs="宋体"/>
          <w:bCs/>
          <w:color w:val="000000" w:themeColor="text1"/>
          <w:szCs w:val="21"/>
          <w:highlight w:val="none"/>
          <w:lang w:val="zh-CN"/>
          <w14:textFill>
            <w14:solidFill>
              <w14:schemeClr w14:val="tx1"/>
            </w14:solidFill>
          </w14:textFill>
        </w:rPr>
        <w:t>（</w:t>
      </w:r>
      <w:r>
        <w:rPr>
          <w:rFonts w:hint="eastAsia" w:ascii="宋体" w:hAnsi="宋体" w:cs="宋体"/>
          <w:bCs/>
          <w:color w:val="000000" w:themeColor="text1"/>
          <w:szCs w:val="21"/>
          <w:highlight w:val="none"/>
          <w:lang w:val="zh-CN" w:eastAsia="zh-CN"/>
          <w14:textFill>
            <w14:solidFill>
              <w14:schemeClr w14:val="tx1"/>
            </w14:solidFill>
          </w14:textFill>
        </w:rPr>
        <w:t>6</w:t>
      </w:r>
      <w:r>
        <w:rPr>
          <w:rFonts w:hint="eastAsia" w:ascii="宋体" w:hAnsi="宋体" w:cs="宋体"/>
          <w:bCs/>
          <w:color w:val="000000" w:themeColor="text1"/>
          <w:szCs w:val="21"/>
          <w:highlight w:val="none"/>
          <w:lang w:val="zh-CN"/>
          <w14:textFill>
            <w14:solidFill>
              <w14:schemeClr w14:val="tx1"/>
            </w14:solidFill>
          </w14:textFill>
        </w:rPr>
        <w:t>.1</w:t>
      </w:r>
      <w:r>
        <w:rPr>
          <w:rFonts w:hint="eastAsia" w:ascii="宋体" w:hAnsi="宋体" w:cs="宋体"/>
          <w:bCs/>
          <w:color w:val="000000" w:themeColor="text1"/>
          <w:szCs w:val="21"/>
          <w:highlight w:val="none"/>
          <w:lang w:val="en-US" w:eastAsia="zh-CN"/>
          <w14:textFill>
            <w14:solidFill>
              <w14:schemeClr w14:val="tx1"/>
            </w14:solidFill>
          </w14:textFill>
        </w:rPr>
        <w:t>B</w:t>
      </w:r>
      <w:r>
        <w:rPr>
          <w:rFonts w:hint="eastAsia" w:ascii="宋体" w:hAnsi="宋体" w:cs="宋体"/>
          <w:bCs/>
          <w:color w:val="000000" w:themeColor="text1"/>
          <w:szCs w:val="21"/>
          <w:highlight w:val="none"/>
          <w:lang w:val="zh-CN"/>
          <w14:textFill>
            <w14:solidFill>
              <w14:schemeClr w14:val="tx1"/>
            </w14:solidFill>
          </w14:textFill>
        </w:rPr>
        <w:t>）投标人2017年1月1日起至招标公告日前具有水质检测实验室（检测设备清单具有分光光度计，消解器，COD恒温加热器，电子天平，隔膜真空泵，PH酸度计，通风柜等水检测设备）</w:t>
      </w:r>
      <w:r>
        <w:rPr>
          <w:rFonts w:hint="eastAsia" w:ascii="宋体" w:hAnsi="宋体" w:cs="宋体"/>
          <w:bCs/>
          <w:color w:val="000000" w:themeColor="text1"/>
          <w:szCs w:val="21"/>
          <w:highlight w:val="none"/>
          <w:lang w:val="zh-CN" w:eastAsia="zh-CN"/>
          <w14:textFill>
            <w14:solidFill>
              <w14:schemeClr w14:val="tx1"/>
            </w14:solidFill>
          </w14:textFill>
        </w:rPr>
        <w:t>，获得质量技术监督行政主管部门颁发的计量认证证书。</w:t>
      </w:r>
    </w:p>
    <w:p>
      <w:pPr>
        <w:autoSpaceDE w:val="0"/>
        <w:autoSpaceDN w:val="0"/>
        <w:adjustRightInd w:val="0"/>
        <w:spacing w:line="440" w:lineRule="exact"/>
        <w:ind w:firstLine="424" w:firstLineChars="200"/>
        <w:rPr>
          <w:rFonts w:ascii="宋体" w:hAnsi="宋体" w:cs="宋体"/>
          <w:bCs/>
          <w:color w:val="000000" w:themeColor="text1"/>
          <w:szCs w:val="21"/>
          <w:highlight w:val="none"/>
          <w:lang w:val="zh-CN"/>
          <w14:textFill>
            <w14:solidFill>
              <w14:schemeClr w14:val="tx1"/>
            </w14:solidFill>
          </w14:textFill>
        </w:rPr>
      </w:pPr>
      <w:r>
        <w:rPr>
          <w:rFonts w:hint="eastAsia" w:ascii="宋体" w:hAnsi="宋体" w:cs="宋体"/>
          <w:bCs/>
          <w:color w:val="000000" w:themeColor="text1"/>
          <w:szCs w:val="21"/>
          <w:highlight w:val="none"/>
          <w:lang w:val="zh-CN" w:eastAsia="zh-CN"/>
          <w14:textFill>
            <w14:solidFill>
              <w14:schemeClr w14:val="tx1"/>
            </w14:solidFill>
          </w14:textFill>
        </w:rPr>
        <w:t>证明材料：有效的计量认证证书原件扫描件（彩色）。</w:t>
      </w:r>
    </w:p>
    <w:p>
      <w:pPr>
        <w:autoSpaceDE w:val="0"/>
        <w:autoSpaceDN w:val="0"/>
        <w:adjustRightInd w:val="0"/>
        <w:spacing w:line="440" w:lineRule="exact"/>
        <w:ind w:firstLine="424" w:firstLineChars="200"/>
        <w:rPr>
          <w:rFonts w:hint="eastAsia" w:ascii="宋体" w:hAnsi="宋体" w:cs="宋体"/>
          <w:b/>
          <w:color w:val="000000" w:themeColor="text1"/>
          <w:szCs w:val="21"/>
          <w:highlight w:val="none"/>
          <w:lang w:val="zh-CN"/>
          <w14:textFill>
            <w14:solidFill>
              <w14:schemeClr w14:val="tx1"/>
            </w14:solidFill>
          </w14:textFill>
        </w:rPr>
      </w:pPr>
      <w:r>
        <w:rPr>
          <w:rFonts w:hint="eastAsia" w:ascii="宋体" w:hAnsi="宋体" w:cs="宋体"/>
          <w:bCs/>
          <w:color w:val="000000" w:themeColor="text1"/>
          <w:szCs w:val="21"/>
          <w:highlight w:val="none"/>
          <w:lang w:val="zh-CN"/>
          <w14:textFill>
            <w14:solidFill>
              <w14:schemeClr w14:val="tx1"/>
            </w14:solidFill>
          </w14:textFill>
        </w:rPr>
        <w:t>（</w:t>
      </w:r>
      <w:r>
        <w:rPr>
          <w:rFonts w:hint="eastAsia" w:ascii="宋体" w:hAnsi="宋体" w:cs="宋体"/>
          <w:bCs/>
          <w:color w:val="000000" w:themeColor="text1"/>
          <w:szCs w:val="21"/>
          <w:highlight w:val="none"/>
          <w:lang w:val="en-US" w:eastAsia="zh-CN"/>
          <w14:textFill>
            <w14:solidFill>
              <w14:schemeClr w14:val="tx1"/>
            </w14:solidFill>
          </w14:textFill>
        </w:rPr>
        <w:t>6</w:t>
      </w:r>
      <w:r>
        <w:rPr>
          <w:rFonts w:hint="eastAsia" w:ascii="宋体" w:hAnsi="宋体" w:cs="宋体"/>
          <w:bCs/>
          <w:color w:val="000000" w:themeColor="text1"/>
          <w:szCs w:val="21"/>
          <w:highlight w:val="none"/>
          <w14:textFill>
            <w14:solidFill>
              <w14:schemeClr w14:val="tx1"/>
            </w14:solidFill>
          </w14:textFill>
        </w:rPr>
        <w:t>.2</w:t>
      </w:r>
      <w:r>
        <w:rPr>
          <w:rFonts w:hint="eastAsia" w:ascii="宋体" w:hAnsi="宋体" w:cs="宋体"/>
          <w:bCs/>
          <w:color w:val="000000" w:themeColor="text1"/>
          <w:szCs w:val="21"/>
          <w:highlight w:val="none"/>
          <w:lang w:val="zh-CN"/>
          <w14:textFill>
            <w14:solidFill>
              <w14:schemeClr w14:val="tx1"/>
            </w14:solidFill>
          </w14:textFill>
        </w:rPr>
        <w:t>）投标人2017年1月1日起至招标公告日前具有监控管理平台（含平台服务器、大屏图像拼接处理器、2*3以上拼接屏及通信服务VPN专线20M及以上）；提供投标人名下购置发票原件扫描件（彩色）；响应时效承诺书（格式自拟，对应技术力量及响应时效评分细则要求提供所需内容）。</w:t>
      </w:r>
    </w:p>
    <w:p>
      <w:pPr>
        <w:autoSpaceDE w:val="0"/>
        <w:autoSpaceDN w:val="0"/>
        <w:adjustRightInd w:val="0"/>
        <w:spacing w:line="440" w:lineRule="exact"/>
        <w:ind w:firstLine="424" w:firstLineChars="200"/>
        <w:rPr>
          <w:rFonts w:ascii="宋体" w:hAnsi="宋体" w:cs="宋体"/>
          <w:b/>
          <w:color w:val="000000" w:themeColor="text1"/>
          <w:szCs w:val="21"/>
          <w:highlight w:val="none"/>
          <w:lang w:val="zh-CN"/>
          <w14:textFill>
            <w14:solidFill>
              <w14:schemeClr w14:val="tx1"/>
            </w14:solidFill>
          </w14:textFill>
        </w:rPr>
      </w:pPr>
      <w:r>
        <w:rPr>
          <w:rFonts w:hint="eastAsia" w:ascii="宋体" w:hAnsi="宋体" w:cs="宋体"/>
          <w:b/>
          <w:color w:val="000000" w:themeColor="text1"/>
          <w:szCs w:val="21"/>
          <w:highlight w:val="none"/>
          <w:lang w:val="zh-CN"/>
          <w14:textFill>
            <w14:solidFill>
              <w14:schemeClr w14:val="tx1"/>
            </w14:solidFill>
          </w14:textFill>
        </w:rPr>
        <w:t>（</w:t>
      </w:r>
      <w:r>
        <w:rPr>
          <w:rFonts w:hint="eastAsia" w:ascii="宋体" w:hAnsi="宋体" w:cs="宋体"/>
          <w:b/>
          <w:color w:val="000000" w:themeColor="text1"/>
          <w:szCs w:val="21"/>
          <w:highlight w:val="none"/>
          <w:lang w:val="en-US" w:eastAsia="zh-CN"/>
          <w14:textFill>
            <w14:solidFill>
              <w14:schemeClr w14:val="tx1"/>
            </w14:solidFill>
          </w14:textFill>
        </w:rPr>
        <w:t>7</w:t>
      </w:r>
      <w:r>
        <w:rPr>
          <w:rFonts w:hint="eastAsia" w:ascii="宋体" w:hAnsi="宋体" w:cs="宋体"/>
          <w:b/>
          <w:color w:val="000000" w:themeColor="text1"/>
          <w:szCs w:val="21"/>
          <w:highlight w:val="none"/>
          <w:lang w:val="zh-CN"/>
          <w14:textFill>
            <w14:solidFill>
              <w14:schemeClr w14:val="tx1"/>
            </w14:solidFill>
          </w14:textFill>
        </w:rPr>
        <w:t>）实施方案</w:t>
      </w:r>
      <w:r>
        <w:rPr>
          <w:rFonts w:hint="eastAsia" w:ascii="宋体" w:hAnsi="宋体" w:cs="宋体"/>
          <w:b/>
          <w:color w:val="000000" w:themeColor="text1"/>
          <w:szCs w:val="21"/>
          <w:highlight w:val="none"/>
          <w:lang w:val="zh-CN"/>
          <w14:textFill>
            <w14:solidFill>
              <w14:schemeClr w14:val="tx1"/>
            </w14:solidFill>
          </w14:textFill>
        </w:rPr>
        <w:tab/>
      </w:r>
    </w:p>
    <w:p>
      <w:pPr>
        <w:autoSpaceDE w:val="0"/>
        <w:autoSpaceDN w:val="0"/>
        <w:adjustRightInd w:val="0"/>
        <w:spacing w:line="440" w:lineRule="exact"/>
        <w:ind w:firstLine="424" w:firstLineChars="200"/>
        <w:rPr>
          <w:rFonts w:ascii="宋体" w:hAnsi="宋体" w:cs="宋体"/>
          <w:bCs/>
          <w:color w:val="000000" w:themeColor="text1"/>
          <w:szCs w:val="21"/>
          <w:highlight w:val="none"/>
          <w:lang w:val="zh-CN"/>
          <w14:textFill>
            <w14:solidFill>
              <w14:schemeClr w14:val="tx1"/>
            </w14:solidFill>
          </w14:textFill>
        </w:rPr>
      </w:pPr>
      <w:r>
        <w:rPr>
          <w:rFonts w:hint="eastAsia" w:ascii="宋体" w:hAnsi="宋体" w:cs="宋体"/>
          <w:bCs/>
          <w:color w:val="000000" w:themeColor="text1"/>
          <w:szCs w:val="21"/>
          <w:highlight w:val="none"/>
          <w:lang w:val="zh-CN"/>
          <w14:textFill>
            <w14:solidFill>
              <w14:schemeClr w14:val="tx1"/>
            </w14:solidFill>
          </w14:textFill>
        </w:rPr>
        <w:t>（</w:t>
      </w:r>
      <w:r>
        <w:rPr>
          <w:rFonts w:hint="eastAsia" w:ascii="宋体" w:hAnsi="宋体" w:cs="宋体"/>
          <w:bCs/>
          <w:color w:val="000000" w:themeColor="text1"/>
          <w:szCs w:val="21"/>
          <w:highlight w:val="none"/>
          <w:lang w:val="en-US" w:eastAsia="zh-CN"/>
          <w14:textFill>
            <w14:solidFill>
              <w14:schemeClr w14:val="tx1"/>
            </w14:solidFill>
          </w14:textFill>
        </w:rPr>
        <w:t>7</w:t>
      </w:r>
      <w:r>
        <w:rPr>
          <w:rFonts w:hint="eastAsia" w:ascii="宋体" w:hAnsi="宋体" w:cs="宋体"/>
          <w:bCs/>
          <w:color w:val="000000" w:themeColor="text1"/>
          <w:szCs w:val="21"/>
          <w:highlight w:val="none"/>
          <w14:textFill>
            <w14:solidFill>
              <w14:schemeClr w14:val="tx1"/>
            </w14:solidFill>
          </w14:textFill>
        </w:rPr>
        <w:t>.1</w:t>
      </w:r>
      <w:r>
        <w:rPr>
          <w:rFonts w:hint="eastAsia" w:ascii="宋体" w:hAnsi="宋体" w:cs="宋体"/>
          <w:bCs/>
          <w:color w:val="000000" w:themeColor="text1"/>
          <w:szCs w:val="21"/>
          <w:highlight w:val="none"/>
          <w:lang w:val="zh-CN"/>
          <w14:textFill>
            <w14:solidFill>
              <w14:schemeClr w14:val="tx1"/>
            </w14:solidFill>
          </w14:textFill>
        </w:rPr>
        <w:t>）投标人针对项目具体实施拟定的运维实施方案：（方案是否详实、运维保障措施是否健全，人员职责是否明确，是否有完善的质量管理体系，并能有效实施。）</w:t>
      </w:r>
    </w:p>
    <w:p>
      <w:pPr>
        <w:autoSpaceDE w:val="0"/>
        <w:autoSpaceDN w:val="0"/>
        <w:adjustRightInd w:val="0"/>
        <w:spacing w:line="440" w:lineRule="exact"/>
        <w:ind w:firstLine="424" w:firstLineChars="200"/>
        <w:rPr>
          <w:rFonts w:ascii="宋体" w:hAnsi="宋体" w:cs="宋体"/>
          <w:bCs/>
          <w:color w:val="000000" w:themeColor="text1"/>
          <w:szCs w:val="21"/>
          <w:highlight w:val="none"/>
          <w:lang w:val="zh-CN"/>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w:t>
      </w:r>
      <w:r>
        <w:rPr>
          <w:rFonts w:hint="eastAsia" w:ascii="宋体" w:hAnsi="宋体" w:cs="宋体"/>
          <w:bCs/>
          <w:color w:val="000000" w:themeColor="text1"/>
          <w:szCs w:val="21"/>
          <w:highlight w:val="none"/>
          <w:lang w:val="en-US" w:eastAsia="zh-CN"/>
          <w14:textFill>
            <w14:solidFill>
              <w14:schemeClr w14:val="tx1"/>
            </w14:solidFill>
          </w14:textFill>
        </w:rPr>
        <w:t>7</w:t>
      </w:r>
      <w:r>
        <w:rPr>
          <w:rFonts w:hint="eastAsia" w:ascii="宋体" w:hAnsi="宋体" w:cs="宋体"/>
          <w:bCs/>
          <w:color w:val="000000" w:themeColor="text1"/>
          <w:szCs w:val="21"/>
          <w:highlight w:val="none"/>
          <w14:textFill>
            <w14:solidFill>
              <w14:schemeClr w14:val="tx1"/>
            </w14:solidFill>
          </w14:textFill>
        </w:rPr>
        <w:t>.2）</w:t>
      </w:r>
      <w:r>
        <w:rPr>
          <w:rFonts w:hint="eastAsia" w:ascii="宋体" w:hAnsi="宋体" w:cs="宋体"/>
          <w:bCs/>
          <w:color w:val="000000" w:themeColor="text1"/>
          <w:szCs w:val="21"/>
          <w:highlight w:val="none"/>
          <w:lang w:val="zh-CN"/>
          <w14:textFill>
            <w14:solidFill>
              <w14:schemeClr w14:val="tx1"/>
            </w14:solidFill>
          </w14:textFill>
        </w:rPr>
        <w:t>投标人是否具有完备的管理组织、项目实施规范和管理制度。</w:t>
      </w:r>
    </w:p>
    <w:p>
      <w:pPr>
        <w:autoSpaceDE w:val="0"/>
        <w:autoSpaceDN w:val="0"/>
        <w:adjustRightInd w:val="0"/>
        <w:spacing w:line="440" w:lineRule="exact"/>
        <w:ind w:firstLine="424" w:firstLineChars="200"/>
        <w:rPr>
          <w:rFonts w:ascii="宋体" w:hAnsi="宋体" w:cs="宋体"/>
          <w:bCs/>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lang w:val="zh-CN"/>
          <w14:textFill>
            <w14:solidFill>
              <w14:schemeClr w14:val="tx1"/>
            </w14:solidFill>
          </w14:textFill>
        </w:rPr>
        <w:t>（</w:t>
      </w:r>
      <w:r>
        <w:rPr>
          <w:rFonts w:hint="eastAsia" w:ascii="宋体" w:hAnsi="宋体" w:cs="宋体"/>
          <w:b/>
          <w:color w:val="000000" w:themeColor="text1"/>
          <w:szCs w:val="21"/>
          <w:highlight w:val="none"/>
          <w:lang w:val="en-US" w:eastAsia="zh-CN"/>
          <w14:textFill>
            <w14:solidFill>
              <w14:schemeClr w14:val="tx1"/>
            </w14:solidFill>
          </w14:textFill>
        </w:rPr>
        <w:t>8</w:t>
      </w:r>
      <w:r>
        <w:rPr>
          <w:rFonts w:hint="eastAsia" w:ascii="宋体" w:hAnsi="宋体" w:cs="宋体"/>
          <w:b/>
          <w:color w:val="000000" w:themeColor="text1"/>
          <w:szCs w:val="21"/>
          <w:highlight w:val="none"/>
          <w:lang w:val="zh-CN"/>
          <w14:textFill>
            <w14:solidFill>
              <w14:schemeClr w14:val="tx1"/>
            </w14:solidFill>
          </w14:textFill>
        </w:rPr>
        <w:t>）项目技术方案</w:t>
      </w:r>
      <w:r>
        <w:rPr>
          <w:rFonts w:hint="eastAsia" w:ascii="宋体" w:hAnsi="宋体" w:cs="宋体"/>
          <w:b/>
          <w:color w:val="000000" w:themeColor="text1"/>
          <w:szCs w:val="21"/>
          <w:highlight w:val="none"/>
          <w:lang w:val="zh-CN"/>
          <w14:textFill>
            <w14:solidFill>
              <w14:schemeClr w14:val="tx1"/>
            </w14:solidFill>
          </w14:textFill>
        </w:rPr>
        <w:tab/>
      </w:r>
      <w:r>
        <w:rPr>
          <w:rFonts w:hint="eastAsia" w:ascii="宋体" w:hAnsi="宋体" w:cs="宋体"/>
          <w:bCs/>
          <w:color w:val="000000" w:themeColor="text1"/>
          <w:szCs w:val="21"/>
          <w:highlight w:val="none"/>
          <w14:textFill>
            <w14:solidFill>
              <w14:schemeClr w14:val="tx1"/>
            </w14:solidFill>
          </w14:textFill>
        </w:rPr>
        <w:t xml:space="preserve">  </w:t>
      </w:r>
    </w:p>
    <w:p>
      <w:pPr>
        <w:autoSpaceDE w:val="0"/>
        <w:autoSpaceDN w:val="0"/>
        <w:adjustRightInd w:val="0"/>
        <w:spacing w:line="440" w:lineRule="exact"/>
        <w:ind w:firstLine="424" w:firstLineChars="200"/>
        <w:rPr>
          <w:rFonts w:ascii="宋体" w:hAnsi="宋体" w:cs="宋体"/>
          <w:bCs/>
          <w:color w:val="000000" w:themeColor="text1"/>
          <w:szCs w:val="21"/>
          <w:highlight w:val="none"/>
          <w:lang w:val="zh-CN"/>
          <w14:textFill>
            <w14:solidFill>
              <w14:schemeClr w14:val="tx1"/>
            </w14:solidFill>
          </w14:textFill>
        </w:rPr>
      </w:pPr>
      <w:r>
        <w:rPr>
          <w:rFonts w:hint="eastAsia" w:ascii="宋体" w:hAnsi="宋体" w:cs="宋体"/>
          <w:bCs/>
          <w:color w:val="000000" w:themeColor="text1"/>
          <w:szCs w:val="21"/>
          <w:highlight w:val="none"/>
          <w:lang w:val="zh-CN"/>
          <w14:textFill>
            <w14:solidFill>
              <w14:schemeClr w14:val="tx1"/>
            </w14:solidFill>
          </w14:textFill>
        </w:rPr>
        <w:t>投标技术方案总体设计的科学性、合理性、可行性，包括技术路线正确性、完整性、项目特点和重点难点分析及应对措施等及工作方案是否周密，思路清晰合理，有明确的工作程序，可操作性强。</w:t>
      </w:r>
    </w:p>
    <w:p>
      <w:pPr>
        <w:autoSpaceDE w:val="0"/>
        <w:autoSpaceDN w:val="0"/>
        <w:adjustRightInd w:val="0"/>
        <w:spacing w:line="440" w:lineRule="exact"/>
        <w:ind w:firstLine="424" w:firstLineChars="200"/>
        <w:rPr>
          <w:rFonts w:ascii="宋体" w:hAnsi="宋体" w:cs="宋体"/>
          <w:b/>
          <w:color w:val="000000" w:themeColor="text1"/>
          <w:szCs w:val="21"/>
          <w:highlight w:val="none"/>
          <w:lang w:val="zh-CN"/>
          <w14:textFill>
            <w14:solidFill>
              <w14:schemeClr w14:val="tx1"/>
            </w14:solidFill>
          </w14:textFill>
        </w:rPr>
      </w:pPr>
      <w:r>
        <w:rPr>
          <w:rFonts w:hint="eastAsia" w:ascii="宋体" w:hAnsi="宋体" w:cs="宋体"/>
          <w:b/>
          <w:color w:val="000000" w:themeColor="text1"/>
          <w:szCs w:val="21"/>
          <w:highlight w:val="none"/>
          <w:lang w:val="zh-CN"/>
          <w14:textFill>
            <w14:solidFill>
              <w14:schemeClr w14:val="tx1"/>
            </w14:solidFill>
          </w14:textFill>
        </w:rPr>
        <w:t>（</w:t>
      </w:r>
      <w:r>
        <w:rPr>
          <w:rFonts w:hint="eastAsia" w:ascii="宋体" w:hAnsi="宋体" w:cs="宋体"/>
          <w:b/>
          <w:color w:val="000000" w:themeColor="text1"/>
          <w:szCs w:val="21"/>
          <w:highlight w:val="none"/>
          <w:lang w:val="en-US" w:eastAsia="zh-CN"/>
          <w14:textFill>
            <w14:solidFill>
              <w14:schemeClr w14:val="tx1"/>
            </w14:solidFill>
          </w14:textFill>
        </w:rPr>
        <w:t>9</w:t>
      </w:r>
      <w:r>
        <w:rPr>
          <w:rFonts w:hint="eastAsia" w:ascii="宋体" w:hAnsi="宋体" w:cs="宋体"/>
          <w:b/>
          <w:color w:val="000000" w:themeColor="text1"/>
          <w:szCs w:val="21"/>
          <w:highlight w:val="none"/>
          <w:lang w:val="zh-CN"/>
          <w14:textFill>
            <w14:solidFill>
              <w14:schemeClr w14:val="tx1"/>
            </w14:solidFill>
          </w14:textFill>
        </w:rPr>
        <w:t>）安全保证措施</w:t>
      </w:r>
      <w:r>
        <w:rPr>
          <w:rFonts w:hint="eastAsia" w:ascii="宋体" w:hAnsi="宋体" w:cs="宋体"/>
          <w:b/>
          <w:color w:val="000000" w:themeColor="text1"/>
          <w:szCs w:val="21"/>
          <w:highlight w:val="none"/>
          <w:lang w:val="zh-CN"/>
          <w14:textFill>
            <w14:solidFill>
              <w14:schemeClr w14:val="tx1"/>
            </w14:solidFill>
          </w14:textFill>
        </w:rPr>
        <w:tab/>
      </w:r>
    </w:p>
    <w:p>
      <w:pPr>
        <w:autoSpaceDE w:val="0"/>
        <w:autoSpaceDN w:val="0"/>
        <w:adjustRightInd w:val="0"/>
        <w:spacing w:line="440" w:lineRule="exact"/>
        <w:ind w:firstLine="424" w:firstLineChars="200"/>
        <w:rPr>
          <w:rFonts w:ascii="宋体" w:hAnsi="宋体" w:cs="宋体"/>
          <w:bCs/>
          <w:color w:val="000000" w:themeColor="text1"/>
          <w:szCs w:val="21"/>
          <w:highlight w:val="none"/>
          <w:lang w:val="zh-CN"/>
          <w14:textFill>
            <w14:solidFill>
              <w14:schemeClr w14:val="tx1"/>
            </w14:solidFill>
          </w14:textFill>
        </w:rPr>
      </w:pPr>
      <w:r>
        <w:rPr>
          <w:rFonts w:hint="eastAsia" w:ascii="宋体" w:hAnsi="宋体" w:cs="宋体"/>
          <w:bCs/>
          <w:color w:val="000000" w:themeColor="text1"/>
          <w:szCs w:val="21"/>
          <w:highlight w:val="none"/>
          <w:lang w:val="zh-CN"/>
          <w14:textFill>
            <w14:solidFill>
              <w14:schemeClr w14:val="tx1"/>
            </w14:solidFill>
          </w14:textFill>
        </w:rPr>
        <w:t>投标人针对设施运行维护服务过程中对安全监管的措施、可靠性及管理安全的科学合理性是否合理；</w:t>
      </w:r>
    </w:p>
    <w:p>
      <w:pPr>
        <w:autoSpaceDE w:val="0"/>
        <w:autoSpaceDN w:val="0"/>
        <w:adjustRightInd w:val="0"/>
        <w:spacing w:line="440" w:lineRule="exact"/>
        <w:ind w:firstLine="424" w:firstLineChars="200"/>
        <w:rPr>
          <w:rFonts w:ascii="宋体" w:hAnsi="宋体" w:cs="宋体"/>
          <w:b/>
          <w:color w:val="000000" w:themeColor="text1"/>
          <w:szCs w:val="21"/>
          <w:highlight w:val="none"/>
          <w:lang w:val="zh-CN"/>
          <w14:textFill>
            <w14:solidFill>
              <w14:schemeClr w14:val="tx1"/>
            </w14:solidFill>
          </w14:textFill>
        </w:rPr>
      </w:pPr>
      <w:r>
        <w:rPr>
          <w:rFonts w:hint="eastAsia" w:ascii="宋体" w:hAnsi="宋体" w:cs="宋体"/>
          <w:b/>
          <w:color w:val="000000" w:themeColor="text1"/>
          <w:szCs w:val="21"/>
          <w:highlight w:val="none"/>
          <w:lang w:val="zh-CN"/>
          <w14:textFill>
            <w14:solidFill>
              <w14:schemeClr w14:val="tx1"/>
            </w14:solidFill>
          </w14:textFill>
        </w:rPr>
        <w:t>（</w:t>
      </w:r>
      <w:r>
        <w:rPr>
          <w:rFonts w:hint="eastAsia" w:ascii="宋体" w:hAnsi="宋体" w:cs="宋体"/>
          <w:b/>
          <w:color w:val="000000" w:themeColor="text1"/>
          <w:szCs w:val="21"/>
          <w:highlight w:val="none"/>
          <w14:textFill>
            <w14:solidFill>
              <w14:schemeClr w14:val="tx1"/>
            </w14:solidFill>
          </w14:textFill>
        </w:rPr>
        <w:t>1</w:t>
      </w:r>
      <w:r>
        <w:rPr>
          <w:rFonts w:hint="eastAsia" w:ascii="宋体" w:hAnsi="宋体" w:cs="宋体"/>
          <w:b/>
          <w:color w:val="000000" w:themeColor="text1"/>
          <w:szCs w:val="21"/>
          <w:highlight w:val="none"/>
          <w:lang w:val="en-US" w:eastAsia="zh-CN"/>
          <w14:textFill>
            <w14:solidFill>
              <w14:schemeClr w14:val="tx1"/>
            </w14:solidFill>
          </w14:textFill>
        </w:rPr>
        <w:t>0</w:t>
      </w:r>
      <w:r>
        <w:rPr>
          <w:rFonts w:hint="eastAsia" w:ascii="宋体" w:hAnsi="宋体" w:cs="宋体"/>
          <w:b/>
          <w:color w:val="000000" w:themeColor="text1"/>
          <w:szCs w:val="21"/>
          <w:highlight w:val="none"/>
          <w:lang w:val="zh-CN"/>
          <w14:textFill>
            <w14:solidFill>
              <w14:schemeClr w14:val="tx1"/>
            </w14:solidFill>
          </w14:textFill>
        </w:rPr>
        <w:t>）服务质量保证承诺</w:t>
      </w:r>
      <w:r>
        <w:rPr>
          <w:rFonts w:hint="eastAsia" w:ascii="宋体" w:hAnsi="宋体" w:cs="宋体"/>
          <w:b/>
          <w:color w:val="000000" w:themeColor="text1"/>
          <w:szCs w:val="21"/>
          <w:highlight w:val="none"/>
          <w:lang w:val="zh-CN"/>
          <w14:textFill>
            <w14:solidFill>
              <w14:schemeClr w14:val="tx1"/>
            </w14:solidFill>
          </w14:textFill>
        </w:rPr>
        <w:tab/>
      </w:r>
    </w:p>
    <w:p>
      <w:pPr>
        <w:autoSpaceDE w:val="0"/>
        <w:autoSpaceDN w:val="0"/>
        <w:adjustRightInd w:val="0"/>
        <w:spacing w:line="440" w:lineRule="exact"/>
        <w:ind w:firstLine="424" w:firstLineChars="200"/>
        <w:rPr>
          <w:rFonts w:ascii="宋体" w:hAnsi="宋体" w:cs="宋体"/>
          <w:bCs/>
          <w:color w:val="000000" w:themeColor="text1"/>
          <w:szCs w:val="21"/>
          <w:highlight w:val="none"/>
          <w:lang w:val="zh-CN"/>
          <w14:textFill>
            <w14:solidFill>
              <w14:schemeClr w14:val="tx1"/>
            </w14:solidFill>
          </w14:textFill>
        </w:rPr>
      </w:pPr>
      <w:r>
        <w:rPr>
          <w:rFonts w:hint="eastAsia" w:ascii="宋体" w:hAnsi="宋体" w:cs="宋体"/>
          <w:bCs/>
          <w:color w:val="000000" w:themeColor="text1"/>
          <w:szCs w:val="21"/>
          <w:highlight w:val="none"/>
          <w:lang w:val="zh-CN"/>
          <w14:textFill>
            <w14:solidFill>
              <w14:schemeClr w14:val="tx1"/>
            </w14:solidFill>
          </w14:textFill>
        </w:rPr>
        <w:t>投标人所做的售后服务承诺和技术服务，有利于招标人的服务质量保证等的保障承诺措施。</w:t>
      </w:r>
    </w:p>
    <w:p>
      <w:pPr>
        <w:autoSpaceDE w:val="0"/>
        <w:autoSpaceDN w:val="0"/>
        <w:adjustRightInd w:val="0"/>
        <w:spacing w:line="440" w:lineRule="exact"/>
        <w:ind w:firstLine="424" w:firstLineChars="200"/>
        <w:rPr>
          <w:rFonts w:ascii="宋体" w:hAnsi="宋体" w:cs="宋体"/>
          <w:b/>
          <w:color w:val="000000" w:themeColor="text1"/>
          <w:szCs w:val="21"/>
          <w:highlight w:val="none"/>
          <w:lang w:val="zh-CN"/>
          <w14:textFill>
            <w14:solidFill>
              <w14:schemeClr w14:val="tx1"/>
            </w14:solidFill>
          </w14:textFill>
        </w:rPr>
      </w:pPr>
      <w:r>
        <w:rPr>
          <w:rFonts w:hint="eastAsia" w:ascii="宋体" w:hAnsi="宋体" w:cs="宋体"/>
          <w:b/>
          <w:color w:val="000000" w:themeColor="text1"/>
          <w:szCs w:val="21"/>
          <w:highlight w:val="none"/>
          <w:lang w:val="zh-CN"/>
          <w14:textFill>
            <w14:solidFill>
              <w14:schemeClr w14:val="tx1"/>
            </w14:solidFill>
          </w14:textFill>
        </w:rPr>
        <w:t>（</w:t>
      </w:r>
      <w:r>
        <w:rPr>
          <w:rFonts w:hint="eastAsia" w:ascii="宋体" w:hAnsi="宋体" w:cs="宋体"/>
          <w:b/>
          <w:color w:val="000000" w:themeColor="text1"/>
          <w:szCs w:val="21"/>
          <w:highlight w:val="none"/>
          <w14:textFill>
            <w14:solidFill>
              <w14:schemeClr w14:val="tx1"/>
            </w14:solidFill>
          </w14:textFill>
        </w:rPr>
        <w:t>1</w:t>
      </w:r>
      <w:r>
        <w:rPr>
          <w:rFonts w:hint="eastAsia" w:ascii="宋体" w:hAnsi="宋体" w:cs="宋体"/>
          <w:b/>
          <w:color w:val="000000" w:themeColor="text1"/>
          <w:szCs w:val="21"/>
          <w:highlight w:val="none"/>
          <w:lang w:val="en-US" w:eastAsia="zh-CN"/>
          <w14:textFill>
            <w14:solidFill>
              <w14:schemeClr w14:val="tx1"/>
            </w14:solidFill>
          </w14:textFill>
        </w:rPr>
        <w:t>1</w:t>
      </w:r>
      <w:r>
        <w:rPr>
          <w:rFonts w:hint="eastAsia" w:ascii="宋体" w:hAnsi="宋体" w:cs="宋体"/>
          <w:b/>
          <w:color w:val="000000" w:themeColor="text1"/>
          <w:szCs w:val="21"/>
          <w:highlight w:val="none"/>
          <w:lang w:val="zh-CN"/>
          <w14:textFill>
            <w14:solidFill>
              <w14:schemeClr w14:val="tx1"/>
            </w14:solidFill>
          </w14:textFill>
        </w:rPr>
        <w:t>）认为需要的其他技术文件或说明（可根据评标办法提供及自拟）。</w:t>
      </w:r>
    </w:p>
    <w:p>
      <w:pPr>
        <w:tabs>
          <w:tab w:val="left" w:pos="720"/>
          <w:tab w:val="left" w:pos="5355"/>
        </w:tabs>
        <w:spacing w:line="360" w:lineRule="auto"/>
        <w:ind w:firstLine="424" w:firstLineChars="200"/>
        <w:rPr>
          <w:color w:val="FF0000"/>
          <w:highlight w:val="none"/>
        </w:rPr>
      </w:pPr>
      <w:r>
        <w:rPr>
          <w:rFonts w:hint="eastAsia" w:ascii="宋体" w:hAnsi="宋体" w:cs="宋体"/>
          <w:b/>
          <w:bCs/>
          <w:color w:val="FF0000"/>
          <w:szCs w:val="21"/>
          <w:highlight w:val="none"/>
        </w:rPr>
        <w:t>注：以上资料涉及各类证书、合同等，投标文件中请上传原件扫描件（彩色），以便核查。</w:t>
      </w:r>
    </w:p>
    <w:p>
      <w:pPr>
        <w:tabs>
          <w:tab w:val="left" w:pos="720"/>
          <w:tab w:val="left" w:pos="5355"/>
        </w:tabs>
        <w:ind w:firstLine="424" w:firstLineChars="200"/>
        <w:rPr>
          <w:color w:val="FF0000"/>
          <w:highlight w:val="none"/>
        </w:rPr>
      </w:pPr>
    </w:p>
    <w:p>
      <w:pPr>
        <w:spacing w:line="360" w:lineRule="auto"/>
        <w:ind w:firstLine="3322" w:firstLineChars="1100"/>
        <w:rPr>
          <w:b/>
          <w:sz w:val="30"/>
          <w:highlight w:val="none"/>
        </w:rPr>
      </w:pPr>
    </w:p>
    <w:p>
      <w:pPr>
        <w:pStyle w:val="2"/>
        <w:rPr>
          <w:rFonts w:hAnsi="宋体" w:cs="宋体"/>
          <w:b/>
          <w:kern w:val="2"/>
          <w:sz w:val="30"/>
          <w:szCs w:val="30"/>
          <w:highlight w:val="none"/>
          <w:lang w:val="zh-CN"/>
        </w:rPr>
      </w:pPr>
      <w:r>
        <w:rPr>
          <w:rFonts w:hint="eastAsia" w:hAnsi="宋体" w:cs="宋体"/>
          <w:b/>
          <w:kern w:val="2"/>
          <w:sz w:val="30"/>
          <w:szCs w:val="30"/>
          <w:highlight w:val="none"/>
          <w:lang w:val="zh-CN"/>
        </w:rPr>
        <w:t>注：未提供格式的请自拟</w:t>
      </w:r>
    </w:p>
    <w:p>
      <w:pPr>
        <w:spacing w:line="360" w:lineRule="auto"/>
        <w:rPr>
          <w:b/>
          <w:sz w:val="30"/>
          <w:highlight w:val="none"/>
        </w:rPr>
      </w:pPr>
    </w:p>
    <w:p>
      <w:pPr>
        <w:spacing w:line="360" w:lineRule="auto"/>
        <w:ind w:firstLine="3322" w:firstLineChars="1100"/>
        <w:rPr>
          <w:b/>
          <w:sz w:val="30"/>
          <w:highlight w:val="none"/>
        </w:rPr>
      </w:pPr>
    </w:p>
    <w:p>
      <w:pPr>
        <w:spacing w:line="360" w:lineRule="auto"/>
        <w:ind w:firstLine="3322" w:firstLineChars="1100"/>
        <w:rPr>
          <w:b/>
          <w:sz w:val="30"/>
          <w:highlight w:val="none"/>
        </w:rPr>
      </w:pPr>
    </w:p>
    <w:p>
      <w:pPr>
        <w:spacing w:line="360" w:lineRule="auto"/>
        <w:ind w:firstLine="3322" w:firstLineChars="1100"/>
        <w:rPr>
          <w:b/>
          <w:sz w:val="30"/>
          <w:highlight w:val="none"/>
        </w:rPr>
      </w:pPr>
    </w:p>
    <w:p>
      <w:pPr>
        <w:spacing w:line="360" w:lineRule="auto"/>
        <w:ind w:firstLine="3322" w:firstLineChars="1100"/>
        <w:rPr>
          <w:b/>
          <w:sz w:val="30"/>
          <w:highlight w:val="none"/>
        </w:rPr>
      </w:pPr>
    </w:p>
    <w:p>
      <w:pPr>
        <w:spacing w:line="360" w:lineRule="auto"/>
        <w:ind w:firstLine="3322" w:firstLineChars="1100"/>
        <w:rPr>
          <w:b/>
          <w:sz w:val="30"/>
          <w:highlight w:val="none"/>
        </w:rPr>
      </w:pPr>
    </w:p>
    <w:p>
      <w:pPr>
        <w:spacing w:line="360" w:lineRule="auto"/>
        <w:ind w:firstLine="3322" w:firstLineChars="1100"/>
        <w:rPr>
          <w:b/>
          <w:sz w:val="30"/>
          <w:highlight w:val="none"/>
        </w:rPr>
      </w:pPr>
    </w:p>
    <w:p>
      <w:pPr>
        <w:spacing w:line="360" w:lineRule="auto"/>
        <w:ind w:firstLine="3322" w:firstLineChars="1100"/>
        <w:rPr>
          <w:b/>
          <w:sz w:val="30"/>
          <w:highlight w:val="none"/>
        </w:rPr>
      </w:pPr>
      <w:r>
        <w:rPr>
          <w:rFonts w:hint="eastAsia"/>
          <w:b/>
          <w:sz w:val="30"/>
          <w:highlight w:val="none"/>
        </w:rPr>
        <w:t>一、供应商自评表</w:t>
      </w:r>
    </w:p>
    <w:tbl>
      <w:tblPr>
        <w:tblStyle w:val="25"/>
        <w:tblW w:w="9856" w:type="dxa"/>
        <w:tblInd w:w="0" w:type="dxa"/>
        <w:tblLayout w:type="fixed"/>
        <w:tblCellMar>
          <w:top w:w="15" w:type="dxa"/>
          <w:left w:w="15" w:type="dxa"/>
          <w:bottom w:w="15" w:type="dxa"/>
          <w:right w:w="15" w:type="dxa"/>
        </w:tblCellMar>
      </w:tblPr>
      <w:tblGrid>
        <w:gridCol w:w="1225"/>
        <w:gridCol w:w="3896"/>
        <w:gridCol w:w="896"/>
        <w:gridCol w:w="1072"/>
        <w:gridCol w:w="1390"/>
        <w:gridCol w:w="1377"/>
      </w:tblGrid>
      <w:tr>
        <w:tblPrEx>
          <w:tblCellMar>
            <w:top w:w="15" w:type="dxa"/>
            <w:left w:w="15" w:type="dxa"/>
            <w:bottom w:w="15" w:type="dxa"/>
            <w:right w:w="15" w:type="dxa"/>
          </w:tblCellMar>
        </w:tblPrEx>
        <w:trPr>
          <w:trHeight w:val="988" w:hRule="atLeast"/>
        </w:trPr>
        <w:tc>
          <w:tcPr>
            <w:tcW w:w="12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b/>
                <w:bCs/>
                <w:szCs w:val="21"/>
                <w:highlight w:val="none"/>
              </w:rPr>
            </w:pPr>
            <w:r>
              <w:rPr>
                <w:rFonts w:hint="eastAsia" w:ascii="宋体" w:hAnsi="宋体" w:cs="宋体"/>
                <w:b/>
                <w:bCs/>
                <w:szCs w:val="21"/>
                <w:highlight w:val="none"/>
              </w:rPr>
              <w:t>评审项目</w:t>
            </w:r>
          </w:p>
        </w:tc>
        <w:tc>
          <w:tcPr>
            <w:tcW w:w="389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b/>
                <w:bCs/>
                <w:szCs w:val="21"/>
                <w:highlight w:val="none"/>
              </w:rPr>
            </w:pPr>
            <w:r>
              <w:rPr>
                <w:rFonts w:hint="eastAsia" w:ascii="宋体" w:hAnsi="宋体" w:cs="宋体"/>
                <w:b/>
                <w:bCs/>
                <w:szCs w:val="21"/>
                <w:highlight w:val="none"/>
              </w:rPr>
              <w:t>评分标准</w:t>
            </w:r>
          </w:p>
        </w:tc>
        <w:tc>
          <w:tcPr>
            <w:tcW w:w="89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b/>
                <w:bCs/>
                <w:szCs w:val="21"/>
                <w:highlight w:val="none"/>
              </w:rPr>
            </w:pPr>
            <w:r>
              <w:rPr>
                <w:rFonts w:hint="eastAsia" w:ascii="宋体" w:hAnsi="宋体" w:cs="宋体"/>
                <w:b/>
                <w:bCs/>
                <w:szCs w:val="21"/>
                <w:highlight w:val="none"/>
              </w:rPr>
              <w:t>分值</w:t>
            </w:r>
          </w:p>
        </w:tc>
        <w:tc>
          <w:tcPr>
            <w:tcW w:w="107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b/>
                <w:bCs/>
                <w:szCs w:val="21"/>
                <w:highlight w:val="none"/>
              </w:rPr>
            </w:pPr>
            <w:r>
              <w:rPr>
                <w:rFonts w:hint="eastAsia" w:ascii="宋体" w:hAnsi="宋体" w:cs="宋体"/>
                <w:b/>
                <w:bCs/>
                <w:szCs w:val="21"/>
                <w:highlight w:val="none"/>
              </w:rPr>
              <w:t>自评</w:t>
            </w:r>
          </w:p>
          <w:p>
            <w:pPr>
              <w:widowControl/>
              <w:spacing w:line="360" w:lineRule="auto"/>
              <w:jc w:val="center"/>
              <w:textAlignment w:val="center"/>
              <w:rPr>
                <w:rFonts w:ascii="宋体" w:hAnsi="宋体" w:cs="宋体"/>
                <w:b/>
                <w:bCs/>
                <w:szCs w:val="21"/>
                <w:highlight w:val="none"/>
              </w:rPr>
            </w:pPr>
            <w:r>
              <w:rPr>
                <w:rFonts w:hint="eastAsia" w:ascii="宋体" w:hAnsi="宋体" w:cs="宋体"/>
                <w:b/>
                <w:bCs/>
                <w:szCs w:val="21"/>
                <w:highlight w:val="none"/>
              </w:rPr>
              <w:t>分值</w:t>
            </w:r>
          </w:p>
        </w:tc>
        <w:tc>
          <w:tcPr>
            <w:tcW w:w="13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b/>
                <w:bCs/>
                <w:szCs w:val="21"/>
                <w:highlight w:val="none"/>
              </w:rPr>
            </w:pPr>
            <w:r>
              <w:rPr>
                <w:rFonts w:hint="eastAsia" w:ascii="宋体" w:hAnsi="宋体" w:cs="宋体"/>
                <w:b/>
                <w:bCs/>
                <w:szCs w:val="21"/>
                <w:highlight w:val="none"/>
              </w:rPr>
              <w:t>评分</w:t>
            </w:r>
          </w:p>
          <w:p>
            <w:pPr>
              <w:widowControl/>
              <w:spacing w:line="360" w:lineRule="auto"/>
              <w:jc w:val="center"/>
              <w:textAlignment w:val="center"/>
              <w:rPr>
                <w:rFonts w:ascii="宋体" w:hAnsi="宋体" w:cs="宋体"/>
                <w:b/>
                <w:bCs/>
                <w:szCs w:val="21"/>
                <w:highlight w:val="none"/>
              </w:rPr>
            </w:pPr>
            <w:r>
              <w:rPr>
                <w:rFonts w:hint="eastAsia" w:ascii="宋体" w:hAnsi="宋体" w:cs="宋体"/>
                <w:b/>
                <w:bCs/>
                <w:szCs w:val="21"/>
                <w:highlight w:val="none"/>
              </w:rPr>
              <w:t>依据</w:t>
            </w:r>
          </w:p>
        </w:tc>
        <w:tc>
          <w:tcPr>
            <w:tcW w:w="137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b/>
                <w:bCs/>
                <w:szCs w:val="21"/>
                <w:highlight w:val="none"/>
              </w:rPr>
            </w:pPr>
            <w:r>
              <w:rPr>
                <w:rFonts w:hint="eastAsia" w:ascii="宋体" w:hAnsi="宋体" w:cs="宋体"/>
                <w:b/>
                <w:bCs/>
                <w:szCs w:val="21"/>
                <w:highlight w:val="none"/>
              </w:rPr>
              <w:t>评分对</w:t>
            </w:r>
          </w:p>
          <w:p>
            <w:pPr>
              <w:widowControl/>
              <w:spacing w:line="360" w:lineRule="auto"/>
              <w:jc w:val="center"/>
              <w:textAlignment w:val="center"/>
              <w:rPr>
                <w:rFonts w:ascii="宋体" w:hAnsi="宋体" w:cs="宋体"/>
                <w:b/>
                <w:bCs/>
                <w:szCs w:val="21"/>
                <w:highlight w:val="none"/>
              </w:rPr>
            </w:pPr>
            <w:r>
              <w:rPr>
                <w:rFonts w:hint="eastAsia" w:ascii="宋体" w:hAnsi="宋体" w:cs="宋体"/>
                <w:b/>
                <w:bCs/>
                <w:szCs w:val="21"/>
                <w:highlight w:val="none"/>
              </w:rPr>
              <w:t>应页码</w:t>
            </w:r>
          </w:p>
        </w:tc>
      </w:tr>
      <w:tr>
        <w:tblPrEx>
          <w:tblCellMar>
            <w:top w:w="15" w:type="dxa"/>
            <w:left w:w="15" w:type="dxa"/>
            <w:bottom w:w="15" w:type="dxa"/>
            <w:right w:w="15" w:type="dxa"/>
          </w:tblCellMar>
        </w:tblPrEx>
        <w:trPr>
          <w:trHeight w:val="1335" w:hRule="atLeast"/>
        </w:trPr>
        <w:tc>
          <w:tcPr>
            <w:tcW w:w="12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Cs w:val="21"/>
                <w:highlight w:val="none"/>
              </w:rPr>
            </w:pPr>
          </w:p>
        </w:tc>
        <w:tc>
          <w:tcPr>
            <w:tcW w:w="389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highlight w:val="none"/>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Cs w:val="21"/>
                <w:highlight w:val="none"/>
              </w:rPr>
            </w:pPr>
          </w:p>
        </w:tc>
        <w:tc>
          <w:tcPr>
            <w:tcW w:w="107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Cs w:val="21"/>
                <w:highlight w:val="none"/>
              </w:rPr>
            </w:pPr>
          </w:p>
        </w:tc>
        <w:tc>
          <w:tcPr>
            <w:tcW w:w="13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Cs w:val="21"/>
                <w:highlight w:val="none"/>
              </w:rPr>
            </w:pPr>
          </w:p>
        </w:tc>
        <w:tc>
          <w:tcPr>
            <w:tcW w:w="137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Cs w:val="21"/>
                <w:highlight w:val="none"/>
              </w:rPr>
            </w:pPr>
          </w:p>
        </w:tc>
      </w:tr>
      <w:tr>
        <w:tblPrEx>
          <w:tblCellMar>
            <w:top w:w="15" w:type="dxa"/>
            <w:left w:w="15" w:type="dxa"/>
            <w:bottom w:w="15" w:type="dxa"/>
            <w:right w:w="15" w:type="dxa"/>
          </w:tblCellMar>
        </w:tblPrEx>
        <w:trPr>
          <w:trHeight w:val="1657" w:hRule="atLeast"/>
        </w:trPr>
        <w:tc>
          <w:tcPr>
            <w:tcW w:w="12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Cs w:val="21"/>
                <w:highlight w:val="none"/>
              </w:rPr>
            </w:pPr>
          </w:p>
        </w:tc>
        <w:tc>
          <w:tcPr>
            <w:tcW w:w="389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宋体" w:hAnsi="宋体" w:cs="宋体"/>
                <w:szCs w:val="21"/>
                <w:highlight w:val="none"/>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Cs w:val="21"/>
                <w:highlight w:val="none"/>
              </w:rPr>
            </w:pPr>
          </w:p>
        </w:tc>
        <w:tc>
          <w:tcPr>
            <w:tcW w:w="107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Cs w:val="21"/>
                <w:highlight w:val="none"/>
              </w:rPr>
            </w:pPr>
          </w:p>
        </w:tc>
        <w:tc>
          <w:tcPr>
            <w:tcW w:w="13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Cs w:val="21"/>
                <w:highlight w:val="none"/>
              </w:rPr>
            </w:pPr>
          </w:p>
        </w:tc>
        <w:tc>
          <w:tcPr>
            <w:tcW w:w="137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Cs w:val="21"/>
                <w:highlight w:val="none"/>
              </w:rPr>
            </w:pPr>
          </w:p>
        </w:tc>
      </w:tr>
      <w:tr>
        <w:tblPrEx>
          <w:tblCellMar>
            <w:top w:w="15" w:type="dxa"/>
            <w:left w:w="15" w:type="dxa"/>
            <w:bottom w:w="15" w:type="dxa"/>
            <w:right w:w="15" w:type="dxa"/>
          </w:tblCellMar>
        </w:tblPrEx>
        <w:trPr>
          <w:trHeight w:val="1605" w:hRule="atLeast"/>
        </w:trPr>
        <w:tc>
          <w:tcPr>
            <w:tcW w:w="12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highlight w:val="none"/>
              </w:rPr>
            </w:pPr>
          </w:p>
        </w:tc>
        <w:tc>
          <w:tcPr>
            <w:tcW w:w="3896"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highlight w:val="none"/>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Cs w:val="21"/>
                <w:highlight w:val="none"/>
              </w:rPr>
            </w:pPr>
          </w:p>
        </w:tc>
        <w:tc>
          <w:tcPr>
            <w:tcW w:w="107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Cs w:val="21"/>
                <w:highlight w:val="none"/>
              </w:rPr>
            </w:pPr>
          </w:p>
        </w:tc>
        <w:tc>
          <w:tcPr>
            <w:tcW w:w="13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Cs w:val="21"/>
                <w:highlight w:val="none"/>
              </w:rPr>
            </w:pPr>
          </w:p>
        </w:tc>
        <w:tc>
          <w:tcPr>
            <w:tcW w:w="137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Cs w:val="21"/>
                <w:highlight w:val="none"/>
              </w:rPr>
            </w:pPr>
          </w:p>
        </w:tc>
      </w:tr>
      <w:tr>
        <w:tblPrEx>
          <w:tblCellMar>
            <w:top w:w="15" w:type="dxa"/>
            <w:left w:w="15" w:type="dxa"/>
            <w:bottom w:w="15" w:type="dxa"/>
            <w:right w:w="15" w:type="dxa"/>
          </w:tblCellMar>
        </w:tblPrEx>
        <w:trPr>
          <w:trHeight w:val="1387" w:hRule="atLeast"/>
        </w:trPr>
        <w:tc>
          <w:tcPr>
            <w:tcW w:w="12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highlight w:val="none"/>
              </w:rPr>
            </w:pPr>
          </w:p>
        </w:tc>
        <w:tc>
          <w:tcPr>
            <w:tcW w:w="3896"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highlight w:val="none"/>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Cs w:val="21"/>
                <w:highlight w:val="none"/>
              </w:rPr>
            </w:pPr>
          </w:p>
        </w:tc>
        <w:tc>
          <w:tcPr>
            <w:tcW w:w="107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Cs w:val="21"/>
                <w:highlight w:val="none"/>
              </w:rPr>
            </w:pPr>
          </w:p>
        </w:tc>
        <w:tc>
          <w:tcPr>
            <w:tcW w:w="13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Cs w:val="21"/>
                <w:highlight w:val="none"/>
              </w:rPr>
            </w:pPr>
          </w:p>
        </w:tc>
        <w:tc>
          <w:tcPr>
            <w:tcW w:w="137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Cs w:val="21"/>
                <w:highlight w:val="none"/>
              </w:rPr>
            </w:pPr>
          </w:p>
        </w:tc>
      </w:tr>
    </w:tbl>
    <w:p>
      <w:pPr>
        <w:spacing w:line="440" w:lineRule="exact"/>
        <w:rPr>
          <w:rFonts w:ascii="宋体" w:hAnsi="宋体" w:cs="宋体"/>
          <w:b/>
          <w:bCs/>
          <w:szCs w:val="21"/>
          <w:highlight w:val="none"/>
        </w:rPr>
      </w:pPr>
      <w:r>
        <w:rPr>
          <w:rFonts w:hint="eastAsia" w:ascii="宋体" w:hAnsi="宋体" w:cs="宋体"/>
          <w:b/>
          <w:bCs/>
          <w:szCs w:val="21"/>
          <w:highlight w:val="none"/>
        </w:rPr>
        <w:t>注：评审项目、评分标准、分值对应“第四章  评标原则及方法”商务及技术分评审内容。</w:t>
      </w:r>
    </w:p>
    <w:p>
      <w:pPr>
        <w:spacing w:line="440" w:lineRule="exact"/>
        <w:ind w:firstLine="4860"/>
        <w:rPr>
          <w:rFonts w:ascii="宋体" w:hAnsi="宋体" w:cs="宋体"/>
          <w:b/>
          <w:bCs/>
          <w:szCs w:val="21"/>
          <w:highlight w:val="none"/>
        </w:rPr>
      </w:pPr>
    </w:p>
    <w:p>
      <w:pPr>
        <w:spacing w:line="440" w:lineRule="exact"/>
        <w:ind w:firstLine="4860"/>
        <w:rPr>
          <w:rFonts w:ascii="宋体" w:hAnsi="宋体" w:cs="宋体"/>
          <w:b/>
          <w:bCs/>
          <w:szCs w:val="21"/>
          <w:highlight w:val="none"/>
        </w:rPr>
      </w:pPr>
    </w:p>
    <w:p>
      <w:pPr>
        <w:spacing w:line="360" w:lineRule="auto"/>
        <w:ind w:right="480" w:firstLine="432" w:firstLineChars="204"/>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投标</w:t>
      </w:r>
      <w:r>
        <w:rPr>
          <w:rFonts w:hint="eastAsia"/>
          <w:color w:val="000000" w:themeColor="text1"/>
          <w:szCs w:val="21"/>
          <w:highlight w:val="none"/>
          <w14:textFill>
            <w14:solidFill>
              <w14:schemeClr w14:val="tx1"/>
            </w14:solidFill>
          </w14:textFill>
        </w:rPr>
        <w:t>单位</w:t>
      </w:r>
      <w:r>
        <w:rPr>
          <w:color w:val="000000" w:themeColor="text1"/>
          <w:szCs w:val="21"/>
          <w:highlight w:val="none"/>
          <w14:textFill>
            <w14:solidFill>
              <w14:schemeClr w14:val="tx1"/>
            </w14:solidFill>
          </w14:textFill>
        </w:rPr>
        <w:t>名称（</w:t>
      </w:r>
      <w:r>
        <w:rPr>
          <w:rFonts w:hint="eastAsia"/>
          <w:color w:val="000000" w:themeColor="text1"/>
          <w:szCs w:val="21"/>
          <w:highlight w:val="none"/>
          <w14:textFill>
            <w14:solidFill>
              <w14:schemeClr w14:val="tx1"/>
            </w14:solidFill>
          </w14:textFill>
        </w:rPr>
        <w:t>公</w:t>
      </w:r>
      <w:r>
        <w:rPr>
          <w:color w:val="000000" w:themeColor="text1"/>
          <w:szCs w:val="21"/>
          <w:highlight w:val="none"/>
          <w14:textFill>
            <w14:solidFill>
              <w14:schemeClr w14:val="tx1"/>
            </w14:solidFill>
          </w14:textFill>
        </w:rPr>
        <w:t>章）：</w:t>
      </w:r>
      <w:r>
        <w:rPr>
          <w:color w:val="000000" w:themeColor="text1"/>
          <w:szCs w:val="21"/>
          <w:highlight w:val="none"/>
          <w:u w:val="single"/>
          <w14:textFill>
            <w14:solidFill>
              <w14:schemeClr w14:val="tx1"/>
            </w14:solidFill>
          </w14:textFill>
        </w:rPr>
        <w:t xml:space="preserve">        </w:t>
      </w:r>
      <w:r>
        <w:rPr>
          <w:rFonts w:hint="eastAsia"/>
          <w:color w:val="000000" w:themeColor="text1"/>
          <w:szCs w:val="21"/>
          <w:highlight w:val="none"/>
          <w:u w:val="single"/>
          <w14:textFill>
            <w14:solidFill>
              <w14:schemeClr w14:val="tx1"/>
            </w14:solidFill>
          </w14:textFill>
        </w:rPr>
        <w:t xml:space="preserve">         </w:t>
      </w:r>
      <w:r>
        <w:rPr>
          <w:color w:val="000000" w:themeColor="text1"/>
          <w:szCs w:val="21"/>
          <w:highlight w:val="none"/>
          <w:u w:val="single"/>
          <w14:textFill>
            <w14:solidFill>
              <w14:schemeClr w14:val="tx1"/>
            </w14:solidFill>
          </w14:textFill>
        </w:rPr>
        <w:t xml:space="preserve">           </w:t>
      </w:r>
    </w:p>
    <w:p>
      <w:pPr>
        <w:spacing w:line="360" w:lineRule="auto"/>
        <w:ind w:right="480" w:firstLine="432" w:firstLineChars="204"/>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法定代表人或授权代表（签字</w:t>
      </w:r>
      <w:r>
        <w:rPr>
          <w:rFonts w:hint="eastAsia"/>
          <w:color w:val="000000" w:themeColor="text1"/>
          <w:szCs w:val="21"/>
          <w:highlight w:val="none"/>
          <w14:textFill>
            <w14:solidFill>
              <w14:schemeClr w14:val="tx1"/>
            </w14:solidFill>
          </w14:textFill>
        </w:rPr>
        <w:t>或盖章</w:t>
      </w:r>
      <w:r>
        <w:rPr>
          <w:color w:val="000000" w:themeColor="text1"/>
          <w:szCs w:val="21"/>
          <w:highlight w:val="none"/>
          <w14:textFill>
            <w14:solidFill>
              <w14:schemeClr w14:val="tx1"/>
            </w14:solidFill>
          </w14:textFill>
        </w:rPr>
        <w:t>）：</w:t>
      </w:r>
      <w:r>
        <w:rPr>
          <w:color w:val="000000" w:themeColor="text1"/>
          <w:szCs w:val="21"/>
          <w:highlight w:val="none"/>
          <w:u w:val="single"/>
          <w14:textFill>
            <w14:solidFill>
              <w14:schemeClr w14:val="tx1"/>
            </w14:solidFill>
          </w14:textFill>
        </w:rPr>
        <w:t xml:space="preserve">                     </w:t>
      </w:r>
    </w:p>
    <w:p>
      <w:pPr>
        <w:spacing w:line="360" w:lineRule="auto"/>
        <w:ind w:right="480" w:firstLine="432" w:firstLineChars="204"/>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日期：        年  月   日</w:t>
      </w:r>
    </w:p>
    <w:p>
      <w:pPr>
        <w:pStyle w:val="24"/>
        <w:ind w:firstLine="0"/>
        <w:rPr>
          <w:highlight w:val="none"/>
        </w:rPr>
      </w:pPr>
    </w:p>
    <w:p>
      <w:pPr>
        <w:spacing w:line="500" w:lineRule="exact"/>
        <w:ind w:firstLine="3384" w:firstLineChars="1200"/>
        <w:rPr>
          <w:rFonts w:ascii="宋体" w:hAnsi="宋体"/>
          <w:b/>
          <w:bCs/>
          <w:color w:val="000000"/>
          <w:sz w:val="28"/>
          <w:szCs w:val="28"/>
          <w:highlight w:val="none"/>
        </w:rPr>
      </w:pPr>
    </w:p>
    <w:p>
      <w:pPr>
        <w:spacing w:line="500" w:lineRule="exact"/>
        <w:ind w:firstLine="3384" w:firstLineChars="1200"/>
        <w:rPr>
          <w:rFonts w:ascii="宋体" w:hAnsi="宋体"/>
          <w:b/>
          <w:bCs/>
          <w:color w:val="000000"/>
          <w:sz w:val="28"/>
          <w:szCs w:val="28"/>
          <w:highlight w:val="none"/>
        </w:rPr>
      </w:pPr>
    </w:p>
    <w:p>
      <w:pPr>
        <w:snapToGrid w:val="0"/>
        <w:spacing w:beforeLines="50" w:after="50"/>
        <w:ind w:firstLine="2534" w:firstLineChars="700"/>
        <w:rPr>
          <w:rFonts w:ascii="仿宋_GB2312" w:hAnsi="宋体" w:eastAsia="仿宋_GB2312"/>
          <w:b/>
          <w:color w:val="000000"/>
          <w:sz w:val="36"/>
          <w:szCs w:val="36"/>
          <w:highlight w:val="none"/>
        </w:rPr>
      </w:pPr>
    </w:p>
    <w:p>
      <w:pPr>
        <w:snapToGrid w:val="0"/>
        <w:spacing w:beforeLines="50" w:after="50"/>
        <w:ind w:firstLine="2534" w:firstLineChars="700"/>
        <w:rPr>
          <w:rFonts w:ascii="仿宋_GB2312" w:hAnsi="宋体" w:eastAsia="仿宋_GB2312"/>
          <w:b/>
          <w:color w:val="000000"/>
          <w:sz w:val="36"/>
          <w:szCs w:val="36"/>
          <w:highlight w:val="none"/>
        </w:rPr>
      </w:pPr>
    </w:p>
    <w:p>
      <w:pPr>
        <w:pStyle w:val="2"/>
        <w:rPr>
          <w:rFonts w:ascii="仿宋_GB2312" w:hAnsi="宋体" w:eastAsia="仿宋_GB2312"/>
          <w:b/>
          <w:color w:val="000000"/>
          <w:sz w:val="36"/>
          <w:szCs w:val="36"/>
          <w:highlight w:val="none"/>
        </w:rPr>
      </w:pPr>
    </w:p>
    <w:p>
      <w:pPr>
        <w:rPr>
          <w:highlight w:val="none"/>
        </w:rPr>
      </w:pPr>
    </w:p>
    <w:p>
      <w:pPr>
        <w:spacing w:line="360" w:lineRule="auto"/>
        <w:ind w:firstLine="2718" w:firstLineChars="900"/>
        <w:rPr>
          <w:b/>
          <w:sz w:val="30"/>
          <w:highlight w:val="none"/>
        </w:rPr>
      </w:pPr>
      <w:r>
        <w:rPr>
          <w:rFonts w:hint="eastAsia"/>
          <w:b/>
          <w:sz w:val="30"/>
          <w:highlight w:val="none"/>
        </w:rPr>
        <w:t>二、项目实施人员一览表</w:t>
      </w:r>
    </w:p>
    <w:tbl>
      <w:tblPr>
        <w:tblStyle w:val="25"/>
        <w:tblW w:w="9800"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85"/>
        <w:gridCol w:w="1084"/>
        <w:gridCol w:w="1797"/>
        <w:gridCol w:w="1361"/>
        <w:gridCol w:w="2387"/>
        <w:gridCol w:w="20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085"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姓名</w:t>
            </w:r>
          </w:p>
        </w:tc>
        <w:tc>
          <w:tcPr>
            <w:tcW w:w="1084"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职务</w:t>
            </w:r>
          </w:p>
        </w:tc>
        <w:tc>
          <w:tcPr>
            <w:tcW w:w="1797"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专业技术资格</w:t>
            </w:r>
          </w:p>
        </w:tc>
        <w:tc>
          <w:tcPr>
            <w:tcW w:w="1361"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证书编号</w:t>
            </w:r>
          </w:p>
        </w:tc>
        <w:tc>
          <w:tcPr>
            <w:tcW w:w="2387"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参加本单位工作时间</w:t>
            </w:r>
          </w:p>
        </w:tc>
        <w:tc>
          <w:tcPr>
            <w:tcW w:w="2086"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1085"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Theme="minorEastAsia" w:hAnsiTheme="minorEastAsia" w:eastAsiaTheme="minorEastAsia" w:cstheme="minorEastAsia"/>
                <w:szCs w:val="21"/>
                <w:highlight w:val="none"/>
              </w:rPr>
            </w:pPr>
          </w:p>
        </w:tc>
        <w:tc>
          <w:tcPr>
            <w:tcW w:w="108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Theme="minorEastAsia" w:hAnsiTheme="minorEastAsia" w:eastAsiaTheme="minorEastAsia" w:cstheme="minorEastAsia"/>
                <w:szCs w:val="21"/>
                <w:highlight w:val="none"/>
              </w:rPr>
            </w:pPr>
          </w:p>
        </w:tc>
        <w:tc>
          <w:tcPr>
            <w:tcW w:w="1797"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Theme="minorEastAsia" w:hAnsiTheme="minorEastAsia" w:eastAsiaTheme="minorEastAsia" w:cstheme="minorEastAsia"/>
                <w:szCs w:val="21"/>
                <w:highlight w:val="none"/>
              </w:rPr>
            </w:pPr>
          </w:p>
        </w:tc>
        <w:tc>
          <w:tcPr>
            <w:tcW w:w="1361"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Theme="minorEastAsia" w:hAnsiTheme="minorEastAsia" w:eastAsiaTheme="minorEastAsia" w:cstheme="minorEastAsia"/>
                <w:szCs w:val="21"/>
                <w:highlight w:val="none"/>
              </w:rPr>
            </w:pPr>
          </w:p>
        </w:tc>
        <w:tc>
          <w:tcPr>
            <w:tcW w:w="2387"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Theme="minorEastAsia" w:hAnsiTheme="minorEastAsia" w:eastAsiaTheme="minorEastAsia" w:cstheme="minorEastAsia"/>
                <w:szCs w:val="21"/>
                <w:highlight w:val="none"/>
              </w:rPr>
            </w:pPr>
          </w:p>
        </w:tc>
        <w:tc>
          <w:tcPr>
            <w:tcW w:w="2086"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Theme="minorEastAsia" w:hAnsiTheme="minorEastAsia" w:eastAsia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1085"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Theme="minorEastAsia" w:hAnsiTheme="minorEastAsia" w:eastAsiaTheme="minorEastAsia" w:cstheme="minorEastAsia"/>
                <w:szCs w:val="21"/>
                <w:highlight w:val="none"/>
              </w:rPr>
            </w:pPr>
          </w:p>
        </w:tc>
        <w:tc>
          <w:tcPr>
            <w:tcW w:w="108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Theme="minorEastAsia" w:hAnsiTheme="minorEastAsia" w:eastAsiaTheme="minorEastAsia" w:cstheme="minorEastAsia"/>
                <w:szCs w:val="21"/>
                <w:highlight w:val="none"/>
              </w:rPr>
            </w:pPr>
          </w:p>
        </w:tc>
        <w:tc>
          <w:tcPr>
            <w:tcW w:w="1797"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Theme="minorEastAsia" w:hAnsiTheme="minorEastAsia" w:eastAsiaTheme="minorEastAsia" w:cstheme="minorEastAsia"/>
                <w:szCs w:val="21"/>
                <w:highlight w:val="none"/>
              </w:rPr>
            </w:pPr>
          </w:p>
        </w:tc>
        <w:tc>
          <w:tcPr>
            <w:tcW w:w="1361"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Theme="minorEastAsia" w:hAnsiTheme="minorEastAsia" w:eastAsiaTheme="minorEastAsia" w:cstheme="minorEastAsia"/>
                <w:szCs w:val="21"/>
                <w:highlight w:val="none"/>
              </w:rPr>
            </w:pPr>
          </w:p>
        </w:tc>
        <w:tc>
          <w:tcPr>
            <w:tcW w:w="2387"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Theme="minorEastAsia" w:hAnsiTheme="minorEastAsia" w:eastAsiaTheme="minorEastAsia" w:cstheme="minorEastAsia"/>
                <w:szCs w:val="21"/>
                <w:highlight w:val="none"/>
              </w:rPr>
            </w:pPr>
          </w:p>
        </w:tc>
        <w:tc>
          <w:tcPr>
            <w:tcW w:w="2086"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Theme="minorEastAsia" w:hAnsiTheme="minorEastAsia" w:eastAsia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1085"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Theme="minorEastAsia" w:hAnsiTheme="minorEastAsia" w:eastAsiaTheme="minorEastAsia" w:cstheme="minorEastAsia"/>
                <w:szCs w:val="21"/>
                <w:highlight w:val="none"/>
              </w:rPr>
            </w:pPr>
          </w:p>
        </w:tc>
        <w:tc>
          <w:tcPr>
            <w:tcW w:w="108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Theme="minorEastAsia" w:hAnsiTheme="minorEastAsia" w:eastAsiaTheme="minorEastAsia" w:cstheme="minorEastAsia"/>
                <w:szCs w:val="21"/>
                <w:highlight w:val="none"/>
              </w:rPr>
            </w:pPr>
          </w:p>
        </w:tc>
        <w:tc>
          <w:tcPr>
            <w:tcW w:w="1797" w:type="dxa"/>
            <w:tcBorders>
              <w:top w:val="single" w:color="auto" w:sz="4" w:space="0"/>
              <w:left w:val="single" w:color="auto" w:sz="4" w:space="0"/>
              <w:bottom w:val="single" w:color="auto" w:sz="4" w:space="0"/>
              <w:right w:val="single" w:color="auto" w:sz="4" w:space="0"/>
            </w:tcBorders>
          </w:tcPr>
          <w:p>
            <w:pPr>
              <w:pStyle w:val="16"/>
              <w:snapToGrid w:val="0"/>
              <w:spacing w:beforeLines="50" w:after="50" w:line="460" w:lineRule="exact"/>
              <w:ind w:left="5309"/>
              <w:rPr>
                <w:rFonts w:asciiTheme="minorEastAsia" w:hAnsiTheme="minorEastAsia" w:eastAsiaTheme="minorEastAsia" w:cstheme="minorEastAsia"/>
                <w:sz w:val="21"/>
                <w:szCs w:val="21"/>
                <w:highlight w:val="none"/>
              </w:rPr>
            </w:pPr>
          </w:p>
        </w:tc>
        <w:tc>
          <w:tcPr>
            <w:tcW w:w="1361"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Theme="minorEastAsia" w:hAnsiTheme="minorEastAsia" w:eastAsiaTheme="minorEastAsia" w:cstheme="minorEastAsia"/>
                <w:szCs w:val="21"/>
                <w:highlight w:val="none"/>
              </w:rPr>
            </w:pPr>
          </w:p>
        </w:tc>
        <w:tc>
          <w:tcPr>
            <w:tcW w:w="2387"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Theme="minorEastAsia" w:hAnsiTheme="minorEastAsia" w:eastAsiaTheme="minorEastAsia" w:cstheme="minorEastAsia"/>
                <w:szCs w:val="21"/>
                <w:highlight w:val="none"/>
              </w:rPr>
            </w:pPr>
          </w:p>
        </w:tc>
        <w:tc>
          <w:tcPr>
            <w:tcW w:w="2086"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Theme="minorEastAsia" w:hAnsiTheme="minorEastAsia" w:eastAsia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1085"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Theme="minorEastAsia" w:hAnsiTheme="minorEastAsia" w:eastAsiaTheme="minorEastAsia" w:cstheme="minorEastAsia"/>
                <w:szCs w:val="21"/>
                <w:highlight w:val="none"/>
              </w:rPr>
            </w:pPr>
          </w:p>
        </w:tc>
        <w:tc>
          <w:tcPr>
            <w:tcW w:w="108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Theme="minorEastAsia" w:hAnsiTheme="minorEastAsia" w:eastAsiaTheme="minorEastAsia" w:cstheme="minorEastAsia"/>
                <w:szCs w:val="21"/>
                <w:highlight w:val="none"/>
              </w:rPr>
            </w:pPr>
          </w:p>
        </w:tc>
        <w:tc>
          <w:tcPr>
            <w:tcW w:w="1797"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Theme="minorEastAsia" w:hAnsiTheme="minorEastAsia" w:eastAsiaTheme="minorEastAsia" w:cstheme="minorEastAsia"/>
                <w:szCs w:val="21"/>
                <w:highlight w:val="none"/>
              </w:rPr>
            </w:pPr>
          </w:p>
        </w:tc>
        <w:tc>
          <w:tcPr>
            <w:tcW w:w="1361"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Theme="minorEastAsia" w:hAnsiTheme="minorEastAsia" w:eastAsiaTheme="minorEastAsia" w:cstheme="minorEastAsia"/>
                <w:szCs w:val="21"/>
                <w:highlight w:val="none"/>
              </w:rPr>
            </w:pPr>
          </w:p>
        </w:tc>
        <w:tc>
          <w:tcPr>
            <w:tcW w:w="2387"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Theme="minorEastAsia" w:hAnsiTheme="minorEastAsia" w:eastAsiaTheme="minorEastAsia" w:cstheme="minorEastAsia"/>
                <w:szCs w:val="21"/>
                <w:highlight w:val="none"/>
              </w:rPr>
            </w:pPr>
          </w:p>
        </w:tc>
        <w:tc>
          <w:tcPr>
            <w:tcW w:w="2086"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Theme="minorEastAsia" w:hAnsiTheme="minorEastAsia" w:eastAsia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1085"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Theme="minorEastAsia" w:hAnsiTheme="minorEastAsia" w:eastAsiaTheme="minorEastAsia" w:cstheme="minorEastAsia"/>
                <w:szCs w:val="21"/>
                <w:highlight w:val="none"/>
              </w:rPr>
            </w:pPr>
          </w:p>
        </w:tc>
        <w:tc>
          <w:tcPr>
            <w:tcW w:w="108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Theme="minorEastAsia" w:hAnsiTheme="minorEastAsia" w:eastAsiaTheme="minorEastAsia" w:cstheme="minorEastAsia"/>
                <w:szCs w:val="21"/>
                <w:highlight w:val="none"/>
              </w:rPr>
            </w:pPr>
          </w:p>
        </w:tc>
        <w:tc>
          <w:tcPr>
            <w:tcW w:w="1797"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Theme="minorEastAsia" w:hAnsiTheme="minorEastAsia" w:eastAsiaTheme="minorEastAsia" w:cstheme="minorEastAsia"/>
                <w:szCs w:val="21"/>
                <w:highlight w:val="none"/>
              </w:rPr>
            </w:pPr>
          </w:p>
        </w:tc>
        <w:tc>
          <w:tcPr>
            <w:tcW w:w="1361"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Theme="minorEastAsia" w:hAnsiTheme="minorEastAsia" w:eastAsiaTheme="minorEastAsia" w:cstheme="minorEastAsia"/>
                <w:szCs w:val="21"/>
                <w:highlight w:val="none"/>
              </w:rPr>
            </w:pPr>
          </w:p>
        </w:tc>
        <w:tc>
          <w:tcPr>
            <w:tcW w:w="2387"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Theme="minorEastAsia" w:hAnsiTheme="minorEastAsia" w:eastAsiaTheme="minorEastAsia" w:cstheme="minorEastAsia"/>
                <w:szCs w:val="21"/>
                <w:highlight w:val="none"/>
              </w:rPr>
            </w:pPr>
          </w:p>
        </w:tc>
        <w:tc>
          <w:tcPr>
            <w:tcW w:w="2086"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Theme="minorEastAsia" w:hAnsiTheme="minorEastAsia" w:eastAsia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1085"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Theme="minorEastAsia" w:hAnsiTheme="minorEastAsia" w:eastAsiaTheme="minorEastAsia" w:cstheme="minorEastAsia"/>
                <w:szCs w:val="21"/>
                <w:highlight w:val="none"/>
              </w:rPr>
            </w:pPr>
          </w:p>
        </w:tc>
        <w:tc>
          <w:tcPr>
            <w:tcW w:w="108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Theme="minorEastAsia" w:hAnsiTheme="minorEastAsia" w:eastAsiaTheme="minorEastAsia" w:cstheme="minorEastAsia"/>
                <w:szCs w:val="21"/>
                <w:highlight w:val="none"/>
              </w:rPr>
            </w:pPr>
          </w:p>
        </w:tc>
        <w:tc>
          <w:tcPr>
            <w:tcW w:w="1797"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Theme="minorEastAsia" w:hAnsiTheme="minorEastAsia" w:eastAsiaTheme="minorEastAsia" w:cstheme="minorEastAsia"/>
                <w:szCs w:val="21"/>
                <w:highlight w:val="none"/>
              </w:rPr>
            </w:pPr>
          </w:p>
        </w:tc>
        <w:tc>
          <w:tcPr>
            <w:tcW w:w="1361"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Theme="minorEastAsia" w:hAnsiTheme="minorEastAsia" w:eastAsiaTheme="minorEastAsia" w:cstheme="minorEastAsia"/>
                <w:szCs w:val="21"/>
                <w:highlight w:val="none"/>
              </w:rPr>
            </w:pPr>
          </w:p>
        </w:tc>
        <w:tc>
          <w:tcPr>
            <w:tcW w:w="2387"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Theme="minorEastAsia" w:hAnsiTheme="minorEastAsia" w:eastAsiaTheme="minorEastAsia" w:cstheme="minorEastAsia"/>
                <w:szCs w:val="21"/>
                <w:highlight w:val="none"/>
              </w:rPr>
            </w:pPr>
          </w:p>
        </w:tc>
        <w:tc>
          <w:tcPr>
            <w:tcW w:w="2086"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Theme="minorEastAsia" w:hAnsiTheme="minorEastAsia" w:eastAsia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1085"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Theme="minorEastAsia" w:hAnsiTheme="minorEastAsia" w:eastAsiaTheme="minorEastAsia" w:cstheme="minorEastAsia"/>
                <w:szCs w:val="21"/>
                <w:highlight w:val="none"/>
              </w:rPr>
            </w:pPr>
          </w:p>
        </w:tc>
        <w:tc>
          <w:tcPr>
            <w:tcW w:w="108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Theme="minorEastAsia" w:hAnsiTheme="minorEastAsia" w:eastAsiaTheme="minorEastAsia" w:cstheme="minorEastAsia"/>
                <w:szCs w:val="21"/>
                <w:highlight w:val="none"/>
              </w:rPr>
            </w:pPr>
          </w:p>
        </w:tc>
        <w:tc>
          <w:tcPr>
            <w:tcW w:w="1797"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Theme="minorEastAsia" w:hAnsiTheme="minorEastAsia" w:eastAsiaTheme="minorEastAsia" w:cstheme="minorEastAsia"/>
                <w:szCs w:val="21"/>
                <w:highlight w:val="none"/>
              </w:rPr>
            </w:pPr>
          </w:p>
        </w:tc>
        <w:tc>
          <w:tcPr>
            <w:tcW w:w="1361"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Theme="minorEastAsia" w:hAnsiTheme="minorEastAsia" w:eastAsiaTheme="minorEastAsia" w:cstheme="minorEastAsia"/>
                <w:szCs w:val="21"/>
                <w:highlight w:val="none"/>
              </w:rPr>
            </w:pPr>
          </w:p>
        </w:tc>
        <w:tc>
          <w:tcPr>
            <w:tcW w:w="2387"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Theme="minorEastAsia" w:hAnsiTheme="minorEastAsia" w:eastAsiaTheme="minorEastAsia" w:cstheme="minorEastAsia"/>
                <w:szCs w:val="21"/>
                <w:highlight w:val="none"/>
              </w:rPr>
            </w:pPr>
          </w:p>
        </w:tc>
        <w:tc>
          <w:tcPr>
            <w:tcW w:w="2086"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Theme="minorEastAsia" w:hAnsiTheme="minorEastAsia" w:eastAsia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1085"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Theme="minorEastAsia" w:hAnsiTheme="minorEastAsia" w:eastAsiaTheme="minorEastAsia" w:cstheme="minorEastAsia"/>
                <w:szCs w:val="21"/>
                <w:highlight w:val="none"/>
              </w:rPr>
            </w:pPr>
          </w:p>
        </w:tc>
        <w:tc>
          <w:tcPr>
            <w:tcW w:w="108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Theme="minorEastAsia" w:hAnsiTheme="minorEastAsia" w:eastAsiaTheme="minorEastAsia" w:cstheme="minorEastAsia"/>
                <w:szCs w:val="21"/>
                <w:highlight w:val="none"/>
              </w:rPr>
            </w:pPr>
          </w:p>
        </w:tc>
        <w:tc>
          <w:tcPr>
            <w:tcW w:w="1797"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Theme="minorEastAsia" w:hAnsiTheme="minorEastAsia" w:eastAsiaTheme="minorEastAsia" w:cstheme="minorEastAsia"/>
                <w:szCs w:val="21"/>
                <w:highlight w:val="none"/>
              </w:rPr>
            </w:pPr>
          </w:p>
        </w:tc>
        <w:tc>
          <w:tcPr>
            <w:tcW w:w="1361"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Theme="minorEastAsia" w:hAnsiTheme="minorEastAsia" w:eastAsiaTheme="minorEastAsia" w:cstheme="minorEastAsia"/>
                <w:szCs w:val="21"/>
                <w:highlight w:val="none"/>
              </w:rPr>
            </w:pPr>
          </w:p>
        </w:tc>
        <w:tc>
          <w:tcPr>
            <w:tcW w:w="2387"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Theme="minorEastAsia" w:hAnsiTheme="minorEastAsia" w:eastAsiaTheme="minorEastAsia" w:cstheme="minorEastAsia"/>
                <w:szCs w:val="21"/>
                <w:highlight w:val="none"/>
              </w:rPr>
            </w:pPr>
          </w:p>
        </w:tc>
        <w:tc>
          <w:tcPr>
            <w:tcW w:w="2086"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Theme="minorEastAsia" w:hAnsiTheme="minorEastAsia" w:eastAsia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2" w:hRule="atLeast"/>
        </w:trPr>
        <w:tc>
          <w:tcPr>
            <w:tcW w:w="1085"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Theme="minorEastAsia" w:hAnsiTheme="minorEastAsia" w:eastAsiaTheme="minorEastAsia" w:cstheme="minorEastAsia"/>
                <w:szCs w:val="21"/>
                <w:highlight w:val="none"/>
              </w:rPr>
            </w:pPr>
          </w:p>
        </w:tc>
        <w:tc>
          <w:tcPr>
            <w:tcW w:w="108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Theme="minorEastAsia" w:hAnsiTheme="minorEastAsia" w:eastAsiaTheme="minorEastAsia" w:cstheme="minorEastAsia"/>
                <w:szCs w:val="21"/>
                <w:highlight w:val="none"/>
              </w:rPr>
            </w:pPr>
          </w:p>
        </w:tc>
        <w:tc>
          <w:tcPr>
            <w:tcW w:w="1797"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Theme="minorEastAsia" w:hAnsiTheme="minorEastAsia" w:eastAsiaTheme="minorEastAsia" w:cstheme="minorEastAsia"/>
                <w:szCs w:val="21"/>
                <w:highlight w:val="none"/>
              </w:rPr>
            </w:pPr>
          </w:p>
        </w:tc>
        <w:tc>
          <w:tcPr>
            <w:tcW w:w="1361"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Theme="minorEastAsia" w:hAnsiTheme="minorEastAsia" w:eastAsiaTheme="minorEastAsia" w:cstheme="minorEastAsia"/>
                <w:szCs w:val="21"/>
                <w:highlight w:val="none"/>
              </w:rPr>
            </w:pPr>
          </w:p>
        </w:tc>
        <w:tc>
          <w:tcPr>
            <w:tcW w:w="2387"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Theme="minorEastAsia" w:hAnsiTheme="minorEastAsia" w:eastAsiaTheme="minorEastAsia" w:cstheme="minorEastAsia"/>
                <w:szCs w:val="21"/>
                <w:highlight w:val="none"/>
              </w:rPr>
            </w:pPr>
          </w:p>
        </w:tc>
        <w:tc>
          <w:tcPr>
            <w:tcW w:w="2086"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Theme="minorEastAsia" w:hAnsiTheme="minorEastAsia" w:eastAsiaTheme="minorEastAsia" w:cstheme="minorEastAsia"/>
                <w:szCs w:val="21"/>
                <w:highlight w:val="none"/>
              </w:rPr>
            </w:pPr>
          </w:p>
        </w:tc>
      </w:tr>
    </w:tbl>
    <w:p>
      <w:pPr>
        <w:snapToGrid w:val="0"/>
        <w:spacing w:before="50" w:afterLines="50" w:line="460" w:lineRule="exact"/>
        <w:jc w:val="left"/>
        <w:rPr>
          <w:rFonts w:asciiTheme="minorEastAsia" w:hAnsiTheme="minorEastAsia" w:eastAsiaTheme="minorEastAsia" w:cstheme="minorEastAsia"/>
          <w:szCs w:val="21"/>
          <w:highlight w:val="none"/>
        </w:rPr>
      </w:pPr>
    </w:p>
    <w:p>
      <w:pPr>
        <w:snapToGrid w:val="0"/>
        <w:spacing w:before="50" w:afterLines="50" w:line="460" w:lineRule="exact"/>
        <w:jc w:val="left"/>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Cs w:val="21"/>
          <w:highlight w:val="none"/>
        </w:rPr>
        <w:t>注：在填写时，如本表格不适合投标单位的实际情况，可根据本表格式自行划表填写。</w:t>
      </w:r>
      <w:r>
        <w:rPr>
          <w:rFonts w:hint="eastAsia" w:asciiTheme="minorEastAsia" w:hAnsiTheme="minorEastAsia" w:eastAsiaTheme="minorEastAsia" w:cstheme="minorEastAsia"/>
          <w:sz w:val="24"/>
          <w:highlight w:val="none"/>
        </w:rPr>
        <w:t xml:space="preserve"> </w:t>
      </w:r>
    </w:p>
    <w:p>
      <w:pPr>
        <w:spacing w:line="360" w:lineRule="auto"/>
        <w:ind w:right="480" w:firstLine="432" w:firstLineChars="204"/>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投标</w:t>
      </w:r>
      <w:r>
        <w:rPr>
          <w:rFonts w:hint="eastAsia"/>
          <w:color w:val="000000" w:themeColor="text1"/>
          <w:szCs w:val="21"/>
          <w:highlight w:val="none"/>
          <w14:textFill>
            <w14:solidFill>
              <w14:schemeClr w14:val="tx1"/>
            </w14:solidFill>
          </w14:textFill>
        </w:rPr>
        <w:t>单位</w:t>
      </w:r>
      <w:r>
        <w:rPr>
          <w:color w:val="000000" w:themeColor="text1"/>
          <w:szCs w:val="21"/>
          <w:highlight w:val="none"/>
          <w14:textFill>
            <w14:solidFill>
              <w14:schemeClr w14:val="tx1"/>
            </w14:solidFill>
          </w14:textFill>
        </w:rPr>
        <w:t>名称（</w:t>
      </w:r>
      <w:r>
        <w:rPr>
          <w:rFonts w:hint="eastAsia"/>
          <w:color w:val="000000" w:themeColor="text1"/>
          <w:szCs w:val="21"/>
          <w:highlight w:val="none"/>
          <w14:textFill>
            <w14:solidFill>
              <w14:schemeClr w14:val="tx1"/>
            </w14:solidFill>
          </w14:textFill>
        </w:rPr>
        <w:t>公</w:t>
      </w:r>
      <w:r>
        <w:rPr>
          <w:color w:val="000000" w:themeColor="text1"/>
          <w:szCs w:val="21"/>
          <w:highlight w:val="none"/>
          <w14:textFill>
            <w14:solidFill>
              <w14:schemeClr w14:val="tx1"/>
            </w14:solidFill>
          </w14:textFill>
        </w:rPr>
        <w:t>章）：</w:t>
      </w:r>
      <w:r>
        <w:rPr>
          <w:color w:val="000000" w:themeColor="text1"/>
          <w:szCs w:val="21"/>
          <w:highlight w:val="none"/>
          <w:u w:val="single"/>
          <w14:textFill>
            <w14:solidFill>
              <w14:schemeClr w14:val="tx1"/>
            </w14:solidFill>
          </w14:textFill>
        </w:rPr>
        <w:t xml:space="preserve">        </w:t>
      </w:r>
      <w:r>
        <w:rPr>
          <w:rFonts w:hint="eastAsia"/>
          <w:color w:val="000000" w:themeColor="text1"/>
          <w:szCs w:val="21"/>
          <w:highlight w:val="none"/>
          <w:u w:val="single"/>
          <w14:textFill>
            <w14:solidFill>
              <w14:schemeClr w14:val="tx1"/>
            </w14:solidFill>
          </w14:textFill>
        </w:rPr>
        <w:t xml:space="preserve">         </w:t>
      </w:r>
      <w:r>
        <w:rPr>
          <w:color w:val="000000" w:themeColor="text1"/>
          <w:szCs w:val="21"/>
          <w:highlight w:val="none"/>
          <w:u w:val="single"/>
          <w14:textFill>
            <w14:solidFill>
              <w14:schemeClr w14:val="tx1"/>
            </w14:solidFill>
          </w14:textFill>
        </w:rPr>
        <w:t xml:space="preserve">           </w:t>
      </w:r>
    </w:p>
    <w:p>
      <w:pPr>
        <w:spacing w:line="360" w:lineRule="auto"/>
        <w:ind w:right="480" w:firstLine="432" w:firstLineChars="204"/>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法定代表人或授权代表（签字</w:t>
      </w:r>
      <w:r>
        <w:rPr>
          <w:rFonts w:hint="eastAsia"/>
          <w:color w:val="000000" w:themeColor="text1"/>
          <w:szCs w:val="21"/>
          <w:highlight w:val="none"/>
          <w14:textFill>
            <w14:solidFill>
              <w14:schemeClr w14:val="tx1"/>
            </w14:solidFill>
          </w14:textFill>
        </w:rPr>
        <w:t>或盖章</w:t>
      </w:r>
      <w:r>
        <w:rPr>
          <w:color w:val="000000" w:themeColor="text1"/>
          <w:szCs w:val="21"/>
          <w:highlight w:val="none"/>
          <w14:textFill>
            <w14:solidFill>
              <w14:schemeClr w14:val="tx1"/>
            </w14:solidFill>
          </w14:textFill>
        </w:rPr>
        <w:t>）：</w:t>
      </w:r>
      <w:r>
        <w:rPr>
          <w:color w:val="000000" w:themeColor="text1"/>
          <w:szCs w:val="21"/>
          <w:highlight w:val="none"/>
          <w:u w:val="single"/>
          <w14:textFill>
            <w14:solidFill>
              <w14:schemeClr w14:val="tx1"/>
            </w14:solidFill>
          </w14:textFill>
        </w:rPr>
        <w:t xml:space="preserve">                     </w:t>
      </w:r>
    </w:p>
    <w:p>
      <w:pPr>
        <w:spacing w:line="360" w:lineRule="auto"/>
        <w:ind w:right="480" w:firstLine="432" w:firstLineChars="204"/>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日期：        年  月   日</w:t>
      </w:r>
    </w:p>
    <w:p>
      <w:pPr>
        <w:rPr>
          <w:rFonts w:asciiTheme="minorEastAsia" w:hAnsiTheme="minorEastAsia" w:eastAsiaTheme="minorEastAsia" w:cstheme="minorEastAsia"/>
          <w:sz w:val="28"/>
          <w:szCs w:val="28"/>
          <w:highlight w:val="none"/>
        </w:rPr>
      </w:pPr>
    </w:p>
    <w:p>
      <w:pPr>
        <w:pStyle w:val="24"/>
        <w:rPr>
          <w:rFonts w:asciiTheme="minorEastAsia" w:hAnsiTheme="minorEastAsia" w:eastAsiaTheme="minorEastAsia" w:cstheme="minorEastAsia"/>
          <w:highlight w:val="none"/>
        </w:rPr>
      </w:pPr>
    </w:p>
    <w:p>
      <w:pPr>
        <w:pStyle w:val="24"/>
        <w:ind w:firstLine="0"/>
        <w:rPr>
          <w:rFonts w:asciiTheme="minorEastAsia" w:hAnsiTheme="minorEastAsia" w:eastAsiaTheme="minorEastAsia" w:cstheme="minorEastAsia"/>
          <w:highlight w:val="none"/>
        </w:rPr>
      </w:pPr>
    </w:p>
    <w:p>
      <w:pPr>
        <w:pStyle w:val="24"/>
        <w:ind w:firstLine="0"/>
        <w:rPr>
          <w:rFonts w:asciiTheme="minorEastAsia" w:hAnsiTheme="minorEastAsia" w:eastAsiaTheme="minorEastAsia" w:cstheme="minorEastAsia"/>
          <w:highlight w:val="none"/>
        </w:rPr>
      </w:pPr>
    </w:p>
    <w:p>
      <w:pPr>
        <w:pStyle w:val="24"/>
        <w:ind w:firstLine="0"/>
        <w:rPr>
          <w:rFonts w:asciiTheme="minorEastAsia" w:hAnsiTheme="minorEastAsia" w:eastAsiaTheme="minorEastAsia" w:cstheme="minorEastAsia"/>
          <w:highlight w:val="none"/>
        </w:rPr>
      </w:pPr>
    </w:p>
    <w:p>
      <w:pPr>
        <w:spacing w:line="500" w:lineRule="exact"/>
        <w:ind w:firstLine="3384" w:firstLineChars="1200"/>
        <w:rPr>
          <w:rFonts w:ascii="宋体" w:hAnsi="宋体"/>
          <w:b/>
          <w:bCs/>
          <w:color w:val="000000"/>
          <w:sz w:val="28"/>
          <w:szCs w:val="28"/>
          <w:highlight w:val="none"/>
        </w:rPr>
      </w:pPr>
    </w:p>
    <w:p>
      <w:pPr>
        <w:spacing w:line="500" w:lineRule="exact"/>
        <w:ind w:firstLine="3384" w:firstLineChars="1200"/>
        <w:rPr>
          <w:rFonts w:ascii="宋体" w:hAnsi="宋体"/>
          <w:b/>
          <w:bCs/>
          <w:color w:val="000000"/>
          <w:sz w:val="28"/>
          <w:szCs w:val="28"/>
          <w:highlight w:val="none"/>
        </w:rPr>
      </w:pPr>
    </w:p>
    <w:p>
      <w:pPr>
        <w:spacing w:line="500" w:lineRule="exact"/>
        <w:ind w:firstLine="3384" w:firstLineChars="1200"/>
        <w:rPr>
          <w:rFonts w:ascii="宋体" w:hAnsi="宋体"/>
          <w:b/>
          <w:bCs/>
          <w:color w:val="000000"/>
          <w:sz w:val="28"/>
          <w:szCs w:val="28"/>
          <w:highlight w:val="none"/>
        </w:rPr>
      </w:pPr>
    </w:p>
    <w:p>
      <w:pPr>
        <w:autoSpaceDE w:val="0"/>
        <w:autoSpaceDN w:val="0"/>
        <w:adjustRightInd w:val="0"/>
        <w:spacing w:line="600" w:lineRule="exact"/>
        <w:jc w:val="center"/>
        <w:rPr>
          <w:rFonts w:ascii="宋体" w:hAnsi="宋体" w:cs="宋体"/>
          <w:b/>
          <w:bCs/>
          <w:color w:val="000000" w:themeColor="text1"/>
          <w:sz w:val="44"/>
          <w:szCs w:val="44"/>
          <w:highlight w:val="none"/>
          <w:lang w:val="zh-CN"/>
          <w14:textFill>
            <w14:solidFill>
              <w14:schemeClr w14:val="tx1"/>
            </w14:solidFill>
          </w14:textFill>
        </w:rPr>
      </w:pPr>
      <w:r>
        <w:rPr>
          <w:rFonts w:hint="eastAsia" w:ascii="宋体" w:hAnsi="宋体" w:cs="宋体"/>
          <w:b/>
          <w:bCs/>
          <w:color w:val="000000" w:themeColor="text1"/>
          <w:sz w:val="44"/>
          <w:szCs w:val="44"/>
          <w:highlight w:val="none"/>
          <w:lang w:val="zh-CN"/>
          <w14:textFill>
            <w14:solidFill>
              <w14:schemeClr w14:val="tx1"/>
            </w14:solidFill>
          </w14:textFill>
        </w:rPr>
        <w:t>【报价文件】</w:t>
      </w:r>
    </w:p>
    <w:p>
      <w:pPr>
        <w:pStyle w:val="2"/>
        <w:jc w:val="center"/>
        <w:rPr>
          <w:sz w:val="32"/>
          <w:szCs w:val="32"/>
          <w:highlight w:val="none"/>
          <w:lang w:val="zh-CN"/>
        </w:rPr>
      </w:pPr>
      <w:r>
        <w:rPr>
          <w:rFonts w:hint="eastAsia" w:hAnsi="宋体" w:cs="宋体"/>
          <w:b/>
          <w:bCs/>
          <w:color w:val="000000" w:themeColor="text1"/>
          <w:sz w:val="32"/>
          <w:szCs w:val="32"/>
          <w:highlight w:val="none"/>
          <w:lang w:val="zh-CN"/>
          <w14:textFill>
            <w14:solidFill>
              <w14:schemeClr w14:val="tx1"/>
            </w14:solidFill>
          </w14:textFill>
        </w:rPr>
        <w:t>目</w:t>
      </w:r>
      <w:r>
        <w:rPr>
          <w:rFonts w:hint="eastAsia" w:hAnsi="宋体" w:cs="宋体"/>
          <w:b/>
          <w:bCs/>
          <w:color w:val="000000" w:themeColor="text1"/>
          <w:sz w:val="32"/>
          <w:szCs w:val="32"/>
          <w:highlight w:val="none"/>
          <w14:textFill>
            <w14:solidFill>
              <w14:schemeClr w14:val="tx1"/>
            </w14:solidFill>
          </w14:textFill>
        </w:rPr>
        <w:t xml:space="preserve"> </w:t>
      </w:r>
      <w:r>
        <w:rPr>
          <w:rFonts w:hint="eastAsia" w:hAnsi="宋体" w:cs="宋体"/>
          <w:b/>
          <w:bCs/>
          <w:color w:val="000000" w:themeColor="text1"/>
          <w:sz w:val="32"/>
          <w:szCs w:val="32"/>
          <w:highlight w:val="none"/>
          <w:lang w:val="zh-CN"/>
          <w14:textFill>
            <w14:solidFill>
              <w14:schemeClr w14:val="tx1"/>
            </w14:solidFill>
          </w14:textFill>
        </w:rPr>
        <w:t>录</w:t>
      </w:r>
    </w:p>
    <w:p>
      <w:pPr>
        <w:autoSpaceDE w:val="0"/>
        <w:autoSpaceDN w:val="0"/>
        <w:adjustRightInd w:val="0"/>
        <w:spacing w:line="440" w:lineRule="exact"/>
        <w:ind w:firstLine="424" w:firstLineChars="200"/>
        <w:rPr>
          <w:rFonts w:ascii="宋体" w:hAnsi="宋体" w:cs="宋体"/>
          <w:color w:val="000000" w:themeColor="text1"/>
          <w:szCs w:val="21"/>
          <w:highlight w:val="none"/>
          <w:lang w:val="zh-CN"/>
          <w14:textFill>
            <w14:solidFill>
              <w14:schemeClr w14:val="tx1"/>
            </w14:solidFill>
          </w14:textFill>
        </w:rPr>
      </w:pPr>
      <w:r>
        <w:rPr>
          <w:rFonts w:hint="eastAsia" w:ascii="宋体" w:hAnsi="宋体" w:cs="宋体"/>
          <w:bCs/>
          <w:color w:val="000000" w:themeColor="text1"/>
          <w:szCs w:val="21"/>
          <w:highlight w:val="none"/>
          <w:lang w:val="zh-CN"/>
          <w14:textFill>
            <w14:solidFill>
              <w14:schemeClr w14:val="tx1"/>
            </w14:solidFill>
          </w14:textFill>
        </w:rPr>
        <w:t>（1）</w:t>
      </w:r>
      <w:r>
        <w:rPr>
          <w:rFonts w:hint="eastAsia" w:ascii="宋体" w:hAnsi="宋体" w:cs="宋体"/>
          <w:color w:val="000000" w:themeColor="text1"/>
          <w:szCs w:val="21"/>
          <w:highlight w:val="none"/>
          <w:lang w:val="zh-CN"/>
          <w14:textFill>
            <w14:solidFill>
              <w14:schemeClr w14:val="tx1"/>
            </w14:solidFill>
          </w14:textFill>
        </w:rPr>
        <w:t>投标函</w:t>
      </w:r>
      <w:r>
        <w:rPr>
          <w:rFonts w:hint="eastAsia" w:ascii="宋体" w:hAnsi="宋体" w:cs="宋体"/>
          <w:color w:val="000000" w:themeColor="text1"/>
          <w:szCs w:val="21"/>
          <w:highlight w:val="none"/>
          <w14:textFill>
            <w14:solidFill>
              <w14:schemeClr w14:val="tx1"/>
            </w14:solidFill>
          </w14:textFill>
        </w:rPr>
        <w:t>（格式见附件）</w:t>
      </w:r>
      <w:r>
        <w:rPr>
          <w:rFonts w:hint="eastAsia" w:ascii="宋体" w:hAnsi="宋体" w:cs="宋体"/>
          <w:color w:val="000000" w:themeColor="text1"/>
          <w:szCs w:val="21"/>
          <w:highlight w:val="none"/>
          <w:lang w:val="zh-CN"/>
          <w14:textFill>
            <w14:solidFill>
              <w14:schemeClr w14:val="tx1"/>
            </w14:solidFill>
          </w14:textFill>
        </w:rPr>
        <w:t>；</w:t>
      </w:r>
    </w:p>
    <w:p>
      <w:pPr>
        <w:autoSpaceDE w:val="0"/>
        <w:autoSpaceDN w:val="0"/>
        <w:adjustRightInd w:val="0"/>
        <w:spacing w:line="440" w:lineRule="exact"/>
        <w:ind w:firstLine="424" w:firstLineChars="200"/>
        <w:rPr>
          <w:rFonts w:ascii="宋体" w:hAnsi="宋体" w:cs="宋体"/>
          <w:color w:val="000000" w:themeColor="text1"/>
          <w:szCs w:val="21"/>
          <w:highlight w:val="none"/>
          <w:lang w:val="zh-CN"/>
          <w14:textFill>
            <w14:solidFill>
              <w14:schemeClr w14:val="tx1"/>
            </w14:solidFill>
          </w14:textFill>
        </w:rPr>
      </w:pPr>
      <w:r>
        <w:rPr>
          <w:rFonts w:hint="eastAsia" w:ascii="宋体" w:hAnsi="宋体" w:cs="宋体"/>
          <w:bCs/>
          <w:color w:val="000000" w:themeColor="text1"/>
          <w:szCs w:val="21"/>
          <w:highlight w:val="none"/>
          <w:lang w:val="zh-CN"/>
          <w14:textFill>
            <w14:solidFill>
              <w14:schemeClr w14:val="tx1"/>
            </w14:solidFill>
          </w14:textFill>
        </w:rPr>
        <w:t>（2）</w:t>
      </w:r>
      <w:r>
        <w:rPr>
          <w:rFonts w:hint="eastAsia" w:ascii="宋体" w:hAnsi="宋体" w:cs="宋体"/>
          <w:color w:val="000000" w:themeColor="text1"/>
          <w:szCs w:val="21"/>
          <w:highlight w:val="none"/>
          <w14:textFill>
            <w14:solidFill>
              <w14:schemeClr w14:val="tx1"/>
            </w14:solidFill>
          </w14:textFill>
        </w:rPr>
        <w:t>开标</w:t>
      </w:r>
      <w:r>
        <w:rPr>
          <w:rFonts w:hint="eastAsia" w:ascii="宋体" w:hAnsi="宋体" w:cs="宋体"/>
          <w:color w:val="000000" w:themeColor="text1"/>
          <w:szCs w:val="21"/>
          <w:highlight w:val="none"/>
          <w:lang w:val="zh-CN"/>
          <w14:textFill>
            <w14:solidFill>
              <w14:schemeClr w14:val="tx1"/>
            </w14:solidFill>
          </w14:textFill>
        </w:rPr>
        <w:t>一览表</w:t>
      </w:r>
      <w:r>
        <w:rPr>
          <w:rFonts w:hint="eastAsia" w:ascii="宋体" w:hAnsi="宋体" w:cs="宋体"/>
          <w:color w:val="000000" w:themeColor="text1"/>
          <w:szCs w:val="21"/>
          <w:highlight w:val="none"/>
          <w14:textFill>
            <w14:solidFill>
              <w14:schemeClr w14:val="tx1"/>
            </w14:solidFill>
          </w14:textFill>
        </w:rPr>
        <w:t>（格式见附件）</w:t>
      </w:r>
      <w:r>
        <w:rPr>
          <w:rFonts w:hint="eastAsia" w:ascii="宋体" w:hAnsi="宋体" w:cs="宋体"/>
          <w:color w:val="000000" w:themeColor="text1"/>
          <w:szCs w:val="21"/>
          <w:highlight w:val="none"/>
          <w:lang w:val="zh-CN"/>
          <w14:textFill>
            <w14:solidFill>
              <w14:schemeClr w14:val="tx1"/>
            </w14:solidFill>
          </w14:textFill>
        </w:rPr>
        <w:t>；</w:t>
      </w:r>
    </w:p>
    <w:p>
      <w:pPr>
        <w:autoSpaceDE w:val="0"/>
        <w:autoSpaceDN w:val="0"/>
        <w:adjustRightInd w:val="0"/>
        <w:spacing w:line="440" w:lineRule="exact"/>
        <w:ind w:firstLine="424" w:firstLineChars="200"/>
        <w:rPr>
          <w:rFonts w:ascii="宋体" w:hAnsi="宋体" w:cs="宋体"/>
          <w:color w:val="000000" w:themeColor="text1"/>
          <w:szCs w:val="21"/>
          <w:highlight w:val="none"/>
          <w:lang w:val="zh-CN"/>
          <w14:textFill>
            <w14:solidFill>
              <w14:schemeClr w14:val="tx1"/>
            </w14:solidFill>
          </w14:textFill>
        </w:rPr>
      </w:pPr>
      <w:r>
        <w:rPr>
          <w:rFonts w:hint="eastAsia" w:ascii="宋体" w:hAnsi="宋体" w:cs="宋体"/>
          <w:color w:val="000000" w:themeColor="text1"/>
          <w:szCs w:val="21"/>
          <w:highlight w:val="none"/>
          <w:lang w:val="zh-CN"/>
          <w14:textFill>
            <w14:solidFill>
              <w14:schemeClr w14:val="tx1"/>
            </w14:solidFill>
          </w14:textFill>
        </w:rPr>
        <w:t>（3）报价明细表</w:t>
      </w:r>
      <w:r>
        <w:rPr>
          <w:rFonts w:hint="eastAsia" w:ascii="宋体" w:hAnsi="宋体" w:cs="宋体"/>
          <w:color w:val="000000" w:themeColor="text1"/>
          <w:szCs w:val="21"/>
          <w:highlight w:val="none"/>
          <w14:textFill>
            <w14:solidFill>
              <w14:schemeClr w14:val="tx1"/>
            </w14:solidFill>
          </w14:textFill>
        </w:rPr>
        <w:t>（格式见附件）</w:t>
      </w:r>
      <w:r>
        <w:rPr>
          <w:rFonts w:hint="eastAsia" w:ascii="宋体" w:hAnsi="宋体" w:cs="宋体"/>
          <w:color w:val="000000" w:themeColor="text1"/>
          <w:szCs w:val="21"/>
          <w:highlight w:val="none"/>
          <w:lang w:val="zh-CN"/>
          <w14:textFill>
            <w14:solidFill>
              <w14:schemeClr w14:val="tx1"/>
            </w14:solidFill>
          </w14:textFill>
        </w:rPr>
        <w:t>；</w:t>
      </w:r>
    </w:p>
    <w:p>
      <w:pPr>
        <w:spacing w:line="440" w:lineRule="exact"/>
        <w:ind w:firstLine="424" w:firstLineChars="200"/>
        <w:rPr>
          <w:rFonts w:ascii="宋体" w:hAnsi="宋体" w:cs="宋体"/>
          <w:color w:val="000000" w:themeColor="text1"/>
          <w:szCs w:val="21"/>
          <w:highlight w:val="none"/>
          <w:lang w:val="zh-CN"/>
          <w14:textFill>
            <w14:solidFill>
              <w14:schemeClr w14:val="tx1"/>
            </w14:solidFill>
          </w14:textFill>
        </w:rPr>
      </w:pPr>
      <w:r>
        <w:rPr>
          <w:highlight w:val="none"/>
        </w:rPr>
        <w:fldChar w:fldCharType="begin"/>
      </w:r>
      <w:r>
        <w:rPr>
          <w:highlight w:val="none"/>
        </w:rPr>
        <w:instrText xml:space="preserve"> HYPERLINK \l "_Toc476230529" </w:instrText>
      </w:r>
      <w:r>
        <w:rPr>
          <w:highlight w:val="none"/>
        </w:rPr>
        <w:fldChar w:fldCharType="separate"/>
      </w:r>
      <w:r>
        <w:rPr>
          <w:rFonts w:hint="eastAsia" w:ascii="宋体" w:hAnsi="宋体" w:cs="宋体"/>
          <w:color w:val="000000" w:themeColor="text1"/>
          <w:szCs w:val="21"/>
          <w:highlight w:val="none"/>
          <w:lang w:val="zh-CN"/>
          <w14:textFill>
            <w14:solidFill>
              <w14:schemeClr w14:val="tx1"/>
            </w14:solidFill>
          </w14:textFill>
        </w:rPr>
        <w:t>（4）</w:t>
      </w:r>
      <w:r>
        <w:rPr>
          <w:rFonts w:hint="eastAsia" w:ascii="宋体" w:hAnsi="宋体" w:cs="宋体"/>
          <w:color w:val="000000" w:themeColor="text1"/>
          <w:szCs w:val="21"/>
          <w:highlight w:val="none"/>
          <w14:textFill>
            <w14:solidFill>
              <w14:schemeClr w14:val="tx1"/>
            </w14:solidFill>
          </w14:textFill>
        </w:rPr>
        <w:t>享受小微企业（含监狱企业、残疾人福利性企业）价格扶持政策的证明材料（</w:t>
      </w:r>
      <w:r>
        <w:rPr>
          <w:rFonts w:hint="eastAsia" w:ascii="宋体" w:hAnsi="宋体" w:cs="宋体"/>
          <w:b/>
          <w:bCs/>
          <w:color w:val="000000" w:themeColor="text1"/>
          <w:szCs w:val="21"/>
          <w:highlight w:val="none"/>
          <w14:textFill>
            <w14:solidFill>
              <w14:schemeClr w14:val="tx1"/>
            </w14:solidFill>
          </w14:textFill>
        </w:rPr>
        <w:t>详见“</w:t>
      </w:r>
      <w:r>
        <w:rPr>
          <w:rFonts w:hint="eastAsia"/>
          <w:b/>
          <w:bCs/>
          <w:color w:val="000000" w:themeColor="text1"/>
          <w:highlight w:val="none"/>
          <w14:textFill>
            <w14:solidFill>
              <w14:schemeClr w14:val="tx1"/>
            </w14:solidFill>
          </w14:textFill>
        </w:rPr>
        <w:t>政府采购扶持政策说明”</w:t>
      </w:r>
      <w:r>
        <w:rPr>
          <w:rFonts w:hint="eastAsia" w:ascii="宋体" w:hAnsi="宋体" w:cs="宋体"/>
          <w:b/>
          <w:bCs/>
          <w:color w:val="000000" w:themeColor="text1"/>
          <w:szCs w:val="21"/>
          <w:highlight w:val="none"/>
          <w14:textFill>
            <w14:solidFill>
              <w14:schemeClr w14:val="tx1"/>
            </w14:solidFill>
          </w14:textFill>
        </w:rPr>
        <w:t>，非小微企业、监狱企业、残疾人福利性企业的，无需提供</w:t>
      </w: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fldChar w:fldCharType="end"/>
      </w:r>
      <w:r>
        <w:rPr>
          <w:rFonts w:hint="eastAsia" w:ascii="宋体" w:hAnsi="宋体" w:cs="宋体"/>
          <w:color w:val="000000" w:themeColor="text1"/>
          <w:szCs w:val="21"/>
          <w:highlight w:val="none"/>
          <w:lang w:val="zh-CN"/>
          <w14:textFill>
            <w14:solidFill>
              <w14:schemeClr w14:val="tx1"/>
            </w14:solidFill>
          </w14:textFill>
        </w:rPr>
        <w:t>；</w:t>
      </w:r>
    </w:p>
    <w:p>
      <w:pPr>
        <w:tabs>
          <w:tab w:val="left" w:pos="720"/>
          <w:tab w:val="left" w:pos="5355"/>
        </w:tabs>
        <w:spacing w:line="440" w:lineRule="exact"/>
        <w:ind w:firstLine="424" w:firstLineChars="200"/>
        <w:rPr>
          <w:color w:val="000000" w:themeColor="text1"/>
          <w:highlight w:val="none"/>
          <w:lang w:val="zh-CN"/>
          <w14:textFill>
            <w14:solidFill>
              <w14:schemeClr w14:val="tx1"/>
            </w14:solidFill>
          </w14:textFill>
        </w:rPr>
      </w:pPr>
      <w:r>
        <w:rPr>
          <w:rFonts w:hint="eastAsia" w:ascii="宋体" w:hAnsi="宋体" w:cs="宋体"/>
          <w:color w:val="000000" w:themeColor="text1"/>
          <w:szCs w:val="21"/>
          <w:highlight w:val="none"/>
          <w:lang w:val="zh-CN"/>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5</w:t>
      </w:r>
      <w:r>
        <w:rPr>
          <w:rFonts w:hint="eastAsia" w:ascii="宋体" w:hAnsi="宋体" w:cs="宋体"/>
          <w:color w:val="000000" w:themeColor="text1"/>
          <w:szCs w:val="21"/>
          <w:highlight w:val="none"/>
          <w:lang w:val="zh-CN"/>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投标人针对报价需要说明的其他文件和资料（格式自拟）。</w:t>
      </w:r>
    </w:p>
    <w:p>
      <w:pPr>
        <w:spacing w:line="500" w:lineRule="exact"/>
        <w:ind w:firstLine="3384" w:firstLineChars="1200"/>
        <w:rPr>
          <w:rFonts w:ascii="宋体" w:hAnsi="宋体"/>
          <w:b/>
          <w:bCs/>
          <w:color w:val="000000"/>
          <w:sz w:val="28"/>
          <w:szCs w:val="28"/>
          <w:highlight w:val="none"/>
        </w:rPr>
      </w:pPr>
    </w:p>
    <w:p>
      <w:pPr>
        <w:spacing w:line="500" w:lineRule="exact"/>
        <w:ind w:firstLine="3384" w:firstLineChars="1200"/>
        <w:rPr>
          <w:rFonts w:ascii="宋体" w:hAnsi="宋体"/>
          <w:b/>
          <w:bCs/>
          <w:color w:val="000000"/>
          <w:sz w:val="28"/>
          <w:szCs w:val="28"/>
          <w:highlight w:val="none"/>
        </w:rPr>
      </w:pPr>
    </w:p>
    <w:p>
      <w:pPr>
        <w:spacing w:line="500" w:lineRule="exact"/>
        <w:ind w:firstLine="3384" w:firstLineChars="1200"/>
        <w:rPr>
          <w:rFonts w:ascii="宋体" w:hAnsi="宋体"/>
          <w:b/>
          <w:bCs/>
          <w:color w:val="000000"/>
          <w:sz w:val="28"/>
          <w:szCs w:val="28"/>
          <w:highlight w:val="none"/>
        </w:rPr>
      </w:pPr>
    </w:p>
    <w:p>
      <w:pPr>
        <w:spacing w:line="500" w:lineRule="exact"/>
        <w:ind w:firstLine="3384" w:firstLineChars="1200"/>
        <w:rPr>
          <w:rFonts w:ascii="宋体" w:hAnsi="宋体"/>
          <w:b/>
          <w:bCs/>
          <w:color w:val="000000"/>
          <w:sz w:val="28"/>
          <w:szCs w:val="28"/>
          <w:highlight w:val="none"/>
        </w:rPr>
      </w:pPr>
    </w:p>
    <w:p>
      <w:pPr>
        <w:spacing w:line="500" w:lineRule="exact"/>
        <w:ind w:firstLine="3384" w:firstLineChars="1200"/>
        <w:rPr>
          <w:rFonts w:ascii="宋体" w:hAnsi="宋体"/>
          <w:b/>
          <w:bCs/>
          <w:color w:val="000000"/>
          <w:sz w:val="28"/>
          <w:szCs w:val="28"/>
          <w:highlight w:val="none"/>
        </w:rPr>
      </w:pPr>
    </w:p>
    <w:p>
      <w:pPr>
        <w:spacing w:line="500" w:lineRule="exact"/>
        <w:ind w:firstLine="3384" w:firstLineChars="1200"/>
        <w:rPr>
          <w:rFonts w:ascii="宋体" w:hAnsi="宋体"/>
          <w:b/>
          <w:bCs/>
          <w:color w:val="000000"/>
          <w:sz w:val="28"/>
          <w:szCs w:val="28"/>
          <w:highlight w:val="none"/>
        </w:rPr>
      </w:pPr>
    </w:p>
    <w:p>
      <w:pPr>
        <w:spacing w:line="500" w:lineRule="exact"/>
        <w:ind w:firstLine="3384" w:firstLineChars="1200"/>
        <w:rPr>
          <w:rFonts w:ascii="宋体" w:hAnsi="宋体"/>
          <w:b/>
          <w:bCs/>
          <w:color w:val="000000"/>
          <w:sz w:val="28"/>
          <w:szCs w:val="28"/>
          <w:highlight w:val="none"/>
        </w:rPr>
      </w:pPr>
    </w:p>
    <w:p>
      <w:pPr>
        <w:spacing w:line="500" w:lineRule="exact"/>
        <w:ind w:firstLine="3384" w:firstLineChars="1200"/>
        <w:rPr>
          <w:rFonts w:ascii="宋体" w:hAnsi="宋体"/>
          <w:b/>
          <w:bCs/>
          <w:color w:val="000000"/>
          <w:sz w:val="28"/>
          <w:szCs w:val="28"/>
          <w:highlight w:val="none"/>
        </w:rPr>
      </w:pPr>
    </w:p>
    <w:p>
      <w:pPr>
        <w:spacing w:line="500" w:lineRule="exact"/>
        <w:ind w:firstLine="3384" w:firstLineChars="1200"/>
        <w:rPr>
          <w:rFonts w:ascii="宋体" w:hAnsi="宋体"/>
          <w:b/>
          <w:bCs/>
          <w:color w:val="000000"/>
          <w:sz w:val="28"/>
          <w:szCs w:val="28"/>
          <w:highlight w:val="none"/>
        </w:rPr>
      </w:pPr>
    </w:p>
    <w:p>
      <w:pPr>
        <w:spacing w:line="500" w:lineRule="exact"/>
        <w:ind w:firstLine="3384" w:firstLineChars="1200"/>
        <w:rPr>
          <w:rFonts w:ascii="宋体" w:hAnsi="宋体"/>
          <w:b/>
          <w:bCs/>
          <w:color w:val="000000"/>
          <w:sz w:val="28"/>
          <w:szCs w:val="28"/>
          <w:highlight w:val="none"/>
        </w:rPr>
      </w:pPr>
    </w:p>
    <w:p>
      <w:pPr>
        <w:spacing w:line="500" w:lineRule="exact"/>
        <w:ind w:firstLine="3384" w:firstLineChars="1200"/>
        <w:rPr>
          <w:rFonts w:ascii="宋体" w:hAnsi="宋体"/>
          <w:b/>
          <w:bCs/>
          <w:color w:val="000000"/>
          <w:sz w:val="28"/>
          <w:szCs w:val="28"/>
          <w:highlight w:val="none"/>
        </w:rPr>
      </w:pPr>
    </w:p>
    <w:p>
      <w:pPr>
        <w:spacing w:line="500" w:lineRule="exact"/>
        <w:ind w:firstLine="3384" w:firstLineChars="1200"/>
        <w:rPr>
          <w:rFonts w:ascii="宋体" w:hAnsi="宋体"/>
          <w:b/>
          <w:bCs/>
          <w:color w:val="000000"/>
          <w:sz w:val="28"/>
          <w:szCs w:val="28"/>
          <w:highlight w:val="none"/>
        </w:rPr>
      </w:pPr>
    </w:p>
    <w:p>
      <w:pPr>
        <w:spacing w:line="500" w:lineRule="exact"/>
        <w:ind w:firstLine="3384" w:firstLineChars="1200"/>
        <w:rPr>
          <w:rFonts w:ascii="宋体" w:hAnsi="宋体"/>
          <w:b/>
          <w:bCs/>
          <w:color w:val="000000"/>
          <w:sz w:val="28"/>
          <w:szCs w:val="28"/>
          <w:highlight w:val="none"/>
        </w:rPr>
      </w:pPr>
    </w:p>
    <w:p>
      <w:pPr>
        <w:spacing w:line="500" w:lineRule="exact"/>
        <w:ind w:firstLine="3384" w:firstLineChars="1200"/>
        <w:rPr>
          <w:rFonts w:ascii="宋体" w:hAnsi="宋体"/>
          <w:b/>
          <w:bCs/>
          <w:color w:val="000000"/>
          <w:sz w:val="28"/>
          <w:szCs w:val="28"/>
          <w:highlight w:val="none"/>
        </w:rPr>
      </w:pPr>
    </w:p>
    <w:p>
      <w:pPr>
        <w:spacing w:line="500" w:lineRule="exact"/>
        <w:ind w:firstLine="3384" w:firstLineChars="1200"/>
        <w:rPr>
          <w:rFonts w:ascii="宋体" w:hAnsi="宋体"/>
          <w:b/>
          <w:bCs/>
          <w:color w:val="000000"/>
          <w:sz w:val="28"/>
          <w:szCs w:val="28"/>
          <w:highlight w:val="none"/>
        </w:rPr>
      </w:pPr>
    </w:p>
    <w:p>
      <w:pPr>
        <w:spacing w:line="500" w:lineRule="exact"/>
        <w:ind w:firstLine="3384" w:firstLineChars="1200"/>
        <w:rPr>
          <w:rFonts w:ascii="宋体" w:hAnsi="宋体"/>
          <w:b/>
          <w:bCs/>
          <w:color w:val="000000"/>
          <w:sz w:val="28"/>
          <w:szCs w:val="28"/>
          <w:highlight w:val="none"/>
        </w:rPr>
      </w:pPr>
    </w:p>
    <w:p>
      <w:pPr>
        <w:spacing w:line="500" w:lineRule="exact"/>
        <w:ind w:firstLine="3384" w:firstLineChars="1200"/>
        <w:rPr>
          <w:rFonts w:ascii="宋体" w:hAnsi="宋体"/>
          <w:b/>
          <w:bCs/>
          <w:color w:val="000000"/>
          <w:sz w:val="28"/>
          <w:szCs w:val="28"/>
          <w:highlight w:val="none"/>
        </w:rPr>
      </w:pPr>
    </w:p>
    <w:p>
      <w:pPr>
        <w:spacing w:line="500" w:lineRule="exact"/>
        <w:ind w:firstLine="3384" w:firstLineChars="1200"/>
        <w:rPr>
          <w:rFonts w:ascii="宋体" w:hAnsi="宋体"/>
          <w:b/>
          <w:bCs/>
          <w:color w:val="000000"/>
          <w:sz w:val="28"/>
          <w:szCs w:val="28"/>
          <w:highlight w:val="none"/>
        </w:rPr>
      </w:pPr>
    </w:p>
    <w:p>
      <w:pPr>
        <w:spacing w:line="500" w:lineRule="exact"/>
        <w:ind w:firstLine="3384" w:firstLineChars="1200"/>
        <w:rPr>
          <w:rFonts w:ascii="宋体" w:hAnsi="宋体"/>
          <w:b/>
          <w:bCs/>
          <w:color w:val="000000"/>
          <w:sz w:val="28"/>
          <w:szCs w:val="28"/>
          <w:highlight w:val="none"/>
        </w:rPr>
      </w:pPr>
    </w:p>
    <w:p>
      <w:pPr>
        <w:pStyle w:val="2"/>
        <w:rPr>
          <w:highlight w:val="none"/>
        </w:rPr>
      </w:pPr>
    </w:p>
    <w:p>
      <w:pPr>
        <w:spacing w:line="360" w:lineRule="auto"/>
        <w:ind w:firstLine="3322" w:firstLineChars="1100"/>
        <w:rPr>
          <w:b/>
          <w:sz w:val="30"/>
          <w:highlight w:val="none"/>
        </w:rPr>
      </w:pPr>
      <w:r>
        <w:rPr>
          <w:rFonts w:hint="eastAsia"/>
          <w:b/>
          <w:sz w:val="30"/>
          <w:highlight w:val="none"/>
        </w:rPr>
        <w:t>一、投标函</w:t>
      </w:r>
    </w:p>
    <w:p>
      <w:pPr>
        <w:spacing w:line="500" w:lineRule="exact"/>
        <w:rPr>
          <w:rFonts w:ascii="宋体" w:hAnsi="宋体"/>
          <w:color w:val="000000"/>
          <w:sz w:val="32"/>
          <w:szCs w:val="32"/>
          <w:highlight w:val="none"/>
        </w:rPr>
      </w:pPr>
    </w:p>
    <w:p>
      <w:pPr>
        <w:spacing w:line="400" w:lineRule="exact"/>
        <w:ind w:firstLine="121" w:firstLineChars="50"/>
        <w:rPr>
          <w:rFonts w:ascii="宋体" w:hAnsi="宋体"/>
          <w:color w:val="000000"/>
          <w:szCs w:val="21"/>
          <w:highlight w:val="none"/>
        </w:rPr>
      </w:pPr>
      <w:r>
        <w:rPr>
          <w:rFonts w:ascii="宋体" w:hAnsi="宋体"/>
          <w:color w:val="000000"/>
          <w:sz w:val="24"/>
          <w:highlight w:val="none"/>
        </w:rPr>
        <w:t>_</w:t>
      </w:r>
      <w:r>
        <w:rPr>
          <w:rFonts w:ascii="宋体" w:hAnsi="宋体"/>
          <w:color w:val="000000"/>
          <w:szCs w:val="21"/>
          <w:highlight w:val="none"/>
        </w:rPr>
        <w:t>_____</w:t>
      </w:r>
      <w:r>
        <w:rPr>
          <w:rFonts w:ascii="宋体" w:hAnsi="宋体"/>
          <w:color w:val="000000"/>
          <w:szCs w:val="21"/>
          <w:highlight w:val="none"/>
          <w:u w:val="single"/>
        </w:rPr>
        <w:t>_     _</w:t>
      </w:r>
      <w:r>
        <w:rPr>
          <w:rFonts w:ascii="宋体" w:hAnsi="宋体"/>
          <w:color w:val="000000"/>
          <w:szCs w:val="21"/>
          <w:highlight w:val="none"/>
        </w:rPr>
        <w:t>_</w:t>
      </w:r>
      <w:r>
        <w:rPr>
          <w:rFonts w:hint="eastAsia" w:ascii="宋体" w:hAnsi="宋体"/>
          <w:color w:val="000000"/>
          <w:szCs w:val="21"/>
          <w:highlight w:val="none"/>
        </w:rPr>
        <w:t>（采购人名称）：</w:t>
      </w:r>
    </w:p>
    <w:p>
      <w:pPr>
        <w:spacing w:line="400" w:lineRule="exact"/>
        <w:ind w:firstLine="530" w:firstLineChars="250"/>
        <w:rPr>
          <w:rFonts w:ascii="宋体" w:hAnsi="宋体" w:cs="宋体"/>
          <w:color w:val="000000"/>
          <w:kern w:val="0"/>
          <w:szCs w:val="21"/>
          <w:highlight w:val="none"/>
          <w:u w:val="single"/>
          <w:lang w:val="zh-CN"/>
        </w:rPr>
      </w:pPr>
      <w:r>
        <w:rPr>
          <w:rFonts w:hint="eastAsia" w:ascii="宋体" w:hAnsi="宋体" w:cs="宋体"/>
          <w:color w:val="000000"/>
          <w:kern w:val="0"/>
          <w:szCs w:val="21"/>
          <w:highlight w:val="none"/>
          <w:u w:val="single"/>
          <w:lang w:val="zh-CN"/>
        </w:rPr>
        <w:t xml:space="preserve">                          </w:t>
      </w:r>
      <w:r>
        <w:rPr>
          <w:rFonts w:hint="eastAsia" w:ascii="宋体" w:hAnsi="宋体" w:cs="宋体"/>
          <w:color w:val="000000"/>
          <w:szCs w:val="21"/>
          <w:highlight w:val="none"/>
        </w:rPr>
        <w:t>(投标人全称)授权</w:t>
      </w:r>
      <w:r>
        <w:rPr>
          <w:rFonts w:hint="eastAsia" w:ascii="宋体" w:hAnsi="宋体" w:cs="宋体"/>
          <w:color w:val="000000"/>
          <w:kern w:val="0"/>
          <w:szCs w:val="21"/>
          <w:highlight w:val="none"/>
          <w:u w:val="single"/>
          <w:lang w:val="zh-CN"/>
        </w:rPr>
        <w:t xml:space="preserve">                </w:t>
      </w:r>
      <w:r>
        <w:rPr>
          <w:rFonts w:hint="eastAsia" w:ascii="宋体" w:hAnsi="宋体" w:cs="宋体"/>
          <w:color w:val="000000"/>
          <w:szCs w:val="21"/>
          <w:highlight w:val="none"/>
        </w:rPr>
        <w:t>(全权代表姓名)</w:t>
      </w:r>
      <w:r>
        <w:rPr>
          <w:rFonts w:hint="eastAsia" w:ascii="宋体" w:hAnsi="宋体" w:cs="宋体"/>
          <w:color w:val="000000"/>
          <w:kern w:val="0"/>
          <w:szCs w:val="21"/>
          <w:highlight w:val="none"/>
          <w:u w:val="single"/>
          <w:lang w:val="zh-CN"/>
        </w:rPr>
        <w:t xml:space="preserve">      </w:t>
      </w:r>
      <w:r>
        <w:rPr>
          <w:rFonts w:hint="eastAsia" w:ascii="宋体" w:hAnsi="宋体" w:cs="宋体"/>
          <w:color w:val="000000"/>
          <w:szCs w:val="21"/>
          <w:highlight w:val="none"/>
        </w:rPr>
        <w:t>(职务、职称)为全权代表，参加贵方组织的</w:t>
      </w:r>
      <w:r>
        <w:rPr>
          <w:rFonts w:hint="eastAsia" w:ascii="宋体" w:hAnsi="宋体"/>
          <w:color w:val="000000"/>
          <w:szCs w:val="21"/>
          <w:highlight w:val="none"/>
          <w:u w:val="single"/>
        </w:rPr>
        <w:t xml:space="preserve">                </w:t>
      </w:r>
      <w:r>
        <w:rPr>
          <w:rFonts w:hint="eastAsia" w:ascii="宋体" w:hAnsi="宋体"/>
          <w:color w:val="000000"/>
          <w:szCs w:val="21"/>
          <w:highlight w:val="none"/>
        </w:rPr>
        <w:t xml:space="preserve">的采购公告（项目编号: </w:t>
      </w:r>
      <w:r>
        <w:rPr>
          <w:rFonts w:hint="eastAsia" w:ascii="宋体" w:hAnsi="宋体"/>
          <w:color w:val="000000"/>
          <w:szCs w:val="21"/>
          <w:highlight w:val="none"/>
          <w:u w:val="single"/>
        </w:rPr>
        <w:t xml:space="preserve">        </w:t>
      </w:r>
      <w:r>
        <w:rPr>
          <w:rFonts w:hint="eastAsia" w:ascii="宋体" w:hAnsi="宋体"/>
          <w:color w:val="000000"/>
          <w:szCs w:val="21"/>
          <w:highlight w:val="none"/>
        </w:rPr>
        <w:t>）</w:t>
      </w:r>
      <w:r>
        <w:rPr>
          <w:rFonts w:hint="eastAsia" w:ascii="宋体" w:hAnsi="宋体" w:cs="宋体"/>
          <w:color w:val="000000"/>
          <w:szCs w:val="21"/>
          <w:highlight w:val="none"/>
        </w:rPr>
        <w:t>采购的有关活动，并对此项目进行投标。为此：</w:t>
      </w:r>
    </w:p>
    <w:p>
      <w:pPr>
        <w:tabs>
          <w:tab w:val="left" w:pos="142"/>
          <w:tab w:val="left" w:pos="426"/>
        </w:tabs>
        <w:adjustRightInd w:val="0"/>
        <w:spacing w:line="400" w:lineRule="exact"/>
        <w:ind w:firstLine="212" w:firstLineChars="100"/>
        <w:rPr>
          <w:highlight w:val="none"/>
        </w:rPr>
      </w:pPr>
      <w:r>
        <w:rPr>
          <w:rFonts w:hint="eastAsia" w:ascii="宋体" w:hAnsi="宋体" w:cs="宋体"/>
          <w:color w:val="000000"/>
          <w:szCs w:val="21"/>
          <w:highlight w:val="none"/>
        </w:rPr>
        <w:t>1.我方同意在投标人</w:t>
      </w:r>
      <w:r>
        <w:rPr>
          <w:rFonts w:hint="eastAsia" w:ascii="宋体" w:hAnsi="宋体" w:cs="宋体"/>
          <w:bCs/>
          <w:color w:val="000000"/>
          <w:kern w:val="44"/>
          <w:szCs w:val="21"/>
          <w:highlight w:val="none"/>
        </w:rPr>
        <w:t>编制和提交采购投标文件须知</w:t>
      </w:r>
      <w:r>
        <w:rPr>
          <w:rFonts w:hint="eastAsia" w:ascii="宋体" w:hAnsi="宋体" w:cs="宋体"/>
          <w:color w:val="000000"/>
          <w:szCs w:val="21"/>
          <w:highlight w:val="none"/>
        </w:rPr>
        <w:t>规定的投标日期起遵守本投标文件中的承诺且在投标有效期满之前均具有约束力。</w:t>
      </w:r>
    </w:p>
    <w:p>
      <w:pPr>
        <w:spacing w:line="400" w:lineRule="exact"/>
        <w:ind w:left="6" w:firstLine="298" w:firstLineChars="141"/>
        <w:rPr>
          <w:rFonts w:ascii="宋体" w:hAnsi="宋体"/>
          <w:color w:val="000000"/>
          <w:szCs w:val="21"/>
          <w:highlight w:val="none"/>
        </w:rPr>
      </w:pPr>
      <w:r>
        <w:rPr>
          <w:rFonts w:hint="eastAsia" w:ascii="宋体" w:hAnsi="宋体"/>
          <w:color w:val="000000"/>
          <w:szCs w:val="21"/>
          <w:highlight w:val="none"/>
        </w:rPr>
        <w:t>2.我方已详细审查全部“招标文件”，包括修改文件（如有的话）以及全部参考资料和有关附件，已经了解我方对于招标文件、采购过程、采购结果有依法进行询问、质疑、投诉的权利及相关渠道和要求。</w:t>
      </w:r>
    </w:p>
    <w:p>
      <w:pPr>
        <w:spacing w:line="400" w:lineRule="exact"/>
        <w:rPr>
          <w:highlight w:val="none"/>
        </w:rPr>
      </w:pPr>
      <w:r>
        <w:rPr>
          <w:rFonts w:hint="eastAsia" w:ascii="宋体" w:hAnsi="宋体"/>
          <w:color w:val="000000"/>
          <w:szCs w:val="21"/>
          <w:highlight w:val="none"/>
        </w:rPr>
        <w:t xml:space="preserve">   3.我方在投标之前已经与贵方进行了充分的沟通，完全理解并接受招标文件的各项规定和要求，对招标文件的合理性、合法性不再有异议。</w:t>
      </w:r>
    </w:p>
    <w:p>
      <w:pPr>
        <w:tabs>
          <w:tab w:val="left" w:pos="142"/>
          <w:tab w:val="left" w:pos="426"/>
        </w:tabs>
        <w:adjustRightInd w:val="0"/>
        <w:spacing w:line="400" w:lineRule="exact"/>
        <w:ind w:firstLine="424" w:firstLineChars="200"/>
        <w:rPr>
          <w:rFonts w:ascii="宋体" w:hAnsi="宋体" w:cs="宋体"/>
          <w:color w:val="000000"/>
          <w:szCs w:val="21"/>
          <w:highlight w:val="none"/>
        </w:rPr>
      </w:pPr>
      <w:r>
        <w:rPr>
          <w:rFonts w:hint="eastAsia" w:ascii="宋体" w:hAnsi="宋体" w:cs="宋体"/>
          <w:color w:val="000000"/>
          <w:szCs w:val="21"/>
          <w:highlight w:val="none"/>
        </w:rPr>
        <w:t>4.我方承诺已经具备《中华人民共和国政府采购法》中规定的参加政府采购活动的投标人应当具备的条件：</w:t>
      </w:r>
    </w:p>
    <w:p>
      <w:pPr>
        <w:spacing w:line="400" w:lineRule="exact"/>
        <w:ind w:firstLine="489" w:firstLineChars="231"/>
        <w:rPr>
          <w:rFonts w:ascii="宋体" w:hAnsi="宋体"/>
          <w:color w:val="000000"/>
          <w:szCs w:val="21"/>
          <w:highlight w:val="none"/>
        </w:rPr>
      </w:pPr>
      <w:r>
        <w:rPr>
          <w:rFonts w:hint="eastAsia" w:ascii="宋体" w:hAnsi="宋体" w:cs="宋体"/>
          <w:color w:val="000000"/>
          <w:szCs w:val="21"/>
          <w:highlight w:val="none"/>
        </w:rPr>
        <w:t>5.提供</w:t>
      </w:r>
      <w:r>
        <w:rPr>
          <w:rFonts w:hint="eastAsia" w:ascii="宋体" w:hAnsi="宋体" w:cs="宋体"/>
          <w:bCs/>
          <w:color w:val="000000"/>
          <w:kern w:val="44"/>
          <w:szCs w:val="21"/>
          <w:highlight w:val="none"/>
        </w:rPr>
        <w:t>编制和提交采购投标文件须知</w:t>
      </w:r>
      <w:r>
        <w:rPr>
          <w:rFonts w:hint="eastAsia" w:ascii="宋体" w:hAnsi="宋体" w:cs="宋体"/>
          <w:color w:val="000000"/>
          <w:szCs w:val="21"/>
          <w:highlight w:val="none"/>
        </w:rPr>
        <w:t>规定的全部投标文件</w:t>
      </w:r>
      <w:r>
        <w:rPr>
          <w:rFonts w:hint="eastAsia" w:ascii="宋体" w:hAnsi="宋体"/>
          <w:color w:val="000000"/>
          <w:szCs w:val="21"/>
          <w:highlight w:val="none"/>
        </w:rPr>
        <w:t>。</w:t>
      </w:r>
    </w:p>
    <w:p>
      <w:pPr>
        <w:spacing w:line="400" w:lineRule="exact"/>
        <w:ind w:left="116" w:leftChars="55" w:firstLine="216" w:firstLineChars="102"/>
        <w:rPr>
          <w:rFonts w:ascii="宋体" w:hAnsi="宋体"/>
          <w:color w:val="000000"/>
          <w:szCs w:val="21"/>
          <w:highlight w:val="none"/>
          <w:u w:val="single"/>
        </w:rPr>
      </w:pPr>
      <w:r>
        <w:rPr>
          <w:rFonts w:hint="eastAsia" w:ascii="宋体" w:hAnsi="宋体"/>
          <w:color w:val="000000"/>
          <w:szCs w:val="21"/>
          <w:highlight w:val="none"/>
        </w:rPr>
        <w:t xml:space="preserve"> 6.本投标有效期自开标日起</w:t>
      </w:r>
      <w:r>
        <w:rPr>
          <w:rFonts w:hint="eastAsia" w:ascii="宋体" w:hAnsi="宋体"/>
          <w:color w:val="000000"/>
          <w:szCs w:val="21"/>
          <w:highlight w:val="none"/>
          <w:u w:val="single"/>
        </w:rPr>
        <w:t xml:space="preserve">       </w:t>
      </w:r>
      <w:r>
        <w:rPr>
          <w:rFonts w:hint="eastAsia" w:ascii="宋体" w:hAnsi="宋体"/>
          <w:color w:val="000000"/>
          <w:szCs w:val="21"/>
          <w:highlight w:val="none"/>
        </w:rPr>
        <w:t>个日。</w:t>
      </w:r>
    </w:p>
    <w:p>
      <w:pPr>
        <w:spacing w:line="400" w:lineRule="exact"/>
        <w:ind w:left="116" w:leftChars="55" w:firstLine="216" w:firstLineChars="102"/>
        <w:rPr>
          <w:rFonts w:ascii="宋体" w:hAnsi="宋体"/>
          <w:color w:val="000000"/>
          <w:szCs w:val="21"/>
          <w:highlight w:val="none"/>
        </w:rPr>
      </w:pPr>
      <w:r>
        <w:rPr>
          <w:rFonts w:hint="eastAsia" w:ascii="宋体" w:hAnsi="宋体"/>
          <w:color w:val="000000"/>
          <w:szCs w:val="21"/>
          <w:highlight w:val="none"/>
        </w:rPr>
        <w:t xml:space="preserve"> 7.如为中标人，本投标文件至本项目合同履行完毕止均保持有效，我方将按“招标文件”及政府采购法律、法规的规定履行合同责任和义务。</w:t>
      </w:r>
    </w:p>
    <w:p>
      <w:pPr>
        <w:spacing w:line="400" w:lineRule="exact"/>
        <w:ind w:firstLine="424" w:firstLineChars="200"/>
        <w:rPr>
          <w:rFonts w:ascii="宋体" w:hAnsi="宋体"/>
          <w:szCs w:val="21"/>
          <w:highlight w:val="none"/>
        </w:rPr>
      </w:pPr>
      <w:r>
        <w:rPr>
          <w:rFonts w:hint="eastAsia" w:ascii="宋体" w:hAnsi="宋体"/>
          <w:szCs w:val="21"/>
          <w:highlight w:val="none"/>
        </w:rPr>
        <w:t>8.我方同意按照贵方要求提供与投标有关的一切数据或资料。</w:t>
      </w:r>
    </w:p>
    <w:p>
      <w:pPr>
        <w:spacing w:line="400" w:lineRule="exact"/>
        <w:ind w:firstLine="424" w:firstLineChars="200"/>
        <w:rPr>
          <w:rFonts w:ascii="宋体" w:hAnsi="宋体"/>
          <w:szCs w:val="21"/>
          <w:highlight w:val="none"/>
        </w:rPr>
      </w:pPr>
      <w:r>
        <w:rPr>
          <w:rFonts w:hint="eastAsia" w:ascii="宋体" w:hAnsi="宋体"/>
          <w:szCs w:val="21"/>
          <w:highlight w:val="none"/>
        </w:rPr>
        <w:t>9.与本次投标有关的一切正式往来信函请寄：</w:t>
      </w:r>
    </w:p>
    <w:p>
      <w:pPr>
        <w:spacing w:line="400" w:lineRule="exact"/>
        <w:ind w:firstLine="860" w:firstLineChars="406"/>
        <w:rPr>
          <w:rFonts w:ascii="宋体" w:hAnsi="宋体" w:cs="宋体"/>
          <w:szCs w:val="21"/>
          <w:highlight w:val="none"/>
        </w:rPr>
      </w:pPr>
      <w:r>
        <w:rPr>
          <w:rFonts w:hint="eastAsia" w:ascii="宋体" w:hAnsi="宋体" w:cs="宋体"/>
          <w:szCs w:val="21"/>
          <w:highlight w:val="none"/>
        </w:rPr>
        <w:t>地址</w:t>
      </w:r>
      <w:r>
        <w:rPr>
          <w:rFonts w:hint="eastAsia" w:ascii="宋体" w:hAnsi="宋体" w:cs="宋体"/>
          <w:szCs w:val="21"/>
          <w:highlight w:val="none"/>
          <w:u w:val="single"/>
        </w:rPr>
        <w:t xml:space="preserve">                           </w:t>
      </w:r>
    </w:p>
    <w:p>
      <w:pPr>
        <w:spacing w:line="400" w:lineRule="exact"/>
        <w:ind w:firstLine="435"/>
        <w:rPr>
          <w:rFonts w:ascii="宋体" w:hAnsi="宋体" w:cs="宋体"/>
          <w:szCs w:val="21"/>
          <w:highlight w:val="none"/>
        </w:rPr>
      </w:pPr>
      <w:r>
        <w:rPr>
          <w:rFonts w:hint="eastAsia" w:ascii="宋体" w:hAnsi="宋体" w:cs="宋体"/>
          <w:szCs w:val="21"/>
          <w:highlight w:val="none"/>
        </w:rPr>
        <w:t xml:space="preserve">   电话</w:t>
      </w:r>
      <w:r>
        <w:rPr>
          <w:rFonts w:hint="eastAsia" w:ascii="宋体" w:hAnsi="宋体" w:cs="宋体"/>
          <w:szCs w:val="21"/>
          <w:highlight w:val="none"/>
          <w:u w:val="single"/>
        </w:rPr>
        <w:t xml:space="preserve">                           </w:t>
      </w:r>
    </w:p>
    <w:p>
      <w:pPr>
        <w:spacing w:line="400" w:lineRule="exact"/>
        <w:ind w:firstLine="435"/>
        <w:rPr>
          <w:rFonts w:ascii="宋体" w:hAnsi="宋体" w:cs="宋体"/>
          <w:szCs w:val="21"/>
          <w:highlight w:val="none"/>
        </w:rPr>
      </w:pPr>
      <w:r>
        <w:rPr>
          <w:rFonts w:hint="eastAsia" w:ascii="宋体" w:hAnsi="宋体" w:cs="宋体"/>
          <w:szCs w:val="21"/>
          <w:highlight w:val="none"/>
        </w:rPr>
        <w:t xml:space="preserve">   传真</w:t>
      </w:r>
      <w:r>
        <w:rPr>
          <w:rFonts w:hint="eastAsia" w:ascii="宋体" w:hAnsi="宋体" w:cs="宋体"/>
          <w:szCs w:val="21"/>
          <w:highlight w:val="none"/>
          <w:u w:val="single"/>
        </w:rPr>
        <w:t xml:space="preserve">                           </w:t>
      </w:r>
    </w:p>
    <w:p>
      <w:pPr>
        <w:spacing w:line="440" w:lineRule="exact"/>
        <w:ind w:firstLine="742" w:firstLineChars="350"/>
        <w:rPr>
          <w:rFonts w:ascii="宋体" w:hAnsi="宋体" w:cs="宋体"/>
          <w:szCs w:val="21"/>
          <w:highlight w:val="none"/>
        </w:rPr>
      </w:pPr>
      <w:r>
        <w:rPr>
          <w:rFonts w:hint="eastAsia" w:ascii="宋体" w:hAnsi="宋体" w:cs="宋体"/>
          <w:szCs w:val="21"/>
          <w:highlight w:val="none"/>
        </w:rPr>
        <w:t>电子邮件</w:t>
      </w:r>
      <w:r>
        <w:rPr>
          <w:rFonts w:hint="eastAsia" w:ascii="宋体" w:hAnsi="宋体" w:cs="宋体"/>
          <w:szCs w:val="21"/>
          <w:highlight w:val="none"/>
          <w:u w:val="single"/>
        </w:rPr>
        <w:t xml:space="preserve">                           </w:t>
      </w:r>
    </w:p>
    <w:p>
      <w:pPr>
        <w:spacing w:line="500" w:lineRule="exact"/>
        <w:rPr>
          <w:rFonts w:ascii="宋体" w:hAnsi="宋体"/>
          <w:szCs w:val="21"/>
          <w:highlight w:val="none"/>
        </w:rPr>
      </w:pPr>
    </w:p>
    <w:p>
      <w:pPr>
        <w:spacing w:line="500" w:lineRule="exact"/>
        <w:ind w:firstLine="435"/>
        <w:rPr>
          <w:rFonts w:ascii="宋体" w:hAnsi="宋体"/>
          <w:szCs w:val="21"/>
          <w:highlight w:val="none"/>
        </w:rPr>
      </w:pPr>
      <w:r>
        <w:rPr>
          <w:rFonts w:hint="eastAsia" w:ascii="宋体" w:hAnsi="宋体"/>
          <w:szCs w:val="21"/>
          <w:highlight w:val="none"/>
        </w:rPr>
        <w:t xml:space="preserve">                              </w:t>
      </w:r>
    </w:p>
    <w:p>
      <w:pPr>
        <w:spacing w:line="500" w:lineRule="exact"/>
        <w:ind w:firstLine="435"/>
        <w:rPr>
          <w:rFonts w:ascii="宋体" w:hAnsi="宋体"/>
          <w:szCs w:val="21"/>
          <w:highlight w:val="none"/>
        </w:rPr>
      </w:pPr>
      <w:r>
        <w:rPr>
          <w:rFonts w:hint="eastAsia" w:ascii="宋体" w:hAnsi="宋体"/>
          <w:szCs w:val="21"/>
          <w:highlight w:val="none"/>
        </w:rPr>
        <w:t xml:space="preserve">                                   投标人名称（公章）：</w:t>
      </w:r>
      <w:r>
        <w:rPr>
          <w:rFonts w:hint="eastAsia" w:ascii="宋体" w:hAnsi="宋体"/>
          <w:szCs w:val="21"/>
          <w:highlight w:val="none"/>
          <w:u w:val="single"/>
        </w:rPr>
        <w:t xml:space="preserve">         </w:t>
      </w:r>
    </w:p>
    <w:p>
      <w:pPr>
        <w:spacing w:line="500" w:lineRule="exact"/>
        <w:ind w:firstLine="435"/>
        <w:rPr>
          <w:rFonts w:ascii="宋体" w:hAnsi="宋体"/>
          <w:szCs w:val="21"/>
          <w:highlight w:val="none"/>
        </w:rPr>
      </w:pPr>
      <w:r>
        <w:rPr>
          <w:rFonts w:hint="eastAsia" w:ascii="宋体" w:hAnsi="宋体"/>
          <w:szCs w:val="21"/>
          <w:highlight w:val="none"/>
        </w:rPr>
        <w:t xml:space="preserve">                                   </w:t>
      </w:r>
      <w:r>
        <w:rPr>
          <w:rFonts w:hint="eastAsia" w:ascii="宋体" w:hAnsi="宋体"/>
          <w:color w:val="000000"/>
          <w:szCs w:val="21"/>
          <w:highlight w:val="none"/>
        </w:rPr>
        <w:t>法定代表人或授权委托代理人</w:t>
      </w:r>
      <w:r>
        <w:rPr>
          <w:rFonts w:hint="eastAsia"/>
          <w:color w:val="000000"/>
          <w:szCs w:val="21"/>
          <w:highlight w:val="none"/>
        </w:rPr>
        <w:t>签字</w:t>
      </w:r>
      <w:r>
        <w:rPr>
          <w:rFonts w:hint="eastAsia" w:ascii="宋体" w:hAnsi="宋体"/>
          <w:szCs w:val="21"/>
          <w:highlight w:val="none"/>
        </w:rPr>
        <w:t>：</w:t>
      </w:r>
      <w:r>
        <w:rPr>
          <w:rFonts w:hint="eastAsia" w:ascii="宋体" w:hAnsi="宋体"/>
          <w:szCs w:val="21"/>
          <w:highlight w:val="none"/>
          <w:u w:val="single"/>
        </w:rPr>
        <w:t xml:space="preserve">                  </w:t>
      </w:r>
    </w:p>
    <w:p>
      <w:pPr>
        <w:spacing w:line="500" w:lineRule="exact"/>
        <w:ind w:firstLine="435"/>
        <w:rPr>
          <w:rFonts w:ascii="宋体" w:hAnsi="宋体"/>
          <w:szCs w:val="21"/>
          <w:highlight w:val="none"/>
          <w:u w:val="single"/>
        </w:rPr>
        <w:sectPr>
          <w:headerReference r:id="rId3" w:type="default"/>
          <w:footerReference r:id="rId4" w:type="default"/>
          <w:pgSz w:w="11850" w:h="16783"/>
          <w:pgMar w:top="1020" w:right="1134" w:bottom="1020" w:left="1134" w:header="851" w:footer="992" w:gutter="0"/>
          <w:cols w:space="720" w:num="1"/>
          <w:docGrid w:type="linesAndChars" w:linePitch="320" w:charSpace="482"/>
        </w:sectPr>
      </w:pPr>
      <w:r>
        <w:rPr>
          <w:rFonts w:hint="eastAsia" w:ascii="宋体" w:hAnsi="宋体"/>
          <w:szCs w:val="21"/>
          <w:highlight w:val="none"/>
        </w:rPr>
        <w:t xml:space="preserve">                                   日期：</w:t>
      </w:r>
      <w:r>
        <w:rPr>
          <w:rFonts w:hint="eastAsia" w:ascii="宋体" w:hAnsi="宋体"/>
          <w:szCs w:val="21"/>
          <w:highlight w:val="none"/>
          <w:u w:val="single"/>
        </w:rPr>
        <w:t xml:space="preserve">              </w:t>
      </w:r>
    </w:p>
    <w:p>
      <w:pPr>
        <w:snapToGrid w:val="0"/>
        <w:spacing w:line="400" w:lineRule="exact"/>
        <w:jc w:val="center"/>
        <w:outlineLvl w:val="2"/>
        <w:rPr>
          <w:rFonts w:ascii="宋体" w:hAnsi="宋体" w:cs="宋体"/>
          <w:b/>
          <w:bCs/>
          <w:kern w:val="0"/>
          <w:sz w:val="30"/>
          <w:szCs w:val="30"/>
          <w:highlight w:val="none"/>
        </w:rPr>
      </w:pPr>
      <w:r>
        <w:rPr>
          <w:rFonts w:hint="eastAsia" w:ascii="宋体" w:hAnsi="宋体" w:cs="宋体"/>
          <w:b/>
          <w:bCs/>
          <w:kern w:val="0"/>
          <w:sz w:val="30"/>
          <w:szCs w:val="30"/>
          <w:highlight w:val="none"/>
        </w:rPr>
        <w:t>二、开标一览表</w:t>
      </w:r>
    </w:p>
    <w:p>
      <w:pPr>
        <w:pStyle w:val="2"/>
        <w:rPr>
          <w:highlight w:val="none"/>
        </w:rPr>
      </w:pPr>
    </w:p>
    <w:p>
      <w:pPr>
        <w:pStyle w:val="2"/>
        <w:ind w:firstLine="630" w:firstLineChars="300"/>
        <w:rPr>
          <w:highlight w:val="none"/>
        </w:rPr>
      </w:pPr>
      <w:r>
        <w:rPr>
          <w:rFonts w:hint="eastAsia"/>
          <w:highlight w:val="none"/>
        </w:rPr>
        <w:t>项目编号：                                              价格单位：（人民币：元）</w:t>
      </w:r>
    </w:p>
    <w:tbl>
      <w:tblPr>
        <w:tblStyle w:val="25"/>
        <w:tblW w:w="911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443"/>
        <w:gridCol w:w="1680"/>
        <w:gridCol w:w="2655"/>
        <w:gridCol w:w="133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1" w:hRule="atLeast"/>
          <w:tblHeader/>
          <w:jc w:val="center"/>
        </w:trPr>
        <w:tc>
          <w:tcPr>
            <w:tcW w:w="3443" w:type="dxa"/>
            <w:tcBorders>
              <w:top w:val="single" w:color="auto" w:sz="4"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黑体" w:hAnsi="黑体" w:eastAsia="黑体" w:cs="宋体"/>
                <w:color w:val="000000"/>
                <w:sz w:val="24"/>
                <w:highlight w:val="none"/>
                <w:lang w:val="en-GB"/>
              </w:rPr>
            </w:pPr>
            <w:r>
              <w:rPr>
                <w:rFonts w:hint="eastAsia" w:ascii="黑体" w:hAnsi="黑体" w:eastAsia="黑体" w:cs="宋体"/>
                <w:color w:val="000000"/>
                <w:sz w:val="24"/>
                <w:highlight w:val="none"/>
                <w:lang w:val="en-GB"/>
              </w:rPr>
              <w:t>项目名称</w:t>
            </w:r>
          </w:p>
        </w:tc>
        <w:tc>
          <w:tcPr>
            <w:tcW w:w="1680" w:type="dxa"/>
            <w:tcBorders>
              <w:top w:val="single" w:color="auto" w:sz="4"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黑体" w:hAnsi="黑体" w:eastAsia="黑体" w:cs="宋体"/>
                <w:color w:val="000000"/>
                <w:sz w:val="24"/>
                <w:highlight w:val="none"/>
              </w:rPr>
            </w:pPr>
            <w:r>
              <w:rPr>
                <w:rFonts w:hint="eastAsia" w:ascii="黑体" w:hAnsi="黑体" w:eastAsia="黑体" w:cs="宋体"/>
                <w:color w:val="000000"/>
                <w:sz w:val="24"/>
                <w:highlight w:val="none"/>
              </w:rPr>
              <w:t>服务期</w:t>
            </w:r>
          </w:p>
        </w:tc>
        <w:tc>
          <w:tcPr>
            <w:tcW w:w="2655" w:type="dxa"/>
            <w:tcBorders>
              <w:top w:val="single" w:color="auto" w:sz="4"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hint="eastAsia" w:ascii="黑体" w:hAnsi="黑体" w:eastAsia="黑体" w:cs="宋体"/>
                <w:color w:val="000000"/>
                <w:sz w:val="24"/>
                <w:highlight w:val="none"/>
                <w:lang w:val="en-GB" w:eastAsia="zh-CN"/>
              </w:rPr>
            </w:pPr>
            <w:r>
              <w:rPr>
                <w:rFonts w:hint="eastAsia" w:ascii="黑体" w:hAnsi="黑体" w:eastAsia="黑体" w:cs="宋体"/>
                <w:color w:val="000000"/>
                <w:sz w:val="24"/>
                <w:highlight w:val="none"/>
                <w:lang w:val="en-GB"/>
              </w:rPr>
              <w:t>投标报价</w:t>
            </w:r>
            <w:r>
              <w:rPr>
                <w:rFonts w:hint="eastAsia" w:ascii="黑体" w:hAnsi="黑体" w:eastAsia="黑体" w:cs="宋体"/>
                <w:color w:val="000000"/>
                <w:sz w:val="24"/>
                <w:highlight w:val="none"/>
                <w:lang w:val="en-GB" w:eastAsia="zh-CN"/>
              </w:rPr>
              <w:t>（</w:t>
            </w:r>
            <w:r>
              <w:rPr>
                <w:rFonts w:hint="eastAsia" w:ascii="黑体" w:hAnsi="黑体" w:eastAsia="黑体" w:cs="宋体"/>
                <w:color w:val="000000"/>
                <w:sz w:val="24"/>
                <w:highlight w:val="none"/>
                <w:lang w:val="en-US" w:eastAsia="zh-CN"/>
              </w:rPr>
              <w:t>3年</w:t>
            </w:r>
            <w:r>
              <w:rPr>
                <w:rFonts w:hint="eastAsia" w:ascii="黑体" w:hAnsi="黑体" w:eastAsia="黑体" w:cs="宋体"/>
                <w:color w:val="000000"/>
                <w:sz w:val="24"/>
                <w:highlight w:val="none"/>
                <w:lang w:val="en-GB" w:eastAsia="zh-CN"/>
              </w:rPr>
              <w:t>）</w:t>
            </w:r>
          </w:p>
        </w:tc>
        <w:tc>
          <w:tcPr>
            <w:tcW w:w="1339" w:type="dxa"/>
            <w:tcBorders>
              <w:top w:val="single" w:color="auto" w:sz="4"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黑体" w:hAnsi="黑体" w:eastAsia="黑体" w:cs="宋体"/>
                <w:color w:val="000000"/>
                <w:sz w:val="24"/>
                <w:highlight w:val="none"/>
                <w:lang w:val="en-GB"/>
              </w:rPr>
            </w:pPr>
            <w:r>
              <w:rPr>
                <w:rFonts w:hint="eastAsia" w:ascii="黑体" w:hAnsi="黑体" w:eastAsia="黑体" w:cs="宋体"/>
                <w:color w:val="000000"/>
                <w:sz w:val="24"/>
                <w:highlight w:val="none"/>
                <w:lang w:val="en-GB"/>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887" w:hRule="atLeast"/>
          <w:jc w:val="center"/>
        </w:trPr>
        <w:tc>
          <w:tcPr>
            <w:tcW w:w="344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黑体" w:hAnsi="黑体" w:eastAsia="黑体" w:cs="宋体"/>
                <w:color w:val="000000"/>
                <w:sz w:val="24"/>
                <w:highlight w:val="none"/>
              </w:rPr>
            </w:pPr>
          </w:p>
        </w:tc>
        <w:tc>
          <w:tcPr>
            <w:tcW w:w="168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hint="eastAsia" w:ascii="黑体" w:hAnsi="黑体" w:eastAsia="黑体" w:cs="宋体"/>
                <w:color w:val="000000"/>
                <w:sz w:val="24"/>
                <w:highlight w:val="none"/>
                <w:lang w:val="en-GB" w:eastAsia="zh-CN"/>
              </w:rPr>
            </w:pPr>
            <w:r>
              <w:rPr>
                <w:rFonts w:hint="eastAsia" w:ascii="黑体" w:hAnsi="黑体" w:eastAsia="黑体" w:cs="宋体"/>
                <w:color w:val="000000"/>
                <w:sz w:val="24"/>
                <w:highlight w:val="none"/>
                <w:lang w:eastAsia="zh-CN"/>
              </w:rPr>
              <w:t>三年</w:t>
            </w:r>
          </w:p>
        </w:tc>
        <w:tc>
          <w:tcPr>
            <w:tcW w:w="2655" w:type="dxa"/>
            <w:tcBorders>
              <w:top w:val="single" w:color="auto" w:sz="6" w:space="0"/>
              <w:left w:val="single" w:color="auto" w:sz="4" w:space="0"/>
              <w:bottom w:val="single" w:color="auto" w:sz="6" w:space="0"/>
              <w:right w:val="single" w:color="auto" w:sz="4" w:space="0"/>
            </w:tcBorders>
            <w:vAlign w:val="center"/>
          </w:tcPr>
          <w:p>
            <w:pPr>
              <w:rPr>
                <w:rFonts w:ascii="黑体" w:hAnsi="黑体" w:eastAsia="黑体" w:cs="宋体"/>
                <w:color w:val="000000"/>
                <w:sz w:val="24"/>
                <w:highlight w:val="none"/>
                <w:lang w:val="en-GB"/>
              </w:rPr>
            </w:pPr>
            <w:r>
              <w:rPr>
                <w:rFonts w:ascii="黑体" w:hAnsi="黑体" w:eastAsia="黑体" w:cs="Arial"/>
                <w:sz w:val="24"/>
                <w:highlight w:val="none"/>
              </w:rPr>
              <w:t>小写：</w:t>
            </w:r>
          </w:p>
        </w:tc>
        <w:tc>
          <w:tcPr>
            <w:tcW w:w="1339"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黑体" w:hAnsi="黑体" w:eastAsia="黑体" w:cs="宋体"/>
                <w:color w:val="000000"/>
                <w:sz w:val="24"/>
                <w:highlight w:val="none"/>
                <w:lang w:val="en-G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9" w:hRule="atLeast"/>
          <w:jc w:val="center"/>
        </w:trPr>
        <w:tc>
          <w:tcPr>
            <w:tcW w:w="9117" w:type="dxa"/>
            <w:gridSpan w:val="4"/>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left"/>
              <w:rPr>
                <w:rFonts w:ascii="黑体" w:hAnsi="黑体" w:eastAsia="黑体" w:cs="宋体"/>
                <w:color w:val="000000"/>
                <w:sz w:val="24"/>
                <w:highlight w:val="none"/>
                <w:lang w:val="en-GB"/>
              </w:rPr>
            </w:pPr>
            <w:r>
              <w:rPr>
                <w:rFonts w:hint="eastAsia" w:ascii="黑体" w:hAnsi="黑体" w:eastAsia="黑体" w:cs="宋体"/>
                <w:color w:val="000000"/>
                <w:sz w:val="24"/>
                <w:highlight w:val="none"/>
                <w:lang w:val="en-GB"/>
              </w:rPr>
              <w:t>投标总价</w:t>
            </w:r>
            <w:r>
              <w:rPr>
                <w:rFonts w:hint="eastAsia" w:ascii="黑体" w:hAnsi="黑体" w:eastAsia="黑体" w:cs="宋体"/>
                <w:color w:val="000000"/>
                <w:sz w:val="24"/>
                <w:highlight w:val="none"/>
                <w:lang w:val="en-GB" w:eastAsia="zh-CN"/>
              </w:rPr>
              <w:t>（</w:t>
            </w:r>
            <w:r>
              <w:rPr>
                <w:rFonts w:hint="eastAsia" w:ascii="黑体" w:hAnsi="黑体" w:eastAsia="黑体" w:cs="宋体"/>
                <w:color w:val="000000"/>
                <w:sz w:val="24"/>
                <w:highlight w:val="none"/>
                <w:lang w:val="en-US" w:eastAsia="zh-CN"/>
              </w:rPr>
              <w:t>3年</w:t>
            </w:r>
            <w:r>
              <w:rPr>
                <w:rFonts w:hint="eastAsia" w:ascii="黑体" w:hAnsi="黑体" w:eastAsia="黑体" w:cs="宋体"/>
                <w:color w:val="000000"/>
                <w:sz w:val="24"/>
                <w:highlight w:val="none"/>
                <w:lang w:val="en-GB" w:eastAsia="zh-CN"/>
              </w:rPr>
              <w:t>）</w:t>
            </w:r>
            <w:r>
              <w:rPr>
                <w:rFonts w:hint="eastAsia" w:ascii="黑体" w:hAnsi="黑体" w:eastAsia="黑体" w:cs="宋体"/>
                <w:color w:val="000000"/>
                <w:sz w:val="24"/>
                <w:highlight w:val="none"/>
                <w:lang w:val="en-GB"/>
              </w:rPr>
              <w:t>（大写）：</w:t>
            </w:r>
          </w:p>
        </w:tc>
      </w:tr>
    </w:tbl>
    <w:p>
      <w:pPr>
        <w:spacing w:line="360" w:lineRule="auto"/>
        <w:ind w:left="615" w:leftChars="100" w:hanging="405" w:hangingChars="193"/>
        <w:rPr>
          <w:rFonts w:ascii="宋体" w:hAnsi="宋体" w:cs="宋体"/>
          <w:szCs w:val="21"/>
          <w:highlight w:val="none"/>
        </w:rPr>
      </w:pPr>
      <w:r>
        <w:rPr>
          <w:rFonts w:hint="eastAsia" w:ascii="宋体" w:hAnsi="宋体" w:cs="宋体"/>
          <w:szCs w:val="21"/>
          <w:highlight w:val="none"/>
        </w:rPr>
        <w:t xml:space="preserve">注: </w:t>
      </w:r>
    </w:p>
    <w:p>
      <w:pPr>
        <w:spacing w:line="360" w:lineRule="auto"/>
        <w:ind w:left="615" w:leftChars="100" w:hanging="405" w:hangingChars="193"/>
        <w:rPr>
          <w:rFonts w:ascii="宋体" w:hAnsi="宋体" w:cs="宋体"/>
          <w:szCs w:val="21"/>
          <w:highlight w:val="none"/>
        </w:rPr>
      </w:pPr>
      <w:r>
        <w:rPr>
          <w:rFonts w:hint="eastAsia" w:ascii="宋体" w:hAnsi="宋体" w:cs="宋体"/>
          <w:szCs w:val="21"/>
          <w:highlight w:val="none"/>
        </w:rPr>
        <w:t>1.报价一经涂改，应在涂改处加盖单位公章或者由法定代表人或授权委托人签字或盖章，否则其投标作无效标处理。</w:t>
      </w:r>
    </w:p>
    <w:p>
      <w:pPr>
        <w:spacing w:line="360" w:lineRule="auto"/>
        <w:ind w:left="615" w:leftChars="100" w:hanging="405" w:hangingChars="193"/>
        <w:rPr>
          <w:rFonts w:ascii="宋体" w:hAnsi="宋体" w:cs="宋体"/>
          <w:szCs w:val="21"/>
          <w:highlight w:val="none"/>
        </w:rPr>
      </w:pPr>
      <w:r>
        <w:rPr>
          <w:rFonts w:hint="eastAsia" w:ascii="宋体" w:hAnsi="宋体" w:cs="宋体"/>
          <w:szCs w:val="21"/>
          <w:highlight w:val="none"/>
        </w:rPr>
        <w:t>2. ▲投标报价是履行合同的最终价格,包括人员工资福利费用、设备运维电费、设备运维水费、设备维修保养费用、药剂费用、化验费、水质检测费、办公经费、调试、培训、保险、保修费用、税费及其他相关费用等完成本项目所需的一切本身和不可或缺的所有工作开支、政策性文件规定及合同包含的所有风险、责任等各项全部费用。如有漏项，视同已包含在其总项目中，合同总价不做调整。</w:t>
      </w:r>
    </w:p>
    <w:p>
      <w:pPr>
        <w:spacing w:line="360" w:lineRule="auto"/>
        <w:ind w:left="615" w:leftChars="100" w:hanging="405" w:hangingChars="193"/>
        <w:rPr>
          <w:rFonts w:ascii="宋体" w:hAnsi="宋体" w:cs="宋体"/>
          <w:szCs w:val="21"/>
          <w:highlight w:val="none"/>
        </w:rPr>
      </w:pPr>
      <w:r>
        <w:rPr>
          <w:rFonts w:hint="eastAsia" w:ascii="宋体" w:hAnsi="宋体" w:cs="宋体"/>
          <w:szCs w:val="21"/>
          <w:highlight w:val="none"/>
        </w:rPr>
        <w:t>3. 不提供此表格的将视为没有实质性响应招标文件。</w:t>
      </w:r>
    </w:p>
    <w:p>
      <w:pPr>
        <w:spacing w:line="360" w:lineRule="auto"/>
        <w:ind w:left="615" w:leftChars="100" w:hanging="405" w:hangingChars="193"/>
        <w:rPr>
          <w:rFonts w:ascii="宋体" w:hAnsi="宋体" w:cs="宋体"/>
          <w:szCs w:val="21"/>
          <w:highlight w:val="none"/>
        </w:rPr>
      </w:pPr>
      <w:r>
        <w:rPr>
          <w:rFonts w:hint="eastAsia" w:ascii="宋体" w:hAnsi="宋体" w:cs="宋体"/>
          <w:szCs w:val="21"/>
          <w:highlight w:val="none"/>
        </w:rPr>
        <w:t>4. 若表中大、小写金额不一致时，以大写金额为准。</w:t>
      </w:r>
    </w:p>
    <w:p>
      <w:pPr>
        <w:spacing w:line="360" w:lineRule="auto"/>
        <w:ind w:right="480" w:firstLine="428" w:firstLineChars="204"/>
        <w:rPr>
          <w:rFonts w:ascii="宋体" w:hAnsi="宋体" w:cs="宋体"/>
          <w:szCs w:val="21"/>
          <w:highlight w:val="none"/>
        </w:rPr>
      </w:pPr>
    </w:p>
    <w:p>
      <w:pPr>
        <w:spacing w:line="360" w:lineRule="auto"/>
        <w:ind w:right="480" w:firstLine="428" w:firstLineChars="204"/>
        <w:rPr>
          <w:rFonts w:ascii="宋体" w:hAnsi="宋体" w:cs="宋体"/>
          <w:szCs w:val="21"/>
          <w:highlight w:val="none"/>
        </w:rPr>
      </w:pPr>
      <w:r>
        <w:rPr>
          <w:rFonts w:hint="eastAsia" w:ascii="宋体" w:hAnsi="宋体" w:cs="宋体"/>
          <w:szCs w:val="21"/>
          <w:highlight w:val="none"/>
        </w:rPr>
        <w:t>投标单位名称（公章）：</w:t>
      </w:r>
      <w:r>
        <w:rPr>
          <w:rFonts w:hint="eastAsia" w:ascii="宋体" w:hAnsi="宋体" w:cs="宋体"/>
          <w:szCs w:val="21"/>
          <w:highlight w:val="none"/>
          <w:u w:val="single"/>
        </w:rPr>
        <w:t xml:space="preserve">                            </w:t>
      </w:r>
    </w:p>
    <w:p>
      <w:pPr>
        <w:spacing w:line="360" w:lineRule="auto"/>
        <w:ind w:right="480" w:firstLine="428" w:firstLineChars="204"/>
        <w:rPr>
          <w:rFonts w:ascii="宋体" w:hAnsi="宋体" w:cs="宋体"/>
          <w:szCs w:val="21"/>
          <w:highlight w:val="none"/>
        </w:rPr>
      </w:pPr>
      <w:r>
        <w:rPr>
          <w:rFonts w:hint="eastAsia" w:ascii="宋体" w:hAnsi="宋体" w:cs="宋体"/>
          <w:szCs w:val="21"/>
          <w:highlight w:val="none"/>
        </w:rPr>
        <w:t>法定代表人或授权代表（签字或盖章）：</w:t>
      </w:r>
      <w:r>
        <w:rPr>
          <w:rFonts w:hint="eastAsia" w:ascii="宋体" w:hAnsi="宋体" w:cs="宋体"/>
          <w:szCs w:val="21"/>
          <w:highlight w:val="none"/>
          <w:u w:val="single"/>
        </w:rPr>
        <w:t xml:space="preserve">                     </w:t>
      </w:r>
    </w:p>
    <w:p>
      <w:pPr>
        <w:pStyle w:val="2"/>
        <w:snapToGrid w:val="0"/>
        <w:spacing w:line="500" w:lineRule="atLeast"/>
        <w:ind w:firstLine="420" w:firstLineChars="200"/>
        <w:rPr>
          <w:rFonts w:hAnsi="宋体" w:cs="宋体"/>
          <w:highlight w:val="none"/>
        </w:rPr>
      </w:pPr>
      <w:r>
        <w:rPr>
          <w:rFonts w:hint="eastAsia" w:hAnsi="宋体" w:cs="宋体"/>
          <w:highlight w:val="none"/>
        </w:rPr>
        <w:t>日期：        年  月   日</w:t>
      </w:r>
    </w:p>
    <w:p>
      <w:pPr>
        <w:pStyle w:val="2"/>
        <w:snapToGrid w:val="0"/>
        <w:spacing w:line="500" w:lineRule="atLeast"/>
        <w:ind w:firstLine="562"/>
        <w:rPr>
          <w:rFonts w:hAnsi="宋体" w:cs="宋体"/>
          <w:b/>
          <w:snapToGrid w:val="0"/>
          <w:highlight w:val="none"/>
          <w:u w:val="single"/>
        </w:rPr>
      </w:pPr>
      <w:r>
        <w:rPr>
          <w:rFonts w:hint="eastAsia" w:hAnsi="宋体" w:cs="宋体"/>
          <w:highlight w:val="none"/>
        </w:rPr>
        <w:t xml:space="preserve">                     </w:t>
      </w:r>
    </w:p>
    <w:p>
      <w:pPr>
        <w:pStyle w:val="4"/>
        <w:spacing w:before="0" w:after="0" w:line="240" w:lineRule="auto"/>
        <w:rPr>
          <w:rFonts w:ascii="宋体" w:hAnsi="宋体" w:eastAsia="宋体" w:cs="宋体"/>
          <w:sz w:val="24"/>
          <w:highlight w:val="none"/>
        </w:rPr>
      </w:pPr>
      <w:r>
        <w:rPr>
          <w:rFonts w:hint="eastAsia" w:ascii="宋体" w:hAnsi="宋体" w:eastAsia="宋体" w:cs="宋体"/>
          <w:snapToGrid w:val="0"/>
          <w:kern w:val="0"/>
          <w:highlight w:val="none"/>
        </w:rPr>
        <w:br w:type="page"/>
      </w:r>
    </w:p>
    <w:p>
      <w:pPr>
        <w:numPr>
          <w:ilvl w:val="0"/>
          <w:numId w:val="17"/>
        </w:numPr>
        <w:spacing w:line="360" w:lineRule="auto"/>
        <w:jc w:val="center"/>
        <w:rPr>
          <w:b/>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报价明细表</w:t>
      </w:r>
    </w:p>
    <w:p>
      <w:pPr>
        <w:pStyle w:val="56"/>
        <w:overflowPunct w:val="0"/>
        <w:spacing w:beforeLines="50"/>
        <w:ind w:firstLine="567"/>
        <w:jc w:val="center"/>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项目编号：                                                       单位【人民币：万元】</w:t>
      </w:r>
    </w:p>
    <w:tbl>
      <w:tblPr>
        <w:tblStyle w:val="25"/>
        <w:tblW w:w="91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1"/>
        <w:gridCol w:w="2917"/>
        <w:gridCol w:w="1433"/>
        <w:gridCol w:w="1400"/>
        <w:gridCol w:w="2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1011" w:type="dxa"/>
            <w:vAlign w:val="center"/>
          </w:tcPr>
          <w:p>
            <w:pPr>
              <w:pStyle w:val="56"/>
              <w:overflowPunct w:val="0"/>
              <w:spacing w:line="0" w:lineRule="atLeast"/>
              <w:jc w:val="center"/>
              <w:rPr>
                <w:rFonts w:asciiTheme="minorEastAsia" w:hAnsiTheme="minorEastAsia" w:eastAsiaTheme="minorEastAsia" w:cstheme="minorEastAsia"/>
                <w:b/>
                <w:highlight w:val="none"/>
              </w:rPr>
            </w:pPr>
            <w:r>
              <w:rPr>
                <w:rFonts w:hint="eastAsia" w:asciiTheme="minorEastAsia" w:hAnsiTheme="minorEastAsia" w:eastAsiaTheme="minorEastAsia" w:cstheme="minorEastAsia"/>
                <w:b/>
                <w:highlight w:val="none"/>
              </w:rPr>
              <w:t>序号</w:t>
            </w:r>
          </w:p>
        </w:tc>
        <w:tc>
          <w:tcPr>
            <w:tcW w:w="2917" w:type="dxa"/>
            <w:vAlign w:val="center"/>
          </w:tcPr>
          <w:p>
            <w:pPr>
              <w:pStyle w:val="56"/>
              <w:overflowPunct w:val="0"/>
              <w:spacing w:line="0" w:lineRule="atLeast"/>
              <w:jc w:val="center"/>
              <w:rPr>
                <w:rFonts w:asciiTheme="minorEastAsia" w:hAnsiTheme="minorEastAsia" w:eastAsiaTheme="minorEastAsia" w:cstheme="minorEastAsia"/>
                <w:b/>
                <w:highlight w:val="none"/>
              </w:rPr>
            </w:pPr>
            <w:r>
              <w:rPr>
                <w:rFonts w:hint="eastAsia" w:asciiTheme="minorEastAsia" w:hAnsiTheme="minorEastAsia" w:eastAsiaTheme="minorEastAsia" w:cstheme="minorEastAsia"/>
                <w:b/>
                <w:highlight w:val="none"/>
              </w:rPr>
              <w:t>成本项目</w:t>
            </w:r>
          </w:p>
        </w:tc>
        <w:tc>
          <w:tcPr>
            <w:tcW w:w="1433" w:type="dxa"/>
            <w:vAlign w:val="center"/>
          </w:tcPr>
          <w:p>
            <w:pPr>
              <w:pStyle w:val="56"/>
              <w:overflowPunct w:val="0"/>
              <w:spacing w:line="0" w:lineRule="atLeast"/>
              <w:jc w:val="center"/>
              <w:rPr>
                <w:rFonts w:asciiTheme="minorEastAsia" w:hAnsiTheme="minorEastAsia" w:eastAsiaTheme="minorEastAsia" w:cstheme="minorEastAsia"/>
                <w:b/>
                <w:highlight w:val="none"/>
              </w:rPr>
            </w:pPr>
            <w:r>
              <w:rPr>
                <w:rFonts w:hint="eastAsia" w:asciiTheme="minorEastAsia" w:hAnsiTheme="minorEastAsia" w:eastAsiaTheme="minorEastAsia" w:cstheme="minorEastAsia"/>
                <w:b/>
                <w:highlight w:val="none"/>
              </w:rPr>
              <w:t>日/元</w:t>
            </w:r>
          </w:p>
        </w:tc>
        <w:tc>
          <w:tcPr>
            <w:tcW w:w="1400" w:type="dxa"/>
            <w:vAlign w:val="center"/>
          </w:tcPr>
          <w:p>
            <w:pPr>
              <w:pStyle w:val="56"/>
              <w:overflowPunct w:val="0"/>
              <w:spacing w:line="0" w:lineRule="atLeast"/>
              <w:jc w:val="center"/>
              <w:rPr>
                <w:rFonts w:asciiTheme="minorEastAsia" w:hAnsiTheme="minorEastAsia" w:eastAsiaTheme="minorEastAsia" w:cstheme="minorEastAsia"/>
                <w:b/>
                <w:highlight w:val="none"/>
              </w:rPr>
            </w:pPr>
            <w:r>
              <w:rPr>
                <w:rFonts w:hint="eastAsia" w:asciiTheme="minorEastAsia" w:hAnsiTheme="minorEastAsia" w:eastAsiaTheme="minorEastAsia" w:cstheme="minorEastAsia"/>
                <w:b/>
                <w:highlight w:val="none"/>
              </w:rPr>
              <w:t>元/3年</w:t>
            </w:r>
          </w:p>
        </w:tc>
        <w:tc>
          <w:tcPr>
            <w:tcW w:w="2343" w:type="dxa"/>
            <w:vAlign w:val="center"/>
          </w:tcPr>
          <w:p>
            <w:pPr>
              <w:pStyle w:val="56"/>
              <w:overflowPunct w:val="0"/>
              <w:spacing w:line="0" w:lineRule="atLeast"/>
              <w:jc w:val="center"/>
              <w:rPr>
                <w:rFonts w:asciiTheme="minorEastAsia" w:hAnsiTheme="minorEastAsia" w:eastAsiaTheme="minorEastAsia" w:cstheme="minorEastAsia"/>
                <w:b/>
                <w:highlight w:val="none"/>
              </w:rPr>
            </w:pPr>
            <w:r>
              <w:rPr>
                <w:rFonts w:hint="eastAsia" w:asciiTheme="minorEastAsia" w:hAnsiTheme="minorEastAsia" w:eastAsiaTheme="minorEastAsia" w:cstheme="minorEastAsia"/>
                <w:b/>
                <w:highlight w:val="none"/>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1011" w:type="dxa"/>
            <w:vAlign w:val="center"/>
          </w:tcPr>
          <w:p>
            <w:pPr>
              <w:pStyle w:val="56"/>
              <w:overflowPunct w:val="0"/>
              <w:spacing w:line="0" w:lineRule="atLeast"/>
              <w:jc w:val="center"/>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1</w:t>
            </w:r>
          </w:p>
        </w:tc>
        <w:tc>
          <w:tcPr>
            <w:tcW w:w="2917" w:type="dxa"/>
            <w:vAlign w:val="center"/>
          </w:tcPr>
          <w:p>
            <w:pPr>
              <w:pStyle w:val="56"/>
              <w:overflowPunct w:val="0"/>
              <w:spacing w:line="0" w:lineRule="atLeast"/>
              <w:jc w:val="center"/>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工资福利费</w:t>
            </w:r>
          </w:p>
        </w:tc>
        <w:tc>
          <w:tcPr>
            <w:tcW w:w="1433" w:type="dxa"/>
            <w:vAlign w:val="center"/>
          </w:tcPr>
          <w:p>
            <w:pPr>
              <w:pStyle w:val="56"/>
              <w:overflowPunct w:val="0"/>
              <w:spacing w:line="0" w:lineRule="atLeast"/>
              <w:ind w:firstLine="567"/>
              <w:rPr>
                <w:rFonts w:asciiTheme="minorEastAsia" w:hAnsiTheme="minorEastAsia" w:eastAsiaTheme="minorEastAsia" w:cstheme="minorEastAsia"/>
                <w:bCs/>
                <w:highlight w:val="none"/>
              </w:rPr>
            </w:pPr>
          </w:p>
        </w:tc>
        <w:tc>
          <w:tcPr>
            <w:tcW w:w="1400" w:type="dxa"/>
            <w:vAlign w:val="center"/>
          </w:tcPr>
          <w:p>
            <w:pPr>
              <w:pStyle w:val="56"/>
              <w:overflowPunct w:val="0"/>
              <w:spacing w:line="0" w:lineRule="atLeast"/>
              <w:ind w:firstLine="567"/>
              <w:rPr>
                <w:rFonts w:asciiTheme="minorEastAsia" w:hAnsiTheme="minorEastAsia" w:eastAsiaTheme="minorEastAsia" w:cstheme="minorEastAsia"/>
                <w:bCs/>
                <w:highlight w:val="none"/>
              </w:rPr>
            </w:pPr>
          </w:p>
        </w:tc>
        <w:tc>
          <w:tcPr>
            <w:tcW w:w="2343" w:type="dxa"/>
            <w:vAlign w:val="center"/>
          </w:tcPr>
          <w:p>
            <w:pPr>
              <w:pStyle w:val="56"/>
              <w:overflowPunct w:val="0"/>
              <w:spacing w:line="0" w:lineRule="atLeast"/>
              <w:ind w:firstLine="567"/>
              <w:rPr>
                <w:rFonts w:asciiTheme="minorEastAsia" w:hAnsiTheme="minorEastAsia" w:eastAsiaTheme="minorEastAsia" w:cstheme="minorEastAsia"/>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1011" w:type="dxa"/>
            <w:vAlign w:val="center"/>
          </w:tcPr>
          <w:p>
            <w:pPr>
              <w:pStyle w:val="56"/>
              <w:overflowPunct w:val="0"/>
              <w:spacing w:line="0" w:lineRule="atLeast"/>
              <w:jc w:val="center"/>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2</w:t>
            </w:r>
          </w:p>
        </w:tc>
        <w:tc>
          <w:tcPr>
            <w:tcW w:w="2917" w:type="dxa"/>
            <w:vAlign w:val="center"/>
          </w:tcPr>
          <w:p>
            <w:pPr>
              <w:pStyle w:val="56"/>
              <w:overflowPunct w:val="0"/>
              <w:spacing w:line="0" w:lineRule="atLeast"/>
              <w:jc w:val="center"/>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管理费</w:t>
            </w:r>
          </w:p>
        </w:tc>
        <w:tc>
          <w:tcPr>
            <w:tcW w:w="1433" w:type="dxa"/>
            <w:vAlign w:val="center"/>
          </w:tcPr>
          <w:p>
            <w:pPr>
              <w:pStyle w:val="56"/>
              <w:overflowPunct w:val="0"/>
              <w:spacing w:line="0" w:lineRule="atLeast"/>
              <w:ind w:firstLine="567"/>
              <w:rPr>
                <w:rFonts w:asciiTheme="minorEastAsia" w:hAnsiTheme="minorEastAsia" w:eastAsiaTheme="minorEastAsia" w:cstheme="minorEastAsia"/>
                <w:bCs/>
                <w:highlight w:val="none"/>
              </w:rPr>
            </w:pPr>
          </w:p>
        </w:tc>
        <w:tc>
          <w:tcPr>
            <w:tcW w:w="1400" w:type="dxa"/>
            <w:vAlign w:val="center"/>
          </w:tcPr>
          <w:p>
            <w:pPr>
              <w:pStyle w:val="56"/>
              <w:overflowPunct w:val="0"/>
              <w:spacing w:line="0" w:lineRule="atLeast"/>
              <w:ind w:firstLine="567"/>
              <w:rPr>
                <w:rFonts w:asciiTheme="minorEastAsia" w:hAnsiTheme="minorEastAsia" w:eastAsiaTheme="minorEastAsia" w:cstheme="minorEastAsia"/>
                <w:bCs/>
                <w:highlight w:val="none"/>
              </w:rPr>
            </w:pPr>
          </w:p>
        </w:tc>
        <w:tc>
          <w:tcPr>
            <w:tcW w:w="2343" w:type="dxa"/>
            <w:vAlign w:val="center"/>
          </w:tcPr>
          <w:p>
            <w:pPr>
              <w:pStyle w:val="56"/>
              <w:overflowPunct w:val="0"/>
              <w:spacing w:line="0" w:lineRule="atLeast"/>
              <w:ind w:firstLine="567"/>
              <w:rPr>
                <w:rFonts w:asciiTheme="minorEastAsia" w:hAnsiTheme="minorEastAsia" w:eastAsiaTheme="minorEastAsia" w:cstheme="minorEastAsia"/>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1011" w:type="dxa"/>
            <w:vAlign w:val="center"/>
          </w:tcPr>
          <w:p>
            <w:pPr>
              <w:pStyle w:val="56"/>
              <w:overflowPunct w:val="0"/>
              <w:spacing w:line="0" w:lineRule="atLeast"/>
              <w:jc w:val="center"/>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3</w:t>
            </w:r>
          </w:p>
        </w:tc>
        <w:tc>
          <w:tcPr>
            <w:tcW w:w="2917" w:type="dxa"/>
            <w:vAlign w:val="center"/>
          </w:tcPr>
          <w:p>
            <w:pPr>
              <w:pStyle w:val="56"/>
              <w:overflowPunct w:val="0"/>
              <w:spacing w:line="0" w:lineRule="atLeast"/>
              <w:jc w:val="center"/>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办公设备购置</w:t>
            </w:r>
          </w:p>
        </w:tc>
        <w:tc>
          <w:tcPr>
            <w:tcW w:w="1433" w:type="dxa"/>
            <w:vAlign w:val="center"/>
          </w:tcPr>
          <w:p>
            <w:pPr>
              <w:pStyle w:val="56"/>
              <w:overflowPunct w:val="0"/>
              <w:spacing w:line="0" w:lineRule="atLeast"/>
              <w:ind w:firstLine="567"/>
              <w:rPr>
                <w:rFonts w:asciiTheme="minorEastAsia" w:hAnsiTheme="minorEastAsia" w:eastAsiaTheme="minorEastAsia" w:cstheme="minorEastAsia"/>
                <w:bCs/>
                <w:highlight w:val="none"/>
              </w:rPr>
            </w:pPr>
          </w:p>
        </w:tc>
        <w:tc>
          <w:tcPr>
            <w:tcW w:w="1400" w:type="dxa"/>
            <w:vAlign w:val="center"/>
          </w:tcPr>
          <w:p>
            <w:pPr>
              <w:pStyle w:val="56"/>
              <w:overflowPunct w:val="0"/>
              <w:spacing w:line="0" w:lineRule="atLeast"/>
              <w:ind w:firstLine="567"/>
              <w:rPr>
                <w:rFonts w:asciiTheme="minorEastAsia" w:hAnsiTheme="minorEastAsia" w:eastAsiaTheme="minorEastAsia" w:cstheme="minorEastAsia"/>
                <w:bCs/>
                <w:highlight w:val="none"/>
              </w:rPr>
            </w:pPr>
          </w:p>
        </w:tc>
        <w:tc>
          <w:tcPr>
            <w:tcW w:w="2343" w:type="dxa"/>
            <w:vAlign w:val="center"/>
          </w:tcPr>
          <w:p>
            <w:pPr>
              <w:pStyle w:val="56"/>
              <w:overflowPunct w:val="0"/>
              <w:spacing w:line="0" w:lineRule="atLeast"/>
              <w:ind w:firstLine="567"/>
              <w:rPr>
                <w:rFonts w:asciiTheme="minorEastAsia" w:hAnsiTheme="minorEastAsia" w:eastAsiaTheme="minorEastAsia" w:cstheme="minorEastAsia"/>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1011" w:type="dxa"/>
            <w:vAlign w:val="center"/>
          </w:tcPr>
          <w:p>
            <w:pPr>
              <w:pStyle w:val="56"/>
              <w:overflowPunct w:val="0"/>
              <w:spacing w:line="0" w:lineRule="atLeast"/>
              <w:jc w:val="center"/>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4</w:t>
            </w:r>
          </w:p>
        </w:tc>
        <w:tc>
          <w:tcPr>
            <w:tcW w:w="2917" w:type="dxa"/>
            <w:vAlign w:val="center"/>
          </w:tcPr>
          <w:p>
            <w:pPr>
              <w:pStyle w:val="56"/>
              <w:overflowPunct w:val="0"/>
              <w:spacing w:line="0" w:lineRule="atLeast"/>
              <w:jc w:val="center"/>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日常维护费</w:t>
            </w:r>
          </w:p>
        </w:tc>
        <w:tc>
          <w:tcPr>
            <w:tcW w:w="1433" w:type="dxa"/>
            <w:vAlign w:val="center"/>
          </w:tcPr>
          <w:p>
            <w:pPr>
              <w:pStyle w:val="56"/>
              <w:overflowPunct w:val="0"/>
              <w:spacing w:line="0" w:lineRule="atLeast"/>
              <w:ind w:firstLine="567"/>
              <w:rPr>
                <w:rFonts w:asciiTheme="minorEastAsia" w:hAnsiTheme="minorEastAsia" w:eastAsiaTheme="minorEastAsia" w:cstheme="minorEastAsia"/>
                <w:bCs/>
                <w:highlight w:val="none"/>
              </w:rPr>
            </w:pPr>
          </w:p>
        </w:tc>
        <w:tc>
          <w:tcPr>
            <w:tcW w:w="1400" w:type="dxa"/>
            <w:vAlign w:val="center"/>
          </w:tcPr>
          <w:p>
            <w:pPr>
              <w:pStyle w:val="56"/>
              <w:overflowPunct w:val="0"/>
              <w:spacing w:line="0" w:lineRule="atLeast"/>
              <w:ind w:firstLine="567"/>
              <w:rPr>
                <w:rFonts w:asciiTheme="minorEastAsia" w:hAnsiTheme="minorEastAsia" w:eastAsiaTheme="minorEastAsia" w:cstheme="minorEastAsia"/>
                <w:bCs/>
                <w:highlight w:val="none"/>
              </w:rPr>
            </w:pPr>
          </w:p>
        </w:tc>
        <w:tc>
          <w:tcPr>
            <w:tcW w:w="2343" w:type="dxa"/>
            <w:vAlign w:val="center"/>
          </w:tcPr>
          <w:p>
            <w:pPr>
              <w:pStyle w:val="56"/>
              <w:overflowPunct w:val="0"/>
              <w:spacing w:line="0" w:lineRule="atLeast"/>
              <w:ind w:firstLine="567"/>
              <w:rPr>
                <w:rFonts w:asciiTheme="minorEastAsia" w:hAnsiTheme="minorEastAsia" w:eastAsiaTheme="minorEastAsia" w:cstheme="minorEastAsia"/>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1011" w:type="dxa"/>
            <w:vAlign w:val="center"/>
          </w:tcPr>
          <w:p>
            <w:pPr>
              <w:pStyle w:val="56"/>
              <w:overflowPunct w:val="0"/>
              <w:spacing w:line="0" w:lineRule="atLeast"/>
              <w:jc w:val="center"/>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5</w:t>
            </w:r>
          </w:p>
        </w:tc>
        <w:tc>
          <w:tcPr>
            <w:tcW w:w="2917" w:type="dxa"/>
            <w:vAlign w:val="center"/>
          </w:tcPr>
          <w:p>
            <w:pPr>
              <w:pStyle w:val="56"/>
              <w:overflowPunct w:val="0"/>
              <w:spacing w:line="0" w:lineRule="atLeast"/>
              <w:jc w:val="center"/>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检验费</w:t>
            </w:r>
          </w:p>
        </w:tc>
        <w:tc>
          <w:tcPr>
            <w:tcW w:w="1433" w:type="dxa"/>
            <w:vAlign w:val="center"/>
          </w:tcPr>
          <w:p>
            <w:pPr>
              <w:pStyle w:val="56"/>
              <w:overflowPunct w:val="0"/>
              <w:spacing w:line="0" w:lineRule="atLeast"/>
              <w:ind w:firstLine="567"/>
              <w:rPr>
                <w:rFonts w:asciiTheme="minorEastAsia" w:hAnsiTheme="minorEastAsia" w:eastAsiaTheme="minorEastAsia" w:cstheme="minorEastAsia"/>
                <w:bCs/>
                <w:highlight w:val="none"/>
              </w:rPr>
            </w:pPr>
          </w:p>
        </w:tc>
        <w:tc>
          <w:tcPr>
            <w:tcW w:w="1400" w:type="dxa"/>
            <w:vAlign w:val="center"/>
          </w:tcPr>
          <w:p>
            <w:pPr>
              <w:pStyle w:val="56"/>
              <w:overflowPunct w:val="0"/>
              <w:spacing w:line="0" w:lineRule="atLeast"/>
              <w:ind w:firstLine="567"/>
              <w:rPr>
                <w:rFonts w:asciiTheme="minorEastAsia" w:hAnsiTheme="minorEastAsia" w:eastAsiaTheme="minorEastAsia" w:cstheme="minorEastAsia"/>
                <w:bCs/>
                <w:highlight w:val="none"/>
              </w:rPr>
            </w:pPr>
          </w:p>
        </w:tc>
        <w:tc>
          <w:tcPr>
            <w:tcW w:w="2343" w:type="dxa"/>
            <w:vAlign w:val="center"/>
          </w:tcPr>
          <w:p>
            <w:pPr>
              <w:pStyle w:val="56"/>
              <w:overflowPunct w:val="0"/>
              <w:spacing w:line="0" w:lineRule="atLeast"/>
              <w:ind w:firstLine="567"/>
              <w:rPr>
                <w:rFonts w:asciiTheme="minorEastAsia" w:hAnsiTheme="minorEastAsia" w:eastAsiaTheme="minorEastAsia" w:cstheme="minorEastAsia"/>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1011" w:type="dxa"/>
            <w:vAlign w:val="center"/>
          </w:tcPr>
          <w:p>
            <w:pPr>
              <w:pStyle w:val="56"/>
              <w:overflowPunct w:val="0"/>
              <w:spacing w:line="0" w:lineRule="atLeast"/>
              <w:jc w:val="center"/>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6</w:t>
            </w:r>
          </w:p>
        </w:tc>
        <w:tc>
          <w:tcPr>
            <w:tcW w:w="2917" w:type="dxa"/>
            <w:vAlign w:val="center"/>
          </w:tcPr>
          <w:p>
            <w:pPr>
              <w:pStyle w:val="56"/>
              <w:overflowPunct w:val="0"/>
              <w:spacing w:line="0" w:lineRule="atLeast"/>
              <w:jc w:val="center"/>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环保在线监测</w:t>
            </w:r>
          </w:p>
        </w:tc>
        <w:tc>
          <w:tcPr>
            <w:tcW w:w="1433" w:type="dxa"/>
            <w:vAlign w:val="center"/>
          </w:tcPr>
          <w:p>
            <w:pPr>
              <w:pStyle w:val="56"/>
              <w:overflowPunct w:val="0"/>
              <w:spacing w:line="0" w:lineRule="atLeast"/>
              <w:ind w:firstLine="567"/>
              <w:rPr>
                <w:rFonts w:asciiTheme="minorEastAsia" w:hAnsiTheme="minorEastAsia" w:eastAsiaTheme="minorEastAsia" w:cstheme="minorEastAsia"/>
                <w:bCs/>
                <w:highlight w:val="none"/>
              </w:rPr>
            </w:pPr>
          </w:p>
        </w:tc>
        <w:tc>
          <w:tcPr>
            <w:tcW w:w="1400" w:type="dxa"/>
            <w:vAlign w:val="center"/>
          </w:tcPr>
          <w:p>
            <w:pPr>
              <w:pStyle w:val="56"/>
              <w:overflowPunct w:val="0"/>
              <w:spacing w:line="0" w:lineRule="atLeast"/>
              <w:ind w:firstLine="567"/>
              <w:rPr>
                <w:rFonts w:asciiTheme="minorEastAsia" w:hAnsiTheme="minorEastAsia" w:eastAsiaTheme="minorEastAsia" w:cstheme="minorEastAsia"/>
                <w:bCs/>
                <w:highlight w:val="none"/>
              </w:rPr>
            </w:pPr>
          </w:p>
        </w:tc>
        <w:tc>
          <w:tcPr>
            <w:tcW w:w="2343" w:type="dxa"/>
            <w:vAlign w:val="center"/>
          </w:tcPr>
          <w:p>
            <w:pPr>
              <w:pStyle w:val="56"/>
              <w:overflowPunct w:val="0"/>
              <w:spacing w:line="0" w:lineRule="atLeast"/>
              <w:ind w:firstLine="567"/>
              <w:rPr>
                <w:rFonts w:asciiTheme="minorEastAsia" w:hAnsiTheme="minorEastAsia" w:eastAsiaTheme="minorEastAsia" w:cstheme="minorEastAsia"/>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1011" w:type="dxa"/>
            <w:vAlign w:val="center"/>
          </w:tcPr>
          <w:p>
            <w:pPr>
              <w:pStyle w:val="56"/>
              <w:overflowPunct w:val="0"/>
              <w:spacing w:line="0" w:lineRule="atLeast"/>
              <w:jc w:val="center"/>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7</w:t>
            </w:r>
          </w:p>
        </w:tc>
        <w:tc>
          <w:tcPr>
            <w:tcW w:w="2917" w:type="dxa"/>
            <w:vAlign w:val="center"/>
          </w:tcPr>
          <w:p>
            <w:pPr>
              <w:pStyle w:val="56"/>
              <w:overflowPunct w:val="0"/>
              <w:spacing w:line="0" w:lineRule="atLeast"/>
              <w:jc w:val="center"/>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污泥定性监测</w:t>
            </w:r>
          </w:p>
        </w:tc>
        <w:tc>
          <w:tcPr>
            <w:tcW w:w="1433" w:type="dxa"/>
            <w:vAlign w:val="center"/>
          </w:tcPr>
          <w:p>
            <w:pPr>
              <w:pStyle w:val="56"/>
              <w:overflowPunct w:val="0"/>
              <w:spacing w:line="0" w:lineRule="atLeast"/>
              <w:ind w:firstLine="567"/>
              <w:rPr>
                <w:rFonts w:asciiTheme="minorEastAsia" w:hAnsiTheme="minorEastAsia" w:eastAsiaTheme="minorEastAsia" w:cstheme="minorEastAsia"/>
                <w:bCs/>
                <w:highlight w:val="none"/>
              </w:rPr>
            </w:pPr>
          </w:p>
        </w:tc>
        <w:tc>
          <w:tcPr>
            <w:tcW w:w="1400" w:type="dxa"/>
            <w:vAlign w:val="center"/>
          </w:tcPr>
          <w:p>
            <w:pPr>
              <w:pStyle w:val="56"/>
              <w:overflowPunct w:val="0"/>
              <w:spacing w:line="0" w:lineRule="atLeast"/>
              <w:ind w:firstLine="567"/>
              <w:rPr>
                <w:rFonts w:asciiTheme="minorEastAsia" w:hAnsiTheme="minorEastAsia" w:eastAsiaTheme="minorEastAsia" w:cstheme="minorEastAsia"/>
                <w:bCs/>
                <w:highlight w:val="none"/>
              </w:rPr>
            </w:pPr>
          </w:p>
        </w:tc>
        <w:tc>
          <w:tcPr>
            <w:tcW w:w="2343" w:type="dxa"/>
            <w:vAlign w:val="center"/>
          </w:tcPr>
          <w:p>
            <w:pPr>
              <w:pStyle w:val="56"/>
              <w:overflowPunct w:val="0"/>
              <w:spacing w:line="0" w:lineRule="atLeast"/>
              <w:ind w:firstLine="567"/>
              <w:rPr>
                <w:rFonts w:asciiTheme="minorEastAsia" w:hAnsiTheme="minorEastAsia" w:eastAsiaTheme="minorEastAsia" w:cstheme="minorEastAsia"/>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1011" w:type="dxa"/>
            <w:vAlign w:val="center"/>
          </w:tcPr>
          <w:p>
            <w:pPr>
              <w:pStyle w:val="56"/>
              <w:overflowPunct w:val="0"/>
              <w:spacing w:line="0" w:lineRule="atLeast"/>
              <w:jc w:val="center"/>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8</w:t>
            </w:r>
          </w:p>
        </w:tc>
        <w:tc>
          <w:tcPr>
            <w:tcW w:w="2917" w:type="dxa"/>
            <w:vAlign w:val="center"/>
          </w:tcPr>
          <w:p>
            <w:pPr>
              <w:pStyle w:val="56"/>
              <w:overflowPunct w:val="0"/>
              <w:spacing w:line="0" w:lineRule="atLeast"/>
              <w:jc w:val="center"/>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污泥处置费</w:t>
            </w:r>
          </w:p>
        </w:tc>
        <w:tc>
          <w:tcPr>
            <w:tcW w:w="1433" w:type="dxa"/>
            <w:vAlign w:val="center"/>
          </w:tcPr>
          <w:p>
            <w:pPr>
              <w:pStyle w:val="56"/>
              <w:overflowPunct w:val="0"/>
              <w:spacing w:line="0" w:lineRule="atLeast"/>
              <w:ind w:firstLine="567"/>
              <w:rPr>
                <w:rFonts w:asciiTheme="minorEastAsia" w:hAnsiTheme="minorEastAsia" w:eastAsiaTheme="minorEastAsia" w:cstheme="minorEastAsia"/>
                <w:bCs/>
                <w:highlight w:val="none"/>
              </w:rPr>
            </w:pPr>
          </w:p>
        </w:tc>
        <w:tc>
          <w:tcPr>
            <w:tcW w:w="1400" w:type="dxa"/>
            <w:vAlign w:val="center"/>
          </w:tcPr>
          <w:p>
            <w:pPr>
              <w:pStyle w:val="56"/>
              <w:overflowPunct w:val="0"/>
              <w:spacing w:line="0" w:lineRule="atLeast"/>
              <w:ind w:firstLine="567"/>
              <w:rPr>
                <w:rFonts w:asciiTheme="minorEastAsia" w:hAnsiTheme="minorEastAsia" w:eastAsiaTheme="minorEastAsia" w:cstheme="minorEastAsia"/>
                <w:bCs/>
                <w:highlight w:val="none"/>
              </w:rPr>
            </w:pPr>
          </w:p>
        </w:tc>
        <w:tc>
          <w:tcPr>
            <w:tcW w:w="2343" w:type="dxa"/>
            <w:vAlign w:val="center"/>
          </w:tcPr>
          <w:p>
            <w:pPr>
              <w:pStyle w:val="56"/>
              <w:overflowPunct w:val="0"/>
              <w:spacing w:line="0" w:lineRule="atLeast"/>
              <w:ind w:firstLine="567"/>
              <w:rPr>
                <w:rFonts w:asciiTheme="minorEastAsia" w:hAnsiTheme="minorEastAsia" w:eastAsiaTheme="minorEastAsia" w:cstheme="minorEastAsia"/>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1011" w:type="dxa"/>
            <w:vAlign w:val="center"/>
          </w:tcPr>
          <w:p>
            <w:pPr>
              <w:pStyle w:val="56"/>
              <w:overflowPunct w:val="0"/>
              <w:spacing w:line="0" w:lineRule="atLeast"/>
              <w:jc w:val="center"/>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9</w:t>
            </w:r>
          </w:p>
        </w:tc>
        <w:tc>
          <w:tcPr>
            <w:tcW w:w="2917" w:type="dxa"/>
            <w:vAlign w:val="center"/>
          </w:tcPr>
          <w:p>
            <w:pPr>
              <w:pStyle w:val="56"/>
              <w:overflowPunct w:val="0"/>
              <w:spacing w:line="0" w:lineRule="atLeast"/>
              <w:jc w:val="center"/>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水费</w:t>
            </w:r>
          </w:p>
        </w:tc>
        <w:tc>
          <w:tcPr>
            <w:tcW w:w="1433" w:type="dxa"/>
            <w:vAlign w:val="center"/>
          </w:tcPr>
          <w:p>
            <w:pPr>
              <w:pStyle w:val="56"/>
              <w:overflowPunct w:val="0"/>
              <w:spacing w:line="0" w:lineRule="atLeast"/>
              <w:ind w:firstLine="567"/>
              <w:rPr>
                <w:rFonts w:asciiTheme="minorEastAsia" w:hAnsiTheme="minorEastAsia" w:eastAsiaTheme="minorEastAsia" w:cstheme="minorEastAsia"/>
                <w:bCs/>
                <w:highlight w:val="none"/>
              </w:rPr>
            </w:pPr>
          </w:p>
        </w:tc>
        <w:tc>
          <w:tcPr>
            <w:tcW w:w="1400" w:type="dxa"/>
            <w:vAlign w:val="center"/>
          </w:tcPr>
          <w:p>
            <w:pPr>
              <w:pStyle w:val="56"/>
              <w:overflowPunct w:val="0"/>
              <w:spacing w:line="0" w:lineRule="atLeast"/>
              <w:ind w:firstLine="567"/>
              <w:rPr>
                <w:rFonts w:asciiTheme="minorEastAsia" w:hAnsiTheme="minorEastAsia" w:eastAsiaTheme="minorEastAsia" w:cstheme="minorEastAsia"/>
                <w:bCs/>
                <w:highlight w:val="none"/>
              </w:rPr>
            </w:pPr>
          </w:p>
        </w:tc>
        <w:tc>
          <w:tcPr>
            <w:tcW w:w="2343" w:type="dxa"/>
            <w:vAlign w:val="center"/>
          </w:tcPr>
          <w:p>
            <w:pPr>
              <w:pStyle w:val="56"/>
              <w:overflowPunct w:val="0"/>
              <w:spacing w:line="0" w:lineRule="atLeast"/>
              <w:ind w:firstLine="567"/>
              <w:rPr>
                <w:rFonts w:asciiTheme="minorEastAsia" w:hAnsiTheme="minorEastAsia" w:eastAsiaTheme="minorEastAsia" w:cstheme="minorEastAsia"/>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1011" w:type="dxa"/>
            <w:vAlign w:val="center"/>
          </w:tcPr>
          <w:p>
            <w:pPr>
              <w:pStyle w:val="56"/>
              <w:overflowPunct w:val="0"/>
              <w:spacing w:line="0" w:lineRule="atLeast"/>
              <w:jc w:val="center"/>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10</w:t>
            </w:r>
          </w:p>
        </w:tc>
        <w:tc>
          <w:tcPr>
            <w:tcW w:w="2917" w:type="dxa"/>
            <w:vAlign w:val="center"/>
          </w:tcPr>
          <w:p>
            <w:pPr>
              <w:pStyle w:val="56"/>
              <w:overflowPunct w:val="0"/>
              <w:spacing w:line="0" w:lineRule="atLeast"/>
              <w:jc w:val="center"/>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药剂费</w:t>
            </w:r>
          </w:p>
        </w:tc>
        <w:tc>
          <w:tcPr>
            <w:tcW w:w="1433" w:type="dxa"/>
            <w:vAlign w:val="center"/>
          </w:tcPr>
          <w:p>
            <w:pPr>
              <w:pStyle w:val="56"/>
              <w:overflowPunct w:val="0"/>
              <w:spacing w:line="0" w:lineRule="atLeast"/>
              <w:ind w:firstLine="567"/>
              <w:rPr>
                <w:rFonts w:asciiTheme="minorEastAsia" w:hAnsiTheme="minorEastAsia" w:eastAsiaTheme="minorEastAsia" w:cstheme="minorEastAsia"/>
                <w:bCs/>
                <w:highlight w:val="none"/>
              </w:rPr>
            </w:pPr>
          </w:p>
        </w:tc>
        <w:tc>
          <w:tcPr>
            <w:tcW w:w="1400" w:type="dxa"/>
            <w:vAlign w:val="center"/>
          </w:tcPr>
          <w:p>
            <w:pPr>
              <w:pStyle w:val="56"/>
              <w:overflowPunct w:val="0"/>
              <w:spacing w:line="0" w:lineRule="atLeast"/>
              <w:ind w:firstLine="567"/>
              <w:rPr>
                <w:rFonts w:asciiTheme="minorEastAsia" w:hAnsiTheme="minorEastAsia" w:eastAsiaTheme="minorEastAsia" w:cstheme="minorEastAsia"/>
                <w:bCs/>
                <w:highlight w:val="none"/>
              </w:rPr>
            </w:pPr>
          </w:p>
        </w:tc>
        <w:tc>
          <w:tcPr>
            <w:tcW w:w="2343" w:type="dxa"/>
            <w:vAlign w:val="center"/>
          </w:tcPr>
          <w:p>
            <w:pPr>
              <w:pStyle w:val="56"/>
              <w:overflowPunct w:val="0"/>
              <w:spacing w:line="0" w:lineRule="atLeast"/>
              <w:ind w:firstLine="567"/>
              <w:rPr>
                <w:rFonts w:asciiTheme="minorEastAsia" w:hAnsiTheme="minorEastAsia" w:eastAsiaTheme="minorEastAsia" w:cstheme="minorEastAsia"/>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1011" w:type="dxa"/>
            <w:vAlign w:val="center"/>
          </w:tcPr>
          <w:p>
            <w:pPr>
              <w:pStyle w:val="56"/>
              <w:overflowPunct w:val="0"/>
              <w:spacing w:line="0" w:lineRule="atLeast"/>
              <w:jc w:val="center"/>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11</w:t>
            </w:r>
          </w:p>
        </w:tc>
        <w:tc>
          <w:tcPr>
            <w:tcW w:w="2917" w:type="dxa"/>
            <w:vAlign w:val="center"/>
          </w:tcPr>
          <w:p>
            <w:pPr>
              <w:pStyle w:val="56"/>
              <w:overflowPunct w:val="0"/>
              <w:spacing w:line="0" w:lineRule="atLeast"/>
              <w:jc w:val="center"/>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保险费</w:t>
            </w:r>
          </w:p>
        </w:tc>
        <w:tc>
          <w:tcPr>
            <w:tcW w:w="1433" w:type="dxa"/>
            <w:vAlign w:val="center"/>
          </w:tcPr>
          <w:p>
            <w:pPr>
              <w:pStyle w:val="56"/>
              <w:overflowPunct w:val="0"/>
              <w:spacing w:line="0" w:lineRule="atLeast"/>
              <w:ind w:firstLine="567"/>
              <w:rPr>
                <w:rFonts w:asciiTheme="minorEastAsia" w:hAnsiTheme="minorEastAsia" w:eastAsiaTheme="minorEastAsia" w:cstheme="minorEastAsia"/>
                <w:bCs/>
                <w:highlight w:val="none"/>
              </w:rPr>
            </w:pPr>
          </w:p>
        </w:tc>
        <w:tc>
          <w:tcPr>
            <w:tcW w:w="1400" w:type="dxa"/>
            <w:vAlign w:val="center"/>
          </w:tcPr>
          <w:p>
            <w:pPr>
              <w:pStyle w:val="56"/>
              <w:overflowPunct w:val="0"/>
              <w:spacing w:line="0" w:lineRule="atLeast"/>
              <w:ind w:firstLine="567"/>
              <w:rPr>
                <w:rFonts w:asciiTheme="minorEastAsia" w:hAnsiTheme="minorEastAsia" w:eastAsiaTheme="minorEastAsia" w:cstheme="minorEastAsia"/>
                <w:bCs/>
                <w:highlight w:val="none"/>
              </w:rPr>
            </w:pPr>
          </w:p>
        </w:tc>
        <w:tc>
          <w:tcPr>
            <w:tcW w:w="2343" w:type="dxa"/>
            <w:vAlign w:val="center"/>
          </w:tcPr>
          <w:p>
            <w:pPr>
              <w:pStyle w:val="56"/>
              <w:overflowPunct w:val="0"/>
              <w:spacing w:line="0" w:lineRule="atLeast"/>
              <w:ind w:firstLine="567"/>
              <w:rPr>
                <w:rFonts w:asciiTheme="minorEastAsia" w:hAnsiTheme="minorEastAsia" w:eastAsiaTheme="minorEastAsia" w:cstheme="minorEastAsia"/>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1011" w:type="dxa"/>
            <w:vAlign w:val="center"/>
          </w:tcPr>
          <w:p>
            <w:pPr>
              <w:pStyle w:val="56"/>
              <w:overflowPunct w:val="0"/>
              <w:spacing w:line="0" w:lineRule="atLeast"/>
              <w:jc w:val="center"/>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12</w:t>
            </w:r>
          </w:p>
        </w:tc>
        <w:tc>
          <w:tcPr>
            <w:tcW w:w="2917" w:type="dxa"/>
            <w:vAlign w:val="center"/>
          </w:tcPr>
          <w:p>
            <w:pPr>
              <w:pStyle w:val="56"/>
              <w:overflowPunct w:val="0"/>
              <w:spacing w:line="0" w:lineRule="atLeast"/>
              <w:jc w:val="center"/>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财务费用</w:t>
            </w:r>
          </w:p>
        </w:tc>
        <w:tc>
          <w:tcPr>
            <w:tcW w:w="1433" w:type="dxa"/>
            <w:vAlign w:val="center"/>
          </w:tcPr>
          <w:p>
            <w:pPr>
              <w:pStyle w:val="56"/>
              <w:overflowPunct w:val="0"/>
              <w:spacing w:line="0" w:lineRule="atLeast"/>
              <w:ind w:firstLine="567"/>
              <w:rPr>
                <w:rFonts w:asciiTheme="minorEastAsia" w:hAnsiTheme="minorEastAsia" w:eastAsiaTheme="minorEastAsia" w:cstheme="minorEastAsia"/>
                <w:bCs/>
                <w:highlight w:val="none"/>
              </w:rPr>
            </w:pPr>
          </w:p>
        </w:tc>
        <w:tc>
          <w:tcPr>
            <w:tcW w:w="1400" w:type="dxa"/>
            <w:vAlign w:val="center"/>
          </w:tcPr>
          <w:p>
            <w:pPr>
              <w:pStyle w:val="56"/>
              <w:overflowPunct w:val="0"/>
              <w:spacing w:line="0" w:lineRule="atLeast"/>
              <w:ind w:firstLine="567"/>
              <w:rPr>
                <w:rFonts w:asciiTheme="minorEastAsia" w:hAnsiTheme="minorEastAsia" w:eastAsiaTheme="minorEastAsia" w:cstheme="minorEastAsia"/>
                <w:bCs/>
                <w:highlight w:val="none"/>
              </w:rPr>
            </w:pPr>
          </w:p>
        </w:tc>
        <w:tc>
          <w:tcPr>
            <w:tcW w:w="2343" w:type="dxa"/>
            <w:vAlign w:val="center"/>
          </w:tcPr>
          <w:p>
            <w:pPr>
              <w:pStyle w:val="56"/>
              <w:overflowPunct w:val="0"/>
              <w:spacing w:line="0" w:lineRule="atLeast"/>
              <w:ind w:firstLine="567"/>
              <w:rPr>
                <w:rFonts w:asciiTheme="minorEastAsia" w:hAnsiTheme="minorEastAsia" w:eastAsiaTheme="minorEastAsia" w:cstheme="minorEastAsia"/>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1011" w:type="dxa"/>
            <w:vAlign w:val="center"/>
          </w:tcPr>
          <w:p>
            <w:pPr>
              <w:pStyle w:val="56"/>
              <w:overflowPunct w:val="0"/>
              <w:spacing w:line="0" w:lineRule="atLeast"/>
              <w:jc w:val="center"/>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13</w:t>
            </w:r>
          </w:p>
        </w:tc>
        <w:tc>
          <w:tcPr>
            <w:tcW w:w="2917" w:type="dxa"/>
            <w:vAlign w:val="center"/>
          </w:tcPr>
          <w:p>
            <w:pPr>
              <w:pStyle w:val="56"/>
              <w:overflowPunct w:val="0"/>
              <w:spacing w:line="0" w:lineRule="atLeast"/>
              <w:jc w:val="center"/>
              <w:rPr>
                <w:rFonts w:asciiTheme="minorEastAsia" w:hAnsiTheme="minorEastAsia" w:eastAsiaTheme="minorEastAsia" w:cstheme="minorEastAsia"/>
                <w:bCs/>
                <w:spacing w:val="-8"/>
                <w:highlight w:val="none"/>
              </w:rPr>
            </w:pPr>
            <w:r>
              <w:rPr>
                <w:rFonts w:hint="eastAsia" w:asciiTheme="minorEastAsia" w:hAnsiTheme="minorEastAsia" w:eastAsiaTheme="minorEastAsia" w:cstheme="minorEastAsia"/>
                <w:bCs/>
                <w:spacing w:val="-8"/>
                <w:highlight w:val="none"/>
              </w:rPr>
              <w:t>毛利润</w:t>
            </w:r>
          </w:p>
        </w:tc>
        <w:tc>
          <w:tcPr>
            <w:tcW w:w="1433" w:type="dxa"/>
            <w:vAlign w:val="center"/>
          </w:tcPr>
          <w:p>
            <w:pPr>
              <w:pStyle w:val="56"/>
              <w:overflowPunct w:val="0"/>
              <w:spacing w:line="0" w:lineRule="atLeast"/>
              <w:ind w:firstLine="567"/>
              <w:rPr>
                <w:rFonts w:asciiTheme="minorEastAsia" w:hAnsiTheme="minorEastAsia" w:eastAsiaTheme="minorEastAsia" w:cstheme="minorEastAsia"/>
                <w:bCs/>
                <w:highlight w:val="none"/>
              </w:rPr>
            </w:pPr>
          </w:p>
        </w:tc>
        <w:tc>
          <w:tcPr>
            <w:tcW w:w="1400" w:type="dxa"/>
            <w:vAlign w:val="center"/>
          </w:tcPr>
          <w:p>
            <w:pPr>
              <w:pStyle w:val="56"/>
              <w:overflowPunct w:val="0"/>
              <w:spacing w:line="0" w:lineRule="atLeast"/>
              <w:ind w:firstLine="567"/>
              <w:rPr>
                <w:rFonts w:asciiTheme="minorEastAsia" w:hAnsiTheme="minorEastAsia" w:eastAsiaTheme="minorEastAsia" w:cstheme="minorEastAsia"/>
                <w:bCs/>
                <w:highlight w:val="none"/>
              </w:rPr>
            </w:pPr>
          </w:p>
        </w:tc>
        <w:tc>
          <w:tcPr>
            <w:tcW w:w="2343" w:type="dxa"/>
            <w:vAlign w:val="center"/>
          </w:tcPr>
          <w:p>
            <w:pPr>
              <w:pStyle w:val="56"/>
              <w:overflowPunct w:val="0"/>
              <w:spacing w:line="0" w:lineRule="atLeast"/>
              <w:ind w:firstLine="567"/>
              <w:rPr>
                <w:rFonts w:asciiTheme="minorEastAsia" w:hAnsiTheme="minorEastAsia" w:eastAsiaTheme="minorEastAsia" w:cstheme="minorEastAsia"/>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1011" w:type="dxa"/>
            <w:vAlign w:val="center"/>
          </w:tcPr>
          <w:p>
            <w:pPr>
              <w:pStyle w:val="56"/>
              <w:overflowPunct w:val="0"/>
              <w:spacing w:line="0" w:lineRule="atLeast"/>
              <w:jc w:val="center"/>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14</w:t>
            </w:r>
          </w:p>
        </w:tc>
        <w:tc>
          <w:tcPr>
            <w:tcW w:w="2917" w:type="dxa"/>
            <w:vAlign w:val="center"/>
          </w:tcPr>
          <w:p>
            <w:pPr>
              <w:pStyle w:val="56"/>
              <w:overflowPunct w:val="0"/>
              <w:spacing w:line="0" w:lineRule="atLeast"/>
              <w:jc w:val="center"/>
              <w:rPr>
                <w:rFonts w:asciiTheme="minorEastAsia" w:hAnsiTheme="minorEastAsia" w:eastAsiaTheme="minorEastAsia" w:cstheme="minorEastAsia"/>
                <w:bCs/>
                <w:spacing w:val="-8"/>
                <w:highlight w:val="none"/>
              </w:rPr>
            </w:pPr>
            <w:r>
              <w:rPr>
                <w:rFonts w:hint="eastAsia" w:asciiTheme="minorEastAsia" w:hAnsiTheme="minorEastAsia" w:eastAsiaTheme="minorEastAsia" w:cstheme="minorEastAsia"/>
                <w:bCs/>
                <w:spacing w:val="-8"/>
                <w:highlight w:val="none"/>
              </w:rPr>
              <w:t>税金及附加</w:t>
            </w:r>
          </w:p>
        </w:tc>
        <w:tc>
          <w:tcPr>
            <w:tcW w:w="1433" w:type="dxa"/>
            <w:vAlign w:val="center"/>
          </w:tcPr>
          <w:p>
            <w:pPr>
              <w:pStyle w:val="56"/>
              <w:overflowPunct w:val="0"/>
              <w:spacing w:line="0" w:lineRule="atLeast"/>
              <w:ind w:firstLine="567"/>
              <w:rPr>
                <w:rFonts w:asciiTheme="minorEastAsia" w:hAnsiTheme="minorEastAsia" w:eastAsiaTheme="minorEastAsia" w:cstheme="minorEastAsia"/>
                <w:bCs/>
                <w:highlight w:val="none"/>
              </w:rPr>
            </w:pPr>
          </w:p>
        </w:tc>
        <w:tc>
          <w:tcPr>
            <w:tcW w:w="1400" w:type="dxa"/>
            <w:vAlign w:val="center"/>
          </w:tcPr>
          <w:p>
            <w:pPr>
              <w:pStyle w:val="56"/>
              <w:overflowPunct w:val="0"/>
              <w:spacing w:line="0" w:lineRule="atLeast"/>
              <w:ind w:firstLine="567"/>
              <w:rPr>
                <w:rFonts w:asciiTheme="minorEastAsia" w:hAnsiTheme="minorEastAsia" w:eastAsiaTheme="minorEastAsia" w:cstheme="minorEastAsia"/>
                <w:bCs/>
                <w:highlight w:val="none"/>
              </w:rPr>
            </w:pPr>
          </w:p>
        </w:tc>
        <w:tc>
          <w:tcPr>
            <w:tcW w:w="2343" w:type="dxa"/>
            <w:vAlign w:val="center"/>
          </w:tcPr>
          <w:p>
            <w:pPr>
              <w:pStyle w:val="56"/>
              <w:overflowPunct w:val="0"/>
              <w:spacing w:line="0" w:lineRule="atLeast"/>
              <w:ind w:firstLine="567"/>
              <w:rPr>
                <w:rFonts w:asciiTheme="minorEastAsia" w:hAnsiTheme="minorEastAsia" w:eastAsiaTheme="minorEastAsia" w:cstheme="minorEastAsia"/>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1011" w:type="dxa"/>
            <w:vAlign w:val="center"/>
          </w:tcPr>
          <w:p>
            <w:pPr>
              <w:pStyle w:val="56"/>
              <w:overflowPunct w:val="0"/>
              <w:spacing w:line="0" w:lineRule="atLeast"/>
              <w:jc w:val="center"/>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15</w:t>
            </w:r>
          </w:p>
        </w:tc>
        <w:tc>
          <w:tcPr>
            <w:tcW w:w="2917" w:type="dxa"/>
            <w:vAlign w:val="center"/>
          </w:tcPr>
          <w:p>
            <w:pPr>
              <w:pStyle w:val="56"/>
              <w:overflowPunct w:val="0"/>
              <w:spacing w:line="0" w:lineRule="atLeast"/>
              <w:jc w:val="center"/>
              <w:rPr>
                <w:rFonts w:asciiTheme="minorEastAsia" w:hAnsiTheme="minorEastAsia" w:eastAsiaTheme="minorEastAsia" w:cstheme="minorEastAsia"/>
                <w:bCs/>
                <w:spacing w:val="-8"/>
                <w:highlight w:val="none"/>
              </w:rPr>
            </w:pPr>
            <w:r>
              <w:rPr>
                <w:rFonts w:hint="eastAsia" w:asciiTheme="minorEastAsia" w:hAnsiTheme="minorEastAsia" w:eastAsiaTheme="minorEastAsia" w:cstheme="minorEastAsia"/>
                <w:bCs/>
                <w:spacing w:val="-8"/>
                <w:highlight w:val="none"/>
              </w:rPr>
              <w:t>所得税</w:t>
            </w:r>
          </w:p>
        </w:tc>
        <w:tc>
          <w:tcPr>
            <w:tcW w:w="1433" w:type="dxa"/>
            <w:vAlign w:val="center"/>
          </w:tcPr>
          <w:p>
            <w:pPr>
              <w:pStyle w:val="56"/>
              <w:overflowPunct w:val="0"/>
              <w:spacing w:line="0" w:lineRule="atLeast"/>
              <w:ind w:firstLine="567"/>
              <w:rPr>
                <w:rFonts w:asciiTheme="minorEastAsia" w:hAnsiTheme="minorEastAsia" w:eastAsiaTheme="minorEastAsia" w:cstheme="minorEastAsia"/>
                <w:bCs/>
                <w:highlight w:val="none"/>
              </w:rPr>
            </w:pPr>
          </w:p>
        </w:tc>
        <w:tc>
          <w:tcPr>
            <w:tcW w:w="1400" w:type="dxa"/>
            <w:vAlign w:val="center"/>
          </w:tcPr>
          <w:p>
            <w:pPr>
              <w:pStyle w:val="56"/>
              <w:overflowPunct w:val="0"/>
              <w:spacing w:line="0" w:lineRule="atLeast"/>
              <w:ind w:firstLine="567"/>
              <w:rPr>
                <w:rFonts w:asciiTheme="minorEastAsia" w:hAnsiTheme="minorEastAsia" w:eastAsiaTheme="minorEastAsia" w:cstheme="minorEastAsia"/>
                <w:bCs/>
                <w:highlight w:val="none"/>
              </w:rPr>
            </w:pPr>
          </w:p>
        </w:tc>
        <w:tc>
          <w:tcPr>
            <w:tcW w:w="2343" w:type="dxa"/>
            <w:vAlign w:val="center"/>
          </w:tcPr>
          <w:p>
            <w:pPr>
              <w:pStyle w:val="56"/>
              <w:overflowPunct w:val="0"/>
              <w:spacing w:line="0" w:lineRule="atLeast"/>
              <w:ind w:firstLine="567"/>
              <w:rPr>
                <w:rFonts w:asciiTheme="minorEastAsia" w:hAnsiTheme="minorEastAsia" w:eastAsiaTheme="minorEastAsia" w:cstheme="minorEastAsia"/>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1011" w:type="dxa"/>
            <w:vAlign w:val="center"/>
          </w:tcPr>
          <w:p>
            <w:pPr>
              <w:pStyle w:val="56"/>
              <w:overflowPunct w:val="0"/>
              <w:spacing w:line="0" w:lineRule="atLeast"/>
              <w:jc w:val="center"/>
              <w:rPr>
                <w:rFonts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16</w:t>
            </w:r>
          </w:p>
        </w:tc>
        <w:tc>
          <w:tcPr>
            <w:tcW w:w="2917" w:type="dxa"/>
            <w:vAlign w:val="center"/>
          </w:tcPr>
          <w:p>
            <w:pPr>
              <w:pStyle w:val="56"/>
              <w:overflowPunct w:val="0"/>
              <w:spacing w:line="0" w:lineRule="atLeast"/>
              <w:jc w:val="center"/>
              <w:rPr>
                <w:rFonts w:asciiTheme="minorEastAsia" w:hAnsiTheme="minorEastAsia" w:eastAsiaTheme="minorEastAsia" w:cstheme="minorEastAsia"/>
                <w:bCs/>
                <w:spacing w:val="-8"/>
                <w:highlight w:val="none"/>
              </w:rPr>
            </w:pPr>
            <w:r>
              <w:rPr>
                <w:rFonts w:hint="eastAsia" w:asciiTheme="minorEastAsia" w:hAnsiTheme="minorEastAsia" w:eastAsiaTheme="minorEastAsia" w:cstheme="minorEastAsia"/>
                <w:bCs/>
                <w:spacing w:val="-8"/>
                <w:highlight w:val="none"/>
              </w:rPr>
              <w:t>其它(如有请列明)</w:t>
            </w:r>
          </w:p>
        </w:tc>
        <w:tc>
          <w:tcPr>
            <w:tcW w:w="1433" w:type="dxa"/>
            <w:vAlign w:val="center"/>
          </w:tcPr>
          <w:p>
            <w:pPr>
              <w:pStyle w:val="56"/>
              <w:overflowPunct w:val="0"/>
              <w:spacing w:line="0" w:lineRule="atLeast"/>
              <w:ind w:firstLine="567"/>
              <w:rPr>
                <w:rFonts w:asciiTheme="minorEastAsia" w:hAnsiTheme="minorEastAsia" w:eastAsiaTheme="minorEastAsia" w:cstheme="minorEastAsia"/>
                <w:bCs/>
                <w:highlight w:val="none"/>
              </w:rPr>
            </w:pPr>
          </w:p>
        </w:tc>
        <w:tc>
          <w:tcPr>
            <w:tcW w:w="1400" w:type="dxa"/>
            <w:vAlign w:val="center"/>
          </w:tcPr>
          <w:p>
            <w:pPr>
              <w:pStyle w:val="56"/>
              <w:overflowPunct w:val="0"/>
              <w:spacing w:line="0" w:lineRule="atLeast"/>
              <w:ind w:firstLine="567"/>
              <w:rPr>
                <w:rFonts w:asciiTheme="minorEastAsia" w:hAnsiTheme="minorEastAsia" w:eastAsiaTheme="minorEastAsia" w:cstheme="minorEastAsia"/>
                <w:bCs/>
                <w:highlight w:val="none"/>
              </w:rPr>
            </w:pPr>
          </w:p>
        </w:tc>
        <w:tc>
          <w:tcPr>
            <w:tcW w:w="2343" w:type="dxa"/>
            <w:vAlign w:val="center"/>
          </w:tcPr>
          <w:p>
            <w:pPr>
              <w:pStyle w:val="56"/>
              <w:overflowPunct w:val="0"/>
              <w:spacing w:line="0" w:lineRule="atLeast"/>
              <w:ind w:firstLine="567"/>
              <w:rPr>
                <w:rFonts w:asciiTheme="minorEastAsia" w:hAnsiTheme="minorEastAsia" w:eastAsiaTheme="minorEastAsia" w:cstheme="minorEastAsia"/>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atLeast"/>
          <w:jc w:val="center"/>
        </w:trPr>
        <w:tc>
          <w:tcPr>
            <w:tcW w:w="1011" w:type="dxa"/>
            <w:vAlign w:val="center"/>
          </w:tcPr>
          <w:p>
            <w:pPr>
              <w:pStyle w:val="56"/>
              <w:overflowPunct w:val="0"/>
              <w:spacing w:line="0" w:lineRule="atLeast"/>
              <w:jc w:val="center"/>
              <w:rPr>
                <w:rFonts w:asciiTheme="minorEastAsia" w:hAnsiTheme="minorEastAsia" w:eastAsiaTheme="minorEastAsia" w:cstheme="minorEastAsia"/>
                <w:b/>
                <w:highlight w:val="none"/>
              </w:rPr>
            </w:pPr>
            <w:r>
              <w:rPr>
                <w:rFonts w:hint="eastAsia" w:asciiTheme="minorEastAsia" w:hAnsiTheme="minorEastAsia" w:eastAsiaTheme="minorEastAsia" w:cstheme="minorEastAsia"/>
                <w:b/>
                <w:highlight w:val="none"/>
              </w:rPr>
              <w:t>总计：</w:t>
            </w:r>
          </w:p>
        </w:tc>
        <w:tc>
          <w:tcPr>
            <w:tcW w:w="8093" w:type="dxa"/>
            <w:gridSpan w:val="4"/>
            <w:vAlign w:val="center"/>
          </w:tcPr>
          <w:p>
            <w:pPr>
              <w:pStyle w:val="56"/>
              <w:overflowPunct w:val="0"/>
              <w:spacing w:line="0" w:lineRule="atLeast"/>
              <w:rPr>
                <w:rFonts w:asciiTheme="minorEastAsia" w:hAnsiTheme="minorEastAsia" w:eastAsiaTheme="minorEastAsia" w:cstheme="minorEastAsia"/>
                <w:b/>
                <w:highlight w:val="none"/>
              </w:rPr>
            </w:pPr>
            <w:r>
              <w:rPr>
                <w:rFonts w:hint="eastAsia" w:asciiTheme="minorEastAsia" w:hAnsiTheme="minorEastAsia" w:eastAsiaTheme="minorEastAsia" w:cstheme="minorEastAsia"/>
                <w:b/>
                <w:highlight w:val="none"/>
              </w:rPr>
              <w:t>小写：</w:t>
            </w:r>
          </w:p>
          <w:p>
            <w:pPr>
              <w:pStyle w:val="56"/>
              <w:overflowPunct w:val="0"/>
              <w:spacing w:line="0" w:lineRule="atLeast"/>
              <w:rPr>
                <w:rFonts w:asciiTheme="minorEastAsia" w:hAnsiTheme="minorEastAsia" w:eastAsiaTheme="minorEastAsia" w:cstheme="minorEastAsia"/>
                <w:b/>
                <w:highlight w:val="none"/>
              </w:rPr>
            </w:pPr>
          </w:p>
          <w:p>
            <w:pPr>
              <w:pStyle w:val="56"/>
              <w:overflowPunct w:val="0"/>
              <w:spacing w:line="0" w:lineRule="atLeast"/>
              <w:rPr>
                <w:rFonts w:asciiTheme="minorEastAsia" w:hAnsiTheme="minorEastAsia" w:eastAsiaTheme="minorEastAsia" w:cstheme="minorEastAsia"/>
                <w:b/>
                <w:highlight w:val="none"/>
              </w:rPr>
            </w:pPr>
            <w:r>
              <w:rPr>
                <w:rFonts w:hint="eastAsia" w:asciiTheme="minorEastAsia" w:hAnsiTheme="minorEastAsia" w:eastAsiaTheme="minorEastAsia" w:cstheme="minorEastAsia"/>
                <w:b/>
                <w:highlight w:val="none"/>
              </w:rPr>
              <w:t>大写：</w:t>
            </w:r>
          </w:p>
        </w:tc>
      </w:tr>
    </w:tbl>
    <w:p>
      <w:pPr>
        <w:spacing w:line="360" w:lineRule="auto"/>
        <w:ind w:firstLine="846" w:firstLineChars="403"/>
        <w:rPr>
          <w:rFonts w:hAnsi="Arial"/>
          <w:b/>
          <w:bCs/>
          <w:color w:val="000000" w:themeColor="text1"/>
          <w:szCs w:val="21"/>
          <w:highlight w:val="none"/>
          <w14:textFill>
            <w14:solidFill>
              <w14:schemeClr w14:val="tx1"/>
            </w14:solidFill>
          </w14:textFill>
        </w:rPr>
      </w:pPr>
      <w:r>
        <w:rPr>
          <w:rFonts w:hint="eastAsia" w:hAnsi="Arial"/>
          <w:b/>
          <w:bCs/>
          <w:color w:val="000000" w:themeColor="text1"/>
          <w:szCs w:val="21"/>
          <w:highlight w:val="none"/>
          <w14:textFill>
            <w14:solidFill>
              <w14:schemeClr w14:val="tx1"/>
            </w14:solidFill>
          </w14:textFill>
        </w:rPr>
        <w:t>1、</w:t>
      </w:r>
      <w:r>
        <w:rPr>
          <w:rFonts w:hAnsi="Arial"/>
          <w:b/>
          <w:bCs/>
          <w:color w:val="000000" w:themeColor="text1"/>
          <w:szCs w:val="21"/>
          <w:highlight w:val="none"/>
          <w14:textFill>
            <w14:solidFill>
              <w14:schemeClr w14:val="tx1"/>
            </w14:solidFill>
          </w14:textFill>
        </w:rPr>
        <w:t>投标供应商</w:t>
      </w:r>
      <w:r>
        <w:rPr>
          <w:rFonts w:hint="eastAsia" w:hAnsi="Arial"/>
          <w:b/>
          <w:bCs/>
          <w:color w:val="000000" w:themeColor="text1"/>
          <w:szCs w:val="21"/>
          <w:highlight w:val="none"/>
          <w14:textFill>
            <w14:solidFill>
              <w14:schemeClr w14:val="tx1"/>
            </w14:solidFill>
          </w14:textFill>
        </w:rPr>
        <w:t>可根据项目情况自行制定“报价明细表”格式</w:t>
      </w:r>
      <w:r>
        <w:rPr>
          <w:rFonts w:hAnsi="Arial"/>
          <w:b/>
          <w:bCs/>
          <w:color w:val="000000" w:themeColor="text1"/>
          <w:szCs w:val="21"/>
          <w:highlight w:val="none"/>
          <w14:textFill>
            <w14:solidFill>
              <w14:schemeClr w14:val="tx1"/>
            </w14:solidFill>
          </w14:textFill>
        </w:rPr>
        <w:t>。</w:t>
      </w:r>
    </w:p>
    <w:p>
      <w:pPr>
        <w:spacing w:line="360" w:lineRule="auto"/>
        <w:ind w:firstLine="846" w:firstLineChars="403"/>
        <w:rPr>
          <w:rFonts w:ascii="Arial" w:hAnsi="Arial" w:cs="Arial"/>
          <w:b/>
          <w:bCs/>
          <w:color w:val="000000" w:themeColor="text1"/>
          <w:szCs w:val="21"/>
          <w:highlight w:val="none"/>
          <w14:textFill>
            <w14:solidFill>
              <w14:schemeClr w14:val="tx1"/>
            </w14:solidFill>
          </w14:textFill>
        </w:rPr>
      </w:pPr>
      <w:r>
        <w:rPr>
          <w:rFonts w:hint="eastAsia" w:ascii="Arial" w:hAnsi="Arial" w:cs="Arial"/>
          <w:b/>
          <w:bCs/>
          <w:color w:val="000000" w:themeColor="text1"/>
          <w:szCs w:val="21"/>
          <w:highlight w:val="none"/>
          <w14:textFill>
            <w14:solidFill>
              <w14:schemeClr w14:val="tx1"/>
            </w14:solidFill>
          </w14:textFill>
        </w:rPr>
        <w:t>2、投标报价最多保留至整数位。</w:t>
      </w:r>
    </w:p>
    <w:p>
      <w:pPr>
        <w:pStyle w:val="2"/>
        <w:rPr>
          <w:rFonts w:ascii="Arial" w:hAnsi="Arial" w:cs="Arial"/>
          <w:b/>
          <w:bCs/>
          <w:color w:val="000000" w:themeColor="text1"/>
          <w:kern w:val="2"/>
          <w:szCs w:val="21"/>
          <w:highlight w:val="none"/>
          <w14:textFill>
            <w14:solidFill>
              <w14:schemeClr w14:val="tx1"/>
            </w14:solidFill>
          </w14:textFill>
        </w:rPr>
      </w:pPr>
      <w:r>
        <w:rPr>
          <w:rFonts w:hint="eastAsia" w:ascii="Arial" w:hAnsi="Arial" w:cs="Arial"/>
          <w:b/>
          <w:bCs/>
          <w:color w:val="000000" w:themeColor="text1"/>
          <w:szCs w:val="21"/>
          <w:highlight w:val="none"/>
          <w14:textFill>
            <w14:solidFill>
              <w14:schemeClr w14:val="tx1"/>
            </w14:solidFill>
          </w14:textFill>
        </w:rPr>
        <w:t xml:space="preserve">     </w:t>
      </w:r>
      <w:r>
        <w:rPr>
          <w:rFonts w:hint="eastAsia" w:ascii="Arial" w:hAnsi="Arial" w:cs="Arial"/>
          <w:b/>
          <w:bCs/>
          <w:color w:val="000000" w:themeColor="text1"/>
          <w:kern w:val="2"/>
          <w:szCs w:val="21"/>
          <w:highlight w:val="none"/>
          <w14:textFill>
            <w14:solidFill>
              <w14:schemeClr w14:val="tx1"/>
            </w14:solidFill>
          </w14:textFill>
        </w:rPr>
        <w:t xml:space="preserve">   3、报价明细表中总计价格应于开标一览表中</w:t>
      </w:r>
      <w:r>
        <w:rPr>
          <w:rFonts w:hint="eastAsia" w:ascii="Arial" w:hAnsi="Arial" w:cs="Arial"/>
          <w:b/>
          <w:bCs/>
          <w:color w:val="000000" w:themeColor="text1"/>
          <w:kern w:val="2"/>
          <w:szCs w:val="21"/>
          <w:highlight w:val="none"/>
          <w:lang w:val="en-GB"/>
          <w14:textFill>
            <w14:solidFill>
              <w14:schemeClr w14:val="tx1"/>
            </w14:solidFill>
          </w14:textFill>
        </w:rPr>
        <w:t>投标总价一致。</w:t>
      </w:r>
    </w:p>
    <w:p>
      <w:pPr>
        <w:spacing w:line="360" w:lineRule="auto"/>
        <w:rPr>
          <w:b/>
          <w:bCs/>
          <w:color w:val="000000" w:themeColor="text1"/>
          <w:szCs w:val="21"/>
          <w:highlight w:val="none"/>
          <w14:textFill>
            <w14:solidFill>
              <w14:schemeClr w14:val="tx1"/>
            </w14:solidFill>
          </w14:textFill>
        </w:rPr>
      </w:pPr>
    </w:p>
    <w:p>
      <w:pPr>
        <w:spacing w:line="360" w:lineRule="auto"/>
        <w:ind w:right="480" w:firstLine="428" w:firstLineChars="204"/>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投标</w:t>
      </w:r>
      <w:r>
        <w:rPr>
          <w:rFonts w:hint="eastAsia"/>
          <w:color w:val="000000" w:themeColor="text1"/>
          <w:szCs w:val="21"/>
          <w:highlight w:val="none"/>
          <w14:textFill>
            <w14:solidFill>
              <w14:schemeClr w14:val="tx1"/>
            </w14:solidFill>
          </w14:textFill>
        </w:rPr>
        <w:t>单位</w:t>
      </w:r>
      <w:r>
        <w:rPr>
          <w:color w:val="000000" w:themeColor="text1"/>
          <w:szCs w:val="21"/>
          <w:highlight w:val="none"/>
          <w14:textFill>
            <w14:solidFill>
              <w14:schemeClr w14:val="tx1"/>
            </w14:solidFill>
          </w14:textFill>
        </w:rPr>
        <w:t>名称（</w:t>
      </w:r>
      <w:r>
        <w:rPr>
          <w:rFonts w:hint="eastAsia"/>
          <w:color w:val="000000" w:themeColor="text1"/>
          <w:szCs w:val="21"/>
          <w:highlight w:val="none"/>
          <w14:textFill>
            <w14:solidFill>
              <w14:schemeClr w14:val="tx1"/>
            </w14:solidFill>
          </w14:textFill>
        </w:rPr>
        <w:t>公</w:t>
      </w:r>
      <w:r>
        <w:rPr>
          <w:color w:val="000000" w:themeColor="text1"/>
          <w:szCs w:val="21"/>
          <w:highlight w:val="none"/>
          <w14:textFill>
            <w14:solidFill>
              <w14:schemeClr w14:val="tx1"/>
            </w14:solidFill>
          </w14:textFill>
        </w:rPr>
        <w:t>章）：</w:t>
      </w:r>
      <w:r>
        <w:rPr>
          <w:color w:val="000000" w:themeColor="text1"/>
          <w:szCs w:val="21"/>
          <w:highlight w:val="none"/>
          <w:u w:val="single"/>
          <w14:textFill>
            <w14:solidFill>
              <w14:schemeClr w14:val="tx1"/>
            </w14:solidFill>
          </w14:textFill>
        </w:rPr>
        <w:t xml:space="preserve">        </w:t>
      </w:r>
      <w:r>
        <w:rPr>
          <w:rFonts w:hint="eastAsia"/>
          <w:color w:val="000000" w:themeColor="text1"/>
          <w:szCs w:val="21"/>
          <w:highlight w:val="none"/>
          <w:u w:val="single"/>
          <w14:textFill>
            <w14:solidFill>
              <w14:schemeClr w14:val="tx1"/>
            </w14:solidFill>
          </w14:textFill>
        </w:rPr>
        <w:t xml:space="preserve">         </w:t>
      </w:r>
      <w:r>
        <w:rPr>
          <w:color w:val="000000" w:themeColor="text1"/>
          <w:szCs w:val="21"/>
          <w:highlight w:val="none"/>
          <w:u w:val="single"/>
          <w14:textFill>
            <w14:solidFill>
              <w14:schemeClr w14:val="tx1"/>
            </w14:solidFill>
          </w14:textFill>
        </w:rPr>
        <w:t xml:space="preserve">           </w:t>
      </w:r>
    </w:p>
    <w:p>
      <w:pPr>
        <w:spacing w:line="360" w:lineRule="auto"/>
        <w:ind w:right="480" w:firstLine="428" w:firstLineChars="204"/>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法定代表人或授权代表（签字</w:t>
      </w:r>
      <w:r>
        <w:rPr>
          <w:rFonts w:hint="eastAsia"/>
          <w:color w:val="000000" w:themeColor="text1"/>
          <w:szCs w:val="21"/>
          <w:highlight w:val="none"/>
          <w14:textFill>
            <w14:solidFill>
              <w14:schemeClr w14:val="tx1"/>
            </w14:solidFill>
          </w14:textFill>
        </w:rPr>
        <w:t>或盖章</w:t>
      </w:r>
      <w:r>
        <w:rPr>
          <w:color w:val="000000" w:themeColor="text1"/>
          <w:szCs w:val="21"/>
          <w:highlight w:val="none"/>
          <w14:textFill>
            <w14:solidFill>
              <w14:schemeClr w14:val="tx1"/>
            </w14:solidFill>
          </w14:textFill>
        </w:rPr>
        <w:t>）：</w:t>
      </w:r>
      <w:r>
        <w:rPr>
          <w:color w:val="000000" w:themeColor="text1"/>
          <w:szCs w:val="21"/>
          <w:highlight w:val="none"/>
          <w:u w:val="single"/>
          <w14:textFill>
            <w14:solidFill>
              <w14:schemeClr w14:val="tx1"/>
            </w14:solidFill>
          </w14:textFill>
        </w:rPr>
        <w:t xml:space="preserve">                     </w:t>
      </w:r>
    </w:p>
    <w:p>
      <w:pPr>
        <w:spacing w:line="360" w:lineRule="auto"/>
        <w:ind w:right="480" w:firstLine="428" w:firstLineChars="204"/>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日期：        年  月   日</w:t>
      </w:r>
    </w:p>
    <w:p>
      <w:pPr>
        <w:spacing w:line="360" w:lineRule="auto"/>
        <w:ind w:right="480" w:firstLine="428" w:firstLineChars="204"/>
        <w:rPr>
          <w:color w:val="000000" w:themeColor="text1"/>
          <w:highlight w:val="none"/>
          <w14:textFill>
            <w14:solidFill>
              <w14:schemeClr w14:val="tx1"/>
            </w14:solidFill>
          </w14:textFill>
        </w:rPr>
      </w:pPr>
    </w:p>
    <w:p>
      <w:pPr>
        <w:spacing w:line="360" w:lineRule="auto"/>
        <w:ind w:right="480" w:firstLine="428" w:firstLineChars="204"/>
        <w:rPr>
          <w:rFonts w:ascii="宋体" w:hAnsi="宋体" w:cs="宋体"/>
          <w:b/>
          <w:sz w:val="28"/>
          <w:szCs w:val="28"/>
          <w:highlight w:val="none"/>
        </w:rPr>
      </w:pPr>
      <w:r>
        <w:rPr>
          <w:b/>
          <w:bCs/>
          <w:color w:val="000000" w:themeColor="text1"/>
          <w:szCs w:val="21"/>
          <w:highlight w:val="none"/>
          <w14:textFill>
            <w14:solidFill>
              <w14:schemeClr w14:val="tx1"/>
            </w14:solidFill>
          </w14:textFill>
        </w:rPr>
        <w:br w:type="page"/>
      </w:r>
    </w:p>
    <w:p>
      <w:pPr>
        <w:spacing w:line="440" w:lineRule="atLeas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附件一：</w:t>
      </w:r>
    </w:p>
    <w:p>
      <w:pPr>
        <w:widowControl/>
        <w:spacing w:line="420" w:lineRule="atLeast"/>
        <w:jc w:val="center"/>
        <w:rPr>
          <w:rFonts w:ascii="宋体" w:hAnsi="宋体"/>
          <w:b/>
          <w:bCs/>
          <w:color w:val="000000" w:themeColor="text1"/>
          <w:kern w:val="0"/>
          <w:sz w:val="30"/>
          <w:szCs w:val="30"/>
          <w:highlight w:val="none"/>
          <w:lang w:val="en-GB"/>
          <w14:textFill>
            <w14:solidFill>
              <w14:schemeClr w14:val="tx1"/>
            </w14:solidFill>
          </w14:textFill>
        </w:rPr>
      </w:pPr>
      <w:r>
        <w:rPr>
          <w:rFonts w:hint="eastAsia" w:ascii="宋体" w:hAnsi="宋体"/>
          <w:b/>
          <w:bCs/>
          <w:color w:val="000000" w:themeColor="text1"/>
          <w:kern w:val="0"/>
          <w:sz w:val="30"/>
          <w:szCs w:val="30"/>
          <w:highlight w:val="none"/>
          <w:lang w:val="en-GB"/>
          <w14:textFill>
            <w14:solidFill>
              <w14:schemeClr w14:val="tx1"/>
            </w14:solidFill>
          </w14:textFill>
        </w:rPr>
        <w:t>中小企业声明函</w:t>
      </w:r>
    </w:p>
    <w:p>
      <w:pPr>
        <w:spacing w:line="4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本公司郑重声明，根据《政府采购促进中小企业发展暂行办法》（财库[2011]181号）的规定，本公司为</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（请填写：中型、小型、微型）企业。即，本公司同时满足以下条件：</w:t>
      </w:r>
      <w:r>
        <w:rPr>
          <w:rFonts w:hint="eastAsia" w:ascii="宋体" w:hAnsi="宋体" w:cs="宋体"/>
          <w:color w:val="000000" w:themeColor="text1"/>
          <w:szCs w:val="21"/>
          <w:highlight w:val="none"/>
          <w14:textFill>
            <w14:solidFill>
              <w14:schemeClr w14:val="tx1"/>
            </w14:solidFill>
          </w14:textFill>
        </w:rPr>
        <w:br w:type="textWrapping"/>
      </w:r>
      <w:r>
        <w:rPr>
          <w:rFonts w:hint="eastAsia" w:ascii="宋体" w:hAnsi="宋体" w:cs="宋体"/>
          <w:color w:val="000000" w:themeColor="text1"/>
          <w:szCs w:val="21"/>
          <w:highlight w:val="none"/>
          <w14:textFill>
            <w14:solidFill>
              <w14:schemeClr w14:val="tx1"/>
            </w14:solidFill>
          </w14:textFill>
        </w:rPr>
        <w:t>  1.根据《工业和信息化部、国家统计局、国家发展和改革委员会、财政部关于印发中小企业划型标准规定的通知》（工信部联企业[2011]300号）规定的划分标准，本公司为</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（请填写：中型、小型、微型）企业。</w:t>
      </w:r>
      <w:r>
        <w:rPr>
          <w:rFonts w:hint="eastAsia" w:ascii="宋体" w:hAnsi="宋体" w:cs="宋体"/>
          <w:color w:val="000000" w:themeColor="text1"/>
          <w:szCs w:val="21"/>
          <w:highlight w:val="none"/>
          <w14:textFill>
            <w14:solidFill>
              <w14:schemeClr w14:val="tx1"/>
            </w14:solidFill>
          </w14:textFill>
        </w:rPr>
        <w:br w:type="textWrapping"/>
      </w:r>
      <w:r>
        <w:rPr>
          <w:rFonts w:hint="eastAsia" w:ascii="宋体" w:hAnsi="宋体" w:cs="宋体"/>
          <w:color w:val="000000" w:themeColor="text1"/>
          <w:szCs w:val="21"/>
          <w:highlight w:val="none"/>
          <w14:textFill>
            <w14:solidFill>
              <w14:schemeClr w14:val="tx1"/>
            </w14:solidFill>
          </w14:textFill>
        </w:rPr>
        <w:t>  2.本公司参加</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单位的</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项目采购活动提供本企业制造的货物，由本企业承担工程、提供服务，或者提供其他</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（请填写：中型、小型、微型）企业制造的货物。本条所称货物不包括使用大型企业注册商标的货物。</w:t>
      </w:r>
      <w:r>
        <w:rPr>
          <w:rFonts w:hint="eastAsia" w:ascii="宋体" w:hAnsi="宋体" w:cs="宋体"/>
          <w:color w:val="000000" w:themeColor="text1"/>
          <w:szCs w:val="21"/>
          <w:highlight w:val="none"/>
          <w14:textFill>
            <w14:solidFill>
              <w14:schemeClr w14:val="tx1"/>
            </w14:solidFill>
          </w14:textFill>
        </w:rPr>
        <w:br w:type="textWrapping"/>
      </w:r>
      <w:r>
        <w:rPr>
          <w:rFonts w:hint="eastAsia" w:ascii="宋体" w:hAnsi="宋体" w:cs="宋体"/>
          <w:color w:val="000000" w:themeColor="text1"/>
          <w:szCs w:val="21"/>
          <w:highlight w:val="none"/>
          <w14:textFill>
            <w14:solidFill>
              <w14:schemeClr w14:val="tx1"/>
            </w14:solidFill>
          </w14:textFill>
        </w:rPr>
        <w:t>  本公司对上述声明的真实性负责。如有虚假，将依法承担相应责任。</w:t>
      </w:r>
    </w:p>
    <w:p>
      <w:pPr>
        <w:spacing w:line="400" w:lineRule="exact"/>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投标人（盖章）：  </w:t>
      </w:r>
    </w:p>
    <w:p>
      <w:pPr>
        <w:spacing w:line="400" w:lineRule="exact"/>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法定代表人或授权代表（签字或盖章）：</w:t>
      </w:r>
    </w:p>
    <w:p>
      <w:pPr>
        <w:spacing w:line="400" w:lineRule="exact"/>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日  期：   </w:t>
      </w:r>
    </w:p>
    <w:p>
      <w:pPr>
        <w:pStyle w:val="54"/>
        <w:spacing w:line="400" w:lineRule="exact"/>
        <w:jc w:val="left"/>
        <w:rPr>
          <w:rFonts w:ascii="宋体"/>
          <w:color w:val="000000" w:themeColor="text1"/>
          <w:sz w:val="22"/>
          <w:highlight w:val="none"/>
          <w14:textFill>
            <w14:solidFill>
              <w14:schemeClr w14:val="tx1"/>
            </w14:solidFill>
          </w14:textFill>
        </w:rPr>
      </w:pPr>
      <w:bookmarkStart w:id="553" w:name="_Toc10011"/>
    </w:p>
    <w:p>
      <w:pPr>
        <w:pStyle w:val="54"/>
        <w:spacing w:line="400" w:lineRule="exact"/>
        <w:jc w:val="left"/>
        <w:rPr>
          <w:rFonts w:ascii="宋体"/>
          <w:color w:val="000000" w:themeColor="text1"/>
          <w:sz w:val="22"/>
          <w:highlight w:val="none"/>
          <w14:textFill>
            <w14:solidFill>
              <w14:schemeClr w14:val="tx1"/>
            </w14:solidFill>
          </w14:textFill>
        </w:rPr>
      </w:pPr>
      <w:r>
        <w:rPr>
          <w:rFonts w:hint="eastAsia" w:ascii="宋体"/>
          <w:color w:val="000000" w:themeColor="text1"/>
          <w:sz w:val="22"/>
          <w:highlight w:val="none"/>
          <w14:textFill>
            <w14:solidFill>
              <w14:schemeClr w14:val="tx1"/>
            </w14:solidFill>
          </w14:textFill>
        </w:rPr>
        <w:t>附件二：</w:t>
      </w:r>
      <w:bookmarkEnd w:id="553"/>
      <w:r>
        <w:rPr>
          <w:rFonts w:hint="eastAsia" w:ascii="宋体"/>
          <w:color w:val="000000" w:themeColor="text1"/>
          <w:sz w:val="22"/>
          <w:highlight w:val="none"/>
          <w14:textFill>
            <w14:solidFill>
              <w14:schemeClr w14:val="tx1"/>
            </w14:solidFill>
          </w14:textFill>
        </w:rPr>
        <w:t xml:space="preserve"> </w:t>
      </w:r>
    </w:p>
    <w:p>
      <w:pPr>
        <w:widowControl/>
        <w:spacing w:line="420" w:lineRule="atLeast"/>
        <w:jc w:val="center"/>
        <w:rPr>
          <w:rFonts w:ascii="宋体" w:hAnsi="宋体"/>
          <w:b/>
          <w:bCs/>
          <w:color w:val="000000" w:themeColor="text1"/>
          <w:kern w:val="0"/>
          <w:sz w:val="30"/>
          <w:szCs w:val="30"/>
          <w:highlight w:val="none"/>
          <w:lang w:val="en-GB"/>
          <w14:textFill>
            <w14:solidFill>
              <w14:schemeClr w14:val="tx1"/>
            </w14:solidFill>
          </w14:textFill>
        </w:rPr>
      </w:pPr>
      <w:bookmarkStart w:id="554" w:name="OLE_LINK14"/>
      <w:r>
        <w:rPr>
          <w:rFonts w:hint="eastAsia" w:ascii="宋体" w:hAnsi="宋体"/>
          <w:b/>
          <w:bCs/>
          <w:color w:val="000000" w:themeColor="text1"/>
          <w:kern w:val="0"/>
          <w:sz w:val="30"/>
          <w:szCs w:val="30"/>
          <w:highlight w:val="none"/>
          <w:lang w:val="en-GB"/>
          <w14:textFill>
            <w14:solidFill>
              <w14:schemeClr w14:val="tx1"/>
            </w14:solidFill>
          </w14:textFill>
        </w:rPr>
        <w:t>残疾人福利性单位声明函</w:t>
      </w:r>
      <w:bookmarkEnd w:id="554"/>
    </w:p>
    <w:p>
      <w:pPr>
        <w:pStyle w:val="54"/>
        <w:spacing w:line="400" w:lineRule="exact"/>
        <w:jc w:val="center"/>
        <w:outlineLvl w:val="0"/>
        <w:rPr>
          <w:rFonts w:ascii="宋体" w:hAnsi="宋体" w:cs="宋体"/>
          <w:b/>
          <w:color w:val="000000" w:themeColor="text1"/>
          <w:szCs w:val="21"/>
          <w:highlight w:val="none"/>
          <w:lang w:val="en-GB"/>
          <w14:textFill>
            <w14:solidFill>
              <w14:schemeClr w14:val="tx1"/>
            </w14:solidFill>
          </w14:textFill>
        </w:rPr>
      </w:pPr>
    </w:p>
    <w:p>
      <w:pPr>
        <w:spacing w:line="400" w:lineRule="exact"/>
        <w:ind w:firstLine="420" w:firstLineChars="200"/>
        <w:rPr>
          <w:rFonts w:ascii="宋体"/>
          <w:color w:val="000000" w:themeColor="text1"/>
          <w:szCs w:val="21"/>
          <w:highlight w:val="none"/>
          <w14:textFill>
            <w14:solidFill>
              <w14:schemeClr w14:val="tx1"/>
            </w14:solidFill>
          </w14:textFill>
        </w:rPr>
      </w:pPr>
      <w:r>
        <w:rPr>
          <w:rFonts w:hint="eastAsia" w:ascii="宋体"/>
          <w:color w:val="000000" w:themeColor="text1"/>
          <w:szCs w:val="21"/>
          <w:highlight w:val="none"/>
          <w14:textFill>
            <w14:solidFill>
              <w14:schemeClr w14:val="tx1"/>
            </w14:solidFill>
          </w14:textFill>
        </w:rPr>
        <w:t>本单位郑重声明，根据《财政部 民政部 中国残疾人联合会关于促进残疾人就业政府采购政策的通知》（财库[2017]141号）的规定，本单位为符合条件的残疾人福利性单位，且本单位参加</w:t>
      </w:r>
      <w:r>
        <w:rPr>
          <w:rFonts w:hint="eastAsia" w:ascii="宋体"/>
          <w:color w:val="000000" w:themeColor="text1"/>
          <w:szCs w:val="21"/>
          <w:highlight w:val="none"/>
          <w:u w:val="single"/>
          <w14:textFill>
            <w14:solidFill>
              <w14:schemeClr w14:val="tx1"/>
            </w14:solidFill>
          </w14:textFill>
        </w:rPr>
        <w:t xml:space="preserve">          </w:t>
      </w:r>
      <w:r>
        <w:rPr>
          <w:rFonts w:hint="eastAsia" w:ascii="宋体"/>
          <w:color w:val="000000" w:themeColor="text1"/>
          <w:szCs w:val="21"/>
          <w:highlight w:val="none"/>
          <w14:textFill>
            <w14:solidFill>
              <w14:schemeClr w14:val="tx1"/>
            </w14:solidFill>
          </w14:textFill>
        </w:rPr>
        <w:t>单位的</w:t>
      </w:r>
      <w:r>
        <w:rPr>
          <w:rFonts w:hint="eastAsia" w:ascii="宋体"/>
          <w:color w:val="000000" w:themeColor="text1"/>
          <w:szCs w:val="21"/>
          <w:highlight w:val="none"/>
          <w:u w:val="single"/>
          <w14:textFill>
            <w14:solidFill>
              <w14:schemeClr w14:val="tx1"/>
            </w14:solidFill>
          </w14:textFill>
        </w:rPr>
        <w:t xml:space="preserve">          </w:t>
      </w:r>
      <w:r>
        <w:rPr>
          <w:rFonts w:hint="eastAsia" w:ascii="宋体"/>
          <w:color w:val="000000" w:themeColor="text1"/>
          <w:szCs w:val="21"/>
          <w:highlight w:val="none"/>
          <w14:textFill>
            <w14:solidFill>
              <w14:schemeClr w14:val="tx1"/>
            </w14:solidFill>
          </w14:textFill>
        </w:rPr>
        <w:t>项目采购活动提供本单位制造的货物（由本单位承担工程/提供服务），或者提供其他残疾人福利性单位制造的货物（不包括使用非残疾人福利性单位注册商标的货物）。</w:t>
      </w:r>
    </w:p>
    <w:p>
      <w:pPr>
        <w:spacing w:line="400" w:lineRule="exact"/>
        <w:ind w:firstLine="420" w:firstLineChars="200"/>
        <w:rPr>
          <w:rFonts w:ascii="宋体"/>
          <w:color w:val="000000" w:themeColor="text1"/>
          <w:szCs w:val="21"/>
          <w:highlight w:val="none"/>
          <w14:textFill>
            <w14:solidFill>
              <w14:schemeClr w14:val="tx1"/>
            </w14:solidFill>
          </w14:textFill>
        </w:rPr>
      </w:pPr>
      <w:r>
        <w:rPr>
          <w:rFonts w:hint="eastAsia" w:ascii="宋体"/>
          <w:color w:val="000000" w:themeColor="text1"/>
          <w:szCs w:val="21"/>
          <w:highlight w:val="none"/>
          <w14:textFill>
            <w14:solidFill>
              <w14:schemeClr w14:val="tx1"/>
            </w14:solidFill>
          </w14:textFill>
        </w:rPr>
        <w:t>本单位对上述声明的真实性负责。如有虚假，将依法承担相应责任。</w:t>
      </w:r>
    </w:p>
    <w:p>
      <w:pPr>
        <w:spacing w:line="400" w:lineRule="exact"/>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投标人（盖章）：  </w:t>
      </w:r>
    </w:p>
    <w:p>
      <w:pPr>
        <w:spacing w:line="400" w:lineRule="exact"/>
        <w:ind w:left="12" w:leftChars="-403" w:hanging="858" w:hangingChars="409"/>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        法定代表人或授权代表（签字或盖章）：</w:t>
      </w:r>
    </w:p>
    <w:p>
      <w:pPr>
        <w:tabs>
          <w:tab w:val="left" w:pos="4860"/>
        </w:tabs>
        <w:spacing w:line="400" w:lineRule="exact"/>
        <w:ind w:right="1560"/>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日  期： </w:t>
      </w:r>
    </w:p>
    <w:p>
      <w:pPr>
        <w:tabs>
          <w:tab w:val="left" w:pos="4860"/>
        </w:tabs>
        <w:spacing w:line="400" w:lineRule="exact"/>
        <w:ind w:right="1560"/>
        <w:jc w:val="left"/>
        <w:rPr>
          <w:rFonts w:ascii="宋体"/>
          <w:b/>
          <w:color w:val="000000" w:themeColor="text1"/>
          <w:sz w:val="22"/>
          <w:highlight w:val="none"/>
          <w14:textFill>
            <w14:solidFill>
              <w14:schemeClr w14:val="tx1"/>
            </w14:solidFill>
          </w14:textFill>
        </w:rPr>
      </w:pPr>
    </w:p>
    <w:p>
      <w:pPr>
        <w:tabs>
          <w:tab w:val="left" w:pos="4860"/>
        </w:tabs>
        <w:spacing w:line="400" w:lineRule="exact"/>
        <w:ind w:right="1560"/>
        <w:jc w:val="left"/>
        <w:rPr>
          <w:rFonts w:ascii="宋体"/>
          <w:b/>
          <w:color w:val="000000" w:themeColor="text1"/>
          <w:sz w:val="22"/>
          <w:highlight w:val="none"/>
          <w14:textFill>
            <w14:solidFill>
              <w14:schemeClr w14:val="tx1"/>
            </w14:solidFill>
          </w14:textFill>
        </w:rPr>
      </w:pPr>
      <w:r>
        <w:rPr>
          <w:rFonts w:hint="eastAsia" w:ascii="宋体"/>
          <w:b/>
          <w:color w:val="000000" w:themeColor="text1"/>
          <w:sz w:val="22"/>
          <w:highlight w:val="none"/>
          <w14:textFill>
            <w14:solidFill>
              <w14:schemeClr w14:val="tx1"/>
            </w14:solidFill>
          </w14:textFill>
        </w:rPr>
        <w:t>备注说明：</w:t>
      </w:r>
    </w:p>
    <w:p>
      <w:pPr>
        <w:tabs>
          <w:tab w:val="left" w:pos="4860"/>
        </w:tabs>
        <w:spacing w:line="400" w:lineRule="exact"/>
        <w:ind w:right="1560"/>
        <w:jc w:val="left"/>
        <w:rPr>
          <w:rFonts w:ascii="宋体"/>
          <w:b/>
          <w:color w:val="000000" w:themeColor="text1"/>
          <w:sz w:val="22"/>
          <w:highlight w:val="none"/>
          <w14:textFill>
            <w14:solidFill>
              <w14:schemeClr w14:val="tx1"/>
            </w14:solidFill>
          </w14:textFill>
        </w:rPr>
      </w:pPr>
      <w:r>
        <w:rPr>
          <w:rFonts w:hint="eastAsia" w:ascii="宋体"/>
          <w:b/>
          <w:color w:val="000000" w:themeColor="text1"/>
          <w:sz w:val="22"/>
          <w:highlight w:val="none"/>
          <w14:textFill>
            <w14:solidFill>
              <w14:schemeClr w14:val="tx1"/>
            </w14:solidFill>
          </w14:textFill>
        </w:rPr>
        <w:t>1、如中标，将在中标公示中将此残疾人福利性单位声明函予以公示，接受社会督；</w:t>
      </w:r>
    </w:p>
    <w:p>
      <w:pPr>
        <w:tabs>
          <w:tab w:val="left" w:pos="4860"/>
        </w:tabs>
        <w:spacing w:line="400" w:lineRule="exact"/>
        <w:ind w:right="-94"/>
        <w:jc w:val="left"/>
        <w:rPr>
          <w:rFonts w:ascii="宋体"/>
          <w:b/>
          <w:color w:val="000000" w:themeColor="text1"/>
          <w:sz w:val="22"/>
          <w:highlight w:val="none"/>
          <w14:textFill>
            <w14:solidFill>
              <w14:schemeClr w14:val="tx1"/>
            </w14:solidFill>
          </w14:textFill>
        </w:rPr>
      </w:pPr>
      <w:r>
        <w:rPr>
          <w:rFonts w:ascii="宋体"/>
          <w:b/>
          <w:color w:val="000000" w:themeColor="text1"/>
          <w:sz w:val="22"/>
          <w:highlight w:val="none"/>
          <w14:textFill>
            <w14:solidFill>
              <w14:schemeClr w14:val="tx1"/>
            </w14:solidFill>
          </w14:textFill>
        </w:rPr>
        <w:t>2</w:t>
      </w:r>
      <w:r>
        <w:rPr>
          <w:rFonts w:hint="eastAsia" w:ascii="宋体"/>
          <w:b/>
          <w:color w:val="000000" w:themeColor="text1"/>
          <w:sz w:val="22"/>
          <w:highlight w:val="none"/>
          <w14:textFill>
            <w14:solidFill>
              <w14:schemeClr w14:val="tx1"/>
            </w14:solidFill>
          </w14:textFill>
        </w:rPr>
        <w:t>、供应商提供的《残疾人福利性单位声明函》与事实不符的，依照《政府采购法》第七十七条第一款的规定追究法律责任。</w:t>
      </w:r>
    </w:p>
    <w:p>
      <w:pPr>
        <w:pStyle w:val="54"/>
        <w:jc w:val="left"/>
        <w:rPr>
          <w:rFonts w:ascii="宋体" w:hAnsi="Times New Roman"/>
          <w:color w:val="000000" w:themeColor="text1"/>
          <w:sz w:val="22"/>
          <w:highlight w:val="none"/>
          <w14:textFill>
            <w14:solidFill>
              <w14:schemeClr w14:val="tx1"/>
            </w14:solidFill>
          </w14:textFill>
        </w:rPr>
      </w:pPr>
      <w:bookmarkStart w:id="555" w:name="_Toc32693"/>
    </w:p>
    <w:p>
      <w:pPr>
        <w:pStyle w:val="54"/>
        <w:jc w:val="left"/>
        <w:rPr>
          <w:rFonts w:ascii="宋体" w:hAnsi="Times New Roman"/>
          <w:color w:val="000000" w:themeColor="text1"/>
          <w:sz w:val="22"/>
          <w:highlight w:val="none"/>
          <w14:textFill>
            <w14:solidFill>
              <w14:schemeClr w14:val="tx1"/>
            </w14:solidFill>
          </w14:textFill>
        </w:rPr>
      </w:pPr>
    </w:p>
    <w:p>
      <w:pPr>
        <w:pStyle w:val="54"/>
        <w:jc w:val="left"/>
        <w:rPr>
          <w:rFonts w:ascii="宋体" w:hAnsi="Times New Roman"/>
          <w:color w:val="000000" w:themeColor="text1"/>
          <w:sz w:val="22"/>
          <w:highlight w:val="none"/>
          <w14:textFill>
            <w14:solidFill>
              <w14:schemeClr w14:val="tx1"/>
            </w14:solidFill>
          </w14:textFill>
        </w:rPr>
      </w:pPr>
      <w:r>
        <w:rPr>
          <w:rFonts w:hint="eastAsia" w:ascii="宋体" w:hAnsi="Times New Roman"/>
          <w:color w:val="000000" w:themeColor="text1"/>
          <w:sz w:val="22"/>
          <w:highlight w:val="none"/>
          <w14:textFill>
            <w14:solidFill>
              <w14:schemeClr w14:val="tx1"/>
            </w14:solidFill>
          </w14:textFill>
        </w:rPr>
        <w:t>附件三：</w:t>
      </w:r>
      <w:bookmarkEnd w:id="555"/>
    </w:p>
    <w:p>
      <w:pPr>
        <w:widowControl/>
        <w:spacing w:line="420" w:lineRule="atLeast"/>
        <w:jc w:val="center"/>
        <w:rPr>
          <w:rFonts w:ascii="宋体" w:hAnsi="宋体"/>
          <w:b/>
          <w:bCs/>
          <w:color w:val="000000" w:themeColor="text1"/>
          <w:kern w:val="0"/>
          <w:sz w:val="30"/>
          <w:szCs w:val="30"/>
          <w:highlight w:val="none"/>
          <w14:textFill>
            <w14:solidFill>
              <w14:schemeClr w14:val="tx1"/>
            </w14:solidFill>
          </w14:textFill>
        </w:rPr>
      </w:pPr>
      <w:r>
        <w:rPr>
          <w:rFonts w:hint="eastAsia" w:ascii="宋体" w:hAnsi="宋体"/>
          <w:b/>
          <w:bCs/>
          <w:color w:val="000000" w:themeColor="text1"/>
          <w:kern w:val="0"/>
          <w:sz w:val="30"/>
          <w:szCs w:val="30"/>
          <w:highlight w:val="none"/>
          <w14:textFill>
            <w14:solidFill>
              <w14:schemeClr w14:val="tx1"/>
            </w14:solidFill>
          </w14:textFill>
        </w:rPr>
        <w:t>投标产品（服务）适用中小企业扶持政策情况表</w:t>
      </w:r>
    </w:p>
    <w:p>
      <w:pPr>
        <w:pStyle w:val="13"/>
        <w:spacing w:before="9"/>
        <w:rPr>
          <w:b/>
          <w:color w:val="000000" w:themeColor="text1"/>
          <w:sz w:val="14"/>
          <w:highlight w:val="none"/>
          <w14:textFill>
            <w14:solidFill>
              <w14:schemeClr w14:val="tx1"/>
            </w14:solidFill>
          </w14:textFill>
        </w:rPr>
      </w:pPr>
    </w:p>
    <w:tbl>
      <w:tblPr>
        <w:tblStyle w:val="25"/>
        <w:tblW w:w="9038" w:type="dxa"/>
        <w:tblInd w:w="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72"/>
        <w:gridCol w:w="2664"/>
        <w:gridCol w:w="2042"/>
        <w:gridCol w:w="1748"/>
        <w:gridCol w:w="16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0" w:hRule="atLeast"/>
        </w:trPr>
        <w:tc>
          <w:tcPr>
            <w:tcW w:w="9038" w:type="dxa"/>
            <w:gridSpan w:val="5"/>
          </w:tcPr>
          <w:p>
            <w:pPr>
              <w:pStyle w:val="55"/>
              <w:spacing w:line="360" w:lineRule="auto"/>
              <w:ind w:firstLine="210" w:firstLineChars="100"/>
              <w:rPr>
                <w:b/>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如属所列情形的，请在括号内打“√”：</w:t>
            </w:r>
          </w:p>
          <w:p>
            <w:pPr>
              <w:pStyle w:val="55"/>
              <w:tabs>
                <w:tab w:val="left" w:pos="266"/>
                <w:tab w:val="left" w:pos="6039"/>
              </w:tabs>
              <w:spacing w:line="360" w:lineRule="auto"/>
              <w:ind w:left="106"/>
              <w:jc w:val="left"/>
              <w:rPr>
                <w:color w:val="000000" w:themeColor="text1"/>
                <w:szCs w:val="21"/>
                <w:highlight w:val="none"/>
                <w14:textFill>
                  <w14:solidFill>
                    <w14:schemeClr w14:val="tx1"/>
                  </w14:solidFill>
                </w14:textFill>
              </w:rPr>
            </w:pPr>
            <w:r>
              <w:rPr>
                <w:rFonts w:hint="eastAsia"/>
                <w:color w:val="000000" w:themeColor="text1"/>
                <w:szCs w:val="21"/>
                <w:highlight w:val="none"/>
                <w:lang w:val="en-US"/>
                <w14:textFill>
                  <w14:solidFill>
                    <w14:schemeClr w14:val="tx1"/>
                  </w14:solidFill>
                </w14:textFill>
              </w:rPr>
              <w:t>1、</w:t>
            </w:r>
            <w:r>
              <w:rPr>
                <w:rFonts w:hint="eastAsia"/>
                <w:color w:val="000000" w:themeColor="text1"/>
                <w:szCs w:val="21"/>
                <w:highlight w:val="none"/>
                <w14:textFill>
                  <w14:solidFill>
                    <w14:schemeClr w14:val="tx1"/>
                  </w14:solidFill>
                </w14:textFill>
              </w:rPr>
              <w:t>小微企业响应且产品由本企业制造或服务由本企业承担的（</w:t>
            </w:r>
            <w:r>
              <w:rPr>
                <w:rFonts w:hint="eastAsia"/>
                <w:color w:val="000000" w:themeColor="text1"/>
                <w:szCs w:val="21"/>
                <w:highlight w:val="none"/>
                <w14:textFill>
                  <w14:solidFill>
                    <w14:schemeClr w14:val="tx1"/>
                  </w14:solidFill>
                </w14:textFill>
              </w:rPr>
              <w:tab/>
            </w:r>
            <w:r>
              <w:rPr>
                <w:rFonts w:hint="eastAsia"/>
                <w:color w:val="000000" w:themeColor="text1"/>
                <w:szCs w:val="21"/>
                <w:highlight w:val="none"/>
                <w14:textFill>
                  <w14:solidFill>
                    <w14:schemeClr w14:val="tx1"/>
                  </w14:solidFill>
                </w14:textFill>
              </w:rPr>
              <w:t>）</w:t>
            </w:r>
          </w:p>
          <w:p>
            <w:pPr>
              <w:pStyle w:val="55"/>
              <w:tabs>
                <w:tab w:val="left" w:pos="266"/>
                <w:tab w:val="left" w:pos="6459"/>
              </w:tabs>
              <w:spacing w:line="360" w:lineRule="auto"/>
              <w:ind w:left="106" w:right="2357"/>
              <w:jc w:val="left"/>
              <w:rPr>
                <w:b/>
                <w:color w:val="000000" w:themeColor="text1"/>
                <w:szCs w:val="21"/>
                <w:highlight w:val="none"/>
                <w14:textFill>
                  <w14:solidFill>
                    <w14:schemeClr w14:val="tx1"/>
                  </w14:solidFill>
                </w14:textFill>
              </w:rPr>
            </w:pPr>
            <w:r>
              <w:rPr>
                <w:rFonts w:hint="eastAsia"/>
                <w:color w:val="000000" w:themeColor="text1"/>
                <w:szCs w:val="21"/>
                <w:highlight w:val="none"/>
                <w:lang w:val="en-US"/>
                <w14:textFill>
                  <w14:solidFill>
                    <w14:schemeClr w14:val="tx1"/>
                  </w14:solidFill>
                </w14:textFill>
              </w:rPr>
              <w:t>2、</w:t>
            </w:r>
            <w:r>
              <w:rPr>
                <w:rFonts w:hint="eastAsia"/>
                <w:color w:val="000000" w:themeColor="text1"/>
                <w:szCs w:val="21"/>
                <w:highlight w:val="none"/>
                <w14:textFill>
                  <w14:solidFill>
                    <w14:schemeClr w14:val="tx1"/>
                  </w14:solidFill>
                </w14:textFill>
              </w:rPr>
              <w:t>小微企业响应但产品由其他企业制造或服务由其他企业承担的（</w:t>
            </w:r>
            <w:r>
              <w:rPr>
                <w:rFonts w:hint="eastAsia"/>
                <w:color w:val="000000" w:themeColor="text1"/>
                <w:szCs w:val="21"/>
                <w:highlight w:val="none"/>
                <w14:textFill>
                  <w14:solidFill>
                    <w14:schemeClr w14:val="tx1"/>
                  </w14:solidFill>
                </w14:textFill>
              </w:rPr>
              <w:tab/>
            </w:r>
            <w:r>
              <w:rPr>
                <w:rFonts w:hint="eastAsia"/>
                <w:color w:val="000000" w:themeColor="text1"/>
                <w:spacing w:val="-17"/>
                <w:szCs w:val="21"/>
                <w:highlight w:val="none"/>
                <w14:textFill>
                  <w14:solidFill>
                    <w14:schemeClr w14:val="tx1"/>
                  </w14:solidFill>
                </w14:textFill>
              </w:rPr>
              <w:t xml:space="preserve">） </w:t>
            </w:r>
            <w:r>
              <w:rPr>
                <w:rFonts w:hint="eastAsia"/>
                <w:b/>
                <w:color w:val="000000" w:themeColor="text1"/>
                <w:szCs w:val="21"/>
                <w:highlight w:val="none"/>
                <w14:textFill>
                  <w14:solidFill>
                    <w14:schemeClr w14:val="tx1"/>
                  </w14:solidFill>
                </w14:textFill>
              </w:rPr>
              <w:t>注：监狱企业、残疾人福利性企业视同小微企业。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2" w:hRule="atLeast"/>
        </w:trPr>
        <w:tc>
          <w:tcPr>
            <w:tcW w:w="972" w:type="dxa"/>
          </w:tcPr>
          <w:p>
            <w:pPr>
              <w:pStyle w:val="55"/>
              <w:spacing w:before="2" w:line="360" w:lineRule="auto"/>
              <w:rPr>
                <w:b/>
                <w:color w:val="000000" w:themeColor="text1"/>
                <w:szCs w:val="21"/>
                <w:highlight w:val="none"/>
                <w14:textFill>
                  <w14:solidFill>
                    <w14:schemeClr w14:val="tx1"/>
                  </w14:solidFill>
                </w14:textFill>
              </w:rPr>
            </w:pPr>
          </w:p>
          <w:p>
            <w:pPr>
              <w:pStyle w:val="55"/>
              <w:spacing w:line="360" w:lineRule="auto"/>
              <w:ind w:left="253" w:right="249"/>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序号</w:t>
            </w:r>
          </w:p>
        </w:tc>
        <w:tc>
          <w:tcPr>
            <w:tcW w:w="2664" w:type="dxa"/>
          </w:tcPr>
          <w:p>
            <w:pPr>
              <w:pStyle w:val="55"/>
              <w:spacing w:before="2" w:line="360" w:lineRule="auto"/>
              <w:rPr>
                <w:b/>
                <w:color w:val="000000" w:themeColor="text1"/>
                <w:szCs w:val="21"/>
                <w:highlight w:val="none"/>
                <w14:textFill>
                  <w14:solidFill>
                    <w14:schemeClr w14:val="tx1"/>
                  </w14:solidFill>
                </w14:textFill>
              </w:rPr>
            </w:pPr>
          </w:p>
          <w:p>
            <w:pPr>
              <w:pStyle w:val="55"/>
              <w:spacing w:line="360" w:lineRule="auto"/>
              <w:ind w:left="49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产品（服务）名称</w:t>
            </w:r>
          </w:p>
        </w:tc>
        <w:tc>
          <w:tcPr>
            <w:tcW w:w="2042" w:type="dxa"/>
          </w:tcPr>
          <w:p>
            <w:pPr>
              <w:pStyle w:val="55"/>
              <w:spacing w:before="2" w:line="360" w:lineRule="auto"/>
              <w:rPr>
                <w:b/>
                <w:color w:val="000000" w:themeColor="text1"/>
                <w:szCs w:val="21"/>
                <w:highlight w:val="none"/>
                <w14:textFill>
                  <w14:solidFill>
                    <w14:schemeClr w14:val="tx1"/>
                  </w14:solidFill>
                </w14:textFill>
              </w:rPr>
            </w:pPr>
          </w:p>
          <w:p>
            <w:pPr>
              <w:pStyle w:val="55"/>
              <w:spacing w:line="360" w:lineRule="auto"/>
              <w:ind w:left="686" w:right="676"/>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制造商</w:t>
            </w:r>
          </w:p>
        </w:tc>
        <w:tc>
          <w:tcPr>
            <w:tcW w:w="1748" w:type="dxa"/>
          </w:tcPr>
          <w:p>
            <w:pPr>
              <w:pStyle w:val="55"/>
              <w:spacing w:before="56" w:line="360" w:lineRule="auto"/>
              <w:ind w:left="431" w:right="424"/>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制造商</w:t>
            </w:r>
          </w:p>
          <w:p>
            <w:pPr>
              <w:pStyle w:val="55"/>
              <w:spacing w:before="110" w:line="360" w:lineRule="auto"/>
              <w:ind w:left="431" w:right="427"/>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企业类型</w:t>
            </w:r>
          </w:p>
        </w:tc>
        <w:tc>
          <w:tcPr>
            <w:tcW w:w="1612" w:type="dxa"/>
          </w:tcPr>
          <w:p>
            <w:pPr>
              <w:pStyle w:val="55"/>
              <w:spacing w:before="2" w:line="360" w:lineRule="auto"/>
              <w:rPr>
                <w:b/>
                <w:color w:val="000000" w:themeColor="text1"/>
                <w:szCs w:val="21"/>
                <w:highlight w:val="none"/>
                <w14:textFill>
                  <w14:solidFill>
                    <w14:schemeClr w14:val="tx1"/>
                  </w14:solidFill>
                </w14:textFill>
              </w:rPr>
            </w:pPr>
          </w:p>
          <w:p>
            <w:pPr>
              <w:pStyle w:val="55"/>
              <w:spacing w:line="360" w:lineRule="auto"/>
              <w:ind w:left="574" w:right="567"/>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972" w:type="dxa"/>
          </w:tcPr>
          <w:p>
            <w:pPr>
              <w:pStyle w:val="55"/>
              <w:spacing w:line="360" w:lineRule="auto"/>
              <w:ind w:firstLine="414" w:firstLineChars="200"/>
              <w:rPr>
                <w:color w:val="000000" w:themeColor="text1"/>
                <w:szCs w:val="21"/>
                <w:highlight w:val="none"/>
                <w14:textFill>
                  <w14:solidFill>
                    <w14:schemeClr w14:val="tx1"/>
                  </w14:solidFill>
                </w14:textFill>
              </w:rPr>
            </w:pPr>
            <w:r>
              <w:rPr>
                <w:rFonts w:hint="eastAsia"/>
                <w:color w:val="000000" w:themeColor="text1"/>
                <w:w w:val="99"/>
                <w:szCs w:val="21"/>
                <w:highlight w:val="none"/>
                <w:lang w:val="en-US"/>
                <w14:textFill>
                  <w14:solidFill>
                    <w14:schemeClr w14:val="tx1"/>
                  </w14:solidFill>
                </w14:textFill>
              </w:rPr>
              <w:t>1</w:t>
            </w:r>
          </w:p>
        </w:tc>
        <w:tc>
          <w:tcPr>
            <w:tcW w:w="2664" w:type="dxa"/>
          </w:tcPr>
          <w:p>
            <w:pPr>
              <w:pStyle w:val="55"/>
              <w:spacing w:line="360" w:lineRule="auto"/>
              <w:rPr>
                <w:color w:val="000000" w:themeColor="text1"/>
                <w:szCs w:val="21"/>
                <w:highlight w:val="none"/>
                <w14:textFill>
                  <w14:solidFill>
                    <w14:schemeClr w14:val="tx1"/>
                  </w14:solidFill>
                </w14:textFill>
              </w:rPr>
            </w:pPr>
          </w:p>
        </w:tc>
        <w:tc>
          <w:tcPr>
            <w:tcW w:w="2042" w:type="dxa"/>
          </w:tcPr>
          <w:p>
            <w:pPr>
              <w:pStyle w:val="55"/>
              <w:spacing w:line="360" w:lineRule="auto"/>
              <w:rPr>
                <w:color w:val="000000" w:themeColor="text1"/>
                <w:szCs w:val="21"/>
                <w:highlight w:val="none"/>
                <w14:textFill>
                  <w14:solidFill>
                    <w14:schemeClr w14:val="tx1"/>
                  </w14:solidFill>
                </w14:textFill>
              </w:rPr>
            </w:pPr>
          </w:p>
        </w:tc>
        <w:tc>
          <w:tcPr>
            <w:tcW w:w="1748" w:type="dxa"/>
          </w:tcPr>
          <w:p>
            <w:pPr>
              <w:pStyle w:val="55"/>
              <w:spacing w:line="360" w:lineRule="auto"/>
              <w:rPr>
                <w:color w:val="000000" w:themeColor="text1"/>
                <w:szCs w:val="21"/>
                <w:highlight w:val="none"/>
                <w14:textFill>
                  <w14:solidFill>
                    <w14:schemeClr w14:val="tx1"/>
                  </w14:solidFill>
                </w14:textFill>
              </w:rPr>
            </w:pPr>
          </w:p>
        </w:tc>
        <w:tc>
          <w:tcPr>
            <w:tcW w:w="1612" w:type="dxa"/>
          </w:tcPr>
          <w:p>
            <w:pPr>
              <w:pStyle w:val="55"/>
              <w:spacing w:line="360" w:lineRule="auto"/>
              <w:rPr>
                <w:color w:val="000000" w:themeColor="text1"/>
                <w:szCs w:val="2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972" w:type="dxa"/>
          </w:tcPr>
          <w:p>
            <w:pPr>
              <w:pStyle w:val="55"/>
              <w:spacing w:line="360" w:lineRule="auto"/>
              <w:ind w:firstLine="414" w:firstLineChars="200"/>
              <w:rPr>
                <w:color w:val="000000" w:themeColor="text1"/>
                <w:szCs w:val="21"/>
                <w:highlight w:val="none"/>
                <w14:textFill>
                  <w14:solidFill>
                    <w14:schemeClr w14:val="tx1"/>
                  </w14:solidFill>
                </w14:textFill>
              </w:rPr>
            </w:pPr>
            <w:r>
              <w:rPr>
                <w:rFonts w:hint="eastAsia"/>
                <w:color w:val="000000" w:themeColor="text1"/>
                <w:w w:val="99"/>
                <w:szCs w:val="21"/>
                <w:highlight w:val="none"/>
                <w14:textFill>
                  <w14:solidFill>
                    <w14:schemeClr w14:val="tx1"/>
                  </w14:solidFill>
                </w14:textFill>
              </w:rPr>
              <w:t>2</w:t>
            </w:r>
          </w:p>
        </w:tc>
        <w:tc>
          <w:tcPr>
            <w:tcW w:w="2664" w:type="dxa"/>
          </w:tcPr>
          <w:p>
            <w:pPr>
              <w:pStyle w:val="55"/>
              <w:spacing w:line="360" w:lineRule="auto"/>
              <w:rPr>
                <w:color w:val="000000" w:themeColor="text1"/>
                <w:szCs w:val="21"/>
                <w:highlight w:val="none"/>
                <w14:textFill>
                  <w14:solidFill>
                    <w14:schemeClr w14:val="tx1"/>
                  </w14:solidFill>
                </w14:textFill>
              </w:rPr>
            </w:pPr>
          </w:p>
        </w:tc>
        <w:tc>
          <w:tcPr>
            <w:tcW w:w="2042" w:type="dxa"/>
          </w:tcPr>
          <w:p>
            <w:pPr>
              <w:pStyle w:val="55"/>
              <w:spacing w:line="360" w:lineRule="auto"/>
              <w:rPr>
                <w:color w:val="000000" w:themeColor="text1"/>
                <w:szCs w:val="21"/>
                <w:highlight w:val="none"/>
                <w14:textFill>
                  <w14:solidFill>
                    <w14:schemeClr w14:val="tx1"/>
                  </w14:solidFill>
                </w14:textFill>
              </w:rPr>
            </w:pPr>
          </w:p>
        </w:tc>
        <w:tc>
          <w:tcPr>
            <w:tcW w:w="1748" w:type="dxa"/>
          </w:tcPr>
          <w:p>
            <w:pPr>
              <w:pStyle w:val="55"/>
              <w:spacing w:line="360" w:lineRule="auto"/>
              <w:rPr>
                <w:color w:val="000000" w:themeColor="text1"/>
                <w:szCs w:val="21"/>
                <w:highlight w:val="none"/>
                <w14:textFill>
                  <w14:solidFill>
                    <w14:schemeClr w14:val="tx1"/>
                  </w14:solidFill>
                </w14:textFill>
              </w:rPr>
            </w:pPr>
          </w:p>
        </w:tc>
        <w:tc>
          <w:tcPr>
            <w:tcW w:w="1612" w:type="dxa"/>
          </w:tcPr>
          <w:p>
            <w:pPr>
              <w:pStyle w:val="55"/>
              <w:spacing w:line="360" w:lineRule="auto"/>
              <w:rPr>
                <w:color w:val="000000" w:themeColor="text1"/>
                <w:szCs w:val="2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972" w:type="dxa"/>
          </w:tcPr>
          <w:p>
            <w:pPr>
              <w:pStyle w:val="55"/>
              <w:spacing w:line="360" w:lineRule="auto"/>
              <w:ind w:firstLine="414" w:firstLineChars="200"/>
              <w:rPr>
                <w:color w:val="000000" w:themeColor="text1"/>
                <w:szCs w:val="21"/>
                <w:highlight w:val="none"/>
                <w14:textFill>
                  <w14:solidFill>
                    <w14:schemeClr w14:val="tx1"/>
                  </w14:solidFill>
                </w14:textFill>
              </w:rPr>
            </w:pPr>
            <w:r>
              <w:rPr>
                <w:rFonts w:hint="eastAsia"/>
                <w:color w:val="000000" w:themeColor="text1"/>
                <w:w w:val="99"/>
                <w:szCs w:val="21"/>
                <w:highlight w:val="none"/>
                <w14:textFill>
                  <w14:solidFill>
                    <w14:schemeClr w14:val="tx1"/>
                  </w14:solidFill>
                </w14:textFill>
              </w:rPr>
              <w:t>3</w:t>
            </w:r>
          </w:p>
        </w:tc>
        <w:tc>
          <w:tcPr>
            <w:tcW w:w="2664" w:type="dxa"/>
          </w:tcPr>
          <w:p>
            <w:pPr>
              <w:pStyle w:val="55"/>
              <w:spacing w:line="360" w:lineRule="auto"/>
              <w:rPr>
                <w:color w:val="000000" w:themeColor="text1"/>
                <w:szCs w:val="21"/>
                <w:highlight w:val="none"/>
                <w14:textFill>
                  <w14:solidFill>
                    <w14:schemeClr w14:val="tx1"/>
                  </w14:solidFill>
                </w14:textFill>
              </w:rPr>
            </w:pPr>
          </w:p>
        </w:tc>
        <w:tc>
          <w:tcPr>
            <w:tcW w:w="2042" w:type="dxa"/>
          </w:tcPr>
          <w:p>
            <w:pPr>
              <w:pStyle w:val="55"/>
              <w:spacing w:line="360" w:lineRule="auto"/>
              <w:rPr>
                <w:color w:val="000000" w:themeColor="text1"/>
                <w:szCs w:val="21"/>
                <w:highlight w:val="none"/>
                <w14:textFill>
                  <w14:solidFill>
                    <w14:schemeClr w14:val="tx1"/>
                  </w14:solidFill>
                </w14:textFill>
              </w:rPr>
            </w:pPr>
          </w:p>
        </w:tc>
        <w:tc>
          <w:tcPr>
            <w:tcW w:w="1748" w:type="dxa"/>
          </w:tcPr>
          <w:p>
            <w:pPr>
              <w:pStyle w:val="55"/>
              <w:spacing w:line="360" w:lineRule="auto"/>
              <w:rPr>
                <w:color w:val="000000" w:themeColor="text1"/>
                <w:szCs w:val="21"/>
                <w:highlight w:val="none"/>
                <w14:textFill>
                  <w14:solidFill>
                    <w14:schemeClr w14:val="tx1"/>
                  </w14:solidFill>
                </w14:textFill>
              </w:rPr>
            </w:pPr>
          </w:p>
        </w:tc>
        <w:tc>
          <w:tcPr>
            <w:tcW w:w="1612" w:type="dxa"/>
          </w:tcPr>
          <w:p>
            <w:pPr>
              <w:pStyle w:val="55"/>
              <w:spacing w:line="360" w:lineRule="auto"/>
              <w:rPr>
                <w:color w:val="000000" w:themeColor="text1"/>
                <w:szCs w:val="2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972" w:type="dxa"/>
          </w:tcPr>
          <w:p>
            <w:pPr>
              <w:pStyle w:val="55"/>
              <w:spacing w:line="360" w:lineRule="auto"/>
              <w:ind w:right="249" w:firstLine="210" w:firstLineChars="10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w:t>
            </w:r>
          </w:p>
        </w:tc>
        <w:tc>
          <w:tcPr>
            <w:tcW w:w="2664" w:type="dxa"/>
          </w:tcPr>
          <w:p>
            <w:pPr>
              <w:pStyle w:val="55"/>
              <w:spacing w:line="360" w:lineRule="auto"/>
              <w:rPr>
                <w:color w:val="000000" w:themeColor="text1"/>
                <w:szCs w:val="21"/>
                <w:highlight w:val="none"/>
                <w14:textFill>
                  <w14:solidFill>
                    <w14:schemeClr w14:val="tx1"/>
                  </w14:solidFill>
                </w14:textFill>
              </w:rPr>
            </w:pPr>
          </w:p>
        </w:tc>
        <w:tc>
          <w:tcPr>
            <w:tcW w:w="2042" w:type="dxa"/>
          </w:tcPr>
          <w:p>
            <w:pPr>
              <w:pStyle w:val="55"/>
              <w:spacing w:line="360" w:lineRule="auto"/>
              <w:rPr>
                <w:color w:val="000000" w:themeColor="text1"/>
                <w:szCs w:val="21"/>
                <w:highlight w:val="none"/>
                <w14:textFill>
                  <w14:solidFill>
                    <w14:schemeClr w14:val="tx1"/>
                  </w14:solidFill>
                </w14:textFill>
              </w:rPr>
            </w:pPr>
          </w:p>
        </w:tc>
        <w:tc>
          <w:tcPr>
            <w:tcW w:w="1748" w:type="dxa"/>
          </w:tcPr>
          <w:p>
            <w:pPr>
              <w:pStyle w:val="55"/>
              <w:spacing w:line="360" w:lineRule="auto"/>
              <w:rPr>
                <w:color w:val="000000" w:themeColor="text1"/>
                <w:szCs w:val="21"/>
                <w:highlight w:val="none"/>
                <w14:textFill>
                  <w14:solidFill>
                    <w14:schemeClr w14:val="tx1"/>
                  </w14:solidFill>
                </w14:textFill>
              </w:rPr>
            </w:pPr>
          </w:p>
        </w:tc>
        <w:tc>
          <w:tcPr>
            <w:tcW w:w="1612" w:type="dxa"/>
          </w:tcPr>
          <w:p>
            <w:pPr>
              <w:pStyle w:val="55"/>
              <w:spacing w:line="360" w:lineRule="auto"/>
              <w:rPr>
                <w:color w:val="000000" w:themeColor="text1"/>
                <w:szCs w:val="2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7426" w:type="dxa"/>
            <w:gridSpan w:val="4"/>
          </w:tcPr>
          <w:p>
            <w:pPr>
              <w:pStyle w:val="55"/>
              <w:spacing w:line="360" w:lineRule="auto"/>
              <w:ind w:firstLine="1050" w:firstLineChars="50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小型、微型企业产品（服务）金额合计</w:t>
            </w:r>
          </w:p>
        </w:tc>
        <w:tc>
          <w:tcPr>
            <w:tcW w:w="1612" w:type="dxa"/>
          </w:tcPr>
          <w:p>
            <w:pPr>
              <w:pStyle w:val="55"/>
              <w:spacing w:line="360" w:lineRule="auto"/>
              <w:rPr>
                <w:color w:val="000000" w:themeColor="text1"/>
                <w:szCs w:val="21"/>
                <w:highlight w:val="none"/>
                <w14:textFill>
                  <w14:solidFill>
                    <w14:schemeClr w14:val="tx1"/>
                  </w14:solidFill>
                </w14:textFill>
              </w:rPr>
            </w:pPr>
          </w:p>
        </w:tc>
      </w:tr>
    </w:tbl>
    <w:p>
      <w:pPr>
        <w:pStyle w:val="13"/>
        <w:spacing w:before="12" w:line="360" w:lineRule="auto"/>
        <w:rPr>
          <w:rFonts w:ascii="宋体" w:hAnsi="宋体" w:cs="宋体"/>
          <w:b/>
          <w:color w:val="000000" w:themeColor="text1"/>
          <w:szCs w:val="21"/>
          <w:highlight w:val="none"/>
          <w14:textFill>
            <w14:solidFill>
              <w14:schemeClr w14:val="tx1"/>
            </w14:solidFill>
          </w14:textFill>
        </w:rPr>
      </w:pPr>
    </w:p>
    <w:p>
      <w:pPr>
        <w:pStyle w:val="13"/>
        <w:spacing w:before="70" w:line="360" w:lineRule="auto"/>
        <w:ind w:left="212"/>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注：1、非小型或微型企业无需填写此表，本表所填产品名称、规格型号和制造商、金额须与《投标报价明细表》相应项一致。</w:t>
      </w:r>
    </w:p>
    <w:p>
      <w:pPr>
        <w:pStyle w:val="13"/>
        <w:spacing w:before="70" w:line="360" w:lineRule="auto"/>
        <w:ind w:left="212"/>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2、“制造商企业类型”栏，填写内容为“小型”、“微型”或“监狱企业”、“残疾人福利性企业”。</w:t>
      </w:r>
    </w:p>
    <w:p>
      <w:pPr>
        <w:pStyle w:val="13"/>
        <w:spacing w:before="70" w:line="360" w:lineRule="auto"/>
        <w:ind w:left="212"/>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3、所填内容将作为报价评分的依据，请投标人正确填写本表并确保内容真实。</w:t>
      </w:r>
    </w:p>
    <w:p>
      <w:pPr>
        <w:spacing w:line="440" w:lineRule="atLeast"/>
        <w:rPr>
          <w:rFonts w:ascii="宋体" w:hAnsi="宋体" w:cs="宋体"/>
          <w:b/>
          <w:bCs/>
          <w:color w:val="000000" w:themeColor="text1"/>
          <w:szCs w:val="21"/>
          <w:highlight w:val="none"/>
          <w14:textFill>
            <w14:solidFill>
              <w14:schemeClr w14:val="tx1"/>
            </w14:solidFill>
          </w14:textFill>
        </w:rPr>
      </w:pPr>
    </w:p>
    <w:p>
      <w:pPr>
        <w:spacing w:line="440" w:lineRule="atLeast"/>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投标人（盖章）：     </w:t>
      </w:r>
      <w:r>
        <w:rPr>
          <w:rFonts w:hint="eastAsia" w:ascii="宋体" w:hAnsi="宋体" w:cs="宋体"/>
          <w:b/>
          <w:bCs/>
          <w:color w:val="000000" w:themeColor="text1"/>
          <w:szCs w:val="21"/>
          <w:highlight w:val="none"/>
          <w14:textFill>
            <w14:solidFill>
              <w14:schemeClr w14:val="tx1"/>
            </w14:solidFill>
          </w14:textFill>
        </w:rPr>
        <w:br w:type="textWrapping"/>
      </w:r>
      <w:r>
        <w:rPr>
          <w:rFonts w:hint="eastAsia" w:ascii="宋体" w:hAnsi="宋体" w:cs="宋体"/>
          <w:b/>
          <w:bCs/>
          <w:color w:val="000000" w:themeColor="text1"/>
          <w:szCs w:val="21"/>
          <w:highlight w:val="none"/>
          <w14:textFill>
            <w14:solidFill>
              <w14:schemeClr w14:val="tx1"/>
            </w14:solidFill>
          </w14:textFill>
        </w:rPr>
        <w:t>法定代表人或授权代表（签字或盖章）：</w:t>
      </w:r>
    </w:p>
    <w:p>
      <w:pPr>
        <w:spacing w:line="440" w:lineRule="atLeast"/>
        <w:ind w:left="15" w:hanging="14" w:hangingChars="7"/>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日期：</w:t>
      </w:r>
    </w:p>
    <w:p>
      <w:pPr>
        <w:tabs>
          <w:tab w:val="left" w:pos="900"/>
        </w:tabs>
        <w:spacing w:line="440" w:lineRule="exact"/>
        <w:ind w:firstLine="3240" w:firstLineChars="900"/>
        <w:rPr>
          <w:rFonts w:ascii="宋体" w:hAnsi="宋体" w:cs="宋体"/>
          <w:b/>
          <w:color w:val="000000" w:themeColor="text1"/>
          <w:sz w:val="36"/>
          <w:szCs w:val="36"/>
          <w:highlight w:val="none"/>
          <w:lang w:val="zh-CN"/>
          <w14:textFill>
            <w14:solidFill>
              <w14:schemeClr w14:val="tx1"/>
            </w14:solidFill>
          </w14:textFill>
        </w:rPr>
      </w:pPr>
    </w:p>
    <w:p>
      <w:pPr>
        <w:tabs>
          <w:tab w:val="left" w:pos="900"/>
        </w:tabs>
        <w:spacing w:line="440" w:lineRule="exact"/>
        <w:ind w:firstLine="3240" w:firstLineChars="900"/>
        <w:rPr>
          <w:rFonts w:ascii="宋体" w:hAnsi="宋体" w:cs="宋体"/>
          <w:b/>
          <w:color w:val="000000" w:themeColor="text1"/>
          <w:sz w:val="36"/>
          <w:szCs w:val="36"/>
          <w:highlight w:val="none"/>
          <w:lang w:val="zh-CN"/>
          <w14:textFill>
            <w14:solidFill>
              <w14:schemeClr w14:val="tx1"/>
            </w14:solidFill>
          </w14:textFill>
        </w:rPr>
      </w:pPr>
    </w:p>
    <w:p>
      <w:pPr>
        <w:tabs>
          <w:tab w:val="left" w:pos="900"/>
        </w:tabs>
        <w:spacing w:line="440" w:lineRule="exact"/>
        <w:rPr>
          <w:rFonts w:ascii="宋体" w:hAnsi="宋体" w:cs="宋体"/>
          <w:b/>
          <w:color w:val="000000" w:themeColor="text1"/>
          <w:sz w:val="36"/>
          <w:szCs w:val="36"/>
          <w:highlight w:val="none"/>
          <w:lang w:val="zh-CN"/>
          <w14:textFill>
            <w14:solidFill>
              <w14:schemeClr w14:val="tx1"/>
            </w14:solidFill>
          </w14:textFill>
        </w:rPr>
      </w:pPr>
    </w:p>
    <w:p>
      <w:pPr>
        <w:tabs>
          <w:tab w:val="left" w:pos="900"/>
        </w:tabs>
        <w:spacing w:line="440" w:lineRule="exact"/>
        <w:ind w:firstLine="3240" w:firstLineChars="900"/>
        <w:rPr>
          <w:rFonts w:ascii="宋体" w:hAnsi="宋体" w:cs="宋体"/>
          <w:b/>
          <w:color w:val="000000" w:themeColor="text1"/>
          <w:sz w:val="36"/>
          <w:szCs w:val="36"/>
          <w:highlight w:val="none"/>
          <w:lang w:val="zh-CN"/>
          <w14:textFill>
            <w14:solidFill>
              <w14:schemeClr w14:val="tx1"/>
            </w14:solidFill>
          </w14:textFill>
        </w:rPr>
      </w:pPr>
    </w:p>
    <w:sectPr>
      <w:headerReference r:id="rId5" w:type="default"/>
      <w:footerReference r:id="rId6" w:type="default"/>
      <w:pgSz w:w="11906" w:h="16838"/>
      <w:pgMar w:top="1503" w:right="1134" w:bottom="1644" w:left="1134"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新宋体">
    <w:panose1 w:val="02010609030101010101"/>
    <w:charset w:val="86"/>
    <w:family w:val="modern"/>
    <w:pitch w:val="default"/>
    <w:sig w:usb0="00000003" w:usb1="080E0000" w:usb2="00000000"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Cambria Math">
    <w:panose1 w:val="02040503050406030204"/>
    <w:charset w:val="00"/>
    <w:family w:val="roman"/>
    <w:pitch w:val="default"/>
    <w:sig w:usb0="A00002EF" w:usb1="420020E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left" w:pos="4399"/>
        <w:tab w:val="clear" w:pos="4153"/>
      </w:tabs>
      <w:ind w:right="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8"/>
                          </w:pPr>
                          <w:r>
                            <w:fldChar w:fldCharType="begin"/>
                          </w:r>
                          <w:r>
                            <w:instrText xml:space="preserve"> PAGE  \* MERGEFORMAT </w:instrText>
                          </w:r>
                          <w:r>
                            <w:fldChar w:fldCharType="separate"/>
                          </w:r>
                          <w:r>
                            <w:t>29</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EYQVhSwAQAA&#10;WQMAAA4AAAAAAAAAAQAgAAAAHgEAAGRycy9lMm9Eb2MueG1sUEsFBgAAAAAGAAYAWQEAAEAFAAAA&#10;AA==&#10;">
              <v:fill on="f" focussize="0,0"/>
              <v:stroke on="f"/>
              <v:imagedata o:title=""/>
              <o:lock v:ext="edit" aspectratio="f"/>
              <v:textbox inset="0mm,0mm,0mm,0mm" style="mso-fit-shape-to-text:t;">
                <w:txbxContent>
                  <w:p>
                    <w:pPr>
                      <w:pStyle w:val="18"/>
                    </w:pPr>
                    <w:r>
                      <w:fldChar w:fldCharType="begin"/>
                    </w:r>
                    <w:r>
                      <w:instrText xml:space="preserve"> PAGE  \* MERGEFORMAT </w:instrText>
                    </w:r>
                    <w:r>
                      <w:fldChar w:fldCharType="separate"/>
                    </w:r>
                    <w:r>
                      <w:t>29</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a:effectLst/>
                    </wps:spPr>
                    <wps:txbx>
                      <w:txbxContent>
                        <w:p>
                          <w:pPr>
                            <w:pStyle w:val="18"/>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EPl&#10;fknQAAAAAwEAAA8AAAAAAAAAAQAgAAAAIgAAAGRycy9kb3ducmV2LnhtbFBLAQIUABQAAAAIAIdO&#10;4kA+xuCzuQEAAFcDAAAOAAAAAAAAAAEAIAAAAB8BAABkcnMvZTJvRG9jLnhtbFBLBQYAAAAABgAG&#10;AFkBAABKBQAAAAA=&#10;">
              <v:fill on="f" focussize="0,0"/>
              <v:stroke on="f"/>
              <v:imagedata o:title=""/>
              <o:lock v:ext="edit" aspectratio="f"/>
              <v:textbox inset="0mm,0mm,0mm,0mm" style="mso-fit-shape-to-text:t;">
                <w:txbxContent>
                  <w:p>
                    <w:pPr>
                      <w:pStyle w:val="18"/>
                    </w:pPr>
                  </w:p>
                </w:txbxContent>
              </v:textbox>
            </v:shape>
          </w:pict>
        </mc:Fallback>
      </mc:AlternateContent>
    </w:r>
    <w:r>
      <w:rPr>
        <w:rFonts w:hint="eastAsia"/>
      </w:rPr>
      <w:t xml:space="preserve">   </w:t>
    </w:r>
    <w:r>
      <w:rPr>
        <w:rFonts w:hint="eastAsia"/>
      </w:rPr>
      <w:tab/>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left" w:pos="4399"/>
        <w:tab w:val="clear" w:pos="4153"/>
      </w:tabs>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8"/>
                          </w:pPr>
                          <w:r>
                            <w:fldChar w:fldCharType="begin"/>
                          </w:r>
                          <w:r>
                            <w:instrText xml:space="preserve"> PAGE  \* MERGEFORMAT </w:instrText>
                          </w:r>
                          <w:r>
                            <w:fldChar w:fldCharType="separate"/>
                          </w:r>
                          <w:r>
                            <w:t>108</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lqd70rIB&#10;AABZAwAADgAAAAAAAAABACAAAAAeAQAAZHJzL2Uyb0RvYy54bWxQSwUGAAAAAAYABgBZAQAAQgUA&#10;AAAA&#10;">
              <v:fill on="f" focussize="0,0"/>
              <v:stroke on="f"/>
              <v:imagedata o:title=""/>
              <o:lock v:ext="edit" aspectratio="f"/>
              <v:textbox inset="0mm,0mm,0mm,0mm" style="mso-fit-shape-to-text:t;">
                <w:txbxContent>
                  <w:p>
                    <w:pPr>
                      <w:pStyle w:val="18"/>
                    </w:pPr>
                    <w:r>
                      <w:fldChar w:fldCharType="begin"/>
                    </w:r>
                    <w:r>
                      <w:instrText xml:space="preserve"> PAGE  \* MERGEFORMAT </w:instrText>
                    </w:r>
                    <w:r>
                      <w:fldChar w:fldCharType="separate"/>
                    </w:r>
                    <w:r>
                      <w:t>108</w:t>
                    </w:r>
                    <w:r>
                      <w:fldChar w:fldCharType="end"/>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13144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a:effectLst/>
                    </wps:spPr>
                    <wps:txbx>
                      <w:txbxContent>
                        <w:p>
                          <w:pPr>
                            <w:pStyle w:val="18"/>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8240;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EPl&#10;fknQAAAAAwEAAA8AAAAAAAAAAQAgAAAAIgAAAGRycy9kb3ducmV2LnhtbFBLAQIUABQAAAAIAIdO&#10;4kBYec61uQEAAFcDAAAOAAAAAAAAAAEAIAAAAB8BAABkcnMvZTJvRG9jLnhtbFBLBQYAAAAABgAG&#10;AFkBAABKBQAAAAA=&#10;">
              <v:fill on="f" focussize="0,0"/>
              <v:stroke on="f"/>
              <v:imagedata o:title=""/>
              <o:lock v:ext="edit" aspectratio="f"/>
              <v:textbox inset="0mm,0mm,0mm,0mm" style="mso-fit-shape-to-text:t;">
                <w:txbxContent>
                  <w:p>
                    <w:pPr>
                      <w:pStyle w:val="18"/>
                    </w:pPr>
                  </w:p>
                </w:txbxContent>
              </v:textbox>
            </v:shape>
          </w:pict>
        </mc:Fallback>
      </mc:AlternateContent>
    </w:r>
    <w:r>
      <w:rPr>
        <w:rFonts w:hint="eastAsia"/>
      </w:rPr>
      <w:t xml:space="preserve">   </w:t>
    </w:r>
    <w:r>
      <w:rPr>
        <w:rFonts w:hint="eastAsia"/>
      </w:rPr>
      <w:tab/>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199E05"/>
    <w:multiLevelType w:val="singleLevel"/>
    <w:tmpl w:val="8F199E05"/>
    <w:lvl w:ilvl="0" w:tentative="0">
      <w:start w:val="8"/>
      <w:numFmt w:val="chineseCounting"/>
      <w:suff w:val="space"/>
      <w:lvlText w:val="第%1条"/>
      <w:lvlJc w:val="left"/>
      <w:rPr>
        <w:rFonts w:hint="eastAsia"/>
      </w:rPr>
    </w:lvl>
  </w:abstractNum>
  <w:abstractNum w:abstractNumId="1">
    <w:nsid w:val="AFCA3C5E"/>
    <w:multiLevelType w:val="singleLevel"/>
    <w:tmpl w:val="AFCA3C5E"/>
    <w:lvl w:ilvl="0" w:tentative="0">
      <w:start w:val="1"/>
      <w:numFmt w:val="decimal"/>
      <w:suff w:val="nothing"/>
      <w:lvlText w:val="%1、"/>
      <w:lvlJc w:val="left"/>
    </w:lvl>
  </w:abstractNum>
  <w:abstractNum w:abstractNumId="2">
    <w:nsid w:val="BD7B40E8"/>
    <w:multiLevelType w:val="singleLevel"/>
    <w:tmpl w:val="BD7B40E8"/>
    <w:lvl w:ilvl="0" w:tentative="0">
      <w:start w:val="1"/>
      <w:numFmt w:val="chineseCounting"/>
      <w:suff w:val="space"/>
      <w:lvlText w:val="第%1章"/>
      <w:lvlJc w:val="left"/>
      <w:pPr>
        <w:ind w:left="2722" w:firstLine="0"/>
      </w:pPr>
      <w:rPr>
        <w:rFonts w:hint="eastAsia"/>
      </w:rPr>
    </w:lvl>
  </w:abstractNum>
  <w:abstractNum w:abstractNumId="3">
    <w:nsid w:val="CA828088"/>
    <w:multiLevelType w:val="singleLevel"/>
    <w:tmpl w:val="CA828088"/>
    <w:lvl w:ilvl="0" w:tentative="0">
      <w:start w:val="1"/>
      <w:numFmt w:val="decimal"/>
      <w:suff w:val="space"/>
      <w:lvlText w:val="%1."/>
      <w:lvlJc w:val="left"/>
    </w:lvl>
  </w:abstractNum>
  <w:abstractNum w:abstractNumId="4">
    <w:nsid w:val="00000002"/>
    <w:multiLevelType w:val="singleLevel"/>
    <w:tmpl w:val="00000002"/>
    <w:lvl w:ilvl="0" w:tentative="0">
      <w:start w:val="5"/>
      <w:numFmt w:val="decimal"/>
      <w:lvlText w:val="%1."/>
      <w:lvlJc w:val="left"/>
      <w:pPr>
        <w:tabs>
          <w:tab w:val="left" w:pos="312"/>
        </w:tabs>
      </w:pPr>
    </w:lvl>
  </w:abstractNum>
  <w:abstractNum w:abstractNumId="5">
    <w:nsid w:val="00000003"/>
    <w:multiLevelType w:val="singleLevel"/>
    <w:tmpl w:val="00000003"/>
    <w:lvl w:ilvl="0" w:tentative="0">
      <w:start w:val="3"/>
      <w:numFmt w:val="decimal"/>
      <w:suff w:val="nothing"/>
      <w:lvlText w:val="%1、"/>
      <w:lvlJc w:val="left"/>
    </w:lvl>
  </w:abstractNum>
  <w:abstractNum w:abstractNumId="6">
    <w:nsid w:val="00000004"/>
    <w:multiLevelType w:val="multilevel"/>
    <w:tmpl w:val="00000004"/>
    <w:lvl w:ilvl="0" w:tentative="0">
      <w:start w:val="1"/>
      <w:numFmt w:val="lowerLetter"/>
      <w:lvlText w:val="%1)"/>
      <w:lvlJc w:val="left"/>
      <w:pPr>
        <w:tabs>
          <w:tab w:val="left" w:pos="1080"/>
        </w:tabs>
        <w:ind w:left="1080" w:hanging="510"/>
      </w:pPr>
      <w:rPr>
        <w:rFonts w:hint="eastAsia"/>
      </w:rPr>
    </w:lvl>
    <w:lvl w:ilvl="1" w:tentative="0">
      <w:start w:val="1"/>
      <w:numFmt w:val="lowerLetter"/>
      <w:lvlText w:val="%2)"/>
      <w:lvlJc w:val="left"/>
      <w:pPr>
        <w:tabs>
          <w:tab w:val="left" w:pos="1410"/>
        </w:tabs>
        <w:ind w:left="1410" w:hanging="420"/>
      </w:pPr>
    </w:lvl>
    <w:lvl w:ilvl="2" w:tentative="0">
      <w:start w:val="1"/>
      <w:numFmt w:val="lowerRoman"/>
      <w:lvlText w:val="%3."/>
      <w:lvlJc w:val="right"/>
      <w:pPr>
        <w:tabs>
          <w:tab w:val="left" w:pos="1830"/>
        </w:tabs>
        <w:ind w:left="1830" w:hanging="420"/>
      </w:pPr>
    </w:lvl>
    <w:lvl w:ilvl="3" w:tentative="0">
      <w:start w:val="1"/>
      <w:numFmt w:val="decimal"/>
      <w:lvlText w:val="%4."/>
      <w:lvlJc w:val="left"/>
      <w:pPr>
        <w:tabs>
          <w:tab w:val="left" w:pos="2250"/>
        </w:tabs>
        <w:ind w:left="2250" w:hanging="420"/>
      </w:pPr>
    </w:lvl>
    <w:lvl w:ilvl="4" w:tentative="0">
      <w:start w:val="1"/>
      <w:numFmt w:val="lowerLetter"/>
      <w:lvlText w:val="%5)"/>
      <w:lvlJc w:val="left"/>
      <w:pPr>
        <w:tabs>
          <w:tab w:val="left" w:pos="2670"/>
        </w:tabs>
        <w:ind w:left="2670" w:hanging="420"/>
      </w:pPr>
    </w:lvl>
    <w:lvl w:ilvl="5" w:tentative="0">
      <w:start w:val="1"/>
      <w:numFmt w:val="lowerRoman"/>
      <w:lvlText w:val="%6."/>
      <w:lvlJc w:val="right"/>
      <w:pPr>
        <w:tabs>
          <w:tab w:val="left" w:pos="3090"/>
        </w:tabs>
        <w:ind w:left="3090" w:hanging="420"/>
      </w:pPr>
    </w:lvl>
    <w:lvl w:ilvl="6" w:tentative="0">
      <w:start w:val="1"/>
      <w:numFmt w:val="decimal"/>
      <w:lvlText w:val="%7."/>
      <w:lvlJc w:val="left"/>
      <w:pPr>
        <w:tabs>
          <w:tab w:val="left" w:pos="3510"/>
        </w:tabs>
        <w:ind w:left="3510" w:hanging="420"/>
      </w:pPr>
    </w:lvl>
    <w:lvl w:ilvl="7" w:tentative="0">
      <w:start w:val="1"/>
      <w:numFmt w:val="lowerLetter"/>
      <w:lvlText w:val="%8)"/>
      <w:lvlJc w:val="left"/>
      <w:pPr>
        <w:tabs>
          <w:tab w:val="left" w:pos="3930"/>
        </w:tabs>
        <w:ind w:left="3930" w:hanging="420"/>
      </w:pPr>
    </w:lvl>
    <w:lvl w:ilvl="8" w:tentative="0">
      <w:start w:val="1"/>
      <w:numFmt w:val="lowerRoman"/>
      <w:lvlText w:val="%9."/>
      <w:lvlJc w:val="right"/>
      <w:pPr>
        <w:tabs>
          <w:tab w:val="left" w:pos="4350"/>
        </w:tabs>
        <w:ind w:left="4350" w:hanging="420"/>
      </w:pPr>
    </w:lvl>
  </w:abstractNum>
  <w:abstractNum w:abstractNumId="7">
    <w:nsid w:val="00000005"/>
    <w:multiLevelType w:val="multilevel"/>
    <w:tmpl w:val="00000005"/>
    <w:lvl w:ilvl="0" w:tentative="0">
      <w:start w:val="1"/>
      <w:numFmt w:val="decimal"/>
      <w:lvlText w:val="（%1）"/>
      <w:lvlJc w:val="left"/>
      <w:pPr>
        <w:tabs>
          <w:tab w:val="left" w:pos="1440"/>
        </w:tabs>
        <w:ind w:left="1440" w:hanging="720"/>
      </w:pPr>
      <w:rPr>
        <w:rFonts w:hint="default"/>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06"/>
    <w:multiLevelType w:val="singleLevel"/>
    <w:tmpl w:val="00000006"/>
    <w:lvl w:ilvl="0" w:tentative="0">
      <w:start w:val="1"/>
      <w:numFmt w:val="lowerLetter"/>
      <w:lvlText w:val="%1）"/>
      <w:lvlJc w:val="left"/>
      <w:pPr>
        <w:tabs>
          <w:tab w:val="left" w:pos="1290"/>
        </w:tabs>
        <w:ind w:left="1290" w:hanging="345"/>
      </w:pPr>
      <w:rPr>
        <w:rFonts w:hint="eastAsia"/>
      </w:rPr>
    </w:lvl>
  </w:abstractNum>
  <w:abstractNum w:abstractNumId="9">
    <w:nsid w:val="01C498A1"/>
    <w:multiLevelType w:val="singleLevel"/>
    <w:tmpl w:val="01C498A1"/>
    <w:lvl w:ilvl="0" w:tentative="0">
      <w:start w:val="1"/>
      <w:numFmt w:val="decimal"/>
      <w:suff w:val="nothing"/>
      <w:lvlText w:val="（%1）"/>
      <w:lvlJc w:val="left"/>
    </w:lvl>
  </w:abstractNum>
  <w:abstractNum w:abstractNumId="10">
    <w:nsid w:val="0838B34B"/>
    <w:multiLevelType w:val="singleLevel"/>
    <w:tmpl w:val="0838B34B"/>
    <w:lvl w:ilvl="0" w:tentative="0">
      <w:start w:val="15"/>
      <w:numFmt w:val="chineseCounting"/>
      <w:suff w:val="space"/>
      <w:lvlText w:val="第%1条"/>
      <w:lvlJc w:val="left"/>
      <w:rPr>
        <w:rFonts w:hint="eastAsia"/>
      </w:rPr>
    </w:lvl>
  </w:abstractNum>
  <w:abstractNum w:abstractNumId="11">
    <w:nsid w:val="337B0901"/>
    <w:multiLevelType w:val="singleLevel"/>
    <w:tmpl w:val="337B0901"/>
    <w:lvl w:ilvl="0" w:tentative="0">
      <w:start w:val="1"/>
      <w:numFmt w:val="decimal"/>
      <w:pStyle w:val="7"/>
      <w:lvlText w:val="%1."/>
      <w:lvlJc w:val="left"/>
      <w:pPr>
        <w:tabs>
          <w:tab w:val="left" w:pos="360"/>
        </w:tabs>
        <w:ind w:left="360" w:hanging="360"/>
      </w:pPr>
    </w:lvl>
  </w:abstractNum>
  <w:abstractNum w:abstractNumId="12">
    <w:nsid w:val="3FA9E490"/>
    <w:multiLevelType w:val="singleLevel"/>
    <w:tmpl w:val="3FA9E490"/>
    <w:lvl w:ilvl="0" w:tentative="0">
      <w:start w:val="1"/>
      <w:numFmt w:val="decimal"/>
      <w:suff w:val="nothing"/>
      <w:lvlText w:val="%1、"/>
      <w:lvlJc w:val="left"/>
    </w:lvl>
  </w:abstractNum>
  <w:abstractNum w:abstractNumId="13">
    <w:nsid w:val="4CA42BFB"/>
    <w:multiLevelType w:val="singleLevel"/>
    <w:tmpl w:val="4CA42BFB"/>
    <w:lvl w:ilvl="0" w:tentative="0">
      <w:start w:val="9"/>
      <w:numFmt w:val="chineseCounting"/>
      <w:suff w:val="nothing"/>
      <w:lvlText w:val="%1、"/>
      <w:lvlJc w:val="left"/>
      <w:rPr>
        <w:rFonts w:hint="eastAsia"/>
      </w:rPr>
    </w:lvl>
  </w:abstractNum>
  <w:abstractNum w:abstractNumId="14">
    <w:nsid w:val="54821E28"/>
    <w:multiLevelType w:val="singleLevel"/>
    <w:tmpl w:val="54821E28"/>
    <w:lvl w:ilvl="0" w:tentative="0">
      <w:start w:val="6"/>
      <w:numFmt w:val="chineseCounting"/>
      <w:suff w:val="nothing"/>
      <w:lvlText w:val="%1、"/>
      <w:lvlJc w:val="left"/>
      <w:rPr>
        <w:rFonts w:hint="eastAsia"/>
      </w:rPr>
    </w:lvl>
  </w:abstractNum>
  <w:abstractNum w:abstractNumId="15">
    <w:nsid w:val="596F24B7"/>
    <w:multiLevelType w:val="singleLevel"/>
    <w:tmpl w:val="596F24B7"/>
    <w:lvl w:ilvl="0" w:tentative="0">
      <w:start w:val="4"/>
      <w:numFmt w:val="decimal"/>
      <w:suff w:val="nothing"/>
      <w:lvlText w:val="%1."/>
      <w:lvlJc w:val="left"/>
    </w:lvl>
  </w:abstractNum>
  <w:abstractNum w:abstractNumId="16">
    <w:nsid w:val="5A6A3266"/>
    <w:multiLevelType w:val="singleLevel"/>
    <w:tmpl w:val="5A6A3266"/>
    <w:lvl w:ilvl="0" w:tentative="0">
      <w:start w:val="12"/>
      <w:numFmt w:val="chineseCounting"/>
      <w:suff w:val="space"/>
      <w:lvlText w:val="第%1条"/>
      <w:lvlJc w:val="left"/>
      <w:rPr>
        <w:rFonts w:hint="eastAsia"/>
      </w:rPr>
    </w:lvl>
  </w:abstractNum>
  <w:abstractNum w:abstractNumId="17">
    <w:nsid w:val="5D128EAF"/>
    <w:multiLevelType w:val="singleLevel"/>
    <w:tmpl w:val="5D128EAF"/>
    <w:lvl w:ilvl="0" w:tentative="0">
      <w:start w:val="5"/>
      <w:numFmt w:val="chineseCounting"/>
      <w:suff w:val="space"/>
      <w:lvlText w:val="第%1章"/>
      <w:lvlJc w:val="left"/>
      <w:pPr>
        <w:ind w:left="2583" w:firstLine="0"/>
      </w:pPr>
      <w:rPr>
        <w:rFonts w:hint="eastAsia"/>
      </w:rPr>
    </w:lvl>
  </w:abstractNum>
  <w:abstractNum w:abstractNumId="18">
    <w:nsid w:val="65BDA0BE"/>
    <w:multiLevelType w:val="singleLevel"/>
    <w:tmpl w:val="65BDA0BE"/>
    <w:lvl w:ilvl="0" w:tentative="0">
      <w:start w:val="2"/>
      <w:numFmt w:val="decimal"/>
      <w:lvlText w:val="%1."/>
      <w:lvlJc w:val="left"/>
      <w:pPr>
        <w:tabs>
          <w:tab w:val="left" w:pos="312"/>
        </w:tabs>
      </w:pPr>
    </w:lvl>
  </w:abstractNum>
  <w:abstractNum w:abstractNumId="19">
    <w:nsid w:val="68A86405"/>
    <w:multiLevelType w:val="singleLevel"/>
    <w:tmpl w:val="68A86405"/>
    <w:lvl w:ilvl="0" w:tentative="0">
      <w:start w:val="1"/>
      <w:numFmt w:val="chineseCounting"/>
      <w:suff w:val="nothing"/>
      <w:lvlText w:val="%1、"/>
      <w:lvlJc w:val="left"/>
      <w:pPr>
        <w:ind w:left="660" w:firstLine="0"/>
      </w:pPr>
      <w:rPr>
        <w:rFonts w:hint="eastAsia"/>
      </w:rPr>
    </w:lvl>
  </w:abstractNum>
  <w:abstractNum w:abstractNumId="20">
    <w:nsid w:val="77DE66C7"/>
    <w:multiLevelType w:val="singleLevel"/>
    <w:tmpl w:val="77DE66C7"/>
    <w:lvl w:ilvl="0" w:tentative="0">
      <w:start w:val="4"/>
      <w:numFmt w:val="chineseCounting"/>
      <w:suff w:val="space"/>
      <w:lvlText w:val="第%1条"/>
      <w:lvlJc w:val="left"/>
      <w:rPr>
        <w:rFonts w:hint="eastAsia"/>
      </w:rPr>
    </w:lvl>
  </w:abstractNum>
  <w:abstractNum w:abstractNumId="21">
    <w:nsid w:val="79D66BEB"/>
    <w:multiLevelType w:val="singleLevel"/>
    <w:tmpl w:val="79D66BEB"/>
    <w:lvl w:ilvl="0" w:tentative="0">
      <w:start w:val="4"/>
      <w:numFmt w:val="chineseCounting"/>
      <w:suff w:val="nothing"/>
      <w:lvlText w:val="%1、"/>
      <w:lvlJc w:val="left"/>
      <w:rPr>
        <w:rFonts w:hint="eastAsia"/>
      </w:rPr>
    </w:lvl>
  </w:abstractNum>
  <w:num w:numId="1">
    <w:abstractNumId w:val="11"/>
  </w:num>
  <w:num w:numId="2">
    <w:abstractNumId w:val="21"/>
  </w:num>
  <w:num w:numId="3">
    <w:abstractNumId w:val="14"/>
  </w:num>
  <w:num w:numId="4">
    <w:abstractNumId w:val="2"/>
  </w:num>
  <w:num w:numId="5">
    <w:abstractNumId w:val="15"/>
  </w:num>
  <w:num w:numId="6">
    <w:abstractNumId w:val="18"/>
  </w:num>
  <w:num w:numId="7">
    <w:abstractNumId w:val="12"/>
  </w:num>
  <w:num w:numId="8">
    <w:abstractNumId w:val="9"/>
  </w:num>
  <w:num w:numId="9">
    <w:abstractNumId w:val="1"/>
  </w:num>
  <w:num w:numId="10">
    <w:abstractNumId w:val="17"/>
  </w:num>
  <w:num w:numId="11">
    <w:abstractNumId w:val="3"/>
  </w:num>
  <w:num w:numId="12">
    <w:abstractNumId w:val="4"/>
  </w:num>
  <w:num w:numId="13">
    <w:abstractNumId w:val="5"/>
  </w:num>
  <w:num w:numId="14">
    <w:abstractNumId w:val="6"/>
  </w:num>
  <w:num w:numId="15">
    <w:abstractNumId w:val="7"/>
  </w:num>
  <w:num w:numId="16">
    <w:abstractNumId w:val="8"/>
  </w:num>
  <w:num w:numId="17">
    <w:abstractNumId w:val="19"/>
  </w:num>
  <w:num w:numId="18">
    <w:abstractNumId w:val="20"/>
  </w:num>
  <w:num w:numId="19">
    <w:abstractNumId w:val="0"/>
  </w:num>
  <w:num w:numId="20">
    <w:abstractNumId w:val="16"/>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380724"/>
    <w:rsid w:val="0011388A"/>
    <w:rsid w:val="003B0DA1"/>
    <w:rsid w:val="0041470E"/>
    <w:rsid w:val="004305FD"/>
    <w:rsid w:val="004C59B6"/>
    <w:rsid w:val="005B61C2"/>
    <w:rsid w:val="009C2475"/>
    <w:rsid w:val="00A77E38"/>
    <w:rsid w:val="00AA6C0F"/>
    <w:rsid w:val="00B40C3F"/>
    <w:rsid w:val="00C37EBC"/>
    <w:rsid w:val="00D1452B"/>
    <w:rsid w:val="00D56A60"/>
    <w:rsid w:val="00F5191E"/>
    <w:rsid w:val="01154375"/>
    <w:rsid w:val="011E3363"/>
    <w:rsid w:val="01270601"/>
    <w:rsid w:val="01356792"/>
    <w:rsid w:val="01360084"/>
    <w:rsid w:val="01414A0C"/>
    <w:rsid w:val="017E5473"/>
    <w:rsid w:val="01836B16"/>
    <w:rsid w:val="01B660C5"/>
    <w:rsid w:val="01B908CD"/>
    <w:rsid w:val="01BE21ED"/>
    <w:rsid w:val="01CF1972"/>
    <w:rsid w:val="02010367"/>
    <w:rsid w:val="021031C3"/>
    <w:rsid w:val="02165C2C"/>
    <w:rsid w:val="02330C5F"/>
    <w:rsid w:val="02706C4F"/>
    <w:rsid w:val="02735A65"/>
    <w:rsid w:val="02795AD9"/>
    <w:rsid w:val="028660C0"/>
    <w:rsid w:val="028E5B6F"/>
    <w:rsid w:val="0293080E"/>
    <w:rsid w:val="02A06F94"/>
    <w:rsid w:val="02B6272D"/>
    <w:rsid w:val="02BA6CBF"/>
    <w:rsid w:val="02BF4AB9"/>
    <w:rsid w:val="02DE1A4D"/>
    <w:rsid w:val="02FB07BD"/>
    <w:rsid w:val="03091B75"/>
    <w:rsid w:val="03125D47"/>
    <w:rsid w:val="036A0A4D"/>
    <w:rsid w:val="036B11E8"/>
    <w:rsid w:val="037F6D19"/>
    <w:rsid w:val="03841509"/>
    <w:rsid w:val="03842E02"/>
    <w:rsid w:val="03BE71E2"/>
    <w:rsid w:val="03D05359"/>
    <w:rsid w:val="03E84C96"/>
    <w:rsid w:val="040C4803"/>
    <w:rsid w:val="04116AFB"/>
    <w:rsid w:val="043348E3"/>
    <w:rsid w:val="04594960"/>
    <w:rsid w:val="04690F35"/>
    <w:rsid w:val="049A31BB"/>
    <w:rsid w:val="04B4125E"/>
    <w:rsid w:val="04CF5215"/>
    <w:rsid w:val="04D40029"/>
    <w:rsid w:val="04EE20B2"/>
    <w:rsid w:val="04FC3D79"/>
    <w:rsid w:val="05233C2F"/>
    <w:rsid w:val="05342967"/>
    <w:rsid w:val="056D78C2"/>
    <w:rsid w:val="057858F6"/>
    <w:rsid w:val="05786241"/>
    <w:rsid w:val="059A5136"/>
    <w:rsid w:val="05CF3EAA"/>
    <w:rsid w:val="0602378D"/>
    <w:rsid w:val="0626631D"/>
    <w:rsid w:val="064140E3"/>
    <w:rsid w:val="064843CA"/>
    <w:rsid w:val="0672628A"/>
    <w:rsid w:val="068824C2"/>
    <w:rsid w:val="069871A8"/>
    <w:rsid w:val="069F7BE9"/>
    <w:rsid w:val="06C77DCC"/>
    <w:rsid w:val="06C82ED9"/>
    <w:rsid w:val="06E62F13"/>
    <w:rsid w:val="071E5F13"/>
    <w:rsid w:val="07256931"/>
    <w:rsid w:val="073F1360"/>
    <w:rsid w:val="077D77B1"/>
    <w:rsid w:val="07827646"/>
    <w:rsid w:val="07A67A52"/>
    <w:rsid w:val="07BE431A"/>
    <w:rsid w:val="07C82A3E"/>
    <w:rsid w:val="07CD5B68"/>
    <w:rsid w:val="07CE5E81"/>
    <w:rsid w:val="07D4555D"/>
    <w:rsid w:val="07EF14A6"/>
    <w:rsid w:val="07F4484D"/>
    <w:rsid w:val="07F9593C"/>
    <w:rsid w:val="080C2AE0"/>
    <w:rsid w:val="0858199E"/>
    <w:rsid w:val="08690A46"/>
    <w:rsid w:val="087613F5"/>
    <w:rsid w:val="087804C8"/>
    <w:rsid w:val="08A63884"/>
    <w:rsid w:val="08B70E73"/>
    <w:rsid w:val="08CB63D9"/>
    <w:rsid w:val="08E2758D"/>
    <w:rsid w:val="091D727B"/>
    <w:rsid w:val="0928132C"/>
    <w:rsid w:val="093E24A8"/>
    <w:rsid w:val="09406D09"/>
    <w:rsid w:val="094257BB"/>
    <w:rsid w:val="094514F1"/>
    <w:rsid w:val="095B7CB0"/>
    <w:rsid w:val="09703DC8"/>
    <w:rsid w:val="097D5B69"/>
    <w:rsid w:val="09AC26B1"/>
    <w:rsid w:val="09C16C04"/>
    <w:rsid w:val="09C23FE3"/>
    <w:rsid w:val="09F5655E"/>
    <w:rsid w:val="0A025824"/>
    <w:rsid w:val="0A042C24"/>
    <w:rsid w:val="0A556DB9"/>
    <w:rsid w:val="0A660C97"/>
    <w:rsid w:val="0A6C45B4"/>
    <w:rsid w:val="0A98232F"/>
    <w:rsid w:val="0AB30ADA"/>
    <w:rsid w:val="0AB37D28"/>
    <w:rsid w:val="0ACA7A53"/>
    <w:rsid w:val="0ACE4BA9"/>
    <w:rsid w:val="0AD417A8"/>
    <w:rsid w:val="0AD9121C"/>
    <w:rsid w:val="0AFF43ED"/>
    <w:rsid w:val="0B201EBE"/>
    <w:rsid w:val="0B310C5C"/>
    <w:rsid w:val="0B315232"/>
    <w:rsid w:val="0B4E436E"/>
    <w:rsid w:val="0B524AF2"/>
    <w:rsid w:val="0B5A2EAE"/>
    <w:rsid w:val="0B7E207C"/>
    <w:rsid w:val="0B832347"/>
    <w:rsid w:val="0B965F3E"/>
    <w:rsid w:val="0BA3535E"/>
    <w:rsid w:val="0BB93086"/>
    <w:rsid w:val="0BC00E76"/>
    <w:rsid w:val="0BF23581"/>
    <w:rsid w:val="0C046051"/>
    <w:rsid w:val="0C065C81"/>
    <w:rsid w:val="0C146893"/>
    <w:rsid w:val="0C1C3C51"/>
    <w:rsid w:val="0C20604D"/>
    <w:rsid w:val="0C22757F"/>
    <w:rsid w:val="0C341EB9"/>
    <w:rsid w:val="0C5D5618"/>
    <w:rsid w:val="0C721205"/>
    <w:rsid w:val="0C7D3DF0"/>
    <w:rsid w:val="0C833974"/>
    <w:rsid w:val="0CA74DBE"/>
    <w:rsid w:val="0CBE028A"/>
    <w:rsid w:val="0CC04FDF"/>
    <w:rsid w:val="0CCE1A8A"/>
    <w:rsid w:val="0CE3411E"/>
    <w:rsid w:val="0CEB30CE"/>
    <w:rsid w:val="0D052F91"/>
    <w:rsid w:val="0D195856"/>
    <w:rsid w:val="0D1C5EBE"/>
    <w:rsid w:val="0D253F48"/>
    <w:rsid w:val="0D2F51F1"/>
    <w:rsid w:val="0D330F82"/>
    <w:rsid w:val="0D395DA6"/>
    <w:rsid w:val="0D7F1DD9"/>
    <w:rsid w:val="0D896362"/>
    <w:rsid w:val="0D8C2D98"/>
    <w:rsid w:val="0D8F21C8"/>
    <w:rsid w:val="0DD0614C"/>
    <w:rsid w:val="0DE2632D"/>
    <w:rsid w:val="0E091236"/>
    <w:rsid w:val="0E1437C4"/>
    <w:rsid w:val="0E1A296C"/>
    <w:rsid w:val="0E391EA1"/>
    <w:rsid w:val="0E760C2E"/>
    <w:rsid w:val="0E7E3037"/>
    <w:rsid w:val="0E8127C1"/>
    <w:rsid w:val="0E915604"/>
    <w:rsid w:val="0E915630"/>
    <w:rsid w:val="0E932976"/>
    <w:rsid w:val="0E9D27B0"/>
    <w:rsid w:val="0EB3687D"/>
    <w:rsid w:val="0EB36F1E"/>
    <w:rsid w:val="0EE02D62"/>
    <w:rsid w:val="0EE13650"/>
    <w:rsid w:val="0EFD0416"/>
    <w:rsid w:val="0F076F79"/>
    <w:rsid w:val="0F361B4A"/>
    <w:rsid w:val="0F3942E7"/>
    <w:rsid w:val="0F6A0337"/>
    <w:rsid w:val="0F6B7C25"/>
    <w:rsid w:val="0F804145"/>
    <w:rsid w:val="0F83566B"/>
    <w:rsid w:val="0F8C5356"/>
    <w:rsid w:val="0F9A0E5A"/>
    <w:rsid w:val="0FB029C3"/>
    <w:rsid w:val="0FCB47EA"/>
    <w:rsid w:val="0FCD0D92"/>
    <w:rsid w:val="0FE02B81"/>
    <w:rsid w:val="0FEB1A93"/>
    <w:rsid w:val="0FF63AC9"/>
    <w:rsid w:val="10200A6B"/>
    <w:rsid w:val="105C1EC3"/>
    <w:rsid w:val="105E2B09"/>
    <w:rsid w:val="10A013E9"/>
    <w:rsid w:val="10B7431B"/>
    <w:rsid w:val="10D9469B"/>
    <w:rsid w:val="11046B7C"/>
    <w:rsid w:val="11257501"/>
    <w:rsid w:val="114E041F"/>
    <w:rsid w:val="1153468C"/>
    <w:rsid w:val="116F430F"/>
    <w:rsid w:val="117843C0"/>
    <w:rsid w:val="11962EED"/>
    <w:rsid w:val="11BD58E2"/>
    <w:rsid w:val="11DD3A8B"/>
    <w:rsid w:val="11EC786D"/>
    <w:rsid w:val="120A1BAD"/>
    <w:rsid w:val="120F40A1"/>
    <w:rsid w:val="121A5539"/>
    <w:rsid w:val="121D670F"/>
    <w:rsid w:val="12201B4C"/>
    <w:rsid w:val="12484106"/>
    <w:rsid w:val="124B478F"/>
    <w:rsid w:val="124F7725"/>
    <w:rsid w:val="126B3A5C"/>
    <w:rsid w:val="126D3C13"/>
    <w:rsid w:val="126F4C2C"/>
    <w:rsid w:val="12887999"/>
    <w:rsid w:val="128A3C5C"/>
    <w:rsid w:val="129B00FF"/>
    <w:rsid w:val="12AB6574"/>
    <w:rsid w:val="12AE23E9"/>
    <w:rsid w:val="12B437C6"/>
    <w:rsid w:val="12B56ADA"/>
    <w:rsid w:val="12BC492A"/>
    <w:rsid w:val="12CF44E6"/>
    <w:rsid w:val="12DB45F2"/>
    <w:rsid w:val="12F15736"/>
    <w:rsid w:val="12F3694B"/>
    <w:rsid w:val="12FA59AB"/>
    <w:rsid w:val="13235150"/>
    <w:rsid w:val="13656B73"/>
    <w:rsid w:val="13737953"/>
    <w:rsid w:val="13760899"/>
    <w:rsid w:val="13910211"/>
    <w:rsid w:val="13B009D3"/>
    <w:rsid w:val="13B37DB6"/>
    <w:rsid w:val="13C34DB7"/>
    <w:rsid w:val="13D0551A"/>
    <w:rsid w:val="13D06AD0"/>
    <w:rsid w:val="13FD4292"/>
    <w:rsid w:val="140D758D"/>
    <w:rsid w:val="14134C1D"/>
    <w:rsid w:val="143A0D4B"/>
    <w:rsid w:val="143B3DB9"/>
    <w:rsid w:val="14495C0E"/>
    <w:rsid w:val="14A966F7"/>
    <w:rsid w:val="14B15952"/>
    <w:rsid w:val="14BD4E9A"/>
    <w:rsid w:val="14F327EA"/>
    <w:rsid w:val="14F618B5"/>
    <w:rsid w:val="150F7BD8"/>
    <w:rsid w:val="15121BF1"/>
    <w:rsid w:val="152130E4"/>
    <w:rsid w:val="15505027"/>
    <w:rsid w:val="158118E3"/>
    <w:rsid w:val="15931F1F"/>
    <w:rsid w:val="159566A1"/>
    <w:rsid w:val="159A5917"/>
    <w:rsid w:val="15E46E99"/>
    <w:rsid w:val="163209E2"/>
    <w:rsid w:val="16372BD5"/>
    <w:rsid w:val="163E5D87"/>
    <w:rsid w:val="166C350B"/>
    <w:rsid w:val="167A09B1"/>
    <w:rsid w:val="168558E4"/>
    <w:rsid w:val="16A83916"/>
    <w:rsid w:val="16BC43DE"/>
    <w:rsid w:val="16C6341B"/>
    <w:rsid w:val="16C75A03"/>
    <w:rsid w:val="16E41894"/>
    <w:rsid w:val="16F55812"/>
    <w:rsid w:val="17033726"/>
    <w:rsid w:val="170560DF"/>
    <w:rsid w:val="171066B2"/>
    <w:rsid w:val="171C49FB"/>
    <w:rsid w:val="172876BF"/>
    <w:rsid w:val="17304D35"/>
    <w:rsid w:val="173530EC"/>
    <w:rsid w:val="174B112A"/>
    <w:rsid w:val="176B0435"/>
    <w:rsid w:val="176D695E"/>
    <w:rsid w:val="176E40BC"/>
    <w:rsid w:val="178073D6"/>
    <w:rsid w:val="179F2307"/>
    <w:rsid w:val="17BB0416"/>
    <w:rsid w:val="17CC7025"/>
    <w:rsid w:val="17DA0424"/>
    <w:rsid w:val="17E375DC"/>
    <w:rsid w:val="17EF7E50"/>
    <w:rsid w:val="17F86D6B"/>
    <w:rsid w:val="1806086A"/>
    <w:rsid w:val="18210B54"/>
    <w:rsid w:val="18266CC0"/>
    <w:rsid w:val="182D7BAE"/>
    <w:rsid w:val="185C7D23"/>
    <w:rsid w:val="18731F8E"/>
    <w:rsid w:val="187A4E2A"/>
    <w:rsid w:val="18813824"/>
    <w:rsid w:val="18832460"/>
    <w:rsid w:val="18846BCE"/>
    <w:rsid w:val="1898684C"/>
    <w:rsid w:val="189C6995"/>
    <w:rsid w:val="18A00A98"/>
    <w:rsid w:val="18A77AAB"/>
    <w:rsid w:val="18B474D4"/>
    <w:rsid w:val="18C8189D"/>
    <w:rsid w:val="18D525CE"/>
    <w:rsid w:val="18F208F9"/>
    <w:rsid w:val="190F5ED2"/>
    <w:rsid w:val="1911552E"/>
    <w:rsid w:val="191E21DF"/>
    <w:rsid w:val="1925322E"/>
    <w:rsid w:val="194458C1"/>
    <w:rsid w:val="19580EE7"/>
    <w:rsid w:val="196E38DC"/>
    <w:rsid w:val="19736329"/>
    <w:rsid w:val="19752EBA"/>
    <w:rsid w:val="199731DA"/>
    <w:rsid w:val="19B65558"/>
    <w:rsid w:val="1A2A7BE3"/>
    <w:rsid w:val="1A2B48B3"/>
    <w:rsid w:val="1A6A6013"/>
    <w:rsid w:val="1A830BF3"/>
    <w:rsid w:val="1A9868CA"/>
    <w:rsid w:val="1A9B3985"/>
    <w:rsid w:val="1A9C097B"/>
    <w:rsid w:val="1AA062FB"/>
    <w:rsid w:val="1AB47ED9"/>
    <w:rsid w:val="1AC667B2"/>
    <w:rsid w:val="1AC92AA7"/>
    <w:rsid w:val="1ADF6F62"/>
    <w:rsid w:val="1AF77DDC"/>
    <w:rsid w:val="1B311520"/>
    <w:rsid w:val="1B3E04DE"/>
    <w:rsid w:val="1B460102"/>
    <w:rsid w:val="1B7A69AA"/>
    <w:rsid w:val="1B9077B3"/>
    <w:rsid w:val="1BBA78EA"/>
    <w:rsid w:val="1BC60B59"/>
    <w:rsid w:val="1BC911A6"/>
    <w:rsid w:val="1BFB6977"/>
    <w:rsid w:val="1C130013"/>
    <w:rsid w:val="1C132001"/>
    <w:rsid w:val="1C140D47"/>
    <w:rsid w:val="1C24218B"/>
    <w:rsid w:val="1C24730E"/>
    <w:rsid w:val="1C5E5D6F"/>
    <w:rsid w:val="1CBC734A"/>
    <w:rsid w:val="1CC27414"/>
    <w:rsid w:val="1CC759CC"/>
    <w:rsid w:val="1CCB1EE7"/>
    <w:rsid w:val="1CDA2BE5"/>
    <w:rsid w:val="1CF701AD"/>
    <w:rsid w:val="1D07683A"/>
    <w:rsid w:val="1D0B2B63"/>
    <w:rsid w:val="1D101ECE"/>
    <w:rsid w:val="1D124761"/>
    <w:rsid w:val="1D2B23E0"/>
    <w:rsid w:val="1D3B4FE4"/>
    <w:rsid w:val="1D3B635C"/>
    <w:rsid w:val="1D5B06B2"/>
    <w:rsid w:val="1D644A46"/>
    <w:rsid w:val="1D763C8C"/>
    <w:rsid w:val="1D8B3A9A"/>
    <w:rsid w:val="1D914315"/>
    <w:rsid w:val="1DA427FD"/>
    <w:rsid w:val="1DAB513B"/>
    <w:rsid w:val="1DB04EBC"/>
    <w:rsid w:val="1DC45175"/>
    <w:rsid w:val="1DCB6087"/>
    <w:rsid w:val="1DD71F1A"/>
    <w:rsid w:val="1DF43C4A"/>
    <w:rsid w:val="1DF61478"/>
    <w:rsid w:val="1DF93E45"/>
    <w:rsid w:val="1DFA2926"/>
    <w:rsid w:val="1E1704E9"/>
    <w:rsid w:val="1E2E010D"/>
    <w:rsid w:val="1E2F62FA"/>
    <w:rsid w:val="1E4568DA"/>
    <w:rsid w:val="1E46641B"/>
    <w:rsid w:val="1E613AD8"/>
    <w:rsid w:val="1E863474"/>
    <w:rsid w:val="1E8B1E37"/>
    <w:rsid w:val="1E9E558F"/>
    <w:rsid w:val="1EA30800"/>
    <w:rsid w:val="1EBD1CF8"/>
    <w:rsid w:val="1EE46C88"/>
    <w:rsid w:val="1EF77988"/>
    <w:rsid w:val="1EFD5FA2"/>
    <w:rsid w:val="1F02678A"/>
    <w:rsid w:val="1F070162"/>
    <w:rsid w:val="1F083B20"/>
    <w:rsid w:val="1F1346A6"/>
    <w:rsid w:val="1F412E4E"/>
    <w:rsid w:val="1F5B127F"/>
    <w:rsid w:val="1F785C65"/>
    <w:rsid w:val="1F786CFA"/>
    <w:rsid w:val="1F821994"/>
    <w:rsid w:val="1F8E1625"/>
    <w:rsid w:val="1FAA316A"/>
    <w:rsid w:val="1FB819C1"/>
    <w:rsid w:val="1FC103D6"/>
    <w:rsid w:val="1FF346EA"/>
    <w:rsid w:val="203A5BCA"/>
    <w:rsid w:val="203B6F51"/>
    <w:rsid w:val="204B74A0"/>
    <w:rsid w:val="20B3768E"/>
    <w:rsid w:val="20BD23BD"/>
    <w:rsid w:val="20C53AC3"/>
    <w:rsid w:val="20C553E3"/>
    <w:rsid w:val="20EC60D8"/>
    <w:rsid w:val="20ED14C3"/>
    <w:rsid w:val="2112540F"/>
    <w:rsid w:val="211512ED"/>
    <w:rsid w:val="2133663A"/>
    <w:rsid w:val="214C5CD3"/>
    <w:rsid w:val="21650666"/>
    <w:rsid w:val="218B79DB"/>
    <w:rsid w:val="219314E5"/>
    <w:rsid w:val="21D1458D"/>
    <w:rsid w:val="21DD320F"/>
    <w:rsid w:val="21F14C27"/>
    <w:rsid w:val="220E7349"/>
    <w:rsid w:val="22256C96"/>
    <w:rsid w:val="22375F76"/>
    <w:rsid w:val="22380724"/>
    <w:rsid w:val="223B0B63"/>
    <w:rsid w:val="223F7E47"/>
    <w:rsid w:val="225208F6"/>
    <w:rsid w:val="225F069D"/>
    <w:rsid w:val="22837126"/>
    <w:rsid w:val="22920CCC"/>
    <w:rsid w:val="22A72298"/>
    <w:rsid w:val="22AB465A"/>
    <w:rsid w:val="22C11E30"/>
    <w:rsid w:val="22DF4563"/>
    <w:rsid w:val="22DF6F87"/>
    <w:rsid w:val="237762C3"/>
    <w:rsid w:val="23927D53"/>
    <w:rsid w:val="239B5543"/>
    <w:rsid w:val="23B77BBE"/>
    <w:rsid w:val="23C01751"/>
    <w:rsid w:val="23CB7FE6"/>
    <w:rsid w:val="23CD417D"/>
    <w:rsid w:val="23DB2B69"/>
    <w:rsid w:val="23DE7132"/>
    <w:rsid w:val="23EE1451"/>
    <w:rsid w:val="23FB562D"/>
    <w:rsid w:val="23FF2C92"/>
    <w:rsid w:val="24035534"/>
    <w:rsid w:val="240C1D0C"/>
    <w:rsid w:val="2442257E"/>
    <w:rsid w:val="244F2DAE"/>
    <w:rsid w:val="24962CD8"/>
    <w:rsid w:val="24EF040B"/>
    <w:rsid w:val="24F7553C"/>
    <w:rsid w:val="2508299A"/>
    <w:rsid w:val="25091F15"/>
    <w:rsid w:val="25351DE1"/>
    <w:rsid w:val="25451C0C"/>
    <w:rsid w:val="25695D35"/>
    <w:rsid w:val="256F25CE"/>
    <w:rsid w:val="259F63C5"/>
    <w:rsid w:val="25B4663D"/>
    <w:rsid w:val="25E053F2"/>
    <w:rsid w:val="25FB027F"/>
    <w:rsid w:val="26283E23"/>
    <w:rsid w:val="262C16ED"/>
    <w:rsid w:val="262C29FE"/>
    <w:rsid w:val="26481D22"/>
    <w:rsid w:val="26495345"/>
    <w:rsid w:val="265D376D"/>
    <w:rsid w:val="26624695"/>
    <w:rsid w:val="267462E4"/>
    <w:rsid w:val="268E331A"/>
    <w:rsid w:val="26943D4E"/>
    <w:rsid w:val="26CB5506"/>
    <w:rsid w:val="26CC3912"/>
    <w:rsid w:val="26E3346B"/>
    <w:rsid w:val="26EE7419"/>
    <w:rsid w:val="27006E06"/>
    <w:rsid w:val="27065836"/>
    <w:rsid w:val="27222E1D"/>
    <w:rsid w:val="273C12F4"/>
    <w:rsid w:val="27765D67"/>
    <w:rsid w:val="27A4029F"/>
    <w:rsid w:val="27AF69BF"/>
    <w:rsid w:val="27C54FDF"/>
    <w:rsid w:val="27D36D17"/>
    <w:rsid w:val="27D476D4"/>
    <w:rsid w:val="27E60531"/>
    <w:rsid w:val="27E64B00"/>
    <w:rsid w:val="27F20627"/>
    <w:rsid w:val="27FC1992"/>
    <w:rsid w:val="280503DB"/>
    <w:rsid w:val="282C0FDF"/>
    <w:rsid w:val="28377F85"/>
    <w:rsid w:val="28421F14"/>
    <w:rsid w:val="2843159A"/>
    <w:rsid w:val="287E1043"/>
    <w:rsid w:val="287E3ADF"/>
    <w:rsid w:val="288F0E16"/>
    <w:rsid w:val="289223BC"/>
    <w:rsid w:val="28AD4842"/>
    <w:rsid w:val="28AF376A"/>
    <w:rsid w:val="28B50A69"/>
    <w:rsid w:val="28D543BA"/>
    <w:rsid w:val="28D7298B"/>
    <w:rsid w:val="28E162BF"/>
    <w:rsid w:val="28E22BBA"/>
    <w:rsid w:val="28E80BFF"/>
    <w:rsid w:val="290C4CF6"/>
    <w:rsid w:val="297406C3"/>
    <w:rsid w:val="297D07BC"/>
    <w:rsid w:val="298A0940"/>
    <w:rsid w:val="2993705A"/>
    <w:rsid w:val="299D12FF"/>
    <w:rsid w:val="29BF31C3"/>
    <w:rsid w:val="29C64489"/>
    <w:rsid w:val="29FE795C"/>
    <w:rsid w:val="2A015E9A"/>
    <w:rsid w:val="2A1737EE"/>
    <w:rsid w:val="2A3B3BF1"/>
    <w:rsid w:val="2A550612"/>
    <w:rsid w:val="2A6347EC"/>
    <w:rsid w:val="2A642DB3"/>
    <w:rsid w:val="2A7E61A0"/>
    <w:rsid w:val="2A931E3D"/>
    <w:rsid w:val="2AC833E3"/>
    <w:rsid w:val="2ADB0FD1"/>
    <w:rsid w:val="2AE70F09"/>
    <w:rsid w:val="2B026F36"/>
    <w:rsid w:val="2B145834"/>
    <w:rsid w:val="2B266D8E"/>
    <w:rsid w:val="2B426669"/>
    <w:rsid w:val="2B463F8A"/>
    <w:rsid w:val="2B4A72F4"/>
    <w:rsid w:val="2B4E4022"/>
    <w:rsid w:val="2B6D453B"/>
    <w:rsid w:val="2B743B0D"/>
    <w:rsid w:val="2BB169EA"/>
    <w:rsid w:val="2BDC75CB"/>
    <w:rsid w:val="2BFB370E"/>
    <w:rsid w:val="2BFD4392"/>
    <w:rsid w:val="2C085918"/>
    <w:rsid w:val="2C0B1A96"/>
    <w:rsid w:val="2C216D56"/>
    <w:rsid w:val="2C34115B"/>
    <w:rsid w:val="2C4528AF"/>
    <w:rsid w:val="2C4E48DC"/>
    <w:rsid w:val="2C634E3C"/>
    <w:rsid w:val="2C6A744E"/>
    <w:rsid w:val="2C846DE7"/>
    <w:rsid w:val="2C9D37FF"/>
    <w:rsid w:val="2CA14EF5"/>
    <w:rsid w:val="2CAB34B6"/>
    <w:rsid w:val="2CB17218"/>
    <w:rsid w:val="2CB57A06"/>
    <w:rsid w:val="2CBB2BC7"/>
    <w:rsid w:val="2CC378AF"/>
    <w:rsid w:val="2CCE7527"/>
    <w:rsid w:val="2CD7263D"/>
    <w:rsid w:val="2CE80BB6"/>
    <w:rsid w:val="2CE84DB6"/>
    <w:rsid w:val="2CEF4DFD"/>
    <w:rsid w:val="2D03003E"/>
    <w:rsid w:val="2D1B36D6"/>
    <w:rsid w:val="2D357119"/>
    <w:rsid w:val="2D48543D"/>
    <w:rsid w:val="2D4C5010"/>
    <w:rsid w:val="2D6948D4"/>
    <w:rsid w:val="2D7545E8"/>
    <w:rsid w:val="2D7A10CA"/>
    <w:rsid w:val="2D7C14E1"/>
    <w:rsid w:val="2D861F2C"/>
    <w:rsid w:val="2D9C37B4"/>
    <w:rsid w:val="2DA002C6"/>
    <w:rsid w:val="2DE2002C"/>
    <w:rsid w:val="2DF30373"/>
    <w:rsid w:val="2DF91E49"/>
    <w:rsid w:val="2E0E30E4"/>
    <w:rsid w:val="2E16340B"/>
    <w:rsid w:val="2E3451A8"/>
    <w:rsid w:val="2E3A40CC"/>
    <w:rsid w:val="2E6D64CE"/>
    <w:rsid w:val="2E825C9D"/>
    <w:rsid w:val="2E8E6172"/>
    <w:rsid w:val="2EC73814"/>
    <w:rsid w:val="2ED61E44"/>
    <w:rsid w:val="2F040B4C"/>
    <w:rsid w:val="2F341B9F"/>
    <w:rsid w:val="2F3F073C"/>
    <w:rsid w:val="2F4365DA"/>
    <w:rsid w:val="2F454848"/>
    <w:rsid w:val="2FA01DCB"/>
    <w:rsid w:val="2FA71864"/>
    <w:rsid w:val="2FB44431"/>
    <w:rsid w:val="2FB53699"/>
    <w:rsid w:val="2FC52DED"/>
    <w:rsid w:val="2FC9068E"/>
    <w:rsid w:val="2FF0392C"/>
    <w:rsid w:val="300C4D8B"/>
    <w:rsid w:val="30452B19"/>
    <w:rsid w:val="304E4EF3"/>
    <w:rsid w:val="304F0A27"/>
    <w:rsid w:val="3055227C"/>
    <w:rsid w:val="3063012D"/>
    <w:rsid w:val="307331F7"/>
    <w:rsid w:val="30743363"/>
    <w:rsid w:val="30776BFA"/>
    <w:rsid w:val="307E1A02"/>
    <w:rsid w:val="307F1D3A"/>
    <w:rsid w:val="30A62271"/>
    <w:rsid w:val="30E43F9C"/>
    <w:rsid w:val="30E94041"/>
    <w:rsid w:val="30EB7398"/>
    <w:rsid w:val="31125B57"/>
    <w:rsid w:val="312C423F"/>
    <w:rsid w:val="31540513"/>
    <w:rsid w:val="3157377E"/>
    <w:rsid w:val="315849E8"/>
    <w:rsid w:val="31627A47"/>
    <w:rsid w:val="316469AF"/>
    <w:rsid w:val="3167121F"/>
    <w:rsid w:val="316A59C0"/>
    <w:rsid w:val="31950E77"/>
    <w:rsid w:val="31AE19A1"/>
    <w:rsid w:val="31CE4B4F"/>
    <w:rsid w:val="31FC7E99"/>
    <w:rsid w:val="32020508"/>
    <w:rsid w:val="32137820"/>
    <w:rsid w:val="32202357"/>
    <w:rsid w:val="3243793D"/>
    <w:rsid w:val="3268735B"/>
    <w:rsid w:val="3281549D"/>
    <w:rsid w:val="329C5DC5"/>
    <w:rsid w:val="32BC31A2"/>
    <w:rsid w:val="32DF36BC"/>
    <w:rsid w:val="32EB2BD2"/>
    <w:rsid w:val="32EE5DD6"/>
    <w:rsid w:val="33321A0D"/>
    <w:rsid w:val="335F4032"/>
    <w:rsid w:val="3385262D"/>
    <w:rsid w:val="338C3EB8"/>
    <w:rsid w:val="33963D18"/>
    <w:rsid w:val="33A852BE"/>
    <w:rsid w:val="33AE6E48"/>
    <w:rsid w:val="33C06ED0"/>
    <w:rsid w:val="33D76B96"/>
    <w:rsid w:val="3404102F"/>
    <w:rsid w:val="340A7539"/>
    <w:rsid w:val="340F5ACE"/>
    <w:rsid w:val="342B468B"/>
    <w:rsid w:val="3435043C"/>
    <w:rsid w:val="34A97E90"/>
    <w:rsid w:val="34AD438B"/>
    <w:rsid w:val="34B14662"/>
    <w:rsid w:val="34B52ED5"/>
    <w:rsid w:val="34C16E0F"/>
    <w:rsid w:val="35255CA0"/>
    <w:rsid w:val="3526139F"/>
    <w:rsid w:val="352878F5"/>
    <w:rsid w:val="353122CA"/>
    <w:rsid w:val="35335229"/>
    <w:rsid w:val="353A0C03"/>
    <w:rsid w:val="354026D4"/>
    <w:rsid w:val="35404EAB"/>
    <w:rsid w:val="354279C0"/>
    <w:rsid w:val="355E705F"/>
    <w:rsid w:val="35824E64"/>
    <w:rsid w:val="35A3539E"/>
    <w:rsid w:val="35AF77EA"/>
    <w:rsid w:val="35F214DC"/>
    <w:rsid w:val="35F54780"/>
    <w:rsid w:val="360D3BE5"/>
    <w:rsid w:val="362357E4"/>
    <w:rsid w:val="3624218F"/>
    <w:rsid w:val="362B1983"/>
    <w:rsid w:val="363508BF"/>
    <w:rsid w:val="36493A8F"/>
    <w:rsid w:val="36684EE9"/>
    <w:rsid w:val="368B6040"/>
    <w:rsid w:val="368C172C"/>
    <w:rsid w:val="36B72409"/>
    <w:rsid w:val="36E270AB"/>
    <w:rsid w:val="36EF656B"/>
    <w:rsid w:val="36F5781D"/>
    <w:rsid w:val="372411E1"/>
    <w:rsid w:val="372B50EF"/>
    <w:rsid w:val="373466DF"/>
    <w:rsid w:val="3738797E"/>
    <w:rsid w:val="37615B53"/>
    <w:rsid w:val="377973F9"/>
    <w:rsid w:val="37826897"/>
    <w:rsid w:val="37893B92"/>
    <w:rsid w:val="378A6E1C"/>
    <w:rsid w:val="379B1F33"/>
    <w:rsid w:val="37A46983"/>
    <w:rsid w:val="37BE1FD2"/>
    <w:rsid w:val="37D42A55"/>
    <w:rsid w:val="37E37BD3"/>
    <w:rsid w:val="37FE6738"/>
    <w:rsid w:val="382A4B1B"/>
    <w:rsid w:val="382A733B"/>
    <w:rsid w:val="38401E16"/>
    <w:rsid w:val="3847182E"/>
    <w:rsid w:val="38517A21"/>
    <w:rsid w:val="386E141C"/>
    <w:rsid w:val="386E2762"/>
    <w:rsid w:val="38850140"/>
    <w:rsid w:val="388E6419"/>
    <w:rsid w:val="3899735E"/>
    <w:rsid w:val="38AD2662"/>
    <w:rsid w:val="38C54FE8"/>
    <w:rsid w:val="38D00BC5"/>
    <w:rsid w:val="38E625D6"/>
    <w:rsid w:val="39055E33"/>
    <w:rsid w:val="390C53FA"/>
    <w:rsid w:val="391D566B"/>
    <w:rsid w:val="393353BA"/>
    <w:rsid w:val="393741C8"/>
    <w:rsid w:val="393D6950"/>
    <w:rsid w:val="398515AC"/>
    <w:rsid w:val="39C372EB"/>
    <w:rsid w:val="39E4569C"/>
    <w:rsid w:val="39E72DAB"/>
    <w:rsid w:val="39EA7398"/>
    <w:rsid w:val="39F87629"/>
    <w:rsid w:val="3A1C637F"/>
    <w:rsid w:val="3A21157B"/>
    <w:rsid w:val="3A234799"/>
    <w:rsid w:val="3A3D5FF6"/>
    <w:rsid w:val="3A404C18"/>
    <w:rsid w:val="3A416A3A"/>
    <w:rsid w:val="3A453747"/>
    <w:rsid w:val="3A7A1F0B"/>
    <w:rsid w:val="3A934442"/>
    <w:rsid w:val="3A9A0770"/>
    <w:rsid w:val="3AB67EB7"/>
    <w:rsid w:val="3AC66FBF"/>
    <w:rsid w:val="3AD94647"/>
    <w:rsid w:val="3B1E1BD7"/>
    <w:rsid w:val="3B21795B"/>
    <w:rsid w:val="3B313ED5"/>
    <w:rsid w:val="3B63414B"/>
    <w:rsid w:val="3B81796D"/>
    <w:rsid w:val="3B933BFD"/>
    <w:rsid w:val="3B977775"/>
    <w:rsid w:val="3BAF02AA"/>
    <w:rsid w:val="3BB84878"/>
    <w:rsid w:val="3BD56EC7"/>
    <w:rsid w:val="3C1208D7"/>
    <w:rsid w:val="3C420EFA"/>
    <w:rsid w:val="3C4C3C26"/>
    <w:rsid w:val="3C62558B"/>
    <w:rsid w:val="3C6E7DA4"/>
    <w:rsid w:val="3C727EA4"/>
    <w:rsid w:val="3C8A7607"/>
    <w:rsid w:val="3C9C52B6"/>
    <w:rsid w:val="3CA84B23"/>
    <w:rsid w:val="3CC03E7F"/>
    <w:rsid w:val="3CCC6427"/>
    <w:rsid w:val="3CD87064"/>
    <w:rsid w:val="3CE9339E"/>
    <w:rsid w:val="3CEF680C"/>
    <w:rsid w:val="3CF0289C"/>
    <w:rsid w:val="3D0E4C7C"/>
    <w:rsid w:val="3D1F4459"/>
    <w:rsid w:val="3D23321D"/>
    <w:rsid w:val="3D2F69F0"/>
    <w:rsid w:val="3D3E12D2"/>
    <w:rsid w:val="3D3F0C7C"/>
    <w:rsid w:val="3D4420AF"/>
    <w:rsid w:val="3D524273"/>
    <w:rsid w:val="3D5F0DF2"/>
    <w:rsid w:val="3D797756"/>
    <w:rsid w:val="3D81642D"/>
    <w:rsid w:val="3D99692A"/>
    <w:rsid w:val="3DB20DB4"/>
    <w:rsid w:val="3DC447C1"/>
    <w:rsid w:val="3DC56966"/>
    <w:rsid w:val="3DE34F49"/>
    <w:rsid w:val="3DE432CD"/>
    <w:rsid w:val="3E250A08"/>
    <w:rsid w:val="3E4536B7"/>
    <w:rsid w:val="3E595EF7"/>
    <w:rsid w:val="3E5C0CEC"/>
    <w:rsid w:val="3E900E18"/>
    <w:rsid w:val="3E927B99"/>
    <w:rsid w:val="3E962AF9"/>
    <w:rsid w:val="3EB00875"/>
    <w:rsid w:val="3EBE19A3"/>
    <w:rsid w:val="3EC24204"/>
    <w:rsid w:val="3EC50646"/>
    <w:rsid w:val="3EC93911"/>
    <w:rsid w:val="3ED50B8A"/>
    <w:rsid w:val="3EFE6EB1"/>
    <w:rsid w:val="3F0B3308"/>
    <w:rsid w:val="3F263E62"/>
    <w:rsid w:val="3F343330"/>
    <w:rsid w:val="3F3D1798"/>
    <w:rsid w:val="3F40095F"/>
    <w:rsid w:val="3F473D9F"/>
    <w:rsid w:val="3F8A59D4"/>
    <w:rsid w:val="3FE96BD2"/>
    <w:rsid w:val="3FEA2CE5"/>
    <w:rsid w:val="404F03B8"/>
    <w:rsid w:val="405E3F03"/>
    <w:rsid w:val="40646CC0"/>
    <w:rsid w:val="40667021"/>
    <w:rsid w:val="407B2C98"/>
    <w:rsid w:val="4082384D"/>
    <w:rsid w:val="40A46099"/>
    <w:rsid w:val="40B45D71"/>
    <w:rsid w:val="40C3488B"/>
    <w:rsid w:val="40C623A2"/>
    <w:rsid w:val="40E40B1F"/>
    <w:rsid w:val="41026B0D"/>
    <w:rsid w:val="41031438"/>
    <w:rsid w:val="41107266"/>
    <w:rsid w:val="41332CE6"/>
    <w:rsid w:val="41345E9F"/>
    <w:rsid w:val="4141353E"/>
    <w:rsid w:val="414411A9"/>
    <w:rsid w:val="414A5382"/>
    <w:rsid w:val="41504545"/>
    <w:rsid w:val="41AF73DA"/>
    <w:rsid w:val="41C04B38"/>
    <w:rsid w:val="41C856D1"/>
    <w:rsid w:val="41E26521"/>
    <w:rsid w:val="41E8195C"/>
    <w:rsid w:val="41F94491"/>
    <w:rsid w:val="41FA5863"/>
    <w:rsid w:val="42062CC6"/>
    <w:rsid w:val="421F0A48"/>
    <w:rsid w:val="421F5F22"/>
    <w:rsid w:val="424079B9"/>
    <w:rsid w:val="42576C7B"/>
    <w:rsid w:val="426F15DF"/>
    <w:rsid w:val="42737066"/>
    <w:rsid w:val="42816B85"/>
    <w:rsid w:val="428967A5"/>
    <w:rsid w:val="42A35F37"/>
    <w:rsid w:val="42A91B93"/>
    <w:rsid w:val="42AE004D"/>
    <w:rsid w:val="42DB74CE"/>
    <w:rsid w:val="42DD6668"/>
    <w:rsid w:val="42E3389C"/>
    <w:rsid w:val="42EE69E2"/>
    <w:rsid w:val="42FD483D"/>
    <w:rsid w:val="4326478E"/>
    <w:rsid w:val="433318DA"/>
    <w:rsid w:val="434300AD"/>
    <w:rsid w:val="43511355"/>
    <w:rsid w:val="43555D25"/>
    <w:rsid w:val="436A35B2"/>
    <w:rsid w:val="438D31AE"/>
    <w:rsid w:val="439D0D5C"/>
    <w:rsid w:val="43AB375B"/>
    <w:rsid w:val="44371BBF"/>
    <w:rsid w:val="445322AA"/>
    <w:rsid w:val="44614455"/>
    <w:rsid w:val="447B040C"/>
    <w:rsid w:val="448A7AD8"/>
    <w:rsid w:val="44A12583"/>
    <w:rsid w:val="44CA10F2"/>
    <w:rsid w:val="44CA477B"/>
    <w:rsid w:val="44D64F75"/>
    <w:rsid w:val="44D9135E"/>
    <w:rsid w:val="44DD770B"/>
    <w:rsid w:val="450A46E2"/>
    <w:rsid w:val="450F2609"/>
    <w:rsid w:val="45234EF7"/>
    <w:rsid w:val="453B076D"/>
    <w:rsid w:val="45473076"/>
    <w:rsid w:val="455278BF"/>
    <w:rsid w:val="45595E61"/>
    <w:rsid w:val="45643A1E"/>
    <w:rsid w:val="45686550"/>
    <w:rsid w:val="456F5C70"/>
    <w:rsid w:val="457977F8"/>
    <w:rsid w:val="459273F1"/>
    <w:rsid w:val="459A0CA9"/>
    <w:rsid w:val="459F7AE8"/>
    <w:rsid w:val="45A31B7B"/>
    <w:rsid w:val="45E66C4F"/>
    <w:rsid w:val="45E85D3E"/>
    <w:rsid w:val="45EA1027"/>
    <w:rsid w:val="45F07663"/>
    <w:rsid w:val="45F349E8"/>
    <w:rsid w:val="45F50797"/>
    <w:rsid w:val="45F759EA"/>
    <w:rsid w:val="46136B6C"/>
    <w:rsid w:val="46152156"/>
    <w:rsid w:val="46181B66"/>
    <w:rsid w:val="461A46F5"/>
    <w:rsid w:val="4623191D"/>
    <w:rsid w:val="463F4766"/>
    <w:rsid w:val="46616A9F"/>
    <w:rsid w:val="467913FA"/>
    <w:rsid w:val="467D0B0D"/>
    <w:rsid w:val="46821CE7"/>
    <w:rsid w:val="46A60303"/>
    <w:rsid w:val="46E5721B"/>
    <w:rsid w:val="46F3286E"/>
    <w:rsid w:val="46F661CA"/>
    <w:rsid w:val="47020BA9"/>
    <w:rsid w:val="470D3F2E"/>
    <w:rsid w:val="470E3CCF"/>
    <w:rsid w:val="472702AA"/>
    <w:rsid w:val="47302C41"/>
    <w:rsid w:val="477378FC"/>
    <w:rsid w:val="4779709A"/>
    <w:rsid w:val="477A51CE"/>
    <w:rsid w:val="47C60019"/>
    <w:rsid w:val="47D769FB"/>
    <w:rsid w:val="47E376A7"/>
    <w:rsid w:val="47F87475"/>
    <w:rsid w:val="48203C4D"/>
    <w:rsid w:val="48232EDB"/>
    <w:rsid w:val="482C255E"/>
    <w:rsid w:val="48712BF6"/>
    <w:rsid w:val="487871ED"/>
    <w:rsid w:val="48820F6B"/>
    <w:rsid w:val="491A654C"/>
    <w:rsid w:val="493269B2"/>
    <w:rsid w:val="49476E2D"/>
    <w:rsid w:val="494911E1"/>
    <w:rsid w:val="49792572"/>
    <w:rsid w:val="497B49AD"/>
    <w:rsid w:val="4982506E"/>
    <w:rsid w:val="49A21224"/>
    <w:rsid w:val="4A1469C4"/>
    <w:rsid w:val="4A3E5A2E"/>
    <w:rsid w:val="4A4A4A57"/>
    <w:rsid w:val="4A4C63A4"/>
    <w:rsid w:val="4A561BB4"/>
    <w:rsid w:val="4A6774F6"/>
    <w:rsid w:val="4A8518AB"/>
    <w:rsid w:val="4A930DC5"/>
    <w:rsid w:val="4AA60AEF"/>
    <w:rsid w:val="4ACF3367"/>
    <w:rsid w:val="4AD665B7"/>
    <w:rsid w:val="4ADD3085"/>
    <w:rsid w:val="4AF23C52"/>
    <w:rsid w:val="4B0D35EF"/>
    <w:rsid w:val="4B347919"/>
    <w:rsid w:val="4B380D73"/>
    <w:rsid w:val="4B3D2D9C"/>
    <w:rsid w:val="4B4342C9"/>
    <w:rsid w:val="4B522DF4"/>
    <w:rsid w:val="4B5B3F7E"/>
    <w:rsid w:val="4B813F52"/>
    <w:rsid w:val="4B88349E"/>
    <w:rsid w:val="4B973048"/>
    <w:rsid w:val="4BA01802"/>
    <w:rsid w:val="4BA11BE9"/>
    <w:rsid w:val="4BB13398"/>
    <w:rsid w:val="4BB25F01"/>
    <w:rsid w:val="4BBA4F43"/>
    <w:rsid w:val="4BBE7211"/>
    <w:rsid w:val="4BF4194F"/>
    <w:rsid w:val="4BF762F8"/>
    <w:rsid w:val="4BFC62BC"/>
    <w:rsid w:val="4C11748F"/>
    <w:rsid w:val="4C32150F"/>
    <w:rsid w:val="4C39433E"/>
    <w:rsid w:val="4C43539A"/>
    <w:rsid w:val="4C4E496C"/>
    <w:rsid w:val="4C4F132F"/>
    <w:rsid w:val="4C5053E8"/>
    <w:rsid w:val="4C515520"/>
    <w:rsid w:val="4C996976"/>
    <w:rsid w:val="4CBF19E2"/>
    <w:rsid w:val="4CBF78E3"/>
    <w:rsid w:val="4CDD2C11"/>
    <w:rsid w:val="4CE24EEF"/>
    <w:rsid w:val="4CF03F2E"/>
    <w:rsid w:val="4CFF282C"/>
    <w:rsid w:val="4D0A1236"/>
    <w:rsid w:val="4D21717C"/>
    <w:rsid w:val="4D2222CD"/>
    <w:rsid w:val="4D2C48B6"/>
    <w:rsid w:val="4D2E2850"/>
    <w:rsid w:val="4D330FE1"/>
    <w:rsid w:val="4D66186C"/>
    <w:rsid w:val="4D783AFE"/>
    <w:rsid w:val="4DAE5C28"/>
    <w:rsid w:val="4DB92D35"/>
    <w:rsid w:val="4DE03680"/>
    <w:rsid w:val="4DE36711"/>
    <w:rsid w:val="4DF46F49"/>
    <w:rsid w:val="4DF56787"/>
    <w:rsid w:val="4DF72646"/>
    <w:rsid w:val="4E0D4E80"/>
    <w:rsid w:val="4E111AD2"/>
    <w:rsid w:val="4E514752"/>
    <w:rsid w:val="4E54499A"/>
    <w:rsid w:val="4E7B6850"/>
    <w:rsid w:val="4E7C4875"/>
    <w:rsid w:val="4E817703"/>
    <w:rsid w:val="4E9A3FDB"/>
    <w:rsid w:val="4EA7611D"/>
    <w:rsid w:val="4EB53AB0"/>
    <w:rsid w:val="4EBE0380"/>
    <w:rsid w:val="4EC62ECA"/>
    <w:rsid w:val="4EE67186"/>
    <w:rsid w:val="4F005226"/>
    <w:rsid w:val="4F047039"/>
    <w:rsid w:val="4F0C2C37"/>
    <w:rsid w:val="4F1B6840"/>
    <w:rsid w:val="4F3B6504"/>
    <w:rsid w:val="4F466B7E"/>
    <w:rsid w:val="4F6937DA"/>
    <w:rsid w:val="4F6959B4"/>
    <w:rsid w:val="4F776394"/>
    <w:rsid w:val="4F8139D8"/>
    <w:rsid w:val="4FB43D4A"/>
    <w:rsid w:val="4FB56C9B"/>
    <w:rsid w:val="4FB7407E"/>
    <w:rsid w:val="4FCE7585"/>
    <w:rsid w:val="4FD24A52"/>
    <w:rsid w:val="4FE92C66"/>
    <w:rsid w:val="50197924"/>
    <w:rsid w:val="501B2713"/>
    <w:rsid w:val="50282F4A"/>
    <w:rsid w:val="503D10EE"/>
    <w:rsid w:val="50590CD9"/>
    <w:rsid w:val="508210F4"/>
    <w:rsid w:val="50936579"/>
    <w:rsid w:val="509F3369"/>
    <w:rsid w:val="50B46A34"/>
    <w:rsid w:val="50BF47F6"/>
    <w:rsid w:val="50C64897"/>
    <w:rsid w:val="50DB2963"/>
    <w:rsid w:val="51101B1C"/>
    <w:rsid w:val="511F1D68"/>
    <w:rsid w:val="512C3A9B"/>
    <w:rsid w:val="51305D13"/>
    <w:rsid w:val="5170589C"/>
    <w:rsid w:val="51885AD6"/>
    <w:rsid w:val="51960FE8"/>
    <w:rsid w:val="51A4609E"/>
    <w:rsid w:val="51A95876"/>
    <w:rsid w:val="51B10990"/>
    <w:rsid w:val="51C670FC"/>
    <w:rsid w:val="51C82E43"/>
    <w:rsid w:val="51D77E99"/>
    <w:rsid w:val="51EF194D"/>
    <w:rsid w:val="51F872B9"/>
    <w:rsid w:val="521762DE"/>
    <w:rsid w:val="52193B83"/>
    <w:rsid w:val="522E5F23"/>
    <w:rsid w:val="52680BC7"/>
    <w:rsid w:val="52741C66"/>
    <w:rsid w:val="528D4600"/>
    <w:rsid w:val="529370BE"/>
    <w:rsid w:val="52A021F3"/>
    <w:rsid w:val="52CD45B8"/>
    <w:rsid w:val="52CE3FCA"/>
    <w:rsid w:val="52D44836"/>
    <w:rsid w:val="52D70A25"/>
    <w:rsid w:val="52D80CBE"/>
    <w:rsid w:val="52F64421"/>
    <w:rsid w:val="53032BE2"/>
    <w:rsid w:val="531B0132"/>
    <w:rsid w:val="531E2CAF"/>
    <w:rsid w:val="53265A5E"/>
    <w:rsid w:val="5347056A"/>
    <w:rsid w:val="534B03E3"/>
    <w:rsid w:val="534E149D"/>
    <w:rsid w:val="539879E2"/>
    <w:rsid w:val="53AF2B6C"/>
    <w:rsid w:val="53AF5438"/>
    <w:rsid w:val="53F50ED8"/>
    <w:rsid w:val="54050693"/>
    <w:rsid w:val="540F770E"/>
    <w:rsid w:val="541526CC"/>
    <w:rsid w:val="541E5F8C"/>
    <w:rsid w:val="542155EC"/>
    <w:rsid w:val="54300639"/>
    <w:rsid w:val="544435B9"/>
    <w:rsid w:val="545A7C69"/>
    <w:rsid w:val="54635F9F"/>
    <w:rsid w:val="54662668"/>
    <w:rsid w:val="546D12BC"/>
    <w:rsid w:val="547171EA"/>
    <w:rsid w:val="547332DC"/>
    <w:rsid w:val="54817DED"/>
    <w:rsid w:val="54841D55"/>
    <w:rsid w:val="54A9134D"/>
    <w:rsid w:val="54E136AF"/>
    <w:rsid w:val="54F05857"/>
    <w:rsid w:val="54FC4037"/>
    <w:rsid w:val="54FD58AC"/>
    <w:rsid w:val="55035B75"/>
    <w:rsid w:val="5522457F"/>
    <w:rsid w:val="5523670A"/>
    <w:rsid w:val="55665F05"/>
    <w:rsid w:val="556B6C68"/>
    <w:rsid w:val="557F43F0"/>
    <w:rsid w:val="559F293D"/>
    <w:rsid w:val="55E24127"/>
    <w:rsid w:val="5602422D"/>
    <w:rsid w:val="560F29F2"/>
    <w:rsid w:val="56156BB1"/>
    <w:rsid w:val="562308D2"/>
    <w:rsid w:val="565A30B4"/>
    <w:rsid w:val="56867543"/>
    <w:rsid w:val="56881FA1"/>
    <w:rsid w:val="56A62415"/>
    <w:rsid w:val="56C31747"/>
    <w:rsid w:val="56C71402"/>
    <w:rsid w:val="56D70F53"/>
    <w:rsid w:val="56DE6D22"/>
    <w:rsid w:val="570B4F5C"/>
    <w:rsid w:val="570F6933"/>
    <w:rsid w:val="57196456"/>
    <w:rsid w:val="574237BC"/>
    <w:rsid w:val="575949DD"/>
    <w:rsid w:val="576919D4"/>
    <w:rsid w:val="579D02F5"/>
    <w:rsid w:val="57B047C4"/>
    <w:rsid w:val="57CC1394"/>
    <w:rsid w:val="57EB5E2C"/>
    <w:rsid w:val="58026EF1"/>
    <w:rsid w:val="580D68CE"/>
    <w:rsid w:val="5815512D"/>
    <w:rsid w:val="58461BF2"/>
    <w:rsid w:val="584C1488"/>
    <w:rsid w:val="584E4D39"/>
    <w:rsid w:val="586D3EE4"/>
    <w:rsid w:val="58A05CE7"/>
    <w:rsid w:val="58A12DB5"/>
    <w:rsid w:val="58C20D68"/>
    <w:rsid w:val="58C270B2"/>
    <w:rsid w:val="58C501E8"/>
    <w:rsid w:val="58E47415"/>
    <w:rsid w:val="58EE1028"/>
    <w:rsid w:val="591F37FC"/>
    <w:rsid w:val="592334A1"/>
    <w:rsid w:val="593556F5"/>
    <w:rsid w:val="594A0872"/>
    <w:rsid w:val="595230E9"/>
    <w:rsid w:val="59703411"/>
    <w:rsid w:val="59733474"/>
    <w:rsid w:val="597F6F63"/>
    <w:rsid w:val="59C265F7"/>
    <w:rsid w:val="59D35DAC"/>
    <w:rsid w:val="59F15DFE"/>
    <w:rsid w:val="59F90D7F"/>
    <w:rsid w:val="5A2C74FC"/>
    <w:rsid w:val="5A3C0439"/>
    <w:rsid w:val="5A440FA3"/>
    <w:rsid w:val="5A4C3551"/>
    <w:rsid w:val="5A4E16CB"/>
    <w:rsid w:val="5A515CB6"/>
    <w:rsid w:val="5A5C470F"/>
    <w:rsid w:val="5A743CE2"/>
    <w:rsid w:val="5A7F6D64"/>
    <w:rsid w:val="5A8B12FD"/>
    <w:rsid w:val="5AAB19C9"/>
    <w:rsid w:val="5AAE6828"/>
    <w:rsid w:val="5AD30E4A"/>
    <w:rsid w:val="5AEE54E1"/>
    <w:rsid w:val="5B074866"/>
    <w:rsid w:val="5B0C3A87"/>
    <w:rsid w:val="5B344375"/>
    <w:rsid w:val="5B4518D4"/>
    <w:rsid w:val="5B55556B"/>
    <w:rsid w:val="5B7152AC"/>
    <w:rsid w:val="5B77290A"/>
    <w:rsid w:val="5B7A7C93"/>
    <w:rsid w:val="5B7D1008"/>
    <w:rsid w:val="5BB2202D"/>
    <w:rsid w:val="5BD91194"/>
    <w:rsid w:val="5BF57B07"/>
    <w:rsid w:val="5BFC5D6A"/>
    <w:rsid w:val="5C0E53CD"/>
    <w:rsid w:val="5C1303A0"/>
    <w:rsid w:val="5C2B6293"/>
    <w:rsid w:val="5C384F7C"/>
    <w:rsid w:val="5C3D04AD"/>
    <w:rsid w:val="5C46531C"/>
    <w:rsid w:val="5C55382E"/>
    <w:rsid w:val="5C557DB6"/>
    <w:rsid w:val="5C642914"/>
    <w:rsid w:val="5C664CE0"/>
    <w:rsid w:val="5C6B46CC"/>
    <w:rsid w:val="5C707E58"/>
    <w:rsid w:val="5C9406EE"/>
    <w:rsid w:val="5C9432A2"/>
    <w:rsid w:val="5C9528D6"/>
    <w:rsid w:val="5CB131C5"/>
    <w:rsid w:val="5CB1388B"/>
    <w:rsid w:val="5CF0593E"/>
    <w:rsid w:val="5D0922A7"/>
    <w:rsid w:val="5DAB7428"/>
    <w:rsid w:val="5DDE7B13"/>
    <w:rsid w:val="5E11104E"/>
    <w:rsid w:val="5E1B0A80"/>
    <w:rsid w:val="5E1C0966"/>
    <w:rsid w:val="5E216931"/>
    <w:rsid w:val="5E534E6B"/>
    <w:rsid w:val="5E7D4AA5"/>
    <w:rsid w:val="5EB06A58"/>
    <w:rsid w:val="5EB27400"/>
    <w:rsid w:val="5EB37826"/>
    <w:rsid w:val="5ED139B3"/>
    <w:rsid w:val="5EE02AE5"/>
    <w:rsid w:val="5EE627BB"/>
    <w:rsid w:val="5EF0186A"/>
    <w:rsid w:val="5F0361CE"/>
    <w:rsid w:val="5F0572D8"/>
    <w:rsid w:val="5F080AA7"/>
    <w:rsid w:val="5F414B22"/>
    <w:rsid w:val="5F4E5854"/>
    <w:rsid w:val="5F7563B8"/>
    <w:rsid w:val="5F846676"/>
    <w:rsid w:val="5FA46434"/>
    <w:rsid w:val="5FBD6238"/>
    <w:rsid w:val="5FC32A07"/>
    <w:rsid w:val="5FED47BD"/>
    <w:rsid w:val="60052E5D"/>
    <w:rsid w:val="600B3881"/>
    <w:rsid w:val="6032201A"/>
    <w:rsid w:val="604B0062"/>
    <w:rsid w:val="606F68D8"/>
    <w:rsid w:val="6077233F"/>
    <w:rsid w:val="608D1A70"/>
    <w:rsid w:val="6099288D"/>
    <w:rsid w:val="60B37CA2"/>
    <w:rsid w:val="60B620D8"/>
    <w:rsid w:val="60DF1267"/>
    <w:rsid w:val="60EA7066"/>
    <w:rsid w:val="610A189F"/>
    <w:rsid w:val="610F60D1"/>
    <w:rsid w:val="611563B7"/>
    <w:rsid w:val="615E4111"/>
    <w:rsid w:val="61600A1E"/>
    <w:rsid w:val="616F7194"/>
    <w:rsid w:val="617061EE"/>
    <w:rsid w:val="61960AAE"/>
    <w:rsid w:val="619E35F1"/>
    <w:rsid w:val="61BB5402"/>
    <w:rsid w:val="61F15FDA"/>
    <w:rsid w:val="62033520"/>
    <w:rsid w:val="62073BB8"/>
    <w:rsid w:val="62080708"/>
    <w:rsid w:val="620F3D73"/>
    <w:rsid w:val="620F6E2C"/>
    <w:rsid w:val="62283056"/>
    <w:rsid w:val="623C770F"/>
    <w:rsid w:val="623E2654"/>
    <w:rsid w:val="624E2572"/>
    <w:rsid w:val="625C48B0"/>
    <w:rsid w:val="627D14DD"/>
    <w:rsid w:val="62A808F6"/>
    <w:rsid w:val="62BF55C7"/>
    <w:rsid w:val="62D60BE5"/>
    <w:rsid w:val="62F85400"/>
    <w:rsid w:val="63036E92"/>
    <w:rsid w:val="630E761D"/>
    <w:rsid w:val="63122E28"/>
    <w:rsid w:val="631C159F"/>
    <w:rsid w:val="63270B7F"/>
    <w:rsid w:val="632A6A08"/>
    <w:rsid w:val="63386DE7"/>
    <w:rsid w:val="63450920"/>
    <w:rsid w:val="63826EF6"/>
    <w:rsid w:val="63995338"/>
    <w:rsid w:val="63AE1AE4"/>
    <w:rsid w:val="63BA1870"/>
    <w:rsid w:val="63CB5F98"/>
    <w:rsid w:val="63D362AF"/>
    <w:rsid w:val="63EA2C22"/>
    <w:rsid w:val="640E6449"/>
    <w:rsid w:val="641456E5"/>
    <w:rsid w:val="64185CC3"/>
    <w:rsid w:val="642764A1"/>
    <w:rsid w:val="64290F43"/>
    <w:rsid w:val="6430012A"/>
    <w:rsid w:val="64326FE5"/>
    <w:rsid w:val="644A7B2C"/>
    <w:rsid w:val="644C01FC"/>
    <w:rsid w:val="64577FAE"/>
    <w:rsid w:val="6470642F"/>
    <w:rsid w:val="647E019A"/>
    <w:rsid w:val="64D55C7A"/>
    <w:rsid w:val="64DF3B2C"/>
    <w:rsid w:val="64E337E1"/>
    <w:rsid w:val="651E06A3"/>
    <w:rsid w:val="65287C61"/>
    <w:rsid w:val="6547411E"/>
    <w:rsid w:val="65590C1F"/>
    <w:rsid w:val="65883684"/>
    <w:rsid w:val="65916A9D"/>
    <w:rsid w:val="659B02E5"/>
    <w:rsid w:val="65C219C3"/>
    <w:rsid w:val="660037FF"/>
    <w:rsid w:val="66022D71"/>
    <w:rsid w:val="66066EBC"/>
    <w:rsid w:val="66087EE1"/>
    <w:rsid w:val="660F6C68"/>
    <w:rsid w:val="66204D88"/>
    <w:rsid w:val="664924AE"/>
    <w:rsid w:val="665032F8"/>
    <w:rsid w:val="66507298"/>
    <w:rsid w:val="66545531"/>
    <w:rsid w:val="66734D54"/>
    <w:rsid w:val="669815A6"/>
    <w:rsid w:val="66D367B3"/>
    <w:rsid w:val="66DA4F4D"/>
    <w:rsid w:val="66DD423B"/>
    <w:rsid w:val="66EC4BF2"/>
    <w:rsid w:val="66F9175C"/>
    <w:rsid w:val="67020854"/>
    <w:rsid w:val="670842E5"/>
    <w:rsid w:val="6710187C"/>
    <w:rsid w:val="67233BC8"/>
    <w:rsid w:val="672736B3"/>
    <w:rsid w:val="6729061B"/>
    <w:rsid w:val="672C66C0"/>
    <w:rsid w:val="676773A3"/>
    <w:rsid w:val="67720E84"/>
    <w:rsid w:val="677265D5"/>
    <w:rsid w:val="677D3A99"/>
    <w:rsid w:val="67983A43"/>
    <w:rsid w:val="67AF072F"/>
    <w:rsid w:val="67B65FC8"/>
    <w:rsid w:val="67BF73B2"/>
    <w:rsid w:val="67EC156F"/>
    <w:rsid w:val="68053BE4"/>
    <w:rsid w:val="681860B5"/>
    <w:rsid w:val="68223899"/>
    <w:rsid w:val="684360C2"/>
    <w:rsid w:val="684E7FF7"/>
    <w:rsid w:val="68600810"/>
    <w:rsid w:val="68771B31"/>
    <w:rsid w:val="6897192E"/>
    <w:rsid w:val="68BC32AC"/>
    <w:rsid w:val="68C346DA"/>
    <w:rsid w:val="68C8485D"/>
    <w:rsid w:val="68D304F2"/>
    <w:rsid w:val="68E16418"/>
    <w:rsid w:val="69635454"/>
    <w:rsid w:val="696523C0"/>
    <w:rsid w:val="69721D74"/>
    <w:rsid w:val="699753B0"/>
    <w:rsid w:val="69AD6F2D"/>
    <w:rsid w:val="69B503BF"/>
    <w:rsid w:val="69BB68B1"/>
    <w:rsid w:val="69F06E39"/>
    <w:rsid w:val="6A06457F"/>
    <w:rsid w:val="6A133896"/>
    <w:rsid w:val="6A155247"/>
    <w:rsid w:val="6A661B52"/>
    <w:rsid w:val="6A776EFE"/>
    <w:rsid w:val="6AA41DE2"/>
    <w:rsid w:val="6AB0040E"/>
    <w:rsid w:val="6ABB0023"/>
    <w:rsid w:val="6AF7436A"/>
    <w:rsid w:val="6B310CF8"/>
    <w:rsid w:val="6B39572C"/>
    <w:rsid w:val="6B515F1C"/>
    <w:rsid w:val="6B643CD9"/>
    <w:rsid w:val="6BA92C7D"/>
    <w:rsid w:val="6BB43133"/>
    <w:rsid w:val="6BB70A5D"/>
    <w:rsid w:val="6BBD1984"/>
    <w:rsid w:val="6BDB2EA3"/>
    <w:rsid w:val="6BE11EC1"/>
    <w:rsid w:val="6BE42832"/>
    <w:rsid w:val="6BF162C6"/>
    <w:rsid w:val="6C24463E"/>
    <w:rsid w:val="6C3E2886"/>
    <w:rsid w:val="6C8B4FE1"/>
    <w:rsid w:val="6CB62060"/>
    <w:rsid w:val="6CEE5B21"/>
    <w:rsid w:val="6CF77277"/>
    <w:rsid w:val="6D061F78"/>
    <w:rsid w:val="6D062F3D"/>
    <w:rsid w:val="6D363CD4"/>
    <w:rsid w:val="6D405E7B"/>
    <w:rsid w:val="6D457C4E"/>
    <w:rsid w:val="6D4742F1"/>
    <w:rsid w:val="6D493AAA"/>
    <w:rsid w:val="6D563FE0"/>
    <w:rsid w:val="6D5743EC"/>
    <w:rsid w:val="6D657B65"/>
    <w:rsid w:val="6D6C3AC5"/>
    <w:rsid w:val="6D732AA3"/>
    <w:rsid w:val="6D742B4E"/>
    <w:rsid w:val="6D8D1ED4"/>
    <w:rsid w:val="6D904DBA"/>
    <w:rsid w:val="6DA66220"/>
    <w:rsid w:val="6DB17E94"/>
    <w:rsid w:val="6DB7519A"/>
    <w:rsid w:val="6DBA5A5E"/>
    <w:rsid w:val="6DDF4C0F"/>
    <w:rsid w:val="6DF16C69"/>
    <w:rsid w:val="6DF453E0"/>
    <w:rsid w:val="6E1D5B2D"/>
    <w:rsid w:val="6E1E4DF9"/>
    <w:rsid w:val="6E2625F2"/>
    <w:rsid w:val="6E2A737A"/>
    <w:rsid w:val="6E2E6920"/>
    <w:rsid w:val="6E353305"/>
    <w:rsid w:val="6E3656F6"/>
    <w:rsid w:val="6E4115D7"/>
    <w:rsid w:val="6E4D4898"/>
    <w:rsid w:val="6E9B2108"/>
    <w:rsid w:val="6EA70821"/>
    <w:rsid w:val="6EA74D0C"/>
    <w:rsid w:val="6EB153E5"/>
    <w:rsid w:val="6EC54881"/>
    <w:rsid w:val="6ED166CA"/>
    <w:rsid w:val="6EEE0FA0"/>
    <w:rsid w:val="6F0B3EF7"/>
    <w:rsid w:val="6F3470AB"/>
    <w:rsid w:val="6F382519"/>
    <w:rsid w:val="6F3863DE"/>
    <w:rsid w:val="6F3F7B78"/>
    <w:rsid w:val="6F5F289B"/>
    <w:rsid w:val="6FA02EAA"/>
    <w:rsid w:val="6FB4540C"/>
    <w:rsid w:val="6FBB40D7"/>
    <w:rsid w:val="6FCE793F"/>
    <w:rsid w:val="6FE248F3"/>
    <w:rsid w:val="6FF625CF"/>
    <w:rsid w:val="7016094D"/>
    <w:rsid w:val="70175AE7"/>
    <w:rsid w:val="703448F2"/>
    <w:rsid w:val="703A6463"/>
    <w:rsid w:val="7069064A"/>
    <w:rsid w:val="708751F1"/>
    <w:rsid w:val="7088412D"/>
    <w:rsid w:val="70E21729"/>
    <w:rsid w:val="71170892"/>
    <w:rsid w:val="71392B37"/>
    <w:rsid w:val="71453DBC"/>
    <w:rsid w:val="71462759"/>
    <w:rsid w:val="7163262C"/>
    <w:rsid w:val="71A91502"/>
    <w:rsid w:val="71BC61AA"/>
    <w:rsid w:val="71BD0810"/>
    <w:rsid w:val="71C0644B"/>
    <w:rsid w:val="71C2798C"/>
    <w:rsid w:val="71CB0D2B"/>
    <w:rsid w:val="71CE5848"/>
    <w:rsid w:val="71E47BF2"/>
    <w:rsid w:val="72040778"/>
    <w:rsid w:val="721473AB"/>
    <w:rsid w:val="721F0D66"/>
    <w:rsid w:val="722421C8"/>
    <w:rsid w:val="72261A9B"/>
    <w:rsid w:val="72503160"/>
    <w:rsid w:val="72733B25"/>
    <w:rsid w:val="7282011E"/>
    <w:rsid w:val="72995571"/>
    <w:rsid w:val="72A02FA8"/>
    <w:rsid w:val="72AC6C7F"/>
    <w:rsid w:val="72B33F8B"/>
    <w:rsid w:val="72B64F6B"/>
    <w:rsid w:val="72C0772C"/>
    <w:rsid w:val="72C54F22"/>
    <w:rsid w:val="72E26ECA"/>
    <w:rsid w:val="72F66755"/>
    <w:rsid w:val="72F82EFA"/>
    <w:rsid w:val="731B5A53"/>
    <w:rsid w:val="733259BC"/>
    <w:rsid w:val="73583B3C"/>
    <w:rsid w:val="7362367E"/>
    <w:rsid w:val="7380218F"/>
    <w:rsid w:val="73AC2D01"/>
    <w:rsid w:val="73B77398"/>
    <w:rsid w:val="73D07D64"/>
    <w:rsid w:val="73DD2EA0"/>
    <w:rsid w:val="73DE2E86"/>
    <w:rsid w:val="74266AB1"/>
    <w:rsid w:val="742A6176"/>
    <w:rsid w:val="7451400C"/>
    <w:rsid w:val="746268DE"/>
    <w:rsid w:val="74665DAE"/>
    <w:rsid w:val="748C6D37"/>
    <w:rsid w:val="74BA3F83"/>
    <w:rsid w:val="74BE12E8"/>
    <w:rsid w:val="74C50898"/>
    <w:rsid w:val="74C5239B"/>
    <w:rsid w:val="74E37213"/>
    <w:rsid w:val="74E5575A"/>
    <w:rsid w:val="74EF6B8B"/>
    <w:rsid w:val="74EF6C18"/>
    <w:rsid w:val="75263691"/>
    <w:rsid w:val="75283650"/>
    <w:rsid w:val="757643FF"/>
    <w:rsid w:val="757E21AE"/>
    <w:rsid w:val="758E45CC"/>
    <w:rsid w:val="759165ED"/>
    <w:rsid w:val="759D4D90"/>
    <w:rsid w:val="75BA7B62"/>
    <w:rsid w:val="75ED4D78"/>
    <w:rsid w:val="762160C8"/>
    <w:rsid w:val="763A6F05"/>
    <w:rsid w:val="7651238C"/>
    <w:rsid w:val="765413A7"/>
    <w:rsid w:val="76777A19"/>
    <w:rsid w:val="7680035F"/>
    <w:rsid w:val="769258DE"/>
    <w:rsid w:val="7697121C"/>
    <w:rsid w:val="76A020C1"/>
    <w:rsid w:val="76AC61D3"/>
    <w:rsid w:val="76B1275B"/>
    <w:rsid w:val="76CC23E0"/>
    <w:rsid w:val="76E157A0"/>
    <w:rsid w:val="76EC6E2E"/>
    <w:rsid w:val="77096E80"/>
    <w:rsid w:val="770C7B7A"/>
    <w:rsid w:val="77181F32"/>
    <w:rsid w:val="775E2E09"/>
    <w:rsid w:val="77605CC9"/>
    <w:rsid w:val="776C6FDF"/>
    <w:rsid w:val="77790731"/>
    <w:rsid w:val="778200D0"/>
    <w:rsid w:val="779276DF"/>
    <w:rsid w:val="77B20DDA"/>
    <w:rsid w:val="77B40B61"/>
    <w:rsid w:val="77E5753F"/>
    <w:rsid w:val="7817131A"/>
    <w:rsid w:val="781A7553"/>
    <w:rsid w:val="782054F9"/>
    <w:rsid w:val="78391E48"/>
    <w:rsid w:val="78480258"/>
    <w:rsid w:val="784838BF"/>
    <w:rsid w:val="785A03F0"/>
    <w:rsid w:val="785B75CC"/>
    <w:rsid w:val="78707AF6"/>
    <w:rsid w:val="78946EAA"/>
    <w:rsid w:val="789A5D59"/>
    <w:rsid w:val="78B57587"/>
    <w:rsid w:val="78C77F8D"/>
    <w:rsid w:val="78C867A2"/>
    <w:rsid w:val="78E973DB"/>
    <w:rsid w:val="78F64A8E"/>
    <w:rsid w:val="791E7E0A"/>
    <w:rsid w:val="79653182"/>
    <w:rsid w:val="797F5173"/>
    <w:rsid w:val="79971F13"/>
    <w:rsid w:val="79A20126"/>
    <w:rsid w:val="79D917C8"/>
    <w:rsid w:val="7A1F3387"/>
    <w:rsid w:val="7A247B8E"/>
    <w:rsid w:val="7A4362DF"/>
    <w:rsid w:val="7A4F2F2C"/>
    <w:rsid w:val="7A864176"/>
    <w:rsid w:val="7A9C2407"/>
    <w:rsid w:val="7AA421C6"/>
    <w:rsid w:val="7AAA15F7"/>
    <w:rsid w:val="7AB259C0"/>
    <w:rsid w:val="7AC825AB"/>
    <w:rsid w:val="7ACD3599"/>
    <w:rsid w:val="7ACE6306"/>
    <w:rsid w:val="7ADD2C11"/>
    <w:rsid w:val="7AE67036"/>
    <w:rsid w:val="7AEA56FB"/>
    <w:rsid w:val="7AF12CCB"/>
    <w:rsid w:val="7AF94BDA"/>
    <w:rsid w:val="7AF974C0"/>
    <w:rsid w:val="7AFB1021"/>
    <w:rsid w:val="7B256A8D"/>
    <w:rsid w:val="7B262E7E"/>
    <w:rsid w:val="7B461B42"/>
    <w:rsid w:val="7B6805C2"/>
    <w:rsid w:val="7B85195B"/>
    <w:rsid w:val="7BA13ED5"/>
    <w:rsid w:val="7BCA58AA"/>
    <w:rsid w:val="7BCC14C3"/>
    <w:rsid w:val="7BDB19C3"/>
    <w:rsid w:val="7BDD1AB3"/>
    <w:rsid w:val="7BF905E9"/>
    <w:rsid w:val="7C0877EC"/>
    <w:rsid w:val="7C242F1E"/>
    <w:rsid w:val="7C35328F"/>
    <w:rsid w:val="7C4B0451"/>
    <w:rsid w:val="7C751C99"/>
    <w:rsid w:val="7C991066"/>
    <w:rsid w:val="7CB65100"/>
    <w:rsid w:val="7CEF5848"/>
    <w:rsid w:val="7CF81E6E"/>
    <w:rsid w:val="7D1140C6"/>
    <w:rsid w:val="7D25468B"/>
    <w:rsid w:val="7D2B0909"/>
    <w:rsid w:val="7D383FC6"/>
    <w:rsid w:val="7D396782"/>
    <w:rsid w:val="7D3F237F"/>
    <w:rsid w:val="7D4A69C4"/>
    <w:rsid w:val="7D552A85"/>
    <w:rsid w:val="7D63438C"/>
    <w:rsid w:val="7D7D3BC1"/>
    <w:rsid w:val="7D8C158E"/>
    <w:rsid w:val="7D8E197E"/>
    <w:rsid w:val="7DA1350C"/>
    <w:rsid w:val="7DDA0D66"/>
    <w:rsid w:val="7DDB22AB"/>
    <w:rsid w:val="7DDE68BD"/>
    <w:rsid w:val="7E0E5027"/>
    <w:rsid w:val="7E0E5BE2"/>
    <w:rsid w:val="7E173B99"/>
    <w:rsid w:val="7E1E6D6C"/>
    <w:rsid w:val="7E456218"/>
    <w:rsid w:val="7E511A71"/>
    <w:rsid w:val="7E5C1957"/>
    <w:rsid w:val="7E6C05E7"/>
    <w:rsid w:val="7E7D5BB5"/>
    <w:rsid w:val="7EA2129A"/>
    <w:rsid w:val="7F2D70E7"/>
    <w:rsid w:val="7F3D64CF"/>
    <w:rsid w:val="7F5C59F1"/>
    <w:rsid w:val="7F6C5D3D"/>
    <w:rsid w:val="7F823578"/>
    <w:rsid w:val="7F8468AF"/>
    <w:rsid w:val="7FB46DCB"/>
    <w:rsid w:val="7FB75DD6"/>
    <w:rsid w:val="7FB957D5"/>
    <w:rsid w:val="7FDB2FBA"/>
    <w:rsid w:val="7FE74B69"/>
    <w:rsid w:val="7FE86E3D"/>
    <w:rsid w:val="7FF07793"/>
    <w:rsid w:val="7FFB5B6B"/>
    <w:rsid w:val="7FFF03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line="416" w:lineRule="auto"/>
      <w:outlineLvl w:val="2"/>
    </w:pPr>
    <w:rPr>
      <w:b/>
      <w:bCs/>
      <w:sz w:val="32"/>
      <w:szCs w:val="32"/>
    </w:rPr>
  </w:style>
  <w:style w:type="paragraph" w:styleId="6">
    <w:name w:val="heading 4"/>
    <w:basedOn w:val="1"/>
    <w:next w:val="1"/>
    <w:qFormat/>
    <w:uiPriority w:val="1"/>
    <w:pPr>
      <w:ind w:left="673"/>
      <w:outlineLvl w:val="3"/>
    </w:pPr>
    <w:rPr>
      <w:rFonts w:ascii="宋体" w:hAnsi="宋体" w:cs="宋体"/>
      <w:b/>
      <w:bCs/>
      <w:sz w:val="24"/>
      <w:lang w:val="zh-CN" w:bidi="zh-CN"/>
    </w:rPr>
  </w:style>
  <w:style w:type="character" w:default="1" w:styleId="27">
    <w:name w:val="Default Paragraph Font"/>
    <w:semiHidden/>
    <w:unhideWhenUsed/>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1"/>
    <w:qFormat/>
    <w:uiPriority w:val="0"/>
    <w:pPr>
      <w:widowControl/>
      <w:overflowPunct w:val="0"/>
      <w:autoSpaceDE w:val="0"/>
      <w:autoSpaceDN w:val="0"/>
      <w:adjustRightInd w:val="0"/>
      <w:jc w:val="left"/>
      <w:textAlignment w:val="baseline"/>
    </w:pPr>
    <w:rPr>
      <w:rFonts w:ascii="宋体" w:hAnsi="Courier New"/>
      <w:kern w:val="0"/>
      <w:szCs w:val="20"/>
    </w:rPr>
  </w:style>
  <w:style w:type="paragraph" w:styleId="7">
    <w:name w:val="List Number"/>
    <w:basedOn w:val="1"/>
    <w:qFormat/>
    <w:uiPriority w:val="0"/>
    <w:pPr>
      <w:numPr>
        <w:ilvl w:val="0"/>
        <w:numId w:val="1"/>
      </w:numPr>
    </w:pPr>
  </w:style>
  <w:style w:type="paragraph" w:styleId="8">
    <w:name w:val="Normal Indent"/>
    <w:basedOn w:val="1"/>
    <w:next w:val="9"/>
    <w:qFormat/>
    <w:uiPriority w:val="99"/>
    <w:pPr>
      <w:ind w:firstLine="420"/>
    </w:pPr>
    <w:rPr>
      <w:szCs w:val="20"/>
    </w:rPr>
  </w:style>
  <w:style w:type="paragraph" w:styleId="9">
    <w:name w:val="Body Text Indent"/>
    <w:basedOn w:val="1"/>
    <w:next w:val="1"/>
    <w:qFormat/>
    <w:uiPriority w:val="0"/>
    <w:pPr>
      <w:tabs>
        <w:tab w:val="left" w:pos="900"/>
      </w:tabs>
      <w:autoSpaceDE w:val="0"/>
      <w:autoSpaceDN w:val="0"/>
      <w:adjustRightInd w:val="0"/>
      <w:spacing w:line="540" w:lineRule="exact"/>
      <w:ind w:firstLine="561"/>
    </w:pPr>
    <w:rPr>
      <w:rFonts w:ascii="仿宋_GB2312" w:eastAsia="仿宋_GB2312"/>
      <w:sz w:val="28"/>
      <w:szCs w:val="28"/>
      <w:lang w:val="zh-CN"/>
    </w:rPr>
  </w:style>
  <w:style w:type="paragraph" w:styleId="10">
    <w:name w:val="caption"/>
    <w:basedOn w:val="1"/>
    <w:next w:val="1"/>
    <w:qFormat/>
    <w:uiPriority w:val="0"/>
    <w:pPr>
      <w:spacing w:before="152" w:after="160"/>
    </w:pPr>
    <w:rPr>
      <w:rFonts w:ascii="Arial" w:hAnsi="Arial" w:eastAsia="黑体" w:cs="Arial"/>
      <w:sz w:val="20"/>
      <w:szCs w:val="20"/>
    </w:rPr>
  </w:style>
  <w:style w:type="paragraph" w:styleId="11">
    <w:name w:val="annotation text"/>
    <w:basedOn w:val="1"/>
    <w:qFormat/>
    <w:uiPriority w:val="0"/>
    <w:pPr>
      <w:jc w:val="left"/>
    </w:pPr>
  </w:style>
  <w:style w:type="paragraph" w:styleId="12">
    <w:name w:val="Body Text 3"/>
    <w:basedOn w:val="1"/>
    <w:qFormat/>
    <w:uiPriority w:val="0"/>
    <w:pPr>
      <w:spacing w:after="120"/>
    </w:pPr>
    <w:rPr>
      <w:sz w:val="16"/>
      <w:szCs w:val="16"/>
    </w:rPr>
  </w:style>
  <w:style w:type="paragraph" w:styleId="13">
    <w:name w:val="Body Text"/>
    <w:basedOn w:val="1"/>
    <w:next w:val="14"/>
    <w:semiHidden/>
    <w:qFormat/>
    <w:uiPriority w:val="0"/>
    <w:pPr>
      <w:spacing w:after="120"/>
    </w:pPr>
    <w:rPr>
      <w:rFonts w:ascii="Calibri" w:hAnsi="Calibri"/>
      <w:szCs w:val="22"/>
    </w:rPr>
  </w:style>
  <w:style w:type="paragraph" w:styleId="14">
    <w:name w:val="Body Text First Indent"/>
    <w:basedOn w:val="13"/>
    <w:next w:val="15"/>
    <w:qFormat/>
    <w:uiPriority w:val="0"/>
    <w:pPr>
      <w:spacing w:line="360" w:lineRule="auto"/>
      <w:ind w:firstLine="200" w:firstLineChars="200"/>
      <w:jc w:val="left"/>
    </w:pPr>
    <w:rPr>
      <w:bCs/>
      <w:sz w:val="24"/>
    </w:rPr>
  </w:style>
  <w:style w:type="paragraph" w:styleId="15">
    <w:name w:val="toc 6"/>
    <w:basedOn w:val="1"/>
    <w:next w:val="1"/>
    <w:qFormat/>
    <w:uiPriority w:val="0"/>
    <w:pPr>
      <w:ind w:left="2100" w:leftChars="1000"/>
    </w:pPr>
  </w:style>
  <w:style w:type="paragraph" w:styleId="16">
    <w:name w:val="Date"/>
    <w:basedOn w:val="1"/>
    <w:next w:val="1"/>
    <w:qFormat/>
    <w:uiPriority w:val="0"/>
    <w:pPr>
      <w:ind w:left="2500" w:leftChars="2500"/>
    </w:pPr>
    <w:rPr>
      <w:rFonts w:eastAsia="楷体_GB2312"/>
      <w:sz w:val="32"/>
      <w:szCs w:val="20"/>
    </w:rPr>
  </w:style>
  <w:style w:type="paragraph" w:styleId="17">
    <w:name w:val="Body Text Indent 2"/>
    <w:basedOn w:val="1"/>
    <w:qFormat/>
    <w:uiPriority w:val="0"/>
    <w:pPr>
      <w:widowControl w:val="0"/>
      <w:spacing w:after="120" w:line="480" w:lineRule="auto"/>
      <w:ind w:left="420"/>
      <w:jc w:val="both"/>
    </w:pPr>
    <w:rPr>
      <w:szCs w:val="20"/>
    </w:rPr>
  </w:style>
  <w:style w:type="paragraph" w:styleId="18">
    <w:name w:val="footer"/>
    <w:basedOn w:val="1"/>
    <w:qFormat/>
    <w:uiPriority w:val="0"/>
    <w:pPr>
      <w:tabs>
        <w:tab w:val="center" w:pos="4153"/>
        <w:tab w:val="right" w:pos="8306"/>
      </w:tabs>
      <w:snapToGrid w:val="0"/>
      <w:jc w:val="left"/>
    </w:pPr>
    <w:rPr>
      <w:sz w:val="18"/>
      <w:szCs w:val="18"/>
    </w:rPr>
  </w:style>
  <w:style w:type="paragraph" w:styleId="1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0">
    <w:name w:val="Body Text Indent 3"/>
    <w:basedOn w:val="1"/>
    <w:qFormat/>
    <w:uiPriority w:val="0"/>
    <w:pPr>
      <w:snapToGrid w:val="0"/>
      <w:ind w:firstLine="480" w:firstLineChars="200"/>
      <w:jc w:val="left"/>
    </w:pPr>
    <w:rPr>
      <w:rFonts w:ascii="仿宋_GB2312" w:hAnsi="宋体" w:eastAsia="仿宋_GB2312"/>
      <w:color w:val="000000"/>
      <w:kern w:val="0"/>
      <w:sz w:val="24"/>
    </w:rPr>
  </w:style>
  <w:style w:type="paragraph" w:styleId="21">
    <w:name w:val="Message Header"/>
    <w:basedOn w:val="1"/>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Arial" w:hAnsi="Arial" w:cs="Arial"/>
      <w:sz w:val="24"/>
    </w:rPr>
  </w:style>
  <w:style w:type="paragraph" w:styleId="22">
    <w:name w:val="Normal (Web)"/>
    <w:basedOn w:val="1"/>
    <w:qFormat/>
    <w:uiPriority w:val="0"/>
    <w:pPr>
      <w:widowControl/>
      <w:spacing w:beforeAutospacing="1" w:afterAutospacing="1"/>
      <w:jc w:val="left"/>
    </w:pPr>
    <w:rPr>
      <w:rFonts w:ascii="宋体" w:hAnsi="宋体"/>
      <w:kern w:val="0"/>
      <w:sz w:val="24"/>
    </w:rPr>
  </w:style>
  <w:style w:type="paragraph" w:styleId="23">
    <w:name w:val="Title"/>
    <w:basedOn w:val="1"/>
    <w:next w:val="1"/>
    <w:qFormat/>
    <w:uiPriority w:val="0"/>
    <w:pPr>
      <w:jc w:val="center"/>
    </w:pPr>
    <w:rPr>
      <w:rFonts w:ascii="Arial" w:hAnsi="Arial"/>
      <w:b/>
      <w:kern w:val="0"/>
      <w:sz w:val="36"/>
      <w:szCs w:val="20"/>
      <w:lang w:eastAsia="en-US"/>
    </w:rPr>
  </w:style>
  <w:style w:type="paragraph" w:styleId="24">
    <w:name w:val="Body Text First Indent 2"/>
    <w:basedOn w:val="9"/>
    <w:qFormat/>
    <w:uiPriority w:val="0"/>
    <w:pPr>
      <w:ind w:firstLine="420"/>
    </w:pPr>
  </w:style>
  <w:style w:type="table" w:styleId="26">
    <w:name w:val="Table Grid"/>
    <w:basedOn w:val="25"/>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basedOn w:val="27"/>
    <w:qFormat/>
    <w:uiPriority w:val="0"/>
    <w:rPr>
      <w:b/>
    </w:rPr>
  </w:style>
  <w:style w:type="character" w:styleId="29">
    <w:name w:val="FollowedHyperlink"/>
    <w:basedOn w:val="27"/>
    <w:qFormat/>
    <w:uiPriority w:val="0"/>
    <w:rPr>
      <w:color w:val="800080"/>
      <w:u w:val="none"/>
    </w:rPr>
  </w:style>
  <w:style w:type="character" w:styleId="30">
    <w:name w:val="Hyperlink"/>
    <w:basedOn w:val="27"/>
    <w:qFormat/>
    <w:uiPriority w:val="0"/>
    <w:rPr>
      <w:color w:val="0000FF"/>
      <w:u w:val="none"/>
    </w:rPr>
  </w:style>
  <w:style w:type="paragraph" w:customStyle="1" w:styleId="31">
    <w:name w:val="_Style 3"/>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32">
    <w:name w:val="表格文字"/>
    <w:basedOn w:val="1"/>
    <w:next w:val="13"/>
    <w:qFormat/>
    <w:uiPriority w:val="0"/>
    <w:pPr>
      <w:jc w:val="left"/>
      <w:textAlignment w:val="top"/>
    </w:pPr>
    <w:rPr>
      <w:sz w:val="18"/>
    </w:rPr>
  </w:style>
  <w:style w:type="paragraph" w:customStyle="1" w:styleId="33">
    <w:name w:val="正文缩进1"/>
    <w:basedOn w:val="1"/>
    <w:qFormat/>
    <w:uiPriority w:val="0"/>
    <w:pPr>
      <w:widowControl/>
      <w:ind w:firstLine="420"/>
      <w:jc w:val="left"/>
    </w:pPr>
    <w:rPr>
      <w:kern w:val="0"/>
      <w:szCs w:val="20"/>
    </w:rPr>
  </w:style>
  <w:style w:type="paragraph" w:customStyle="1" w:styleId="34">
    <w:name w:val="Normal Indent1"/>
    <w:basedOn w:val="1"/>
    <w:qFormat/>
    <w:uiPriority w:val="0"/>
    <w:pPr>
      <w:widowControl/>
      <w:ind w:firstLine="420"/>
      <w:jc w:val="left"/>
    </w:pPr>
    <w:rPr>
      <w:kern w:val="0"/>
      <w:szCs w:val="20"/>
    </w:rPr>
  </w:style>
  <w:style w:type="paragraph" w:customStyle="1" w:styleId="35">
    <w:name w:val="_Style 1"/>
    <w:qFormat/>
    <w:uiPriority w:val="0"/>
    <w:rPr>
      <w:rFonts w:ascii="Times New Roman" w:hAnsi="Times New Roman" w:eastAsia="宋体" w:cs="Times New Roman"/>
      <w:kern w:val="2"/>
      <w:sz w:val="28"/>
      <w:szCs w:val="22"/>
      <w:lang w:val="en-US" w:eastAsia="zh-CN" w:bidi="ar-SA"/>
    </w:rPr>
  </w:style>
  <w:style w:type="paragraph" w:customStyle="1" w:styleId="36">
    <w:name w:val="p18"/>
    <w:basedOn w:val="1"/>
    <w:qFormat/>
    <w:uiPriority w:val="0"/>
    <w:pPr>
      <w:widowControl/>
      <w:spacing w:line="748" w:lineRule="atLeast"/>
      <w:ind w:left="-527" w:firstLine="527"/>
    </w:pPr>
    <w:rPr>
      <w:rFonts w:ascii="宋体" w:hAnsi="宋体" w:cs="宋体"/>
      <w:kern w:val="0"/>
      <w:sz w:val="24"/>
    </w:rPr>
  </w:style>
  <w:style w:type="character" w:customStyle="1" w:styleId="37">
    <w:name w:val="标题 1 Char Char"/>
    <w:qFormat/>
    <w:uiPriority w:val="99"/>
    <w:rPr>
      <w:rFonts w:eastAsia="宋体" w:cs="Times New Roman"/>
      <w:spacing w:val="-2"/>
      <w:sz w:val="24"/>
      <w:lang w:val="en-US" w:eastAsia="zh-CN" w:bidi="ar-SA"/>
    </w:rPr>
  </w:style>
  <w:style w:type="paragraph" w:customStyle="1" w:styleId="38">
    <w:name w:val="CW-正文"/>
    <w:basedOn w:val="1"/>
    <w:qFormat/>
    <w:uiPriority w:val="0"/>
    <w:pPr>
      <w:jc w:val="center"/>
    </w:pPr>
    <w:rPr>
      <w:rFonts w:ascii="宋体" w:hAnsi="宋体" w:cs="宋体"/>
      <w:szCs w:val="28"/>
    </w:rPr>
  </w:style>
  <w:style w:type="paragraph" w:styleId="39">
    <w:name w:val="List Paragraph"/>
    <w:basedOn w:val="1"/>
    <w:qFormat/>
    <w:uiPriority w:val="34"/>
    <w:pPr>
      <w:ind w:firstLine="420" w:firstLineChars="200"/>
    </w:pPr>
    <w:rPr>
      <w:rFonts w:ascii="Calibri" w:hAnsi="Calibri"/>
      <w:szCs w:val="22"/>
    </w:rPr>
  </w:style>
  <w:style w:type="paragraph" w:customStyle="1" w:styleId="40">
    <w:name w:val="正文2"/>
    <w:basedOn w:val="1"/>
    <w:qFormat/>
    <w:uiPriority w:val="0"/>
    <w:pPr>
      <w:spacing w:line="360" w:lineRule="auto"/>
      <w:ind w:firstLine="510" w:firstLineChars="200"/>
    </w:pPr>
    <w:rPr>
      <w:sz w:val="24"/>
      <w:szCs w:val="20"/>
    </w:rPr>
  </w:style>
  <w:style w:type="character" w:customStyle="1" w:styleId="41">
    <w:name w:val="p141"/>
    <w:qFormat/>
    <w:uiPriority w:val="0"/>
    <w:rPr>
      <w:sz w:val="21"/>
      <w:szCs w:val="21"/>
    </w:rPr>
  </w:style>
  <w:style w:type="paragraph" w:customStyle="1" w:styleId="42">
    <w:name w:val="文章正文"/>
    <w:basedOn w:val="1"/>
    <w:next w:val="1"/>
    <w:qFormat/>
    <w:uiPriority w:val="0"/>
    <w:pPr>
      <w:tabs>
        <w:tab w:val="center" w:pos="4153"/>
        <w:tab w:val="right" w:pos="8306"/>
      </w:tabs>
      <w:snapToGrid w:val="0"/>
      <w:spacing w:line="360" w:lineRule="auto"/>
      <w:ind w:firstLine="480" w:firstLineChars="200"/>
    </w:pPr>
    <w:rPr>
      <w:rFonts w:ascii="Calibri" w:hAnsi="Calibri" w:cs="宋体"/>
      <w:szCs w:val="20"/>
    </w:rPr>
  </w:style>
  <w:style w:type="paragraph" w:customStyle="1" w:styleId="43">
    <w:name w:val="ÕýÎÄ"/>
    <w:qFormat/>
    <w:uiPriority w:val="0"/>
    <w:pPr>
      <w:widowControl w:val="0"/>
      <w:overflowPunct w:val="0"/>
      <w:autoSpaceDE w:val="0"/>
      <w:autoSpaceDN w:val="0"/>
      <w:adjustRightInd w:val="0"/>
      <w:spacing w:line="351" w:lineRule="atLeast"/>
      <w:ind w:firstLine="419"/>
      <w:jc w:val="both"/>
      <w:textAlignment w:val="baseline"/>
    </w:pPr>
    <w:rPr>
      <w:rFonts w:ascii="Times New Roman" w:hAnsi="Times New Roman" w:eastAsia="宋体" w:cs="Times New Roman"/>
      <w:color w:val="000000"/>
      <w:sz w:val="21"/>
      <w:lang w:val="en-US" w:eastAsia="zh-CN" w:bidi="ar-SA"/>
    </w:rPr>
  </w:style>
  <w:style w:type="character" w:customStyle="1" w:styleId="44">
    <w:name w:val="large1"/>
    <w:qFormat/>
    <w:uiPriority w:val="0"/>
    <w:rPr>
      <w:rFonts w:hint="eastAsia" w:ascii="宋体" w:hAnsi="宋体" w:eastAsia="宋体"/>
      <w:sz w:val="21"/>
      <w:szCs w:val="21"/>
    </w:rPr>
  </w:style>
  <w:style w:type="paragraph" w:customStyle="1" w:styleId="4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46">
    <w:name w:val="Fließtext"/>
    <w:basedOn w:val="1"/>
    <w:qFormat/>
    <w:uiPriority w:val="0"/>
    <w:pPr>
      <w:overflowPunct w:val="0"/>
      <w:autoSpaceDE w:val="0"/>
      <w:autoSpaceDN w:val="0"/>
      <w:adjustRightInd w:val="0"/>
      <w:textAlignment w:val="baseline"/>
    </w:pPr>
    <w:rPr>
      <w:kern w:val="28"/>
      <w:szCs w:val="20"/>
    </w:rPr>
  </w:style>
  <w:style w:type="paragraph" w:customStyle="1" w:styleId="47">
    <w:name w:val="Defaul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paragraph" w:customStyle="1" w:styleId="48">
    <w:name w:val="Proposals body"/>
    <w:basedOn w:val="1"/>
    <w:next w:val="1"/>
    <w:qFormat/>
    <w:uiPriority w:val="0"/>
    <w:pPr>
      <w:widowControl/>
      <w:spacing w:line="360" w:lineRule="auto"/>
      <w:jc w:val="left"/>
    </w:pPr>
    <w:rPr>
      <w:rFonts w:ascii="宋体"/>
      <w:snapToGrid w:val="0"/>
      <w:color w:val="000000"/>
      <w:kern w:val="0"/>
      <w:sz w:val="24"/>
      <w:szCs w:val="20"/>
    </w:rPr>
  </w:style>
  <w:style w:type="character" w:customStyle="1" w:styleId="49">
    <w:name w:val="font51"/>
    <w:basedOn w:val="27"/>
    <w:qFormat/>
    <w:uiPriority w:val="0"/>
    <w:rPr>
      <w:rFonts w:hint="eastAsia" w:ascii="宋体" w:hAnsi="宋体" w:eastAsia="宋体" w:cs="宋体"/>
      <w:color w:val="000000"/>
      <w:sz w:val="22"/>
      <w:szCs w:val="22"/>
      <w:u w:val="none"/>
    </w:rPr>
  </w:style>
  <w:style w:type="character" w:customStyle="1" w:styleId="50">
    <w:name w:val="font11"/>
    <w:basedOn w:val="27"/>
    <w:qFormat/>
    <w:uiPriority w:val="0"/>
    <w:rPr>
      <w:rFonts w:hint="eastAsia" w:ascii="宋体" w:hAnsi="宋体" w:eastAsia="宋体" w:cs="宋体"/>
      <w:color w:val="000000"/>
      <w:sz w:val="22"/>
      <w:szCs w:val="22"/>
      <w:u w:val="none"/>
      <w:vertAlign w:val="superscript"/>
    </w:rPr>
  </w:style>
  <w:style w:type="character" w:customStyle="1" w:styleId="51">
    <w:name w:val="font31"/>
    <w:basedOn w:val="27"/>
    <w:qFormat/>
    <w:uiPriority w:val="0"/>
    <w:rPr>
      <w:rFonts w:hint="eastAsia" w:ascii="宋体" w:hAnsi="宋体" w:eastAsia="宋体" w:cs="宋体"/>
      <w:color w:val="000000"/>
      <w:sz w:val="20"/>
      <w:szCs w:val="20"/>
      <w:u w:val="none"/>
    </w:rPr>
  </w:style>
  <w:style w:type="character" w:customStyle="1" w:styleId="52">
    <w:name w:val="font01"/>
    <w:basedOn w:val="27"/>
    <w:qFormat/>
    <w:uiPriority w:val="0"/>
    <w:rPr>
      <w:rFonts w:hint="eastAsia" w:ascii="宋体" w:hAnsi="宋体" w:eastAsia="宋体" w:cs="宋体"/>
      <w:color w:val="000000"/>
      <w:sz w:val="20"/>
      <w:szCs w:val="20"/>
      <w:u w:val="none"/>
      <w:vertAlign w:val="superscript"/>
    </w:rPr>
  </w:style>
  <w:style w:type="paragraph" w:customStyle="1" w:styleId="53">
    <w:name w:val="[Normal]"/>
    <w:qFormat/>
    <w:uiPriority w:val="0"/>
    <w:rPr>
      <w:rFonts w:ascii="宋体" w:hAnsi="宋体" w:eastAsia="宋体" w:cs="Times New Roman"/>
      <w:sz w:val="24"/>
      <w:lang w:val="en-US" w:eastAsia="en-US" w:bidi="ar-SA"/>
    </w:rPr>
  </w:style>
  <w:style w:type="paragraph" w:customStyle="1" w:styleId="54">
    <w:name w:val="正文_17"/>
    <w:qFormat/>
    <w:uiPriority w:val="0"/>
    <w:pPr>
      <w:widowControl w:val="0"/>
      <w:jc w:val="both"/>
    </w:pPr>
    <w:rPr>
      <w:rFonts w:ascii="Calibri" w:hAnsi="Calibri" w:eastAsia="宋体" w:cs="Times New Roman"/>
      <w:kern w:val="2"/>
      <w:sz w:val="21"/>
      <w:szCs w:val="24"/>
      <w:lang w:val="en-US" w:eastAsia="zh-CN" w:bidi="ar-SA"/>
    </w:rPr>
  </w:style>
  <w:style w:type="paragraph" w:customStyle="1" w:styleId="55">
    <w:name w:val="Table Paragraph"/>
    <w:basedOn w:val="1"/>
    <w:qFormat/>
    <w:uiPriority w:val="1"/>
    <w:rPr>
      <w:rFonts w:ascii="宋体" w:hAnsi="宋体" w:cs="宋体"/>
      <w:lang w:val="zh-CN" w:bidi="zh-CN"/>
    </w:rPr>
  </w:style>
  <w:style w:type="paragraph" w:customStyle="1" w:styleId="56">
    <w:name w:val="正文_3"/>
    <w:qFormat/>
    <w:uiPriority w:val="1"/>
    <w:pPr>
      <w:jc w:val="both"/>
    </w:pPr>
    <w:rPr>
      <w:rFonts w:ascii="Times New Roman" w:hAnsi="Times New Roman" w:eastAsia="宋体" w:cs="Times New Roman"/>
      <w:sz w:val="21"/>
      <w:szCs w:val="21"/>
      <w:lang w:val="en-US" w:eastAsia="zh-CN" w:bidi="ar-SA"/>
    </w:rPr>
  </w:style>
  <w:style w:type="paragraph" w:customStyle="1" w:styleId="57">
    <w:name w:val="正文 A"/>
    <w:qFormat/>
    <w:uiPriority w:val="0"/>
    <w:pPr>
      <w:widowControl w:val="0"/>
      <w:pBdr>
        <w:top w:val="none" w:color="FFFFFF" w:sz="0" w:space="31"/>
        <w:left w:val="none" w:color="FFFFFF" w:sz="0" w:space="31"/>
        <w:bottom w:val="none" w:color="FFFFFF" w:sz="0" w:space="31"/>
        <w:right w:val="none" w:color="FFFFFF" w:sz="0" w:space="31"/>
      </w:pBdr>
      <w:jc w:val="both"/>
    </w:pPr>
    <w:rPr>
      <w:rFonts w:ascii="Calibri" w:hAnsi="Calibri" w:eastAsia="宋体" w:cs="Calibri"/>
      <w:color w:val="000000"/>
      <w:kern w:val="2"/>
      <w:sz w:val="21"/>
      <w:szCs w:val="21"/>
      <w:u w:color="000000"/>
      <w:lang w:val="en-US" w:eastAsia="zh-CN" w:bidi="ar-SA"/>
    </w:rPr>
  </w:style>
  <w:style w:type="character" w:customStyle="1" w:styleId="58">
    <w:name w:val="无"/>
    <w:qFormat/>
    <w:uiPriority w:val="0"/>
    <w:rPr>
      <w:rFonts w:ascii="Times New Roman" w:hAnsi="Times New Roman" w:eastAsia="宋体" w:cs="Times New Roman"/>
    </w:rPr>
  </w:style>
  <w:style w:type="character" w:customStyle="1" w:styleId="59">
    <w:name w:val="Hyperlink.3"/>
    <w:uiPriority w:val="0"/>
    <w:rPr>
      <w:rFonts w:ascii="宋体" w:hAnsi="宋体" w:eastAsia="宋体" w:cs="Times New Roman"/>
      <w:lang w:val="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108</Pages>
  <Words>85798</Words>
  <Characters>16693</Characters>
  <Lines>139</Lines>
  <Paragraphs>204</Paragraphs>
  <TotalTime>1</TotalTime>
  <ScaleCrop>false</ScaleCrop>
  <LinksUpToDate>false</LinksUpToDate>
  <CharactersWithSpaces>102287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2019-12-09T02:12:00Z</dcterms:created>
  <dc:creator>衢州市联合工程咨询有限公司</dc:creator>
  <cp:lastModifiedBy>腾云驾雾琉璃仙</cp:lastModifiedBy>
  <cp:lastPrinted>2020-09-24T09:44:09Z</cp:lastPrinted>
  <dcterms:modified xsi:type="dcterms:W3CDTF">2020-09-24T09:49:30Z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