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6" w:lineRule="auto"/>
        <w:jc w:val="center"/>
        <w:rPr>
          <w:rFonts w:hint="eastAsia" w:ascii="仿宋" w:hAnsi="仿宋" w:eastAsia="仿宋" w:cs="仿宋"/>
          <w:bCs/>
          <w:sz w:val="72"/>
        </w:rPr>
      </w:pPr>
      <w:bookmarkStart w:id="10" w:name="_GoBack"/>
      <w:bookmarkEnd w:id="10"/>
    </w:p>
    <w:p>
      <w:pPr>
        <w:spacing w:line="216" w:lineRule="auto"/>
        <w:jc w:val="center"/>
        <w:rPr>
          <w:rFonts w:hint="eastAsia" w:ascii="仿宋" w:hAnsi="仿宋" w:eastAsia="仿宋" w:cs="仿宋"/>
          <w:b/>
          <w:sz w:val="52"/>
        </w:rPr>
      </w:pPr>
    </w:p>
    <w:p>
      <w:pPr>
        <w:spacing w:line="216" w:lineRule="auto"/>
        <w:rPr>
          <w:rFonts w:hint="eastAsia" w:ascii="仿宋" w:hAnsi="仿宋" w:eastAsia="仿宋" w:cs="仿宋"/>
          <w:b/>
          <w:sz w:val="28"/>
        </w:rPr>
      </w:pPr>
    </w:p>
    <w:p>
      <w:pPr>
        <w:spacing w:line="216" w:lineRule="auto"/>
        <w:jc w:val="center"/>
        <w:rPr>
          <w:rFonts w:hint="eastAsia" w:ascii="仿宋" w:hAnsi="仿宋" w:eastAsia="仿宋" w:cs="仿宋"/>
          <w:sz w:val="72"/>
        </w:rPr>
      </w:pPr>
      <w:r>
        <w:rPr>
          <w:rFonts w:hint="eastAsia" w:ascii="仿宋" w:hAnsi="仿宋" w:eastAsia="仿宋" w:cs="仿宋"/>
          <w:sz w:val="72"/>
        </w:rPr>
        <w:t>公开招标文件</w:t>
      </w:r>
    </w:p>
    <w:p>
      <w:pPr>
        <w:widowControl/>
        <w:spacing w:line="600" w:lineRule="exact"/>
        <w:ind w:right="-2"/>
        <w:jc w:val="center"/>
        <w:rPr>
          <w:rFonts w:hint="eastAsia" w:ascii="仿宋" w:hAnsi="仿宋" w:eastAsia="仿宋" w:cs="仿宋"/>
          <w:b/>
          <w:sz w:val="52"/>
          <w:szCs w:val="52"/>
        </w:rPr>
      </w:pPr>
      <w:r>
        <w:rPr>
          <w:rFonts w:hint="eastAsia" w:ascii="仿宋" w:hAnsi="仿宋" w:eastAsia="仿宋" w:cs="仿宋"/>
          <w:b/>
          <w:sz w:val="52"/>
          <w:szCs w:val="52"/>
        </w:rPr>
        <w:t>（线上电子招投标）</w:t>
      </w:r>
    </w:p>
    <w:p>
      <w:pPr>
        <w:pStyle w:val="5"/>
        <w:rPr>
          <w:rFonts w:hint="eastAsia" w:ascii="仿宋" w:hAnsi="仿宋" w:eastAsia="仿宋" w:cs="仿宋"/>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tbl>
      <w:tblPr>
        <w:tblStyle w:val="45"/>
        <w:tblpPr w:leftFromText="180" w:rightFromText="180" w:vertAnchor="text" w:horzAnchor="margin" w:tblpXSpec="center" w:tblpY="178"/>
        <w:tblW w:w="0" w:type="auto"/>
        <w:tblInd w:w="0" w:type="dxa"/>
        <w:tblLayout w:type="fixed"/>
        <w:tblCellMar>
          <w:top w:w="0" w:type="dxa"/>
          <w:left w:w="108" w:type="dxa"/>
          <w:bottom w:w="0" w:type="dxa"/>
          <w:right w:w="108" w:type="dxa"/>
        </w:tblCellMar>
      </w:tblPr>
      <w:tblGrid>
        <w:gridCol w:w="7248"/>
      </w:tblGrid>
      <w:tr>
        <w:tblPrEx>
          <w:tblCellMar>
            <w:top w:w="0" w:type="dxa"/>
            <w:left w:w="108" w:type="dxa"/>
            <w:bottom w:w="0" w:type="dxa"/>
            <w:right w:w="108" w:type="dxa"/>
          </w:tblCellMar>
        </w:tblPrEx>
        <w:trPr>
          <w:wBefore w:w="0" w:type="dxa"/>
          <w:wAfter w:w="0" w:type="dxa"/>
          <w:trHeight w:val="908" w:hRule="atLeast"/>
        </w:trPr>
        <w:tc>
          <w:tcPr>
            <w:tcW w:w="7248" w:type="dxa"/>
            <w:noWrap w:val="0"/>
            <w:vAlign w:val="top"/>
          </w:tcPr>
          <w:p>
            <w:pPr>
              <w:spacing w:line="360" w:lineRule="auto"/>
              <w:rPr>
                <w:rFonts w:hint="eastAsia" w:ascii="仿宋" w:hAnsi="仿宋" w:eastAsia="仿宋" w:cs="仿宋"/>
                <w:b/>
                <w:sz w:val="32"/>
              </w:rPr>
            </w:pPr>
            <w:r>
              <w:rPr>
                <w:rFonts w:hint="eastAsia" w:ascii="仿宋" w:hAnsi="仿宋" w:eastAsia="仿宋" w:cs="仿宋"/>
                <w:b/>
                <w:sz w:val="32"/>
              </w:rPr>
              <w:t>招标编号：ZJJY-HZBB-2022-039</w:t>
            </w:r>
          </w:p>
        </w:tc>
      </w:tr>
      <w:tr>
        <w:tblPrEx>
          <w:tblCellMar>
            <w:top w:w="0" w:type="dxa"/>
            <w:left w:w="108" w:type="dxa"/>
            <w:bottom w:w="0" w:type="dxa"/>
            <w:right w:w="108" w:type="dxa"/>
          </w:tblCellMar>
        </w:tblPrEx>
        <w:trPr>
          <w:wBefore w:w="0" w:type="dxa"/>
          <w:wAfter w:w="0" w:type="dxa"/>
          <w:trHeight w:val="1030" w:hRule="atLeast"/>
        </w:trPr>
        <w:tc>
          <w:tcPr>
            <w:tcW w:w="7248" w:type="dxa"/>
            <w:noWrap w:val="0"/>
            <w:vAlign w:val="top"/>
          </w:tcPr>
          <w:p>
            <w:pPr>
              <w:spacing w:line="360" w:lineRule="auto"/>
              <w:rPr>
                <w:rFonts w:hint="eastAsia" w:ascii="仿宋" w:hAnsi="仿宋" w:eastAsia="仿宋" w:cs="仿宋"/>
                <w:b/>
                <w:sz w:val="32"/>
              </w:rPr>
            </w:pPr>
            <w:r>
              <w:rPr>
                <w:rFonts w:hint="eastAsia" w:ascii="仿宋" w:hAnsi="仿宋" w:eastAsia="仿宋" w:cs="仿宋"/>
                <w:b/>
                <w:sz w:val="32"/>
              </w:rPr>
              <w:t>招标项目：西湖区排灌泵闸站委托运维管理项目</w:t>
            </w:r>
          </w:p>
        </w:tc>
      </w:tr>
      <w:tr>
        <w:tblPrEx>
          <w:tblCellMar>
            <w:top w:w="0" w:type="dxa"/>
            <w:left w:w="108" w:type="dxa"/>
            <w:bottom w:w="0" w:type="dxa"/>
            <w:right w:w="108" w:type="dxa"/>
          </w:tblCellMar>
        </w:tblPrEx>
        <w:trPr>
          <w:wBefore w:w="0" w:type="dxa"/>
          <w:wAfter w:w="0" w:type="dxa"/>
          <w:trHeight w:val="817" w:hRule="atLeast"/>
        </w:trPr>
        <w:tc>
          <w:tcPr>
            <w:tcW w:w="7248" w:type="dxa"/>
            <w:noWrap w:val="0"/>
            <w:vAlign w:val="top"/>
          </w:tcPr>
          <w:p>
            <w:pPr>
              <w:spacing w:line="360" w:lineRule="auto"/>
              <w:rPr>
                <w:rFonts w:hint="eastAsia" w:ascii="仿宋" w:hAnsi="仿宋" w:eastAsia="仿宋" w:cs="仿宋"/>
                <w:b/>
                <w:sz w:val="32"/>
              </w:rPr>
            </w:pPr>
          </w:p>
        </w:tc>
      </w:tr>
    </w:tbl>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spacing w:line="216" w:lineRule="auto"/>
        <w:ind w:firstLine="2240" w:firstLineChars="700"/>
        <w:rPr>
          <w:rFonts w:hint="eastAsia" w:ascii="仿宋" w:hAnsi="仿宋" w:eastAsia="仿宋" w:cs="仿宋"/>
          <w:sz w:val="36"/>
        </w:rPr>
      </w:pPr>
      <w:r>
        <w:rPr>
          <w:rFonts w:hint="eastAsia" w:ascii="仿宋" w:hAnsi="仿宋" w:eastAsia="仿宋" w:cs="仿宋"/>
          <w:sz w:val="32"/>
        </w:rPr>
        <w:t xml:space="preserve">   </w:t>
      </w:r>
      <w:r>
        <w:rPr>
          <w:rFonts w:hint="eastAsia" w:ascii="仿宋" w:hAnsi="仿宋" w:eastAsia="仿宋" w:cs="仿宋"/>
          <w:kern w:val="0"/>
          <w:sz w:val="32"/>
        </w:rPr>
        <w:t xml:space="preserve">          </w:t>
      </w:r>
    </w:p>
    <w:p>
      <w:pPr>
        <w:spacing w:line="216" w:lineRule="auto"/>
        <w:rPr>
          <w:rFonts w:hint="eastAsia" w:ascii="仿宋" w:hAnsi="仿宋" w:eastAsia="仿宋" w:cs="仿宋"/>
          <w:sz w:val="36"/>
        </w:rPr>
      </w:pPr>
    </w:p>
    <w:p>
      <w:pPr>
        <w:spacing w:line="216" w:lineRule="auto"/>
        <w:rPr>
          <w:rFonts w:hint="eastAsia" w:ascii="仿宋" w:hAnsi="仿宋" w:eastAsia="仿宋" w:cs="仿宋"/>
          <w:sz w:val="36"/>
        </w:rPr>
      </w:pPr>
    </w:p>
    <w:p>
      <w:pPr>
        <w:spacing w:line="216" w:lineRule="auto"/>
        <w:jc w:val="center"/>
        <w:rPr>
          <w:rFonts w:hint="eastAsia" w:ascii="仿宋" w:hAnsi="仿宋" w:eastAsia="仿宋" w:cs="仿宋"/>
          <w:kern w:val="0"/>
          <w:sz w:val="30"/>
        </w:rPr>
      </w:pPr>
    </w:p>
    <w:p>
      <w:pPr>
        <w:spacing w:line="216" w:lineRule="auto"/>
        <w:jc w:val="center"/>
        <w:rPr>
          <w:rFonts w:hint="eastAsia" w:ascii="仿宋" w:hAnsi="仿宋" w:eastAsia="仿宋" w:cs="仿宋"/>
          <w:kern w:val="0"/>
          <w:sz w:val="30"/>
        </w:rPr>
      </w:pPr>
    </w:p>
    <w:p>
      <w:pPr>
        <w:spacing w:line="216" w:lineRule="auto"/>
        <w:jc w:val="center"/>
        <w:rPr>
          <w:rFonts w:hint="eastAsia" w:ascii="仿宋" w:hAnsi="仿宋" w:eastAsia="仿宋" w:cs="仿宋"/>
          <w:kern w:val="0"/>
          <w:sz w:val="30"/>
        </w:rPr>
      </w:pPr>
    </w:p>
    <w:p>
      <w:pPr>
        <w:spacing w:line="216" w:lineRule="auto"/>
        <w:jc w:val="center"/>
        <w:rPr>
          <w:rFonts w:hint="eastAsia" w:ascii="仿宋" w:hAnsi="仿宋" w:eastAsia="仿宋" w:cs="仿宋"/>
          <w:kern w:val="0"/>
          <w:sz w:val="30"/>
        </w:rPr>
      </w:pPr>
    </w:p>
    <w:p>
      <w:pPr>
        <w:spacing w:line="216" w:lineRule="auto"/>
        <w:jc w:val="center"/>
        <w:rPr>
          <w:rFonts w:hint="eastAsia" w:ascii="仿宋" w:hAnsi="仿宋" w:eastAsia="仿宋" w:cs="仿宋"/>
          <w:kern w:val="0"/>
          <w:sz w:val="30"/>
        </w:rPr>
      </w:pPr>
    </w:p>
    <w:p>
      <w:pPr>
        <w:spacing w:line="216" w:lineRule="auto"/>
        <w:jc w:val="center"/>
        <w:rPr>
          <w:rFonts w:hint="eastAsia" w:ascii="仿宋" w:hAnsi="仿宋" w:eastAsia="仿宋" w:cs="仿宋"/>
          <w:kern w:val="0"/>
          <w:sz w:val="30"/>
        </w:rPr>
      </w:pPr>
    </w:p>
    <w:p>
      <w:pPr>
        <w:spacing w:line="216" w:lineRule="auto"/>
        <w:rPr>
          <w:rFonts w:hint="eastAsia" w:ascii="仿宋" w:hAnsi="仿宋" w:eastAsia="仿宋" w:cs="仿宋"/>
          <w:kern w:val="0"/>
          <w:sz w:val="30"/>
        </w:rPr>
      </w:pPr>
      <w:r>
        <w:rPr>
          <w:rFonts w:hint="eastAsia" w:ascii="仿宋" w:hAnsi="仿宋" w:eastAsia="仿宋" w:cs="仿宋"/>
          <w:kern w:val="0"/>
          <w:sz w:val="30"/>
        </w:rPr>
        <w:t xml:space="preserve">          备案单位：杭州市西湖区农业农村局</w:t>
      </w:r>
    </w:p>
    <w:p>
      <w:pPr>
        <w:spacing w:line="216" w:lineRule="auto"/>
        <w:rPr>
          <w:rFonts w:hint="eastAsia" w:ascii="仿宋" w:hAnsi="仿宋" w:eastAsia="仿宋" w:cs="仿宋"/>
          <w:kern w:val="0"/>
          <w:sz w:val="30"/>
        </w:rPr>
      </w:pPr>
    </w:p>
    <w:p>
      <w:pPr>
        <w:spacing w:line="216" w:lineRule="auto"/>
        <w:ind w:firstLine="1500" w:firstLineChars="500"/>
        <w:rPr>
          <w:rFonts w:hint="eastAsia" w:ascii="仿宋" w:hAnsi="仿宋" w:eastAsia="仿宋" w:cs="仿宋"/>
          <w:kern w:val="0"/>
          <w:sz w:val="30"/>
        </w:rPr>
      </w:pPr>
      <w:r>
        <w:rPr>
          <w:rFonts w:hint="eastAsia" w:ascii="仿宋" w:hAnsi="仿宋" w:eastAsia="仿宋" w:cs="仿宋"/>
          <w:kern w:val="0"/>
          <w:sz w:val="30"/>
        </w:rPr>
        <w:t>采购单位</w:t>
      </w:r>
      <w:r>
        <w:rPr>
          <w:rFonts w:hint="eastAsia" w:ascii="仿宋" w:hAnsi="仿宋" w:eastAsia="仿宋" w:cs="仿宋"/>
          <w:sz w:val="30"/>
        </w:rPr>
        <w:t>：杭州市西湖区排灌设施管理服务站</w:t>
      </w:r>
    </w:p>
    <w:p>
      <w:pPr>
        <w:spacing w:line="216" w:lineRule="auto"/>
        <w:ind w:firstLine="2100" w:firstLineChars="700"/>
        <w:rPr>
          <w:rFonts w:hint="eastAsia" w:ascii="仿宋" w:hAnsi="仿宋" w:eastAsia="仿宋" w:cs="仿宋"/>
          <w:kern w:val="0"/>
          <w:sz w:val="30"/>
        </w:rPr>
      </w:pPr>
    </w:p>
    <w:p>
      <w:pPr>
        <w:widowControl/>
        <w:autoSpaceDE w:val="0"/>
        <w:autoSpaceDN w:val="0"/>
        <w:jc w:val="center"/>
        <w:textAlignment w:val="bottom"/>
        <w:rPr>
          <w:rFonts w:hint="eastAsia" w:ascii="仿宋" w:hAnsi="仿宋" w:eastAsia="仿宋" w:cs="仿宋"/>
          <w:b/>
          <w:sz w:val="44"/>
        </w:rPr>
      </w:pPr>
      <w:r>
        <w:rPr>
          <w:rFonts w:hint="eastAsia" w:ascii="仿宋" w:hAnsi="仿宋" w:eastAsia="仿宋" w:cs="仿宋"/>
          <w:sz w:val="30"/>
        </w:rPr>
        <w:t>招标代理单位：浙江建友工程咨询有限公司</w:t>
      </w:r>
    </w:p>
    <w:p>
      <w:pPr>
        <w:jc w:val="center"/>
        <w:rPr>
          <w:rFonts w:hint="eastAsia" w:ascii="仿宋" w:hAnsi="仿宋" w:eastAsia="仿宋" w:cs="仿宋"/>
          <w:sz w:val="30"/>
        </w:rPr>
      </w:pPr>
    </w:p>
    <w:p>
      <w:pPr>
        <w:jc w:val="center"/>
        <w:rPr>
          <w:rFonts w:hint="eastAsia" w:ascii="仿宋" w:hAnsi="仿宋" w:eastAsia="仿宋" w:cs="仿宋"/>
          <w:sz w:val="30"/>
        </w:rPr>
      </w:pPr>
      <w:r>
        <w:rPr>
          <w:rFonts w:hint="eastAsia" w:ascii="仿宋" w:hAnsi="仿宋" w:eastAsia="仿宋" w:cs="仿宋"/>
          <w:sz w:val="30"/>
        </w:rPr>
        <w:t>二</w:t>
      </w:r>
      <w:r>
        <w:rPr>
          <w:rFonts w:hint="eastAsia" w:ascii="仿宋" w:hAnsi="仿宋" w:eastAsia="仿宋" w:cs="仿宋"/>
          <w:b/>
          <w:sz w:val="30"/>
        </w:rPr>
        <w:t>Ｏ二二</w:t>
      </w:r>
      <w:r>
        <w:rPr>
          <w:rFonts w:hint="eastAsia" w:ascii="仿宋" w:hAnsi="仿宋" w:eastAsia="仿宋" w:cs="仿宋"/>
          <w:sz w:val="30"/>
        </w:rPr>
        <w:t>年</w:t>
      </w:r>
      <w:r>
        <w:rPr>
          <w:rFonts w:hint="eastAsia" w:ascii="仿宋" w:hAnsi="仿宋" w:eastAsia="仿宋" w:cs="仿宋"/>
          <w:sz w:val="30"/>
          <w:lang w:val="en-US" w:eastAsia="zh-CN"/>
        </w:rPr>
        <w:t>十一</w:t>
      </w:r>
      <w:r>
        <w:rPr>
          <w:rFonts w:hint="eastAsia" w:ascii="仿宋" w:hAnsi="仿宋" w:eastAsia="仿宋" w:cs="仿宋"/>
          <w:sz w:val="30"/>
        </w:rPr>
        <w:t>月</w:t>
      </w:r>
    </w:p>
    <w:p>
      <w:pPr>
        <w:jc w:val="center"/>
        <w:rPr>
          <w:rFonts w:hint="eastAsia" w:ascii="仿宋" w:hAnsi="仿宋" w:eastAsia="仿宋" w:cs="仿宋"/>
          <w:b/>
          <w:sz w:val="52"/>
          <w:szCs w:val="52"/>
        </w:rPr>
      </w:pPr>
      <w:r>
        <w:rPr>
          <w:rFonts w:hint="eastAsia" w:ascii="仿宋" w:hAnsi="仿宋" w:eastAsia="仿宋" w:cs="仿宋"/>
          <w:sz w:val="30"/>
        </w:rPr>
        <w:br w:type="page"/>
      </w:r>
    </w:p>
    <w:p>
      <w:pPr>
        <w:autoSpaceDE w:val="0"/>
        <w:autoSpaceDN w:val="0"/>
        <w:jc w:val="center"/>
        <w:textAlignment w:val="bottom"/>
        <w:outlineLvl w:val="0"/>
        <w:rPr>
          <w:rFonts w:hint="eastAsia" w:ascii="仿宋" w:hAnsi="仿宋" w:eastAsia="仿宋" w:cs="仿宋"/>
          <w:b/>
          <w:sz w:val="52"/>
          <w:szCs w:val="52"/>
        </w:rPr>
      </w:pPr>
      <w:r>
        <w:rPr>
          <w:rFonts w:hint="eastAsia" w:ascii="仿宋" w:hAnsi="仿宋" w:eastAsia="仿宋" w:cs="仿宋"/>
          <w:b/>
          <w:sz w:val="52"/>
          <w:szCs w:val="52"/>
        </w:rPr>
        <w:t>目         录</w:t>
      </w:r>
    </w:p>
    <w:p>
      <w:pPr>
        <w:autoSpaceDE w:val="0"/>
        <w:autoSpaceDN w:val="0"/>
        <w:jc w:val="center"/>
        <w:textAlignment w:val="bottom"/>
        <w:outlineLvl w:val="0"/>
        <w:rPr>
          <w:rFonts w:hint="eastAsia" w:ascii="仿宋" w:hAnsi="仿宋" w:eastAsia="仿宋" w:cs="仿宋"/>
          <w:b/>
          <w:sz w:val="44"/>
        </w:rPr>
      </w:pPr>
    </w:p>
    <w:p>
      <w:pPr>
        <w:rPr>
          <w:rFonts w:hint="eastAsia" w:ascii="仿宋" w:hAnsi="仿宋" w:eastAsia="仿宋" w:cs="仿宋"/>
          <w:b/>
          <w:bCs/>
          <w:sz w:val="32"/>
        </w:rPr>
      </w:pPr>
    </w:p>
    <w:p>
      <w:pPr>
        <w:spacing w:line="360" w:lineRule="auto"/>
        <w:ind w:firstLine="1040" w:firstLineChars="325"/>
        <w:rPr>
          <w:rFonts w:hint="eastAsia" w:ascii="仿宋" w:hAnsi="仿宋" w:eastAsia="仿宋" w:cs="仿宋"/>
          <w:sz w:val="32"/>
        </w:rPr>
      </w:pPr>
      <w:r>
        <w:rPr>
          <w:rFonts w:hint="eastAsia" w:ascii="仿宋" w:hAnsi="仿宋" w:eastAsia="仿宋" w:cs="仿宋"/>
          <w:sz w:val="32"/>
        </w:rPr>
        <w:t>第一章      招标公告</w:t>
      </w:r>
    </w:p>
    <w:p>
      <w:pPr>
        <w:spacing w:line="360" w:lineRule="auto"/>
        <w:ind w:firstLine="1040" w:firstLineChars="325"/>
        <w:rPr>
          <w:rFonts w:hint="eastAsia" w:ascii="仿宋" w:hAnsi="仿宋" w:eastAsia="仿宋" w:cs="仿宋"/>
          <w:sz w:val="32"/>
        </w:rPr>
      </w:pPr>
      <w:r>
        <w:rPr>
          <w:rFonts w:hint="eastAsia" w:ascii="仿宋" w:hAnsi="仿宋" w:eastAsia="仿宋" w:cs="仿宋"/>
          <w:sz w:val="32"/>
        </w:rPr>
        <w:t>第二章      编制和提交投标文件须知</w:t>
      </w:r>
    </w:p>
    <w:p>
      <w:pPr>
        <w:spacing w:line="360" w:lineRule="auto"/>
        <w:ind w:firstLine="1040" w:firstLineChars="325"/>
        <w:rPr>
          <w:rFonts w:hint="eastAsia" w:ascii="仿宋" w:hAnsi="仿宋" w:eastAsia="仿宋" w:cs="仿宋"/>
          <w:sz w:val="32"/>
        </w:rPr>
      </w:pPr>
      <w:r>
        <w:rPr>
          <w:rFonts w:hint="eastAsia" w:ascii="仿宋" w:hAnsi="仿宋" w:eastAsia="仿宋" w:cs="仿宋"/>
          <w:sz w:val="32"/>
        </w:rPr>
        <w:t>第三章      项目技术规范和服务要求</w:t>
      </w:r>
    </w:p>
    <w:p>
      <w:pPr>
        <w:spacing w:line="360" w:lineRule="auto"/>
        <w:ind w:firstLine="1040" w:firstLineChars="325"/>
        <w:rPr>
          <w:rFonts w:hint="eastAsia" w:ascii="仿宋" w:hAnsi="仿宋" w:eastAsia="仿宋" w:cs="仿宋"/>
          <w:sz w:val="32"/>
        </w:rPr>
      </w:pPr>
      <w:r>
        <w:rPr>
          <w:rFonts w:hint="eastAsia" w:ascii="仿宋" w:hAnsi="仿宋" w:eastAsia="仿宋" w:cs="仿宋"/>
          <w:sz w:val="32"/>
        </w:rPr>
        <w:t>第四章      采购合同的一般和特殊条款</w:t>
      </w:r>
    </w:p>
    <w:p>
      <w:pPr>
        <w:spacing w:line="360" w:lineRule="auto"/>
        <w:ind w:firstLine="1040" w:firstLineChars="325"/>
        <w:rPr>
          <w:rFonts w:hint="eastAsia" w:ascii="仿宋" w:hAnsi="仿宋" w:eastAsia="仿宋" w:cs="仿宋"/>
          <w:sz w:val="32"/>
        </w:rPr>
      </w:pPr>
      <w:r>
        <w:rPr>
          <w:rFonts w:hint="eastAsia" w:ascii="仿宋" w:hAnsi="仿宋" w:eastAsia="仿宋" w:cs="仿宋"/>
          <w:sz w:val="32"/>
        </w:rPr>
        <w:t>第五章      财务结算程序</w:t>
      </w:r>
    </w:p>
    <w:p>
      <w:pPr>
        <w:spacing w:line="360" w:lineRule="auto"/>
        <w:ind w:firstLine="1040" w:firstLineChars="325"/>
        <w:rPr>
          <w:rFonts w:hint="eastAsia" w:ascii="仿宋" w:hAnsi="仿宋" w:eastAsia="仿宋" w:cs="仿宋"/>
          <w:b/>
          <w:sz w:val="32"/>
        </w:rPr>
      </w:pPr>
      <w:r>
        <w:rPr>
          <w:rFonts w:hint="eastAsia" w:ascii="仿宋" w:hAnsi="仿宋" w:eastAsia="仿宋" w:cs="仿宋"/>
          <w:sz w:val="32"/>
        </w:rPr>
        <w:t>第六章      应提交的有关格式范例</w:t>
      </w: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sz w:val="32"/>
        </w:rPr>
      </w:pPr>
    </w:p>
    <w:p>
      <w:pPr>
        <w:widowControl/>
        <w:autoSpaceDE w:val="0"/>
        <w:autoSpaceDN w:val="0"/>
        <w:textAlignment w:val="bottom"/>
        <w:rPr>
          <w:rFonts w:hint="eastAsia" w:ascii="仿宋" w:hAnsi="仿宋" w:eastAsia="仿宋" w:cs="仿宋"/>
          <w:bCs/>
          <w:sz w:val="44"/>
        </w:rPr>
      </w:pPr>
    </w:p>
    <w:p>
      <w:pPr>
        <w:widowControl/>
        <w:autoSpaceDE w:val="0"/>
        <w:autoSpaceDN w:val="0"/>
        <w:textAlignment w:val="bottom"/>
        <w:rPr>
          <w:rFonts w:hint="eastAsia" w:ascii="仿宋" w:hAnsi="仿宋" w:eastAsia="仿宋" w:cs="仿宋"/>
          <w:b/>
          <w:sz w:val="36"/>
        </w:rPr>
        <w:sectPr>
          <w:headerReference r:id="rId4" w:type="first"/>
          <w:footerReference r:id="rId7" w:type="first"/>
          <w:headerReference r:id="rId3" w:type="default"/>
          <w:footerReference r:id="rId5" w:type="default"/>
          <w:footerReference r:id="rId6" w:type="even"/>
          <w:type w:val="nextColumn"/>
          <w:pgSz w:w="11906" w:h="16838"/>
          <w:pgMar w:top="1440" w:right="1474" w:bottom="1440" w:left="1474" w:header="851" w:footer="1247" w:gutter="284"/>
          <w:pgNumType w:start="1"/>
          <w:cols w:space="720" w:num="1"/>
          <w:titlePg/>
          <w:docGrid w:linePitch="285" w:charSpace="0"/>
        </w:sectPr>
      </w:pPr>
    </w:p>
    <w:p>
      <w:pPr>
        <w:numPr>
          <w:ilvl w:val="0"/>
          <w:numId w:val="26"/>
        </w:numPr>
        <w:spacing w:line="312" w:lineRule="auto"/>
        <w:jc w:val="center"/>
        <w:rPr>
          <w:rFonts w:hint="eastAsia" w:ascii="仿宋" w:hAnsi="仿宋" w:eastAsia="仿宋" w:cs="仿宋"/>
          <w:b/>
          <w:sz w:val="36"/>
        </w:rPr>
      </w:pPr>
      <w:r>
        <w:rPr>
          <w:rFonts w:hint="eastAsia" w:ascii="仿宋" w:hAnsi="仿宋" w:eastAsia="仿宋" w:cs="仿宋"/>
          <w:b/>
          <w:sz w:val="36"/>
        </w:rPr>
        <w:t xml:space="preserve"> 招标公告</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41"/>
              <w:spacing w:before="75" w:beforeAutospacing="0" w:after="75" w:afterAutospacing="0"/>
              <w:rPr>
                <w:rFonts w:hint="eastAsia" w:ascii="仿宋" w:hAnsi="仿宋" w:eastAsia="仿宋" w:cs="仿宋"/>
                <w:szCs w:val="24"/>
              </w:rPr>
            </w:pPr>
            <w:r>
              <w:rPr>
                <w:rFonts w:ascii="仿宋" w:hAnsi="仿宋" w:eastAsia="仿宋" w:cs="仿宋"/>
                <w:sz w:val="27"/>
                <w:szCs w:val="27"/>
              </w:rPr>
              <w:t> </w:t>
            </w:r>
            <w:r>
              <w:rPr>
                <w:rFonts w:ascii="仿宋" w:hAnsi="仿宋" w:eastAsia="仿宋" w:cs="仿宋"/>
                <w:szCs w:val="24"/>
              </w:rPr>
              <w:t xml:space="preserve"> 项目概况</w:t>
            </w:r>
            <w:r>
              <w:rPr>
                <w:rFonts w:hint="eastAsia" w:ascii="仿宋" w:hAnsi="仿宋" w:eastAsia="仿宋" w:cs="仿宋"/>
                <w:szCs w:val="24"/>
              </w:rPr>
              <w:t>                                                    </w:t>
            </w:r>
          </w:p>
          <w:p>
            <w:pPr>
              <w:spacing w:line="216" w:lineRule="auto"/>
              <w:rPr>
                <w:rFonts w:ascii="仿宋" w:hAnsi="仿宋" w:eastAsia="仿宋" w:cs="仿宋"/>
                <w:kern w:val="0"/>
                <w:sz w:val="30"/>
              </w:rPr>
            </w:pPr>
            <w:r>
              <w:rPr>
                <w:rFonts w:hint="eastAsia" w:ascii="仿宋" w:hAnsi="仿宋" w:eastAsia="仿宋" w:cs="仿宋"/>
              </w:rPr>
              <w:t xml:space="preserve">  </w:t>
            </w:r>
            <w:r>
              <w:rPr>
                <w:rFonts w:hint="eastAsia" w:ascii="仿宋" w:hAnsi="仿宋" w:eastAsia="仿宋" w:cs="仿宋"/>
                <w:kern w:val="0"/>
                <w:sz w:val="24"/>
              </w:rPr>
              <w:t>杭州市西湖区农业农村局委托下属单位杭州市西湖区排灌设施管理服务站作为本项目采购人，负责实施西湖区排灌泵闸站委托运维管理项目的招标采购。</w:t>
            </w:r>
          </w:p>
          <w:p>
            <w:pPr>
              <w:pStyle w:val="41"/>
              <w:spacing w:before="75" w:beforeAutospacing="0" w:after="75" w:afterAutospacing="0"/>
              <w:rPr>
                <w:rFonts w:ascii="仿宋" w:hAnsi="仿宋" w:eastAsia="仿宋" w:cs="仿宋"/>
                <w:sz w:val="27"/>
                <w:szCs w:val="27"/>
              </w:rPr>
            </w:pPr>
            <w:r>
              <w:rPr>
                <w:rFonts w:hint="eastAsia" w:ascii="仿宋" w:hAnsi="仿宋" w:eastAsia="仿宋" w:cs="仿宋"/>
                <w:szCs w:val="24"/>
              </w:rPr>
              <w:t>  西湖区排灌泵闸站委托运维管理项目招标项目的潜在投标人应在https://www.zcygov.cn获取（下载）招标文件，并于2022年</w:t>
            </w:r>
            <w:r>
              <w:rPr>
                <w:rFonts w:hint="eastAsia" w:ascii="仿宋" w:hAnsi="仿宋" w:eastAsia="仿宋" w:cs="仿宋"/>
                <w:szCs w:val="24"/>
                <w:lang w:val="en-US" w:eastAsia="zh-CN"/>
              </w:rPr>
              <w:t>12</w:t>
            </w:r>
            <w:r>
              <w:rPr>
                <w:rFonts w:hint="eastAsia" w:ascii="仿宋" w:hAnsi="仿宋" w:eastAsia="仿宋" w:cs="仿宋"/>
                <w:szCs w:val="24"/>
              </w:rPr>
              <w:t>月</w:t>
            </w:r>
            <w:r>
              <w:rPr>
                <w:rFonts w:hint="eastAsia" w:ascii="仿宋" w:hAnsi="仿宋" w:eastAsia="仿宋" w:cs="仿宋"/>
                <w:szCs w:val="24"/>
                <w:lang w:val="en-US" w:eastAsia="zh-CN"/>
              </w:rPr>
              <w:t>9</w:t>
            </w:r>
            <w:r>
              <w:rPr>
                <w:rFonts w:hint="eastAsia" w:ascii="仿宋" w:hAnsi="仿宋" w:eastAsia="仿宋" w:cs="仿宋"/>
                <w:szCs w:val="24"/>
              </w:rPr>
              <w:t xml:space="preserve">日 13:30（北京时间）前递交（上传）投标文件。    </w:t>
            </w:r>
          </w:p>
        </w:tc>
      </w:tr>
    </w:tbl>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 xml:space="preserve">一、项目基本情况 </w:t>
      </w:r>
      <w:r>
        <w:rPr>
          <w:rFonts w:hint="eastAsia" w:ascii="仿宋" w:hAnsi="仿宋" w:eastAsia="仿宋" w:cs="仿宋"/>
          <w:szCs w:val="24"/>
        </w:rPr>
        <w:t xml:space="preserve">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项目编号：ZJJY-HZBB-2022-039</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项目名称：西湖区排灌泵闸站委托运维管理项目</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预算金额（元/年）：13928022</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最高限价（元/年）：13928022</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采购需求：</w:t>
      </w:r>
    </w:p>
    <w:p>
      <w:pPr>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标项一:</w:t>
      </w:r>
    </w:p>
    <w:p>
      <w:pPr>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    标项名称:西湖区排灌泵闸站委托运维管理项目</w:t>
      </w:r>
    </w:p>
    <w:p>
      <w:pPr>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    数量: 1项</w:t>
      </w:r>
    </w:p>
    <w:p>
      <w:pPr>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    预算金额（元/年）: </w:t>
      </w:r>
      <w:r>
        <w:rPr>
          <w:rFonts w:hint="eastAsia" w:ascii="仿宋" w:hAnsi="仿宋" w:eastAsia="仿宋" w:cs="仿宋"/>
          <w:kern w:val="0"/>
          <w:sz w:val="24"/>
        </w:rPr>
        <w:t> 13928022</w:t>
      </w:r>
    </w:p>
    <w:p>
      <w:pPr>
        <w:adjustRightInd w:val="0"/>
        <w:snapToGrid w:val="0"/>
        <w:ind w:firstLine="480" w:firstLineChars="200"/>
        <w:rPr>
          <w:rFonts w:hint="eastAsia" w:ascii="仿宋" w:hAnsi="仿宋" w:eastAsia="仿宋" w:cs="仿宋"/>
          <w:sz w:val="24"/>
          <w:lang w:eastAsia="zh-CN"/>
        </w:rPr>
      </w:pPr>
      <w:r>
        <w:rPr>
          <w:rFonts w:hint="eastAsia" w:ascii="仿宋" w:hAnsi="仿宋" w:eastAsia="仿宋" w:cs="仿宋"/>
          <w:sz w:val="24"/>
        </w:rPr>
        <w:t>    简要规格描述或项目基本概况介绍、用途：本项目位于杭州市西湖区之江地区，本次委托运行维护管理项目主要内容为：九溪水闸、大刀沙泵站、四五排灌站、赤通浦排涝站、白茅湖排灌站、四号浦排灌站、三阳排灌站、社井泵站、社井水闸等七站二闸站区、管理范围及保护范围的运行维护管理，受委托运行管理的 33 个小型机埠水闸站区水工建筑物及防汛配水设施设备运行维护管理，防汛仓库管理，河道巡查，应急排水车运行维护及应急管理等，除潜水泵返厂大修、闸门大修、应急抢险、电气预防性试验以外的所有设施设备的维修养护。包括但不限于泵闸站建筑及附属物、计算机控制系统、自动化控制系统、视频监控系统、泵闸现地控制系统、泵闸站照明系统、工程观测、绿化养护、公共设施养护、安全生产、**保卫、应急值守、疫情防控、防潮管理、办公物业、卫生保洁、垃圾分类、清淤清运、污水处理等</w:t>
      </w:r>
      <w:r>
        <w:rPr>
          <w:rFonts w:hint="eastAsia" w:ascii="仿宋" w:hAnsi="仿宋" w:eastAsia="仿宋" w:cs="仿宋"/>
          <w:kern w:val="0"/>
          <w:sz w:val="24"/>
        </w:rPr>
        <w:t>。详见附件：采购文件第三章项目技术规范和服务要求。</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    备注： /</w:t>
      </w:r>
    </w:p>
    <w:p>
      <w:pPr>
        <w:adjustRightInd w:val="0"/>
        <w:snapToGrid w:val="0"/>
        <w:spacing w:line="360" w:lineRule="auto"/>
        <w:ind w:firstLine="480" w:firstLineChars="200"/>
        <w:rPr>
          <w:rFonts w:hint="eastAsia" w:ascii="仿宋" w:hAnsi="仿宋" w:eastAsia="仿宋" w:cs="仿宋"/>
          <w:b/>
        </w:rPr>
      </w:pPr>
      <w:r>
        <w:rPr>
          <w:rFonts w:hint="eastAsia" w:ascii="仿宋" w:hAnsi="仿宋" w:eastAsia="仿宋" w:cs="仿宋"/>
          <w:sz w:val="24"/>
        </w:rPr>
        <w:t>合同履约期限：2023年1月1日至 2025年 12月31日</w:t>
      </w:r>
      <w:r>
        <w:rPr>
          <w:rFonts w:hint="eastAsia" w:ascii="仿宋" w:hAnsi="仿宋" w:eastAsia="仿宋" w:cs="仿宋"/>
          <w:b/>
        </w:rPr>
        <w:t>（</w:t>
      </w:r>
      <w:r>
        <w:rPr>
          <w:rFonts w:hint="eastAsia" w:ascii="仿宋" w:hAnsi="仿宋" w:eastAsia="仿宋" w:cs="仿宋"/>
          <w:b/>
          <w:bCs/>
          <w:sz w:val="24"/>
        </w:rPr>
        <w:t>服务期3年</w:t>
      </w:r>
      <w:r>
        <w:rPr>
          <w:rFonts w:hint="eastAsia" w:ascii="仿宋" w:hAnsi="仿宋" w:eastAsia="仿宋" w:cs="仿宋"/>
          <w:sz w:val="24"/>
        </w:rPr>
        <w:t>，合同一年一签，合同期内，中标单位没有按合同规定服务，采购单位有权终止合同，且采购单位不承担任何违约责任，并另行招标采购；服务期内，供应商能严格履行合同，采购单位才同意续签。</w:t>
      </w:r>
      <w:r>
        <w:rPr>
          <w:rFonts w:hint="eastAsia" w:ascii="仿宋" w:hAnsi="仿宋" w:eastAsia="仿宋" w:cs="仿宋"/>
          <w:b/>
        </w:rPr>
        <w:t>）</w:t>
      </w:r>
    </w:p>
    <w:p>
      <w:pPr>
        <w:pStyle w:val="41"/>
        <w:spacing w:before="75" w:beforeAutospacing="0" w:after="75" w:afterAutospacing="0"/>
        <w:ind w:firstLine="373"/>
        <w:rPr>
          <w:rFonts w:hint="eastAsia" w:ascii="仿宋" w:hAnsi="仿宋" w:eastAsia="仿宋" w:cs="仿宋"/>
          <w:szCs w:val="24"/>
        </w:rPr>
      </w:pPr>
      <w:r>
        <w:rPr>
          <w:rFonts w:hint="eastAsia" w:ascii="仿宋" w:hAnsi="仿宋" w:eastAsia="仿宋" w:cs="仿宋"/>
          <w:szCs w:val="24"/>
        </w:rPr>
        <w:t>本项目（否）接受联合体投标。</w:t>
      </w:r>
    </w:p>
    <w:p>
      <w:pPr>
        <w:pStyle w:val="41"/>
        <w:spacing w:before="225" w:beforeAutospacing="0" w:after="225" w:afterAutospacing="0"/>
        <w:rPr>
          <w:rFonts w:hint="eastAsia" w:ascii="仿宋" w:hAnsi="仿宋" w:eastAsia="仿宋" w:cs="仿宋"/>
          <w:szCs w:val="24"/>
        </w:rPr>
      </w:pPr>
      <w:r>
        <w:rPr>
          <w:rStyle w:val="48"/>
          <w:rFonts w:hint="eastAsia" w:ascii="仿宋" w:hAnsi="仿宋" w:eastAsia="仿宋" w:cs="仿宋"/>
          <w:szCs w:val="24"/>
        </w:rPr>
        <w:t>二、申请人的资格要求：</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xml:space="preserve">   1.</w:t>
      </w:r>
      <w:r>
        <w:rPr>
          <w:rFonts w:hint="eastAsia" w:ascii="仿宋" w:hAnsi="仿宋" w:eastAsia="仿宋" w:cs="仿宋"/>
          <w:szCs w:val="24"/>
          <w:lang w:val="en-US" w:eastAsia="zh-CN"/>
        </w:rPr>
        <w:t>符合</w:t>
      </w:r>
      <w:r>
        <w:rPr>
          <w:rFonts w:hint="eastAsia" w:ascii="仿宋" w:hAnsi="仿宋" w:eastAsia="仿宋" w:cs="仿宋"/>
          <w:szCs w:val="24"/>
        </w:rPr>
        <w:t>《中华人民共和国政府采购法》第二十二条规定；未被“信用中国”（www.creditchina.gov.cn)、中国政府采购网（www.ccgp.gov.cn）列入失信被执行人、重大税收违法案件当事人名单、政府采购严重违法失信行为记录名单。</w:t>
      </w:r>
    </w:p>
    <w:p>
      <w:pPr>
        <w:pStyle w:val="41"/>
        <w:spacing w:before="75" w:beforeAutospacing="0" w:after="75" w:afterAutospacing="0"/>
        <w:ind w:firstLine="373"/>
        <w:rPr>
          <w:rFonts w:hint="eastAsia" w:ascii="仿宋" w:hAnsi="仿宋" w:eastAsia="仿宋" w:cs="仿宋"/>
          <w:szCs w:val="24"/>
        </w:rPr>
      </w:pPr>
      <w:r>
        <w:rPr>
          <w:rFonts w:hint="eastAsia" w:ascii="仿宋" w:hAnsi="仿宋" w:eastAsia="仿宋" w:cs="仿宋"/>
          <w:szCs w:val="24"/>
        </w:rPr>
        <w:t>2.落实政府采购政策需满足的资格要求：无</w:t>
      </w:r>
    </w:p>
    <w:p>
      <w:pPr>
        <w:pStyle w:val="41"/>
        <w:spacing w:before="75" w:beforeAutospacing="0" w:after="75" w:afterAutospacing="0"/>
        <w:ind w:firstLine="373"/>
        <w:rPr>
          <w:rFonts w:hint="eastAsia" w:ascii="仿宋" w:hAnsi="仿宋" w:eastAsia="仿宋" w:cs="仿宋"/>
          <w:szCs w:val="24"/>
        </w:rPr>
      </w:pPr>
      <w:r>
        <w:rPr>
          <w:rFonts w:hint="eastAsia" w:ascii="仿宋" w:hAnsi="仿宋" w:eastAsia="仿宋" w:cs="仿宋"/>
          <w:szCs w:val="24"/>
        </w:rPr>
        <w:t>3.本项目的特定资格要求：无</w:t>
      </w:r>
    </w:p>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三、获取招标文件</w:t>
      </w:r>
      <w:r>
        <w:rPr>
          <w:rFonts w:hint="eastAsia" w:ascii="仿宋" w:hAnsi="仿宋" w:eastAsia="仿宋" w:cs="仿宋"/>
          <w:szCs w:val="24"/>
        </w:rPr>
        <w:t>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时间：/至2022年</w:t>
      </w:r>
      <w:r>
        <w:rPr>
          <w:rFonts w:hint="eastAsia" w:ascii="仿宋" w:hAnsi="仿宋" w:eastAsia="仿宋" w:cs="仿宋"/>
          <w:szCs w:val="24"/>
          <w:lang w:val="en-US" w:eastAsia="zh-CN"/>
        </w:rPr>
        <w:t>12</w:t>
      </w:r>
      <w:r>
        <w:rPr>
          <w:rFonts w:hint="eastAsia" w:ascii="仿宋" w:hAnsi="仿宋" w:eastAsia="仿宋" w:cs="仿宋"/>
          <w:szCs w:val="24"/>
        </w:rPr>
        <w:t>月</w:t>
      </w:r>
      <w:r>
        <w:rPr>
          <w:rFonts w:hint="eastAsia" w:ascii="仿宋" w:hAnsi="仿宋" w:eastAsia="仿宋" w:cs="仿宋"/>
          <w:szCs w:val="24"/>
          <w:lang w:val="en-US" w:eastAsia="zh-CN"/>
        </w:rPr>
        <w:t>9</w:t>
      </w:r>
      <w:r>
        <w:rPr>
          <w:rFonts w:hint="eastAsia" w:ascii="仿宋" w:hAnsi="仿宋" w:eastAsia="仿宋" w:cs="仿宋"/>
          <w:szCs w:val="24"/>
        </w:rPr>
        <w:t>日 ，每天上午00:00至12:00 ，下午12:00至23:59（北京时间，线上获取法定节假日均可，线下获取文件法定节假日除外）</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地点（网址）：https://www.zcygov.cn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方式：线上获取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售价（元）：0 </w:t>
      </w:r>
    </w:p>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四、提交投标文件截止时间、开标时间和地点</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提交投标文件截止时间：2022年</w:t>
      </w:r>
      <w:r>
        <w:rPr>
          <w:rFonts w:hint="eastAsia" w:ascii="仿宋" w:hAnsi="仿宋" w:eastAsia="仿宋" w:cs="仿宋"/>
          <w:szCs w:val="24"/>
          <w:lang w:val="en-US" w:eastAsia="zh-CN"/>
        </w:rPr>
        <w:t>12</w:t>
      </w:r>
      <w:r>
        <w:rPr>
          <w:rFonts w:hint="eastAsia" w:ascii="仿宋" w:hAnsi="仿宋" w:eastAsia="仿宋" w:cs="仿宋"/>
          <w:szCs w:val="24"/>
        </w:rPr>
        <w:t>月</w:t>
      </w:r>
      <w:r>
        <w:rPr>
          <w:rFonts w:hint="eastAsia" w:ascii="仿宋" w:hAnsi="仿宋" w:eastAsia="仿宋" w:cs="仿宋"/>
          <w:szCs w:val="24"/>
          <w:lang w:val="en-US" w:eastAsia="zh-CN"/>
        </w:rPr>
        <w:t>9</w:t>
      </w:r>
      <w:r>
        <w:rPr>
          <w:rFonts w:hint="eastAsia" w:ascii="仿宋" w:hAnsi="仿宋" w:eastAsia="仿宋" w:cs="仿宋"/>
          <w:szCs w:val="24"/>
        </w:rPr>
        <w:t>日 13:30（北京时间）</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投标地点（网址）：https://www.zcygov.cn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开标时间：2022年</w:t>
      </w:r>
      <w:r>
        <w:rPr>
          <w:rFonts w:hint="eastAsia" w:ascii="仿宋" w:hAnsi="仿宋" w:eastAsia="仿宋" w:cs="仿宋"/>
          <w:szCs w:val="24"/>
          <w:lang w:val="en-US" w:eastAsia="zh-CN"/>
        </w:rPr>
        <w:t>12</w:t>
      </w:r>
      <w:r>
        <w:rPr>
          <w:rFonts w:hint="eastAsia" w:ascii="仿宋" w:hAnsi="仿宋" w:eastAsia="仿宋" w:cs="仿宋"/>
          <w:szCs w:val="24"/>
        </w:rPr>
        <w:t>月</w:t>
      </w:r>
      <w:r>
        <w:rPr>
          <w:rFonts w:hint="eastAsia" w:ascii="仿宋" w:hAnsi="仿宋" w:eastAsia="仿宋" w:cs="仿宋"/>
          <w:szCs w:val="24"/>
          <w:lang w:val="en-US" w:eastAsia="zh-CN"/>
        </w:rPr>
        <w:t>9</w:t>
      </w:r>
      <w:r>
        <w:rPr>
          <w:rFonts w:hint="eastAsia" w:ascii="仿宋" w:hAnsi="仿宋" w:eastAsia="仿宋" w:cs="仿宋"/>
          <w:szCs w:val="24"/>
        </w:rPr>
        <w:t>日 13:30（北京时间）</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开标地点（网址）：https://www.zcygov.cn  </w:t>
      </w:r>
    </w:p>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五、公告期限</w:t>
      </w:r>
      <w:r>
        <w:rPr>
          <w:rFonts w:hint="eastAsia" w:ascii="仿宋" w:hAnsi="仿宋" w:eastAsia="仿宋" w:cs="仿宋"/>
          <w:szCs w:val="24"/>
        </w:rPr>
        <w:t>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自本公告发布之日起5个工作日。</w:t>
      </w:r>
    </w:p>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六、其他补充事宜</w:t>
      </w:r>
    </w:p>
    <w:p>
      <w:pPr>
        <w:pStyle w:val="41"/>
        <w:spacing w:before="75" w:beforeAutospacing="0" w:after="75" w:afterAutospacing="0"/>
        <w:rPr>
          <w:rFonts w:hint="eastAsia" w:ascii="仿宋" w:hAnsi="仿宋" w:eastAsia="仿宋" w:cs="仿宋"/>
          <w:szCs w:val="24"/>
          <w:lang w:eastAsia="zh-CN"/>
        </w:rPr>
      </w:pPr>
      <w:r>
        <w:rPr>
          <w:rFonts w:hint="eastAsia" w:ascii="仿宋" w:hAnsi="仿宋" w:eastAsia="仿宋" w:cs="仿宋"/>
          <w:szCs w:val="24"/>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2.其他事项：</w:t>
      </w:r>
      <w:r>
        <w:rPr>
          <w:rFonts w:ascii="仿宋" w:hAnsi="仿宋" w:eastAsia="仿宋" w:cs="仿宋"/>
          <w:szCs w:val="24"/>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供应商如未在“政采云”系统内完成相关流程，引起的投标无效责任自负。</w:t>
      </w:r>
    </w:p>
    <w:p>
      <w:pPr>
        <w:pStyle w:val="41"/>
        <w:spacing w:before="255" w:beforeAutospacing="0" w:after="255" w:afterAutospacing="0"/>
        <w:jc w:val="both"/>
        <w:rPr>
          <w:rFonts w:hint="eastAsia" w:ascii="仿宋" w:hAnsi="仿宋" w:eastAsia="仿宋" w:cs="仿宋"/>
          <w:szCs w:val="24"/>
        </w:rPr>
      </w:pPr>
      <w:r>
        <w:rPr>
          <w:rStyle w:val="48"/>
          <w:rFonts w:hint="eastAsia" w:ascii="仿宋" w:hAnsi="仿宋" w:eastAsia="仿宋" w:cs="仿宋"/>
          <w:szCs w:val="24"/>
        </w:rPr>
        <w:t>七、对本次采购提出询问、质疑、投诉，请按以下方式联系</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1.采购人信息</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名    称：杭州市西湖区排灌设施管理服务站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地    址：杭州市西湖区白茅湖排灌站</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传    真：/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项目联系人（询问）：刘瑞民</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项目联系方式（询问）：13867181863</w:t>
      </w:r>
    </w:p>
    <w:p>
      <w:pPr>
        <w:pStyle w:val="41"/>
        <w:spacing w:before="75" w:beforeAutospacing="0" w:after="75" w:afterAutospacing="0"/>
        <w:rPr>
          <w:rFonts w:ascii="仿宋" w:hAnsi="仿宋" w:eastAsia="仿宋" w:cs="仿宋"/>
          <w:szCs w:val="24"/>
        </w:rPr>
      </w:pPr>
      <w:r>
        <w:rPr>
          <w:rFonts w:hint="eastAsia" w:ascii="仿宋" w:hAnsi="仿宋" w:eastAsia="仿宋" w:cs="仿宋"/>
          <w:szCs w:val="24"/>
        </w:rPr>
        <w:t>    质疑联系人： 王工</w:t>
      </w:r>
    </w:p>
    <w:p>
      <w:pPr>
        <w:pStyle w:val="41"/>
        <w:spacing w:before="75" w:beforeAutospacing="0" w:after="75" w:afterAutospacing="0"/>
        <w:rPr>
          <w:rFonts w:ascii="仿宋" w:hAnsi="仿宋" w:eastAsia="仿宋" w:cs="仿宋"/>
          <w:szCs w:val="24"/>
        </w:rPr>
      </w:pPr>
      <w:r>
        <w:rPr>
          <w:rFonts w:hint="eastAsia" w:ascii="仿宋" w:hAnsi="仿宋" w:eastAsia="仿宋" w:cs="仿宋"/>
          <w:szCs w:val="24"/>
        </w:rPr>
        <w:t>    质疑联系方式：0571-87325667</w:t>
      </w:r>
    </w:p>
    <w:p>
      <w:pPr>
        <w:pStyle w:val="41"/>
        <w:spacing w:before="75" w:beforeAutospacing="0" w:after="75" w:afterAutospacing="0"/>
        <w:rPr>
          <w:rFonts w:hint="eastAsia" w:ascii="仿宋" w:hAnsi="仿宋" w:eastAsia="仿宋" w:cs="仿宋"/>
          <w:szCs w:val="24"/>
          <w:lang w:eastAsia="zh-CN"/>
        </w:rPr>
      </w:pPr>
      <w:r>
        <w:rPr>
          <w:rFonts w:hint="eastAsia" w:ascii="仿宋" w:hAnsi="仿宋" w:eastAsia="仿宋" w:cs="仿宋"/>
          <w:szCs w:val="24"/>
        </w:rPr>
        <w:t>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2.采购代理机构信息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名    称：浙江建友工程咨询有限公司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地    址：杭州市西湖区振华路298号西港发展中心西区7幢7楼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传    真：0571-56075170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项目联系人（询问）：吴国赛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项目联系方式（询问）：13615816831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质疑联系人：徐梦遥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质疑联系方式：0571-56075171　　　　　　     </w:t>
      </w:r>
    </w:p>
    <w:p>
      <w:pPr>
        <w:pStyle w:val="41"/>
        <w:spacing w:before="75" w:beforeAutospacing="0" w:after="75" w:afterAutospacing="0"/>
        <w:rPr>
          <w:rFonts w:hint="eastAsia" w:ascii="仿宋" w:hAnsi="仿宋" w:eastAsia="仿宋" w:cs="仿宋"/>
          <w:szCs w:val="24"/>
          <w:lang w:eastAsia="zh-CN"/>
        </w:rPr>
      </w:pPr>
      <w:r>
        <w:rPr>
          <w:rFonts w:hint="eastAsia" w:ascii="仿宋" w:hAnsi="仿宋" w:eastAsia="仿宋" w:cs="仿宋"/>
          <w:szCs w:val="24"/>
        </w:rPr>
        <w:t>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3.同级政府采购监督管理部门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名    称：杭州市西湖区财政局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地    址：杭州市西湖区文三西路18号1104室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传    真：/             </w:t>
      </w:r>
    </w:p>
    <w:p>
      <w:pPr>
        <w:pStyle w:val="41"/>
        <w:spacing w:before="75" w:beforeAutospacing="0" w:after="75" w:afterAutospacing="0"/>
        <w:rPr>
          <w:rFonts w:hint="eastAsia" w:ascii="仿宋" w:hAnsi="仿宋" w:eastAsia="仿宋" w:cs="仿宋"/>
          <w:szCs w:val="24"/>
        </w:rPr>
      </w:pPr>
      <w:r>
        <w:rPr>
          <w:rFonts w:hint="eastAsia" w:ascii="仿宋" w:hAnsi="仿宋" w:eastAsia="仿宋" w:cs="仿宋"/>
          <w:szCs w:val="24"/>
        </w:rPr>
        <w:t>    联系人 ：韩继伟             </w:t>
      </w:r>
    </w:p>
    <w:p>
      <w:pPr>
        <w:pStyle w:val="41"/>
        <w:spacing w:before="75" w:beforeAutospacing="0" w:after="75" w:afterAutospacing="0"/>
        <w:rPr>
          <w:rFonts w:hint="eastAsia" w:ascii="仿宋" w:hAnsi="仿宋" w:eastAsia="仿宋" w:cs="仿宋"/>
          <w:szCs w:val="24"/>
          <w:lang w:eastAsia="zh-CN"/>
        </w:rPr>
      </w:pPr>
      <w:r>
        <w:rPr>
          <w:rFonts w:hint="eastAsia" w:ascii="仿宋" w:hAnsi="仿宋" w:eastAsia="仿宋" w:cs="仿宋"/>
          <w:szCs w:val="24"/>
        </w:rPr>
        <w:t>    监督投诉电话：13958132623           </w:t>
      </w:r>
    </w:p>
    <w:p>
      <w:pPr>
        <w:pStyle w:val="41"/>
        <w:spacing w:before="75" w:beforeAutospacing="0" w:after="75" w:afterAutospacing="0"/>
        <w:rPr>
          <w:rFonts w:hint="eastAsia" w:ascii="仿宋" w:hAnsi="仿宋" w:eastAsia="仿宋" w:cs="仿宋"/>
        </w:rPr>
      </w:pPr>
      <w:r>
        <w:rPr>
          <w:rFonts w:hint="eastAsia" w:ascii="仿宋" w:hAnsi="仿宋" w:eastAsia="仿宋" w:cs="仿宋"/>
          <w:szCs w:val="24"/>
        </w:rPr>
        <w:t>         </w:t>
      </w:r>
    </w:p>
    <w:p>
      <w:pPr>
        <w:pStyle w:val="41"/>
        <w:spacing w:before="75" w:beforeAutospacing="0" w:after="75" w:afterAutospacing="0"/>
        <w:rPr>
          <w:rFonts w:hint="eastAsia" w:ascii="仿宋" w:hAnsi="仿宋" w:eastAsia="仿宋" w:cs="仿宋"/>
        </w:rPr>
      </w:pPr>
    </w:p>
    <w:p>
      <w:pPr>
        <w:widowControl/>
        <w:jc w:val="left"/>
        <w:rPr>
          <w:rFonts w:hint="eastAsia" w:ascii="仿宋" w:hAnsi="仿宋" w:eastAsia="仿宋" w:cs="仿宋"/>
          <w:sz w:val="24"/>
        </w:rPr>
      </w:pPr>
      <w:r>
        <w:rPr>
          <w:rFonts w:hint="eastAsia" w:ascii="仿宋" w:hAnsi="仿宋" w:eastAsia="仿宋" w:cs="仿宋"/>
          <w:kern w:val="0"/>
          <w:sz w:val="24"/>
          <w:lang w:bidi="ar"/>
        </w:rPr>
        <w:t>若对项目采购电子交易系统操作有疑问，可登录政采云（https://www.zcygov.cn/），点击右侧咨询小采，获取采小蜜智能服务管家帮助，或拨打政采云服务热线400-881-7190获取热线服务帮助。       </w:t>
      </w:r>
    </w:p>
    <w:p>
      <w:pPr>
        <w:widowControl/>
        <w:jc w:val="left"/>
        <w:rPr>
          <w:rFonts w:hint="eastAsia" w:ascii="仿宋" w:hAnsi="仿宋" w:eastAsia="仿宋" w:cs="仿宋"/>
          <w:sz w:val="24"/>
        </w:rPr>
      </w:pPr>
      <w:r>
        <w:rPr>
          <w:rFonts w:hint="eastAsia" w:ascii="仿宋" w:hAnsi="仿宋" w:eastAsia="仿宋" w:cs="仿宋"/>
          <w:kern w:val="0"/>
          <w:sz w:val="24"/>
          <w:lang w:bidi="ar"/>
        </w:rPr>
        <w:t>CA问题联系电话（人工）：汇信CA 400-888-4636；天谷CA 400-087-8198。</w:t>
      </w:r>
    </w:p>
    <w:p>
      <w:pPr>
        <w:rPr>
          <w:rFonts w:hint="eastAsia" w:ascii="仿宋" w:hAnsi="仿宋" w:eastAsia="仿宋" w:cs="仿宋"/>
        </w:rPr>
      </w:pPr>
    </w:p>
    <w:p>
      <w:pPr>
        <w:spacing w:line="440" w:lineRule="exact"/>
        <w:ind w:firstLine="720" w:firstLineChars="300"/>
        <w:rPr>
          <w:rFonts w:hint="eastAsia" w:ascii="仿宋" w:hAnsi="仿宋" w:eastAsia="仿宋" w:cs="仿宋"/>
          <w:kern w:val="0"/>
          <w:sz w:val="24"/>
        </w:rPr>
      </w:pPr>
    </w:p>
    <w:p>
      <w:pPr>
        <w:spacing w:line="440" w:lineRule="exact"/>
        <w:ind w:firstLine="720" w:firstLineChars="300"/>
        <w:rPr>
          <w:rFonts w:hint="eastAsia" w:ascii="仿宋" w:hAnsi="仿宋" w:eastAsia="仿宋" w:cs="仿宋"/>
          <w:kern w:val="0"/>
          <w:sz w:val="24"/>
        </w:rPr>
      </w:pPr>
    </w:p>
    <w:p>
      <w:pPr>
        <w:spacing w:line="440" w:lineRule="exact"/>
        <w:ind w:firstLine="720" w:firstLineChars="300"/>
        <w:rPr>
          <w:rFonts w:hint="eastAsia" w:ascii="仿宋" w:hAnsi="仿宋" w:eastAsia="仿宋" w:cs="仿宋"/>
          <w:kern w:val="0"/>
          <w:sz w:val="24"/>
        </w:rPr>
      </w:pPr>
    </w:p>
    <w:p>
      <w:pPr>
        <w:spacing w:line="440" w:lineRule="exact"/>
        <w:ind w:firstLine="720" w:firstLineChars="300"/>
        <w:rPr>
          <w:rFonts w:hint="eastAsia" w:ascii="仿宋" w:hAnsi="仿宋" w:eastAsia="仿宋" w:cs="仿宋"/>
          <w:kern w:val="0"/>
          <w:sz w:val="24"/>
        </w:rPr>
      </w:pPr>
    </w:p>
    <w:p>
      <w:pPr>
        <w:spacing w:line="440" w:lineRule="exact"/>
        <w:ind w:firstLine="720" w:firstLineChars="300"/>
        <w:rPr>
          <w:rFonts w:hint="eastAsia" w:ascii="仿宋" w:hAnsi="仿宋" w:eastAsia="仿宋" w:cs="仿宋"/>
          <w:kern w:val="0"/>
          <w:sz w:val="24"/>
        </w:rPr>
      </w:pPr>
    </w:p>
    <w:p>
      <w:pPr>
        <w:rPr>
          <w:rFonts w:hint="eastAsia" w:ascii="仿宋" w:hAnsi="仿宋" w:eastAsia="仿宋" w:cs="仿宋"/>
        </w:rPr>
      </w:pPr>
    </w:p>
    <w:p>
      <w:pPr>
        <w:spacing w:line="360" w:lineRule="auto"/>
        <w:jc w:val="center"/>
        <w:rPr>
          <w:rFonts w:hint="eastAsia" w:ascii="仿宋" w:hAnsi="仿宋" w:eastAsia="仿宋" w:cs="仿宋"/>
          <w:b/>
          <w:sz w:val="36"/>
          <w:szCs w:val="36"/>
        </w:rPr>
      </w:pPr>
    </w:p>
    <w:p>
      <w:pPr>
        <w:pStyle w:val="3"/>
        <w:ind w:firstLine="723"/>
        <w:rPr>
          <w:rFonts w:hint="eastAsia" w:ascii="仿宋" w:hAnsi="仿宋" w:eastAsia="仿宋" w:cs="仿宋"/>
          <w:b/>
          <w:sz w:val="36"/>
          <w:szCs w:val="36"/>
        </w:rPr>
      </w:pPr>
    </w:p>
    <w:p>
      <w:pPr>
        <w:spacing w:line="360" w:lineRule="auto"/>
        <w:rPr>
          <w:rFonts w:hint="eastAsia" w:ascii="仿宋" w:hAnsi="仿宋" w:eastAsia="仿宋" w:cs="仿宋"/>
          <w:b/>
          <w:sz w:val="36"/>
          <w:szCs w:val="36"/>
        </w:rPr>
      </w:pPr>
    </w:p>
    <w:p>
      <w:pPr>
        <w:spacing w:line="360" w:lineRule="auto"/>
        <w:jc w:val="center"/>
        <w:rPr>
          <w:rFonts w:hint="eastAsia" w:ascii="仿宋" w:hAnsi="仿宋" w:eastAsia="仿宋" w:cs="仿宋"/>
          <w:b/>
          <w:sz w:val="24"/>
        </w:rPr>
      </w:pPr>
      <w:r>
        <w:rPr>
          <w:rFonts w:hint="eastAsia" w:ascii="仿宋" w:hAnsi="仿宋" w:eastAsia="仿宋" w:cs="仿宋"/>
          <w:b/>
          <w:sz w:val="36"/>
          <w:szCs w:val="36"/>
        </w:rPr>
        <w:t>第二章  编制和提交采购响应文件须知</w:t>
      </w:r>
    </w:p>
    <w:p>
      <w:pPr>
        <w:spacing w:line="312" w:lineRule="auto"/>
        <w:ind w:left="720"/>
        <w:jc w:val="center"/>
        <w:rPr>
          <w:rFonts w:hint="eastAsia" w:ascii="仿宋" w:hAnsi="仿宋" w:eastAsia="仿宋" w:cs="仿宋"/>
          <w:b/>
          <w:sz w:val="32"/>
        </w:rPr>
      </w:pPr>
      <w:r>
        <w:rPr>
          <w:rFonts w:hint="eastAsia" w:ascii="仿宋" w:hAnsi="仿宋" w:eastAsia="仿宋" w:cs="仿宋"/>
          <w:b/>
          <w:sz w:val="32"/>
        </w:rPr>
        <w:t>前附表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49" w:type="dxa"/>
            <w:noWrap w:val="0"/>
            <w:vAlign w:val="top"/>
          </w:tcPr>
          <w:p>
            <w:pPr>
              <w:pStyle w:val="26"/>
              <w:spacing w:line="360" w:lineRule="auto"/>
              <w:jc w:val="center"/>
              <w:rPr>
                <w:rFonts w:hint="eastAsia" w:ascii="仿宋" w:hAnsi="仿宋" w:eastAsia="仿宋" w:cs="仿宋"/>
                <w:sz w:val="24"/>
              </w:rPr>
            </w:pPr>
            <w:r>
              <w:rPr>
                <w:rFonts w:hint="eastAsia" w:ascii="仿宋" w:hAnsi="仿宋" w:eastAsia="仿宋" w:cs="仿宋"/>
                <w:sz w:val="24"/>
              </w:rPr>
              <w:t>条款</w:t>
            </w:r>
          </w:p>
        </w:tc>
        <w:tc>
          <w:tcPr>
            <w:tcW w:w="8459" w:type="dxa"/>
            <w:noWrap w:val="0"/>
            <w:vAlign w:val="center"/>
          </w:tcPr>
          <w:p>
            <w:pPr>
              <w:pStyle w:val="26"/>
              <w:spacing w:line="360" w:lineRule="auto"/>
              <w:jc w:val="center"/>
              <w:rPr>
                <w:rFonts w:hint="eastAsia" w:ascii="仿宋" w:hAnsi="仿宋" w:eastAsia="仿宋" w:cs="仿宋"/>
                <w:sz w:val="24"/>
              </w:rPr>
            </w:pPr>
            <w:r>
              <w:rPr>
                <w:rFonts w:hint="eastAsia" w:ascii="仿宋" w:hAnsi="仿宋" w:eastAsia="仿宋" w:cs="仿宋"/>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8" w:hRule="atLeast"/>
          <w:jc w:val="center"/>
        </w:trPr>
        <w:tc>
          <w:tcPr>
            <w:tcW w:w="849" w:type="dxa"/>
            <w:noWrap w:val="0"/>
            <w:vAlign w:val="center"/>
          </w:tcPr>
          <w:p>
            <w:pPr>
              <w:pStyle w:val="26"/>
              <w:spacing w:line="480" w:lineRule="exact"/>
              <w:jc w:val="center"/>
              <w:rPr>
                <w:rFonts w:hint="eastAsia" w:ascii="仿宋" w:hAnsi="仿宋" w:eastAsia="仿宋" w:cs="仿宋"/>
                <w:sz w:val="24"/>
              </w:rPr>
            </w:pPr>
            <w:r>
              <w:rPr>
                <w:rFonts w:hint="eastAsia" w:ascii="仿宋" w:hAnsi="仿宋" w:eastAsia="仿宋" w:cs="仿宋"/>
                <w:sz w:val="24"/>
              </w:rPr>
              <w:t>1</w:t>
            </w:r>
          </w:p>
        </w:tc>
        <w:tc>
          <w:tcPr>
            <w:tcW w:w="8459" w:type="dxa"/>
            <w:noWrap w:val="0"/>
            <w:vAlign w:val="center"/>
          </w:tcPr>
          <w:p>
            <w:pPr>
              <w:pStyle w:val="299"/>
              <w:spacing w:line="240" w:lineRule="auto"/>
              <w:ind w:left="0" w:firstLine="0"/>
              <w:jc w:val="center"/>
              <w:rPr>
                <w:rFonts w:hint="eastAsia" w:ascii="仿宋" w:hAnsi="仿宋" w:eastAsia="仿宋" w:cs="仿宋"/>
                <w:b/>
                <w:szCs w:val="24"/>
              </w:rPr>
            </w:pPr>
            <w:r>
              <w:rPr>
                <w:rFonts w:hint="eastAsia" w:ascii="仿宋" w:hAnsi="仿宋" w:eastAsia="仿宋" w:cs="仿宋"/>
                <w:b/>
                <w:szCs w:val="24"/>
              </w:rPr>
              <w:t>项目说明</w:t>
            </w:r>
          </w:p>
          <w:p>
            <w:pPr>
              <w:spacing w:line="360" w:lineRule="auto"/>
              <w:rPr>
                <w:rFonts w:hint="eastAsia" w:ascii="仿宋" w:hAnsi="仿宋" w:eastAsia="仿宋" w:cs="仿宋"/>
                <w:strike/>
                <w:kern w:val="0"/>
                <w:sz w:val="24"/>
              </w:rPr>
            </w:pPr>
            <w:r>
              <w:rPr>
                <w:rFonts w:hint="eastAsia" w:ascii="仿宋" w:hAnsi="仿宋" w:eastAsia="仿宋" w:cs="仿宋"/>
                <w:b/>
                <w:kern w:val="0"/>
                <w:sz w:val="24"/>
              </w:rPr>
              <w:t>项目名称：</w:t>
            </w:r>
            <w:r>
              <w:rPr>
                <w:rFonts w:hint="eastAsia" w:ascii="仿宋" w:hAnsi="仿宋" w:eastAsia="仿宋" w:cs="仿宋"/>
                <w:sz w:val="24"/>
              </w:rPr>
              <w:t>西湖区排灌泵闸站委托运维管理项目</w:t>
            </w:r>
          </w:p>
          <w:p>
            <w:pPr>
              <w:tabs>
                <w:tab w:val="left" w:pos="720"/>
              </w:tabs>
              <w:spacing w:line="360" w:lineRule="auto"/>
              <w:rPr>
                <w:rFonts w:hint="eastAsia" w:ascii="仿宋" w:hAnsi="仿宋" w:eastAsia="仿宋" w:cs="仿宋"/>
                <w:b/>
                <w:sz w:val="24"/>
              </w:rPr>
            </w:pPr>
            <w:r>
              <w:rPr>
                <w:rFonts w:hint="eastAsia" w:ascii="仿宋" w:hAnsi="仿宋" w:eastAsia="仿宋" w:cs="仿宋"/>
                <w:b/>
                <w:sz w:val="24"/>
              </w:rPr>
              <w:t>项目预算控制金额：</w:t>
            </w:r>
            <w:r>
              <w:rPr>
                <w:rFonts w:hint="eastAsia" w:ascii="仿宋" w:hAnsi="仿宋" w:eastAsia="仿宋" w:cs="仿宋"/>
                <w:sz w:val="24"/>
              </w:rPr>
              <w:t>人民币</w:t>
            </w:r>
            <w:r>
              <w:rPr>
                <w:rFonts w:hint="eastAsia" w:ascii="仿宋" w:hAnsi="仿宋" w:eastAsia="仿宋" w:cs="仿宋"/>
              </w:rPr>
              <w:t>13928022</w:t>
            </w:r>
            <w:r>
              <w:rPr>
                <w:rFonts w:hint="eastAsia" w:ascii="仿宋" w:hAnsi="仿宋" w:eastAsia="仿宋" w:cs="仿宋"/>
                <w:sz w:val="24"/>
              </w:rPr>
              <w:t>元/年。</w:t>
            </w:r>
            <w:r>
              <w:rPr>
                <w:rFonts w:hint="eastAsia" w:ascii="仿宋" w:hAnsi="仿宋" w:eastAsia="仿宋" w:cs="仿宋"/>
                <w:b/>
                <w:sz w:val="24"/>
              </w:rPr>
              <w:t xml:space="preserve"> </w:t>
            </w:r>
          </w:p>
          <w:p>
            <w:pPr>
              <w:tabs>
                <w:tab w:val="left" w:pos="720"/>
              </w:tabs>
              <w:spacing w:line="360" w:lineRule="auto"/>
              <w:rPr>
                <w:rFonts w:hint="eastAsia" w:ascii="仿宋" w:hAnsi="仿宋" w:eastAsia="仿宋" w:cs="仿宋"/>
                <w:b/>
                <w:sz w:val="24"/>
              </w:rPr>
            </w:pPr>
            <w:r>
              <w:rPr>
                <w:rFonts w:hint="eastAsia" w:ascii="仿宋" w:hAnsi="仿宋" w:eastAsia="仿宋" w:cs="仿宋"/>
                <w:b/>
                <w:sz w:val="24"/>
              </w:rPr>
              <w:t>地点：</w:t>
            </w:r>
            <w:r>
              <w:rPr>
                <w:rFonts w:hint="eastAsia" w:ascii="仿宋" w:hAnsi="仿宋" w:eastAsia="仿宋" w:cs="仿宋"/>
                <w:bCs/>
                <w:sz w:val="24"/>
              </w:rPr>
              <w:t>杭州市西湖区之江地区</w:t>
            </w:r>
          </w:p>
          <w:p>
            <w:pPr>
              <w:tabs>
                <w:tab w:val="left" w:pos="720"/>
              </w:tabs>
              <w:spacing w:line="360" w:lineRule="auto"/>
              <w:rPr>
                <w:rFonts w:hint="eastAsia" w:ascii="仿宋" w:hAnsi="仿宋" w:eastAsia="仿宋" w:cs="仿宋"/>
                <w:bCs/>
                <w:sz w:val="24"/>
              </w:rPr>
            </w:pPr>
            <w:r>
              <w:rPr>
                <w:rFonts w:hint="eastAsia" w:ascii="仿宋" w:hAnsi="仿宋" w:eastAsia="仿宋" w:cs="仿宋"/>
                <w:b/>
                <w:sz w:val="24"/>
              </w:rPr>
              <w:t>服务内容：</w:t>
            </w:r>
            <w:r>
              <w:rPr>
                <w:rFonts w:hint="eastAsia" w:ascii="仿宋" w:hAnsi="仿宋" w:eastAsia="仿宋" w:cs="仿宋"/>
                <w:sz w:val="24"/>
              </w:rPr>
              <w:t>本项目位于杭州市西湖区之江地区，本次委托运行维护管理项目主要内容为：九溪水闸、大刀沙泵站、四五排灌站、赤通浦排涝站、白茅湖排灌站、四号浦排灌站、三阳排灌站、社井泵站、社井水闸等七站二闸站区、管理范围及保护范围的运行维护管理，受委托运行管理的 33 个小型机埠水闸站区水工建筑物及防汛配水设施设备运行维护管理，防汛仓库管理，河道巡查，应急排水车运行维护及应急管理等，除潜水泵返厂大修、闸门大修、应急抢险、电气预防性试验以外的所有设施设备的维修养护。包括但不限于泵闸站建筑及附属物、计算机控制系统、自动化控制系统、视频监控系统、泵闸现地控制系统、泵闸站照明系统、工程观测、绿化养护、公共设施养护、安全生产、**保卫、应急值守、疫情防控、防潮管理、办公物业、卫生保洁、垃圾分类、清淤清运、污水处理等</w:t>
            </w:r>
            <w:r>
              <w:rPr>
                <w:rFonts w:hint="eastAsia" w:ascii="仿宋" w:hAnsi="仿宋" w:eastAsia="仿宋" w:cs="仿宋"/>
                <w:kern w:val="0"/>
                <w:sz w:val="24"/>
              </w:rPr>
              <w:t>。</w:t>
            </w:r>
            <w:r>
              <w:rPr>
                <w:rFonts w:hint="eastAsia" w:ascii="仿宋" w:hAnsi="仿宋" w:eastAsia="仿宋" w:cs="仿宋"/>
                <w:bCs/>
                <w:sz w:val="24"/>
              </w:rPr>
              <w:t>详见附件：采购文件第三章项目技术规范和服务要求。</w:t>
            </w:r>
          </w:p>
          <w:p>
            <w:pPr>
              <w:tabs>
                <w:tab w:val="left" w:pos="720"/>
              </w:tabs>
              <w:spacing w:line="360" w:lineRule="auto"/>
              <w:rPr>
                <w:rFonts w:hint="eastAsia" w:ascii="仿宋" w:hAnsi="仿宋" w:eastAsia="仿宋" w:cs="仿宋"/>
                <w:sz w:val="24"/>
              </w:rPr>
            </w:pPr>
            <w:r>
              <w:rPr>
                <w:rFonts w:hint="eastAsia" w:ascii="仿宋" w:hAnsi="仿宋" w:eastAsia="仿宋" w:cs="仿宋"/>
                <w:b/>
                <w:sz w:val="24"/>
              </w:rPr>
              <w:t>服务期限：2023年1月1日至 2025年 12月31日（服务期3年，合同一年一签，合同期内，中标单位没有按合同规定服务，采购单位有权终止合同，且采购单位不承担任何违约责任，并另行招标采购；服务期内，供应商能严格履行合同，采购单位才同意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459" w:type="dxa"/>
            <w:noWrap w:val="0"/>
            <w:vAlign w:val="center"/>
          </w:tcPr>
          <w:p>
            <w:pPr>
              <w:pStyle w:val="26"/>
              <w:spacing w:line="480" w:lineRule="exact"/>
              <w:rPr>
                <w:rFonts w:hint="eastAsia" w:ascii="仿宋" w:hAnsi="仿宋" w:eastAsia="仿宋" w:cs="仿宋"/>
                <w:sz w:val="24"/>
                <w:szCs w:val="24"/>
              </w:rPr>
            </w:pPr>
            <w:r>
              <w:rPr>
                <w:rFonts w:hint="eastAsia" w:ascii="仿宋" w:hAnsi="仿宋" w:eastAsia="仿宋" w:cs="仿宋"/>
                <w:b/>
                <w:sz w:val="24"/>
                <w:szCs w:val="24"/>
              </w:rPr>
              <w:t>合同名称：</w:t>
            </w:r>
            <w:r>
              <w:rPr>
                <w:rFonts w:hint="eastAsia" w:ascii="仿宋" w:hAnsi="仿宋" w:eastAsia="仿宋" w:cs="仿宋"/>
                <w:sz w:val="24"/>
                <w:szCs w:val="24"/>
              </w:rPr>
              <w:t>西湖区排灌泵闸站委托运维管理项目合同书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0"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459" w:type="dxa"/>
            <w:noWrap w:val="0"/>
            <w:vAlign w:val="center"/>
          </w:tcPr>
          <w:p>
            <w:pPr>
              <w:spacing w:line="480" w:lineRule="exact"/>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459" w:type="dxa"/>
            <w:noWrap w:val="0"/>
            <w:vAlign w:val="center"/>
          </w:tcPr>
          <w:p>
            <w:pPr>
              <w:pStyle w:val="41"/>
              <w:spacing w:before="0" w:beforeAutospacing="0" w:after="0" w:afterAutospacing="0" w:line="440" w:lineRule="exact"/>
              <w:jc w:val="both"/>
              <w:rPr>
                <w:rFonts w:hint="eastAsia" w:ascii="仿宋" w:hAnsi="仿宋" w:eastAsia="仿宋" w:cs="仿宋"/>
                <w:kern w:val="2"/>
                <w:szCs w:val="24"/>
              </w:rPr>
            </w:pPr>
            <w:r>
              <w:rPr>
                <w:rFonts w:hint="eastAsia" w:ascii="仿宋" w:hAnsi="仿宋" w:eastAsia="仿宋" w:cs="仿宋"/>
                <w:kern w:val="2"/>
                <w:szCs w:val="24"/>
              </w:rPr>
              <w:t xml:space="preserve"> 项目保证金：0元整</w:t>
            </w:r>
          </w:p>
          <w:p>
            <w:pPr>
              <w:pStyle w:val="41"/>
              <w:spacing w:before="0" w:beforeAutospacing="0" w:after="0" w:afterAutospacing="0" w:line="440" w:lineRule="exact"/>
              <w:jc w:val="both"/>
              <w:rPr>
                <w:rFonts w:hint="eastAsia" w:ascii="仿宋" w:hAnsi="仿宋" w:eastAsia="仿宋" w:cs="仿宋"/>
                <w:kern w:val="2"/>
                <w:szCs w:val="24"/>
              </w:rPr>
            </w:pPr>
            <w:r>
              <w:rPr>
                <w:rFonts w:hint="eastAsia" w:ascii="仿宋" w:hAnsi="仿宋" w:eastAsia="仿宋" w:cs="仿宋"/>
                <w:kern w:val="2"/>
                <w:szCs w:val="24"/>
              </w:rPr>
              <w:t xml:space="preserve">    保证金交付方式：汇票/支票/银行转帐</w:t>
            </w:r>
          </w:p>
          <w:p>
            <w:pPr>
              <w:pStyle w:val="41"/>
              <w:spacing w:before="0" w:beforeAutospacing="0" w:after="0" w:afterAutospacing="0" w:line="440" w:lineRule="exact"/>
              <w:jc w:val="both"/>
              <w:rPr>
                <w:rFonts w:hint="eastAsia" w:ascii="仿宋" w:hAnsi="仿宋" w:eastAsia="仿宋" w:cs="仿宋"/>
                <w:kern w:val="2"/>
                <w:szCs w:val="24"/>
              </w:rPr>
            </w:pPr>
            <w:r>
              <w:rPr>
                <w:rFonts w:hint="eastAsia" w:ascii="仿宋" w:hAnsi="仿宋" w:eastAsia="仿宋" w:cs="仿宋"/>
                <w:kern w:val="2"/>
                <w:szCs w:val="24"/>
              </w:rPr>
              <w:t xml:space="preserve">    收款单位（户名）：浙江建友工程咨询有限公司</w:t>
            </w:r>
          </w:p>
          <w:p>
            <w:pPr>
              <w:pStyle w:val="41"/>
              <w:spacing w:before="0" w:beforeAutospacing="0" w:after="0" w:afterAutospacing="0" w:line="440" w:lineRule="exact"/>
              <w:jc w:val="both"/>
              <w:rPr>
                <w:rFonts w:hint="eastAsia" w:ascii="仿宋" w:hAnsi="仿宋" w:eastAsia="仿宋" w:cs="仿宋"/>
                <w:kern w:val="2"/>
                <w:szCs w:val="24"/>
              </w:rPr>
            </w:pPr>
            <w:r>
              <w:rPr>
                <w:rFonts w:hint="eastAsia" w:ascii="仿宋" w:hAnsi="仿宋" w:eastAsia="仿宋" w:cs="仿宋"/>
                <w:kern w:val="2"/>
                <w:szCs w:val="24"/>
              </w:rPr>
              <w:t xml:space="preserve">    开户银行：杭州联合银行三墩支行</w:t>
            </w:r>
          </w:p>
          <w:p>
            <w:pPr>
              <w:pStyle w:val="41"/>
              <w:spacing w:before="0" w:beforeAutospacing="0" w:after="0" w:afterAutospacing="0" w:line="440" w:lineRule="exact"/>
              <w:jc w:val="both"/>
              <w:rPr>
                <w:rFonts w:hint="eastAsia" w:ascii="仿宋" w:hAnsi="仿宋" w:eastAsia="仿宋" w:cs="仿宋"/>
                <w:szCs w:val="24"/>
              </w:rPr>
            </w:pPr>
            <w:r>
              <w:rPr>
                <w:rFonts w:hint="eastAsia" w:ascii="仿宋" w:hAnsi="仿宋" w:eastAsia="仿宋" w:cs="仿宋"/>
                <w:kern w:val="2"/>
                <w:szCs w:val="24"/>
              </w:rPr>
              <w:t xml:space="preserve">    银行账号：201000137299579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459" w:type="dxa"/>
            <w:noWrap w:val="0"/>
            <w:vAlign w:val="center"/>
          </w:tcPr>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1、投标文件组成：资格文件、报价文件、商务技术文件。</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2、投标文件编制：供应商应先安装“政采云电子交易客户端”，并按照本采购文件和“政府采购云平台”的要求，通过“政采云电子交易客户端”编制并加密投标文件。</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3、投标文件的形式：☑电子投标文件（包括“电子加密投标文件”和“备份投标文件”，在投标文件编制完成后同时生成）；</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（1）“电子加密投标文件”是指通过“政采云电子交易客户端”完成投标文件编制后生成并加密的数据电文形式的投标文件。</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（2）“备份投标文件”是指与“电子加密投标文件”同时生成的数据电文形式的电子文件（备份标书），其他方式编制的备份投标文件视为无效备份投标文件。</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4、投标文件份数：（1）“电子加密投标文件”：在线上传递交、一份。（2）“备份投标文件”：密封包装后（邮寄形式）投标截止时间前递交、一份（邮寄地址：杭州市西湖区振华路298号西港发展中心西区7幢7楼，吴国赛收，13615816831，按接收签收时间为准）。</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5、投标文件的上传和递交：</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（1）“电子加密投标文件”的上传、递交：</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a.供应商应在投标截止时间前将“电子加密投标文件”成功上传递交至“政府采购云平台”，否则投标无效。</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b.“电子加密投标文件”成功上传递交后，供应商可自行打印投标文件接收回执。</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（2）“备份投标文件”的密封包装、递交：</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a.供应商在“政府采购云平台”完成“电子加密投标文件”的上传递交后，还可以（邮寄形式）在投标截止时间前递交以介质（U盘）存储的 “备份投标文件”（一份）；</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b.“备份投标文件”应当密封包装，并在包装上标注投标项目名称、投标单位名称并加盖公章。没有密封包装或者逾期邮寄送达至投标地点的“备份投标文件”将不予接收；</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6、电子加密投标文件的解密和异常情况处理：</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（1）开标后，采购代理机构将向各供应商发出“电子加密投标文件”的解密通知，各供应商代表应当自行完成“电子加密投标文件”的在线解密。</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（2）通过“政府采购云平台”成功上传递交的“电子加密投标文件”无法按时解密，</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（3）投标截止时间前，供应商仅递交了“备份投标文件”而未将电子加密投标文件上传至“政府采购云平台”的，投标无效。</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7、投标截止后，在投标有效期内，供应商不能撤销投标文件。供应商强行撤销投标文件的，应按预算金额的2%赔偿对采购人造成的损失。</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8、中标后，供应商拒绝签订合同的，采购人可以按照评审报告推荐的中标候选人名单排序，确定下一候选人为中标供应商，也可以重新开展政府采购活动。供应商中标后拒绝签订合同的，应按预算金额的2%对采购人进行赔偿；赔偿金额不足以弥补采购人损失的，供应商应继续承担超过部分的损失。</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9、存在下列行为的，采购代理机构将其失信行为上报政府采购主管部门，由主管部门按有关规定对其违法失信行为记录进行公开：</w:t>
            </w:r>
          </w:p>
          <w:p>
            <w:pPr>
              <w:tabs>
                <w:tab w:val="left" w:pos="3780"/>
              </w:tabs>
              <w:spacing w:line="360" w:lineRule="auto"/>
              <w:ind w:firstLine="477" w:firstLineChars="199"/>
              <w:jc w:val="left"/>
              <w:rPr>
                <w:rFonts w:hint="eastAsia" w:ascii="仿宋" w:hAnsi="仿宋" w:eastAsia="仿宋" w:cs="仿宋"/>
                <w:bCs/>
                <w:sz w:val="24"/>
              </w:rPr>
            </w:pPr>
            <w:r>
              <w:rPr>
                <w:rFonts w:hint="eastAsia" w:ascii="仿宋" w:hAnsi="仿宋" w:eastAsia="仿宋" w:cs="仿宋"/>
                <w:bCs/>
                <w:sz w:val="24"/>
              </w:rPr>
              <w:t>（1）中标或者成交后，拒绝签订政府采购合同的；</w:t>
            </w:r>
          </w:p>
          <w:p>
            <w:pPr>
              <w:pStyle w:val="26"/>
              <w:spacing w:line="44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459" w:type="dxa"/>
            <w:noWrap w:val="0"/>
            <w:vAlign w:val="center"/>
          </w:tcPr>
          <w:p>
            <w:pPr>
              <w:pStyle w:val="26"/>
              <w:spacing w:line="440" w:lineRule="exact"/>
              <w:rPr>
                <w:rFonts w:hint="eastAsia" w:ascii="仿宋" w:hAnsi="仿宋" w:eastAsia="仿宋" w:cs="仿宋"/>
                <w:sz w:val="24"/>
                <w:szCs w:val="24"/>
              </w:rPr>
            </w:pPr>
            <w:r>
              <w:rPr>
                <w:rFonts w:hint="eastAsia" w:ascii="仿宋" w:hAnsi="仿宋" w:eastAsia="仿宋" w:cs="仿宋"/>
                <w:b/>
                <w:kern w:val="0"/>
                <w:sz w:val="24"/>
                <w:szCs w:val="24"/>
              </w:rPr>
              <w:t>投标截止时间</w:t>
            </w:r>
            <w:r>
              <w:rPr>
                <w:rFonts w:hint="eastAsia" w:ascii="仿宋" w:hAnsi="仿宋" w:eastAsia="仿宋" w:cs="仿宋"/>
                <w:kern w:val="0"/>
                <w:sz w:val="24"/>
                <w:szCs w:val="24"/>
              </w:rPr>
              <w:t>：2022年</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日13:30时(北京时间)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459" w:type="dxa"/>
            <w:noWrap w:val="0"/>
            <w:vAlign w:val="center"/>
          </w:tcPr>
          <w:p>
            <w:pPr>
              <w:widowControl/>
              <w:spacing w:before="80" w:after="80" w:line="360" w:lineRule="auto"/>
              <w:ind w:right="80"/>
              <w:jc w:val="left"/>
              <w:rPr>
                <w:rFonts w:hint="eastAsia" w:ascii="仿宋" w:hAnsi="仿宋" w:eastAsia="仿宋" w:cs="仿宋"/>
                <w:kern w:val="0"/>
                <w:sz w:val="24"/>
              </w:rPr>
            </w:pPr>
            <w:r>
              <w:rPr>
                <w:rFonts w:hint="eastAsia" w:ascii="仿宋" w:hAnsi="仿宋" w:eastAsia="仿宋" w:cs="仿宋"/>
                <w:b/>
                <w:kern w:val="0"/>
                <w:sz w:val="24"/>
              </w:rPr>
              <w:t>投标文件递交至地点：</w:t>
            </w:r>
            <w:r>
              <w:rPr>
                <w:rFonts w:hint="eastAsia" w:ascii="仿宋" w:hAnsi="仿宋" w:eastAsia="仿宋" w:cs="仿宋"/>
                <w:kern w:val="0"/>
                <w:sz w:val="24"/>
              </w:rPr>
              <w:t>投标截止时间前将“电子加密投标文件”上传递交至“政府采购云平台”。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459" w:type="dxa"/>
            <w:noWrap w:val="0"/>
            <w:vAlign w:val="center"/>
          </w:tcPr>
          <w:p>
            <w:pPr>
              <w:widowControl/>
              <w:spacing w:before="80" w:after="80" w:line="360" w:lineRule="auto"/>
              <w:ind w:right="80"/>
              <w:jc w:val="left"/>
              <w:rPr>
                <w:rFonts w:hint="eastAsia" w:ascii="仿宋" w:hAnsi="仿宋" w:eastAsia="仿宋" w:cs="仿宋"/>
                <w:kern w:val="0"/>
                <w:sz w:val="24"/>
              </w:rPr>
            </w:pPr>
            <w:r>
              <w:rPr>
                <w:rFonts w:hint="eastAsia" w:ascii="仿宋" w:hAnsi="仿宋" w:eastAsia="仿宋" w:cs="仿宋"/>
                <w:b/>
                <w:kern w:val="0"/>
                <w:sz w:val="24"/>
              </w:rPr>
              <w:t>开标时间：</w:t>
            </w:r>
            <w:r>
              <w:rPr>
                <w:rFonts w:hint="eastAsia" w:ascii="仿宋" w:hAnsi="仿宋" w:eastAsia="仿宋" w:cs="仿宋"/>
                <w:kern w:val="0"/>
                <w:sz w:val="24"/>
              </w:rPr>
              <w:t>2022年</w:t>
            </w:r>
            <w:r>
              <w:rPr>
                <w:rFonts w:hint="eastAsia" w:ascii="仿宋" w:hAnsi="仿宋" w:eastAsia="仿宋" w:cs="仿宋"/>
                <w:kern w:val="0"/>
                <w:sz w:val="24"/>
                <w:lang w:val="en-US" w:eastAsia="zh-CN"/>
              </w:rPr>
              <w:t>12</w:t>
            </w:r>
            <w:r>
              <w:rPr>
                <w:rFonts w:hint="eastAsia" w:ascii="仿宋" w:hAnsi="仿宋" w:eastAsia="仿宋" w:cs="仿宋"/>
                <w:kern w:val="0"/>
                <w:sz w:val="24"/>
              </w:rPr>
              <w:t>月</w:t>
            </w:r>
            <w:r>
              <w:rPr>
                <w:rFonts w:hint="eastAsia" w:ascii="仿宋" w:hAnsi="仿宋" w:eastAsia="仿宋" w:cs="仿宋"/>
                <w:kern w:val="0"/>
                <w:sz w:val="24"/>
                <w:lang w:val="en-US" w:eastAsia="zh-CN"/>
              </w:rPr>
              <w:t>9</w:t>
            </w:r>
            <w:r>
              <w:rPr>
                <w:rFonts w:hint="eastAsia" w:ascii="仿宋" w:hAnsi="仿宋" w:eastAsia="仿宋" w:cs="仿宋"/>
                <w:kern w:val="0"/>
                <w:sz w:val="24"/>
              </w:rPr>
              <w:t>日13:30时(北京时间)</w:t>
            </w:r>
          </w:p>
          <w:p>
            <w:pPr>
              <w:widowControl/>
              <w:spacing w:before="80" w:after="80" w:line="360" w:lineRule="auto"/>
              <w:ind w:right="80"/>
              <w:jc w:val="left"/>
              <w:rPr>
                <w:rFonts w:hint="eastAsia" w:ascii="仿宋" w:hAnsi="仿宋" w:eastAsia="仿宋" w:cs="仿宋"/>
                <w:b/>
                <w:sz w:val="24"/>
              </w:rPr>
            </w:pPr>
            <w:r>
              <w:rPr>
                <w:rFonts w:hint="eastAsia" w:ascii="仿宋" w:hAnsi="仿宋" w:eastAsia="仿宋" w:cs="仿宋"/>
                <w:b/>
                <w:kern w:val="0"/>
                <w:sz w:val="24"/>
              </w:rPr>
              <w:t>开标地点：</w:t>
            </w:r>
            <w:r>
              <w:rPr>
                <w:rFonts w:hint="eastAsia" w:ascii="仿宋" w:hAnsi="仿宋" w:eastAsia="仿宋" w:cs="仿宋"/>
                <w:kern w:val="0"/>
                <w:sz w:val="24"/>
              </w:rPr>
              <w:t>政采云电子交易系统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8459" w:type="dxa"/>
            <w:noWrap w:val="0"/>
            <w:vAlign w:val="center"/>
          </w:tcPr>
          <w:p>
            <w:pPr>
              <w:pStyle w:val="26"/>
              <w:spacing w:line="440" w:lineRule="exact"/>
              <w:rPr>
                <w:rFonts w:hint="eastAsia" w:ascii="仿宋" w:hAnsi="仿宋" w:eastAsia="仿宋" w:cs="仿宋"/>
                <w:b/>
                <w:sz w:val="24"/>
                <w:szCs w:val="24"/>
              </w:rPr>
            </w:pPr>
            <w:r>
              <w:rPr>
                <w:rFonts w:hint="eastAsia" w:ascii="仿宋" w:hAnsi="仿宋" w:eastAsia="仿宋" w:cs="仿宋"/>
                <w:b/>
                <w:bCs/>
                <w:kern w:val="0"/>
                <w:sz w:val="24"/>
                <w:szCs w:val="24"/>
                <w:lang w:val="zh-CN"/>
              </w:rPr>
              <w:t>现场踏勘：不组织现场踏勘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8459" w:type="dxa"/>
            <w:noWrap w:val="0"/>
            <w:vAlign w:val="center"/>
          </w:tcPr>
          <w:p>
            <w:pPr>
              <w:pStyle w:val="26"/>
              <w:spacing w:line="440" w:lineRule="exact"/>
              <w:rPr>
                <w:rFonts w:hint="eastAsia" w:ascii="仿宋" w:hAnsi="仿宋" w:eastAsia="仿宋" w:cs="仿宋"/>
                <w:b/>
                <w:sz w:val="24"/>
                <w:szCs w:val="24"/>
              </w:rPr>
            </w:pPr>
            <w:r>
              <w:rPr>
                <w:rFonts w:hint="eastAsia" w:ascii="仿宋" w:hAnsi="仿宋" w:eastAsia="仿宋" w:cs="仿宋"/>
                <w:b/>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92" w:hRule="atLeast"/>
          <w:jc w:val="center"/>
        </w:trPr>
        <w:tc>
          <w:tcPr>
            <w:tcW w:w="849" w:type="dxa"/>
            <w:noWrap w:val="0"/>
            <w:vAlign w:val="center"/>
          </w:tcPr>
          <w:p>
            <w:pPr>
              <w:pStyle w:val="26"/>
              <w:spacing w:line="48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8459" w:type="dxa"/>
            <w:noWrap w:val="0"/>
            <w:vAlign w:val="center"/>
          </w:tcPr>
          <w:p>
            <w:pPr>
              <w:widowControl/>
              <w:spacing w:line="360" w:lineRule="auto"/>
              <w:outlineLvl w:val="0"/>
              <w:rPr>
                <w:rFonts w:hint="eastAsia" w:ascii="仿宋" w:hAnsi="仿宋" w:eastAsia="仿宋" w:cs="仿宋"/>
                <w:b/>
                <w:bCs/>
                <w:sz w:val="24"/>
              </w:rPr>
            </w:pPr>
            <w:r>
              <w:rPr>
                <w:rFonts w:hint="eastAsia" w:ascii="仿宋" w:hAnsi="仿宋" w:eastAsia="仿宋" w:cs="仿宋"/>
                <w:b/>
                <w:bCs/>
                <w:sz w:val="24"/>
              </w:rPr>
              <w:t>支持中小企业：</w:t>
            </w:r>
          </w:p>
          <w:p>
            <w:pPr>
              <w:widowControl/>
              <w:spacing w:line="360" w:lineRule="auto"/>
              <w:outlineLvl w:val="0"/>
              <w:rPr>
                <w:rFonts w:hint="eastAsia" w:ascii="仿宋" w:hAnsi="仿宋" w:eastAsia="仿宋" w:cs="仿宋"/>
                <w:sz w:val="24"/>
              </w:rPr>
            </w:pPr>
            <w:r>
              <w:rPr>
                <w:rFonts w:hint="eastAsia" w:ascii="仿宋" w:hAnsi="仿宋" w:eastAsia="仿宋" w:cs="仿宋"/>
                <w:sz w:val="24"/>
              </w:rPr>
              <w:t>价格扣除：根据工信部等部委发布的《关于印发中小企业划型标准规定的通知》（工信部联企业〔2011〕300号），根据具体品目确定相应标准</w:t>
            </w:r>
            <w:r>
              <w:rPr>
                <w:rFonts w:hint="eastAsia" w:ascii="仿宋" w:hAnsi="仿宋" w:eastAsia="仿宋" w:cs="仿宋"/>
                <w:sz w:val="24"/>
                <w:lang w:eastAsia="zh-CN"/>
              </w:rPr>
              <w:t>，</w:t>
            </w:r>
            <w:r>
              <w:rPr>
                <w:rFonts w:hint="eastAsia" w:ascii="仿宋" w:hAnsi="仿宋" w:eastAsia="仿宋" w:cs="仿宋"/>
                <w:b/>
                <w:bCs/>
                <w:sz w:val="24"/>
                <w:lang w:val="en-US" w:eastAsia="zh-CN"/>
              </w:rPr>
              <w:t>本项目属于（十六）其他未列明行业</w:t>
            </w:r>
            <w:r>
              <w:rPr>
                <w:rFonts w:hint="eastAsia" w:ascii="仿宋" w:hAnsi="仿宋" w:eastAsia="仿宋" w:cs="仿宋"/>
                <w:sz w:val="24"/>
              </w:rPr>
              <w:t>。符合上述条件的中小微型企业应按照附件的格式要求提供《中小企业声明函》及评分条款要求提供相关资料。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idowControl/>
              <w:spacing w:line="360" w:lineRule="auto"/>
              <w:outlineLvl w:val="0"/>
              <w:rPr>
                <w:rFonts w:hint="eastAsia" w:ascii="仿宋" w:hAnsi="仿宋" w:eastAsia="仿宋" w:cs="仿宋"/>
                <w:sz w:val="24"/>
              </w:rPr>
            </w:pPr>
            <w:r>
              <w:rPr>
                <w:rFonts w:hint="eastAsia" w:ascii="仿宋" w:hAnsi="仿宋" w:eastAsia="仿宋" w:cs="仿宋"/>
                <w:sz w:val="24"/>
              </w:rPr>
              <w:t>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w:t>
            </w:r>
            <w:r>
              <w:rPr>
                <w:rFonts w:hint="eastAsia" w:ascii="仿宋" w:hAnsi="仿宋" w:eastAsia="仿宋" w:cs="仿宋"/>
                <w:sz w:val="24"/>
                <w:lang w:val="en-US" w:eastAsia="zh-CN"/>
              </w:rPr>
              <w:t>等</w:t>
            </w:r>
            <w:r>
              <w:rPr>
                <w:rFonts w:hint="eastAsia" w:ascii="仿宋" w:hAnsi="仿宋" w:eastAsia="仿宋" w:cs="仿宋"/>
                <w:sz w:val="24"/>
              </w:rPr>
              <w:t>规定，对于非专门面向此类企业的项目，对小型和微型企业产品的投标价格给予20%的扣除，用扣除后的价格参与评审。</w:t>
            </w:r>
          </w:p>
          <w:p>
            <w:pPr>
              <w:widowControl/>
              <w:spacing w:line="360" w:lineRule="auto"/>
              <w:outlineLvl w:val="0"/>
              <w:rPr>
                <w:rFonts w:hint="eastAsia" w:ascii="仿宋" w:hAnsi="仿宋" w:eastAsia="仿宋" w:cs="仿宋"/>
                <w:sz w:val="24"/>
              </w:rPr>
            </w:pPr>
            <w:r>
              <w:rPr>
                <w:rFonts w:hint="eastAsia" w:ascii="仿宋" w:hAnsi="仿宋" w:eastAsia="仿宋" w:cs="仿宋"/>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w:t>
            </w:r>
          </w:p>
          <w:p>
            <w:pPr>
              <w:widowControl/>
              <w:spacing w:line="360" w:lineRule="auto"/>
              <w:outlineLvl w:val="0"/>
              <w:rPr>
                <w:rFonts w:hint="eastAsia" w:ascii="仿宋" w:hAnsi="仿宋" w:eastAsia="仿宋" w:cs="仿宋"/>
                <w:sz w:val="24"/>
              </w:rPr>
            </w:pPr>
            <w:r>
              <w:rPr>
                <w:rFonts w:hint="eastAsia" w:ascii="仿宋" w:hAnsi="仿宋" w:eastAsia="仿宋" w:cs="仿宋"/>
                <w:sz w:val="24"/>
              </w:rPr>
              <w:t>联合体各方均为小型、微型企业的，联合体视同为小型、微型企业。</w:t>
            </w:r>
          </w:p>
          <w:p>
            <w:pPr>
              <w:widowControl/>
              <w:spacing w:line="360" w:lineRule="auto"/>
              <w:outlineLvl w:val="0"/>
              <w:rPr>
                <w:rFonts w:hint="eastAsia" w:ascii="仿宋" w:hAnsi="仿宋" w:eastAsia="仿宋" w:cs="仿宋"/>
                <w:sz w:val="24"/>
              </w:rPr>
            </w:pPr>
            <w:r>
              <w:rPr>
                <w:rFonts w:hint="eastAsia" w:ascii="仿宋" w:hAnsi="仿宋" w:eastAsia="仿宋" w:cs="仿宋"/>
                <w:b/>
                <w:bCs/>
                <w:sz w:val="24"/>
              </w:rPr>
              <w:t>企业信用融资：</w:t>
            </w:r>
            <w:r>
              <w:rPr>
                <w:rFonts w:hint="eastAsia" w:ascii="仿宋" w:hAnsi="仿宋" w:eastAsia="仿宋" w:cs="仿宋"/>
                <w:sz w:val="24"/>
              </w:rPr>
              <w:t>为支持和促进中小企业发展，进一步发挥政府采购政策功能，杭州市财政局与省银监局、市金融办、市经信委共同出台了《浙江政府采购网支持中小企业信用融资</w:t>
            </w:r>
            <w:r>
              <w:rPr>
                <w:rFonts w:hint="eastAsia" w:ascii="仿宋" w:hAnsi="仿宋" w:eastAsia="仿宋" w:cs="仿宋"/>
                <w:sz w:val="24"/>
                <w:lang w:val="en-US" w:eastAsia="zh-CN"/>
              </w:rPr>
              <w:t>管理</w:t>
            </w:r>
            <w:r>
              <w:rPr>
                <w:rFonts w:hint="eastAsia" w:ascii="仿宋" w:hAnsi="仿宋" w:eastAsia="仿宋" w:cs="仿宋"/>
                <w:sz w:val="24"/>
              </w:rPr>
              <w:t>办法》，供应商若有融资意向，登陆浙江政府采购网网（http://www.zjzfcg.gov.cn）“中小企业信用融资”专栏，查看信用融资政策文件及各相关银行服务方案。</w:t>
            </w:r>
          </w:p>
          <w:p>
            <w:pPr>
              <w:widowControl/>
              <w:spacing w:line="360" w:lineRule="auto"/>
              <w:outlineLvl w:val="0"/>
              <w:rPr>
                <w:rFonts w:hint="eastAsia" w:ascii="仿宋" w:hAnsi="仿宋" w:eastAsia="仿宋" w:cs="仿宋"/>
                <w:b/>
                <w:bCs/>
                <w:sz w:val="24"/>
              </w:rPr>
            </w:pPr>
            <w:r>
              <w:rPr>
                <w:rFonts w:hint="eastAsia" w:ascii="仿宋" w:hAnsi="仿宋" w:eastAsia="仿宋" w:cs="仿宋"/>
                <w:b/>
                <w:bCs/>
                <w:sz w:val="24"/>
              </w:rPr>
              <w:t>节能环保:</w:t>
            </w:r>
          </w:p>
          <w:p>
            <w:pPr>
              <w:widowControl/>
              <w:spacing w:line="360" w:lineRule="auto"/>
              <w:outlineLvl w:val="0"/>
              <w:rPr>
                <w:rFonts w:hint="eastAsia" w:ascii="仿宋" w:hAnsi="仿宋" w:eastAsia="仿宋" w:cs="仿宋"/>
                <w:sz w:val="24"/>
              </w:rPr>
            </w:pPr>
            <w:r>
              <w:rPr>
                <w:rFonts w:hint="eastAsia" w:ascii="仿宋" w:hAnsi="仿宋" w:eastAsia="仿宋" w:cs="仿宋"/>
                <w:sz w:val="24"/>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widowControl/>
              <w:spacing w:line="360" w:lineRule="auto"/>
              <w:outlineLvl w:val="0"/>
              <w:rPr>
                <w:rFonts w:hint="eastAsia" w:ascii="仿宋" w:hAnsi="仿宋" w:eastAsia="仿宋" w:cs="仿宋"/>
                <w:b/>
                <w:sz w:val="24"/>
              </w:rPr>
            </w:pPr>
            <w:r>
              <w:rPr>
                <w:rFonts w:hint="eastAsia" w:ascii="仿宋" w:hAnsi="仿宋" w:eastAsia="仿宋" w:cs="仿宋"/>
                <w:sz w:val="24"/>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jc w:val="center"/>
        </w:trPr>
        <w:tc>
          <w:tcPr>
            <w:tcW w:w="849" w:type="dxa"/>
            <w:noWrap w:val="0"/>
            <w:vAlign w:val="center"/>
          </w:tcPr>
          <w:p>
            <w:pPr>
              <w:pStyle w:val="26"/>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8459" w:type="dxa"/>
            <w:noWrap w:val="0"/>
            <w:vAlign w:val="center"/>
          </w:tcPr>
          <w:p>
            <w:pPr>
              <w:widowControl/>
              <w:spacing w:line="360" w:lineRule="auto"/>
              <w:outlineLvl w:val="0"/>
              <w:rPr>
                <w:rFonts w:hint="eastAsia" w:ascii="仿宋" w:hAnsi="仿宋" w:eastAsia="仿宋" w:cs="仿宋"/>
                <w:sz w:val="24"/>
              </w:rPr>
            </w:pPr>
            <w:r>
              <w:rPr>
                <w:rFonts w:hint="eastAsia" w:ascii="仿宋" w:hAnsi="仿宋" w:eastAsia="仿宋" w:cs="仿宋"/>
                <w:b/>
                <w:sz w:val="24"/>
              </w:rPr>
              <w:t>投标人信用记录：</w:t>
            </w:r>
            <w:r>
              <w:rPr>
                <w:rFonts w:hint="eastAsia" w:ascii="仿宋" w:hAnsi="仿宋" w:eastAsia="仿宋" w:cs="仿宋"/>
                <w:sz w:val="24"/>
              </w:rPr>
              <w:t>依据《财政部关于在政府采购活动中查询及使用信用记录有关问题的通知》对列入失信被执行人、重大税收违法案件当事人名单、政府采购严重违法失信行为记录名单及其他不符合《中华人民共和国政府采购法》第二十二条规定条件的供应商，拒绝其参与政府采购活动。</w:t>
            </w:r>
          </w:p>
          <w:p>
            <w:pPr>
              <w:pStyle w:val="26"/>
              <w:spacing w:line="360" w:lineRule="auto"/>
              <w:rPr>
                <w:rFonts w:hint="eastAsia" w:ascii="仿宋" w:hAnsi="仿宋" w:eastAsia="仿宋" w:cs="仿宋"/>
                <w:b/>
                <w:sz w:val="24"/>
                <w:szCs w:val="24"/>
              </w:rPr>
            </w:pPr>
            <w:r>
              <w:rPr>
                <w:rFonts w:hint="eastAsia" w:ascii="仿宋" w:hAnsi="仿宋" w:eastAsia="仿宋" w:cs="仿宋"/>
                <w:sz w:val="24"/>
                <w:szCs w:val="24"/>
              </w:rPr>
              <w:t>信用记录查询渠道：“信用中国”网站(www.creditchina.gov.cn)、中国政府采购网(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 </w:instrText>
            </w:r>
            <w:r>
              <w:rPr>
                <w:rFonts w:hint="eastAsia" w:ascii="仿宋" w:hAnsi="仿宋" w:eastAsia="仿宋" w:cs="仿宋"/>
                <w:sz w:val="24"/>
                <w:szCs w:val="24"/>
              </w:rPr>
              <w:fldChar w:fldCharType="separate"/>
            </w:r>
            <w:r>
              <w:rPr>
                <w:rFonts w:hint="eastAsia" w:ascii="仿宋" w:hAnsi="仿宋" w:eastAsia="仿宋" w:cs="仿宋"/>
                <w:sz w:val="24"/>
                <w:szCs w:val="24"/>
              </w:rPr>
              <w:t>www.ccgp.gov.cn</w:t>
            </w:r>
            <w:r>
              <w:rPr>
                <w:rFonts w:hint="eastAsia" w:ascii="仿宋" w:hAnsi="仿宋" w:eastAsia="仿宋" w:cs="仿宋"/>
                <w:sz w:val="24"/>
                <w:szCs w:val="24"/>
              </w:rPr>
              <w:fldChar w:fldCharType="end"/>
            </w:r>
            <w:r>
              <w:rPr>
                <w:rFonts w:hint="eastAsia" w:ascii="仿宋" w:hAnsi="仿宋" w:eastAsia="仿宋" w:cs="仿宋"/>
                <w:sz w:val="24"/>
                <w:szCs w:val="24"/>
              </w:rPr>
              <w:t>)等财政部门指定的政府采购信息发布媒体。信用记录查询截止时点为投标截止时间。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92" w:hRule="atLeast"/>
          <w:jc w:val="center"/>
        </w:trPr>
        <w:tc>
          <w:tcPr>
            <w:tcW w:w="849" w:type="dxa"/>
            <w:noWrap w:val="0"/>
            <w:vAlign w:val="center"/>
          </w:tcPr>
          <w:p>
            <w:pPr>
              <w:pStyle w:val="26"/>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8459" w:type="dxa"/>
            <w:noWrap w:val="0"/>
            <w:vAlign w:val="center"/>
          </w:tcPr>
          <w:p>
            <w:pPr>
              <w:pStyle w:val="26"/>
              <w:adjustRightInd w:val="0"/>
              <w:snapToGrid w:val="0"/>
              <w:spacing w:line="360" w:lineRule="exact"/>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特别说明：</w:t>
            </w:r>
          </w:p>
          <w:p>
            <w:pPr>
              <w:pStyle w:val="26"/>
              <w:adjustRightInd w:val="0"/>
              <w:snapToGrid w:val="0"/>
              <w:spacing w:line="360" w:lineRule="exact"/>
              <w:rPr>
                <w:rFonts w:hint="eastAsia" w:ascii="仿宋" w:hAnsi="仿宋" w:eastAsia="仿宋" w:cs="仿宋"/>
                <w:sz w:val="24"/>
                <w:szCs w:val="24"/>
              </w:rPr>
            </w:pPr>
            <w:r>
              <w:rPr>
                <w:rFonts w:hint="eastAsia" w:ascii="仿宋" w:hAnsi="仿宋" w:eastAsia="仿宋" w:cs="仿宋"/>
                <w:snapToGrid w:val="0"/>
                <w:kern w:val="0"/>
                <w:sz w:val="24"/>
                <w:szCs w:val="24"/>
              </w:rPr>
              <w:t>（1）</w:t>
            </w:r>
            <w:r>
              <w:rPr>
                <w:rFonts w:hint="eastAsia" w:ascii="仿宋" w:hAnsi="仿宋" w:eastAsia="仿宋" w:cs="仿宋"/>
                <w:b/>
                <w:snapToGrid w:val="0"/>
                <w:kern w:val="0"/>
                <w:sz w:val="24"/>
                <w:szCs w:val="24"/>
              </w:rPr>
              <w:t>投标人应无条件的、认真仔细的、不厌其烦的阅读本招标文件及其澄清答疑、修改答复的补充文件，严格按照招标文件及补充文件的规定和要求编制投标文件。</w:t>
            </w:r>
            <w:r>
              <w:rPr>
                <w:rFonts w:hint="eastAsia" w:ascii="仿宋" w:hAnsi="仿宋" w:eastAsia="仿宋" w:cs="仿宋"/>
                <w:sz w:val="24"/>
                <w:szCs w:val="24"/>
              </w:rPr>
              <w:t>在编制投标文件过程中，应严格遵循实事求是、诚信投标的原则，针对招标文件中第三部分采购需求、第四部分合同条款等各项内容进行确认，如有偏离，应如实填写响应偏离表。</w:t>
            </w:r>
          </w:p>
          <w:p>
            <w:pPr>
              <w:pStyle w:val="26"/>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pPr>
              <w:pStyle w:val="26"/>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3）该项目中标公告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tc>
      </w:tr>
    </w:tbl>
    <w:p>
      <w:pPr>
        <w:pStyle w:val="26"/>
        <w:rPr>
          <w:rFonts w:hint="eastAsia" w:ascii="仿宋" w:hAnsi="仿宋" w:eastAsia="仿宋" w:cs="仿宋"/>
          <w:b/>
          <w:bCs/>
          <w:sz w:val="24"/>
          <w:szCs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p>
    <w:p>
      <w:pPr>
        <w:pStyle w:val="26"/>
        <w:jc w:val="center"/>
        <w:rPr>
          <w:rFonts w:hint="eastAsia" w:ascii="仿宋" w:hAnsi="仿宋" w:eastAsia="仿宋" w:cs="仿宋"/>
          <w:b/>
          <w:bCs/>
          <w:sz w:val="24"/>
        </w:rPr>
      </w:pPr>
      <w:r>
        <w:rPr>
          <w:rFonts w:hint="eastAsia" w:ascii="仿宋" w:hAnsi="仿宋" w:eastAsia="仿宋" w:cs="仿宋"/>
          <w:b/>
          <w:bCs/>
          <w:sz w:val="24"/>
        </w:rPr>
        <w:t>一 、总则</w:t>
      </w:r>
    </w:p>
    <w:p>
      <w:pPr>
        <w:pStyle w:val="26"/>
        <w:rPr>
          <w:rFonts w:hint="eastAsia" w:ascii="仿宋" w:hAnsi="仿宋" w:eastAsia="仿宋" w:cs="仿宋"/>
          <w:b/>
          <w:sz w:val="24"/>
        </w:rPr>
      </w:pPr>
      <w:r>
        <w:rPr>
          <w:rFonts w:hint="eastAsia" w:ascii="仿宋" w:hAnsi="仿宋" w:eastAsia="仿宋" w:cs="仿宋"/>
          <w:b/>
          <w:sz w:val="24"/>
        </w:rPr>
        <w:t>1．项目说明</w:t>
      </w:r>
    </w:p>
    <w:p>
      <w:pPr>
        <w:pStyle w:val="26"/>
        <w:rPr>
          <w:rFonts w:hint="eastAsia" w:ascii="仿宋" w:hAnsi="仿宋" w:eastAsia="仿宋" w:cs="仿宋"/>
          <w:sz w:val="24"/>
          <w:szCs w:val="24"/>
        </w:rPr>
      </w:pPr>
      <w:r>
        <w:rPr>
          <w:rFonts w:hint="eastAsia" w:ascii="仿宋" w:hAnsi="仿宋" w:eastAsia="仿宋" w:cs="仿宋"/>
          <w:sz w:val="24"/>
        </w:rPr>
        <w:t>1．1 本招标文件仅适用于本次公开招标中所叙述的</w:t>
      </w:r>
      <w:r>
        <w:rPr>
          <w:rFonts w:hint="eastAsia" w:ascii="仿宋" w:hAnsi="仿宋" w:eastAsia="仿宋" w:cs="仿宋"/>
          <w:sz w:val="24"/>
          <w:szCs w:val="24"/>
        </w:rPr>
        <w:t>西湖区排灌泵闸站委托运维管理项目</w:t>
      </w:r>
    </w:p>
    <w:p>
      <w:pPr>
        <w:pStyle w:val="26"/>
        <w:rPr>
          <w:rFonts w:hint="eastAsia" w:ascii="仿宋" w:hAnsi="仿宋" w:eastAsia="仿宋" w:cs="仿宋"/>
          <w:sz w:val="24"/>
        </w:rPr>
      </w:pPr>
      <w:r>
        <w:rPr>
          <w:rFonts w:hint="eastAsia" w:ascii="仿宋" w:hAnsi="仿宋" w:eastAsia="仿宋" w:cs="仿宋"/>
          <w:sz w:val="24"/>
        </w:rPr>
        <w:t>1．2项目说明见投标须知前附表(以下称“前附表”)第1项所述。</w:t>
      </w:r>
    </w:p>
    <w:p>
      <w:pPr>
        <w:pStyle w:val="26"/>
        <w:rPr>
          <w:rFonts w:hint="eastAsia" w:ascii="仿宋" w:hAnsi="仿宋" w:eastAsia="仿宋" w:cs="仿宋"/>
          <w:sz w:val="24"/>
        </w:rPr>
      </w:pPr>
      <w:r>
        <w:rPr>
          <w:rFonts w:hint="eastAsia" w:ascii="仿宋" w:hAnsi="仿宋" w:eastAsia="仿宋" w:cs="仿宋"/>
          <w:sz w:val="24"/>
        </w:rPr>
        <w:t>1．3相关名词说明：</w:t>
      </w:r>
    </w:p>
    <w:p>
      <w:pPr>
        <w:pStyle w:val="26"/>
        <w:ind w:firstLine="480" w:firstLineChars="200"/>
        <w:rPr>
          <w:rFonts w:hint="eastAsia"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rPr>
        <w:t>杭州市西湖区排灌设施管理服务站</w:t>
      </w:r>
      <w:r>
        <w:rPr>
          <w:rFonts w:hint="eastAsia" w:ascii="仿宋" w:hAnsi="仿宋" w:eastAsia="仿宋" w:cs="仿宋"/>
          <w:sz w:val="24"/>
        </w:rPr>
        <w:t>为本项目的采购人（合同中的甲方）。</w:t>
      </w:r>
      <w:r>
        <w:rPr>
          <w:rFonts w:hint="eastAsia" w:ascii="仿宋" w:hAnsi="仿宋" w:eastAsia="仿宋" w:cs="仿宋"/>
          <w:kern w:val="0"/>
          <w:sz w:val="24"/>
        </w:rPr>
        <w:t>浙江建友工程咨询有限公司</w:t>
      </w:r>
      <w:r>
        <w:rPr>
          <w:rFonts w:hint="eastAsia" w:ascii="仿宋" w:hAnsi="仿宋" w:eastAsia="仿宋" w:cs="仿宋"/>
          <w:sz w:val="24"/>
        </w:rPr>
        <w:t>为采购代理机构。自愿参加本次项目投标的公司为投标人，经评审产生并经批准的投标人为中标人，签订合同后的中标人为服务商（合同中的乙方）。西湖区政府采购领导小组办公室为监督管理部门。</w:t>
      </w:r>
    </w:p>
    <w:p>
      <w:pPr>
        <w:pStyle w:val="26"/>
        <w:tabs>
          <w:tab w:val="left" w:pos="720"/>
        </w:tabs>
        <w:rPr>
          <w:rFonts w:hint="eastAsia" w:ascii="仿宋" w:hAnsi="仿宋" w:eastAsia="仿宋" w:cs="仿宋"/>
          <w:sz w:val="24"/>
        </w:rPr>
      </w:pPr>
      <w:r>
        <w:rPr>
          <w:rFonts w:hint="eastAsia" w:ascii="仿宋" w:hAnsi="仿宋" w:eastAsia="仿宋" w:cs="仿宋"/>
          <w:sz w:val="24"/>
        </w:rPr>
        <w:t>1．4潜在投标人领取招标文件后，必须按国家《保密法》以及保密工作的相关规定，对招标文件内容应承担保密义务，维护采购人的权益，发生窃、泄密事件潜在投标人应承担相应的法律责任。</w:t>
      </w:r>
    </w:p>
    <w:p>
      <w:pPr>
        <w:pStyle w:val="26"/>
        <w:tabs>
          <w:tab w:val="left" w:pos="720"/>
        </w:tabs>
        <w:rPr>
          <w:rFonts w:hint="eastAsia" w:ascii="仿宋" w:hAnsi="仿宋" w:eastAsia="仿宋" w:cs="仿宋"/>
          <w:sz w:val="24"/>
        </w:rPr>
      </w:pPr>
      <w:r>
        <w:rPr>
          <w:rFonts w:hint="eastAsia" w:ascii="仿宋" w:hAnsi="仿宋" w:eastAsia="仿宋" w:cs="仿宋"/>
          <w:sz w:val="24"/>
        </w:rPr>
        <w:t xml:space="preserve">1．5 投标人一旦参与本次采购活动，即被视为接受了本招标文件的所有内容，如有任何异议，均需在答疑截止时间前以书面形式提出。 </w:t>
      </w:r>
    </w:p>
    <w:p>
      <w:pPr>
        <w:pStyle w:val="26"/>
        <w:tabs>
          <w:tab w:val="left" w:pos="720"/>
        </w:tabs>
        <w:rPr>
          <w:rFonts w:hint="eastAsia" w:ascii="仿宋" w:hAnsi="仿宋" w:eastAsia="仿宋" w:cs="仿宋"/>
          <w:sz w:val="24"/>
        </w:rPr>
      </w:pPr>
      <w:r>
        <w:rPr>
          <w:rFonts w:hint="eastAsia" w:ascii="仿宋" w:hAnsi="仿宋" w:eastAsia="仿宋" w:cs="仿宋"/>
          <w:sz w:val="24"/>
        </w:rPr>
        <w:t>1．6 投标须对所投项目的运维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服务商应承担相应后果，并负责赔偿。服务商为执行本项目合同而提供的技术资料等归采购人所有。采购人提供的所有材料，包括但不限于文件、设计和清单应仍为采购人的财产，且采购人要求归还时应立即归还原件和所有据此制作的副本。</w:t>
      </w:r>
    </w:p>
    <w:p>
      <w:pPr>
        <w:pStyle w:val="26"/>
        <w:tabs>
          <w:tab w:val="left" w:pos="720"/>
        </w:tabs>
        <w:rPr>
          <w:rFonts w:hint="eastAsia" w:ascii="仿宋" w:hAnsi="仿宋" w:eastAsia="仿宋" w:cs="仿宋"/>
          <w:sz w:val="24"/>
          <w:szCs w:val="28"/>
        </w:rPr>
      </w:pPr>
      <w:r>
        <w:rPr>
          <w:rFonts w:hint="eastAsia" w:ascii="仿宋" w:hAnsi="仿宋" w:eastAsia="仿宋" w:cs="仿宋"/>
          <w:b/>
          <w:sz w:val="24"/>
        </w:rPr>
        <w:t>2．采购方式</w:t>
      </w:r>
      <w:r>
        <w:rPr>
          <w:rFonts w:hint="eastAsia" w:ascii="仿宋" w:hAnsi="仿宋" w:eastAsia="仿宋" w:cs="仿宋"/>
          <w:sz w:val="24"/>
        </w:rPr>
        <w:t>：</w:t>
      </w:r>
      <w:r>
        <w:rPr>
          <w:rFonts w:hint="eastAsia" w:ascii="仿宋" w:hAnsi="仿宋" w:eastAsia="仿宋" w:cs="仿宋"/>
          <w:sz w:val="24"/>
          <w:szCs w:val="28"/>
        </w:rPr>
        <w:t>公开招标</w:t>
      </w:r>
    </w:p>
    <w:p>
      <w:pPr>
        <w:pStyle w:val="26"/>
        <w:tabs>
          <w:tab w:val="left" w:pos="720"/>
        </w:tabs>
        <w:rPr>
          <w:rFonts w:hint="eastAsia" w:ascii="仿宋" w:hAnsi="仿宋" w:eastAsia="仿宋" w:cs="仿宋"/>
          <w:b/>
          <w:sz w:val="24"/>
        </w:rPr>
      </w:pPr>
      <w:r>
        <w:rPr>
          <w:rFonts w:hint="eastAsia" w:ascii="仿宋" w:hAnsi="仿宋" w:eastAsia="仿宋" w:cs="仿宋"/>
          <w:b/>
          <w:sz w:val="24"/>
        </w:rPr>
        <w:t>3．定义</w:t>
      </w:r>
    </w:p>
    <w:p>
      <w:pPr>
        <w:snapToGrid w:val="0"/>
        <w:ind w:firstLine="480" w:firstLineChars="200"/>
        <w:rPr>
          <w:rFonts w:hint="eastAsia" w:ascii="仿宋" w:hAnsi="仿宋" w:eastAsia="仿宋" w:cs="仿宋"/>
          <w:sz w:val="24"/>
        </w:rPr>
      </w:pPr>
      <w:r>
        <w:rPr>
          <w:rFonts w:hint="eastAsia" w:ascii="仿宋" w:hAnsi="仿宋" w:eastAsia="仿宋" w:cs="仿宋"/>
          <w:sz w:val="24"/>
        </w:rPr>
        <w:t>1.“招标代理机构”系指组织本次招标的浙江建友工程咨询有限公司。</w:t>
      </w:r>
    </w:p>
    <w:p>
      <w:pPr>
        <w:snapToGrid w:val="0"/>
        <w:ind w:firstLine="480" w:firstLineChars="200"/>
        <w:rPr>
          <w:rFonts w:hint="eastAsia" w:ascii="仿宋" w:hAnsi="仿宋" w:eastAsia="仿宋" w:cs="仿宋"/>
          <w:sz w:val="24"/>
        </w:rPr>
      </w:pPr>
      <w:r>
        <w:rPr>
          <w:rFonts w:hint="eastAsia" w:ascii="仿宋" w:hAnsi="仿宋" w:eastAsia="仿宋" w:cs="仿宋"/>
          <w:sz w:val="24"/>
        </w:rPr>
        <w:t>2.“投标人”系指向招标方提交投标文件的单位。</w:t>
      </w:r>
    </w:p>
    <w:p>
      <w:pPr>
        <w:snapToGrid w:val="0"/>
        <w:ind w:firstLine="480" w:firstLineChars="200"/>
        <w:rPr>
          <w:rFonts w:hint="eastAsia" w:ascii="仿宋" w:hAnsi="仿宋" w:eastAsia="仿宋" w:cs="仿宋"/>
          <w:sz w:val="24"/>
        </w:rPr>
      </w:pPr>
      <w:r>
        <w:rPr>
          <w:rFonts w:hint="eastAsia" w:ascii="仿宋" w:hAnsi="仿宋" w:eastAsia="仿宋" w:cs="仿宋"/>
          <w:sz w:val="24"/>
        </w:rPr>
        <w:t>3.“采购单位”系指委托招标方采购本次项目的杭州市西湖区排灌设施管理服务站。</w:t>
      </w:r>
    </w:p>
    <w:p>
      <w:pPr>
        <w:snapToGrid w:val="0"/>
        <w:ind w:firstLine="480" w:firstLineChars="200"/>
        <w:rPr>
          <w:rFonts w:hint="eastAsia" w:ascii="仿宋" w:hAnsi="仿宋" w:eastAsia="仿宋" w:cs="仿宋"/>
          <w:sz w:val="24"/>
        </w:rPr>
      </w:pPr>
      <w:r>
        <w:rPr>
          <w:rFonts w:hint="eastAsia" w:ascii="仿宋" w:hAnsi="仿宋" w:eastAsia="仿宋" w:cs="仿宋"/>
          <w:sz w:val="24"/>
        </w:rPr>
        <w:t>4.“产品”系指供方按招标文件规定，须向采购人提供的一切设备、保险、税金、备品备件、工具、手册及其它有关技术资料和材料。</w:t>
      </w:r>
    </w:p>
    <w:p>
      <w:pPr>
        <w:snapToGrid w:val="0"/>
        <w:ind w:firstLine="480" w:firstLineChars="200"/>
        <w:rPr>
          <w:rFonts w:hint="eastAsia" w:ascii="仿宋" w:hAnsi="仿宋" w:eastAsia="仿宋" w:cs="仿宋"/>
          <w:sz w:val="24"/>
        </w:rPr>
      </w:pPr>
      <w:r>
        <w:rPr>
          <w:rFonts w:hint="eastAsia" w:ascii="仿宋" w:hAnsi="仿宋" w:eastAsia="仿宋" w:cs="仿宋"/>
          <w:sz w:val="24"/>
        </w:rPr>
        <w:t>5.“服务”系指招标文件规定投标人须承担的委托运维、养护、技术协助、培训、技术指导以及其他类似的义务。</w:t>
      </w:r>
    </w:p>
    <w:p>
      <w:pPr>
        <w:snapToGrid w:val="0"/>
        <w:ind w:firstLine="480" w:firstLineChars="200"/>
        <w:rPr>
          <w:rFonts w:hint="eastAsia" w:ascii="仿宋" w:hAnsi="仿宋" w:eastAsia="仿宋" w:cs="仿宋"/>
          <w:sz w:val="24"/>
        </w:rPr>
      </w:pPr>
      <w:r>
        <w:rPr>
          <w:rFonts w:hint="eastAsia" w:ascii="仿宋" w:hAnsi="仿宋" w:eastAsia="仿宋" w:cs="仿宋"/>
          <w:sz w:val="24"/>
        </w:rPr>
        <w:t>6.“项目”系指投标人按招标文件规定向采购人提供的产品和服务。</w:t>
      </w:r>
    </w:p>
    <w:p>
      <w:pPr>
        <w:pStyle w:val="26"/>
        <w:rPr>
          <w:rFonts w:hint="eastAsia" w:ascii="仿宋" w:hAnsi="仿宋" w:eastAsia="仿宋" w:cs="仿宋"/>
          <w:b/>
          <w:sz w:val="24"/>
          <w:szCs w:val="24"/>
        </w:rPr>
      </w:pPr>
      <w:r>
        <w:rPr>
          <w:rFonts w:hint="eastAsia" w:ascii="仿宋" w:hAnsi="仿宋" w:eastAsia="仿宋" w:cs="仿宋"/>
          <w:b/>
          <w:sz w:val="24"/>
          <w:szCs w:val="24"/>
        </w:rPr>
        <w:t>4. 投标费用</w:t>
      </w:r>
    </w:p>
    <w:p>
      <w:pPr>
        <w:pStyle w:val="26"/>
        <w:rPr>
          <w:rFonts w:hint="eastAsia" w:ascii="仿宋" w:hAnsi="仿宋" w:eastAsia="仿宋" w:cs="仿宋"/>
          <w:sz w:val="24"/>
          <w:szCs w:val="24"/>
        </w:rPr>
      </w:pPr>
      <w:r>
        <w:rPr>
          <w:rFonts w:hint="eastAsia" w:ascii="仿宋" w:hAnsi="仿宋" w:eastAsia="仿宋" w:cs="仿宋"/>
          <w:sz w:val="24"/>
          <w:szCs w:val="24"/>
        </w:rPr>
        <w:t>4.1投标人需自行承担涉及投标的一切费用。</w:t>
      </w: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二、招标文件</w:t>
      </w:r>
    </w:p>
    <w:p>
      <w:pPr>
        <w:pStyle w:val="26"/>
        <w:rPr>
          <w:rFonts w:hint="eastAsia" w:ascii="仿宋" w:hAnsi="仿宋" w:eastAsia="仿宋" w:cs="仿宋"/>
          <w:sz w:val="24"/>
          <w:szCs w:val="24"/>
        </w:rPr>
      </w:pPr>
      <w:r>
        <w:rPr>
          <w:rFonts w:hint="eastAsia" w:ascii="仿宋" w:hAnsi="仿宋" w:eastAsia="仿宋" w:cs="仿宋"/>
          <w:sz w:val="24"/>
          <w:szCs w:val="24"/>
        </w:rPr>
        <w:t>5．招标文件的组成</w:t>
      </w:r>
    </w:p>
    <w:p>
      <w:pPr>
        <w:pStyle w:val="26"/>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pPr>
        <w:numPr>
          <w:ilvl w:val="0"/>
          <w:numId w:val="27"/>
        </w:numPr>
        <w:rPr>
          <w:rFonts w:hint="eastAsia" w:ascii="仿宋" w:hAnsi="仿宋" w:eastAsia="仿宋" w:cs="仿宋"/>
          <w:sz w:val="24"/>
        </w:rPr>
      </w:pPr>
      <w:r>
        <w:rPr>
          <w:rFonts w:hint="eastAsia" w:ascii="仿宋" w:hAnsi="仿宋" w:eastAsia="仿宋" w:cs="仿宋"/>
          <w:sz w:val="24"/>
        </w:rPr>
        <w:t>招标公告</w:t>
      </w:r>
    </w:p>
    <w:p>
      <w:pPr>
        <w:numPr>
          <w:ilvl w:val="0"/>
          <w:numId w:val="27"/>
        </w:numPr>
        <w:rPr>
          <w:rFonts w:hint="eastAsia" w:ascii="仿宋" w:hAnsi="仿宋" w:eastAsia="仿宋" w:cs="仿宋"/>
          <w:sz w:val="24"/>
        </w:rPr>
      </w:pPr>
      <w:r>
        <w:rPr>
          <w:rFonts w:hint="eastAsia" w:ascii="仿宋" w:hAnsi="仿宋" w:eastAsia="仿宋" w:cs="仿宋"/>
          <w:sz w:val="24"/>
        </w:rPr>
        <w:t>编制和提交投标文件须知</w:t>
      </w:r>
    </w:p>
    <w:p>
      <w:pPr>
        <w:numPr>
          <w:ilvl w:val="0"/>
          <w:numId w:val="27"/>
        </w:numPr>
        <w:rPr>
          <w:rFonts w:hint="eastAsia" w:ascii="仿宋" w:hAnsi="仿宋" w:eastAsia="仿宋" w:cs="仿宋"/>
          <w:sz w:val="24"/>
        </w:rPr>
      </w:pPr>
      <w:r>
        <w:rPr>
          <w:rFonts w:hint="eastAsia" w:ascii="仿宋" w:hAnsi="仿宋" w:eastAsia="仿宋" w:cs="仿宋"/>
          <w:sz w:val="24"/>
        </w:rPr>
        <w:t>项目技术规范和服务要求</w:t>
      </w:r>
    </w:p>
    <w:p>
      <w:pPr>
        <w:numPr>
          <w:ilvl w:val="0"/>
          <w:numId w:val="27"/>
        </w:numPr>
        <w:rPr>
          <w:rFonts w:hint="eastAsia" w:ascii="仿宋" w:hAnsi="仿宋" w:eastAsia="仿宋" w:cs="仿宋"/>
          <w:sz w:val="24"/>
        </w:rPr>
      </w:pPr>
      <w:r>
        <w:rPr>
          <w:rFonts w:hint="eastAsia" w:ascii="仿宋" w:hAnsi="仿宋" w:eastAsia="仿宋" w:cs="仿宋"/>
          <w:sz w:val="24"/>
        </w:rPr>
        <w:t>采购合同的一般和特殊条款</w:t>
      </w:r>
    </w:p>
    <w:p>
      <w:pPr>
        <w:numPr>
          <w:ilvl w:val="0"/>
          <w:numId w:val="27"/>
        </w:numPr>
        <w:rPr>
          <w:rFonts w:hint="eastAsia" w:ascii="仿宋" w:hAnsi="仿宋" w:eastAsia="仿宋" w:cs="仿宋"/>
          <w:sz w:val="24"/>
        </w:rPr>
      </w:pPr>
      <w:r>
        <w:rPr>
          <w:rFonts w:hint="eastAsia" w:ascii="仿宋" w:hAnsi="仿宋" w:eastAsia="仿宋" w:cs="仿宋"/>
          <w:sz w:val="24"/>
        </w:rPr>
        <w:t>财务结算程序</w:t>
      </w:r>
    </w:p>
    <w:p>
      <w:pPr>
        <w:numPr>
          <w:ilvl w:val="0"/>
          <w:numId w:val="27"/>
        </w:numPr>
        <w:rPr>
          <w:rFonts w:hint="eastAsia" w:ascii="仿宋" w:hAnsi="仿宋" w:eastAsia="仿宋" w:cs="仿宋"/>
          <w:sz w:val="24"/>
        </w:rPr>
      </w:pPr>
      <w:r>
        <w:rPr>
          <w:rFonts w:hint="eastAsia" w:ascii="仿宋" w:hAnsi="仿宋" w:eastAsia="仿宋" w:cs="仿宋"/>
          <w:sz w:val="24"/>
        </w:rPr>
        <w:t>应提交的有关格式范例</w:t>
      </w:r>
    </w:p>
    <w:p>
      <w:pPr>
        <w:pStyle w:val="26"/>
        <w:rPr>
          <w:rFonts w:hint="eastAsia" w:ascii="仿宋" w:hAnsi="仿宋" w:eastAsia="仿宋" w:cs="仿宋"/>
          <w:sz w:val="24"/>
          <w:szCs w:val="24"/>
        </w:rPr>
      </w:pPr>
      <w:r>
        <w:rPr>
          <w:rFonts w:hint="eastAsia" w:ascii="仿宋" w:hAnsi="仿宋" w:eastAsia="仿宋" w:cs="仿宋"/>
          <w:sz w:val="24"/>
          <w:szCs w:val="24"/>
        </w:rPr>
        <w:t>5．2 投标人应认真审阅招标文件中所有的内容，包括招标公告、编制和提交投标文件须知、项目技术规范和服务要求、采购合同的一般和特殊条款、财务结算程序及应提交的有关格式范例等。如果投标人编制的投标文件没有从实质上响应招标文件的要求，其投标文件将被采购代理机构拒绝。</w:t>
      </w:r>
    </w:p>
    <w:p>
      <w:pPr>
        <w:pStyle w:val="26"/>
        <w:rPr>
          <w:rFonts w:hint="eastAsia" w:ascii="仿宋" w:hAnsi="仿宋" w:eastAsia="仿宋" w:cs="仿宋"/>
          <w:sz w:val="24"/>
          <w:szCs w:val="24"/>
        </w:rPr>
      </w:pPr>
      <w:r>
        <w:rPr>
          <w:rFonts w:hint="eastAsia" w:ascii="仿宋" w:hAnsi="仿宋" w:eastAsia="仿宋" w:cs="仿宋"/>
          <w:sz w:val="24"/>
          <w:szCs w:val="24"/>
        </w:rPr>
        <w:t>6．招标文件的解释</w:t>
      </w:r>
    </w:p>
    <w:p>
      <w:pPr>
        <w:pStyle w:val="26"/>
        <w:rPr>
          <w:rFonts w:hint="eastAsia" w:ascii="仿宋" w:hAnsi="仿宋" w:eastAsia="仿宋" w:cs="仿宋"/>
          <w:sz w:val="24"/>
          <w:szCs w:val="24"/>
        </w:rPr>
      </w:pPr>
      <w:r>
        <w:rPr>
          <w:rFonts w:hint="eastAsia" w:ascii="仿宋" w:hAnsi="仿宋" w:eastAsia="仿宋" w:cs="仿宋"/>
          <w:sz w:val="24"/>
          <w:szCs w:val="24"/>
        </w:rPr>
        <w:t>6．1 已获取招标文件的潜在投标人，若有问题需要澄清，应当在投标截止时间七个工作日前以书面形式送达采购代理机构，采购代理机构对认为有必要回答的问题，将以书面解答形式通知所有招标文件收受人。</w:t>
      </w:r>
    </w:p>
    <w:p>
      <w:pPr>
        <w:pStyle w:val="26"/>
        <w:rPr>
          <w:rFonts w:hint="eastAsia" w:ascii="仿宋" w:hAnsi="仿宋" w:eastAsia="仿宋" w:cs="仿宋"/>
          <w:sz w:val="24"/>
          <w:szCs w:val="24"/>
        </w:rPr>
      </w:pPr>
      <w:r>
        <w:rPr>
          <w:rFonts w:hint="eastAsia" w:ascii="仿宋" w:hAnsi="仿宋" w:eastAsia="仿宋" w:cs="仿宋"/>
          <w:sz w:val="24"/>
          <w:szCs w:val="24"/>
        </w:rPr>
        <w:t>6．2不论采购代理机构向投标人发送的资料文件，还是投标人提出的问题，均采用书面形式，任何口头提问及答复一律无效。</w:t>
      </w:r>
    </w:p>
    <w:p>
      <w:pPr>
        <w:pStyle w:val="26"/>
        <w:rPr>
          <w:rFonts w:hint="eastAsia" w:ascii="仿宋" w:hAnsi="仿宋" w:eastAsia="仿宋" w:cs="仿宋"/>
          <w:sz w:val="24"/>
          <w:szCs w:val="24"/>
        </w:rPr>
      </w:pPr>
      <w:r>
        <w:rPr>
          <w:rFonts w:hint="eastAsia" w:ascii="仿宋" w:hAnsi="仿宋" w:eastAsia="仿宋" w:cs="仿宋"/>
          <w:sz w:val="24"/>
          <w:szCs w:val="24"/>
        </w:rPr>
        <w:t>7．招标文件的修改</w:t>
      </w:r>
    </w:p>
    <w:p>
      <w:pPr>
        <w:pStyle w:val="26"/>
        <w:rPr>
          <w:rFonts w:hint="eastAsia" w:ascii="仿宋" w:hAnsi="仿宋" w:eastAsia="仿宋" w:cs="仿宋"/>
          <w:sz w:val="24"/>
          <w:szCs w:val="24"/>
        </w:rPr>
      </w:pPr>
      <w:r>
        <w:rPr>
          <w:rFonts w:hint="eastAsia" w:ascii="仿宋" w:hAnsi="仿宋" w:eastAsia="仿宋" w:cs="仿宋"/>
          <w:sz w:val="24"/>
          <w:szCs w:val="24"/>
        </w:rPr>
        <w:t>7．1 从招标文件发出至投标截止日期，采购代理机构可能会以补充通知的方式修改招标文件。</w:t>
      </w:r>
    </w:p>
    <w:p>
      <w:pPr>
        <w:pStyle w:val="26"/>
        <w:rPr>
          <w:rFonts w:hint="eastAsia" w:ascii="仿宋" w:hAnsi="仿宋" w:eastAsia="仿宋" w:cs="仿宋"/>
          <w:sz w:val="24"/>
          <w:szCs w:val="24"/>
        </w:rPr>
      </w:pPr>
      <w:r>
        <w:rPr>
          <w:rFonts w:hint="eastAsia" w:ascii="仿宋" w:hAnsi="仿宋" w:eastAsia="仿宋" w:cs="仿宋"/>
          <w:sz w:val="24"/>
          <w:szCs w:val="24"/>
        </w:rPr>
        <w:t>7．2补充通知作为招标文件的组成部分，以书面形式同时发给所有招标文件的收受人。</w:t>
      </w:r>
    </w:p>
    <w:p>
      <w:pPr>
        <w:pStyle w:val="3"/>
        <w:ind w:left="0" w:leftChars="0" w:firstLine="0" w:firstLineChars="0"/>
        <w:rPr>
          <w:rFonts w:hint="eastAsia" w:ascii="仿宋" w:hAnsi="仿宋" w:eastAsia="仿宋" w:cs="仿宋"/>
        </w:rPr>
      </w:pPr>
      <w:r>
        <w:rPr>
          <w:rFonts w:hint="eastAsia" w:ascii="仿宋" w:hAnsi="仿宋" w:eastAsia="仿宋" w:cs="仿宋"/>
        </w:rPr>
        <w:t>7．3若有必要，采购代理机构将酌情延长递交投标文件的截止日期。</w:t>
      </w:r>
    </w:p>
    <w:p>
      <w:pPr>
        <w:pStyle w:val="26"/>
        <w:tabs>
          <w:tab w:val="left" w:pos="900"/>
        </w:tabs>
        <w:rPr>
          <w:rFonts w:hint="eastAsia" w:ascii="仿宋" w:hAnsi="仿宋" w:eastAsia="仿宋" w:cs="仿宋"/>
          <w:sz w:val="24"/>
          <w:szCs w:val="24"/>
        </w:rPr>
      </w:pPr>
      <w:r>
        <w:rPr>
          <w:rFonts w:hint="eastAsia" w:ascii="仿宋" w:hAnsi="仿宋" w:eastAsia="仿宋" w:cs="仿宋"/>
          <w:sz w:val="24"/>
          <w:szCs w:val="24"/>
        </w:rPr>
        <w:t>8．投标报价</w:t>
      </w:r>
    </w:p>
    <w:p>
      <w:pPr>
        <w:pStyle w:val="26"/>
        <w:rPr>
          <w:rFonts w:hint="eastAsia" w:ascii="仿宋" w:hAnsi="仿宋" w:eastAsia="仿宋" w:cs="仿宋"/>
          <w:sz w:val="24"/>
          <w:szCs w:val="24"/>
        </w:rPr>
      </w:pPr>
      <w:r>
        <w:rPr>
          <w:rFonts w:hint="eastAsia" w:ascii="仿宋" w:hAnsi="仿宋" w:eastAsia="仿宋" w:cs="仿宋"/>
          <w:sz w:val="24"/>
          <w:szCs w:val="24"/>
        </w:rPr>
        <w:t>8．1标的物</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本项目位于杭州市西湖区之江地区，本次委托运行维护管理项目主要内容为：九溪水闸、大刀沙泵站、四五排灌站、赤通浦排涝站、白茅湖排灌站、四号浦排灌站、三阳排灌站、社井泵站、社井水闸等七站二闸站区、管理范围及保护范围的运行维护管理，受委托运行管理的 33 个小型机埠水闸站区水工建筑物及防汛配水设施设备运行维护管理，防汛仓库管理，河道巡查，应急排水车运行维护及应急管理等，除潜水泵返厂大修、闸门大修、应急抢险、电气预防性试验以外的所有设施设备的维修养护。包括但不限于泵闸站建筑及附属物、计算机控制系统、自动化控制系统、视频监控系统、泵闸现地控制系统、泵闸站照明系统、工程观测、绿化养护、公共设施养护、安全生产、**保卫、应急值守、疫情防控、防潮管理、办公物业、卫生保洁、垃圾分类、清淤清运、污水处理等</w:t>
      </w:r>
      <w:r>
        <w:rPr>
          <w:rFonts w:hint="eastAsia" w:ascii="仿宋" w:hAnsi="仿宋" w:eastAsia="仿宋" w:cs="仿宋"/>
          <w:kern w:val="0"/>
          <w:sz w:val="24"/>
        </w:rPr>
        <w:t>。</w:t>
      </w:r>
      <w:r>
        <w:rPr>
          <w:rFonts w:hint="eastAsia" w:ascii="仿宋" w:hAnsi="仿宋" w:eastAsia="仿宋" w:cs="仿宋"/>
          <w:sz w:val="24"/>
        </w:rPr>
        <w:t>详见附件：采购文件第三章项目技术规范和服务要求。</w:t>
      </w:r>
    </w:p>
    <w:p>
      <w:pPr>
        <w:pStyle w:val="26"/>
        <w:rPr>
          <w:rFonts w:hint="eastAsia" w:ascii="仿宋" w:hAnsi="仿宋" w:eastAsia="仿宋" w:cs="仿宋"/>
          <w:sz w:val="24"/>
          <w:szCs w:val="24"/>
        </w:rPr>
      </w:pPr>
      <w:r>
        <w:rPr>
          <w:rFonts w:hint="eastAsia" w:ascii="仿宋" w:hAnsi="仿宋" w:eastAsia="仿宋" w:cs="仿宋"/>
          <w:sz w:val="24"/>
          <w:szCs w:val="24"/>
        </w:rPr>
        <w:t>8．2有关费用处理</w:t>
      </w:r>
    </w:p>
    <w:p>
      <w:pPr>
        <w:pStyle w:val="26"/>
        <w:ind w:firstLine="560"/>
        <w:rPr>
          <w:rFonts w:hint="eastAsia" w:ascii="仿宋" w:hAnsi="仿宋" w:eastAsia="仿宋" w:cs="仿宋"/>
          <w:sz w:val="24"/>
          <w:szCs w:val="24"/>
        </w:rPr>
      </w:pPr>
      <w:r>
        <w:rPr>
          <w:rFonts w:hint="eastAsia" w:ascii="仿宋" w:hAnsi="仿宋" w:eastAsia="仿宋" w:cs="仿宋"/>
          <w:sz w:val="24"/>
          <w:szCs w:val="24"/>
        </w:rPr>
        <w:t>包括所有项目范围内的服务、备品备件、专用工具、技术资料、耗材、人员工资、车辆、保险、税费等（包含合同中明示或暗示的所有一切风险、责任和义务等所产生的费用）一切费用。</w:t>
      </w:r>
      <w:r>
        <w:rPr>
          <w:rFonts w:hint="eastAsia" w:ascii="仿宋" w:hAnsi="仿宋" w:eastAsia="仿宋" w:cs="仿宋"/>
          <w:b/>
          <w:sz w:val="24"/>
          <w:szCs w:val="24"/>
        </w:rPr>
        <w:t>所有相关费用应包含在投标总价中, 投标总价在合同执行过程中是固定不变的，不得以任何理由予以变更。《投标（开标）一览表》是报价的唯一载体</w:t>
      </w:r>
      <w:r>
        <w:rPr>
          <w:rFonts w:hint="eastAsia" w:ascii="仿宋" w:hAnsi="仿宋" w:eastAsia="仿宋" w:cs="仿宋"/>
          <w:sz w:val="24"/>
          <w:szCs w:val="24"/>
        </w:rPr>
        <w:t>。</w:t>
      </w:r>
    </w:p>
    <w:p>
      <w:pPr>
        <w:pStyle w:val="26"/>
        <w:rPr>
          <w:rFonts w:hint="eastAsia" w:ascii="仿宋" w:hAnsi="仿宋" w:eastAsia="仿宋" w:cs="仿宋"/>
          <w:sz w:val="24"/>
          <w:szCs w:val="24"/>
        </w:rPr>
      </w:pPr>
      <w:r>
        <w:rPr>
          <w:rFonts w:hint="eastAsia" w:ascii="仿宋" w:hAnsi="仿宋" w:eastAsia="仿宋" w:cs="仿宋"/>
          <w:sz w:val="24"/>
          <w:szCs w:val="24"/>
        </w:rPr>
        <w:t>8．3其它费用处理</w:t>
      </w:r>
    </w:p>
    <w:p>
      <w:pPr>
        <w:pStyle w:val="26"/>
        <w:ind w:firstLine="560"/>
        <w:rPr>
          <w:rFonts w:hint="eastAsia" w:ascii="仿宋" w:hAnsi="仿宋" w:eastAsia="仿宋" w:cs="仿宋"/>
          <w:sz w:val="24"/>
          <w:szCs w:val="24"/>
        </w:rPr>
      </w:pPr>
      <w:r>
        <w:rPr>
          <w:rFonts w:hint="eastAsia" w:ascii="仿宋" w:hAnsi="仿宋" w:eastAsia="仿宋" w:cs="仿宋"/>
          <w:sz w:val="24"/>
          <w:szCs w:val="24"/>
        </w:rPr>
        <w:t>招标文件未列明，而投标人认为必需的费用也需列入报价。</w:t>
      </w:r>
    </w:p>
    <w:p>
      <w:pPr>
        <w:pStyle w:val="26"/>
        <w:rPr>
          <w:rFonts w:hint="eastAsia" w:ascii="仿宋" w:hAnsi="仿宋" w:eastAsia="仿宋" w:cs="仿宋"/>
          <w:sz w:val="24"/>
          <w:szCs w:val="24"/>
        </w:rPr>
      </w:pPr>
      <w:r>
        <w:rPr>
          <w:rFonts w:hint="eastAsia" w:ascii="仿宋" w:hAnsi="仿宋" w:eastAsia="仿宋" w:cs="仿宋"/>
          <w:sz w:val="24"/>
          <w:szCs w:val="24"/>
        </w:rPr>
        <w:t>8．4投标货币</w:t>
      </w:r>
    </w:p>
    <w:p>
      <w:pPr>
        <w:ind w:firstLine="570"/>
        <w:jc w:val="left"/>
        <w:rPr>
          <w:rFonts w:hint="eastAsia" w:ascii="仿宋" w:hAnsi="仿宋" w:eastAsia="仿宋" w:cs="仿宋"/>
          <w:sz w:val="24"/>
        </w:rPr>
      </w:pPr>
      <w:r>
        <w:rPr>
          <w:rFonts w:hint="eastAsia" w:ascii="仿宋" w:hAnsi="仿宋" w:eastAsia="仿宋" w:cs="仿宋"/>
          <w:sz w:val="24"/>
        </w:rPr>
        <w:t>所有投标报价</w:t>
      </w:r>
      <w:r>
        <w:rPr>
          <w:rFonts w:hint="eastAsia" w:ascii="仿宋" w:hAnsi="仿宋" w:eastAsia="仿宋" w:cs="仿宋"/>
          <w:sz w:val="24"/>
          <w:lang w:val="zh-CN"/>
        </w:rPr>
        <w:t>采用人民币报价，</w:t>
      </w:r>
      <w:r>
        <w:rPr>
          <w:rFonts w:hint="eastAsia" w:ascii="仿宋" w:hAnsi="仿宋" w:eastAsia="仿宋" w:cs="仿宋"/>
          <w:sz w:val="24"/>
        </w:rPr>
        <w:t>评审时，如有投标货币不一致的情况，则一律按开标当日的中国人民银行公布的投标货币对人民币的卖出价的中间价转换为人民币计算价格得分。报价应是唯一的,采购代理机构有权利不接受有选择的报价。投标文件的大写金额和小写金额不一致的，以大写金额为准；总价金额与按单价汇总金额不一致的，以单价金额计算结果为准；单价金额小数点有明显错位的，应以总价为准，并修改单价。</w:t>
      </w: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三、投标文件的编制</w:t>
      </w:r>
    </w:p>
    <w:p>
      <w:pPr>
        <w:pStyle w:val="26"/>
        <w:rPr>
          <w:rFonts w:hint="eastAsia" w:ascii="仿宋" w:hAnsi="仿宋" w:eastAsia="仿宋" w:cs="仿宋"/>
          <w:sz w:val="24"/>
          <w:szCs w:val="24"/>
        </w:rPr>
      </w:pPr>
      <w:r>
        <w:rPr>
          <w:rFonts w:hint="eastAsia" w:ascii="仿宋" w:hAnsi="仿宋" w:eastAsia="仿宋" w:cs="仿宋"/>
          <w:sz w:val="24"/>
          <w:szCs w:val="24"/>
        </w:rPr>
        <w:t>9．投标文件的语言</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投标文件及投标人与采购有关的来往通知、函件和文件均应使用中文。</w:t>
      </w:r>
    </w:p>
    <w:p>
      <w:pPr>
        <w:pStyle w:val="26"/>
        <w:rPr>
          <w:rFonts w:hint="eastAsia" w:ascii="仿宋" w:hAnsi="仿宋" w:eastAsia="仿宋" w:cs="仿宋"/>
          <w:sz w:val="24"/>
          <w:szCs w:val="24"/>
        </w:rPr>
      </w:pPr>
      <w:r>
        <w:rPr>
          <w:rFonts w:hint="eastAsia" w:ascii="仿宋" w:hAnsi="仿宋" w:eastAsia="仿宋" w:cs="仿宋"/>
          <w:sz w:val="24"/>
          <w:szCs w:val="24"/>
        </w:rPr>
        <w:t>10．投标文件的组成</w:t>
      </w:r>
    </w:p>
    <w:p>
      <w:pPr>
        <w:pStyle w:val="26"/>
        <w:ind w:firstLine="480"/>
        <w:rPr>
          <w:rFonts w:hint="eastAsia" w:ascii="仿宋" w:hAnsi="仿宋" w:eastAsia="仿宋" w:cs="仿宋"/>
          <w:sz w:val="24"/>
          <w:szCs w:val="24"/>
        </w:rPr>
      </w:pPr>
      <w:r>
        <w:rPr>
          <w:rFonts w:hint="eastAsia" w:ascii="仿宋" w:hAnsi="仿宋" w:eastAsia="仿宋" w:cs="仿宋"/>
          <w:sz w:val="24"/>
          <w:szCs w:val="24"/>
        </w:rPr>
        <w:t>投标文件一般应当包括以下主要内容：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p>
    <w:p>
      <w:pPr>
        <w:snapToGrid w:val="0"/>
        <w:jc w:val="left"/>
        <w:rPr>
          <w:rFonts w:hint="eastAsia" w:ascii="仿宋" w:hAnsi="仿宋" w:eastAsia="仿宋" w:cs="仿宋"/>
          <w:b/>
          <w:bCs/>
          <w:sz w:val="24"/>
        </w:rPr>
      </w:pPr>
      <w:r>
        <w:rPr>
          <w:rFonts w:hint="eastAsia" w:ascii="仿宋" w:hAnsi="仿宋" w:eastAsia="仿宋" w:cs="仿宋"/>
          <w:b/>
          <w:bCs/>
          <w:sz w:val="24"/>
        </w:rPr>
        <w:t>10.1投标人的资格文件包含以下内容（均需加盖公章）。</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highlight w:val="none"/>
        </w:rPr>
        <w:t>符合参加政府采购活动应当具备的一般条件的承诺函；</w:t>
      </w:r>
    </w:p>
    <w:p>
      <w:pPr>
        <w:snapToGrid w:val="0"/>
        <w:ind w:firstLine="480" w:firstLineChars="200"/>
        <w:jc w:val="left"/>
        <w:rPr>
          <w:rFonts w:hint="eastAsia" w:ascii="仿宋" w:hAnsi="仿宋" w:eastAsia="仿宋" w:cs="仿宋"/>
          <w:sz w:val="24"/>
        </w:rPr>
      </w:pPr>
      <w:r>
        <w:rPr>
          <w:rFonts w:hint="eastAsia" w:ascii="仿宋" w:hAnsi="仿宋" w:eastAsia="仿宋" w:cs="仿宋"/>
          <w:sz w:val="24"/>
        </w:rPr>
        <w:t>（2）</w:t>
      </w:r>
      <w:r>
        <w:rPr>
          <w:rFonts w:ascii="仿宋" w:hAnsi="仿宋" w:eastAsia="仿宋" w:cs="仿宋_GB2312"/>
          <w:color w:val="auto"/>
          <w:sz w:val="24"/>
          <w:highlight w:val="none"/>
        </w:rPr>
        <w:t>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
          <w:sz w:val="24"/>
        </w:rPr>
        <w:t>（3）</w:t>
      </w:r>
      <w:r>
        <w:rPr>
          <w:rFonts w:ascii="仿宋" w:hAnsi="仿宋" w:eastAsia="仿宋" w:cs="仿宋_GB2312"/>
          <w:color w:val="auto"/>
          <w:sz w:val="24"/>
          <w:highlight w:val="none"/>
        </w:rPr>
        <w:t>本项目的特定资格要求。</w:t>
      </w:r>
    </w:p>
    <w:p>
      <w:pPr>
        <w:pStyle w:val="26"/>
        <w:rPr>
          <w:rFonts w:hint="eastAsia" w:ascii="仿宋" w:hAnsi="仿宋" w:eastAsia="仿宋" w:cs="仿宋"/>
          <w:sz w:val="24"/>
          <w:szCs w:val="24"/>
        </w:rPr>
      </w:pPr>
      <w:r>
        <w:rPr>
          <w:rFonts w:hint="eastAsia" w:ascii="仿宋" w:hAnsi="仿宋" w:eastAsia="仿宋" w:cs="仿宋"/>
          <w:sz w:val="24"/>
          <w:szCs w:val="24"/>
        </w:rPr>
        <w:t>10．2 投标人的</w:t>
      </w:r>
      <w:r>
        <w:rPr>
          <w:rFonts w:hint="eastAsia" w:ascii="仿宋" w:hAnsi="仿宋" w:eastAsia="仿宋" w:cs="仿宋"/>
          <w:b/>
          <w:sz w:val="24"/>
          <w:szCs w:val="24"/>
        </w:rPr>
        <w:t>报价文件</w:t>
      </w:r>
      <w:r>
        <w:rPr>
          <w:rFonts w:hint="eastAsia" w:ascii="仿宋" w:hAnsi="仿宋" w:eastAsia="仿宋" w:cs="仿宋"/>
          <w:sz w:val="24"/>
          <w:szCs w:val="24"/>
        </w:rPr>
        <w:t>至少应包括以下内容（均需加盖公章）。</w:t>
      </w:r>
    </w:p>
    <w:p>
      <w:pPr>
        <w:pStyle w:val="26"/>
        <w:ind w:firstLine="480"/>
        <w:rPr>
          <w:rFonts w:hint="eastAsia" w:ascii="仿宋" w:hAnsi="仿宋" w:eastAsia="仿宋" w:cs="仿宋"/>
          <w:sz w:val="24"/>
          <w:szCs w:val="24"/>
        </w:rPr>
      </w:pPr>
      <w:r>
        <w:rPr>
          <w:rFonts w:hint="eastAsia" w:ascii="仿宋" w:hAnsi="仿宋" w:eastAsia="仿宋" w:cs="仿宋"/>
          <w:sz w:val="24"/>
          <w:szCs w:val="24"/>
        </w:rPr>
        <w:t>（1）投标响应函；</w:t>
      </w:r>
    </w:p>
    <w:p>
      <w:pPr>
        <w:pStyle w:val="26"/>
        <w:ind w:firstLine="480"/>
        <w:rPr>
          <w:rFonts w:hint="eastAsia" w:ascii="仿宋" w:hAnsi="仿宋" w:eastAsia="仿宋" w:cs="仿宋"/>
          <w:sz w:val="24"/>
          <w:szCs w:val="24"/>
        </w:rPr>
      </w:pPr>
      <w:r>
        <w:rPr>
          <w:rFonts w:hint="eastAsia" w:ascii="仿宋" w:hAnsi="仿宋" w:eastAsia="仿宋" w:cs="仿宋"/>
          <w:sz w:val="24"/>
          <w:szCs w:val="24"/>
        </w:rPr>
        <w:t>（2）投标（开标）一览表；</w:t>
      </w:r>
    </w:p>
    <w:p>
      <w:pPr>
        <w:pStyle w:val="26"/>
        <w:ind w:firstLine="480"/>
        <w:rPr>
          <w:rFonts w:hint="eastAsia" w:ascii="仿宋" w:hAnsi="仿宋" w:eastAsia="仿宋" w:cs="仿宋"/>
          <w:sz w:val="24"/>
          <w:szCs w:val="24"/>
        </w:rPr>
      </w:pPr>
      <w:r>
        <w:rPr>
          <w:rFonts w:hint="eastAsia" w:ascii="仿宋" w:hAnsi="仿宋" w:eastAsia="仿宋" w:cs="仿宋"/>
          <w:sz w:val="24"/>
          <w:szCs w:val="24"/>
        </w:rPr>
        <w:t>（3）投标报价明细清单；</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_GB2312"/>
          <w:color w:val="auto"/>
          <w:sz w:val="24"/>
          <w:highlight w:val="none"/>
        </w:rPr>
        <w:t>中小企业声明函</w:t>
      </w:r>
    </w:p>
    <w:p>
      <w:pPr>
        <w:pStyle w:val="26"/>
        <w:ind w:firstLine="48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）投标人认为需要的其他报价文件或说明</w:t>
      </w:r>
    </w:p>
    <w:p>
      <w:pPr>
        <w:pStyle w:val="26"/>
        <w:rPr>
          <w:rFonts w:hint="eastAsia" w:ascii="仿宋" w:hAnsi="仿宋" w:eastAsia="仿宋" w:cs="仿宋"/>
          <w:b/>
          <w:bCs/>
          <w:sz w:val="24"/>
          <w:szCs w:val="24"/>
        </w:rPr>
      </w:pPr>
      <w:r>
        <w:rPr>
          <w:rFonts w:hint="eastAsia" w:ascii="仿宋" w:hAnsi="仿宋" w:eastAsia="仿宋" w:cs="仿宋"/>
          <w:b/>
          <w:bCs/>
          <w:sz w:val="24"/>
          <w:szCs w:val="24"/>
        </w:rPr>
        <w:t>10．3 投标人的商务技术文件由技术部分和商务部分组成。</w:t>
      </w:r>
    </w:p>
    <w:p>
      <w:pPr>
        <w:pStyle w:val="26"/>
        <w:rPr>
          <w:rFonts w:hint="eastAsia" w:ascii="仿宋" w:hAnsi="仿宋" w:eastAsia="仿宋" w:cs="仿宋"/>
          <w:sz w:val="24"/>
          <w:szCs w:val="24"/>
        </w:rPr>
      </w:pPr>
      <w:r>
        <w:rPr>
          <w:rFonts w:hint="eastAsia" w:ascii="仿宋" w:hAnsi="仿宋" w:eastAsia="仿宋" w:cs="仿宋"/>
          <w:b/>
          <w:sz w:val="24"/>
          <w:szCs w:val="24"/>
        </w:rPr>
        <w:t>10.3.1</w:t>
      </w:r>
      <w:r>
        <w:rPr>
          <w:rFonts w:hint="eastAsia" w:ascii="仿宋" w:hAnsi="仿宋" w:eastAsia="仿宋" w:cs="仿宋"/>
          <w:sz w:val="24"/>
          <w:szCs w:val="24"/>
        </w:rPr>
        <w:t>投标人的</w:t>
      </w:r>
      <w:r>
        <w:rPr>
          <w:rFonts w:hint="eastAsia" w:ascii="仿宋" w:hAnsi="仿宋" w:eastAsia="仿宋" w:cs="仿宋"/>
          <w:b/>
          <w:sz w:val="24"/>
          <w:szCs w:val="24"/>
        </w:rPr>
        <w:t>技术部分</w:t>
      </w:r>
      <w:r>
        <w:rPr>
          <w:rFonts w:hint="eastAsia" w:ascii="仿宋" w:hAnsi="仿宋" w:eastAsia="仿宋" w:cs="仿宋"/>
          <w:sz w:val="24"/>
          <w:szCs w:val="24"/>
        </w:rPr>
        <w:t>应至少包括：技术偏离说明表，招标文件要求提供的其他资料等（均需加盖公章）</w:t>
      </w:r>
    </w:p>
    <w:p>
      <w:pPr>
        <w:ind w:firstLine="480" w:firstLineChars="200"/>
        <w:rPr>
          <w:rFonts w:hint="eastAsia" w:ascii="仿宋" w:hAnsi="仿宋" w:eastAsia="仿宋" w:cs="仿宋"/>
          <w:sz w:val="24"/>
        </w:rPr>
      </w:pPr>
      <w:r>
        <w:rPr>
          <w:rFonts w:hint="eastAsia" w:ascii="仿宋" w:hAnsi="仿宋" w:eastAsia="仿宋" w:cs="仿宋"/>
          <w:sz w:val="24"/>
        </w:rPr>
        <w:t>（1）水利工程标准化管理方案：</w:t>
      </w:r>
    </w:p>
    <w:p>
      <w:pPr>
        <w:ind w:firstLine="480" w:firstLineChars="200"/>
        <w:rPr>
          <w:rFonts w:hint="eastAsia" w:ascii="仿宋" w:hAnsi="仿宋" w:eastAsia="仿宋" w:cs="仿宋"/>
          <w:sz w:val="24"/>
        </w:rPr>
      </w:pPr>
      <w:r>
        <w:rPr>
          <w:rFonts w:hint="eastAsia" w:ascii="仿宋" w:hAnsi="仿宋" w:eastAsia="仿宋" w:cs="仿宋"/>
          <w:sz w:val="24"/>
        </w:rPr>
        <w:t>（2）安全生产管理方案；</w:t>
      </w:r>
    </w:p>
    <w:p>
      <w:pPr>
        <w:ind w:firstLine="480" w:firstLineChars="200"/>
        <w:rPr>
          <w:rFonts w:hint="eastAsia" w:ascii="仿宋" w:hAnsi="仿宋" w:eastAsia="仿宋" w:cs="仿宋"/>
          <w:sz w:val="24"/>
        </w:rPr>
      </w:pPr>
      <w:r>
        <w:rPr>
          <w:rFonts w:hint="eastAsia" w:ascii="仿宋" w:hAnsi="仿宋" w:eastAsia="仿宋" w:cs="仿宋"/>
          <w:sz w:val="24"/>
        </w:rPr>
        <w:t>（3）年度维修保养计划；</w:t>
      </w:r>
    </w:p>
    <w:p>
      <w:pPr>
        <w:ind w:firstLine="480" w:firstLineChars="200"/>
        <w:rPr>
          <w:rFonts w:hint="eastAsia" w:ascii="仿宋" w:hAnsi="仿宋" w:eastAsia="仿宋" w:cs="仿宋"/>
          <w:sz w:val="24"/>
        </w:rPr>
      </w:pPr>
      <w:r>
        <w:rPr>
          <w:rFonts w:hint="eastAsia" w:ascii="仿宋" w:hAnsi="仿宋" w:eastAsia="仿宋" w:cs="仿宋"/>
          <w:sz w:val="24"/>
        </w:rPr>
        <w:t>（4）控制运行计划；</w:t>
      </w:r>
    </w:p>
    <w:p>
      <w:pPr>
        <w:ind w:firstLine="480" w:firstLineChars="200"/>
        <w:rPr>
          <w:rFonts w:hint="eastAsia" w:ascii="仿宋" w:hAnsi="仿宋" w:eastAsia="仿宋" w:cs="仿宋"/>
          <w:sz w:val="24"/>
        </w:rPr>
      </w:pPr>
      <w:r>
        <w:rPr>
          <w:rFonts w:hint="eastAsia" w:ascii="仿宋" w:hAnsi="仿宋" w:eastAsia="仿宋" w:cs="仿宋"/>
          <w:sz w:val="24"/>
        </w:rPr>
        <w:t>（5）日常设备检查方案；</w:t>
      </w:r>
    </w:p>
    <w:p>
      <w:pPr>
        <w:ind w:firstLine="480" w:firstLineChars="200"/>
        <w:rPr>
          <w:rFonts w:hint="eastAsia" w:ascii="仿宋" w:hAnsi="仿宋" w:eastAsia="仿宋" w:cs="仿宋"/>
          <w:sz w:val="24"/>
        </w:rPr>
      </w:pPr>
      <w:r>
        <w:rPr>
          <w:rFonts w:hint="eastAsia" w:ascii="仿宋" w:hAnsi="仿宋" w:eastAsia="仿宋" w:cs="仿宋"/>
          <w:sz w:val="24"/>
        </w:rPr>
        <w:t>（6）日常工程观测管理方案；</w:t>
      </w:r>
    </w:p>
    <w:p>
      <w:pPr>
        <w:ind w:firstLine="480" w:firstLineChars="200"/>
        <w:rPr>
          <w:rFonts w:hint="eastAsia" w:ascii="仿宋" w:hAnsi="仿宋" w:eastAsia="仿宋" w:cs="仿宋"/>
          <w:sz w:val="24"/>
        </w:rPr>
      </w:pPr>
      <w:r>
        <w:rPr>
          <w:rFonts w:hint="eastAsia" w:ascii="仿宋" w:hAnsi="仿宋" w:eastAsia="仿宋" w:cs="仿宋"/>
          <w:sz w:val="24"/>
        </w:rPr>
        <w:t>（7）防汛抢险应急管理调度方案；</w:t>
      </w:r>
    </w:p>
    <w:p>
      <w:pPr>
        <w:ind w:firstLine="480" w:firstLineChars="200"/>
        <w:rPr>
          <w:rFonts w:hint="eastAsia" w:ascii="仿宋" w:hAnsi="仿宋" w:eastAsia="仿宋" w:cs="仿宋"/>
          <w:sz w:val="24"/>
        </w:rPr>
      </w:pPr>
      <w:r>
        <w:rPr>
          <w:rFonts w:hint="eastAsia" w:ascii="仿宋" w:hAnsi="仿宋" w:eastAsia="仿宋" w:cs="仿宋"/>
          <w:sz w:val="24"/>
        </w:rPr>
        <w:t>（8）信息化管理及台账资料管理方案；</w:t>
      </w:r>
    </w:p>
    <w:p>
      <w:pPr>
        <w:ind w:firstLine="480" w:firstLineChars="200"/>
        <w:rPr>
          <w:rFonts w:hint="eastAsia" w:ascii="仿宋" w:hAnsi="仿宋" w:eastAsia="仿宋" w:cs="仿宋"/>
          <w:sz w:val="24"/>
        </w:rPr>
      </w:pPr>
      <w:r>
        <w:rPr>
          <w:rFonts w:hint="eastAsia" w:ascii="仿宋" w:hAnsi="仿宋" w:eastAsia="仿宋" w:cs="仿宋"/>
          <w:sz w:val="24"/>
        </w:rPr>
        <w:t>（9）档案管理方案；</w:t>
      </w:r>
    </w:p>
    <w:p>
      <w:pPr>
        <w:ind w:firstLine="480" w:firstLineChars="200"/>
        <w:rPr>
          <w:rFonts w:hint="eastAsia" w:ascii="仿宋" w:hAnsi="仿宋" w:eastAsia="仿宋" w:cs="仿宋"/>
          <w:sz w:val="24"/>
        </w:rPr>
      </w:pPr>
      <w:r>
        <w:rPr>
          <w:rFonts w:hint="eastAsia" w:ascii="仿宋" w:hAnsi="仿宋" w:eastAsia="仿宋" w:cs="仿宋"/>
          <w:sz w:val="24"/>
        </w:rPr>
        <w:t>（10）日常绿化养护方案；</w:t>
      </w:r>
    </w:p>
    <w:p>
      <w:pPr>
        <w:ind w:firstLine="480" w:firstLineChars="200"/>
        <w:rPr>
          <w:rFonts w:hint="eastAsia" w:ascii="仿宋" w:hAnsi="仿宋" w:eastAsia="仿宋" w:cs="仿宋"/>
          <w:sz w:val="24"/>
        </w:rPr>
      </w:pPr>
      <w:r>
        <w:rPr>
          <w:rFonts w:hint="eastAsia" w:ascii="仿宋" w:hAnsi="仿宋" w:eastAsia="仿宋" w:cs="仿宋"/>
          <w:sz w:val="24"/>
        </w:rPr>
        <w:t>（11）技术偏离说明表</w:t>
      </w:r>
    </w:p>
    <w:p>
      <w:pPr>
        <w:ind w:firstLine="480" w:firstLineChars="200"/>
        <w:rPr>
          <w:rFonts w:hint="eastAsia" w:ascii="仿宋" w:hAnsi="仿宋" w:eastAsia="仿宋" w:cs="仿宋"/>
          <w:sz w:val="24"/>
        </w:rPr>
      </w:pPr>
      <w:r>
        <w:rPr>
          <w:rFonts w:hint="eastAsia" w:ascii="仿宋" w:hAnsi="仿宋" w:eastAsia="仿宋" w:cs="仿宋"/>
          <w:sz w:val="24"/>
        </w:rPr>
        <w:t>（12）关于对招标文件中有关条款的拒绝声明（如果有）；</w:t>
      </w:r>
    </w:p>
    <w:p>
      <w:pPr>
        <w:ind w:firstLine="480" w:firstLineChars="200"/>
        <w:rPr>
          <w:rFonts w:hint="eastAsia" w:ascii="仿宋" w:hAnsi="仿宋" w:eastAsia="仿宋" w:cs="仿宋"/>
          <w:sz w:val="24"/>
        </w:rPr>
      </w:pPr>
      <w:r>
        <w:rPr>
          <w:rFonts w:hint="eastAsia" w:ascii="仿宋" w:hAnsi="仿宋" w:eastAsia="仿宋" w:cs="仿宋"/>
          <w:sz w:val="24"/>
        </w:rPr>
        <w:t>（13）投标人认为需要的其他技术文件或说明。</w:t>
      </w:r>
    </w:p>
    <w:p>
      <w:pPr>
        <w:rPr>
          <w:rFonts w:hint="eastAsia" w:ascii="仿宋" w:hAnsi="仿宋" w:eastAsia="仿宋" w:cs="仿宋"/>
          <w:sz w:val="24"/>
        </w:rPr>
      </w:pPr>
      <w:r>
        <w:rPr>
          <w:rFonts w:hint="eastAsia" w:ascii="仿宋" w:hAnsi="仿宋" w:eastAsia="仿宋" w:cs="仿宋"/>
          <w:b/>
          <w:bCs/>
          <w:sz w:val="24"/>
        </w:rPr>
        <w:t>10. 3.2 投标人的商务部分</w:t>
      </w:r>
      <w:r>
        <w:rPr>
          <w:rFonts w:hint="eastAsia" w:ascii="仿宋" w:hAnsi="仿宋" w:eastAsia="仿宋" w:cs="仿宋"/>
          <w:sz w:val="24"/>
        </w:rPr>
        <w:t>至少应包括：证明其为合格服务商和所提供的有关资格证明文件，商务偏离说明表，招标文件要求提供的其他资料等（均需加盖公章）。</w:t>
      </w:r>
    </w:p>
    <w:p>
      <w:pPr>
        <w:ind w:firstLine="480" w:firstLineChars="200"/>
        <w:rPr>
          <w:rFonts w:hint="eastAsia" w:ascii="仿宋" w:hAnsi="仿宋" w:eastAsia="仿宋" w:cs="仿宋"/>
          <w:sz w:val="24"/>
        </w:rPr>
      </w:pPr>
      <w:r>
        <w:rPr>
          <w:rFonts w:hint="eastAsia" w:ascii="仿宋" w:hAnsi="仿宋" w:eastAsia="仿宋" w:cs="仿宋"/>
          <w:sz w:val="24"/>
        </w:rPr>
        <w:t>（1）法人授权委托书；</w:t>
      </w:r>
    </w:p>
    <w:p>
      <w:pPr>
        <w:pStyle w:val="3"/>
        <w:ind w:left="0" w:leftChars="0"/>
        <w:rPr>
          <w:rFonts w:hint="eastAsia" w:ascii="仿宋" w:hAnsi="仿宋" w:eastAsia="仿宋" w:cs="仿宋"/>
        </w:rPr>
      </w:pPr>
      <w:r>
        <w:rPr>
          <w:rFonts w:hint="eastAsia" w:ascii="仿宋" w:hAnsi="仿宋" w:eastAsia="仿宋" w:cs="仿宋"/>
        </w:rPr>
        <w:t>（2）法定代表人及授权委托人的身份证（复印件）</w:t>
      </w:r>
    </w:p>
    <w:p>
      <w:pPr>
        <w:ind w:firstLine="480" w:firstLineChars="200"/>
        <w:rPr>
          <w:rFonts w:hint="eastAsia" w:ascii="仿宋" w:hAnsi="仿宋" w:eastAsia="仿宋" w:cs="仿宋"/>
          <w:sz w:val="24"/>
        </w:rPr>
      </w:pPr>
      <w:r>
        <w:rPr>
          <w:rFonts w:hint="eastAsia" w:ascii="仿宋" w:hAnsi="仿宋" w:eastAsia="仿宋" w:cs="仿宋"/>
          <w:sz w:val="24"/>
        </w:rPr>
        <w:t>（3）声明书；</w:t>
      </w:r>
    </w:p>
    <w:p>
      <w:pPr>
        <w:ind w:firstLine="480" w:firstLineChars="200"/>
        <w:rPr>
          <w:rFonts w:hint="eastAsia" w:ascii="仿宋" w:hAnsi="仿宋" w:eastAsia="仿宋" w:cs="仿宋"/>
          <w:sz w:val="24"/>
        </w:rPr>
      </w:pPr>
      <w:r>
        <w:rPr>
          <w:rFonts w:hint="eastAsia" w:ascii="仿宋" w:hAnsi="仿宋" w:eastAsia="仿宋" w:cs="仿宋"/>
          <w:sz w:val="24"/>
        </w:rPr>
        <w:t>（4）有效的营业执照副本（复印件）；</w:t>
      </w:r>
    </w:p>
    <w:p>
      <w:pPr>
        <w:ind w:firstLine="480" w:firstLineChars="200"/>
        <w:rPr>
          <w:rFonts w:hint="eastAsia" w:ascii="仿宋" w:hAnsi="仿宋" w:eastAsia="仿宋" w:cs="仿宋"/>
          <w:sz w:val="24"/>
        </w:rPr>
      </w:pPr>
      <w:r>
        <w:rPr>
          <w:rFonts w:hint="eastAsia" w:ascii="仿宋" w:hAnsi="仿宋" w:eastAsia="仿宋" w:cs="仿宋"/>
          <w:sz w:val="24"/>
        </w:rPr>
        <w:t>（5）有效的税务登记证（复印件）；</w:t>
      </w:r>
    </w:p>
    <w:p>
      <w:pPr>
        <w:ind w:firstLine="480" w:firstLineChars="200"/>
        <w:rPr>
          <w:rFonts w:hint="eastAsia" w:ascii="仿宋" w:hAnsi="仿宋" w:eastAsia="仿宋" w:cs="仿宋"/>
          <w:sz w:val="24"/>
        </w:rPr>
      </w:pPr>
      <w:r>
        <w:rPr>
          <w:rFonts w:hint="eastAsia" w:ascii="仿宋" w:hAnsi="仿宋" w:eastAsia="仿宋" w:cs="仿宋"/>
          <w:sz w:val="24"/>
        </w:rPr>
        <w:t>（6）有效的社保登记证（复印件）；</w:t>
      </w:r>
    </w:p>
    <w:p>
      <w:pPr>
        <w:ind w:firstLine="480" w:firstLineChars="200"/>
        <w:rPr>
          <w:rFonts w:hint="eastAsia" w:ascii="仿宋" w:hAnsi="仿宋" w:eastAsia="仿宋" w:cs="仿宋"/>
          <w:sz w:val="24"/>
        </w:rPr>
      </w:pPr>
      <w:r>
        <w:rPr>
          <w:rFonts w:hint="eastAsia" w:ascii="仿宋" w:hAnsi="仿宋" w:eastAsia="仿宋" w:cs="仿宋"/>
          <w:sz w:val="24"/>
        </w:rPr>
        <w:t>（7）项目组成人员及项目负责人技术负责人情况；</w:t>
      </w:r>
    </w:p>
    <w:p>
      <w:pPr>
        <w:ind w:firstLine="480" w:firstLineChars="200"/>
        <w:rPr>
          <w:rFonts w:hint="eastAsia" w:ascii="仿宋" w:hAnsi="仿宋" w:eastAsia="仿宋" w:cs="仿宋"/>
          <w:sz w:val="24"/>
        </w:rPr>
      </w:pPr>
      <w:r>
        <w:rPr>
          <w:rFonts w:hint="eastAsia" w:ascii="仿宋" w:hAnsi="仿宋" w:eastAsia="仿宋" w:cs="仿宋"/>
          <w:sz w:val="24"/>
        </w:rPr>
        <w:t>（8）所有资质文件如有（复印件）；</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（9）产品、仪器有关证书</w:t>
      </w:r>
    </w:p>
    <w:p>
      <w:pPr>
        <w:pStyle w:val="26"/>
        <w:ind w:firstLine="600" w:firstLineChars="250"/>
        <w:rPr>
          <w:rFonts w:hint="eastAsia" w:ascii="仿宋" w:hAnsi="仿宋" w:eastAsia="仿宋" w:cs="仿宋"/>
          <w:sz w:val="24"/>
          <w:szCs w:val="24"/>
        </w:rPr>
      </w:pPr>
      <w:r>
        <w:rPr>
          <w:rFonts w:hint="eastAsia" w:ascii="仿宋" w:hAnsi="仿宋" w:eastAsia="仿宋" w:cs="仿宋"/>
          <w:sz w:val="24"/>
          <w:szCs w:val="24"/>
        </w:rPr>
        <w:t>(10)公司介绍</w:t>
      </w:r>
    </w:p>
    <w:p>
      <w:pPr>
        <w:ind w:firstLine="480" w:firstLineChars="200"/>
        <w:rPr>
          <w:rFonts w:hint="eastAsia" w:ascii="仿宋" w:hAnsi="仿宋" w:eastAsia="仿宋" w:cs="仿宋"/>
          <w:b/>
          <w:sz w:val="24"/>
        </w:rPr>
      </w:pPr>
      <w:r>
        <w:rPr>
          <w:rFonts w:hint="eastAsia" w:ascii="仿宋" w:hAnsi="仿宋" w:eastAsia="仿宋" w:cs="仿宋"/>
          <w:sz w:val="24"/>
        </w:rPr>
        <w:t>(11)主要业绩证明，投标人承担类似项目情况，</w:t>
      </w:r>
      <w:r>
        <w:rPr>
          <w:rFonts w:hint="eastAsia" w:ascii="仿宋" w:hAnsi="仿宋" w:eastAsia="仿宋" w:cs="仿宋"/>
          <w:b/>
          <w:sz w:val="24"/>
        </w:rPr>
        <w:t>如投标人提供的合同复印件等证明材料与事实不符或与其无关，评标委员会将进行技术扣分直至认定投标无效；</w:t>
      </w:r>
    </w:p>
    <w:p>
      <w:pPr>
        <w:ind w:firstLine="480" w:firstLineChars="200"/>
        <w:rPr>
          <w:rFonts w:hint="eastAsia" w:ascii="仿宋" w:hAnsi="仿宋" w:eastAsia="仿宋" w:cs="仿宋"/>
          <w:sz w:val="24"/>
        </w:rPr>
      </w:pPr>
      <w:r>
        <w:rPr>
          <w:rFonts w:hint="eastAsia" w:ascii="仿宋" w:hAnsi="仿宋" w:eastAsia="仿宋" w:cs="仿宋"/>
          <w:sz w:val="24"/>
        </w:rPr>
        <w:t>（12）商务偏离说明表；</w:t>
      </w:r>
    </w:p>
    <w:p>
      <w:pPr>
        <w:ind w:firstLine="480" w:firstLineChars="200"/>
        <w:rPr>
          <w:rFonts w:hint="eastAsia" w:ascii="仿宋" w:hAnsi="仿宋" w:eastAsia="仿宋" w:cs="仿宋"/>
          <w:sz w:val="24"/>
        </w:rPr>
      </w:pPr>
      <w:r>
        <w:rPr>
          <w:rFonts w:hint="eastAsia" w:ascii="仿宋" w:hAnsi="仿宋" w:eastAsia="仿宋" w:cs="仿宋"/>
          <w:sz w:val="24"/>
        </w:rPr>
        <w:t>（13）关于对招标文件中有关条款的拒绝声明（如果有）；</w:t>
      </w:r>
    </w:p>
    <w:p>
      <w:pPr>
        <w:ind w:firstLine="480" w:firstLineChars="200"/>
        <w:rPr>
          <w:rFonts w:hint="eastAsia" w:ascii="仿宋" w:hAnsi="仿宋" w:eastAsia="仿宋" w:cs="仿宋"/>
          <w:sz w:val="24"/>
        </w:rPr>
      </w:pPr>
      <w:r>
        <w:rPr>
          <w:rFonts w:hint="eastAsia" w:ascii="仿宋" w:hAnsi="仿宋" w:eastAsia="仿宋" w:cs="仿宋"/>
          <w:sz w:val="24"/>
        </w:rPr>
        <w:t>（14）投标人认为需要的其他商务文件或说明。</w:t>
      </w:r>
    </w:p>
    <w:p>
      <w:pPr>
        <w:pStyle w:val="26"/>
        <w:ind w:firstLine="600" w:firstLineChars="250"/>
        <w:rPr>
          <w:rFonts w:hint="eastAsia" w:ascii="仿宋" w:hAnsi="仿宋" w:eastAsia="仿宋" w:cs="仿宋"/>
          <w:sz w:val="24"/>
          <w:szCs w:val="24"/>
        </w:rPr>
      </w:pPr>
      <w:r>
        <w:rPr>
          <w:rFonts w:hint="eastAsia" w:ascii="仿宋" w:hAnsi="仿宋" w:eastAsia="仿宋" w:cs="仿宋"/>
          <w:sz w:val="24"/>
          <w:szCs w:val="24"/>
        </w:rPr>
        <w:t xml:space="preserve">(15)廉政承诺书 </w:t>
      </w:r>
    </w:p>
    <w:p>
      <w:pPr>
        <w:pStyle w:val="26"/>
        <w:rPr>
          <w:rFonts w:hint="eastAsia" w:ascii="仿宋" w:hAnsi="仿宋" w:eastAsia="仿宋" w:cs="仿宋"/>
          <w:b/>
          <w:sz w:val="24"/>
          <w:szCs w:val="24"/>
        </w:rPr>
      </w:pPr>
      <w:r>
        <w:rPr>
          <w:rFonts w:hint="eastAsia" w:ascii="仿宋" w:hAnsi="仿宋" w:eastAsia="仿宋" w:cs="仿宋"/>
          <w:b/>
          <w:sz w:val="24"/>
          <w:szCs w:val="24"/>
        </w:rPr>
        <w:t>11．投标有效期</w:t>
      </w:r>
    </w:p>
    <w:p>
      <w:pPr>
        <w:pStyle w:val="26"/>
        <w:rPr>
          <w:rFonts w:hint="eastAsia" w:ascii="仿宋" w:hAnsi="仿宋" w:eastAsia="仿宋" w:cs="仿宋"/>
          <w:sz w:val="24"/>
          <w:szCs w:val="24"/>
        </w:rPr>
      </w:pPr>
      <w:r>
        <w:rPr>
          <w:rFonts w:hint="eastAsia" w:ascii="仿宋" w:hAnsi="仿宋" w:eastAsia="仿宋" w:cs="仿宋"/>
          <w:sz w:val="24"/>
          <w:szCs w:val="24"/>
        </w:rPr>
        <w:t>11．1 投标文件合格投递后，在本须知前附表第3项规定的日期内有效。</w:t>
      </w:r>
    </w:p>
    <w:p>
      <w:pPr>
        <w:pStyle w:val="26"/>
        <w:rPr>
          <w:rFonts w:hint="eastAsia" w:ascii="仿宋" w:hAnsi="仿宋" w:eastAsia="仿宋" w:cs="仿宋"/>
          <w:sz w:val="24"/>
          <w:szCs w:val="24"/>
        </w:rPr>
      </w:pPr>
      <w:r>
        <w:rPr>
          <w:rFonts w:hint="eastAsia" w:ascii="仿宋" w:hAnsi="仿宋" w:eastAsia="仿宋" w:cs="仿宋"/>
          <w:sz w:val="24"/>
          <w:szCs w:val="24"/>
        </w:rPr>
        <w:t>11．2在原定投标有效期之前，如果出现特殊情况，采购代理机构可以以书面形式通知投标人延长投标有效期。</w:t>
      </w:r>
    </w:p>
    <w:p>
      <w:pPr>
        <w:pStyle w:val="26"/>
        <w:rPr>
          <w:rFonts w:hint="eastAsia" w:ascii="仿宋" w:hAnsi="仿宋" w:eastAsia="仿宋" w:cs="仿宋"/>
          <w:sz w:val="24"/>
          <w:szCs w:val="24"/>
        </w:rPr>
      </w:pPr>
      <w:r>
        <w:rPr>
          <w:rFonts w:hint="eastAsia" w:ascii="仿宋" w:hAnsi="仿宋" w:eastAsia="仿宋" w:cs="仿宋"/>
          <w:b/>
          <w:sz w:val="24"/>
          <w:szCs w:val="24"/>
        </w:rPr>
        <w:t>12．投标保证金：本项目无需提交投标保证金</w:t>
      </w:r>
    </w:p>
    <w:p>
      <w:pPr>
        <w:pStyle w:val="26"/>
        <w:rPr>
          <w:rFonts w:hint="eastAsia" w:ascii="仿宋" w:hAnsi="仿宋" w:eastAsia="仿宋" w:cs="仿宋"/>
          <w:b/>
          <w:sz w:val="24"/>
          <w:szCs w:val="24"/>
        </w:rPr>
      </w:pPr>
      <w:r>
        <w:rPr>
          <w:rFonts w:hint="eastAsia" w:ascii="仿宋" w:hAnsi="仿宋" w:eastAsia="仿宋" w:cs="仿宋"/>
          <w:b/>
          <w:sz w:val="24"/>
          <w:szCs w:val="24"/>
        </w:rPr>
        <w:t>13．投标文件的编制</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13.1．本项目通过“政府采购云平台（www.zcygov.cn）”实行在线投标响应（电子投标）。供应商应通过“政采云电子交易客户端”，并按照本采购文件和“政府采购云平台”的要求编制并加密投标文件。</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13.2.供应商应当按照本章节 “投标文件组成”规定的内容及顺序在“政采云电子交易客户端”编制投标文件。其中《资格文件》和《商务技术文件》中不得出现本项目投标报价，如因供应商原因提前泄露投标报价，是供应商的责任。</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13.4.《投标文件》内容不完整、编排混乱导致《投标文件》被误读、漏读或者查找不到相关内容的，是供应商的责任。</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13.5.《投标文件》因字迹潦草或表达不清所引起的后果由供应商负责。</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13.6、供应商没有按照本采购文件内 “投标文件组成”要求提供全部资料，或者没有仔细阅读采购文件，或者没有对采购文件在各方面的要求作出实质性响应是供应商的风险，由此造成的一切后果由供应商自行承担。</w:t>
      </w:r>
    </w:p>
    <w:p>
      <w:pPr>
        <w:pStyle w:val="26"/>
        <w:rPr>
          <w:rFonts w:hint="eastAsia" w:ascii="仿宋" w:hAnsi="仿宋" w:eastAsia="仿宋" w:cs="仿宋"/>
          <w:b/>
          <w:sz w:val="24"/>
          <w:szCs w:val="24"/>
        </w:rPr>
      </w:pPr>
      <w:r>
        <w:rPr>
          <w:rFonts w:hint="eastAsia" w:ascii="仿宋" w:hAnsi="仿宋" w:eastAsia="仿宋" w:cs="仿宋"/>
          <w:b/>
          <w:sz w:val="24"/>
          <w:szCs w:val="24"/>
        </w:rPr>
        <w:t>14、投标文件的签章</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14.1.《投标文件》的签章：见《前附表》。</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14.2.《投标文件》应由供应商法定代表人或其授权代表签字（或盖章），并加盖供应商公章。</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14.3.参与在线投标时如遇平台技术问题详询400-881-7190。</w:t>
      </w:r>
    </w:p>
    <w:p>
      <w:pPr>
        <w:pStyle w:val="26"/>
        <w:rPr>
          <w:rFonts w:hint="eastAsia" w:ascii="仿宋" w:hAnsi="仿宋" w:eastAsia="仿宋" w:cs="仿宋"/>
          <w:b/>
          <w:sz w:val="24"/>
          <w:szCs w:val="24"/>
        </w:rPr>
      </w:pPr>
      <w:r>
        <w:rPr>
          <w:rFonts w:hint="eastAsia" w:ascii="仿宋" w:hAnsi="仿宋" w:eastAsia="仿宋" w:cs="仿宋"/>
          <w:b/>
          <w:sz w:val="24"/>
          <w:szCs w:val="24"/>
        </w:rPr>
        <w:t>15、投标文件的形式</w:t>
      </w:r>
    </w:p>
    <w:p>
      <w:pPr>
        <w:pStyle w:val="7"/>
        <w:keepNext w:val="0"/>
        <w:keepLines w:val="0"/>
        <w:spacing w:after="0" w:line="240" w:lineRule="auto"/>
        <w:ind w:left="105" w:leftChars="50" w:firstLine="360" w:firstLineChars="150"/>
        <w:jc w:val="left"/>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15.1.投标文件的形式：见《前附表》。</w:t>
      </w:r>
    </w:p>
    <w:p>
      <w:pPr>
        <w:ind w:firstLine="420" w:firstLineChars="175"/>
        <w:rPr>
          <w:rFonts w:hint="eastAsia" w:ascii="仿宋" w:hAnsi="仿宋" w:eastAsia="仿宋" w:cs="仿宋"/>
          <w:kern w:val="0"/>
          <w:sz w:val="24"/>
        </w:rPr>
      </w:pPr>
      <w:r>
        <w:rPr>
          <w:rFonts w:hint="eastAsia" w:ascii="仿宋" w:hAnsi="仿宋" w:eastAsia="仿宋" w:cs="仿宋"/>
          <w:kern w:val="0"/>
          <w:sz w:val="24"/>
        </w:rPr>
        <w:t xml:space="preserve">15.2.“电子加密投标文件”：“电子加密投标文件”是指通过“政采云电子交易客户端”完成投标文件编制后生成并加密的数据电文形式的投标文件。  </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15.3.“备份投标文件”：“备份投标文件”是指与“电子加密投标文件”同时生成的数据电文形式的电子文件（备份标书），其他方式编制的“备份投标文件”视为无效的“备份投标文件”。</w:t>
      </w:r>
    </w:p>
    <w:p>
      <w:pPr>
        <w:pStyle w:val="26"/>
        <w:rPr>
          <w:rFonts w:hint="eastAsia" w:ascii="仿宋" w:hAnsi="仿宋" w:eastAsia="仿宋" w:cs="仿宋"/>
          <w:b/>
          <w:bCs/>
          <w:sz w:val="24"/>
          <w:szCs w:val="24"/>
        </w:rPr>
      </w:pP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四、投标文件的递交</w:t>
      </w:r>
    </w:p>
    <w:p>
      <w:pPr>
        <w:rPr>
          <w:rFonts w:hint="eastAsia" w:ascii="仿宋" w:hAnsi="仿宋" w:eastAsia="仿宋" w:cs="仿宋"/>
          <w:b/>
          <w:bCs/>
          <w:sz w:val="24"/>
        </w:rPr>
      </w:pPr>
      <w:r>
        <w:rPr>
          <w:rFonts w:hint="eastAsia" w:ascii="仿宋" w:hAnsi="仿宋" w:eastAsia="仿宋" w:cs="仿宋"/>
          <w:kern w:val="0"/>
          <w:sz w:val="24"/>
        </w:rPr>
        <w:t>16</w:t>
      </w:r>
      <w:r>
        <w:rPr>
          <w:rFonts w:hint="eastAsia" w:ascii="仿宋" w:hAnsi="仿宋" w:eastAsia="仿宋" w:cs="仿宋"/>
          <w:b/>
          <w:bCs/>
          <w:sz w:val="24"/>
        </w:rPr>
        <w:t>投标文件的递交</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16.1、投标文件”的上传、递交：见《前附表》。</w:t>
      </w:r>
    </w:p>
    <w:p>
      <w:pPr>
        <w:ind w:firstLine="480" w:firstLineChars="200"/>
        <w:rPr>
          <w:rFonts w:hint="eastAsia" w:ascii="仿宋" w:hAnsi="仿宋" w:eastAsia="仿宋" w:cs="仿宋"/>
          <w:kern w:val="0"/>
          <w:sz w:val="24"/>
        </w:rPr>
      </w:pPr>
      <w:r>
        <w:rPr>
          <w:rFonts w:hint="eastAsia" w:ascii="仿宋" w:hAnsi="仿宋" w:eastAsia="仿宋" w:cs="仿宋"/>
          <w:kern w:val="0"/>
          <w:sz w:val="24"/>
        </w:rPr>
        <w:t>16.2、“电子加密投标文件”解密和异常情况处理：见《前附表》。</w:t>
      </w:r>
    </w:p>
    <w:p>
      <w:pPr>
        <w:ind w:firstLine="480" w:firstLineChars="200"/>
        <w:rPr>
          <w:rFonts w:hint="eastAsia" w:ascii="仿宋" w:hAnsi="仿宋" w:eastAsia="仿宋" w:cs="仿宋"/>
          <w:kern w:val="0"/>
          <w:sz w:val="24"/>
        </w:rPr>
      </w:pPr>
      <w:r>
        <w:rPr>
          <w:rFonts w:hint="eastAsia" w:ascii="仿宋" w:hAnsi="仿宋" w:eastAsia="仿宋" w:cs="仿宋"/>
          <w:kern w:val="0"/>
          <w:sz w:val="24"/>
        </w:rPr>
        <w:t>16.3、投标文件的补充、修改或撤回</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16.3.2、投标截止时间后，供应商不得撤回、修改《投标文件》。</w:t>
      </w:r>
    </w:p>
    <w:p>
      <w:pPr>
        <w:ind w:firstLine="480" w:firstLineChars="200"/>
        <w:rPr>
          <w:rFonts w:hint="eastAsia" w:ascii="仿宋" w:hAnsi="仿宋" w:eastAsia="仿宋" w:cs="仿宋"/>
          <w:kern w:val="0"/>
          <w:sz w:val="24"/>
        </w:rPr>
      </w:pPr>
      <w:r>
        <w:rPr>
          <w:rFonts w:hint="eastAsia" w:ascii="仿宋" w:hAnsi="仿宋" w:eastAsia="仿宋" w:cs="仿宋"/>
          <w:kern w:val="0"/>
          <w:sz w:val="24"/>
        </w:rPr>
        <w:t>16.4、投标文件的备选方案</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16.4.1、供应商不得递交任何的投标备选（替代）方案，否则其投标文件将作无效标处理。与“电子加密投标文件”同时生成的“备份投标文件”不是投标备选（替代）方案。</w:t>
      </w:r>
    </w:p>
    <w:p>
      <w:pPr>
        <w:ind w:firstLine="480" w:firstLineChars="200"/>
        <w:rPr>
          <w:rFonts w:hint="eastAsia" w:ascii="仿宋" w:hAnsi="仿宋" w:eastAsia="仿宋" w:cs="仿宋"/>
          <w:kern w:val="0"/>
          <w:sz w:val="24"/>
        </w:rPr>
      </w:pPr>
      <w:r>
        <w:rPr>
          <w:rFonts w:hint="eastAsia" w:ascii="仿宋" w:hAnsi="仿宋" w:eastAsia="仿宋" w:cs="仿宋"/>
          <w:kern w:val="0"/>
          <w:sz w:val="24"/>
        </w:rPr>
        <w:t>16.5、 投标截止期</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16.5.1、供应商应按前附表规定的时间、地点将投标文件递交给采购人，采购人将拒绝接受逾期送达的投标文件。</w:t>
      </w:r>
    </w:p>
    <w:p>
      <w:pPr>
        <w:ind w:firstLine="420" w:firstLineChars="175"/>
        <w:rPr>
          <w:rFonts w:hint="eastAsia" w:ascii="仿宋" w:hAnsi="仿宋" w:eastAsia="仿宋" w:cs="仿宋"/>
          <w:kern w:val="0"/>
          <w:sz w:val="24"/>
        </w:rPr>
      </w:pPr>
      <w:r>
        <w:rPr>
          <w:rFonts w:hint="eastAsia" w:ascii="仿宋" w:hAnsi="仿宋" w:eastAsia="仿宋" w:cs="仿宋"/>
          <w:kern w:val="0"/>
          <w:sz w:val="24"/>
        </w:rPr>
        <w:t>16.5.2、采购人可以按本须知规定以补充通知的方式，酌情延长递交投标文件的截止日期。在上述情况下，采购人与供应商以前在投标截止期方面的全部权利、责任和义务，将适用于延长至新的投标截止期。</w:t>
      </w:r>
    </w:p>
    <w:p>
      <w:pPr>
        <w:pStyle w:val="26"/>
        <w:jc w:val="center"/>
        <w:rPr>
          <w:rFonts w:hint="eastAsia" w:ascii="仿宋" w:hAnsi="仿宋" w:eastAsia="仿宋" w:cs="仿宋"/>
          <w:b/>
          <w:bCs/>
          <w:sz w:val="24"/>
          <w:szCs w:val="24"/>
        </w:rPr>
      </w:pP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五、开标</w:t>
      </w:r>
    </w:p>
    <w:p>
      <w:pPr>
        <w:ind w:firstLine="482" w:firstLineChars="200"/>
        <w:rPr>
          <w:rFonts w:hint="eastAsia" w:ascii="仿宋" w:hAnsi="仿宋" w:eastAsia="仿宋" w:cs="仿宋"/>
          <w:b/>
          <w:bCs/>
          <w:sz w:val="24"/>
        </w:rPr>
      </w:pPr>
      <w:r>
        <w:rPr>
          <w:rFonts w:hint="eastAsia" w:ascii="仿宋" w:hAnsi="仿宋" w:eastAsia="仿宋" w:cs="仿宋"/>
          <w:b/>
          <w:bCs/>
          <w:sz w:val="24"/>
        </w:rPr>
        <w:t>17开标</w:t>
      </w:r>
    </w:p>
    <w:p>
      <w:pPr>
        <w:ind w:firstLine="480" w:firstLineChars="200"/>
        <w:rPr>
          <w:rFonts w:hint="eastAsia" w:ascii="仿宋" w:hAnsi="仿宋" w:eastAsia="仿宋" w:cs="仿宋"/>
          <w:sz w:val="24"/>
        </w:rPr>
      </w:pPr>
      <w:r>
        <w:rPr>
          <w:rFonts w:hint="eastAsia" w:ascii="仿宋" w:hAnsi="仿宋" w:eastAsia="仿宋" w:cs="仿宋"/>
          <w:sz w:val="24"/>
        </w:rPr>
        <w:t>17.1、开标形式</w:t>
      </w:r>
    </w:p>
    <w:p>
      <w:pPr>
        <w:ind w:firstLine="480" w:firstLineChars="200"/>
        <w:rPr>
          <w:rFonts w:hint="eastAsia" w:ascii="仿宋" w:hAnsi="仿宋" w:eastAsia="仿宋" w:cs="仿宋"/>
          <w:sz w:val="24"/>
        </w:rPr>
      </w:pPr>
      <w:r>
        <w:rPr>
          <w:rFonts w:hint="eastAsia" w:ascii="仿宋" w:hAnsi="仿宋" w:eastAsia="仿宋" w:cs="仿宋"/>
          <w:sz w:val="24"/>
        </w:rPr>
        <w:t>17.1.1、采购代理机构将按照采购文件规定的时间通过“政府采购云平台”组织开标、开启投标文件，所有供应商均应当准时在线参加。</w:t>
      </w:r>
    </w:p>
    <w:p>
      <w:pPr>
        <w:ind w:firstLine="480" w:firstLineChars="200"/>
        <w:rPr>
          <w:rFonts w:hint="eastAsia" w:ascii="仿宋" w:hAnsi="仿宋" w:eastAsia="仿宋" w:cs="仿宋"/>
          <w:b/>
          <w:sz w:val="24"/>
        </w:rPr>
      </w:pPr>
      <w:r>
        <w:rPr>
          <w:rFonts w:hint="eastAsia" w:ascii="仿宋" w:hAnsi="仿宋" w:eastAsia="仿宋" w:cs="仿宋"/>
          <w:sz w:val="24"/>
        </w:rPr>
        <w:t>17.2开标准备</w:t>
      </w:r>
    </w:p>
    <w:p>
      <w:pPr>
        <w:ind w:firstLine="480" w:firstLineChars="200"/>
        <w:rPr>
          <w:rFonts w:hint="eastAsia" w:ascii="仿宋" w:hAnsi="仿宋" w:eastAsia="仿宋" w:cs="仿宋"/>
          <w:sz w:val="24"/>
        </w:rPr>
      </w:pPr>
      <w:r>
        <w:rPr>
          <w:rFonts w:hint="eastAsia" w:ascii="仿宋" w:hAnsi="仿宋" w:eastAsia="仿宋" w:cs="仿宋"/>
          <w:sz w:val="24"/>
        </w:rPr>
        <w:t>17.2.1、开标的准备工作由采购代理机构负责落实。</w:t>
      </w:r>
    </w:p>
    <w:p>
      <w:pPr>
        <w:ind w:firstLine="480" w:firstLineChars="200"/>
        <w:rPr>
          <w:rFonts w:hint="eastAsia" w:ascii="仿宋" w:hAnsi="仿宋" w:eastAsia="仿宋" w:cs="仿宋"/>
          <w:sz w:val="24"/>
        </w:rPr>
      </w:pPr>
      <w:r>
        <w:rPr>
          <w:rFonts w:hint="eastAsia" w:ascii="仿宋" w:hAnsi="仿宋" w:eastAsia="仿宋" w:cs="仿宋"/>
          <w:sz w:val="24"/>
        </w:rPr>
        <w:t>17.2.2、采购代理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ind w:firstLine="480" w:firstLineChars="200"/>
        <w:rPr>
          <w:rFonts w:hint="eastAsia" w:ascii="仿宋" w:hAnsi="仿宋" w:eastAsia="仿宋" w:cs="仿宋"/>
          <w:sz w:val="24"/>
        </w:rPr>
      </w:pPr>
      <w:r>
        <w:rPr>
          <w:rFonts w:hint="eastAsia" w:ascii="仿宋" w:hAnsi="仿宋" w:eastAsia="仿宋" w:cs="仿宋"/>
          <w:sz w:val="24"/>
        </w:rPr>
        <w:t>17.3开标流程（两阶段）</w:t>
      </w:r>
    </w:p>
    <w:p>
      <w:pPr>
        <w:ind w:firstLine="424" w:firstLineChars="177"/>
        <w:jc w:val="left"/>
        <w:rPr>
          <w:rFonts w:hint="eastAsia" w:ascii="仿宋" w:hAnsi="仿宋" w:eastAsia="仿宋" w:cs="仿宋"/>
          <w:sz w:val="24"/>
        </w:rPr>
      </w:pPr>
      <w:r>
        <w:rPr>
          <w:rFonts w:hint="eastAsia" w:ascii="仿宋" w:hAnsi="仿宋" w:eastAsia="仿宋" w:cs="仿宋"/>
          <w:sz w:val="24"/>
        </w:rPr>
        <w:t>17.3.1、开标第一阶段</w:t>
      </w:r>
    </w:p>
    <w:p>
      <w:pPr>
        <w:ind w:firstLine="424" w:firstLineChars="177"/>
        <w:jc w:val="left"/>
        <w:rPr>
          <w:rFonts w:hint="eastAsia" w:ascii="仿宋" w:hAnsi="仿宋" w:eastAsia="仿宋" w:cs="仿宋"/>
          <w:sz w:val="24"/>
        </w:rPr>
      </w:pPr>
      <w:r>
        <w:rPr>
          <w:rFonts w:hint="eastAsia" w:ascii="仿宋" w:hAnsi="仿宋" w:eastAsia="仿宋" w:cs="仿宋"/>
          <w:sz w:val="24"/>
        </w:rPr>
        <w:t>（1）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ind w:firstLine="424" w:firstLineChars="177"/>
        <w:jc w:val="left"/>
        <w:rPr>
          <w:rFonts w:hint="eastAsia" w:ascii="仿宋" w:hAnsi="仿宋" w:eastAsia="仿宋" w:cs="仿宋"/>
          <w:sz w:val="24"/>
        </w:rPr>
      </w:pPr>
      <w:r>
        <w:rPr>
          <w:rFonts w:hint="eastAsia" w:ascii="仿宋" w:hAnsi="仿宋" w:eastAsia="仿宋" w:cs="仿宋"/>
          <w:sz w:val="24"/>
        </w:rPr>
        <w:t>（2）开启资格文件、商务技术文件。</w:t>
      </w:r>
    </w:p>
    <w:p>
      <w:pPr>
        <w:ind w:firstLine="424" w:firstLineChars="177"/>
        <w:jc w:val="left"/>
        <w:rPr>
          <w:rFonts w:hint="eastAsia" w:ascii="仿宋" w:hAnsi="仿宋" w:eastAsia="仿宋" w:cs="仿宋"/>
          <w:sz w:val="24"/>
        </w:rPr>
      </w:pPr>
      <w:r>
        <w:rPr>
          <w:rFonts w:hint="eastAsia" w:ascii="仿宋" w:hAnsi="仿宋" w:eastAsia="仿宋" w:cs="仿宋"/>
          <w:sz w:val="24"/>
        </w:rPr>
        <w:t>（3）进行资格审查。对通过资格审查的投标供应商进行符合性审查、商务技术评审；</w:t>
      </w:r>
    </w:p>
    <w:p>
      <w:pPr>
        <w:ind w:firstLine="424" w:firstLineChars="177"/>
        <w:jc w:val="left"/>
        <w:rPr>
          <w:rFonts w:hint="eastAsia" w:ascii="仿宋" w:hAnsi="仿宋" w:eastAsia="仿宋" w:cs="仿宋"/>
          <w:sz w:val="24"/>
        </w:rPr>
      </w:pPr>
      <w:r>
        <w:rPr>
          <w:rFonts w:hint="eastAsia" w:ascii="仿宋" w:hAnsi="仿宋" w:eastAsia="仿宋" w:cs="仿宋"/>
          <w:sz w:val="24"/>
        </w:rPr>
        <w:t>17.3.2、开标第二阶段</w:t>
      </w:r>
    </w:p>
    <w:p>
      <w:pPr>
        <w:ind w:firstLine="424" w:firstLineChars="177"/>
        <w:jc w:val="left"/>
        <w:rPr>
          <w:rFonts w:hint="eastAsia" w:ascii="仿宋" w:hAnsi="仿宋" w:eastAsia="仿宋" w:cs="仿宋"/>
          <w:sz w:val="24"/>
        </w:rPr>
      </w:pPr>
      <w:r>
        <w:rPr>
          <w:rFonts w:hint="eastAsia" w:ascii="仿宋" w:hAnsi="仿宋" w:eastAsia="仿宋" w:cs="仿宋"/>
          <w:sz w:val="24"/>
        </w:rPr>
        <w:t>（1）资格审查、符合性审查、商务技术评审结束后，进入开标第二阶段。</w:t>
      </w:r>
    </w:p>
    <w:p>
      <w:pPr>
        <w:ind w:firstLine="424" w:firstLineChars="177"/>
        <w:jc w:val="left"/>
        <w:rPr>
          <w:rFonts w:hint="eastAsia" w:ascii="仿宋" w:hAnsi="仿宋" w:eastAsia="仿宋" w:cs="仿宋"/>
          <w:sz w:val="24"/>
        </w:rPr>
      </w:pPr>
      <w:r>
        <w:rPr>
          <w:rFonts w:hint="eastAsia" w:ascii="仿宋" w:hAnsi="仿宋" w:eastAsia="仿宋" w:cs="仿宋"/>
          <w:sz w:val="24"/>
        </w:rPr>
        <w:t>（2）通过电子交易平台公布无效供应商名单及导致无效的原因；公布有效供应商的名单及其商务技术得分。</w:t>
      </w:r>
    </w:p>
    <w:p>
      <w:pPr>
        <w:ind w:firstLine="424" w:firstLineChars="177"/>
        <w:jc w:val="left"/>
        <w:rPr>
          <w:rFonts w:hint="eastAsia" w:ascii="仿宋" w:hAnsi="仿宋" w:eastAsia="仿宋" w:cs="仿宋"/>
          <w:sz w:val="24"/>
        </w:rPr>
      </w:pPr>
      <w:r>
        <w:rPr>
          <w:rFonts w:hint="eastAsia" w:ascii="仿宋" w:hAnsi="仿宋" w:eastAsia="仿宋" w:cs="仿宋"/>
          <w:sz w:val="24"/>
        </w:rPr>
        <w:t>（3）开启有效供应商的《报价文件》，系统形成开标记录。</w:t>
      </w:r>
    </w:p>
    <w:p>
      <w:pPr>
        <w:ind w:firstLine="424" w:firstLineChars="177"/>
        <w:jc w:val="left"/>
        <w:rPr>
          <w:rFonts w:hint="eastAsia" w:ascii="仿宋" w:hAnsi="仿宋" w:eastAsia="仿宋" w:cs="仿宋"/>
          <w:sz w:val="24"/>
        </w:rPr>
      </w:pPr>
      <w:r>
        <w:rPr>
          <w:rFonts w:hint="eastAsia" w:ascii="仿宋" w:hAnsi="仿宋" w:eastAsia="仿宋" w:cs="仿宋"/>
          <w:sz w:val="24"/>
        </w:rPr>
        <w:t>（4）价格评审。价格评审结束后，通过电子交易平台公布中标候选供应商名单。</w:t>
      </w:r>
    </w:p>
    <w:p>
      <w:pPr>
        <w:ind w:firstLine="482" w:firstLineChars="200"/>
        <w:rPr>
          <w:rFonts w:hint="eastAsia" w:ascii="仿宋" w:hAnsi="仿宋" w:eastAsia="仿宋" w:cs="仿宋"/>
          <w:b/>
          <w:sz w:val="24"/>
        </w:rPr>
      </w:pPr>
      <w:bookmarkStart w:id="0" w:name="_Toc24550037"/>
      <w:bookmarkStart w:id="1" w:name="_Toc33194393"/>
      <w:r>
        <w:rPr>
          <w:rFonts w:hint="eastAsia" w:ascii="仿宋" w:hAnsi="仿宋" w:eastAsia="仿宋" w:cs="仿宋"/>
          <w:b/>
          <w:sz w:val="24"/>
        </w:rPr>
        <w:t>18、供应商资格审查</w:t>
      </w:r>
      <w:bookmarkEnd w:id="0"/>
      <w:bookmarkEnd w:id="1"/>
    </w:p>
    <w:p>
      <w:pPr>
        <w:ind w:firstLine="480" w:firstLineChars="200"/>
        <w:rPr>
          <w:rFonts w:hint="eastAsia" w:ascii="仿宋" w:hAnsi="仿宋" w:eastAsia="仿宋" w:cs="仿宋"/>
          <w:sz w:val="24"/>
        </w:rPr>
      </w:pPr>
      <w:r>
        <w:rPr>
          <w:rFonts w:hint="eastAsia" w:ascii="仿宋" w:hAnsi="仿宋" w:eastAsia="仿宋" w:cs="仿宋"/>
          <w:sz w:val="24"/>
        </w:rPr>
        <w:t>18.1、开标大会第一阶段结束后，采购人或采购代理机构首先依法对各供应商的资格进行审查，审查各供应商的资格是否满足采购文件的要求。采购人或采购代理机构对供应商所提交的资格证明材料仅负审核的责任。如发现供应商所提交的资格证明材料不合法或与事实不符，采购人可取消其中标资格并追究供应商的法律责任。</w:t>
      </w:r>
    </w:p>
    <w:p>
      <w:pPr>
        <w:ind w:firstLine="480" w:firstLineChars="200"/>
        <w:rPr>
          <w:rFonts w:hint="eastAsia" w:ascii="仿宋" w:hAnsi="仿宋" w:eastAsia="仿宋" w:cs="仿宋"/>
          <w:sz w:val="24"/>
        </w:rPr>
      </w:pPr>
      <w:r>
        <w:rPr>
          <w:rFonts w:hint="eastAsia" w:ascii="仿宋" w:hAnsi="仿宋" w:eastAsia="仿宋" w:cs="仿宋"/>
          <w:sz w:val="24"/>
        </w:rPr>
        <w:t>18.2、供应商提交的资格证明材料无法证明其符合采购文件规定的“供应商资格要求”的，采购人或采购代理机构将对其作资格审查不通过处理（无效投标），并不再将其投标提交评标委员会进行后续评审。</w:t>
      </w: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六、评标</w:t>
      </w:r>
    </w:p>
    <w:p>
      <w:pPr>
        <w:pStyle w:val="26"/>
        <w:rPr>
          <w:rFonts w:hint="eastAsia" w:ascii="仿宋" w:hAnsi="仿宋" w:eastAsia="仿宋" w:cs="仿宋"/>
          <w:b/>
          <w:sz w:val="24"/>
          <w:szCs w:val="24"/>
        </w:rPr>
      </w:pPr>
      <w:r>
        <w:rPr>
          <w:rFonts w:hint="eastAsia" w:ascii="仿宋" w:hAnsi="仿宋" w:eastAsia="仿宋" w:cs="仿宋"/>
          <w:b/>
          <w:sz w:val="24"/>
          <w:szCs w:val="24"/>
        </w:rPr>
        <w:t>19．评标组织</w:t>
      </w:r>
    </w:p>
    <w:p>
      <w:pPr>
        <w:pStyle w:val="26"/>
        <w:rPr>
          <w:rFonts w:hint="eastAsia" w:ascii="仿宋" w:hAnsi="仿宋" w:eastAsia="仿宋" w:cs="仿宋"/>
          <w:sz w:val="24"/>
          <w:szCs w:val="24"/>
        </w:rPr>
      </w:pPr>
      <w:r>
        <w:rPr>
          <w:rFonts w:hint="eastAsia" w:ascii="仿宋" w:hAnsi="仿宋" w:eastAsia="仿宋" w:cs="仿宋"/>
          <w:sz w:val="24"/>
          <w:szCs w:val="24"/>
        </w:rPr>
        <w:t>19.1组织评标程序</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按照招标文件规定的时间、地点和程序组织评标，采购代理机构依法组建由5人（含）以上单数组成的评标委员会，负责对投标文件进行审查、质询、评审和比较等。评标委员会由采购人代表和政府采购咨询专家组成，其中政府采购咨询专家人数不少于成员总数的三分之二。各评审专家及相关人员应参加评审活动并接受核验、签到，无关人员不得进入评审现场。</w:t>
      </w:r>
    </w:p>
    <w:p>
      <w:pPr>
        <w:pStyle w:val="26"/>
        <w:rPr>
          <w:rFonts w:hint="eastAsia" w:ascii="仿宋" w:hAnsi="仿宋" w:eastAsia="仿宋" w:cs="仿宋"/>
          <w:sz w:val="24"/>
          <w:szCs w:val="24"/>
        </w:rPr>
      </w:pPr>
      <w:r>
        <w:rPr>
          <w:rFonts w:hint="eastAsia" w:ascii="仿宋" w:hAnsi="仿宋" w:eastAsia="仿宋" w:cs="仿宋"/>
          <w:sz w:val="24"/>
          <w:szCs w:val="24"/>
        </w:rPr>
        <w:t>19.1.1核验出席评审活动现场的评标委员会各成员和相关监督人员身份，并要求其分别登记、签到，按规定统一收缴、保存其通讯工具，无关人员一律拒绝其进入评审现场。</w:t>
      </w:r>
    </w:p>
    <w:p>
      <w:pPr>
        <w:pStyle w:val="26"/>
        <w:rPr>
          <w:rFonts w:hint="eastAsia" w:ascii="仿宋" w:hAnsi="仿宋" w:eastAsia="仿宋" w:cs="仿宋"/>
          <w:sz w:val="24"/>
          <w:szCs w:val="24"/>
        </w:rPr>
      </w:pPr>
      <w:r>
        <w:rPr>
          <w:rFonts w:hint="eastAsia" w:ascii="仿宋" w:hAnsi="仿宋" w:eastAsia="仿宋" w:cs="仿宋"/>
          <w:sz w:val="24"/>
          <w:szCs w:val="24"/>
        </w:rPr>
        <w:t>19.1.2介绍评审现场的人员情况，宣布评审工作纪律，告知评审人员应当回避情形；组织推选评标委员会组长。</w:t>
      </w:r>
    </w:p>
    <w:p>
      <w:pPr>
        <w:pStyle w:val="26"/>
        <w:rPr>
          <w:rFonts w:hint="eastAsia" w:ascii="仿宋" w:hAnsi="仿宋" w:eastAsia="仿宋" w:cs="仿宋"/>
          <w:sz w:val="24"/>
          <w:szCs w:val="24"/>
        </w:rPr>
      </w:pPr>
      <w:r>
        <w:rPr>
          <w:rFonts w:hint="eastAsia" w:ascii="仿宋" w:hAnsi="仿宋" w:eastAsia="仿宋" w:cs="仿宋"/>
          <w:sz w:val="24"/>
          <w:szCs w:val="24"/>
        </w:rPr>
        <w:t>19.1.3宣读提交投标文件的供应商名单，组织评标委员会各位成员签订《政府采购评审人员廉洁自律承诺书》。</w:t>
      </w:r>
    </w:p>
    <w:p>
      <w:pPr>
        <w:pStyle w:val="26"/>
        <w:rPr>
          <w:rFonts w:hint="eastAsia" w:ascii="仿宋" w:hAnsi="仿宋" w:eastAsia="仿宋" w:cs="仿宋"/>
          <w:sz w:val="24"/>
          <w:szCs w:val="24"/>
        </w:rPr>
      </w:pPr>
      <w:r>
        <w:rPr>
          <w:rFonts w:hint="eastAsia" w:ascii="仿宋" w:hAnsi="仿宋" w:eastAsia="仿宋" w:cs="仿宋"/>
          <w:sz w:val="24"/>
          <w:szCs w:val="24"/>
        </w:rPr>
        <w:t>19.1.4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26"/>
        <w:rPr>
          <w:rFonts w:hint="eastAsia" w:ascii="仿宋" w:hAnsi="仿宋" w:eastAsia="仿宋" w:cs="仿宋"/>
          <w:sz w:val="24"/>
          <w:szCs w:val="24"/>
        </w:rPr>
      </w:pPr>
      <w:r>
        <w:rPr>
          <w:rFonts w:hint="eastAsia" w:ascii="仿宋" w:hAnsi="仿宋" w:eastAsia="仿宋" w:cs="仿宋"/>
          <w:sz w:val="24"/>
          <w:szCs w:val="24"/>
        </w:rPr>
        <w:t>19.1.5评标委员会组长组织评审人员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6"/>
        <w:rPr>
          <w:rFonts w:hint="eastAsia" w:ascii="仿宋" w:hAnsi="仿宋" w:eastAsia="仿宋" w:cs="仿宋"/>
          <w:sz w:val="24"/>
          <w:szCs w:val="24"/>
        </w:rPr>
      </w:pPr>
      <w:r>
        <w:rPr>
          <w:rFonts w:hint="eastAsia" w:ascii="仿宋" w:hAnsi="仿宋" w:eastAsia="仿宋" w:cs="仿宋"/>
          <w:sz w:val="24"/>
          <w:szCs w:val="24"/>
        </w:rPr>
        <w:t>19.1.6做好评审现场相关记录，协助评标委员会组长做好评审报告起草、有关内容电脑文字录入等工作，并要求评标委员会各成员签字确认。</w:t>
      </w:r>
    </w:p>
    <w:p>
      <w:pPr>
        <w:pStyle w:val="26"/>
        <w:rPr>
          <w:rFonts w:hint="eastAsia" w:ascii="仿宋" w:hAnsi="仿宋" w:eastAsia="仿宋" w:cs="仿宋"/>
          <w:sz w:val="24"/>
          <w:szCs w:val="24"/>
        </w:rPr>
      </w:pPr>
      <w:r>
        <w:rPr>
          <w:rFonts w:hint="eastAsia" w:ascii="仿宋" w:hAnsi="仿宋" w:eastAsia="仿宋" w:cs="仿宋"/>
          <w:sz w:val="24"/>
          <w:szCs w:val="24"/>
        </w:rPr>
        <w:t>19.1.7评审结束后，采购代理机构应对评标委员会各成员的专业水平、职业道德、遵纪守法等情况进行评价；同时按规定向评审专家发放评审费，并交还评审人员及其他现场相关人员的通讯工具。</w:t>
      </w:r>
    </w:p>
    <w:p>
      <w:pPr>
        <w:pStyle w:val="26"/>
        <w:rPr>
          <w:rFonts w:hint="eastAsia" w:ascii="仿宋" w:hAnsi="仿宋" w:eastAsia="仿宋" w:cs="仿宋"/>
          <w:sz w:val="24"/>
          <w:szCs w:val="24"/>
        </w:rPr>
      </w:pPr>
      <w:r>
        <w:rPr>
          <w:rFonts w:hint="eastAsia" w:ascii="仿宋" w:hAnsi="仿宋" w:eastAsia="仿宋" w:cs="仿宋"/>
          <w:sz w:val="24"/>
          <w:szCs w:val="24"/>
        </w:rPr>
        <w:t>19.2评标委员评审程序</w:t>
      </w:r>
    </w:p>
    <w:p>
      <w:pPr>
        <w:pStyle w:val="26"/>
        <w:rPr>
          <w:rFonts w:hint="eastAsia" w:ascii="仿宋" w:hAnsi="仿宋" w:eastAsia="仿宋" w:cs="仿宋"/>
          <w:sz w:val="24"/>
          <w:szCs w:val="24"/>
        </w:rPr>
      </w:pPr>
      <w:r>
        <w:rPr>
          <w:rFonts w:hint="eastAsia" w:ascii="仿宋" w:hAnsi="仿宋" w:eastAsia="仿宋" w:cs="仿宋"/>
          <w:sz w:val="24"/>
          <w:szCs w:val="24"/>
        </w:rPr>
        <w:t>19.2.1在评审专家中推选评标委员会组长。</w:t>
      </w:r>
    </w:p>
    <w:p>
      <w:pPr>
        <w:pStyle w:val="26"/>
        <w:rPr>
          <w:rFonts w:hint="eastAsia" w:ascii="仿宋" w:hAnsi="仿宋" w:eastAsia="仿宋" w:cs="仿宋"/>
          <w:sz w:val="24"/>
          <w:szCs w:val="24"/>
        </w:rPr>
      </w:pPr>
      <w:r>
        <w:rPr>
          <w:rFonts w:hint="eastAsia" w:ascii="仿宋" w:hAnsi="仿宋" w:eastAsia="仿宋" w:cs="仿宋"/>
          <w:sz w:val="24"/>
          <w:szCs w:val="24"/>
        </w:rPr>
        <w:t>19.2.2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26"/>
        <w:rPr>
          <w:rFonts w:hint="eastAsia" w:ascii="仿宋" w:hAnsi="仿宋" w:eastAsia="仿宋" w:cs="仿宋"/>
          <w:sz w:val="24"/>
          <w:szCs w:val="24"/>
        </w:rPr>
      </w:pPr>
      <w:r>
        <w:rPr>
          <w:rFonts w:hint="eastAsia" w:ascii="仿宋" w:hAnsi="仿宋" w:eastAsia="仿宋" w:cs="仿宋"/>
          <w:sz w:val="24"/>
          <w:szCs w:val="24"/>
        </w:rPr>
        <w:t>19.2.3评审人员对各供应商投标文件的有效性、完整性和响应程度进行审查，确定是否对招标文件作出实质性响应。</w:t>
      </w:r>
    </w:p>
    <w:p>
      <w:pPr>
        <w:pStyle w:val="26"/>
        <w:rPr>
          <w:rFonts w:hint="eastAsia" w:ascii="仿宋" w:hAnsi="仿宋" w:eastAsia="仿宋" w:cs="仿宋"/>
          <w:sz w:val="24"/>
          <w:szCs w:val="24"/>
        </w:rPr>
      </w:pPr>
      <w:r>
        <w:rPr>
          <w:rFonts w:hint="eastAsia" w:ascii="仿宋" w:hAnsi="仿宋" w:eastAsia="仿宋" w:cs="仿宋"/>
          <w:sz w:val="24"/>
          <w:szCs w:val="24"/>
        </w:rPr>
        <w:t>19.2.4评审人员按招标文件规定的评审方法和评审标准，依法独立对供应商投标文件进行评估、比较，并给予评价或打分，不受任何单位和个人的干预。</w:t>
      </w:r>
    </w:p>
    <w:p>
      <w:pPr>
        <w:pStyle w:val="26"/>
        <w:rPr>
          <w:rFonts w:hint="eastAsia" w:ascii="仿宋" w:hAnsi="仿宋" w:eastAsia="仿宋" w:cs="仿宋"/>
          <w:sz w:val="24"/>
          <w:szCs w:val="24"/>
        </w:rPr>
      </w:pPr>
      <w:r>
        <w:rPr>
          <w:rFonts w:hint="eastAsia" w:ascii="仿宋" w:hAnsi="仿宋" w:eastAsia="仿宋" w:cs="仿宋"/>
          <w:sz w:val="24"/>
          <w:szCs w:val="24"/>
        </w:rPr>
        <w:t>19.2.5评审人员对各供应商投标文件非实质性内容有疑议或异议，或者审查发现明显的文字或计算错误等，及时向评标委员会组长提出。经评标委员会商议认为需要供应商作出必要澄清或说明的，应通知该供应商以书面形式作出澄清或说明。书面通知及澄清说明文件应作为政府采购项目档案归档留存。</w:t>
      </w:r>
    </w:p>
    <w:p>
      <w:pPr>
        <w:pStyle w:val="26"/>
        <w:rPr>
          <w:rFonts w:hint="eastAsia" w:ascii="仿宋" w:hAnsi="仿宋" w:eastAsia="仿宋" w:cs="仿宋"/>
          <w:sz w:val="24"/>
          <w:szCs w:val="24"/>
        </w:rPr>
      </w:pPr>
      <w:r>
        <w:rPr>
          <w:rFonts w:hint="eastAsia" w:ascii="仿宋" w:hAnsi="仿宋" w:eastAsia="仿宋" w:cs="仿宋"/>
          <w:sz w:val="24"/>
          <w:szCs w:val="24"/>
        </w:rPr>
        <w:t>19.2.6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26"/>
        <w:rPr>
          <w:rFonts w:hint="eastAsia" w:ascii="仿宋" w:hAnsi="仿宋" w:eastAsia="仿宋" w:cs="仿宋"/>
          <w:sz w:val="24"/>
          <w:szCs w:val="24"/>
        </w:rPr>
      </w:pPr>
      <w:r>
        <w:rPr>
          <w:rFonts w:hint="eastAsia" w:ascii="仿宋" w:hAnsi="仿宋" w:eastAsia="仿宋" w:cs="仿宋"/>
          <w:sz w:val="24"/>
          <w:szCs w:val="24"/>
        </w:rPr>
        <w:t>19.2.7评标委员会根据评审汇总情况和招标文件规定确定中标候选供应商排序名单。</w:t>
      </w:r>
    </w:p>
    <w:p>
      <w:pPr>
        <w:pStyle w:val="26"/>
        <w:spacing w:after="156"/>
        <w:rPr>
          <w:rFonts w:hint="eastAsia" w:ascii="仿宋" w:hAnsi="仿宋" w:eastAsia="仿宋" w:cs="仿宋"/>
          <w:sz w:val="24"/>
          <w:szCs w:val="24"/>
        </w:rPr>
      </w:pPr>
      <w:r>
        <w:rPr>
          <w:rFonts w:hint="eastAsia" w:ascii="仿宋" w:hAnsi="仿宋" w:eastAsia="仿宋" w:cs="仿宋"/>
          <w:sz w:val="24"/>
          <w:szCs w:val="24"/>
        </w:rPr>
        <w:t>19.2.8起草评审报告，所有评审人员须在评审报告上签字确认。</w:t>
      </w:r>
    </w:p>
    <w:p>
      <w:pPr>
        <w:pStyle w:val="26"/>
        <w:rPr>
          <w:rFonts w:hint="eastAsia" w:ascii="仿宋" w:hAnsi="仿宋" w:eastAsia="仿宋" w:cs="仿宋"/>
          <w:b/>
          <w:sz w:val="24"/>
          <w:szCs w:val="24"/>
        </w:rPr>
      </w:pPr>
      <w:r>
        <w:rPr>
          <w:rFonts w:hint="eastAsia" w:ascii="仿宋" w:hAnsi="仿宋" w:eastAsia="仿宋" w:cs="仿宋"/>
          <w:b/>
          <w:sz w:val="24"/>
          <w:szCs w:val="24"/>
        </w:rPr>
        <w:t>20．评标原则</w:t>
      </w:r>
    </w:p>
    <w:p>
      <w:pPr>
        <w:pStyle w:val="26"/>
        <w:snapToGrid w:val="0"/>
        <w:rPr>
          <w:rFonts w:hint="eastAsia" w:ascii="仿宋" w:hAnsi="仿宋" w:eastAsia="仿宋" w:cs="仿宋"/>
          <w:sz w:val="24"/>
          <w:szCs w:val="24"/>
        </w:rPr>
      </w:pPr>
      <w:r>
        <w:rPr>
          <w:rFonts w:hint="eastAsia" w:ascii="仿宋" w:hAnsi="仿宋" w:eastAsia="仿宋" w:cs="仿宋"/>
          <w:sz w:val="24"/>
          <w:szCs w:val="24"/>
        </w:rPr>
        <w:t>20.1评标委员会必须公平、公正、客观，不带任何倾向性和启发性；不得向外界透露任何与评标有关的内容；任何单位和个人不得干扰、影响评标的正常进行；评标委员会及有关工作人员不得私下与投标人接触。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napToGrid w:val="0"/>
        <w:rPr>
          <w:rFonts w:hint="eastAsia" w:ascii="仿宋" w:hAnsi="仿宋" w:eastAsia="仿宋" w:cs="仿宋"/>
          <w:sz w:val="24"/>
          <w:szCs w:val="24"/>
        </w:rPr>
      </w:pPr>
      <w:r>
        <w:rPr>
          <w:rFonts w:hint="eastAsia" w:ascii="仿宋" w:hAnsi="仿宋" w:eastAsia="仿宋" w:cs="仿宋"/>
          <w:sz w:val="24"/>
          <w:szCs w:val="24"/>
        </w:rPr>
        <w:t>20.2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pStyle w:val="26"/>
        <w:snapToGrid w:val="0"/>
        <w:rPr>
          <w:rFonts w:hint="eastAsia" w:ascii="仿宋" w:hAnsi="仿宋" w:eastAsia="仿宋" w:cs="仿宋"/>
          <w:sz w:val="24"/>
          <w:szCs w:val="24"/>
        </w:rPr>
      </w:pPr>
      <w:r>
        <w:rPr>
          <w:rFonts w:hint="eastAsia" w:ascii="仿宋" w:hAnsi="仿宋" w:eastAsia="仿宋" w:cs="仿宋"/>
          <w:sz w:val="24"/>
          <w:szCs w:val="24"/>
        </w:rPr>
        <w:t>20.3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widowControl/>
        <w:adjustRightInd w:val="0"/>
        <w:snapToGrid w:val="0"/>
        <w:jc w:val="left"/>
        <w:rPr>
          <w:rFonts w:hint="eastAsia" w:ascii="仿宋" w:hAnsi="仿宋" w:eastAsia="仿宋" w:cs="仿宋"/>
          <w:sz w:val="24"/>
        </w:rPr>
      </w:pPr>
      <w:r>
        <w:rPr>
          <w:rFonts w:hint="eastAsia" w:ascii="仿宋" w:hAnsi="仿宋" w:eastAsia="仿宋" w:cs="仿宋"/>
          <w:sz w:val="24"/>
        </w:rPr>
        <w:t>20.4</w:t>
      </w:r>
      <w:r>
        <w:rPr>
          <w:rFonts w:hint="eastAsia" w:ascii="仿宋" w:hAnsi="仿宋" w:eastAsia="仿宋" w:cs="仿宋"/>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sz w:val="24"/>
        </w:rPr>
        <w:t>。</w:t>
      </w:r>
    </w:p>
    <w:p>
      <w:pPr>
        <w:widowControl/>
        <w:autoSpaceDE w:val="0"/>
        <w:autoSpaceDN w:val="0"/>
        <w:textAlignment w:val="bottom"/>
        <w:rPr>
          <w:rFonts w:hint="eastAsia" w:ascii="仿宋" w:hAnsi="仿宋" w:eastAsia="仿宋" w:cs="仿宋"/>
          <w:b/>
          <w:sz w:val="24"/>
        </w:rPr>
      </w:pPr>
      <w:r>
        <w:rPr>
          <w:rFonts w:hint="eastAsia" w:ascii="仿宋" w:hAnsi="仿宋" w:eastAsia="仿宋" w:cs="仿宋"/>
          <w:b/>
          <w:sz w:val="24"/>
        </w:rPr>
        <w:t>21.修正原则</w:t>
      </w:r>
    </w:p>
    <w:p>
      <w:pPr>
        <w:widowControl/>
        <w:autoSpaceDE w:val="0"/>
        <w:autoSpaceDN w:val="0"/>
        <w:ind w:firstLine="480" w:firstLineChars="200"/>
        <w:textAlignment w:val="bottom"/>
        <w:rPr>
          <w:rFonts w:hint="eastAsia" w:ascii="仿宋" w:hAnsi="仿宋" w:eastAsia="仿宋" w:cs="仿宋"/>
          <w:sz w:val="24"/>
        </w:rPr>
      </w:pPr>
      <w:r>
        <w:rPr>
          <w:rFonts w:hint="eastAsia" w:ascii="仿宋" w:hAnsi="仿宋" w:eastAsia="仿宋" w:cs="仿宋"/>
          <w:sz w:val="24"/>
        </w:rPr>
        <w:t>评标委员会对投标文件的投标报价文件进行审核，对发现计算、书写等错误的，按以下原则进行修正；</w:t>
      </w:r>
    </w:p>
    <w:p>
      <w:pPr>
        <w:pStyle w:val="26"/>
        <w:snapToGrid w:val="0"/>
        <w:rPr>
          <w:rFonts w:hint="eastAsia" w:ascii="仿宋" w:hAnsi="仿宋" w:eastAsia="仿宋" w:cs="仿宋"/>
          <w:sz w:val="24"/>
          <w:szCs w:val="24"/>
        </w:rPr>
      </w:pPr>
      <w:r>
        <w:rPr>
          <w:rFonts w:hint="eastAsia" w:ascii="仿宋" w:hAnsi="仿宋" w:eastAsia="仿宋" w:cs="仿宋"/>
          <w:sz w:val="24"/>
          <w:szCs w:val="24"/>
        </w:rPr>
        <w:t>21.1投标文件中开标一览表（报价表）内容与投标文件中相应内容不一致的，以开标一览表（报价表）为准；</w:t>
      </w:r>
    </w:p>
    <w:p>
      <w:pPr>
        <w:pStyle w:val="26"/>
        <w:snapToGrid w:val="0"/>
        <w:rPr>
          <w:rFonts w:hint="eastAsia" w:ascii="仿宋" w:hAnsi="仿宋" w:eastAsia="仿宋" w:cs="仿宋"/>
          <w:sz w:val="24"/>
          <w:szCs w:val="24"/>
        </w:rPr>
      </w:pPr>
      <w:r>
        <w:rPr>
          <w:rFonts w:hint="eastAsia" w:ascii="仿宋" w:hAnsi="仿宋" w:eastAsia="仿宋" w:cs="仿宋"/>
          <w:sz w:val="24"/>
          <w:szCs w:val="24"/>
        </w:rPr>
        <w:t>21.2大写金额和小写金额不一致的，以大写金额为准；</w:t>
      </w:r>
    </w:p>
    <w:p>
      <w:pPr>
        <w:pStyle w:val="26"/>
        <w:snapToGrid w:val="0"/>
        <w:rPr>
          <w:rFonts w:hint="eastAsia" w:ascii="仿宋" w:hAnsi="仿宋" w:eastAsia="仿宋" w:cs="仿宋"/>
          <w:sz w:val="24"/>
          <w:szCs w:val="24"/>
        </w:rPr>
      </w:pPr>
      <w:r>
        <w:rPr>
          <w:rFonts w:hint="eastAsia" w:ascii="仿宋" w:hAnsi="仿宋" w:eastAsia="仿宋" w:cs="仿宋"/>
          <w:sz w:val="24"/>
          <w:szCs w:val="24"/>
        </w:rPr>
        <w:t>21.3单价金额小数点或者百分比有明显错位的，以开标一览表的总价为准，并修改单价；</w:t>
      </w:r>
    </w:p>
    <w:p>
      <w:pPr>
        <w:pStyle w:val="26"/>
        <w:snapToGrid w:val="0"/>
        <w:rPr>
          <w:rFonts w:hint="eastAsia" w:ascii="仿宋" w:hAnsi="仿宋" w:eastAsia="仿宋" w:cs="仿宋"/>
          <w:sz w:val="24"/>
          <w:szCs w:val="24"/>
        </w:rPr>
      </w:pPr>
      <w:r>
        <w:rPr>
          <w:rFonts w:hint="eastAsia" w:ascii="仿宋" w:hAnsi="仿宋" w:eastAsia="仿宋" w:cs="仿宋"/>
          <w:sz w:val="24"/>
          <w:szCs w:val="24"/>
        </w:rPr>
        <w:t>21.4总价金额与按单价汇总金额不一致的，以单价金额计算结果为准。</w:t>
      </w:r>
    </w:p>
    <w:p>
      <w:pPr>
        <w:pStyle w:val="26"/>
        <w:snapToGrid w:val="0"/>
        <w:rPr>
          <w:rFonts w:hint="eastAsia" w:ascii="仿宋" w:hAnsi="仿宋" w:eastAsia="仿宋" w:cs="仿宋"/>
          <w:sz w:val="24"/>
          <w:szCs w:val="24"/>
        </w:rPr>
      </w:pPr>
      <w:r>
        <w:rPr>
          <w:rFonts w:hint="eastAsia" w:ascii="仿宋" w:hAnsi="仿宋" w:eastAsia="仿宋" w:cs="仿宋"/>
          <w:sz w:val="24"/>
          <w:szCs w:val="24"/>
        </w:rPr>
        <w:t>　　以修正后的总价作为投标报价。同时出现两种以上不一致的，按照前款规定的顺序修正。</w:t>
      </w:r>
    </w:p>
    <w:p>
      <w:pPr>
        <w:widowControl/>
        <w:autoSpaceDE w:val="0"/>
        <w:autoSpaceDN w:val="0"/>
        <w:textAlignment w:val="bottom"/>
        <w:rPr>
          <w:rFonts w:hint="eastAsia" w:ascii="仿宋" w:hAnsi="仿宋" w:eastAsia="仿宋" w:cs="仿宋"/>
          <w:b/>
          <w:sz w:val="24"/>
        </w:rPr>
      </w:pPr>
      <w:r>
        <w:rPr>
          <w:rFonts w:hint="eastAsia" w:ascii="仿宋" w:hAnsi="仿宋" w:eastAsia="仿宋" w:cs="仿宋"/>
          <w:b/>
          <w:sz w:val="24"/>
        </w:rPr>
        <w:t>22. 评标办法：</w:t>
      </w:r>
    </w:p>
    <w:p>
      <w:pPr>
        <w:ind w:firstLine="472" w:firstLineChars="196"/>
        <w:jc w:val="left"/>
        <w:rPr>
          <w:rFonts w:hint="eastAsia" w:ascii="仿宋" w:hAnsi="仿宋" w:eastAsia="仿宋" w:cs="仿宋"/>
          <w:b/>
          <w:sz w:val="24"/>
        </w:rPr>
      </w:pPr>
      <w:r>
        <w:rPr>
          <w:rFonts w:hint="eastAsia" w:ascii="仿宋" w:hAnsi="仿宋" w:eastAsia="仿宋" w:cs="仿宋"/>
          <w:b/>
          <w:sz w:val="24"/>
        </w:rPr>
        <w:t>本项目采用综合评分法</w:t>
      </w:r>
      <w:r>
        <w:rPr>
          <w:rFonts w:hint="eastAsia" w:ascii="仿宋" w:hAnsi="仿宋" w:eastAsia="仿宋" w:cs="仿宋"/>
          <w:sz w:val="24"/>
        </w:rPr>
        <w:t>，评标委员会将对各投标人的投标报价、</w:t>
      </w:r>
      <w:r>
        <w:rPr>
          <w:rFonts w:hint="eastAsia" w:ascii="仿宋" w:hAnsi="仿宋" w:eastAsia="仿宋" w:cs="仿宋"/>
          <w:bCs/>
          <w:sz w:val="24"/>
        </w:rPr>
        <w:t>技术和服务方案</w:t>
      </w:r>
      <w:r>
        <w:rPr>
          <w:rFonts w:hint="eastAsia" w:ascii="仿宋" w:hAnsi="仿宋" w:eastAsia="仿宋" w:cs="仿宋"/>
          <w:sz w:val="24"/>
        </w:rPr>
        <w:t xml:space="preserve">、投标人提供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 </w:t>
      </w:r>
    </w:p>
    <w:p>
      <w:pPr>
        <w:ind w:firstLine="427" w:firstLineChars="178"/>
        <w:rPr>
          <w:rFonts w:hint="eastAsia" w:ascii="仿宋" w:hAnsi="仿宋" w:eastAsia="仿宋" w:cs="仿宋"/>
          <w:b/>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技术和服务方案</w:t>
      </w:r>
      <w:r>
        <w:rPr>
          <w:rFonts w:hint="eastAsia" w:ascii="仿宋" w:hAnsi="仿宋" w:eastAsia="仿宋" w:cs="仿宋"/>
          <w:sz w:val="24"/>
        </w:rPr>
        <w:t>得分+投标人提供的资质和业绩情况得分之和，</w:t>
      </w:r>
      <w:r>
        <w:rPr>
          <w:rFonts w:hint="eastAsia" w:ascii="仿宋" w:hAnsi="仿宋" w:eastAsia="仿宋" w:cs="仿宋"/>
          <w:b/>
          <w:sz w:val="24"/>
        </w:rPr>
        <w:t>总和为</w:t>
      </w:r>
      <w:r>
        <w:rPr>
          <w:rFonts w:hint="eastAsia" w:ascii="仿宋" w:hAnsi="仿宋" w:eastAsia="仿宋" w:cs="仿宋"/>
          <w:b/>
          <w:sz w:val="24"/>
          <w:u w:val="single"/>
        </w:rPr>
        <w:t>100</w:t>
      </w:r>
      <w:r>
        <w:rPr>
          <w:rFonts w:hint="eastAsia" w:ascii="仿宋" w:hAnsi="仿宋" w:eastAsia="仿宋" w:cs="仿宋"/>
          <w:b/>
          <w:sz w:val="24"/>
        </w:rPr>
        <w:t>分</w:t>
      </w:r>
      <w:r>
        <w:rPr>
          <w:rFonts w:hint="eastAsia" w:ascii="仿宋" w:hAnsi="仿宋" w:eastAsia="仿宋" w:cs="仿宋"/>
          <w:sz w:val="24"/>
        </w:rPr>
        <w:t>，其中：</w:t>
      </w:r>
      <w:r>
        <w:rPr>
          <w:rFonts w:hint="eastAsia" w:ascii="仿宋" w:hAnsi="仿宋" w:eastAsia="仿宋" w:cs="仿宋"/>
          <w:b/>
          <w:sz w:val="24"/>
        </w:rPr>
        <w:t>投标价格</w:t>
      </w:r>
      <w:r>
        <w:rPr>
          <w:rFonts w:hint="eastAsia" w:ascii="仿宋" w:hAnsi="仿宋" w:eastAsia="仿宋" w:cs="仿宋"/>
          <w:b/>
          <w:sz w:val="24"/>
          <w:u w:val="single"/>
        </w:rPr>
        <w:t>10</w:t>
      </w:r>
      <w:r>
        <w:rPr>
          <w:rFonts w:hint="eastAsia" w:ascii="仿宋" w:hAnsi="仿宋" w:eastAsia="仿宋" w:cs="仿宋"/>
          <w:b/>
          <w:sz w:val="24"/>
        </w:rPr>
        <w:t>分，商务部分</w:t>
      </w:r>
      <w:r>
        <w:rPr>
          <w:rFonts w:hint="eastAsia" w:ascii="仿宋" w:hAnsi="仿宋" w:eastAsia="仿宋" w:cs="仿宋"/>
          <w:b/>
          <w:sz w:val="24"/>
          <w:u w:val="single"/>
        </w:rPr>
        <w:t>32</w:t>
      </w:r>
      <w:r>
        <w:rPr>
          <w:rFonts w:hint="eastAsia" w:ascii="仿宋" w:hAnsi="仿宋" w:eastAsia="仿宋" w:cs="仿宋"/>
          <w:b/>
          <w:sz w:val="24"/>
        </w:rPr>
        <w:t>分，</w:t>
      </w:r>
      <w:r>
        <w:rPr>
          <w:rFonts w:hint="eastAsia" w:ascii="仿宋" w:hAnsi="仿宋" w:eastAsia="仿宋" w:cs="仿宋"/>
          <w:b/>
          <w:bCs/>
          <w:sz w:val="24"/>
        </w:rPr>
        <w:t>技术部分</w:t>
      </w:r>
      <w:r>
        <w:rPr>
          <w:rFonts w:hint="eastAsia" w:ascii="仿宋" w:hAnsi="仿宋" w:eastAsia="仿宋" w:cs="仿宋"/>
          <w:b/>
          <w:sz w:val="24"/>
          <w:u w:val="single"/>
        </w:rPr>
        <w:t>58</w:t>
      </w:r>
      <w:r>
        <w:rPr>
          <w:rFonts w:hint="eastAsia" w:ascii="仿宋" w:hAnsi="仿宋" w:eastAsia="仿宋" w:cs="仿宋"/>
          <w:b/>
          <w:sz w:val="24"/>
        </w:rPr>
        <w:t>分。各投标人总分为：综合得分</w:t>
      </w:r>
      <w:r>
        <w:rPr>
          <w:rFonts w:hint="eastAsia" w:ascii="仿宋" w:hAnsi="仿宋" w:eastAsia="仿宋" w:cs="仿宋"/>
          <w:sz w:val="24"/>
        </w:rPr>
        <w:t>。</w:t>
      </w:r>
    </w:p>
    <w:p>
      <w:pPr>
        <w:ind w:firstLine="482" w:firstLineChars="200"/>
        <w:jc w:val="left"/>
        <w:rPr>
          <w:rFonts w:hint="eastAsia" w:ascii="仿宋" w:hAnsi="仿宋" w:eastAsia="仿宋" w:cs="仿宋"/>
          <w:sz w:val="24"/>
        </w:rPr>
      </w:pPr>
      <w:r>
        <w:rPr>
          <w:rFonts w:hint="eastAsia" w:ascii="仿宋" w:hAnsi="仿宋" w:eastAsia="仿宋" w:cs="仿宋"/>
          <w:b/>
          <w:sz w:val="24"/>
        </w:rPr>
        <w:t>各投标人的商务部分</w:t>
      </w:r>
      <w:r>
        <w:rPr>
          <w:rFonts w:hint="eastAsia" w:ascii="仿宋" w:hAnsi="仿宋" w:eastAsia="仿宋" w:cs="仿宋"/>
          <w:b/>
          <w:bCs/>
          <w:sz w:val="24"/>
        </w:rPr>
        <w:t>、技术部分（</w:t>
      </w:r>
      <w:r>
        <w:rPr>
          <w:rFonts w:hint="eastAsia" w:ascii="仿宋" w:hAnsi="仿宋" w:eastAsia="仿宋" w:cs="仿宋"/>
          <w:b/>
          <w:sz w:val="24"/>
        </w:rPr>
        <w:t>评标委员会独立打分</w:t>
      </w:r>
      <w:r>
        <w:rPr>
          <w:rFonts w:hint="eastAsia" w:ascii="仿宋" w:hAnsi="仿宋" w:eastAsia="仿宋" w:cs="仿宋"/>
          <w:b/>
          <w:bCs/>
          <w:sz w:val="24"/>
        </w:rPr>
        <w:t>）</w:t>
      </w:r>
      <w:r>
        <w:rPr>
          <w:rFonts w:hint="eastAsia" w:ascii="仿宋" w:hAnsi="仿宋" w:eastAsia="仿宋" w:cs="仿宋"/>
          <w:b/>
          <w:sz w:val="24"/>
        </w:rPr>
        <w:t>得</w:t>
      </w:r>
      <w:r>
        <w:rPr>
          <w:rFonts w:hint="eastAsia" w:ascii="仿宋" w:hAnsi="仿宋" w:eastAsia="仿宋" w:cs="仿宋"/>
          <w:b/>
          <w:bCs/>
          <w:sz w:val="24"/>
        </w:rPr>
        <w:t>分为：评标委员会按评分细则,进行评判,每人一张评分票，并记名，如某张评分票的一个项目评分超过规定的分值范围,则该张评分票无效。各服务商的最终评分值为评标委员会成员的有效评分票的算术平均值。各投标人的投标价格得分按投标价格评分公式由采购机构计算，评标委员会审核。</w:t>
      </w:r>
      <w:r>
        <w:rPr>
          <w:rFonts w:hint="eastAsia" w:ascii="仿宋" w:hAnsi="仿宋" w:eastAsia="仿宋" w:cs="仿宋"/>
          <w:bCs/>
          <w:sz w:val="24"/>
        </w:rPr>
        <w:t>根</w:t>
      </w:r>
      <w:r>
        <w:rPr>
          <w:rFonts w:hint="eastAsia" w:ascii="仿宋" w:hAnsi="仿宋" w:eastAsia="仿宋" w:cs="仿宋"/>
          <w:sz w:val="24"/>
        </w:rPr>
        <w:t>据上述评标原则，分值安排如下：</w:t>
      </w:r>
    </w:p>
    <w:p>
      <w:pPr>
        <w:ind w:firstLine="482" w:firstLineChars="200"/>
        <w:rPr>
          <w:rFonts w:hint="eastAsia" w:ascii="仿宋" w:hAnsi="仿宋" w:eastAsia="仿宋" w:cs="仿宋"/>
          <w:b/>
          <w:sz w:val="24"/>
        </w:rPr>
      </w:pPr>
      <w:r>
        <w:rPr>
          <w:rFonts w:hint="eastAsia" w:ascii="仿宋" w:hAnsi="仿宋" w:eastAsia="仿宋" w:cs="仿宋"/>
          <w:b/>
          <w:sz w:val="24"/>
        </w:rPr>
        <w:t>投标价格（A=10分）：</w:t>
      </w:r>
    </w:p>
    <w:p>
      <w:pPr>
        <w:autoSpaceDE w:val="0"/>
        <w:autoSpaceDN w:val="0"/>
        <w:adjustRightInd w:val="0"/>
        <w:ind w:firstLine="482"/>
        <w:rPr>
          <w:rFonts w:hint="eastAsia" w:ascii="仿宋" w:hAnsi="仿宋" w:eastAsia="仿宋" w:cs="仿宋"/>
          <w:sz w:val="24"/>
          <w:lang w:val="zh-CN"/>
        </w:rPr>
      </w:pPr>
      <w:r>
        <w:rPr>
          <w:rFonts w:hint="eastAsia" w:ascii="仿宋" w:hAnsi="仿宋" w:eastAsia="仿宋" w:cs="仿宋"/>
          <w:b/>
          <w:sz w:val="24"/>
        </w:rPr>
        <w:t>投标价格的合理性</w:t>
      </w:r>
      <w:r>
        <w:rPr>
          <w:rFonts w:hint="eastAsia" w:ascii="仿宋" w:hAnsi="仿宋" w:eastAsia="仿宋" w:cs="仿宋"/>
          <w:sz w:val="24"/>
        </w:rPr>
        <w:t>：</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sz w:val="24"/>
          <w:lang w:val="zh-CN"/>
        </w:rPr>
        <w:t>。</w:t>
      </w:r>
    </w:p>
    <w:p>
      <w:pPr>
        <w:autoSpaceDE w:val="0"/>
        <w:autoSpaceDN w:val="0"/>
        <w:adjustRightInd w:val="0"/>
        <w:ind w:firstLine="482"/>
        <w:rPr>
          <w:rFonts w:hint="eastAsia" w:ascii="仿宋" w:hAnsi="仿宋" w:eastAsia="仿宋" w:cs="仿宋"/>
          <w:sz w:val="24"/>
          <w:lang w:val="zh-CN"/>
        </w:rPr>
      </w:pPr>
      <w:r>
        <w:rPr>
          <w:rFonts w:hint="eastAsia" w:ascii="仿宋" w:hAnsi="仿宋" w:eastAsia="仿宋" w:cs="仿宋"/>
          <w:sz w:val="24"/>
          <w:lang w:val="zh-CN"/>
        </w:rPr>
        <w:t>依据《政府采购促进中小企业发展</w:t>
      </w:r>
      <w:r>
        <w:rPr>
          <w:rFonts w:hint="eastAsia" w:ascii="仿宋" w:hAnsi="仿宋" w:eastAsia="仿宋" w:cs="仿宋"/>
          <w:sz w:val="24"/>
          <w:lang w:val="en-US" w:eastAsia="zh-CN"/>
        </w:rPr>
        <w:t>管理</w:t>
      </w:r>
      <w:r>
        <w:rPr>
          <w:rFonts w:hint="eastAsia" w:ascii="仿宋" w:hAnsi="仿宋" w:eastAsia="仿宋" w:cs="仿宋"/>
          <w:sz w:val="24"/>
          <w:lang w:val="zh-CN"/>
        </w:rPr>
        <w:t>办法》</w:t>
      </w:r>
      <w:r>
        <w:rPr>
          <w:rFonts w:hint="eastAsia" w:ascii="仿宋" w:hAnsi="仿宋" w:eastAsia="仿宋" w:cs="仿宋"/>
          <w:sz w:val="24"/>
          <w:lang w:val="en-US" w:eastAsia="zh-CN"/>
        </w:rPr>
        <w:t>等</w:t>
      </w:r>
      <w:r>
        <w:rPr>
          <w:rFonts w:hint="eastAsia" w:ascii="仿宋" w:hAnsi="仿宋" w:eastAsia="仿宋" w:cs="仿宋"/>
          <w:sz w:val="24"/>
          <w:lang w:val="zh-CN"/>
        </w:rPr>
        <w:t>规定，对小型和微型企业产品的价格给予</w:t>
      </w:r>
      <w:r>
        <w:rPr>
          <w:rFonts w:hint="eastAsia" w:ascii="仿宋" w:hAnsi="仿宋" w:eastAsia="仿宋" w:cs="仿宋"/>
          <w:sz w:val="24"/>
        </w:rPr>
        <w:t>20</w:t>
      </w:r>
      <w:r>
        <w:rPr>
          <w:rFonts w:hint="eastAsia" w:ascii="仿宋" w:hAnsi="仿宋" w:eastAsia="仿宋" w:cs="仿宋"/>
          <w:sz w:val="24"/>
          <w:lang w:val="zh-CN"/>
        </w:rPr>
        <w:t>%的扣除，用扣除后的价格参与评审。(依据财库[2014]68号文件规定，监狱企业视同小型、微型企业；根据《财政部、民政部、中国残疾人联合会关于促进残疾人就业政府采购政策的通知》（财库〔2017〕141号）的规定，残疾人福利性单位视同小型、微型企业。)</w:t>
      </w:r>
    </w:p>
    <w:p>
      <w:pPr>
        <w:adjustRightInd w:val="0"/>
        <w:snapToGrid w:val="0"/>
        <w:ind w:firstLine="480" w:firstLineChars="200"/>
        <w:rPr>
          <w:rFonts w:hint="eastAsia" w:ascii="仿宋" w:hAnsi="仿宋" w:eastAsia="仿宋" w:cs="仿宋"/>
          <w:b/>
          <w:bCs/>
          <w:sz w:val="24"/>
        </w:rPr>
      </w:pPr>
      <w:r>
        <w:rPr>
          <w:rFonts w:hint="eastAsia" w:ascii="仿宋" w:hAnsi="仿宋" w:eastAsia="仿宋" w:cs="仿宋"/>
          <w:sz w:val="24"/>
          <w:lang w:val="zh-CN"/>
        </w:rPr>
        <w:t>报价分计算方法：根据各投标人的有效投标报价，以满足招标文件要求且有效投标价格的最低的投标报价为评标基准价，其价格分为</w:t>
      </w:r>
      <w:r>
        <w:rPr>
          <w:rFonts w:hint="eastAsia" w:ascii="仿宋" w:hAnsi="仿宋" w:eastAsia="仿宋" w:cs="仿宋"/>
          <w:sz w:val="24"/>
        </w:rPr>
        <w:t>10</w:t>
      </w:r>
      <w:r>
        <w:rPr>
          <w:rFonts w:hint="eastAsia" w:ascii="仿宋" w:hAnsi="仿宋" w:eastAsia="仿宋" w:cs="仿宋"/>
          <w:sz w:val="24"/>
          <w:lang w:val="zh-CN"/>
        </w:rPr>
        <w:t>分。其他投标人的价格分统一按照下列公式计算：投标报价得分＝(评标基准价/有效投标报价)</w:t>
      </w:r>
      <w:r>
        <w:rPr>
          <w:rFonts w:hint="eastAsia" w:ascii="仿宋" w:hAnsi="仿宋" w:eastAsia="仿宋" w:cs="仿宋"/>
          <w:sz w:val="24"/>
        </w:rPr>
        <w:t>××</w:t>
      </w: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(精确到小数点后二位，由采购机构当场统一计算)。</w:t>
      </w:r>
    </w:p>
    <w:p>
      <w:pPr>
        <w:spacing w:line="440" w:lineRule="exact"/>
        <w:ind w:firstLine="467" w:firstLineChars="194"/>
        <w:rPr>
          <w:rFonts w:hint="eastAsia" w:ascii="仿宋" w:hAnsi="仿宋" w:eastAsia="仿宋" w:cs="仿宋"/>
          <w:b/>
          <w:sz w:val="24"/>
        </w:rPr>
      </w:pPr>
      <w:r>
        <w:rPr>
          <w:rFonts w:hint="eastAsia" w:ascii="仿宋" w:hAnsi="仿宋" w:eastAsia="仿宋" w:cs="仿宋"/>
          <w:b/>
          <w:bCs/>
          <w:sz w:val="24"/>
        </w:rPr>
        <w:t>商务部分（B=32分）：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687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tcBorders>
              <w:top w:val="single" w:color="auto" w:sz="12" w:space="0"/>
              <w:left w:val="single" w:color="auto" w:sz="12" w:space="0"/>
            </w:tcBorders>
            <w:noWrap w:val="0"/>
            <w:vAlign w:val="center"/>
          </w:tcPr>
          <w:p>
            <w:pPr>
              <w:rPr>
                <w:rFonts w:hint="eastAsia" w:ascii="仿宋" w:hAnsi="仿宋" w:eastAsia="仿宋" w:cs="仿宋"/>
                <w:b/>
                <w:sz w:val="24"/>
              </w:rPr>
            </w:pPr>
            <w:r>
              <w:rPr>
                <w:rFonts w:hint="eastAsia" w:ascii="仿宋" w:hAnsi="仿宋" w:eastAsia="仿宋" w:cs="仿宋"/>
                <w:b/>
                <w:sz w:val="24"/>
              </w:rPr>
              <w:t>评议内容</w:t>
            </w:r>
          </w:p>
        </w:tc>
        <w:tc>
          <w:tcPr>
            <w:tcW w:w="6870" w:type="dxa"/>
            <w:tcBorders>
              <w:top w:val="single" w:color="auto" w:sz="12"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评议标准</w:t>
            </w:r>
          </w:p>
        </w:tc>
        <w:tc>
          <w:tcPr>
            <w:tcW w:w="907" w:type="dxa"/>
            <w:tcBorders>
              <w:top w:val="single" w:color="auto" w:sz="12" w:space="0"/>
              <w:right w:val="single" w:color="auto" w:sz="12"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71" w:type="dxa"/>
            <w:vMerge w:val="restart"/>
            <w:tcBorders>
              <w:lef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b/>
                <w:sz w:val="24"/>
              </w:rPr>
              <w:t>企业基本情况（11分）</w:t>
            </w:r>
          </w:p>
        </w:tc>
        <w:tc>
          <w:tcPr>
            <w:tcW w:w="6870" w:type="dxa"/>
            <w:noWrap w:val="0"/>
            <w:vAlign w:val="center"/>
          </w:tcPr>
          <w:p>
            <w:pPr>
              <w:pStyle w:val="78"/>
              <w:spacing w:before="0" w:line="276" w:lineRule="auto"/>
              <w:ind w:firstLine="0" w:firstLineChars="0"/>
              <w:rPr>
                <w:rFonts w:ascii="仿宋" w:hAnsi="仿宋" w:eastAsia="仿宋" w:cs="仿宋"/>
                <w:szCs w:val="24"/>
              </w:rPr>
            </w:pPr>
            <w:r>
              <w:rPr>
                <w:rFonts w:hint="eastAsia" w:ascii="仿宋" w:hAnsi="仿宋" w:eastAsia="仿宋" w:cs="仿宋"/>
                <w:szCs w:val="24"/>
              </w:rPr>
              <w:t>企业信用情况：由第三方信用服务机构出具《企业信用报告》，并在有效期内，AAA得3分；AA得1.5分；A得0.5分；其他0分。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71" w:type="dxa"/>
            <w:vMerge w:val="continue"/>
            <w:tcBorders>
              <w:left w:val="single" w:color="auto" w:sz="12" w:space="0"/>
            </w:tcBorders>
            <w:noWrap w:val="0"/>
            <w:vAlign w:val="center"/>
          </w:tcPr>
          <w:p>
            <w:pPr>
              <w:spacing w:line="276" w:lineRule="auto"/>
              <w:jc w:val="center"/>
              <w:rPr>
                <w:rFonts w:hint="eastAsia" w:ascii="仿宋" w:hAnsi="仿宋" w:eastAsia="仿宋" w:cs="仿宋"/>
                <w:b/>
                <w:sz w:val="24"/>
              </w:rPr>
            </w:pPr>
          </w:p>
        </w:tc>
        <w:tc>
          <w:tcPr>
            <w:tcW w:w="6870" w:type="dxa"/>
            <w:noWrap w:val="0"/>
            <w:vAlign w:val="center"/>
          </w:tcPr>
          <w:p>
            <w:pPr>
              <w:pStyle w:val="78"/>
              <w:spacing w:before="0" w:line="276" w:lineRule="auto"/>
              <w:ind w:firstLine="0" w:firstLineChars="0"/>
              <w:rPr>
                <w:rFonts w:hint="eastAsia" w:ascii="仿宋" w:hAnsi="仿宋" w:eastAsia="仿宋" w:cs="仿宋"/>
                <w:szCs w:val="24"/>
              </w:rPr>
            </w:pPr>
            <w:r>
              <w:rPr>
                <w:rFonts w:hint="eastAsia" w:ascii="仿宋" w:hAnsi="仿宋" w:eastAsia="仿宋" w:cs="仿宋"/>
                <w:szCs w:val="24"/>
              </w:rPr>
              <w:t>投标人通过质量管理体系认证（认证内容包含水利工程运维管理）且在有效期内得1分；通过职业健康安全管理体系认证（认证内容包含水利工程运维管理）且在有效期内的得1分；通过环境管理体系认证（认证内容包含水利工程运维管理）且在有效期内的得1分。</w:t>
            </w:r>
          </w:p>
        </w:tc>
        <w:tc>
          <w:tcPr>
            <w:tcW w:w="907" w:type="dxa"/>
            <w:tcBorders>
              <w:right w:val="single" w:color="auto" w:sz="12" w:space="0"/>
            </w:tcBorders>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71" w:type="dxa"/>
            <w:vMerge w:val="continue"/>
            <w:tcBorders>
              <w:left w:val="single" w:color="auto" w:sz="12" w:space="0"/>
            </w:tcBorders>
            <w:noWrap w:val="0"/>
            <w:vAlign w:val="center"/>
          </w:tcPr>
          <w:p>
            <w:pPr>
              <w:spacing w:line="276" w:lineRule="auto"/>
              <w:jc w:val="center"/>
              <w:rPr>
                <w:rFonts w:hint="eastAsia" w:ascii="仿宋" w:hAnsi="仿宋" w:eastAsia="仿宋" w:cs="仿宋"/>
                <w:b/>
                <w:sz w:val="24"/>
              </w:rPr>
            </w:pPr>
          </w:p>
        </w:tc>
        <w:tc>
          <w:tcPr>
            <w:tcW w:w="6870" w:type="dxa"/>
            <w:noWrap w:val="0"/>
            <w:vAlign w:val="center"/>
          </w:tcPr>
          <w:p>
            <w:pPr>
              <w:spacing w:line="276" w:lineRule="auto"/>
              <w:rPr>
                <w:rFonts w:ascii="仿宋" w:hAnsi="仿宋" w:eastAsia="仿宋" w:cs="仿宋"/>
                <w:sz w:val="24"/>
              </w:rPr>
            </w:pPr>
            <w:r>
              <w:rPr>
                <w:rFonts w:hint="eastAsia" w:ascii="仿宋" w:hAnsi="仿宋" w:eastAsia="仿宋" w:cs="仿宋"/>
                <w:sz w:val="24"/>
              </w:rPr>
              <w:t>投标单位具有水利施工总承包一级或者机电安装专业承包一级资质得3分，投标单位具有水利施工总承包二级或机电安装专业承包二级资质得2分，投标单位具有水利施工总承包三级或者机电安装专业承包三级资质得1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bCs/>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371" w:type="dxa"/>
            <w:vMerge w:val="continue"/>
            <w:tcBorders>
              <w:left w:val="single" w:color="auto" w:sz="12" w:space="0"/>
            </w:tcBorders>
            <w:noWrap w:val="0"/>
            <w:vAlign w:val="center"/>
          </w:tcPr>
          <w:p>
            <w:pPr>
              <w:spacing w:line="276" w:lineRule="auto"/>
              <w:jc w:val="center"/>
              <w:rPr>
                <w:rFonts w:hint="eastAsia" w:ascii="仿宋" w:hAnsi="仿宋" w:eastAsia="仿宋" w:cs="仿宋"/>
                <w:b/>
                <w:sz w:val="24"/>
              </w:rPr>
            </w:pP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投标人具有泵站或水闸类甲级水利水电工程物业服务能力评价证书的得2分；具有泵站或水闸类乙级水利水电工程物业服务能力评价证书的得1分，其余不得分。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bCs/>
                <w:kern w:val="0"/>
                <w:sz w:val="24"/>
              </w:rPr>
            </w:pPr>
            <w:r>
              <w:rPr>
                <w:rFonts w:hint="eastAsia" w:ascii="仿宋" w:hAnsi="仿宋" w:eastAsia="仿宋" w:cs="仿宋"/>
                <w:bCs/>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rPr>
              <w:t>项目负责人（3分）</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项目负责人具备水利相关专业高级及以上技术职称得3分，具备水利相关专业中级职称的得1分。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lang w:val="en-US" w:eastAsia="zh-CN"/>
              </w:rPr>
              <w:t>项目</w:t>
            </w:r>
            <w:r>
              <w:rPr>
                <w:rFonts w:hint="eastAsia" w:ascii="仿宋" w:hAnsi="仿宋" w:eastAsia="仿宋" w:cs="仿宋"/>
                <w:b/>
                <w:sz w:val="24"/>
              </w:rPr>
              <w:t>技术负责人</w:t>
            </w:r>
            <w:bookmarkStart w:id="2" w:name="OLE_LINK15"/>
            <w:r>
              <w:rPr>
                <w:rFonts w:hint="eastAsia" w:ascii="仿宋" w:hAnsi="仿宋" w:eastAsia="仿宋" w:cs="仿宋"/>
                <w:b/>
                <w:sz w:val="24"/>
              </w:rPr>
              <w:t>（3分）</w:t>
            </w:r>
            <w:bookmarkEnd w:id="2"/>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项目技术负责人具备水利相关专业高级及以上技术职称得3分，具备水利相关专业中级职称的得1分。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b/>
                <w:sz w:val="24"/>
              </w:rPr>
              <w:t>项目部其他管理组成员组成（7分）</w:t>
            </w:r>
          </w:p>
        </w:tc>
        <w:tc>
          <w:tcPr>
            <w:tcW w:w="6870" w:type="dxa"/>
            <w:noWrap w:val="0"/>
            <w:vAlign w:val="center"/>
          </w:tcPr>
          <w:p>
            <w:pPr>
              <w:spacing w:line="276" w:lineRule="auto"/>
              <w:rPr>
                <w:rFonts w:ascii="仿宋" w:hAnsi="仿宋" w:eastAsia="仿宋" w:cs="仿宋"/>
                <w:sz w:val="24"/>
              </w:rPr>
            </w:pPr>
            <w:r>
              <w:rPr>
                <w:rFonts w:hint="eastAsia" w:ascii="仿宋" w:hAnsi="仿宋" w:eastAsia="仿宋" w:cs="仿宋"/>
                <w:b w:val="0"/>
                <w:sz w:val="24"/>
              </w:rPr>
              <w:t>项目部其他管理组成员</w:t>
            </w:r>
            <w:r>
              <w:rPr>
                <w:rFonts w:hint="eastAsia" w:ascii="仿宋" w:hAnsi="仿宋" w:eastAsia="仿宋" w:cs="仿宋"/>
                <w:sz w:val="24"/>
              </w:rPr>
              <w:t>同时配备电气系统及自动化专业、机电相关专业工程师、水利相关专业工程师得5分；配备测绘专业人员得1分，配备水利造价专业人员得1分。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rPr>
              <w:t>分站长（7分）</w:t>
            </w:r>
          </w:p>
        </w:tc>
        <w:tc>
          <w:tcPr>
            <w:tcW w:w="6870" w:type="dxa"/>
            <w:noWrap w:val="0"/>
            <w:vAlign w:val="center"/>
          </w:tcPr>
          <w:p>
            <w:pPr>
              <w:spacing w:line="276" w:lineRule="auto"/>
              <w:rPr>
                <w:rFonts w:ascii="仿宋" w:hAnsi="仿宋" w:eastAsia="仿宋" w:cs="仿宋"/>
                <w:sz w:val="24"/>
              </w:rPr>
            </w:pPr>
            <w:r>
              <w:rPr>
                <w:rFonts w:hint="eastAsia" w:ascii="仿宋" w:hAnsi="仿宋" w:eastAsia="仿宋" w:cs="仿宋"/>
                <w:sz w:val="24"/>
              </w:rPr>
              <w:t>分站长具备水利或机电相关专业中级及以上技术职称或者具备水利相关专业二级及以上注册建造师每个得1分，最高得7分。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rPr>
              <w:t>类似业绩</w:t>
            </w:r>
          </w:p>
          <w:p>
            <w:pPr>
              <w:spacing w:line="276" w:lineRule="auto"/>
              <w:jc w:val="center"/>
              <w:rPr>
                <w:rFonts w:hint="eastAsia" w:ascii="仿宋" w:hAnsi="仿宋" w:eastAsia="仿宋" w:cs="仿宋"/>
                <w:b/>
                <w:sz w:val="24"/>
              </w:rPr>
            </w:pPr>
            <w:r>
              <w:rPr>
                <w:rFonts w:hint="eastAsia" w:ascii="仿宋" w:hAnsi="仿宋" w:eastAsia="仿宋" w:cs="仿宋"/>
                <w:b/>
                <w:sz w:val="24"/>
              </w:rPr>
              <w:t>（1分）</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2018年1月1日（以合同签订时间为准）至本项目投标截止时间前承接过水闸或者泵站类似工程运行维护管理项目的，每个业绩得0.2分，最高得1分。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1" w:type="dxa"/>
            <w:gridSpan w:val="2"/>
            <w:tcBorders>
              <w:left w:val="single" w:color="auto" w:sz="12" w:space="0"/>
            </w:tcBorders>
            <w:noWrap w:val="0"/>
            <w:vAlign w:val="center"/>
          </w:tcPr>
          <w:p>
            <w:pPr>
              <w:spacing w:line="276" w:lineRule="auto"/>
              <w:rPr>
                <w:rFonts w:hint="eastAsia" w:ascii="仿宋" w:hAnsi="仿宋" w:eastAsia="仿宋" w:cs="仿宋"/>
                <w:sz w:val="24"/>
              </w:rPr>
            </w:pPr>
            <w:r>
              <w:rPr>
                <w:rFonts w:hint="eastAsia" w:ascii="仿宋" w:hAnsi="仿宋" w:eastAsia="仿宋" w:cs="仿宋"/>
                <w:b/>
                <w:bCs/>
                <w:sz w:val="24"/>
              </w:rPr>
              <w:t>商务</w:t>
            </w:r>
            <w:r>
              <w:rPr>
                <w:rFonts w:hint="eastAsia" w:ascii="仿宋" w:hAnsi="仿宋" w:eastAsia="仿宋" w:cs="仿宋"/>
                <w:b/>
                <w:sz w:val="24"/>
              </w:rPr>
              <w:t>部分得分小计</w:t>
            </w:r>
          </w:p>
        </w:tc>
        <w:tc>
          <w:tcPr>
            <w:tcW w:w="907" w:type="dxa"/>
            <w:tcBorders>
              <w:left w:val="single" w:color="auto" w:sz="4" w:space="0"/>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32分</w:t>
            </w:r>
          </w:p>
        </w:tc>
      </w:tr>
    </w:tbl>
    <w:p>
      <w:pPr>
        <w:widowControl/>
        <w:snapToGrid w:val="0"/>
        <w:jc w:val="left"/>
        <w:rPr>
          <w:rFonts w:ascii="仿宋" w:hAnsi="仿宋" w:eastAsia="仿宋" w:cs="仿宋"/>
          <w:b/>
          <w:bCs/>
          <w:position w:val="-30"/>
          <w:sz w:val="24"/>
        </w:rPr>
      </w:pPr>
      <w:r>
        <w:rPr>
          <w:rFonts w:hint="eastAsia" w:ascii="仿宋" w:hAnsi="仿宋" w:eastAsia="仿宋" w:cs="仿宋"/>
          <w:b/>
          <w:sz w:val="24"/>
        </w:rPr>
        <w:t>备注：项目负责人、技术负责人、分站长和项目部其他管理组成员要求出具社保部门的社保证明(至少含投标截止时间前6个月)，否则不得分。</w:t>
      </w:r>
    </w:p>
    <w:p>
      <w:pPr>
        <w:widowControl/>
        <w:snapToGrid w:val="0"/>
        <w:jc w:val="left"/>
        <w:rPr>
          <w:rFonts w:hint="eastAsia" w:ascii="仿宋" w:hAnsi="仿宋" w:eastAsia="仿宋" w:cs="仿宋"/>
          <w:b/>
          <w:position w:val="-30"/>
          <w:sz w:val="24"/>
        </w:rPr>
      </w:pPr>
      <w:r>
        <w:rPr>
          <w:rFonts w:hint="eastAsia" w:ascii="仿宋" w:hAnsi="仿宋" w:eastAsia="仿宋" w:cs="仿宋"/>
          <w:b/>
          <w:bCs/>
          <w:sz w:val="24"/>
        </w:rPr>
        <w:t>技术部分（C=58分）：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687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1" w:type="dxa"/>
            <w:tcBorders>
              <w:top w:val="single" w:color="auto" w:sz="12" w:space="0"/>
              <w:left w:val="single" w:color="auto" w:sz="12" w:space="0"/>
            </w:tcBorders>
            <w:noWrap w:val="0"/>
            <w:vAlign w:val="center"/>
          </w:tcPr>
          <w:p>
            <w:pPr>
              <w:spacing w:line="276" w:lineRule="auto"/>
              <w:rPr>
                <w:rFonts w:hint="eastAsia" w:ascii="仿宋" w:hAnsi="仿宋" w:eastAsia="仿宋" w:cs="仿宋"/>
                <w:b/>
                <w:sz w:val="24"/>
              </w:rPr>
            </w:pPr>
            <w:r>
              <w:rPr>
                <w:rFonts w:hint="eastAsia" w:ascii="仿宋" w:hAnsi="仿宋" w:eastAsia="仿宋" w:cs="仿宋"/>
                <w:b/>
                <w:sz w:val="24"/>
              </w:rPr>
              <w:t>评议内容</w:t>
            </w:r>
          </w:p>
        </w:tc>
        <w:tc>
          <w:tcPr>
            <w:tcW w:w="6870" w:type="dxa"/>
            <w:tcBorders>
              <w:top w:val="single" w:color="auto" w:sz="12" w:space="0"/>
              <w:right w:val="single" w:color="auto" w:sz="4"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rPr>
              <w:t>评议标准</w:t>
            </w:r>
          </w:p>
        </w:tc>
        <w:tc>
          <w:tcPr>
            <w:tcW w:w="907" w:type="dxa"/>
            <w:tcBorders>
              <w:top w:val="single" w:color="auto" w:sz="12" w:space="0"/>
              <w:right w:val="single" w:color="auto" w:sz="12" w:space="0"/>
            </w:tcBorders>
            <w:noWrap w:val="0"/>
            <w:vAlign w:val="center"/>
          </w:tcPr>
          <w:p>
            <w:pPr>
              <w:spacing w:line="276" w:lineRule="auto"/>
              <w:jc w:val="center"/>
              <w:rPr>
                <w:rFonts w:hint="eastAsia"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b/>
                <w:sz w:val="24"/>
              </w:rPr>
              <w:t>水利工程标准化管理方案</w:t>
            </w:r>
          </w:p>
        </w:tc>
        <w:tc>
          <w:tcPr>
            <w:tcW w:w="6870" w:type="dxa"/>
            <w:noWrap w:val="0"/>
            <w:vAlign w:val="center"/>
          </w:tcPr>
          <w:p>
            <w:pPr>
              <w:pStyle w:val="78"/>
              <w:spacing w:before="0" w:line="276" w:lineRule="auto"/>
              <w:ind w:firstLine="0" w:firstLineChars="0"/>
              <w:rPr>
                <w:rFonts w:hint="eastAsia" w:ascii="仿宋" w:hAnsi="仿宋" w:eastAsia="仿宋" w:cs="仿宋"/>
                <w:szCs w:val="24"/>
              </w:rPr>
            </w:pPr>
            <w:r>
              <w:rPr>
                <w:rFonts w:hint="eastAsia" w:ascii="仿宋" w:hAnsi="仿宋" w:eastAsia="仿宋" w:cs="仿宋"/>
                <w:szCs w:val="24"/>
              </w:rPr>
              <w:t>根据水利工程标准化管理方案是否包含机构人员（岗位设置、人员配备、人员培训）、管护经费落实保障、管理基础（制度手册、操作手册）、运行管理（工程检查、应急管理）、工程面貌（标识牌、形象面貌）等方案的完整性、可操作性进行综合评分；</w:t>
            </w:r>
          </w:p>
          <w:p>
            <w:pPr>
              <w:pStyle w:val="78"/>
              <w:spacing w:before="0" w:line="276" w:lineRule="auto"/>
              <w:ind w:firstLine="0" w:firstLineChars="0"/>
              <w:rPr>
                <w:rFonts w:hint="eastAsia" w:ascii="仿宋" w:hAnsi="仿宋" w:eastAsia="仿宋" w:cs="仿宋"/>
                <w:szCs w:val="24"/>
              </w:rPr>
            </w:pPr>
            <w:r>
              <w:rPr>
                <w:rFonts w:hint="eastAsia" w:ascii="仿宋" w:hAnsi="仿宋" w:eastAsia="仿宋" w:cs="仿宋"/>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371" w:type="dxa"/>
            <w:tcBorders>
              <w:lef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b/>
                <w:position w:val="-30"/>
                <w:sz w:val="24"/>
              </w:rPr>
              <w:t>安全生产管理方案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根据日常消防设施配备养护检查计划、电器设备安全操作计划、电器设备安全操作设施设备配备计划、年度安全管理培训计划等方案的完整性、可操作性进行综合评分；</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position w:val="-30"/>
                <w:sz w:val="24"/>
              </w:rPr>
              <w:t>年度维修养护计划方案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根据汛前、汛后、冬修计划方案进行综合评审；方案的完整性、可操作性进行综合评分；</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position w:val="-30"/>
                <w:sz w:val="24"/>
              </w:rPr>
              <w:t>控制运行计划方案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杭州市西湖区排灌设施管理服务站控制运行计划》和《杭州市西湖区排灌设施管理服务站防汛防台应急预案》制定操作流程方案，对其合理性、及时性及日常运行维护管理记录表（电流、电压、温升、内外水位、运行台时及水量）进行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方案完整、可操作性强、记录表齐全完整得2-3分；方案完整、可操作性一般、记录表完整性一般得1-1.9分；方案完整、可操作性、记录表完整性差0-0.9分。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position w:val="-30"/>
                <w:sz w:val="24"/>
              </w:rPr>
              <w:t>日常设备检查方案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根据本项目所属设施设备实际情况制定检查方案及后续处置流程，对其合理性、可操作性进行综合评审；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sz w:val="24"/>
              </w:rPr>
              <w:t>日常工程观测管理方案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根据设备配备情况、人员配备情况、工程观测计划的其合理性、可操作性进行综合评审；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sz w:val="24"/>
              </w:rPr>
              <w:t>防汛抢险应急管理调度方案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根据应急设施设备、通信设施配备情况、人员应急调度情况其及时性、可操作性进行综合评审；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position w:val="-30"/>
                <w:sz w:val="24"/>
              </w:rPr>
              <w:t>日常绿化养护方案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根据绿化养护设施设备、人员配备、养护计划方案进行综合评审；方案完整、可操作性强得2-3分；方案完整、可操作性一般得1-1.9分；方案完整、可操作性差0-0.9分。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sz w:val="24"/>
              </w:rPr>
              <w:t>信息化管理方案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根据信息化管理（管理平台、视频监控、自动控制）方案进行综合评审；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sz w:val="24"/>
              </w:rPr>
              <w:t>档案管理方案</w:t>
            </w:r>
          </w:p>
        </w:tc>
        <w:tc>
          <w:tcPr>
            <w:tcW w:w="6870" w:type="dxa"/>
            <w:noWrap w:val="0"/>
            <w:vAlign w:val="center"/>
          </w:tcPr>
          <w:p>
            <w:pPr>
              <w:spacing w:line="276" w:lineRule="auto"/>
              <w:rPr>
                <w:rFonts w:hint="eastAsia" w:ascii="仿宋" w:hAnsi="仿宋" w:eastAsia="仿宋" w:cs="仿宋"/>
                <w:sz w:val="24"/>
              </w:rPr>
            </w:pPr>
            <w:r>
              <w:rPr>
                <w:rFonts w:hint="eastAsia" w:ascii="仿宋" w:hAnsi="仿宋" w:eastAsia="仿宋" w:cs="仿宋"/>
                <w:sz w:val="24"/>
              </w:rPr>
              <w:t>根据设备、运行、维修、工程观测、工程检查、安全生产等档案管理方案进行综合评审；</w:t>
            </w:r>
          </w:p>
          <w:p>
            <w:pPr>
              <w:spacing w:line="276" w:lineRule="auto"/>
              <w:rPr>
                <w:rFonts w:hint="eastAsia" w:ascii="仿宋" w:hAnsi="仿宋" w:eastAsia="仿宋" w:cs="仿宋"/>
                <w:sz w:val="24"/>
              </w:rPr>
            </w:pPr>
            <w:r>
              <w:rPr>
                <w:rFonts w:hint="eastAsia" w:ascii="仿宋" w:hAnsi="仿宋" w:eastAsia="仿宋" w:cs="仿宋"/>
                <w:sz w:val="24"/>
              </w:rPr>
              <w:t>方案完整、可操作性强得2-3分；方案完整、可操作性一般得1-1.9分；方案完整、可操作性差0-0.9分。</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71" w:type="dxa"/>
            <w:tcBorders>
              <w:left w:val="single" w:color="auto" w:sz="12" w:space="0"/>
            </w:tcBorders>
            <w:noWrap w:val="0"/>
            <w:vAlign w:val="center"/>
          </w:tcPr>
          <w:p>
            <w:pPr>
              <w:widowControl/>
              <w:snapToGrid w:val="0"/>
              <w:spacing w:line="276" w:lineRule="auto"/>
              <w:rPr>
                <w:rFonts w:hint="eastAsia" w:ascii="仿宋" w:hAnsi="仿宋" w:eastAsia="仿宋" w:cs="仿宋"/>
                <w:b/>
                <w:sz w:val="24"/>
              </w:rPr>
            </w:pPr>
            <w:r>
              <w:rPr>
                <w:rFonts w:hint="eastAsia" w:ascii="仿宋" w:hAnsi="仿宋" w:eastAsia="仿宋" w:cs="仿宋"/>
                <w:b/>
                <w:position w:val="-30"/>
                <w:sz w:val="24"/>
              </w:rPr>
              <w:t>机械设备情况</w:t>
            </w:r>
          </w:p>
        </w:tc>
        <w:tc>
          <w:tcPr>
            <w:tcW w:w="6870" w:type="dxa"/>
            <w:noWrap w:val="0"/>
            <w:vAlign w:val="center"/>
          </w:tcPr>
          <w:p>
            <w:pPr>
              <w:widowControl/>
              <w:spacing w:line="276" w:lineRule="auto"/>
              <w:jc w:val="left"/>
              <w:rPr>
                <w:rStyle w:val="102"/>
                <w:rFonts w:hint="eastAsia" w:ascii="仿宋" w:hAnsi="仿宋" w:eastAsia="仿宋" w:cs="仿宋"/>
                <w:bCs/>
                <w:color w:val="auto"/>
                <w:sz w:val="24"/>
                <w:szCs w:val="24"/>
                <w:lang w:eastAsia="zh-CN"/>
              </w:rPr>
            </w:pPr>
            <w:r>
              <w:rPr>
                <w:rFonts w:hint="eastAsia" w:ascii="仿宋" w:hAnsi="仿宋" w:eastAsia="仿宋" w:cs="仿宋"/>
                <w:bCs/>
                <w:kern w:val="0"/>
                <w:sz w:val="24"/>
              </w:rPr>
              <w:t>拟</w:t>
            </w:r>
            <w:r>
              <w:rPr>
                <w:rFonts w:hint="eastAsia" w:ascii="仿宋" w:hAnsi="仿宋" w:eastAsia="仿宋" w:cs="仿宋"/>
                <w:bCs/>
                <w:sz w:val="24"/>
              </w:rPr>
              <w:t>投入使用的主要机械设备：</w:t>
            </w:r>
          </w:p>
          <w:p>
            <w:pPr>
              <w:widowControl/>
              <w:spacing w:line="276" w:lineRule="auto"/>
              <w:jc w:val="left"/>
              <w:rPr>
                <w:rFonts w:hint="eastAsia" w:ascii="仿宋" w:hAnsi="仿宋" w:eastAsia="仿宋" w:cs="仿宋"/>
                <w:bCs/>
                <w:sz w:val="24"/>
              </w:rPr>
            </w:pPr>
            <w:r>
              <w:rPr>
                <w:rStyle w:val="102"/>
                <w:rFonts w:hint="eastAsia" w:ascii="仿宋" w:hAnsi="仿宋" w:eastAsia="仿宋" w:cs="仿宋"/>
                <w:bCs/>
                <w:color w:val="auto"/>
                <w:sz w:val="24"/>
                <w:szCs w:val="24"/>
              </w:rPr>
              <w:t>1</w:t>
            </w:r>
            <w:r>
              <w:rPr>
                <w:rFonts w:hint="eastAsia" w:ascii="仿宋" w:hAnsi="仿宋" w:eastAsia="仿宋" w:cs="仿宋"/>
                <w:bCs/>
                <w:sz w:val="24"/>
              </w:rPr>
              <w:t>、投标人自有割草机、绿篱机、割灌机、绿化吹风机的每项得0.5分，最高得2分。（需提供购买发票影印件）</w:t>
            </w:r>
          </w:p>
          <w:p>
            <w:pPr>
              <w:widowControl/>
              <w:spacing w:line="276" w:lineRule="auto"/>
              <w:jc w:val="left"/>
              <w:rPr>
                <w:rFonts w:hint="eastAsia" w:ascii="仿宋" w:hAnsi="仿宋" w:eastAsia="仿宋" w:cs="仿宋"/>
                <w:bCs/>
                <w:sz w:val="24"/>
              </w:rPr>
            </w:pPr>
            <w:r>
              <w:rPr>
                <w:rFonts w:hint="eastAsia" w:ascii="仿宋" w:hAnsi="仿宋" w:eastAsia="仿宋" w:cs="仿宋"/>
                <w:bCs/>
                <w:sz w:val="24"/>
              </w:rPr>
              <w:t>2、投标人自有巡查无人机的得1分/架，最高得1分。（需提供购买发票影印件）</w:t>
            </w:r>
          </w:p>
          <w:p>
            <w:pPr>
              <w:widowControl/>
              <w:spacing w:line="276" w:lineRule="auto"/>
              <w:jc w:val="left"/>
              <w:rPr>
                <w:rFonts w:hint="eastAsia" w:ascii="仿宋" w:hAnsi="仿宋" w:eastAsia="仿宋" w:cs="仿宋"/>
                <w:bCs/>
                <w:sz w:val="24"/>
              </w:rPr>
            </w:pPr>
            <w:r>
              <w:rPr>
                <w:rFonts w:hint="eastAsia" w:ascii="仿宋" w:hAnsi="仿宋" w:eastAsia="仿宋" w:cs="仿宋"/>
                <w:bCs/>
                <w:sz w:val="24"/>
              </w:rPr>
              <w:t>3、投标人自有货车（工具车）1辆得1分；最高为2分。</w:t>
            </w:r>
          </w:p>
          <w:p>
            <w:pPr>
              <w:widowControl/>
              <w:spacing w:line="276" w:lineRule="auto"/>
              <w:jc w:val="left"/>
              <w:rPr>
                <w:rFonts w:hint="eastAsia" w:ascii="仿宋" w:hAnsi="仿宋" w:eastAsia="仿宋" w:cs="仿宋"/>
                <w:sz w:val="24"/>
              </w:rPr>
            </w:pPr>
            <w:r>
              <w:rPr>
                <w:rFonts w:hint="eastAsia" w:ascii="仿宋" w:hAnsi="仿宋" w:eastAsia="仿宋" w:cs="仿宋"/>
                <w:bCs/>
                <w:sz w:val="24"/>
              </w:rPr>
              <w:t>4、投标人自有</w:t>
            </w:r>
            <w:r>
              <w:rPr>
                <w:rFonts w:hint="eastAsia" w:ascii="仿宋" w:hAnsi="仿宋" w:eastAsia="仿宋" w:cs="仿宋"/>
                <w:sz w:val="24"/>
              </w:rPr>
              <w:t>巡查车</w:t>
            </w:r>
            <w:r>
              <w:rPr>
                <w:rFonts w:hint="eastAsia" w:ascii="仿宋" w:hAnsi="仿宋" w:eastAsia="仿宋" w:cs="仿宋"/>
                <w:bCs/>
                <w:sz w:val="24"/>
              </w:rPr>
              <w:t>1辆得1分；最高为3分。</w:t>
            </w:r>
          </w:p>
          <w:p>
            <w:pPr>
              <w:spacing w:line="276" w:lineRule="auto"/>
              <w:rPr>
                <w:rFonts w:hint="eastAsia" w:ascii="仿宋" w:hAnsi="仿宋" w:eastAsia="仿宋" w:cs="仿宋"/>
                <w:sz w:val="24"/>
              </w:rPr>
            </w:pPr>
            <w:r>
              <w:rPr>
                <w:rFonts w:hint="eastAsia" w:ascii="仿宋" w:hAnsi="仿宋" w:eastAsia="仿宋" w:cs="仿宋"/>
                <w:bCs/>
                <w:sz w:val="24"/>
              </w:rPr>
              <w:t>投标文件上必须附上与车辆行驶证相符带牌照的车辆图片</w:t>
            </w:r>
            <w:r>
              <w:rPr>
                <w:rStyle w:val="102"/>
                <w:rFonts w:hint="eastAsia" w:ascii="仿宋" w:hAnsi="仿宋" w:eastAsia="仿宋" w:cs="仿宋"/>
                <w:bCs/>
                <w:color w:val="auto"/>
                <w:sz w:val="24"/>
                <w:szCs w:val="24"/>
              </w:rPr>
              <w:t>。</w:t>
            </w:r>
            <w:r>
              <w:rPr>
                <w:rFonts w:hint="eastAsia" w:ascii="仿宋" w:hAnsi="仿宋" w:eastAsia="仿宋" w:cs="仿宋"/>
                <w:bCs/>
                <w:sz w:val="24"/>
              </w:rPr>
              <w:t>（需提供在有效年检期内的车辆行驶证影印件，所有人名称与投标单位名称一致)</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71" w:type="dxa"/>
            <w:tcBorders>
              <w:left w:val="single" w:color="auto" w:sz="12" w:space="0"/>
            </w:tcBorders>
            <w:noWrap w:val="0"/>
            <w:vAlign w:val="center"/>
          </w:tcPr>
          <w:p>
            <w:pPr>
              <w:widowControl/>
              <w:snapToGrid w:val="0"/>
              <w:spacing w:line="276" w:lineRule="auto"/>
              <w:rPr>
                <w:rFonts w:ascii="仿宋" w:hAnsi="仿宋" w:eastAsia="仿宋" w:cs="仿宋"/>
                <w:b/>
                <w:position w:val="-30"/>
                <w:sz w:val="24"/>
              </w:rPr>
            </w:pPr>
            <w:r>
              <w:rPr>
                <w:rFonts w:hint="eastAsia" w:ascii="仿宋" w:hAnsi="仿宋" w:eastAsia="仿宋" w:cs="仿宋"/>
                <w:b/>
                <w:position w:val="-30"/>
                <w:sz w:val="24"/>
              </w:rPr>
              <w:t>人员配备</w:t>
            </w:r>
          </w:p>
        </w:tc>
        <w:tc>
          <w:tcPr>
            <w:tcW w:w="6870" w:type="dxa"/>
            <w:noWrap w:val="0"/>
            <w:vAlign w:val="center"/>
          </w:tcPr>
          <w:p>
            <w:pPr>
              <w:spacing w:line="276" w:lineRule="auto"/>
              <w:rPr>
                <w:rFonts w:hint="eastAsia" w:ascii="仿宋" w:hAnsi="仿宋" w:eastAsia="仿宋" w:cs="仿宋"/>
                <w:bCs/>
                <w:sz w:val="24"/>
                <w:lang w:eastAsia="zh-CN"/>
              </w:rPr>
            </w:pPr>
            <w:r>
              <w:rPr>
                <w:rFonts w:hint="eastAsia" w:ascii="仿宋" w:hAnsi="仿宋" w:eastAsia="仿宋" w:cs="仿宋"/>
                <w:bCs/>
                <w:sz w:val="24"/>
              </w:rPr>
              <w:t>1、具有泵站或闸门运行工职业资格证书（或取得相关职业资格培训合格证明）的人数40人得1分，每增加1人得0.5分，最高得5分</w:t>
            </w:r>
            <w:r>
              <w:rPr>
                <w:rFonts w:hint="eastAsia" w:ascii="仿宋" w:hAnsi="仿宋" w:eastAsia="仿宋" w:cs="仿宋"/>
                <w:bCs/>
                <w:sz w:val="24"/>
                <w:lang w:eastAsia="zh-CN"/>
              </w:rPr>
              <w:t>。</w:t>
            </w:r>
          </w:p>
          <w:p>
            <w:pPr>
              <w:spacing w:line="276" w:lineRule="auto"/>
              <w:rPr>
                <w:rFonts w:hint="eastAsia" w:ascii="仿宋" w:hAnsi="仿宋" w:eastAsia="仿宋" w:cs="仿宋"/>
                <w:bCs/>
                <w:sz w:val="24"/>
                <w:lang w:eastAsia="zh-CN"/>
              </w:rPr>
            </w:pPr>
            <w:r>
              <w:rPr>
                <w:rFonts w:hint="eastAsia" w:ascii="仿宋" w:hAnsi="仿宋" w:eastAsia="仿宋" w:cs="仿宋"/>
                <w:bCs/>
                <w:sz w:val="24"/>
              </w:rPr>
              <w:t>2、具有应急管理部门颁发的高压电工证</w:t>
            </w:r>
            <w:r>
              <w:rPr>
                <w:rFonts w:hint="eastAsia" w:ascii="仿宋" w:hAnsi="仿宋" w:eastAsia="仿宋" w:cs="仿宋"/>
                <w:bCs/>
                <w:sz w:val="24"/>
                <w:lang w:val="en-US" w:eastAsia="zh-CN"/>
              </w:rPr>
              <w:t>或</w:t>
            </w:r>
            <w:r>
              <w:rPr>
                <w:rFonts w:hint="eastAsia" w:ascii="仿宋" w:hAnsi="仿宋" w:eastAsia="仿宋" w:cs="仿宋"/>
                <w:bCs/>
                <w:sz w:val="24"/>
              </w:rPr>
              <w:t>原国家电监会或安监局或能源局颁发的高压电工证书的人数10人（建筑施工类的电工证视为无效证书）得1分，每增加1人得0.5分，最高得3分</w:t>
            </w:r>
            <w:r>
              <w:rPr>
                <w:rFonts w:hint="eastAsia" w:ascii="仿宋" w:hAnsi="仿宋" w:eastAsia="仿宋" w:cs="仿宋"/>
                <w:bCs/>
                <w:sz w:val="24"/>
                <w:lang w:eastAsia="zh-CN"/>
              </w:rPr>
              <w:t>。</w:t>
            </w:r>
          </w:p>
          <w:p>
            <w:pPr>
              <w:spacing w:line="276" w:lineRule="auto"/>
              <w:rPr>
                <w:rFonts w:hint="eastAsia" w:ascii="仿宋" w:hAnsi="仿宋" w:eastAsia="仿宋" w:cs="仿宋"/>
                <w:bCs/>
                <w:sz w:val="24"/>
              </w:rPr>
            </w:pPr>
            <w:r>
              <w:rPr>
                <w:rFonts w:hint="eastAsia" w:ascii="仿宋" w:hAnsi="仿宋" w:eastAsia="仿宋" w:cs="仿宋"/>
                <w:bCs/>
                <w:sz w:val="24"/>
              </w:rPr>
              <w:t>3、具有电气值班员、河道修防工、水工监测工、起重设备操作工、水电自动装置检修工、绿化养护工、工程测量工、泵站机电设备维修工、机械检修工证书1个类别得0.5分，最多得4分。</w:t>
            </w:r>
          </w:p>
          <w:p>
            <w:pPr>
              <w:pStyle w:val="32"/>
              <w:rPr>
                <w:rFonts w:hint="eastAsia" w:ascii="仿宋" w:hAnsi="仿宋" w:eastAsia="仿宋" w:cs="仿宋"/>
                <w:bCs/>
                <w:sz w:val="24"/>
              </w:rPr>
            </w:pPr>
            <w:r>
              <w:rPr>
                <w:rFonts w:hint="eastAsia" w:ascii="仿宋" w:hAnsi="仿宋" w:eastAsia="仿宋" w:cs="仿宋"/>
                <w:bCs/>
              </w:rPr>
              <w:t>4、</w:t>
            </w:r>
            <w:r>
              <w:rPr>
                <w:rFonts w:hint="eastAsia" w:ascii="仿宋" w:hAnsi="仿宋" w:eastAsia="仿宋" w:cs="仿宋"/>
                <w:bCs/>
                <w:sz w:val="24"/>
              </w:rPr>
              <w:t>具有水利安全员C类考核证书得1分。</w:t>
            </w:r>
          </w:p>
          <w:p>
            <w:pPr>
              <w:pStyle w:val="32"/>
              <w:rPr>
                <w:rFonts w:ascii="仿宋" w:hAnsi="仿宋" w:eastAsia="仿宋" w:cs="仿宋"/>
                <w:bCs/>
                <w:sz w:val="24"/>
              </w:rPr>
            </w:pPr>
            <w:r>
              <w:rPr>
                <w:rFonts w:hint="eastAsia" w:ascii="仿宋" w:hAnsi="仿宋" w:eastAsia="仿宋" w:cs="仿宋"/>
                <w:bCs/>
                <w:sz w:val="24"/>
              </w:rPr>
              <w:t>5、具有园林或者绿化相关专业高级职称的得1分。</w:t>
            </w:r>
          </w:p>
          <w:p>
            <w:pPr>
              <w:spacing w:line="276" w:lineRule="auto"/>
              <w:rPr>
                <w:rFonts w:hint="eastAsia" w:ascii="仿宋" w:hAnsi="仿宋" w:eastAsia="仿宋" w:cs="仿宋"/>
              </w:rPr>
            </w:pPr>
            <w:r>
              <w:rPr>
                <w:rFonts w:hint="eastAsia" w:ascii="仿宋" w:hAnsi="仿宋" w:eastAsia="仿宋" w:cs="仿宋"/>
                <w:bCs/>
                <w:sz w:val="24"/>
              </w:rPr>
              <w:t>6、项目拟派人员学历要求：具备水利或机电相关专业大专及以上学历15人得2分，每增加大专及以上学历（不限专业）1人得0.5分，最高得6分。</w:t>
            </w:r>
          </w:p>
        </w:tc>
        <w:tc>
          <w:tcPr>
            <w:tcW w:w="907" w:type="dxa"/>
            <w:tcBorders>
              <w:right w:val="single" w:color="auto" w:sz="12" w:space="0"/>
            </w:tcBorders>
            <w:noWrap w:val="0"/>
            <w:vAlign w:val="center"/>
          </w:tcPr>
          <w:p>
            <w:pPr>
              <w:spacing w:line="276" w:lineRule="auto"/>
              <w:jc w:val="center"/>
              <w:rPr>
                <w:rFonts w:ascii="仿宋" w:hAnsi="仿宋" w:eastAsia="仿宋" w:cs="仿宋"/>
                <w:sz w:val="24"/>
              </w:rPr>
            </w:pPr>
            <w:r>
              <w:rPr>
                <w:rFonts w:hint="eastAsia" w:ascii="仿宋" w:hAnsi="仿宋" w:eastAsia="仿宋" w:cs="仿宋"/>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41" w:type="dxa"/>
            <w:gridSpan w:val="2"/>
            <w:tcBorders>
              <w:left w:val="single" w:color="auto" w:sz="12" w:space="0"/>
            </w:tcBorders>
            <w:noWrap w:val="0"/>
            <w:vAlign w:val="center"/>
          </w:tcPr>
          <w:p>
            <w:pPr>
              <w:spacing w:line="276" w:lineRule="auto"/>
              <w:rPr>
                <w:rFonts w:hint="eastAsia" w:ascii="仿宋" w:hAnsi="仿宋" w:eastAsia="仿宋" w:cs="仿宋"/>
                <w:sz w:val="24"/>
              </w:rPr>
            </w:pPr>
            <w:r>
              <w:rPr>
                <w:rFonts w:hint="eastAsia" w:ascii="仿宋" w:hAnsi="仿宋" w:eastAsia="仿宋" w:cs="仿宋"/>
                <w:b/>
                <w:bCs/>
                <w:sz w:val="24"/>
              </w:rPr>
              <w:t>技术</w:t>
            </w:r>
            <w:r>
              <w:rPr>
                <w:rFonts w:hint="eastAsia" w:ascii="仿宋" w:hAnsi="仿宋" w:eastAsia="仿宋" w:cs="仿宋"/>
                <w:b/>
                <w:sz w:val="24"/>
              </w:rPr>
              <w:t>部分得分小计</w:t>
            </w:r>
          </w:p>
        </w:tc>
        <w:tc>
          <w:tcPr>
            <w:tcW w:w="907" w:type="dxa"/>
            <w:tcBorders>
              <w:right w:val="single" w:color="auto" w:sz="12" w:space="0"/>
            </w:tcBorders>
            <w:noWrap w:val="0"/>
            <w:vAlign w:val="center"/>
          </w:tcPr>
          <w:p>
            <w:pPr>
              <w:spacing w:line="276" w:lineRule="auto"/>
              <w:jc w:val="center"/>
              <w:rPr>
                <w:rFonts w:hint="eastAsia" w:ascii="仿宋" w:hAnsi="仿宋" w:eastAsia="仿宋" w:cs="仿宋"/>
                <w:sz w:val="24"/>
              </w:rPr>
            </w:pPr>
            <w:r>
              <w:rPr>
                <w:rFonts w:hint="eastAsia" w:ascii="仿宋" w:hAnsi="仿宋" w:eastAsia="仿宋" w:cs="仿宋"/>
                <w:sz w:val="24"/>
              </w:rPr>
              <w:t>58分</w:t>
            </w:r>
          </w:p>
        </w:tc>
      </w:tr>
    </w:tbl>
    <w:p>
      <w:pPr>
        <w:rPr>
          <w:rFonts w:hint="eastAsia" w:ascii="仿宋" w:hAnsi="仿宋" w:eastAsia="仿宋" w:cs="仿宋"/>
          <w:sz w:val="24"/>
        </w:rPr>
      </w:pPr>
      <w:r>
        <w:rPr>
          <w:rFonts w:hint="eastAsia" w:ascii="仿宋" w:hAnsi="仿宋" w:eastAsia="仿宋" w:cs="仿宋"/>
          <w:b/>
          <w:sz w:val="24"/>
        </w:rPr>
        <w:t xml:space="preserve"> 综合得分=A+B+C</w:t>
      </w:r>
    </w:p>
    <w:p>
      <w:pPr>
        <w:pStyle w:val="26"/>
        <w:rPr>
          <w:rFonts w:hint="eastAsia" w:ascii="仿宋" w:hAnsi="仿宋" w:eastAsia="仿宋" w:cs="仿宋"/>
          <w:b/>
          <w:sz w:val="24"/>
          <w:szCs w:val="24"/>
        </w:rPr>
      </w:pPr>
      <w:r>
        <w:rPr>
          <w:rFonts w:hint="eastAsia" w:ascii="仿宋" w:hAnsi="仿宋" w:eastAsia="仿宋" w:cs="仿宋"/>
          <w:b/>
          <w:sz w:val="24"/>
          <w:szCs w:val="24"/>
        </w:rPr>
        <w:t>23．评标内容的保密</w:t>
      </w:r>
    </w:p>
    <w:p>
      <w:pPr>
        <w:pStyle w:val="26"/>
        <w:ind w:left="-1"/>
        <w:rPr>
          <w:rFonts w:hint="eastAsia" w:ascii="仿宋" w:hAnsi="仿宋" w:eastAsia="仿宋" w:cs="仿宋"/>
          <w:sz w:val="24"/>
          <w:szCs w:val="24"/>
        </w:rPr>
      </w:pPr>
      <w:r>
        <w:rPr>
          <w:rFonts w:hint="eastAsia" w:ascii="仿宋" w:hAnsi="仿宋" w:eastAsia="仿宋" w:cs="仿宋"/>
          <w:sz w:val="24"/>
          <w:szCs w:val="24"/>
        </w:rPr>
        <w:t>23.1公开开标后，直到宣布中标单位止，凡属于审查、澄清、评价和比较投标的所有资料及有关的信息，都不应向投标人或与评标无关的其他人泄漏。</w:t>
      </w:r>
    </w:p>
    <w:p>
      <w:pPr>
        <w:pStyle w:val="26"/>
        <w:rPr>
          <w:rFonts w:hint="eastAsia" w:ascii="仿宋" w:hAnsi="仿宋" w:eastAsia="仿宋" w:cs="仿宋"/>
          <w:sz w:val="24"/>
          <w:szCs w:val="24"/>
        </w:rPr>
      </w:pPr>
      <w:r>
        <w:rPr>
          <w:rFonts w:hint="eastAsia" w:ascii="仿宋" w:hAnsi="仿宋" w:eastAsia="仿宋" w:cs="仿宋"/>
          <w:sz w:val="24"/>
          <w:szCs w:val="24"/>
        </w:rPr>
        <w:t xml:space="preserve">23.2 在投标文件的审查、澄清、评价和比较以及确定入围单位过程中，投标人对采购单位和评标委员会施加影响的任何行为，都将导致取消资格。 </w:t>
      </w:r>
    </w:p>
    <w:p>
      <w:pPr>
        <w:pStyle w:val="26"/>
        <w:rPr>
          <w:rFonts w:hint="eastAsia" w:ascii="仿宋" w:hAnsi="仿宋" w:eastAsia="仿宋" w:cs="仿宋"/>
          <w:b/>
          <w:sz w:val="24"/>
          <w:szCs w:val="24"/>
        </w:rPr>
      </w:pPr>
      <w:r>
        <w:rPr>
          <w:rFonts w:hint="eastAsia" w:ascii="仿宋" w:hAnsi="仿宋" w:eastAsia="仿宋" w:cs="仿宋"/>
          <w:b/>
          <w:sz w:val="24"/>
          <w:szCs w:val="24"/>
        </w:rPr>
        <w:t>24．投标文件的澄清</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对投标文件中含义不明、表述不一致或有明显计算错误等内容，评标委员会将对投标人进行询标，并要求投标人作出书面澄清；投标人的书面澄清，应由法定代表人或授权代表签字，作为投标文件的补充部分，但澄清的内容不得改变投标文件的实质性内容。</w:t>
      </w:r>
    </w:p>
    <w:p>
      <w:pPr>
        <w:pStyle w:val="26"/>
        <w:rPr>
          <w:rFonts w:hint="eastAsia" w:ascii="仿宋" w:hAnsi="仿宋" w:eastAsia="仿宋" w:cs="仿宋"/>
          <w:b/>
          <w:sz w:val="24"/>
          <w:szCs w:val="24"/>
        </w:rPr>
      </w:pPr>
      <w:r>
        <w:rPr>
          <w:rFonts w:hint="eastAsia" w:ascii="仿宋" w:hAnsi="仿宋" w:eastAsia="仿宋" w:cs="仿宋"/>
          <w:b/>
          <w:sz w:val="24"/>
          <w:szCs w:val="24"/>
        </w:rPr>
        <w:t>25．废标</w:t>
      </w:r>
    </w:p>
    <w:p>
      <w:pPr>
        <w:pStyle w:val="2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根据《中华人民共和国政府采购法》第三十六条之规定，在采购中，出现下列情况之一的，应予以废标：</w:t>
      </w:r>
    </w:p>
    <w:p>
      <w:pPr>
        <w:pStyle w:val="26"/>
        <w:rPr>
          <w:rFonts w:hint="eastAsia" w:ascii="仿宋" w:hAnsi="仿宋" w:eastAsia="仿宋" w:cs="仿宋"/>
          <w:b/>
          <w:bCs/>
          <w:sz w:val="24"/>
          <w:szCs w:val="24"/>
        </w:rPr>
      </w:pPr>
      <w:r>
        <w:rPr>
          <w:rFonts w:hint="eastAsia" w:ascii="仿宋" w:hAnsi="仿宋" w:eastAsia="仿宋" w:cs="仿宋"/>
          <w:b/>
          <w:bCs/>
          <w:sz w:val="24"/>
          <w:szCs w:val="24"/>
        </w:rPr>
        <w:t>（1）符合专业条件的服务商或者对招标文件作实质响应的服务商不足3家的；</w:t>
      </w:r>
    </w:p>
    <w:p>
      <w:pPr>
        <w:pStyle w:val="26"/>
        <w:rPr>
          <w:rFonts w:hint="eastAsia" w:ascii="仿宋" w:hAnsi="仿宋" w:eastAsia="仿宋" w:cs="仿宋"/>
          <w:b/>
          <w:bCs/>
          <w:sz w:val="24"/>
          <w:szCs w:val="24"/>
        </w:rPr>
      </w:pPr>
      <w:r>
        <w:rPr>
          <w:rFonts w:hint="eastAsia" w:ascii="仿宋" w:hAnsi="仿宋" w:eastAsia="仿宋" w:cs="仿宋"/>
          <w:b/>
          <w:bCs/>
          <w:sz w:val="24"/>
          <w:szCs w:val="24"/>
        </w:rPr>
        <w:t>（2）出现影响采购公正的违法、违规行为的；</w:t>
      </w:r>
    </w:p>
    <w:p>
      <w:pPr>
        <w:pStyle w:val="26"/>
        <w:rPr>
          <w:rFonts w:hint="eastAsia" w:ascii="仿宋" w:hAnsi="仿宋" w:eastAsia="仿宋" w:cs="仿宋"/>
          <w:b/>
          <w:bCs/>
          <w:sz w:val="24"/>
          <w:szCs w:val="24"/>
        </w:rPr>
      </w:pPr>
      <w:r>
        <w:rPr>
          <w:rFonts w:hint="eastAsia" w:ascii="仿宋" w:hAnsi="仿宋" w:eastAsia="仿宋" w:cs="仿宋"/>
          <w:b/>
          <w:bCs/>
          <w:sz w:val="24"/>
          <w:szCs w:val="24"/>
        </w:rPr>
        <w:t>（3）投标人的报价均超过了采购预算，采购人不能支付的；</w:t>
      </w:r>
    </w:p>
    <w:p>
      <w:pPr>
        <w:pStyle w:val="26"/>
        <w:rPr>
          <w:rFonts w:hint="eastAsia" w:ascii="仿宋" w:hAnsi="仿宋" w:eastAsia="仿宋" w:cs="仿宋"/>
          <w:b/>
          <w:bCs/>
          <w:sz w:val="24"/>
          <w:szCs w:val="24"/>
        </w:rPr>
      </w:pPr>
      <w:r>
        <w:rPr>
          <w:rFonts w:hint="eastAsia" w:ascii="仿宋" w:hAnsi="仿宋" w:eastAsia="仿宋" w:cs="仿宋"/>
          <w:b/>
          <w:bCs/>
          <w:sz w:val="24"/>
          <w:szCs w:val="24"/>
        </w:rPr>
        <w:t>（4）因重大变故，采购任务取消的。</w:t>
      </w:r>
    </w:p>
    <w:p>
      <w:pPr>
        <w:pStyle w:val="2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废标后，采购代理机构应当将废标理由通知所有投标人。</w:t>
      </w:r>
    </w:p>
    <w:p>
      <w:pPr>
        <w:pStyle w:val="26"/>
        <w:rPr>
          <w:rFonts w:hint="eastAsia" w:ascii="仿宋" w:hAnsi="仿宋" w:eastAsia="仿宋" w:cs="仿宋"/>
          <w:b/>
          <w:sz w:val="24"/>
          <w:szCs w:val="24"/>
        </w:rPr>
      </w:pPr>
      <w:r>
        <w:rPr>
          <w:rFonts w:hint="eastAsia" w:ascii="仿宋" w:hAnsi="仿宋" w:eastAsia="仿宋" w:cs="仿宋"/>
          <w:b/>
          <w:sz w:val="24"/>
          <w:szCs w:val="24"/>
        </w:rPr>
        <w:t>26．无效标</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投标文件有下列情况之一的，其投标文件作无效处理：</w:t>
      </w:r>
    </w:p>
    <w:p>
      <w:pPr>
        <w:pStyle w:val="26"/>
        <w:jc w:val="left"/>
        <w:rPr>
          <w:rFonts w:hint="eastAsia" w:ascii="仿宋" w:hAnsi="仿宋" w:eastAsia="仿宋" w:cs="仿宋"/>
          <w:sz w:val="24"/>
          <w:szCs w:val="24"/>
        </w:rPr>
      </w:pPr>
      <w:r>
        <w:rPr>
          <w:rFonts w:hint="eastAsia" w:ascii="仿宋" w:hAnsi="仿宋" w:eastAsia="仿宋" w:cs="仿宋"/>
          <w:sz w:val="24"/>
          <w:szCs w:val="24"/>
        </w:rPr>
        <w:t>（1）投标文件未按照招标文件要求签署、盖章的；</w:t>
      </w:r>
    </w:p>
    <w:p>
      <w:pPr>
        <w:pStyle w:val="26"/>
        <w:jc w:val="left"/>
        <w:rPr>
          <w:rFonts w:hint="eastAsia" w:ascii="仿宋" w:hAnsi="仿宋" w:eastAsia="仿宋" w:cs="仿宋"/>
          <w:sz w:val="24"/>
          <w:szCs w:val="24"/>
        </w:rPr>
      </w:pPr>
      <w:r>
        <w:rPr>
          <w:rFonts w:hint="eastAsia" w:ascii="仿宋" w:hAnsi="仿宋" w:eastAsia="仿宋" w:cs="仿宋"/>
          <w:sz w:val="24"/>
          <w:szCs w:val="24"/>
        </w:rPr>
        <w:t>（2）投标文件中法定代表人授权书所载内容与本项目内容有异的；</w:t>
      </w:r>
    </w:p>
    <w:p>
      <w:pPr>
        <w:pStyle w:val="26"/>
        <w:jc w:val="left"/>
        <w:rPr>
          <w:rFonts w:hint="eastAsia" w:ascii="仿宋" w:hAnsi="仿宋" w:eastAsia="仿宋" w:cs="仿宋"/>
          <w:sz w:val="24"/>
          <w:szCs w:val="24"/>
        </w:rPr>
      </w:pPr>
      <w:r>
        <w:rPr>
          <w:rFonts w:hint="eastAsia" w:ascii="仿宋" w:hAnsi="仿宋" w:eastAsia="仿宋" w:cs="仿宋"/>
          <w:sz w:val="24"/>
          <w:szCs w:val="24"/>
        </w:rPr>
        <w:t>（3）投标文件组成漏项或未按规定的格式编制，内容不全或内容字迹模糊辨认不清的；</w:t>
      </w:r>
    </w:p>
    <w:p>
      <w:pPr>
        <w:pStyle w:val="26"/>
        <w:jc w:val="left"/>
        <w:rPr>
          <w:rFonts w:hint="eastAsia" w:ascii="仿宋" w:hAnsi="仿宋" w:eastAsia="仿宋" w:cs="仿宋"/>
          <w:sz w:val="24"/>
          <w:szCs w:val="24"/>
        </w:rPr>
      </w:pPr>
      <w:r>
        <w:rPr>
          <w:rFonts w:hint="eastAsia" w:ascii="仿宋" w:hAnsi="仿宋" w:eastAsia="仿宋" w:cs="仿宋"/>
          <w:sz w:val="24"/>
          <w:szCs w:val="24"/>
        </w:rPr>
        <w:t>（4）投标人不具备投标资格的；</w:t>
      </w:r>
    </w:p>
    <w:p>
      <w:pPr>
        <w:pStyle w:val="26"/>
        <w:jc w:val="left"/>
        <w:rPr>
          <w:rFonts w:hint="eastAsia" w:ascii="仿宋" w:hAnsi="仿宋" w:eastAsia="仿宋" w:cs="仿宋"/>
          <w:sz w:val="24"/>
          <w:szCs w:val="24"/>
        </w:rPr>
      </w:pPr>
      <w:r>
        <w:rPr>
          <w:rFonts w:hint="eastAsia" w:ascii="仿宋" w:hAnsi="仿宋" w:eastAsia="仿宋" w:cs="仿宋"/>
          <w:sz w:val="24"/>
          <w:szCs w:val="24"/>
        </w:rPr>
        <w:t>（5）投标报价明显高于市场价或低于成本价，且不能提供书面证明材料说明原因的；</w:t>
      </w:r>
    </w:p>
    <w:p>
      <w:pPr>
        <w:pStyle w:val="26"/>
        <w:jc w:val="left"/>
        <w:rPr>
          <w:rFonts w:hint="eastAsia" w:ascii="仿宋" w:hAnsi="仿宋" w:eastAsia="仿宋" w:cs="仿宋"/>
          <w:sz w:val="24"/>
          <w:szCs w:val="24"/>
        </w:rPr>
      </w:pPr>
      <w:r>
        <w:rPr>
          <w:rFonts w:hint="eastAsia" w:ascii="仿宋" w:hAnsi="仿宋" w:eastAsia="仿宋" w:cs="仿宋"/>
          <w:sz w:val="24"/>
          <w:szCs w:val="24"/>
        </w:rPr>
        <w:t>（6）投标报价高于本项目采购预算的；</w:t>
      </w:r>
    </w:p>
    <w:p>
      <w:pPr>
        <w:pStyle w:val="26"/>
        <w:jc w:val="left"/>
        <w:rPr>
          <w:rFonts w:hint="eastAsia" w:ascii="仿宋" w:hAnsi="仿宋" w:eastAsia="仿宋" w:cs="仿宋"/>
          <w:sz w:val="24"/>
          <w:szCs w:val="24"/>
        </w:rPr>
      </w:pPr>
      <w:r>
        <w:rPr>
          <w:rFonts w:hint="eastAsia" w:ascii="仿宋" w:hAnsi="仿宋" w:eastAsia="仿宋" w:cs="仿宋"/>
          <w:sz w:val="24"/>
          <w:szCs w:val="24"/>
        </w:rPr>
        <w:t>（7）投标人未按招标文件变更通知编制投标文件的；</w:t>
      </w:r>
    </w:p>
    <w:p>
      <w:pPr>
        <w:pStyle w:val="26"/>
        <w:jc w:val="left"/>
        <w:rPr>
          <w:rFonts w:hint="eastAsia" w:ascii="仿宋" w:hAnsi="仿宋" w:eastAsia="仿宋" w:cs="仿宋"/>
          <w:sz w:val="24"/>
          <w:szCs w:val="24"/>
        </w:rPr>
      </w:pPr>
      <w:r>
        <w:rPr>
          <w:rFonts w:hint="eastAsia" w:ascii="仿宋" w:hAnsi="仿宋" w:eastAsia="仿宋" w:cs="仿宋"/>
          <w:sz w:val="24"/>
          <w:szCs w:val="24"/>
        </w:rPr>
        <w:t>（8）《投标（开标）一览表》和《投标报价明细清单》填写不完整或字迹不能辨认的；</w:t>
      </w:r>
    </w:p>
    <w:p>
      <w:pPr>
        <w:pStyle w:val="26"/>
        <w:jc w:val="left"/>
        <w:rPr>
          <w:rFonts w:hint="eastAsia" w:ascii="仿宋" w:hAnsi="仿宋" w:eastAsia="仿宋" w:cs="仿宋"/>
          <w:sz w:val="24"/>
          <w:szCs w:val="24"/>
        </w:rPr>
      </w:pPr>
      <w:r>
        <w:rPr>
          <w:rFonts w:hint="eastAsia" w:ascii="仿宋" w:hAnsi="仿宋" w:eastAsia="仿宋" w:cs="仿宋"/>
          <w:sz w:val="24"/>
          <w:szCs w:val="24"/>
        </w:rPr>
        <w:t>（9）经评标委员会审核，投标人所投内容不符合实质性采购要求的；</w:t>
      </w:r>
    </w:p>
    <w:p>
      <w:pPr>
        <w:pStyle w:val="26"/>
        <w:jc w:val="left"/>
        <w:rPr>
          <w:rFonts w:hint="eastAsia" w:ascii="仿宋" w:hAnsi="仿宋" w:eastAsia="仿宋" w:cs="仿宋"/>
          <w:sz w:val="24"/>
          <w:szCs w:val="24"/>
        </w:rPr>
      </w:pPr>
      <w:r>
        <w:rPr>
          <w:rFonts w:hint="eastAsia" w:ascii="仿宋" w:hAnsi="仿宋" w:eastAsia="仿宋" w:cs="仿宋"/>
          <w:sz w:val="24"/>
          <w:szCs w:val="24"/>
        </w:rPr>
        <w:t>（10）投标人拒绝按招标文件修正原则对投标文件进行修改的；</w:t>
      </w:r>
    </w:p>
    <w:p>
      <w:pPr>
        <w:pStyle w:val="26"/>
        <w:jc w:val="left"/>
        <w:rPr>
          <w:rFonts w:hint="eastAsia" w:ascii="仿宋" w:hAnsi="仿宋" w:eastAsia="仿宋" w:cs="仿宋"/>
          <w:sz w:val="24"/>
          <w:szCs w:val="24"/>
        </w:rPr>
      </w:pPr>
      <w:r>
        <w:rPr>
          <w:rFonts w:hint="eastAsia" w:ascii="仿宋" w:hAnsi="仿宋" w:eastAsia="仿宋" w:cs="仿宋"/>
          <w:sz w:val="24"/>
          <w:szCs w:val="24"/>
        </w:rPr>
        <w:t>（11）投标人提供虚假材料投标的；</w:t>
      </w:r>
    </w:p>
    <w:p>
      <w:pPr>
        <w:pStyle w:val="26"/>
        <w:jc w:val="left"/>
        <w:rPr>
          <w:rFonts w:hint="eastAsia" w:ascii="仿宋" w:hAnsi="仿宋" w:eastAsia="仿宋" w:cs="仿宋"/>
          <w:sz w:val="24"/>
          <w:szCs w:val="24"/>
        </w:rPr>
      </w:pPr>
      <w:r>
        <w:rPr>
          <w:rFonts w:hint="eastAsia" w:ascii="仿宋" w:hAnsi="仿宋" w:eastAsia="仿宋" w:cs="仿宋"/>
          <w:sz w:val="24"/>
          <w:szCs w:val="24"/>
        </w:rPr>
        <w:t>（12）经评标委员会审核，投标人的投标文件有类同或有串标嫌疑的。</w:t>
      </w:r>
    </w:p>
    <w:p>
      <w:pPr>
        <w:pStyle w:val="168"/>
        <w:snapToGrid w:val="0"/>
        <w:spacing w:before="0" w:line="360" w:lineRule="auto"/>
        <w:ind w:left="0" w:firstLine="0"/>
        <w:rPr>
          <w:rFonts w:hint="eastAsia" w:ascii="仿宋" w:hAnsi="仿宋" w:eastAsia="仿宋" w:cs="仿宋"/>
          <w:kern w:val="2"/>
          <w:sz w:val="24"/>
          <w:szCs w:val="24"/>
        </w:rPr>
      </w:pPr>
      <w:r>
        <w:rPr>
          <w:rFonts w:hint="eastAsia" w:ascii="仿宋" w:hAnsi="仿宋" w:eastAsia="仿宋" w:cs="仿宋"/>
          <w:kern w:val="2"/>
          <w:sz w:val="24"/>
          <w:szCs w:val="24"/>
        </w:rPr>
        <w:t>（13）不符合法律、法规和未实质性响应招标文件中带“▲”条款要求的投标文件</w:t>
      </w:r>
      <w:r>
        <w:rPr>
          <w:rFonts w:hint="eastAsia" w:ascii="仿宋" w:hAnsi="仿宋" w:eastAsia="仿宋" w:cs="仿宋"/>
          <w:sz w:val="24"/>
          <w:szCs w:val="24"/>
        </w:rPr>
        <w:t>。</w:t>
      </w:r>
    </w:p>
    <w:p>
      <w:pPr>
        <w:pStyle w:val="26"/>
        <w:jc w:val="center"/>
        <w:rPr>
          <w:rFonts w:hint="eastAsia" w:ascii="仿宋" w:hAnsi="仿宋" w:eastAsia="仿宋" w:cs="仿宋"/>
          <w:b/>
          <w:bCs/>
          <w:sz w:val="24"/>
          <w:szCs w:val="24"/>
        </w:rPr>
      </w:pPr>
      <w:r>
        <w:rPr>
          <w:rFonts w:hint="eastAsia" w:ascii="仿宋" w:hAnsi="仿宋" w:eastAsia="仿宋" w:cs="仿宋"/>
          <w:b/>
          <w:bCs/>
          <w:sz w:val="24"/>
          <w:szCs w:val="24"/>
        </w:rPr>
        <w:t>七、定标</w:t>
      </w:r>
    </w:p>
    <w:p>
      <w:pPr>
        <w:pStyle w:val="26"/>
        <w:rPr>
          <w:rFonts w:hint="eastAsia" w:ascii="仿宋" w:hAnsi="仿宋" w:eastAsia="仿宋" w:cs="仿宋"/>
          <w:b/>
          <w:sz w:val="24"/>
          <w:szCs w:val="24"/>
        </w:rPr>
      </w:pPr>
      <w:r>
        <w:rPr>
          <w:rFonts w:hint="eastAsia" w:ascii="仿宋" w:hAnsi="仿宋" w:eastAsia="仿宋" w:cs="仿宋"/>
          <w:b/>
          <w:sz w:val="24"/>
          <w:szCs w:val="24"/>
        </w:rPr>
        <w:t>27．定标</w:t>
      </w:r>
    </w:p>
    <w:p>
      <w:pPr>
        <w:pStyle w:val="26"/>
        <w:ind w:firstLine="480" w:firstLineChars="200"/>
        <w:rPr>
          <w:rFonts w:hint="eastAsia" w:ascii="仿宋" w:hAnsi="仿宋" w:eastAsia="仿宋" w:cs="仿宋"/>
          <w:b/>
          <w:bCs/>
          <w:sz w:val="24"/>
          <w:szCs w:val="24"/>
        </w:rPr>
      </w:pPr>
      <w:r>
        <w:rPr>
          <w:rFonts w:hint="eastAsia" w:ascii="仿宋" w:hAnsi="仿宋" w:eastAsia="仿宋" w:cs="仿宋"/>
          <w:sz w:val="24"/>
          <w:szCs w:val="24"/>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26"/>
        <w:ind w:firstLine="420"/>
        <w:jc w:val="center"/>
        <w:rPr>
          <w:rFonts w:hint="eastAsia" w:ascii="仿宋" w:hAnsi="仿宋" w:eastAsia="仿宋" w:cs="仿宋"/>
          <w:b/>
          <w:bCs/>
          <w:sz w:val="24"/>
          <w:szCs w:val="24"/>
        </w:rPr>
      </w:pPr>
      <w:r>
        <w:rPr>
          <w:rFonts w:hint="eastAsia" w:ascii="仿宋" w:hAnsi="仿宋" w:eastAsia="仿宋" w:cs="仿宋"/>
          <w:b/>
          <w:bCs/>
          <w:sz w:val="24"/>
          <w:szCs w:val="24"/>
        </w:rPr>
        <w:t>八、合同签订及其他</w:t>
      </w:r>
    </w:p>
    <w:p>
      <w:pPr>
        <w:pStyle w:val="26"/>
        <w:rPr>
          <w:rFonts w:hint="eastAsia" w:ascii="仿宋" w:hAnsi="仿宋" w:eastAsia="仿宋" w:cs="仿宋"/>
          <w:b/>
          <w:sz w:val="24"/>
          <w:szCs w:val="24"/>
        </w:rPr>
      </w:pPr>
      <w:r>
        <w:rPr>
          <w:rFonts w:hint="eastAsia" w:ascii="仿宋" w:hAnsi="仿宋" w:eastAsia="仿宋" w:cs="仿宋"/>
          <w:b/>
          <w:sz w:val="24"/>
          <w:szCs w:val="24"/>
        </w:rPr>
        <w:t>28．中标书</w:t>
      </w:r>
    </w:p>
    <w:p>
      <w:pPr>
        <w:pStyle w:val="26"/>
        <w:rPr>
          <w:rFonts w:hint="eastAsia" w:ascii="仿宋" w:hAnsi="仿宋" w:eastAsia="仿宋" w:cs="仿宋"/>
          <w:sz w:val="24"/>
          <w:szCs w:val="24"/>
        </w:rPr>
      </w:pPr>
      <w:r>
        <w:rPr>
          <w:rFonts w:hint="eastAsia" w:ascii="仿宋" w:hAnsi="仿宋" w:eastAsia="仿宋" w:cs="仿宋"/>
          <w:sz w:val="24"/>
          <w:szCs w:val="24"/>
        </w:rPr>
        <w:t>28.1确定中标人后，采购代理机构将在发布招标公告的网站上公布评标结果，并将中标结果在指定媒体上公示一个工作日，同时向中标供应商发出中标通知书。在采购代理机构发出中标通知书前，中标服务商有违反有关法律法规和本项目要求行为的，则取消该投标人的中标资格。</w:t>
      </w:r>
    </w:p>
    <w:p>
      <w:pPr>
        <w:pStyle w:val="26"/>
        <w:rPr>
          <w:rFonts w:hint="eastAsia" w:ascii="仿宋" w:hAnsi="仿宋" w:eastAsia="仿宋" w:cs="仿宋"/>
          <w:sz w:val="24"/>
          <w:szCs w:val="24"/>
        </w:rPr>
      </w:pPr>
      <w:r>
        <w:rPr>
          <w:rFonts w:hint="eastAsia" w:ascii="仿宋" w:hAnsi="仿宋" w:eastAsia="仿宋" w:cs="仿宋"/>
          <w:sz w:val="24"/>
          <w:szCs w:val="24"/>
        </w:rPr>
        <w:t>28.2投标人全部接受合同条件并签订合同后，中标通知书亦成为合同的组成部分。</w:t>
      </w:r>
    </w:p>
    <w:p>
      <w:pPr>
        <w:pStyle w:val="26"/>
        <w:rPr>
          <w:rFonts w:hint="eastAsia" w:ascii="仿宋" w:hAnsi="仿宋" w:eastAsia="仿宋" w:cs="仿宋"/>
          <w:sz w:val="24"/>
          <w:szCs w:val="24"/>
        </w:rPr>
      </w:pPr>
      <w:r>
        <w:rPr>
          <w:rFonts w:hint="eastAsia" w:ascii="仿宋" w:hAnsi="仿宋" w:eastAsia="仿宋" w:cs="仿宋"/>
          <w:sz w:val="24"/>
          <w:szCs w:val="24"/>
        </w:rPr>
        <w:t>28.3如中标人拒绝承担中标的项目，或提出采购单位不能接受的条件，致使合同无法签订，采购单位将取消其中标资格，并不再退还其投标保证金，考虑与下一次序中标候选人进行谈判或另行组织采购。</w:t>
      </w:r>
    </w:p>
    <w:p>
      <w:pPr>
        <w:pStyle w:val="26"/>
        <w:rPr>
          <w:rFonts w:hint="eastAsia" w:ascii="仿宋" w:hAnsi="仿宋" w:eastAsia="仿宋" w:cs="仿宋"/>
          <w:sz w:val="24"/>
          <w:szCs w:val="24"/>
        </w:rPr>
      </w:pPr>
      <w:r>
        <w:rPr>
          <w:rFonts w:hint="eastAsia" w:ascii="仿宋" w:hAnsi="仿宋" w:eastAsia="仿宋" w:cs="仿宋"/>
          <w:sz w:val="24"/>
          <w:szCs w:val="24"/>
        </w:rPr>
        <w:t>28.4在中标人签订合同并生效后，中标人即为服务商，采购代理机构及时将未中标的结果通知其他投标人。</w:t>
      </w:r>
    </w:p>
    <w:p>
      <w:pPr>
        <w:pStyle w:val="26"/>
        <w:rPr>
          <w:rFonts w:hint="eastAsia" w:ascii="仿宋" w:hAnsi="仿宋" w:eastAsia="仿宋" w:cs="仿宋"/>
          <w:sz w:val="24"/>
          <w:szCs w:val="24"/>
        </w:rPr>
      </w:pPr>
      <w:r>
        <w:rPr>
          <w:rFonts w:hint="eastAsia" w:ascii="仿宋" w:hAnsi="仿宋" w:eastAsia="仿宋" w:cs="仿宋"/>
          <w:sz w:val="24"/>
          <w:szCs w:val="24"/>
        </w:rPr>
        <w:t>28.5 如签订合同并生效后，服务商无故拒绝或延期，除按合同条款处罚外，列入不良行为记录一次，并给予通报。</w:t>
      </w:r>
    </w:p>
    <w:p>
      <w:pPr>
        <w:pStyle w:val="26"/>
        <w:rPr>
          <w:rFonts w:hint="eastAsia" w:ascii="仿宋" w:hAnsi="仿宋" w:eastAsia="仿宋" w:cs="仿宋"/>
          <w:sz w:val="24"/>
          <w:szCs w:val="24"/>
        </w:rPr>
      </w:pPr>
      <w:r>
        <w:rPr>
          <w:rFonts w:hint="eastAsia" w:ascii="仿宋" w:hAnsi="仿宋" w:eastAsia="仿宋" w:cs="仿宋"/>
          <w:sz w:val="24"/>
          <w:szCs w:val="24"/>
        </w:rPr>
        <w:t>29、中标人请在浙江政府采购网http：//www.zjzfcg.gov.cn进行免费注册，具体详见浙江政府采购网供应商注册要求。</w:t>
      </w:r>
    </w:p>
    <w:p>
      <w:pPr>
        <w:pStyle w:val="26"/>
        <w:rPr>
          <w:rFonts w:hint="eastAsia" w:ascii="仿宋" w:hAnsi="仿宋" w:eastAsia="仿宋" w:cs="仿宋"/>
          <w:sz w:val="24"/>
          <w:szCs w:val="24"/>
        </w:rPr>
      </w:pPr>
      <w:r>
        <w:rPr>
          <w:rFonts w:hint="eastAsia" w:ascii="仿宋" w:hAnsi="仿宋" w:eastAsia="仿宋" w:cs="仿宋"/>
          <w:sz w:val="24"/>
          <w:szCs w:val="24"/>
        </w:rPr>
        <w:t>30、中标人须在合同签订前在浙江省政府采购网上备案，具体见《关于印发浙江省政府供应商注册及诚信管理暂行办法通知》。</w:t>
      </w:r>
    </w:p>
    <w:p>
      <w:pPr>
        <w:pStyle w:val="26"/>
        <w:rPr>
          <w:rFonts w:hint="eastAsia" w:ascii="仿宋" w:hAnsi="仿宋" w:eastAsia="仿宋" w:cs="仿宋"/>
          <w:b/>
          <w:sz w:val="24"/>
          <w:szCs w:val="24"/>
        </w:rPr>
      </w:pPr>
      <w:r>
        <w:rPr>
          <w:rFonts w:hint="eastAsia" w:ascii="仿宋" w:hAnsi="仿宋" w:eastAsia="仿宋" w:cs="仿宋"/>
          <w:b/>
          <w:sz w:val="24"/>
          <w:szCs w:val="24"/>
        </w:rPr>
        <w:t>31．合同的签订</w:t>
      </w:r>
    </w:p>
    <w:p>
      <w:pPr>
        <w:pStyle w:val="26"/>
        <w:ind w:firstLine="480" w:firstLineChars="200"/>
        <w:rPr>
          <w:rFonts w:hint="eastAsia" w:ascii="仿宋" w:hAnsi="仿宋" w:eastAsia="仿宋" w:cs="仿宋"/>
          <w:sz w:val="24"/>
          <w:szCs w:val="24"/>
        </w:rPr>
      </w:pPr>
      <w:r>
        <w:rPr>
          <w:rFonts w:hint="eastAsia" w:ascii="仿宋" w:hAnsi="仿宋" w:eastAsia="仿宋" w:cs="仿宋"/>
          <w:sz w:val="24"/>
          <w:szCs w:val="24"/>
        </w:rPr>
        <w:t>中标人按规定的日期、时间、地点，由法定代表人或授权委托人与采购人代表签订合同。</w:t>
      </w:r>
    </w:p>
    <w:p>
      <w:pPr>
        <w:rPr>
          <w:rFonts w:hint="eastAsia" w:ascii="仿宋" w:hAnsi="仿宋" w:eastAsia="仿宋" w:cs="仿宋"/>
          <w:b/>
          <w:sz w:val="24"/>
        </w:rPr>
      </w:pPr>
      <w:r>
        <w:rPr>
          <w:rFonts w:hint="eastAsia" w:ascii="仿宋" w:hAnsi="仿宋" w:eastAsia="仿宋" w:cs="仿宋"/>
          <w:b/>
          <w:sz w:val="24"/>
        </w:rPr>
        <w:t>32．履约保证金</w:t>
      </w:r>
    </w:p>
    <w:p>
      <w:pPr>
        <w:rPr>
          <w:rFonts w:hint="eastAsia" w:ascii="仿宋" w:hAnsi="仿宋" w:eastAsia="仿宋" w:cs="仿宋"/>
          <w:sz w:val="24"/>
        </w:rPr>
      </w:pPr>
      <w:r>
        <w:rPr>
          <w:rFonts w:hint="eastAsia" w:ascii="仿宋" w:hAnsi="仿宋" w:eastAsia="仿宋" w:cs="仿宋"/>
          <w:sz w:val="24"/>
        </w:rPr>
        <w:t>32. 1合同签订前由中标人支付合同总金额的1%作为履约保证金。项目服务期满后，服务良好、考核合格、交接验收完毕、且无廉政问题，履约保证金七个工作日内原额（无息）归还。</w:t>
      </w:r>
    </w:p>
    <w:p>
      <w:pPr>
        <w:rPr>
          <w:rFonts w:hint="eastAsia" w:ascii="仿宋" w:hAnsi="仿宋" w:eastAsia="仿宋" w:cs="仿宋"/>
          <w:sz w:val="24"/>
        </w:rPr>
      </w:pPr>
      <w:r>
        <w:rPr>
          <w:rFonts w:hint="eastAsia" w:ascii="仿宋" w:hAnsi="仿宋" w:eastAsia="仿宋" w:cs="仿宋"/>
          <w:sz w:val="24"/>
        </w:rPr>
        <w:t>32. 2 中标人如未按时交纳履约保证金，采购人有权撤销其中标资格，并根据评标委员会确定的中标候选人名单与下一顺序中标候选人商谈合同，或报请批准后另行采购。</w:t>
      </w:r>
    </w:p>
    <w:p>
      <w:pPr>
        <w:rPr>
          <w:rFonts w:hint="eastAsia" w:ascii="仿宋" w:hAnsi="仿宋" w:eastAsia="仿宋" w:cs="仿宋"/>
          <w:sz w:val="24"/>
        </w:rPr>
      </w:pPr>
      <w:r>
        <w:rPr>
          <w:rFonts w:hint="eastAsia" w:ascii="仿宋" w:hAnsi="仿宋" w:eastAsia="仿宋" w:cs="仿宋"/>
          <w:sz w:val="24"/>
        </w:rPr>
        <w:t>32. 3 履约保证金交纳至采购人指定账户。</w:t>
      </w:r>
    </w:p>
    <w:p>
      <w:pPr>
        <w:rPr>
          <w:rFonts w:hint="eastAsia" w:ascii="仿宋" w:hAnsi="仿宋" w:eastAsia="仿宋" w:cs="仿宋"/>
          <w:b/>
          <w:sz w:val="24"/>
        </w:rPr>
      </w:pPr>
      <w:r>
        <w:rPr>
          <w:rFonts w:hint="eastAsia" w:ascii="仿宋" w:hAnsi="仿宋" w:eastAsia="仿宋" w:cs="仿宋"/>
          <w:b/>
          <w:sz w:val="24"/>
        </w:rPr>
        <w:t>33.付款方式</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运维费按月支付，每月经考核合格后支付当月运维费的80%，剩余20%待</w:t>
      </w:r>
      <w:r>
        <w:rPr>
          <w:rFonts w:hint="eastAsia" w:ascii="仿宋" w:hAnsi="仿宋" w:eastAsia="仿宋" w:cs="仿宋"/>
          <w:sz w:val="24"/>
        </w:rPr>
        <w:t>服务期满</w:t>
      </w:r>
      <w:r>
        <w:rPr>
          <w:rFonts w:hint="eastAsia" w:ascii="仿宋" w:hAnsi="仿宋" w:eastAsia="仿宋" w:cs="仿宋"/>
          <w:sz w:val="24"/>
          <w:lang w:val="en-GB"/>
        </w:rPr>
        <w:t>考核</w:t>
      </w:r>
      <w:r>
        <w:rPr>
          <w:rFonts w:hint="eastAsia" w:ascii="仿宋" w:hAnsi="仿宋" w:eastAsia="仿宋" w:cs="仿宋"/>
          <w:sz w:val="24"/>
        </w:rPr>
        <w:t>合格</w:t>
      </w:r>
      <w:r>
        <w:rPr>
          <w:rFonts w:hint="eastAsia" w:ascii="仿宋" w:hAnsi="仿宋" w:eastAsia="仿宋" w:cs="仿宋"/>
          <w:sz w:val="24"/>
          <w:lang w:val="en-GB"/>
        </w:rPr>
        <w:t>后结算，中标人（承包人）必须出具符合财政要求的票据。每次款项支付7个工作日前，中标人需提供相应金额的财政部门认可的正规发票，提示采购人付款，否则采购人有权拒绝付款并不视为违约。</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付款按财政政策执行，因服务商未按合同履行维保任务或考核不合格以及不符合财政资金支付时间要求等原因造成不能及时付款的，采购方不承担责任。</w:t>
      </w:r>
    </w:p>
    <w:p>
      <w:pPr>
        <w:rPr>
          <w:rFonts w:hint="eastAsia" w:ascii="仿宋" w:hAnsi="仿宋" w:eastAsia="仿宋" w:cs="仿宋"/>
          <w:b/>
          <w:sz w:val="24"/>
        </w:rPr>
      </w:pPr>
      <w:r>
        <w:rPr>
          <w:rFonts w:hint="eastAsia" w:ascii="仿宋" w:hAnsi="仿宋" w:eastAsia="仿宋" w:cs="仿宋"/>
          <w:b/>
          <w:sz w:val="24"/>
        </w:rPr>
        <w:t>34．服务考核</w:t>
      </w:r>
    </w:p>
    <w:p>
      <w:pPr>
        <w:ind w:firstLine="480"/>
        <w:rPr>
          <w:rFonts w:hint="eastAsia" w:ascii="仿宋" w:hAnsi="仿宋" w:eastAsia="仿宋" w:cs="仿宋"/>
          <w:sz w:val="24"/>
        </w:rPr>
      </w:pPr>
      <w:r>
        <w:rPr>
          <w:rFonts w:hint="eastAsia" w:ascii="仿宋" w:hAnsi="仿宋" w:eastAsia="仿宋" w:cs="仿宋"/>
          <w:sz w:val="24"/>
        </w:rPr>
        <w:t>将按照《政府采购货物和服务采购投标管理办法》（中华人民共和国财政部第87号令）和《杭州市政府采购供应商监督考核暂行办法》（杭财购[2008]910号），对服务商进行考核，采购人不定期对合同的履约情况进行检查，发现弄虚作假，偷工减料，以次充好，达不到国家、行业有关标准和技术文件规定的，一经查实，采购人将视情况提请罚没履约保证金，终止合同，并给予通报，禁止其在一至三年内参与市本级政府采购活动，给采购人造成损失的，服务商须承担赔偿责任。</w:t>
      </w:r>
    </w:p>
    <w:p>
      <w:pPr>
        <w:rPr>
          <w:rFonts w:hint="eastAsia" w:ascii="仿宋" w:hAnsi="仿宋" w:eastAsia="仿宋" w:cs="仿宋"/>
          <w:b/>
          <w:sz w:val="24"/>
        </w:rPr>
      </w:pPr>
      <w:r>
        <w:rPr>
          <w:rFonts w:hint="eastAsia" w:ascii="仿宋" w:hAnsi="仿宋" w:eastAsia="仿宋" w:cs="仿宋"/>
          <w:b/>
          <w:sz w:val="24"/>
        </w:rPr>
        <w:t>35．采购方式变更</w:t>
      </w:r>
    </w:p>
    <w:p>
      <w:pPr>
        <w:rPr>
          <w:rFonts w:hint="eastAsia" w:ascii="仿宋" w:hAnsi="仿宋" w:eastAsia="仿宋" w:cs="仿宋"/>
          <w:sz w:val="24"/>
        </w:rPr>
      </w:pPr>
      <w:r>
        <w:rPr>
          <w:rFonts w:hint="eastAsia" w:ascii="仿宋" w:hAnsi="仿宋" w:eastAsia="仿宋" w:cs="仿宋"/>
          <w:sz w:val="24"/>
        </w:rPr>
        <w:t xml:space="preserve">    在符合资格的投标人不足规定数量或投标人提供的服务及其报价、服务承诺等不能满足采购人要求，以及招标过程中出现其他不正常情况时，经批准，采购单位将根据《政府采购货物和服务招标投标管理办法》（财政部第87号令）第四十三条之规定，重新选择合适的方式进行采购。</w:t>
      </w:r>
    </w:p>
    <w:p>
      <w:pPr>
        <w:jc w:val="center"/>
        <w:rPr>
          <w:rFonts w:hint="eastAsia" w:ascii="仿宋" w:hAnsi="仿宋" w:eastAsia="仿宋" w:cs="仿宋"/>
          <w:b/>
          <w:sz w:val="24"/>
        </w:rPr>
      </w:pPr>
      <w:r>
        <w:rPr>
          <w:rFonts w:hint="eastAsia" w:ascii="仿宋" w:hAnsi="仿宋" w:eastAsia="仿宋" w:cs="仿宋"/>
          <w:b/>
          <w:sz w:val="24"/>
        </w:rPr>
        <w:t>九、质疑与投诉</w:t>
      </w:r>
    </w:p>
    <w:p>
      <w:pPr>
        <w:pStyle w:val="78"/>
        <w:snapToGrid w:val="0"/>
        <w:spacing w:before="0" w:line="240" w:lineRule="auto"/>
        <w:ind w:firstLine="480"/>
        <w:rPr>
          <w:rFonts w:hint="eastAsia" w:ascii="仿宋" w:hAnsi="仿宋" w:eastAsia="仿宋" w:cs="仿宋"/>
          <w:szCs w:val="24"/>
          <w:lang w:val="zh-CN"/>
        </w:rPr>
      </w:pPr>
      <w:r>
        <w:rPr>
          <w:rFonts w:hint="eastAsia" w:ascii="仿宋" w:hAnsi="仿宋" w:eastAsia="仿宋" w:cs="仿宋"/>
          <w:szCs w:val="24"/>
          <w:lang w:val="zh-CN"/>
        </w:rPr>
        <w:t>根据《中华人民共和国政府采购法》、《财政部关于加强政府采购供应商投诉受理审查工作的通知》(财库〔2007〕1号)和《浙江省政府采购供应商质疑处理办法》（浙财采监[2012]18号）的规定，政府采购供应商可以依法提起质疑和投诉。</w:t>
      </w:r>
    </w:p>
    <w:p>
      <w:pPr>
        <w:pStyle w:val="78"/>
        <w:snapToGrid w:val="0"/>
        <w:spacing w:before="0" w:line="240" w:lineRule="auto"/>
        <w:ind w:firstLine="0" w:firstLineChars="0"/>
        <w:rPr>
          <w:rFonts w:hint="eastAsia" w:ascii="仿宋" w:hAnsi="仿宋" w:eastAsia="仿宋" w:cs="仿宋"/>
          <w:b/>
          <w:szCs w:val="24"/>
        </w:rPr>
      </w:pPr>
      <w:r>
        <w:rPr>
          <w:rFonts w:hint="eastAsia" w:ascii="仿宋" w:hAnsi="仿宋" w:eastAsia="仿宋" w:cs="仿宋"/>
          <w:b/>
          <w:szCs w:val="24"/>
        </w:rPr>
        <w:t>36.供应商询问</w:t>
      </w:r>
    </w:p>
    <w:p>
      <w:pPr>
        <w:pStyle w:val="78"/>
        <w:snapToGrid w:val="0"/>
        <w:spacing w:before="0" w:line="240" w:lineRule="auto"/>
        <w:ind w:firstLine="480"/>
        <w:rPr>
          <w:rFonts w:hint="eastAsia" w:ascii="仿宋" w:hAnsi="仿宋" w:eastAsia="仿宋" w:cs="仿宋"/>
          <w:szCs w:val="24"/>
          <w:lang w:val="zh-CN"/>
        </w:rPr>
      </w:pPr>
      <w:r>
        <w:rPr>
          <w:rFonts w:hint="eastAsia" w:ascii="仿宋" w:hAnsi="仿宋" w:eastAsia="仿宋" w:cs="仿宋"/>
          <w:szCs w:val="24"/>
        </w:rPr>
        <w:t>供应商对政府采购活动事项有疑问的，可以向采购机构提出询问，采购机构将在3个工作日内对供应商依法提出的询问作出答复，但答复的内容不得涉及商业秘密。</w:t>
      </w:r>
    </w:p>
    <w:p>
      <w:pPr>
        <w:pStyle w:val="78"/>
        <w:snapToGrid w:val="0"/>
        <w:spacing w:before="0" w:line="240" w:lineRule="auto"/>
        <w:ind w:firstLine="0" w:firstLineChars="0"/>
        <w:rPr>
          <w:rFonts w:hint="eastAsia" w:ascii="仿宋" w:hAnsi="仿宋" w:eastAsia="仿宋" w:cs="仿宋"/>
          <w:b/>
          <w:szCs w:val="24"/>
        </w:rPr>
      </w:pPr>
      <w:r>
        <w:rPr>
          <w:rFonts w:hint="eastAsia" w:ascii="仿宋" w:hAnsi="仿宋" w:eastAsia="仿宋" w:cs="仿宋"/>
          <w:b/>
          <w:szCs w:val="24"/>
        </w:rPr>
        <w:t>37.供应商质疑</w:t>
      </w:r>
    </w:p>
    <w:p>
      <w:pPr>
        <w:pStyle w:val="78"/>
        <w:snapToGrid w:val="0"/>
        <w:spacing w:before="0" w:line="240" w:lineRule="auto"/>
        <w:ind w:firstLine="0" w:firstLineChars="0"/>
        <w:rPr>
          <w:rFonts w:hint="eastAsia" w:ascii="仿宋" w:hAnsi="仿宋" w:eastAsia="仿宋" w:cs="仿宋"/>
          <w:b/>
          <w:szCs w:val="24"/>
        </w:rPr>
      </w:pPr>
      <w:r>
        <w:rPr>
          <w:rFonts w:hint="eastAsia" w:ascii="仿宋" w:hAnsi="仿宋" w:eastAsia="仿宋" w:cs="仿宋"/>
          <w:b/>
          <w:szCs w:val="24"/>
        </w:rPr>
        <w:t>37.1供应商认为招标文件、采购过程和中标、成交结果使自己的权益受到损害的，可以在知道或者应知其权益受到损害之日起七个工作日内，以书面形式向采购机构提出质疑。</w:t>
      </w:r>
    </w:p>
    <w:p>
      <w:pPr>
        <w:pStyle w:val="78"/>
        <w:snapToGrid w:val="0"/>
        <w:spacing w:before="0" w:line="240" w:lineRule="auto"/>
        <w:ind w:firstLine="0" w:firstLineChars="0"/>
        <w:rPr>
          <w:rFonts w:hint="eastAsia" w:ascii="仿宋" w:hAnsi="仿宋" w:eastAsia="仿宋" w:cs="仿宋"/>
          <w:b/>
          <w:bCs/>
          <w:szCs w:val="24"/>
        </w:rPr>
      </w:pPr>
      <w:r>
        <w:rPr>
          <w:rFonts w:hint="eastAsia" w:ascii="仿宋" w:hAnsi="仿宋" w:eastAsia="仿宋" w:cs="仿宋"/>
          <w:b/>
          <w:bCs/>
          <w:szCs w:val="24"/>
        </w:rPr>
        <w:t>37.1.1供应商如认为招标公告信息使自身的合法权益受到损害的，应于自招标公告发布之日起七个工作日内以书面形式向采购机构提出质疑；</w:t>
      </w:r>
    </w:p>
    <w:p>
      <w:pPr>
        <w:pStyle w:val="78"/>
        <w:snapToGrid w:val="0"/>
        <w:spacing w:before="0" w:line="240" w:lineRule="auto"/>
        <w:ind w:firstLine="0" w:firstLineChars="0"/>
        <w:rPr>
          <w:rFonts w:hint="eastAsia" w:ascii="仿宋" w:hAnsi="仿宋" w:eastAsia="仿宋" w:cs="仿宋"/>
          <w:b/>
          <w:bCs/>
          <w:szCs w:val="24"/>
        </w:rPr>
      </w:pPr>
      <w:r>
        <w:rPr>
          <w:rFonts w:hint="eastAsia" w:ascii="仿宋" w:hAnsi="仿宋" w:eastAsia="仿宋" w:cs="仿宋"/>
          <w:b/>
          <w:bCs/>
          <w:szCs w:val="24"/>
        </w:rPr>
        <w:t>37.1.2供应商如认为招标文件使自身的合法权益受到损害的，应于自获取招标文件之日起七个工作日内以书面形式向采购机构提出质疑（招标文件领取截止时间之后获取的，应于自招标文件领取截止时间之日起七个工作日内以书面形式向采购机构提出）；</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
          <w:bCs/>
          <w:szCs w:val="24"/>
        </w:rPr>
        <w:t>37.1.3供应商如认为采购过程和中标结果使自身的合法权益受到损害的，应于自中标结果公告之日起七个工作日内以书面形式向采购机构提出质疑。</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37.2供应商提交的质疑书需一式三份，由法定代表人签字（或盖章）并加盖单位公章。质疑书至少应包括下列主要内容：</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37.2.1质疑人的名称、地址、邮政编码、联系人、联系电话，以及被质疑人名称及联系方式；</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37.2.2被质疑采购项目名称、编号及采购内容；</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37.2.3具体的质疑事项及事实依据；</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37.2.4认为自己合法权益受到损害或可能受到损害的相关证据材料；</w:t>
      </w:r>
    </w:p>
    <w:p>
      <w:pPr>
        <w:pStyle w:val="78"/>
        <w:snapToGrid w:val="0"/>
        <w:spacing w:before="0" w:line="240" w:lineRule="auto"/>
        <w:ind w:firstLine="0" w:firstLineChars="0"/>
        <w:rPr>
          <w:rFonts w:hint="eastAsia" w:ascii="仿宋" w:hAnsi="仿宋" w:eastAsia="仿宋" w:cs="仿宋"/>
          <w:bCs/>
          <w:szCs w:val="24"/>
        </w:rPr>
      </w:pPr>
      <w:r>
        <w:rPr>
          <w:rFonts w:hint="eastAsia" w:ascii="仿宋" w:hAnsi="仿宋" w:eastAsia="仿宋" w:cs="仿宋"/>
          <w:bCs/>
          <w:szCs w:val="24"/>
        </w:rPr>
        <w:t>37.2.5提出质疑的日期。</w:t>
      </w:r>
    </w:p>
    <w:p>
      <w:pPr>
        <w:pStyle w:val="78"/>
        <w:snapToGrid w:val="0"/>
        <w:spacing w:before="0" w:line="240" w:lineRule="auto"/>
        <w:ind w:firstLine="0" w:firstLineChars="0"/>
        <w:rPr>
          <w:rFonts w:hint="eastAsia" w:ascii="仿宋" w:hAnsi="仿宋" w:eastAsia="仿宋" w:cs="仿宋"/>
          <w:szCs w:val="24"/>
        </w:rPr>
      </w:pPr>
      <w:r>
        <w:rPr>
          <w:rFonts w:hint="eastAsia" w:ascii="仿宋" w:hAnsi="仿宋" w:eastAsia="仿宋" w:cs="仿宋"/>
          <w:szCs w:val="24"/>
        </w:rPr>
        <w:t>37.3采购单位和采购代理机构应当在收到供应商的书面质疑后七个工作日内作出答复，并以书面形式通知质疑供应商和其他与质疑处理结果有利害关系的政府采购当事人，但答复的内容不得涉及商业秘密。</w:t>
      </w:r>
    </w:p>
    <w:p>
      <w:pPr>
        <w:pStyle w:val="78"/>
        <w:snapToGrid w:val="0"/>
        <w:spacing w:before="0" w:line="240" w:lineRule="auto"/>
        <w:ind w:firstLine="0" w:firstLineChars="0"/>
        <w:rPr>
          <w:rFonts w:hint="eastAsia" w:ascii="仿宋" w:hAnsi="仿宋" w:eastAsia="仿宋" w:cs="仿宋"/>
          <w:b/>
          <w:szCs w:val="24"/>
        </w:rPr>
      </w:pPr>
      <w:r>
        <w:rPr>
          <w:rFonts w:hint="eastAsia" w:ascii="仿宋" w:hAnsi="仿宋" w:eastAsia="仿宋" w:cs="仿宋"/>
          <w:b/>
          <w:szCs w:val="24"/>
        </w:rPr>
        <w:t>38.供应商投诉</w:t>
      </w:r>
    </w:p>
    <w:p>
      <w:pPr>
        <w:ind w:firstLine="600" w:firstLineChars="250"/>
        <w:rPr>
          <w:rFonts w:hint="eastAsia" w:ascii="仿宋" w:hAnsi="仿宋" w:eastAsia="仿宋" w:cs="仿宋"/>
          <w:sz w:val="24"/>
        </w:rPr>
      </w:pPr>
      <w:r>
        <w:rPr>
          <w:rFonts w:hint="eastAsia" w:ascii="仿宋" w:hAnsi="仿宋" w:eastAsia="仿宋" w:cs="仿宋"/>
          <w:sz w:val="24"/>
        </w:rPr>
        <w:t>质疑供应商对采购单位和采购代理机构的答复不满意或者采购机构未在规定的时间内作出答复的，可以在答复期满后十五个工作日内向同级政府采购监督管理部门提出投诉。</w:t>
      </w:r>
    </w:p>
    <w:p>
      <w:pPr>
        <w:rPr>
          <w:rFonts w:hint="eastAsia" w:ascii="仿宋" w:hAnsi="仿宋" w:eastAsia="仿宋" w:cs="仿宋"/>
          <w:b/>
          <w:sz w:val="24"/>
        </w:rPr>
      </w:pPr>
      <w:r>
        <w:rPr>
          <w:rFonts w:hint="eastAsia" w:ascii="仿宋" w:hAnsi="仿宋" w:eastAsia="仿宋" w:cs="仿宋"/>
          <w:b/>
          <w:sz w:val="24"/>
        </w:rPr>
        <w:t>39．解释权</w:t>
      </w:r>
    </w:p>
    <w:p>
      <w:pPr>
        <w:ind w:left="3119" w:leftChars="228" w:hanging="2640" w:hangingChars="1100"/>
        <w:rPr>
          <w:rFonts w:hint="eastAsia" w:ascii="仿宋" w:hAnsi="仿宋" w:eastAsia="仿宋" w:cs="仿宋"/>
          <w:kern w:val="0"/>
          <w:sz w:val="24"/>
        </w:rPr>
      </w:pPr>
      <w:r>
        <w:rPr>
          <w:rFonts w:hint="eastAsia" w:ascii="仿宋" w:hAnsi="仿宋" w:eastAsia="仿宋" w:cs="仿宋"/>
          <w:sz w:val="24"/>
        </w:rPr>
        <w:t>凡涉及本次招标文件的解释权均属于</w:t>
      </w:r>
      <w:r>
        <w:rPr>
          <w:rFonts w:hint="eastAsia" w:ascii="仿宋" w:hAnsi="仿宋" w:eastAsia="仿宋" w:cs="仿宋"/>
          <w:kern w:val="0"/>
          <w:sz w:val="24"/>
        </w:rPr>
        <w:t>浙江建友工程咨询有限公司。</w:t>
      </w:r>
    </w:p>
    <w:p>
      <w:pPr>
        <w:spacing w:line="440" w:lineRule="exact"/>
        <w:jc w:val="center"/>
        <w:rPr>
          <w:rFonts w:hint="eastAsia" w:ascii="仿宋" w:hAnsi="仿宋" w:eastAsia="仿宋" w:cs="仿宋"/>
          <w:sz w:val="24"/>
        </w:rPr>
      </w:pPr>
      <w:r>
        <w:rPr>
          <w:rFonts w:hint="eastAsia" w:ascii="仿宋" w:hAnsi="仿宋" w:eastAsia="仿宋" w:cs="仿宋"/>
          <w:b/>
          <w:sz w:val="36"/>
        </w:rPr>
        <w:br w:type="page"/>
      </w:r>
      <w:r>
        <w:rPr>
          <w:rFonts w:hint="eastAsia" w:ascii="仿宋" w:hAnsi="仿宋" w:eastAsia="仿宋" w:cs="仿宋"/>
          <w:b/>
          <w:sz w:val="36"/>
        </w:rPr>
        <w:t>第三章、项目技术规范和服务要求</w:t>
      </w:r>
    </w:p>
    <w:p>
      <w:pPr>
        <w:adjustRightInd w:val="0"/>
        <w:snapToGrid w:val="0"/>
        <w:ind w:firstLine="482" w:firstLineChars="200"/>
        <w:jc w:val="center"/>
        <w:outlineLvl w:val="0"/>
        <w:rPr>
          <w:rFonts w:hint="eastAsia" w:ascii="仿宋" w:hAnsi="仿宋" w:eastAsia="仿宋" w:cs="仿宋"/>
          <w:sz w:val="24"/>
        </w:rPr>
      </w:pPr>
      <w:bookmarkStart w:id="3" w:name="_Toc17375"/>
      <w:bookmarkStart w:id="4" w:name="_Toc386611778"/>
      <w:r>
        <w:rPr>
          <w:rFonts w:hint="eastAsia" w:ascii="仿宋" w:hAnsi="仿宋" w:eastAsia="仿宋" w:cs="仿宋"/>
          <w:b/>
          <w:bCs/>
          <w:sz w:val="24"/>
        </w:rPr>
        <w:t xml:space="preserve"> </w:t>
      </w:r>
      <w:bookmarkEnd w:id="3"/>
      <w:bookmarkEnd w:id="4"/>
    </w:p>
    <w:p>
      <w:pPr>
        <w:autoSpaceDE w:val="0"/>
        <w:autoSpaceDN w:val="0"/>
        <w:adjustRightInd w:val="0"/>
        <w:rPr>
          <w:rFonts w:hint="eastAsia" w:ascii="仿宋" w:hAnsi="仿宋" w:eastAsia="仿宋" w:cs="仿宋"/>
          <w:b/>
          <w:bCs/>
          <w:sz w:val="24"/>
        </w:rPr>
      </w:pPr>
      <w:r>
        <w:rPr>
          <w:rFonts w:hint="eastAsia" w:ascii="仿宋" w:hAnsi="仿宋" w:eastAsia="仿宋" w:cs="仿宋"/>
          <w:b/>
          <w:bCs/>
          <w:sz w:val="24"/>
        </w:rPr>
        <w:t>一、采购内容</w:t>
      </w:r>
    </w:p>
    <w:p>
      <w:pPr>
        <w:ind w:firstLine="480" w:firstLineChars="200"/>
        <w:rPr>
          <w:rFonts w:hint="eastAsia" w:ascii="仿宋" w:hAnsi="仿宋" w:eastAsia="仿宋" w:cs="仿宋"/>
          <w:sz w:val="24"/>
        </w:rPr>
      </w:pPr>
      <w:bookmarkStart w:id="5" w:name="OLE_LINK1"/>
      <w:r>
        <w:rPr>
          <w:rFonts w:hint="eastAsia" w:ascii="仿宋" w:hAnsi="仿宋" w:eastAsia="仿宋" w:cs="仿宋"/>
          <w:sz w:val="24"/>
        </w:rPr>
        <w:t>西湖区排灌泵闸站委托运维管理项目位于杭州市西湖区之江地区，通过政府购买服务的形式，委托专业的水利工程物业化服务公司按照水利工程标准化管理要求配足人员，加强运行管理和维护，健全闸泵站标准化管理长效机制，并充分发挥第三方的技术支撑作用，提升闸泵站运行管理专业化水平和管理效率，节约综合运行成本。</w:t>
      </w:r>
    </w:p>
    <w:p>
      <w:pPr>
        <w:ind w:firstLine="482" w:firstLineChars="200"/>
        <w:rPr>
          <w:rFonts w:hint="eastAsia" w:ascii="仿宋" w:hAnsi="仿宋" w:eastAsia="仿宋" w:cs="仿宋"/>
          <w:sz w:val="24"/>
        </w:rPr>
      </w:pPr>
      <w:r>
        <w:rPr>
          <w:rFonts w:hint="eastAsia" w:ascii="仿宋" w:hAnsi="仿宋" w:eastAsia="仿宋" w:cs="仿宋"/>
          <w:b/>
          <w:bCs/>
          <w:sz w:val="24"/>
        </w:rPr>
        <w:t>本项目采取项目部统筹制和分站负责制</w:t>
      </w:r>
      <w:r>
        <w:rPr>
          <w:rFonts w:hint="eastAsia" w:ascii="仿宋" w:hAnsi="仿宋" w:eastAsia="仿宋" w:cs="仿宋"/>
          <w:sz w:val="24"/>
        </w:rPr>
        <w:t>。设立1个项目部，由项目负责人、技术负责人和其他项目管理人员组成；下设7个分站，分别为1、九溪水闸（兼村口闸、龙心闸、珊瑚沙河闸、二轻浦配水机埠），2、四五排灌站（兼大刀沙排涝站），3、赤通浦排涝站，4、白茅湖排灌站，5、三阳排灌站（兼四号浦排灌站、四号浦节制闸、三号浦节制闸），6、社井泵站及水闸，7、其他小机埠，7个分站各设立1名分站长。</w:t>
      </w:r>
    </w:p>
    <w:p>
      <w:pPr>
        <w:ind w:firstLine="482" w:firstLineChars="200"/>
        <w:rPr>
          <w:rFonts w:hint="eastAsia" w:ascii="仿宋" w:hAnsi="仿宋" w:eastAsia="仿宋" w:cs="仿宋"/>
          <w:sz w:val="24"/>
        </w:rPr>
      </w:pPr>
      <w:r>
        <w:rPr>
          <w:rFonts w:hint="eastAsia" w:ascii="仿宋" w:hAnsi="仿宋" w:eastAsia="仿宋" w:cs="仿宋"/>
          <w:b/>
          <w:sz w:val="24"/>
        </w:rPr>
        <w:t>本项目运维范围为</w:t>
      </w:r>
      <w:r>
        <w:rPr>
          <w:rFonts w:hint="eastAsia" w:ascii="仿宋" w:hAnsi="仿宋" w:eastAsia="仿宋" w:cs="仿宋"/>
          <w:sz w:val="24"/>
        </w:rPr>
        <w:t>：九溪水闸、大刀沙泵站、四五排灌站、赤通浦排涝站、白茅湖排灌站、四号浦排灌站、三阳排灌站、社井泵站、社井水闸等七站二闸水利工程站区、管理范围及保护范围，以及受委托运行管理的33个小机埠站区管理范围。具体的33个小机埠为：村口闸、龙心闸、珊瑚沙河闸、四号浦节制闸、三号浦节制闸、金马龙潭闸、新渡浦闸、二轻浦配水机埠、潘家浦机埠、周家埭浦机埠、青字号浦机埠、仓库浦东机埠、仓库浦西机埠、袁家浦机埠、老盘头机埠、俞家盘头机埠、吴家盘头机埠、老坎盘头机埠、静寺浦机埠、龙池盘头机埠、新浦沿盘头机埠、十里横浦机埠、张家埭机埠、金家弄机埠、七号桥边机埠、小江排涝站、六号浦小闸、新沙排涝站、新沙小闸、新渡埠排涝站、小沟排涝站、小沟配水机埠和老塘水闸、新盘头机埠共33个机埠水闸的站区管理范围。各主要泵闸站水利工程等别、规模及管理范围等指标如下：</w:t>
      </w:r>
    </w:p>
    <w:tbl>
      <w:tblPr>
        <w:tblStyle w:val="4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850"/>
        <w:gridCol w:w="1276"/>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
                <w:sz w:val="24"/>
              </w:rPr>
              <w:t>工程名称</w:t>
            </w:r>
          </w:p>
        </w:tc>
        <w:tc>
          <w:tcPr>
            <w:tcW w:w="850" w:type="dxa"/>
            <w:noWrap w:val="0"/>
            <w:vAlign w:val="center"/>
          </w:tcPr>
          <w:p>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
                <w:sz w:val="24"/>
              </w:rPr>
              <w:t>等别</w:t>
            </w:r>
          </w:p>
        </w:tc>
        <w:tc>
          <w:tcPr>
            <w:tcW w:w="1276" w:type="dxa"/>
            <w:noWrap w:val="0"/>
            <w:vAlign w:val="center"/>
          </w:tcPr>
          <w:p>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
                <w:sz w:val="24"/>
              </w:rPr>
              <w:t>规模</w:t>
            </w:r>
          </w:p>
        </w:tc>
        <w:tc>
          <w:tcPr>
            <w:tcW w:w="1276" w:type="dxa"/>
            <w:noWrap w:val="0"/>
            <w:vAlign w:val="center"/>
          </w:tcPr>
          <w:p>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
                <w:sz w:val="24"/>
              </w:rPr>
              <w:t>主要指标</w:t>
            </w:r>
          </w:p>
        </w:tc>
        <w:tc>
          <w:tcPr>
            <w:tcW w:w="2835" w:type="dxa"/>
            <w:noWrap w:val="0"/>
            <w:vAlign w:val="center"/>
          </w:tcPr>
          <w:p>
            <w:pPr>
              <w:adjustRightInd w:val="0"/>
              <w:snapToGrid w:val="0"/>
              <w:spacing w:line="560" w:lineRule="exact"/>
              <w:jc w:val="center"/>
              <w:rPr>
                <w:rFonts w:hint="eastAsia" w:ascii="仿宋" w:hAnsi="仿宋" w:eastAsia="仿宋" w:cs="仿宋"/>
                <w:b/>
                <w:sz w:val="24"/>
              </w:rPr>
            </w:pPr>
            <w:r>
              <w:rPr>
                <w:rFonts w:hint="eastAsia" w:ascii="仿宋" w:hAnsi="仿宋" w:eastAsia="仿宋" w:cs="仿宋"/>
                <w:b/>
                <w:sz w:val="24"/>
              </w:rPr>
              <w:t>管理及保护范围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九溪水闸</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III</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中型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325m³/s</w:t>
            </w:r>
          </w:p>
        </w:tc>
        <w:tc>
          <w:tcPr>
            <w:tcW w:w="2835" w:type="dxa"/>
            <w:vMerge w:val="restart"/>
            <w:noWrap w:val="0"/>
            <w:vAlign w:val="center"/>
          </w:tcPr>
          <w:p>
            <w:pPr>
              <w:adjustRightInd w:val="0"/>
              <w:snapToGrid w:val="0"/>
              <w:spacing w:line="560" w:lineRule="exact"/>
              <w:jc w:val="center"/>
              <w:rPr>
                <w:rFonts w:hint="eastAsia" w:ascii="仿宋" w:hAnsi="仿宋" w:eastAsia="仿宋" w:cs="仿宋"/>
                <w:szCs w:val="28"/>
              </w:rPr>
            </w:pPr>
            <w:r>
              <w:rPr>
                <w:rFonts w:hint="eastAsia" w:ascii="仿宋" w:hAnsi="仿宋" w:eastAsia="仿宋" w:cs="仿宋"/>
                <w:szCs w:val="28"/>
              </w:rPr>
              <w:t>管理范围为主体工程</w:t>
            </w:r>
            <w:r>
              <w:rPr>
                <w:rFonts w:hint="eastAsia" w:ascii="仿宋" w:hAnsi="仿宋" w:eastAsia="仿宋" w:cs="仿宋"/>
              </w:rPr>
              <w:t>向上、下游各延伸200m，左右侧边墩翼墙起各向外延伸70m</w:t>
            </w:r>
            <w:r>
              <w:rPr>
                <w:rFonts w:hint="eastAsia" w:ascii="仿宋" w:hAnsi="仿宋" w:eastAsia="仿宋" w:cs="仿宋"/>
                <w:szCs w:val="28"/>
              </w:rPr>
              <w:t>的地带</w:t>
            </w:r>
            <w:r>
              <w:rPr>
                <w:rFonts w:hint="eastAsia" w:ascii="仿宋" w:hAnsi="仿宋" w:eastAsia="仿宋" w:cs="仿宋"/>
                <w:sz w:val="24"/>
              </w:rPr>
              <w:t>，</w:t>
            </w:r>
            <w:r>
              <w:rPr>
                <w:rFonts w:hint="eastAsia" w:ascii="仿宋" w:hAnsi="仿宋" w:eastAsia="仿宋" w:cs="仿宋"/>
                <w:szCs w:val="28"/>
              </w:rPr>
              <w:t>保护范围为管理范围以外20m的地带</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四五排灌站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III</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中型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30 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白茅湖排灌站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III</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中型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23 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赤通浦排涝站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III</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中型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40.5 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三阳排灌站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IV</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小(1)型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9.31 m³/s</w:t>
            </w:r>
          </w:p>
        </w:tc>
        <w:tc>
          <w:tcPr>
            <w:tcW w:w="2835" w:type="dxa"/>
            <w:vMerge w:val="restart"/>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Cs w:val="28"/>
              </w:rPr>
              <w:t>管理范围为主体工程向上、下游各延伸100m，左右侧边墩翼墙起各向外延伸30m的地带；保护范围为管理范围以外20m的地带</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社井泵站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IV</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小(1)型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6m³/s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四号浦排灌站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IV</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小(1)型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3m³/s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社井水闸</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IV</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小(1)型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98 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 w:hRule="atLeast"/>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大刀沙泵站</w:t>
            </w:r>
          </w:p>
        </w:tc>
        <w:tc>
          <w:tcPr>
            <w:tcW w:w="850"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IV</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小(1)型</w:t>
            </w:r>
          </w:p>
        </w:tc>
        <w:tc>
          <w:tcPr>
            <w:tcW w:w="1276"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2m³/s</w:t>
            </w:r>
          </w:p>
        </w:tc>
        <w:tc>
          <w:tcPr>
            <w:tcW w:w="2835" w:type="dxa"/>
            <w:vMerge w:val="continue"/>
            <w:noWrap w:val="0"/>
            <w:vAlign w:val="center"/>
          </w:tcPr>
          <w:p>
            <w:pPr>
              <w:adjustRightInd w:val="0"/>
              <w:snapToGrid w:val="0"/>
              <w:spacing w:line="5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3" w:type="dxa"/>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33个小机埠</w:t>
            </w:r>
          </w:p>
        </w:tc>
        <w:tc>
          <w:tcPr>
            <w:tcW w:w="6237" w:type="dxa"/>
            <w:gridSpan w:val="4"/>
            <w:noWrap w:val="0"/>
            <w:vAlign w:val="center"/>
          </w:tcPr>
          <w:p>
            <w:pPr>
              <w:adjustRightInd w:val="0"/>
              <w:snapToGrid w:val="0"/>
              <w:spacing w:line="560" w:lineRule="exact"/>
              <w:jc w:val="center"/>
              <w:rPr>
                <w:rFonts w:hint="eastAsia" w:ascii="仿宋" w:hAnsi="仿宋" w:eastAsia="仿宋" w:cs="仿宋"/>
                <w:sz w:val="24"/>
              </w:rPr>
            </w:pPr>
            <w:r>
              <w:rPr>
                <w:rFonts w:hint="eastAsia" w:ascii="仿宋" w:hAnsi="仿宋" w:eastAsia="仿宋" w:cs="仿宋"/>
                <w:sz w:val="24"/>
              </w:rPr>
              <w:t>主体建筑物及附属水工建筑物为管理范围，管理范围以外5米内为保护范围。</w:t>
            </w:r>
          </w:p>
        </w:tc>
      </w:tr>
    </w:tbl>
    <w:p>
      <w:pPr>
        <w:ind w:firstLine="480" w:firstLineChars="200"/>
        <w:rPr>
          <w:rFonts w:hint="eastAsia" w:ascii="仿宋" w:hAnsi="仿宋" w:eastAsia="仿宋" w:cs="仿宋"/>
          <w:sz w:val="24"/>
        </w:rPr>
      </w:pPr>
      <w:r>
        <w:rPr>
          <w:rFonts w:hint="eastAsia" w:ascii="仿宋" w:hAnsi="仿宋" w:eastAsia="仿宋" w:cs="仿宋"/>
          <w:sz w:val="24"/>
        </w:rPr>
        <w:t>如因政策原因或工程建设需要导致某处闸站不需要乙方继续运维的，甲方出具该闸站点中止运维通知书，相关费用按投标文件报价按实结算。</w:t>
      </w:r>
    </w:p>
    <w:p>
      <w:pPr>
        <w:ind w:firstLine="482" w:firstLineChars="200"/>
        <w:rPr>
          <w:rFonts w:hint="eastAsia" w:ascii="仿宋" w:hAnsi="仿宋" w:eastAsia="仿宋" w:cs="仿宋"/>
          <w:sz w:val="24"/>
        </w:rPr>
      </w:pPr>
      <w:r>
        <w:rPr>
          <w:rFonts w:hint="eastAsia" w:ascii="仿宋" w:hAnsi="仿宋" w:eastAsia="仿宋" w:cs="仿宋"/>
          <w:b/>
          <w:bCs/>
          <w:sz w:val="24"/>
        </w:rPr>
        <w:t>本项目所有工作由项目部统筹，各分站具体负责。项目部负责</w:t>
      </w:r>
      <w:r>
        <w:rPr>
          <w:rFonts w:hint="eastAsia" w:ascii="仿宋" w:hAnsi="仿宋" w:eastAsia="仿宋" w:cs="仿宋"/>
          <w:sz w:val="24"/>
        </w:rPr>
        <w:t>牵头制定年度、月度维养计划，牵头开展运行调度、维修养护、工程观测、工程检查、控制运用、安全生产、应急管理、技术支撑等工作，对各分站点运行管理情况开展监督检查和考核，统筹评估各分站运维成效。</w:t>
      </w:r>
      <w:r>
        <w:rPr>
          <w:rFonts w:hint="eastAsia" w:ascii="仿宋" w:hAnsi="仿宋" w:eastAsia="仿宋" w:cs="仿宋"/>
          <w:b/>
          <w:bCs/>
          <w:sz w:val="24"/>
        </w:rPr>
        <w:t>各分站负责</w:t>
      </w:r>
      <w:r>
        <w:rPr>
          <w:rFonts w:hint="eastAsia" w:ascii="仿宋" w:hAnsi="仿宋" w:eastAsia="仿宋" w:cs="仿宋"/>
          <w:sz w:val="24"/>
        </w:rPr>
        <w:t>所辖站区的操作运行、检查巡查、工程观测、维修养护、安全生产等具体工作，并对工程受益范围的成效进行日常检查，达到控运要求。具体内容包含但不限于操作运行、工程检查、工程观测、日常养护、维修抢修、应急保障、防汛防台抗旱、绿化保洁、安全保卫、疫情防控、防潮管理、办公物业、文档台帐、其他技术辅助类等工作。具体如下：</w:t>
      </w:r>
    </w:p>
    <w:p>
      <w:pPr>
        <w:ind w:firstLine="482" w:firstLineChars="200"/>
        <w:rPr>
          <w:rFonts w:hint="eastAsia" w:ascii="仿宋" w:hAnsi="仿宋" w:eastAsia="仿宋" w:cs="仿宋"/>
          <w:sz w:val="24"/>
        </w:rPr>
      </w:pPr>
      <w:r>
        <w:rPr>
          <w:rFonts w:hint="eastAsia" w:ascii="仿宋" w:hAnsi="仿宋" w:eastAsia="仿宋" w:cs="仿宋"/>
          <w:b/>
          <w:sz w:val="24"/>
        </w:rPr>
        <w:t>（一）操作运行</w:t>
      </w:r>
      <w:r>
        <w:rPr>
          <w:rFonts w:hint="eastAsia" w:ascii="仿宋" w:hAnsi="仿宋" w:eastAsia="仿宋" w:cs="仿宋"/>
          <w:sz w:val="24"/>
        </w:rPr>
        <w:t>主要是指委托范围内各个水利工程的水泵、闸门及启闭机操作运行、高低压电气设备及自动化控制系统操作运行，备用发电机的试运行和带负荷运行，应急排水车操作运行等。</w:t>
      </w:r>
    </w:p>
    <w:p>
      <w:pPr>
        <w:ind w:firstLine="482" w:firstLineChars="200"/>
        <w:rPr>
          <w:rFonts w:hint="eastAsia" w:ascii="仿宋" w:hAnsi="仿宋" w:eastAsia="仿宋" w:cs="仿宋"/>
          <w:sz w:val="24"/>
        </w:rPr>
      </w:pPr>
      <w:r>
        <w:rPr>
          <w:rFonts w:hint="eastAsia" w:ascii="仿宋" w:hAnsi="仿宋" w:eastAsia="仿宋" w:cs="仿宋"/>
          <w:b/>
          <w:sz w:val="24"/>
        </w:rPr>
        <w:t>（二）检查巡查</w:t>
      </w:r>
      <w:r>
        <w:rPr>
          <w:rFonts w:hint="eastAsia" w:ascii="仿宋" w:hAnsi="仿宋" w:eastAsia="仿宋" w:cs="仿宋"/>
          <w:sz w:val="24"/>
        </w:rPr>
        <w:t>主要指各水利工程日常检查、汛前汛中汛后检查、年度检查、特别检查和专项检查；及之江地区河道巡查等。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1、日常检查：委托范围内各水利工程的日常检查和巡查，满足水利工程标准化管理要求，遇到连续性强降雨、台风等灾害性天气或有危害闸泵站安全的突发性事件应加密检查巡查频次。</w:t>
      </w:r>
    </w:p>
    <w:p>
      <w:pPr>
        <w:pStyle w:val="32"/>
        <w:ind w:firstLine="480" w:firstLineChars="200"/>
        <w:rPr>
          <w:rFonts w:hint="eastAsia" w:ascii="仿宋" w:hAnsi="仿宋" w:eastAsia="仿宋" w:cs="仿宋"/>
          <w:sz w:val="24"/>
        </w:rPr>
      </w:pPr>
      <w:r>
        <w:rPr>
          <w:rFonts w:hint="eastAsia" w:ascii="仿宋" w:hAnsi="仿宋" w:eastAsia="仿宋" w:cs="仿宋"/>
          <w:sz w:val="24"/>
        </w:rPr>
        <w:t>2、定期检查：每年需开展汛前检查、汛中检查和汛后检查，年末开展年度检查）。</w:t>
      </w:r>
    </w:p>
    <w:p>
      <w:pPr>
        <w:pStyle w:val="32"/>
        <w:ind w:firstLine="480" w:firstLineChars="200"/>
        <w:rPr>
          <w:rFonts w:hint="eastAsia" w:ascii="仿宋" w:hAnsi="仿宋" w:eastAsia="仿宋" w:cs="仿宋"/>
          <w:sz w:val="24"/>
        </w:rPr>
      </w:pPr>
      <w:r>
        <w:rPr>
          <w:rFonts w:hint="eastAsia" w:ascii="仿宋" w:hAnsi="仿宋" w:eastAsia="仿宋" w:cs="仿宋"/>
          <w:sz w:val="24"/>
        </w:rPr>
        <w:t>3、特别检查：遇到连续性强降雨、台风等灾害性天气或有危害闸泵站安全的突发性事件，应及时检查及时处置。</w:t>
      </w:r>
    </w:p>
    <w:p>
      <w:pPr>
        <w:pStyle w:val="32"/>
        <w:ind w:firstLine="480" w:firstLineChars="200"/>
        <w:rPr>
          <w:rFonts w:hint="eastAsia" w:ascii="仿宋" w:hAnsi="仿宋" w:eastAsia="仿宋" w:cs="仿宋"/>
          <w:sz w:val="24"/>
        </w:rPr>
      </w:pPr>
      <w:r>
        <w:rPr>
          <w:rFonts w:hint="eastAsia" w:ascii="仿宋" w:hAnsi="仿宋" w:eastAsia="仿宋" w:cs="仿宋"/>
          <w:sz w:val="24"/>
        </w:rPr>
        <w:t>4、专项检查：为完成上级临时指派的检查任务。</w:t>
      </w:r>
    </w:p>
    <w:p>
      <w:pPr>
        <w:pStyle w:val="32"/>
        <w:ind w:firstLine="480" w:firstLineChars="200"/>
        <w:rPr>
          <w:rFonts w:hint="eastAsia" w:ascii="仿宋" w:hAnsi="仿宋" w:eastAsia="仿宋" w:cs="仿宋"/>
          <w:sz w:val="24"/>
        </w:rPr>
      </w:pPr>
      <w:r>
        <w:rPr>
          <w:rFonts w:hint="eastAsia" w:ascii="仿宋" w:hAnsi="仿宋" w:eastAsia="仿宋" w:cs="仿宋"/>
          <w:sz w:val="24"/>
        </w:rPr>
        <w:t>5、河道巡查：需配备至少1辆巡查汽车，根据采购人职责范围进行巡查，实现每天对之江地区主干河道及风险点巡查到位，每周之江地区所有河道巡查全覆盖；重点检查涉河涉障和排污情况，发现异常等应及时制止，记录并上报处理。</w:t>
      </w:r>
    </w:p>
    <w:p>
      <w:pPr>
        <w:pStyle w:val="32"/>
        <w:ind w:firstLine="482" w:firstLineChars="200"/>
        <w:rPr>
          <w:rFonts w:hint="eastAsia" w:ascii="仿宋" w:hAnsi="仿宋" w:eastAsia="仿宋" w:cs="仿宋"/>
          <w:sz w:val="24"/>
        </w:rPr>
      </w:pPr>
      <w:r>
        <w:rPr>
          <w:rFonts w:hint="eastAsia" w:ascii="仿宋" w:hAnsi="仿宋" w:eastAsia="仿宋" w:cs="仿宋"/>
          <w:b/>
          <w:sz w:val="24"/>
        </w:rPr>
        <w:t>（三）工程观测</w:t>
      </w:r>
      <w:r>
        <w:rPr>
          <w:rFonts w:hint="eastAsia" w:ascii="仿宋" w:hAnsi="仿宋" w:eastAsia="仿宋" w:cs="仿宋"/>
          <w:sz w:val="24"/>
        </w:rPr>
        <w:t>主要指按照水利工程标准化要求对委托范围内各水利工程开展沉降、位移、淤积、水质浊度等观测工作，每月对观测情况进行汇总分析，每年对观测结果进行整编、分析和归档。</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（四）日常养护及维修抢修</w:t>
      </w:r>
      <w:r>
        <w:rPr>
          <w:rFonts w:hint="eastAsia" w:ascii="仿宋" w:hAnsi="仿宋" w:eastAsia="仿宋" w:cs="仿宋"/>
          <w:sz w:val="24"/>
        </w:rPr>
        <w:t>主要是指委托范围内各水利工程主机组（水泵及电动机及其传动装置）、高低压设施设备、金属结构（闸门及启闭机、拍门、拦污栅、清污机、压力钢管、起重设备等）、备用发电机、建筑物（引水渠、进出水池、进出水流道、泵房、变电房、管理用房、交通桥、站区道路等）、、防汛仓库防汛及物资、），泵站闸室建筑及附属物、计算机控制系统、自动化远程系统、视频监控系统、信息化管理平台、照明系统、公共设施养护等、辅助设施设备（上述设施设备以外的设备，如油、气、水、通风等系统，以及观测设施等）开展日常性养护及维修。相关工作内容、频次、技术要求等参照《泵站技术管理规程》（GB/T 30948-2014）、《泵站运行管理规程》（DB33/T 2248—2020）、《大中型水闸运行管理规程》（DB33/T 2109-2018）规定执行，涉及费用实行总价包干，包含在投标单价中。</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泵站工程维修养护包括：主机组维修养护，操作设备维修养护，视频监控、自动化系统维修养护，配电系统（含景观照明系统）、避雷设备维修养护，拦污栅、泵室建筑维修养护保洁，站区围墙护栏维修养护，泵站建筑物各项观测工作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水闸工程维修养护包括：闸门养护，启闭机维护，传制动系统维修养护，电动机维修养护，操作设备维修养护、计算机监控系统、视频监控系统、自动化系统维修养护，配电系统、防雷接地系统维修养护，闸室建筑维修养护保洁，水闸建筑物各项观测工作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应急排水车：负责排水车全年试运行和应急排水任务执行（24小时待命）；泵车及发电机、水泵组等所有机电设备的日常运行养护，完成排水车年检工作，其中保险费由委托方承担；排水车日常试运行费用总价包干（试运行每月一次），执行防汛应急任务费用另计按次结算（防汛任务出车必须配备驾驶员1人，电工1人、操作工3人，每人500元/次，每次工作8小时，超出8小时则以每小时60元/人计）。</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4、防汛物资养护管理：负责防汛仓库24小时值班管理（要求AB岗），做好防汛物资清点、进出等记录，做好防汛物资维护保养，做好仓库管理范围内卫生保洁和通风工作。</w:t>
      </w:r>
    </w:p>
    <w:p>
      <w:pPr>
        <w:adjustRightInd w:val="0"/>
        <w:snapToGrid w:val="0"/>
        <w:ind w:firstLine="482" w:firstLineChars="200"/>
        <w:rPr>
          <w:rFonts w:hint="eastAsia" w:ascii="仿宋" w:hAnsi="仿宋" w:eastAsia="仿宋" w:cs="仿宋"/>
          <w:b/>
          <w:sz w:val="24"/>
        </w:rPr>
      </w:pPr>
      <w:r>
        <w:rPr>
          <w:rFonts w:hint="eastAsia" w:ascii="仿宋" w:hAnsi="仿宋" w:eastAsia="仿宋" w:cs="仿宋"/>
          <w:b/>
          <w:sz w:val="24"/>
        </w:rPr>
        <w:t>（五）应急保障</w:t>
      </w:r>
      <w:r>
        <w:rPr>
          <w:rFonts w:hint="eastAsia" w:ascii="仿宋" w:hAnsi="仿宋" w:eastAsia="仿宋" w:cs="仿宋"/>
          <w:sz w:val="24"/>
        </w:rPr>
        <w:t>主要指如采购方有紧急任务的，或出现突发性状况、事件等危及泵闸站安全或防汛防台安全的，应及时采取有效的应急保障措施，确保安全和工程效益发挥。</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防汛防台抗旱</w:t>
      </w:r>
      <w:r>
        <w:rPr>
          <w:rFonts w:hint="eastAsia" w:ascii="仿宋" w:hAnsi="仿宋" w:eastAsia="仿宋" w:cs="仿宋"/>
          <w:sz w:val="24"/>
        </w:rPr>
        <w:t>主要指防汛防台防旱期间按照不同响应等级进行24小时值班值守，包括人员、物资和设备等方面的工作保障，并组织队伍随时待命，准备机械物资随时投入，服从采购人统一指挥。</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（六）绿化保洁</w:t>
      </w:r>
      <w:r>
        <w:rPr>
          <w:rFonts w:hint="eastAsia" w:ascii="仿宋" w:hAnsi="仿宋" w:eastAsia="仿宋" w:cs="仿宋"/>
          <w:sz w:val="24"/>
        </w:rPr>
        <w:t>主要指对委托范围内各水利工程管理范围的绿化进行养护和卫生环境进行保洁等。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绿化养护包括：养护范围中明确的全部绿地养护内容，包括养护期内死亡苗木补植、现有植物的养护管理和园林建筑、小品等所有配套设施及附属物的保洁和维护。养护标准参照《杭州市城区绿地养护质量标准》三级标准执行。总体要求如下：</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1)草皮覆盖度应大于80%，集中空秃面积超过0.5㎡时应及时补种。</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2)草皮应定期整修、养护，保持平整，花木应定期修剪、整形和养护。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3)草皮纯洁度（每平方米内主草数量所占的百分比）应保持 80%以上，显眼杂草应根除。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4)雨淋洞、雨淋沟等应及时修复。</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5）草皮应定期修剪，4-11月间至少修剪五遍，常绿草高不得超过20CM，保持草坪平整度。没有种植地被植物的区域内杂草高度不超过30cm，绿地内藤类杂草应予清除。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6）及时清理草皮上的石块、垃圾、搭建、垦种等，绿地整洁，不得有石块、果壳纸屑及其它垃圾，保持闸泵站环境整洁美观。</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7）发现大面积绿化枯死或被破坏等异常情况，及时上报。</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8）树木应做好病虫害防治工作，冬季及时涂白（涂白剂配比：生石灰10份，盐1份，硫磺粉1份，水40份）。</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9）树木枯死应适时补植，补植树木应选用原来的树种及规格。</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10）有防台防雪措施，对危树及时采取修枝、支撑加固，打雪或扶正等措施，遇灾害性天气及时组织进行抢扶。</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11）做好日常养护工作的记录，并编制到月度工作总结中，资料完整详细，定期归档。</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2、垃圾清运及污水处理包括：委托范围内各水利工程管理范围的卫生保洁及水面（河道）保洁等，保洁产生的垃圾按照分类要求及时清运，生活污水处理规范及时清掏等。</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（七）安全保卫</w:t>
      </w:r>
      <w:r>
        <w:rPr>
          <w:rFonts w:hint="eastAsia" w:ascii="仿宋" w:hAnsi="仿宋" w:eastAsia="仿宋" w:cs="仿宋"/>
          <w:sz w:val="24"/>
        </w:rPr>
        <w:t>主要指对委托范围内各水利工程管理范围的安全管理、疫情防控、**保卫、防潮管理、资产管理等工作，防止偷盗等事件的发生。</w:t>
      </w:r>
      <w:r>
        <w:rPr>
          <w:rFonts w:hint="eastAsia" w:ascii="仿宋" w:hAnsi="仿宋" w:eastAsia="仿宋" w:cs="仿宋"/>
          <w:b/>
          <w:sz w:val="24"/>
        </w:rPr>
        <w:t>疫情防控</w:t>
      </w:r>
      <w:r>
        <w:rPr>
          <w:rFonts w:hint="eastAsia" w:ascii="仿宋" w:hAnsi="仿宋" w:eastAsia="仿宋" w:cs="仿宋"/>
          <w:sz w:val="24"/>
        </w:rPr>
        <w:t>指加强所有运维人员的防疫安全教育，做好闸站区进出人员测温亮码等工作，确保站区防疫安全。</w:t>
      </w:r>
      <w:r>
        <w:rPr>
          <w:rFonts w:hint="eastAsia" w:ascii="仿宋" w:hAnsi="仿宋" w:eastAsia="仿宋" w:cs="仿宋"/>
          <w:b/>
          <w:sz w:val="24"/>
        </w:rPr>
        <w:t>防潮管理</w:t>
      </w:r>
      <w:r>
        <w:rPr>
          <w:rFonts w:hint="eastAsia" w:ascii="仿宋" w:hAnsi="仿宋" w:eastAsia="仿宋" w:cs="仿宋"/>
          <w:sz w:val="24"/>
        </w:rPr>
        <w:t>指沿江闸站管理范围内潮前潮后一小时的防潮安全管理，对外江侧钓鱼、游泳、游玩等有安全隐患事件进行劝离。</w:t>
      </w:r>
      <w:r>
        <w:rPr>
          <w:rFonts w:hint="eastAsia" w:ascii="仿宋" w:hAnsi="仿宋" w:eastAsia="仿宋" w:cs="仿宋"/>
          <w:b/>
          <w:sz w:val="24"/>
        </w:rPr>
        <w:t>资产管理</w:t>
      </w:r>
      <w:r>
        <w:rPr>
          <w:rFonts w:hint="eastAsia" w:ascii="仿宋" w:hAnsi="仿宋" w:eastAsia="仿宋" w:cs="仿宋"/>
          <w:sz w:val="24"/>
        </w:rPr>
        <w:t>指对委托范围内各水利工程的固定资产、办公用具等软硬件设施及设备进行登记和管理，确保国有资产不流失。</w:t>
      </w:r>
    </w:p>
    <w:p>
      <w:pPr>
        <w:adjustRightInd w:val="0"/>
        <w:snapToGrid w:val="0"/>
        <w:ind w:firstLine="482" w:firstLineChars="200"/>
        <w:rPr>
          <w:rFonts w:hint="eastAsia" w:ascii="仿宋" w:hAnsi="仿宋" w:eastAsia="仿宋" w:cs="仿宋"/>
          <w:b/>
          <w:sz w:val="24"/>
        </w:rPr>
      </w:pPr>
      <w:r>
        <w:rPr>
          <w:rFonts w:hint="eastAsia" w:ascii="仿宋" w:hAnsi="仿宋" w:eastAsia="仿宋" w:cs="仿宋"/>
          <w:b/>
          <w:sz w:val="24"/>
        </w:rPr>
        <w:t>（八）办公物业</w:t>
      </w:r>
      <w:r>
        <w:rPr>
          <w:rFonts w:hint="eastAsia" w:ascii="仿宋" w:hAnsi="仿宋" w:eastAsia="仿宋" w:cs="仿宋"/>
          <w:sz w:val="24"/>
        </w:rPr>
        <w:t>主要指采购方办公区域的物业化管理，包括水、电、气、照明等的维修养护，环境美化洁化，会议会场、车辆管理和保障等，随时服从采购人调配并积极配合。</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（九）文档台帐</w:t>
      </w:r>
      <w:r>
        <w:rPr>
          <w:rFonts w:hint="eastAsia" w:ascii="仿宋" w:hAnsi="仿宋" w:eastAsia="仿宋" w:cs="仿宋"/>
          <w:sz w:val="24"/>
        </w:rPr>
        <w:t>主要指对委托范围内各水利工程原有台账的管理及按照水利工程标准化运维管理过程中形成的新台账管理。要求每年至少1次对相关台账按照操作运行、工程检查、工程观测、维修养护、应急保障、防汛抗旱抗台、绿化保洁、其他技术辅助类工作等类别进行整编归档。</w:t>
      </w:r>
      <w:r>
        <w:rPr>
          <w:rFonts w:hint="eastAsia" w:ascii="仿宋" w:hAnsi="仿宋" w:eastAsia="仿宋" w:cs="仿宋"/>
          <w:b/>
          <w:sz w:val="24"/>
        </w:rPr>
        <w:t xml:space="preserve"> </w:t>
      </w:r>
    </w:p>
    <w:p>
      <w:pPr>
        <w:pStyle w:val="3"/>
        <w:ind w:left="0" w:leftChars="0" w:firstLine="482"/>
        <w:rPr>
          <w:rFonts w:hint="eastAsia" w:ascii="仿宋" w:hAnsi="仿宋" w:eastAsia="仿宋" w:cs="仿宋"/>
        </w:rPr>
      </w:pPr>
      <w:r>
        <w:rPr>
          <w:rFonts w:hint="eastAsia" w:ascii="仿宋" w:hAnsi="仿宋" w:eastAsia="仿宋" w:cs="仿宋"/>
          <w:b/>
        </w:rPr>
        <w:t>（十）其他技术辅助类工作</w:t>
      </w:r>
      <w:r>
        <w:rPr>
          <w:rFonts w:hint="eastAsia" w:ascii="仿宋" w:hAnsi="仿宋" w:eastAsia="仿宋" w:cs="仿宋"/>
        </w:rPr>
        <w:t>是指协助配合采购方开展大修专修、技术改造、安全鉴定、信息化管理及技术人员支撑等工作，并提供技术性意见。具体项目部人员需常驻现场办公，相关人员服从排灌站调度安排，发挥专业优势，有效提供机电设备维养、水工建筑维护、工程测量测绘、造价预算编制、绿化养护等技术支撑服务。</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除日常维护内容外，潜水泵返厂大修、闸门（启闭机）大修、电气预防性测试、运行电费、排水车保险仍由甲方承担，水费、燃气费等由乙方承担。</w:t>
      </w:r>
    </w:p>
    <w:bookmarkEnd w:id="5"/>
    <w:p>
      <w:pPr>
        <w:autoSpaceDE w:val="0"/>
        <w:autoSpaceDN w:val="0"/>
        <w:adjustRightInd w:val="0"/>
        <w:rPr>
          <w:rFonts w:hint="eastAsia" w:ascii="仿宋" w:hAnsi="仿宋" w:eastAsia="仿宋" w:cs="仿宋"/>
          <w:b/>
          <w:sz w:val="24"/>
        </w:rPr>
      </w:pPr>
      <w:r>
        <w:rPr>
          <w:rFonts w:hint="eastAsia" w:ascii="仿宋" w:hAnsi="仿宋" w:eastAsia="仿宋" w:cs="仿宋"/>
          <w:b/>
          <w:bCs/>
          <w:sz w:val="24"/>
        </w:rPr>
        <w:t>二、项目运维</w:t>
      </w:r>
      <w:r>
        <w:rPr>
          <w:rFonts w:hint="eastAsia" w:ascii="仿宋" w:hAnsi="仿宋" w:eastAsia="仿宋" w:cs="仿宋"/>
          <w:b/>
          <w:sz w:val="24"/>
        </w:rPr>
        <w:t>要求</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泵闸站的运行管理主要是指为保障泵闸站在设计标准之内正常运行，充分发挥泵闸站的设计功能和效益。服从统一调度指挥，接发包人指令运行，泵闸站一般的运用原则应严格按照GB/T30948-2014《泵站技术管理规程》、《浙江省泵站运行管理规程（试行）》、《浙江省大中型水闸工程运行管理规程（试行）》、《浙江省水利工程标准化管理验收办法》、《杭州市西湖区排灌设施管理服务站控制运行计划》、《杭州市西湖区排灌设施管理服务站防汛防台应急预案》等。投标人应根据实际情况制订安全运行、组织管理、维修养护等一系列制度，并严格按制度执行。</w:t>
      </w:r>
    </w:p>
    <w:p>
      <w:pPr>
        <w:tabs>
          <w:tab w:val="left" w:pos="1890"/>
        </w:tabs>
        <w:ind w:firstLine="482" w:firstLineChars="200"/>
        <w:rPr>
          <w:rFonts w:hint="eastAsia" w:ascii="仿宋" w:hAnsi="仿宋" w:eastAsia="仿宋" w:cs="仿宋"/>
          <w:b/>
          <w:bCs/>
          <w:sz w:val="24"/>
        </w:rPr>
      </w:pPr>
      <w:r>
        <w:rPr>
          <w:rFonts w:hint="eastAsia" w:ascii="仿宋" w:hAnsi="仿宋" w:eastAsia="仿宋" w:cs="仿宋"/>
          <w:b/>
          <w:bCs/>
          <w:sz w:val="24"/>
        </w:rPr>
        <w:t>2.1、人员要求</w:t>
      </w:r>
    </w:p>
    <w:p>
      <w:pPr>
        <w:ind w:firstLine="480" w:firstLineChars="200"/>
        <w:rPr>
          <w:rFonts w:hint="eastAsia" w:ascii="仿宋" w:hAnsi="仿宋" w:eastAsia="仿宋" w:cs="仿宋"/>
          <w:sz w:val="24"/>
        </w:rPr>
      </w:pPr>
      <w:r>
        <w:rPr>
          <w:rFonts w:hint="eastAsia" w:ascii="仿宋" w:hAnsi="仿宋" w:eastAsia="仿宋" w:cs="仿宋"/>
          <w:sz w:val="24"/>
        </w:rPr>
        <w:t>▲（1）配备人员中要求：该项目拟派人员须为投标人正式员工总人数不少于92人，其中</w:t>
      </w:r>
      <w:r>
        <w:rPr>
          <w:rFonts w:hint="eastAsia" w:ascii="仿宋" w:hAnsi="仿宋" w:eastAsia="仿宋" w:cs="仿宋"/>
          <w:bCs/>
          <w:sz w:val="24"/>
        </w:rPr>
        <w:t>具有泵站运行工、闸门运行工职业资格证书（或取得相关职业资格培训合格证明）的人数不少于40人；具有应急管理部门颁发的高压电工证及原国家电监会或安监局颁发的高压电工证书的人数不少于10人（建筑施工类的电工证视为无效证书）</w:t>
      </w:r>
      <w:r>
        <w:rPr>
          <w:rFonts w:hint="eastAsia" w:ascii="仿宋" w:hAnsi="仿宋" w:eastAsia="仿宋" w:cs="仿宋"/>
          <w:sz w:val="24"/>
        </w:rPr>
        <w:t>。持有B1及以上的中华人民共和国机动车驾驶证不少于2人。</w:t>
      </w:r>
    </w:p>
    <w:p>
      <w:pPr>
        <w:adjustRightInd w:val="0"/>
        <w:snapToGrid w:val="0"/>
        <w:ind w:firstLine="480" w:firstLineChars="200"/>
        <w:rPr>
          <w:rFonts w:hint="eastAsia" w:ascii="仿宋" w:hAnsi="仿宋" w:eastAsia="仿宋" w:cs="仿宋"/>
          <w:b/>
          <w:bCs/>
          <w:sz w:val="24"/>
        </w:rPr>
      </w:pPr>
      <w:r>
        <w:rPr>
          <w:rFonts w:hint="eastAsia" w:ascii="仿宋" w:hAnsi="仿宋" w:eastAsia="仿宋" w:cs="仿宋"/>
          <w:sz w:val="24"/>
        </w:rPr>
        <w:t>（2）该项目拟派人员学历要求：具备水利或机电相关专业大专及以上学历不得少于15人</w:t>
      </w:r>
      <w:r>
        <w:rPr>
          <w:rFonts w:hint="eastAsia" w:ascii="仿宋" w:hAnsi="仿宋" w:eastAsia="仿宋" w:cs="仿宋"/>
        </w:rPr>
        <w:t>。</w:t>
      </w:r>
    </w:p>
    <w:p>
      <w:pPr>
        <w:ind w:firstLine="480" w:firstLineChars="200"/>
        <w:rPr>
          <w:rFonts w:hint="eastAsia" w:ascii="仿宋" w:hAnsi="仿宋" w:eastAsia="仿宋" w:cs="仿宋"/>
          <w:sz w:val="24"/>
        </w:rPr>
      </w:pPr>
      <w:r>
        <w:rPr>
          <w:rFonts w:hint="eastAsia" w:ascii="仿宋" w:hAnsi="仿宋" w:eastAsia="仿宋" w:cs="仿宋"/>
          <w:sz w:val="24"/>
        </w:rPr>
        <w:t>（3）项目负责人和技术负责人要求为水利相关专业中级及以上职称并不得随意更换，且每月到位率不得少于20天，需要统筹安排运维工作。</w:t>
      </w:r>
    </w:p>
    <w:p>
      <w:pPr>
        <w:pStyle w:val="3"/>
        <w:ind w:left="0" w:leftChars="0"/>
        <w:rPr>
          <w:rFonts w:hint="eastAsia" w:ascii="仿宋" w:hAnsi="仿宋" w:eastAsia="仿宋" w:cs="仿宋"/>
        </w:rPr>
      </w:pPr>
      <w:r>
        <w:rPr>
          <w:rFonts w:hint="eastAsia" w:ascii="仿宋" w:hAnsi="仿宋" w:eastAsia="仿宋" w:cs="仿宋"/>
        </w:rPr>
        <w:t>（4）分站长要求为水利或机电相关专业中级及以上职称或水利相关专业二级及以上注册建造师并不得随意更换，每月到位率不得少于20天，需要统筹安排运维工作。</w:t>
      </w:r>
    </w:p>
    <w:p>
      <w:pPr>
        <w:tabs>
          <w:tab w:val="left" w:pos="324"/>
        </w:tabs>
        <w:ind w:firstLine="482" w:firstLineChars="200"/>
        <w:rPr>
          <w:rFonts w:hint="eastAsia" w:ascii="仿宋" w:hAnsi="仿宋" w:eastAsia="仿宋" w:cs="仿宋"/>
          <w:b/>
          <w:bCs/>
          <w:sz w:val="24"/>
        </w:rPr>
      </w:pPr>
      <w:r>
        <w:rPr>
          <w:rFonts w:hint="eastAsia" w:ascii="仿宋" w:hAnsi="仿宋" w:eastAsia="仿宋" w:cs="仿宋"/>
          <w:b/>
          <w:bCs/>
          <w:sz w:val="24"/>
        </w:rPr>
        <w:t>2.2、值班要求</w:t>
      </w:r>
    </w:p>
    <w:p>
      <w:pPr>
        <w:adjustRightInd w:val="0"/>
        <w:snapToGrid w:val="0"/>
        <w:ind w:firstLine="480" w:firstLineChars="200"/>
        <w:rPr>
          <w:rFonts w:hint="eastAsia" w:ascii="仿宋" w:hAnsi="仿宋" w:eastAsia="仿宋" w:cs="仿宋"/>
        </w:rPr>
      </w:pPr>
      <w:r>
        <w:rPr>
          <w:rFonts w:hint="eastAsia" w:ascii="仿宋" w:hAnsi="仿宋" w:eastAsia="仿宋" w:cs="仿宋"/>
          <w:sz w:val="24"/>
        </w:rPr>
        <w:t>（1）九溪水闸24小时不少于2人，四五站、白茅湖站、赤通浦站24小时不少于3人；三阳站、四号浦站24小时不少于2人；社井泵站和水闸24小时不少于5人；龙心闸、珊瑚沙河闸24小时不少于1人，所有大小各站在设备运行或开启期间人员不得脱岗。当区防指启动防汛防台四级响应时，项目部管理人员至少1人驻守之江防汛指挥中心，各分站长自觉上岗。当区防指启动防汛防台Ⅲ级及以上响应时，全体人员无条件上岗。</w:t>
      </w:r>
    </w:p>
    <w:p>
      <w:pPr>
        <w:autoSpaceDE w:val="0"/>
        <w:autoSpaceDN w:val="0"/>
        <w:adjustRightInd w:val="0"/>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2.3、 泵闸站管理区环境、绿化养护等方面内容及要求</w:t>
      </w:r>
    </w:p>
    <w:p>
      <w:pPr>
        <w:autoSpaceDE w:val="0"/>
        <w:autoSpaceDN w:val="0"/>
        <w:adjustRightInd w:val="0"/>
        <w:ind w:firstLine="480" w:firstLineChars="200"/>
        <w:rPr>
          <w:rFonts w:hint="eastAsia" w:ascii="仿宋" w:hAnsi="仿宋" w:eastAsia="仿宋" w:cs="仿宋"/>
          <w:kern w:val="0"/>
          <w:sz w:val="24"/>
        </w:rPr>
      </w:pPr>
      <w:r>
        <w:rPr>
          <w:rFonts w:hint="eastAsia" w:ascii="仿宋" w:hAnsi="仿宋" w:eastAsia="仿宋" w:cs="仿宋"/>
          <w:kern w:val="0"/>
          <w:sz w:val="24"/>
        </w:rPr>
        <w:t>环境要求：承包人应确保管理范围内的环境卫生、整洁；管理范围内应无垃圾堆；管理范围内发现有破损路面、破损墙面应及时报告并修复；在管理范围内非经批准不得随意堆放杂物；应保证管理范围内的室外照明、亮化设施处于完好状态，并能及时投入使用；做好其他环境管理工作。</w:t>
      </w:r>
    </w:p>
    <w:p>
      <w:pPr>
        <w:autoSpaceDE w:val="0"/>
        <w:autoSpaceDN w:val="0"/>
        <w:adjustRightInd w:val="0"/>
        <w:ind w:firstLine="480" w:firstLineChars="200"/>
        <w:rPr>
          <w:rFonts w:hint="eastAsia" w:ascii="仿宋" w:hAnsi="仿宋" w:eastAsia="仿宋" w:cs="仿宋"/>
          <w:kern w:val="0"/>
          <w:sz w:val="24"/>
        </w:rPr>
      </w:pPr>
      <w:r>
        <w:rPr>
          <w:rFonts w:hint="eastAsia" w:ascii="仿宋" w:hAnsi="仿宋" w:eastAsia="仿宋" w:cs="仿宋"/>
          <w:kern w:val="0"/>
          <w:sz w:val="24"/>
        </w:rPr>
        <w:t>保洁要求：保洁区域的设备、地面、墙面、楼梯、扶手、玻璃、走廊等干净，无垃圾、积灰、污渍、手印。定期开展消毒活动。</w:t>
      </w:r>
      <w:r>
        <w:rPr>
          <w:rFonts w:hint="eastAsia" w:ascii="仿宋" w:hAnsi="仿宋" w:eastAsia="仿宋" w:cs="仿宋"/>
          <w:bCs/>
          <w:sz w:val="24"/>
        </w:rPr>
        <w:t>站内、水闸垃圾清运费，</w:t>
      </w:r>
      <w:r>
        <w:rPr>
          <w:rFonts w:hint="eastAsia" w:ascii="仿宋" w:hAnsi="仿宋" w:eastAsia="仿宋" w:cs="仿宋"/>
          <w:kern w:val="0"/>
          <w:sz w:val="24"/>
        </w:rPr>
        <w:t>垃圾外运包含在投标费用中，发包人不再另行支付。</w:t>
      </w:r>
    </w:p>
    <w:p>
      <w:pPr>
        <w:autoSpaceDE w:val="0"/>
        <w:autoSpaceDN w:val="0"/>
        <w:adjustRightInd w:val="0"/>
        <w:ind w:firstLine="480" w:firstLineChars="200"/>
        <w:rPr>
          <w:rFonts w:hint="eastAsia" w:ascii="仿宋" w:hAnsi="仿宋" w:eastAsia="仿宋" w:cs="仿宋"/>
          <w:kern w:val="0"/>
          <w:sz w:val="24"/>
        </w:rPr>
      </w:pPr>
      <w:r>
        <w:rPr>
          <w:rFonts w:hint="eastAsia" w:ascii="仿宋" w:hAnsi="仿宋" w:eastAsia="仿宋" w:cs="仿宋"/>
          <w:kern w:val="0"/>
          <w:sz w:val="24"/>
        </w:rPr>
        <w:t>安防要求：对安防区域定时巡视，明确巡视工作职责，对设备机房等重要区域、部位进行重点巡视并记录，及时发现和处理各种安全和事故隐患、确保本管理区域安全无事故。</w:t>
      </w:r>
    </w:p>
    <w:p>
      <w:pPr>
        <w:widowControl/>
        <w:snapToGrid w:val="0"/>
        <w:ind w:firstLine="480" w:firstLineChars="200"/>
        <w:rPr>
          <w:rFonts w:hint="eastAsia" w:ascii="仿宋" w:hAnsi="仿宋" w:eastAsia="仿宋" w:cs="仿宋"/>
          <w:kern w:val="0"/>
          <w:sz w:val="24"/>
        </w:rPr>
      </w:pPr>
      <w:r>
        <w:rPr>
          <w:rFonts w:hint="eastAsia" w:ascii="仿宋" w:hAnsi="仿宋" w:eastAsia="仿宋" w:cs="仿宋"/>
          <w:kern w:val="0"/>
          <w:sz w:val="24"/>
        </w:rPr>
        <w:t>绿化养护要求：按《</w:t>
      </w:r>
      <w:r>
        <w:rPr>
          <w:rFonts w:hint="eastAsia" w:ascii="仿宋" w:hAnsi="仿宋" w:eastAsia="仿宋" w:cs="仿宋"/>
          <w:sz w:val="24"/>
        </w:rPr>
        <w:t>西湖区排灌泵闸站委托运维管理项目考核办法》相关要求执行</w:t>
      </w:r>
    </w:p>
    <w:p>
      <w:pPr>
        <w:autoSpaceDE w:val="0"/>
        <w:autoSpaceDN w:val="0"/>
        <w:adjustRightInd w:val="0"/>
        <w:ind w:firstLine="482" w:firstLineChars="200"/>
        <w:rPr>
          <w:rFonts w:hint="eastAsia" w:ascii="仿宋" w:hAnsi="仿宋" w:eastAsia="仿宋" w:cs="仿宋"/>
          <w:b/>
          <w:bCs/>
          <w:sz w:val="24"/>
        </w:rPr>
      </w:pPr>
      <w:r>
        <w:rPr>
          <w:rFonts w:hint="eastAsia" w:ascii="仿宋" w:hAnsi="仿宋" w:eastAsia="仿宋" w:cs="仿宋"/>
          <w:b/>
          <w:bCs/>
          <w:sz w:val="24"/>
        </w:rPr>
        <w:t>三、 考核要求</w:t>
      </w:r>
    </w:p>
    <w:p>
      <w:pPr>
        <w:autoSpaceDE w:val="0"/>
        <w:autoSpaceDN w:val="0"/>
        <w:adjustRightInd w:val="0"/>
        <w:ind w:firstLine="480" w:firstLineChars="200"/>
        <w:rPr>
          <w:rFonts w:hint="eastAsia" w:ascii="仿宋" w:hAnsi="仿宋" w:eastAsia="仿宋" w:cs="仿宋"/>
          <w:kern w:val="0"/>
          <w:sz w:val="24"/>
        </w:rPr>
      </w:pPr>
      <w:r>
        <w:rPr>
          <w:rFonts w:hint="eastAsia" w:ascii="仿宋" w:hAnsi="仿宋" w:eastAsia="仿宋" w:cs="仿宋"/>
          <w:kern w:val="0"/>
          <w:sz w:val="24"/>
        </w:rPr>
        <w:t>委托运维管理的各项工作在符合《浙江省水利工程管理考核办法》（浙水管〔2017〕46号）、《水利工程管理考核量化指标》（浙水管〔2018〕2号）、《杭州市城区绿地养护质量标准》、《杭州市城市环境卫生作业规范》等相关技术规范基础之上，采购人将对中标人进行月度考核及年度考核，从运维管理单位安全管理、金属结构及机电设备日常养护、日常运行管理、巡查与观测、站容站貌等方面进行月度考核，突出运维过程考核；从建筑物完好率、设备完好率、安全运行率、配水保证率、防汛保证率、运维资金平衡率、运维台账完整性、运维工作贡献值等方面进行年度考核，突出运维绩效考核。</w:t>
      </w:r>
    </w:p>
    <w:p>
      <w:pPr>
        <w:ind w:firstLine="482" w:firstLineChars="200"/>
        <w:rPr>
          <w:rFonts w:hint="eastAsia" w:ascii="仿宋" w:hAnsi="仿宋" w:eastAsia="仿宋" w:cs="仿宋"/>
        </w:rPr>
      </w:pPr>
      <w:r>
        <w:rPr>
          <w:rFonts w:hint="eastAsia" w:ascii="仿宋" w:hAnsi="仿宋" w:eastAsia="仿宋" w:cs="仿宋"/>
          <w:b/>
          <w:bCs/>
          <w:sz w:val="24"/>
        </w:rPr>
        <w:t>四、考核办法：</w:t>
      </w:r>
      <w:r>
        <w:rPr>
          <w:rFonts w:hint="eastAsia" w:ascii="仿宋" w:hAnsi="仿宋" w:eastAsia="仿宋" w:cs="仿宋"/>
          <w:bCs/>
          <w:sz w:val="24"/>
        </w:rPr>
        <w:t>参照</w:t>
      </w:r>
      <w:r>
        <w:rPr>
          <w:rFonts w:hint="eastAsia" w:ascii="仿宋" w:hAnsi="仿宋" w:eastAsia="仿宋" w:cs="仿宋"/>
          <w:sz w:val="24"/>
        </w:rPr>
        <w:t>《西湖区排灌泵闸站委托运维管理项目考核办法》，具体考核办法以合同签订时为准。</w:t>
      </w: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p>
    <w:p>
      <w:pPr>
        <w:pStyle w:val="78"/>
        <w:spacing w:before="0" w:line="460" w:lineRule="exact"/>
        <w:ind w:firstLine="643"/>
        <w:jc w:val="center"/>
        <w:rPr>
          <w:rFonts w:hint="eastAsia" w:ascii="仿宋" w:hAnsi="仿宋" w:eastAsia="仿宋" w:cs="仿宋"/>
          <w:b/>
          <w:sz w:val="32"/>
          <w:szCs w:val="32"/>
        </w:rPr>
      </w:pPr>
      <w:r>
        <w:rPr>
          <w:rFonts w:hint="eastAsia" w:ascii="仿宋" w:hAnsi="仿宋" w:eastAsia="仿宋" w:cs="仿宋"/>
          <w:b/>
          <w:sz w:val="32"/>
          <w:szCs w:val="32"/>
        </w:rPr>
        <w:t>第四部分 采购合同的一般和特殊条款</w:t>
      </w:r>
    </w:p>
    <w:p>
      <w:pPr>
        <w:pStyle w:val="78"/>
        <w:spacing w:before="0" w:line="460" w:lineRule="exact"/>
        <w:ind w:firstLine="643"/>
        <w:jc w:val="center"/>
        <w:rPr>
          <w:rFonts w:hint="eastAsia" w:ascii="仿宋" w:hAnsi="仿宋" w:eastAsia="仿宋" w:cs="仿宋"/>
          <w:b/>
          <w:sz w:val="32"/>
          <w:szCs w:val="32"/>
        </w:rPr>
      </w:pPr>
    </w:p>
    <w:p>
      <w:pPr>
        <w:pStyle w:val="26"/>
        <w:snapToGrid w:val="0"/>
        <w:rPr>
          <w:rFonts w:hint="eastAsia" w:ascii="仿宋" w:hAnsi="仿宋" w:eastAsia="仿宋" w:cs="仿宋"/>
          <w:sz w:val="24"/>
          <w:szCs w:val="24"/>
        </w:rPr>
      </w:pPr>
      <w:bookmarkStart w:id="6" w:name="_第五章_招标文档文书格式"/>
      <w:bookmarkEnd w:id="6"/>
    </w:p>
    <w:p>
      <w:pPr>
        <w:pStyle w:val="26"/>
        <w:snapToGrid w:val="0"/>
        <w:jc w:val="center"/>
        <w:rPr>
          <w:rFonts w:hint="eastAsia" w:ascii="仿宋" w:hAnsi="仿宋" w:eastAsia="仿宋" w:cs="仿宋"/>
          <w:sz w:val="44"/>
          <w:szCs w:val="44"/>
        </w:rPr>
      </w:pPr>
      <w:r>
        <w:rPr>
          <w:rFonts w:hint="eastAsia" w:ascii="仿宋" w:hAnsi="仿宋" w:eastAsia="仿宋" w:cs="仿宋"/>
          <w:sz w:val="44"/>
          <w:szCs w:val="44"/>
        </w:rPr>
        <w:t>西湖区排灌泵闸站委托运维管理项目</w:t>
      </w:r>
    </w:p>
    <w:p>
      <w:pPr>
        <w:pStyle w:val="26"/>
        <w:snapToGrid w:val="0"/>
        <w:jc w:val="center"/>
        <w:rPr>
          <w:rFonts w:hint="eastAsia" w:ascii="仿宋" w:hAnsi="仿宋" w:eastAsia="仿宋" w:cs="仿宋"/>
          <w:b/>
          <w:bCs/>
          <w:sz w:val="44"/>
          <w:szCs w:val="44"/>
        </w:rPr>
      </w:pPr>
      <w:r>
        <w:rPr>
          <w:rFonts w:hint="eastAsia" w:ascii="仿宋" w:hAnsi="仿宋" w:eastAsia="仿宋" w:cs="仿宋"/>
          <w:b/>
          <w:bCs/>
          <w:sz w:val="44"/>
          <w:szCs w:val="44"/>
        </w:rPr>
        <w:t>年度合同</w:t>
      </w: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hint="eastAsia" w:ascii="仿宋" w:hAnsi="仿宋" w:eastAsia="仿宋" w:cs="仿宋"/>
          <w:b/>
          <w:bCs/>
          <w:sz w:val="44"/>
          <w:szCs w:val="44"/>
        </w:rPr>
      </w:pPr>
    </w:p>
    <w:p>
      <w:pPr>
        <w:pStyle w:val="26"/>
        <w:snapToGrid w:val="0"/>
        <w:jc w:val="center"/>
        <w:rPr>
          <w:rFonts w:ascii="仿宋" w:hAnsi="仿宋" w:eastAsia="仿宋" w:cs="仿宋"/>
          <w:b/>
          <w:bCs/>
          <w:sz w:val="44"/>
          <w:szCs w:val="44"/>
        </w:rPr>
      </w:pPr>
      <w:r>
        <w:rPr>
          <w:rFonts w:hint="eastAsia" w:ascii="仿宋" w:hAnsi="仿宋" w:eastAsia="仿宋" w:cs="仿宋"/>
          <w:b/>
          <w:bCs/>
          <w:sz w:val="44"/>
          <w:szCs w:val="44"/>
        </w:rPr>
        <w:t>日期：   年   月   日</w:t>
      </w: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p>
    <w:p>
      <w:pPr>
        <w:pStyle w:val="26"/>
        <w:snapToGrid w:val="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西湖区排灌泵闸站委托运维管理项目</w:t>
      </w:r>
    </w:p>
    <w:p>
      <w:pPr>
        <w:pStyle w:val="26"/>
        <w:snapToGrid w:val="0"/>
        <w:rPr>
          <w:rFonts w:hint="eastAsia" w:ascii="仿宋" w:hAnsi="仿宋" w:eastAsia="仿宋" w:cs="仿宋"/>
          <w:sz w:val="24"/>
          <w:szCs w:val="24"/>
        </w:rPr>
      </w:pPr>
      <w:r>
        <w:rPr>
          <w:rFonts w:hint="eastAsia" w:ascii="仿宋" w:hAnsi="仿宋" w:eastAsia="仿宋" w:cs="仿宋"/>
          <w:sz w:val="24"/>
          <w:szCs w:val="24"/>
        </w:rPr>
        <w:t>项目编号：______________________</w:t>
      </w:r>
    </w:p>
    <w:p>
      <w:pPr>
        <w:pStyle w:val="26"/>
        <w:snapToGrid w:val="0"/>
        <w:rPr>
          <w:rFonts w:hint="eastAsia" w:ascii="仿宋" w:hAnsi="仿宋" w:eastAsia="仿宋" w:cs="仿宋"/>
          <w:sz w:val="24"/>
          <w:szCs w:val="24"/>
        </w:rPr>
      </w:pPr>
      <w:r>
        <w:rPr>
          <w:rFonts w:hint="eastAsia" w:ascii="仿宋" w:hAnsi="仿宋" w:eastAsia="仿宋" w:cs="仿宋"/>
          <w:sz w:val="24"/>
          <w:szCs w:val="24"/>
        </w:rPr>
        <w:t>甲方（采购人、发包人）：__________________</w:t>
      </w:r>
    </w:p>
    <w:p>
      <w:pPr>
        <w:pStyle w:val="26"/>
        <w:snapToGrid w:val="0"/>
        <w:rPr>
          <w:rFonts w:hint="eastAsia" w:ascii="仿宋" w:hAnsi="仿宋" w:eastAsia="仿宋" w:cs="仿宋"/>
          <w:sz w:val="24"/>
          <w:szCs w:val="24"/>
        </w:rPr>
      </w:pPr>
      <w:r>
        <w:rPr>
          <w:rFonts w:hint="eastAsia" w:ascii="仿宋" w:hAnsi="仿宋" w:eastAsia="仿宋" w:cs="仿宋"/>
          <w:sz w:val="24"/>
          <w:szCs w:val="24"/>
        </w:rPr>
        <w:t>乙方（承包人）：__________________________</w:t>
      </w:r>
    </w:p>
    <w:p>
      <w:pPr>
        <w:pStyle w:val="144"/>
        <w:numPr>
          <w:ilvl w:val="0"/>
          <w:numId w:val="28"/>
        </w:numPr>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乙双方根据</w:t>
      </w:r>
      <w:r>
        <w:rPr>
          <w:rFonts w:hint="eastAsia" w:ascii="仿宋" w:hAnsi="仿宋" w:eastAsia="仿宋" w:cs="仿宋"/>
          <w:szCs w:val="24"/>
        </w:rPr>
        <w:t>西湖区排灌泵闸站委托运维管理项目</w:t>
      </w:r>
      <w:r>
        <w:rPr>
          <w:rFonts w:hint="eastAsia" w:ascii="仿宋" w:hAnsi="仿宋" w:eastAsia="仿宋" w:cs="仿宋"/>
          <w:kern w:val="2"/>
          <w:szCs w:val="24"/>
        </w:rPr>
        <w:t>的采购结果，签署本合同。</w:t>
      </w:r>
    </w:p>
    <w:p>
      <w:pPr>
        <w:autoSpaceDE w:val="0"/>
        <w:autoSpaceDN w:val="0"/>
        <w:adjustRightInd w:val="0"/>
        <w:rPr>
          <w:rFonts w:hint="eastAsia" w:ascii="仿宋" w:hAnsi="仿宋" w:eastAsia="仿宋" w:cs="仿宋"/>
          <w:b/>
          <w:bCs/>
          <w:sz w:val="24"/>
        </w:rPr>
      </w:pPr>
      <w:r>
        <w:rPr>
          <w:rFonts w:hint="eastAsia" w:ascii="仿宋" w:hAnsi="仿宋" w:eastAsia="仿宋" w:cs="仿宋"/>
          <w:b/>
          <w:bCs/>
          <w:sz w:val="24"/>
        </w:rPr>
        <w:t>一、项目概况</w:t>
      </w:r>
    </w:p>
    <w:p>
      <w:pPr>
        <w:ind w:firstLine="480" w:firstLineChars="200"/>
        <w:rPr>
          <w:rFonts w:hint="eastAsia" w:ascii="仿宋" w:hAnsi="仿宋" w:eastAsia="仿宋" w:cs="仿宋"/>
          <w:sz w:val="24"/>
        </w:rPr>
      </w:pPr>
      <w:r>
        <w:rPr>
          <w:rFonts w:hint="eastAsia" w:ascii="仿宋" w:hAnsi="仿宋" w:eastAsia="仿宋" w:cs="仿宋"/>
          <w:sz w:val="24"/>
        </w:rPr>
        <w:t>本项目位于杭州市西湖区之江地区，本次委托运行维护管理项目主要内容为：九溪水闸、大刀沙泵站、四五排灌站、赤通浦排涝站、白茅湖排灌站、四号浦排灌站、三阳排灌站、社井泵站、社井水闸等七站二闸站区、管理范围及保护范围的运行维护管理，受委托运行管理的 33 个小型机埠水闸站区水工建筑物及防汛配水设施设备运行维护管理，防汛仓库管理，河道巡查，应急排水车运行维护及应急管理等，除潜水泵返厂大修、闸门大修、应急抢险、电气预防性试验以外的所有设施设备的维修养护。包括但不限于泵闸站建筑及附属物、计算机控制系统、自动化控制系统、视频监控系统、泵闸现地控制系统、泵闸站照明系统、工程观测、绿化养护、公共设施养护、安全生产、**保卫、应急值守、疫情防控、防潮管理、办公物业、卫生保洁、垃圾分类、清淤清运、污水处理等</w:t>
      </w:r>
      <w:r>
        <w:rPr>
          <w:rFonts w:hint="eastAsia" w:ascii="仿宋" w:hAnsi="仿宋" w:eastAsia="仿宋" w:cs="仿宋"/>
          <w:kern w:val="0"/>
          <w:sz w:val="24"/>
        </w:rPr>
        <w:t>。</w:t>
      </w:r>
    </w:p>
    <w:p>
      <w:pPr>
        <w:autoSpaceDE w:val="0"/>
        <w:autoSpaceDN w:val="0"/>
        <w:adjustRightInd w:val="0"/>
        <w:rPr>
          <w:rFonts w:hint="eastAsia" w:ascii="仿宋" w:hAnsi="仿宋" w:eastAsia="仿宋" w:cs="仿宋"/>
          <w:b/>
          <w:bCs/>
          <w:sz w:val="24"/>
        </w:rPr>
      </w:pPr>
      <w:r>
        <w:rPr>
          <w:rFonts w:hint="eastAsia" w:ascii="仿宋" w:hAnsi="仿宋" w:eastAsia="仿宋" w:cs="仿宋"/>
          <w:b/>
          <w:bCs/>
          <w:sz w:val="24"/>
        </w:rPr>
        <w:t>二、项目需求</w:t>
      </w:r>
    </w:p>
    <w:p>
      <w:pPr>
        <w:ind w:firstLine="420"/>
        <w:rPr>
          <w:rFonts w:hint="eastAsia" w:ascii="仿宋" w:hAnsi="仿宋" w:eastAsia="仿宋" w:cs="仿宋"/>
          <w:b/>
          <w:kern w:val="0"/>
          <w:sz w:val="24"/>
          <w:lang w:bidi="ar"/>
        </w:rPr>
      </w:pPr>
      <w:r>
        <w:rPr>
          <w:rFonts w:hint="eastAsia" w:ascii="仿宋" w:hAnsi="仿宋" w:eastAsia="仿宋" w:cs="仿宋"/>
          <w:b/>
          <w:kern w:val="0"/>
          <w:sz w:val="24"/>
          <w:lang w:bidi="ar"/>
        </w:rPr>
        <w:t>1、 管护范围</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九溪水闸、大刀沙泵站、四五排灌站、赤通浦排涝站、白茅湖排灌站、四号浦排灌站、三阳排灌站、社井泵站、社井水闸等七站二闸水利工程站区、管理范围及保护范围，以及受委托运行管理的33个小机埠站区管理范围。具体的33个小机埠为：村口闸、龙心闸、珊瑚沙河闸、四号浦节制闸、三号浦节制闸、金马龙潭闸、新渡浦闸、二轻浦配水机埠、潘家浦机埠、周家埭浦机埠、青字号浦机埠、仓库浦东机埠、仓库浦西机埠、袁家浦机埠、老盘头机埠、俞家盘头机埠、吴家盘头机埠、老坎盘头机埠、静寺浦机埠、龙池盘头机埠、新浦沿盘头机埠、十里横浦机埠、张家埭机埠、金家弄机埠、七号桥边机埠、小江排涝站、六号浦小闸、新沙排涝站、新沙小闸、新渡埠排涝站、小沟排涝站、小沟配水机埠和老塘水闸、新盘头机埠共33个机埠水闸的站区管理范围。</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bCs/>
          <w:sz w:val="24"/>
        </w:rPr>
        <w:t>2、管护内容</w:t>
      </w:r>
    </w:p>
    <w:p>
      <w:pPr>
        <w:ind w:firstLine="480" w:firstLineChars="200"/>
        <w:rPr>
          <w:rFonts w:hint="eastAsia" w:ascii="仿宋" w:hAnsi="仿宋" w:eastAsia="仿宋" w:cs="仿宋"/>
          <w:sz w:val="24"/>
        </w:rPr>
      </w:pPr>
      <w:r>
        <w:rPr>
          <w:rFonts w:hint="eastAsia" w:ascii="仿宋" w:hAnsi="仿宋" w:eastAsia="仿宋" w:cs="仿宋"/>
          <w:sz w:val="24"/>
        </w:rPr>
        <w:t>泵闸站的运行管理主要是指为保障泵闸站在设计标准之内正常运行，充分发挥泵闸站的设计功能和效益，服从甲方统一调度指挥。泵闸站一般的运用原则按照GB/T30948-2014《泵站技术管理规程》、《浙江省泵站运行管理规程（试行）》、《浙江省大中型水闸工程运行管理规程（试行）》、《浙江省水利工程标准化管理验收办法》、《之江地区水利工程控制运行计划》、《西湖区农业农村局（水利局）防汛防台抗旱应急预案》等。承包人应根据实际情况制订安全运行、组织管理、维修养护等一系列制度，并严格按制度执行。具体包含以下几方面：</w:t>
      </w:r>
    </w:p>
    <w:p>
      <w:pPr>
        <w:ind w:firstLine="482" w:firstLineChars="200"/>
        <w:rPr>
          <w:rFonts w:hint="eastAsia" w:ascii="仿宋" w:hAnsi="仿宋" w:eastAsia="仿宋" w:cs="仿宋"/>
          <w:sz w:val="24"/>
        </w:rPr>
      </w:pPr>
      <w:r>
        <w:rPr>
          <w:rFonts w:hint="eastAsia" w:ascii="仿宋" w:hAnsi="仿宋" w:eastAsia="仿宋" w:cs="仿宋"/>
          <w:b/>
          <w:sz w:val="24"/>
        </w:rPr>
        <w:t>（一）操作运行</w:t>
      </w:r>
      <w:r>
        <w:rPr>
          <w:rFonts w:hint="eastAsia" w:ascii="仿宋" w:hAnsi="仿宋" w:eastAsia="仿宋" w:cs="仿宋"/>
          <w:sz w:val="24"/>
        </w:rPr>
        <w:t>主要是指委托范围内各个水利工程的水泵、闸门及启闭机操作运行、高低压电气设备及自动化控制系统操作运行，备用发电机的试运行和带负荷运行，应急排水车操作运行等。</w:t>
      </w:r>
    </w:p>
    <w:p>
      <w:pPr>
        <w:ind w:firstLine="482" w:firstLineChars="200"/>
        <w:rPr>
          <w:rFonts w:hint="eastAsia" w:ascii="仿宋" w:hAnsi="仿宋" w:eastAsia="仿宋" w:cs="仿宋"/>
          <w:sz w:val="24"/>
        </w:rPr>
      </w:pPr>
      <w:r>
        <w:rPr>
          <w:rFonts w:hint="eastAsia" w:ascii="仿宋" w:hAnsi="仿宋" w:eastAsia="仿宋" w:cs="仿宋"/>
          <w:b/>
          <w:sz w:val="24"/>
        </w:rPr>
        <w:t>（二）检查巡查</w:t>
      </w:r>
      <w:r>
        <w:rPr>
          <w:rFonts w:hint="eastAsia" w:ascii="仿宋" w:hAnsi="仿宋" w:eastAsia="仿宋" w:cs="仿宋"/>
          <w:sz w:val="24"/>
        </w:rPr>
        <w:t>主要指各水利工程日常检查、汛前汛中汛后检查、年度检查、特别检查和专项检查；及之江地区河道巡查等。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1、日常检查：委托范围内各水利工程的日常检查和巡查，满足水利工程标准化管理要求，遇到连续性强降雨、台风等灾害性天气或有危害闸泵站安全的突发性事件应加密检查巡查频次。</w:t>
      </w:r>
    </w:p>
    <w:p>
      <w:pPr>
        <w:pStyle w:val="32"/>
        <w:ind w:firstLine="480" w:firstLineChars="200"/>
        <w:rPr>
          <w:rFonts w:hint="eastAsia" w:ascii="仿宋" w:hAnsi="仿宋" w:eastAsia="仿宋" w:cs="仿宋"/>
          <w:sz w:val="24"/>
        </w:rPr>
      </w:pPr>
      <w:r>
        <w:rPr>
          <w:rFonts w:hint="eastAsia" w:ascii="仿宋" w:hAnsi="仿宋" w:eastAsia="仿宋" w:cs="仿宋"/>
          <w:sz w:val="24"/>
        </w:rPr>
        <w:t>2、定期检查：每年需开展汛前检查、汛中检查和汛后检查，年末开展年度检查）。</w:t>
      </w:r>
    </w:p>
    <w:p>
      <w:pPr>
        <w:pStyle w:val="32"/>
        <w:ind w:firstLine="480" w:firstLineChars="200"/>
        <w:rPr>
          <w:rFonts w:hint="eastAsia" w:ascii="仿宋" w:hAnsi="仿宋" w:eastAsia="仿宋" w:cs="仿宋"/>
          <w:sz w:val="24"/>
        </w:rPr>
      </w:pPr>
      <w:r>
        <w:rPr>
          <w:rFonts w:hint="eastAsia" w:ascii="仿宋" w:hAnsi="仿宋" w:eastAsia="仿宋" w:cs="仿宋"/>
          <w:sz w:val="24"/>
        </w:rPr>
        <w:t>3、特别检查：遇到连续性强降雨、台风等灾害性天气或有危害闸泵站安全的突发性事件，应及时检查及时处置。</w:t>
      </w:r>
    </w:p>
    <w:p>
      <w:pPr>
        <w:pStyle w:val="32"/>
        <w:ind w:firstLine="480" w:firstLineChars="200"/>
        <w:rPr>
          <w:rFonts w:hint="eastAsia" w:ascii="仿宋" w:hAnsi="仿宋" w:eastAsia="仿宋" w:cs="仿宋"/>
          <w:sz w:val="24"/>
        </w:rPr>
      </w:pPr>
      <w:r>
        <w:rPr>
          <w:rFonts w:hint="eastAsia" w:ascii="仿宋" w:hAnsi="仿宋" w:eastAsia="仿宋" w:cs="仿宋"/>
          <w:sz w:val="24"/>
        </w:rPr>
        <w:t>4、专项检查：为完成上级临时指派的检查任务。</w:t>
      </w:r>
    </w:p>
    <w:p>
      <w:pPr>
        <w:pStyle w:val="32"/>
        <w:ind w:firstLine="480" w:firstLineChars="200"/>
        <w:rPr>
          <w:rFonts w:hint="eastAsia" w:ascii="仿宋" w:hAnsi="仿宋" w:eastAsia="仿宋" w:cs="仿宋"/>
          <w:sz w:val="24"/>
        </w:rPr>
      </w:pPr>
      <w:r>
        <w:rPr>
          <w:rFonts w:hint="eastAsia" w:ascii="仿宋" w:hAnsi="仿宋" w:eastAsia="仿宋" w:cs="仿宋"/>
          <w:sz w:val="24"/>
        </w:rPr>
        <w:t>5、河道巡查：需配备至少1辆巡查汽车，根据采购人职责范围进行巡查，实现每天对之江地区主干河道及风险点巡查到位，每周之江地区所有河道巡查全覆盖；重点检查涉河涉障和排污情况，发现异常等应及时制止，记录并上报处理。</w:t>
      </w:r>
    </w:p>
    <w:p>
      <w:pPr>
        <w:pStyle w:val="32"/>
        <w:ind w:firstLine="482" w:firstLineChars="200"/>
        <w:rPr>
          <w:rFonts w:hint="eastAsia" w:ascii="仿宋" w:hAnsi="仿宋" w:eastAsia="仿宋" w:cs="仿宋"/>
          <w:sz w:val="24"/>
        </w:rPr>
      </w:pPr>
      <w:r>
        <w:rPr>
          <w:rFonts w:hint="eastAsia" w:ascii="仿宋" w:hAnsi="仿宋" w:eastAsia="仿宋" w:cs="仿宋"/>
          <w:b/>
          <w:sz w:val="24"/>
        </w:rPr>
        <w:t>（三）工程观测</w:t>
      </w:r>
      <w:r>
        <w:rPr>
          <w:rFonts w:hint="eastAsia" w:ascii="仿宋" w:hAnsi="仿宋" w:eastAsia="仿宋" w:cs="仿宋"/>
          <w:sz w:val="24"/>
        </w:rPr>
        <w:t>主要指按照水利工程标准化要求对委托范围内各水利工程开展沉降、位移、淤积、水质浊度等观测工作，每月对观测情况进行汇总分析，每年对观测结果进行整编、分析和归档。</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（四）日常养护及维修抢修</w:t>
      </w:r>
      <w:r>
        <w:rPr>
          <w:rFonts w:hint="eastAsia" w:ascii="仿宋" w:hAnsi="仿宋" w:eastAsia="仿宋" w:cs="仿宋"/>
          <w:sz w:val="24"/>
        </w:rPr>
        <w:t>主要是指委托范围内各水利工程主机组（水泵及电动机及其传动装置）、高低压设施设备、金属结构（闸门及启闭机、拍门、拦污栅、清污机、压力钢管、起重设备等）、备用发电机、建筑物（引水渠、进出水池、进出水流道、泵房、变电房、管理用房、交通桥、站区道路等）、防汛仓库防汛及物资，泵站闸室建筑及附属物、计算机控制系统、自动化远程系统、视频监控系统、信息化管理平台、照明系统、公共设施养护等、辅助设施设备（上述设施设备以外的设备，如油、气、水、通风等系统，以及观测设施等）开展日常性养护及维修抢修。日常养护相关工作内容、频次、技术要求等参照《泵站技术管理规程》（GB/T 30948-2014）、《泵站运行管理规程》（DB33/T 2248—2020）、《大中型水闸运行管理规程》（DB33/T 2109-2018）规定执行。</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泵站工程维修养护包括：主机组维修养护，操作设备维修养护，视频监控、自动化系统维修养护，配电系统（含景观照明系统）、避雷设备维修养护，拦污栅、泵室建筑维修养护保洁，站区围墙护栏维修养护，泵站建筑物各项观测工作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水闸工程维修养护包括：闸门养护，启闭机维护，传制动系统维修养护，电动机维修养护，操作设备维修养护、计算机监控系统、视频监控系统、自动化系统维修养护，配电系统、防雷接地系统维修养护，闸室建筑维修养护保洁，水闸建筑物各项观测工作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应急排水车：负责排水车全年试运行和应急排水任务执行（24小时待命）；泵车及发电机、水泵组等所有机电设备的日常运行养护，完成排水车年检工作，其中保险费由委托方承担；排水车日常试运行费用总价包干（试运行每月一次），执行防汛应急任务费用另计按次结算（防汛任务出车必须配备驾驶员1人，电工1人、操作工3人，每人500元/次，每次工作8小时，超出8小时则以每小时60元/人计）。</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4、防汛物资养护管理：负责防汛仓库24小时值班管理（要求AB岗），做好防汛物资清点、进出等记录，做好防汛物资维护保养，做好仓库管理范围内卫生保洁和通风工作。</w:t>
      </w:r>
    </w:p>
    <w:p>
      <w:pPr>
        <w:adjustRightInd w:val="0"/>
        <w:snapToGrid w:val="0"/>
        <w:ind w:firstLine="482" w:firstLineChars="200"/>
        <w:rPr>
          <w:rFonts w:hint="eastAsia" w:ascii="仿宋" w:hAnsi="仿宋" w:eastAsia="仿宋" w:cs="仿宋"/>
          <w:b/>
          <w:sz w:val="24"/>
        </w:rPr>
      </w:pPr>
      <w:r>
        <w:rPr>
          <w:rFonts w:hint="eastAsia" w:ascii="仿宋" w:hAnsi="仿宋" w:eastAsia="仿宋" w:cs="仿宋"/>
          <w:b/>
          <w:sz w:val="24"/>
        </w:rPr>
        <w:t>（五）应急保障</w:t>
      </w:r>
      <w:r>
        <w:rPr>
          <w:rFonts w:hint="eastAsia" w:ascii="仿宋" w:hAnsi="仿宋" w:eastAsia="仿宋" w:cs="仿宋"/>
          <w:sz w:val="24"/>
        </w:rPr>
        <w:t>主要指如采购方有紧急任务的，或出现突发性状况、事件等危及泵闸站安全或防汛防台安全的，应及时采取有效的应急保障措施，确保安全和工程效益发挥。</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防汛防台抗旱</w:t>
      </w:r>
      <w:r>
        <w:rPr>
          <w:rFonts w:hint="eastAsia" w:ascii="仿宋" w:hAnsi="仿宋" w:eastAsia="仿宋" w:cs="仿宋"/>
          <w:sz w:val="24"/>
        </w:rPr>
        <w:t>主要指防汛防台防旱期间按照不同响应等级进行24小时值班值守，包括人员、物资和设备等方面的工作保障，并组织队伍随时待命，准备机械物资随时投入，服从采购人统一指挥。</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（六）绿化保洁</w:t>
      </w:r>
      <w:r>
        <w:rPr>
          <w:rFonts w:hint="eastAsia" w:ascii="仿宋" w:hAnsi="仿宋" w:eastAsia="仿宋" w:cs="仿宋"/>
          <w:sz w:val="24"/>
        </w:rPr>
        <w:t>主要指对委托范围内各水利工程管理范围的绿化进行养护和卫生环境进行保洁等。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绿化养护包括：养护范围中明确的全部绿地养护内容，包括养护期内死亡苗木补植、现有植物的养护管理和园林建筑、小品等所有配套设施及附属物的保洁和维护。养护标准参照《杭州市城区绿地养护质量标准》三级标准执行。总体要求如下：</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1)草皮覆盖度应大于80%，集中空秃面积超过0.5m2时应及时补种。</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2)草皮应定期整修、养护，保持平整，花木应定期修剪、整形和养护。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3)草皮纯洁度（每平方米内主草数量所占的百分比）应保持 80%以上，显眼杂草应根除。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4)雨淋洞、雨淋沟等应及时修复。</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5）草皮应定期修剪，4-11月间至少修剪五遍，常绿草高不得超过20CM，保持草坪平整度。没有种植地被植物的区域内杂草高度不超过30cm，绿地内藤类杂草应予清除。</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6）及时清理草皮上的石块、垃圾、搭建、垦种等，绿地整洁，不得有石块、果壳纸屑及其它垃圾，保持闸泵站环境整洁美观。</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7）发现大面积绿化枯死或被破坏等异常情况，及时上报。</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8）树木应做好病虫害防治工作，冬季及时涂白（涂白剂配比：生石灰10份，盐1份，硫磺粉1份，水40份）。</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9）树木枯死应适时补植，补植树木应选用原来的树种及规格。</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10）有防台防雪措施，对危树及时采取修枝、支撑加固，打雪或扶正等措施，遇灾害性天气及时组织进行抢扶。</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11）做好日常养护工作的记录，并编制到月度工作总结中，资料完整详细，定期归档。</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2、垃圾清运及污水处理包括：委托范围内各水利工程管理范围的卫生保洁及水面（河道）保洁等，保洁产生的垃圾按照分类要求及时清运，生活污水处理规范及时清掏等。</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（七）安全保卫</w:t>
      </w:r>
      <w:r>
        <w:rPr>
          <w:rFonts w:hint="eastAsia" w:ascii="仿宋" w:hAnsi="仿宋" w:eastAsia="仿宋" w:cs="仿宋"/>
          <w:sz w:val="24"/>
        </w:rPr>
        <w:t>主要指对委托范围内各水利工程管理范围的安全管理、疫情防控、**保卫、防潮管理、资产管理等工作，防止偷盗等事件的发生。</w:t>
      </w:r>
      <w:r>
        <w:rPr>
          <w:rFonts w:hint="eastAsia" w:ascii="仿宋" w:hAnsi="仿宋" w:eastAsia="仿宋" w:cs="仿宋"/>
          <w:b/>
          <w:sz w:val="24"/>
        </w:rPr>
        <w:t>疫情防控</w:t>
      </w:r>
      <w:r>
        <w:rPr>
          <w:rFonts w:hint="eastAsia" w:ascii="仿宋" w:hAnsi="仿宋" w:eastAsia="仿宋" w:cs="仿宋"/>
          <w:sz w:val="24"/>
        </w:rPr>
        <w:t>指加强所有运维人员的防疫安全教育，做好闸站区进出人员测温亮码等工作，确保站区防疫安全。</w:t>
      </w:r>
      <w:r>
        <w:rPr>
          <w:rFonts w:hint="eastAsia" w:ascii="仿宋" w:hAnsi="仿宋" w:eastAsia="仿宋" w:cs="仿宋"/>
          <w:b/>
          <w:sz w:val="24"/>
        </w:rPr>
        <w:t>防潮管理</w:t>
      </w:r>
      <w:r>
        <w:rPr>
          <w:rFonts w:hint="eastAsia" w:ascii="仿宋" w:hAnsi="仿宋" w:eastAsia="仿宋" w:cs="仿宋"/>
          <w:sz w:val="24"/>
        </w:rPr>
        <w:t>指沿江闸站管理范围内潮前潮后一小时的防潮安全管理，对外江侧钓鱼、游泳、游玩等有安全隐患事件进行劝离。</w:t>
      </w:r>
      <w:r>
        <w:rPr>
          <w:rFonts w:hint="eastAsia" w:ascii="仿宋" w:hAnsi="仿宋" w:eastAsia="仿宋" w:cs="仿宋"/>
          <w:b/>
          <w:sz w:val="24"/>
        </w:rPr>
        <w:t>资产管理</w:t>
      </w:r>
      <w:r>
        <w:rPr>
          <w:rFonts w:hint="eastAsia" w:ascii="仿宋" w:hAnsi="仿宋" w:eastAsia="仿宋" w:cs="仿宋"/>
          <w:sz w:val="24"/>
        </w:rPr>
        <w:t>指对委托范围内各水利工程的固定资产、办公用具等软硬件设施及设备进行登记和管理，确保国有资产不流失。</w:t>
      </w:r>
    </w:p>
    <w:p>
      <w:pPr>
        <w:adjustRightInd w:val="0"/>
        <w:snapToGrid w:val="0"/>
        <w:ind w:firstLine="482" w:firstLineChars="200"/>
        <w:rPr>
          <w:rFonts w:hint="eastAsia" w:ascii="仿宋" w:hAnsi="仿宋" w:eastAsia="仿宋" w:cs="仿宋"/>
          <w:b/>
          <w:sz w:val="24"/>
        </w:rPr>
      </w:pPr>
      <w:r>
        <w:rPr>
          <w:rFonts w:hint="eastAsia" w:ascii="仿宋" w:hAnsi="仿宋" w:eastAsia="仿宋" w:cs="仿宋"/>
          <w:b/>
          <w:sz w:val="24"/>
        </w:rPr>
        <w:t>（八）办公物业</w:t>
      </w:r>
      <w:r>
        <w:rPr>
          <w:rFonts w:hint="eastAsia" w:ascii="仿宋" w:hAnsi="仿宋" w:eastAsia="仿宋" w:cs="仿宋"/>
          <w:sz w:val="24"/>
        </w:rPr>
        <w:t>主要指采购方办公区域的物业化管理，包括水、电、气、照明等的维修养护，环境美化洁化，会议会场、车辆管理和保障等，随时服从采购人调配并积极配合。</w:t>
      </w:r>
    </w:p>
    <w:p>
      <w:pPr>
        <w:adjustRightInd w:val="0"/>
        <w:snapToGrid w:val="0"/>
        <w:ind w:firstLine="482" w:firstLineChars="200"/>
        <w:rPr>
          <w:rFonts w:hint="eastAsia" w:ascii="仿宋" w:hAnsi="仿宋" w:eastAsia="仿宋" w:cs="仿宋"/>
          <w:sz w:val="24"/>
        </w:rPr>
      </w:pPr>
      <w:r>
        <w:rPr>
          <w:rFonts w:hint="eastAsia" w:ascii="仿宋" w:hAnsi="仿宋" w:eastAsia="仿宋" w:cs="仿宋"/>
          <w:b/>
          <w:sz w:val="24"/>
        </w:rPr>
        <w:t>（九）文档台帐</w:t>
      </w:r>
      <w:r>
        <w:rPr>
          <w:rFonts w:hint="eastAsia" w:ascii="仿宋" w:hAnsi="仿宋" w:eastAsia="仿宋" w:cs="仿宋"/>
          <w:sz w:val="24"/>
        </w:rPr>
        <w:t>主要指对委托范围内各水利工程原有台账的管理及按照水利工程标准化运维管理过程中形成的新台账管理。要求每年至少1次对相关台账按照操作运行、工程检查、工程观测、维修养护、应急保障、防汛抗旱抗台、绿化保洁、其他技术辅助类工作等类别进行整编归档。</w:t>
      </w:r>
      <w:r>
        <w:rPr>
          <w:rFonts w:hint="eastAsia" w:ascii="仿宋" w:hAnsi="仿宋" w:eastAsia="仿宋" w:cs="仿宋"/>
          <w:b/>
          <w:sz w:val="24"/>
        </w:rPr>
        <w:t xml:space="preserve"> </w:t>
      </w:r>
    </w:p>
    <w:p>
      <w:pPr>
        <w:adjustRightInd w:val="0"/>
        <w:snapToGrid w:val="0"/>
        <w:ind w:firstLine="422" w:firstLineChars="200"/>
        <w:rPr>
          <w:rFonts w:hint="eastAsia" w:ascii="仿宋" w:hAnsi="仿宋" w:eastAsia="仿宋" w:cs="仿宋"/>
          <w:sz w:val="24"/>
        </w:rPr>
      </w:pPr>
      <w:r>
        <w:rPr>
          <w:rFonts w:hint="eastAsia" w:ascii="仿宋" w:hAnsi="仿宋" w:eastAsia="仿宋" w:cs="仿宋"/>
          <w:b/>
        </w:rPr>
        <w:t>（十）其他技术辅助类工作</w:t>
      </w:r>
      <w:r>
        <w:rPr>
          <w:rFonts w:hint="eastAsia" w:ascii="仿宋" w:hAnsi="仿宋" w:eastAsia="仿宋" w:cs="仿宋"/>
        </w:rPr>
        <w:t>是指协助配合采购方开展大修专修、技术改造、安全鉴定、信息化管理及技术人员支撑等工作，并提供技术性意见。具体项目部人员需常驻现场办公，相关人员服从排灌站调度安排，发挥专业优势，有效提供机电设备维养、水工建筑维护、工程测量测绘、造价预算编制、绿化养护等技术支撑服务。</w:t>
      </w:r>
      <w:r>
        <w:rPr>
          <w:rFonts w:hint="eastAsia" w:ascii="仿宋" w:hAnsi="仿宋" w:eastAsia="仿宋" w:cs="仿宋"/>
          <w:sz w:val="24"/>
        </w:rPr>
        <w:t>垃圾清运及污水处理包括：委托范围内各水利工程管理范围的卫生保洁及水面（河道）保洁等，保洁产生的垃圾按照分类要求及时清运，生活污水处理规范及时清掏等</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除日常维护内容外，潜水泵返厂大修、闸门（启闭机）大修、电气预防性测试、运行电费、排水车保险仍由甲方承担，水费、燃气费等由乙方承担。如出现突发性状况，且非因管理、维护或操作上不当，由甲方确认确需通过大修才能排除的故障，按程序申报主管部门批准后可按照大修处置，但突发状况存在安全隐患或不及时处置会产生较大影响的，乙方仍需及时处置，保障运行安全。由于投标人管理或操作不当或未及时抢修引起的设备事故或造成重大事件的投标人应负责赔偿并承担相应损失。</w:t>
      </w:r>
    </w:p>
    <w:p>
      <w:pPr>
        <w:ind w:firstLine="482" w:firstLineChars="200"/>
        <w:rPr>
          <w:rFonts w:hint="eastAsia" w:ascii="仿宋" w:hAnsi="仿宋" w:eastAsia="仿宋" w:cs="仿宋"/>
          <w:sz w:val="24"/>
        </w:rPr>
      </w:pPr>
      <w:r>
        <w:rPr>
          <w:rFonts w:hint="eastAsia" w:ascii="仿宋" w:hAnsi="仿宋" w:eastAsia="仿宋" w:cs="仿宋"/>
          <w:b/>
          <w:sz w:val="24"/>
        </w:rPr>
        <w:t>3、管护要求</w:t>
      </w:r>
    </w:p>
    <w:p>
      <w:pPr>
        <w:adjustRightInd w:val="0"/>
        <w:snapToGrid w:val="0"/>
        <w:ind w:firstLine="480" w:firstLineChars="200"/>
        <w:rPr>
          <w:rFonts w:hint="eastAsia" w:ascii="仿宋" w:hAnsi="仿宋" w:eastAsia="仿宋" w:cs="仿宋"/>
          <w:sz w:val="24"/>
          <w:u w:val="single"/>
        </w:rPr>
      </w:pPr>
      <w:r>
        <w:rPr>
          <w:rFonts w:hint="eastAsia" w:ascii="仿宋" w:hAnsi="仿宋" w:eastAsia="仿宋" w:cs="仿宋"/>
          <w:sz w:val="24"/>
        </w:rPr>
        <w:t>3.1人员总数</w:t>
      </w:r>
      <w:r>
        <w:rPr>
          <w:rFonts w:hint="eastAsia" w:ascii="仿宋" w:hAnsi="仿宋" w:eastAsia="仿宋" w:cs="仿宋"/>
          <w:sz w:val="24"/>
          <w:u w:val="single"/>
        </w:rPr>
        <w:t xml:space="preserve">    </w:t>
      </w:r>
      <w:r>
        <w:rPr>
          <w:rFonts w:hint="eastAsia" w:ascii="仿宋" w:hAnsi="仿宋" w:eastAsia="仿宋" w:cs="仿宋"/>
          <w:sz w:val="24"/>
        </w:rPr>
        <w:t>人，其中泵站运行工</w:t>
      </w:r>
      <w:r>
        <w:rPr>
          <w:rFonts w:hint="eastAsia" w:ascii="仿宋" w:hAnsi="仿宋" w:eastAsia="仿宋" w:cs="仿宋"/>
          <w:sz w:val="24"/>
          <w:u w:val="single"/>
        </w:rPr>
        <w:t xml:space="preserve">    </w:t>
      </w:r>
      <w:r>
        <w:rPr>
          <w:rFonts w:hint="eastAsia" w:ascii="仿宋" w:hAnsi="仿宋" w:eastAsia="仿宋" w:cs="仿宋"/>
          <w:sz w:val="24"/>
        </w:rPr>
        <w:t>人，水闸运行工</w:t>
      </w:r>
      <w:r>
        <w:rPr>
          <w:rFonts w:hint="eastAsia" w:ascii="仿宋" w:hAnsi="仿宋" w:eastAsia="仿宋" w:cs="仿宋"/>
          <w:sz w:val="24"/>
          <w:u w:val="single"/>
        </w:rPr>
        <w:t xml:space="preserve">    </w:t>
      </w:r>
      <w:r>
        <w:rPr>
          <w:rFonts w:hint="eastAsia" w:ascii="仿宋" w:hAnsi="仿宋" w:eastAsia="仿宋" w:cs="仿宋"/>
          <w:sz w:val="24"/>
        </w:rPr>
        <w:t>人，高压电工</w:t>
      </w:r>
      <w:r>
        <w:rPr>
          <w:rFonts w:hint="eastAsia" w:ascii="仿宋" w:hAnsi="仿宋" w:eastAsia="仿宋" w:cs="仿宋"/>
          <w:sz w:val="24"/>
          <w:u w:val="single"/>
        </w:rPr>
        <w:t xml:space="preserve">    </w:t>
      </w:r>
      <w:r>
        <w:rPr>
          <w:rFonts w:hint="eastAsia" w:ascii="仿宋" w:hAnsi="仿宋" w:eastAsia="仿宋" w:cs="仿宋"/>
          <w:sz w:val="24"/>
        </w:rPr>
        <w:t>人，B1及以上驾驶员</w:t>
      </w:r>
      <w:r>
        <w:rPr>
          <w:rFonts w:hint="eastAsia" w:ascii="仿宋" w:hAnsi="仿宋" w:eastAsia="仿宋" w:cs="仿宋"/>
          <w:sz w:val="24"/>
          <w:u w:val="single"/>
        </w:rPr>
        <w:t xml:space="preserve">    </w:t>
      </w:r>
      <w:r>
        <w:rPr>
          <w:rFonts w:hint="eastAsia" w:ascii="仿宋" w:hAnsi="仿宋" w:eastAsia="仿宋" w:cs="仿宋"/>
          <w:sz w:val="24"/>
        </w:rPr>
        <w:t>人。项目负责人为</w:t>
      </w:r>
      <w:r>
        <w:rPr>
          <w:rFonts w:hint="eastAsia" w:ascii="仿宋" w:hAnsi="仿宋" w:eastAsia="仿宋" w:cs="仿宋"/>
          <w:sz w:val="24"/>
          <w:u w:val="single"/>
        </w:rPr>
        <w:t xml:space="preserve">     </w:t>
      </w:r>
      <w:r>
        <w:rPr>
          <w:rFonts w:hint="eastAsia" w:ascii="仿宋" w:hAnsi="仿宋" w:eastAsia="仿宋" w:cs="仿宋"/>
          <w:sz w:val="24"/>
        </w:rPr>
        <w:t>，技术负责人为</w:t>
      </w:r>
      <w:r>
        <w:rPr>
          <w:rFonts w:hint="eastAsia" w:ascii="仿宋" w:hAnsi="仿宋" w:eastAsia="仿宋" w:cs="仿宋"/>
          <w:sz w:val="24"/>
          <w:u w:val="single"/>
        </w:rPr>
        <w:t xml:space="preserve">      。项目部其他人员    </w:t>
      </w:r>
      <w:r>
        <w:rPr>
          <w:rFonts w:hint="eastAsia" w:ascii="仿宋" w:hAnsi="仿宋" w:eastAsia="仿宋" w:cs="仿宋"/>
          <w:sz w:val="24"/>
        </w:rPr>
        <w:t>人，分站长</w:t>
      </w:r>
      <w:r>
        <w:rPr>
          <w:rFonts w:hint="eastAsia" w:ascii="仿宋" w:hAnsi="仿宋" w:eastAsia="仿宋" w:cs="仿宋"/>
          <w:sz w:val="24"/>
          <w:u w:val="single"/>
        </w:rPr>
        <w:t xml:space="preserve">    </w:t>
      </w:r>
      <w:r>
        <w:rPr>
          <w:rFonts w:hint="eastAsia" w:ascii="仿宋" w:hAnsi="仿宋" w:eastAsia="仿宋" w:cs="仿宋"/>
          <w:sz w:val="24"/>
        </w:rPr>
        <w:t>人。</w:t>
      </w:r>
    </w:p>
    <w:p>
      <w:pPr>
        <w:adjustRightInd w:val="0"/>
        <w:snapToGrid w:val="0"/>
        <w:ind w:firstLine="480" w:firstLineChars="200"/>
        <w:rPr>
          <w:rFonts w:hint="eastAsia" w:ascii="仿宋" w:hAnsi="仿宋" w:eastAsia="仿宋" w:cs="仿宋"/>
          <w:strike/>
          <w:sz w:val="24"/>
        </w:rPr>
      </w:pPr>
      <w:r>
        <w:rPr>
          <w:rFonts w:hint="eastAsia" w:ascii="仿宋" w:hAnsi="仿宋" w:eastAsia="仿宋" w:cs="仿宋"/>
          <w:sz w:val="24"/>
        </w:rPr>
        <w:t>3.2</w:t>
      </w:r>
      <w:r>
        <w:rPr>
          <w:rFonts w:hint="eastAsia" w:ascii="仿宋" w:hAnsi="仿宋" w:eastAsia="仿宋" w:cs="仿宋"/>
          <w:bCs/>
          <w:sz w:val="24"/>
        </w:rPr>
        <w:t>本项目所有工作由项目部统筹，各分站具体负责。项目部负责</w:t>
      </w:r>
      <w:r>
        <w:rPr>
          <w:rFonts w:hint="eastAsia" w:ascii="仿宋" w:hAnsi="仿宋" w:eastAsia="仿宋" w:cs="仿宋"/>
          <w:sz w:val="24"/>
        </w:rPr>
        <w:t>牵头制定年度、月度维养计划，牵头开展运行调度、维修养护、工程观测、工程检查、控制运用、安全生产、应急管理、技术支撑等工作，对各分站点运行管理情况开展监督检查和考核，统筹评估各分站运维成效。</w:t>
      </w:r>
      <w:r>
        <w:rPr>
          <w:rFonts w:hint="eastAsia" w:ascii="仿宋" w:hAnsi="仿宋" w:eastAsia="仿宋" w:cs="仿宋"/>
          <w:bCs/>
          <w:sz w:val="24"/>
        </w:rPr>
        <w:t>各分站负责</w:t>
      </w:r>
      <w:r>
        <w:rPr>
          <w:rFonts w:hint="eastAsia" w:ascii="仿宋" w:hAnsi="仿宋" w:eastAsia="仿宋" w:cs="仿宋"/>
          <w:sz w:val="24"/>
        </w:rPr>
        <w:t>所辖站区的操作运行、检查巡查、工程观测、维修养护、安全生产等具体工作，并对工程受益范围的成效进行日常检查，达到控运要求。具体内容包含但不限于操作运行、工程检查、工程观测、日常养护、维修抢修、应急保障、防汛防台抗旱、绿化保洁、安全保卫、疫情防控、防潮管理、办公物业、文档台帐、其他技术辅助类等工作。</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3.3坚持“以人为本、安全第一”的方针，每月不少于</w:t>
      </w:r>
      <w:r>
        <w:rPr>
          <w:rFonts w:hint="eastAsia" w:ascii="仿宋" w:hAnsi="仿宋" w:eastAsia="仿宋" w:cs="仿宋"/>
          <w:sz w:val="24"/>
          <w:u w:val="single"/>
        </w:rPr>
        <w:t xml:space="preserve"> 1 </w:t>
      </w:r>
      <w:r>
        <w:rPr>
          <w:rFonts w:hint="eastAsia" w:ascii="仿宋" w:hAnsi="仿宋" w:eastAsia="仿宋" w:cs="仿宋"/>
          <w:sz w:val="24"/>
        </w:rPr>
        <w:t>次组织进行全员安全生产学习或培训，并做好培训记录，运维人员需严格按照程序操作设施设备，新进人员需培训后上岗。如发生安全生产事故，第一时间做好补救措施并向甲方报告。</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三、合同金额</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本合同金额为：人民币___________元/年（大写），￥_______元/年（小写），包括但不限于材料费、税金、人工费、技术费等一切费用。</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四、工作依据及标准</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1、双方签订的委托合同；</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kern w:val="2"/>
          <w:szCs w:val="24"/>
        </w:rPr>
        <w:t>2、</w:t>
      </w:r>
      <w:r>
        <w:rPr>
          <w:rFonts w:hint="eastAsia" w:ascii="仿宋" w:hAnsi="仿宋" w:eastAsia="仿宋" w:cs="仿宋"/>
          <w:szCs w:val="24"/>
        </w:rPr>
        <w:t>西湖区排灌泵闸站委托运维管理项目考核办法；</w:t>
      </w:r>
    </w:p>
    <w:p>
      <w:pPr>
        <w:ind w:firstLine="480" w:firstLineChars="200"/>
        <w:rPr>
          <w:rFonts w:hint="eastAsia" w:ascii="仿宋" w:hAnsi="仿宋" w:eastAsia="仿宋" w:cs="仿宋"/>
          <w:b/>
          <w:sz w:val="24"/>
        </w:rPr>
      </w:pPr>
      <w:r>
        <w:rPr>
          <w:rFonts w:hint="eastAsia" w:ascii="仿宋" w:hAnsi="仿宋" w:eastAsia="仿宋" w:cs="仿宋"/>
          <w:sz w:val="24"/>
        </w:rPr>
        <w:t>3、西湖区排灌泵闸站委托运维管理项目防汛排涝运行规程；</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4、甲方提供的与本采购项目有关的资料及投标文件内容；</w:t>
      </w:r>
    </w:p>
    <w:p>
      <w:pPr>
        <w:pStyle w:val="144"/>
        <w:adjustRightInd w:val="0"/>
        <w:spacing w:afterLines="0"/>
        <w:ind w:firstLine="480"/>
        <w:rPr>
          <w:rFonts w:ascii="仿宋" w:hAnsi="仿宋" w:eastAsia="仿宋" w:cs="仿宋"/>
          <w:kern w:val="2"/>
          <w:szCs w:val="24"/>
        </w:rPr>
      </w:pPr>
      <w:r>
        <w:rPr>
          <w:rFonts w:hint="eastAsia" w:ascii="仿宋" w:hAnsi="仿宋" w:eastAsia="仿宋" w:cs="仿宋"/>
          <w:kern w:val="2"/>
          <w:szCs w:val="24"/>
        </w:rPr>
        <w:t>5、</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国家和行业主管部门颁布的现行技术规程、规范、标准和技术条例，包括（但不限于）；</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w:t>
      </w:r>
      <w:r>
        <w:rPr>
          <w:rFonts w:hint="eastAsia" w:ascii="仿宋" w:hAnsi="仿宋" w:eastAsia="仿宋" w:cs="仿宋"/>
          <w:szCs w:val="24"/>
        </w:rPr>
        <w:t>GB/T30948-2014《泵站技术管理规程》；</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2)《浙江省泵站运行管理规程（试行）》；</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3）《浙江省大中型水闸工程运行管理规程（试行）》；</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4）《浙江省水利工程标准化管理验收办法》；</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kern w:val="2"/>
          <w:szCs w:val="24"/>
        </w:rPr>
        <w:t>5）</w:t>
      </w:r>
      <w:r>
        <w:rPr>
          <w:rFonts w:hint="eastAsia" w:ascii="仿宋" w:hAnsi="仿宋" w:eastAsia="仿宋" w:cs="仿宋"/>
          <w:szCs w:val="24"/>
        </w:rPr>
        <w:t>《之江地区水利工程控制运行计划》</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szCs w:val="24"/>
        </w:rPr>
        <w:t>6)《</w:t>
      </w:r>
      <w:r>
        <w:rPr>
          <w:rFonts w:hint="eastAsia" w:ascii="仿宋" w:hAnsi="仿宋" w:eastAsia="仿宋" w:cs="仿宋"/>
        </w:rPr>
        <w:t>西湖区农业农村局（水利局）防汛防台抗旱应急预案</w:t>
      </w:r>
      <w:r>
        <w:rPr>
          <w:rFonts w:hint="eastAsia" w:ascii="仿宋" w:hAnsi="仿宋" w:eastAsia="仿宋" w:cs="仿宋"/>
          <w:szCs w:val="24"/>
        </w:rPr>
        <w:t>》</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五、知识产权</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乙方应保证提供服务过程中不会侵犯任何第三方的知识产权，若有违反，造成的相关损失由乙方自行承担，如造成甲方损失的由乙方赔偿。</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六、履约保证金</w:t>
      </w:r>
    </w:p>
    <w:p>
      <w:pPr>
        <w:snapToGrid w:val="0"/>
        <w:ind w:firstLine="480" w:firstLineChars="200"/>
        <w:rPr>
          <w:rFonts w:hint="eastAsia" w:ascii="仿宋" w:hAnsi="仿宋" w:eastAsia="仿宋" w:cs="仿宋"/>
          <w:sz w:val="24"/>
        </w:rPr>
      </w:pPr>
      <w:r>
        <w:rPr>
          <w:rFonts w:hint="eastAsia" w:ascii="仿宋" w:hAnsi="仿宋" w:eastAsia="仿宋" w:cs="仿宋"/>
          <w:sz w:val="24"/>
        </w:rPr>
        <w:t>1、采用银行支票或银行保函形式，按采购文件要求提供中标金额的1%作为本履约保证金。</w:t>
      </w:r>
    </w:p>
    <w:p>
      <w:pPr>
        <w:snapToGrid w:val="0"/>
        <w:ind w:firstLine="480" w:firstLineChars="200"/>
        <w:rPr>
          <w:rFonts w:hint="eastAsia" w:ascii="仿宋" w:hAnsi="仿宋" w:eastAsia="仿宋" w:cs="仿宋"/>
          <w:sz w:val="24"/>
        </w:rPr>
      </w:pPr>
      <w:r>
        <w:rPr>
          <w:rFonts w:hint="eastAsia" w:ascii="仿宋" w:hAnsi="仿宋" w:eastAsia="仿宋" w:cs="仿宋"/>
          <w:sz w:val="24"/>
        </w:rPr>
        <w:t>2、履约保证金缴纳账户：</w:t>
      </w:r>
    </w:p>
    <w:p>
      <w:pPr>
        <w:snapToGrid w:val="0"/>
        <w:ind w:firstLine="480" w:firstLineChars="200"/>
        <w:rPr>
          <w:rFonts w:hint="eastAsia" w:ascii="仿宋" w:hAnsi="仿宋" w:eastAsia="仿宋" w:cs="仿宋"/>
          <w:sz w:val="24"/>
        </w:rPr>
      </w:pPr>
      <w:r>
        <w:rPr>
          <w:rFonts w:hint="eastAsia" w:ascii="仿宋" w:hAnsi="仿宋" w:eastAsia="仿宋" w:cs="仿宋"/>
          <w:sz w:val="24"/>
        </w:rPr>
        <w:t>户名：杭州市西湖区排灌设施管理服务站</w:t>
      </w:r>
    </w:p>
    <w:p>
      <w:pPr>
        <w:snapToGrid w:val="0"/>
        <w:ind w:firstLine="480" w:firstLineChars="200"/>
        <w:rPr>
          <w:rFonts w:hint="eastAsia" w:ascii="仿宋" w:hAnsi="仿宋" w:eastAsia="仿宋" w:cs="仿宋"/>
          <w:sz w:val="24"/>
        </w:rPr>
      </w:pPr>
      <w:r>
        <w:rPr>
          <w:rFonts w:hint="eastAsia" w:ascii="仿宋" w:hAnsi="仿宋" w:eastAsia="仿宋" w:cs="仿宋"/>
          <w:sz w:val="24"/>
        </w:rPr>
        <w:t>开户行：杭州银行西湖支行</w:t>
      </w:r>
    </w:p>
    <w:p>
      <w:pPr>
        <w:snapToGrid w:val="0"/>
        <w:ind w:firstLine="480" w:firstLineChars="200"/>
        <w:rPr>
          <w:rFonts w:hint="eastAsia" w:ascii="仿宋" w:hAnsi="仿宋" w:eastAsia="仿宋" w:cs="仿宋"/>
          <w:sz w:val="24"/>
        </w:rPr>
      </w:pPr>
      <w:r>
        <w:rPr>
          <w:rFonts w:hint="eastAsia" w:ascii="仿宋" w:hAnsi="仿宋" w:eastAsia="仿宋" w:cs="仿宋"/>
          <w:sz w:val="24"/>
        </w:rPr>
        <w:t>账号：77088100000715-0098</w:t>
      </w:r>
    </w:p>
    <w:p>
      <w:pPr>
        <w:snapToGrid w:val="0"/>
        <w:ind w:firstLine="480" w:firstLineChars="200"/>
        <w:rPr>
          <w:rFonts w:hint="eastAsia" w:ascii="仿宋" w:hAnsi="仿宋" w:eastAsia="仿宋" w:cs="仿宋"/>
          <w:sz w:val="24"/>
          <w:u w:val="single"/>
        </w:rPr>
      </w:pPr>
      <w:r>
        <w:rPr>
          <w:rFonts w:hint="eastAsia" w:ascii="仿宋" w:hAnsi="仿宋" w:eastAsia="仿宋" w:cs="仿宋"/>
          <w:sz w:val="24"/>
        </w:rPr>
        <w:t>3、履约保证金提交时间：合同签订前。</w:t>
      </w:r>
    </w:p>
    <w:p>
      <w:pPr>
        <w:snapToGrid w:val="0"/>
        <w:ind w:firstLine="480" w:firstLineChars="200"/>
        <w:rPr>
          <w:rFonts w:hint="eastAsia" w:ascii="仿宋" w:hAnsi="仿宋" w:eastAsia="仿宋" w:cs="仿宋"/>
          <w:sz w:val="24"/>
        </w:rPr>
      </w:pPr>
      <w:r>
        <w:rPr>
          <w:rFonts w:hint="eastAsia" w:ascii="仿宋" w:hAnsi="仿宋" w:eastAsia="仿宋" w:cs="仿宋"/>
          <w:sz w:val="24"/>
        </w:rPr>
        <w:t>4、双方合作期限终止，无权利义务纠纷之后，无息退还履约保证金。</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七、转包或分包</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本合同范围的服务，应由乙方直接供应，不得转包；本合同也不允许分包。乙方转包或分包的，甲方有权不经通知即解除合同，没收履约保证金，且乙方应当无条件返还之前甲方支付的款项，并赔偿一切损失（包括但不限于直接损失、间接损失、招投标费用、律师费、诉讼费等一切损失）。</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八、合同履行时间、履行方式及履行地点</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1、履行时间：    年  月  日至   年  月   日。服务期计算以甲方确认为准。</w:t>
      </w:r>
    </w:p>
    <w:p>
      <w:pPr>
        <w:ind w:firstLine="480" w:firstLineChars="200"/>
        <w:rPr>
          <w:rFonts w:hint="eastAsia" w:ascii="仿宋" w:hAnsi="仿宋" w:eastAsia="仿宋" w:cs="仿宋"/>
          <w:sz w:val="24"/>
        </w:rPr>
      </w:pPr>
      <w:r>
        <w:rPr>
          <w:rFonts w:hint="eastAsia" w:ascii="仿宋" w:hAnsi="仿宋" w:eastAsia="仿宋" w:cs="仿宋"/>
          <w:sz w:val="24"/>
        </w:rPr>
        <w:t>2、乙方接到甲方通知后未在3日内进场的，每逾期一天支付合同总价款千分之一的违约金，逾期超过3天的，视为乙方单方面解除合同，甲方有权没收履约保证金并要求乙方赔偿一切损失（包括但不限于直接损失、间接损失、招投标费用、律师费、诉讼费等一切损失）。</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3、履行方式：详见附录。</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4、履行地点：杭州市西湖区排灌设施管理服务站。</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九、款项支付</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款项支付分月度考核款和年度考核款。</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月度考核款为经考核后当月应得运维费的80%，剩余20%作为年度考核款待</w:t>
      </w:r>
      <w:r>
        <w:rPr>
          <w:rFonts w:hint="eastAsia" w:ascii="仿宋" w:hAnsi="仿宋" w:eastAsia="仿宋" w:cs="仿宋"/>
          <w:sz w:val="24"/>
        </w:rPr>
        <w:t>服务期满年度考核</w:t>
      </w:r>
      <w:r>
        <w:rPr>
          <w:rFonts w:hint="eastAsia" w:ascii="仿宋" w:hAnsi="仿宋" w:eastAsia="仿宋" w:cs="仿宋"/>
          <w:sz w:val="24"/>
          <w:lang w:val="en-GB"/>
        </w:rPr>
        <w:t>后结算。</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年度考核款为每月应得运维费的20%*12个月，年度考核后按考核结果按实支付。</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每次款项支付7个工作日前，乙方需提供相应金额的财政部门认可的正规发票，提示甲方付款，否则甲方有权拒绝付款并不视为违约。</w:t>
      </w:r>
    </w:p>
    <w:p>
      <w:pPr>
        <w:ind w:firstLine="480" w:firstLineChars="200"/>
        <w:rPr>
          <w:rFonts w:hint="eastAsia" w:ascii="仿宋" w:hAnsi="仿宋" w:eastAsia="仿宋" w:cs="仿宋"/>
          <w:sz w:val="24"/>
          <w:lang w:val="en-GB"/>
        </w:rPr>
      </w:pPr>
      <w:r>
        <w:rPr>
          <w:rFonts w:hint="eastAsia" w:ascii="仿宋" w:hAnsi="仿宋" w:eastAsia="仿宋" w:cs="仿宋"/>
          <w:sz w:val="24"/>
          <w:lang w:val="en-GB"/>
        </w:rPr>
        <w:t>付款按财政政策执行，因服务商未按合同履行或考核不合格以及不符合财政资金支付时间要求等原因造成不能及时付款的，甲方不承担责任。</w:t>
      </w:r>
    </w:p>
    <w:p>
      <w:pPr>
        <w:ind w:firstLine="480" w:firstLineChars="200"/>
        <w:rPr>
          <w:rFonts w:hint="eastAsia" w:ascii="仿宋" w:hAnsi="仿宋" w:eastAsia="仿宋" w:cs="仿宋"/>
          <w:sz w:val="32"/>
          <w:lang w:val="en-GB"/>
        </w:rPr>
      </w:pPr>
      <w:r>
        <w:rPr>
          <w:rFonts w:hint="eastAsia" w:ascii="仿宋" w:hAnsi="仿宋" w:eastAsia="仿宋" w:cs="仿宋"/>
          <w:sz w:val="24"/>
        </w:rPr>
        <w:t>如因政策原因或工程建设需要导致某处闸站不需要乙方继续运维的，甲方出具该闸站点中止运维通知书，相关费用按投标文件报价按实结算。</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十、双方权利与责任</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1、甲方权利与责任</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1.1在汛期、配水等特殊情况下，有权就调度运行方案等作出调整。</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1.2有权要求承包人撤换不称职的项目组成员。</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1.3制定月度考核及年度考核办法，乙方申请考核后及时组织考核，并将考核结果及扣分点通报乙方。</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1.4按合同规定，向乙方支付相关费用。</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1.5 负责并协调对外工作，协调调度运行过程中涉及的对外、对上关系。</w:t>
      </w:r>
    </w:p>
    <w:p>
      <w:pPr>
        <w:pStyle w:val="144"/>
        <w:adjustRightInd w:val="0"/>
        <w:spacing w:afterLines="0"/>
        <w:ind w:firstLine="480"/>
        <w:rPr>
          <w:rFonts w:hint="eastAsia" w:ascii="仿宋" w:hAnsi="仿宋" w:eastAsia="仿宋" w:cs="仿宋"/>
          <w:kern w:val="2"/>
          <w:szCs w:val="24"/>
        </w:rPr>
      </w:pP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2、乙方权利与责任</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2.1在甲方考核合格的前提下，有权按期获得合同规定的报酬。</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2.2按合同规定的工作内容和要求开展站区所有防汛配水设施设备日常运行维护、安全管理及站区绿化、保洁工作。</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2.3应由投标文件所承诺的项目组完成本合同工作，确保其委派的关键岗位负责人在本合同期间持续稳定地在该项目组工作。项目负责人和技术负责人等主要人员原则上不得更换，确因特殊情况需要更换，至少应提供相同等次的人员并征得甲方的同意。若甲方要求更换人员时，乙方应推荐合适人选，以满足发包人的要求。</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2.4乙方为项目组所有自有人员设备及第三方生命财产办理保险并支付保险费用，费用已包含在合同总价内。合同期间所发生的与本项目有关的乙方人员、财产等意外伤害、损失，由乙方承担全部责任和费用。</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2.5在遇到突发性事件及安全事故时，乙方须及时做好应急处理并同步上报甲方，尽可能降低事件影响和事故损失；同时因乙方自身原因产生的安全事故或因乙方延时处理或上报产生的不良后果，由乙方承担所有责任（包含刑事责任）并赔偿甲方一切损失（包括但不限于直接损失、间接损失、招投标费用、律师费、诉讼费等一切损失）。</w:t>
      </w:r>
    </w:p>
    <w:p>
      <w:pPr>
        <w:adjustRightInd w:val="0"/>
        <w:snapToGrid w:val="0"/>
        <w:ind w:firstLine="480" w:firstLineChars="200"/>
        <w:rPr>
          <w:rFonts w:hint="eastAsia" w:ascii="仿宋" w:hAnsi="仿宋" w:eastAsia="仿宋" w:cs="仿宋"/>
          <w:sz w:val="24"/>
        </w:rPr>
      </w:pPr>
      <w:bookmarkStart w:id="7" w:name="_Hlk528077645"/>
      <w:r>
        <w:rPr>
          <w:rFonts w:hint="eastAsia" w:ascii="仿宋" w:hAnsi="仿宋" w:eastAsia="仿宋" w:cs="仿宋"/>
          <w:sz w:val="24"/>
        </w:rPr>
        <w:t>2.6乙方在工作过程中与第三人发生纠纷或造成第三人人身财产损失的，由乙方自行出面解决并承担全部责任。</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rPr>
        <w:t>2.7乙方与其工作人员签订劳动合同，并承担薪酬发放、社保缴纳以及其他应由用人单位承担的义务。若有引发劳动争议的，由乙方自行解决，甲方不承担任何责任，如造成甲方损失的，乙方应当赔偿甲方损失。</w:t>
      </w:r>
      <w:bookmarkEnd w:id="7"/>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十一、违约责任</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1、合同生效后，乙方无正当理由要求终止或解除合同，发包人没收其履约保证金，并赔偿一切损失（包括但不限于直接损失、间接损失、招投标费用、律师费、诉讼费等一切损失）。</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2、若乙方不服从甲方调度安排而且引起的一切损失由乙方承担，每发生一次扣减合同价的1%。</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kern w:val="2"/>
          <w:szCs w:val="24"/>
        </w:rPr>
        <w:t>3、2022年12月31日前完成交接工作，2023年1月1日</w:t>
      </w:r>
      <w:r>
        <w:rPr>
          <w:rFonts w:hint="eastAsia" w:ascii="仿宋" w:hAnsi="仿宋" w:eastAsia="仿宋" w:cs="仿宋"/>
          <w:szCs w:val="24"/>
        </w:rPr>
        <w:t>项目负责人、技术负责人、分站长及其他所有人员必须按照招标文件要求到位，确保所有闸泵站正常运行，未到位则甲方有权解除合同，没收履约保证金。</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szCs w:val="24"/>
        </w:rPr>
        <w:t>4、未经甲方同意擅自更换项目负责人、技术负责人、分站长等项目部主要人员的，每更换一人次当月直接扣减合同价10万元。</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kern w:val="2"/>
          <w:szCs w:val="24"/>
        </w:rPr>
        <w:t>5、其他参照</w:t>
      </w:r>
      <w:r>
        <w:rPr>
          <w:rFonts w:hint="eastAsia" w:ascii="仿宋" w:hAnsi="仿宋" w:eastAsia="仿宋" w:cs="仿宋"/>
          <w:szCs w:val="24"/>
        </w:rPr>
        <w:t>西湖区排灌泵闸站委托运维管理项目考核办法。</w:t>
      </w:r>
    </w:p>
    <w:p>
      <w:pPr>
        <w:pStyle w:val="144"/>
        <w:adjustRightInd w:val="0"/>
        <w:spacing w:afterLines="0"/>
        <w:ind w:firstLine="0" w:firstLineChars="0"/>
        <w:rPr>
          <w:rFonts w:hint="eastAsia" w:ascii="仿宋" w:hAnsi="仿宋" w:eastAsia="仿宋" w:cs="仿宋"/>
          <w:b/>
          <w:szCs w:val="24"/>
        </w:rPr>
      </w:pPr>
      <w:r>
        <w:rPr>
          <w:rFonts w:hint="eastAsia" w:ascii="仿宋" w:hAnsi="仿宋" w:eastAsia="仿宋" w:cs="仿宋"/>
          <w:b/>
          <w:szCs w:val="24"/>
        </w:rPr>
        <w:t>十二、考核方式</w:t>
      </w:r>
    </w:p>
    <w:p>
      <w:pPr>
        <w:pStyle w:val="144"/>
        <w:adjustRightInd w:val="0"/>
        <w:spacing w:afterLines="0"/>
        <w:ind w:firstLine="480"/>
        <w:rPr>
          <w:rFonts w:hint="eastAsia" w:ascii="仿宋" w:hAnsi="仿宋" w:eastAsia="仿宋" w:cs="仿宋"/>
          <w:szCs w:val="24"/>
        </w:rPr>
      </w:pPr>
      <w:r>
        <w:rPr>
          <w:rFonts w:hint="eastAsia" w:ascii="仿宋" w:hAnsi="仿宋" w:eastAsia="仿宋" w:cs="仿宋"/>
          <w:szCs w:val="24"/>
        </w:rPr>
        <w:t>西湖区排灌泵闸站委托运维管理项目考核办法</w:t>
      </w:r>
    </w:p>
    <w:p>
      <w:pPr>
        <w:rPr>
          <w:rFonts w:hint="eastAsia" w:ascii="仿宋" w:hAnsi="仿宋" w:eastAsia="仿宋" w:cs="仿宋"/>
          <w:b/>
          <w:sz w:val="24"/>
        </w:rPr>
      </w:pPr>
      <w:r>
        <w:rPr>
          <w:rFonts w:hint="eastAsia" w:ascii="仿宋" w:hAnsi="仿宋" w:eastAsia="仿宋" w:cs="仿宋"/>
          <w:b/>
          <w:sz w:val="24"/>
        </w:rPr>
        <w:t>十三、考核奖惩措施</w:t>
      </w:r>
    </w:p>
    <w:p>
      <w:pPr>
        <w:pStyle w:val="26"/>
        <w:tabs>
          <w:tab w:val="left" w:pos="4032"/>
        </w:tabs>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月度考核90分合格，低于90分的，每下降1分，扣当月管理费的3%，以此类推，并发整改通知书，同步抄送甲方主管部门。对于一个运维年度连续两月考核低于80分或累计六个月考核低于90分的，甲方有权终止与乙方的合同，清算劳务费并解除合同。</w:t>
      </w:r>
    </w:p>
    <w:p>
      <w:pPr>
        <w:pStyle w:val="26"/>
        <w:tabs>
          <w:tab w:val="left" w:pos="4032"/>
        </w:tabs>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2.年度考核90分合格，低于90分的，每下降1分，扣剩余管理费的3%，以此类推，并发放整改通知书，同步抄送甲方主管部门。</w:t>
      </w:r>
    </w:p>
    <w:p>
      <w:pPr>
        <w:pStyle w:val="26"/>
        <w:tabs>
          <w:tab w:val="left" w:pos="4032"/>
        </w:tabs>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3.综合成绩=月度考核分总和÷12×60%＋年度考核分×40% ；综合成绩85分为合格，低于85分则综合成绩不合格，甲方有权终止与乙方续签下年度合同。</w:t>
      </w:r>
    </w:p>
    <w:p>
      <w:pPr>
        <w:pStyle w:val="26"/>
        <w:tabs>
          <w:tab w:val="left" w:pos="4032"/>
        </w:tabs>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4.发生公众监督投诉处理不当，或整改不及时到位，当月扣除合同期总价的1%。</w:t>
      </w:r>
    </w:p>
    <w:p>
      <w:pPr>
        <w:pStyle w:val="26"/>
        <w:tabs>
          <w:tab w:val="left" w:pos="4032"/>
        </w:tabs>
        <w:spacing w:line="36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 发生违法违纪行为、重大安全生产责任事故、新闻媒体曝光或群体性事件造成不良影响的，终止合同并追究相关法律和经济责任，永久取消投标资格。</w:t>
      </w:r>
    </w:p>
    <w:p>
      <w:pPr>
        <w:pStyle w:val="144"/>
        <w:adjustRightInd w:val="0"/>
        <w:spacing w:afterLines="0"/>
        <w:ind w:firstLine="0" w:firstLineChars="0"/>
        <w:rPr>
          <w:rFonts w:hint="eastAsia" w:ascii="仿宋" w:hAnsi="仿宋" w:eastAsia="仿宋" w:cs="仿宋"/>
          <w:kern w:val="2"/>
          <w:szCs w:val="24"/>
        </w:rPr>
      </w:pPr>
      <w:r>
        <w:rPr>
          <w:rFonts w:hint="eastAsia" w:ascii="仿宋" w:hAnsi="仿宋" w:eastAsia="仿宋" w:cs="仿宋"/>
          <w:b/>
          <w:kern w:val="2"/>
          <w:szCs w:val="24"/>
        </w:rPr>
        <w:t>十四、暂停与终止</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1、在合同执行期内（第十三点考核奖惩措施规定中规定的除外），甲方需要暂停或终止该合同的，另行协商解决。</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当合同自然终止或因乙方违约甲方书面通知终止合同时，乙方应积极配合甲方完成接管运行维护管理工作，尽最大努力保证站区有序、安全地运行。如因乙方未能按时完成交接撤场导致不良后果的，一切损失由乙方承担。如造成水利事故的，承担相应的行政甚至刑事责任。</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3、对于乙方违约甲方解除合同的情形，解除合同的效力于甲方按上述确定的联系地址寄送文件的第三天起生效。</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十三、不可抗力事件处理</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1、不可抗力是指合同的任何一方不能预见、对其发生的后果不能避免并无法控制的事件，包括：战争、动乱、空中飞行物体坠落或非承包人责任造成的爆炸和火灾。</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2、不可抗力不包括：恶劣的天气、工况和人为破坏、过失等因素。</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3、由于不可抗力事件的发生，导致合同的任何一方未能全部或部分履行本合同规定的义务，不应视其为违反合同。不可抗力造成任何一方的直接或间接的损失均应由各方各自承担。</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4、不可抗力事件发生后，受影响的一方应于二十四小时内通知另一方，并于四十八小时内以书面形式做出详细解释。双方应进行友好协商，采取必要的补救措施将损失降到最低限度。</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5、不可抗力事件持续10个工作日以上，发包人有权终止本合同。承包人应在收到发包人发出的终止本合同的书面通知之日后5个工作日内，向发包人转交所有文件、资料并移交现场。</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6、国家重大政策性调整参照不可抗力执行。</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十四、争议解决</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1.如果双方因本合同而发生争议，则双方首先应通知友好协商解决。如果协商不成，则可通过有关法律程序进行调解。</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2.如果双方不能按规定解决争议，则向甲方所在地人民法院起诉解决。</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因乙方违反本合同约定，甲方解除合同或主经违约责任时，甲方向其主张权利而支出的一切费用（包括但不限于诉讼费、仲裁费、财产保全费、执行费、评估费、拍卖费、公证费、送达费、公告费、差旅费、律师费等）均由乙方承担。</w:t>
      </w:r>
    </w:p>
    <w:p>
      <w:pPr>
        <w:pStyle w:val="144"/>
        <w:adjustRightInd w:val="0"/>
        <w:spacing w:afterLines="0"/>
        <w:ind w:firstLine="0" w:firstLineChars="0"/>
        <w:rPr>
          <w:rFonts w:hint="eastAsia" w:ascii="仿宋" w:hAnsi="仿宋" w:eastAsia="仿宋" w:cs="仿宋"/>
          <w:b/>
          <w:kern w:val="2"/>
          <w:szCs w:val="24"/>
        </w:rPr>
      </w:pPr>
      <w:r>
        <w:rPr>
          <w:rFonts w:hint="eastAsia" w:ascii="仿宋" w:hAnsi="仿宋" w:eastAsia="仿宋" w:cs="仿宋"/>
          <w:b/>
          <w:kern w:val="2"/>
          <w:szCs w:val="24"/>
        </w:rPr>
        <w:t>十五、合同生效及其它</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1、合同经双方法定代表人签字并加盖单位公章后生效。</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2、合同执行中涉及采购资金和采购内容修改或补充的，须经财政部门审批，并签书面补充协议报政府采购监督管理部门备案，方可作为主合同不可分割的一部分。</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3、本合同未尽事宜，遵照《合同法》有关条文执行。</w:t>
      </w:r>
    </w:p>
    <w:p>
      <w:pPr>
        <w:pStyle w:val="144"/>
        <w:adjustRightInd w:val="0"/>
        <w:spacing w:afterLines="0"/>
        <w:ind w:firstLine="480"/>
        <w:rPr>
          <w:rFonts w:hint="eastAsia" w:ascii="仿宋" w:hAnsi="仿宋" w:eastAsia="仿宋" w:cs="仿宋"/>
          <w:kern w:val="2"/>
          <w:szCs w:val="24"/>
        </w:rPr>
      </w:pPr>
      <w:r>
        <w:rPr>
          <w:rFonts w:hint="eastAsia" w:ascii="仿宋" w:hAnsi="仿宋" w:eastAsia="仿宋" w:cs="仿宋"/>
          <w:kern w:val="2"/>
          <w:szCs w:val="24"/>
        </w:rPr>
        <w:t>4、本合同正本一式两份，具有同等法律效力，甲乙双方各执一份；副本陆份，双方各执叁份。</w:t>
      </w:r>
    </w:p>
    <w:p>
      <w:pPr>
        <w:pStyle w:val="26"/>
        <w:snapToGrid w:val="0"/>
        <w:spacing w:before="468" w:beforeLines="150"/>
        <w:ind w:left="480" w:hanging="480" w:hangingChars="200"/>
        <w:rPr>
          <w:rFonts w:hint="eastAsia" w:ascii="仿宋" w:hAnsi="仿宋" w:eastAsia="仿宋" w:cs="仿宋"/>
          <w:sz w:val="24"/>
          <w:szCs w:val="24"/>
        </w:rPr>
      </w:pPr>
      <w:r>
        <w:rPr>
          <w:rFonts w:hint="eastAsia" w:ascii="仿宋" w:hAnsi="仿宋" w:eastAsia="仿宋" w:cs="仿宋"/>
          <w:sz w:val="24"/>
          <w:szCs w:val="24"/>
        </w:rPr>
        <w:t xml:space="preserve">  甲方：                                   乙方： </w:t>
      </w:r>
    </w:p>
    <w:p>
      <w:pPr>
        <w:pStyle w:val="26"/>
        <w:snapToGrid w:val="0"/>
        <w:rPr>
          <w:rFonts w:hint="eastAsia" w:ascii="仿宋" w:hAnsi="仿宋" w:eastAsia="仿宋" w:cs="仿宋"/>
          <w:sz w:val="24"/>
          <w:szCs w:val="24"/>
        </w:rPr>
      </w:pPr>
      <w:r>
        <w:rPr>
          <w:rFonts w:hint="eastAsia" w:ascii="仿宋" w:hAnsi="仿宋" w:eastAsia="仿宋" w:cs="仿宋"/>
          <w:sz w:val="24"/>
          <w:szCs w:val="24"/>
        </w:rPr>
        <w:t xml:space="preserve">  地址：                                   地址： </w:t>
      </w:r>
    </w:p>
    <w:p>
      <w:pPr>
        <w:pStyle w:val="26"/>
        <w:snapToGrid w:val="0"/>
        <w:rPr>
          <w:rFonts w:hint="eastAsia" w:ascii="仿宋" w:hAnsi="仿宋" w:eastAsia="仿宋" w:cs="仿宋"/>
          <w:sz w:val="24"/>
          <w:szCs w:val="24"/>
        </w:rPr>
      </w:pPr>
      <w:r>
        <w:rPr>
          <w:rFonts w:hint="eastAsia" w:ascii="仿宋" w:hAnsi="仿宋" w:eastAsia="仿宋" w:cs="仿宋"/>
          <w:sz w:val="24"/>
          <w:szCs w:val="24"/>
        </w:rPr>
        <w:t xml:space="preserve">  法定代表人：                            法定代表人：</w:t>
      </w:r>
    </w:p>
    <w:p>
      <w:pPr>
        <w:pStyle w:val="26"/>
        <w:snapToGrid w:val="0"/>
        <w:ind w:firstLine="240" w:firstLineChars="100"/>
        <w:rPr>
          <w:rFonts w:hint="eastAsia" w:ascii="仿宋" w:hAnsi="仿宋" w:eastAsia="仿宋" w:cs="仿宋"/>
          <w:sz w:val="24"/>
          <w:szCs w:val="24"/>
        </w:rPr>
      </w:pPr>
      <w:r>
        <w:rPr>
          <w:rFonts w:hint="eastAsia" w:ascii="仿宋" w:hAnsi="仿宋" w:eastAsia="仿宋" w:cs="仿宋"/>
          <w:sz w:val="24"/>
          <w:szCs w:val="24"/>
        </w:rPr>
        <w:t>税号：123301064702708222                  税号：</w:t>
      </w:r>
    </w:p>
    <w:p>
      <w:pPr>
        <w:pStyle w:val="26"/>
        <w:snapToGrid w:val="0"/>
        <w:ind w:firstLine="240" w:firstLineChars="100"/>
        <w:rPr>
          <w:rFonts w:hint="eastAsia" w:ascii="仿宋" w:hAnsi="仿宋" w:eastAsia="仿宋" w:cs="仿宋"/>
          <w:sz w:val="24"/>
          <w:szCs w:val="24"/>
        </w:rPr>
      </w:pPr>
      <w:r>
        <w:rPr>
          <w:rFonts w:hint="eastAsia" w:ascii="仿宋" w:hAnsi="仿宋" w:eastAsia="仿宋" w:cs="仿宋"/>
          <w:sz w:val="24"/>
          <w:szCs w:val="24"/>
        </w:rPr>
        <w:t>开户银行：杭州银行西湖支行                开户银行：</w:t>
      </w:r>
    </w:p>
    <w:p>
      <w:pPr>
        <w:pStyle w:val="26"/>
        <w:snapToGrid w:val="0"/>
        <w:ind w:firstLine="240" w:firstLineChars="100"/>
        <w:rPr>
          <w:rFonts w:hint="eastAsia" w:ascii="仿宋" w:hAnsi="仿宋" w:eastAsia="仿宋" w:cs="仿宋"/>
          <w:sz w:val="24"/>
          <w:szCs w:val="24"/>
        </w:rPr>
      </w:pPr>
      <w:r>
        <w:rPr>
          <w:rFonts w:hint="eastAsia" w:ascii="仿宋" w:hAnsi="仿宋" w:eastAsia="仿宋" w:cs="仿宋"/>
          <w:sz w:val="24"/>
          <w:szCs w:val="24"/>
        </w:rPr>
        <w:t>账户：77088100000715-0098                 账户：</w:t>
      </w:r>
    </w:p>
    <w:p>
      <w:pPr>
        <w:pStyle w:val="26"/>
        <w:snapToGrid w:val="0"/>
        <w:rPr>
          <w:rFonts w:hint="eastAsia" w:ascii="仿宋" w:hAnsi="仿宋" w:eastAsia="仿宋" w:cs="仿宋"/>
          <w:sz w:val="24"/>
          <w:szCs w:val="24"/>
        </w:rPr>
      </w:pPr>
      <w:r>
        <w:rPr>
          <w:rFonts w:hint="eastAsia" w:ascii="仿宋" w:hAnsi="仿宋" w:eastAsia="仿宋" w:cs="仿宋"/>
          <w:sz w:val="24"/>
          <w:szCs w:val="24"/>
        </w:rPr>
        <w:t xml:space="preserve">  签字日期：      年  月  日               签字日期：      年  月  日</w:t>
      </w:r>
    </w:p>
    <w:p>
      <w:pPr>
        <w:pStyle w:val="26"/>
        <w:snapToGrid w:val="0"/>
        <w:jc w:val="left"/>
        <w:rPr>
          <w:rFonts w:hint="eastAsia" w:ascii="仿宋" w:hAnsi="仿宋" w:eastAsia="仿宋" w:cs="仿宋"/>
          <w:sz w:val="24"/>
          <w:szCs w:val="24"/>
        </w:rPr>
      </w:pPr>
      <w:r>
        <w:rPr>
          <w:rFonts w:hint="eastAsia" w:ascii="仿宋" w:hAnsi="仿宋" w:eastAsia="仿宋" w:cs="仿宋"/>
          <w:sz w:val="24"/>
          <w:szCs w:val="24"/>
        </w:rPr>
        <w:t xml:space="preserve">  合同鉴证方:</w:t>
      </w:r>
    </w:p>
    <w:p>
      <w:pPr>
        <w:pStyle w:val="26"/>
        <w:snapToGrid w:val="0"/>
        <w:rPr>
          <w:rFonts w:hint="eastAsia" w:ascii="仿宋" w:hAnsi="仿宋" w:eastAsia="仿宋" w:cs="仿宋"/>
          <w:sz w:val="24"/>
          <w:szCs w:val="24"/>
        </w:rPr>
      </w:pPr>
      <w:r>
        <w:rPr>
          <w:rFonts w:hint="eastAsia" w:ascii="仿宋" w:hAnsi="仿宋" w:eastAsia="仿宋" w:cs="仿宋"/>
          <w:sz w:val="24"/>
          <w:szCs w:val="24"/>
        </w:rPr>
        <w:t xml:space="preserve">  法定（授权）代表人或主要负责人:</w:t>
      </w:r>
    </w:p>
    <w:p>
      <w:pPr>
        <w:pStyle w:val="26"/>
        <w:snapToGrid w:val="0"/>
        <w:rPr>
          <w:rFonts w:hint="eastAsia" w:ascii="仿宋" w:hAnsi="仿宋" w:eastAsia="仿宋" w:cs="仿宋"/>
          <w:sz w:val="24"/>
          <w:szCs w:val="24"/>
        </w:rPr>
      </w:pPr>
      <w:r>
        <w:rPr>
          <w:rFonts w:hint="eastAsia" w:ascii="仿宋" w:hAnsi="仿宋" w:eastAsia="仿宋" w:cs="仿宋"/>
          <w:sz w:val="24"/>
          <w:szCs w:val="24"/>
        </w:rPr>
        <w:t xml:space="preserve">  鉴证日期:</w:t>
      </w:r>
    </w:p>
    <w:p>
      <w:pPr>
        <w:widowControl/>
        <w:wordWrap w:val="0"/>
        <w:snapToGrid w:val="0"/>
        <w:ind w:firstLine="240" w:firstLineChars="100"/>
        <w:rPr>
          <w:rFonts w:hint="eastAsia" w:ascii="仿宋" w:hAnsi="仿宋" w:eastAsia="仿宋" w:cs="仿宋"/>
          <w:sz w:val="24"/>
        </w:rPr>
      </w:pPr>
      <w:r>
        <w:rPr>
          <w:rFonts w:hint="eastAsia" w:ascii="仿宋" w:hAnsi="仿宋" w:eastAsia="仿宋" w:cs="仿宋"/>
          <w:sz w:val="24"/>
        </w:rPr>
        <w:t>合同附件：</w:t>
      </w:r>
    </w:p>
    <w:p>
      <w:pPr>
        <w:widowControl/>
        <w:snapToGrid w:val="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rPr>
        <w:t>西湖区排灌泵闸站委托运维管理项目考核办法</w:t>
      </w:r>
    </w:p>
    <w:p>
      <w:pPr>
        <w:widowControl/>
        <w:snapToGrid w:val="0"/>
        <w:rPr>
          <w:rFonts w:ascii="仿宋" w:hAnsi="仿宋" w:eastAsia="仿宋" w:cs="仿宋"/>
          <w:b/>
          <w:bCs/>
          <w:sz w:val="24"/>
        </w:rPr>
      </w:pPr>
      <w:r>
        <w:rPr>
          <w:rFonts w:hint="eastAsia" w:ascii="仿宋" w:hAnsi="仿宋" w:eastAsia="仿宋" w:cs="仿宋"/>
          <w:b/>
          <w:bCs/>
          <w:kern w:val="0"/>
          <w:sz w:val="24"/>
        </w:rPr>
        <w:t>二、</w:t>
      </w:r>
    </w:p>
    <w:p>
      <w:pPr>
        <w:widowControl/>
        <w:snapToGrid w:val="0"/>
        <w:rPr>
          <w:rFonts w:hint="eastAsia" w:ascii="仿宋" w:hAnsi="仿宋" w:eastAsia="仿宋" w:cs="仿宋"/>
          <w:b/>
          <w:bCs/>
          <w:kern w:val="0"/>
        </w:rPr>
      </w:pPr>
      <w:r>
        <w:rPr>
          <w:rFonts w:hint="eastAsia" w:ascii="仿宋" w:hAnsi="仿宋" w:eastAsia="仿宋" w:cs="仿宋"/>
          <w:b/>
          <w:bCs/>
        </w:rPr>
        <w:t>西湖区排灌泵闸站委托运维管理项目</w:t>
      </w:r>
      <w:r>
        <w:rPr>
          <w:rFonts w:hint="eastAsia" w:ascii="仿宋" w:hAnsi="仿宋" w:eastAsia="仿宋" w:cs="仿宋"/>
          <w:b/>
          <w:bCs/>
          <w:kern w:val="0"/>
        </w:rPr>
        <w:t>日常维修养护工作</w:t>
      </w:r>
    </w:p>
    <w:p>
      <w:pPr>
        <w:pStyle w:val="32"/>
        <w:rPr>
          <w:rFonts w:hint="eastAsia" w:ascii="仿宋" w:hAnsi="仿宋" w:eastAsia="仿宋" w:cs="仿宋"/>
        </w:rPr>
      </w:pPr>
    </w:p>
    <w:p>
      <w:pPr>
        <w:pStyle w:val="26"/>
        <w:snapToGrid w:val="0"/>
        <w:rPr>
          <w:rFonts w:hint="eastAsia" w:ascii="仿宋" w:hAnsi="仿宋" w:eastAsia="仿宋" w:cs="仿宋"/>
          <w:b/>
          <w:w w:val="90"/>
          <w:sz w:val="24"/>
          <w:szCs w:val="24"/>
        </w:rPr>
      </w:pPr>
      <w:r>
        <w:rPr>
          <w:rFonts w:hint="eastAsia" w:ascii="仿宋" w:hAnsi="仿宋" w:eastAsia="仿宋" w:cs="仿宋"/>
          <w:sz w:val="24"/>
          <w:szCs w:val="24"/>
        </w:rPr>
        <w:t>（备注说明：1、本合同样本若有未涉及合同的根本性条款，双方在谈判时又不能达成一致意见的，从而导致甲方与乙方合同无法签订的，甲方不承担任何责任。但乙方在投标期内无质疑的，已视为乙方对合同的根本性条款已全部理解并接受，不得假借合同协议不能协商一致而在中标后不签订合同，否则按拒绝签订合同处理。2、甲方今后根据现场实际情况微调本合同样本中的非根本性条款的，并不影响到合同的实际履行与乙方的利益时，不视为改变采购文件。）</w:t>
      </w: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pStyle w:val="22"/>
        <w:ind w:firstLine="218"/>
        <w:rPr>
          <w:rFonts w:hint="eastAsia" w:ascii="仿宋" w:hAnsi="仿宋" w:eastAsia="仿宋" w:cs="仿宋"/>
          <w:b/>
          <w:w w:val="90"/>
          <w:sz w:val="24"/>
        </w:rPr>
      </w:pPr>
    </w:p>
    <w:p>
      <w:pPr>
        <w:pStyle w:val="22"/>
        <w:ind w:firstLine="218"/>
        <w:rPr>
          <w:rFonts w:hint="eastAsia" w:ascii="仿宋" w:hAnsi="仿宋" w:eastAsia="仿宋" w:cs="仿宋"/>
          <w:b/>
          <w:w w:val="90"/>
          <w:sz w:val="24"/>
        </w:rPr>
      </w:pPr>
    </w:p>
    <w:p>
      <w:pPr>
        <w:pStyle w:val="22"/>
        <w:ind w:firstLine="218"/>
        <w:rPr>
          <w:rFonts w:hint="eastAsia" w:ascii="仿宋" w:hAnsi="仿宋" w:eastAsia="仿宋" w:cs="仿宋"/>
          <w:b/>
          <w:w w:val="90"/>
          <w:sz w:val="24"/>
        </w:rPr>
      </w:pPr>
    </w:p>
    <w:p>
      <w:pPr>
        <w:pStyle w:val="22"/>
        <w:ind w:firstLine="218"/>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r>
        <w:rPr>
          <w:rFonts w:hint="eastAsia" w:ascii="仿宋" w:hAnsi="仿宋" w:eastAsia="仿宋" w:cs="仿宋"/>
          <w:b/>
          <w:w w:val="90"/>
          <w:sz w:val="24"/>
        </w:rPr>
        <w:t xml:space="preserve">附件一        </w:t>
      </w:r>
    </w:p>
    <w:p>
      <w:pPr>
        <w:spacing w:line="500" w:lineRule="exact"/>
        <w:jc w:val="center"/>
        <w:rPr>
          <w:rFonts w:hint="eastAsia" w:ascii="仿宋" w:hAnsi="仿宋" w:eastAsia="仿宋" w:cs="仿宋"/>
          <w:b/>
          <w:w w:val="90"/>
          <w:sz w:val="30"/>
          <w:szCs w:val="30"/>
        </w:rPr>
      </w:pPr>
      <w:r>
        <w:rPr>
          <w:rFonts w:hint="eastAsia" w:ascii="仿宋" w:hAnsi="仿宋" w:eastAsia="仿宋" w:cs="仿宋"/>
          <w:b/>
          <w:w w:val="90"/>
          <w:sz w:val="30"/>
          <w:szCs w:val="30"/>
        </w:rPr>
        <w:t>西湖区排灌泵闸站委托运维管理项目考核办法</w:t>
      </w:r>
    </w:p>
    <w:p>
      <w:pPr>
        <w:spacing w:line="360" w:lineRule="exact"/>
        <w:ind w:firstLine="411" w:firstLineChars="196"/>
        <w:rPr>
          <w:rFonts w:hint="eastAsia" w:ascii="仿宋" w:hAnsi="仿宋" w:eastAsia="仿宋" w:cs="仿宋"/>
          <w:szCs w:val="21"/>
        </w:rPr>
      </w:pPr>
      <w:r>
        <w:rPr>
          <w:rFonts w:hint="eastAsia" w:ascii="仿宋" w:hAnsi="仿宋" w:eastAsia="仿宋" w:cs="仿宋"/>
          <w:szCs w:val="21"/>
        </w:rPr>
        <w:t>为切实推进西湖区排灌泵闸站委托运维管理项目运行维护管理工作有序开展，确保站区水利设施安全高效运行，结合工程实际，特制定本考核办法。</w:t>
      </w:r>
    </w:p>
    <w:p>
      <w:pPr>
        <w:spacing w:line="360" w:lineRule="exact"/>
        <w:ind w:firstLine="413" w:firstLineChars="196"/>
        <w:rPr>
          <w:rFonts w:hint="eastAsia" w:ascii="仿宋" w:hAnsi="仿宋" w:eastAsia="仿宋" w:cs="仿宋"/>
          <w:b/>
          <w:szCs w:val="21"/>
        </w:rPr>
      </w:pPr>
      <w:r>
        <w:rPr>
          <w:rFonts w:hint="eastAsia" w:ascii="仿宋" w:hAnsi="仿宋" w:eastAsia="仿宋" w:cs="仿宋"/>
          <w:b/>
          <w:szCs w:val="21"/>
        </w:rPr>
        <w:t>一、指导思想</w:t>
      </w:r>
    </w:p>
    <w:p>
      <w:pPr>
        <w:spacing w:line="360" w:lineRule="exact"/>
        <w:ind w:firstLine="411" w:firstLineChars="196"/>
        <w:rPr>
          <w:rFonts w:hint="eastAsia" w:ascii="仿宋" w:hAnsi="仿宋" w:eastAsia="仿宋" w:cs="仿宋"/>
          <w:szCs w:val="21"/>
        </w:rPr>
      </w:pPr>
      <w:r>
        <w:rPr>
          <w:rFonts w:hint="eastAsia" w:ascii="仿宋" w:hAnsi="仿宋" w:eastAsia="仿宋" w:cs="仿宋"/>
          <w:szCs w:val="21"/>
        </w:rPr>
        <w:t>根据浙江省水利工程标准化管理要求及水利工程管理体制改革的精神，通过实施西湖区排灌泵闸站委托运维管理项目委托物业化运行维护管理，充分发挥水利工程及设施设备功能效益和社会效益。</w:t>
      </w:r>
    </w:p>
    <w:p>
      <w:pPr>
        <w:spacing w:line="360" w:lineRule="exact"/>
        <w:ind w:firstLine="413" w:firstLineChars="196"/>
        <w:rPr>
          <w:rFonts w:hint="eastAsia" w:ascii="仿宋" w:hAnsi="仿宋" w:eastAsia="仿宋" w:cs="仿宋"/>
          <w:b/>
          <w:szCs w:val="21"/>
        </w:rPr>
      </w:pPr>
      <w:r>
        <w:rPr>
          <w:rFonts w:hint="eastAsia" w:ascii="仿宋" w:hAnsi="仿宋" w:eastAsia="仿宋" w:cs="仿宋"/>
          <w:b/>
          <w:szCs w:val="21"/>
        </w:rPr>
        <w:t>二、考核范围及对象</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西湖区排灌泵闸站委托运维管理项目委托范围,包括机电设备、金属结构、水工建筑物、水处理系统、河道设施以及站内垃圾清运、绿化养护等。</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考核对象为负责运行维护管理的承包单位。</w:t>
      </w:r>
    </w:p>
    <w:p>
      <w:pPr>
        <w:pStyle w:val="26"/>
        <w:snapToGrid w:val="0"/>
        <w:spacing w:line="360" w:lineRule="exact"/>
        <w:ind w:firstLine="422" w:firstLineChars="200"/>
        <w:rPr>
          <w:rFonts w:hint="eastAsia" w:ascii="仿宋" w:hAnsi="仿宋" w:eastAsia="仿宋" w:cs="仿宋"/>
          <w:b/>
        </w:rPr>
      </w:pPr>
      <w:r>
        <w:rPr>
          <w:rFonts w:hint="eastAsia" w:ascii="仿宋" w:hAnsi="仿宋" w:eastAsia="仿宋" w:cs="仿宋"/>
          <w:b/>
        </w:rPr>
        <w:t>三、考核原则：</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1、坚持公平、公正、公开的原则；</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2、坚持全面考核、突出重点、注重实绩的原则；</w:t>
      </w:r>
    </w:p>
    <w:p>
      <w:pPr>
        <w:ind w:firstLine="420" w:firstLineChars="200"/>
        <w:rPr>
          <w:rFonts w:hint="eastAsia" w:ascii="仿宋" w:hAnsi="仿宋" w:eastAsia="仿宋" w:cs="仿宋"/>
          <w:szCs w:val="21"/>
        </w:rPr>
      </w:pPr>
      <w:r>
        <w:rPr>
          <w:rFonts w:hint="eastAsia" w:ascii="仿宋" w:hAnsi="仿宋" w:eastAsia="仿宋" w:cs="仿宋"/>
          <w:kern w:val="0"/>
          <w:szCs w:val="21"/>
        </w:rPr>
        <w:t>3、坚持定性考核和定量考核相结合的原则。</w:t>
      </w:r>
    </w:p>
    <w:p>
      <w:pPr>
        <w:pStyle w:val="26"/>
        <w:snapToGrid w:val="0"/>
        <w:spacing w:line="360" w:lineRule="exact"/>
        <w:ind w:firstLine="422" w:firstLineChars="200"/>
        <w:rPr>
          <w:rFonts w:hint="eastAsia" w:ascii="仿宋" w:hAnsi="仿宋" w:eastAsia="仿宋" w:cs="仿宋"/>
          <w:b/>
        </w:rPr>
      </w:pPr>
      <w:r>
        <w:rPr>
          <w:rFonts w:hint="eastAsia" w:ascii="仿宋" w:hAnsi="仿宋" w:eastAsia="仿宋" w:cs="仿宋"/>
          <w:b/>
        </w:rPr>
        <w:t>四、考核内容</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考核为综合考评，内容包括组织管理、安全管理、运行管理、维修养护管理、调度执行情况、巡查观测情况、环境卫生、资料台帐（含标准化平台实时记录）、运行管理值班人员是否按有关规定配备等。</w:t>
      </w:r>
    </w:p>
    <w:p>
      <w:pPr>
        <w:numPr>
          <w:ilvl w:val="0"/>
          <w:numId w:val="29"/>
        </w:numPr>
        <w:ind w:firstLine="420"/>
        <w:rPr>
          <w:rFonts w:hint="eastAsia" w:ascii="仿宋" w:hAnsi="仿宋" w:eastAsia="仿宋" w:cs="仿宋"/>
          <w:kern w:val="0"/>
          <w:szCs w:val="21"/>
        </w:rPr>
      </w:pPr>
      <w:r>
        <w:rPr>
          <w:rFonts w:hint="eastAsia" w:ascii="仿宋" w:hAnsi="仿宋" w:eastAsia="仿宋" w:cs="仿宋"/>
          <w:szCs w:val="21"/>
        </w:rPr>
        <w:t>西湖区排灌泵闸站委托运维管理项目人员配备应不少于92人（最低保证人数）</w:t>
      </w:r>
      <w:r>
        <w:rPr>
          <w:rFonts w:hint="eastAsia" w:ascii="仿宋" w:hAnsi="仿宋" w:eastAsia="仿宋" w:cs="仿宋"/>
          <w:kern w:val="0"/>
          <w:szCs w:val="21"/>
        </w:rPr>
        <w:t>；其中九溪水闸24小时不少于2人，四五站、白茅湖站、赤通浦站24小时不少于3人；三阳站、四号浦站24小时不少于2人；社井泵站社井水闸24小时不少于5人；龙心闸、珊瑚沙河闸24小时不少于1人，所有大小各站在设备运行或开启期间人员不得脱岗。当区防指启动防汛防台四级响应时，项目部管理人员至少1人驻守之江防汛指挥中心，各分站长自觉上岗。当区防指启动防汛防台Ⅲ级及以上响应时，全体人员无条件上岗。</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2、应急排水车需保证1名驾驶员和4名电工或操作工随时待命，河道巡查每天主干河道及风险点必须巡查到位，并至少配备一辆巡查车辆，形成巡查记录台账。</w:t>
      </w:r>
    </w:p>
    <w:p>
      <w:pPr>
        <w:adjustRightInd w:val="0"/>
        <w:snapToGrid w:val="0"/>
        <w:ind w:firstLine="420" w:firstLineChars="200"/>
        <w:rPr>
          <w:rFonts w:hint="eastAsia" w:ascii="仿宋" w:hAnsi="仿宋" w:eastAsia="仿宋" w:cs="仿宋"/>
          <w:kern w:val="0"/>
          <w:szCs w:val="21"/>
        </w:rPr>
      </w:pPr>
      <w:r>
        <w:rPr>
          <w:rFonts w:hint="eastAsia" w:ascii="仿宋" w:hAnsi="仿宋" w:eastAsia="仿宋" w:cs="仿宋"/>
          <w:kern w:val="0"/>
          <w:szCs w:val="21"/>
        </w:rPr>
        <w:t>3、防汛仓库物资管理：负责防汛仓库24小时值班管理（要求AB岗），做好防汛物资清点、进出等记录，做好防汛物资维护保养，做好仓库管理范围内卫生保洁和通风工作。</w:t>
      </w:r>
    </w:p>
    <w:p>
      <w:pPr>
        <w:pStyle w:val="3"/>
        <w:ind w:left="0" w:leftChars="0" w:firstLine="0" w:firstLineChars="0"/>
        <w:rPr>
          <w:rFonts w:hint="eastAsia" w:ascii="仿宋" w:hAnsi="仿宋" w:eastAsia="仿宋" w:cs="仿宋"/>
        </w:rPr>
      </w:pPr>
    </w:p>
    <w:p>
      <w:pPr>
        <w:ind w:firstLine="422" w:firstLineChars="200"/>
        <w:rPr>
          <w:rFonts w:hint="eastAsia" w:ascii="仿宋" w:hAnsi="仿宋" w:eastAsia="仿宋" w:cs="仿宋"/>
          <w:b/>
          <w:szCs w:val="21"/>
        </w:rPr>
      </w:pPr>
      <w:r>
        <w:rPr>
          <w:rFonts w:hint="eastAsia" w:ascii="仿宋" w:hAnsi="仿宋" w:eastAsia="仿宋" w:cs="仿宋"/>
          <w:b/>
          <w:szCs w:val="21"/>
        </w:rPr>
        <w:t>五、考核方式</w:t>
      </w:r>
    </w:p>
    <w:p>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1.月度考核，突出运维过程。由杭州市西湖区排灌设施管理服务站组建考核小组以每月抽查形式进行考核，按照《西湖区排灌泵闸站委托运维管理项目月度考核表》对委托范围内的闸泵站等进行考核评分。</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2.年度考核，突出运维绩效。邀请相关部门在合同运行年度最后一个月进行考核（详见《西湖区排灌泵闸站委托运维管理项目年度考核表》）。</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3.年终成绩。在年度考核完成即时得出年终成绩，年终成绩满分为100分，由12个月的月度平均考核分与年度考核分组成，其中12个月的月度平均考核分占60%，年度考核分占40% 。</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4.考核结果及年终成绩报区农业农村局备案，作为下一年度合同执行的依据。</w:t>
      </w:r>
    </w:p>
    <w:p>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六、考核奖惩措施</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1.月度考核90分合格，低于90分的，每下降1分，扣当月管理费的3%，以此类推，并发整改通知书，对于一个运维年度连续两月考核分低于80分或累计六个月考核不合格，甲方有权终止与乙方的合同，清算劳务费并解除合同。</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2.年度考核90分合格，低于90分的，每下降1分，扣剩余管理费的3%，以此类推，并发整改通知书。</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3.综合成绩=月度考核分总和</w:t>
      </w:r>
      <w:r>
        <w:rPr>
          <w:rFonts w:hint="eastAsia" w:ascii="仿宋" w:hAnsi="仿宋" w:eastAsia="仿宋" w:cs="仿宋"/>
          <w:spacing w:val="20"/>
        </w:rPr>
        <w:t>÷</w:t>
      </w:r>
      <w:r>
        <w:rPr>
          <w:rFonts w:hint="eastAsia" w:ascii="仿宋" w:hAnsi="仿宋" w:eastAsia="仿宋" w:cs="仿宋"/>
        </w:rPr>
        <w:t>12×60%</w:t>
      </w:r>
      <w:r>
        <w:rPr>
          <w:rFonts w:hint="eastAsia" w:ascii="仿宋" w:hAnsi="仿宋" w:eastAsia="仿宋" w:cs="仿宋"/>
          <w:spacing w:val="20"/>
        </w:rPr>
        <w:t>＋</w:t>
      </w:r>
      <w:r>
        <w:rPr>
          <w:rFonts w:hint="eastAsia" w:ascii="仿宋" w:hAnsi="仿宋" w:eastAsia="仿宋" w:cs="仿宋"/>
        </w:rPr>
        <w:t>年度考核分×40% ；综合成绩85分为合格，低于85分则综合成绩不合格，甲方有权终止与乙方续签下年度合同。</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4.发生公众监督投诉处理不当，或整改不及时到位，扣除合同期总管理费的1%。</w:t>
      </w:r>
    </w:p>
    <w:p>
      <w:pPr>
        <w:pStyle w:val="26"/>
        <w:tabs>
          <w:tab w:val="left" w:pos="4032"/>
        </w:tabs>
        <w:spacing w:line="360" w:lineRule="exact"/>
        <w:ind w:firstLine="420" w:firstLineChars="200"/>
        <w:rPr>
          <w:rFonts w:hint="eastAsia" w:ascii="仿宋" w:hAnsi="仿宋" w:eastAsia="仿宋" w:cs="仿宋"/>
        </w:rPr>
      </w:pPr>
      <w:r>
        <w:rPr>
          <w:rFonts w:hint="eastAsia" w:ascii="仿宋" w:hAnsi="仿宋" w:eastAsia="仿宋" w:cs="仿宋"/>
        </w:rPr>
        <w:t>5. 发生违法违纪行为、重大安全生产责任事故、新闻媒体曝光或群体性事件造成不良影响的，终止合同并追究相关法律和经济责任，永久取消投标资格。</w:t>
      </w:r>
    </w:p>
    <w:p>
      <w:pPr>
        <w:pStyle w:val="26"/>
        <w:tabs>
          <w:tab w:val="left" w:pos="4032"/>
        </w:tabs>
        <w:spacing w:line="360" w:lineRule="exact"/>
        <w:ind w:firstLine="422" w:firstLineChars="200"/>
        <w:rPr>
          <w:rFonts w:hint="eastAsia" w:ascii="仿宋" w:hAnsi="仿宋" w:eastAsia="仿宋" w:cs="仿宋"/>
          <w:b/>
        </w:rPr>
        <w:sectPr>
          <w:footerReference r:id="rId8" w:type="default"/>
          <w:pgSz w:w="11906" w:h="16838"/>
          <w:pgMar w:top="1021" w:right="1797" w:bottom="1021" w:left="1797" w:header="851" w:footer="992" w:gutter="0"/>
          <w:cols w:space="720" w:num="1"/>
          <w:docGrid w:type="lines" w:linePitch="312" w:charSpace="0"/>
        </w:sectPr>
      </w:pPr>
      <w:r>
        <w:rPr>
          <w:rFonts w:hint="eastAsia" w:ascii="仿宋" w:hAnsi="仿宋" w:eastAsia="仿宋" w:cs="仿宋"/>
          <w:b/>
        </w:rPr>
        <w:t>七、本考核办法由杭州市西湖区排灌设施管理服务站负责解释。</w:t>
      </w:r>
    </w:p>
    <w:p>
      <w:pPr>
        <w:jc w:val="center"/>
        <w:rPr>
          <w:rFonts w:hint="eastAsia" w:ascii="仿宋" w:hAnsi="仿宋" w:eastAsia="仿宋" w:cs="仿宋"/>
          <w:szCs w:val="28"/>
        </w:rPr>
      </w:pPr>
      <w:r>
        <w:rPr>
          <w:rFonts w:hint="eastAsia" w:ascii="仿宋" w:hAnsi="仿宋" w:eastAsia="仿宋" w:cs="仿宋"/>
          <w:b/>
          <w:bCs/>
          <w:kern w:val="0"/>
          <w:szCs w:val="28"/>
        </w:rPr>
        <w:t>西湖区排灌泵闸站委托运维管理项目</w:t>
      </w:r>
      <w:r>
        <w:rPr>
          <w:rFonts w:hint="eastAsia" w:ascii="仿宋" w:hAnsi="仿宋" w:eastAsia="仿宋" w:cs="仿宋"/>
          <w:b/>
          <w:bCs/>
          <w:kern w:val="0"/>
          <w:szCs w:val="28"/>
          <w:u w:val="single"/>
        </w:rPr>
        <w:t xml:space="preserve">     年    </w:t>
      </w:r>
      <w:r>
        <w:rPr>
          <w:rFonts w:hint="eastAsia" w:ascii="仿宋" w:hAnsi="仿宋" w:eastAsia="仿宋" w:cs="仿宋"/>
          <w:b/>
          <w:bCs/>
          <w:kern w:val="0"/>
          <w:szCs w:val="28"/>
        </w:rPr>
        <w:t>月度考核表</w:t>
      </w:r>
    </w:p>
    <w:tbl>
      <w:tblPr>
        <w:tblStyle w:val="4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420"/>
        <w:gridCol w:w="540"/>
        <w:gridCol w:w="4162"/>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3"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考核项目</w:t>
            </w:r>
          </w:p>
        </w:tc>
        <w:tc>
          <w:tcPr>
            <w:tcW w:w="3420"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 核 内 容</w:t>
            </w:r>
          </w:p>
        </w:tc>
        <w:tc>
          <w:tcPr>
            <w:tcW w:w="540"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分值</w:t>
            </w:r>
          </w:p>
        </w:tc>
        <w:tc>
          <w:tcPr>
            <w:tcW w:w="4162"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 核 标 准</w:t>
            </w:r>
          </w:p>
        </w:tc>
        <w:tc>
          <w:tcPr>
            <w:tcW w:w="608" w:type="dxa"/>
            <w:noWrap w:val="0"/>
            <w:vAlign w:val="center"/>
          </w:tcPr>
          <w:p>
            <w:pPr>
              <w:widowControl/>
              <w:snapToGrid w:val="0"/>
              <w:jc w:val="center"/>
              <w:rPr>
                <w:rFonts w:hint="eastAsia" w:ascii="仿宋" w:hAnsi="仿宋" w:eastAsia="仿宋" w:cs="仿宋"/>
                <w:b/>
                <w:kern w:val="0"/>
                <w:szCs w:val="21"/>
              </w:rPr>
            </w:pPr>
            <w:r>
              <w:rPr>
                <w:rFonts w:hint="eastAsia" w:ascii="仿宋" w:hAnsi="仿宋" w:eastAsia="仿宋" w:cs="仿宋"/>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3" w:type="dxa"/>
            <w:vMerge w:val="restart"/>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安全</w:t>
            </w:r>
          </w:p>
          <w:p>
            <w:pPr>
              <w:spacing w:line="300" w:lineRule="exact"/>
              <w:jc w:val="center"/>
              <w:rPr>
                <w:rFonts w:hint="eastAsia" w:ascii="仿宋" w:hAnsi="仿宋" w:eastAsia="仿宋" w:cs="仿宋"/>
                <w:szCs w:val="21"/>
              </w:rPr>
            </w:pPr>
            <w:r>
              <w:rPr>
                <w:rFonts w:hint="eastAsia" w:ascii="仿宋" w:hAnsi="仿宋" w:eastAsia="仿宋" w:cs="仿宋"/>
                <w:szCs w:val="21"/>
              </w:rPr>
              <w:t>管理（20分）</w:t>
            </w:r>
          </w:p>
        </w:tc>
        <w:tc>
          <w:tcPr>
            <w:tcW w:w="3420" w:type="dxa"/>
            <w:noWrap w:val="0"/>
            <w:vAlign w:val="top"/>
          </w:tcPr>
          <w:p>
            <w:pPr>
              <w:spacing w:line="300" w:lineRule="exact"/>
              <w:rPr>
                <w:rFonts w:hint="eastAsia" w:ascii="仿宋" w:hAnsi="仿宋" w:eastAsia="仿宋" w:cs="仿宋"/>
                <w:szCs w:val="21"/>
              </w:rPr>
            </w:pPr>
            <w:r>
              <w:rPr>
                <w:rFonts w:hint="eastAsia" w:ascii="仿宋" w:hAnsi="仿宋" w:eastAsia="仿宋" w:cs="仿宋"/>
                <w:szCs w:val="21"/>
              </w:rPr>
              <w:t>每月进行安全生产培训、设备安全操作培训、上岗培训等，特殊工种需持证上岗。</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未进行安全培训扣3分，记录不规范扣1分/次 ，未持证上岗扣1分/人次。（根据当月汇报内容及台账进行扣分，未提供相关内容或台账资料的视为没有，下同）</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top"/>
          </w:tcPr>
          <w:p>
            <w:pPr>
              <w:spacing w:line="300" w:lineRule="exact"/>
              <w:rPr>
                <w:rFonts w:hint="eastAsia" w:ascii="仿宋" w:hAnsi="仿宋" w:eastAsia="仿宋" w:cs="仿宋"/>
                <w:szCs w:val="21"/>
              </w:rPr>
            </w:pPr>
            <w:r>
              <w:rPr>
                <w:rFonts w:hint="eastAsia" w:ascii="仿宋" w:hAnsi="仿宋" w:eastAsia="仿宋" w:cs="仿宋"/>
                <w:szCs w:val="21"/>
              </w:rPr>
              <w:t>各种防汛抢险预案、安全生产操作规程落实；岗位责任制明确；配备必要的抢险工具、器材设备等。</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预案、规程不合理不明确扣1分，落实不到位，扣1分，抢险工具、器材未按相关要求配备或检查扣1分。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top"/>
          </w:tcPr>
          <w:p>
            <w:pPr>
              <w:spacing w:line="300" w:lineRule="exact"/>
              <w:rPr>
                <w:rFonts w:hint="eastAsia" w:ascii="仿宋" w:hAnsi="仿宋" w:eastAsia="仿宋" w:cs="仿宋"/>
                <w:szCs w:val="21"/>
              </w:rPr>
            </w:pPr>
            <w:r>
              <w:rPr>
                <w:rFonts w:hint="eastAsia" w:ascii="仿宋" w:hAnsi="仿宋" w:eastAsia="仿宋" w:cs="仿宋"/>
                <w:szCs w:val="21"/>
              </w:rPr>
              <w:t>安全生产检查制度齐全，定期进行安全生产检查，检查记录完善。</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制度不合理不齐全扣1分，检查记录不完善扣1分，安全生产检查不开展扣2分。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站区内乱拉乱接电线、违建现象，偷盗、违规操作，非站工作人员进入操作区或操作设备等。</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4162"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偷盗、违规操作、违建每查到一次扣3分；非工作人员进入闸站区无登记记录，扣1分/人次；非工作人员进入操作区扣2分/人次。</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napToGrid w:val="0"/>
              <w:spacing w:line="300" w:lineRule="exact"/>
              <w:rPr>
                <w:rFonts w:hint="eastAsia" w:ascii="仿宋" w:hAnsi="仿宋" w:eastAsia="仿宋" w:cs="仿宋"/>
                <w:szCs w:val="21"/>
              </w:rPr>
            </w:pPr>
            <w:r>
              <w:rPr>
                <w:rFonts w:hint="eastAsia" w:ascii="仿宋" w:hAnsi="仿宋" w:eastAsia="仿宋" w:cs="仿宋"/>
                <w:szCs w:val="21"/>
              </w:rPr>
              <w:t>排灌站检查问题整改单完成率。</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5</w:t>
            </w:r>
          </w:p>
        </w:tc>
        <w:tc>
          <w:tcPr>
            <w:tcW w:w="4162" w:type="dxa"/>
            <w:noWrap w:val="0"/>
            <w:vAlign w:val="center"/>
          </w:tcPr>
          <w:p>
            <w:pPr>
              <w:snapToGrid w:val="0"/>
              <w:spacing w:line="300" w:lineRule="exact"/>
              <w:rPr>
                <w:rFonts w:hint="eastAsia" w:ascii="仿宋" w:hAnsi="仿宋" w:eastAsia="仿宋" w:cs="仿宋"/>
                <w:szCs w:val="21"/>
              </w:rPr>
            </w:pPr>
            <w:r>
              <w:rPr>
                <w:rFonts w:hint="eastAsia" w:ascii="仿宋" w:hAnsi="仿宋" w:eastAsia="仿宋" w:cs="仿宋"/>
                <w:szCs w:val="21"/>
              </w:rPr>
              <w:t>当月未整改完成的扣0.5分/次，且无正当理由或无整改计划的扣2分/次。</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防疫、防潮、防溺水等安全管理。</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4162"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测温亮码等防疫工作不到位的扣1分，对管理范围内捕鱼、钓鱼等未及时劝离的扣0.5分/次，九溪、四五和赤通浦等站交通桥上、社井泵站沉砂池等水域有捕鱼、钓鱼等行为的扣0.5分/次，潮前潮后各1小时内外江侧有人员未劝离的扣1分/次，扣完为止。</w:t>
            </w:r>
          </w:p>
        </w:tc>
        <w:tc>
          <w:tcPr>
            <w:tcW w:w="608" w:type="dxa"/>
            <w:vMerge w:val="restar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napToGrid w:val="0"/>
              <w:spacing w:line="300" w:lineRule="exact"/>
              <w:rPr>
                <w:rFonts w:hint="eastAsia" w:ascii="仿宋" w:hAnsi="仿宋" w:eastAsia="仿宋" w:cs="仿宋"/>
                <w:szCs w:val="21"/>
              </w:rPr>
            </w:pPr>
            <w:r>
              <w:rPr>
                <w:rFonts w:hint="eastAsia" w:ascii="仿宋" w:hAnsi="仿宋" w:eastAsia="仿宋" w:cs="仿宋"/>
                <w:szCs w:val="21"/>
              </w:rPr>
              <w:t>站区管理其他存在安全隐患问题。</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4162" w:type="dxa"/>
            <w:noWrap w:val="0"/>
            <w:vAlign w:val="center"/>
          </w:tcPr>
          <w:p>
            <w:pPr>
              <w:snapToGrid w:val="0"/>
              <w:spacing w:line="300" w:lineRule="exact"/>
              <w:rPr>
                <w:rFonts w:hint="eastAsia" w:ascii="仿宋" w:hAnsi="仿宋" w:eastAsia="仿宋" w:cs="仿宋"/>
                <w:szCs w:val="21"/>
              </w:rPr>
            </w:pPr>
            <w:r>
              <w:rPr>
                <w:rFonts w:hint="eastAsia" w:ascii="仿宋" w:hAnsi="仿宋" w:eastAsia="仿宋" w:cs="仿宋"/>
                <w:szCs w:val="21"/>
              </w:rPr>
              <w:t>扣1分/次，扣完为止。</w:t>
            </w:r>
          </w:p>
        </w:tc>
        <w:tc>
          <w:tcPr>
            <w:tcW w:w="608" w:type="dxa"/>
            <w:vMerge w:val="continue"/>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3" w:type="dxa"/>
            <w:vMerge w:val="restart"/>
            <w:noWrap w:val="0"/>
            <w:vAlign w:val="center"/>
          </w:tcPr>
          <w:p>
            <w:pPr>
              <w:rPr>
                <w:rFonts w:hint="eastAsia" w:ascii="仿宋" w:hAnsi="仿宋" w:eastAsia="仿宋" w:cs="仿宋"/>
              </w:rPr>
            </w:pPr>
            <w:r>
              <w:rPr>
                <w:rFonts w:hint="eastAsia" w:ascii="仿宋" w:hAnsi="仿宋" w:eastAsia="仿宋" w:cs="仿宋"/>
                <w:szCs w:val="21"/>
              </w:rPr>
              <w:t>金属结构及机电</w:t>
            </w:r>
          </w:p>
          <w:p>
            <w:pPr>
              <w:rPr>
                <w:rFonts w:hint="eastAsia" w:ascii="仿宋" w:hAnsi="仿宋" w:eastAsia="仿宋" w:cs="仿宋"/>
              </w:rPr>
            </w:pPr>
            <w:r>
              <w:rPr>
                <w:rFonts w:hint="eastAsia" w:ascii="仿宋" w:hAnsi="仿宋" w:eastAsia="仿宋" w:cs="仿宋"/>
                <w:szCs w:val="21"/>
              </w:rPr>
              <w:t>设备</w:t>
            </w:r>
          </w:p>
          <w:p>
            <w:pPr>
              <w:rPr>
                <w:rFonts w:hint="eastAsia" w:ascii="仿宋" w:hAnsi="仿宋" w:eastAsia="仿宋" w:cs="仿宋"/>
              </w:rPr>
            </w:pPr>
            <w:r>
              <w:rPr>
                <w:rFonts w:hint="eastAsia" w:ascii="仿宋" w:hAnsi="仿宋" w:eastAsia="仿宋" w:cs="仿宋"/>
                <w:szCs w:val="21"/>
              </w:rPr>
              <w:t>日常</w:t>
            </w:r>
          </w:p>
          <w:p>
            <w:pPr>
              <w:spacing w:line="300" w:lineRule="exact"/>
              <w:jc w:val="center"/>
              <w:rPr>
                <w:rFonts w:hint="eastAsia" w:ascii="仿宋" w:hAnsi="仿宋" w:eastAsia="仿宋" w:cs="仿宋"/>
                <w:szCs w:val="21"/>
              </w:rPr>
            </w:pPr>
            <w:r>
              <w:rPr>
                <w:rFonts w:hint="eastAsia" w:ascii="仿宋" w:hAnsi="仿宋" w:eastAsia="仿宋" w:cs="仿宋"/>
                <w:szCs w:val="21"/>
              </w:rPr>
              <w:t>养护（30分）</w:t>
            </w: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泵站机组运行正常，无异常响声，无告警指示，机组表面干净无锈蚀。</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5</w:t>
            </w:r>
          </w:p>
        </w:tc>
        <w:tc>
          <w:tcPr>
            <w:tcW w:w="4162" w:type="dxa"/>
            <w:noWrap w:val="0"/>
            <w:vAlign w:val="top"/>
          </w:tcPr>
          <w:p>
            <w:pPr>
              <w:spacing w:line="300" w:lineRule="exact"/>
              <w:rPr>
                <w:rFonts w:hint="eastAsia" w:ascii="仿宋" w:hAnsi="仿宋" w:eastAsia="仿宋" w:cs="仿宋"/>
                <w:szCs w:val="21"/>
              </w:rPr>
            </w:pPr>
            <w:r>
              <w:rPr>
                <w:rFonts w:hint="eastAsia" w:ascii="仿宋" w:hAnsi="仿宋" w:eastAsia="仿宋" w:cs="仿宋"/>
                <w:kern w:val="0"/>
                <w:szCs w:val="21"/>
              </w:rPr>
              <w:t>机组无法正常运行的扣3分/台</w:t>
            </w:r>
            <w:r>
              <w:rPr>
                <w:rFonts w:hint="eastAsia" w:ascii="仿宋" w:hAnsi="仿宋" w:eastAsia="仿宋" w:cs="仿宋"/>
                <w:szCs w:val="21"/>
              </w:rPr>
              <w:t>，</w:t>
            </w:r>
            <w:r>
              <w:rPr>
                <w:rFonts w:hint="eastAsia" w:ascii="仿宋" w:hAnsi="仿宋" w:eastAsia="仿宋" w:cs="仿宋"/>
                <w:kern w:val="0"/>
                <w:szCs w:val="21"/>
              </w:rPr>
              <w:t>机组表面不清洁扣1分/台，机组表面</w:t>
            </w:r>
            <w:r>
              <w:rPr>
                <w:rFonts w:hint="eastAsia" w:ascii="仿宋" w:hAnsi="仿宋" w:eastAsia="仿宋" w:cs="仿宋"/>
                <w:szCs w:val="21"/>
              </w:rPr>
              <w:t>出现严重锈蚀的扣2分/台。</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kern w:val="0"/>
                <w:szCs w:val="21"/>
              </w:rPr>
            </w:pPr>
            <w:r>
              <w:rPr>
                <w:rFonts w:hint="eastAsia" w:ascii="仿宋" w:hAnsi="仿宋" w:eastAsia="仿宋" w:cs="仿宋"/>
                <w:kern w:val="0"/>
                <w:szCs w:val="21"/>
              </w:rPr>
              <w:t>闸门（含检修闸）表面无腐锈现象，闸门开关闭正常。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5</w:t>
            </w:r>
          </w:p>
        </w:tc>
        <w:tc>
          <w:tcPr>
            <w:tcW w:w="4162" w:type="dxa"/>
            <w:noWrap w:val="0"/>
            <w:vAlign w:val="top"/>
          </w:tcPr>
          <w:p>
            <w:pPr>
              <w:spacing w:line="300" w:lineRule="exact"/>
              <w:rPr>
                <w:rFonts w:hint="eastAsia" w:ascii="仿宋" w:hAnsi="仿宋" w:eastAsia="仿宋" w:cs="仿宋"/>
                <w:kern w:val="0"/>
                <w:szCs w:val="21"/>
              </w:rPr>
            </w:pPr>
            <w:r>
              <w:rPr>
                <w:rFonts w:hint="eastAsia" w:ascii="仿宋" w:hAnsi="仿宋" w:eastAsia="仿宋" w:cs="仿宋"/>
                <w:kern w:val="0"/>
                <w:szCs w:val="21"/>
              </w:rPr>
              <w:t>闸门开关闭不正常扣3分/扇</w:t>
            </w:r>
            <w:r>
              <w:rPr>
                <w:rFonts w:hint="eastAsia" w:ascii="仿宋" w:hAnsi="仿宋" w:eastAsia="仿宋" w:cs="仿宋"/>
                <w:szCs w:val="21"/>
              </w:rPr>
              <w:t>，</w:t>
            </w:r>
            <w:r>
              <w:rPr>
                <w:rFonts w:hint="eastAsia" w:ascii="仿宋" w:hAnsi="仿宋" w:eastAsia="仿宋" w:cs="仿宋"/>
                <w:kern w:val="0"/>
                <w:szCs w:val="21"/>
              </w:rPr>
              <w:t>钢闸门腐锈或砼闸门破损严重的扣2分/扇，闸门渗漏水严重扣2分/扇。</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启闭机设备完好，运行正常。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启闭机无法正常运行扣2分/台，</w:t>
            </w:r>
            <w:r>
              <w:rPr>
                <w:rFonts w:hint="eastAsia" w:ascii="仿宋" w:hAnsi="仿宋" w:eastAsia="仿宋" w:cs="仿宋"/>
                <w:kern w:val="0"/>
                <w:szCs w:val="21"/>
              </w:rPr>
              <w:t>启闭机</w:t>
            </w:r>
            <w:r>
              <w:rPr>
                <w:rFonts w:hint="eastAsia" w:ascii="仿宋" w:hAnsi="仿宋" w:eastAsia="仿宋" w:cs="仿宋"/>
                <w:szCs w:val="21"/>
              </w:rPr>
              <w:t>机体表面未保持清洁扣1分/台；启闭机的联接件未保持紧固扣1分/台；传动件的传动部位未保持润滑扣1分/台；限位装置不灵活可靠扣1分/台；轴承及其配件损伤或严重磨损等扣1分/台；制动装置动作不灵活、制动不可靠扣1分/台；钢丝绳未定期涂抹防水油脂扣1分/台，未定期清洗保养并做好记录扣1分/台。</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排灌附属设施设备维护到位，运行正常；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拦污栅（或进水池、进水口）保洁不到位扣1分/次，拦污格栅损坏、锈蚀扣2分/次；行车组设备</w:t>
            </w:r>
            <w:r>
              <w:rPr>
                <w:rFonts w:hint="eastAsia" w:ascii="仿宋" w:hAnsi="仿宋" w:eastAsia="仿宋" w:cs="仿宋"/>
                <w:szCs w:val="21"/>
              </w:rPr>
              <w:t>运行不正常扣</w:t>
            </w:r>
            <w:r>
              <w:rPr>
                <w:rFonts w:hint="eastAsia" w:ascii="仿宋" w:hAnsi="仿宋" w:eastAsia="仿宋" w:cs="仿宋"/>
                <w:kern w:val="0"/>
                <w:szCs w:val="21"/>
              </w:rPr>
              <w:t>2分/台，</w:t>
            </w:r>
            <w:r>
              <w:rPr>
                <w:rFonts w:hint="eastAsia" w:ascii="仿宋" w:hAnsi="仿宋" w:eastAsia="仿宋" w:cs="仿宋"/>
                <w:szCs w:val="21"/>
              </w:rPr>
              <w:t>柴油发电机组设备损坏或运行不正常扣2分</w:t>
            </w:r>
            <w:r>
              <w:rPr>
                <w:rFonts w:hint="eastAsia" w:ascii="仿宋" w:hAnsi="仿宋" w:eastAsia="仿宋" w:cs="仿宋"/>
                <w:kern w:val="0"/>
                <w:szCs w:val="21"/>
              </w:rPr>
              <w:t>/台</w:t>
            </w:r>
            <w:r>
              <w:rPr>
                <w:rFonts w:hint="eastAsia" w:ascii="仿宋" w:hAnsi="仿宋" w:eastAsia="仿宋" w:cs="仿宋"/>
                <w:szCs w:val="21"/>
              </w:rPr>
              <w:t>；启闭机控制箱、电力动力箱等损坏或运行不正常扣1分/台；其他设施设备损坏或运行不正常每项扣1分</w:t>
            </w:r>
            <w:r>
              <w:rPr>
                <w:rFonts w:hint="eastAsia" w:ascii="仿宋" w:hAnsi="仿宋" w:eastAsia="仿宋" w:cs="仿宋"/>
                <w:kern w:val="0"/>
                <w:szCs w:val="21"/>
              </w:rPr>
              <w:t>/台</w:t>
            </w:r>
            <w:r>
              <w:rPr>
                <w:rFonts w:hint="eastAsia" w:ascii="仿宋" w:hAnsi="仿宋" w:eastAsia="仿宋" w:cs="仿宋"/>
                <w:szCs w:val="21"/>
              </w:rPr>
              <w:t>。</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清水入城设施设备运行维护到位，运行正常；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4162" w:type="dxa"/>
            <w:noWrap w:val="0"/>
            <w:vAlign w:val="center"/>
          </w:tcPr>
          <w:p>
            <w:pPr>
              <w:spacing w:line="300" w:lineRule="exact"/>
              <w:rPr>
                <w:rFonts w:hint="eastAsia" w:ascii="仿宋" w:hAnsi="仿宋" w:eastAsia="仿宋" w:cs="仿宋"/>
                <w:kern w:val="0"/>
                <w:szCs w:val="21"/>
              </w:rPr>
            </w:pPr>
            <w:r>
              <w:rPr>
                <w:rFonts w:hint="eastAsia" w:ascii="仿宋" w:hAnsi="仿宋" w:eastAsia="仿宋" w:cs="仿宋"/>
                <w:szCs w:val="21"/>
              </w:rPr>
              <w:t>未根据水源浊度及时调整加药量扣1分/次，未及时开关加药设备扣1分/次；设施设备养护不到位的扣1分/次；未能正常运行的扣2分/处。</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高低压开关柜、变压器柜、软启动柜面清洁，柜体封闭良好，仪表完好指示正确，操作及运行安全可靠。</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5</w:t>
            </w:r>
          </w:p>
        </w:tc>
        <w:tc>
          <w:tcPr>
            <w:tcW w:w="4162" w:type="dxa"/>
            <w:noWrap w:val="0"/>
            <w:vAlign w:val="top"/>
          </w:tcPr>
          <w:p>
            <w:pPr>
              <w:spacing w:line="300" w:lineRule="exact"/>
              <w:rPr>
                <w:rFonts w:hint="eastAsia" w:ascii="仿宋" w:hAnsi="仿宋" w:eastAsia="仿宋" w:cs="仿宋"/>
                <w:szCs w:val="21"/>
              </w:rPr>
            </w:pPr>
            <w:r>
              <w:rPr>
                <w:rFonts w:hint="eastAsia" w:ascii="仿宋" w:hAnsi="仿宋" w:eastAsia="仿宋" w:cs="仿宋"/>
                <w:szCs w:val="21"/>
              </w:rPr>
              <w:t>高压开关柜</w:t>
            </w:r>
            <w:r>
              <w:rPr>
                <w:rFonts w:hint="eastAsia" w:ascii="仿宋" w:hAnsi="仿宋" w:eastAsia="仿宋" w:cs="仿宋"/>
                <w:kern w:val="0"/>
                <w:szCs w:val="21"/>
              </w:rPr>
              <w:t>故障或仪表损坏扣</w:t>
            </w:r>
            <w:r>
              <w:rPr>
                <w:rFonts w:hint="eastAsia" w:ascii="仿宋" w:hAnsi="仿宋" w:eastAsia="仿宋" w:cs="仿宋"/>
                <w:szCs w:val="21"/>
              </w:rPr>
              <w:t>2分/台，断路器故障</w:t>
            </w:r>
            <w:r>
              <w:rPr>
                <w:rFonts w:hint="eastAsia" w:ascii="仿宋" w:hAnsi="仿宋" w:eastAsia="仿宋" w:cs="仿宋"/>
                <w:kern w:val="0"/>
                <w:szCs w:val="21"/>
              </w:rPr>
              <w:t>或仪表损坏扣</w:t>
            </w:r>
            <w:r>
              <w:rPr>
                <w:rFonts w:hint="eastAsia" w:ascii="仿宋" w:hAnsi="仿宋" w:eastAsia="仿宋" w:cs="仿宋"/>
                <w:szCs w:val="21"/>
              </w:rPr>
              <w:t>2分/台，进线计量柜</w:t>
            </w:r>
            <w:r>
              <w:rPr>
                <w:rFonts w:hint="eastAsia" w:ascii="仿宋" w:hAnsi="仿宋" w:eastAsia="仿宋" w:cs="仿宋"/>
                <w:kern w:val="0"/>
                <w:szCs w:val="21"/>
              </w:rPr>
              <w:t>故障或仪表损坏扣</w:t>
            </w:r>
            <w:r>
              <w:rPr>
                <w:rFonts w:hint="eastAsia" w:ascii="仿宋" w:hAnsi="仿宋" w:eastAsia="仿宋" w:cs="仿宋"/>
                <w:szCs w:val="21"/>
              </w:rPr>
              <w:t>2分/台，变压器柜</w:t>
            </w:r>
            <w:r>
              <w:rPr>
                <w:rFonts w:hint="eastAsia" w:ascii="仿宋" w:hAnsi="仿宋" w:eastAsia="仿宋" w:cs="仿宋"/>
                <w:kern w:val="0"/>
                <w:szCs w:val="21"/>
              </w:rPr>
              <w:t>故障或仪表损坏扣</w:t>
            </w:r>
            <w:r>
              <w:rPr>
                <w:rFonts w:hint="eastAsia" w:ascii="仿宋" w:hAnsi="仿宋" w:eastAsia="仿宋" w:cs="仿宋"/>
                <w:szCs w:val="21"/>
              </w:rPr>
              <w:t>2分/台，软启动柜</w:t>
            </w:r>
            <w:r>
              <w:rPr>
                <w:rFonts w:hint="eastAsia" w:ascii="仿宋" w:hAnsi="仿宋" w:eastAsia="仿宋" w:cs="仿宋"/>
                <w:kern w:val="0"/>
                <w:szCs w:val="21"/>
              </w:rPr>
              <w:t>故障或仪表损坏扣</w:t>
            </w:r>
            <w:r>
              <w:rPr>
                <w:rFonts w:hint="eastAsia" w:ascii="仿宋" w:hAnsi="仿宋" w:eastAsia="仿宋" w:cs="仿宋"/>
                <w:szCs w:val="21"/>
              </w:rPr>
              <w:t>2分/台；低压开关柜</w:t>
            </w:r>
            <w:r>
              <w:rPr>
                <w:rFonts w:hint="eastAsia" w:ascii="仿宋" w:hAnsi="仿宋" w:eastAsia="仿宋" w:cs="仿宋"/>
                <w:kern w:val="0"/>
                <w:szCs w:val="21"/>
              </w:rPr>
              <w:t>故障或仪表损坏扣</w:t>
            </w:r>
            <w:r>
              <w:rPr>
                <w:rFonts w:hint="eastAsia" w:ascii="仿宋" w:hAnsi="仿宋" w:eastAsia="仿宋" w:cs="仿宋"/>
                <w:szCs w:val="21"/>
              </w:rPr>
              <w:t>2分/台，断路器故障</w:t>
            </w:r>
            <w:r>
              <w:rPr>
                <w:rFonts w:hint="eastAsia" w:ascii="仿宋" w:hAnsi="仿宋" w:eastAsia="仿宋" w:cs="仿宋"/>
                <w:kern w:val="0"/>
                <w:szCs w:val="21"/>
              </w:rPr>
              <w:t>或仪表损坏扣</w:t>
            </w:r>
            <w:r>
              <w:rPr>
                <w:rFonts w:hint="eastAsia" w:ascii="仿宋" w:hAnsi="仿宋" w:eastAsia="仿宋" w:cs="仿宋"/>
                <w:szCs w:val="21"/>
              </w:rPr>
              <w:t>2分/台，变压器柜</w:t>
            </w:r>
            <w:r>
              <w:rPr>
                <w:rFonts w:hint="eastAsia" w:ascii="仿宋" w:hAnsi="仿宋" w:eastAsia="仿宋" w:cs="仿宋"/>
                <w:kern w:val="0"/>
                <w:szCs w:val="21"/>
              </w:rPr>
              <w:t>故障或仪表损坏扣</w:t>
            </w:r>
            <w:r>
              <w:rPr>
                <w:rFonts w:hint="eastAsia" w:ascii="仿宋" w:hAnsi="仿宋" w:eastAsia="仿宋" w:cs="仿宋"/>
                <w:szCs w:val="21"/>
              </w:rPr>
              <w:t>2分/台，软启动柜</w:t>
            </w:r>
            <w:r>
              <w:rPr>
                <w:rFonts w:hint="eastAsia" w:ascii="仿宋" w:hAnsi="仿宋" w:eastAsia="仿宋" w:cs="仿宋"/>
                <w:kern w:val="0"/>
                <w:szCs w:val="21"/>
              </w:rPr>
              <w:t>故障或仪表损坏扣</w:t>
            </w:r>
            <w:r>
              <w:rPr>
                <w:rFonts w:hint="eastAsia" w:ascii="仿宋" w:hAnsi="仿宋" w:eastAsia="仿宋" w:cs="仿宋"/>
                <w:szCs w:val="21"/>
              </w:rPr>
              <w:t>2分/台，相关设施设备除尘清洁等养护不到位的扣1分/台。</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水位监测设备、水质监测设备、自动化监控设备、视频监控设备</w:t>
            </w:r>
            <w:r>
              <w:rPr>
                <w:rFonts w:hint="eastAsia" w:ascii="仿宋" w:hAnsi="仿宋" w:eastAsia="仿宋" w:cs="仿宋"/>
                <w:szCs w:val="21"/>
              </w:rPr>
              <w:t>完好，运行正常。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kern w:val="0"/>
                <w:szCs w:val="21"/>
              </w:rPr>
              <w:t>5</w:t>
            </w:r>
          </w:p>
        </w:tc>
        <w:tc>
          <w:tcPr>
            <w:tcW w:w="4162" w:type="dxa"/>
            <w:noWrap w:val="0"/>
            <w:vAlign w:val="top"/>
          </w:tcPr>
          <w:p>
            <w:pPr>
              <w:spacing w:line="300" w:lineRule="exact"/>
              <w:rPr>
                <w:rFonts w:hint="eastAsia" w:ascii="仿宋" w:hAnsi="仿宋" w:eastAsia="仿宋" w:cs="仿宋"/>
                <w:szCs w:val="21"/>
              </w:rPr>
            </w:pPr>
            <w:r>
              <w:rPr>
                <w:rFonts w:hint="eastAsia" w:ascii="仿宋" w:hAnsi="仿宋" w:eastAsia="仿宋" w:cs="仿宋"/>
                <w:szCs w:val="21"/>
              </w:rPr>
              <w:t>水位监测设备运行不正常1分/处，</w:t>
            </w:r>
            <w:r>
              <w:rPr>
                <w:rFonts w:hint="eastAsia" w:ascii="仿宋" w:hAnsi="仿宋" w:eastAsia="仿宋" w:cs="仿宋"/>
                <w:kern w:val="0"/>
                <w:szCs w:val="21"/>
              </w:rPr>
              <w:t>水质监测设备损坏或未及时监测</w:t>
            </w:r>
            <w:r>
              <w:rPr>
                <w:rFonts w:hint="eastAsia" w:ascii="仿宋" w:hAnsi="仿宋" w:eastAsia="仿宋" w:cs="仿宋"/>
                <w:szCs w:val="21"/>
              </w:rPr>
              <w:t>1分/处，公用LCU屏故障或仪表损坏</w:t>
            </w:r>
            <w:r>
              <w:rPr>
                <w:rFonts w:hint="eastAsia" w:ascii="仿宋" w:hAnsi="仿宋" w:eastAsia="仿宋" w:cs="仿宋"/>
                <w:kern w:val="0"/>
                <w:szCs w:val="21"/>
              </w:rPr>
              <w:t>扣</w:t>
            </w:r>
            <w:r>
              <w:rPr>
                <w:rFonts w:hint="eastAsia" w:ascii="仿宋" w:hAnsi="仿宋" w:eastAsia="仿宋" w:cs="仿宋"/>
                <w:szCs w:val="21"/>
              </w:rPr>
              <w:t>1分/套，220V直流控制屏故障或仪表损坏</w:t>
            </w:r>
            <w:r>
              <w:rPr>
                <w:rFonts w:hint="eastAsia" w:ascii="仿宋" w:hAnsi="仿宋" w:eastAsia="仿宋" w:cs="仿宋"/>
                <w:kern w:val="0"/>
                <w:szCs w:val="21"/>
              </w:rPr>
              <w:t>扣</w:t>
            </w:r>
            <w:r>
              <w:rPr>
                <w:rFonts w:hint="eastAsia" w:ascii="仿宋" w:hAnsi="仿宋" w:eastAsia="仿宋" w:cs="仿宋"/>
                <w:szCs w:val="21"/>
              </w:rPr>
              <w:t>1分/套，蓄电池屏故障或仪表损坏</w:t>
            </w:r>
            <w:r>
              <w:rPr>
                <w:rFonts w:hint="eastAsia" w:ascii="仿宋" w:hAnsi="仿宋" w:eastAsia="仿宋" w:cs="仿宋"/>
                <w:kern w:val="0"/>
                <w:szCs w:val="21"/>
              </w:rPr>
              <w:t>扣</w:t>
            </w:r>
            <w:r>
              <w:rPr>
                <w:rFonts w:hint="eastAsia" w:ascii="仿宋" w:hAnsi="仿宋" w:eastAsia="仿宋" w:cs="仿宋"/>
                <w:szCs w:val="21"/>
              </w:rPr>
              <w:t>1分/套，UPS电源屏故障或仪表损坏</w:t>
            </w:r>
            <w:r>
              <w:rPr>
                <w:rFonts w:hint="eastAsia" w:ascii="仿宋" w:hAnsi="仿宋" w:eastAsia="仿宋" w:cs="仿宋"/>
                <w:kern w:val="0"/>
                <w:szCs w:val="21"/>
              </w:rPr>
              <w:t>扣</w:t>
            </w:r>
            <w:r>
              <w:rPr>
                <w:rFonts w:hint="eastAsia" w:ascii="仿宋" w:hAnsi="仿宋" w:eastAsia="仿宋" w:cs="仿宋"/>
                <w:szCs w:val="21"/>
              </w:rPr>
              <w:t>1分/套，电机保护柜故障或仪表损坏</w:t>
            </w:r>
            <w:r>
              <w:rPr>
                <w:rFonts w:hint="eastAsia" w:ascii="仿宋" w:hAnsi="仿宋" w:eastAsia="仿宋" w:cs="仿宋"/>
                <w:kern w:val="0"/>
                <w:szCs w:val="21"/>
              </w:rPr>
              <w:t>扣</w:t>
            </w:r>
            <w:r>
              <w:rPr>
                <w:rFonts w:hint="eastAsia" w:ascii="仿宋" w:hAnsi="仿宋" w:eastAsia="仿宋" w:cs="仿宋"/>
                <w:szCs w:val="21"/>
              </w:rPr>
              <w:t>1分/套，线路及差动保护柜故障或仪表损坏</w:t>
            </w:r>
            <w:r>
              <w:rPr>
                <w:rFonts w:hint="eastAsia" w:ascii="仿宋" w:hAnsi="仿宋" w:eastAsia="仿宋" w:cs="仿宋"/>
                <w:kern w:val="0"/>
                <w:szCs w:val="21"/>
              </w:rPr>
              <w:t>扣</w:t>
            </w:r>
            <w:r>
              <w:rPr>
                <w:rFonts w:hint="eastAsia" w:ascii="仿宋" w:hAnsi="仿宋" w:eastAsia="仿宋" w:cs="仿宋"/>
                <w:szCs w:val="21"/>
              </w:rPr>
              <w:t>1分/套，泵组LCU屏故障或仪表损坏</w:t>
            </w:r>
            <w:r>
              <w:rPr>
                <w:rFonts w:hint="eastAsia" w:ascii="仿宋" w:hAnsi="仿宋" w:eastAsia="仿宋" w:cs="仿宋"/>
                <w:kern w:val="0"/>
                <w:szCs w:val="21"/>
              </w:rPr>
              <w:t>扣</w:t>
            </w:r>
            <w:r>
              <w:rPr>
                <w:rFonts w:hint="eastAsia" w:ascii="仿宋" w:hAnsi="仿宋" w:eastAsia="仿宋" w:cs="仿宋"/>
                <w:szCs w:val="21"/>
              </w:rPr>
              <w:t>1分/套，泵组监控计算机运行不正常</w:t>
            </w:r>
            <w:r>
              <w:rPr>
                <w:rFonts w:hint="eastAsia" w:ascii="仿宋" w:hAnsi="仿宋" w:eastAsia="仿宋" w:cs="仿宋"/>
                <w:kern w:val="0"/>
                <w:szCs w:val="21"/>
              </w:rPr>
              <w:t>扣</w:t>
            </w:r>
            <w:r>
              <w:rPr>
                <w:rFonts w:hint="eastAsia" w:ascii="仿宋" w:hAnsi="仿宋" w:eastAsia="仿宋" w:cs="仿宋"/>
                <w:szCs w:val="21"/>
              </w:rPr>
              <w:t>1分/台，视频监控主机运行不正常</w:t>
            </w:r>
            <w:r>
              <w:rPr>
                <w:rFonts w:hint="eastAsia" w:ascii="仿宋" w:hAnsi="仿宋" w:eastAsia="仿宋" w:cs="仿宋"/>
                <w:kern w:val="0"/>
                <w:szCs w:val="21"/>
              </w:rPr>
              <w:t>扣</w:t>
            </w:r>
            <w:r>
              <w:rPr>
                <w:rFonts w:hint="eastAsia" w:ascii="仿宋" w:hAnsi="仿宋" w:eastAsia="仿宋" w:cs="仿宋"/>
                <w:szCs w:val="21"/>
              </w:rPr>
              <w:t>1分/台，自动化监控系统无法正常运行扣3分/处，摄像机运行不正常</w:t>
            </w:r>
            <w:r>
              <w:rPr>
                <w:rFonts w:hint="eastAsia" w:ascii="仿宋" w:hAnsi="仿宋" w:eastAsia="仿宋" w:cs="仿宋"/>
                <w:kern w:val="0"/>
                <w:szCs w:val="21"/>
              </w:rPr>
              <w:t>扣</w:t>
            </w:r>
            <w:r>
              <w:rPr>
                <w:rFonts w:hint="eastAsia" w:ascii="仿宋" w:hAnsi="仿宋" w:eastAsia="仿宋" w:cs="仿宋"/>
                <w:szCs w:val="21"/>
              </w:rPr>
              <w:t>1分/个，视频监控系统无法正常运行扣2分/处。</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3" w:type="dxa"/>
            <w:vMerge w:val="restart"/>
            <w:noWrap w:val="0"/>
            <w:vAlign w:val="center"/>
          </w:tcPr>
          <w:p>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日常运行</w:t>
            </w:r>
          </w:p>
          <w:p>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管理（25分）</w:t>
            </w: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运行制度、调度方案、交接班制度等健全，按照标准化管理要求记录完善。</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szCs w:val="21"/>
              </w:rPr>
              <w:t>无相关制度、方案的扣3分，相关制度未上墙的扣1份，制度方案不健全的扣1分，制度方案不落实的扣1分，相关记录不完善的扣1分，未在标准化管理平台实时记录上传的扣2分，开机或开闸前未实施预警的扣1分，未落实运行期间设备巡查的扣1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 xml:space="preserve">服从调度，按运行调度方案，严禁随意开启设备；服从排灌站任务安排。 </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未按控运计划、调度指令或任务安排执行的扣2分</w:t>
            </w:r>
            <w:r>
              <w:rPr>
                <w:rFonts w:hint="eastAsia" w:ascii="仿宋" w:hAnsi="仿宋" w:eastAsia="仿宋" w:cs="仿宋"/>
                <w:szCs w:val="21"/>
              </w:rPr>
              <w:t>/次</w:t>
            </w:r>
            <w:r>
              <w:rPr>
                <w:rFonts w:hint="eastAsia" w:ascii="仿宋" w:hAnsi="仿宋" w:eastAsia="仿宋" w:cs="仿宋"/>
                <w:kern w:val="0"/>
                <w:szCs w:val="21"/>
              </w:rPr>
              <w:t>，执行不及时的扣1分</w:t>
            </w:r>
            <w:r>
              <w:rPr>
                <w:rFonts w:hint="eastAsia" w:ascii="仿宋" w:hAnsi="仿宋" w:eastAsia="仿宋" w:cs="仿宋"/>
                <w:szCs w:val="21"/>
              </w:rPr>
              <w:t>/次</w:t>
            </w:r>
            <w:r>
              <w:rPr>
                <w:rFonts w:hint="eastAsia" w:ascii="仿宋" w:hAnsi="仿宋" w:eastAsia="仿宋" w:cs="仿宋"/>
                <w:kern w:val="0"/>
                <w:szCs w:val="21"/>
              </w:rPr>
              <w:t>，随意开启设备的扣3分</w:t>
            </w:r>
            <w:r>
              <w:rPr>
                <w:rFonts w:hint="eastAsia" w:ascii="仿宋" w:hAnsi="仿宋" w:eastAsia="仿宋" w:cs="仿宋"/>
                <w:szCs w:val="21"/>
              </w:rPr>
              <w:t>/次</w:t>
            </w:r>
            <w:r>
              <w:rPr>
                <w:rFonts w:hint="eastAsia" w:ascii="仿宋" w:hAnsi="仿宋" w:eastAsia="仿宋" w:cs="仿宋"/>
                <w:kern w:val="0"/>
                <w:szCs w:val="21"/>
              </w:rPr>
              <w:t>，设备启闭状态调整未及时上报的扣1分</w:t>
            </w:r>
            <w:r>
              <w:rPr>
                <w:rFonts w:hint="eastAsia" w:ascii="仿宋" w:hAnsi="仿宋" w:eastAsia="仿宋" w:cs="仿宋"/>
                <w:szCs w:val="21"/>
              </w:rPr>
              <w:t>/次</w:t>
            </w:r>
            <w:r>
              <w:rPr>
                <w:rFonts w:hint="eastAsia" w:ascii="仿宋" w:hAnsi="仿宋" w:eastAsia="仿宋" w:cs="仿宋"/>
                <w:kern w:val="0"/>
                <w:szCs w:val="21"/>
              </w:rPr>
              <w:t xml:space="preserve">。 </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防汛、办公设备、档案等物资管理到位，防汛仓库规范管理和养护。</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防汛物资未按规定发放、收回或登记的扣1分</w:t>
            </w:r>
            <w:r>
              <w:rPr>
                <w:rFonts w:hint="eastAsia" w:ascii="仿宋" w:hAnsi="仿宋" w:eastAsia="仿宋" w:cs="仿宋"/>
                <w:szCs w:val="21"/>
              </w:rPr>
              <w:t>/次</w:t>
            </w:r>
            <w:r>
              <w:rPr>
                <w:rFonts w:hint="eastAsia" w:ascii="仿宋" w:hAnsi="仿宋" w:eastAsia="仿宋" w:cs="仿宋"/>
                <w:kern w:val="0"/>
                <w:szCs w:val="21"/>
              </w:rPr>
              <w:t>，防汛物资养护不到位的扣1分</w:t>
            </w:r>
            <w:r>
              <w:rPr>
                <w:rFonts w:hint="eastAsia" w:ascii="仿宋" w:hAnsi="仿宋" w:eastAsia="仿宋" w:cs="仿宋"/>
                <w:szCs w:val="21"/>
              </w:rPr>
              <w:t>/次</w:t>
            </w:r>
            <w:r>
              <w:rPr>
                <w:rFonts w:hint="eastAsia" w:ascii="仿宋" w:hAnsi="仿宋" w:eastAsia="仿宋" w:cs="仿宋"/>
                <w:kern w:val="0"/>
                <w:szCs w:val="21"/>
              </w:rPr>
              <w:t>，办公设备、档案资料管理不到位的扣3分，固定资产缺失或管理不到位的扣3分。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运值人员技术水平、仪表风貌及主要站点24小时值班制落实到位情况。节约用水、用电。</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运行及管理人员未规范统一着装的扣1分</w:t>
            </w:r>
            <w:r>
              <w:rPr>
                <w:rFonts w:hint="eastAsia" w:ascii="仿宋" w:hAnsi="仿宋" w:eastAsia="仿宋" w:cs="仿宋"/>
                <w:szCs w:val="21"/>
              </w:rPr>
              <w:t>/人</w:t>
            </w:r>
            <w:r>
              <w:rPr>
                <w:rFonts w:hint="eastAsia" w:ascii="仿宋" w:hAnsi="仿宋" w:eastAsia="仿宋" w:cs="仿宋"/>
                <w:kern w:val="0"/>
                <w:szCs w:val="21"/>
              </w:rPr>
              <w:t>，当值人员未持证上岗的扣1分</w:t>
            </w:r>
            <w:r>
              <w:rPr>
                <w:rFonts w:hint="eastAsia" w:ascii="仿宋" w:hAnsi="仿宋" w:eastAsia="仿宋" w:cs="仿宋"/>
                <w:szCs w:val="21"/>
              </w:rPr>
              <w:t>/人</w:t>
            </w:r>
            <w:r>
              <w:rPr>
                <w:rFonts w:hint="eastAsia" w:ascii="仿宋" w:hAnsi="仿宋" w:eastAsia="仿宋" w:cs="仿宋"/>
                <w:kern w:val="0"/>
                <w:szCs w:val="21"/>
              </w:rPr>
              <w:t>，运值人员存在脱岗、睡觉、饮酒等行为的扣2分</w:t>
            </w:r>
            <w:r>
              <w:rPr>
                <w:rFonts w:hint="eastAsia" w:ascii="仿宋" w:hAnsi="仿宋" w:eastAsia="仿宋" w:cs="仿宋"/>
                <w:szCs w:val="21"/>
              </w:rPr>
              <w:t>/人，主要站点及</w:t>
            </w:r>
            <w:r>
              <w:rPr>
                <w:rFonts w:hint="eastAsia" w:ascii="仿宋" w:hAnsi="仿宋" w:eastAsia="仿宋" w:cs="仿宋"/>
                <w:kern w:val="0"/>
                <w:szCs w:val="21"/>
              </w:rPr>
              <w:t>防汛仓库未执行24小时值守的扣2分/次。发现违规用水或浪费水源的扣1分/次、违规用电或浪费电的扣1分/次。</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kern w:val="0"/>
                <w:szCs w:val="21"/>
              </w:rPr>
            </w:pPr>
            <w:r>
              <w:rPr>
                <w:rFonts w:hint="eastAsia" w:ascii="仿宋" w:hAnsi="仿宋" w:eastAsia="仿宋" w:cs="仿宋"/>
                <w:szCs w:val="21"/>
              </w:rPr>
              <w:t>机组运行时长平均化，不需要运行的机组每月定期开机试运行，，并做好记录；备用发电机每月定期试机，每季度定期带负荷运行；排水车按规定进行试机和养护，并做好记录。</w:t>
            </w:r>
          </w:p>
        </w:tc>
        <w:tc>
          <w:tcPr>
            <w:tcW w:w="540" w:type="dxa"/>
            <w:noWrap w:val="0"/>
            <w:vAlign w:val="center"/>
          </w:tcPr>
          <w:p>
            <w:pPr>
              <w:spacing w:line="300" w:lineRule="exact"/>
              <w:jc w:val="center"/>
              <w:rPr>
                <w:rFonts w:hint="eastAsia" w:ascii="仿宋" w:hAnsi="仿宋" w:eastAsia="仿宋" w:cs="仿宋"/>
                <w:kern w:val="0"/>
                <w:szCs w:val="21"/>
              </w:rPr>
            </w:pPr>
            <w:r>
              <w:rPr>
                <w:rFonts w:hint="eastAsia" w:ascii="仿宋" w:hAnsi="仿宋" w:eastAsia="仿宋" w:cs="仿宋"/>
                <w:szCs w:val="21"/>
              </w:rPr>
              <w:t>4</w:t>
            </w:r>
          </w:p>
        </w:tc>
        <w:tc>
          <w:tcPr>
            <w:tcW w:w="4162" w:type="dxa"/>
            <w:noWrap w:val="0"/>
            <w:vAlign w:val="center"/>
          </w:tcPr>
          <w:p>
            <w:pPr>
              <w:spacing w:line="300" w:lineRule="exact"/>
              <w:rPr>
                <w:rFonts w:hint="eastAsia" w:ascii="仿宋" w:hAnsi="仿宋" w:eastAsia="仿宋" w:cs="仿宋"/>
                <w:kern w:val="0"/>
                <w:szCs w:val="21"/>
              </w:rPr>
            </w:pPr>
            <w:r>
              <w:rPr>
                <w:rFonts w:hint="eastAsia" w:ascii="仿宋" w:hAnsi="仿宋" w:eastAsia="仿宋" w:cs="仿宋"/>
                <w:szCs w:val="21"/>
              </w:rPr>
              <w:t>机组运行时长偏差严重的1分/处，不需要运行的机组未进行试机的扣2分/台，备用发电机未进行试机的扣2分/台；排水车未试机保养的扣1分；无相关记录的扣1分/次。</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运行及管理人员到岗率。项目部技术支撑到位。每月提炼工作亮点，上报宣传信息。</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4</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人员配备未按投标承诺到岗到位的扣1分/人次，未按我站最低保证人数到岗到位的扣4分。项目部人员未能常驻现场的扣1分/人次，缺席考核会议扣2分/人次，未能有效提供机电设备维养、水工建筑维护、</w:t>
            </w:r>
            <w:r>
              <w:rPr>
                <w:rFonts w:hint="eastAsia" w:ascii="仿宋" w:hAnsi="仿宋" w:eastAsia="仿宋" w:cs="仿宋"/>
              </w:rPr>
              <w:t>工程测量测绘、造价预算编制、绿化养护等</w:t>
            </w:r>
            <w:r>
              <w:rPr>
                <w:rFonts w:hint="eastAsia" w:ascii="仿宋" w:hAnsi="仿宋" w:eastAsia="仿宋" w:cs="仿宋"/>
                <w:kern w:val="0"/>
                <w:szCs w:val="21"/>
              </w:rPr>
              <w:t>技术支撑服务的扣1分/次。重要节点宣传不到位的扣1分，每月工作亮点未提炼或宣传信息少于1篇的扣1分。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63" w:type="dxa"/>
            <w:vMerge w:val="restart"/>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巡查与观测（10分）</w:t>
            </w: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按照水利工程标准化要求对各站区站点及河道开展巡查工作，并做好相关记录及上传平台信息。</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未开展相关工作的扣5分，对河道巡查未及时发现河道涉障类问题的扣3分，巡查工作内容未达到标准化要求的扣2分，当月巡查工作情况未进行分析总结的扣2分，巡查记录不规范的扣1分，未上传平台的扣1分。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按照水利工程标准化要求对各站区站点开展观测工作（沉降、位移、淤积、水质浊度等观测），并做好相关记录及上传平台信息。</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5</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未开展相关工作的扣5分，对当月观测工作情况未进行分析总结的扣2分，观测工作内容未达到标准化要求的扣1分，观测记录不规范的扣1分，未上传平台的扣1分。年度未形成整编资料报告的扣2分/处。</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63" w:type="dxa"/>
            <w:vMerge w:val="restart"/>
            <w:noWrap w:val="0"/>
            <w:vAlign w:val="center"/>
          </w:tcPr>
          <w:p>
            <w:pPr>
              <w:spacing w:line="300" w:lineRule="exact"/>
              <w:rPr>
                <w:rFonts w:hint="eastAsia" w:ascii="仿宋" w:hAnsi="仿宋" w:eastAsia="仿宋" w:cs="仿宋"/>
                <w:kern w:val="0"/>
                <w:szCs w:val="21"/>
              </w:rPr>
            </w:pPr>
            <w:r>
              <w:rPr>
                <w:rFonts w:hint="eastAsia" w:ascii="仿宋" w:hAnsi="仿宋" w:eastAsia="仿宋" w:cs="仿宋"/>
                <w:kern w:val="0"/>
                <w:szCs w:val="21"/>
              </w:rPr>
              <w:t>站容</w:t>
            </w:r>
          </w:p>
          <w:p>
            <w:pPr>
              <w:spacing w:line="300" w:lineRule="exact"/>
              <w:rPr>
                <w:rFonts w:hint="eastAsia" w:ascii="仿宋" w:hAnsi="仿宋" w:eastAsia="仿宋" w:cs="仿宋"/>
                <w:szCs w:val="21"/>
              </w:rPr>
            </w:pPr>
            <w:r>
              <w:rPr>
                <w:rFonts w:hint="eastAsia" w:ascii="仿宋" w:hAnsi="仿宋" w:eastAsia="仿宋" w:cs="仿宋"/>
                <w:kern w:val="0"/>
                <w:szCs w:val="21"/>
              </w:rPr>
              <w:t>站貌（15分）</w:t>
            </w: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站区、防汛物资库内不得不许私自改变原有设施的使用功能，站区内不得随意堆放无关杂物，设施。</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2</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每发现一处扣0.5分</w:t>
            </w:r>
            <w:r>
              <w:rPr>
                <w:rFonts w:hint="eastAsia" w:ascii="仿宋" w:hAnsi="仿宋" w:eastAsia="仿宋" w:cs="仿宋"/>
                <w:szCs w:val="21"/>
              </w:rPr>
              <w:t>，此项可累计扣分。甲方督促后</w:t>
            </w:r>
            <w:r>
              <w:rPr>
                <w:rFonts w:hint="eastAsia" w:ascii="仿宋" w:hAnsi="仿宋" w:eastAsia="仿宋" w:cs="仿宋"/>
                <w:kern w:val="0"/>
                <w:szCs w:val="21"/>
              </w:rPr>
              <w:t>仍</w:t>
            </w:r>
            <w:r>
              <w:rPr>
                <w:rFonts w:hint="eastAsia" w:ascii="仿宋" w:hAnsi="仿宋" w:eastAsia="仿宋" w:cs="仿宋"/>
                <w:szCs w:val="21"/>
              </w:rPr>
              <w:t>未及时整改的</w:t>
            </w:r>
            <w:r>
              <w:rPr>
                <w:rFonts w:hint="eastAsia" w:ascii="仿宋" w:hAnsi="仿宋" w:eastAsia="仿宋" w:cs="仿宋"/>
                <w:kern w:val="0"/>
                <w:szCs w:val="21"/>
              </w:rPr>
              <w:t>扣2分。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63" w:type="dxa"/>
            <w:vMerge w:val="continue"/>
            <w:noWrap w:val="0"/>
            <w:vAlign w:val="center"/>
          </w:tcPr>
          <w:p>
            <w:pPr>
              <w:spacing w:line="300" w:lineRule="exact"/>
              <w:rPr>
                <w:rFonts w:hint="eastAsia" w:ascii="仿宋" w:hAnsi="仿宋" w:eastAsia="仿宋" w:cs="仿宋"/>
                <w:kern w:val="0"/>
                <w:szCs w:val="21"/>
              </w:rPr>
            </w:pPr>
          </w:p>
        </w:tc>
        <w:tc>
          <w:tcPr>
            <w:tcW w:w="3420"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闸站区绿化养护、保洁</w:t>
            </w:r>
          </w:p>
        </w:tc>
        <w:tc>
          <w:tcPr>
            <w:tcW w:w="540" w:type="dxa"/>
            <w:noWrap w:val="0"/>
            <w:vAlign w:val="center"/>
          </w:tcPr>
          <w:p>
            <w:pPr>
              <w:snapToGrid w:val="0"/>
              <w:spacing w:line="300" w:lineRule="exact"/>
              <w:jc w:val="center"/>
              <w:rPr>
                <w:rFonts w:hint="eastAsia" w:ascii="仿宋" w:hAnsi="仿宋" w:eastAsia="仿宋" w:cs="仿宋"/>
                <w:kern w:val="0"/>
                <w:szCs w:val="21"/>
              </w:rPr>
            </w:pPr>
            <w:r>
              <w:rPr>
                <w:rFonts w:hint="eastAsia" w:ascii="仿宋" w:hAnsi="仿宋" w:eastAsia="仿宋" w:cs="仿宋"/>
                <w:szCs w:val="21"/>
              </w:rPr>
              <w:t>5</w:t>
            </w:r>
          </w:p>
        </w:tc>
        <w:tc>
          <w:tcPr>
            <w:tcW w:w="4162" w:type="dxa"/>
            <w:noWrap w:val="0"/>
            <w:vAlign w:val="center"/>
          </w:tcPr>
          <w:p>
            <w:pPr>
              <w:snapToGrid w:val="0"/>
              <w:spacing w:line="300" w:lineRule="exact"/>
              <w:rPr>
                <w:rFonts w:hint="eastAsia" w:ascii="仿宋" w:hAnsi="仿宋" w:eastAsia="仿宋" w:cs="仿宋"/>
                <w:kern w:val="0"/>
                <w:szCs w:val="21"/>
              </w:rPr>
            </w:pPr>
            <w:r>
              <w:rPr>
                <w:rFonts w:hint="eastAsia" w:ascii="仿宋" w:hAnsi="仿宋" w:eastAsia="仿宋" w:cs="仿宋"/>
                <w:szCs w:val="21"/>
              </w:rPr>
              <w:t>未定期进行乔灌木修剪、杂草清除等扣2分/处；未定期进行病虫害处理或树木出现蛀虫未及时治理的扣1分/处；未进行绿化区域保洁扣2分/处；高温天绿化浇水养护不及时的扣2分/处；寒冷或冰冻天乔灌木未及时保温的扣2分/处；未及时补种死亡乔灌木、草皮扣2分/处。闸站区或河道口门垃圾清理不及时、站区保洁不到位等情况扣1分/次；生活污水处理不规范扣1分/次。</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站区、办公区、防汛物资库内干净整洁无异味、臭味；室内温度、湿度适宜；地面无烟头、纸屑、污渍、积水；门窗、天花板、墙面无灰尘、墙面剥落、蜘蛛网等。</w:t>
            </w:r>
          </w:p>
        </w:tc>
        <w:tc>
          <w:tcPr>
            <w:tcW w:w="540"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3</w:t>
            </w:r>
          </w:p>
        </w:tc>
        <w:tc>
          <w:tcPr>
            <w:tcW w:w="4162" w:type="dxa"/>
            <w:noWrap w:val="0"/>
            <w:vAlign w:val="center"/>
          </w:tcPr>
          <w:p>
            <w:pPr>
              <w:widowControl/>
              <w:snapToGrid w:val="0"/>
              <w:spacing w:line="300" w:lineRule="exact"/>
              <w:rPr>
                <w:rFonts w:hint="eastAsia" w:ascii="仿宋" w:hAnsi="仿宋" w:eastAsia="仿宋" w:cs="仿宋"/>
                <w:kern w:val="0"/>
                <w:szCs w:val="21"/>
              </w:rPr>
            </w:pPr>
            <w:r>
              <w:rPr>
                <w:rFonts w:hint="eastAsia" w:ascii="仿宋" w:hAnsi="仿宋" w:eastAsia="仿宋" w:cs="仿宋"/>
                <w:kern w:val="0"/>
                <w:szCs w:val="21"/>
              </w:rPr>
              <w:t>办公设施损坏未及时维修的扣0.5分/次，环境不佳扣0.5/次</w:t>
            </w:r>
            <w:r>
              <w:rPr>
                <w:rFonts w:hint="eastAsia" w:ascii="仿宋" w:hAnsi="仿宋" w:eastAsia="仿宋" w:cs="仿宋"/>
                <w:szCs w:val="21"/>
              </w:rPr>
              <w:t>，甲方督促后仍未及时整改的扣3分</w:t>
            </w:r>
            <w:r>
              <w:rPr>
                <w:rFonts w:hint="eastAsia" w:ascii="仿宋" w:hAnsi="仿宋" w:eastAsia="仿宋" w:cs="仿宋"/>
                <w:kern w:val="0"/>
                <w:szCs w:val="21"/>
              </w:rPr>
              <w:t>。</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泵闸室、站区围墙等建（构）筑物损毁修复，部分零星工程维护。及时清淤作业。</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修复或维修不及时扣1分/处</w:t>
            </w:r>
            <w:r>
              <w:rPr>
                <w:rFonts w:hint="eastAsia" w:ascii="仿宋" w:hAnsi="仿宋" w:eastAsia="仿宋" w:cs="仿宋"/>
                <w:szCs w:val="21"/>
              </w:rPr>
              <w:t>，闸站区范围内该清淤未及时清淤的扣1分/处，影响工程正常运行的扣2分/处。甲方督促后</w:t>
            </w:r>
            <w:r>
              <w:rPr>
                <w:rFonts w:hint="eastAsia" w:ascii="仿宋" w:hAnsi="仿宋" w:eastAsia="仿宋" w:cs="仿宋"/>
                <w:kern w:val="0"/>
                <w:szCs w:val="21"/>
              </w:rPr>
              <w:t>仍</w:t>
            </w:r>
            <w:r>
              <w:rPr>
                <w:rFonts w:hint="eastAsia" w:ascii="仿宋" w:hAnsi="仿宋" w:eastAsia="仿宋" w:cs="仿宋"/>
                <w:szCs w:val="21"/>
              </w:rPr>
              <w:t>未及时整改的</w:t>
            </w:r>
            <w:r>
              <w:rPr>
                <w:rFonts w:hint="eastAsia" w:ascii="仿宋" w:hAnsi="仿宋" w:eastAsia="仿宋" w:cs="仿宋"/>
                <w:kern w:val="0"/>
                <w:szCs w:val="21"/>
              </w:rPr>
              <w:t>扣3分。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3" w:type="dxa"/>
            <w:vMerge w:val="continue"/>
            <w:noWrap w:val="0"/>
            <w:vAlign w:val="center"/>
          </w:tcPr>
          <w:p>
            <w:pPr>
              <w:spacing w:line="300" w:lineRule="exact"/>
              <w:jc w:val="center"/>
              <w:rPr>
                <w:rFonts w:hint="eastAsia" w:ascii="仿宋" w:hAnsi="仿宋" w:eastAsia="仿宋" w:cs="仿宋"/>
                <w:szCs w:val="21"/>
              </w:rPr>
            </w:pPr>
          </w:p>
        </w:tc>
        <w:tc>
          <w:tcPr>
            <w:tcW w:w="3420" w:type="dxa"/>
            <w:noWrap w:val="0"/>
            <w:vAlign w:val="center"/>
          </w:tcPr>
          <w:p>
            <w:pPr>
              <w:spacing w:line="300" w:lineRule="exact"/>
              <w:rPr>
                <w:rFonts w:hint="eastAsia" w:ascii="仿宋" w:hAnsi="仿宋" w:eastAsia="仿宋" w:cs="仿宋"/>
                <w:szCs w:val="21"/>
              </w:rPr>
            </w:pPr>
            <w:r>
              <w:rPr>
                <w:rFonts w:hint="eastAsia" w:ascii="仿宋" w:hAnsi="仿宋" w:eastAsia="仿宋" w:cs="仿宋"/>
                <w:szCs w:val="21"/>
              </w:rPr>
              <w:t>站区门窗、用电、照明（含景观照明）、移动大门等正常</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w:t>
            </w:r>
          </w:p>
        </w:tc>
        <w:tc>
          <w:tcPr>
            <w:tcW w:w="4162" w:type="dxa"/>
            <w:noWrap w:val="0"/>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发现故障扣0.5分/处</w:t>
            </w:r>
            <w:r>
              <w:rPr>
                <w:rFonts w:hint="eastAsia" w:ascii="仿宋" w:hAnsi="仿宋" w:eastAsia="仿宋" w:cs="仿宋"/>
                <w:szCs w:val="21"/>
              </w:rPr>
              <w:t>，甲方督促后</w:t>
            </w:r>
            <w:r>
              <w:rPr>
                <w:rFonts w:hint="eastAsia" w:ascii="仿宋" w:hAnsi="仿宋" w:eastAsia="仿宋" w:cs="仿宋"/>
                <w:kern w:val="0"/>
                <w:szCs w:val="21"/>
              </w:rPr>
              <w:t>仍</w:t>
            </w:r>
            <w:r>
              <w:rPr>
                <w:rFonts w:hint="eastAsia" w:ascii="仿宋" w:hAnsi="仿宋" w:eastAsia="仿宋" w:cs="仿宋"/>
                <w:szCs w:val="21"/>
              </w:rPr>
              <w:t>未及时整改的</w:t>
            </w:r>
            <w:r>
              <w:rPr>
                <w:rFonts w:hint="eastAsia" w:ascii="仿宋" w:hAnsi="仿宋" w:eastAsia="仿宋" w:cs="仿宋"/>
                <w:kern w:val="0"/>
                <w:szCs w:val="21"/>
              </w:rPr>
              <w:t>扣2分。</w:t>
            </w:r>
          </w:p>
        </w:tc>
        <w:tc>
          <w:tcPr>
            <w:tcW w:w="608"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85" w:type="dxa"/>
            <w:gridSpan w:val="4"/>
            <w:noWrap w:val="0"/>
            <w:vAlign w:val="center"/>
          </w:tcPr>
          <w:p>
            <w:pPr>
              <w:spacing w:line="300" w:lineRule="exact"/>
              <w:rPr>
                <w:rFonts w:hint="eastAsia" w:ascii="仿宋" w:hAnsi="仿宋" w:eastAsia="仿宋" w:cs="仿宋"/>
                <w:kern w:val="0"/>
                <w:szCs w:val="21"/>
              </w:rPr>
            </w:pPr>
            <w:r>
              <w:rPr>
                <w:rFonts w:hint="eastAsia" w:ascii="仿宋" w:hAnsi="仿宋" w:eastAsia="仿宋" w:cs="仿宋"/>
                <w:b/>
                <w:szCs w:val="21"/>
              </w:rPr>
              <w:t>加分项：</w:t>
            </w:r>
            <w:r>
              <w:rPr>
                <w:rFonts w:hint="eastAsia" w:ascii="仿宋" w:hAnsi="仿宋" w:eastAsia="仿宋" w:cs="仿宋"/>
                <w:kern w:val="0"/>
                <w:szCs w:val="21"/>
              </w:rPr>
              <w:t>当月开展大修或技术改造类工作受到我站肯定的，加0.5分/次；当月开展的运维工作得到区农业农村局及以上领导口头表扬的，加0.5分/次，得到书面批示表扬的，加1分/次；上报的宣传信息被区农业农村局录用的，加0.5分/次，被区级媒体录用的，加1分/次，被省市及以上媒体录用的，加2分/次。</w:t>
            </w:r>
          </w:p>
        </w:tc>
        <w:tc>
          <w:tcPr>
            <w:tcW w:w="608" w:type="dxa"/>
            <w:noWrap w:val="0"/>
            <w:vAlign w:val="center"/>
          </w:tcPr>
          <w:p>
            <w:pPr>
              <w:jc w:val="center"/>
              <w:rPr>
                <w:rFonts w:hint="eastAsia" w:ascii="仿宋" w:hAnsi="仿宋" w:eastAsia="仿宋" w:cs="仿宋"/>
                <w:szCs w:val="21"/>
              </w:rPr>
            </w:pPr>
          </w:p>
        </w:tc>
      </w:tr>
    </w:tbl>
    <w:p>
      <w:pPr>
        <w:rPr>
          <w:rFonts w:hint="eastAsia" w:ascii="仿宋" w:hAnsi="仿宋" w:eastAsia="仿宋" w:cs="仿宋"/>
          <w:bCs/>
          <w:szCs w:val="21"/>
        </w:rPr>
      </w:pPr>
      <w:r>
        <w:rPr>
          <w:rFonts w:hint="eastAsia" w:ascii="仿宋" w:hAnsi="仿宋" w:eastAsia="仿宋" w:cs="仿宋"/>
          <w:b/>
          <w:bCs/>
          <w:szCs w:val="21"/>
        </w:rPr>
        <w:t>说明：</w:t>
      </w:r>
      <w:r>
        <w:rPr>
          <w:rFonts w:hint="eastAsia" w:ascii="仿宋" w:hAnsi="仿宋" w:eastAsia="仿宋" w:cs="仿宋"/>
          <w:bCs/>
          <w:szCs w:val="21"/>
        </w:rPr>
        <w:t>各项累计扣分值原则不超过对应分值，如考核对象中无涉及对应考核内容的，在评分时可按照分值占比进行折算打分。针对考核标准中涉及的工作内容完成情况需要运维单位提供对应台账资料及标准化平台记录，相关工作应在月度运维报告中体现，如无台账资料或无平台记录则视为该项内容未完成。</w:t>
      </w:r>
    </w:p>
    <w:p>
      <w:pPr>
        <w:widowControl/>
        <w:jc w:val="left"/>
        <w:rPr>
          <w:rFonts w:hint="eastAsia" w:ascii="仿宋" w:hAnsi="仿宋" w:eastAsia="仿宋" w:cs="仿宋"/>
          <w:kern w:val="0"/>
          <w:szCs w:val="21"/>
        </w:rPr>
      </w:pPr>
      <w:r>
        <w:rPr>
          <w:rFonts w:hint="eastAsia" w:ascii="仿宋" w:hAnsi="仿宋" w:eastAsia="仿宋" w:cs="仿宋"/>
          <w:kern w:val="0"/>
          <w:szCs w:val="21"/>
        </w:rPr>
        <w:br w:type="page"/>
      </w:r>
    </w:p>
    <w:p>
      <w:pPr>
        <w:spacing w:before="156" w:beforeLines="50" w:after="156" w:afterLines="50"/>
        <w:jc w:val="center"/>
        <w:rPr>
          <w:rFonts w:hint="eastAsia" w:ascii="仿宋" w:hAnsi="仿宋" w:eastAsia="仿宋" w:cs="仿宋"/>
          <w:b/>
          <w:bCs/>
          <w:kern w:val="0"/>
          <w:szCs w:val="28"/>
        </w:rPr>
      </w:pPr>
      <w:r>
        <w:rPr>
          <w:rFonts w:hint="eastAsia" w:ascii="仿宋" w:hAnsi="仿宋" w:eastAsia="仿宋" w:cs="仿宋"/>
          <w:b/>
          <w:bCs/>
          <w:kern w:val="0"/>
          <w:szCs w:val="28"/>
        </w:rPr>
        <w:t>西湖区排灌泵闸站委托运维管理项目</w:t>
      </w:r>
      <w:r>
        <w:rPr>
          <w:rFonts w:hint="eastAsia" w:ascii="仿宋" w:hAnsi="仿宋" w:eastAsia="仿宋" w:cs="仿宋"/>
          <w:b/>
          <w:bCs/>
          <w:kern w:val="0"/>
          <w:szCs w:val="28"/>
          <w:u w:val="single"/>
        </w:rPr>
        <w:t xml:space="preserve">       年</w:t>
      </w:r>
      <w:r>
        <w:rPr>
          <w:rFonts w:hint="eastAsia" w:ascii="仿宋" w:hAnsi="仿宋" w:eastAsia="仿宋" w:cs="仿宋"/>
          <w:b/>
          <w:bCs/>
          <w:kern w:val="0"/>
          <w:szCs w:val="28"/>
        </w:rPr>
        <w:t>度考核表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238"/>
        <w:gridCol w:w="540"/>
        <w:gridCol w:w="387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45"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考核项目</w:t>
            </w:r>
          </w:p>
        </w:tc>
        <w:tc>
          <w:tcPr>
            <w:tcW w:w="3238"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 核 内 容</w:t>
            </w:r>
          </w:p>
        </w:tc>
        <w:tc>
          <w:tcPr>
            <w:tcW w:w="540"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分值</w:t>
            </w:r>
          </w:p>
        </w:tc>
        <w:tc>
          <w:tcPr>
            <w:tcW w:w="3876" w:type="dxa"/>
            <w:noWrap w:val="0"/>
            <w:vAlign w:val="center"/>
          </w:tcPr>
          <w:p>
            <w:pPr>
              <w:widowControl/>
              <w:snapToGrid w:val="0"/>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考 核 标 准</w:t>
            </w:r>
          </w:p>
        </w:tc>
        <w:tc>
          <w:tcPr>
            <w:tcW w:w="1035" w:type="dxa"/>
            <w:noWrap w:val="0"/>
            <w:vAlign w:val="center"/>
          </w:tcPr>
          <w:p>
            <w:pPr>
              <w:widowControl/>
              <w:snapToGrid w:val="0"/>
              <w:jc w:val="center"/>
              <w:rPr>
                <w:rFonts w:hint="eastAsia" w:ascii="仿宋" w:hAnsi="仿宋" w:eastAsia="仿宋" w:cs="仿宋"/>
                <w:b/>
                <w:kern w:val="0"/>
                <w:szCs w:val="21"/>
              </w:rPr>
            </w:pPr>
            <w:r>
              <w:rPr>
                <w:rFonts w:hint="eastAsia" w:ascii="仿宋" w:hAnsi="仿宋" w:eastAsia="仿宋" w:cs="仿宋"/>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建筑物完好率</w:t>
            </w:r>
          </w:p>
        </w:tc>
        <w:tc>
          <w:tcPr>
            <w:tcW w:w="3238"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根据运维单位提供的台账资料、建筑物完好率情况表及现场检查情况综合考核运维管理对象的工程完好情况。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10</w:t>
            </w:r>
          </w:p>
        </w:tc>
        <w:tc>
          <w:tcPr>
            <w:tcW w:w="3876"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建筑物完好率，即完好的建筑物数与建筑物总数的比值；完好率低于100%的扣1分，低于90%的扣5分，低于85%的不得分。</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设备完好率</w:t>
            </w:r>
          </w:p>
        </w:tc>
        <w:tc>
          <w:tcPr>
            <w:tcW w:w="3238"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根据运维单位提供的台账资料、设备完好率情况表及现场检查考核运维管理对象的设备完好情况。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10</w:t>
            </w:r>
          </w:p>
        </w:tc>
        <w:tc>
          <w:tcPr>
            <w:tcW w:w="3876"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设备完好率，即各闸站机组的完好台套数与总台套数的比值；完好率低于100%的扣1分，低于95%的扣5分，低于90%的不得分。</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安全运行率</w:t>
            </w:r>
          </w:p>
        </w:tc>
        <w:tc>
          <w:tcPr>
            <w:tcW w:w="3238"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根据运维单位提供的台账资料、年度安全运行情况表及现场检查考核运维管理对象的安全运行情况。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20</w:t>
            </w:r>
          </w:p>
        </w:tc>
        <w:tc>
          <w:tcPr>
            <w:tcW w:w="3876"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安全运行率，即各闸站机组安全运行台时数与因设备和工程事故、主机组停机台时数的比值；运行率低于100%的扣5分，低于90%的不得分。</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配水保证率</w:t>
            </w:r>
          </w:p>
        </w:tc>
        <w:tc>
          <w:tcPr>
            <w:tcW w:w="3238"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根据台账资料、年度配水及清水入城情况报告考核年度配水任务完成情况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15</w:t>
            </w:r>
          </w:p>
        </w:tc>
        <w:tc>
          <w:tcPr>
            <w:tcW w:w="3876"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szCs w:val="21"/>
              </w:rPr>
              <w:t>配水保证率，即年度配水任务与年度配水考核任务的比值；</w:t>
            </w:r>
            <w:r>
              <w:rPr>
                <w:rFonts w:hint="eastAsia" w:ascii="仿宋" w:hAnsi="仿宋" w:eastAsia="仿宋" w:cs="仿宋"/>
                <w:kern w:val="0"/>
                <w:szCs w:val="21"/>
              </w:rPr>
              <w:t>完成年度配水任务的，不扣分；未完成年度配水任务的，每低于1%扣2分。</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防汛保证率</w:t>
            </w:r>
          </w:p>
        </w:tc>
        <w:tc>
          <w:tcPr>
            <w:tcW w:w="3238"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根据台账资料及年度防汛情况报告考核年度防汛任务完成情况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15</w:t>
            </w:r>
          </w:p>
        </w:tc>
        <w:tc>
          <w:tcPr>
            <w:tcW w:w="3876"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防汛保证率，即实际响应防汛调度次数与应响应防汛调度次数的比值；未按照响应及调度要求完成防汛任务的扣5分</w:t>
            </w:r>
            <w:r>
              <w:rPr>
                <w:rFonts w:hint="eastAsia" w:ascii="仿宋" w:hAnsi="仿宋" w:eastAsia="仿宋" w:cs="仿宋"/>
                <w:szCs w:val="21"/>
              </w:rPr>
              <w:t>/次，未及时总结各次防汛调度工作任务的扣1分/次。</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运维资金平衡率</w:t>
            </w:r>
          </w:p>
        </w:tc>
        <w:tc>
          <w:tcPr>
            <w:tcW w:w="3238"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根据台账资料及年度运维工作报告考核运维单位运维资金使用平衡情况</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10</w:t>
            </w:r>
          </w:p>
        </w:tc>
        <w:tc>
          <w:tcPr>
            <w:tcW w:w="3876"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szCs w:val="21"/>
              </w:rPr>
              <w:t>运维资金平衡率，即运维年度内实际运维费用与合同运维费的比值。平衡率低于100%的此项不得分，平衡率等于或高于100%但</w:t>
            </w:r>
            <w:r>
              <w:rPr>
                <w:rFonts w:hint="eastAsia" w:ascii="仿宋" w:hAnsi="仿宋" w:eastAsia="仿宋" w:cs="仿宋"/>
                <w:kern w:val="0"/>
                <w:szCs w:val="21"/>
              </w:rPr>
              <w:t>实际运维费用组成明显不合理或不规范的扣1分/次</w:t>
            </w:r>
            <w:r>
              <w:rPr>
                <w:rFonts w:hint="eastAsia" w:ascii="仿宋" w:hAnsi="仿宋" w:eastAsia="仿宋" w:cs="仿宋"/>
                <w:szCs w:val="21"/>
              </w:rPr>
              <w:t>。</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运维台账完整性</w:t>
            </w:r>
          </w:p>
        </w:tc>
        <w:tc>
          <w:tcPr>
            <w:tcW w:w="3238"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按照水利工程标准化管理要求，考核年度运维台账资料的完整性、规范性</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10</w:t>
            </w:r>
          </w:p>
        </w:tc>
        <w:tc>
          <w:tcPr>
            <w:tcW w:w="3876"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发现年度运维台账资料不完整或不规范的扣0.5分</w:t>
            </w:r>
            <w:r>
              <w:rPr>
                <w:rFonts w:hint="eastAsia" w:ascii="仿宋" w:hAnsi="仿宋" w:eastAsia="仿宋" w:cs="仿宋"/>
                <w:szCs w:val="21"/>
              </w:rPr>
              <w:t>/处。</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运维工作贡献值</w:t>
            </w:r>
          </w:p>
        </w:tc>
        <w:tc>
          <w:tcPr>
            <w:tcW w:w="3238" w:type="dxa"/>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根据年度运维工作报告，考核运维单位对运维工作的贡献值</w:t>
            </w:r>
          </w:p>
        </w:tc>
        <w:tc>
          <w:tcPr>
            <w:tcW w:w="540"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10</w:t>
            </w:r>
          </w:p>
        </w:tc>
        <w:tc>
          <w:tcPr>
            <w:tcW w:w="3876" w:type="dxa"/>
            <w:noWrap w:val="0"/>
            <w:vAlign w:val="center"/>
          </w:tcPr>
          <w:p>
            <w:pPr>
              <w:widowControl/>
              <w:snapToGrid w:val="0"/>
              <w:spacing w:line="300" w:lineRule="exact"/>
              <w:jc w:val="center"/>
              <w:rPr>
                <w:rFonts w:ascii="仿宋" w:hAnsi="仿宋" w:eastAsia="仿宋" w:cs="仿宋"/>
                <w:kern w:val="0"/>
                <w:szCs w:val="21"/>
              </w:rPr>
            </w:pPr>
            <w:r>
              <w:rPr>
                <w:rFonts w:hint="eastAsia" w:ascii="仿宋" w:hAnsi="仿宋" w:eastAsia="仿宋" w:cs="仿宋"/>
                <w:kern w:val="0"/>
                <w:szCs w:val="21"/>
              </w:rPr>
              <w:t>年度运维工作报告未能充分反映运维工作的扣2分，未提炼运维工作亮点及绩效贡献的扣2分，发现有其它不合理或认为贡献值小的情况可酌情扣分。</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5" w:type="dxa"/>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kern w:val="0"/>
                <w:szCs w:val="21"/>
              </w:rPr>
              <w:t>年度加分情况</w:t>
            </w:r>
          </w:p>
        </w:tc>
        <w:tc>
          <w:tcPr>
            <w:tcW w:w="7654" w:type="dxa"/>
            <w:gridSpan w:val="3"/>
            <w:noWrap w:val="0"/>
            <w:vAlign w:val="center"/>
          </w:tcPr>
          <w:p>
            <w:pPr>
              <w:widowControl/>
              <w:snapToGrid w:val="0"/>
              <w:spacing w:line="300" w:lineRule="exact"/>
              <w:jc w:val="center"/>
              <w:rPr>
                <w:rFonts w:hint="eastAsia" w:ascii="仿宋" w:hAnsi="仿宋" w:eastAsia="仿宋" w:cs="仿宋"/>
                <w:kern w:val="0"/>
                <w:szCs w:val="21"/>
              </w:rPr>
            </w:pPr>
            <w:r>
              <w:rPr>
                <w:rFonts w:hint="eastAsia" w:ascii="仿宋" w:hAnsi="仿宋" w:eastAsia="仿宋" w:cs="仿宋"/>
                <w:kern w:val="0"/>
                <w:szCs w:val="21"/>
              </w:rPr>
              <w:t>鼓励运维单位创新创优，努力提升技能。如</w:t>
            </w:r>
            <w:r>
              <w:rPr>
                <w:rFonts w:hint="eastAsia" w:ascii="仿宋" w:hAnsi="仿宋" w:eastAsia="仿宋" w:cs="仿宋"/>
              </w:rPr>
              <w:t>一个运维年度连续三月考核分高于95分的加3分，累计十二个月考核为合格的加3分，受委托的水利工程取得区级及以上行政奖励的加3分/次。</w:t>
            </w:r>
          </w:p>
        </w:tc>
        <w:tc>
          <w:tcPr>
            <w:tcW w:w="1035"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634" w:type="dxa"/>
            <w:gridSpan w:val="5"/>
            <w:noWrap w:val="0"/>
            <w:vAlign w:val="center"/>
          </w:tcPr>
          <w:p>
            <w:pPr>
              <w:rPr>
                <w:rFonts w:hint="eastAsia" w:ascii="仿宋" w:hAnsi="仿宋" w:eastAsia="仿宋" w:cs="仿宋"/>
                <w:szCs w:val="21"/>
              </w:rPr>
            </w:pPr>
            <w:r>
              <w:rPr>
                <w:rFonts w:hint="eastAsia" w:ascii="仿宋" w:hAnsi="仿宋" w:eastAsia="仿宋" w:cs="仿宋"/>
                <w:szCs w:val="21"/>
              </w:rPr>
              <w:t>备注：运维单位按照《泵站运行管理规程》（DB33/T 2248-2020）要求对委托的水利工程设备及建筑物每年进行一次评级，评级结果作为年度考核依据。建筑物完好率、设备完好率、安全运行率等相关技术经济指标计算方法参照《泵站技术管理规程》（GB/T 30948-2014），水闸工程可参照计算。</w:t>
            </w:r>
          </w:p>
        </w:tc>
      </w:tr>
    </w:tbl>
    <w:p>
      <w:pPr>
        <w:spacing w:before="156" w:beforeLines="50" w:after="156" w:afterLines="50"/>
        <w:jc w:val="left"/>
        <w:rPr>
          <w:rFonts w:hint="eastAsia" w:ascii="仿宋" w:hAnsi="仿宋" w:eastAsia="仿宋" w:cs="仿宋"/>
          <w:b/>
          <w:w w:val="90"/>
          <w:sz w:val="24"/>
        </w:rPr>
      </w:pPr>
    </w:p>
    <w:p>
      <w:pPr>
        <w:widowControl/>
        <w:snapToGrid w:val="0"/>
        <w:spacing w:line="360" w:lineRule="auto"/>
        <w:jc w:val="left"/>
        <w:rPr>
          <w:rFonts w:hint="eastAsia" w:ascii="仿宋" w:hAnsi="仿宋" w:eastAsia="仿宋" w:cs="仿宋"/>
          <w:b/>
          <w:w w:val="90"/>
          <w:sz w:val="24"/>
        </w:rPr>
      </w:pPr>
      <w:r>
        <w:rPr>
          <w:rFonts w:hint="eastAsia" w:ascii="仿宋" w:hAnsi="仿宋" w:eastAsia="仿宋" w:cs="仿宋"/>
          <w:b/>
          <w:w w:val="90"/>
          <w:sz w:val="24"/>
        </w:rPr>
        <w:t>附件二</w:t>
      </w:r>
    </w:p>
    <w:p>
      <w:pPr>
        <w:widowControl/>
        <w:snapToGrid w:val="0"/>
        <w:spacing w:line="360" w:lineRule="auto"/>
        <w:jc w:val="center"/>
        <w:rPr>
          <w:rFonts w:hint="eastAsia" w:ascii="仿宋" w:hAnsi="仿宋" w:eastAsia="仿宋" w:cs="仿宋"/>
          <w:b/>
          <w:bCs/>
          <w:sz w:val="44"/>
          <w:szCs w:val="44"/>
        </w:rPr>
      </w:pPr>
      <w:r>
        <w:rPr>
          <w:rFonts w:hint="eastAsia" w:ascii="仿宋" w:hAnsi="仿宋" w:eastAsia="仿宋" w:cs="仿宋"/>
          <w:b/>
          <w:kern w:val="0"/>
          <w:sz w:val="32"/>
          <w:szCs w:val="32"/>
        </w:rPr>
        <w:t>赤通浦排涝站日常维修养护工作</w:t>
      </w:r>
    </w:p>
    <w:tbl>
      <w:tblPr>
        <w:tblStyle w:val="45"/>
        <w:tblW w:w="9000" w:type="dxa"/>
        <w:tblInd w:w="0" w:type="dxa"/>
        <w:tblLayout w:type="fixed"/>
        <w:tblCellMar>
          <w:top w:w="0" w:type="dxa"/>
          <w:left w:w="108" w:type="dxa"/>
          <w:bottom w:w="0" w:type="dxa"/>
          <w:right w:w="108" w:type="dxa"/>
        </w:tblCellMar>
      </w:tblPr>
      <w:tblGrid>
        <w:gridCol w:w="540"/>
        <w:gridCol w:w="1800"/>
        <w:gridCol w:w="2083"/>
        <w:gridCol w:w="617"/>
        <w:gridCol w:w="3960"/>
      </w:tblGrid>
      <w:tr>
        <w:tblPrEx>
          <w:tblCellMar>
            <w:top w:w="0" w:type="dxa"/>
            <w:left w:w="108" w:type="dxa"/>
            <w:bottom w:w="0" w:type="dxa"/>
            <w:right w:w="108" w:type="dxa"/>
          </w:tblCellMar>
        </w:tblPrEx>
        <w:trPr>
          <w:wBefore w:w="0" w:type="dxa"/>
          <w:wAfter w:w="0" w:type="dxa"/>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2083"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617"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wBefore w:w="0" w:type="dxa"/>
          <w:wAfter w:w="0" w:type="dxa"/>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10kV高压室</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进线隔离柜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计量柜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主变6KV开关柜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PT柜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电动机出线柜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电压互感器柜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直流电源屏</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02"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蓄电池屏</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02"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SCB9-2500/10（套）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nil"/>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6KV进线柜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400V电容柜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成套开关柜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SCB9-250/6（套）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SCB9-250/10（套）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中控室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LCU柜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rPr>
              <w:t>电动机保护屏柜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线路保护屏柜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77"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UPS电源屏</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图像监视柜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68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计算机监控、图像监视系统</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848" w:hRule="exact"/>
        </w:trPr>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right w:val="single" w:color="000000" w:sz="4" w:space="0"/>
            </w:tcBorders>
            <w:noWrap w:val="0"/>
            <w:vAlign w:val="center"/>
          </w:tcPr>
          <w:p>
            <w:pPr>
              <w:rPr>
                <w:rFonts w:hint="eastAsia" w:ascii="仿宋" w:hAnsi="仿宋" w:eastAsia="仿宋" w:cs="仿宋"/>
                <w:szCs w:val="21"/>
              </w:rPr>
            </w:pPr>
            <w:r>
              <w:rPr>
                <w:rFonts w:hint="eastAsia" w:ascii="仿宋" w:hAnsi="仿宋" w:eastAsia="仿宋" w:cs="仿宋"/>
                <w:szCs w:val="21"/>
              </w:rPr>
              <w:t>主机房</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排涝水泵电机组（轴流泵）</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每月定期试机运行，单机运行至少30分钟；每月定期对各部检查，对潜水泵进水口进行隐患排查和保洁，随时发现缺陷处理。</w:t>
            </w:r>
          </w:p>
        </w:tc>
      </w:tr>
      <w:tr>
        <w:tblPrEx>
          <w:tblCellMar>
            <w:top w:w="0" w:type="dxa"/>
            <w:left w:w="108" w:type="dxa"/>
            <w:bottom w:w="0" w:type="dxa"/>
            <w:right w:w="108" w:type="dxa"/>
          </w:tblCellMar>
        </w:tblPrEx>
        <w:trPr>
          <w:wBefore w:w="0" w:type="dxa"/>
          <w:wAfter w:w="0" w:type="dxa"/>
          <w:trHeight w:val="704"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技术供水系统</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LCU控制屏柜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励磁装置屏柜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05"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励磁变压器柜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16T桥式起重机</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每月定期对各部检查，随时发现缺陷处理；定期进行年检。</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风机</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低压配电柜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restart"/>
            <w:tcBorders>
              <w:top w:val="single" w:color="auto" w:sz="4" w:space="0"/>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闸室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卷扬启闭机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钢闸门（套）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检修闸门（套）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门式起重机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718"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77"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金属设备养护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清污、皮带输送机（套）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26"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wBefore w:w="0" w:type="dxa"/>
          <w:wAfter w:w="0" w:type="dxa"/>
          <w:trHeight w:val="426" w:hRule="exact"/>
        </w:trPr>
        <w:tc>
          <w:tcPr>
            <w:tcW w:w="540" w:type="dxa"/>
            <w:vMerge w:val="continue"/>
            <w:tcBorders>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拦污栅</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视频及监控系统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视频监控探头</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14</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水位监测仪</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柴油发电机组</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每月定期对设备空载运转，并按要求每月带负何运转15分钟。定期对发电机电池充电。</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蓄电池组</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管理房用电及照明</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站区照明灯</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站区景观照明系统</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闸站区、区域水面保洁</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每天至少保洁一次，含垃圾定期清运。</w:t>
            </w:r>
          </w:p>
        </w:tc>
      </w:tr>
      <w:tr>
        <w:tblPrEx>
          <w:tblCellMar>
            <w:top w:w="0" w:type="dxa"/>
            <w:left w:w="108" w:type="dxa"/>
            <w:bottom w:w="0" w:type="dxa"/>
            <w:right w:w="108" w:type="dxa"/>
          </w:tblCellMar>
        </w:tblPrEx>
        <w:trPr>
          <w:wBefore w:w="0" w:type="dxa"/>
          <w:wAfter w:w="0" w:type="dxa"/>
          <w:trHeight w:val="126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机房管理房泵启闭机室建筑损毁，站区桥梁、围墙及零星工程</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1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站区绿化</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18"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站区绿化景观设施</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r>
        <w:tblPrEx>
          <w:tblCellMar>
            <w:top w:w="0" w:type="dxa"/>
            <w:left w:w="108" w:type="dxa"/>
            <w:bottom w:w="0" w:type="dxa"/>
            <w:right w:w="108" w:type="dxa"/>
          </w:tblCellMar>
        </w:tblPrEx>
        <w:trPr>
          <w:wBefore w:w="0" w:type="dxa"/>
          <w:wAfter w:w="0" w:type="dxa"/>
          <w:trHeight w:val="47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预增设施设备</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62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bl>
    <w:p>
      <w:pPr>
        <w:rPr>
          <w:rFonts w:hint="eastAsia" w:ascii="仿宋" w:hAnsi="仿宋" w:eastAsia="仿宋" w:cs="仿宋"/>
        </w:rPr>
      </w:pPr>
      <w:r>
        <w:rPr>
          <w:rFonts w:hint="eastAsia" w:ascii="仿宋" w:hAnsi="仿宋" w:eastAsia="仿宋" w:cs="仿宋"/>
          <w:kern w:val="0"/>
        </w:rPr>
        <w:t>注:日常维修养护内容含但不限于以上内容。</w:t>
      </w: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bCs/>
          <w:sz w:val="44"/>
          <w:szCs w:val="44"/>
        </w:rPr>
      </w:pPr>
      <w:r>
        <w:rPr>
          <w:rFonts w:hint="eastAsia" w:ascii="仿宋" w:hAnsi="仿宋" w:eastAsia="仿宋" w:cs="仿宋"/>
          <w:b/>
          <w:kern w:val="0"/>
          <w:sz w:val="32"/>
          <w:szCs w:val="32"/>
        </w:rPr>
        <w:t>九溪水闸日常维修养护工作</w:t>
      </w:r>
    </w:p>
    <w:tbl>
      <w:tblPr>
        <w:tblStyle w:val="45"/>
        <w:tblW w:w="9000" w:type="dxa"/>
        <w:tblInd w:w="0" w:type="dxa"/>
        <w:tblLayout w:type="fixed"/>
        <w:tblCellMar>
          <w:top w:w="0" w:type="dxa"/>
          <w:left w:w="108" w:type="dxa"/>
          <w:bottom w:w="0" w:type="dxa"/>
          <w:right w:w="108" w:type="dxa"/>
        </w:tblCellMar>
      </w:tblPr>
      <w:tblGrid>
        <w:gridCol w:w="540"/>
        <w:gridCol w:w="1800"/>
        <w:gridCol w:w="2083"/>
        <w:gridCol w:w="617"/>
        <w:gridCol w:w="3960"/>
      </w:tblGrid>
      <w:tr>
        <w:tblPrEx>
          <w:tblCellMar>
            <w:top w:w="0" w:type="dxa"/>
            <w:left w:w="108" w:type="dxa"/>
            <w:bottom w:w="0" w:type="dxa"/>
            <w:right w:w="108" w:type="dxa"/>
          </w:tblCellMar>
        </w:tblPrEx>
        <w:trPr>
          <w:wBefore w:w="0" w:type="dxa"/>
          <w:wAfter w:w="0" w:type="dxa"/>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2083"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617"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wBefore w:w="0" w:type="dxa"/>
          <w:wAfter w:w="0" w:type="dxa"/>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户外箱式变压器</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高压进线柜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计量柜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变压器</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电容补偿柜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低压开关柜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nil"/>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400V低压柜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双路供电柜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中控室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PLC柜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77"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UPS电源屏</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图像监视柜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68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计算机监控、图像监视系统</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restart"/>
            <w:tcBorders>
              <w:top w:val="single" w:color="auto" w:sz="4" w:space="0"/>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闸室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卷扬启闭机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钢闸门（套）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718"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视频及监控系统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视频监控探头</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水位监测仪</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柴油发电机组</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每月定期对设备空载运转，并按要求每月带负何运转15分钟。定期对发电机电池充电。</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蓄电池组</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管理房用电及照明</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站区照明灯</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站区景观照明系统</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闸站区、区域水面保洁</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每天至少保洁一次，含垃圾定期清运。</w:t>
            </w:r>
          </w:p>
        </w:tc>
      </w:tr>
      <w:tr>
        <w:tblPrEx>
          <w:tblCellMar>
            <w:top w:w="0" w:type="dxa"/>
            <w:left w:w="108" w:type="dxa"/>
            <w:bottom w:w="0" w:type="dxa"/>
            <w:right w:w="108" w:type="dxa"/>
          </w:tblCellMar>
        </w:tblPrEx>
        <w:trPr>
          <w:wBefore w:w="0" w:type="dxa"/>
          <w:wAfter w:w="0" w:type="dxa"/>
          <w:trHeight w:val="126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机房管理房泵启闭机室建筑损毁，站区桥梁、围墙及零星工程</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1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站区绿化</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18"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站区绿化景观设施</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r>
        <w:tblPrEx>
          <w:tblCellMar>
            <w:top w:w="0" w:type="dxa"/>
            <w:left w:w="108" w:type="dxa"/>
            <w:bottom w:w="0" w:type="dxa"/>
            <w:right w:w="108" w:type="dxa"/>
          </w:tblCellMar>
        </w:tblPrEx>
        <w:trPr>
          <w:wBefore w:w="0" w:type="dxa"/>
          <w:wAfter w:w="0" w:type="dxa"/>
          <w:trHeight w:val="47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预增设施设备</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62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bl>
    <w:p>
      <w:pPr>
        <w:rPr>
          <w:rFonts w:hint="eastAsia" w:ascii="仿宋" w:hAnsi="仿宋" w:eastAsia="仿宋" w:cs="仿宋"/>
        </w:rPr>
      </w:pPr>
      <w:r>
        <w:rPr>
          <w:rFonts w:hint="eastAsia" w:ascii="仿宋" w:hAnsi="仿宋" w:eastAsia="仿宋" w:cs="仿宋"/>
          <w:kern w:val="0"/>
        </w:rPr>
        <w:t>注:日常维修养护内容含但不限于以上内容。</w:t>
      </w: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pStyle w:val="22"/>
        <w:ind w:firstLine="210"/>
        <w:rPr>
          <w:rFonts w:hint="eastAsia" w:ascii="仿宋" w:hAnsi="仿宋" w:eastAsia="仿宋" w:cs="仿宋"/>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bCs/>
          <w:sz w:val="44"/>
          <w:szCs w:val="44"/>
        </w:rPr>
      </w:pPr>
      <w:r>
        <w:rPr>
          <w:rFonts w:hint="eastAsia" w:ascii="仿宋" w:hAnsi="仿宋" w:eastAsia="仿宋" w:cs="仿宋"/>
          <w:b/>
          <w:kern w:val="0"/>
          <w:sz w:val="32"/>
          <w:szCs w:val="32"/>
        </w:rPr>
        <w:t>大刀沙机埠日常维修养护工作</w:t>
      </w:r>
    </w:p>
    <w:tbl>
      <w:tblPr>
        <w:tblStyle w:val="45"/>
        <w:tblW w:w="9000" w:type="dxa"/>
        <w:tblInd w:w="0" w:type="dxa"/>
        <w:tblLayout w:type="fixed"/>
        <w:tblCellMar>
          <w:top w:w="0" w:type="dxa"/>
          <w:left w:w="108" w:type="dxa"/>
          <w:bottom w:w="0" w:type="dxa"/>
          <w:right w:w="108" w:type="dxa"/>
        </w:tblCellMar>
      </w:tblPr>
      <w:tblGrid>
        <w:gridCol w:w="540"/>
        <w:gridCol w:w="1800"/>
        <w:gridCol w:w="2083"/>
        <w:gridCol w:w="617"/>
        <w:gridCol w:w="3960"/>
      </w:tblGrid>
      <w:tr>
        <w:tblPrEx>
          <w:tblCellMar>
            <w:top w:w="0" w:type="dxa"/>
            <w:left w:w="108" w:type="dxa"/>
            <w:bottom w:w="0" w:type="dxa"/>
            <w:right w:w="108" w:type="dxa"/>
          </w:tblCellMar>
        </w:tblPrEx>
        <w:trPr>
          <w:wBefore w:w="0" w:type="dxa"/>
          <w:wAfter w:w="0" w:type="dxa"/>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2083"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617"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wBefore w:w="0" w:type="dxa"/>
          <w:wAfter w:w="0" w:type="dxa"/>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户外杆式变压器</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变压器</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400V隔离柜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nil"/>
              <w:right w:val="single" w:color="000000" w:sz="4" w:space="0"/>
            </w:tcBorders>
            <w:noWrap w:val="0"/>
            <w:tcMar>
              <w:top w:w="0" w:type="dxa"/>
              <w:left w:w="28" w:type="dxa"/>
              <w:bottom w:w="0" w:type="dxa"/>
              <w:right w:w="28" w:type="dxa"/>
            </w:tcMar>
            <w:vAlign w:val="center"/>
          </w:tcPr>
          <w:p>
            <w:pPr>
              <w:ind w:firstLine="385"/>
              <w:rPr>
                <w:rFonts w:hint="eastAsia" w:ascii="仿宋" w:hAnsi="仿宋" w:eastAsia="仿宋" w:cs="仿宋"/>
                <w:szCs w:val="21"/>
              </w:rPr>
            </w:pPr>
            <w:r>
              <w:rPr>
                <w:rFonts w:hint="eastAsia" w:ascii="仿宋" w:hAnsi="仿宋" w:eastAsia="仿宋" w:cs="仿宋"/>
                <w:szCs w:val="21"/>
              </w:rPr>
              <w:t>低压室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400V电容柜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restart"/>
            <w:tcBorders>
              <w:top w:val="single" w:color="auto" w:sz="4" w:space="0"/>
              <w:left w:val="single" w:color="auto"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主机房</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水泵控制柜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101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排涝水泵电机组（轴流泵）</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每月定期试机运行，单机运行至少30分钟；每月定期对各部检查，对潜水泵进水口进行隐患排查和保洁，随时发现缺陷处理。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restart"/>
            <w:tcBorders>
              <w:top w:val="single" w:color="auto" w:sz="4" w:space="0"/>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闸室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螺杆启闭机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砼闸门（套）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718"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77"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金属设备养护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拦污栅</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26" w:hRule="exact"/>
        </w:trPr>
        <w:tc>
          <w:tcPr>
            <w:tcW w:w="540" w:type="dxa"/>
            <w:vMerge w:val="continue"/>
            <w:tcBorders>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水位监测仪</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wBefore w:w="0" w:type="dxa"/>
          <w:wAfter w:w="0" w:type="dxa"/>
          <w:trHeight w:val="44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管理房用电及照明</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11</w:t>
            </w:r>
          </w:p>
        </w:tc>
        <w:tc>
          <w:tcPr>
            <w:tcW w:w="3960"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站区照明灯</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440" w:hRule="exact"/>
        </w:trPr>
        <w:tc>
          <w:tcPr>
            <w:tcW w:w="540" w:type="dxa"/>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continue"/>
            <w:tcBorders>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站区景观照明系统</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闸站区、区域水面保洁</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每天至少保洁一次，含垃圾定期清运。</w:t>
            </w:r>
          </w:p>
        </w:tc>
      </w:tr>
      <w:tr>
        <w:tblPrEx>
          <w:tblCellMar>
            <w:top w:w="0" w:type="dxa"/>
            <w:left w:w="108" w:type="dxa"/>
            <w:bottom w:w="0" w:type="dxa"/>
            <w:right w:w="108" w:type="dxa"/>
          </w:tblCellMar>
        </w:tblPrEx>
        <w:trPr>
          <w:wBefore w:w="0" w:type="dxa"/>
          <w:wAfter w:w="0" w:type="dxa"/>
          <w:trHeight w:val="126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机房管理房泵启闭机室建筑损毁，站区桥梁、围墙及零星工程</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wBefore w:w="0" w:type="dxa"/>
          <w:wAfter w:w="0" w:type="dxa"/>
          <w:trHeight w:val="51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站区绿化</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718"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站区绿化景观设施</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r>
        <w:tblPrEx>
          <w:tblCellMar>
            <w:top w:w="0" w:type="dxa"/>
            <w:left w:w="108" w:type="dxa"/>
            <w:bottom w:w="0" w:type="dxa"/>
            <w:right w:w="108" w:type="dxa"/>
          </w:tblCellMar>
        </w:tblPrEx>
        <w:trPr>
          <w:wBefore w:w="0" w:type="dxa"/>
          <w:wAfter w:w="0" w:type="dxa"/>
          <w:trHeight w:val="47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预增设施设备</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wBefore w:w="0" w:type="dxa"/>
          <w:wAfter w:w="0" w:type="dxa"/>
          <w:trHeight w:val="62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bl>
    <w:p>
      <w:pPr>
        <w:widowControl/>
        <w:snapToGrid w:val="0"/>
        <w:spacing w:line="360" w:lineRule="auto"/>
        <w:jc w:val="left"/>
        <w:rPr>
          <w:rFonts w:hint="eastAsia" w:ascii="仿宋" w:hAnsi="仿宋" w:eastAsia="仿宋" w:cs="仿宋"/>
          <w:b/>
          <w:w w:val="90"/>
          <w:sz w:val="24"/>
        </w:rPr>
      </w:pPr>
      <w:r>
        <w:rPr>
          <w:rFonts w:hint="eastAsia" w:ascii="仿宋" w:hAnsi="仿宋" w:eastAsia="仿宋" w:cs="仿宋"/>
          <w:kern w:val="0"/>
        </w:rPr>
        <w:t>注:日常维修养护内容含但不限于以上内容。</w:t>
      </w: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四五排灌站日常维修养护工作</w:t>
      </w:r>
    </w:p>
    <w:tbl>
      <w:tblPr>
        <w:tblStyle w:val="45"/>
        <w:tblW w:w="0" w:type="auto"/>
        <w:tblInd w:w="0" w:type="dxa"/>
        <w:tblLayout w:type="fixed"/>
        <w:tblCellMar>
          <w:top w:w="0" w:type="dxa"/>
          <w:left w:w="108" w:type="dxa"/>
          <w:bottom w:w="0" w:type="dxa"/>
          <w:right w:w="108" w:type="dxa"/>
        </w:tblCellMar>
      </w:tblPr>
      <w:tblGrid>
        <w:gridCol w:w="540"/>
        <w:gridCol w:w="1800"/>
        <w:gridCol w:w="2083"/>
        <w:gridCol w:w="617"/>
        <w:gridCol w:w="3960"/>
      </w:tblGrid>
      <w:tr>
        <w:tblPrEx>
          <w:tblCellMar>
            <w:top w:w="0" w:type="dxa"/>
            <w:left w:w="108" w:type="dxa"/>
            <w:bottom w:w="0" w:type="dxa"/>
            <w:right w:w="108" w:type="dxa"/>
          </w:tblCellMar>
        </w:tblPrEx>
        <w:trPr>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2083"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617"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10kV高压室</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进线隔离柜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计量柜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副变出线柜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PT柜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电动机出线柜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联络柜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直流电源屏</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02"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蓄电池屏</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02"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高压固态软启动柜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nil"/>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400V进线柜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400V出线柜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400V电容柜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400V联络柜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SCB10-630/10（套）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中控室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PLC柜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77"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UPS电源屏</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图像监视柜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68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计算机监控、图像监视系统</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848" w:hRule="exact"/>
        </w:trPr>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right w:val="single" w:color="000000" w:sz="4" w:space="0"/>
            </w:tcBorders>
            <w:noWrap w:val="0"/>
            <w:vAlign w:val="center"/>
          </w:tcPr>
          <w:p>
            <w:pPr>
              <w:rPr>
                <w:rFonts w:hint="eastAsia" w:ascii="仿宋" w:hAnsi="仿宋" w:eastAsia="仿宋" w:cs="仿宋"/>
                <w:szCs w:val="21"/>
              </w:rPr>
            </w:pPr>
            <w:r>
              <w:rPr>
                <w:rFonts w:hint="eastAsia" w:ascii="仿宋" w:hAnsi="仿宋" w:eastAsia="仿宋" w:cs="仿宋"/>
                <w:szCs w:val="21"/>
              </w:rPr>
              <w:t>主机房</w:t>
            </w: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排涝水泵电机组（潜水泵）</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每月定期试机运行，单机运行至少30分钟；每月定期对各部检查，对潜水泵进水口进行隐患排查和保洁，随时发现缺陷处理。</w:t>
            </w:r>
          </w:p>
        </w:tc>
      </w:tr>
      <w:tr>
        <w:tblPrEx>
          <w:tblCellMar>
            <w:top w:w="0" w:type="dxa"/>
            <w:left w:w="108" w:type="dxa"/>
            <w:bottom w:w="0" w:type="dxa"/>
            <w:right w:w="108" w:type="dxa"/>
          </w:tblCellMar>
        </w:tblPrEx>
        <w:trPr>
          <w:trHeight w:val="704"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配水水泵电机组（潜水泵）</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高压固态电容柜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配水机组软启动柜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05"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10kv现地控制柜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25T行车</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每月定期对各部检查，随时发现缺陷处理；定期进行年检。</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10T行车</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低压配电柜</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68" w:hRule="exact"/>
        </w:trPr>
        <w:tc>
          <w:tcPr>
            <w:tcW w:w="540" w:type="dxa"/>
            <w:vMerge w:val="restart"/>
            <w:tcBorders>
              <w:top w:val="single" w:color="auto" w:sz="4" w:space="0"/>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闸室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卷扬启闭机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钢闸门（套）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68" w:hRule="exac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检修闸门（套）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93"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77" w:hRule="exac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金属设备养护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清污、皮带输送机（套）</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26" w:hRule="exac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trHeight w:val="426" w:hRule="exact"/>
        </w:trPr>
        <w:tc>
          <w:tcPr>
            <w:tcW w:w="540" w:type="dxa"/>
            <w:vMerge w:val="continue"/>
            <w:tcBorders>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拦污栅</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视频及监控系统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视频监控探头</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14</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水位监测仪</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柴油发电机组</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每月定期对设备空载运转，并按要求每月带负何运转15分钟。定期对发电机电池充电。</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蓄电池组</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管理房用电及照明</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站区照明灯</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站区景观照明系统</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闸站区、区域水面保洁</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每天至少保洁一次，含垃圾定期清运。</w:t>
            </w:r>
          </w:p>
        </w:tc>
      </w:tr>
      <w:tr>
        <w:tblPrEx>
          <w:tblCellMar>
            <w:top w:w="0" w:type="dxa"/>
            <w:left w:w="108" w:type="dxa"/>
            <w:bottom w:w="0" w:type="dxa"/>
            <w:right w:w="108" w:type="dxa"/>
          </w:tblCellMar>
        </w:tblPrEx>
        <w:trPr>
          <w:trHeight w:val="126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机房管理房泵启闭机室建筑损毁，站区桥梁、围墙及零星工程</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1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站区绿化</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678"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站区绿化景观设施</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r>
        <w:tblPrEx>
          <w:tblCellMar>
            <w:top w:w="0" w:type="dxa"/>
            <w:left w:w="108" w:type="dxa"/>
            <w:bottom w:w="0" w:type="dxa"/>
            <w:right w:w="108" w:type="dxa"/>
          </w:tblCellMar>
        </w:tblPrEx>
        <w:trPr>
          <w:trHeight w:val="43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预增设施设备</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622"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清水入城设施及构筑物</w:t>
            </w:r>
          </w:p>
        </w:tc>
        <w:tc>
          <w:tcPr>
            <w:tcW w:w="208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bl>
    <w:p>
      <w:pPr>
        <w:widowControl/>
        <w:wordWrap w:val="0"/>
        <w:snapToGrid w:val="0"/>
        <w:spacing w:line="360" w:lineRule="auto"/>
        <w:jc w:val="left"/>
        <w:rPr>
          <w:rFonts w:hint="eastAsia" w:ascii="仿宋" w:hAnsi="仿宋" w:eastAsia="仿宋" w:cs="仿宋"/>
          <w:kern w:val="0"/>
        </w:rPr>
      </w:pPr>
      <w:r>
        <w:rPr>
          <w:rFonts w:hint="eastAsia" w:ascii="仿宋" w:hAnsi="仿宋" w:eastAsia="仿宋" w:cs="仿宋"/>
          <w:kern w:val="0"/>
        </w:rPr>
        <w:t>注:日常维修养护内容含但不限于以上内容。</w:t>
      </w:r>
    </w:p>
    <w:p>
      <w:pPr>
        <w:widowControl/>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白茅湖排灌站日常维修养护工作</w:t>
      </w:r>
    </w:p>
    <w:tbl>
      <w:tblPr>
        <w:tblStyle w:val="45"/>
        <w:tblW w:w="0" w:type="auto"/>
        <w:tblInd w:w="0" w:type="dxa"/>
        <w:tblLayout w:type="fixed"/>
        <w:tblCellMar>
          <w:top w:w="0" w:type="dxa"/>
          <w:left w:w="108" w:type="dxa"/>
          <w:bottom w:w="0" w:type="dxa"/>
          <w:right w:w="108" w:type="dxa"/>
        </w:tblCellMar>
      </w:tblPr>
      <w:tblGrid>
        <w:gridCol w:w="540"/>
        <w:gridCol w:w="540"/>
        <w:gridCol w:w="1800"/>
        <w:gridCol w:w="1980"/>
        <w:gridCol w:w="720"/>
        <w:gridCol w:w="3960"/>
      </w:tblGrid>
      <w:tr>
        <w:tblPrEx>
          <w:tblCellMar>
            <w:top w:w="0" w:type="dxa"/>
            <w:left w:w="108" w:type="dxa"/>
            <w:bottom w:w="0" w:type="dxa"/>
            <w:right w:w="108" w:type="dxa"/>
          </w:tblCellMar>
        </w:tblPrEx>
        <w:trPr>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区域</w:t>
            </w:r>
          </w:p>
        </w:tc>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198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72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500" w:hRule="atLeas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500" w:hRule="atLeast"/>
        </w:trPr>
        <w:tc>
          <w:tcPr>
            <w:tcW w:w="540" w:type="dxa"/>
            <w:vMerge w:val="restart"/>
            <w:tcBorders>
              <w:top w:val="nil"/>
              <w:left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老</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泵</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站</w:t>
            </w: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高低压房</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高压开关柜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变压器（800KVA）</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变压器（160KVA）</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51" w:hRule="atLeast"/>
        </w:trPr>
        <w:tc>
          <w:tcPr>
            <w:tcW w:w="540" w:type="dxa"/>
            <w:vMerge w:val="continue"/>
            <w:tcBorders>
              <w:left w:val="single" w:color="auto" w:sz="4" w:space="0"/>
              <w:right w:val="single" w:color="auto" w:sz="4" w:space="0"/>
            </w:tcBorders>
            <w:noWrap w:val="0"/>
            <w:vAlign w:val="center"/>
          </w:tcPr>
          <w:p>
            <w:pP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低压配电屏</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主泵机组</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每月定期试机运行，单机运行至少15分钟；每月定期对各部检查，随时发现缺陷处理。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低压配电屏</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1.5T行车</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引水闸</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控制开关</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rPr>
                <w:rFonts w:hint="eastAsia" w:ascii="仿宋" w:hAnsi="仿宋" w:eastAsia="仿宋" w:cs="仿宋"/>
                <w:b/>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排涝闸</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控制箱</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外江闸（两扇）</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top w:val="single" w:color="auto" w:sz="4" w:space="0"/>
              <w:left w:val="nil"/>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控制箱</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新</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泵</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站</w:t>
            </w: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10kV高压开关室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#1进线柜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#1线路断路器柜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#1计量柜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#1主变断路器柜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55"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母线PT柜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3#主变断路器柜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#2主变断路器柜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#2计量柜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b/>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#2线路断路器柜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仿宋" w:hAnsi="仿宋" w:eastAsia="仿宋" w:cs="仿宋"/>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500" w:hRule="atLeast"/>
        </w:trPr>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p>
        </w:tc>
        <w:tc>
          <w:tcPr>
            <w:tcW w:w="540"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10kV高压开关室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#2进线柜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新</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泵</w:t>
            </w: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b/>
                <w:szCs w:val="21"/>
              </w:rPr>
            </w:pPr>
          </w:p>
          <w:p>
            <w:pPr>
              <w:jc w:val="center"/>
              <w:rPr>
                <w:rFonts w:hint="eastAsia" w:ascii="仿宋" w:hAnsi="仿宋" w:eastAsia="仿宋" w:cs="仿宋"/>
                <w:szCs w:val="21"/>
              </w:rPr>
            </w:pPr>
            <w:r>
              <w:rPr>
                <w:rFonts w:hint="eastAsia" w:ascii="仿宋" w:hAnsi="仿宋" w:eastAsia="仿宋" w:cs="仿宋"/>
                <w:b/>
                <w:szCs w:val="21"/>
              </w:rPr>
              <w:t>站</w:t>
            </w: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变压器、低压配电室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变压器（1250KVA）</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馈电柜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补偿柜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联络柜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中控室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公用LCU屏</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220V直流控制屏</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single" w:color="000000"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p>
            <w:pPr>
              <w:rPr>
                <w:rFonts w:hint="eastAsia" w:ascii="仿宋" w:hAnsi="仿宋" w:eastAsia="仿宋" w:cs="仿宋"/>
                <w:szCs w:val="21"/>
              </w:rPr>
            </w:pPr>
            <w:r>
              <w:rPr>
                <w:rFonts w:hint="eastAsia" w:ascii="仿宋" w:hAnsi="仿宋" w:eastAsia="仿宋" w:cs="仿宋"/>
                <w:szCs w:val="21"/>
              </w:rPr>
              <w:t>每年对直流系统进行放电检查。</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逆变电源屏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网络设备柜</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软启动柜</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2236"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left"/>
              <w:rPr>
                <w:rFonts w:hint="eastAsia" w:ascii="仿宋" w:hAnsi="仿宋" w:eastAsia="仿宋" w:cs="仿宋"/>
                <w:szCs w:val="21"/>
              </w:rPr>
            </w:pPr>
            <w:r>
              <w:rPr>
                <w:rFonts w:hint="eastAsia" w:ascii="仿宋" w:hAnsi="仿宋" w:eastAsia="仿宋" w:cs="仿宋"/>
                <w:szCs w:val="21"/>
              </w:rPr>
              <w:t>计算机监控系统（包括计算机工作站1套、工程师工作站1套、GPS时钟装置1套、计算机2台、打印机1台和微机控制台1套。）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255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图像监视系统（包含视频工作站、16路硬盘录像机、液晶显示器、室外一体化红外球形摄像机、网络交换机、LCD显示单元55寸4幅和操作软件等）</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73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主泵机组</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每月定期试机运行，单机运行至少15分钟；每月定期对各部检查，发现缺陷随时处理。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配电箱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渗漏水泵</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配电箱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21" w:hRule="atLeas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000000"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集水井雨污水泵</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污水泵</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新</w:t>
            </w:r>
          </w:p>
          <w:p>
            <w:pPr>
              <w:jc w:val="center"/>
              <w:rPr>
                <w:rFonts w:hint="eastAsia" w:ascii="仿宋" w:hAnsi="仿宋" w:eastAsia="仿宋" w:cs="仿宋"/>
                <w:b/>
                <w:szCs w:val="21"/>
              </w:rPr>
            </w:pPr>
          </w:p>
          <w:p>
            <w:pPr>
              <w:jc w:val="center"/>
              <w:rPr>
                <w:rFonts w:hint="eastAsia" w:ascii="仿宋" w:hAnsi="仿宋" w:eastAsia="仿宋" w:cs="仿宋"/>
                <w:b/>
                <w:szCs w:val="21"/>
              </w:rPr>
            </w:pPr>
            <w:r>
              <w:rPr>
                <w:rFonts w:hint="eastAsia" w:ascii="仿宋" w:hAnsi="仿宋" w:eastAsia="仿宋" w:cs="仿宋"/>
                <w:b/>
                <w:szCs w:val="21"/>
              </w:rPr>
              <w:t>泵</w:t>
            </w:r>
          </w:p>
          <w:p>
            <w:pPr>
              <w:jc w:val="center"/>
              <w:rPr>
                <w:rFonts w:hint="eastAsia" w:ascii="仿宋" w:hAnsi="仿宋" w:eastAsia="仿宋" w:cs="仿宋"/>
                <w:b/>
                <w:szCs w:val="21"/>
              </w:rPr>
            </w:pPr>
          </w:p>
          <w:p>
            <w:pPr>
              <w:jc w:val="center"/>
              <w:rPr>
                <w:rFonts w:hint="eastAsia" w:ascii="仿宋" w:hAnsi="仿宋" w:eastAsia="仿宋" w:cs="仿宋"/>
                <w:szCs w:val="21"/>
              </w:rPr>
            </w:pPr>
            <w:r>
              <w:rPr>
                <w:rFonts w:hint="eastAsia" w:ascii="仿宋" w:hAnsi="仿宋" w:eastAsia="仿宋" w:cs="仿宋"/>
                <w:b/>
                <w:szCs w:val="21"/>
              </w:rPr>
              <w:t>站</w:t>
            </w:r>
          </w:p>
        </w:tc>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800"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1#闸</w:t>
            </w:r>
          </w:p>
        </w:tc>
        <w:tc>
          <w:tcPr>
            <w:tcW w:w="19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卷扬式启闭机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7</w:t>
            </w:r>
          </w:p>
        </w:tc>
        <w:tc>
          <w:tcPr>
            <w:tcW w:w="1800" w:type="dxa"/>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szCs w:val="21"/>
              </w:rPr>
            </w:pPr>
            <w:r>
              <w:rPr>
                <w:rFonts w:hint="eastAsia" w:ascii="仿宋" w:hAnsi="仿宋" w:eastAsia="仿宋" w:cs="仿宋"/>
                <w:szCs w:val="21"/>
              </w:rPr>
              <w:t>2#闸</w:t>
            </w: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卷扬式启闭机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8</w:t>
            </w:r>
          </w:p>
        </w:tc>
        <w:tc>
          <w:tcPr>
            <w:tcW w:w="1800" w:type="dxa"/>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szCs w:val="21"/>
              </w:rPr>
            </w:pPr>
            <w:r>
              <w:rPr>
                <w:rFonts w:hint="eastAsia" w:ascii="仿宋" w:hAnsi="仿宋" w:eastAsia="仿宋" w:cs="仿宋"/>
                <w:szCs w:val="21"/>
              </w:rPr>
              <w:t>引水闸</w:t>
            </w: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闭式直推启闭机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9</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排涝闸（含检修闸）</w:t>
            </w: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控制柜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闭式直推启闭机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718" w:hRule="exac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391" w:hRule="exact"/>
        </w:trPr>
        <w:tc>
          <w:tcPr>
            <w:tcW w:w="540" w:type="dxa"/>
            <w:vMerge w:val="restart"/>
            <w:tcBorders>
              <w:top w:val="nil"/>
              <w:left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站区范围</w:t>
            </w:r>
          </w:p>
        </w:tc>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拦污栅</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老泵房拦污栅</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新泵房拦污栅</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闸门</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钢闸门</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钢筋混凝土闸门</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373"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right w:val="single" w:color="000000" w:sz="4" w:space="0"/>
            </w:tcBorders>
            <w:noWrap w:val="0"/>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室内用电及照明</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室外照明灯组</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szCs w:val="21"/>
              </w:rPr>
            </w:pPr>
          </w:p>
        </w:tc>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景观照明系统</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top"/>
          </w:tcPr>
          <w:p>
            <w:pPr>
              <w:rPr>
                <w:rFonts w:hint="eastAsia" w:ascii="仿宋" w:hAnsi="仿宋" w:eastAsia="仿宋" w:cs="仿宋"/>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646" w:hRule="exac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700" w:hRule="exact"/>
        </w:trPr>
        <w:tc>
          <w:tcPr>
            <w:tcW w:w="540" w:type="dxa"/>
            <w:vMerge w:val="restart"/>
            <w:tcBorders>
              <w:top w:val="nil"/>
              <w:left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站区范围</w:t>
            </w:r>
          </w:p>
        </w:tc>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站区管理房、主机房、泵闸室保洁</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每天至少保洁一次，含垃圾清运。</w:t>
            </w:r>
          </w:p>
        </w:tc>
      </w:tr>
      <w:tr>
        <w:tblPrEx>
          <w:tblCellMar>
            <w:top w:w="0" w:type="dxa"/>
            <w:left w:w="108" w:type="dxa"/>
            <w:bottom w:w="0" w:type="dxa"/>
            <w:right w:w="108" w:type="dxa"/>
          </w:tblCellMar>
        </w:tblPrEx>
        <w:trPr>
          <w:trHeight w:val="936" w:hRule="exact"/>
        </w:trPr>
        <w:tc>
          <w:tcPr>
            <w:tcW w:w="540" w:type="dxa"/>
            <w:vMerge w:val="continue"/>
            <w:tcBorders>
              <w:left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管理房、主机房、泵闸室建筑损毁，站区围墙及零星工程</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936" w:hRule="exact"/>
        </w:trPr>
        <w:tc>
          <w:tcPr>
            <w:tcW w:w="540" w:type="dxa"/>
            <w:vMerge w:val="continue"/>
            <w:tcBorders>
              <w:left w:val="single" w:color="auto" w:sz="4" w:space="0"/>
              <w:bottom w:val="single" w:color="auto" w:sz="4" w:space="0"/>
              <w:right w:val="single" w:color="auto" w:sz="4" w:space="0"/>
            </w:tcBorders>
            <w:noWrap w:val="0"/>
            <w:vAlign w:val="top"/>
          </w:tcPr>
          <w:p>
            <w:pPr>
              <w:jc w:val="center"/>
              <w:rPr>
                <w:rFonts w:hint="eastAsia" w:ascii="仿宋" w:hAnsi="仿宋" w:eastAsia="仿宋" w:cs="仿宋"/>
                <w:szCs w:val="21"/>
              </w:rPr>
            </w:pPr>
          </w:p>
        </w:tc>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新泵房进水池清淤及潜水泵进水口清理（如有垃圾）</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每年进行一次清淤，并对潜水泵进水口进行隐患排查和保洁。</w:t>
            </w:r>
          </w:p>
        </w:tc>
      </w:tr>
      <w:tr>
        <w:tblPrEx>
          <w:tblCellMar>
            <w:top w:w="0" w:type="dxa"/>
            <w:left w:w="108" w:type="dxa"/>
            <w:bottom w:w="0" w:type="dxa"/>
            <w:right w:w="108" w:type="dxa"/>
          </w:tblCellMar>
        </w:tblPrEx>
        <w:trPr>
          <w:trHeight w:val="1570" w:hRule="exac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其他设施（老泵站机组自动化监控系统、视频监控系统，清水入城设施及构筑物）</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每月定期对各部检查，发现缺陷随时处理。</w:t>
            </w:r>
          </w:p>
        </w:tc>
      </w:tr>
      <w:tr>
        <w:tblPrEx>
          <w:tblCellMar>
            <w:top w:w="0" w:type="dxa"/>
            <w:left w:w="108" w:type="dxa"/>
            <w:bottom w:w="0" w:type="dxa"/>
            <w:right w:w="108" w:type="dxa"/>
          </w:tblCellMar>
        </w:tblPrEx>
        <w:trPr>
          <w:trHeight w:val="714" w:hRule="exact"/>
        </w:trPr>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站区绿化</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bl>
    <w:p>
      <w:pPr>
        <w:widowControl/>
        <w:wordWrap w:val="0"/>
        <w:snapToGrid w:val="0"/>
        <w:spacing w:line="360" w:lineRule="auto"/>
        <w:jc w:val="left"/>
        <w:rPr>
          <w:rFonts w:hint="eastAsia" w:ascii="仿宋" w:hAnsi="仿宋" w:eastAsia="仿宋" w:cs="仿宋"/>
          <w:b/>
          <w:sz w:val="24"/>
        </w:rPr>
      </w:pPr>
      <w:r>
        <w:rPr>
          <w:rFonts w:hint="eastAsia" w:ascii="仿宋" w:hAnsi="仿宋" w:eastAsia="仿宋" w:cs="仿宋"/>
          <w:kern w:val="0"/>
        </w:rPr>
        <w:t>注:日常维修养护内容含但不限于以上内容。</w:t>
      </w:r>
    </w:p>
    <w:p>
      <w:pPr>
        <w:jc w:val="center"/>
        <w:rPr>
          <w:rFonts w:hint="eastAsia" w:ascii="仿宋" w:hAnsi="仿宋" w:eastAsia="仿宋" w:cs="仿宋"/>
          <w:b/>
          <w:sz w:val="32"/>
          <w:szCs w:val="32"/>
        </w:rPr>
      </w:pPr>
      <w:r>
        <w:rPr>
          <w:rFonts w:hint="eastAsia" w:ascii="仿宋" w:hAnsi="仿宋" w:eastAsia="仿宋" w:cs="仿宋"/>
          <w:b/>
          <w:sz w:val="32"/>
          <w:szCs w:val="32"/>
        </w:rPr>
        <w:t>四号浦排灌站日常维修养护工作</w:t>
      </w:r>
    </w:p>
    <w:tbl>
      <w:tblPr>
        <w:tblStyle w:val="45"/>
        <w:tblW w:w="0" w:type="auto"/>
        <w:tblInd w:w="0" w:type="dxa"/>
        <w:tblLayout w:type="fixed"/>
        <w:tblCellMar>
          <w:top w:w="0" w:type="dxa"/>
          <w:left w:w="108" w:type="dxa"/>
          <w:bottom w:w="0" w:type="dxa"/>
          <w:right w:w="108" w:type="dxa"/>
        </w:tblCellMar>
      </w:tblPr>
      <w:tblGrid>
        <w:gridCol w:w="540"/>
        <w:gridCol w:w="1800"/>
        <w:gridCol w:w="1980"/>
        <w:gridCol w:w="720"/>
        <w:gridCol w:w="4344"/>
      </w:tblGrid>
      <w:tr>
        <w:tblPrEx>
          <w:tblCellMar>
            <w:top w:w="0" w:type="dxa"/>
            <w:left w:w="108" w:type="dxa"/>
            <w:bottom w:w="0" w:type="dxa"/>
            <w:right w:w="108" w:type="dxa"/>
          </w:tblCellMar>
        </w:tblPrEx>
        <w:trPr>
          <w:trHeight w:val="2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198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72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数量（套）</w:t>
            </w:r>
          </w:p>
        </w:tc>
        <w:tc>
          <w:tcPr>
            <w:tcW w:w="4344"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20" w:hRule="atLeast"/>
        </w:trPr>
        <w:tc>
          <w:tcPr>
            <w:tcW w:w="540" w:type="dxa"/>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配电室</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配电柜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400KVA干式变压器</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电容补偿柜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w:t>
            </w:r>
          </w:p>
        </w:tc>
        <w:tc>
          <w:tcPr>
            <w:tcW w:w="19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启闭设备（套）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砼闸门</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restart"/>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机房</w:t>
            </w: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b/>
                <w:szCs w:val="21"/>
              </w:rPr>
              <w:t>700ZLB0-125</w:t>
            </w:r>
            <w:r>
              <w:rPr>
                <w:rFonts w:hint="eastAsia" w:ascii="仿宋" w:hAnsi="仿宋" w:eastAsia="仿宋" w:cs="仿宋"/>
                <w:szCs w:val="21"/>
              </w:rPr>
              <w:t>型轴流泵</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每月定期对各部检查养护并试机，随时发现缺陷处理。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130KW电动机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每月定期对各部检查养护并试机，随时发现缺陷处理。</w:t>
            </w:r>
          </w:p>
        </w:tc>
      </w:tr>
      <w:tr>
        <w:tblPrEx>
          <w:tblCellMar>
            <w:top w:w="0" w:type="dxa"/>
            <w:left w:w="108" w:type="dxa"/>
            <w:bottom w:w="0" w:type="dxa"/>
            <w:right w:w="108" w:type="dxa"/>
          </w:tblCellMar>
        </w:tblPrEx>
        <w:trPr>
          <w:trHeight w:val="20" w:hRule="atLeast"/>
        </w:trPr>
        <w:tc>
          <w:tcPr>
            <w:tcW w:w="540" w:type="dxa"/>
            <w:vMerge w:val="continue"/>
            <w:tcBorders>
              <w:left w:val="single" w:color="auto" w:sz="4" w:space="0"/>
              <w:bottom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启动柜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清水入城设施设备</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投药设备、储药桶、棚屋等设备</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300" w:lineRule="exact"/>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spacing w:line="300" w:lineRule="exact"/>
              <w:rPr>
                <w:rFonts w:hint="eastAsia" w:ascii="仿宋" w:hAnsi="仿宋" w:eastAsia="仿宋" w:cs="仿宋"/>
                <w:szCs w:val="21"/>
              </w:rPr>
            </w:pPr>
            <w:r>
              <w:rPr>
                <w:rFonts w:hint="eastAsia" w:ascii="仿宋" w:hAnsi="仿宋" w:eastAsia="仿宋" w:cs="仿宋"/>
                <w:szCs w:val="21"/>
              </w:rPr>
              <w:t>闸站管理范围用电、日常照明等</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闸站应急照明等</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闸站附属设施维修养护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闸区管理范围保洁</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每天至少保洁一次，含垃圾清运。</w:t>
            </w: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绿化养护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定期对站区绿化进行养护，并按需做好病虫害防治。</w:t>
            </w: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闸室建筑损毁，闸区围墙、铁栅栏及零星工程等维护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2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闸区其他生产生活设备等</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bl>
    <w:p>
      <w:pPr>
        <w:widowControl/>
        <w:wordWrap w:val="0"/>
        <w:snapToGrid w:val="0"/>
        <w:spacing w:line="360" w:lineRule="auto"/>
        <w:jc w:val="left"/>
        <w:rPr>
          <w:rFonts w:hint="eastAsia" w:ascii="仿宋" w:hAnsi="仿宋" w:eastAsia="仿宋" w:cs="仿宋"/>
          <w:kern w:val="0"/>
        </w:rPr>
      </w:pPr>
      <w:r>
        <w:rPr>
          <w:rFonts w:hint="eastAsia" w:ascii="仿宋" w:hAnsi="仿宋" w:eastAsia="仿宋" w:cs="仿宋"/>
          <w:kern w:val="0"/>
        </w:rPr>
        <w:t>注:日常维修养护内容含但不限于以上内容。</w:t>
      </w:r>
    </w:p>
    <w:p>
      <w:pPr>
        <w:jc w:val="center"/>
        <w:rPr>
          <w:rFonts w:hint="eastAsia" w:ascii="仿宋" w:hAnsi="仿宋" w:eastAsia="仿宋" w:cs="仿宋"/>
          <w:b/>
          <w:sz w:val="24"/>
        </w:rPr>
      </w:pPr>
    </w:p>
    <w:p>
      <w:pPr>
        <w:widowControl/>
        <w:snapToGrid w:val="0"/>
        <w:spacing w:line="360" w:lineRule="auto"/>
        <w:jc w:val="left"/>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p>
    <w:p>
      <w:pPr>
        <w:widowControl/>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三阳排灌站日常维修养护工作</w:t>
      </w:r>
    </w:p>
    <w:tbl>
      <w:tblPr>
        <w:tblStyle w:val="45"/>
        <w:tblW w:w="0" w:type="auto"/>
        <w:tblInd w:w="0" w:type="dxa"/>
        <w:tblLayout w:type="fixed"/>
        <w:tblCellMar>
          <w:top w:w="0" w:type="dxa"/>
          <w:left w:w="108" w:type="dxa"/>
          <w:bottom w:w="0" w:type="dxa"/>
          <w:right w:w="108" w:type="dxa"/>
        </w:tblCellMar>
      </w:tblPr>
      <w:tblGrid>
        <w:gridCol w:w="540"/>
        <w:gridCol w:w="1800"/>
        <w:gridCol w:w="1980"/>
        <w:gridCol w:w="720"/>
        <w:gridCol w:w="3960"/>
      </w:tblGrid>
      <w:tr>
        <w:tblPrEx>
          <w:tblCellMar>
            <w:top w:w="0" w:type="dxa"/>
            <w:left w:w="108" w:type="dxa"/>
            <w:bottom w:w="0" w:type="dxa"/>
            <w:right w:w="108" w:type="dxa"/>
          </w:tblCellMar>
        </w:tblPrEx>
        <w:trPr>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198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72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396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10kV高压成套配电柜</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进线隔离柜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进线计量柜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母线压变柜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主泵变压器开关柜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所用变开关柜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10KV PT柜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502"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室外进线开关设备套</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nil"/>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低压开关柜</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Ⅰ段进线柜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Ⅰ段电容自动补偿柜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Ⅰ段馈线柜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Ⅱ段进线柜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Ⅱ段电容自动补偿柜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nil"/>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Ⅱ段Ⅰ段馈线柜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bottom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干式变压器(加外壳)及辅助设备</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SCB10-1250/10（套）</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SCB10-200/10（套）</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中控室设备</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公用LCU屏</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78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220V直流电源及控制屏组（套）</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atLeas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single" w:color="000000"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p>
            <w:pPr>
              <w:rPr>
                <w:rFonts w:hint="eastAsia" w:ascii="仿宋" w:hAnsi="仿宋" w:eastAsia="仿宋" w:cs="仿宋"/>
                <w:szCs w:val="21"/>
              </w:rPr>
            </w:pPr>
            <w:r>
              <w:rPr>
                <w:rFonts w:hint="eastAsia" w:ascii="仿宋" w:hAnsi="仿宋" w:eastAsia="仿宋" w:cs="仿宋"/>
                <w:szCs w:val="21"/>
              </w:rPr>
              <w:t>每年对直流系统进行放电检查。</w:t>
            </w: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UPS电源屏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网络及监控设备（套）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80寸液晶显示屏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50寸监控屏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监控计算机</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right w:val="single" w:color="000000" w:sz="4" w:space="0"/>
            </w:tcBorders>
            <w:noWrap w:val="0"/>
            <w:vAlign w:val="center"/>
          </w:tcPr>
          <w:p>
            <w:pPr>
              <w:rPr>
                <w:rFonts w:hint="eastAsia" w:ascii="仿宋" w:hAnsi="仿宋" w:eastAsia="仿宋" w:cs="仿宋"/>
                <w:szCs w:val="21"/>
              </w:rPr>
            </w:pPr>
            <w:r>
              <w:rPr>
                <w:rFonts w:hint="eastAsia" w:ascii="仿宋" w:hAnsi="仿宋" w:eastAsia="仿宋" w:cs="仿宋"/>
                <w:szCs w:val="21"/>
              </w:rPr>
              <w:t>启闭机</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螺杆启闭机</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730" w:hRule="exact"/>
        </w:trPr>
        <w:tc>
          <w:tcPr>
            <w:tcW w:w="540"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800" w:type="dxa"/>
            <w:vMerge w:val="restart"/>
            <w:tcBorders>
              <w:top w:val="single" w:color="auto" w:sz="4" w:space="0"/>
              <w:left w:val="single" w:color="auto" w:sz="4" w:space="0"/>
              <w:bottom w:val="single" w:color="auto"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主机房</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主水泵700ZLB-4.5</w:t>
            </w:r>
          </w:p>
          <w:p>
            <w:pPr>
              <w:rPr>
                <w:rFonts w:hint="eastAsia" w:ascii="仿宋" w:hAnsi="仿宋" w:eastAsia="仿宋" w:cs="仿宋"/>
                <w:szCs w:val="21"/>
              </w:rPr>
            </w:pPr>
            <w:r>
              <w:rPr>
                <w:rFonts w:hint="eastAsia" w:ascii="仿宋" w:hAnsi="仿宋" w:eastAsia="仿宋" w:cs="仿宋"/>
                <w:szCs w:val="21"/>
              </w:rPr>
              <w:t>及附属设备</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每月定期试机运行，单机运行至少15分钟；每月定期对各部检查，随时发现缺陷处理。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泵组LCU屏</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水泵控制柜</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动力箱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风机（台）</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风机控制箱（套）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照明及弱电控制箱</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电动葫芦（套）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68" w:hRule="exact"/>
        </w:trPr>
        <w:tc>
          <w:tcPr>
            <w:tcW w:w="540" w:type="dxa"/>
            <w:vMerge w:val="restart"/>
            <w:tcBorders>
              <w:top w:val="single" w:color="auto" w:sz="4" w:space="0"/>
              <w:left w:val="single" w:color="auto"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7</w:t>
            </w:r>
          </w:p>
        </w:tc>
        <w:tc>
          <w:tcPr>
            <w:tcW w:w="180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厂区监控设备</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监控头（含枪球机杆）</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393" w:hRule="exac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监控中端箱组</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718"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658"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金属设备养护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闸门及其附属设施</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658" w:hRule="exact"/>
        </w:trPr>
        <w:tc>
          <w:tcPr>
            <w:tcW w:w="540" w:type="dxa"/>
            <w:vMerge w:val="continue"/>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围墙、铁艺大门及其他金属构件（项）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每月定期对各部检查，定期清理，防腐处理。</w:t>
            </w:r>
          </w:p>
        </w:tc>
      </w:tr>
      <w:tr>
        <w:tblPrEx>
          <w:tblCellMar>
            <w:top w:w="0" w:type="dxa"/>
            <w:left w:w="108" w:type="dxa"/>
            <w:bottom w:w="0" w:type="dxa"/>
            <w:right w:w="108" w:type="dxa"/>
          </w:tblCellMar>
        </w:tblPrEx>
        <w:trPr>
          <w:trHeight w:val="379"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螺杆</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tcBorders>
              <w:top w:val="nil"/>
              <w:left w:val="single" w:color="auto" w:sz="4" w:space="0"/>
              <w:bottom w:val="single" w:color="000000" w:sz="4" w:space="0"/>
              <w:right w:val="single" w:color="auto" w:sz="4" w:space="0"/>
            </w:tcBorders>
            <w:noWrap w:val="0"/>
            <w:vAlign w:val="center"/>
          </w:tcPr>
          <w:p>
            <w:pPr>
              <w:widowControl/>
              <w:ind w:firstLine="105" w:firstLineChars="50"/>
              <w:jc w:val="left"/>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r>
              <w:rPr>
                <w:rFonts w:hint="eastAsia" w:ascii="仿宋" w:hAnsi="仿宋" w:eastAsia="仿宋" w:cs="仿宋"/>
                <w:szCs w:val="21"/>
              </w:rPr>
              <w:t>污水处理装置</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污水处理设备</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视频及监控系统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枪型摄像机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球型摄像机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17</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监控计算机（组）</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96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视频监控主机</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atLeas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柴油发电机组</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每月定期对设备空载运转，并按要求每月带负何运转15分钟。定期对发电机电池充电。</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蓄电池组</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管理房用电及照明</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站区照明灯</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站区景观照明系统</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62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清水入城设备及系统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r>
        <w:tblPrEx>
          <w:tblCellMar>
            <w:top w:w="0" w:type="dxa"/>
            <w:left w:w="108" w:type="dxa"/>
            <w:bottom w:w="0" w:type="dxa"/>
            <w:right w:w="108" w:type="dxa"/>
          </w:tblCellMar>
        </w:tblPrEx>
        <w:trPr>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站区附属设施维修养护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站区机房启闭机室管理房厂区保洁</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每天至少保洁一次，含垃圾清运。</w:t>
            </w:r>
          </w:p>
        </w:tc>
      </w:tr>
      <w:tr>
        <w:tblPrEx>
          <w:tblCellMar>
            <w:top w:w="0" w:type="dxa"/>
            <w:left w:w="108" w:type="dxa"/>
            <w:bottom w:w="0" w:type="dxa"/>
            <w:right w:w="108" w:type="dxa"/>
          </w:tblCellMar>
        </w:tblPrEx>
        <w:trPr>
          <w:trHeight w:val="921"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站内进水池、出水池、河面保洁及零星工程</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定期保洁清运，随时发现缺陷处理。</w:t>
            </w:r>
          </w:p>
        </w:tc>
      </w:tr>
      <w:tr>
        <w:tblPrEx>
          <w:tblCellMar>
            <w:top w:w="0" w:type="dxa"/>
            <w:left w:w="108" w:type="dxa"/>
            <w:bottom w:w="0" w:type="dxa"/>
            <w:right w:w="108" w:type="dxa"/>
          </w:tblCellMar>
        </w:tblPrEx>
        <w:trPr>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站区绿化景观设施</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每周定期对站区绿化进行养护，并按需做好病虫害防治。</w:t>
            </w:r>
          </w:p>
        </w:tc>
      </w:tr>
      <w:tr>
        <w:tblPrEx>
          <w:tblCellMar>
            <w:top w:w="0" w:type="dxa"/>
            <w:left w:w="108" w:type="dxa"/>
            <w:bottom w:w="0" w:type="dxa"/>
            <w:right w:w="108" w:type="dxa"/>
          </w:tblCellMar>
        </w:tblPrEx>
        <w:trPr>
          <w:trHeight w:val="93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机房管理房泵启闭机室建筑损毁，站区围墙及零星工程</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96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每月定期对各部检查，随时发现缺陷处理。</w:t>
            </w:r>
          </w:p>
        </w:tc>
      </w:tr>
    </w:tbl>
    <w:p>
      <w:pPr>
        <w:widowControl/>
        <w:wordWrap w:val="0"/>
        <w:snapToGrid w:val="0"/>
        <w:spacing w:line="360" w:lineRule="auto"/>
        <w:jc w:val="left"/>
        <w:rPr>
          <w:rFonts w:hint="eastAsia" w:ascii="仿宋" w:hAnsi="仿宋" w:eastAsia="仿宋" w:cs="仿宋"/>
          <w:kern w:val="0"/>
        </w:rPr>
      </w:pPr>
      <w:r>
        <w:rPr>
          <w:rFonts w:hint="eastAsia" w:ascii="仿宋" w:hAnsi="仿宋" w:eastAsia="仿宋" w:cs="仿宋"/>
          <w:kern w:val="0"/>
        </w:rPr>
        <w:t>注:日常维修养护内容含但不限于以上内容。</w:t>
      </w:r>
    </w:p>
    <w:p>
      <w:pPr>
        <w:rPr>
          <w:rFonts w:hint="eastAsia" w:ascii="仿宋" w:hAnsi="仿宋" w:eastAsia="仿宋" w:cs="仿宋"/>
        </w:rPr>
      </w:pPr>
    </w:p>
    <w:p>
      <w:pPr>
        <w:spacing w:line="560" w:lineRule="exact"/>
        <w:ind w:firstLine="627" w:firstLineChars="196"/>
        <w:rPr>
          <w:rFonts w:hint="eastAsia" w:ascii="仿宋" w:hAnsi="仿宋" w:eastAsia="仿宋" w:cs="仿宋"/>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p>
    <w:p>
      <w:pPr>
        <w:widowControl/>
        <w:snapToGrid w:val="0"/>
        <w:spacing w:line="6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社井泵站</w:t>
      </w:r>
      <w:r>
        <w:rPr>
          <w:rFonts w:hint="eastAsia" w:ascii="仿宋" w:hAnsi="仿宋" w:eastAsia="仿宋" w:cs="仿宋"/>
          <w:b/>
          <w:kern w:val="0"/>
          <w:sz w:val="32"/>
          <w:szCs w:val="32"/>
        </w:rPr>
        <w:t>日常维修养护维护工作</w:t>
      </w:r>
    </w:p>
    <w:tbl>
      <w:tblPr>
        <w:tblStyle w:val="45"/>
        <w:tblW w:w="0" w:type="auto"/>
        <w:tblInd w:w="-269" w:type="dxa"/>
        <w:tblLayout w:type="fixed"/>
        <w:tblCellMar>
          <w:top w:w="15" w:type="dxa"/>
          <w:left w:w="15" w:type="dxa"/>
          <w:bottom w:w="15" w:type="dxa"/>
          <w:right w:w="15" w:type="dxa"/>
        </w:tblCellMar>
      </w:tblPr>
      <w:tblGrid>
        <w:gridCol w:w="797"/>
        <w:gridCol w:w="2114"/>
        <w:gridCol w:w="791"/>
        <w:gridCol w:w="920"/>
        <w:gridCol w:w="5050"/>
      </w:tblGrid>
      <w:tr>
        <w:tblPrEx>
          <w:tblCellMar>
            <w:top w:w="15" w:type="dxa"/>
            <w:left w:w="15" w:type="dxa"/>
            <w:bottom w:w="15" w:type="dxa"/>
            <w:right w:w="15" w:type="dxa"/>
          </w:tblCellMar>
        </w:tblPrEx>
        <w:trPr>
          <w:trHeight w:val="583" w:hRule="atLeast"/>
        </w:trPr>
        <w:tc>
          <w:tcPr>
            <w:tcW w:w="96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sz w:val="30"/>
                <w:szCs w:val="30"/>
              </w:rPr>
            </w:pPr>
            <w:r>
              <w:rPr>
                <w:rFonts w:hint="eastAsia" w:ascii="仿宋" w:hAnsi="仿宋" w:eastAsia="仿宋" w:cs="仿宋"/>
                <w:b/>
                <w:kern w:val="0"/>
                <w:sz w:val="30"/>
                <w:szCs w:val="30"/>
              </w:rPr>
              <w:t>一、清水入城设备清单</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序号</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名称</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数量</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备       注</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絮凝沉淀池</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m2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4230</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kern w:val="0"/>
                <w:szCs w:val="21"/>
              </w:rPr>
            </w:pPr>
            <w:r>
              <w:rPr>
                <w:rFonts w:hint="eastAsia" w:ascii="仿宋" w:hAnsi="仿宋" w:eastAsia="仿宋" w:cs="仿宋"/>
                <w:kern w:val="0"/>
                <w:szCs w:val="21"/>
              </w:rPr>
              <w:t>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kern w:val="0"/>
                <w:szCs w:val="21"/>
              </w:rPr>
            </w:pPr>
            <w:r>
              <w:rPr>
                <w:rFonts w:hint="eastAsia" w:ascii="仿宋" w:hAnsi="仿宋" w:eastAsia="仿宋" w:cs="仿宋"/>
                <w:kern w:val="0"/>
                <w:szCs w:val="21"/>
              </w:rPr>
              <w:t>湖面</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kern w:val="0"/>
                <w:szCs w:val="21"/>
              </w:rPr>
            </w:pPr>
            <w:r>
              <w:rPr>
                <w:rFonts w:hint="eastAsia" w:ascii="仿宋" w:hAnsi="仿宋" w:eastAsia="仿宋" w:cs="仿宋"/>
                <w:kern w:val="0"/>
                <w:szCs w:val="21"/>
              </w:rPr>
              <w:t>m2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kern w:val="0"/>
                <w:szCs w:val="21"/>
              </w:rPr>
            </w:pPr>
            <w:r>
              <w:rPr>
                <w:rFonts w:hint="eastAsia" w:ascii="仿宋" w:hAnsi="仿宋" w:eastAsia="仿宋" w:cs="仿宋"/>
                <w:kern w:val="0"/>
                <w:szCs w:val="21"/>
              </w:rPr>
              <w:t>18000</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kern w:val="0"/>
                <w:szCs w:val="21"/>
              </w:rPr>
            </w:pPr>
            <w:r>
              <w:rPr>
                <w:rFonts w:hint="eastAsia" w:ascii="仿宋" w:hAnsi="仿宋" w:eastAsia="仿宋" w:cs="仿宋"/>
                <w:kern w:val="0"/>
                <w:szCs w:val="21"/>
              </w:rPr>
              <w:t>每日安防巡查，及时湖面保洁处理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地埋储罐及设备房</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m2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150</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膜片式快开排泥阀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488</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电磁阀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自控控制柜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潜水排泥泵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净化处理系统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卸料泵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止回阀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电磁流量计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电动球阀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储罐</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液位计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蝶阀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电动球阀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Y型过滤器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24</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计量泵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安全阀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脉冲阻尼器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电动球阀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电磁流量计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中转储罐</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提升泵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止回阀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助凝剂制备系统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电动球阀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球阀</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转子泵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电磁流量计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在线浊度仪</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投加控制系统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37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一体化控制系统</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中控室操作电脑</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中控系统软件采购</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中控软件开发</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交换机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光纤收发器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光端机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8</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光纤熔接附件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8</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光纤熔接</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头</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摄像头</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摄像机立杆</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摄像机立杆配套箱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视频防雷及附件</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硬盘录像机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96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b/>
                <w:sz w:val="30"/>
                <w:szCs w:val="30"/>
              </w:rPr>
            </w:pPr>
            <w:r>
              <w:rPr>
                <w:rFonts w:hint="eastAsia" w:ascii="仿宋" w:hAnsi="仿宋" w:eastAsia="仿宋" w:cs="仿宋"/>
                <w:b/>
                <w:kern w:val="0"/>
                <w:sz w:val="30"/>
                <w:szCs w:val="30"/>
              </w:rPr>
              <w:t>二、泵闸站设备清单</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序号</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设备名称</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数量</w:t>
            </w:r>
          </w:p>
        </w:tc>
        <w:tc>
          <w:tcPr>
            <w:tcW w:w="5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szCs w:val="21"/>
              </w:rPr>
            </w:pPr>
            <w:r>
              <w:rPr>
                <w:rFonts w:hint="eastAsia" w:ascii="仿宋" w:hAnsi="仿宋" w:eastAsia="仿宋" w:cs="仿宋"/>
                <w:b/>
                <w:kern w:val="0"/>
                <w:szCs w:val="21"/>
              </w:rPr>
              <w:t>备注</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计算机工作站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视频工作站</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大屏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LCU屏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UPS电源屏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网络设备屏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7</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1#~5#潜水泵变频柜（含滤波器）</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西门子超声波液位计</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9</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大华一体化球机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6</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插座箱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11</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风机控制箱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12</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照明箱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13</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蝶阀现地箱</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出水闸控制柜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景观启闭机控制柜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16</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LCU屏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块</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17</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电力电缆</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AS7.5KW潜水泵</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19</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社井泵站水泵设备及安装</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20</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社井泵站阀门设备及安装</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21</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社井泵站闸门设备制作及安装</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扇</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5</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22</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社井泵站拦污栅设备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23</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灵山浦配水闸液压启闭机设备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24</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灵山浦配水闸闸门设备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25</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灵山浦配水闸闸门门槽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26</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灵山浦配水闸拦污栅设备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27</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灵山浦配水闸拦污栅栅槽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28</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出水闸液压启闭机设备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29</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出水闸闸门设备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30</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出水闸闸门门槽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31</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出水闸拦污栅设备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32</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出水闸拦污栅栅槽</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33</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景观活动坝闸门设备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扇</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34</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1-3#配水闸拦污栅设备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扇</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35</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1-3#阀门设备</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36</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高压进线柜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37</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高压计量柜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38</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高压出线柜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39</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进线柜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40</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电容主柜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41</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电容辅柜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2</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42</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馈出柜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43</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双电源切换柜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44</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联络柜</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Cs w:val="21"/>
              </w:rPr>
            </w:pPr>
            <w:r>
              <w:rPr>
                <w:rFonts w:hint="eastAsia" w:ascii="仿宋" w:hAnsi="仿宋" w:eastAsia="仿宋" w:cs="仿宋"/>
                <w:kern w:val="0"/>
                <w:szCs w:val="21"/>
              </w:rPr>
              <w:t>每月定期对各部检查，随时发现缺陷处理。</w:t>
            </w:r>
          </w:p>
        </w:tc>
      </w:tr>
      <w:tr>
        <w:tblPrEx>
          <w:tblCellMar>
            <w:top w:w="15" w:type="dxa"/>
            <w:left w:w="15" w:type="dxa"/>
            <w:bottom w:w="15" w:type="dxa"/>
            <w:right w:w="15" w:type="dxa"/>
          </w:tblCellMar>
        </w:tblPrEx>
        <w:trPr>
          <w:trHeight w:val="5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45</w:t>
            </w: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电缆井及蝶阀井维护</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项</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5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rPr>
              <w:t>每月定期对各部检查，随时发现缺陷处理。</w:t>
            </w:r>
          </w:p>
        </w:tc>
      </w:tr>
    </w:tbl>
    <w:p>
      <w:pPr>
        <w:widowControl/>
        <w:wordWrap w:val="0"/>
        <w:snapToGrid w:val="0"/>
        <w:spacing w:line="360" w:lineRule="auto"/>
        <w:jc w:val="left"/>
        <w:rPr>
          <w:rFonts w:hint="eastAsia" w:ascii="仿宋" w:hAnsi="仿宋" w:eastAsia="仿宋" w:cs="仿宋"/>
        </w:rPr>
      </w:pPr>
      <w:r>
        <w:rPr>
          <w:rFonts w:hint="eastAsia" w:ascii="仿宋" w:hAnsi="仿宋" w:eastAsia="仿宋" w:cs="仿宋"/>
          <w:kern w:val="0"/>
        </w:rPr>
        <w:t>注:日常维修养护内容含但不限于以上内容。</w:t>
      </w:r>
    </w:p>
    <w:p>
      <w:pPr>
        <w:rPr>
          <w:rFonts w:hint="eastAsia" w:ascii="仿宋" w:hAnsi="仿宋" w:eastAsia="仿宋" w:cs="仿宋"/>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pStyle w:val="3"/>
        <w:ind w:firstLine="723"/>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pStyle w:val="32"/>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r>
        <w:rPr>
          <w:rFonts w:hint="eastAsia" w:ascii="仿宋" w:hAnsi="仿宋" w:eastAsia="仿宋" w:cs="仿宋"/>
          <w:b/>
          <w:sz w:val="36"/>
          <w:szCs w:val="36"/>
        </w:rPr>
        <w:t>社井水闸日常维修养护工作</w:t>
      </w:r>
    </w:p>
    <w:tbl>
      <w:tblPr>
        <w:tblStyle w:val="45"/>
        <w:tblW w:w="0" w:type="auto"/>
        <w:tblInd w:w="0" w:type="dxa"/>
        <w:tblLayout w:type="fixed"/>
        <w:tblCellMar>
          <w:top w:w="0" w:type="dxa"/>
          <w:left w:w="108" w:type="dxa"/>
          <w:bottom w:w="0" w:type="dxa"/>
          <w:right w:w="108" w:type="dxa"/>
        </w:tblCellMar>
      </w:tblPr>
      <w:tblGrid>
        <w:gridCol w:w="540"/>
        <w:gridCol w:w="1800"/>
        <w:gridCol w:w="1980"/>
        <w:gridCol w:w="720"/>
        <w:gridCol w:w="4344"/>
      </w:tblGrid>
      <w:tr>
        <w:tblPrEx>
          <w:tblCellMar>
            <w:top w:w="0" w:type="dxa"/>
            <w:left w:w="108" w:type="dxa"/>
            <w:bottom w:w="0" w:type="dxa"/>
            <w:right w:w="108" w:type="dxa"/>
          </w:tblCellMar>
        </w:tblPrEx>
        <w:trPr>
          <w:trHeight w:val="500"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80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198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72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数量（套）</w:t>
            </w:r>
          </w:p>
        </w:tc>
        <w:tc>
          <w:tcPr>
            <w:tcW w:w="4344"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500"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440" w:hRule="exact"/>
        </w:trPr>
        <w:tc>
          <w:tcPr>
            <w:tcW w:w="540" w:type="dxa"/>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配电室</w:t>
            </w:r>
          </w:p>
        </w:tc>
        <w:tc>
          <w:tcPr>
            <w:tcW w:w="198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进线开关柜</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440" w:hRule="exact"/>
        </w:trPr>
        <w:tc>
          <w:tcPr>
            <w:tcW w:w="54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w:t>
            </w:r>
          </w:p>
        </w:tc>
        <w:tc>
          <w:tcPr>
            <w:tcW w:w="198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卷扬式启闭设备（套）</w:t>
            </w:r>
          </w:p>
        </w:tc>
        <w:tc>
          <w:tcPr>
            <w:tcW w:w="72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闸门控制箱</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440" w:hRule="exact"/>
        </w:trPr>
        <w:tc>
          <w:tcPr>
            <w:tcW w:w="5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Cs w:val="21"/>
              </w:rPr>
            </w:pPr>
          </w:p>
        </w:tc>
        <w:tc>
          <w:tcPr>
            <w:tcW w:w="198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砼闸门</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718" w:hRule="exac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658" w:hRule="exact"/>
        </w:trPr>
        <w:tc>
          <w:tcPr>
            <w:tcW w:w="540" w:type="dxa"/>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柴油发电机组</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30KW柴油发电机</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每月定期对设备空载运转，并按要求每月带负荷运转15分钟。</w:t>
            </w:r>
          </w:p>
        </w:tc>
      </w:tr>
      <w:tr>
        <w:tblPrEx>
          <w:tblCellMar>
            <w:top w:w="0" w:type="dxa"/>
            <w:left w:w="108" w:type="dxa"/>
            <w:bottom w:w="0" w:type="dxa"/>
            <w:right w:w="108" w:type="dxa"/>
          </w:tblCellMar>
        </w:tblPrEx>
        <w:trPr>
          <w:trHeight w:val="595" w:hRule="exact"/>
        </w:trPr>
        <w:tc>
          <w:tcPr>
            <w:tcW w:w="540" w:type="dxa"/>
            <w:vMerge w:val="restart"/>
            <w:tcBorders>
              <w:top w:val="nil"/>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vMerge w:val="restart"/>
            <w:tcBorders>
              <w:top w:val="single" w:color="auto" w:sz="4" w:space="0"/>
              <w:left w:val="single" w:color="auto" w:sz="4" w:space="0"/>
              <w:bottom w:val="single" w:color="000000" w:sz="4" w:space="0"/>
              <w:right w:val="single" w:color="000000"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照明系统</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闸室管理范围用电等</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440" w:hRule="exac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szCs w:val="21"/>
              </w:rPr>
            </w:pPr>
          </w:p>
        </w:tc>
        <w:tc>
          <w:tcPr>
            <w:tcW w:w="180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仿宋" w:hAnsi="仿宋" w:eastAsia="仿宋" w:cs="仿宋"/>
                <w:szCs w:val="21"/>
              </w:rPr>
            </w:pP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闸室照明等</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 xml:space="preserve">1 </w:t>
            </w:r>
          </w:p>
        </w:tc>
        <w:tc>
          <w:tcPr>
            <w:tcW w:w="43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646"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闸区附属设施维修养护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p>
        </w:tc>
      </w:tr>
      <w:tr>
        <w:tblPrEx>
          <w:tblCellMar>
            <w:top w:w="0" w:type="dxa"/>
            <w:left w:w="108" w:type="dxa"/>
            <w:bottom w:w="0" w:type="dxa"/>
            <w:right w:w="108" w:type="dxa"/>
          </w:tblCellMar>
        </w:tblPrEx>
        <w:trPr>
          <w:trHeight w:val="70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闸区管理范围保洁</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每天至少保洁一次，含垃圾清运。</w:t>
            </w:r>
          </w:p>
        </w:tc>
      </w:tr>
      <w:tr>
        <w:tblPrEx>
          <w:tblCellMar>
            <w:top w:w="0" w:type="dxa"/>
            <w:left w:w="108" w:type="dxa"/>
            <w:bottom w:w="0" w:type="dxa"/>
            <w:right w:w="108" w:type="dxa"/>
          </w:tblCellMar>
        </w:tblPrEx>
        <w:trPr>
          <w:trHeight w:val="1220"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闸室建筑损毁，闸区围墙、铁栅栏及零星工程等维护</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991" w:hRule="exac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8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闸区其他生产生活设备等</w:t>
            </w:r>
          </w:p>
        </w:tc>
        <w:tc>
          <w:tcPr>
            <w:tcW w:w="198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项</w:t>
            </w:r>
          </w:p>
        </w:tc>
        <w:tc>
          <w:tcPr>
            <w:tcW w:w="7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34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bl>
    <w:p>
      <w:pPr>
        <w:widowControl/>
        <w:wordWrap w:val="0"/>
        <w:snapToGrid w:val="0"/>
        <w:spacing w:line="360" w:lineRule="auto"/>
        <w:jc w:val="left"/>
        <w:rPr>
          <w:rFonts w:hint="eastAsia" w:ascii="仿宋" w:hAnsi="仿宋" w:eastAsia="仿宋" w:cs="仿宋"/>
        </w:rPr>
      </w:pPr>
      <w:r>
        <w:rPr>
          <w:rFonts w:hint="eastAsia" w:ascii="仿宋" w:hAnsi="仿宋" w:eastAsia="仿宋" w:cs="仿宋"/>
          <w:kern w:val="0"/>
        </w:rPr>
        <w:t>注:日常维修养护内容含但不限于以上内容。</w:t>
      </w:r>
    </w:p>
    <w:p>
      <w:pPr>
        <w:jc w:val="center"/>
        <w:rPr>
          <w:rFonts w:hint="eastAsia" w:ascii="仿宋" w:hAnsi="仿宋" w:eastAsia="仿宋" w:cs="仿宋"/>
          <w:b/>
          <w:sz w:val="32"/>
          <w:szCs w:val="32"/>
        </w:rPr>
      </w:pPr>
    </w:p>
    <w:p>
      <w:pPr>
        <w:widowControl/>
        <w:snapToGrid w:val="0"/>
        <w:spacing w:line="360" w:lineRule="auto"/>
        <w:jc w:val="center"/>
        <w:rPr>
          <w:rFonts w:hint="eastAsia" w:ascii="仿宋" w:hAnsi="仿宋" w:eastAsia="仿宋" w:cs="仿宋"/>
          <w:b/>
          <w:w w:val="90"/>
          <w:sz w:val="24"/>
        </w:rPr>
      </w:pPr>
    </w:p>
    <w:p>
      <w:pPr>
        <w:spacing w:before="156" w:beforeLines="50" w:after="156" w:afterLines="50"/>
        <w:jc w:val="center"/>
        <w:rPr>
          <w:rFonts w:hint="eastAsia" w:ascii="仿宋" w:hAnsi="仿宋" w:eastAsia="仿宋" w:cs="仿宋"/>
          <w:b/>
          <w:sz w:val="32"/>
          <w:szCs w:val="32"/>
        </w:rPr>
      </w:pPr>
    </w:p>
    <w:p>
      <w:pPr>
        <w:spacing w:before="156" w:beforeLines="50" w:after="156" w:afterLines="50"/>
        <w:jc w:val="center"/>
        <w:rPr>
          <w:rFonts w:hint="eastAsia" w:ascii="仿宋" w:hAnsi="仿宋" w:eastAsia="仿宋" w:cs="仿宋"/>
          <w:b/>
          <w:sz w:val="32"/>
          <w:szCs w:val="32"/>
        </w:rPr>
      </w:pPr>
    </w:p>
    <w:p>
      <w:pPr>
        <w:spacing w:before="156" w:beforeLines="50" w:after="156" w:afterLines="50"/>
        <w:jc w:val="center"/>
        <w:rPr>
          <w:rFonts w:hint="eastAsia" w:ascii="仿宋" w:hAnsi="仿宋" w:eastAsia="仿宋" w:cs="仿宋"/>
          <w:b/>
          <w:sz w:val="32"/>
          <w:szCs w:val="32"/>
        </w:rPr>
      </w:pPr>
    </w:p>
    <w:p>
      <w:pPr>
        <w:spacing w:before="156" w:beforeLines="50" w:after="156" w:afterLines="50"/>
        <w:jc w:val="center"/>
        <w:rPr>
          <w:rFonts w:hint="eastAsia" w:ascii="仿宋" w:hAnsi="仿宋" w:eastAsia="仿宋" w:cs="仿宋"/>
          <w:b/>
          <w:sz w:val="32"/>
          <w:szCs w:val="32"/>
        </w:rPr>
      </w:pPr>
      <w:r>
        <w:rPr>
          <w:rFonts w:hint="eastAsia" w:ascii="仿宋" w:hAnsi="仿宋" w:eastAsia="仿宋" w:cs="仿宋"/>
          <w:b/>
          <w:sz w:val="32"/>
          <w:szCs w:val="32"/>
        </w:rPr>
        <w:t>33个机埠水闸日常维修养护工作</w:t>
      </w:r>
    </w:p>
    <w:tbl>
      <w:tblPr>
        <w:tblStyle w:val="45"/>
        <w:tblW w:w="0" w:type="auto"/>
        <w:tblInd w:w="0" w:type="dxa"/>
        <w:tblLayout w:type="fixed"/>
        <w:tblCellMar>
          <w:top w:w="0" w:type="dxa"/>
          <w:left w:w="108" w:type="dxa"/>
          <w:bottom w:w="0" w:type="dxa"/>
          <w:right w:w="108" w:type="dxa"/>
        </w:tblCellMar>
      </w:tblPr>
      <w:tblGrid>
        <w:gridCol w:w="540"/>
        <w:gridCol w:w="2065"/>
        <w:gridCol w:w="1606"/>
        <w:gridCol w:w="1020"/>
        <w:gridCol w:w="3645"/>
      </w:tblGrid>
      <w:tr>
        <w:tblPrEx>
          <w:tblCellMar>
            <w:top w:w="0" w:type="dxa"/>
            <w:left w:w="108" w:type="dxa"/>
            <w:bottom w:w="0" w:type="dxa"/>
            <w:right w:w="108" w:type="dxa"/>
          </w:tblCellMar>
        </w:tblPrEx>
        <w:trPr>
          <w:trHeight w:val="624" w:hRule="atLeast"/>
          <w:tblHeader/>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206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项目名称</w:t>
            </w:r>
          </w:p>
        </w:tc>
        <w:tc>
          <w:tcPr>
            <w:tcW w:w="1606"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c>
          <w:tcPr>
            <w:tcW w:w="1020"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数量（项）</w:t>
            </w:r>
          </w:p>
        </w:tc>
        <w:tc>
          <w:tcPr>
            <w:tcW w:w="3645" w:type="dxa"/>
            <w:tcBorders>
              <w:top w:val="single" w:color="auto" w:sz="4" w:space="0"/>
              <w:left w:val="single" w:color="auto" w:sz="4" w:space="0"/>
              <w:bottom w:val="single" w:color="000000"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备          注</w:t>
            </w:r>
          </w:p>
        </w:tc>
      </w:tr>
      <w:tr>
        <w:tblPrEx>
          <w:tblCellMar>
            <w:top w:w="0" w:type="dxa"/>
            <w:left w:w="108" w:type="dxa"/>
            <w:bottom w:w="0" w:type="dxa"/>
            <w:right w:w="108" w:type="dxa"/>
          </w:tblCellMar>
        </w:tblPrEx>
        <w:trPr>
          <w:trHeight w:val="624"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一</w:t>
            </w:r>
          </w:p>
        </w:tc>
        <w:tc>
          <w:tcPr>
            <w:tcW w:w="206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水工建筑物维修养护</w:t>
            </w:r>
          </w:p>
        </w:tc>
        <w:tc>
          <w:tcPr>
            <w:tcW w:w="160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水工建筑物</w:t>
            </w:r>
          </w:p>
        </w:tc>
        <w:tc>
          <w:tcPr>
            <w:tcW w:w="10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64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624"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二</w:t>
            </w:r>
          </w:p>
        </w:tc>
        <w:tc>
          <w:tcPr>
            <w:tcW w:w="206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机电设备维修养护</w:t>
            </w:r>
          </w:p>
        </w:tc>
        <w:tc>
          <w:tcPr>
            <w:tcW w:w="160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配电箱、开关柜、启闭设备等</w:t>
            </w:r>
          </w:p>
        </w:tc>
        <w:tc>
          <w:tcPr>
            <w:tcW w:w="10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64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624" w:hRule="atLeas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三</w:t>
            </w:r>
          </w:p>
        </w:tc>
        <w:tc>
          <w:tcPr>
            <w:tcW w:w="206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金属及辅助设备维修养护</w:t>
            </w:r>
          </w:p>
        </w:tc>
        <w:tc>
          <w:tcPr>
            <w:tcW w:w="160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szCs w:val="21"/>
              </w:rPr>
              <w:t>闸门、拦污栅、照明系统等</w:t>
            </w:r>
          </w:p>
        </w:tc>
        <w:tc>
          <w:tcPr>
            <w:tcW w:w="10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64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每月定期对各部检查养护，随时发现缺陷处理。</w:t>
            </w:r>
          </w:p>
        </w:tc>
      </w:tr>
      <w:tr>
        <w:tblPrEx>
          <w:tblCellMar>
            <w:top w:w="0" w:type="dxa"/>
            <w:left w:w="108" w:type="dxa"/>
            <w:bottom w:w="0" w:type="dxa"/>
            <w:right w:w="108" w:type="dxa"/>
          </w:tblCellMar>
        </w:tblPrEx>
        <w:trPr>
          <w:trHeight w:val="624" w:hRule="atLeast"/>
        </w:trPr>
        <w:tc>
          <w:tcPr>
            <w:tcW w:w="5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四</w:t>
            </w:r>
          </w:p>
        </w:tc>
        <w:tc>
          <w:tcPr>
            <w:tcW w:w="206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闸区附属设施维修养护</w:t>
            </w:r>
          </w:p>
        </w:tc>
        <w:tc>
          <w:tcPr>
            <w:tcW w:w="160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闸区其他生产生活设备等</w:t>
            </w:r>
          </w:p>
        </w:tc>
        <w:tc>
          <w:tcPr>
            <w:tcW w:w="10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64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保持整洁，每月定期对各部检查养护，随时发现缺陷处理。</w:t>
            </w:r>
          </w:p>
        </w:tc>
      </w:tr>
      <w:tr>
        <w:tblPrEx>
          <w:tblCellMar>
            <w:top w:w="0" w:type="dxa"/>
            <w:left w:w="108" w:type="dxa"/>
            <w:bottom w:w="0" w:type="dxa"/>
            <w:right w:w="108" w:type="dxa"/>
          </w:tblCellMar>
        </w:tblPrEx>
        <w:trPr>
          <w:trHeight w:val="624" w:hRule="atLeast"/>
        </w:trPr>
        <w:tc>
          <w:tcPr>
            <w:tcW w:w="540"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b/>
                <w:szCs w:val="21"/>
              </w:rPr>
            </w:pPr>
            <w:r>
              <w:rPr>
                <w:rFonts w:hint="eastAsia" w:ascii="仿宋" w:hAnsi="仿宋" w:eastAsia="仿宋" w:cs="仿宋"/>
                <w:b/>
                <w:szCs w:val="21"/>
              </w:rPr>
              <w:t>五</w:t>
            </w:r>
          </w:p>
        </w:tc>
        <w:tc>
          <w:tcPr>
            <w:tcW w:w="206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b/>
                <w:szCs w:val="21"/>
              </w:rPr>
            </w:pPr>
            <w:r>
              <w:rPr>
                <w:rFonts w:hint="eastAsia" w:ascii="仿宋" w:hAnsi="仿宋" w:eastAsia="仿宋" w:cs="仿宋"/>
                <w:b/>
                <w:szCs w:val="21"/>
              </w:rPr>
              <w:t>保洁及垃圾清运</w:t>
            </w:r>
          </w:p>
        </w:tc>
        <w:tc>
          <w:tcPr>
            <w:tcW w:w="160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站区管理范围</w:t>
            </w:r>
          </w:p>
        </w:tc>
        <w:tc>
          <w:tcPr>
            <w:tcW w:w="1020"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64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rPr>
                <w:rFonts w:hint="eastAsia" w:ascii="仿宋" w:hAnsi="仿宋" w:eastAsia="仿宋" w:cs="仿宋"/>
                <w:szCs w:val="21"/>
              </w:rPr>
            </w:pPr>
            <w:r>
              <w:rPr>
                <w:rFonts w:hint="eastAsia" w:ascii="仿宋" w:hAnsi="仿宋" w:eastAsia="仿宋" w:cs="仿宋"/>
                <w:szCs w:val="21"/>
              </w:rPr>
              <w:t>每日定期进行管理范围内保洁及垃圾清运。</w:t>
            </w:r>
          </w:p>
        </w:tc>
      </w:tr>
    </w:tbl>
    <w:p>
      <w:pPr>
        <w:widowControl/>
        <w:wordWrap w:val="0"/>
        <w:snapToGrid w:val="0"/>
        <w:spacing w:before="156" w:beforeLines="50" w:line="360" w:lineRule="auto"/>
        <w:jc w:val="left"/>
        <w:rPr>
          <w:rFonts w:hint="eastAsia" w:ascii="仿宋" w:hAnsi="仿宋" w:eastAsia="仿宋" w:cs="仿宋"/>
          <w:kern w:val="0"/>
          <w:szCs w:val="21"/>
        </w:rPr>
      </w:pPr>
      <w:r>
        <w:rPr>
          <w:rFonts w:hint="eastAsia" w:ascii="仿宋" w:hAnsi="仿宋" w:eastAsia="仿宋" w:cs="仿宋"/>
          <w:kern w:val="0"/>
          <w:szCs w:val="21"/>
        </w:rPr>
        <w:t>注:日常维修养护内容含但不限于以上内容。</w:t>
      </w:r>
    </w:p>
    <w:p>
      <w:pPr>
        <w:rPr>
          <w:rFonts w:hint="eastAsia" w:ascii="仿宋" w:hAnsi="仿宋" w:eastAsia="仿宋" w:cs="仿宋"/>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w w:val="90"/>
          <w:sz w:val="24"/>
        </w:rPr>
      </w:pPr>
    </w:p>
    <w:p>
      <w:pPr>
        <w:widowControl/>
        <w:snapToGrid w:val="0"/>
        <w:spacing w:line="360" w:lineRule="auto"/>
        <w:rPr>
          <w:rFonts w:hint="eastAsia" w:ascii="仿宋" w:hAnsi="仿宋" w:eastAsia="仿宋" w:cs="仿宋"/>
          <w:b/>
          <w:w w:val="90"/>
          <w:sz w:val="24"/>
        </w:rPr>
      </w:pPr>
    </w:p>
    <w:p>
      <w:pPr>
        <w:widowControl/>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第五章  财务结算程序</w:t>
      </w:r>
    </w:p>
    <w:p>
      <w:pPr>
        <w:spacing w:line="360" w:lineRule="auto"/>
        <w:jc w:val="left"/>
        <w:rPr>
          <w:rFonts w:hint="eastAsia" w:ascii="仿宋" w:hAnsi="仿宋" w:eastAsia="仿宋" w:cs="仿宋"/>
          <w:sz w:val="24"/>
        </w:rPr>
      </w:pPr>
      <w:r>
        <w:rPr>
          <w:rFonts w:hint="eastAsia" w:ascii="仿宋" w:hAnsi="仿宋" w:eastAsia="仿宋" w:cs="仿宋"/>
          <w:b/>
          <w:sz w:val="24"/>
        </w:rPr>
        <w:t>一．投标保证金的缴纳</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 投标保证金须在开标前按招标文件规定数额、时间和地点交纳</w:t>
      </w:r>
      <w:r>
        <w:rPr>
          <w:rFonts w:hint="eastAsia" w:ascii="仿宋" w:hAnsi="仿宋" w:eastAsia="仿宋" w:cs="仿宋"/>
          <w:bCs/>
          <w:sz w:val="24"/>
        </w:rPr>
        <w:t>并到帐</w:t>
      </w:r>
      <w:r>
        <w:rPr>
          <w:rFonts w:hint="eastAsia" w:ascii="仿宋" w:hAnsi="仿宋" w:eastAsia="仿宋" w:cs="仿宋"/>
          <w:sz w:val="24"/>
        </w:rPr>
        <w:t>。</w:t>
      </w:r>
    </w:p>
    <w:p>
      <w:pPr>
        <w:widowControl/>
        <w:spacing w:before="60" w:after="60" w:line="360" w:lineRule="auto"/>
        <w:ind w:right="60" w:firstLine="480" w:firstLineChars="200"/>
        <w:jc w:val="left"/>
        <w:outlineLvl w:val="0"/>
        <w:rPr>
          <w:rFonts w:hint="eastAsia" w:ascii="仿宋" w:hAnsi="仿宋" w:eastAsia="仿宋" w:cs="仿宋"/>
          <w:sz w:val="24"/>
        </w:rPr>
      </w:pPr>
      <w:r>
        <w:rPr>
          <w:rFonts w:hint="eastAsia" w:ascii="仿宋" w:hAnsi="仿宋" w:eastAsia="仿宋" w:cs="仿宋"/>
          <w:sz w:val="24"/>
        </w:rPr>
        <w:t>收款单位信息如下：</w:t>
      </w:r>
    </w:p>
    <w:p>
      <w:pPr>
        <w:widowControl/>
        <w:spacing w:before="60" w:after="60" w:line="360" w:lineRule="auto"/>
        <w:ind w:right="60" w:firstLine="480" w:firstLineChars="200"/>
        <w:jc w:val="left"/>
        <w:outlineLvl w:val="0"/>
        <w:rPr>
          <w:rFonts w:hint="eastAsia" w:ascii="仿宋" w:hAnsi="仿宋" w:eastAsia="仿宋" w:cs="仿宋"/>
          <w:sz w:val="24"/>
        </w:rPr>
      </w:pPr>
      <w:r>
        <w:rPr>
          <w:rFonts w:hint="eastAsia" w:ascii="仿宋" w:hAnsi="仿宋" w:eastAsia="仿宋" w:cs="仿宋"/>
          <w:sz w:val="24"/>
        </w:rPr>
        <w:t>公司名称：浙江建友工程咨询有限公司</w:t>
      </w:r>
    </w:p>
    <w:p>
      <w:pPr>
        <w:widowControl/>
        <w:spacing w:before="60" w:after="60" w:line="360" w:lineRule="auto"/>
        <w:ind w:right="60" w:firstLine="480" w:firstLineChars="200"/>
        <w:jc w:val="left"/>
        <w:outlineLvl w:val="0"/>
        <w:rPr>
          <w:rFonts w:hint="eastAsia" w:ascii="仿宋" w:hAnsi="仿宋" w:eastAsia="仿宋" w:cs="仿宋"/>
          <w:sz w:val="24"/>
        </w:rPr>
      </w:pPr>
      <w:r>
        <w:rPr>
          <w:rFonts w:hint="eastAsia" w:ascii="仿宋" w:hAnsi="仿宋" w:eastAsia="仿宋" w:cs="仿宋"/>
          <w:sz w:val="24"/>
        </w:rPr>
        <w:t>开户银行：杭州联合银行三墩支行</w:t>
      </w:r>
    </w:p>
    <w:p>
      <w:pPr>
        <w:pStyle w:val="41"/>
        <w:spacing w:before="0" w:beforeAutospacing="0" w:after="0" w:afterAutospacing="0" w:line="360" w:lineRule="auto"/>
        <w:jc w:val="both"/>
        <w:rPr>
          <w:rFonts w:hint="eastAsia" w:ascii="仿宋" w:hAnsi="仿宋" w:eastAsia="仿宋" w:cs="仿宋"/>
          <w:szCs w:val="24"/>
        </w:rPr>
      </w:pPr>
      <w:r>
        <w:rPr>
          <w:rFonts w:hint="eastAsia" w:ascii="仿宋" w:hAnsi="仿宋" w:eastAsia="仿宋" w:cs="仿宋"/>
          <w:szCs w:val="24"/>
        </w:rPr>
        <w:t>帐    号：</w:t>
      </w:r>
      <w:r>
        <w:rPr>
          <w:rFonts w:hint="eastAsia" w:ascii="仿宋" w:hAnsi="仿宋" w:eastAsia="仿宋" w:cs="仿宋"/>
          <w:kern w:val="2"/>
          <w:szCs w:val="24"/>
        </w:rPr>
        <w:t>201000137299579</w:t>
      </w:r>
    </w:p>
    <w:p>
      <w:pPr>
        <w:pStyle w:val="26"/>
        <w:spacing w:line="360" w:lineRule="auto"/>
        <w:rPr>
          <w:rFonts w:hint="eastAsia" w:ascii="仿宋" w:hAnsi="仿宋" w:eastAsia="仿宋" w:cs="仿宋"/>
          <w:b/>
          <w:sz w:val="24"/>
          <w:szCs w:val="24"/>
        </w:rPr>
      </w:pPr>
      <w:r>
        <w:rPr>
          <w:rFonts w:hint="eastAsia" w:ascii="仿宋" w:hAnsi="仿宋" w:eastAsia="仿宋" w:cs="仿宋"/>
          <w:b/>
          <w:sz w:val="24"/>
          <w:szCs w:val="24"/>
        </w:rPr>
        <w:t>二．投标保证金的退还</w:t>
      </w:r>
    </w:p>
    <w:p>
      <w:pPr>
        <w:pStyle w:val="26"/>
        <w:spacing w:line="360" w:lineRule="auto"/>
        <w:rPr>
          <w:rFonts w:hint="eastAsia" w:ascii="仿宋" w:hAnsi="仿宋" w:eastAsia="仿宋" w:cs="仿宋"/>
          <w:b/>
          <w:sz w:val="24"/>
          <w:szCs w:val="24"/>
        </w:rPr>
      </w:pPr>
      <w:r>
        <w:rPr>
          <w:rFonts w:hint="eastAsia" w:ascii="仿宋" w:hAnsi="仿宋" w:eastAsia="仿宋" w:cs="仿宋"/>
          <w:b/>
          <w:sz w:val="24"/>
          <w:szCs w:val="24"/>
        </w:rPr>
        <w:t>（一）、未中标供应商投标保证金的退还</w:t>
      </w:r>
    </w:p>
    <w:p>
      <w:pPr>
        <w:pStyle w:val="26"/>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1. 退还时间：</w:t>
      </w:r>
      <w:r>
        <w:rPr>
          <w:rFonts w:hint="eastAsia" w:ascii="仿宋" w:hAnsi="仿宋" w:eastAsia="仿宋" w:cs="仿宋"/>
          <w:sz w:val="24"/>
          <w:szCs w:val="24"/>
        </w:rPr>
        <w:t>未中标的供应商在中标通知书发出（注：即中标公告发出）之后五个工作日内自行前往浙江建友工程咨询有限公司办理结算手续；</w:t>
      </w:r>
    </w:p>
    <w:p>
      <w:pPr>
        <w:pStyle w:val="26"/>
        <w:spacing w:line="360" w:lineRule="auto"/>
        <w:rPr>
          <w:rFonts w:hint="eastAsia" w:ascii="仿宋" w:hAnsi="仿宋" w:eastAsia="仿宋" w:cs="仿宋"/>
          <w:b/>
          <w:sz w:val="24"/>
          <w:szCs w:val="24"/>
        </w:rPr>
      </w:pPr>
      <w:r>
        <w:rPr>
          <w:rFonts w:hint="eastAsia" w:ascii="仿宋" w:hAnsi="仿宋" w:eastAsia="仿宋" w:cs="仿宋"/>
          <w:b/>
          <w:sz w:val="24"/>
          <w:szCs w:val="24"/>
        </w:rPr>
        <w:t>（二）、中标供应商投标保证金的退还</w:t>
      </w:r>
    </w:p>
    <w:p>
      <w:pPr>
        <w:pStyle w:val="26"/>
        <w:spacing w:line="360" w:lineRule="auto"/>
        <w:ind w:firstLine="600" w:firstLineChars="250"/>
        <w:rPr>
          <w:rFonts w:hint="eastAsia" w:ascii="仿宋" w:hAnsi="仿宋" w:eastAsia="仿宋" w:cs="仿宋"/>
          <w:sz w:val="24"/>
          <w:szCs w:val="24"/>
        </w:rPr>
      </w:pPr>
      <w:r>
        <w:rPr>
          <w:rFonts w:hint="eastAsia" w:ascii="仿宋" w:hAnsi="仿宋" w:eastAsia="仿宋" w:cs="仿宋"/>
          <w:b/>
          <w:sz w:val="24"/>
          <w:szCs w:val="24"/>
        </w:rPr>
        <w:t>1、退还时间：</w:t>
      </w:r>
      <w:r>
        <w:rPr>
          <w:rFonts w:hint="eastAsia" w:ascii="仿宋" w:hAnsi="仿宋" w:eastAsia="仿宋" w:cs="仿宋"/>
          <w:sz w:val="24"/>
          <w:szCs w:val="24"/>
        </w:rPr>
        <w:t>中标供应商的投标保证金在签定合同之后，五个工作日内，到浙江建友工程咨询有限公司办理退还手续（无息退还）；</w:t>
      </w:r>
    </w:p>
    <w:p>
      <w:pPr>
        <w:pStyle w:val="26"/>
        <w:spacing w:line="360" w:lineRule="auto"/>
        <w:ind w:firstLine="600" w:firstLineChars="250"/>
        <w:rPr>
          <w:rFonts w:hint="eastAsia" w:ascii="仿宋" w:hAnsi="仿宋" w:eastAsia="仿宋" w:cs="仿宋"/>
          <w:sz w:val="24"/>
          <w:szCs w:val="24"/>
        </w:rPr>
      </w:pPr>
      <w:r>
        <w:rPr>
          <w:rFonts w:hint="eastAsia" w:ascii="仿宋" w:hAnsi="仿宋" w:eastAsia="仿宋" w:cs="仿宋"/>
          <w:b/>
          <w:sz w:val="24"/>
          <w:szCs w:val="24"/>
        </w:rPr>
        <w:t>2、退还凭证：</w:t>
      </w:r>
      <w:r>
        <w:rPr>
          <w:rFonts w:hint="eastAsia" w:ascii="仿宋" w:hAnsi="仿宋" w:eastAsia="仿宋" w:cs="仿宋"/>
          <w:sz w:val="24"/>
          <w:szCs w:val="24"/>
        </w:rPr>
        <w:t>中标的供应商凭</w:t>
      </w:r>
      <w:r>
        <w:rPr>
          <w:rFonts w:hint="eastAsia" w:ascii="仿宋" w:hAnsi="仿宋" w:eastAsia="仿宋" w:cs="仿宋"/>
          <w:b/>
          <w:sz w:val="24"/>
          <w:szCs w:val="24"/>
          <w:u w:val="single"/>
        </w:rPr>
        <w:t>合同原件</w:t>
      </w:r>
      <w:r>
        <w:rPr>
          <w:rFonts w:hint="eastAsia" w:ascii="仿宋" w:hAnsi="仿宋" w:eastAsia="仿宋" w:cs="仿宋"/>
          <w:sz w:val="24"/>
          <w:szCs w:val="24"/>
        </w:rPr>
        <w:t>到浙江建友工程咨询有限公司办理结算手续。</w:t>
      </w:r>
    </w:p>
    <w:p>
      <w:pPr>
        <w:spacing w:line="440" w:lineRule="exact"/>
        <w:ind w:firstLine="720" w:firstLineChars="200"/>
        <w:jc w:val="left"/>
        <w:rPr>
          <w:rFonts w:hint="eastAsia" w:ascii="仿宋" w:hAnsi="仿宋" w:eastAsia="仿宋" w:cs="仿宋"/>
          <w:b/>
          <w:bCs/>
          <w:sz w:val="36"/>
        </w:rPr>
      </w:pPr>
    </w:p>
    <w:p>
      <w:pPr>
        <w:spacing w:line="440" w:lineRule="exact"/>
        <w:jc w:val="center"/>
        <w:rPr>
          <w:rFonts w:hint="eastAsia" w:ascii="仿宋" w:hAnsi="仿宋" w:eastAsia="仿宋" w:cs="仿宋"/>
          <w:sz w:val="24"/>
        </w:rPr>
      </w:pPr>
      <w:r>
        <w:rPr>
          <w:rFonts w:hint="eastAsia" w:ascii="仿宋" w:hAnsi="仿宋" w:eastAsia="仿宋" w:cs="仿宋"/>
          <w:b/>
          <w:bCs/>
          <w:sz w:val="36"/>
        </w:rPr>
        <w:br w:type="page"/>
      </w:r>
      <w:r>
        <w:rPr>
          <w:rFonts w:hint="eastAsia" w:ascii="仿宋" w:hAnsi="仿宋" w:eastAsia="仿宋" w:cs="仿宋"/>
          <w:b/>
          <w:bCs/>
          <w:sz w:val="36"/>
        </w:rPr>
        <w:t>第六章  应提交的有关格式范例</w:t>
      </w:r>
    </w:p>
    <w:p>
      <w:pPr>
        <w:pStyle w:val="26"/>
        <w:spacing w:line="440" w:lineRule="exact"/>
        <w:rPr>
          <w:rFonts w:hint="eastAsia" w:ascii="仿宋" w:hAnsi="仿宋" w:eastAsia="仿宋" w:cs="仿宋"/>
          <w:b/>
          <w:sz w:val="24"/>
        </w:rPr>
      </w:pPr>
      <w:r>
        <w:rPr>
          <w:rFonts w:hint="eastAsia" w:ascii="仿宋" w:hAnsi="仿宋" w:eastAsia="仿宋" w:cs="仿宋"/>
          <w:b/>
          <w:sz w:val="24"/>
        </w:rPr>
        <w:t>一、投标人提交投标文件须知：</w:t>
      </w:r>
    </w:p>
    <w:p>
      <w:pPr>
        <w:pStyle w:val="26"/>
        <w:spacing w:line="440" w:lineRule="exact"/>
        <w:rPr>
          <w:rFonts w:hint="eastAsia" w:ascii="仿宋" w:hAnsi="仿宋" w:eastAsia="仿宋" w:cs="仿宋"/>
          <w:sz w:val="24"/>
        </w:rPr>
      </w:pPr>
      <w:r>
        <w:rPr>
          <w:rFonts w:hint="eastAsia" w:ascii="仿宋" w:hAnsi="仿宋" w:eastAsia="仿宋" w:cs="仿宋"/>
          <w:sz w:val="24"/>
        </w:rPr>
        <w:t>1、投标人应严格按照以下顺序填写和提交下述规定的全部格式文件以及其他有关资料，混乱的编排导致投标文件被误读或评标委员会查找不到有效文件是投标人的风险。</w:t>
      </w:r>
    </w:p>
    <w:p>
      <w:pPr>
        <w:pStyle w:val="26"/>
        <w:spacing w:line="440" w:lineRule="exact"/>
        <w:rPr>
          <w:rFonts w:hint="eastAsia" w:ascii="仿宋" w:hAnsi="仿宋" w:eastAsia="仿宋" w:cs="仿宋"/>
          <w:sz w:val="24"/>
        </w:rPr>
      </w:pPr>
      <w:r>
        <w:rPr>
          <w:rFonts w:hint="eastAsia" w:ascii="仿宋" w:hAnsi="仿宋" w:eastAsia="仿宋" w:cs="仿宋"/>
          <w:sz w:val="24"/>
        </w:rPr>
        <w:t>2、所附表格中要求回答的全部问题和/或信息都必须正面回答。</w:t>
      </w:r>
    </w:p>
    <w:p>
      <w:pPr>
        <w:pStyle w:val="26"/>
        <w:spacing w:line="440" w:lineRule="exact"/>
        <w:rPr>
          <w:rFonts w:hint="eastAsia" w:ascii="仿宋" w:hAnsi="仿宋" w:eastAsia="仿宋" w:cs="仿宋"/>
          <w:sz w:val="24"/>
        </w:rPr>
      </w:pPr>
      <w:r>
        <w:rPr>
          <w:rFonts w:hint="eastAsia" w:ascii="仿宋" w:hAnsi="仿宋" w:eastAsia="仿宋" w:cs="仿宋"/>
          <w:sz w:val="24"/>
        </w:rPr>
        <w:t>3、本声明书的签字人应保证全部声明和问题的回答是真实的和准确的。</w:t>
      </w:r>
    </w:p>
    <w:p>
      <w:pPr>
        <w:pStyle w:val="26"/>
        <w:spacing w:line="440" w:lineRule="exact"/>
        <w:rPr>
          <w:rFonts w:hint="eastAsia" w:ascii="仿宋" w:hAnsi="仿宋" w:eastAsia="仿宋" w:cs="仿宋"/>
          <w:sz w:val="24"/>
        </w:rPr>
      </w:pPr>
      <w:r>
        <w:rPr>
          <w:rFonts w:hint="eastAsia" w:ascii="仿宋" w:hAnsi="仿宋" w:eastAsia="仿宋" w:cs="仿宋"/>
          <w:sz w:val="24"/>
        </w:rPr>
        <w:t>4、评标委员会将应用投标人提交的资料根据自己的判断和考虑决定投标人履行合同的合格性及能力。</w:t>
      </w:r>
    </w:p>
    <w:p>
      <w:pPr>
        <w:pStyle w:val="26"/>
        <w:spacing w:line="440" w:lineRule="exact"/>
        <w:rPr>
          <w:rFonts w:hint="eastAsia" w:ascii="仿宋" w:hAnsi="仿宋" w:eastAsia="仿宋" w:cs="仿宋"/>
          <w:sz w:val="24"/>
        </w:rPr>
      </w:pPr>
      <w:r>
        <w:rPr>
          <w:rFonts w:hint="eastAsia" w:ascii="仿宋" w:hAnsi="仿宋" w:eastAsia="仿宋" w:cs="仿宋"/>
          <w:sz w:val="24"/>
        </w:rPr>
        <w:t>5、投标人提交的材料将在一定期限内被保密保存，但不退还。</w:t>
      </w:r>
    </w:p>
    <w:p>
      <w:pPr>
        <w:pStyle w:val="26"/>
        <w:spacing w:line="440" w:lineRule="exact"/>
        <w:rPr>
          <w:rFonts w:hint="eastAsia" w:ascii="仿宋" w:hAnsi="仿宋" w:eastAsia="仿宋" w:cs="仿宋"/>
          <w:b/>
          <w:sz w:val="24"/>
        </w:rPr>
      </w:pPr>
      <w:r>
        <w:rPr>
          <w:rFonts w:hint="eastAsia" w:ascii="仿宋" w:hAnsi="仿宋" w:eastAsia="仿宋" w:cs="仿宋"/>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sz w:val="24"/>
        </w:rPr>
        <w:t>将有可能被评标委员会认定为投标无效。</w:t>
      </w:r>
    </w:p>
    <w:p>
      <w:pPr>
        <w:pStyle w:val="26"/>
        <w:spacing w:line="440" w:lineRule="exact"/>
        <w:rPr>
          <w:rFonts w:hint="eastAsia" w:ascii="仿宋" w:hAnsi="仿宋" w:eastAsia="仿宋" w:cs="仿宋"/>
          <w:b/>
          <w:sz w:val="24"/>
        </w:rPr>
      </w:pPr>
      <w:r>
        <w:rPr>
          <w:rFonts w:hint="eastAsia" w:ascii="仿宋" w:hAnsi="仿宋" w:eastAsia="仿宋" w:cs="仿宋"/>
          <w:b/>
          <w:sz w:val="24"/>
        </w:rPr>
        <w:t>二、投标文件编制格式及规范要求：</w:t>
      </w:r>
    </w:p>
    <w:p>
      <w:pPr>
        <w:pStyle w:val="26"/>
        <w:spacing w:line="440" w:lineRule="exact"/>
        <w:ind w:firstLine="480" w:firstLineChars="200"/>
        <w:rPr>
          <w:rFonts w:hint="eastAsia" w:ascii="仿宋" w:hAnsi="仿宋" w:eastAsia="仿宋" w:cs="仿宋"/>
          <w:sz w:val="24"/>
        </w:rPr>
      </w:pPr>
      <w:r>
        <w:rPr>
          <w:rFonts w:hint="eastAsia" w:ascii="仿宋" w:hAnsi="仿宋" w:eastAsia="仿宋" w:cs="仿宋"/>
          <w:b/>
          <w:sz w:val="24"/>
        </w:rPr>
        <w:t>投标文件由资格文件、报价文件</w:t>
      </w:r>
      <w:r>
        <w:rPr>
          <w:rFonts w:hint="eastAsia" w:ascii="仿宋" w:hAnsi="仿宋" w:eastAsia="仿宋" w:cs="仿宋"/>
          <w:sz w:val="24"/>
        </w:rPr>
        <w:t>、</w:t>
      </w:r>
      <w:r>
        <w:rPr>
          <w:rFonts w:hint="eastAsia" w:ascii="仿宋" w:hAnsi="仿宋" w:eastAsia="仿宋" w:cs="仿宋"/>
          <w:b/>
          <w:sz w:val="24"/>
        </w:rPr>
        <w:t>商务技术文件三部分组成，资格文件、商务技术文件中不得出现项目报价信息。否则如开标时发生报价泄露的，由供应商自行承担相关责任。</w:t>
      </w:r>
    </w:p>
    <w:p>
      <w:pPr>
        <w:pStyle w:val="26"/>
        <w:spacing w:line="360" w:lineRule="auto"/>
        <w:rPr>
          <w:rFonts w:hint="eastAsia" w:ascii="仿宋" w:hAnsi="仿宋" w:eastAsia="仿宋" w:cs="仿宋"/>
          <w:sz w:val="24"/>
        </w:rPr>
      </w:pPr>
    </w:p>
    <w:p>
      <w:pPr>
        <w:pStyle w:val="26"/>
        <w:spacing w:line="360" w:lineRule="auto"/>
        <w:jc w:val="center"/>
        <w:rPr>
          <w:rFonts w:hint="eastAsia" w:ascii="仿宋" w:hAnsi="仿宋" w:eastAsia="仿宋" w:cs="仿宋"/>
          <w:b/>
          <w:sz w:val="36"/>
          <w:szCs w:val="36"/>
        </w:rPr>
      </w:pPr>
    </w:p>
    <w:p>
      <w:pPr>
        <w:pStyle w:val="26"/>
        <w:spacing w:line="360" w:lineRule="auto"/>
        <w:jc w:val="center"/>
        <w:rPr>
          <w:rFonts w:hint="eastAsia" w:ascii="仿宋" w:hAnsi="仿宋" w:eastAsia="仿宋" w:cs="仿宋"/>
          <w:b/>
          <w:sz w:val="36"/>
          <w:szCs w:val="36"/>
        </w:rPr>
      </w:pPr>
    </w:p>
    <w:p>
      <w:pPr>
        <w:pStyle w:val="26"/>
        <w:spacing w:line="360" w:lineRule="auto"/>
        <w:jc w:val="center"/>
        <w:rPr>
          <w:rFonts w:hint="eastAsia" w:ascii="仿宋" w:hAnsi="仿宋" w:eastAsia="仿宋" w:cs="仿宋"/>
          <w:b/>
          <w:sz w:val="36"/>
          <w:szCs w:val="36"/>
        </w:rPr>
      </w:pPr>
    </w:p>
    <w:p>
      <w:pPr>
        <w:pStyle w:val="26"/>
        <w:spacing w:line="360" w:lineRule="auto"/>
        <w:jc w:val="center"/>
        <w:rPr>
          <w:rFonts w:hint="eastAsia" w:ascii="仿宋" w:hAnsi="仿宋" w:eastAsia="仿宋" w:cs="仿宋"/>
          <w:b/>
          <w:sz w:val="36"/>
          <w:szCs w:val="36"/>
        </w:rPr>
      </w:pPr>
    </w:p>
    <w:p>
      <w:pPr>
        <w:pStyle w:val="26"/>
        <w:spacing w:line="360" w:lineRule="auto"/>
        <w:jc w:val="center"/>
        <w:rPr>
          <w:rFonts w:hint="eastAsia" w:ascii="仿宋" w:hAnsi="仿宋" w:eastAsia="仿宋" w:cs="仿宋"/>
          <w:b/>
          <w:sz w:val="36"/>
          <w:szCs w:val="36"/>
        </w:rPr>
      </w:pPr>
    </w:p>
    <w:p>
      <w:pPr>
        <w:pStyle w:val="26"/>
        <w:spacing w:line="360" w:lineRule="auto"/>
        <w:rPr>
          <w:rFonts w:hint="eastAsia" w:ascii="仿宋" w:hAnsi="仿宋" w:eastAsia="仿宋" w:cs="仿宋"/>
          <w:b/>
          <w:sz w:val="36"/>
          <w:szCs w:val="36"/>
        </w:rPr>
      </w:pPr>
    </w:p>
    <w:p>
      <w:pPr>
        <w:rPr>
          <w:rFonts w:hint="eastAsia" w:ascii="仿宋" w:hAnsi="仿宋" w:eastAsia="仿宋" w:cs="仿宋"/>
          <w:sz w:val="44"/>
        </w:rPr>
      </w:pPr>
      <w:r>
        <w:rPr>
          <w:rFonts w:hint="eastAsia" w:ascii="仿宋" w:hAnsi="仿宋" w:eastAsia="仿宋" w:cs="仿宋"/>
          <w:b/>
          <w:sz w:val="36"/>
          <w:szCs w:val="36"/>
        </w:rPr>
        <w:br w:type="page"/>
      </w:r>
    </w:p>
    <w:p>
      <w:pPr>
        <w:jc w:val="center"/>
        <w:rPr>
          <w:rFonts w:hint="eastAsia" w:ascii="仿宋" w:hAnsi="仿宋" w:eastAsia="仿宋" w:cs="仿宋"/>
          <w:sz w:val="72"/>
        </w:rPr>
      </w:pPr>
    </w:p>
    <w:p>
      <w:pPr>
        <w:jc w:val="center"/>
        <w:rPr>
          <w:rFonts w:hint="eastAsia" w:ascii="仿宋" w:hAnsi="仿宋" w:eastAsia="仿宋" w:cs="仿宋"/>
          <w:sz w:val="72"/>
        </w:rPr>
      </w:pPr>
      <w:r>
        <w:rPr>
          <w:rFonts w:hint="eastAsia" w:ascii="仿宋" w:hAnsi="仿宋" w:eastAsia="仿宋" w:cs="仿宋"/>
          <w:sz w:val="72"/>
        </w:rPr>
        <w:t>(项目名称)项目</w:t>
      </w:r>
    </w:p>
    <w:p>
      <w:pPr>
        <w:jc w:val="center"/>
        <w:rPr>
          <w:rFonts w:hint="eastAsia" w:ascii="仿宋" w:hAnsi="仿宋" w:eastAsia="仿宋" w:cs="仿宋"/>
          <w:sz w:val="44"/>
        </w:rPr>
      </w:pPr>
    </w:p>
    <w:p>
      <w:pPr>
        <w:jc w:val="center"/>
        <w:rPr>
          <w:rFonts w:hint="eastAsia" w:ascii="仿宋" w:hAnsi="仿宋" w:eastAsia="仿宋" w:cs="仿宋"/>
          <w:sz w:val="44"/>
        </w:rPr>
      </w:pPr>
      <w:r>
        <w:rPr>
          <w:rFonts w:hint="eastAsia" w:ascii="仿宋" w:hAnsi="仿宋" w:eastAsia="仿宋" w:cs="仿宋"/>
          <w:sz w:val="44"/>
        </w:rPr>
        <w:t>招标编号：</w:t>
      </w:r>
    </w:p>
    <w:p>
      <w:pPr>
        <w:jc w:val="center"/>
        <w:rPr>
          <w:rFonts w:hint="eastAsia" w:ascii="仿宋" w:hAnsi="仿宋" w:eastAsia="仿宋" w:cs="仿宋"/>
          <w:sz w:val="44"/>
        </w:rPr>
      </w:pPr>
    </w:p>
    <w:p>
      <w:pPr>
        <w:jc w:val="center"/>
        <w:rPr>
          <w:rFonts w:hint="eastAsia" w:ascii="仿宋" w:hAnsi="仿宋" w:eastAsia="仿宋" w:cs="仿宋"/>
          <w:sz w:val="72"/>
        </w:rPr>
      </w:pPr>
      <w:r>
        <w:rPr>
          <w:rFonts w:hint="eastAsia" w:ascii="仿宋" w:hAnsi="仿宋" w:eastAsia="仿宋" w:cs="仿宋"/>
          <w:sz w:val="72"/>
        </w:rPr>
        <w:t>资</w:t>
      </w:r>
    </w:p>
    <w:p>
      <w:pPr>
        <w:jc w:val="center"/>
        <w:rPr>
          <w:rFonts w:hint="eastAsia" w:ascii="仿宋" w:hAnsi="仿宋" w:eastAsia="仿宋" w:cs="仿宋"/>
          <w:sz w:val="72"/>
        </w:rPr>
      </w:pPr>
      <w:r>
        <w:rPr>
          <w:rFonts w:hint="eastAsia" w:ascii="仿宋" w:hAnsi="仿宋" w:eastAsia="仿宋" w:cs="仿宋"/>
          <w:sz w:val="72"/>
        </w:rPr>
        <w:t>格</w:t>
      </w:r>
    </w:p>
    <w:p>
      <w:pPr>
        <w:jc w:val="center"/>
        <w:rPr>
          <w:rFonts w:hint="eastAsia" w:ascii="仿宋" w:hAnsi="仿宋" w:eastAsia="仿宋" w:cs="仿宋"/>
          <w:sz w:val="72"/>
        </w:rPr>
      </w:pPr>
      <w:r>
        <w:rPr>
          <w:rFonts w:hint="eastAsia" w:ascii="仿宋" w:hAnsi="仿宋" w:eastAsia="仿宋" w:cs="仿宋"/>
          <w:sz w:val="72"/>
        </w:rPr>
        <w:t>文</w:t>
      </w:r>
    </w:p>
    <w:p>
      <w:pPr>
        <w:jc w:val="center"/>
        <w:rPr>
          <w:rFonts w:hint="eastAsia" w:ascii="仿宋" w:hAnsi="仿宋" w:eastAsia="仿宋" w:cs="仿宋"/>
          <w:sz w:val="72"/>
        </w:rPr>
      </w:pPr>
      <w:r>
        <w:rPr>
          <w:rFonts w:hint="eastAsia" w:ascii="仿宋" w:hAnsi="仿宋" w:eastAsia="仿宋" w:cs="仿宋"/>
          <w:sz w:val="72"/>
        </w:rPr>
        <w:t>件</w:t>
      </w:r>
    </w:p>
    <w:p>
      <w:pPr>
        <w:jc w:val="center"/>
        <w:rPr>
          <w:rFonts w:hint="eastAsia" w:ascii="仿宋" w:hAnsi="仿宋" w:eastAsia="仿宋" w:cs="仿宋"/>
          <w:sz w:val="72"/>
        </w:rPr>
      </w:pPr>
    </w:p>
    <w:p>
      <w:pPr>
        <w:ind w:firstLine="2160" w:firstLineChars="675"/>
        <w:rPr>
          <w:rFonts w:hint="eastAsia" w:ascii="仿宋" w:hAnsi="仿宋" w:eastAsia="仿宋" w:cs="仿宋"/>
          <w:sz w:val="32"/>
        </w:rPr>
      </w:pPr>
      <w:r>
        <w:rPr>
          <w:rFonts w:hint="eastAsia" w:ascii="仿宋" w:hAnsi="仿宋" w:eastAsia="仿宋" w:cs="仿宋"/>
          <w:sz w:val="32"/>
        </w:rPr>
        <w:t>投标单位名称：（加盖单位公章）</w:t>
      </w:r>
    </w:p>
    <w:p>
      <w:pPr>
        <w:ind w:firstLine="2160" w:firstLineChars="675"/>
        <w:rPr>
          <w:rFonts w:hint="eastAsia" w:ascii="仿宋" w:hAnsi="仿宋" w:eastAsia="仿宋" w:cs="仿宋"/>
          <w:sz w:val="32"/>
        </w:rPr>
      </w:pPr>
      <w:r>
        <w:rPr>
          <w:rFonts w:hint="eastAsia" w:ascii="仿宋" w:hAnsi="仿宋" w:eastAsia="仿宋" w:cs="仿宋"/>
          <w:sz w:val="32"/>
        </w:rPr>
        <w:t>投标单位地址：</w:t>
      </w:r>
    </w:p>
    <w:p>
      <w:pPr>
        <w:jc w:val="center"/>
        <w:rPr>
          <w:rFonts w:hint="eastAsia" w:ascii="仿宋" w:hAnsi="仿宋" w:eastAsia="仿宋" w:cs="仿宋"/>
          <w:sz w:val="32"/>
        </w:rPr>
      </w:pPr>
      <w:r>
        <w:rPr>
          <w:rFonts w:hint="eastAsia" w:ascii="仿宋" w:hAnsi="仿宋" w:eastAsia="仿宋" w:cs="仿宋"/>
          <w:sz w:val="32"/>
          <w:szCs w:val="32"/>
        </w:rPr>
        <w:t>年  月  日</w:t>
      </w:r>
    </w:p>
    <w:p>
      <w:pPr>
        <w:rPr>
          <w:rFonts w:hint="eastAsia" w:ascii="仿宋" w:hAnsi="仿宋" w:eastAsia="仿宋" w:cs="仿宋"/>
          <w:sz w:val="32"/>
        </w:rPr>
        <w:sectPr>
          <w:headerReference r:id="rId9" w:type="default"/>
          <w:footerReference r:id="rId10" w:type="default"/>
          <w:pgSz w:w="11907" w:h="16840"/>
          <w:pgMar w:top="1440" w:right="1418" w:bottom="1440" w:left="1758" w:header="851" w:footer="992" w:gutter="0"/>
          <w:cols w:space="720" w:num="1"/>
          <w:docGrid w:type="linesAndChars" w:linePitch="312" w:charSpace="0"/>
        </w:sect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ind w:left="-420" w:leftChars="-200" w:right="-420" w:rightChars="-200" w:firstLine="480" w:firstLineChars="200"/>
        <w:rPr>
          <w:rFonts w:ascii="仿宋" w:hAnsi="仿宋" w:eastAsia="仿宋"/>
          <w:color w:val="auto"/>
          <w:sz w:val="24"/>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 w:hAnsi="仿宋" w:eastAsia="仿宋" w:cs="仿宋"/>
          <w:sz w:val="72"/>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numPr>
          <w:ilvl w:val="0"/>
          <w:numId w:val="0"/>
        </w:numPr>
        <w:snapToGrid w:val="0"/>
        <w:spacing w:line="360" w:lineRule="auto"/>
        <w:jc w:val="center"/>
        <w:outlineLvl w:val="1"/>
        <w:rPr>
          <w:rFonts w:hint="eastAsia" w:ascii="仿宋" w:hAnsi="仿宋" w:eastAsia="仿宋" w:cs="仿宋_GB2312"/>
          <w:b/>
          <w:color w:val="auto"/>
          <w:kern w:val="0"/>
          <w:sz w:val="32"/>
          <w:szCs w:val="32"/>
          <w:highlight w:val="none"/>
          <w:lang w:val="en-US" w:eastAsia="zh-CN"/>
        </w:rPr>
      </w:pPr>
    </w:p>
    <w:p>
      <w:pPr>
        <w:pStyle w:val="2"/>
        <w:rPr>
          <w:rFonts w:hint="eastAsia" w:ascii="仿宋" w:hAnsi="仿宋" w:eastAsia="仿宋" w:cs="仿宋_GB2312"/>
          <w:b/>
          <w:color w:val="auto"/>
          <w:kern w:val="0"/>
          <w:sz w:val="32"/>
          <w:szCs w:val="32"/>
          <w:highlight w:val="none"/>
          <w:lang w:val="en-US" w:eastAsia="zh-CN"/>
        </w:rPr>
      </w:pPr>
    </w:p>
    <w:p>
      <w:pPr>
        <w:rPr>
          <w:rFonts w:hint="eastAsia"/>
          <w:lang w:val="en-US" w:eastAsia="zh-CN"/>
        </w:rPr>
      </w:pPr>
    </w:p>
    <w:p>
      <w:pPr>
        <w:numPr>
          <w:ilvl w:val="0"/>
          <w:numId w:val="0"/>
        </w:numPr>
        <w:snapToGrid w:val="0"/>
        <w:spacing w:line="360" w:lineRule="auto"/>
        <w:jc w:val="center"/>
        <w:outlineLvl w:val="1"/>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一、</w:t>
      </w:r>
      <w:r>
        <w:rPr>
          <w:rFonts w:ascii="仿宋" w:hAnsi="仿宋" w:eastAsia="仿宋" w:cs="仿宋_GB2312"/>
          <w:b/>
          <w:color w:val="auto"/>
          <w:kern w:val="0"/>
          <w:sz w:val="32"/>
          <w:szCs w:val="32"/>
          <w:highlight w:val="none"/>
        </w:rPr>
        <w:t>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杭州市西湖区排灌设施管理服务站：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lang w:eastAsia="zh-CN"/>
        </w:rPr>
        <w:t>西湖区排灌泵闸站委托运维管理项目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lang w:eastAsia="zh-CN"/>
        </w:rPr>
        <w:t>ZJJY-HZBB-2022-039</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jc w:val="center"/>
        <w:rPr>
          <w:rFonts w:hint="eastAsia" w:ascii="仿宋" w:hAnsi="仿宋" w:eastAsia="仿宋" w:cs="仿宋"/>
          <w:sz w:val="72"/>
        </w:rPr>
      </w:pPr>
    </w:p>
    <w:p>
      <w:pPr>
        <w:jc w:val="center"/>
        <w:rPr>
          <w:rFonts w:hint="eastAsia" w:ascii="仿宋" w:hAnsi="仿宋" w:eastAsia="仿宋" w:cs="仿宋"/>
          <w:sz w:val="72"/>
        </w:rPr>
      </w:pPr>
    </w:p>
    <w:p>
      <w:pPr>
        <w:jc w:val="both"/>
        <w:rPr>
          <w:rFonts w:hint="eastAsia" w:ascii="仿宋" w:hAnsi="仿宋" w:eastAsia="仿宋" w:cs="仿宋"/>
          <w:sz w:val="72"/>
        </w:rPr>
      </w:pPr>
    </w:p>
    <w:p>
      <w:pPr>
        <w:jc w:val="center"/>
        <w:rPr>
          <w:rFonts w:hint="eastAsia" w:ascii="仿宋" w:hAnsi="仿宋" w:eastAsia="仿宋" w:cs="仿宋"/>
          <w:sz w:val="72"/>
        </w:rPr>
      </w:pPr>
      <w:r>
        <w:rPr>
          <w:rFonts w:hint="eastAsia" w:ascii="仿宋" w:hAnsi="仿宋" w:eastAsia="仿宋" w:cs="仿宋"/>
          <w:sz w:val="72"/>
        </w:rPr>
        <w:t>(项目名称)项目</w:t>
      </w:r>
    </w:p>
    <w:p>
      <w:pPr>
        <w:jc w:val="center"/>
        <w:rPr>
          <w:rFonts w:hint="eastAsia" w:ascii="仿宋" w:hAnsi="仿宋" w:eastAsia="仿宋" w:cs="仿宋"/>
          <w:sz w:val="44"/>
        </w:rPr>
      </w:pPr>
    </w:p>
    <w:p>
      <w:pPr>
        <w:jc w:val="center"/>
        <w:rPr>
          <w:rFonts w:hint="eastAsia" w:ascii="仿宋" w:hAnsi="仿宋" w:eastAsia="仿宋" w:cs="仿宋"/>
          <w:sz w:val="44"/>
        </w:rPr>
      </w:pPr>
      <w:r>
        <w:rPr>
          <w:rFonts w:hint="eastAsia" w:ascii="仿宋" w:hAnsi="仿宋" w:eastAsia="仿宋" w:cs="仿宋"/>
          <w:sz w:val="44"/>
        </w:rPr>
        <w:t>招标编号：</w:t>
      </w:r>
    </w:p>
    <w:p>
      <w:pPr>
        <w:jc w:val="center"/>
        <w:rPr>
          <w:rFonts w:hint="eastAsia" w:ascii="仿宋" w:hAnsi="仿宋" w:eastAsia="仿宋" w:cs="仿宋"/>
          <w:sz w:val="72"/>
        </w:rPr>
      </w:pPr>
    </w:p>
    <w:p>
      <w:pPr>
        <w:jc w:val="center"/>
        <w:rPr>
          <w:rFonts w:hint="eastAsia" w:ascii="仿宋" w:hAnsi="仿宋" w:eastAsia="仿宋" w:cs="仿宋"/>
          <w:sz w:val="72"/>
        </w:rPr>
      </w:pPr>
      <w:r>
        <w:rPr>
          <w:rFonts w:hint="eastAsia" w:ascii="仿宋" w:hAnsi="仿宋" w:eastAsia="仿宋" w:cs="仿宋"/>
          <w:sz w:val="72"/>
        </w:rPr>
        <w:t>报</w:t>
      </w:r>
    </w:p>
    <w:p>
      <w:pPr>
        <w:jc w:val="center"/>
        <w:rPr>
          <w:rFonts w:hint="eastAsia" w:ascii="仿宋" w:hAnsi="仿宋" w:eastAsia="仿宋" w:cs="仿宋"/>
          <w:sz w:val="72"/>
        </w:rPr>
      </w:pPr>
      <w:r>
        <w:rPr>
          <w:rFonts w:hint="eastAsia" w:ascii="仿宋" w:hAnsi="仿宋" w:eastAsia="仿宋" w:cs="仿宋"/>
          <w:sz w:val="72"/>
        </w:rPr>
        <w:t>价</w:t>
      </w:r>
    </w:p>
    <w:p>
      <w:pPr>
        <w:jc w:val="center"/>
        <w:rPr>
          <w:rFonts w:hint="eastAsia" w:ascii="仿宋" w:hAnsi="仿宋" w:eastAsia="仿宋" w:cs="仿宋"/>
          <w:sz w:val="72"/>
        </w:rPr>
      </w:pPr>
      <w:r>
        <w:rPr>
          <w:rFonts w:hint="eastAsia" w:ascii="仿宋" w:hAnsi="仿宋" w:eastAsia="仿宋" w:cs="仿宋"/>
          <w:sz w:val="72"/>
        </w:rPr>
        <w:t>文</w:t>
      </w:r>
    </w:p>
    <w:p>
      <w:pPr>
        <w:jc w:val="center"/>
        <w:rPr>
          <w:rFonts w:hint="eastAsia" w:ascii="仿宋" w:hAnsi="仿宋" w:eastAsia="仿宋" w:cs="仿宋"/>
          <w:sz w:val="72"/>
        </w:rPr>
      </w:pPr>
      <w:r>
        <w:rPr>
          <w:rFonts w:hint="eastAsia" w:ascii="仿宋" w:hAnsi="仿宋" w:eastAsia="仿宋" w:cs="仿宋"/>
          <w:sz w:val="72"/>
        </w:rPr>
        <w:t>件</w:t>
      </w:r>
    </w:p>
    <w:p>
      <w:pPr>
        <w:jc w:val="center"/>
        <w:rPr>
          <w:rFonts w:hint="eastAsia" w:ascii="仿宋" w:hAnsi="仿宋" w:eastAsia="仿宋" w:cs="仿宋"/>
          <w:sz w:val="72"/>
        </w:rPr>
      </w:pPr>
    </w:p>
    <w:p>
      <w:pPr>
        <w:ind w:firstLine="2160" w:firstLineChars="675"/>
        <w:rPr>
          <w:rFonts w:hint="eastAsia" w:ascii="仿宋" w:hAnsi="仿宋" w:eastAsia="仿宋" w:cs="仿宋"/>
          <w:sz w:val="32"/>
        </w:rPr>
      </w:pPr>
      <w:r>
        <w:rPr>
          <w:rFonts w:hint="eastAsia" w:ascii="仿宋" w:hAnsi="仿宋" w:eastAsia="仿宋" w:cs="仿宋"/>
          <w:sz w:val="32"/>
        </w:rPr>
        <w:t>投标单位名称：（加盖单位公章）</w:t>
      </w:r>
    </w:p>
    <w:p>
      <w:pPr>
        <w:ind w:firstLine="2160" w:firstLineChars="675"/>
        <w:rPr>
          <w:rFonts w:hint="eastAsia" w:ascii="仿宋" w:hAnsi="仿宋" w:eastAsia="仿宋" w:cs="仿宋"/>
          <w:sz w:val="32"/>
        </w:rPr>
      </w:pPr>
      <w:r>
        <w:rPr>
          <w:rFonts w:hint="eastAsia" w:ascii="仿宋" w:hAnsi="仿宋" w:eastAsia="仿宋" w:cs="仿宋"/>
          <w:sz w:val="32"/>
        </w:rPr>
        <w:t>投标单位地址：</w:t>
      </w:r>
    </w:p>
    <w:p>
      <w:pPr>
        <w:jc w:val="center"/>
        <w:rPr>
          <w:rFonts w:hint="eastAsia" w:ascii="仿宋" w:hAnsi="仿宋" w:eastAsia="仿宋" w:cs="仿宋"/>
          <w:sz w:val="32"/>
        </w:rPr>
      </w:pPr>
      <w:r>
        <w:rPr>
          <w:rFonts w:hint="eastAsia" w:ascii="仿宋" w:hAnsi="仿宋" w:eastAsia="仿宋" w:cs="仿宋"/>
          <w:sz w:val="32"/>
          <w:szCs w:val="32"/>
        </w:rPr>
        <w:t>年  月  日</w:t>
      </w:r>
    </w:p>
    <w:p>
      <w:pPr>
        <w:rPr>
          <w:rFonts w:hint="eastAsia" w:ascii="仿宋" w:hAnsi="仿宋" w:eastAsia="仿宋" w:cs="仿宋"/>
          <w:sz w:val="32"/>
        </w:rPr>
        <w:sectPr>
          <w:pgSz w:w="11907" w:h="16840"/>
          <w:pgMar w:top="1440" w:right="1418" w:bottom="1440" w:left="1758" w:header="851" w:footer="992" w:gutter="0"/>
          <w:cols w:space="720" w:num="1"/>
          <w:docGrid w:type="linesAndChars" w:linePitch="312" w:charSpace="0"/>
        </w:sectPr>
      </w:pPr>
    </w:p>
    <w:p>
      <w:pPr>
        <w:pStyle w:val="26"/>
        <w:spacing w:line="360" w:lineRule="auto"/>
        <w:jc w:val="center"/>
        <w:rPr>
          <w:rFonts w:hint="eastAsia" w:ascii="仿宋" w:hAnsi="仿宋" w:eastAsia="仿宋" w:cs="仿宋"/>
          <w:sz w:val="24"/>
        </w:rPr>
      </w:pPr>
      <w:r>
        <w:rPr>
          <w:rFonts w:hint="eastAsia" w:ascii="仿宋" w:hAnsi="仿宋" w:eastAsia="仿宋" w:cs="仿宋"/>
          <w:b/>
          <w:sz w:val="36"/>
          <w:szCs w:val="36"/>
        </w:rPr>
        <w:t>报价部分</w:t>
      </w:r>
    </w:p>
    <w:p>
      <w:pPr>
        <w:pStyle w:val="26"/>
        <w:spacing w:line="360" w:lineRule="auto"/>
        <w:jc w:val="center"/>
        <w:rPr>
          <w:rFonts w:hint="eastAsia" w:ascii="仿宋" w:hAnsi="仿宋" w:eastAsia="仿宋" w:cs="仿宋"/>
          <w:sz w:val="24"/>
        </w:rPr>
      </w:pPr>
      <w:r>
        <w:rPr>
          <w:rFonts w:hint="eastAsia" w:ascii="仿宋" w:hAnsi="仿宋" w:eastAsia="仿宋" w:cs="仿宋"/>
          <w:b/>
          <w:sz w:val="24"/>
        </w:rPr>
        <w:t>目录</w:t>
      </w:r>
    </w:p>
    <w:p>
      <w:pPr>
        <w:pStyle w:val="26"/>
        <w:numPr>
          <w:ilvl w:val="0"/>
          <w:numId w:val="30"/>
        </w:numPr>
        <w:spacing w:line="360" w:lineRule="auto"/>
        <w:rPr>
          <w:rFonts w:hint="eastAsia" w:ascii="仿宋" w:hAnsi="仿宋" w:eastAsia="仿宋" w:cs="仿宋"/>
          <w:sz w:val="24"/>
        </w:rPr>
      </w:pPr>
      <w:r>
        <w:rPr>
          <w:rFonts w:hint="eastAsia" w:ascii="仿宋" w:hAnsi="仿宋" w:eastAsia="仿宋" w:cs="仿宋"/>
          <w:sz w:val="24"/>
        </w:rPr>
        <w:t>投标响应函…………………………………………………………………页码</w:t>
      </w:r>
    </w:p>
    <w:p>
      <w:pPr>
        <w:pStyle w:val="26"/>
        <w:numPr>
          <w:ilvl w:val="0"/>
          <w:numId w:val="30"/>
        </w:numPr>
        <w:spacing w:line="360" w:lineRule="auto"/>
        <w:rPr>
          <w:rFonts w:hint="eastAsia" w:ascii="仿宋" w:hAnsi="仿宋" w:eastAsia="仿宋" w:cs="仿宋"/>
          <w:sz w:val="24"/>
        </w:rPr>
      </w:pPr>
      <w:r>
        <w:rPr>
          <w:rFonts w:hint="eastAsia" w:ascii="仿宋" w:hAnsi="仿宋" w:eastAsia="仿宋" w:cs="仿宋"/>
          <w:sz w:val="24"/>
        </w:rPr>
        <w:t>投标（开标）一览表………………………………………………………页码</w:t>
      </w:r>
    </w:p>
    <w:p>
      <w:pPr>
        <w:pStyle w:val="26"/>
        <w:numPr>
          <w:ilvl w:val="0"/>
          <w:numId w:val="30"/>
        </w:numPr>
        <w:spacing w:line="360" w:lineRule="auto"/>
        <w:rPr>
          <w:rFonts w:hint="eastAsia" w:ascii="仿宋" w:hAnsi="仿宋" w:eastAsia="仿宋" w:cs="仿宋"/>
          <w:sz w:val="24"/>
        </w:rPr>
      </w:pPr>
      <w:r>
        <w:rPr>
          <w:rFonts w:hint="eastAsia" w:ascii="仿宋" w:hAnsi="仿宋" w:eastAsia="仿宋" w:cs="仿宋"/>
          <w:sz w:val="24"/>
        </w:rPr>
        <w:t>报价明细清单………………………………………………………………页码</w:t>
      </w:r>
    </w:p>
    <w:p>
      <w:pPr>
        <w:pStyle w:val="26"/>
        <w:numPr>
          <w:ilvl w:val="0"/>
          <w:numId w:val="30"/>
        </w:numPr>
        <w:spacing w:line="360" w:lineRule="auto"/>
        <w:rPr>
          <w:rFonts w:hint="eastAsia" w:ascii="仿宋" w:hAnsi="仿宋" w:eastAsia="仿宋" w:cs="仿宋"/>
          <w:sz w:val="24"/>
        </w:rPr>
      </w:pPr>
      <w:r>
        <w:rPr>
          <w:rFonts w:ascii="仿宋" w:hAnsi="仿宋" w:eastAsia="仿宋" w:cs="仿宋_GB2312"/>
          <w:color w:val="auto"/>
          <w:sz w:val="24"/>
          <w:highlight w:val="none"/>
        </w:rPr>
        <w:t>中小企业声明函</w:t>
      </w:r>
      <w:r>
        <w:rPr>
          <w:rFonts w:hint="eastAsia" w:ascii="仿宋" w:hAnsi="仿宋" w:eastAsia="仿宋" w:cs="仿宋"/>
          <w:sz w:val="24"/>
        </w:rPr>
        <w:t>……………………………………………………………页码</w:t>
      </w:r>
    </w:p>
    <w:p>
      <w:pPr>
        <w:pStyle w:val="26"/>
        <w:numPr>
          <w:ilvl w:val="0"/>
          <w:numId w:val="30"/>
        </w:numPr>
        <w:spacing w:line="360" w:lineRule="auto"/>
        <w:rPr>
          <w:rFonts w:hint="eastAsia" w:ascii="仿宋" w:hAnsi="仿宋" w:eastAsia="仿宋" w:cs="仿宋"/>
          <w:sz w:val="24"/>
        </w:rPr>
      </w:pPr>
      <w:r>
        <w:rPr>
          <w:rFonts w:hint="eastAsia" w:ascii="仿宋" w:hAnsi="仿宋" w:eastAsia="仿宋" w:cs="仿宋"/>
          <w:sz w:val="24"/>
        </w:rPr>
        <w:t>投标人认为需要的其他报价文件或说明…………………………………页码</w:t>
      </w:r>
    </w:p>
    <w:p>
      <w:pPr>
        <w:pStyle w:val="26"/>
        <w:spacing w:line="360" w:lineRule="auto"/>
        <w:rPr>
          <w:rFonts w:hint="eastAsia" w:ascii="仿宋" w:hAnsi="仿宋" w:eastAsia="仿宋" w:cs="仿宋"/>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p>
    <w:p>
      <w:pPr>
        <w:jc w:val="center"/>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一、投标响应函</w:t>
      </w:r>
    </w:p>
    <w:p>
      <w:pPr>
        <w:spacing w:line="360" w:lineRule="auto"/>
        <w:rPr>
          <w:rFonts w:hint="eastAsia" w:ascii="仿宋" w:hAnsi="仿宋" w:eastAsia="仿宋" w:cs="仿宋"/>
          <w:b/>
          <w:sz w:val="24"/>
        </w:rPr>
      </w:pPr>
      <w:r>
        <w:rPr>
          <w:rFonts w:hint="eastAsia" w:ascii="仿宋" w:hAnsi="仿宋" w:eastAsia="仿宋" w:cs="仿宋"/>
          <w:b/>
          <w:sz w:val="24"/>
        </w:rPr>
        <w:t>杭州市西湖区排灌设施管理服务站：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（投标人全称）授权</w:t>
      </w:r>
      <w:r>
        <w:rPr>
          <w:rFonts w:hint="eastAsia" w:ascii="仿宋" w:hAnsi="仿宋" w:eastAsia="仿宋" w:cs="仿宋"/>
          <w:sz w:val="24"/>
          <w:u w:val="single"/>
        </w:rPr>
        <w:t xml:space="preserve">     </w:t>
      </w:r>
      <w:r>
        <w:rPr>
          <w:rFonts w:hint="eastAsia" w:ascii="仿宋" w:hAnsi="仿宋" w:eastAsia="仿宋" w:cs="仿宋"/>
          <w:sz w:val="24"/>
        </w:rPr>
        <w:t>（全权代表姓名）</w:t>
      </w:r>
      <w:r>
        <w:rPr>
          <w:rFonts w:hint="eastAsia" w:ascii="仿宋" w:hAnsi="仿宋" w:eastAsia="仿宋" w:cs="仿宋"/>
          <w:sz w:val="24"/>
          <w:u w:val="single"/>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u w:val="single"/>
        </w:rPr>
        <w:t xml:space="preserve">              </w:t>
      </w:r>
      <w:r>
        <w:rPr>
          <w:rFonts w:hint="eastAsia" w:ascii="仿宋" w:hAnsi="仿宋" w:eastAsia="仿宋" w:cs="仿宋"/>
          <w:sz w:val="24"/>
        </w:rPr>
        <w:t>（项目名称）招标编号：（</w:t>
      </w:r>
      <w:r>
        <w:rPr>
          <w:rFonts w:hint="eastAsia" w:ascii="仿宋" w:hAnsi="仿宋" w:eastAsia="仿宋" w:cs="仿宋"/>
          <w:sz w:val="24"/>
          <w:u w:val="single"/>
        </w:rPr>
        <w:t xml:space="preserve">           </w:t>
      </w:r>
      <w:r>
        <w:rPr>
          <w:rFonts w:hint="eastAsia" w:ascii="仿宋" w:hAnsi="仿宋" w:eastAsia="仿宋" w:cs="仿宋"/>
          <w:sz w:val="24"/>
        </w:rPr>
        <w:t>）招标的有关活动，并对此项目进行投标。为此：</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1、我方同意在投标人编制和提交采购响应文件须知规定的开标日期起遵守本投标书中的承诺且在投标有效期满之前均具有约束力。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2、我方承诺已经具备《中华人民共和国政府采购法》中规定的参加政府采购活动的服务商应当具备的条件：</w:t>
      </w:r>
    </w:p>
    <w:p>
      <w:pPr>
        <w:numPr>
          <w:ilvl w:val="0"/>
          <w:numId w:val="31"/>
        </w:numPr>
        <w:spacing w:line="360" w:lineRule="auto"/>
        <w:rPr>
          <w:rFonts w:hint="eastAsia" w:ascii="仿宋" w:hAnsi="仿宋" w:eastAsia="仿宋" w:cs="仿宋"/>
          <w:sz w:val="24"/>
        </w:rPr>
      </w:pPr>
      <w:r>
        <w:rPr>
          <w:rFonts w:hint="eastAsia" w:ascii="仿宋" w:hAnsi="仿宋" w:eastAsia="仿宋" w:cs="仿宋_GB2312"/>
          <w:color w:val="auto"/>
          <w:sz w:val="24"/>
          <w:highlight w:val="none"/>
        </w:rPr>
        <w:t>承诺函</w:t>
      </w:r>
      <w:r>
        <w:rPr>
          <w:rFonts w:hint="eastAsia" w:ascii="仿宋" w:hAnsi="仿宋" w:eastAsia="仿宋" w:cs="仿宋_GB2312"/>
          <w:color w:val="auto"/>
          <w:sz w:val="24"/>
          <w:highlight w:val="none"/>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3、提供编制和提交采购响应文件须知规定的全部投标文件，包括投标文件</w:t>
      </w:r>
      <w:r>
        <w:rPr>
          <w:rFonts w:hint="eastAsia" w:ascii="仿宋" w:hAnsi="仿宋" w:eastAsia="仿宋" w:cs="仿宋"/>
          <w:sz w:val="24"/>
          <w:u w:val="single"/>
        </w:rPr>
        <w:t>电子版1份</w:t>
      </w:r>
      <w:r>
        <w:rPr>
          <w:rFonts w:hint="eastAsia" w:ascii="仿宋" w:hAnsi="仿宋" w:eastAsia="仿宋" w:cs="仿宋"/>
          <w:sz w:val="24"/>
        </w:rPr>
        <w:t>。具体内容为：</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投标（开标）一览表及投标报价明细清单</w:t>
      </w:r>
      <w:r>
        <w:rPr>
          <w:rFonts w:hint="eastAsia" w:ascii="仿宋" w:hAnsi="仿宋" w:eastAsia="仿宋" w:cs="仿宋"/>
          <w:sz w:val="24"/>
          <w:lang w:val="en-US" w:eastAsia="zh-CN"/>
        </w:rPr>
        <w:t>等</w:t>
      </w:r>
      <w:r>
        <w:rPr>
          <w:rFonts w:hint="eastAsia" w:ascii="仿宋" w:hAnsi="仿宋" w:eastAsia="仿宋" w:cs="仿宋"/>
          <w:sz w:val="24"/>
        </w:rPr>
        <w:t>；</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投标技术文件和商务文件；</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编制和提交采购响应文件须知要求投标人提交的全部文件；</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sz w:val="24"/>
          <w:u w:val="single"/>
        </w:rPr>
        <w:t xml:space="preserve">    /    </w:t>
      </w:r>
      <w:r>
        <w:rPr>
          <w:rFonts w:hint="eastAsia" w:ascii="仿宋" w:hAnsi="仿宋" w:eastAsia="仿宋" w:cs="仿宋"/>
          <w:sz w:val="24"/>
        </w:rPr>
        <w:t>银行出具的金额为</w:t>
      </w:r>
      <w:r>
        <w:rPr>
          <w:rFonts w:hint="eastAsia" w:ascii="仿宋" w:hAnsi="仿宋" w:eastAsia="仿宋" w:cs="仿宋"/>
          <w:sz w:val="24"/>
          <w:u w:val="single"/>
        </w:rPr>
        <w:t xml:space="preserve">    /   </w:t>
      </w:r>
      <w:r>
        <w:rPr>
          <w:rFonts w:hint="eastAsia" w:ascii="仿宋" w:hAnsi="仿宋" w:eastAsia="仿宋" w:cs="仿宋"/>
          <w:sz w:val="24"/>
        </w:rPr>
        <w:t>的投标保证金（电汇/网银）；</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按招标文件要求提供和交付的货物和服务的投标报价详见投标（开标）一览表；</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保证忠实地执行双方所签订的合同，并承担合同规定的责任和义务；</w:t>
      </w:r>
    </w:p>
    <w:p>
      <w:pPr>
        <w:numPr>
          <w:ilvl w:val="1"/>
          <w:numId w:val="32"/>
        </w:numPr>
        <w:spacing w:line="360" w:lineRule="auto"/>
        <w:rPr>
          <w:rFonts w:hint="eastAsia" w:ascii="仿宋" w:hAnsi="仿宋" w:eastAsia="仿宋" w:cs="仿宋"/>
          <w:sz w:val="24"/>
        </w:rPr>
      </w:pPr>
      <w:r>
        <w:rPr>
          <w:rFonts w:hint="eastAsia" w:ascii="仿宋" w:hAnsi="仿宋" w:eastAsia="仿宋" w:cs="仿宋"/>
          <w:sz w:val="24"/>
        </w:rPr>
        <w:t>保证遵守招标文件中的其他有关规定。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4、如果在开标后规定的投标有效期内撤回投标，我方的投标保证金可被贵方没收。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5、我方完全理解贵方不一定要接受最低价的投标。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6、我方愿意向贵方提供任何与该项投标有关的数据、情况和技术资料。若贵方需要，我方愿意提供我方作出的一切承诺的证明材料。</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7、我方已详细审核全部招标文件，包括招标文件修改书（如有的话），参考资料及有关附件，确认无误。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我方将严格遵守《中华人民共和国政府采购法》第七十七条规定，服务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left="1470"/>
        <w:rPr>
          <w:rFonts w:hint="eastAsia" w:ascii="仿宋" w:hAnsi="仿宋" w:eastAsia="仿宋" w:cs="仿宋"/>
          <w:sz w:val="24"/>
        </w:rPr>
      </w:pPr>
      <w:r>
        <w:rPr>
          <w:rFonts w:hint="eastAsia" w:ascii="仿宋" w:hAnsi="仿宋" w:eastAsia="仿宋" w:cs="仿宋"/>
          <w:sz w:val="24"/>
        </w:rPr>
        <w:t>a) 提供虚假材料谋取中标、成交的；</w:t>
      </w:r>
    </w:p>
    <w:p>
      <w:pPr>
        <w:spacing w:line="360" w:lineRule="auto"/>
        <w:ind w:left="1470"/>
        <w:rPr>
          <w:rFonts w:hint="eastAsia" w:ascii="仿宋" w:hAnsi="仿宋" w:eastAsia="仿宋" w:cs="仿宋"/>
          <w:sz w:val="24"/>
        </w:rPr>
      </w:pPr>
      <w:r>
        <w:rPr>
          <w:rFonts w:hint="eastAsia" w:ascii="仿宋" w:hAnsi="仿宋" w:eastAsia="仿宋" w:cs="仿宋"/>
          <w:sz w:val="24"/>
        </w:rPr>
        <w:t>b) 采取不正当手段诋毁、排挤其他服务商的；</w:t>
      </w:r>
    </w:p>
    <w:p>
      <w:pPr>
        <w:spacing w:line="360" w:lineRule="auto"/>
        <w:ind w:left="1470"/>
        <w:rPr>
          <w:rFonts w:hint="eastAsia" w:ascii="仿宋" w:hAnsi="仿宋" w:eastAsia="仿宋" w:cs="仿宋"/>
          <w:sz w:val="24"/>
        </w:rPr>
      </w:pPr>
      <w:r>
        <w:rPr>
          <w:rFonts w:hint="eastAsia" w:ascii="仿宋" w:hAnsi="仿宋" w:eastAsia="仿宋" w:cs="仿宋"/>
          <w:sz w:val="24"/>
        </w:rPr>
        <w:t>c) 与采购人、其它服务商或者采购代理机构恶意串通的；</w:t>
      </w:r>
    </w:p>
    <w:p>
      <w:pPr>
        <w:spacing w:line="360" w:lineRule="auto"/>
        <w:ind w:left="1470"/>
        <w:rPr>
          <w:rFonts w:hint="eastAsia" w:ascii="仿宋" w:hAnsi="仿宋" w:eastAsia="仿宋" w:cs="仿宋"/>
          <w:sz w:val="24"/>
        </w:rPr>
      </w:pPr>
      <w:r>
        <w:rPr>
          <w:rFonts w:hint="eastAsia" w:ascii="仿宋" w:hAnsi="仿宋" w:eastAsia="仿宋" w:cs="仿宋"/>
          <w:sz w:val="24"/>
        </w:rPr>
        <w:t>d) 向采购人、采购代理机构行贿或者提供其他不正当利益的；</w:t>
      </w:r>
    </w:p>
    <w:p>
      <w:pPr>
        <w:spacing w:line="360" w:lineRule="auto"/>
        <w:ind w:left="1470"/>
        <w:rPr>
          <w:rFonts w:hint="eastAsia" w:ascii="仿宋" w:hAnsi="仿宋" w:eastAsia="仿宋" w:cs="仿宋"/>
          <w:sz w:val="24"/>
        </w:rPr>
      </w:pPr>
      <w:r>
        <w:rPr>
          <w:rFonts w:hint="eastAsia" w:ascii="仿宋" w:hAnsi="仿宋" w:eastAsia="仿宋" w:cs="仿宋"/>
          <w:sz w:val="24"/>
        </w:rPr>
        <w:t>e) 在招标采购过程中与采购人进行协商谈判的；</w:t>
      </w:r>
    </w:p>
    <w:p>
      <w:pPr>
        <w:spacing w:line="360" w:lineRule="auto"/>
        <w:ind w:left="1050" w:leftChars="500" w:firstLine="480" w:firstLineChars="200"/>
        <w:rPr>
          <w:rFonts w:hint="eastAsia" w:ascii="仿宋" w:hAnsi="仿宋" w:eastAsia="仿宋" w:cs="仿宋"/>
          <w:sz w:val="24"/>
        </w:rPr>
      </w:pPr>
      <w:r>
        <w:rPr>
          <w:rFonts w:hint="eastAsia" w:ascii="仿宋" w:hAnsi="仿宋" w:eastAsia="仿宋" w:cs="仿宋"/>
          <w:sz w:val="24"/>
        </w:rPr>
        <w:t>f) 拒绝有关部门监督检查或提供虚假情况的。</w:t>
      </w:r>
    </w:p>
    <w:p>
      <w:pPr>
        <w:spacing w:line="360" w:lineRule="auto"/>
        <w:ind w:left="840" w:leftChars="400" w:firstLine="600" w:firstLineChars="250"/>
        <w:rPr>
          <w:rFonts w:hint="eastAsia" w:ascii="仿宋" w:hAnsi="仿宋" w:eastAsia="仿宋" w:cs="仿宋"/>
          <w:sz w:val="24"/>
        </w:rPr>
      </w:pPr>
      <w:r>
        <w:rPr>
          <w:rFonts w:hint="eastAsia" w:ascii="仿宋" w:hAnsi="仿宋" w:eastAsia="仿宋" w:cs="仿宋"/>
          <w:sz w:val="24"/>
        </w:rPr>
        <w:t>服务商有前款第a)至e)项情形之一的,中标、成交无效。</w:t>
      </w:r>
    </w:p>
    <w:p>
      <w:pPr>
        <w:spacing w:line="360" w:lineRule="auto"/>
        <w:ind w:left="840" w:leftChars="400" w:firstLine="2760" w:firstLineChars="1150"/>
        <w:rPr>
          <w:rFonts w:hint="eastAsia" w:ascii="仿宋" w:hAnsi="仿宋" w:eastAsia="仿宋" w:cs="仿宋"/>
          <w:sz w:val="24"/>
          <w:u w:val="single"/>
        </w:rPr>
      </w:pPr>
      <w:r>
        <w:rPr>
          <w:rFonts w:hint="eastAsia" w:ascii="仿宋" w:hAnsi="仿宋" w:eastAsia="仿宋" w:cs="仿宋"/>
          <w:sz w:val="24"/>
        </w:rPr>
        <w:t>法人代表签字：</w:t>
      </w:r>
      <w:r>
        <w:rPr>
          <w:rFonts w:hint="eastAsia" w:ascii="仿宋" w:hAnsi="仿宋" w:eastAsia="仿宋" w:cs="仿宋"/>
          <w:sz w:val="24"/>
          <w:u w:val="single"/>
        </w:rPr>
        <w:t xml:space="preserve">                  </w:t>
      </w:r>
    </w:p>
    <w:p>
      <w:pPr>
        <w:spacing w:line="360" w:lineRule="auto"/>
        <w:ind w:left="840" w:leftChars="400" w:firstLine="2760" w:firstLineChars="1150"/>
        <w:rPr>
          <w:rFonts w:hint="eastAsia" w:ascii="仿宋" w:hAnsi="仿宋" w:eastAsia="仿宋" w:cs="仿宋"/>
          <w:sz w:val="24"/>
          <w:u w:val="single"/>
        </w:rPr>
      </w:pPr>
      <w:r>
        <w:rPr>
          <w:rFonts w:hint="eastAsia" w:ascii="仿宋" w:hAnsi="仿宋" w:eastAsia="仿宋" w:cs="仿宋"/>
          <w:sz w:val="24"/>
        </w:rPr>
        <w:t>授权委托人签字：</w:t>
      </w:r>
      <w:r>
        <w:rPr>
          <w:rFonts w:hint="eastAsia" w:ascii="仿宋" w:hAnsi="仿宋" w:eastAsia="仿宋" w:cs="仿宋"/>
          <w:sz w:val="24"/>
          <w:u w:val="single"/>
        </w:rPr>
        <w:t xml:space="preserve">                </w:t>
      </w:r>
    </w:p>
    <w:p>
      <w:pPr>
        <w:spacing w:line="360" w:lineRule="auto"/>
        <w:ind w:left="840" w:leftChars="400" w:firstLine="2760" w:firstLineChars="1150"/>
        <w:rPr>
          <w:rFonts w:hint="eastAsia" w:ascii="仿宋" w:hAnsi="仿宋" w:eastAsia="仿宋" w:cs="仿宋"/>
          <w:sz w:val="24"/>
          <w:u w:val="single"/>
        </w:rPr>
      </w:pPr>
      <w:r>
        <w:rPr>
          <w:rFonts w:hint="eastAsia" w:ascii="仿宋" w:hAnsi="仿宋" w:eastAsia="仿宋" w:cs="仿宋"/>
          <w:sz w:val="24"/>
        </w:rPr>
        <w:t xml:space="preserve">公 司 盖 章：  </w:t>
      </w:r>
      <w:r>
        <w:rPr>
          <w:rFonts w:hint="eastAsia" w:ascii="仿宋" w:hAnsi="仿宋" w:eastAsia="仿宋" w:cs="仿宋"/>
          <w:sz w:val="24"/>
          <w:u w:val="single"/>
        </w:rPr>
        <w:t xml:space="preserve">                 </w:t>
      </w:r>
    </w:p>
    <w:p>
      <w:pPr>
        <w:spacing w:line="360" w:lineRule="auto"/>
        <w:ind w:left="840"/>
        <w:rPr>
          <w:rFonts w:hint="eastAsia" w:ascii="仿宋" w:hAnsi="仿宋" w:eastAsia="仿宋" w:cs="仿宋"/>
          <w:sz w:val="24"/>
        </w:rPr>
      </w:pPr>
      <w:r>
        <w:rPr>
          <w:rFonts w:hint="eastAsia" w:ascii="仿宋" w:hAnsi="仿宋" w:eastAsia="仿宋" w:cs="仿宋"/>
          <w:sz w:val="24"/>
        </w:rPr>
        <w:t xml:space="preserve">联系人： </w:t>
      </w:r>
      <w:r>
        <w:rPr>
          <w:rFonts w:hint="eastAsia" w:ascii="仿宋" w:hAnsi="仿宋" w:eastAsia="仿宋" w:cs="仿宋"/>
          <w:sz w:val="24"/>
          <w:u w:val="single"/>
        </w:rPr>
        <w:t xml:space="preserve">              </w:t>
      </w:r>
      <w:r>
        <w:rPr>
          <w:rFonts w:hint="eastAsia" w:ascii="仿宋" w:hAnsi="仿宋" w:eastAsia="仿宋" w:cs="仿宋"/>
          <w:sz w:val="24"/>
        </w:rPr>
        <w:t xml:space="preserve">联 系 电 话：  </w:t>
      </w:r>
      <w:r>
        <w:rPr>
          <w:rFonts w:hint="eastAsia" w:ascii="仿宋" w:hAnsi="仿宋" w:eastAsia="仿宋" w:cs="仿宋"/>
          <w:sz w:val="24"/>
          <w:u w:val="single"/>
        </w:rPr>
        <w:t xml:space="preserve">                  </w:t>
      </w:r>
    </w:p>
    <w:p>
      <w:pPr>
        <w:spacing w:line="360" w:lineRule="auto"/>
        <w:ind w:left="840"/>
        <w:rPr>
          <w:rFonts w:hint="eastAsia" w:ascii="仿宋" w:hAnsi="仿宋" w:eastAsia="仿宋" w:cs="仿宋"/>
          <w:sz w:val="24"/>
        </w:rPr>
      </w:pPr>
      <w:r>
        <w:rPr>
          <w:rFonts w:hint="eastAsia" w:ascii="仿宋" w:hAnsi="仿宋" w:eastAsia="仿宋" w:cs="仿宋"/>
          <w:sz w:val="24"/>
        </w:rPr>
        <w:t>联系地址：</w:t>
      </w:r>
      <w:r>
        <w:rPr>
          <w:rFonts w:hint="eastAsia" w:ascii="仿宋" w:hAnsi="仿宋" w:eastAsia="仿宋" w:cs="仿宋"/>
          <w:sz w:val="24"/>
          <w:u w:val="single"/>
        </w:rPr>
        <w:t xml:space="preserve">                                              </w:t>
      </w:r>
    </w:p>
    <w:p>
      <w:pPr>
        <w:spacing w:line="360" w:lineRule="auto"/>
        <w:ind w:left="84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r>
        <w:rPr>
          <w:rFonts w:hint="eastAsia" w:ascii="仿宋" w:hAnsi="仿宋" w:eastAsia="仿宋" w:cs="仿宋"/>
          <w:sz w:val="24"/>
        </w:rPr>
        <w:t>传真号码：</w:t>
      </w:r>
      <w:r>
        <w:rPr>
          <w:rFonts w:hint="eastAsia" w:ascii="仿宋" w:hAnsi="仿宋" w:eastAsia="仿宋" w:cs="仿宋"/>
          <w:sz w:val="24"/>
          <w:u w:val="single"/>
        </w:rPr>
        <w:t xml:space="preserve">          </w:t>
      </w:r>
    </w:p>
    <w:p>
      <w:pPr>
        <w:spacing w:line="360" w:lineRule="auto"/>
        <w:ind w:left="840"/>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left="840"/>
        <w:rPr>
          <w:rFonts w:hint="eastAsia" w:ascii="仿宋" w:hAnsi="仿宋" w:eastAsia="仿宋" w:cs="仿宋"/>
          <w:b/>
          <w:sz w:val="24"/>
        </w:rPr>
      </w:pPr>
      <w:r>
        <w:rPr>
          <w:rFonts w:hint="eastAsia" w:ascii="仿宋" w:hAnsi="仿宋" w:eastAsia="仿宋" w:cs="仿宋"/>
          <w:b/>
          <w:sz w:val="24"/>
        </w:rPr>
        <w:t>注：未按照本投标响应函要求填报的将被视为非实质性响应投标，从而可能导致该投标被拒绝</w:t>
      </w:r>
    </w:p>
    <w:p>
      <w:pPr>
        <w:spacing w:line="360" w:lineRule="auto"/>
        <w:rPr>
          <w:rFonts w:hint="eastAsia" w:ascii="仿宋" w:hAnsi="仿宋" w:eastAsia="仿宋" w:cs="仿宋"/>
          <w:b/>
          <w:sz w:val="24"/>
        </w:rPr>
      </w:pPr>
    </w:p>
    <w:p>
      <w:pPr>
        <w:spacing w:line="360" w:lineRule="auto"/>
        <w:rPr>
          <w:rFonts w:hint="eastAsia" w:ascii="仿宋" w:hAnsi="仿宋" w:eastAsia="仿宋" w:cs="仿宋"/>
        </w:rPr>
        <w:sectPr>
          <w:headerReference r:id="rId11" w:type="default"/>
          <w:footerReference r:id="rId12" w:type="default"/>
          <w:footerReference r:id="rId13" w:type="even"/>
          <w:pgSz w:w="11907" w:h="16840"/>
          <w:pgMar w:top="1418" w:right="1418" w:bottom="1247" w:left="1247" w:header="851" w:footer="992" w:gutter="284"/>
          <w:cols w:space="720" w:num="1"/>
          <w:docGrid w:linePitch="312" w:charSpace="0"/>
        </w:sectPr>
      </w:pPr>
    </w:p>
    <w:p>
      <w:pPr>
        <w:jc w:val="center"/>
        <w:rPr>
          <w:rFonts w:hint="eastAsia" w:ascii="仿宋" w:hAnsi="仿宋" w:eastAsia="仿宋" w:cs="仿宋"/>
          <w:b/>
          <w:sz w:val="36"/>
          <w:szCs w:val="36"/>
        </w:rPr>
      </w:pPr>
      <w:r>
        <w:rPr>
          <w:rFonts w:hint="eastAsia" w:ascii="仿宋" w:hAnsi="仿宋" w:eastAsia="仿宋" w:cs="仿宋"/>
          <w:b/>
          <w:sz w:val="36"/>
          <w:szCs w:val="36"/>
        </w:rPr>
        <w:t>二、投标（开标）一览表</w:t>
      </w:r>
    </w:p>
    <w:p>
      <w:pPr>
        <w:spacing w:line="360" w:lineRule="auto"/>
        <w:rPr>
          <w:rFonts w:hint="eastAsia" w:ascii="仿宋" w:hAnsi="仿宋" w:eastAsia="仿宋" w:cs="仿宋"/>
          <w:b/>
          <w:sz w:val="24"/>
        </w:rPr>
      </w:pPr>
      <w:r>
        <w:rPr>
          <w:rFonts w:hint="eastAsia" w:ascii="仿宋" w:hAnsi="仿宋" w:eastAsia="仿宋" w:cs="仿宋"/>
          <w:b/>
          <w:sz w:val="24"/>
        </w:rPr>
        <w:t>杭州市西湖区排灌设施管理服务站：</w:t>
      </w:r>
    </w:p>
    <w:p>
      <w:pPr>
        <w:spacing w:line="360" w:lineRule="auto"/>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 xml:space="preserve">  按你方招标文件要求，我们，本标书签字方，谨此向你方发出要约如下：如你方接受本投标，我方承诺按照如下投标（开标）一览表的价格完成编号为</w:t>
      </w:r>
      <w:r>
        <w:rPr>
          <w:rFonts w:hint="eastAsia" w:ascii="仿宋" w:hAnsi="仿宋" w:eastAsia="仿宋" w:cs="仿宋"/>
          <w:sz w:val="24"/>
          <w:u w:val="single"/>
        </w:rPr>
        <w:t xml:space="preserve">     </w:t>
      </w:r>
      <w:r>
        <w:rPr>
          <w:rFonts w:hint="eastAsia" w:ascii="仿宋" w:hAnsi="仿宋" w:eastAsia="仿宋" w:cs="仿宋"/>
          <w:sz w:val="24"/>
        </w:rPr>
        <w:t>的招标文件[项目名称:</w:t>
      </w:r>
      <w:r>
        <w:rPr>
          <w:rFonts w:hint="eastAsia" w:ascii="仿宋" w:hAnsi="仿宋" w:eastAsia="仿宋" w:cs="仿宋"/>
          <w:sz w:val="24"/>
          <w:u w:val="single"/>
        </w:rPr>
        <w:t xml:space="preserve">                               </w:t>
      </w:r>
      <w:r>
        <w:rPr>
          <w:rFonts w:hint="eastAsia" w:ascii="仿宋" w:hAnsi="仿宋" w:eastAsia="仿宋" w:cs="仿宋"/>
          <w:sz w:val="24"/>
        </w:rPr>
        <w:t>]的实施。</w:t>
      </w:r>
    </w:p>
    <w:p>
      <w:pPr>
        <w:spacing w:line="360" w:lineRule="auto"/>
        <w:rPr>
          <w:rFonts w:hint="eastAsia" w:ascii="仿宋" w:hAnsi="仿宋" w:eastAsia="仿宋" w:cs="仿宋"/>
          <w:b/>
          <w:sz w:val="24"/>
        </w:rPr>
      </w:pPr>
      <w:r>
        <w:rPr>
          <w:rFonts w:hint="eastAsia" w:ascii="仿宋" w:hAnsi="仿宋" w:eastAsia="仿宋" w:cs="仿宋"/>
          <w:b/>
          <w:sz w:val="24"/>
        </w:rPr>
        <w:t>投标(开标)一览表(单位均为人民币元)</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1"/>
        <w:gridCol w:w="3102"/>
        <w:gridCol w:w="3118"/>
        <w:gridCol w:w="1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1" w:hRule="atLeast"/>
          <w:jc w:val="center"/>
        </w:trPr>
        <w:tc>
          <w:tcPr>
            <w:tcW w:w="941"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项目名称</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投标总价</w:t>
            </w:r>
          </w:p>
          <w:p>
            <w:pPr>
              <w:spacing w:line="400" w:lineRule="exact"/>
              <w:jc w:val="center"/>
              <w:rPr>
                <w:rFonts w:hint="eastAsia" w:ascii="仿宋" w:hAnsi="仿宋" w:eastAsia="仿宋" w:cs="仿宋"/>
                <w:szCs w:val="21"/>
              </w:rPr>
            </w:pPr>
            <w:r>
              <w:rPr>
                <w:rFonts w:hint="eastAsia" w:ascii="仿宋" w:hAnsi="仿宋" w:eastAsia="仿宋" w:cs="仿宋"/>
                <w:szCs w:val="21"/>
              </w:rPr>
              <w:t>（元/年）</w:t>
            </w:r>
          </w:p>
        </w:tc>
        <w:tc>
          <w:tcPr>
            <w:tcW w:w="1952" w:type="dxa"/>
            <w:tcBorders>
              <w:top w:val="single" w:color="auto" w:sz="4" w:space="0"/>
              <w:left w:val="single" w:color="auto" w:sz="4" w:space="0"/>
              <w:bottom w:val="single" w:color="auto" w:sz="4" w:space="0"/>
            </w:tcBorders>
            <w:noWrap w:val="0"/>
            <w:vAlign w:val="center"/>
          </w:tcPr>
          <w:p>
            <w:pPr>
              <w:spacing w:line="400" w:lineRule="exact"/>
              <w:ind w:left="-392" w:firstLine="392"/>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647" w:hRule="atLeast"/>
          <w:jc w:val="center"/>
        </w:trPr>
        <w:tc>
          <w:tcPr>
            <w:tcW w:w="941"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31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Cs w:val="21"/>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小写：￥</w:t>
            </w:r>
          </w:p>
          <w:p>
            <w:pPr>
              <w:spacing w:line="400" w:lineRule="exact"/>
              <w:rPr>
                <w:rFonts w:hint="eastAsia" w:ascii="仿宋" w:hAnsi="仿宋" w:eastAsia="仿宋" w:cs="仿宋"/>
                <w:szCs w:val="21"/>
              </w:rPr>
            </w:pPr>
            <w:r>
              <w:rPr>
                <w:rFonts w:hint="eastAsia" w:ascii="仿宋" w:hAnsi="仿宋" w:eastAsia="仿宋" w:cs="仿宋"/>
                <w:szCs w:val="21"/>
              </w:rPr>
              <w:t>大写：人民币元整</w:t>
            </w:r>
          </w:p>
        </w:tc>
        <w:tc>
          <w:tcPr>
            <w:tcW w:w="1952"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仿宋" w:hAnsi="仿宋" w:eastAsia="仿宋" w:cs="仿宋"/>
                <w:szCs w:val="21"/>
              </w:rPr>
            </w:pPr>
          </w:p>
        </w:tc>
      </w:tr>
    </w:tbl>
    <w:p>
      <w:pPr>
        <w:spacing w:line="360" w:lineRule="auto"/>
        <w:rPr>
          <w:rFonts w:hint="eastAsia" w:ascii="仿宋" w:hAnsi="仿宋" w:eastAsia="仿宋" w:cs="仿宋"/>
          <w:b/>
          <w:sz w:val="24"/>
        </w:rPr>
      </w:pPr>
    </w:p>
    <w:p>
      <w:pPr>
        <w:numPr>
          <w:ilvl w:val="0"/>
          <w:numId w:val="33"/>
        </w:numPr>
        <w:spacing w:line="360" w:lineRule="auto"/>
        <w:rPr>
          <w:rFonts w:hint="eastAsia" w:ascii="仿宋" w:hAnsi="仿宋" w:eastAsia="仿宋" w:cs="仿宋"/>
          <w:sz w:val="24"/>
        </w:rPr>
      </w:pPr>
      <w:r>
        <w:rPr>
          <w:rFonts w:hint="eastAsia" w:ascii="仿宋" w:hAnsi="仿宋" w:eastAsia="仿宋" w:cs="仿宋"/>
          <w:sz w:val="24"/>
        </w:rPr>
        <w:t>本应标文件及其所附文件涵盖了我方要约的全部内容。</w:t>
      </w:r>
    </w:p>
    <w:p>
      <w:pPr>
        <w:numPr>
          <w:ilvl w:val="0"/>
          <w:numId w:val="34"/>
        </w:numPr>
        <w:spacing w:line="360" w:lineRule="auto"/>
        <w:rPr>
          <w:rFonts w:hint="eastAsia" w:ascii="仿宋" w:hAnsi="仿宋" w:eastAsia="仿宋" w:cs="仿宋"/>
          <w:sz w:val="24"/>
        </w:rPr>
      </w:pPr>
      <w:r>
        <w:rPr>
          <w:rFonts w:hint="eastAsia" w:ascii="仿宋" w:hAnsi="仿宋" w:eastAsia="仿宋" w:cs="仿宋"/>
          <w:sz w:val="24"/>
        </w:rPr>
        <w:t>我方要约有效期为自应标截止日起90天；</w:t>
      </w:r>
    </w:p>
    <w:p>
      <w:pPr>
        <w:numPr>
          <w:ilvl w:val="0"/>
          <w:numId w:val="34"/>
        </w:numPr>
        <w:spacing w:line="360" w:lineRule="auto"/>
        <w:rPr>
          <w:rFonts w:hint="eastAsia" w:ascii="仿宋" w:hAnsi="仿宋" w:eastAsia="仿宋" w:cs="仿宋"/>
          <w:sz w:val="24"/>
        </w:rPr>
      </w:pPr>
      <w:r>
        <w:rPr>
          <w:rFonts w:hint="eastAsia" w:ascii="仿宋" w:hAnsi="仿宋" w:eastAsia="仿宋" w:cs="仿宋"/>
          <w:sz w:val="24"/>
        </w:rPr>
        <w:t>我方同意标期可作延长；</w:t>
      </w:r>
    </w:p>
    <w:p>
      <w:pPr>
        <w:numPr>
          <w:ilvl w:val="0"/>
          <w:numId w:val="34"/>
        </w:numPr>
        <w:spacing w:line="360" w:lineRule="auto"/>
        <w:rPr>
          <w:rFonts w:hint="eastAsia" w:ascii="仿宋" w:hAnsi="仿宋" w:eastAsia="仿宋" w:cs="仿宋"/>
          <w:sz w:val="24"/>
        </w:rPr>
      </w:pPr>
      <w:r>
        <w:rPr>
          <w:rFonts w:hint="eastAsia" w:ascii="仿宋" w:hAnsi="仿宋" w:eastAsia="仿宋" w:cs="仿宋"/>
          <w:sz w:val="24"/>
        </w:rPr>
        <w:t>在标期内，我方受应标文件之价目表上我方要约金额的约束。</w:t>
      </w:r>
    </w:p>
    <w:p>
      <w:pPr>
        <w:numPr>
          <w:ilvl w:val="0"/>
          <w:numId w:val="33"/>
        </w:numPr>
        <w:spacing w:line="360" w:lineRule="auto"/>
        <w:rPr>
          <w:rFonts w:hint="eastAsia" w:ascii="仿宋" w:hAnsi="仿宋" w:eastAsia="仿宋" w:cs="仿宋"/>
          <w:sz w:val="24"/>
        </w:rPr>
      </w:pPr>
      <w:r>
        <w:rPr>
          <w:rFonts w:hint="eastAsia" w:ascii="仿宋" w:hAnsi="仿宋" w:eastAsia="仿宋" w:cs="仿宋"/>
          <w:sz w:val="24"/>
        </w:rPr>
        <w:t>本应标文件，你方之接受函，包括条款栏，标的规格要求栏和其它有关文件在内的应标文件对我们双方均具约束力。</w:t>
      </w:r>
    </w:p>
    <w:p>
      <w:pPr>
        <w:numPr>
          <w:ilvl w:val="0"/>
          <w:numId w:val="33"/>
        </w:numPr>
        <w:spacing w:line="360" w:lineRule="auto"/>
        <w:rPr>
          <w:rFonts w:hint="eastAsia" w:ascii="仿宋" w:hAnsi="仿宋" w:eastAsia="仿宋" w:cs="仿宋"/>
          <w:sz w:val="24"/>
        </w:rPr>
      </w:pPr>
      <w:r>
        <w:rPr>
          <w:rFonts w:hint="eastAsia" w:ascii="仿宋" w:hAnsi="仿宋" w:eastAsia="仿宋" w:cs="仿宋"/>
          <w:sz w:val="24"/>
        </w:rPr>
        <w:t>根据具体情况而拒绝任一或所有标书完全取决于你方，你方没有义务一定要接受最低报价的标书或某一特定标书，也不需为拒绝某一标书作出任何解释。</w:t>
      </w:r>
    </w:p>
    <w:p>
      <w:pPr>
        <w:numPr>
          <w:ilvl w:val="0"/>
          <w:numId w:val="33"/>
        </w:numPr>
        <w:spacing w:line="360" w:lineRule="auto"/>
        <w:rPr>
          <w:rFonts w:hint="eastAsia" w:ascii="仿宋" w:hAnsi="仿宋" w:eastAsia="仿宋" w:cs="仿宋"/>
          <w:sz w:val="24"/>
        </w:rPr>
      </w:pPr>
      <w:r>
        <w:rPr>
          <w:rFonts w:hint="eastAsia" w:ascii="仿宋" w:hAnsi="仿宋" w:eastAsia="仿宋" w:cs="仿宋"/>
          <w:sz w:val="24"/>
        </w:rPr>
        <w:t>另外，我方承诺还将就你方所要求的进一步信息提供给你方。</w:t>
      </w:r>
    </w:p>
    <w:p>
      <w:pPr>
        <w:numPr>
          <w:ilvl w:val="0"/>
          <w:numId w:val="33"/>
        </w:numPr>
        <w:spacing w:line="360" w:lineRule="auto"/>
        <w:rPr>
          <w:rFonts w:hint="eastAsia" w:ascii="仿宋" w:hAnsi="仿宋" w:eastAsia="仿宋" w:cs="仿宋"/>
          <w:sz w:val="24"/>
        </w:rPr>
      </w:pPr>
      <w:r>
        <w:rPr>
          <w:rFonts w:hint="eastAsia" w:ascii="仿宋" w:hAnsi="仿宋" w:eastAsia="仿宋" w:cs="仿宋"/>
          <w:sz w:val="24"/>
        </w:rPr>
        <w:t>如果我方中标，我方愿意提供如下优惠条件：</w:t>
      </w:r>
    </w:p>
    <w:p>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u w:val="single"/>
        </w:rPr>
        <w:t xml:space="preserve">                                       </w:t>
      </w:r>
    </w:p>
    <w:p>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 xml:space="preserve">                                       </w:t>
      </w:r>
    </w:p>
    <w:p>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u w:val="single"/>
        </w:rPr>
        <w:t xml:space="preserve">                                       </w:t>
      </w:r>
    </w:p>
    <w:p>
      <w:pPr>
        <w:tabs>
          <w:tab w:val="left" w:pos="5055"/>
        </w:tabs>
        <w:spacing w:line="360" w:lineRule="auto"/>
        <w:jc w:val="left"/>
        <w:rPr>
          <w:rFonts w:hint="eastAsia" w:ascii="仿宋" w:hAnsi="仿宋" w:eastAsia="仿宋" w:cs="仿宋"/>
          <w:sz w:val="24"/>
        </w:rPr>
      </w:pPr>
      <w:r>
        <w:rPr>
          <w:rFonts w:hint="eastAsia" w:ascii="仿宋" w:hAnsi="仿宋" w:eastAsia="仿宋" w:cs="仿宋"/>
          <w:sz w:val="24"/>
        </w:rPr>
        <w:t>法人代表签字：</w:t>
      </w:r>
      <w:r>
        <w:rPr>
          <w:rFonts w:hint="eastAsia" w:ascii="仿宋" w:hAnsi="仿宋" w:eastAsia="仿宋" w:cs="仿宋"/>
          <w:sz w:val="24"/>
          <w:u w:val="single"/>
        </w:rPr>
        <w:t xml:space="preserve">            </w:t>
      </w:r>
    </w:p>
    <w:p>
      <w:pPr>
        <w:spacing w:line="360" w:lineRule="auto"/>
        <w:jc w:val="left"/>
        <w:rPr>
          <w:rFonts w:hint="eastAsia" w:ascii="仿宋" w:hAnsi="仿宋" w:eastAsia="仿宋" w:cs="仿宋"/>
          <w:sz w:val="24"/>
          <w:u w:val="single"/>
        </w:rPr>
      </w:pPr>
      <w:r>
        <w:rPr>
          <w:rFonts w:hint="eastAsia" w:ascii="仿宋" w:hAnsi="仿宋" w:eastAsia="仿宋" w:cs="仿宋"/>
          <w:sz w:val="24"/>
        </w:rPr>
        <w:t>授权委托人签字：</w:t>
      </w:r>
      <w:r>
        <w:rPr>
          <w:rFonts w:hint="eastAsia" w:ascii="仿宋" w:hAnsi="仿宋" w:eastAsia="仿宋" w:cs="仿宋"/>
          <w:sz w:val="24"/>
          <w:u w:val="single"/>
        </w:rPr>
        <w:t xml:space="preserve">          </w:t>
      </w:r>
    </w:p>
    <w:p>
      <w:pPr>
        <w:spacing w:line="360" w:lineRule="auto"/>
        <w:jc w:val="left"/>
        <w:rPr>
          <w:rFonts w:hint="eastAsia" w:ascii="仿宋" w:hAnsi="仿宋" w:eastAsia="仿宋" w:cs="仿宋"/>
          <w:sz w:val="24"/>
          <w:u w:val="single"/>
        </w:rPr>
      </w:pPr>
      <w:r>
        <w:rPr>
          <w:rFonts w:hint="eastAsia" w:ascii="仿宋" w:hAnsi="仿宋" w:eastAsia="仿宋" w:cs="仿宋"/>
          <w:sz w:val="24"/>
        </w:rPr>
        <w:t>公 司 盖 章：</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 xml:space="preserve"> 联 系 电 话：</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联系地址：</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r>
        <w:rPr>
          <w:rFonts w:hint="eastAsia" w:ascii="仿宋" w:hAnsi="仿宋" w:eastAsia="仿宋" w:cs="仿宋"/>
          <w:sz w:val="24"/>
        </w:rPr>
        <w:t xml:space="preserve"> 传 真 号 码：</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i/>
          <w:spacing w:val="20"/>
          <w:sz w:val="24"/>
        </w:rPr>
      </w:pPr>
    </w:p>
    <w:p>
      <w:pPr>
        <w:rPr>
          <w:rFonts w:hint="eastAsia" w:ascii="仿宋" w:hAnsi="仿宋" w:eastAsia="仿宋" w:cs="仿宋"/>
          <w:i/>
          <w:spacing w:val="20"/>
          <w:sz w:val="24"/>
        </w:rPr>
      </w:pPr>
      <w:r>
        <w:rPr>
          <w:rFonts w:hint="eastAsia" w:ascii="仿宋" w:hAnsi="仿宋" w:eastAsia="仿宋" w:cs="仿宋"/>
          <w:i/>
          <w:spacing w:val="20"/>
          <w:sz w:val="24"/>
        </w:rPr>
        <w:t>注：1、此表在不改变表式的情况下，可自行制作。</w:t>
      </w:r>
    </w:p>
    <w:p>
      <w:pPr>
        <w:ind w:firstLine="560" w:firstLineChars="200"/>
        <w:rPr>
          <w:rFonts w:hint="eastAsia" w:ascii="仿宋" w:hAnsi="仿宋" w:eastAsia="仿宋" w:cs="仿宋"/>
          <w:i/>
          <w:spacing w:val="20"/>
          <w:sz w:val="24"/>
        </w:rPr>
      </w:pPr>
      <w:r>
        <w:rPr>
          <w:rFonts w:hint="eastAsia" w:ascii="仿宋" w:hAnsi="仿宋" w:eastAsia="仿宋" w:cs="仿宋"/>
          <w:i/>
          <w:spacing w:val="20"/>
          <w:sz w:val="24"/>
        </w:rPr>
        <w:t>2、此表按标项填写，每个标项一张。</w:t>
      </w:r>
    </w:p>
    <w:p>
      <w:pPr>
        <w:rPr>
          <w:rFonts w:hint="eastAsia" w:ascii="仿宋" w:hAnsi="仿宋" w:eastAsia="仿宋" w:cs="仿宋"/>
          <w:b/>
          <w:iCs/>
          <w:spacing w:val="20"/>
          <w:sz w:val="24"/>
        </w:rPr>
      </w:pPr>
    </w:p>
    <w:p>
      <w:pPr>
        <w:rPr>
          <w:rFonts w:hint="eastAsia" w:ascii="仿宋" w:hAnsi="仿宋" w:eastAsia="仿宋" w:cs="仿宋"/>
          <w:b/>
          <w:iCs/>
          <w:spacing w:val="20"/>
          <w:sz w:val="24"/>
        </w:rPr>
      </w:pPr>
      <w:r>
        <w:rPr>
          <w:rFonts w:hint="eastAsia" w:ascii="仿宋" w:hAnsi="仿宋" w:eastAsia="仿宋" w:cs="仿宋"/>
          <w:b/>
          <w:iCs/>
          <w:spacing w:val="20"/>
          <w:sz w:val="24"/>
        </w:rPr>
        <w:t xml:space="preserve"> </w:t>
      </w:r>
    </w:p>
    <w:p>
      <w:pPr>
        <w:spacing w:before="100" w:beforeAutospacing="1" w:after="100" w:afterAutospacing="1" w:line="480" w:lineRule="exact"/>
        <w:ind w:firstLine="246" w:firstLineChars="88"/>
        <w:jc w:val="center"/>
        <w:rPr>
          <w:rFonts w:hint="eastAsia" w:ascii="仿宋" w:hAnsi="仿宋" w:eastAsia="仿宋" w:cs="仿宋"/>
          <w:spacing w:val="20"/>
          <w:sz w:val="24"/>
        </w:rPr>
      </w:pPr>
      <w:r>
        <w:rPr>
          <w:rFonts w:hint="eastAsia" w:ascii="仿宋" w:hAnsi="仿宋" w:eastAsia="仿宋" w:cs="仿宋"/>
          <w:spacing w:val="20"/>
          <w:sz w:val="24"/>
        </w:rPr>
        <w:t xml:space="preserve"> </w:t>
      </w: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246" w:firstLineChars="88"/>
        <w:jc w:val="center"/>
        <w:rPr>
          <w:rFonts w:hint="eastAsia" w:ascii="仿宋" w:hAnsi="仿宋" w:eastAsia="仿宋" w:cs="仿宋"/>
          <w:spacing w:val="20"/>
          <w:sz w:val="24"/>
        </w:rPr>
      </w:pPr>
    </w:p>
    <w:p>
      <w:pPr>
        <w:spacing w:before="100" w:beforeAutospacing="1" w:after="100" w:afterAutospacing="1" w:line="480" w:lineRule="exact"/>
        <w:ind w:firstLine="318" w:firstLineChars="88"/>
        <w:jc w:val="center"/>
        <w:rPr>
          <w:rFonts w:hint="eastAsia" w:ascii="仿宋" w:hAnsi="仿宋" w:eastAsia="仿宋" w:cs="仿宋"/>
          <w:b/>
          <w:kern w:val="0"/>
          <w:sz w:val="36"/>
          <w:szCs w:val="36"/>
        </w:rPr>
      </w:pPr>
      <w:r>
        <w:rPr>
          <w:rFonts w:hint="eastAsia" w:ascii="仿宋" w:hAnsi="仿宋" w:eastAsia="仿宋" w:cs="仿宋"/>
          <w:b/>
          <w:sz w:val="36"/>
          <w:szCs w:val="36"/>
        </w:rPr>
        <w:t>报价总说明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482" w:hRule="atLeast"/>
        </w:trPr>
        <w:tc>
          <w:tcPr>
            <w:tcW w:w="9286" w:type="dxa"/>
            <w:noWrap w:val="0"/>
            <w:vAlign w:val="top"/>
          </w:tcPr>
          <w:p>
            <w:pPr>
              <w:autoSpaceDE w:val="0"/>
              <w:autoSpaceDN w:val="0"/>
              <w:adjustRightInd w:val="0"/>
              <w:spacing w:line="239" w:lineRule="auto"/>
              <w:ind w:firstLine="120" w:firstLineChars="50"/>
              <w:rPr>
                <w:rFonts w:hint="eastAsia" w:ascii="仿宋" w:hAnsi="仿宋" w:eastAsia="仿宋" w:cs="仿宋"/>
                <w:sz w:val="24"/>
              </w:rPr>
            </w:pPr>
            <w:r>
              <w:rPr>
                <w:rFonts w:hint="eastAsia" w:ascii="仿宋" w:hAnsi="仿宋" w:eastAsia="仿宋" w:cs="仿宋"/>
                <w:sz w:val="24"/>
              </w:rPr>
              <w:t>1、投标报价应是采购文件所确定的采购范围内全部工作内容的价格表现，包括所有服务费、备品备件、专用工具、技术资料、耗材、人员工资、车辆、保险、税费等（包含合同中明示或暗示的所有一切风险、责任和义务等所产生的费用）一切费用。</w:t>
            </w:r>
          </w:p>
          <w:p>
            <w:pPr>
              <w:autoSpaceDE w:val="0"/>
              <w:autoSpaceDN w:val="0"/>
              <w:adjustRightInd w:val="0"/>
              <w:spacing w:line="239" w:lineRule="auto"/>
              <w:ind w:firstLine="120" w:firstLineChars="50"/>
              <w:rPr>
                <w:rFonts w:hint="eastAsia" w:ascii="仿宋" w:hAnsi="仿宋" w:eastAsia="仿宋" w:cs="仿宋"/>
                <w:sz w:val="24"/>
              </w:rPr>
            </w:pPr>
            <w:r>
              <w:rPr>
                <w:rFonts w:hint="eastAsia" w:ascii="仿宋" w:hAnsi="仿宋" w:eastAsia="仿宋" w:cs="仿宋"/>
                <w:sz w:val="24"/>
              </w:rPr>
              <w:t>2、本工程不得分包与转包，一经发现立即取消合同承包资格，作违约处理，并承担由此引起的法律责任及一切经济损失。</w:t>
            </w:r>
          </w:p>
          <w:p>
            <w:pPr>
              <w:autoSpaceDE w:val="0"/>
              <w:autoSpaceDN w:val="0"/>
              <w:adjustRightInd w:val="0"/>
              <w:spacing w:line="239" w:lineRule="auto"/>
              <w:ind w:firstLine="120" w:firstLineChars="50"/>
              <w:rPr>
                <w:rFonts w:hint="eastAsia" w:ascii="仿宋" w:hAnsi="仿宋" w:eastAsia="仿宋" w:cs="仿宋"/>
                <w:sz w:val="24"/>
              </w:rPr>
            </w:pPr>
            <w:r>
              <w:rPr>
                <w:rFonts w:hint="eastAsia" w:ascii="仿宋" w:hAnsi="仿宋" w:eastAsia="仿宋" w:cs="仿宋"/>
                <w:sz w:val="24"/>
              </w:rPr>
              <w:t>3、本项目价格设有最高限价，超出最高限价的，按无效标处理。</w:t>
            </w:r>
          </w:p>
          <w:p>
            <w:pPr>
              <w:pStyle w:val="26"/>
              <w:spacing w:before="190" w:after="190" w:line="360" w:lineRule="auto"/>
              <w:rPr>
                <w:rFonts w:hint="eastAsia" w:ascii="仿宋" w:hAnsi="仿宋" w:eastAsia="仿宋" w:cs="仿宋"/>
                <w:b/>
                <w:sz w:val="24"/>
                <w:szCs w:val="24"/>
              </w:rPr>
            </w:pPr>
          </w:p>
        </w:tc>
      </w:tr>
    </w:tbl>
    <w:p>
      <w:pPr>
        <w:spacing w:line="360" w:lineRule="auto"/>
        <w:rPr>
          <w:rFonts w:hint="eastAsia" w:ascii="仿宋" w:hAnsi="仿宋" w:eastAsia="仿宋" w:cs="仿宋"/>
          <w:spacing w:val="20"/>
          <w:sz w:val="24"/>
        </w:rPr>
        <w:sectPr>
          <w:pgSz w:w="11907" w:h="16840"/>
          <w:pgMar w:top="1247" w:right="1418" w:bottom="1247" w:left="1247" w:header="851" w:footer="992" w:gutter="0"/>
          <w:cols w:space="720" w:num="1"/>
          <w:titlePg/>
          <w:docGrid w:linePitch="312" w:charSpace="0"/>
        </w:sectPr>
      </w:pPr>
    </w:p>
    <w:p>
      <w:pPr>
        <w:jc w:val="center"/>
        <w:rPr>
          <w:rFonts w:hint="eastAsia" w:ascii="仿宋" w:hAnsi="仿宋" w:eastAsia="仿宋" w:cs="仿宋"/>
          <w:b/>
          <w:sz w:val="36"/>
          <w:szCs w:val="36"/>
        </w:rPr>
      </w:pPr>
      <w:r>
        <w:rPr>
          <w:rFonts w:hint="eastAsia" w:ascii="仿宋" w:hAnsi="仿宋" w:eastAsia="仿宋" w:cs="仿宋"/>
          <w:b/>
          <w:sz w:val="36"/>
          <w:szCs w:val="36"/>
        </w:rPr>
        <w:t>三、报价明细清单</w:t>
      </w:r>
      <w:r>
        <w:rPr>
          <w:rFonts w:hint="eastAsia" w:ascii="仿宋" w:hAnsi="仿宋" w:eastAsia="仿宋" w:cs="仿宋"/>
          <w:spacing w:val="20"/>
          <w:sz w:val="24"/>
        </w:rPr>
        <w:t xml:space="preserve">       </w:t>
      </w:r>
    </w:p>
    <w:p>
      <w:pPr>
        <w:spacing w:line="360" w:lineRule="auto"/>
        <w:jc w:val="center"/>
        <w:rPr>
          <w:rFonts w:hint="eastAsia" w:ascii="仿宋" w:hAnsi="仿宋" w:eastAsia="仿宋" w:cs="仿宋"/>
          <w:b/>
          <w:sz w:val="24"/>
        </w:rPr>
      </w:pPr>
      <w:r>
        <w:rPr>
          <w:rFonts w:hint="eastAsia" w:ascii="仿宋" w:hAnsi="仿宋" w:eastAsia="仿宋" w:cs="仿宋"/>
          <w:b/>
          <w:sz w:val="24"/>
        </w:rPr>
        <w:t xml:space="preserve">       一、分项报价汇总表     </w:t>
      </w:r>
      <w:r>
        <w:rPr>
          <w:rFonts w:hint="eastAsia" w:ascii="仿宋" w:hAnsi="仿宋" w:eastAsia="仿宋" w:cs="仿宋"/>
          <w:kern w:val="0"/>
          <w:sz w:val="20"/>
          <w:lang w:bidi="ar"/>
        </w:rPr>
        <w:t>单位：元/年</w:t>
      </w:r>
    </w:p>
    <w:p>
      <w:pPr>
        <w:spacing w:line="360" w:lineRule="auto"/>
        <w:jc w:val="left"/>
        <w:rPr>
          <w:rFonts w:hint="eastAsia" w:ascii="仿宋" w:hAnsi="仿宋" w:eastAsia="仿宋" w:cs="仿宋"/>
          <w:szCs w:val="21"/>
        </w:rPr>
      </w:pPr>
      <w:r>
        <w:rPr>
          <w:rFonts w:hint="eastAsia" w:ascii="仿宋" w:hAnsi="仿宋" w:eastAsia="仿宋" w:cs="仿宋"/>
          <w:szCs w:val="21"/>
        </w:rPr>
        <w:t>项目名称:                                                                                                        招标编号:</w:t>
      </w:r>
    </w:p>
    <w:tbl>
      <w:tblPr>
        <w:tblStyle w:val="45"/>
        <w:tblW w:w="12644" w:type="dxa"/>
        <w:tblInd w:w="0" w:type="dxa"/>
        <w:tblLayout w:type="fixed"/>
        <w:tblCellMar>
          <w:top w:w="0" w:type="dxa"/>
          <w:left w:w="0" w:type="dxa"/>
          <w:bottom w:w="0" w:type="dxa"/>
          <w:right w:w="0" w:type="dxa"/>
        </w:tblCellMar>
      </w:tblPr>
      <w:tblGrid>
        <w:gridCol w:w="536"/>
        <w:gridCol w:w="1665"/>
        <w:gridCol w:w="1665"/>
        <w:gridCol w:w="1043"/>
        <w:gridCol w:w="921"/>
        <w:gridCol w:w="1752"/>
        <w:gridCol w:w="1693"/>
        <w:gridCol w:w="3369"/>
      </w:tblGrid>
      <w:tr>
        <w:tblPrEx>
          <w:tblCellMar>
            <w:top w:w="0" w:type="dxa"/>
            <w:left w:w="0" w:type="dxa"/>
            <w:bottom w:w="0" w:type="dxa"/>
            <w:right w:w="0" w:type="dxa"/>
          </w:tblCellMar>
        </w:tblPrEx>
        <w:trPr>
          <w:trHeight w:val="377" w:hRule="atLeast"/>
          <w:tblHeader/>
        </w:trPr>
        <w:tc>
          <w:tcPr>
            <w:tcW w:w="53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序号</w:t>
            </w:r>
          </w:p>
        </w:tc>
        <w:tc>
          <w:tcPr>
            <w:tcW w:w="166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工程名称</w:t>
            </w:r>
          </w:p>
        </w:tc>
        <w:tc>
          <w:tcPr>
            <w:tcW w:w="166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维修养护费用（元）</w:t>
            </w:r>
          </w:p>
        </w:tc>
        <w:tc>
          <w:tcPr>
            <w:tcW w:w="3716" w:type="dxa"/>
            <w:gridSpan w:val="3"/>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运行管理人员费用</w:t>
            </w:r>
          </w:p>
        </w:tc>
        <w:tc>
          <w:tcPr>
            <w:tcW w:w="1693" w:type="dxa"/>
            <w:tcBorders>
              <w:top w:val="single" w:color="000000" w:sz="8" w:space="0"/>
              <w:left w:val="nil"/>
              <w:bottom w:val="nil"/>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合计</w:t>
            </w:r>
          </w:p>
        </w:tc>
        <w:tc>
          <w:tcPr>
            <w:tcW w:w="3369"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备注</w:t>
            </w:r>
          </w:p>
        </w:tc>
      </w:tr>
      <w:tr>
        <w:tblPrEx>
          <w:tblCellMar>
            <w:top w:w="0" w:type="dxa"/>
            <w:left w:w="0" w:type="dxa"/>
            <w:bottom w:w="0" w:type="dxa"/>
            <w:right w:w="0" w:type="dxa"/>
          </w:tblCellMar>
        </w:tblPrEx>
        <w:trPr>
          <w:trHeight w:val="981" w:hRule="atLeast"/>
          <w:tblHeader/>
        </w:trPr>
        <w:tc>
          <w:tcPr>
            <w:tcW w:w="53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 w:val="20"/>
                <w:szCs w:val="20"/>
              </w:rPr>
            </w:pPr>
          </w:p>
        </w:tc>
        <w:tc>
          <w:tcPr>
            <w:tcW w:w="166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 w:val="20"/>
                <w:szCs w:val="20"/>
              </w:rPr>
            </w:pPr>
          </w:p>
        </w:tc>
        <w:tc>
          <w:tcPr>
            <w:tcW w:w="166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 w:val="20"/>
                <w:szCs w:val="20"/>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运行管理人员（人）</w:t>
            </w:r>
          </w:p>
        </w:tc>
        <w:tc>
          <w:tcPr>
            <w:tcW w:w="92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人年均费用（元）</w:t>
            </w:r>
          </w:p>
        </w:tc>
        <w:tc>
          <w:tcPr>
            <w:tcW w:w="17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小计（元）</w:t>
            </w: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lang w:bidi="ar"/>
              </w:rPr>
              <w:t>（元）</w:t>
            </w:r>
          </w:p>
        </w:tc>
        <w:tc>
          <w:tcPr>
            <w:tcW w:w="3369"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 w:val="20"/>
                <w:szCs w:val="20"/>
              </w:rPr>
            </w:pP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九溪水闸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2</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大刀沙排涝站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汛期及雨天不少于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赤通浦排涝站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24小时值班不得少于3人。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四五排灌</w:t>
            </w:r>
            <w:r>
              <w:rPr>
                <w:rStyle w:val="91"/>
                <w:rFonts w:hint="default" w:ascii="仿宋" w:hAnsi="仿宋" w:eastAsia="仿宋" w:cs="仿宋"/>
                <w:color w:val="auto"/>
                <w:lang w:bidi="ar"/>
              </w:rPr>
              <w:t>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24小时值班不得少于3人。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白茅湖排灌</w:t>
            </w:r>
            <w:r>
              <w:rPr>
                <w:rStyle w:val="91"/>
                <w:rFonts w:hint="default" w:ascii="仿宋" w:hAnsi="仿宋" w:eastAsia="仿宋" w:cs="仿宋"/>
                <w:color w:val="auto"/>
                <w:lang w:bidi="ar"/>
              </w:rPr>
              <w:t>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24小时值班不得少于3人。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6</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四号浦排灌</w:t>
            </w:r>
            <w:r>
              <w:rPr>
                <w:rStyle w:val="91"/>
                <w:rFonts w:hint="default" w:ascii="仿宋" w:hAnsi="仿宋" w:eastAsia="仿宋" w:cs="仿宋"/>
                <w:color w:val="auto"/>
                <w:lang w:bidi="ar"/>
              </w:rPr>
              <w:t>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2</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69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color w:val="0000FF"/>
                <w:szCs w:val="21"/>
              </w:rPr>
              <w:t>7</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三阳排灌站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2</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377"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8</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社井泵站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24小时值班不得少于4人。</w:t>
            </w:r>
          </w:p>
        </w:tc>
      </w:tr>
      <w:tr>
        <w:tblPrEx>
          <w:tblCellMar>
            <w:top w:w="0" w:type="dxa"/>
            <w:left w:w="0" w:type="dxa"/>
            <w:bottom w:w="0" w:type="dxa"/>
            <w:right w:w="0" w:type="dxa"/>
          </w:tblCellMar>
        </w:tblPrEx>
        <w:trPr>
          <w:trHeight w:val="69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社井水闸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24小时值班不得少于1人。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村口闸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11</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龙心闸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1</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12</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珊瑚沙河闸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1</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13</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二轻浦配水机埠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14</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四号浦节制闸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15</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三号浦节制闸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16</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潘家浦机埠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17</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周家埭浦机埠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18</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金马龙潭闸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19</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新渡浦闸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20</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青字号浦机埠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21</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仓库浦东机埠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22</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仓库浦西机埠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23</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袁家浦机埠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24</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老盘头机埠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25</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俞家盘头机埠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26</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吴家盘头机埠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27</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老坎盘头机埠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28</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静寺浦机埠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29</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龙池盘头机埠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30</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新浦沿盘头机埠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31</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十里横浦机埠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32</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张家埭机埠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33</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金家弄机埠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34</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七号桥边机埠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35</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小江排涝站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36</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六号浦小闸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37</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新沙排涝站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38</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新沙小闸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39</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新渡埠排涝站</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40</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小沟排涝机埠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41</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小沟配水泵站和老塘水闸</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5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42</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 w:val="22"/>
                <w:szCs w:val="22"/>
                <w:lang w:bidi="ar"/>
              </w:rPr>
              <w:t>新盘头机埠</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 w:val="20"/>
                <w:szCs w:val="20"/>
                <w:lang w:bidi="ar"/>
              </w:rPr>
            </w:pPr>
            <w:r>
              <w:rPr>
                <w:rStyle w:val="91"/>
                <w:rFonts w:hint="default" w:ascii="仿宋" w:hAnsi="仿宋" w:eastAsia="仿宋" w:cs="仿宋"/>
                <w:color w:val="auto"/>
                <w:lang w:bidi="ar"/>
              </w:rPr>
              <w:t>运行时不少于</w:t>
            </w:r>
            <w:r>
              <w:rPr>
                <w:rStyle w:val="113"/>
                <w:rFonts w:hint="eastAsia" w:ascii="仿宋" w:hAnsi="仿宋" w:eastAsia="仿宋" w:cs="仿宋"/>
                <w:color w:val="auto"/>
                <w:lang w:bidi="ar"/>
              </w:rPr>
              <w:t>1</w:t>
            </w:r>
            <w:r>
              <w:rPr>
                <w:rStyle w:val="91"/>
                <w:rFonts w:hint="default" w:ascii="仿宋" w:hAnsi="仿宋" w:eastAsia="仿宋" w:cs="仿宋"/>
                <w:color w:val="auto"/>
                <w:lang w:bidi="ar"/>
              </w:rPr>
              <w:t>人。</w:t>
            </w:r>
          </w:p>
        </w:tc>
      </w:tr>
      <w:tr>
        <w:tblPrEx>
          <w:tblCellMar>
            <w:top w:w="0" w:type="dxa"/>
            <w:left w:w="0" w:type="dxa"/>
            <w:bottom w:w="0" w:type="dxa"/>
            <w:right w:w="0" w:type="dxa"/>
          </w:tblCellMar>
        </w:tblPrEx>
        <w:trPr>
          <w:trHeight w:val="870"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43</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应急排水泵车</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每月试车一次，综合考虑日常保养、年检费等费用。</w:t>
            </w:r>
          </w:p>
        </w:tc>
      </w:tr>
      <w:tr>
        <w:tblPrEx>
          <w:tblCellMar>
            <w:top w:w="0" w:type="dxa"/>
            <w:left w:w="0" w:type="dxa"/>
            <w:bottom w:w="0" w:type="dxa"/>
            <w:right w:w="0" w:type="dxa"/>
          </w:tblCellMar>
        </w:tblPrEx>
        <w:trPr>
          <w:trHeight w:val="69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44</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防汛物资管理人员</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24小时值班不得少于</w:t>
            </w:r>
            <w:r>
              <w:rPr>
                <w:rStyle w:val="76"/>
                <w:rFonts w:hint="eastAsia" w:ascii="仿宋" w:hAnsi="仿宋" w:eastAsia="仿宋" w:cs="仿宋"/>
                <w:color w:val="auto"/>
                <w:lang w:bidi="ar"/>
              </w:rPr>
              <w:t>1</w:t>
            </w:r>
            <w:r>
              <w:rPr>
                <w:rFonts w:hint="eastAsia" w:ascii="仿宋" w:hAnsi="仿宋" w:eastAsia="仿宋" w:cs="仿宋"/>
                <w:kern w:val="0"/>
                <w:sz w:val="20"/>
                <w:szCs w:val="20"/>
                <w:lang w:bidi="ar"/>
              </w:rPr>
              <w:t>人。</w:t>
            </w:r>
          </w:p>
        </w:tc>
      </w:tr>
      <w:tr>
        <w:tblPrEx>
          <w:tblCellMar>
            <w:top w:w="0" w:type="dxa"/>
            <w:left w:w="0" w:type="dxa"/>
            <w:bottom w:w="0" w:type="dxa"/>
            <w:right w:w="0" w:type="dxa"/>
          </w:tblCellMar>
        </w:tblPrEx>
        <w:trPr>
          <w:trHeight w:val="102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45</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Cs w:val="21"/>
              </w:rPr>
            </w:pPr>
            <w:r>
              <w:rPr>
                <w:rFonts w:hint="eastAsia" w:ascii="仿宋" w:hAnsi="仿宋" w:eastAsia="仿宋" w:cs="仿宋"/>
                <w:kern w:val="0"/>
                <w:szCs w:val="21"/>
                <w:lang w:bidi="ar"/>
              </w:rPr>
              <w:t>河道巡查及应急排水车驾驶人员</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sz w:val="20"/>
                <w:szCs w:val="20"/>
              </w:rPr>
            </w:pPr>
            <w:r>
              <w:rPr>
                <w:rFonts w:hint="eastAsia" w:ascii="仿宋" w:hAnsi="仿宋" w:eastAsia="仿宋" w:cs="仿宋"/>
                <w:kern w:val="0"/>
                <w:sz w:val="20"/>
                <w:szCs w:val="20"/>
                <w:lang w:bidi="ar"/>
              </w:rPr>
              <w:t>每天主干河道及风险点必须巡查到位，需持有</w:t>
            </w:r>
            <w:r>
              <w:rPr>
                <w:rStyle w:val="76"/>
                <w:rFonts w:hint="eastAsia" w:ascii="仿宋" w:hAnsi="仿宋" w:eastAsia="仿宋" w:cs="仿宋"/>
                <w:color w:val="auto"/>
                <w:lang w:bidi="ar"/>
              </w:rPr>
              <w:t>B1</w:t>
            </w:r>
            <w:r>
              <w:rPr>
                <w:rFonts w:hint="eastAsia" w:ascii="仿宋" w:hAnsi="仿宋" w:eastAsia="仿宋" w:cs="仿宋"/>
                <w:kern w:val="0"/>
                <w:sz w:val="20"/>
                <w:szCs w:val="20"/>
                <w:lang w:bidi="ar"/>
              </w:rPr>
              <w:t>及以上驾驶证人员不少于</w:t>
            </w:r>
            <w:r>
              <w:rPr>
                <w:rStyle w:val="76"/>
                <w:rFonts w:hint="eastAsia" w:ascii="仿宋" w:hAnsi="仿宋" w:eastAsia="仿宋" w:cs="仿宋"/>
                <w:color w:val="auto"/>
                <w:lang w:bidi="ar"/>
              </w:rPr>
              <w:t>1</w:t>
            </w:r>
            <w:r>
              <w:rPr>
                <w:rFonts w:hint="eastAsia" w:ascii="仿宋" w:hAnsi="仿宋" w:eastAsia="仿宋" w:cs="仿宋"/>
                <w:kern w:val="0"/>
                <w:sz w:val="20"/>
                <w:szCs w:val="20"/>
                <w:lang w:bidi="ar"/>
              </w:rPr>
              <w:t>名。</w:t>
            </w:r>
          </w:p>
        </w:tc>
      </w:tr>
      <w:tr>
        <w:tblPrEx>
          <w:tblCellMar>
            <w:top w:w="0" w:type="dxa"/>
            <w:left w:w="0" w:type="dxa"/>
            <w:bottom w:w="0" w:type="dxa"/>
            <w:right w:w="0" w:type="dxa"/>
          </w:tblCellMar>
        </w:tblPrEx>
        <w:trPr>
          <w:trHeight w:val="42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46</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利润</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 w:hAnsi="仿宋" w:eastAsia="仿宋" w:cs="仿宋"/>
                <w:sz w:val="20"/>
                <w:szCs w:val="20"/>
              </w:rPr>
            </w:pPr>
          </w:p>
        </w:tc>
      </w:tr>
      <w:tr>
        <w:tblPrEx>
          <w:tblCellMar>
            <w:top w:w="0" w:type="dxa"/>
            <w:left w:w="0" w:type="dxa"/>
            <w:bottom w:w="0" w:type="dxa"/>
            <w:right w:w="0" w:type="dxa"/>
          </w:tblCellMar>
        </w:tblPrEx>
        <w:trPr>
          <w:trHeight w:val="478" w:hRule="atLeast"/>
        </w:trPr>
        <w:tc>
          <w:tcPr>
            <w:tcW w:w="53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47</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税金</w:t>
            </w:r>
          </w:p>
        </w:tc>
        <w:tc>
          <w:tcPr>
            <w:tcW w:w="16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szCs w:val="21"/>
              </w:rPr>
            </w:pPr>
          </w:p>
        </w:tc>
        <w:tc>
          <w:tcPr>
            <w:tcW w:w="1043"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p>
        </w:tc>
        <w:tc>
          <w:tcPr>
            <w:tcW w:w="921"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752"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 w:hAnsi="仿宋" w:eastAsia="仿宋" w:cs="仿宋"/>
                <w:sz w:val="20"/>
                <w:szCs w:val="20"/>
              </w:rPr>
            </w:pPr>
          </w:p>
        </w:tc>
      </w:tr>
      <w:tr>
        <w:tblPrEx>
          <w:tblCellMar>
            <w:top w:w="0" w:type="dxa"/>
            <w:left w:w="0" w:type="dxa"/>
            <w:bottom w:w="0" w:type="dxa"/>
            <w:right w:w="0" w:type="dxa"/>
          </w:tblCellMar>
        </w:tblPrEx>
        <w:trPr>
          <w:trHeight w:val="478" w:hRule="atLeast"/>
        </w:trPr>
        <w:tc>
          <w:tcPr>
            <w:tcW w:w="7582"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szCs w:val="21"/>
              </w:rPr>
            </w:pPr>
            <w:r>
              <w:rPr>
                <w:rFonts w:hint="eastAsia" w:ascii="仿宋" w:hAnsi="仿宋" w:eastAsia="仿宋" w:cs="仿宋"/>
                <w:kern w:val="0"/>
                <w:szCs w:val="21"/>
                <w:lang w:bidi="ar"/>
              </w:rPr>
              <w:t>合计（元）</w:t>
            </w:r>
          </w:p>
        </w:tc>
        <w:tc>
          <w:tcPr>
            <w:tcW w:w="1693" w:type="dxa"/>
            <w:tcBorders>
              <w:top w:val="nil"/>
              <w:left w:val="nil"/>
              <w:bottom w:val="single" w:color="000000" w:sz="8" w:space="0"/>
              <w:right w:val="single" w:color="000000" w:sz="8" w:space="0"/>
            </w:tcBorders>
            <w:noWrap w:val="0"/>
            <w:tcMar>
              <w:top w:w="15" w:type="dxa"/>
              <w:left w:w="15" w:type="dxa"/>
              <w:right w:w="15" w:type="dxa"/>
            </w:tcMar>
            <w:vAlign w:val="center"/>
          </w:tcPr>
          <w:p>
            <w:pPr>
              <w:rPr>
                <w:rFonts w:hint="eastAsia" w:ascii="仿宋" w:hAnsi="仿宋" w:eastAsia="仿宋" w:cs="仿宋"/>
                <w:szCs w:val="21"/>
              </w:rPr>
            </w:pPr>
          </w:p>
        </w:tc>
        <w:tc>
          <w:tcPr>
            <w:tcW w:w="3369"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 w:hAnsi="仿宋" w:eastAsia="仿宋" w:cs="仿宋"/>
                <w:sz w:val="20"/>
                <w:szCs w:val="20"/>
              </w:rPr>
            </w:pPr>
            <w:r>
              <w:rPr>
                <w:rFonts w:hint="eastAsia" w:ascii="仿宋" w:hAnsi="仿宋" w:eastAsia="仿宋" w:cs="仿宋"/>
                <w:kern w:val="0"/>
                <w:szCs w:val="21"/>
                <w:lang w:bidi="ar"/>
              </w:rPr>
              <w:t>一年费用</w:t>
            </w:r>
          </w:p>
        </w:tc>
      </w:tr>
    </w:tbl>
    <w:p>
      <w:pPr>
        <w:pStyle w:val="3"/>
        <w:ind w:left="0" w:leftChars="0" w:firstLine="0" w:firstLineChars="0"/>
        <w:rPr>
          <w:rFonts w:hint="eastAsia" w:ascii="仿宋" w:hAnsi="仿宋" w:eastAsia="仿宋" w:cs="仿宋"/>
        </w:rPr>
      </w:pPr>
    </w:p>
    <w:p>
      <w:pPr>
        <w:spacing w:line="360" w:lineRule="auto"/>
        <w:ind w:right="560"/>
        <w:jc w:val="left"/>
        <w:rPr>
          <w:rFonts w:hint="eastAsia" w:ascii="仿宋" w:hAnsi="仿宋" w:eastAsia="仿宋" w:cs="仿宋"/>
          <w:spacing w:val="20"/>
          <w:sz w:val="24"/>
        </w:rPr>
      </w:pPr>
      <w:r>
        <w:rPr>
          <w:rFonts w:hint="eastAsia" w:ascii="仿宋" w:hAnsi="仿宋" w:eastAsia="仿宋" w:cs="仿宋"/>
          <w:spacing w:val="20"/>
          <w:sz w:val="24"/>
        </w:rPr>
        <w:t>备注：</w:t>
      </w:r>
      <w:r>
        <w:rPr>
          <w:rFonts w:hint="eastAsia" w:ascii="仿宋" w:hAnsi="仿宋" w:eastAsia="仿宋" w:cs="仿宋"/>
          <w:sz w:val="24"/>
          <w:lang w:val="zh-CN"/>
        </w:rPr>
        <w:t>投标总报价及各个分项报价必须在合理范围内进行报价，每个站点不得有重大错漏报价或者重大偏差报价</w:t>
      </w:r>
      <w:r>
        <w:rPr>
          <w:rFonts w:hint="eastAsia" w:ascii="仿宋" w:hAnsi="仿宋" w:eastAsia="仿宋" w:cs="仿宋"/>
          <w:sz w:val="24"/>
        </w:rPr>
        <w:t>。</w:t>
      </w:r>
    </w:p>
    <w:p>
      <w:pPr>
        <w:spacing w:line="360" w:lineRule="auto"/>
        <w:ind w:right="560" w:firstLine="5258" w:firstLineChars="1878"/>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ind w:firstLine="5258" w:firstLineChars="1878"/>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ind w:right="560" w:firstLine="5258" w:firstLineChars="1878"/>
        <w:rPr>
          <w:rFonts w:hint="eastAsia" w:ascii="仿宋" w:hAnsi="仿宋" w:eastAsia="仿宋" w:cs="仿宋"/>
          <w:b/>
          <w:iCs/>
          <w:spacing w:val="20"/>
          <w:sz w:val="24"/>
        </w:rPr>
      </w:pPr>
      <w:r>
        <w:rPr>
          <w:rFonts w:hint="eastAsia" w:ascii="仿宋" w:hAnsi="仿宋" w:eastAsia="仿宋" w:cs="仿宋"/>
          <w:spacing w:val="20"/>
          <w:sz w:val="24"/>
        </w:rPr>
        <w:t>日   期：   年   月   日</w:t>
      </w:r>
    </w:p>
    <w:p>
      <w:pPr>
        <w:rPr>
          <w:rFonts w:hint="eastAsia" w:ascii="仿宋" w:hAnsi="仿宋" w:eastAsia="仿宋" w:cs="仿宋"/>
          <w:b/>
          <w:iCs/>
          <w:spacing w:val="20"/>
          <w:sz w:val="24"/>
        </w:rPr>
        <w:sectPr>
          <w:pgSz w:w="16838" w:h="11906" w:orient="landscape"/>
          <w:pgMar w:top="1800" w:right="1440" w:bottom="1800" w:left="1440" w:header="851" w:footer="992" w:gutter="0"/>
          <w:cols w:space="720" w:num="1"/>
          <w:docGrid w:type="lines" w:linePitch="312" w:charSpace="0"/>
        </w:sectPr>
      </w:pPr>
    </w:p>
    <w:p>
      <w:pPr>
        <w:snapToGrid w:val="0"/>
        <w:spacing w:line="360" w:lineRule="auto"/>
        <w:jc w:val="center"/>
        <w:outlineLvl w:val="1"/>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en-US" w:eastAsia="zh-CN"/>
        </w:rPr>
        <w:t>三</w:t>
      </w:r>
      <w:r>
        <w:rPr>
          <w:rFonts w:hint="eastAsia" w:ascii="仿宋" w:hAnsi="仿宋" w:eastAsia="仿宋" w:cs="仿宋_GB2312"/>
          <w:b/>
          <w:color w:val="auto"/>
          <w:kern w:val="0"/>
          <w:sz w:val="32"/>
          <w:szCs w:val="32"/>
          <w:highlight w:val="none"/>
        </w:rPr>
        <w:t>、中小企业声明函</w:t>
      </w:r>
    </w:p>
    <w:p>
      <w:pPr>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color w:val="auto"/>
          <w:sz w:val="24"/>
          <w:highlight w:val="none"/>
          <w:lang w:val="en-US" w:eastAsia="zh-CN"/>
        </w:rPr>
        <w:t>1</w:t>
      </w:r>
      <w:r>
        <w:rPr>
          <w:rFonts w:ascii="仿宋" w:hAnsi="仿宋" w:eastAsia="仿宋" w:cs="仿宋_GB2312"/>
          <w:b/>
          <w:color w:val="auto"/>
          <w:sz w:val="24"/>
          <w:highlight w:val="none"/>
        </w:rPr>
        <w:t>）。</w:t>
      </w: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ascii="仿宋" w:hAnsi="仿宋" w:eastAsia="仿宋" w:cs="仿宋_GB2312"/>
          <w:b/>
          <w:color w:val="auto"/>
          <w:sz w:val="24"/>
          <w:highlight w:val="none"/>
        </w:rPr>
      </w:pPr>
    </w:p>
    <w:p>
      <w:pPr>
        <w:jc w:val="center"/>
        <w:rPr>
          <w:rFonts w:hint="eastAsia" w:ascii="仿宋" w:hAnsi="仿宋" w:eastAsia="仿宋" w:cs="仿宋"/>
          <w:sz w:val="72"/>
        </w:rPr>
      </w:pPr>
      <w:r>
        <w:rPr>
          <w:rFonts w:hint="eastAsia" w:ascii="仿宋" w:hAnsi="仿宋" w:eastAsia="仿宋" w:cs="仿宋"/>
          <w:sz w:val="72"/>
        </w:rPr>
        <w:t>(项目名称)项目</w:t>
      </w:r>
    </w:p>
    <w:p>
      <w:pPr>
        <w:jc w:val="center"/>
        <w:rPr>
          <w:rFonts w:hint="eastAsia" w:ascii="仿宋" w:hAnsi="仿宋" w:eastAsia="仿宋" w:cs="仿宋"/>
          <w:sz w:val="44"/>
        </w:rPr>
      </w:pPr>
    </w:p>
    <w:p>
      <w:pPr>
        <w:jc w:val="center"/>
        <w:rPr>
          <w:rFonts w:hint="eastAsia" w:ascii="仿宋" w:hAnsi="仿宋" w:eastAsia="仿宋" w:cs="仿宋"/>
          <w:sz w:val="44"/>
        </w:rPr>
      </w:pPr>
      <w:r>
        <w:rPr>
          <w:rFonts w:hint="eastAsia" w:ascii="仿宋" w:hAnsi="仿宋" w:eastAsia="仿宋" w:cs="仿宋"/>
          <w:sz w:val="44"/>
        </w:rPr>
        <w:t>招标编号：</w:t>
      </w:r>
    </w:p>
    <w:p>
      <w:pPr>
        <w:jc w:val="center"/>
        <w:rPr>
          <w:rFonts w:hint="eastAsia" w:ascii="仿宋" w:hAnsi="仿宋" w:eastAsia="仿宋" w:cs="仿宋"/>
          <w:sz w:val="44"/>
        </w:rPr>
      </w:pPr>
    </w:p>
    <w:p>
      <w:pPr>
        <w:jc w:val="center"/>
        <w:rPr>
          <w:rFonts w:hint="eastAsia" w:ascii="仿宋" w:hAnsi="仿宋" w:eastAsia="仿宋" w:cs="仿宋"/>
          <w:sz w:val="72"/>
        </w:rPr>
      </w:pPr>
      <w:r>
        <w:rPr>
          <w:rFonts w:hint="eastAsia" w:ascii="仿宋" w:hAnsi="仿宋" w:eastAsia="仿宋" w:cs="仿宋"/>
          <w:sz w:val="72"/>
        </w:rPr>
        <w:t>商</w:t>
      </w:r>
    </w:p>
    <w:p>
      <w:pPr>
        <w:jc w:val="center"/>
        <w:rPr>
          <w:rFonts w:hint="eastAsia" w:ascii="仿宋" w:hAnsi="仿宋" w:eastAsia="仿宋" w:cs="仿宋"/>
          <w:sz w:val="72"/>
        </w:rPr>
      </w:pPr>
      <w:r>
        <w:rPr>
          <w:rFonts w:hint="eastAsia" w:ascii="仿宋" w:hAnsi="仿宋" w:eastAsia="仿宋" w:cs="仿宋"/>
          <w:sz w:val="72"/>
        </w:rPr>
        <w:t>务</w:t>
      </w:r>
    </w:p>
    <w:p>
      <w:pPr>
        <w:jc w:val="center"/>
        <w:rPr>
          <w:rFonts w:hint="eastAsia" w:ascii="仿宋" w:hAnsi="仿宋" w:eastAsia="仿宋" w:cs="仿宋"/>
          <w:sz w:val="72"/>
        </w:rPr>
      </w:pPr>
      <w:r>
        <w:rPr>
          <w:rFonts w:hint="eastAsia" w:ascii="仿宋" w:hAnsi="仿宋" w:eastAsia="仿宋" w:cs="仿宋"/>
          <w:sz w:val="72"/>
        </w:rPr>
        <w:t>技</w:t>
      </w:r>
    </w:p>
    <w:p>
      <w:pPr>
        <w:jc w:val="center"/>
        <w:rPr>
          <w:rFonts w:hint="eastAsia" w:ascii="仿宋" w:hAnsi="仿宋" w:eastAsia="仿宋" w:cs="仿宋"/>
          <w:sz w:val="72"/>
        </w:rPr>
      </w:pPr>
      <w:r>
        <w:rPr>
          <w:rFonts w:hint="eastAsia" w:ascii="仿宋" w:hAnsi="仿宋" w:eastAsia="仿宋" w:cs="仿宋"/>
          <w:sz w:val="72"/>
        </w:rPr>
        <w:t>术</w:t>
      </w:r>
    </w:p>
    <w:p>
      <w:pPr>
        <w:jc w:val="center"/>
        <w:rPr>
          <w:rFonts w:hint="eastAsia" w:ascii="仿宋" w:hAnsi="仿宋" w:eastAsia="仿宋" w:cs="仿宋"/>
          <w:sz w:val="72"/>
        </w:rPr>
      </w:pPr>
      <w:r>
        <w:rPr>
          <w:rFonts w:hint="eastAsia" w:ascii="仿宋" w:hAnsi="仿宋" w:eastAsia="仿宋" w:cs="仿宋"/>
          <w:sz w:val="72"/>
        </w:rPr>
        <w:t>文</w:t>
      </w:r>
    </w:p>
    <w:p>
      <w:pPr>
        <w:jc w:val="center"/>
        <w:rPr>
          <w:rFonts w:hint="eastAsia" w:ascii="仿宋" w:hAnsi="仿宋" w:eastAsia="仿宋" w:cs="仿宋"/>
          <w:sz w:val="72"/>
        </w:rPr>
      </w:pPr>
      <w:r>
        <w:rPr>
          <w:rFonts w:hint="eastAsia" w:ascii="仿宋" w:hAnsi="仿宋" w:eastAsia="仿宋" w:cs="仿宋"/>
          <w:sz w:val="72"/>
        </w:rPr>
        <w:t>件</w:t>
      </w:r>
    </w:p>
    <w:p>
      <w:pPr>
        <w:jc w:val="center"/>
        <w:rPr>
          <w:rFonts w:hint="eastAsia" w:ascii="仿宋" w:hAnsi="仿宋" w:eastAsia="仿宋" w:cs="仿宋"/>
          <w:sz w:val="72"/>
        </w:rPr>
      </w:pPr>
    </w:p>
    <w:p>
      <w:pPr>
        <w:ind w:firstLine="2160" w:firstLineChars="675"/>
        <w:rPr>
          <w:rFonts w:hint="eastAsia" w:ascii="仿宋" w:hAnsi="仿宋" w:eastAsia="仿宋" w:cs="仿宋"/>
          <w:sz w:val="32"/>
        </w:rPr>
      </w:pPr>
      <w:r>
        <w:rPr>
          <w:rFonts w:hint="eastAsia" w:ascii="仿宋" w:hAnsi="仿宋" w:eastAsia="仿宋" w:cs="仿宋"/>
          <w:sz w:val="32"/>
        </w:rPr>
        <w:t>投标单位名称：（加盖单位公章）</w:t>
      </w:r>
    </w:p>
    <w:p>
      <w:pPr>
        <w:ind w:firstLine="2160" w:firstLineChars="675"/>
        <w:rPr>
          <w:rFonts w:hint="eastAsia" w:ascii="仿宋" w:hAnsi="仿宋" w:eastAsia="仿宋" w:cs="仿宋"/>
          <w:sz w:val="32"/>
        </w:rPr>
      </w:pPr>
      <w:r>
        <w:rPr>
          <w:rFonts w:hint="eastAsia" w:ascii="仿宋" w:hAnsi="仿宋" w:eastAsia="仿宋" w:cs="仿宋"/>
          <w:sz w:val="32"/>
        </w:rPr>
        <w:t>投标单位地址：</w:t>
      </w:r>
    </w:p>
    <w:p>
      <w:pPr>
        <w:jc w:val="center"/>
        <w:rPr>
          <w:rFonts w:hint="eastAsia" w:ascii="仿宋" w:hAnsi="仿宋" w:eastAsia="仿宋" w:cs="仿宋"/>
          <w:sz w:val="32"/>
          <w:szCs w:val="32"/>
        </w:rPr>
      </w:pPr>
      <w:r>
        <w:rPr>
          <w:rFonts w:hint="eastAsia" w:ascii="仿宋" w:hAnsi="仿宋" w:eastAsia="仿宋" w:cs="仿宋"/>
          <w:sz w:val="32"/>
          <w:szCs w:val="32"/>
        </w:rPr>
        <w:t>年  月  日</w:t>
      </w:r>
    </w:p>
    <w:p>
      <w:pPr>
        <w:jc w:val="center"/>
        <w:rPr>
          <w:rFonts w:hint="eastAsia" w:ascii="仿宋" w:hAnsi="仿宋" w:eastAsia="仿宋" w:cs="仿宋"/>
          <w:b/>
          <w:spacing w:val="20"/>
          <w:sz w:val="36"/>
          <w:szCs w:val="36"/>
        </w:rPr>
      </w:pPr>
    </w:p>
    <w:p>
      <w:pPr>
        <w:jc w:val="center"/>
        <w:rPr>
          <w:rFonts w:hint="eastAsia" w:ascii="仿宋" w:hAnsi="仿宋" w:eastAsia="仿宋" w:cs="仿宋"/>
          <w:b/>
          <w:spacing w:val="20"/>
          <w:sz w:val="36"/>
          <w:szCs w:val="36"/>
        </w:rPr>
      </w:pPr>
    </w:p>
    <w:p>
      <w:pPr>
        <w:spacing w:line="360" w:lineRule="auto"/>
        <w:ind w:right="560"/>
        <w:jc w:val="center"/>
        <w:rPr>
          <w:rFonts w:hint="eastAsia" w:ascii="仿宋" w:hAnsi="仿宋" w:eastAsia="仿宋" w:cs="仿宋"/>
          <w:spacing w:val="20"/>
          <w:sz w:val="24"/>
        </w:rPr>
      </w:pPr>
    </w:p>
    <w:p>
      <w:pPr>
        <w:spacing w:line="360" w:lineRule="auto"/>
        <w:jc w:val="center"/>
        <w:rPr>
          <w:rFonts w:hint="eastAsia" w:ascii="仿宋" w:hAnsi="仿宋" w:eastAsia="仿宋" w:cs="仿宋"/>
          <w:b/>
          <w:spacing w:val="20"/>
          <w:sz w:val="36"/>
          <w:szCs w:val="36"/>
        </w:rPr>
      </w:pPr>
      <w:r>
        <w:rPr>
          <w:rFonts w:hint="eastAsia" w:ascii="仿宋" w:hAnsi="仿宋" w:eastAsia="仿宋" w:cs="仿宋"/>
          <w:b/>
          <w:spacing w:val="20"/>
          <w:sz w:val="36"/>
          <w:szCs w:val="36"/>
        </w:rPr>
        <w:br w:type="page"/>
      </w:r>
      <w:r>
        <w:rPr>
          <w:rFonts w:hint="eastAsia" w:ascii="仿宋" w:hAnsi="仿宋" w:eastAsia="仿宋" w:cs="仿宋"/>
          <w:b/>
          <w:spacing w:val="20"/>
          <w:sz w:val="36"/>
          <w:szCs w:val="36"/>
        </w:rPr>
        <w:t>技术文件部分</w:t>
      </w:r>
    </w:p>
    <w:p>
      <w:p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目录</w:t>
      </w:r>
    </w:p>
    <w:p>
      <w:pPr>
        <w:pStyle w:val="26"/>
        <w:spacing w:line="360" w:lineRule="auto"/>
        <w:rPr>
          <w:rFonts w:hint="eastAsia" w:ascii="仿宋" w:hAnsi="仿宋" w:eastAsia="仿宋" w:cs="仿宋"/>
          <w:sz w:val="24"/>
        </w:rPr>
      </w:pPr>
      <w:r>
        <w:rPr>
          <w:rFonts w:hint="eastAsia" w:ascii="仿宋" w:hAnsi="仿宋" w:eastAsia="仿宋" w:cs="仿宋"/>
          <w:sz w:val="24"/>
        </w:rPr>
        <w:t>(1) 水利工程标准化管理方案………………………………………………………页码</w:t>
      </w:r>
    </w:p>
    <w:p>
      <w:pPr>
        <w:pStyle w:val="26"/>
        <w:spacing w:line="360" w:lineRule="auto"/>
        <w:rPr>
          <w:rFonts w:hint="eastAsia" w:ascii="仿宋" w:hAnsi="仿宋" w:eastAsia="仿宋" w:cs="仿宋"/>
          <w:sz w:val="24"/>
        </w:rPr>
      </w:pPr>
      <w:r>
        <w:rPr>
          <w:rFonts w:hint="eastAsia" w:ascii="仿宋" w:hAnsi="仿宋" w:eastAsia="仿宋" w:cs="仿宋"/>
          <w:sz w:val="24"/>
        </w:rPr>
        <w:t>(2) 安全生产管理方案  ……………………………………………………………页码</w:t>
      </w:r>
    </w:p>
    <w:p>
      <w:pPr>
        <w:pStyle w:val="26"/>
        <w:spacing w:line="360" w:lineRule="auto"/>
        <w:rPr>
          <w:rFonts w:hint="eastAsia" w:ascii="仿宋" w:hAnsi="仿宋" w:eastAsia="仿宋" w:cs="仿宋"/>
          <w:sz w:val="24"/>
        </w:rPr>
      </w:pPr>
      <w:r>
        <w:rPr>
          <w:rFonts w:hint="eastAsia" w:ascii="仿宋" w:hAnsi="仿宋" w:eastAsia="仿宋" w:cs="仿宋"/>
          <w:sz w:val="24"/>
        </w:rPr>
        <w:t>(3) 年度维修养护计划………………………………………………………………页码</w:t>
      </w:r>
    </w:p>
    <w:p>
      <w:pPr>
        <w:pStyle w:val="26"/>
        <w:spacing w:line="360" w:lineRule="auto"/>
        <w:rPr>
          <w:rFonts w:hint="eastAsia" w:ascii="仿宋" w:hAnsi="仿宋" w:eastAsia="仿宋" w:cs="仿宋"/>
          <w:sz w:val="24"/>
        </w:rPr>
      </w:pPr>
      <w:r>
        <w:rPr>
          <w:rFonts w:hint="eastAsia" w:ascii="仿宋" w:hAnsi="仿宋" w:eastAsia="仿宋" w:cs="仿宋"/>
          <w:sz w:val="24"/>
        </w:rPr>
        <w:t>(4) 控制运行计划 …………………………………………………………………页码</w:t>
      </w:r>
    </w:p>
    <w:p>
      <w:pPr>
        <w:pStyle w:val="26"/>
        <w:spacing w:line="360" w:lineRule="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kern w:val="0"/>
          <w:sz w:val="24"/>
        </w:rPr>
        <w:t xml:space="preserve"> 日常设备检查方案</w:t>
      </w:r>
      <w:r>
        <w:rPr>
          <w:rFonts w:hint="eastAsia" w:ascii="仿宋" w:hAnsi="仿宋" w:eastAsia="仿宋" w:cs="仿宋"/>
          <w:sz w:val="24"/>
        </w:rPr>
        <w:t>………………………………………………………………页码</w:t>
      </w:r>
    </w:p>
    <w:p>
      <w:pPr>
        <w:pStyle w:val="26"/>
        <w:spacing w:line="360" w:lineRule="auto"/>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kern w:val="0"/>
          <w:sz w:val="24"/>
        </w:rPr>
        <w:t xml:space="preserve"> 日常工程观测管理方案</w:t>
      </w:r>
      <w:r>
        <w:rPr>
          <w:rFonts w:hint="eastAsia" w:ascii="仿宋" w:hAnsi="仿宋" w:eastAsia="仿宋" w:cs="仿宋"/>
          <w:sz w:val="24"/>
        </w:rPr>
        <w:t>…………………………………………………………页码</w:t>
      </w:r>
    </w:p>
    <w:p>
      <w:pPr>
        <w:pStyle w:val="26"/>
        <w:spacing w:line="360" w:lineRule="auto"/>
        <w:rPr>
          <w:rFonts w:hint="eastAsia" w:ascii="仿宋" w:hAnsi="仿宋" w:eastAsia="仿宋" w:cs="仿宋"/>
          <w:sz w:val="24"/>
        </w:rPr>
      </w:pPr>
      <w:r>
        <w:rPr>
          <w:rFonts w:hint="eastAsia" w:ascii="仿宋" w:hAnsi="仿宋" w:eastAsia="仿宋" w:cs="仿宋"/>
          <w:sz w:val="24"/>
        </w:rPr>
        <w:t xml:space="preserve">(7) </w:t>
      </w:r>
      <w:r>
        <w:rPr>
          <w:rFonts w:hint="eastAsia" w:ascii="仿宋" w:hAnsi="仿宋" w:eastAsia="仿宋" w:cs="仿宋"/>
          <w:kern w:val="0"/>
          <w:sz w:val="24"/>
        </w:rPr>
        <w:t>防汛抢险应急管理调度方案</w:t>
      </w:r>
      <w:r>
        <w:rPr>
          <w:rFonts w:hint="eastAsia" w:ascii="仿宋" w:hAnsi="仿宋" w:eastAsia="仿宋" w:cs="仿宋"/>
          <w:sz w:val="24"/>
        </w:rPr>
        <w:t>………………………………………………… 页码</w:t>
      </w:r>
    </w:p>
    <w:p>
      <w:pPr>
        <w:pStyle w:val="26"/>
        <w:spacing w:line="360" w:lineRule="auto"/>
        <w:rPr>
          <w:rFonts w:hint="eastAsia" w:ascii="仿宋" w:hAnsi="仿宋" w:eastAsia="仿宋" w:cs="仿宋"/>
          <w:sz w:val="24"/>
        </w:rPr>
      </w:pPr>
      <w:r>
        <w:rPr>
          <w:rFonts w:hint="eastAsia" w:ascii="仿宋" w:hAnsi="仿宋" w:eastAsia="仿宋" w:cs="仿宋"/>
          <w:sz w:val="24"/>
        </w:rPr>
        <w:t>(8) 信息化管理…………………………………………………………………… 页码</w:t>
      </w:r>
    </w:p>
    <w:p>
      <w:pPr>
        <w:pStyle w:val="26"/>
        <w:spacing w:line="360" w:lineRule="auto"/>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kern w:val="0"/>
          <w:sz w:val="24"/>
        </w:rPr>
        <w:t>档案管理方案</w:t>
      </w:r>
      <w:r>
        <w:rPr>
          <w:rFonts w:hint="eastAsia" w:ascii="仿宋" w:hAnsi="仿宋" w:eastAsia="仿宋" w:cs="仿宋"/>
          <w:sz w:val="24"/>
        </w:rPr>
        <w:t>……………………………………………………………………页码</w:t>
      </w:r>
    </w:p>
    <w:p>
      <w:pPr>
        <w:pStyle w:val="26"/>
        <w:spacing w:line="360" w:lineRule="auto"/>
        <w:rPr>
          <w:rFonts w:hint="eastAsia" w:ascii="仿宋" w:hAnsi="仿宋" w:eastAsia="仿宋" w:cs="仿宋"/>
          <w:sz w:val="24"/>
        </w:rPr>
      </w:pPr>
      <w:r>
        <w:rPr>
          <w:rFonts w:hint="eastAsia" w:ascii="仿宋" w:hAnsi="仿宋" w:eastAsia="仿宋" w:cs="仿宋"/>
          <w:sz w:val="24"/>
        </w:rPr>
        <w:t>(10)日常绿化养护方案……………………………………………………………页码</w:t>
      </w:r>
    </w:p>
    <w:p>
      <w:pPr>
        <w:pStyle w:val="26"/>
        <w:spacing w:line="360" w:lineRule="auto"/>
        <w:rPr>
          <w:rFonts w:hint="eastAsia" w:ascii="仿宋" w:hAnsi="仿宋" w:eastAsia="仿宋" w:cs="仿宋"/>
          <w:sz w:val="24"/>
        </w:rPr>
      </w:pPr>
      <w:r>
        <w:rPr>
          <w:rFonts w:hint="eastAsia" w:ascii="仿宋" w:hAnsi="仿宋" w:eastAsia="仿宋" w:cs="仿宋"/>
          <w:sz w:val="24"/>
        </w:rPr>
        <w:t>(11)技术偏离说明表…………………………………………………………………页码</w:t>
      </w:r>
    </w:p>
    <w:p>
      <w:pPr>
        <w:pStyle w:val="26"/>
        <w:spacing w:line="360" w:lineRule="auto"/>
        <w:rPr>
          <w:rFonts w:hint="eastAsia" w:ascii="仿宋" w:hAnsi="仿宋" w:eastAsia="仿宋" w:cs="仿宋"/>
          <w:sz w:val="24"/>
        </w:rPr>
      </w:pPr>
      <w:r>
        <w:rPr>
          <w:rFonts w:hint="eastAsia" w:ascii="仿宋" w:hAnsi="仿宋" w:eastAsia="仿宋" w:cs="仿宋"/>
          <w:sz w:val="24"/>
        </w:rPr>
        <w:t>(12)关于对招标文件中有关条款的拒绝声明………………………………………页码</w:t>
      </w:r>
    </w:p>
    <w:p>
      <w:pPr>
        <w:pStyle w:val="26"/>
        <w:spacing w:line="360" w:lineRule="auto"/>
        <w:rPr>
          <w:rFonts w:hint="eastAsia" w:ascii="仿宋" w:hAnsi="仿宋" w:eastAsia="仿宋" w:cs="仿宋"/>
          <w:sz w:val="24"/>
        </w:rPr>
      </w:pPr>
      <w:r>
        <w:rPr>
          <w:rFonts w:hint="eastAsia" w:ascii="仿宋" w:hAnsi="仿宋" w:eastAsia="仿宋" w:cs="仿宋"/>
          <w:sz w:val="24"/>
        </w:rPr>
        <w:t>(13)认为需要的其他技术文件或说明………………………………………………页码</w:t>
      </w:r>
    </w:p>
    <w:p>
      <w:pPr>
        <w:spacing w:line="360" w:lineRule="auto"/>
        <w:rPr>
          <w:rFonts w:hint="eastAsia" w:ascii="仿宋" w:hAnsi="仿宋" w:eastAsia="仿宋" w:cs="仿宋"/>
          <w:b/>
          <w:spacing w:val="20"/>
          <w:sz w:val="24"/>
        </w:rPr>
      </w:pPr>
      <w:r>
        <w:rPr>
          <w:rFonts w:hint="eastAsia" w:ascii="仿宋" w:hAnsi="仿宋" w:eastAsia="仿宋" w:cs="仿宋"/>
          <w:b/>
          <w:spacing w:val="20"/>
          <w:sz w:val="24"/>
        </w:rPr>
        <w:t>注：以上目录是编制投标技术文件的基本格式要求，各投标人可根据自身情况进一步细化。</w:t>
      </w: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numPr>
          <w:ilvl w:val="1"/>
          <w:numId w:val="34"/>
        </w:num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 xml:space="preserve"> 水利工程标准化管理方案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numPr>
          <w:ilvl w:val="1"/>
          <w:numId w:val="34"/>
        </w:num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安全生产管理方案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jc w:val="center"/>
        <w:rPr>
          <w:rFonts w:hint="eastAsia" w:ascii="仿宋" w:hAnsi="仿宋" w:eastAsia="仿宋" w:cs="仿宋"/>
          <w:spacing w:val="20"/>
          <w:sz w:val="24"/>
        </w:rPr>
      </w:pPr>
    </w:p>
    <w:p>
      <w:pPr>
        <w:spacing w:line="360" w:lineRule="auto"/>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numPr>
          <w:ilvl w:val="1"/>
          <w:numId w:val="34"/>
        </w:num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年度维修养护计划</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 xml:space="preserve">                                   日期：  年   月   日</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numPr>
          <w:ilvl w:val="1"/>
          <w:numId w:val="34"/>
        </w:num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控制运行计划</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 xml:space="preserve">                                   日期：  年   月   日</w:t>
      </w: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五、日常设备检查方案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 xml:space="preserve">                                   日期：  年   月   日</w:t>
      </w:r>
    </w:p>
    <w:p>
      <w:pPr>
        <w:spacing w:line="360" w:lineRule="auto"/>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六、日常工程观测管理方案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（由投标人根据采购需求及招标文件要求编写）</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ind w:left="420"/>
        <w:jc w:val="center"/>
        <w:rPr>
          <w:rFonts w:hint="eastAsia" w:ascii="仿宋" w:hAnsi="仿宋" w:eastAsia="仿宋" w:cs="仿宋"/>
          <w:spacing w:val="20"/>
          <w:sz w:val="24"/>
        </w:rPr>
      </w:pPr>
      <w:r>
        <w:rPr>
          <w:rFonts w:hint="eastAsia" w:ascii="仿宋" w:hAnsi="仿宋" w:eastAsia="仿宋" w:cs="仿宋"/>
          <w:spacing w:val="20"/>
          <w:sz w:val="24"/>
        </w:rPr>
        <w:t xml:space="preserve">                                 日期：  年   月   日</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七、防汛抢险应急管理调度方案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 xml:space="preserve">     （由投标人根据采购需求自行编制）</w:t>
      </w:r>
    </w:p>
    <w:p>
      <w:pPr>
        <w:spacing w:line="360" w:lineRule="auto"/>
        <w:ind w:right="560"/>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spacing w:line="360" w:lineRule="auto"/>
        <w:ind w:left="420"/>
        <w:jc w:val="center"/>
        <w:rPr>
          <w:rFonts w:hint="eastAsia" w:ascii="仿宋" w:hAnsi="仿宋" w:eastAsia="仿宋" w:cs="仿宋"/>
          <w:spacing w:val="20"/>
          <w:sz w:val="24"/>
        </w:rPr>
      </w:pPr>
      <w:r>
        <w:rPr>
          <w:rFonts w:hint="eastAsia" w:ascii="仿宋" w:hAnsi="仿宋" w:eastAsia="仿宋" w:cs="仿宋"/>
          <w:spacing w:val="20"/>
          <w:sz w:val="24"/>
        </w:rPr>
        <w:t xml:space="preserve">                                 日期：  年   月   日</w:t>
      </w:r>
    </w:p>
    <w:p>
      <w:pPr>
        <w:spacing w:line="360" w:lineRule="auto"/>
        <w:ind w:left="420"/>
        <w:jc w:val="center"/>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ind w:left="420"/>
        <w:jc w:val="center"/>
        <w:rPr>
          <w:rFonts w:hint="eastAsia" w:ascii="仿宋" w:hAnsi="仿宋" w:eastAsia="仿宋" w:cs="仿宋"/>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八、信息化管理</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（由投标人根据采购需求自行编制）</w:t>
      </w:r>
    </w:p>
    <w:p>
      <w:pPr>
        <w:spacing w:line="360" w:lineRule="auto"/>
        <w:ind w:right="560"/>
        <w:rPr>
          <w:rFonts w:hint="eastAsia" w:ascii="仿宋" w:hAnsi="仿宋" w:eastAsia="仿宋" w:cs="仿宋"/>
          <w:spacing w:val="20"/>
          <w:sz w:val="24"/>
        </w:rPr>
      </w:pPr>
    </w:p>
    <w:p>
      <w:pPr>
        <w:spacing w:line="360" w:lineRule="auto"/>
        <w:ind w:right="280"/>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b/>
          <w:spacing w:val="20"/>
          <w:sz w:val="24"/>
        </w:rPr>
      </w:pPr>
      <w:r>
        <w:rPr>
          <w:rFonts w:hint="eastAsia" w:ascii="仿宋" w:hAnsi="仿宋" w:eastAsia="仿宋" w:cs="仿宋"/>
          <w:spacing w:val="20"/>
          <w:sz w:val="24"/>
        </w:rPr>
        <w:t xml:space="preserve">日期：  年   月   </w:t>
      </w:r>
    </w:p>
    <w:p>
      <w:pPr>
        <w:spacing w:line="360" w:lineRule="auto"/>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九、档案管理方案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（由投标人根据采购需求自行编制）</w:t>
      </w:r>
    </w:p>
    <w:p>
      <w:pPr>
        <w:spacing w:line="360" w:lineRule="auto"/>
        <w:ind w:right="560"/>
        <w:rPr>
          <w:rFonts w:hint="eastAsia" w:ascii="仿宋" w:hAnsi="仿宋" w:eastAsia="仿宋" w:cs="仿宋"/>
          <w:spacing w:val="20"/>
          <w:sz w:val="24"/>
        </w:rPr>
      </w:pPr>
    </w:p>
    <w:p>
      <w:pPr>
        <w:spacing w:line="360" w:lineRule="auto"/>
        <w:ind w:right="280"/>
        <w:rPr>
          <w:rFonts w:hint="eastAsia" w:ascii="仿宋" w:hAnsi="仿宋" w:eastAsia="仿宋" w:cs="仿宋"/>
          <w:spacing w:val="20"/>
          <w:sz w:val="24"/>
        </w:rPr>
      </w:pPr>
    </w:p>
    <w:p>
      <w:pPr>
        <w:spacing w:line="360" w:lineRule="auto"/>
        <w:ind w:right="280"/>
        <w:jc w:val="right"/>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十、日常绿化养护方案</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（由投标人根据采购需求自行编制）</w:t>
      </w:r>
    </w:p>
    <w:p>
      <w:pPr>
        <w:spacing w:line="360" w:lineRule="auto"/>
        <w:ind w:right="560"/>
        <w:rPr>
          <w:rFonts w:hint="eastAsia" w:ascii="仿宋" w:hAnsi="仿宋" w:eastAsia="仿宋" w:cs="仿宋"/>
          <w:spacing w:val="20"/>
          <w:sz w:val="24"/>
        </w:rPr>
      </w:pPr>
    </w:p>
    <w:p>
      <w:pPr>
        <w:spacing w:line="360" w:lineRule="auto"/>
        <w:ind w:right="280"/>
        <w:jc w:val="right"/>
        <w:rPr>
          <w:rFonts w:hint="eastAsia" w:ascii="仿宋" w:hAnsi="仿宋" w:eastAsia="仿宋" w:cs="仿宋"/>
          <w:spacing w:val="20"/>
          <w:sz w:val="24"/>
        </w:rPr>
      </w:pPr>
    </w:p>
    <w:p>
      <w:pPr>
        <w:spacing w:line="360" w:lineRule="auto"/>
        <w:ind w:right="280"/>
        <w:jc w:val="right"/>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ind w:left="420"/>
        <w:jc w:val="center"/>
        <w:rPr>
          <w:rFonts w:hint="eastAsia" w:ascii="仿宋" w:hAnsi="仿宋" w:eastAsia="仿宋" w:cs="仿宋"/>
          <w:b/>
          <w:spacing w:val="20"/>
          <w:sz w:val="24"/>
        </w:rPr>
      </w:pPr>
    </w:p>
    <w:p>
      <w:pPr>
        <w:spacing w:line="360" w:lineRule="auto"/>
        <w:rPr>
          <w:rFonts w:hint="eastAsia" w:ascii="仿宋" w:hAnsi="仿宋" w:eastAsia="仿宋" w:cs="仿宋"/>
          <w:b/>
          <w:spacing w:val="20"/>
          <w:sz w:val="24"/>
        </w:rPr>
      </w:pPr>
    </w:p>
    <w:p>
      <w:pPr>
        <w:spacing w:line="360" w:lineRule="auto"/>
        <w:ind w:left="420"/>
        <w:jc w:val="center"/>
        <w:rPr>
          <w:rFonts w:hint="eastAsia" w:ascii="仿宋" w:hAnsi="仿宋" w:eastAsia="仿宋" w:cs="仿宋"/>
          <w:b/>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十一、技术偏离说明表</w:t>
      </w:r>
    </w:p>
    <w:p>
      <w:pPr>
        <w:spacing w:line="360" w:lineRule="auto"/>
        <w:jc w:val="center"/>
        <w:rPr>
          <w:rFonts w:hint="eastAsia" w:ascii="仿宋" w:hAnsi="仿宋" w:eastAsia="仿宋" w:cs="仿宋"/>
          <w:spacing w:val="20"/>
          <w:sz w:val="24"/>
        </w:rPr>
      </w:pPr>
    </w:p>
    <w:tbl>
      <w:tblPr>
        <w:tblStyle w:val="45"/>
        <w:tblW w:w="0" w:type="auto"/>
        <w:tblInd w:w="0" w:type="dxa"/>
        <w:tblLayout w:type="fixed"/>
        <w:tblCellMar>
          <w:top w:w="0" w:type="dxa"/>
          <w:left w:w="108" w:type="dxa"/>
          <w:bottom w:w="0" w:type="dxa"/>
          <w:right w:w="108" w:type="dxa"/>
        </w:tblCellMar>
      </w:tblPr>
      <w:tblGrid>
        <w:gridCol w:w="2025"/>
        <w:gridCol w:w="1757"/>
        <w:gridCol w:w="1892"/>
        <w:gridCol w:w="1892"/>
        <w:gridCol w:w="1892"/>
      </w:tblGrid>
      <w:tr>
        <w:tblPrEx>
          <w:tblCellMar>
            <w:top w:w="0" w:type="dxa"/>
            <w:left w:w="108" w:type="dxa"/>
            <w:bottom w:w="0" w:type="dxa"/>
            <w:right w:w="108" w:type="dxa"/>
          </w:tblCellMar>
        </w:tblPrEx>
        <w:trPr>
          <w:wBefore w:w="0" w:type="dxa"/>
        </w:trPr>
        <w:tc>
          <w:tcPr>
            <w:tcW w:w="2025"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名称</w:t>
            </w:r>
          </w:p>
        </w:tc>
        <w:tc>
          <w:tcPr>
            <w:tcW w:w="1757"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采购要求</w:t>
            </w: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投标响应</w:t>
            </w: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偏离</w:t>
            </w: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说明</w:t>
            </w:r>
          </w:p>
        </w:tc>
      </w:tr>
      <w:tr>
        <w:tblPrEx>
          <w:tblCellMar>
            <w:top w:w="0" w:type="dxa"/>
            <w:left w:w="108" w:type="dxa"/>
            <w:bottom w:w="0" w:type="dxa"/>
            <w:right w:w="108" w:type="dxa"/>
          </w:tblCellMar>
        </w:tblPrEx>
        <w:trPr>
          <w:wBefore w:w="0" w:type="dxa"/>
        </w:trPr>
        <w:tc>
          <w:tcPr>
            <w:tcW w:w="2025" w:type="dxa"/>
            <w:noWrap w:val="0"/>
            <w:vAlign w:val="top"/>
          </w:tcPr>
          <w:p>
            <w:pPr>
              <w:tabs>
                <w:tab w:val="left" w:pos="8520"/>
              </w:tabs>
              <w:spacing w:line="360" w:lineRule="auto"/>
              <w:jc w:val="center"/>
              <w:rPr>
                <w:rFonts w:hint="eastAsia" w:ascii="仿宋" w:hAnsi="仿宋" w:eastAsia="仿宋" w:cs="仿宋"/>
                <w:spacing w:val="20"/>
                <w:sz w:val="24"/>
              </w:rPr>
            </w:pPr>
          </w:p>
        </w:tc>
        <w:tc>
          <w:tcPr>
            <w:tcW w:w="1757"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2025" w:type="dxa"/>
            <w:noWrap w:val="0"/>
            <w:vAlign w:val="top"/>
          </w:tcPr>
          <w:p>
            <w:pPr>
              <w:tabs>
                <w:tab w:val="left" w:pos="8520"/>
              </w:tabs>
              <w:spacing w:line="360" w:lineRule="auto"/>
              <w:jc w:val="center"/>
              <w:rPr>
                <w:rFonts w:hint="eastAsia" w:ascii="仿宋" w:hAnsi="仿宋" w:eastAsia="仿宋" w:cs="仿宋"/>
                <w:spacing w:val="20"/>
                <w:sz w:val="24"/>
              </w:rPr>
            </w:pPr>
          </w:p>
        </w:tc>
        <w:tc>
          <w:tcPr>
            <w:tcW w:w="1757"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2025" w:type="dxa"/>
            <w:noWrap w:val="0"/>
            <w:vAlign w:val="top"/>
          </w:tcPr>
          <w:p>
            <w:pPr>
              <w:tabs>
                <w:tab w:val="left" w:pos="8520"/>
              </w:tabs>
              <w:spacing w:line="360" w:lineRule="auto"/>
              <w:jc w:val="center"/>
              <w:rPr>
                <w:rFonts w:hint="eastAsia" w:ascii="仿宋" w:hAnsi="仿宋" w:eastAsia="仿宋" w:cs="仿宋"/>
                <w:spacing w:val="20"/>
                <w:sz w:val="24"/>
              </w:rPr>
            </w:pPr>
          </w:p>
        </w:tc>
        <w:tc>
          <w:tcPr>
            <w:tcW w:w="1757"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c>
          <w:tcPr>
            <w:tcW w:w="1892" w:type="dxa"/>
            <w:noWrap w:val="0"/>
            <w:vAlign w:val="top"/>
          </w:tcPr>
          <w:p>
            <w:pPr>
              <w:tabs>
                <w:tab w:val="left" w:pos="8520"/>
              </w:tabs>
              <w:spacing w:line="360" w:lineRule="auto"/>
              <w:jc w:val="center"/>
              <w:rPr>
                <w:rFonts w:hint="eastAsia" w:ascii="仿宋" w:hAnsi="仿宋" w:eastAsia="仿宋" w:cs="仿宋"/>
                <w:spacing w:val="20"/>
                <w:sz w:val="24"/>
              </w:rPr>
            </w:pPr>
          </w:p>
        </w:tc>
      </w:tr>
    </w:tbl>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b/>
          <w:spacing w:val="20"/>
          <w:sz w:val="24"/>
        </w:rPr>
      </w:pPr>
      <w:r>
        <w:rPr>
          <w:rFonts w:hint="eastAsia" w:ascii="仿宋" w:hAnsi="仿宋" w:eastAsia="仿宋" w:cs="仿宋"/>
          <w:spacing w:val="20"/>
          <w:sz w:val="24"/>
        </w:rPr>
        <w:t>日期：  年   月   日</w:t>
      </w:r>
    </w:p>
    <w:p>
      <w:pPr>
        <w:spacing w:line="360" w:lineRule="auto"/>
        <w:ind w:left="420"/>
        <w:jc w:val="center"/>
        <w:rPr>
          <w:rFonts w:hint="eastAsia" w:ascii="仿宋" w:hAnsi="仿宋" w:eastAsia="仿宋" w:cs="仿宋"/>
          <w:b/>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十二、对招标文件中有关条款的拒绝声明</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（由投标人根据采购需求自行编制）</w:t>
      </w: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jc w:val="right"/>
        <w:rPr>
          <w:rFonts w:hint="eastAsia" w:ascii="仿宋" w:hAnsi="仿宋" w:eastAsia="仿宋" w:cs="仿宋"/>
          <w:spacing w:val="20"/>
          <w:sz w:val="24"/>
        </w:rPr>
      </w:pPr>
    </w:p>
    <w:p>
      <w:pPr>
        <w:spacing w:line="360" w:lineRule="auto"/>
        <w:ind w:left="420"/>
        <w:jc w:val="center"/>
        <w:rPr>
          <w:rFonts w:hint="eastAsia" w:ascii="仿宋" w:hAnsi="仿宋" w:eastAsia="仿宋" w:cs="仿宋"/>
          <w:b/>
          <w:spacing w:val="20"/>
          <w:sz w:val="24"/>
        </w:rPr>
      </w:pPr>
    </w:p>
    <w:p>
      <w:pPr>
        <w:spacing w:line="360" w:lineRule="auto"/>
        <w:ind w:left="420"/>
        <w:jc w:val="center"/>
        <w:rPr>
          <w:rFonts w:hint="eastAsia" w:ascii="仿宋" w:hAnsi="仿宋" w:eastAsia="仿宋" w:cs="仿宋"/>
          <w:b/>
          <w:spacing w:val="20"/>
          <w:sz w:val="24"/>
        </w:rPr>
      </w:pPr>
      <w:r>
        <w:rPr>
          <w:rFonts w:hint="eastAsia" w:ascii="仿宋" w:hAnsi="仿宋" w:eastAsia="仿宋" w:cs="仿宋"/>
          <w:b/>
          <w:spacing w:val="20"/>
          <w:sz w:val="24"/>
        </w:rPr>
        <w:t>十三、其他技术文件或说明</w:t>
      </w:r>
    </w:p>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（由投标人根据采购需求自行编制）</w:t>
      </w:r>
    </w:p>
    <w:p>
      <w:pPr>
        <w:spacing w:line="360" w:lineRule="auto"/>
        <w:jc w:val="center"/>
        <w:rPr>
          <w:rFonts w:hint="eastAsia" w:ascii="仿宋" w:hAnsi="仿宋" w:eastAsia="仿宋" w:cs="仿宋"/>
          <w:spacing w:val="20"/>
          <w:sz w:val="24"/>
        </w:rPr>
      </w:pPr>
    </w:p>
    <w:p>
      <w:pPr>
        <w:spacing w:line="360" w:lineRule="auto"/>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b/>
          <w:spacing w:val="20"/>
          <w:sz w:val="24"/>
        </w:rPr>
      </w:pPr>
      <w:r>
        <w:rPr>
          <w:rFonts w:hint="eastAsia" w:ascii="仿宋" w:hAnsi="仿宋" w:eastAsia="仿宋" w:cs="仿宋"/>
          <w:spacing w:val="20"/>
          <w:sz w:val="24"/>
        </w:rPr>
        <w:t>日期：  年   月   日</w:t>
      </w:r>
    </w:p>
    <w:p>
      <w:pPr>
        <w:spacing w:line="360" w:lineRule="auto"/>
        <w:jc w:val="right"/>
        <w:rPr>
          <w:rFonts w:hint="eastAsia" w:ascii="仿宋" w:hAnsi="仿宋" w:eastAsia="仿宋" w:cs="仿宋"/>
          <w:b/>
          <w:spacing w:val="20"/>
          <w:sz w:val="2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jc w:val="right"/>
        <w:rPr>
          <w:rFonts w:hint="eastAsia" w:ascii="仿宋" w:hAnsi="仿宋" w:eastAsia="仿宋" w:cs="仿宋"/>
          <w:sz w:val="44"/>
        </w:rPr>
      </w:pPr>
    </w:p>
    <w:p>
      <w:pPr>
        <w:spacing w:line="360" w:lineRule="auto"/>
        <w:jc w:val="center"/>
        <w:rPr>
          <w:rFonts w:hint="eastAsia" w:ascii="仿宋" w:hAnsi="仿宋" w:eastAsia="仿宋" w:cs="仿宋"/>
          <w:b/>
          <w:spacing w:val="20"/>
          <w:sz w:val="36"/>
          <w:szCs w:val="36"/>
        </w:rPr>
      </w:pPr>
      <w:r>
        <w:rPr>
          <w:rFonts w:hint="eastAsia" w:ascii="仿宋" w:hAnsi="仿宋" w:eastAsia="仿宋" w:cs="仿宋"/>
          <w:b/>
          <w:spacing w:val="20"/>
          <w:sz w:val="36"/>
          <w:szCs w:val="36"/>
        </w:rPr>
        <w:br w:type="page"/>
      </w:r>
      <w:r>
        <w:rPr>
          <w:rFonts w:hint="eastAsia" w:ascii="仿宋" w:hAnsi="仿宋" w:eastAsia="仿宋" w:cs="仿宋"/>
          <w:b/>
          <w:spacing w:val="20"/>
          <w:sz w:val="36"/>
          <w:szCs w:val="36"/>
        </w:rPr>
        <w:t>商务文件部分</w:t>
      </w:r>
    </w:p>
    <w:p>
      <w:p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目录</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(1)法人授权委托书………………………………………………………………… 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(2)法定代表人及授权委托人的身份证（复印件）……………………………… 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(3)声明书…………………………………………………………………………… 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(4)有效的营业执照（复印件）……………………………………………………页码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(5)有效的税务登记证照（复印件）………………………………………………页码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(6)有效的社保登记证（复印件）…………………………………………………页码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(7)项目组成人员及项目负责人技术负责人情况…………………………………页码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(8)所有资质文件如有（复印件）…………………………………………………页码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(9)产品、仪器有关证书…………………………………………………………… 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(10)公司介绍…………………………………………………………………………页码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(11)主要业绩证明……………………………………………………………………页码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(12)商务偏离说明表……………………………………………………………… 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(13)关于对招标文件中有关条款的拒绝声明…………………………………… 页码</w:t>
      </w:r>
    </w:p>
    <w:p>
      <w:pPr>
        <w:pStyle w:val="26"/>
        <w:spacing w:line="360" w:lineRule="auto"/>
        <w:rPr>
          <w:rFonts w:hint="eastAsia" w:ascii="仿宋" w:hAnsi="仿宋" w:eastAsia="仿宋" w:cs="仿宋"/>
          <w:sz w:val="24"/>
        </w:rPr>
      </w:pPr>
      <w:r>
        <w:rPr>
          <w:rFonts w:hint="eastAsia" w:ascii="仿宋" w:hAnsi="仿宋" w:eastAsia="仿宋" w:cs="仿宋"/>
          <w:sz w:val="24"/>
        </w:rPr>
        <w:t>（14）投标人认为需要的其他商务文件或说明……………………………………页码</w:t>
      </w:r>
    </w:p>
    <w:p>
      <w:pPr>
        <w:pStyle w:val="26"/>
        <w:spacing w:line="360" w:lineRule="auto"/>
        <w:ind w:firstLine="120" w:firstLineChars="50"/>
        <w:rPr>
          <w:rFonts w:hint="eastAsia" w:ascii="仿宋" w:hAnsi="仿宋" w:eastAsia="仿宋" w:cs="仿宋"/>
          <w:sz w:val="24"/>
        </w:rPr>
      </w:pPr>
      <w:r>
        <w:rPr>
          <w:rFonts w:hint="eastAsia" w:ascii="仿宋" w:hAnsi="仿宋" w:eastAsia="仿宋" w:cs="仿宋"/>
          <w:sz w:val="24"/>
        </w:rPr>
        <w:t>(15)廉政承诺书 ……………………………………………………………………页码</w:t>
      </w:r>
    </w:p>
    <w:p>
      <w:pPr>
        <w:spacing w:line="360" w:lineRule="auto"/>
        <w:rPr>
          <w:rFonts w:hint="eastAsia" w:ascii="仿宋" w:hAnsi="仿宋" w:eastAsia="仿宋" w:cs="仿宋"/>
          <w:sz w:val="24"/>
        </w:rPr>
      </w:pPr>
      <w:r>
        <w:rPr>
          <w:rFonts w:hint="eastAsia" w:ascii="仿宋" w:hAnsi="仿宋" w:eastAsia="仿宋" w:cs="仿宋"/>
          <w:sz w:val="24"/>
        </w:rPr>
        <w:t>附1中小企业声明函（如果有）……………………………………………………页码</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附2残疾人福利性单位声明函</w:t>
      </w:r>
      <w:r>
        <w:rPr>
          <w:rFonts w:hint="eastAsia" w:ascii="仿宋" w:hAnsi="仿宋" w:eastAsia="仿宋" w:cs="仿宋"/>
          <w:sz w:val="24"/>
        </w:rPr>
        <w:t>（如果有）……………………………………页码</w:t>
      </w:r>
    </w:p>
    <w:p>
      <w:pPr>
        <w:pStyle w:val="26"/>
        <w:spacing w:line="360" w:lineRule="auto"/>
        <w:rPr>
          <w:rFonts w:hint="eastAsia" w:ascii="仿宋" w:hAnsi="仿宋" w:eastAsia="仿宋" w:cs="仿宋"/>
          <w:sz w:val="24"/>
        </w:rPr>
      </w:pPr>
    </w:p>
    <w:p>
      <w:pPr>
        <w:spacing w:line="360" w:lineRule="auto"/>
        <w:rPr>
          <w:rFonts w:hint="eastAsia" w:ascii="仿宋" w:hAnsi="仿宋" w:eastAsia="仿宋" w:cs="仿宋"/>
          <w:b/>
          <w:spacing w:val="20"/>
          <w:sz w:val="24"/>
        </w:rPr>
      </w:pPr>
      <w:r>
        <w:rPr>
          <w:rFonts w:hint="eastAsia" w:ascii="仿宋" w:hAnsi="仿宋" w:eastAsia="仿宋" w:cs="仿宋"/>
          <w:b/>
          <w:spacing w:val="20"/>
          <w:sz w:val="24"/>
        </w:rPr>
        <w:t>注：以上目录是编制投标商务文件的基本格式要求，各投标人可根据自身情况进一步细化。</w:t>
      </w:r>
    </w:p>
    <w:p>
      <w:pPr>
        <w:spacing w:line="360" w:lineRule="auto"/>
        <w:jc w:val="center"/>
        <w:rPr>
          <w:rFonts w:hint="eastAsia" w:ascii="仿宋" w:hAnsi="仿宋" w:eastAsia="仿宋" w:cs="仿宋"/>
          <w:b/>
          <w:spacing w:val="20"/>
          <w:sz w:val="36"/>
          <w:szCs w:val="36"/>
        </w:rPr>
      </w:pPr>
    </w:p>
    <w:p>
      <w:pPr>
        <w:spacing w:line="360" w:lineRule="auto"/>
        <w:jc w:val="center"/>
        <w:rPr>
          <w:rFonts w:hint="eastAsia" w:ascii="仿宋" w:hAnsi="仿宋" w:eastAsia="仿宋" w:cs="仿宋"/>
          <w:b/>
          <w:spacing w:val="20"/>
          <w:sz w:val="36"/>
          <w:szCs w:val="36"/>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p>
    <w:p>
      <w:pPr>
        <w:spacing w:line="360" w:lineRule="auto"/>
        <w:jc w:val="center"/>
        <w:rPr>
          <w:rFonts w:hint="eastAsia" w:ascii="仿宋" w:hAnsi="仿宋" w:eastAsia="仿宋" w:cs="仿宋"/>
          <w:b/>
          <w:spacing w:val="20"/>
          <w:sz w:val="24"/>
        </w:rPr>
      </w:pPr>
      <w:r>
        <w:rPr>
          <w:rFonts w:hint="eastAsia" w:ascii="仿宋" w:hAnsi="仿宋" w:eastAsia="仿宋" w:cs="仿宋"/>
          <w:b/>
          <w:spacing w:val="20"/>
          <w:sz w:val="24"/>
        </w:rPr>
        <w:t>一、授权委托书</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r>
        <w:rPr>
          <w:rFonts w:hint="eastAsia" w:ascii="仿宋" w:hAnsi="仿宋" w:eastAsia="仿宋" w:cs="仿宋"/>
          <w:spacing w:val="20"/>
          <w:sz w:val="24"/>
        </w:rPr>
        <w:t>致：杭州市西湖区排灌设施管理服务站</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    本授权书声明：注册于 </w:t>
      </w:r>
      <w:r>
        <w:rPr>
          <w:rFonts w:hint="eastAsia" w:ascii="仿宋" w:hAnsi="仿宋" w:eastAsia="仿宋" w:cs="仿宋"/>
          <w:spacing w:val="20"/>
          <w:sz w:val="24"/>
          <w:u w:val="single"/>
        </w:rPr>
        <w:t>（</w:t>
      </w:r>
      <w:r>
        <w:rPr>
          <w:rFonts w:hint="eastAsia" w:ascii="仿宋" w:hAnsi="仿宋" w:eastAsia="仿宋" w:cs="仿宋"/>
          <w:i/>
          <w:spacing w:val="20"/>
          <w:sz w:val="24"/>
          <w:u w:val="single"/>
        </w:rPr>
        <w:t>国家或地区的名称</w:t>
      </w:r>
      <w:r>
        <w:rPr>
          <w:rFonts w:hint="eastAsia" w:ascii="仿宋" w:hAnsi="仿宋" w:eastAsia="仿宋" w:cs="仿宋"/>
          <w:spacing w:val="20"/>
          <w:sz w:val="24"/>
          <w:u w:val="single"/>
        </w:rPr>
        <w:t>）</w:t>
      </w:r>
      <w:r>
        <w:rPr>
          <w:rFonts w:hint="eastAsia" w:ascii="仿宋" w:hAnsi="仿宋" w:eastAsia="仿宋" w:cs="仿宋"/>
          <w:spacing w:val="20"/>
          <w:sz w:val="24"/>
        </w:rPr>
        <w:t xml:space="preserve">的 </w:t>
      </w:r>
      <w:r>
        <w:rPr>
          <w:rFonts w:hint="eastAsia" w:ascii="仿宋" w:hAnsi="仿宋" w:eastAsia="仿宋" w:cs="仿宋"/>
          <w:spacing w:val="20"/>
          <w:sz w:val="24"/>
          <w:u w:val="single"/>
        </w:rPr>
        <w:t>（</w:t>
      </w:r>
      <w:r>
        <w:rPr>
          <w:rFonts w:hint="eastAsia" w:ascii="仿宋" w:hAnsi="仿宋" w:eastAsia="仿宋" w:cs="仿宋"/>
          <w:i/>
          <w:spacing w:val="20"/>
          <w:sz w:val="24"/>
          <w:u w:val="single"/>
        </w:rPr>
        <w:t>公司名称</w:t>
      </w:r>
      <w:r>
        <w:rPr>
          <w:rFonts w:hint="eastAsia" w:ascii="仿宋" w:hAnsi="仿宋" w:eastAsia="仿宋" w:cs="仿宋"/>
          <w:spacing w:val="20"/>
          <w:sz w:val="24"/>
          <w:u w:val="single"/>
        </w:rPr>
        <w:t>）</w:t>
      </w:r>
      <w:r>
        <w:rPr>
          <w:rFonts w:hint="eastAsia" w:ascii="仿宋" w:hAnsi="仿宋" w:eastAsia="仿宋" w:cs="仿宋"/>
          <w:spacing w:val="20"/>
          <w:sz w:val="24"/>
        </w:rPr>
        <w:t xml:space="preserve">                  的</w:t>
      </w:r>
      <w:r>
        <w:rPr>
          <w:rFonts w:hint="eastAsia" w:ascii="仿宋" w:hAnsi="仿宋" w:eastAsia="仿宋" w:cs="仿宋"/>
          <w:spacing w:val="20"/>
          <w:sz w:val="24"/>
          <w:u w:val="single"/>
        </w:rPr>
        <w:t xml:space="preserve"> （</w:t>
      </w:r>
      <w:r>
        <w:rPr>
          <w:rFonts w:hint="eastAsia" w:ascii="仿宋" w:hAnsi="仿宋" w:eastAsia="仿宋" w:cs="仿宋"/>
          <w:i/>
          <w:spacing w:val="20"/>
          <w:sz w:val="24"/>
          <w:u w:val="single"/>
        </w:rPr>
        <w:t>法人代表姓名、职务，身份证号码</w:t>
      </w:r>
      <w:r>
        <w:rPr>
          <w:rFonts w:hint="eastAsia" w:ascii="仿宋" w:hAnsi="仿宋" w:eastAsia="仿宋" w:cs="仿宋"/>
          <w:spacing w:val="20"/>
          <w:sz w:val="24"/>
          <w:u w:val="single"/>
        </w:rPr>
        <w:t>）</w:t>
      </w:r>
      <w:r>
        <w:rPr>
          <w:rFonts w:hint="eastAsia" w:ascii="仿宋" w:hAnsi="仿宋" w:eastAsia="仿宋" w:cs="仿宋"/>
          <w:spacing w:val="20"/>
          <w:sz w:val="24"/>
        </w:rPr>
        <w:t xml:space="preserve"> 代表本公司授权  </w:t>
      </w:r>
      <w:r>
        <w:rPr>
          <w:rFonts w:hint="eastAsia" w:ascii="仿宋" w:hAnsi="仿宋" w:eastAsia="仿宋" w:cs="仿宋"/>
          <w:spacing w:val="20"/>
          <w:sz w:val="24"/>
          <w:u w:val="single"/>
        </w:rPr>
        <w:t>（</w:t>
      </w:r>
      <w:r>
        <w:rPr>
          <w:rFonts w:hint="eastAsia" w:ascii="仿宋" w:hAnsi="仿宋" w:eastAsia="仿宋" w:cs="仿宋"/>
          <w:i/>
          <w:spacing w:val="20"/>
          <w:sz w:val="24"/>
          <w:u w:val="single"/>
        </w:rPr>
        <w:t>单位名称</w:t>
      </w:r>
      <w:r>
        <w:rPr>
          <w:rFonts w:hint="eastAsia" w:ascii="仿宋" w:hAnsi="仿宋" w:eastAsia="仿宋" w:cs="仿宋"/>
          <w:spacing w:val="20"/>
          <w:sz w:val="24"/>
          <w:u w:val="single"/>
        </w:rPr>
        <w:t>）</w:t>
      </w:r>
      <w:r>
        <w:rPr>
          <w:rFonts w:hint="eastAsia" w:ascii="仿宋" w:hAnsi="仿宋" w:eastAsia="仿宋" w:cs="仿宋"/>
          <w:spacing w:val="20"/>
          <w:sz w:val="24"/>
        </w:rPr>
        <w:t xml:space="preserve"> 的在下面签字的 </w:t>
      </w:r>
      <w:r>
        <w:rPr>
          <w:rFonts w:hint="eastAsia" w:ascii="仿宋" w:hAnsi="仿宋" w:eastAsia="仿宋" w:cs="仿宋"/>
          <w:spacing w:val="20"/>
          <w:sz w:val="24"/>
          <w:u w:val="single"/>
        </w:rPr>
        <w:t>（</w:t>
      </w:r>
      <w:r>
        <w:rPr>
          <w:rFonts w:hint="eastAsia" w:ascii="仿宋" w:hAnsi="仿宋" w:eastAsia="仿宋" w:cs="仿宋"/>
          <w:i/>
          <w:spacing w:val="20"/>
          <w:sz w:val="24"/>
          <w:u w:val="single"/>
        </w:rPr>
        <w:t>被授权人的姓名、职务，身份证号码</w:t>
      </w:r>
      <w:r>
        <w:rPr>
          <w:rFonts w:hint="eastAsia" w:ascii="仿宋" w:hAnsi="仿宋" w:eastAsia="仿宋" w:cs="仿宋"/>
          <w:spacing w:val="20"/>
          <w:sz w:val="24"/>
          <w:u w:val="single"/>
        </w:rPr>
        <w:t>）</w:t>
      </w:r>
      <w:r>
        <w:rPr>
          <w:rFonts w:hint="eastAsia" w:ascii="仿宋" w:hAnsi="仿宋" w:eastAsia="仿宋" w:cs="仿宋"/>
          <w:spacing w:val="20"/>
          <w:sz w:val="24"/>
        </w:rPr>
        <w:t>为本公司的合法代理人，就</w:t>
      </w:r>
      <w:r>
        <w:rPr>
          <w:rFonts w:hint="eastAsia" w:ascii="仿宋" w:hAnsi="仿宋" w:eastAsia="仿宋" w:cs="仿宋"/>
          <w:spacing w:val="20"/>
          <w:sz w:val="24"/>
          <w:u w:val="single"/>
        </w:rPr>
        <w:t>（</w:t>
      </w:r>
      <w:r>
        <w:rPr>
          <w:rFonts w:hint="eastAsia" w:ascii="仿宋" w:hAnsi="仿宋" w:eastAsia="仿宋" w:cs="仿宋"/>
          <w:i/>
          <w:spacing w:val="20"/>
          <w:sz w:val="24"/>
          <w:u w:val="single"/>
        </w:rPr>
        <w:t>项目名称、招标编号</w:t>
      </w:r>
      <w:r>
        <w:rPr>
          <w:rFonts w:hint="eastAsia" w:ascii="仿宋" w:hAnsi="仿宋" w:eastAsia="仿宋" w:cs="仿宋"/>
          <w:spacing w:val="20"/>
          <w:sz w:val="24"/>
          <w:u w:val="single"/>
        </w:rPr>
        <w:t>）</w:t>
      </w:r>
      <w:r>
        <w:rPr>
          <w:rFonts w:hint="eastAsia" w:ascii="仿宋" w:hAnsi="仿宋" w:eastAsia="仿宋" w:cs="仿宋"/>
          <w:spacing w:val="20"/>
          <w:sz w:val="24"/>
        </w:rPr>
        <w:t>的投标，以本公司名义处理一切与之有关的事物。</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    本授权书于</w:t>
      </w:r>
      <w:r>
        <w:rPr>
          <w:rFonts w:hint="eastAsia" w:ascii="仿宋" w:hAnsi="仿宋" w:eastAsia="仿宋" w:cs="仿宋"/>
          <w:spacing w:val="20"/>
          <w:sz w:val="24"/>
          <w:u w:val="single"/>
        </w:rPr>
        <w:t xml:space="preserve">     </w:t>
      </w:r>
      <w:r>
        <w:rPr>
          <w:rFonts w:hint="eastAsia" w:ascii="仿宋" w:hAnsi="仿宋" w:eastAsia="仿宋" w:cs="仿宋"/>
          <w:spacing w:val="20"/>
          <w:sz w:val="24"/>
        </w:rPr>
        <w:t>年</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日签字生效，特此声明。</w:t>
      </w:r>
    </w:p>
    <w:p>
      <w:pPr>
        <w:spacing w:line="360" w:lineRule="auto"/>
        <w:rPr>
          <w:rFonts w:hint="eastAsia" w:ascii="仿宋" w:hAnsi="仿宋" w:eastAsia="仿宋" w:cs="仿宋"/>
          <w:spacing w:val="20"/>
          <w:sz w:val="24"/>
        </w:rPr>
      </w:pPr>
    </w:p>
    <w:p>
      <w:pPr>
        <w:spacing w:line="360" w:lineRule="auto"/>
        <w:ind w:right="140"/>
        <w:jc w:val="center"/>
        <w:rPr>
          <w:rFonts w:hint="eastAsia" w:ascii="仿宋" w:hAnsi="仿宋" w:eastAsia="仿宋" w:cs="仿宋"/>
          <w:spacing w:val="20"/>
          <w:sz w:val="24"/>
        </w:rPr>
      </w:pPr>
      <w:r>
        <w:rPr>
          <w:rFonts w:hint="eastAsia" w:ascii="仿宋" w:hAnsi="仿宋" w:eastAsia="仿宋" w:cs="仿宋"/>
          <w:spacing w:val="20"/>
          <w:sz w:val="24"/>
        </w:rPr>
        <w:t xml:space="preserve">                 投标人名称（公章）：</w:t>
      </w:r>
    </w:p>
    <w:p>
      <w:pPr>
        <w:spacing w:line="360" w:lineRule="auto"/>
        <w:ind w:right="140"/>
        <w:jc w:val="center"/>
        <w:rPr>
          <w:rFonts w:hint="eastAsia" w:ascii="仿宋" w:hAnsi="仿宋" w:eastAsia="仿宋" w:cs="仿宋"/>
          <w:spacing w:val="20"/>
          <w:sz w:val="24"/>
        </w:rPr>
      </w:pPr>
    </w:p>
    <w:p>
      <w:pPr>
        <w:wordWrap w:val="0"/>
        <w:spacing w:line="360" w:lineRule="auto"/>
        <w:ind w:right="560" w:firstLine="4620" w:firstLineChars="1650"/>
        <w:rPr>
          <w:rFonts w:hint="eastAsia" w:ascii="仿宋" w:hAnsi="仿宋" w:eastAsia="仿宋" w:cs="仿宋"/>
          <w:spacing w:val="20"/>
          <w:sz w:val="24"/>
        </w:rPr>
      </w:pPr>
      <w:r>
        <w:rPr>
          <w:rFonts w:hint="eastAsia" w:ascii="仿宋" w:hAnsi="仿宋" w:eastAsia="仿宋" w:cs="仿宋"/>
          <w:spacing w:val="20"/>
          <w:sz w:val="24"/>
        </w:rPr>
        <w:t>法定代表人（签字）：</w:t>
      </w:r>
    </w:p>
    <w:p>
      <w:pPr>
        <w:wordWrap w:val="0"/>
        <w:spacing w:line="360" w:lineRule="auto"/>
        <w:ind w:right="560" w:firstLine="4620" w:firstLineChars="1650"/>
        <w:rPr>
          <w:rFonts w:hint="eastAsia" w:ascii="仿宋" w:hAnsi="仿宋" w:eastAsia="仿宋" w:cs="仿宋"/>
          <w:spacing w:val="20"/>
          <w:sz w:val="24"/>
        </w:rPr>
      </w:pPr>
    </w:p>
    <w:p>
      <w:pPr>
        <w:wordWrap w:val="0"/>
        <w:spacing w:line="360" w:lineRule="auto"/>
        <w:ind w:right="560" w:firstLine="4620" w:firstLineChars="1650"/>
        <w:rPr>
          <w:rFonts w:hint="eastAsia" w:ascii="仿宋" w:hAnsi="仿宋" w:eastAsia="仿宋" w:cs="仿宋"/>
          <w:spacing w:val="20"/>
          <w:sz w:val="24"/>
        </w:rPr>
      </w:pPr>
      <w:r>
        <w:rPr>
          <w:rFonts w:hint="eastAsia" w:ascii="仿宋" w:hAnsi="仿宋" w:eastAsia="仿宋" w:cs="仿宋"/>
          <w:spacing w:val="20"/>
          <w:sz w:val="24"/>
        </w:rPr>
        <w:t>被授权人（签字）：</w:t>
      </w:r>
    </w:p>
    <w:p>
      <w:pPr>
        <w:wordWrap w:val="0"/>
        <w:spacing w:line="360" w:lineRule="auto"/>
        <w:jc w:val="right"/>
        <w:rPr>
          <w:rFonts w:hint="eastAsia" w:ascii="仿宋" w:hAnsi="仿宋" w:eastAsia="仿宋" w:cs="仿宋"/>
          <w:spacing w:val="20"/>
          <w:sz w:val="24"/>
          <w:u w:val="single"/>
        </w:rPr>
      </w:pP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签发日期：         </w:t>
      </w: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rPr>
      </w:pPr>
    </w:p>
    <w:p>
      <w:pPr>
        <w:spacing w:line="360" w:lineRule="auto"/>
        <w:rPr>
          <w:rFonts w:hint="eastAsia" w:ascii="仿宋" w:hAnsi="仿宋" w:eastAsia="仿宋" w:cs="仿宋"/>
          <w:spacing w:val="20"/>
          <w:sz w:val="24"/>
          <w:u w:val="single"/>
        </w:rPr>
      </w:pPr>
    </w:p>
    <w:p>
      <w:pPr>
        <w:jc w:val="center"/>
        <w:rPr>
          <w:rFonts w:hint="eastAsia" w:ascii="仿宋" w:hAnsi="仿宋" w:eastAsia="仿宋" w:cs="仿宋"/>
          <w:b/>
          <w:spacing w:val="20"/>
          <w:sz w:val="24"/>
        </w:rPr>
      </w:pPr>
      <w:r>
        <w:rPr>
          <w:rFonts w:hint="eastAsia" w:ascii="仿宋" w:hAnsi="仿宋" w:eastAsia="仿宋" w:cs="仿宋"/>
          <w:b/>
          <w:spacing w:val="20"/>
          <w:sz w:val="24"/>
        </w:rPr>
        <w:t>二、法定代表人及授权委托人的身份证（复印件）</w:t>
      </w:r>
    </w:p>
    <w:p>
      <w:pPr>
        <w:jc w:val="center"/>
        <w:rPr>
          <w:rFonts w:hint="eastAsia" w:ascii="仿宋" w:hAnsi="仿宋" w:eastAsia="仿宋" w:cs="仿宋"/>
          <w:spacing w:val="20"/>
          <w:sz w:val="24"/>
        </w:rPr>
      </w:pPr>
    </w:p>
    <w:p>
      <w:pPr>
        <w:jc w:val="center"/>
        <w:rPr>
          <w:rFonts w:hint="eastAsia" w:ascii="仿宋" w:hAnsi="仿宋" w:eastAsia="仿宋" w:cs="仿宋"/>
          <w:b/>
          <w:spacing w:val="20"/>
          <w:sz w:val="24"/>
        </w:rPr>
      </w:pPr>
    </w:p>
    <w:p>
      <w:pP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三、声明书</w:t>
      </w:r>
    </w:p>
    <w:p>
      <w:pPr>
        <w:rPr>
          <w:rFonts w:hint="eastAsia" w:ascii="仿宋" w:hAnsi="仿宋" w:eastAsia="仿宋" w:cs="仿宋"/>
          <w:spacing w:val="20"/>
          <w:sz w:val="24"/>
        </w:rPr>
      </w:pPr>
    </w:p>
    <w:p>
      <w:pPr>
        <w:spacing w:line="360" w:lineRule="auto"/>
        <w:rPr>
          <w:rFonts w:hint="eastAsia" w:ascii="仿宋" w:hAnsi="仿宋" w:eastAsia="仿宋" w:cs="仿宋"/>
          <w:spacing w:val="20"/>
          <w:sz w:val="24"/>
        </w:rPr>
      </w:pPr>
      <w:r>
        <w:rPr>
          <w:rFonts w:hint="eastAsia" w:ascii="仿宋" w:hAnsi="仿宋" w:eastAsia="仿宋" w:cs="仿宋"/>
          <w:spacing w:val="20"/>
          <w:sz w:val="24"/>
        </w:rPr>
        <w:t>杭州市西湖区排灌设施管理服务站：</w:t>
      </w:r>
    </w:p>
    <w:p>
      <w:pPr>
        <w:spacing w:line="360" w:lineRule="auto"/>
        <w:ind w:firstLine="645"/>
        <w:rPr>
          <w:rFonts w:hint="eastAsia" w:ascii="仿宋" w:hAnsi="仿宋" w:eastAsia="仿宋" w:cs="仿宋"/>
          <w:spacing w:val="20"/>
          <w:sz w:val="24"/>
        </w:rPr>
      </w:pPr>
      <w:r>
        <w:rPr>
          <w:rFonts w:hint="eastAsia" w:ascii="仿宋" w:hAnsi="仿宋" w:eastAsia="仿宋" w:cs="仿宋"/>
          <w:spacing w:val="20"/>
          <w:sz w:val="24"/>
        </w:rPr>
        <w:t>本单位自愿参加“     采购项目”（编号：     ）政府采购项目的投标，并保证投标文件中所列举的投标报价文件及相关资料和公司基本情况资料是真实的、合法的。</w:t>
      </w:r>
    </w:p>
    <w:p>
      <w:pPr>
        <w:spacing w:line="360" w:lineRule="auto"/>
        <w:ind w:firstLine="645"/>
        <w:rPr>
          <w:rFonts w:hint="eastAsia" w:ascii="仿宋" w:hAnsi="仿宋" w:eastAsia="仿宋" w:cs="仿宋"/>
          <w:spacing w:val="20"/>
          <w:sz w:val="24"/>
        </w:rPr>
      </w:pPr>
      <w:r>
        <w:rPr>
          <w:rFonts w:hint="eastAsia" w:ascii="仿宋" w:hAnsi="仿宋" w:eastAsia="仿宋" w:cs="仿宋"/>
          <w:spacing w:val="20"/>
          <w:sz w:val="24"/>
        </w:rPr>
        <w:t>同意此次招标文件中的各项内容。</w:t>
      </w:r>
    </w:p>
    <w:p>
      <w:pPr>
        <w:spacing w:line="360" w:lineRule="auto"/>
        <w:ind w:firstLine="645"/>
        <w:rPr>
          <w:rFonts w:hint="eastAsia" w:ascii="仿宋" w:hAnsi="仿宋" w:eastAsia="仿宋" w:cs="仿宋"/>
          <w:spacing w:val="20"/>
          <w:sz w:val="24"/>
        </w:rPr>
      </w:pPr>
      <w:r>
        <w:rPr>
          <w:rFonts w:hint="eastAsia" w:ascii="仿宋" w:hAnsi="仿宋" w:eastAsia="仿宋" w:cs="仿宋"/>
          <w:spacing w:val="20"/>
          <w:sz w:val="24"/>
        </w:rPr>
        <w:t>同意提供按照贵方可能要求的与投标有关的一切数据或资料等。</w:t>
      </w:r>
    </w:p>
    <w:p>
      <w:pPr>
        <w:spacing w:line="360" w:lineRule="auto"/>
        <w:ind w:firstLine="645"/>
        <w:rPr>
          <w:rFonts w:hint="eastAsia" w:ascii="仿宋" w:hAnsi="仿宋" w:eastAsia="仿宋" w:cs="仿宋"/>
          <w:spacing w:val="20"/>
          <w:sz w:val="24"/>
        </w:rPr>
      </w:pPr>
      <w:r>
        <w:rPr>
          <w:rFonts w:hint="eastAsia" w:ascii="仿宋" w:hAnsi="仿宋" w:eastAsia="仿宋" w:cs="仿宋"/>
          <w:spacing w:val="20"/>
          <w:sz w:val="24"/>
        </w:rPr>
        <w:t>本单位如中标，保证按照投标文件的承诺与贵方签订合同，保证履行合同条款并缴纳履约保证金。</w:t>
      </w:r>
    </w:p>
    <w:p>
      <w:pPr>
        <w:jc w:val="center"/>
        <w:rPr>
          <w:rFonts w:hint="eastAsia" w:ascii="仿宋" w:hAnsi="仿宋" w:eastAsia="仿宋" w:cs="仿宋"/>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jc w:val="center"/>
        <w:rPr>
          <w:rFonts w:hint="eastAsia" w:ascii="仿宋" w:hAnsi="仿宋" w:eastAsia="仿宋" w:cs="仿宋"/>
          <w:spacing w:val="20"/>
          <w:sz w:val="24"/>
        </w:rPr>
      </w:pPr>
    </w:p>
    <w:p>
      <w:pPr>
        <w:jc w:val="center"/>
        <w:rPr>
          <w:rFonts w:hint="eastAsia" w:ascii="仿宋" w:hAnsi="仿宋" w:eastAsia="仿宋" w:cs="仿宋"/>
          <w:spacing w:val="20"/>
          <w:sz w:val="24"/>
        </w:rPr>
      </w:pPr>
      <w:r>
        <w:rPr>
          <w:rFonts w:hint="eastAsia" w:ascii="仿宋" w:hAnsi="仿宋" w:eastAsia="仿宋" w:cs="仿宋"/>
          <w:b/>
          <w:spacing w:val="20"/>
          <w:sz w:val="24"/>
        </w:rPr>
        <w:t>四、有效的营业执照（复印件）</w:t>
      </w:r>
    </w:p>
    <w:p>
      <w:pPr>
        <w:jc w:val="center"/>
        <w:rPr>
          <w:rFonts w:hint="eastAsia" w:ascii="仿宋" w:hAnsi="仿宋" w:eastAsia="仿宋" w:cs="仿宋"/>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五、有效的税务登记证（复印件）</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六、有效的社保登记证（复印件）</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七、</w:t>
      </w:r>
      <w:r>
        <w:rPr>
          <w:rFonts w:hint="eastAsia" w:ascii="仿宋" w:hAnsi="仿宋" w:eastAsia="仿宋" w:cs="仿宋"/>
          <w:b/>
          <w:bCs/>
          <w:sz w:val="24"/>
        </w:rPr>
        <w:t>项目组成人员及项目负责人技术负责人情况（表格格式自拟）</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八、所有资质文件（复印件）</w:t>
      </w:r>
    </w:p>
    <w:p>
      <w:pPr>
        <w:spacing w:line="360" w:lineRule="auto"/>
        <w:jc w:val="center"/>
        <w:rPr>
          <w:rFonts w:hint="eastAsia" w:ascii="仿宋" w:hAnsi="仿宋" w:eastAsia="仿宋" w:cs="仿宋"/>
          <w:b/>
          <w:spacing w:val="20"/>
          <w:sz w:val="24"/>
        </w:rPr>
      </w:pPr>
      <w:r>
        <w:rPr>
          <w:rFonts w:hint="eastAsia" w:ascii="仿宋" w:hAnsi="仿宋" w:eastAsia="仿宋" w:cs="仿宋"/>
          <w:spacing w:val="20"/>
          <w:sz w:val="24"/>
        </w:rPr>
        <w:t>（由投标人根据采购需求及招标文件要求编写）</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九、产品、仪器有关证书</w:t>
      </w:r>
    </w:p>
    <w:p>
      <w:pPr>
        <w:spacing w:line="360" w:lineRule="auto"/>
        <w:jc w:val="center"/>
        <w:rPr>
          <w:rFonts w:hint="eastAsia" w:ascii="仿宋" w:hAnsi="仿宋" w:eastAsia="仿宋" w:cs="仿宋"/>
          <w:b/>
          <w:spacing w:val="20"/>
          <w:sz w:val="24"/>
        </w:rPr>
      </w:pPr>
      <w:r>
        <w:rPr>
          <w:rFonts w:hint="eastAsia" w:ascii="仿宋" w:hAnsi="仿宋" w:eastAsia="仿宋" w:cs="仿宋"/>
          <w:spacing w:val="20"/>
          <w:sz w:val="24"/>
        </w:rPr>
        <w:t>（由投标人根据采购需求及招标文件要求编写）</w:t>
      </w:r>
    </w:p>
    <w:p>
      <w:pPr>
        <w:jc w:val="center"/>
        <w:rPr>
          <w:rFonts w:hint="eastAsia" w:ascii="仿宋" w:hAnsi="仿宋" w:eastAsia="仿宋" w:cs="仿宋"/>
          <w:b/>
          <w:spacing w:val="20"/>
          <w:sz w:val="24"/>
        </w:rPr>
      </w:pPr>
      <w:r>
        <w:rPr>
          <w:rFonts w:hint="eastAsia" w:ascii="仿宋" w:hAnsi="仿宋" w:eastAsia="仿宋" w:cs="仿宋"/>
          <w:b/>
          <w:spacing w:val="20"/>
          <w:sz w:val="24"/>
        </w:rPr>
        <w:t>十、公司介绍</w:t>
      </w:r>
    </w:p>
    <w:p>
      <w:pPr>
        <w:jc w:val="center"/>
        <w:rPr>
          <w:rFonts w:hint="eastAsia" w:ascii="仿宋" w:hAnsi="仿宋" w:eastAsia="仿宋" w:cs="仿宋"/>
          <w:b/>
          <w:spacing w:val="20"/>
          <w:sz w:val="24"/>
        </w:rPr>
      </w:pPr>
      <w:r>
        <w:rPr>
          <w:rFonts w:hint="eastAsia" w:ascii="仿宋" w:hAnsi="仿宋" w:eastAsia="仿宋" w:cs="仿宋"/>
          <w:b/>
          <w:spacing w:val="20"/>
          <w:sz w:val="24"/>
        </w:rPr>
        <w:t>（由投标人自行编制）</w:t>
      </w:r>
    </w:p>
    <w:p>
      <w:pPr>
        <w:jc w:val="center"/>
        <w:rPr>
          <w:rFonts w:hint="eastAsia" w:ascii="仿宋" w:hAnsi="仿宋" w:eastAsia="仿宋" w:cs="仿宋"/>
          <w:b/>
          <w:spacing w:val="20"/>
          <w:sz w:val="24"/>
        </w:rPr>
      </w:pPr>
    </w:p>
    <w:p>
      <w:pPr>
        <w:rPr>
          <w:rFonts w:hint="eastAsia" w:ascii="仿宋" w:hAnsi="仿宋" w:eastAsia="仿宋" w:cs="仿宋"/>
          <w:b/>
          <w:spacing w:val="20"/>
          <w:sz w:val="24"/>
        </w:rPr>
      </w:pPr>
    </w:p>
    <w:p>
      <w:pPr>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pStyle w:val="3"/>
        <w:rPr>
          <w:rFonts w:hint="eastAsia" w:ascii="仿宋" w:hAnsi="仿宋" w:eastAsia="仿宋" w:cs="仿宋"/>
        </w:rPr>
      </w:pPr>
    </w:p>
    <w:p>
      <w:pPr>
        <w:jc w:val="center"/>
        <w:rPr>
          <w:rFonts w:hint="eastAsia" w:ascii="仿宋" w:hAnsi="仿宋" w:eastAsia="仿宋" w:cs="仿宋"/>
          <w:b/>
          <w:spacing w:val="20"/>
          <w:sz w:val="24"/>
        </w:rPr>
      </w:pPr>
      <w:r>
        <w:rPr>
          <w:rFonts w:hint="eastAsia" w:ascii="仿宋" w:hAnsi="仿宋" w:eastAsia="仿宋" w:cs="仿宋"/>
          <w:b/>
          <w:spacing w:val="20"/>
          <w:sz w:val="24"/>
        </w:rPr>
        <w:t>十一、主要业绩证明</w:t>
      </w:r>
    </w:p>
    <w:p>
      <w:pPr>
        <w:jc w:val="center"/>
        <w:rPr>
          <w:rFonts w:hint="eastAsia" w:ascii="仿宋" w:hAnsi="仿宋" w:eastAsia="仿宋" w:cs="仿宋"/>
          <w:b/>
          <w:spacing w:val="20"/>
          <w:sz w:val="24"/>
        </w:rPr>
      </w:pPr>
    </w:p>
    <w:p>
      <w:pPr>
        <w:rPr>
          <w:rFonts w:hint="eastAsia" w:ascii="仿宋" w:hAnsi="仿宋" w:eastAsia="仿宋" w:cs="仿宋"/>
          <w:b/>
          <w:spacing w:val="20"/>
          <w:sz w:val="24"/>
        </w:rPr>
      </w:pPr>
      <w:r>
        <w:rPr>
          <w:rFonts w:hint="eastAsia" w:ascii="仿宋" w:hAnsi="仿宋" w:eastAsia="仿宋" w:cs="仿宋"/>
          <w:b/>
          <w:spacing w:val="20"/>
          <w:sz w:val="24"/>
        </w:rPr>
        <w:t>附表：相关项目业绩一览表</w:t>
      </w:r>
    </w:p>
    <w:tbl>
      <w:tblPr>
        <w:tblStyle w:val="45"/>
        <w:tblW w:w="0" w:type="auto"/>
        <w:tblInd w:w="0" w:type="dxa"/>
        <w:tblLayout w:type="fixed"/>
        <w:tblCellMar>
          <w:top w:w="0" w:type="dxa"/>
          <w:left w:w="108" w:type="dxa"/>
          <w:bottom w:w="0" w:type="dxa"/>
          <w:right w:w="108" w:type="dxa"/>
        </w:tblCellMar>
      </w:tblPr>
      <w:tblGrid>
        <w:gridCol w:w="1576"/>
        <w:gridCol w:w="1576"/>
        <w:gridCol w:w="1576"/>
        <w:gridCol w:w="1576"/>
        <w:gridCol w:w="1576"/>
        <w:gridCol w:w="1578"/>
      </w:tblGrid>
      <w:tr>
        <w:tblPrEx>
          <w:tblCellMar>
            <w:top w:w="0" w:type="dxa"/>
            <w:left w:w="108" w:type="dxa"/>
            <w:bottom w:w="0" w:type="dxa"/>
            <w:right w:w="108" w:type="dxa"/>
          </w:tblCellMar>
        </w:tblPrEx>
        <w:trPr>
          <w:wBefore w:w="0" w:type="dxa"/>
        </w:trPr>
        <w:tc>
          <w:tcPr>
            <w:tcW w:w="1576"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项目名称</w:t>
            </w: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项目类型</w:t>
            </w: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简要描述</w:t>
            </w: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项目投资（万元）</w:t>
            </w: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用户单位联系人联系电话</w:t>
            </w:r>
          </w:p>
        </w:tc>
        <w:tc>
          <w:tcPr>
            <w:tcW w:w="1578"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所在页码</w:t>
            </w:r>
          </w:p>
        </w:tc>
      </w:tr>
      <w:tr>
        <w:tblPrEx>
          <w:tblCellMar>
            <w:top w:w="0" w:type="dxa"/>
            <w:left w:w="108" w:type="dxa"/>
            <w:bottom w:w="0" w:type="dxa"/>
            <w:right w:w="108" w:type="dxa"/>
          </w:tblCellMar>
        </w:tblPrEx>
        <w:trPr>
          <w:wBefore w:w="0" w:type="dxa"/>
        </w:trPr>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8"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8"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6" w:type="dxa"/>
            <w:noWrap w:val="0"/>
            <w:vAlign w:val="top"/>
          </w:tcPr>
          <w:p>
            <w:pPr>
              <w:tabs>
                <w:tab w:val="left" w:pos="8520"/>
              </w:tabs>
              <w:spacing w:line="360" w:lineRule="auto"/>
              <w:jc w:val="center"/>
              <w:rPr>
                <w:rFonts w:hint="eastAsia" w:ascii="仿宋" w:hAnsi="仿宋" w:eastAsia="仿宋" w:cs="仿宋"/>
                <w:spacing w:val="20"/>
                <w:sz w:val="24"/>
              </w:rPr>
            </w:pPr>
          </w:p>
        </w:tc>
        <w:tc>
          <w:tcPr>
            <w:tcW w:w="1578" w:type="dxa"/>
            <w:noWrap w:val="0"/>
            <w:vAlign w:val="top"/>
          </w:tcPr>
          <w:p>
            <w:pPr>
              <w:tabs>
                <w:tab w:val="left" w:pos="8520"/>
              </w:tabs>
              <w:spacing w:line="360" w:lineRule="auto"/>
              <w:jc w:val="center"/>
              <w:rPr>
                <w:rFonts w:hint="eastAsia" w:ascii="仿宋" w:hAnsi="仿宋" w:eastAsia="仿宋" w:cs="仿宋"/>
                <w:spacing w:val="20"/>
                <w:sz w:val="24"/>
              </w:rPr>
            </w:pPr>
          </w:p>
        </w:tc>
      </w:tr>
    </w:tbl>
    <w:p>
      <w:pPr>
        <w:rPr>
          <w:rFonts w:hint="eastAsia" w:ascii="仿宋" w:hAnsi="仿宋" w:eastAsia="仿宋" w:cs="仿宋"/>
          <w:spacing w:val="20"/>
          <w:sz w:val="24"/>
        </w:rPr>
      </w:pPr>
    </w:p>
    <w:p>
      <w:pPr>
        <w:rPr>
          <w:rFonts w:hint="eastAsia" w:ascii="仿宋" w:hAnsi="仿宋" w:eastAsia="仿宋" w:cs="仿宋"/>
          <w:b/>
          <w:spacing w:val="20"/>
          <w:sz w:val="24"/>
        </w:rPr>
      </w:pPr>
      <w:r>
        <w:rPr>
          <w:rFonts w:hint="eastAsia" w:ascii="仿宋" w:hAnsi="仿宋" w:eastAsia="仿宋" w:cs="仿宋"/>
          <w:spacing w:val="20"/>
          <w:sz w:val="24"/>
        </w:rPr>
        <w:t>注：投标人可按上述格式自行编制，须随表提交相应的合同复印件或用户单位验收证明并注明所在投标商务文件页码</w:t>
      </w:r>
      <w:r>
        <w:rPr>
          <w:rFonts w:hint="eastAsia" w:ascii="仿宋" w:hAnsi="仿宋" w:eastAsia="仿宋" w:cs="仿宋"/>
          <w:b/>
          <w:spacing w:val="20"/>
          <w:sz w:val="24"/>
        </w:rPr>
        <w:t>。</w:t>
      </w:r>
    </w:p>
    <w:p>
      <w:pPr>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r>
        <w:rPr>
          <w:rFonts w:hint="eastAsia" w:ascii="仿宋" w:hAnsi="仿宋" w:eastAsia="仿宋" w:cs="仿宋"/>
          <w:b/>
          <w:spacing w:val="20"/>
          <w:sz w:val="24"/>
        </w:rPr>
        <w:t>十二、商务偏离说明</w:t>
      </w:r>
    </w:p>
    <w:p>
      <w:pPr>
        <w:jc w:val="center"/>
        <w:rPr>
          <w:rFonts w:hint="eastAsia" w:ascii="仿宋" w:hAnsi="仿宋" w:eastAsia="仿宋" w:cs="仿宋"/>
          <w:b/>
          <w:spacing w:val="20"/>
          <w:sz w:val="24"/>
        </w:rPr>
      </w:pPr>
    </w:p>
    <w:tbl>
      <w:tblPr>
        <w:tblStyle w:val="45"/>
        <w:tblW w:w="0" w:type="auto"/>
        <w:tblInd w:w="0" w:type="dxa"/>
        <w:tblLayout w:type="fixed"/>
        <w:tblCellMar>
          <w:top w:w="0" w:type="dxa"/>
          <w:left w:w="108" w:type="dxa"/>
          <w:bottom w:w="0" w:type="dxa"/>
          <w:right w:w="108" w:type="dxa"/>
        </w:tblCellMar>
      </w:tblPr>
      <w:tblGrid>
        <w:gridCol w:w="2363"/>
        <w:gridCol w:w="2759"/>
        <w:gridCol w:w="2723"/>
        <w:gridCol w:w="1783"/>
      </w:tblGrid>
      <w:tr>
        <w:tblPrEx>
          <w:tblCellMar>
            <w:top w:w="0" w:type="dxa"/>
            <w:left w:w="108" w:type="dxa"/>
            <w:bottom w:w="0" w:type="dxa"/>
            <w:right w:w="108" w:type="dxa"/>
          </w:tblCellMar>
        </w:tblPrEx>
        <w:trPr>
          <w:wBefore w:w="0" w:type="dxa"/>
        </w:trPr>
        <w:tc>
          <w:tcPr>
            <w:tcW w:w="2363"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招标文件条目号</w:t>
            </w:r>
          </w:p>
        </w:tc>
        <w:tc>
          <w:tcPr>
            <w:tcW w:w="2759"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招标文件商务条款</w:t>
            </w:r>
          </w:p>
        </w:tc>
        <w:tc>
          <w:tcPr>
            <w:tcW w:w="2723"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投标文件商务条款</w:t>
            </w:r>
          </w:p>
        </w:tc>
        <w:tc>
          <w:tcPr>
            <w:tcW w:w="1783" w:type="dxa"/>
            <w:noWrap w:val="0"/>
            <w:vAlign w:val="top"/>
          </w:tcPr>
          <w:p>
            <w:pPr>
              <w:tabs>
                <w:tab w:val="left" w:pos="8520"/>
              </w:tabs>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说明</w:t>
            </w:r>
          </w:p>
        </w:tc>
      </w:tr>
      <w:tr>
        <w:tblPrEx>
          <w:tblCellMar>
            <w:top w:w="0" w:type="dxa"/>
            <w:left w:w="108" w:type="dxa"/>
            <w:bottom w:w="0" w:type="dxa"/>
            <w:right w:w="108" w:type="dxa"/>
          </w:tblCellMar>
        </w:tblPrEx>
        <w:trPr>
          <w:wBefore w:w="0" w:type="dxa"/>
        </w:trPr>
        <w:tc>
          <w:tcPr>
            <w:tcW w:w="2363" w:type="dxa"/>
            <w:noWrap w:val="0"/>
            <w:vAlign w:val="top"/>
          </w:tcPr>
          <w:p>
            <w:pPr>
              <w:tabs>
                <w:tab w:val="left" w:pos="8520"/>
              </w:tabs>
              <w:spacing w:line="360" w:lineRule="auto"/>
              <w:jc w:val="center"/>
              <w:rPr>
                <w:rFonts w:hint="eastAsia" w:ascii="仿宋" w:hAnsi="仿宋" w:eastAsia="仿宋" w:cs="仿宋"/>
                <w:spacing w:val="20"/>
                <w:sz w:val="24"/>
              </w:rPr>
            </w:pPr>
          </w:p>
        </w:tc>
        <w:tc>
          <w:tcPr>
            <w:tcW w:w="2759" w:type="dxa"/>
            <w:noWrap w:val="0"/>
            <w:vAlign w:val="top"/>
          </w:tcPr>
          <w:p>
            <w:pPr>
              <w:tabs>
                <w:tab w:val="left" w:pos="8520"/>
              </w:tabs>
              <w:spacing w:line="360" w:lineRule="auto"/>
              <w:jc w:val="center"/>
              <w:rPr>
                <w:rFonts w:hint="eastAsia" w:ascii="仿宋" w:hAnsi="仿宋" w:eastAsia="仿宋" w:cs="仿宋"/>
                <w:spacing w:val="20"/>
                <w:sz w:val="24"/>
              </w:rPr>
            </w:pPr>
          </w:p>
        </w:tc>
        <w:tc>
          <w:tcPr>
            <w:tcW w:w="2723" w:type="dxa"/>
            <w:noWrap w:val="0"/>
            <w:vAlign w:val="top"/>
          </w:tcPr>
          <w:p>
            <w:pPr>
              <w:tabs>
                <w:tab w:val="left" w:pos="8520"/>
              </w:tabs>
              <w:spacing w:line="360" w:lineRule="auto"/>
              <w:jc w:val="center"/>
              <w:rPr>
                <w:rFonts w:hint="eastAsia" w:ascii="仿宋" w:hAnsi="仿宋" w:eastAsia="仿宋" w:cs="仿宋"/>
                <w:spacing w:val="20"/>
                <w:sz w:val="24"/>
              </w:rPr>
            </w:pPr>
          </w:p>
        </w:tc>
        <w:tc>
          <w:tcPr>
            <w:tcW w:w="1783"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2363" w:type="dxa"/>
            <w:noWrap w:val="0"/>
            <w:vAlign w:val="top"/>
          </w:tcPr>
          <w:p>
            <w:pPr>
              <w:tabs>
                <w:tab w:val="left" w:pos="8520"/>
              </w:tabs>
              <w:spacing w:line="360" w:lineRule="auto"/>
              <w:jc w:val="center"/>
              <w:rPr>
                <w:rFonts w:hint="eastAsia" w:ascii="仿宋" w:hAnsi="仿宋" w:eastAsia="仿宋" w:cs="仿宋"/>
                <w:spacing w:val="20"/>
                <w:sz w:val="24"/>
              </w:rPr>
            </w:pPr>
          </w:p>
        </w:tc>
        <w:tc>
          <w:tcPr>
            <w:tcW w:w="2759" w:type="dxa"/>
            <w:noWrap w:val="0"/>
            <w:vAlign w:val="top"/>
          </w:tcPr>
          <w:p>
            <w:pPr>
              <w:tabs>
                <w:tab w:val="left" w:pos="8520"/>
              </w:tabs>
              <w:spacing w:line="360" w:lineRule="auto"/>
              <w:jc w:val="center"/>
              <w:rPr>
                <w:rFonts w:hint="eastAsia" w:ascii="仿宋" w:hAnsi="仿宋" w:eastAsia="仿宋" w:cs="仿宋"/>
                <w:spacing w:val="20"/>
                <w:sz w:val="24"/>
              </w:rPr>
            </w:pPr>
          </w:p>
        </w:tc>
        <w:tc>
          <w:tcPr>
            <w:tcW w:w="2723" w:type="dxa"/>
            <w:noWrap w:val="0"/>
            <w:vAlign w:val="top"/>
          </w:tcPr>
          <w:p>
            <w:pPr>
              <w:tabs>
                <w:tab w:val="left" w:pos="8520"/>
              </w:tabs>
              <w:spacing w:line="360" w:lineRule="auto"/>
              <w:jc w:val="center"/>
              <w:rPr>
                <w:rFonts w:hint="eastAsia" w:ascii="仿宋" w:hAnsi="仿宋" w:eastAsia="仿宋" w:cs="仿宋"/>
                <w:spacing w:val="20"/>
                <w:sz w:val="24"/>
              </w:rPr>
            </w:pPr>
          </w:p>
        </w:tc>
        <w:tc>
          <w:tcPr>
            <w:tcW w:w="1783" w:type="dxa"/>
            <w:noWrap w:val="0"/>
            <w:vAlign w:val="top"/>
          </w:tcPr>
          <w:p>
            <w:pPr>
              <w:tabs>
                <w:tab w:val="left" w:pos="8520"/>
              </w:tabs>
              <w:spacing w:line="360" w:lineRule="auto"/>
              <w:jc w:val="center"/>
              <w:rPr>
                <w:rFonts w:hint="eastAsia" w:ascii="仿宋" w:hAnsi="仿宋" w:eastAsia="仿宋" w:cs="仿宋"/>
                <w:spacing w:val="20"/>
                <w:sz w:val="24"/>
              </w:rPr>
            </w:pPr>
          </w:p>
        </w:tc>
      </w:tr>
      <w:tr>
        <w:tblPrEx>
          <w:tblCellMar>
            <w:top w:w="0" w:type="dxa"/>
            <w:left w:w="108" w:type="dxa"/>
            <w:bottom w:w="0" w:type="dxa"/>
            <w:right w:w="108" w:type="dxa"/>
          </w:tblCellMar>
        </w:tblPrEx>
        <w:trPr>
          <w:wBefore w:w="0" w:type="dxa"/>
        </w:trPr>
        <w:tc>
          <w:tcPr>
            <w:tcW w:w="2363" w:type="dxa"/>
            <w:noWrap w:val="0"/>
            <w:vAlign w:val="top"/>
          </w:tcPr>
          <w:p>
            <w:pPr>
              <w:tabs>
                <w:tab w:val="left" w:pos="8520"/>
              </w:tabs>
              <w:spacing w:line="360" w:lineRule="auto"/>
              <w:jc w:val="center"/>
              <w:rPr>
                <w:rFonts w:hint="eastAsia" w:ascii="仿宋" w:hAnsi="仿宋" w:eastAsia="仿宋" w:cs="仿宋"/>
                <w:spacing w:val="20"/>
                <w:sz w:val="24"/>
              </w:rPr>
            </w:pPr>
          </w:p>
        </w:tc>
        <w:tc>
          <w:tcPr>
            <w:tcW w:w="2759" w:type="dxa"/>
            <w:noWrap w:val="0"/>
            <w:vAlign w:val="top"/>
          </w:tcPr>
          <w:p>
            <w:pPr>
              <w:tabs>
                <w:tab w:val="left" w:pos="8520"/>
              </w:tabs>
              <w:spacing w:line="360" w:lineRule="auto"/>
              <w:jc w:val="center"/>
              <w:rPr>
                <w:rFonts w:hint="eastAsia" w:ascii="仿宋" w:hAnsi="仿宋" w:eastAsia="仿宋" w:cs="仿宋"/>
                <w:spacing w:val="20"/>
                <w:sz w:val="24"/>
              </w:rPr>
            </w:pPr>
          </w:p>
        </w:tc>
        <w:tc>
          <w:tcPr>
            <w:tcW w:w="2723" w:type="dxa"/>
            <w:noWrap w:val="0"/>
            <w:vAlign w:val="top"/>
          </w:tcPr>
          <w:p>
            <w:pPr>
              <w:tabs>
                <w:tab w:val="left" w:pos="8520"/>
              </w:tabs>
              <w:spacing w:line="360" w:lineRule="auto"/>
              <w:jc w:val="center"/>
              <w:rPr>
                <w:rFonts w:hint="eastAsia" w:ascii="仿宋" w:hAnsi="仿宋" w:eastAsia="仿宋" w:cs="仿宋"/>
                <w:spacing w:val="20"/>
                <w:sz w:val="24"/>
              </w:rPr>
            </w:pPr>
          </w:p>
        </w:tc>
        <w:tc>
          <w:tcPr>
            <w:tcW w:w="1783" w:type="dxa"/>
            <w:noWrap w:val="0"/>
            <w:vAlign w:val="top"/>
          </w:tcPr>
          <w:p>
            <w:pPr>
              <w:tabs>
                <w:tab w:val="left" w:pos="8520"/>
              </w:tabs>
              <w:spacing w:line="360" w:lineRule="auto"/>
              <w:jc w:val="center"/>
              <w:rPr>
                <w:rFonts w:hint="eastAsia" w:ascii="仿宋" w:hAnsi="仿宋" w:eastAsia="仿宋" w:cs="仿宋"/>
                <w:spacing w:val="20"/>
                <w:sz w:val="24"/>
              </w:rPr>
            </w:pPr>
          </w:p>
        </w:tc>
      </w:tr>
    </w:tbl>
    <w:p>
      <w:pPr>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480" w:lineRule="auto"/>
        <w:jc w:val="center"/>
        <w:rPr>
          <w:rFonts w:hint="eastAsia" w:ascii="仿宋" w:hAnsi="仿宋" w:eastAsia="仿宋" w:cs="仿宋"/>
          <w:b/>
          <w:spacing w:val="20"/>
          <w:sz w:val="24"/>
        </w:rPr>
      </w:pPr>
    </w:p>
    <w:p>
      <w:pPr>
        <w:spacing w:line="480" w:lineRule="auto"/>
        <w:jc w:val="center"/>
        <w:rPr>
          <w:rFonts w:hint="eastAsia" w:ascii="仿宋" w:hAnsi="仿宋" w:eastAsia="仿宋" w:cs="仿宋"/>
          <w:b/>
          <w:spacing w:val="20"/>
          <w:sz w:val="24"/>
        </w:rPr>
      </w:pPr>
      <w:r>
        <w:rPr>
          <w:rFonts w:hint="eastAsia" w:ascii="仿宋" w:hAnsi="仿宋" w:eastAsia="仿宋" w:cs="仿宋"/>
          <w:b/>
          <w:spacing w:val="20"/>
          <w:sz w:val="24"/>
        </w:rPr>
        <w:t>十三、对招标文件中有关商务条款的拒绝声明</w:t>
      </w:r>
    </w:p>
    <w:p>
      <w:pPr>
        <w:spacing w:line="480" w:lineRule="auto"/>
        <w:jc w:val="center"/>
        <w:rPr>
          <w:rFonts w:hint="eastAsia" w:ascii="仿宋" w:hAnsi="仿宋" w:eastAsia="仿宋" w:cs="仿宋"/>
          <w:b/>
          <w:spacing w:val="20"/>
          <w:sz w:val="24"/>
        </w:rPr>
      </w:pPr>
      <w:r>
        <w:rPr>
          <w:rFonts w:hint="eastAsia" w:ascii="仿宋" w:hAnsi="仿宋" w:eastAsia="仿宋" w:cs="仿宋"/>
          <w:b/>
          <w:spacing w:val="20"/>
          <w:sz w:val="24"/>
        </w:rPr>
        <w:t>（由投标人根据采购需求自行编制）</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480" w:lineRule="auto"/>
        <w:jc w:val="center"/>
        <w:rPr>
          <w:rFonts w:hint="eastAsia" w:ascii="仿宋" w:hAnsi="仿宋" w:eastAsia="仿宋" w:cs="仿宋"/>
          <w:b/>
          <w:spacing w:val="20"/>
          <w:sz w:val="24"/>
        </w:rPr>
      </w:pPr>
      <w:r>
        <w:rPr>
          <w:rFonts w:hint="eastAsia" w:ascii="仿宋" w:hAnsi="仿宋" w:eastAsia="仿宋" w:cs="仿宋"/>
          <w:b/>
          <w:spacing w:val="20"/>
          <w:sz w:val="24"/>
        </w:rPr>
        <w:t>十四、投标人认为需要的其他商务文件或说明</w:t>
      </w:r>
    </w:p>
    <w:p>
      <w:pPr>
        <w:spacing w:line="480" w:lineRule="auto"/>
        <w:jc w:val="center"/>
        <w:rPr>
          <w:rFonts w:hint="eastAsia" w:ascii="仿宋" w:hAnsi="仿宋" w:eastAsia="仿宋" w:cs="仿宋"/>
          <w:b/>
          <w:spacing w:val="20"/>
          <w:sz w:val="24"/>
        </w:rPr>
      </w:pPr>
      <w:r>
        <w:rPr>
          <w:rFonts w:hint="eastAsia" w:ascii="仿宋" w:hAnsi="仿宋" w:eastAsia="仿宋" w:cs="仿宋"/>
          <w:b/>
          <w:spacing w:val="20"/>
          <w:sz w:val="24"/>
        </w:rPr>
        <w:t>（由投标人根据采购需求自行编制）</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投标人名称（公章）：         </w:t>
      </w:r>
    </w:p>
    <w:p>
      <w:pPr>
        <w:spacing w:line="360" w:lineRule="auto"/>
        <w:jc w:val="right"/>
        <w:rPr>
          <w:rFonts w:hint="eastAsia" w:ascii="仿宋" w:hAnsi="仿宋" w:eastAsia="仿宋" w:cs="仿宋"/>
          <w:spacing w:val="20"/>
          <w:sz w:val="24"/>
        </w:rPr>
      </w:pPr>
      <w:r>
        <w:rPr>
          <w:rFonts w:hint="eastAsia" w:ascii="仿宋" w:hAnsi="仿宋" w:eastAsia="仿宋" w:cs="仿宋"/>
          <w:spacing w:val="20"/>
          <w:sz w:val="24"/>
        </w:rPr>
        <w:t xml:space="preserve">法定代表人或授权委托人（签字）：         </w:t>
      </w:r>
    </w:p>
    <w:p>
      <w:pPr>
        <w:wordWrap w:val="0"/>
        <w:spacing w:line="360" w:lineRule="auto"/>
        <w:jc w:val="right"/>
        <w:rPr>
          <w:rFonts w:hint="eastAsia" w:ascii="仿宋" w:hAnsi="仿宋" w:eastAsia="仿宋" w:cs="仿宋"/>
          <w:spacing w:val="20"/>
          <w:sz w:val="24"/>
        </w:rPr>
      </w:pPr>
      <w:r>
        <w:rPr>
          <w:rFonts w:hint="eastAsia" w:ascii="仿宋" w:hAnsi="仿宋" w:eastAsia="仿宋" w:cs="仿宋"/>
          <w:spacing w:val="20"/>
          <w:sz w:val="24"/>
        </w:rPr>
        <w:t>日期：  年   月   日</w:t>
      </w:r>
    </w:p>
    <w:p>
      <w:pPr>
        <w:spacing w:line="360" w:lineRule="auto"/>
        <w:ind w:firstLine="3495" w:firstLineChars="1244"/>
        <w:rPr>
          <w:rFonts w:hint="eastAsia" w:ascii="仿宋" w:hAnsi="仿宋" w:eastAsia="仿宋" w:cs="仿宋"/>
          <w:b/>
          <w:sz w:val="24"/>
        </w:rPr>
      </w:pPr>
      <w:r>
        <w:rPr>
          <w:rFonts w:hint="eastAsia" w:ascii="仿宋" w:hAnsi="仿宋" w:eastAsia="仿宋" w:cs="仿宋"/>
          <w:b/>
          <w:spacing w:val="20"/>
          <w:sz w:val="24"/>
        </w:rPr>
        <w:br w:type="page"/>
      </w:r>
      <w:r>
        <w:rPr>
          <w:rFonts w:hint="eastAsia" w:ascii="仿宋" w:hAnsi="仿宋" w:eastAsia="仿宋" w:cs="仿宋"/>
          <w:b/>
          <w:spacing w:val="20"/>
          <w:sz w:val="24"/>
        </w:rPr>
        <w:t>十五、</w:t>
      </w:r>
      <w:r>
        <w:rPr>
          <w:rFonts w:hint="eastAsia" w:ascii="仿宋" w:hAnsi="仿宋" w:eastAsia="仿宋" w:cs="仿宋"/>
          <w:b/>
          <w:sz w:val="24"/>
        </w:rPr>
        <w:t>廉政承诺书</w:t>
      </w:r>
    </w:p>
    <w:p>
      <w:pPr>
        <w:spacing w:line="360" w:lineRule="auto"/>
        <w:rPr>
          <w:rFonts w:hint="eastAsia" w:ascii="仿宋" w:hAnsi="仿宋" w:eastAsia="仿宋" w:cs="仿宋"/>
          <w:b/>
          <w:sz w:val="24"/>
        </w:rPr>
      </w:pPr>
      <w:r>
        <w:rPr>
          <w:rFonts w:hint="eastAsia" w:ascii="仿宋" w:hAnsi="仿宋" w:eastAsia="仿宋" w:cs="仿宋"/>
          <w:b/>
          <w:szCs w:val="21"/>
        </w:rPr>
        <w:t>杭州市西湖区排灌设施管理服务站</w:t>
      </w:r>
      <w:r>
        <w:rPr>
          <w:rFonts w:hint="eastAsia" w:ascii="仿宋" w:hAnsi="仿宋" w:eastAsia="仿宋" w:cs="仿宋"/>
          <w:b/>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我单位响应你单位项目招标要求参加投标。在这次投标过程中和中标后，我们将严格遵守国家法律法规要求，并郑重承诺：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一、不向项目有关人员及部门赠送礼金礼物、有价证券、回扣以及中介费、介绍费、咨询费等好处费；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二、不为项目有关人员及部门报销应由你方单位或个人支付的费用；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三、不向项目有关人员及部门提供有可能影响公正的宴请和健身娱乐等活动；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四、不为项目有关人员及部门出国（境）、旅游等提供方便；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五、不为项目有关人员个人装修住房、婚丧嫁娶、配偶子女工作安排等提供好处；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六、严格遵守政府采购法、招标投标法、合同法等法律，诚实守信，合法经营，坚决抵制各种违法违纪行为。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4200" w:firstLineChars="1750"/>
        <w:rPr>
          <w:rFonts w:hint="eastAsia" w:ascii="仿宋" w:hAnsi="仿宋" w:eastAsia="仿宋" w:cs="仿宋"/>
          <w:sz w:val="24"/>
        </w:rPr>
      </w:pPr>
      <w:r>
        <w:rPr>
          <w:rFonts w:hint="eastAsia" w:ascii="仿宋" w:hAnsi="仿宋" w:eastAsia="仿宋" w:cs="仿宋"/>
          <w:sz w:val="24"/>
        </w:rPr>
        <w:t>投标人名称（公章）：</w:t>
      </w:r>
    </w:p>
    <w:p>
      <w:pPr>
        <w:spacing w:line="360" w:lineRule="auto"/>
        <w:ind w:firstLine="4200" w:firstLineChars="175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pacing w:val="20"/>
          <w:sz w:val="24"/>
        </w:rPr>
        <w:t>（签字）</w:t>
      </w:r>
      <w:r>
        <w:rPr>
          <w:rFonts w:hint="eastAsia" w:ascii="仿宋" w:hAnsi="仿宋" w:eastAsia="仿宋" w:cs="仿宋"/>
          <w:sz w:val="24"/>
        </w:rPr>
        <w:t>：</w:t>
      </w:r>
    </w:p>
    <w:p>
      <w:pPr>
        <w:spacing w:line="360" w:lineRule="auto"/>
        <w:ind w:firstLine="4200" w:firstLineChars="1750"/>
        <w:rPr>
          <w:rFonts w:hint="eastAsia" w:ascii="仿宋" w:hAnsi="仿宋" w:eastAsia="仿宋" w:cs="仿宋"/>
          <w:sz w:val="24"/>
        </w:rPr>
      </w:pPr>
      <w:r>
        <w:rPr>
          <w:rFonts w:hint="eastAsia" w:ascii="仿宋" w:hAnsi="仿宋" w:eastAsia="仿宋" w:cs="仿宋"/>
          <w:sz w:val="24"/>
        </w:rPr>
        <w:t>日期：   年  月  日</w:t>
      </w: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jc w:val="center"/>
        <w:rPr>
          <w:rFonts w:hint="eastAsia" w:ascii="仿宋" w:hAnsi="仿宋" w:eastAsia="仿宋" w:cs="仿宋"/>
          <w:b/>
          <w:spacing w:val="20"/>
          <w:sz w:val="24"/>
        </w:rPr>
      </w:pPr>
    </w:p>
    <w:p>
      <w:pPr>
        <w:spacing w:line="360" w:lineRule="auto"/>
        <w:rPr>
          <w:rFonts w:hint="eastAsia" w:ascii="仿宋" w:hAnsi="仿宋" w:eastAsia="仿宋" w:cs="仿宋"/>
          <w:spacing w:val="20"/>
          <w:sz w:val="24"/>
        </w:rPr>
      </w:pPr>
    </w:p>
    <w:p>
      <w:pPr>
        <w:spacing w:line="360" w:lineRule="auto"/>
        <w:ind w:firstLine="0" w:firstLineChars="0"/>
        <w:jc w:val="center"/>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b/>
          <w:sz w:val="36"/>
          <w:szCs w:val="36"/>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（二）线下融资模式：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4.审批通过后，合作银行应按照合作备忘录中约定的审批放款期限和优惠利率及时予以放款。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widowControl/>
        <w:spacing w:line="520" w:lineRule="exact"/>
        <w:jc w:val="left"/>
        <w:rPr>
          <w:rFonts w:hint="eastAsia" w:ascii="仿宋" w:hAnsi="仿宋" w:eastAsia="仿宋" w:cs="仿宋"/>
        </w:rPr>
      </w:pPr>
      <w:r>
        <w:rPr>
          <w:rFonts w:hint="eastAsia" w:ascii="仿宋" w:hAnsi="仿宋" w:eastAsia="仿宋" w:cs="仿宋"/>
        </w:rPr>
        <w:br w:type="page"/>
      </w:r>
      <w:r>
        <w:rPr>
          <w:rFonts w:hint="eastAsia" w:ascii="仿宋" w:hAnsi="仿宋" w:eastAsia="仿宋" w:cs="仿宋"/>
          <w:kern w:val="0"/>
          <w:sz w:val="24"/>
        </w:rPr>
        <w:t>（注：如投标人不是中小企业，</w:t>
      </w:r>
      <w:r>
        <w:rPr>
          <w:rFonts w:hint="eastAsia" w:ascii="仿宋" w:hAnsi="仿宋" w:eastAsia="仿宋" w:cs="仿宋"/>
          <w:sz w:val="24"/>
        </w:rPr>
        <w:t>残疾人福利性单位，</w:t>
      </w:r>
      <w:r>
        <w:rPr>
          <w:rFonts w:hint="eastAsia" w:ascii="仿宋" w:hAnsi="仿宋" w:eastAsia="仿宋" w:cs="仿宋"/>
          <w:kern w:val="0"/>
          <w:sz w:val="24"/>
        </w:rPr>
        <w:t>无需提供以下材料。）</w:t>
      </w:r>
    </w:p>
    <w:p>
      <w:pPr>
        <w:widowControl/>
        <w:spacing w:line="520" w:lineRule="exact"/>
        <w:jc w:val="left"/>
        <w:rPr>
          <w:rFonts w:hint="eastAsia" w:ascii="仿宋" w:hAnsi="仿宋" w:eastAsia="仿宋" w:cs="仿宋"/>
          <w:kern w:val="0"/>
          <w:sz w:val="24"/>
        </w:rPr>
      </w:pPr>
      <w:r>
        <w:rPr>
          <w:rFonts w:hint="eastAsia" w:ascii="仿宋" w:hAnsi="仿宋" w:eastAsia="仿宋" w:cs="仿宋"/>
          <w:kern w:val="0"/>
          <w:sz w:val="24"/>
        </w:rPr>
        <w:t>附1：</w:t>
      </w:r>
    </w:p>
    <w:p>
      <w:pPr>
        <w:widowControl/>
        <w:spacing w:line="520" w:lineRule="exact"/>
        <w:jc w:val="center"/>
        <w:rPr>
          <w:rFonts w:hint="eastAsia" w:ascii="仿宋" w:hAnsi="仿宋" w:eastAsia="仿宋" w:cs="仿宋"/>
          <w:kern w:val="0"/>
          <w:sz w:val="24"/>
        </w:rPr>
      </w:pPr>
      <w:r>
        <w:rPr>
          <w:rFonts w:hint="eastAsia" w:ascii="仿宋" w:hAnsi="仿宋" w:eastAsia="仿宋" w:cs="仿宋"/>
          <w:kern w:val="0"/>
          <w:sz w:val="24"/>
        </w:rPr>
        <w:t>中小企业声明函</w:t>
      </w: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r>
        <w:rPr>
          <w:rFonts w:hint="eastAsia" w:ascii="仿宋" w:hAnsi="仿宋" w:eastAsia="仿宋" w:cs="仿宋"/>
          <w:kern w:val="0"/>
          <w:sz w:val="24"/>
        </w:rPr>
        <w:t xml:space="preserve">    本公司郑重声明，根据《政府采购促进中小企业发展</w:t>
      </w:r>
      <w:r>
        <w:rPr>
          <w:rFonts w:hint="eastAsia" w:ascii="仿宋" w:hAnsi="仿宋" w:eastAsia="仿宋" w:cs="仿宋"/>
          <w:kern w:val="0"/>
          <w:sz w:val="24"/>
          <w:lang w:val="en-US" w:eastAsia="zh-CN"/>
        </w:rPr>
        <w:t>管理</w:t>
      </w:r>
      <w:r>
        <w:rPr>
          <w:rFonts w:hint="eastAsia" w:ascii="仿宋" w:hAnsi="仿宋" w:eastAsia="仿宋" w:cs="仿宋"/>
          <w:kern w:val="0"/>
          <w:sz w:val="24"/>
        </w:rPr>
        <w:t>办法》</w:t>
      </w:r>
      <w:r>
        <w:rPr>
          <w:rFonts w:hint="eastAsia" w:ascii="仿宋" w:hAnsi="仿宋" w:eastAsia="仿宋"/>
          <w:color w:val="auto"/>
          <w:sz w:val="24"/>
          <w:highlight w:val="none"/>
        </w:rPr>
        <w:t>（财库﹝2020﹞46 号）</w:t>
      </w:r>
      <w:r>
        <w:rPr>
          <w:rFonts w:hint="eastAsia" w:ascii="仿宋" w:hAnsi="仿宋" w:eastAsia="仿宋" w:cs="仿宋"/>
          <w:kern w:val="0"/>
          <w:sz w:val="24"/>
        </w:rPr>
        <w:t>的规定，本公司为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（请填写：中型、小型、微型）企业。即，本公司同时满足以下条件：</w:t>
      </w:r>
    </w:p>
    <w:p>
      <w:pPr>
        <w:widowControl/>
        <w:spacing w:line="520" w:lineRule="exact"/>
        <w:jc w:val="left"/>
        <w:rPr>
          <w:rFonts w:hint="eastAsia" w:ascii="仿宋" w:hAnsi="仿宋" w:eastAsia="仿宋" w:cs="仿宋"/>
          <w:kern w:val="0"/>
          <w:sz w:val="24"/>
        </w:rPr>
      </w:pPr>
      <w:r>
        <w:rPr>
          <w:rFonts w:hint="eastAsia" w:ascii="仿宋" w:hAnsi="仿宋" w:eastAsia="仿宋" w:cs="仿宋"/>
          <w:kern w:val="0"/>
          <w:sz w:val="24"/>
        </w:rPr>
        <w:t xml:space="preserve">    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（请填写：中型、小型、微型）企业。</w:t>
      </w:r>
    </w:p>
    <w:p>
      <w:pPr>
        <w:widowControl/>
        <w:spacing w:line="520" w:lineRule="exact"/>
        <w:ind w:firstLine="645"/>
        <w:jc w:val="left"/>
        <w:rPr>
          <w:rFonts w:hint="eastAsia" w:ascii="仿宋" w:hAnsi="仿宋" w:eastAsia="仿宋" w:cs="仿宋"/>
          <w:kern w:val="0"/>
          <w:sz w:val="24"/>
        </w:rPr>
      </w:pPr>
      <w:r>
        <w:rPr>
          <w:rFonts w:hint="eastAsia" w:ascii="仿宋" w:hAnsi="仿宋" w:eastAsia="仿宋" w:cs="仿宋"/>
          <w:kern w:val="0"/>
          <w:sz w:val="24"/>
        </w:rPr>
        <w:t>2．本公司参加</w:t>
      </w:r>
      <w:r>
        <w:rPr>
          <w:rFonts w:hint="eastAsia" w:ascii="仿宋" w:hAnsi="仿宋" w:eastAsia="仿宋" w:cs="仿宋"/>
          <w:kern w:val="0"/>
          <w:sz w:val="24"/>
          <w:u w:val="single"/>
        </w:rPr>
        <w:t xml:space="preserve">     </w:t>
      </w:r>
      <w:r>
        <w:rPr>
          <w:rFonts w:hint="eastAsia" w:ascii="仿宋" w:hAnsi="仿宋" w:eastAsia="仿宋" w:cs="仿宋"/>
          <w:kern w:val="0"/>
          <w:sz w:val="24"/>
        </w:rPr>
        <w:t>单位的</w:t>
      </w:r>
      <w:r>
        <w:rPr>
          <w:rFonts w:hint="eastAsia" w:ascii="仿宋" w:hAnsi="仿宋" w:eastAsia="仿宋" w:cs="仿宋"/>
          <w:kern w:val="0"/>
          <w:sz w:val="24"/>
          <w:u w:val="single"/>
        </w:rPr>
        <w:t xml:space="preserve">     </w:t>
      </w:r>
      <w:r>
        <w:rPr>
          <w:rFonts w:hint="eastAsia" w:ascii="仿宋" w:hAnsi="仿宋" w:eastAsia="仿宋" w:cs="仿宋"/>
          <w:kern w:val="0"/>
          <w:sz w:val="24"/>
        </w:rPr>
        <w:t>项目采购活动提供本企业制造的货物，由本企业承担工程、提供服务，或者提供其他</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（请填写：中型、小型、微型）企业制造的货物。本条所称货物不包括使用大型企业注册商标的货物。</w:t>
      </w:r>
    </w:p>
    <w:p>
      <w:pPr>
        <w:widowControl/>
        <w:spacing w:line="520" w:lineRule="exact"/>
        <w:jc w:val="left"/>
        <w:rPr>
          <w:rFonts w:hint="eastAsia" w:ascii="仿宋" w:hAnsi="仿宋" w:eastAsia="仿宋" w:cs="仿宋"/>
          <w:kern w:val="0"/>
          <w:sz w:val="24"/>
        </w:rPr>
      </w:pPr>
      <w:r>
        <w:rPr>
          <w:rFonts w:hint="eastAsia" w:ascii="仿宋" w:hAnsi="仿宋" w:eastAsia="仿宋" w:cs="仿宋"/>
          <w:kern w:val="0"/>
          <w:sz w:val="24"/>
        </w:rPr>
        <w:t xml:space="preserve">    本公司对上述声明的真实性负责。如有虚假，将依法承担相应责任。</w:t>
      </w: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center"/>
        <w:rPr>
          <w:rFonts w:hint="eastAsia" w:ascii="仿宋" w:hAnsi="仿宋" w:eastAsia="仿宋" w:cs="仿宋"/>
          <w:kern w:val="0"/>
          <w:sz w:val="24"/>
        </w:rPr>
      </w:pPr>
      <w:r>
        <w:rPr>
          <w:rFonts w:hint="eastAsia" w:ascii="仿宋" w:hAnsi="仿宋" w:eastAsia="仿宋" w:cs="仿宋"/>
          <w:kern w:val="0"/>
          <w:sz w:val="24"/>
        </w:rPr>
        <w:t xml:space="preserve">                企业名称（盖章）：</w:t>
      </w:r>
    </w:p>
    <w:p>
      <w:pPr>
        <w:widowControl/>
        <w:spacing w:line="520" w:lineRule="exact"/>
        <w:jc w:val="center"/>
        <w:rPr>
          <w:rFonts w:hint="eastAsia" w:ascii="仿宋" w:hAnsi="仿宋" w:eastAsia="仿宋" w:cs="仿宋"/>
          <w:kern w:val="0"/>
          <w:sz w:val="24"/>
        </w:rPr>
      </w:pPr>
      <w:r>
        <w:rPr>
          <w:rFonts w:hint="eastAsia" w:ascii="仿宋" w:hAnsi="仿宋" w:eastAsia="仿宋" w:cs="仿宋"/>
          <w:kern w:val="0"/>
          <w:sz w:val="24"/>
        </w:rPr>
        <w:t xml:space="preserve">                          日  期：</w:t>
      </w: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widowControl/>
        <w:spacing w:line="520" w:lineRule="exact"/>
        <w:jc w:val="left"/>
        <w:rPr>
          <w:rFonts w:hint="eastAsia" w:ascii="仿宋" w:hAnsi="仿宋" w:eastAsia="仿宋" w:cs="仿宋"/>
          <w:kern w:val="0"/>
          <w:sz w:val="24"/>
        </w:rPr>
      </w:pPr>
    </w:p>
    <w:p>
      <w:pPr>
        <w:spacing w:line="588" w:lineRule="exact"/>
        <w:jc w:val="left"/>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sz w:val="24"/>
        </w:rPr>
        <w:t>注：1、中标供应商为残疾人福利性单位的，其《残疾人福利性单位声明函》随中标结果同时公告，接受社会监督。</w:t>
      </w:r>
    </w:p>
    <w:p>
      <w:pPr>
        <w:spacing w:line="588" w:lineRule="exact"/>
        <w:ind w:firstLine="480" w:firstLineChars="200"/>
        <w:jc w:val="left"/>
        <w:rPr>
          <w:rFonts w:hint="eastAsia" w:ascii="仿宋" w:hAnsi="仿宋" w:eastAsia="仿宋" w:cs="仿宋"/>
          <w:b/>
          <w:spacing w:val="6"/>
          <w:sz w:val="24"/>
        </w:rPr>
      </w:pPr>
      <w:r>
        <w:rPr>
          <w:rFonts w:hint="eastAsia" w:ascii="仿宋" w:hAnsi="仿宋" w:eastAsia="仿宋" w:cs="仿宋"/>
          <w:sz w:val="24"/>
        </w:rPr>
        <w:t>2、供应商提供的《残疾人福利性单位声明函》与事实不符的，依照《政府采购法》第七十七条第一款的规定追究法律责任。</w:t>
      </w:r>
    </w:p>
    <w:p>
      <w:pPr>
        <w:spacing w:line="588" w:lineRule="exact"/>
        <w:rPr>
          <w:rFonts w:hint="eastAsia" w:ascii="仿宋" w:hAnsi="仿宋" w:eastAsia="仿宋" w:cs="仿宋"/>
          <w:spacing w:val="6"/>
          <w:sz w:val="24"/>
        </w:rPr>
      </w:pPr>
      <w:r>
        <w:rPr>
          <w:rFonts w:hint="eastAsia" w:ascii="仿宋" w:hAnsi="仿宋" w:eastAsia="仿宋" w:cs="仿宋"/>
          <w:spacing w:val="6"/>
          <w:sz w:val="24"/>
        </w:rPr>
        <w:t>附2</w:t>
      </w:r>
    </w:p>
    <w:p>
      <w:pPr>
        <w:spacing w:line="588" w:lineRule="exact"/>
        <w:jc w:val="center"/>
        <w:rPr>
          <w:rFonts w:hint="eastAsia" w:ascii="仿宋" w:hAnsi="仿宋" w:eastAsia="仿宋" w:cs="仿宋"/>
          <w:b/>
          <w:spacing w:val="6"/>
          <w:sz w:val="24"/>
        </w:rPr>
      </w:pPr>
      <w:bookmarkStart w:id="8" w:name="OLE_LINK13"/>
      <w:bookmarkStart w:id="9" w:name="OLE_LINK14"/>
      <w:r>
        <w:rPr>
          <w:rFonts w:hint="eastAsia" w:ascii="仿宋" w:hAnsi="仿宋" w:eastAsia="仿宋" w:cs="仿宋"/>
          <w:b/>
          <w:spacing w:val="6"/>
          <w:sz w:val="24"/>
        </w:rPr>
        <w:t>残疾人福利性单位声明函</w:t>
      </w:r>
    </w:p>
    <w:bookmarkEnd w:id="8"/>
    <w:bookmarkEnd w:id="9"/>
    <w:p>
      <w:pPr>
        <w:spacing w:line="588" w:lineRule="exact"/>
        <w:rPr>
          <w:rFonts w:hint="eastAsia" w:ascii="仿宋" w:hAnsi="仿宋" w:eastAsia="仿宋" w:cs="仿宋"/>
          <w:b/>
          <w:spacing w:val="6"/>
          <w:sz w:val="24"/>
        </w:rPr>
      </w:pP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588" w:lineRule="exact"/>
        <w:ind w:firstLine="504" w:firstLineChars="200"/>
        <w:rPr>
          <w:rFonts w:hint="eastAsia" w:ascii="仿宋" w:hAnsi="仿宋" w:eastAsia="仿宋" w:cs="仿宋"/>
          <w:spacing w:val="6"/>
          <w:sz w:val="24"/>
        </w:rPr>
      </w:pPr>
    </w:p>
    <w:p>
      <w:pPr>
        <w:spacing w:line="588" w:lineRule="exact"/>
        <w:ind w:firstLine="504" w:firstLineChars="200"/>
        <w:rPr>
          <w:rFonts w:hint="eastAsia" w:ascii="仿宋" w:hAnsi="仿宋" w:eastAsia="仿宋" w:cs="仿宋"/>
          <w:spacing w:val="6"/>
          <w:sz w:val="24"/>
        </w:rPr>
      </w:pPr>
    </w:p>
    <w:p>
      <w:pPr>
        <w:tabs>
          <w:tab w:val="left" w:pos="4860"/>
        </w:tabs>
        <w:spacing w:line="588" w:lineRule="exact"/>
        <w:ind w:right="1560" w:firstLine="504" w:firstLineChars="200"/>
        <w:jc w:val="right"/>
        <w:rPr>
          <w:rFonts w:hint="eastAsia" w:ascii="仿宋" w:hAnsi="仿宋" w:eastAsia="仿宋" w:cs="仿宋"/>
          <w:spacing w:val="6"/>
          <w:sz w:val="24"/>
        </w:rPr>
      </w:pPr>
      <w:r>
        <w:rPr>
          <w:rFonts w:hint="eastAsia" w:ascii="仿宋" w:hAnsi="仿宋" w:eastAsia="仿宋" w:cs="仿宋"/>
          <w:spacing w:val="6"/>
          <w:sz w:val="24"/>
        </w:rPr>
        <w:t xml:space="preserve">  单位名称（盖章）：</w:t>
      </w:r>
    </w:p>
    <w:p>
      <w:pPr>
        <w:tabs>
          <w:tab w:val="left" w:pos="4860"/>
        </w:tabs>
        <w:spacing w:line="588" w:lineRule="exact"/>
        <w:ind w:right="1560" w:firstLine="504" w:firstLineChars="200"/>
        <w:jc w:val="right"/>
        <w:rPr>
          <w:rFonts w:hint="eastAsia" w:ascii="仿宋" w:hAnsi="仿宋" w:eastAsia="仿宋" w:cs="仿宋"/>
          <w:sz w:val="32"/>
        </w:rPr>
      </w:pPr>
      <w:r>
        <w:rPr>
          <w:rFonts w:hint="eastAsia" w:ascii="仿宋" w:hAnsi="仿宋" w:eastAsia="仿宋" w:cs="仿宋"/>
          <w:spacing w:val="6"/>
          <w:sz w:val="24"/>
        </w:rPr>
        <w:t>日  期：</w:t>
      </w:r>
    </w:p>
    <w:p>
      <w:pPr>
        <w:spacing w:line="360" w:lineRule="auto"/>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sectPr>
      <w:footerReference r:id="rId14" w:type="default"/>
      <w:pgSz w:w="11907" w:h="16840"/>
      <w:pgMar w:top="1247" w:right="1418" w:bottom="124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504020202030204"/>
    <w:charset w:val="00"/>
    <w:family w:val="swiss"/>
    <w:pitch w:val="default"/>
    <w:sig w:usb0="00000007" w:usb1="00000000" w:usb2="00000000" w:usb3="00000000" w:csb0="00000093" w:csb1="00000000"/>
  </w:font>
  <w:font w:name="Century">
    <w:panose1 w:val="02040604050505020304"/>
    <w:charset w:val="00"/>
    <w:family w:val="roman"/>
    <w:pitch w:val="default"/>
    <w:sig w:usb0="00000287" w:usb1="00000000" w:usb2="00000000" w:usb3="00000000" w:csb0="2000009F" w:csb1="DFD70000"/>
  </w:font>
  <w:font w:name="ScalaSansLF-Regular">
    <w:altName w:val="Trebuchet MS"/>
    <w:panose1 w:val="00000000000000000000"/>
    <w:charset w:val="00"/>
    <w:family w:val="auto"/>
    <w:pitch w:val="default"/>
    <w:sig w:usb0="8000002F" w:usb1="4000004A" w:usb2="00000000" w:usb3="00000000" w:csb0="0000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p>
    <w:pPr>
      <w:pStyle w:val="31"/>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99</w:t>
    </w:r>
    <w:r>
      <w:rPr>
        <w:b/>
        <w:bCs/>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41</w: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Style w:val="49"/>
                            </w:rPr>
                          </w:pPr>
                          <w:r>
                            <w:fldChar w:fldCharType="begin"/>
                          </w:r>
                          <w:r>
                            <w:rPr>
                              <w:rStyle w:val="49"/>
                            </w:rPr>
                            <w:instrText xml:space="preserve">PAGE  </w:instrText>
                          </w:r>
                          <w:r>
                            <w:fldChar w:fldCharType="separate"/>
                          </w:r>
                          <w:r>
                            <w:rPr>
                              <w:rStyle w:val="49"/>
                              <w:lang/>
                            </w:rPr>
                            <w:t>73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7Qo4M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DtCjgyQEAAJkDAAAOAAAAAAAAAAEAIAAAAB4BAABkcnMvZTJvRG9j LnhtbFBLBQYAAAAABgAGAFkBAABZBQAAAAA= ">
              <v:fill on="f" focussize="0,0"/>
              <v:stroke on="f"/>
              <v:imagedata o:title=""/>
              <o:lock v:ext="edit" aspectratio="f"/>
              <v:textbox inset="0mm,0mm,0mm,0mm" style="mso-fit-shape-to-text:t;">
                <w:txbxContent>
                  <w:p>
                    <w:pPr>
                      <w:pStyle w:val="31"/>
                      <w:rPr>
                        <w:rStyle w:val="49"/>
                      </w:rPr>
                    </w:pPr>
                    <w:r>
                      <w:fldChar w:fldCharType="begin"/>
                    </w:r>
                    <w:r>
                      <w:rPr>
                        <w:rStyle w:val="49"/>
                      </w:rPr>
                      <w:instrText xml:space="preserve">PAGE  </w:instrText>
                    </w:r>
                    <w:r>
                      <w:fldChar w:fldCharType="separate"/>
                    </w:r>
                    <w:r>
                      <w:rPr>
                        <w:rStyle w:val="49"/>
                        <w:lang/>
                      </w:rP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9"/>
        <w:b/>
        <w:sz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84</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RrHPckBAACZAwAADgAAAGRycy9lMm9Eb2MueG1srVPNjtMwEL4j8Q6W 79TZC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VGsc9yQEAAJkDAAAOAAAAAAAAAAEAIAAAAB4BAABkcnMvZTJvRG9j LnhtbFBLBQYAAAAABgAGAFkBAABZBQ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84</w:t>
                    </w:r>
                    <w:r>
                      <w:rPr>
                        <w:rFonts w:hint="eastAsia"/>
                      </w:rPr>
                      <w:fldChar w:fldCharType="end"/>
                    </w:r>
                  </w:p>
                </w:txbxContent>
              </v:textbox>
            </v:shape>
          </w:pict>
        </mc:Fallback>
      </mc:AlternateContent>
    </w:r>
  </w:p>
  <w:p>
    <w:pPr>
      <w:pStyle w:val="3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sz w:val="21"/>
      </w:rPr>
    </w:pPr>
    <w:r>
      <w:rPr>
        <w:rFonts w:ascii="Times New Roman" w:eastAsia="仿宋_GB2312"/>
        <w:b/>
        <w:sz w:val="21"/>
      </w:rPr>
      <w:tab/>
    </w:r>
    <w:r>
      <w:rPr>
        <w:rFonts w:ascii="Times New Roman" w:eastAsia="仿宋_GB2312"/>
        <w:b/>
        <w:sz w:val="21"/>
      </w:rPr>
      <w:tab/>
    </w:r>
    <w:r>
      <w:rPr>
        <w:rFonts w:hint="eastAsia" w:ascii="Times New Roman" w:eastAsia="仿宋_GB2312"/>
        <w:b/>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DD32D"/>
    <w:multiLevelType w:val="singleLevel"/>
    <w:tmpl w:val="938DD32D"/>
    <w:lvl w:ilvl="0" w:tentative="0">
      <w:start w:val="1"/>
      <w:numFmt w:val="decimal"/>
      <w:suff w:val="nothing"/>
      <w:lvlText w:val="%1、"/>
      <w:lvlJc w:val="left"/>
    </w:lvl>
  </w:abstractNum>
  <w:abstractNum w:abstractNumId="1">
    <w:nsid w:val="B9CC13CA"/>
    <w:multiLevelType w:val="singleLevel"/>
    <w:tmpl w:val="B9CC13CA"/>
    <w:lvl w:ilvl="0" w:tentative="0">
      <w:start w:val="1"/>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209"/>
      <w:lvlText w:val=""/>
      <w:lvlJc w:val="left"/>
      <w:pPr>
        <w:tabs>
          <w:tab w:val="left" w:pos="360"/>
        </w:tabs>
        <w:ind w:left="360" w:hanging="360"/>
      </w:pPr>
      <w:rPr>
        <w:rFonts w:hint="default" w:ascii="Wingdings" w:hAnsi="Wingdings"/>
      </w:rPr>
    </w:lvl>
  </w:abstractNum>
  <w:abstractNum w:abstractNumId="3">
    <w:nsid w:val="0000000E"/>
    <w:multiLevelType w:val="multilevel"/>
    <w:tmpl w:val="0000000E"/>
    <w:lvl w:ilvl="0" w:tentative="0">
      <w:start w:val="1"/>
      <w:numFmt w:val="bullet"/>
      <w:pStyle w:val="1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245D6"/>
    <w:multiLevelType w:val="multilevel"/>
    <w:tmpl w:val="011245D6"/>
    <w:lvl w:ilvl="0" w:tentative="0">
      <w:start w:val="1"/>
      <w:numFmt w:val="decimal"/>
      <w:lvlText w:val="（%1）"/>
      <w:lvlJc w:val="left"/>
      <w:pPr>
        <w:tabs>
          <w:tab w:val="left" w:pos="930"/>
        </w:tabs>
        <w:ind w:left="930" w:hanging="720"/>
      </w:pPr>
      <w:rPr>
        <w:rFonts w:hint="default"/>
      </w:rPr>
    </w:lvl>
    <w:lvl w:ilvl="1" w:tentative="0">
      <w:start w:val="4"/>
      <w:numFmt w:val="decimal"/>
      <w:lvlText w:val="%2、"/>
      <w:lvlJc w:val="left"/>
      <w:pPr>
        <w:tabs>
          <w:tab w:val="left" w:pos="990"/>
        </w:tabs>
        <w:ind w:left="990" w:hanging="360"/>
      </w:pPr>
      <w:rPr>
        <w:rFonts w:hint="default"/>
      </w:rPr>
    </w:lvl>
    <w:lvl w:ilvl="2" w:tentative="0">
      <w:start w:val="6"/>
      <w:numFmt w:val="lowerLetter"/>
      <w:lvlText w:val="%3)"/>
      <w:lvlJc w:val="left"/>
      <w:pPr>
        <w:tabs>
          <w:tab w:val="left" w:pos="1410"/>
        </w:tabs>
        <w:ind w:left="1410" w:hanging="360"/>
      </w:pPr>
      <w:rPr>
        <w:rFonts w:hint="default"/>
      </w:rPr>
    </w:lvl>
    <w:lvl w:ilvl="3" w:tentative="0">
      <w:start w:val="3"/>
      <w:numFmt w:val="japaneseCounting"/>
      <w:lvlText w:val="%4、"/>
      <w:lvlJc w:val="left"/>
      <w:pPr>
        <w:tabs>
          <w:tab w:val="left" w:pos="2190"/>
        </w:tabs>
        <w:ind w:left="2190" w:hanging="720"/>
      </w:pPr>
      <w:rPr>
        <w:rFonts w:hint="default" w:cs="Tahoma"/>
        <w:b w:val="0"/>
        <w:color w:val="0000FF"/>
      </w:r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C69530C"/>
    <w:multiLevelType w:val="multilevel"/>
    <w:tmpl w:val="0C69530C"/>
    <w:lvl w:ilvl="0" w:tentative="0">
      <w:start w:val="1"/>
      <w:numFmt w:val="bullet"/>
      <w:pStyle w:val="232"/>
      <w:lvlText w:val=""/>
      <w:lvlJc w:val="left"/>
      <w:pPr>
        <w:tabs>
          <w:tab w:val="left" w:pos="840"/>
        </w:tabs>
        <w:ind w:left="840" w:hanging="420"/>
      </w:pPr>
      <w:rPr>
        <w:rFonts w:hint="default" w:ascii="Wingdings" w:hAnsi="Wingdings"/>
      </w:rPr>
    </w:lvl>
    <w:lvl w:ilvl="1" w:tentative="0">
      <w:start w:val="2"/>
      <w:numFmt w:val="decimal"/>
      <w:lvlText w:val="%2、"/>
      <w:lvlJc w:val="left"/>
      <w:pPr>
        <w:tabs>
          <w:tab w:val="left" w:pos="1200"/>
        </w:tabs>
        <w:ind w:left="1200" w:hanging="360"/>
      </w:pPr>
      <w:rPr>
        <w:rFonts w:hint="eastAsia"/>
      </w:rPr>
    </w:lvl>
    <w:lvl w:ilvl="2" w:tentative="0">
      <w:start w:val="22"/>
      <w:numFmt w:val="decimal"/>
      <w:lvlText w:val="%3．"/>
      <w:lvlJc w:val="left"/>
      <w:pPr>
        <w:tabs>
          <w:tab w:val="left" w:pos="1740"/>
        </w:tabs>
        <w:ind w:left="1740" w:hanging="48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11714624"/>
    <w:multiLevelType w:val="multilevel"/>
    <w:tmpl w:val="11714624"/>
    <w:lvl w:ilvl="0" w:tentative="0">
      <w:start w:val="2"/>
      <w:numFmt w:val="decimal"/>
      <w:pStyle w:val="188"/>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22E201F"/>
    <w:multiLevelType w:val="multilevel"/>
    <w:tmpl w:val="122E201F"/>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7F54188"/>
    <w:multiLevelType w:val="multilevel"/>
    <w:tmpl w:val="17F54188"/>
    <w:lvl w:ilvl="0" w:tentative="0">
      <w:start w:val="1"/>
      <w:numFmt w:val="bullet"/>
      <w:pStyle w:val="16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18A777E8"/>
    <w:multiLevelType w:val="multilevel"/>
    <w:tmpl w:val="18A777E8"/>
    <w:lvl w:ilvl="0" w:tentative="0">
      <w:start w:val="1"/>
      <w:numFmt w:val="decimal"/>
      <w:pStyle w:val="304"/>
      <w:suff w:val="nothing"/>
      <w:lvlText w:val="%1."/>
      <w:lvlJc w:val="left"/>
      <w:pPr>
        <w:ind w:left="0" w:firstLine="0"/>
      </w:pPr>
      <w:rPr>
        <w:rFonts w:hint="eastAsia"/>
        <w:b/>
        <w:i w:val="0"/>
        <w:sz w:val="32"/>
        <w:szCs w:val="32"/>
      </w:rPr>
    </w:lvl>
    <w:lvl w:ilvl="1" w:tentative="0">
      <w:start w:val="0"/>
      <w:numFmt w:val="decimal"/>
      <w:pStyle w:val="292"/>
      <w:suff w:val="nothing"/>
      <w:lvlText w:val="%1.%2."/>
      <w:lvlJc w:val="left"/>
      <w:pPr>
        <w:ind w:left="380" w:hanging="380"/>
      </w:pPr>
      <w:rPr>
        <w:rFonts w:hint="eastAsia"/>
        <w:b/>
        <w:i w:val="0"/>
        <w:sz w:val="28"/>
        <w:szCs w:val="28"/>
      </w:rPr>
    </w:lvl>
    <w:lvl w:ilvl="2" w:tentative="0">
      <w:start w:val="1"/>
      <w:numFmt w:val="decimal"/>
      <w:pStyle w:val="285"/>
      <w:suff w:val="nothing"/>
      <w:lvlText w:val="%1.%2.%3."/>
      <w:lvlJc w:val="left"/>
      <w:pPr>
        <w:ind w:left="0" w:firstLine="0"/>
      </w:pPr>
      <w:rPr>
        <w:rFonts w:hint="eastAsia"/>
        <w:b/>
        <w:i w:val="0"/>
        <w:sz w:val="24"/>
        <w:szCs w:val="24"/>
      </w:rPr>
    </w:lvl>
    <w:lvl w:ilvl="3" w:tentative="0">
      <w:start w:val="1"/>
      <w:numFmt w:val="decimal"/>
      <w:pStyle w:val="25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90B7B3B"/>
    <w:multiLevelType w:val="multilevel"/>
    <w:tmpl w:val="190B7B3B"/>
    <w:lvl w:ilvl="0" w:tentative="0">
      <w:start w:val="1"/>
      <w:numFmt w:val="decimal"/>
      <w:pStyle w:val="286"/>
      <w:lvlText w:val="%1．"/>
      <w:lvlJc w:val="left"/>
      <w:pPr>
        <w:tabs>
          <w:tab w:val="left" w:pos="420"/>
        </w:tabs>
        <w:ind w:left="420" w:hanging="420"/>
      </w:pPr>
      <w:rPr>
        <w:rFonts w:ascii="宋体" w:hAnsi="宋体" w:eastAsia="宋体"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CFE7C7D"/>
    <w:multiLevelType w:val="multilevel"/>
    <w:tmpl w:val="1CFE7C7D"/>
    <w:lvl w:ilvl="0" w:tentative="0">
      <w:start w:val="2"/>
      <w:numFmt w:val="decimal"/>
      <w:pStyle w:val="1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4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A735A2"/>
    <w:multiLevelType w:val="multilevel"/>
    <w:tmpl w:val="21A735A2"/>
    <w:lvl w:ilvl="0" w:tentative="0">
      <w:start w:val="2"/>
      <w:numFmt w:val="decimal"/>
      <w:lvlText w:val="%1."/>
      <w:lvlJc w:val="left"/>
      <w:pPr>
        <w:tabs>
          <w:tab w:val="left" w:pos="360"/>
        </w:tabs>
        <w:ind w:left="360" w:hanging="360"/>
      </w:pPr>
      <w:rPr>
        <w:rFonts w:hint="default"/>
      </w:rPr>
    </w:lvl>
    <w:lvl w:ilvl="1" w:tentative="0">
      <w:start w:val="1"/>
      <w:numFmt w:val="lowerLetter"/>
      <w:pStyle w:val="226"/>
      <w:lvlText w:val="%2)"/>
      <w:lvlJc w:val="left"/>
      <w:pPr>
        <w:tabs>
          <w:tab w:val="left" w:pos="840"/>
        </w:tabs>
        <w:ind w:left="840" w:hanging="420"/>
      </w:pPr>
    </w:lvl>
    <w:lvl w:ilvl="2" w:tentative="0">
      <w:start w:val="1"/>
      <w:numFmt w:val="lowerRoman"/>
      <w:pStyle w:val="174"/>
      <w:lvlText w:val="%3."/>
      <w:lvlJc w:val="right"/>
      <w:pPr>
        <w:tabs>
          <w:tab w:val="left" w:pos="1260"/>
        </w:tabs>
        <w:ind w:left="1260" w:hanging="420"/>
      </w:pPr>
    </w:lvl>
    <w:lvl w:ilvl="3" w:tentative="0">
      <w:start w:val="1"/>
      <w:numFmt w:val="decimal"/>
      <w:pStyle w:val="15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66D5C42"/>
    <w:multiLevelType w:val="multilevel"/>
    <w:tmpl w:val="266D5C42"/>
    <w:lvl w:ilvl="0" w:tentative="0">
      <w:start w:val="3"/>
      <w:numFmt w:val="none"/>
      <w:pStyle w:val="173"/>
      <w:lvlText w:val="三、"/>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14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79B116D"/>
    <w:multiLevelType w:val="multilevel"/>
    <w:tmpl w:val="279B116D"/>
    <w:lvl w:ilvl="0" w:tentative="0">
      <w:start w:val="1"/>
      <w:numFmt w:val="decimal"/>
      <w:pStyle w:val="23"/>
      <w:lvlText w:val="%1."/>
      <w:lvlJc w:val="left"/>
      <w:pPr>
        <w:tabs>
          <w:tab w:val="left" w:pos="1418"/>
        </w:tabs>
        <w:ind w:left="1418" w:hanging="567"/>
      </w:pPr>
      <w:rPr>
        <w:rFonts w:hint="eastAsia" w:ascii="黑体" w:eastAsia="黑体"/>
        <w:b/>
        <w:i w:val="0"/>
        <w:sz w:val="24"/>
      </w:rPr>
    </w:lvl>
    <w:lvl w:ilvl="1" w:tentative="0">
      <w:start w:val="1"/>
      <w:numFmt w:val="decimal"/>
      <w:lvlText w:val="%1.%2"/>
      <w:lvlJc w:val="left"/>
      <w:pPr>
        <w:tabs>
          <w:tab w:val="left" w:pos="1418"/>
        </w:tabs>
        <w:ind w:left="1418" w:hanging="567"/>
      </w:pPr>
      <w:rPr>
        <w:rFonts w:hint="default" w:ascii="Times New Roman" w:hAnsi="Times New Roman"/>
        <w:b w:val="0"/>
        <w:i w:val="0"/>
        <w:sz w:val="24"/>
      </w:rPr>
    </w:lvl>
    <w:lvl w:ilvl="2" w:tentative="0">
      <w:start w:val="1"/>
      <w:numFmt w:val="decimal"/>
      <w:pStyle w:val="241"/>
      <w:lvlText w:val="%1.%2.%3"/>
      <w:lvlJc w:val="left"/>
      <w:pPr>
        <w:tabs>
          <w:tab w:val="left" w:pos="1474"/>
        </w:tabs>
        <w:ind w:left="1474" w:hanging="623"/>
      </w:pPr>
      <w:rPr>
        <w:rFonts w:hint="default" w:ascii="Times New Roman" w:hAnsi="Times New Roman"/>
        <w:b w:val="0"/>
        <w:i w:val="0"/>
        <w:sz w:val="24"/>
      </w:rPr>
    </w:lvl>
    <w:lvl w:ilvl="3" w:tentative="0">
      <w:start w:val="1"/>
      <w:numFmt w:val="decimal"/>
      <w:lvlText w:val="%4)"/>
      <w:lvlJc w:val="left"/>
      <w:pPr>
        <w:tabs>
          <w:tab w:val="left" w:pos="1778"/>
        </w:tabs>
        <w:ind w:left="1758" w:hanging="340"/>
      </w:pPr>
      <w:rPr>
        <w:rFonts w:hint="default" w:ascii="Times New Roman" w:hAnsi="Times New Roman"/>
        <w:b w:val="0"/>
        <w:i w:val="0"/>
        <w:sz w:val="24"/>
      </w:rPr>
    </w:lvl>
    <w:lvl w:ilvl="4" w:tentative="0">
      <w:start w:val="1"/>
      <w:numFmt w:val="lowerLetter"/>
      <w:lvlText w:val="%5)"/>
      <w:lvlJc w:val="left"/>
      <w:pPr>
        <w:tabs>
          <w:tab w:val="left" w:pos="2155"/>
        </w:tabs>
        <w:ind w:left="2155" w:hanging="397"/>
      </w:pPr>
      <w:rPr>
        <w:rFonts w:hint="default" w:ascii="Times New Roman" w:hAnsi="Times New Roman"/>
        <w:b w:val="0"/>
        <w:i w:val="0"/>
        <w:sz w:val="24"/>
      </w:rPr>
    </w:lvl>
    <w:lvl w:ilvl="5" w:tentative="0">
      <w:start w:val="1"/>
      <w:numFmt w:val="none"/>
      <w:lvlText w:val=""/>
      <w:lvlJc w:val="left"/>
      <w:pPr>
        <w:tabs>
          <w:tab w:val="left" w:pos="3260"/>
        </w:tabs>
        <w:ind w:left="3260" w:hanging="1134"/>
      </w:pPr>
      <w:rPr>
        <w:rFonts w:hint="eastAsia"/>
      </w:rPr>
    </w:lvl>
    <w:lvl w:ilvl="6" w:tentative="0">
      <w:start w:val="1"/>
      <w:numFmt w:val="none"/>
      <w:lvlText w:val=""/>
      <w:lvlJc w:val="left"/>
      <w:pPr>
        <w:tabs>
          <w:tab w:val="left" w:pos="3827"/>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pStyle w:val="295"/>
      <w:lvlText w:val=""/>
      <w:lvlJc w:val="left"/>
      <w:pPr>
        <w:tabs>
          <w:tab w:val="left" w:pos="2520"/>
        </w:tabs>
        <w:ind w:left="2520" w:hanging="420"/>
      </w:pPr>
      <w:rPr>
        <w:rFonts w:hint="default" w:ascii="Wingdings" w:hAnsi="Wingdings"/>
      </w:rPr>
    </w:lvl>
    <w:lvl w:ilvl="5" w:tentative="0">
      <w:start w:val="1"/>
      <w:numFmt w:val="bullet"/>
      <w:pStyle w:val="204"/>
      <w:lvlText w:val=""/>
      <w:lvlJc w:val="left"/>
      <w:pPr>
        <w:tabs>
          <w:tab w:val="left" w:pos="2940"/>
        </w:tabs>
        <w:ind w:left="2940" w:hanging="420"/>
      </w:pPr>
      <w:rPr>
        <w:rFonts w:hint="default" w:ascii="Wingdings" w:hAnsi="Wingdings"/>
      </w:rPr>
    </w:lvl>
    <w:lvl w:ilvl="6" w:tentative="0">
      <w:start w:val="1"/>
      <w:numFmt w:val="bullet"/>
      <w:pStyle w:val="223"/>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36E95427"/>
    <w:multiLevelType w:val="multilevel"/>
    <w:tmpl w:val="36E95427"/>
    <w:lvl w:ilvl="0" w:tentative="0">
      <w:start w:val="2"/>
      <w:numFmt w:val="decimal"/>
      <w:pStyle w:val="14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8804EC8"/>
    <w:multiLevelType w:val="multilevel"/>
    <w:tmpl w:val="38804EC8"/>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FD7D5B"/>
    <w:multiLevelType w:val="multilevel"/>
    <w:tmpl w:val="3CFD7D5B"/>
    <w:lvl w:ilvl="0" w:tentative="0">
      <w:start w:val="1"/>
      <w:numFmt w:val="chineseCountingThousand"/>
      <w:pStyle w:val="26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407922E3"/>
    <w:multiLevelType w:val="multilevel"/>
    <w:tmpl w:val="407922E3"/>
    <w:lvl w:ilvl="0" w:tentative="0">
      <w:start w:val="1"/>
      <w:numFmt w:val="bullet"/>
      <w:pStyle w:val="19"/>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21">
    <w:nsid w:val="43696677"/>
    <w:multiLevelType w:val="multilevel"/>
    <w:tmpl w:val="4369667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80A7A17"/>
    <w:multiLevelType w:val="multilevel"/>
    <w:tmpl w:val="480A7A17"/>
    <w:lvl w:ilvl="0" w:tentative="0">
      <w:start w:val="2"/>
      <w:numFmt w:val="decimal"/>
      <w:lvlText w:val="%1．"/>
      <w:lvlJc w:val="left"/>
      <w:pPr>
        <w:tabs>
          <w:tab w:val="left" w:pos="360"/>
        </w:tabs>
        <w:ind w:left="360" w:hanging="360"/>
      </w:pPr>
      <w:rPr>
        <w:rFonts w:hint="default"/>
      </w:rPr>
    </w:lvl>
    <w:lvl w:ilvl="1" w:tentative="0">
      <w:start w:val="1"/>
      <w:numFmt w:val="lowerLetter"/>
      <w:pStyle w:val="16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D307855"/>
    <w:multiLevelType w:val="multilevel"/>
    <w:tmpl w:val="4D307855"/>
    <w:lvl w:ilvl="0" w:tentative="0">
      <w:start w:val="1"/>
      <w:numFmt w:val="bullet"/>
      <w:pStyle w:val="16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F357157"/>
    <w:multiLevelType w:val="multilevel"/>
    <w:tmpl w:val="4F357157"/>
    <w:lvl w:ilvl="0" w:tentative="0">
      <w:start w:val="2"/>
      <w:numFmt w:val="decimal"/>
      <w:pStyle w:val="195"/>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59FAE6C6"/>
    <w:multiLevelType w:val="singleLevel"/>
    <w:tmpl w:val="59FAE6C6"/>
    <w:lvl w:ilvl="0" w:tentative="0">
      <w:start w:val="1"/>
      <w:numFmt w:val="ideographTraditional"/>
      <w:suff w:val="nothing"/>
      <w:lvlText w:val="%1、"/>
      <w:lvlJc w:val="left"/>
    </w:lvl>
  </w:abstractNum>
  <w:abstractNum w:abstractNumId="26">
    <w:nsid w:val="67403E98"/>
    <w:multiLevelType w:val="singleLevel"/>
    <w:tmpl w:val="67403E98"/>
    <w:lvl w:ilvl="0" w:tentative="0">
      <w:start w:val="1"/>
      <w:numFmt w:val="bullet"/>
      <w:pStyle w:val="35"/>
      <w:lvlText w:val=""/>
      <w:lvlJc w:val="left"/>
      <w:pPr>
        <w:tabs>
          <w:tab w:val="left" w:pos="360"/>
        </w:tabs>
        <w:ind w:left="360" w:hanging="360"/>
      </w:pPr>
      <w:rPr>
        <w:rFonts w:hint="default" w:ascii="Symbol" w:hAnsi="Symbol"/>
      </w:rPr>
    </w:lvl>
  </w:abstractNum>
  <w:abstractNum w:abstractNumId="27">
    <w:nsid w:val="6A824804"/>
    <w:multiLevelType w:val="multilevel"/>
    <w:tmpl w:val="6A824804"/>
    <w:lvl w:ilvl="0" w:tentative="0">
      <w:start w:val="3"/>
      <w:numFmt w:val="decimal"/>
      <w:pStyle w:val="175"/>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pStyle w:val="162"/>
      <w:lvlText w:val="%1.%2.%3"/>
      <w:lvlJc w:val="left"/>
      <w:pPr>
        <w:tabs>
          <w:tab w:val="left" w:pos="720"/>
        </w:tabs>
        <w:ind w:left="720" w:hanging="720"/>
      </w:pPr>
      <w:rPr>
        <w:rFonts w:hint="default"/>
      </w:rPr>
    </w:lvl>
    <w:lvl w:ilvl="3" w:tentative="0">
      <w:start w:val="1"/>
      <w:numFmt w:val="decimal"/>
      <w:pStyle w:val="150"/>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8">
    <w:nsid w:val="6B6E299E"/>
    <w:multiLevelType w:val="multilevel"/>
    <w:tmpl w:val="6B6E299E"/>
    <w:lvl w:ilvl="0" w:tentative="0">
      <w:start w:val="2"/>
      <w:numFmt w:val="decimal"/>
      <w:lvlText w:val="%1．"/>
      <w:lvlJc w:val="left"/>
      <w:pPr>
        <w:tabs>
          <w:tab w:val="left" w:pos="360"/>
        </w:tabs>
        <w:ind w:left="360" w:hanging="360"/>
      </w:pPr>
      <w:rPr>
        <w:rFonts w:hint="default"/>
      </w:rPr>
    </w:lvl>
    <w:lvl w:ilvl="1" w:tentative="0">
      <w:start w:val="1"/>
      <w:numFmt w:val="lowerLetter"/>
      <w:pStyle w:val="19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D00757E"/>
    <w:multiLevelType w:val="multilevel"/>
    <w:tmpl w:val="6D00757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1256F0D"/>
    <w:multiLevelType w:val="multilevel"/>
    <w:tmpl w:val="71256F0D"/>
    <w:lvl w:ilvl="0" w:tentative="0">
      <w:start w:val="2"/>
      <w:numFmt w:val="decimal"/>
      <w:pStyle w:val="8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D6F39"/>
    <w:multiLevelType w:val="multilevel"/>
    <w:tmpl w:val="71DD6F39"/>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32">
    <w:nsid w:val="7A2C4DB1"/>
    <w:multiLevelType w:val="multilevel"/>
    <w:tmpl w:val="7A2C4DB1"/>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1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DC956EB"/>
    <w:multiLevelType w:val="multilevel"/>
    <w:tmpl w:val="7DC956EB"/>
    <w:lvl w:ilvl="0" w:tentative="0">
      <w:start w:val="3"/>
      <w:numFmt w:val="decimal"/>
      <w:pStyle w:val="291"/>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3"/>
  </w:num>
  <w:num w:numId="2">
    <w:abstractNumId w:val="20"/>
  </w:num>
  <w:num w:numId="3">
    <w:abstractNumId w:val="15"/>
  </w:num>
  <w:num w:numId="4">
    <w:abstractNumId w:val="26"/>
  </w:num>
  <w:num w:numId="5">
    <w:abstractNumId w:val="12"/>
  </w:num>
  <w:num w:numId="6">
    <w:abstractNumId w:val="30"/>
  </w:num>
  <w:num w:numId="7">
    <w:abstractNumId w:val="11"/>
  </w:num>
  <w:num w:numId="8">
    <w:abstractNumId w:val="17"/>
  </w:num>
  <w:num w:numId="9">
    <w:abstractNumId w:val="14"/>
  </w:num>
  <w:num w:numId="10">
    <w:abstractNumId w:val="27"/>
  </w:num>
  <w:num w:numId="11">
    <w:abstractNumId w:val="13"/>
  </w:num>
  <w:num w:numId="12">
    <w:abstractNumId w:val="8"/>
  </w:num>
  <w:num w:numId="13">
    <w:abstractNumId w:val="23"/>
  </w:num>
  <w:num w:numId="14">
    <w:abstractNumId w:val="22"/>
  </w:num>
  <w:num w:numId="15">
    <w:abstractNumId w:val="6"/>
  </w:num>
  <w:num w:numId="16">
    <w:abstractNumId w:val="24"/>
  </w:num>
  <w:num w:numId="17">
    <w:abstractNumId w:val="28"/>
  </w:num>
  <w:num w:numId="18">
    <w:abstractNumId w:val="16"/>
  </w:num>
  <w:num w:numId="19">
    <w:abstractNumId w:val="2"/>
  </w:num>
  <w:num w:numId="20">
    <w:abstractNumId w:val="5"/>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 w:numId="25">
    <w:abstractNumId w:val="33"/>
  </w:num>
  <w:num w:numId="26">
    <w:abstractNumId w:val="1"/>
  </w:num>
  <w:num w:numId="27">
    <w:abstractNumId w:val="31"/>
  </w:num>
  <w:num w:numId="28">
    <w:abstractNumId w:val="25"/>
  </w:num>
  <w:num w:numId="29">
    <w:abstractNumId w:val="0"/>
  </w:num>
  <w:num w:numId="30">
    <w:abstractNumId w:val="21"/>
  </w:num>
  <w:num w:numId="31">
    <w:abstractNumId w:val="4"/>
  </w:num>
  <w:num w:numId="32">
    <w:abstractNumId w:val="7"/>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mNmNGIwYTIwM2Q0ZmE3ODFiMjEzMjRlYmNmYzgifQ=="/>
  </w:docVars>
  <w:rsids>
    <w:rsidRoot w:val="000E405F"/>
    <w:rsid w:val="000014F7"/>
    <w:rsid w:val="00002A0D"/>
    <w:rsid w:val="00002C2E"/>
    <w:rsid w:val="00003CB9"/>
    <w:rsid w:val="000059E5"/>
    <w:rsid w:val="00005FE9"/>
    <w:rsid w:val="000065E6"/>
    <w:rsid w:val="0000670A"/>
    <w:rsid w:val="00006967"/>
    <w:rsid w:val="00006A19"/>
    <w:rsid w:val="00007482"/>
    <w:rsid w:val="000100D0"/>
    <w:rsid w:val="000102AA"/>
    <w:rsid w:val="000107B7"/>
    <w:rsid w:val="00010A05"/>
    <w:rsid w:val="00010DA5"/>
    <w:rsid w:val="0001393B"/>
    <w:rsid w:val="00013D8B"/>
    <w:rsid w:val="000141F4"/>
    <w:rsid w:val="0001428F"/>
    <w:rsid w:val="00015279"/>
    <w:rsid w:val="00015739"/>
    <w:rsid w:val="00016F75"/>
    <w:rsid w:val="00017211"/>
    <w:rsid w:val="0002009A"/>
    <w:rsid w:val="00021CA3"/>
    <w:rsid w:val="00022B62"/>
    <w:rsid w:val="00023616"/>
    <w:rsid w:val="00024916"/>
    <w:rsid w:val="00025300"/>
    <w:rsid w:val="00025906"/>
    <w:rsid w:val="00026C0D"/>
    <w:rsid w:val="0002734F"/>
    <w:rsid w:val="000277B8"/>
    <w:rsid w:val="000279D0"/>
    <w:rsid w:val="000302AE"/>
    <w:rsid w:val="0003119B"/>
    <w:rsid w:val="00031E08"/>
    <w:rsid w:val="000326F1"/>
    <w:rsid w:val="0003415A"/>
    <w:rsid w:val="0003457D"/>
    <w:rsid w:val="00035F20"/>
    <w:rsid w:val="0003695E"/>
    <w:rsid w:val="0004050D"/>
    <w:rsid w:val="000412AD"/>
    <w:rsid w:val="000425D6"/>
    <w:rsid w:val="00042D94"/>
    <w:rsid w:val="00044A31"/>
    <w:rsid w:val="000451E6"/>
    <w:rsid w:val="00046B35"/>
    <w:rsid w:val="0005008F"/>
    <w:rsid w:val="000508CA"/>
    <w:rsid w:val="0005129E"/>
    <w:rsid w:val="00051828"/>
    <w:rsid w:val="000526ED"/>
    <w:rsid w:val="000532B7"/>
    <w:rsid w:val="0005370D"/>
    <w:rsid w:val="00053751"/>
    <w:rsid w:val="0005403E"/>
    <w:rsid w:val="00054A10"/>
    <w:rsid w:val="000556BA"/>
    <w:rsid w:val="00055AA7"/>
    <w:rsid w:val="00056324"/>
    <w:rsid w:val="00056339"/>
    <w:rsid w:val="00056E4F"/>
    <w:rsid w:val="00057207"/>
    <w:rsid w:val="000578E5"/>
    <w:rsid w:val="00057DCA"/>
    <w:rsid w:val="000606D7"/>
    <w:rsid w:val="00060F26"/>
    <w:rsid w:val="00062722"/>
    <w:rsid w:val="00062797"/>
    <w:rsid w:val="00063354"/>
    <w:rsid w:val="0006351F"/>
    <w:rsid w:val="00064420"/>
    <w:rsid w:val="000645FF"/>
    <w:rsid w:val="00064896"/>
    <w:rsid w:val="0006750B"/>
    <w:rsid w:val="00067ECF"/>
    <w:rsid w:val="000700CB"/>
    <w:rsid w:val="00070215"/>
    <w:rsid w:val="000702EB"/>
    <w:rsid w:val="00070EDC"/>
    <w:rsid w:val="00071330"/>
    <w:rsid w:val="0007164C"/>
    <w:rsid w:val="00072BC2"/>
    <w:rsid w:val="00073DC9"/>
    <w:rsid w:val="00074AEB"/>
    <w:rsid w:val="00074EA8"/>
    <w:rsid w:val="00075F4C"/>
    <w:rsid w:val="000773C4"/>
    <w:rsid w:val="000773F4"/>
    <w:rsid w:val="00077880"/>
    <w:rsid w:val="00080811"/>
    <w:rsid w:val="0008168D"/>
    <w:rsid w:val="00082425"/>
    <w:rsid w:val="00083069"/>
    <w:rsid w:val="00083A2F"/>
    <w:rsid w:val="00083B37"/>
    <w:rsid w:val="00083E84"/>
    <w:rsid w:val="00084C73"/>
    <w:rsid w:val="0008733F"/>
    <w:rsid w:val="0009030E"/>
    <w:rsid w:val="000906B7"/>
    <w:rsid w:val="000908E2"/>
    <w:rsid w:val="00090AB7"/>
    <w:rsid w:val="000912F3"/>
    <w:rsid w:val="00091AD2"/>
    <w:rsid w:val="000920B1"/>
    <w:rsid w:val="0009406A"/>
    <w:rsid w:val="00094FAF"/>
    <w:rsid w:val="0009708A"/>
    <w:rsid w:val="0009755C"/>
    <w:rsid w:val="00097682"/>
    <w:rsid w:val="000979B6"/>
    <w:rsid w:val="00097FDA"/>
    <w:rsid w:val="000A0189"/>
    <w:rsid w:val="000A0A44"/>
    <w:rsid w:val="000A187A"/>
    <w:rsid w:val="000A20D2"/>
    <w:rsid w:val="000A2316"/>
    <w:rsid w:val="000A2E64"/>
    <w:rsid w:val="000A3AF5"/>
    <w:rsid w:val="000A41B3"/>
    <w:rsid w:val="000A425A"/>
    <w:rsid w:val="000A45F7"/>
    <w:rsid w:val="000A472B"/>
    <w:rsid w:val="000A607B"/>
    <w:rsid w:val="000A60AA"/>
    <w:rsid w:val="000A65B4"/>
    <w:rsid w:val="000A763D"/>
    <w:rsid w:val="000A76E4"/>
    <w:rsid w:val="000B0524"/>
    <w:rsid w:val="000B13C5"/>
    <w:rsid w:val="000B15CE"/>
    <w:rsid w:val="000B17A3"/>
    <w:rsid w:val="000B1CA4"/>
    <w:rsid w:val="000B26A3"/>
    <w:rsid w:val="000B41B8"/>
    <w:rsid w:val="000B4846"/>
    <w:rsid w:val="000B4D19"/>
    <w:rsid w:val="000B54F8"/>
    <w:rsid w:val="000B5546"/>
    <w:rsid w:val="000B55FF"/>
    <w:rsid w:val="000B5BD9"/>
    <w:rsid w:val="000B67B7"/>
    <w:rsid w:val="000B6CA7"/>
    <w:rsid w:val="000B7A5B"/>
    <w:rsid w:val="000C1529"/>
    <w:rsid w:val="000C1E19"/>
    <w:rsid w:val="000C269A"/>
    <w:rsid w:val="000C26F8"/>
    <w:rsid w:val="000C2C82"/>
    <w:rsid w:val="000C2CAC"/>
    <w:rsid w:val="000C3E1F"/>
    <w:rsid w:val="000C4017"/>
    <w:rsid w:val="000C435F"/>
    <w:rsid w:val="000C4CBA"/>
    <w:rsid w:val="000C7B7C"/>
    <w:rsid w:val="000C7EB2"/>
    <w:rsid w:val="000D0BDC"/>
    <w:rsid w:val="000D3C7E"/>
    <w:rsid w:val="000D43A5"/>
    <w:rsid w:val="000D4FC6"/>
    <w:rsid w:val="000D6202"/>
    <w:rsid w:val="000D7874"/>
    <w:rsid w:val="000E028D"/>
    <w:rsid w:val="000E1843"/>
    <w:rsid w:val="000E1B98"/>
    <w:rsid w:val="000E405F"/>
    <w:rsid w:val="000E6076"/>
    <w:rsid w:val="000E6577"/>
    <w:rsid w:val="000E7081"/>
    <w:rsid w:val="000E77AD"/>
    <w:rsid w:val="000F078E"/>
    <w:rsid w:val="000F0C14"/>
    <w:rsid w:val="000F1EC7"/>
    <w:rsid w:val="000F226C"/>
    <w:rsid w:val="000F5B57"/>
    <w:rsid w:val="000F62E2"/>
    <w:rsid w:val="000F6F01"/>
    <w:rsid w:val="000F6F4A"/>
    <w:rsid w:val="000F6FC7"/>
    <w:rsid w:val="000F704A"/>
    <w:rsid w:val="000F71EF"/>
    <w:rsid w:val="000F739E"/>
    <w:rsid w:val="00100145"/>
    <w:rsid w:val="00100151"/>
    <w:rsid w:val="0010018E"/>
    <w:rsid w:val="001007C6"/>
    <w:rsid w:val="00100E22"/>
    <w:rsid w:val="00100E26"/>
    <w:rsid w:val="00100EFA"/>
    <w:rsid w:val="00102010"/>
    <w:rsid w:val="0010333C"/>
    <w:rsid w:val="00103D8D"/>
    <w:rsid w:val="00103EA7"/>
    <w:rsid w:val="00104F5E"/>
    <w:rsid w:val="00105033"/>
    <w:rsid w:val="00106047"/>
    <w:rsid w:val="00106545"/>
    <w:rsid w:val="001066CD"/>
    <w:rsid w:val="001067DF"/>
    <w:rsid w:val="001070F8"/>
    <w:rsid w:val="0010756F"/>
    <w:rsid w:val="001102A1"/>
    <w:rsid w:val="001103BE"/>
    <w:rsid w:val="00110749"/>
    <w:rsid w:val="001108AA"/>
    <w:rsid w:val="00110A64"/>
    <w:rsid w:val="00111172"/>
    <w:rsid w:val="0011206C"/>
    <w:rsid w:val="00112E08"/>
    <w:rsid w:val="0011319B"/>
    <w:rsid w:val="00114145"/>
    <w:rsid w:val="00114316"/>
    <w:rsid w:val="0011434F"/>
    <w:rsid w:val="001145B9"/>
    <w:rsid w:val="00115B2E"/>
    <w:rsid w:val="00116086"/>
    <w:rsid w:val="001162D9"/>
    <w:rsid w:val="00116386"/>
    <w:rsid w:val="00116F26"/>
    <w:rsid w:val="00117122"/>
    <w:rsid w:val="00117504"/>
    <w:rsid w:val="001177E8"/>
    <w:rsid w:val="00117987"/>
    <w:rsid w:val="00120E2A"/>
    <w:rsid w:val="001234E4"/>
    <w:rsid w:val="00123B16"/>
    <w:rsid w:val="0012400A"/>
    <w:rsid w:val="0012480C"/>
    <w:rsid w:val="0012555D"/>
    <w:rsid w:val="0012573B"/>
    <w:rsid w:val="00126AA5"/>
    <w:rsid w:val="001279D7"/>
    <w:rsid w:val="00130339"/>
    <w:rsid w:val="001307C6"/>
    <w:rsid w:val="0013096E"/>
    <w:rsid w:val="00130C20"/>
    <w:rsid w:val="00130E27"/>
    <w:rsid w:val="00131DF5"/>
    <w:rsid w:val="00131F25"/>
    <w:rsid w:val="00133345"/>
    <w:rsid w:val="001335C1"/>
    <w:rsid w:val="00133F13"/>
    <w:rsid w:val="00133FDE"/>
    <w:rsid w:val="001347A8"/>
    <w:rsid w:val="00135A50"/>
    <w:rsid w:val="0013699E"/>
    <w:rsid w:val="0013740F"/>
    <w:rsid w:val="0013762E"/>
    <w:rsid w:val="0013788E"/>
    <w:rsid w:val="0013794B"/>
    <w:rsid w:val="00137CCF"/>
    <w:rsid w:val="001400FB"/>
    <w:rsid w:val="001413F5"/>
    <w:rsid w:val="001418BD"/>
    <w:rsid w:val="0014194F"/>
    <w:rsid w:val="00142455"/>
    <w:rsid w:val="0014281E"/>
    <w:rsid w:val="00143592"/>
    <w:rsid w:val="00143D4B"/>
    <w:rsid w:val="00143ECE"/>
    <w:rsid w:val="0014429B"/>
    <w:rsid w:val="00145714"/>
    <w:rsid w:val="0014577E"/>
    <w:rsid w:val="001457F2"/>
    <w:rsid w:val="00145AA2"/>
    <w:rsid w:val="00145EA2"/>
    <w:rsid w:val="001471AD"/>
    <w:rsid w:val="001473F6"/>
    <w:rsid w:val="00151FDB"/>
    <w:rsid w:val="00152533"/>
    <w:rsid w:val="00153ACB"/>
    <w:rsid w:val="00154FEF"/>
    <w:rsid w:val="001570F6"/>
    <w:rsid w:val="0015796A"/>
    <w:rsid w:val="00157CA3"/>
    <w:rsid w:val="00160AB2"/>
    <w:rsid w:val="00161531"/>
    <w:rsid w:val="00161FE8"/>
    <w:rsid w:val="00163077"/>
    <w:rsid w:val="001630AE"/>
    <w:rsid w:val="00163BA5"/>
    <w:rsid w:val="0016410A"/>
    <w:rsid w:val="00164469"/>
    <w:rsid w:val="00165691"/>
    <w:rsid w:val="001656E9"/>
    <w:rsid w:val="001667BA"/>
    <w:rsid w:val="0017237E"/>
    <w:rsid w:val="00172CD3"/>
    <w:rsid w:val="00174B24"/>
    <w:rsid w:val="00175825"/>
    <w:rsid w:val="001767D7"/>
    <w:rsid w:val="00177121"/>
    <w:rsid w:val="00177713"/>
    <w:rsid w:val="00177752"/>
    <w:rsid w:val="001800AF"/>
    <w:rsid w:val="00180543"/>
    <w:rsid w:val="001829A9"/>
    <w:rsid w:val="00190022"/>
    <w:rsid w:val="00192226"/>
    <w:rsid w:val="00192F27"/>
    <w:rsid w:val="00194F21"/>
    <w:rsid w:val="00195F13"/>
    <w:rsid w:val="00197278"/>
    <w:rsid w:val="0019733D"/>
    <w:rsid w:val="001A1415"/>
    <w:rsid w:val="001A170E"/>
    <w:rsid w:val="001A19BB"/>
    <w:rsid w:val="001A2C88"/>
    <w:rsid w:val="001A383A"/>
    <w:rsid w:val="001A3B30"/>
    <w:rsid w:val="001A5360"/>
    <w:rsid w:val="001A5F77"/>
    <w:rsid w:val="001A661D"/>
    <w:rsid w:val="001A68DB"/>
    <w:rsid w:val="001A6A02"/>
    <w:rsid w:val="001B007C"/>
    <w:rsid w:val="001B0941"/>
    <w:rsid w:val="001B14A6"/>
    <w:rsid w:val="001B23D5"/>
    <w:rsid w:val="001B3D2B"/>
    <w:rsid w:val="001B412C"/>
    <w:rsid w:val="001B4333"/>
    <w:rsid w:val="001B4C2C"/>
    <w:rsid w:val="001B4E2E"/>
    <w:rsid w:val="001B4E7E"/>
    <w:rsid w:val="001B6655"/>
    <w:rsid w:val="001B687C"/>
    <w:rsid w:val="001B69E5"/>
    <w:rsid w:val="001B7A1E"/>
    <w:rsid w:val="001C0673"/>
    <w:rsid w:val="001C06E0"/>
    <w:rsid w:val="001C0A60"/>
    <w:rsid w:val="001C1A6D"/>
    <w:rsid w:val="001C2BA2"/>
    <w:rsid w:val="001C2FDD"/>
    <w:rsid w:val="001C3154"/>
    <w:rsid w:val="001C35A7"/>
    <w:rsid w:val="001C3C3E"/>
    <w:rsid w:val="001C5074"/>
    <w:rsid w:val="001C51AD"/>
    <w:rsid w:val="001C5A53"/>
    <w:rsid w:val="001C7623"/>
    <w:rsid w:val="001C7779"/>
    <w:rsid w:val="001D0B0E"/>
    <w:rsid w:val="001D25AD"/>
    <w:rsid w:val="001D27A2"/>
    <w:rsid w:val="001D3E0F"/>
    <w:rsid w:val="001D3F06"/>
    <w:rsid w:val="001D58C6"/>
    <w:rsid w:val="001D5DCF"/>
    <w:rsid w:val="001D5ECC"/>
    <w:rsid w:val="001D617A"/>
    <w:rsid w:val="001D6CB1"/>
    <w:rsid w:val="001D6FBC"/>
    <w:rsid w:val="001D7DB7"/>
    <w:rsid w:val="001D7DBB"/>
    <w:rsid w:val="001E0C75"/>
    <w:rsid w:val="001E149F"/>
    <w:rsid w:val="001E1DDD"/>
    <w:rsid w:val="001E1E70"/>
    <w:rsid w:val="001E25EE"/>
    <w:rsid w:val="001E3C69"/>
    <w:rsid w:val="001E45B5"/>
    <w:rsid w:val="001E72A6"/>
    <w:rsid w:val="001E73AC"/>
    <w:rsid w:val="001E7669"/>
    <w:rsid w:val="001E7DF3"/>
    <w:rsid w:val="001F02A3"/>
    <w:rsid w:val="001F0D7E"/>
    <w:rsid w:val="001F2453"/>
    <w:rsid w:val="001F3254"/>
    <w:rsid w:val="001F3300"/>
    <w:rsid w:val="001F601C"/>
    <w:rsid w:val="001F607A"/>
    <w:rsid w:val="001F69C3"/>
    <w:rsid w:val="001F7006"/>
    <w:rsid w:val="001F7876"/>
    <w:rsid w:val="001F7EF7"/>
    <w:rsid w:val="00200797"/>
    <w:rsid w:val="00200C01"/>
    <w:rsid w:val="002010BA"/>
    <w:rsid w:val="00201483"/>
    <w:rsid w:val="00202452"/>
    <w:rsid w:val="00204E69"/>
    <w:rsid w:val="002060B0"/>
    <w:rsid w:val="00206D7F"/>
    <w:rsid w:val="0020705E"/>
    <w:rsid w:val="00207170"/>
    <w:rsid w:val="002114F8"/>
    <w:rsid w:val="00214084"/>
    <w:rsid w:val="0021443F"/>
    <w:rsid w:val="00214EB1"/>
    <w:rsid w:val="0021508D"/>
    <w:rsid w:val="00215152"/>
    <w:rsid w:val="002152AF"/>
    <w:rsid w:val="00215ECB"/>
    <w:rsid w:val="0021727C"/>
    <w:rsid w:val="0022023D"/>
    <w:rsid w:val="002209E5"/>
    <w:rsid w:val="00220DA9"/>
    <w:rsid w:val="00221DE7"/>
    <w:rsid w:val="00222D0F"/>
    <w:rsid w:val="002234AE"/>
    <w:rsid w:val="00223622"/>
    <w:rsid w:val="0022521B"/>
    <w:rsid w:val="002259C7"/>
    <w:rsid w:val="00225CF6"/>
    <w:rsid w:val="00225F69"/>
    <w:rsid w:val="0022605C"/>
    <w:rsid w:val="0022660F"/>
    <w:rsid w:val="00227310"/>
    <w:rsid w:val="002274D5"/>
    <w:rsid w:val="002275B2"/>
    <w:rsid w:val="00230205"/>
    <w:rsid w:val="002305DD"/>
    <w:rsid w:val="00230D97"/>
    <w:rsid w:val="00231E6E"/>
    <w:rsid w:val="0023497C"/>
    <w:rsid w:val="0023528B"/>
    <w:rsid w:val="00235F40"/>
    <w:rsid w:val="00237421"/>
    <w:rsid w:val="002376ED"/>
    <w:rsid w:val="00237E7B"/>
    <w:rsid w:val="00240B66"/>
    <w:rsid w:val="002413E9"/>
    <w:rsid w:val="002417B5"/>
    <w:rsid w:val="0024326B"/>
    <w:rsid w:val="00246F6A"/>
    <w:rsid w:val="00250526"/>
    <w:rsid w:val="00250AEF"/>
    <w:rsid w:val="00252485"/>
    <w:rsid w:val="002528C3"/>
    <w:rsid w:val="00253071"/>
    <w:rsid w:val="00254653"/>
    <w:rsid w:val="00254AAF"/>
    <w:rsid w:val="00255843"/>
    <w:rsid w:val="0025621E"/>
    <w:rsid w:val="00256376"/>
    <w:rsid w:val="0025640E"/>
    <w:rsid w:val="00256C9A"/>
    <w:rsid w:val="00256EE4"/>
    <w:rsid w:val="00257154"/>
    <w:rsid w:val="002574E4"/>
    <w:rsid w:val="0025794B"/>
    <w:rsid w:val="00257B05"/>
    <w:rsid w:val="00260258"/>
    <w:rsid w:val="00260FE2"/>
    <w:rsid w:val="00261C3D"/>
    <w:rsid w:val="00262A29"/>
    <w:rsid w:val="002664CF"/>
    <w:rsid w:val="0026675F"/>
    <w:rsid w:val="00266810"/>
    <w:rsid w:val="0026682C"/>
    <w:rsid w:val="002701B3"/>
    <w:rsid w:val="0027292D"/>
    <w:rsid w:val="00273FB1"/>
    <w:rsid w:val="00274F93"/>
    <w:rsid w:val="002756D6"/>
    <w:rsid w:val="0027576F"/>
    <w:rsid w:val="00275F24"/>
    <w:rsid w:val="002771AC"/>
    <w:rsid w:val="00277980"/>
    <w:rsid w:val="00280F64"/>
    <w:rsid w:val="00281DE8"/>
    <w:rsid w:val="002820C9"/>
    <w:rsid w:val="002824AA"/>
    <w:rsid w:val="002831FE"/>
    <w:rsid w:val="00283224"/>
    <w:rsid w:val="00284D13"/>
    <w:rsid w:val="00285291"/>
    <w:rsid w:val="00285F98"/>
    <w:rsid w:val="00286F57"/>
    <w:rsid w:val="00291014"/>
    <w:rsid w:val="00292261"/>
    <w:rsid w:val="002925F0"/>
    <w:rsid w:val="00292622"/>
    <w:rsid w:val="00293319"/>
    <w:rsid w:val="00293831"/>
    <w:rsid w:val="002939D8"/>
    <w:rsid w:val="00293A8E"/>
    <w:rsid w:val="00293E4A"/>
    <w:rsid w:val="002A06BE"/>
    <w:rsid w:val="002A1883"/>
    <w:rsid w:val="002A37BE"/>
    <w:rsid w:val="002A3E2F"/>
    <w:rsid w:val="002A42B0"/>
    <w:rsid w:val="002A4B6D"/>
    <w:rsid w:val="002A4B84"/>
    <w:rsid w:val="002A5186"/>
    <w:rsid w:val="002A537A"/>
    <w:rsid w:val="002B0258"/>
    <w:rsid w:val="002B136F"/>
    <w:rsid w:val="002B3A82"/>
    <w:rsid w:val="002B3F1B"/>
    <w:rsid w:val="002B4278"/>
    <w:rsid w:val="002B4C5C"/>
    <w:rsid w:val="002B4EC6"/>
    <w:rsid w:val="002B5102"/>
    <w:rsid w:val="002B6A90"/>
    <w:rsid w:val="002B722C"/>
    <w:rsid w:val="002B751A"/>
    <w:rsid w:val="002B7AAA"/>
    <w:rsid w:val="002C0703"/>
    <w:rsid w:val="002C15A8"/>
    <w:rsid w:val="002C181B"/>
    <w:rsid w:val="002C1FDC"/>
    <w:rsid w:val="002C2932"/>
    <w:rsid w:val="002C35E0"/>
    <w:rsid w:val="002C3B20"/>
    <w:rsid w:val="002C4041"/>
    <w:rsid w:val="002C4247"/>
    <w:rsid w:val="002C42B3"/>
    <w:rsid w:val="002C42E0"/>
    <w:rsid w:val="002C447B"/>
    <w:rsid w:val="002C6FC7"/>
    <w:rsid w:val="002D3691"/>
    <w:rsid w:val="002E0C4B"/>
    <w:rsid w:val="002E23E0"/>
    <w:rsid w:val="002E2792"/>
    <w:rsid w:val="002E29C8"/>
    <w:rsid w:val="002E3705"/>
    <w:rsid w:val="002E384F"/>
    <w:rsid w:val="002E3F64"/>
    <w:rsid w:val="002E4217"/>
    <w:rsid w:val="002E5CDC"/>
    <w:rsid w:val="002E612E"/>
    <w:rsid w:val="002E6ACB"/>
    <w:rsid w:val="002E759F"/>
    <w:rsid w:val="002E7755"/>
    <w:rsid w:val="002E784D"/>
    <w:rsid w:val="002E7B76"/>
    <w:rsid w:val="002F0EA8"/>
    <w:rsid w:val="002F0FE3"/>
    <w:rsid w:val="002F12B5"/>
    <w:rsid w:val="002F2288"/>
    <w:rsid w:val="002F443A"/>
    <w:rsid w:val="002F5D3B"/>
    <w:rsid w:val="002F6627"/>
    <w:rsid w:val="002F6B07"/>
    <w:rsid w:val="002F6D4F"/>
    <w:rsid w:val="002F7209"/>
    <w:rsid w:val="002F7651"/>
    <w:rsid w:val="002F79B4"/>
    <w:rsid w:val="00300410"/>
    <w:rsid w:val="00301926"/>
    <w:rsid w:val="00303CEF"/>
    <w:rsid w:val="003046CB"/>
    <w:rsid w:val="003052CA"/>
    <w:rsid w:val="00307652"/>
    <w:rsid w:val="003078BA"/>
    <w:rsid w:val="003100D4"/>
    <w:rsid w:val="00310ED5"/>
    <w:rsid w:val="00310EFB"/>
    <w:rsid w:val="0031142B"/>
    <w:rsid w:val="00311B8A"/>
    <w:rsid w:val="00313863"/>
    <w:rsid w:val="00313DAD"/>
    <w:rsid w:val="00313FF2"/>
    <w:rsid w:val="00314E1F"/>
    <w:rsid w:val="00314EB9"/>
    <w:rsid w:val="00314F4D"/>
    <w:rsid w:val="00315FFA"/>
    <w:rsid w:val="003162F3"/>
    <w:rsid w:val="003164A1"/>
    <w:rsid w:val="003167A7"/>
    <w:rsid w:val="00316C3B"/>
    <w:rsid w:val="00322AE1"/>
    <w:rsid w:val="00324086"/>
    <w:rsid w:val="00324A24"/>
    <w:rsid w:val="00325135"/>
    <w:rsid w:val="00325518"/>
    <w:rsid w:val="003266E7"/>
    <w:rsid w:val="00326959"/>
    <w:rsid w:val="00327E10"/>
    <w:rsid w:val="00327EDB"/>
    <w:rsid w:val="00330251"/>
    <w:rsid w:val="00332112"/>
    <w:rsid w:val="00332919"/>
    <w:rsid w:val="003331E8"/>
    <w:rsid w:val="00335294"/>
    <w:rsid w:val="00336204"/>
    <w:rsid w:val="00336876"/>
    <w:rsid w:val="00337E78"/>
    <w:rsid w:val="0034016F"/>
    <w:rsid w:val="00340220"/>
    <w:rsid w:val="0034027A"/>
    <w:rsid w:val="003414D7"/>
    <w:rsid w:val="003436A3"/>
    <w:rsid w:val="0034419E"/>
    <w:rsid w:val="00344911"/>
    <w:rsid w:val="00344CEB"/>
    <w:rsid w:val="003452F3"/>
    <w:rsid w:val="00346433"/>
    <w:rsid w:val="00347743"/>
    <w:rsid w:val="0035105A"/>
    <w:rsid w:val="0035165B"/>
    <w:rsid w:val="0035175B"/>
    <w:rsid w:val="00352566"/>
    <w:rsid w:val="00352A91"/>
    <w:rsid w:val="0035350B"/>
    <w:rsid w:val="0035350E"/>
    <w:rsid w:val="00353CFF"/>
    <w:rsid w:val="00353D9A"/>
    <w:rsid w:val="003540B1"/>
    <w:rsid w:val="00355365"/>
    <w:rsid w:val="003558E3"/>
    <w:rsid w:val="00355F5F"/>
    <w:rsid w:val="00356780"/>
    <w:rsid w:val="003567E7"/>
    <w:rsid w:val="00357A40"/>
    <w:rsid w:val="003608B0"/>
    <w:rsid w:val="00360E22"/>
    <w:rsid w:val="00361E68"/>
    <w:rsid w:val="0036274D"/>
    <w:rsid w:val="00363A0C"/>
    <w:rsid w:val="0036519A"/>
    <w:rsid w:val="00366910"/>
    <w:rsid w:val="00366D9E"/>
    <w:rsid w:val="00367AEA"/>
    <w:rsid w:val="00367F33"/>
    <w:rsid w:val="00370745"/>
    <w:rsid w:val="00371F5D"/>
    <w:rsid w:val="003721F3"/>
    <w:rsid w:val="00372F51"/>
    <w:rsid w:val="003752F3"/>
    <w:rsid w:val="00375591"/>
    <w:rsid w:val="00376D29"/>
    <w:rsid w:val="00376E3C"/>
    <w:rsid w:val="00377246"/>
    <w:rsid w:val="0037782B"/>
    <w:rsid w:val="00377C56"/>
    <w:rsid w:val="0038126E"/>
    <w:rsid w:val="00381E11"/>
    <w:rsid w:val="003841B0"/>
    <w:rsid w:val="00384DF0"/>
    <w:rsid w:val="00385002"/>
    <w:rsid w:val="003850DE"/>
    <w:rsid w:val="00386B57"/>
    <w:rsid w:val="003903D0"/>
    <w:rsid w:val="003903E1"/>
    <w:rsid w:val="00390D04"/>
    <w:rsid w:val="0039175C"/>
    <w:rsid w:val="00391825"/>
    <w:rsid w:val="00392483"/>
    <w:rsid w:val="00392D93"/>
    <w:rsid w:val="00392FA4"/>
    <w:rsid w:val="00392FC7"/>
    <w:rsid w:val="003947B4"/>
    <w:rsid w:val="00394EB7"/>
    <w:rsid w:val="00395B2B"/>
    <w:rsid w:val="003960DD"/>
    <w:rsid w:val="003961AD"/>
    <w:rsid w:val="003964A9"/>
    <w:rsid w:val="00396688"/>
    <w:rsid w:val="00397026"/>
    <w:rsid w:val="00397DF5"/>
    <w:rsid w:val="003A087C"/>
    <w:rsid w:val="003A10B0"/>
    <w:rsid w:val="003A1FD5"/>
    <w:rsid w:val="003A2F57"/>
    <w:rsid w:val="003A3382"/>
    <w:rsid w:val="003A3D2E"/>
    <w:rsid w:val="003A3D9D"/>
    <w:rsid w:val="003A40A8"/>
    <w:rsid w:val="003A42AF"/>
    <w:rsid w:val="003A43D6"/>
    <w:rsid w:val="003A4501"/>
    <w:rsid w:val="003A47F3"/>
    <w:rsid w:val="003A5031"/>
    <w:rsid w:val="003A62B4"/>
    <w:rsid w:val="003A7103"/>
    <w:rsid w:val="003A7190"/>
    <w:rsid w:val="003B2977"/>
    <w:rsid w:val="003B37A9"/>
    <w:rsid w:val="003B37B9"/>
    <w:rsid w:val="003B39ED"/>
    <w:rsid w:val="003B3E88"/>
    <w:rsid w:val="003B4017"/>
    <w:rsid w:val="003B4550"/>
    <w:rsid w:val="003B4ABC"/>
    <w:rsid w:val="003B5013"/>
    <w:rsid w:val="003B5382"/>
    <w:rsid w:val="003B5A8C"/>
    <w:rsid w:val="003B61F6"/>
    <w:rsid w:val="003B7FF6"/>
    <w:rsid w:val="003C0ACD"/>
    <w:rsid w:val="003C0CB8"/>
    <w:rsid w:val="003C2609"/>
    <w:rsid w:val="003C2C07"/>
    <w:rsid w:val="003C3835"/>
    <w:rsid w:val="003C4278"/>
    <w:rsid w:val="003C42A4"/>
    <w:rsid w:val="003C5CD2"/>
    <w:rsid w:val="003C6F24"/>
    <w:rsid w:val="003C78E4"/>
    <w:rsid w:val="003C7C05"/>
    <w:rsid w:val="003D0A4C"/>
    <w:rsid w:val="003D0CA7"/>
    <w:rsid w:val="003D0E2C"/>
    <w:rsid w:val="003D15D8"/>
    <w:rsid w:val="003D2595"/>
    <w:rsid w:val="003D2A56"/>
    <w:rsid w:val="003D3CC5"/>
    <w:rsid w:val="003D4099"/>
    <w:rsid w:val="003D420E"/>
    <w:rsid w:val="003D5FBD"/>
    <w:rsid w:val="003D6745"/>
    <w:rsid w:val="003D76F9"/>
    <w:rsid w:val="003D7B74"/>
    <w:rsid w:val="003E0A87"/>
    <w:rsid w:val="003E11EC"/>
    <w:rsid w:val="003E151C"/>
    <w:rsid w:val="003E1BBE"/>
    <w:rsid w:val="003E2B8A"/>
    <w:rsid w:val="003E2B99"/>
    <w:rsid w:val="003E3139"/>
    <w:rsid w:val="003E3C27"/>
    <w:rsid w:val="003E3E76"/>
    <w:rsid w:val="003E49ED"/>
    <w:rsid w:val="003E4A07"/>
    <w:rsid w:val="003E574E"/>
    <w:rsid w:val="003E69B1"/>
    <w:rsid w:val="003E6A90"/>
    <w:rsid w:val="003F042D"/>
    <w:rsid w:val="003F0719"/>
    <w:rsid w:val="003F15BF"/>
    <w:rsid w:val="003F190D"/>
    <w:rsid w:val="003F1AFB"/>
    <w:rsid w:val="003F1DE0"/>
    <w:rsid w:val="003F1EE3"/>
    <w:rsid w:val="003F3809"/>
    <w:rsid w:val="003F5EE0"/>
    <w:rsid w:val="003F7280"/>
    <w:rsid w:val="0040088E"/>
    <w:rsid w:val="00400BAF"/>
    <w:rsid w:val="004016E0"/>
    <w:rsid w:val="00402746"/>
    <w:rsid w:val="00403E95"/>
    <w:rsid w:val="004048F5"/>
    <w:rsid w:val="00405927"/>
    <w:rsid w:val="00405EA6"/>
    <w:rsid w:val="00405F38"/>
    <w:rsid w:val="004069DD"/>
    <w:rsid w:val="00406EA6"/>
    <w:rsid w:val="004075F5"/>
    <w:rsid w:val="004079AB"/>
    <w:rsid w:val="00410BFB"/>
    <w:rsid w:val="00411801"/>
    <w:rsid w:val="00411D90"/>
    <w:rsid w:val="004124F1"/>
    <w:rsid w:val="00412A42"/>
    <w:rsid w:val="00413227"/>
    <w:rsid w:val="00413485"/>
    <w:rsid w:val="004144C3"/>
    <w:rsid w:val="004147AF"/>
    <w:rsid w:val="00415305"/>
    <w:rsid w:val="00415CED"/>
    <w:rsid w:val="00417E34"/>
    <w:rsid w:val="004202FC"/>
    <w:rsid w:val="004206F4"/>
    <w:rsid w:val="00420B04"/>
    <w:rsid w:val="00422DF6"/>
    <w:rsid w:val="0042327E"/>
    <w:rsid w:val="00423F72"/>
    <w:rsid w:val="00424B7F"/>
    <w:rsid w:val="00426520"/>
    <w:rsid w:val="00426A48"/>
    <w:rsid w:val="004278A1"/>
    <w:rsid w:val="00427C3C"/>
    <w:rsid w:val="00427F2F"/>
    <w:rsid w:val="0043017F"/>
    <w:rsid w:val="0043138B"/>
    <w:rsid w:val="004326A4"/>
    <w:rsid w:val="00433FB5"/>
    <w:rsid w:val="00434565"/>
    <w:rsid w:val="00434894"/>
    <w:rsid w:val="00435783"/>
    <w:rsid w:val="00435DFF"/>
    <w:rsid w:val="00436AA3"/>
    <w:rsid w:val="00436CB6"/>
    <w:rsid w:val="004371E8"/>
    <w:rsid w:val="00440EDD"/>
    <w:rsid w:val="00441581"/>
    <w:rsid w:val="00441A53"/>
    <w:rsid w:val="004424D6"/>
    <w:rsid w:val="0044365D"/>
    <w:rsid w:val="0044383A"/>
    <w:rsid w:val="00443CA6"/>
    <w:rsid w:val="00444652"/>
    <w:rsid w:val="0044467A"/>
    <w:rsid w:val="00447D04"/>
    <w:rsid w:val="004502C3"/>
    <w:rsid w:val="0045120F"/>
    <w:rsid w:val="00451585"/>
    <w:rsid w:val="00451ADB"/>
    <w:rsid w:val="00452CEB"/>
    <w:rsid w:val="00452DF2"/>
    <w:rsid w:val="00454B77"/>
    <w:rsid w:val="004555BB"/>
    <w:rsid w:val="004565EF"/>
    <w:rsid w:val="0045681D"/>
    <w:rsid w:val="00456867"/>
    <w:rsid w:val="004568AD"/>
    <w:rsid w:val="00456A41"/>
    <w:rsid w:val="00456FB7"/>
    <w:rsid w:val="00457409"/>
    <w:rsid w:val="00457A15"/>
    <w:rsid w:val="00457FEE"/>
    <w:rsid w:val="00460D14"/>
    <w:rsid w:val="004615D2"/>
    <w:rsid w:val="0046197C"/>
    <w:rsid w:val="00461B84"/>
    <w:rsid w:val="0046242D"/>
    <w:rsid w:val="004625D0"/>
    <w:rsid w:val="00462738"/>
    <w:rsid w:val="00463C87"/>
    <w:rsid w:val="0046469D"/>
    <w:rsid w:val="00465F5E"/>
    <w:rsid w:val="00466731"/>
    <w:rsid w:val="0046678C"/>
    <w:rsid w:val="00467083"/>
    <w:rsid w:val="004702A2"/>
    <w:rsid w:val="004712AF"/>
    <w:rsid w:val="0047170B"/>
    <w:rsid w:val="00472BAB"/>
    <w:rsid w:val="00473B00"/>
    <w:rsid w:val="00473D41"/>
    <w:rsid w:val="00474990"/>
    <w:rsid w:val="00474CDA"/>
    <w:rsid w:val="00475B21"/>
    <w:rsid w:val="004763EB"/>
    <w:rsid w:val="00476BAA"/>
    <w:rsid w:val="00476EEF"/>
    <w:rsid w:val="00477017"/>
    <w:rsid w:val="00477EA2"/>
    <w:rsid w:val="004802CA"/>
    <w:rsid w:val="00482244"/>
    <w:rsid w:val="00483C3C"/>
    <w:rsid w:val="00485CEF"/>
    <w:rsid w:val="00486424"/>
    <w:rsid w:val="0048643D"/>
    <w:rsid w:val="0048678A"/>
    <w:rsid w:val="00487F76"/>
    <w:rsid w:val="00491366"/>
    <w:rsid w:val="004919D0"/>
    <w:rsid w:val="00491C81"/>
    <w:rsid w:val="00493372"/>
    <w:rsid w:val="004953EF"/>
    <w:rsid w:val="00495AD0"/>
    <w:rsid w:val="004965C3"/>
    <w:rsid w:val="004969EA"/>
    <w:rsid w:val="004A19B3"/>
    <w:rsid w:val="004A1CEA"/>
    <w:rsid w:val="004A1CF5"/>
    <w:rsid w:val="004A3CF1"/>
    <w:rsid w:val="004A4410"/>
    <w:rsid w:val="004A5B75"/>
    <w:rsid w:val="004A5DE0"/>
    <w:rsid w:val="004A5EB7"/>
    <w:rsid w:val="004A607E"/>
    <w:rsid w:val="004B20CF"/>
    <w:rsid w:val="004B2283"/>
    <w:rsid w:val="004B2BF0"/>
    <w:rsid w:val="004B3397"/>
    <w:rsid w:val="004B3483"/>
    <w:rsid w:val="004B3A69"/>
    <w:rsid w:val="004B42D0"/>
    <w:rsid w:val="004B77B3"/>
    <w:rsid w:val="004B7A97"/>
    <w:rsid w:val="004B7FE6"/>
    <w:rsid w:val="004C09AF"/>
    <w:rsid w:val="004C1194"/>
    <w:rsid w:val="004C1B2D"/>
    <w:rsid w:val="004C2FF5"/>
    <w:rsid w:val="004C58A6"/>
    <w:rsid w:val="004C608F"/>
    <w:rsid w:val="004C631A"/>
    <w:rsid w:val="004C6375"/>
    <w:rsid w:val="004C70B5"/>
    <w:rsid w:val="004C7742"/>
    <w:rsid w:val="004C777F"/>
    <w:rsid w:val="004C784A"/>
    <w:rsid w:val="004D0441"/>
    <w:rsid w:val="004D0493"/>
    <w:rsid w:val="004D0DCA"/>
    <w:rsid w:val="004D1280"/>
    <w:rsid w:val="004D1D7C"/>
    <w:rsid w:val="004D4727"/>
    <w:rsid w:val="004D4DF0"/>
    <w:rsid w:val="004D5593"/>
    <w:rsid w:val="004D5BE0"/>
    <w:rsid w:val="004E1502"/>
    <w:rsid w:val="004E2A81"/>
    <w:rsid w:val="004E3201"/>
    <w:rsid w:val="004E3239"/>
    <w:rsid w:val="004E3A83"/>
    <w:rsid w:val="004E4275"/>
    <w:rsid w:val="004E42E8"/>
    <w:rsid w:val="004F26F9"/>
    <w:rsid w:val="004F2905"/>
    <w:rsid w:val="004F3040"/>
    <w:rsid w:val="004F34CA"/>
    <w:rsid w:val="004F3657"/>
    <w:rsid w:val="004F3810"/>
    <w:rsid w:val="004F3928"/>
    <w:rsid w:val="004F4660"/>
    <w:rsid w:val="004F4AD9"/>
    <w:rsid w:val="004F5512"/>
    <w:rsid w:val="004F568B"/>
    <w:rsid w:val="004F5B13"/>
    <w:rsid w:val="004F67D7"/>
    <w:rsid w:val="004F71A5"/>
    <w:rsid w:val="004F786E"/>
    <w:rsid w:val="00500119"/>
    <w:rsid w:val="00500895"/>
    <w:rsid w:val="00501440"/>
    <w:rsid w:val="00501C5B"/>
    <w:rsid w:val="005044ED"/>
    <w:rsid w:val="00506092"/>
    <w:rsid w:val="0050691D"/>
    <w:rsid w:val="00506CC0"/>
    <w:rsid w:val="00507219"/>
    <w:rsid w:val="005073EE"/>
    <w:rsid w:val="005104AC"/>
    <w:rsid w:val="005105AD"/>
    <w:rsid w:val="0051281B"/>
    <w:rsid w:val="00514BD9"/>
    <w:rsid w:val="005179DD"/>
    <w:rsid w:val="005213C4"/>
    <w:rsid w:val="0052179B"/>
    <w:rsid w:val="00523810"/>
    <w:rsid w:val="00523A9C"/>
    <w:rsid w:val="005252F1"/>
    <w:rsid w:val="0052552F"/>
    <w:rsid w:val="005256A2"/>
    <w:rsid w:val="00525B15"/>
    <w:rsid w:val="00526D03"/>
    <w:rsid w:val="005271CF"/>
    <w:rsid w:val="00527653"/>
    <w:rsid w:val="0053018C"/>
    <w:rsid w:val="005303CC"/>
    <w:rsid w:val="005305C6"/>
    <w:rsid w:val="00530EF7"/>
    <w:rsid w:val="00531336"/>
    <w:rsid w:val="0053227B"/>
    <w:rsid w:val="00532EF2"/>
    <w:rsid w:val="005335AA"/>
    <w:rsid w:val="00533944"/>
    <w:rsid w:val="00536675"/>
    <w:rsid w:val="00537532"/>
    <w:rsid w:val="0054002A"/>
    <w:rsid w:val="005407CD"/>
    <w:rsid w:val="00540822"/>
    <w:rsid w:val="00540E66"/>
    <w:rsid w:val="005419E0"/>
    <w:rsid w:val="00541F1D"/>
    <w:rsid w:val="00542752"/>
    <w:rsid w:val="00542764"/>
    <w:rsid w:val="005427AB"/>
    <w:rsid w:val="00542DA5"/>
    <w:rsid w:val="00543FB1"/>
    <w:rsid w:val="00545BF5"/>
    <w:rsid w:val="00545FAC"/>
    <w:rsid w:val="00546873"/>
    <w:rsid w:val="00546AAD"/>
    <w:rsid w:val="00547588"/>
    <w:rsid w:val="00550484"/>
    <w:rsid w:val="00550DFD"/>
    <w:rsid w:val="0055107E"/>
    <w:rsid w:val="00552086"/>
    <w:rsid w:val="0055306C"/>
    <w:rsid w:val="005532FE"/>
    <w:rsid w:val="005539C3"/>
    <w:rsid w:val="00553DA3"/>
    <w:rsid w:val="005547E9"/>
    <w:rsid w:val="00554A1A"/>
    <w:rsid w:val="00555696"/>
    <w:rsid w:val="00555B1E"/>
    <w:rsid w:val="00555E7B"/>
    <w:rsid w:val="00556122"/>
    <w:rsid w:val="00556415"/>
    <w:rsid w:val="0055750C"/>
    <w:rsid w:val="00557F96"/>
    <w:rsid w:val="00560721"/>
    <w:rsid w:val="005611F1"/>
    <w:rsid w:val="00561832"/>
    <w:rsid w:val="00561D7E"/>
    <w:rsid w:val="00562500"/>
    <w:rsid w:val="00564FC7"/>
    <w:rsid w:val="00566BF8"/>
    <w:rsid w:val="00567A27"/>
    <w:rsid w:val="005706D1"/>
    <w:rsid w:val="005707E3"/>
    <w:rsid w:val="00570F56"/>
    <w:rsid w:val="00570F5E"/>
    <w:rsid w:val="005710F7"/>
    <w:rsid w:val="00572AE9"/>
    <w:rsid w:val="00572C5C"/>
    <w:rsid w:val="00572DDC"/>
    <w:rsid w:val="005731CD"/>
    <w:rsid w:val="0057549B"/>
    <w:rsid w:val="005759B4"/>
    <w:rsid w:val="00575BD3"/>
    <w:rsid w:val="0057627B"/>
    <w:rsid w:val="00580239"/>
    <w:rsid w:val="005807A2"/>
    <w:rsid w:val="00582B1F"/>
    <w:rsid w:val="005837E2"/>
    <w:rsid w:val="0058411B"/>
    <w:rsid w:val="005842EA"/>
    <w:rsid w:val="005843B8"/>
    <w:rsid w:val="00585970"/>
    <w:rsid w:val="00586AE4"/>
    <w:rsid w:val="005879ED"/>
    <w:rsid w:val="00587BB7"/>
    <w:rsid w:val="00590876"/>
    <w:rsid w:val="00590F6B"/>
    <w:rsid w:val="00591F85"/>
    <w:rsid w:val="005927DC"/>
    <w:rsid w:val="00592D49"/>
    <w:rsid w:val="00593193"/>
    <w:rsid w:val="00594527"/>
    <w:rsid w:val="005962A8"/>
    <w:rsid w:val="005962EC"/>
    <w:rsid w:val="005967FE"/>
    <w:rsid w:val="00597B44"/>
    <w:rsid w:val="005A0378"/>
    <w:rsid w:val="005A0B7A"/>
    <w:rsid w:val="005A0F6F"/>
    <w:rsid w:val="005A11A4"/>
    <w:rsid w:val="005A2059"/>
    <w:rsid w:val="005A3E98"/>
    <w:rsid w:val="005A3FD0"/>
    <w:rsid w:val="005A4A8F"/>
    <w:rsid w:val="005A4B23"/>
    <w:rsid w:val="005A52D5"/>
    <w:rsid w:val="005B395F"/>
    <w:rsid w:val="005B5161"/>
    <w:rsid w:val="005B596C"/>
    <w:rsid w:val="005B5FE6"/>
    <w:rsid w:val="005B6338"/>
    <w:rsid w:val="005B6999"/>
    <w:rsid w:val="005C0016"/>
    <w:rsid w:val="005C08F0"/>
    <w:rsid w:val="005C0CEA"/>
    <w:rsid w:val="005C1B70"/>
    <w:rsid w:val="005C1FCB"/>
    <w:rsid w:val="005C291C"/>
    <w:rsid w:val="005C350C"/>
    <w:rsid w:val="005C368E"/>
    <w:rsid w:val="005C3702"/>
    <w:rsid w:val="005C5F19"/>
    <w:rsid w:val="005C6A37"/>
    <w:rsid w:val="005C6D99"/>
    <w:rsid w:val="005D0FF3"/>
    <w:rsid w:val="005D12ED"/>
    <w:rsid w:val="005D1A03"/>
    <w:rsid w:val="005D35BF"/>
    <w:rsid w:val="005D3704"/>
    <w:rsid w:val="005D3812"/>
    <w:rsid w:val="005D3A97"/>
    <w:rsid w:val="005D4A96"/>
    <w:rsid w:val="005D4B7A"/>
    <w:rsid w:val="005D5892"/>
    <w:rsid w:val="005D5D55"/>
    <w:rsid w:val="005D653F"/>
    <w:rsid w:val="005D65C2"/>
    <w:rsid w:val="005E0CCD"/>
    <w:rsid w:val="005E1355"/>
    <w:rsid w:val="005E1AE9"/>
    <w:rsid w:val="005E258D"/>
    <w:rsid w:val="005E262B"/>
    <w:rsid w:val="005E29F7"/>
    <w:rsid w:val="005E2F65"/>
    <w:rsid w:val="005E318E"/>
    <w:rsid w:val="005E3441"/>
    <w:rsid w:val="005E39D0"/>
    <w:rsid w:val="005E4159"/>
    <w:rsid w:val="005E5260"/>
    <w:rsid w:val="005E67A2"/>
    <w:rsid w:val="005E6E17"/>
    <w:rsid w:val="005E746C"/>
    <w:rsid w:val="005F059F"/>
    <w:rsid w:val="005F0603"/>
    <w:rsid w:val="005F0FCA"/>
    <w:rsid w:val="005F1144"/>
    <w:rsid w:val="005F1C4F"/>
    <w:rsid w:val="005F211B"/>
    <w:rsid w:val="005F3527"/>
    <w:rsid w:val="005F43E7"/>
    <w:rsid w:val="005F5635"/>
    <w:rsid w:val="005F59A9"/>
    <w:rsid w:val="005F5EA3"/>
    <w:rsid w:val="005F6F75"/>
    <w:rsid w:val="005F795D"/>
    <w:rsid w:val="00601808"/>
    <w:rsid w:val="00601B7A"/>
    <w:rsid w:val="00601FCF"/>
    <w:rsid w:val="00602915"/>
    <w:rsid w:val="00602D6F"/>
    <w:rsid w:val="0060379E"/>
    <w:rsid w:val="00604086"/>
    <w:rsid w:val="00604A04"/>
    <w:rsid w:val="00606826"/>
    <w:rsid w:val="00606A04"/>
    <w:rsid w:val="00606E52"/>
    <w:rsid w:val="0060757B"/>
    <w:rsid w:val="006075AE"/>
    <w:rsid w:val="0060791C"/>
    <w:rsid w:val="00607A6B"/>
    <w:rsid w:val="006107E5"/>
    <w:rsid w:val="00611055"/>
    <w:rsid w:val="00611528"/>
    <w:rsid w:val="00611CEE"/>
    <w:rsid w:val="00612E9E"/>
    <w:rsid w:val="00613D7D"/>
    <w:rsid w:val="0061414B"/>
    <w:rsid w:val="00614795"/>
    <w:rsid w:val="0061790F"/>
    <w:rsid w:val="006211FD"/>
    <w:rsid w:val="00621FA1"/>
    <w:rsid w:val="00622298"/>
    <w:rsid w:val="00622551"/>
    <w:rsid w:val="00624F1E"/>
    <w:rsid w:val="00626AAE"/>
    <w:rsid w:val="00627DFC"/>
    <w:rsid w:val="00631566"/>
    <w:rsid w:val="006317EC"/>
    <w:rsid w:val="00632730"/>
    <w:rsid w:val="006329D7"/>
    <w:rsid w:val="00633545"/>
    <w:rsid w:val="006344A9"/>
    <w:rsid w:val="00634C34"/>
    <w:rsid w:val="00637E8C"/>
    <w:rsid w:val="00641BA5"/>
    <w:rsid w:val="00642316"/>
    <w:rsid w:val="00642939"/>
    <w:rsid w:val="0064382E"/>
    <w:rsid w:val="00644BDE"/>
    <w:rsid w:val="00644F91"/>
    <w:rsid w:val="00645772"/>
    <w:rsid w:val="006459BA"/>
    <w:rsid w:val="00645B84"/>
    <w:rsid w:val="00646195"/>
    <w:rsid w:val="006466D9"/>
    <w:rsid w:val="0064679B"/>
    <w:rsid w:val="00646A50"/>
    <w:rsid w:val="006475C9"/>
    <w:rsid w:val="00650352"/>
    <w:rsid w:val="006503A3"/>
    <w:rsid w:val="00650D25"/>
    <w:rsid w:val="00651105"/>
    <w:rsid w:val="006518CF"/>
    <w:rsid w:val="00651AC0"/>
    <w:rsid w:val="00653738"/>
    <w:rsid w:val="0065432D"/>
    <w:rsid w:val="00655CB6"/>
    <w:rsid w:val="0065626A"/>
    <w:rsid w:val="00656CE6"/>
    <w:rsid w:val="0065759C"/>
    <w:rsid w:val="00660377"/>
    <w:rsid w:val="00660954"/>
    <w:rsid w:val="006614ED"/>
    <w:rsid w:val="00661EF7"/>
    <w:rsid w:val="006620EF"/>
    <w:rsid w:val="00662D34"/>
    <w:rsid w:val="00663A93"/>
    <w:rsid w:val="006643DE"/>
    <w:rsid w:val="00665291"/>
    <w:rsid w:val="00665A94"/>
    <w:rsid w:val="00666587"/>
    <w:rsid w:val="00666A1D"/>
    <w:rsid w:val="00667017"/>
    <w:rsid w:val="00667E6A"/>
    <w:rsid w:val="00670496"/>
    <w:rsid w:val="0067057C"/>
    <w:rsid w:val="0067251A"/>
    <w:rsid w:val="00672CE7"/>
    <w:rsid w:val="006740C0"/>
    <w:rsid w:val="00674890"/>
    <w:rsid w:val="00674B8F"/>
    <w:rsid w:val="00676619"/>
    <w:rsid w:val="0067696E"/>
    <w:rsid w:val="006772DA"/>
    <w:rsid w:val="0067776C"/>
    <w:rsid w:val="0068172F"/>
    <w:rsid w:val="00683AD2"/>
    <w:rsid w:val="00684768"/>
    <w:rsid w:val="006848F0"/>
    <w:rsid w:val="00684B34"/>
    <w:rsid w:val="00684C97"/>
    <w:rsid w:val="0068561F"/>
    <w:rsid w:val="006865D1"/>
    <w:rsid w:val="00686CAD"/>
    <w:rsid w:val="006878A0"/>
    <w:rsid w:val="00687A54"/>
    <w:rsid w:val="0069031E"/>
    <w:rsid w:val="0069046A"/>
    <w:rsid w:val="0069075D"/>
    <w:rsid w:val="00691CAB"/>
    <w:rsid w:val="00691DD2"/>
    <w:rsid w:val="00691EB7"/>
    <w:rsid w:val="00692323"/>
    <w:rsid w:val="00693250"/>
    <w:rsid w:val="00694166"/>
    <w:rsid w:val="0069428A"/>
    <w:rsid w:val="006945FD"/>
    <w:rsid w:val="0069583C"/>
    <w:rsid w:val="006977F7"/>
    <w:rsid w:val="006978BF"/>
    <w:rsid w:val="00697D37"/>
    <w:rsid w:val="00697EBB"/>
    <w:rsid w:val="006A1299"/>
    <w:rsid w:val="006A14B9"/>
    <w:rsid w:val="006A21AC"/>
    <w:rsid w:val="006A2225"/>
    <w:rsid w:val="006A22AC"/>
    <w:rsid w:val="006A32D4"/>
    <w:rsid w:val="006A387A"/>
    <w:rsid w:val="006A432E"/>
    <w:rsid w:val="006A4439"/>
    <w:rsid w:val="006A56E7"/>
    <w:rsid w:val="006A574A"/>
    <w:rsid w:val="006B0336"/>
    <w:rsid w:val="006B0D20"/>
    <w:rsid w:val="006B15B7"/>
    <w:rsid w:val="006B1AEF"/>
    <w:rsid w:val="006B2995"/>
    <w:rsid w:val="006B366D"/>
    <w:rsid w:val="006B3E6B"/>
    <w:rsid w:val="006B5951"/>
    <w:rsid w:val="006B5BFF"/>
    <w:rsid w:val="006B622F"/>
    <w:rsid w:val="006C0052"/>
    <w:rsid w:val="006C0626"/>
    <w:rsid w:val="006C0769"/>
    <w:rsid w:val="006C0BD1"/>
    <w:rsid w:val="006C184D"/>
    <w:rsid w:val="006C2905"/>
    <w:rsid w:val="006C39CD"/>
    <w:rsid w:val="006C3FB0"/>
    <w:rsid w:val="006C4600"/>
    <w:rsid w:val="006C47BC"/>
    <w:rsid w:val="006C4C94"/>
    <w:rsid w:val="006C5E74"/>
    <w:rsid w:val="006C660C"/>
    <w:rsid w:val="006D0DC0"/>
    <w:rsid w:val="006D13EB"/>
    <w:rsid w:val="006D1514"/>
    <w:rsid w:val="006D2E9B"/>
    <w:rsid w:val="006D3A5E"/>
    <w:rsid w:val="006D3F03"/>
    <w:rsid w:val="006D4EA4"/>
    <w:rsid w:val="006D614A"/>
    <w:rsid w:val="006D754C"/>
    <w:rsid w:val="006D7BC2"/>
    <w:rsid w:val="006D7DFE"/>
    <w:rsid w:val="006E0AC6"/>
    <w:rsid w:val="006E0CBD"/>
    <w:rsid w:val="006E27CA"/>
    <w:rsid w:val="006E31E7"/>
    <w:rsid w:val="006E3AB4"/>
    <w:rsid w:val="006E4835"/>
    <w:rsid w:val="006E490C"/>
    <w:rsid w:val="006E4D83"/>
    <w:rsid w:val="006E518F"/>
    <w:rsid w:val="006E5DEF"/>
    <w:rsid w:val="006E7392"/>
    <w:rsid w:val="006F1986"/>
    <w:rsid w:val="006F1A83"/>
    <w:rsid w:val="006F2687"/>
    <w:rsid w:val="006F281F"/>
    <w:rsid w:val="006F3426"/>
    <w:rsid w:val="006F4C29"/>
    <w:rsid w:val="006F62F2"/>
    <w:rsid w:val="006F63EF"/>
    <w:rsid w:val="006F6A87"/>
    <w:rsid w:val="006F7830"/>
    <w:rsid w:val="00701FE6"/>
    <w:rsid w:val="00702ADF"/>
    <w:rsid w:val="00704D77"/>
    <w:rsid w:val="00706418"/>
    <w:rsid w:val="007066F9"/>
    <w:rsid w:val="007068C0"/>
    <w:rsid w:val="00706A64"/>
    <w:rsid w:val="0070726B"/>
    <w:rsid w:val="007072A5"/>
    <w:rsid w:val="0071087A"/>
    <w:rsid w:val="00711C36"/>
    <w:rsid w:val="00712AFA"/>
    <w:rsid w:val="00712F2A"/>
    <w:rsid w:val="0071306F"/>
    <w:rsid w:val="00713B36"/>
    <w:rsid w:val="00713D8C"/>
    <w:rsid w:val="0071401D"/>
    <w:rsid w:val="0071405B"/>
    <w:rsid w:val="007143ED"/>
    <w:rsid w:val="00715265"/>
    <w:rsid w:val="007164E1"/>
    <w:rsid w:val="007165FC"/>
    <w:rsid w:val="00716B5A"/>
    <w:rsid w:val="007174C2"/>
    <w:rsid w:val="0072066B"/>
    <w:rsid w:val="00720DE4"/>
    <w:rsid w:val="00723C35"/>
    <w:rsid w:val="00724873"/>
    <w:rsid w:val="00725398"/>
    <w:rsid w:val="00726EAF"/>
    <w:rsid w:val="007302D3"/>
    <w:rsid w:val="00730CFA"/>
    <w:rsid w:val="0073283C"/>
    <w:rsid w:val="00733237"/>
    <w:rsid w:val="00734C3B"/>
    <w:rsid w:val="00734D06"/>
    <w:rsid w:val="0073527F"/>
    <w:rsid w:val="00735349"/>
    <w:rsid w:val="00736520"/>
    <w:rsid w:val="00737064"/>
    <w:rsid w:val="00737548"/>
    <w:rsid w:val="0074019E"/>
    <w:rsid w:val="00740908"/>
    <w:rsid w:val="00740ED5"/>
    <w:rsid w:val="00741E86"/>
    <w:rsid w:val="007422C0"/>
    <w:rsid w:val="007434C7"/>
    <w:rsid w:val="00744528"/>
    <w:rsid w:val="00745483"/>
    <w:rsid w:val="00745820"/>
    <w:rsid w:val="007458C4"/>
    <w:rsid w:val="00745EEF"/>
    <w:rsid w:val="0074638F"/>
    <w:rsid w:val="007472C5"/>
    <w:rsid w:val="007477D3"/>
    <w:rsid w:val="00747918"/>
    <w:rsid w:val="00747A06"/>
    <w:rsid w:val="00747CCA"/>
    <w:rsid w:val="00750184"/>
    <w:rsid w:val="0075059C"/>
    <w:rsid w:val="007510E7"/>
    <w:rsid w:val="00753D71"/>
    <w:rsid w:val="007543D0"/>
    <w:rsid w:val="00754D51"/>
    <w:rsid w:val="00754F85"/>
    <w:rsid w:val="007552A3"/>
    <w:rsid w:val="007552DD"/>
    <w:rsid w:val="00755848"/>
    <w:rsid w:val="00756CF1"/>
    <w:rsid w:val="007606AB"/>
    <w:rsid w:val="00761148"/>
    <w:rsid w:val="00761E7D"/>
    <w:rsid w:val="00763FAD"/>
    <w:rsid w:val="00764826"/>
    <w:rsid w:val="00764D51"/>
    <w:rsid w:val="00765EAC"/>
    <w:rsid w:val="00766061"/>
    <w:rsid w:val="00766334"/>
    <w:rsid w:val="0076658A"/>
    <w:rsid w:val="00770669"/>
    <w:rsid w:val="00771210"/>
    <w:rsid w:val="00771502"/>
    <w:rsid w:val="00771503"/>
    <w:rsid w:val="0077365F"/>
    <w:rsid w:val="00774496"/>
    <w:rsid w:val="00774FD8"/>
    <w:rsid w:val="00775917"/>
    <w:rsid w:val="007771F6"/>
    <w:rsid w:val="00781199"/>
    <w:rsid w:val="00782EEF"/>
    <w:rsid w:val="00783DE7"/>
    <w:rsid w:val="00784CBE"/>
    <w:rsid w:val="00784F6D"/>
    <w:rsid w:val="00785809"/>
    <w:rsid w:val="00785FD5"/>
    <w:rsid w:val="00786384"/>
    <w:rsid w:val="00786EC4"/>
    <w:rsid w:val="007870AF"/>
    <w:rsid w:val="00787539"/>
    <w:rsid w:val="00787741"/>
    <w:rsid w:val="007900E3"/>
    <w:rsid w:val="00790B5E"/>
    <w:rsid w:val="00790E5C"/>
    <w:rsid w:val="007913A2"/>
    <w:rsid w:val="00791611"/>
    <w:rsid w:val="0079174A"/>
    <w:rsid w:val="007927B1"/>
    <w:rsid w:val="0079424C"/>
    <w:rsid w:val="0079439F"/>
    <w:rsid w:val="00794BB6"/>
    <w:rsid w:val="00796ADE"/>
    <w:rsid w:val="00797181"/>
    <w:rsid w:val="007971B8"/>
    <w:rsid w:val="007A06FC"/>
    <w:rsid w:val="007A0C97"/>
    <w:rsid w:val="007A0DA6"/>
    <w:rsid w:val="007A19A2"/>
    <w:rsid w:val="007A409E"/>
    <w:rsid w:val="007A4332"/>
    <w:rsid w:val="007A4C71"/>
    <w:rsid w:val="007A5026"/>
    <w:rsid w:val="007A5998"/>
    <w:rsid w:val="007A60A0"/>
    <w:rsid w:val="007A7F08"/>
    <w:rsid w:val="007A7F49"/>
    <w:rsid w:val="007B03E0"/>
    <w:rsid w:val="007B06B3"/>
    <w:rsid w:val="007B13FA"/>
    <w:rsid w:val="007B4AD8"/>
    <w:rsid w:val="007B4F0D"/>
    <w:rsid w:val="007B5558"/>
    <w:rsid w:val="007B5924"/>
    <w:rsid w:val="007B6035"/>
    <w:rsid w:val="007B6EF8"/>
    <w:rsid w:val="007B7037"/>
    <w:rsid w:val="007B7A4E"/>
    <w:rsid w:val="007C0279"/>
    <w:rsid w:val="007C065B"/>
    <w:rsid w:val="007C0DC6"/>
    <w:rsid w:val="007C229F"/>
    <w:rsid w:val="007C24B5"/>
    <w:rsid w:val="007C24CF"/>
    <w:rsid w:val="007C2D9A"/>
    <w:rsid w:val="007C3CDA"/>
    <w:rsid w:val="007C4321"/>
    <w:rsid w:val="007C4374"/>
    <w:rsid w:val="007C4B1B"/>
    <w:rsid w:val="007C4E38"/>
    <w:rsid w:val="007C59EF"/>
    <w:rsid w:val="007C6166"/>
    <w:rsid w:val="007C6A5A"/>
    <w:rsid w:val="007C6BA3"/>
    <w:rsid w:val="007C6C66"/>
    <w:rsid w:val="007D17A1"/>
    <w:rsid w:val="007D29BA"/>
    <w:rsid w:val="007D41C4"/>
    <w:rsid w:val="007D5D1B"/>
    <w:rsid w:val="007D6E7D"/>
    <w:rsid w:val="007D703E"/>
    <w:rsid w:val="007D7BEE"/>
    <w:rsid w:val="007E0B0A"/>
    <w:rsid w:val="007E13BD"/>
    <w:rsid w:val="007E21D9"/>
    <w:rsid w:val="007E47A0"/>
    <w:rsid w:val="007E4D44"/>
    <w:rsid w:val="007E6485"/>
    <w:rsid w:val="007E651E"/>
    <w:rsid w:val="007E75AB"/>
    <w:rsid w:val="007E793A"/>
    <w:rsid w:val="007F01DC"/>
    <w:rsid w:val="007F02F3"/>
    <w:rsid w:val="007F0AFA"/>
    <w:rsid w:val="007F1075"/>
    <w:rsid w:val="007F39F2"/>
    <w:rsid w:val="007F4E62"/>
    <w:rsid w:val="007F5336"/>
    <w:rsid w:val="007F6220"/>
    <w:rsid w:val="007F6D06"/>
    <w:rsid w:val="00800B33"/>
    <w:rsid w:val="00800C19"/>
    <w:rsid w:val="00804A31"/>
    <w:rsid w:val="008056B8"/>
    <w:rsid w:val="00806BE2"/>
    <w:rsid w:val="008071FB"/>
    <w:rsid w:val="0080796F"/>
    <w:rsid w:val="0081086C"/>
    <w:rsid w:val="00810D05"/>
    <w:rsid w:val="00811C9F"/>
    <w:rsid w:val="0081281B"/>
    <w:rsid w:val="00812C9F"/>
    <w:rsid w:val="00813457"/>
    <w:rsid w:val="008146C8"/>
    <w:rsid w:val="0081603C"/>
    <w:rsid w:val="00816777"/>
    <w:rsid w:val="00816B18"/>
    <w:rsid w:val="008204EA"/>
    <w:rsid w:val="00821648"/>
    <w:rsid w:val="0082259A"/>
    <w:rsid w:val="00822741"/>
    <w:rsid w:val="0082291C"/>
    <w:rsid w:val="008231FB"/>
    <w:rsid w:val="008253A5"/>
    <w:rsid w:val="00825891"/>
    <w:rsid w:val="00825C9E"/>
    <w:rsid w:val="00825F20"/>
    <w:rsid w:val="00826875"/>
    <w:rsid w:val="00826A93"/>
    <w:rsid w:val="0082757C"/>
    <w:rsid w:val="00827773"/>
    <w:rsid w:val="00827C83"/>
    <w:rsid w:val="00830350"/>
    <w:rsid w:val="008311AA"/>
    <w:rsid w:val="00831B5B"/>
    <w:rsid w:val="00833213"/>
    <w:rsid w:val="00833614"/>
    <w:rsid w:val="00833895"/>
    <w:rsid w:val="008377DD"/>
    <w:rsid w:val="00837B32"/>
    <w:rsid w:val="00840831"/>
    <w:rsid w:val="00840AE9"/>
    <w:rsid w:val="00842F83"/>
    <w:rsid w:val="00843032"/>
    <w:rsid w:val="0084308A"/>
    <w:rsid w:val="0084317D"/>
    <w:rsid w:val="00843743"/>
    <w:rsid w:val="0084494E"/>
    <w:rsid w:val="00844CB8"/>
    <w:rsid w:val="00845482"/>
    <w:rsid w:val="00846B41"/>
    <w:rsid w:val="00853F80"/>
    <w:rsid w:val="00854767"/>
    <w:rsid w:val="00854AAA"/>
    <w:rsid w:val="00854E1F"/>
    <w:rsid w:val="00855B46"/>
    <w:rsid w:val="008562D0"/>
    <w:rsid w:val="008603E9"/>
    <w:rsid w:val="0086050F"/>
    <w:rsid w:val="00861264"/>
    <w:rsid w:val="00862C4D"/>
    <w:rsid w:val="00863DE8"/>
    <w:rsid w:val="008641CF"/>
    <w:rsid w:val="00864A18"/>
    <w:rsid w:val="00864BEA"/>
    <w:rsid w:val="00864CDC"/>
    <w:rsid w:val="00865027"/>
    <w:rsid w:val="008654C9"/>
    <w:rsid w:val="00866791"/>
    <w:rsid w:val="008676F7"/>
    <w:rsid w:val="00867F97"/>
    <w:rsid w:val="008705E0"/>
    <w:rsid w:val="00870DD9"/>
    <w:rsid w:val="00873CE4"/>
    <w:rsid w:val="00873DAD"/>
    <w:rsid w:val="00875762"/>
    <w:rsid w:val="00875C1A"/>
    <w:rsid w:val="008761C4"/>
    <w:rsid w:val="00876F4A"/>
    <w:rsid w:val="0088169C"/>
    <w:rsid w:val="00882266"/>
    <w:rsid w:val="00882C17"/>
    <w:rsid w:val="008837B5"/>
    <w:rsid w:val="00883819"/>
    <w:rsid w:val="00883DA3"/>
    <w:rsid w:val="00884A72"/>
    <w:rsid w:val="00885963"/>
    <w:rsid w:val="0088615D"/>
    <w:rsid w:val="00886955"/>
    <w:rsid w:val="0088705D"/>
    <w:rsid w:val="008901B2"/>
    <w:rsid w:val="008903DB"/>
    <w:rsid w:val="00890BEE"/>
    <w:rsid w:val="00891030"/>
    <w:rsid w:val="008924BA"/>
    <w:rsid w:val="00893BEF"/>
    <w:rsid w:val="00894809"/>
    <w:rsid w:val="0089494D"/>
    <w:rsid w:val="008950CE"/>
    <w:rsid w:val="0089529D"/>
    <w:rsid w:val="00895415"/>
    <w:rsid w:val="00896628"/>
    <w:rsid w:val="00897DB6"/>
    <w:rsid w:val="008A045F"/>
    <w:rsid w:val="008A0E4A"/>
    <w:rsid w:val="008A3074"/>
    <w:rsid w:val="008A30A1"/>
    <w:rsid w:val="008A3253"/>
    <w:rsid w:val="008A357F"/>
    <w:rsid w:val="008A35BF"/>
    <w:rsid w:val="008A549B"/>
    <w:rsid w:val="008A67DC"/>
    <w:rsid w:val="008A7381"/>
    <w:rsid w:val="008A7678"/>
    <w:rsid w:val="008B0A8E"/>
    <w:rsid w:val="008B23C7"/>
    <w:rsid w:val="008B29B6"/>
    <w:rsid w:val="008B2C6E"/>
    <w:rsid w:val="008B3F6E"/>
    <w:rsid w:val="008B49E5"/>
    <w:rsid w:val="008B4ADE"/>
    <w:rsid w:val="008B4B8A"/>
    <w:rsid w:val="008C0E34"/>
    <w:rsid w:val="008C1895"/>
    <w:rsid w:val="008C367E"/>
    <w:rsid w:val="008C47E3"/>
    <w:rsid w:val="008C531B"/>
    <w:rsid w:val="008C55E4"/>
    <w:rsid w:val="008C5869"/>
    <w:rsid w:val="008C5BF6"/>
    <w:rsid w:val="008C6965"/>
    <w:rsid w:val="008C7D1D"/>
    <w:rsid w:val="008D0F35"/>
    <w:rsid w:val="008D180C"/>
    <w:rsid w:val="008D2BC2"/>
    <w:rsid w:val="008D2C75"/>
    <w:rsid w:val="008D2EAF"/>
    <w:rsid w:val="008D31BE"/>
    <w:rsid w:val="008D3B2B"/>
    <w:rsid w:val="008D666A"/>
    <w:rsid w:val="008D6A5D"/>
    <w:rsid w:val="008D6FFE"/>
    <w:rsid w:val="008D71A2"/>
    <w:rsid w:val="008D7678"/>
    <w:rsid w:val="008D7991"/>
    <w:rsid w:val="008E07E5"/>
    <w:rsid w:val="008E20A9"/>
    <w:rsid w:val="008E222B"/>
    <w:rsid w:val="008E2478"/>
    <w:rsid w:val="008E312C"/>
    <w:rsid w:val="008E3E19"/>
    <w:rsid w:val="008E595A"/>
    <w:rsid w:val="008E597C"/>
    <w:rsid w:val="008E72C1"/>
    <w:rsid w:val="008F0339"/>
    <w:rsid w:val="008F045F"/>
    <w:rsid w:val="008F16AC"/>
    <w:rsid w:val="008F2239"/>
    <w:rsid w:val="008F227E"/>
    <w:rsid w:val="008F2F73"/>
    <w:rsid w:val="008F2F7F"/>
    <w:rsid w:val="008F3168"/>
    <w:rsid w:val="008F379E"/>
    <w:rsid w:val="008F4C5C"/>
    <w:rsid w:val="008F662A"/>
    <w:rsid w:val="008F70DF"/>
    <w:rsid w:val="009006CA"/>
    <w:rsid w:val="00900D63"/>
    <w:rsid w:val="00901385"/>
    <w:rsid w:val="00901D98"/>
    <w:rsid w:val="00901F59"/>
    <w:rsid w:val="00903A50"/>
    <w:rsid w:val="0090450E"/>
    <w:rsid w:val="009048FB"/>
    <w:rsid w:val="009055CC"/>
    <w:rsid w:val="00906705"/>
    <w:rsid w:val="00906752"/>
    <w:rsid w:val="00906830"/>
    <w:rsid w:val="00906BE7"/>
    <w:rsid w:val="009075F4"/>
    <w:rsid w:val="00910262"/>
    <w:rsid w:val="009104CC"/>
    <w:rsid w:val="00910A1E"/>
    <w:rsid w:val="00911638"/>
    <w:rsid w:val="00912056"/>
    <w:rsid w:val="00912C89"/>
    <w:rsid w:val="00913DF2"/>
    <w:rsid w:val="00914D05"/>
    <w:rsid w:val="00915200"/>
    <w:rsid w:val="00915BE2"/>
    <w:rsid w:val="009177AB"/>
    <w:rsid w:val="00917B76"/>
    <w:rsid w:val="00917DF4"/>
    <w:rsid w:val="0092047D"/>
    <w:rsid w:val="009215BE"/>
    <w:rsid w:val="00921EF9"/>
    <w:rsid w:val="00923A5F"/>
    <w:rsid w:val="0092517B"/>
    <w:rsid w:val="00927FAA"/>
    <w:rsid w:val="00930521"/>
    <w:rsid w:val="00930707"/>
    <w:rsid w:val="009311DE"/>
    <w:rsid w:val="0093171D"/>
    <w:rsid w:val="009327E1"/>
    <w:rsid w:val="00932E1C"/>
    <w:rsid w:val="00932F3E"/>
    <w:rsid w:val="009332BE"/>
    <w:rsid w:val="00933C56"/>
    <w:rsid w:val="00934F89"/>
    <w:rsid w:val="00937782"/>
    <w:rsid w:val="0094011F"/>
    <w:rsid w:val="0094083F"/>
    <w:rsid w:val="00940B3F"/>
    <w:rsid w:val="00941313"/>
    <w:rsid w:val="00942185"/>
    <w:rsid w:val="00942B8A"/>
    <w:rsid w:val="00943309"/>
    <w:rsid w:val="0094392D"/>
    <w:rsid w:val="00946A48"/>
    <w:rsid w:val="00947541"/>
    <w:rsid w:val="00947566"/>
    <w:rsid w:val="00947AE4"/>
    <w:rsid w:val="00951533"/>
    <w:rsid w:val="00951D5A"/>
    <w:rsid w:val="0095287E"/>
    <w:rsid w:val="00953E47"/>
    <w:rsid w:val="009545D6"/>
    <w:rsid w:val="0095564C"/>
    <w:rsid w:val="00956648"/>
    <w:rsid w:val="009566DE"/>
    <w:rsid w:val="00956FA9"/>
    <w:rsid w:val="0096052B"/>
    <w:rsid w:val="009605AF"/>
    <w:rsid w:val="00960BF6"/>
    <w:rsid w:val="00962253"/>
    <w:rsid w:val="009633E7"/>
    <w:rsid w:val="00963A0C"/>
    <w:rsid w:val="00963BE9"/>
    <w:rsid w:val="00964520"/>
    <w:rsid w:val="00964E6E"/>
    <w:rsid w:val="0096556B"/>
    <w:rsid w:val="009659C4"/>
    <w:rsid w:val="0096708A"/>
    <w:rsid w:val="009671BE"/>
    <w:rsid w:val="00967782"/>
    <w:rsid w:val="00971468"/>
    <w:rsid w:val="009722E4"/>
    <w:rsid w:val="00974BB9"/>
    <w:rsid w:val="00975319"/>
    <w:rsid w:val="0097656C"/>
    <w:rsid w:val="009800F2"/>
    <w:rsid w:val="009802A6"/>
    <w:rsid w:val="00980A20"/>
    <w:rsid w:val="00981024"/>
    <w:rsid w:val="00981866"/>
    <w:rsid w:val="00983395"/>
    <w:rsid w:val="00983573"/>
    <w:rsid w:val="00983877"/>
    <w:rsid w:val="009838FD"/>
    <w:rsid w:val="00984049"/>
    <w:rsid w:val="00985BA0"/>
    <w:rsid w:val="00985DBD"/>
    <w:rsid w:val="009862CD"/>
    <w:rsid w:val="009862E1"/>
    <w:rsid w:val="00986D7C"/>
    <w:rsid w:val="009876ED"/>
    <w:rsid w:val="00987806"/>
    <w:rsid w:val="009910A2"/>
    <w:rsid w:val="009912F6"/>
    <w:rsid w:val="0099175D"/>
    <w:rsid w:val="00991F7C"/>
    <w:rsid w:val="0099219D"/>
    <w:rsid w:val="00992CE8"/>
    <w:rsid w:val="00993991"/>
    <w:rsid w:val="00993D06"/>
    <w:rsid w:val="009957D6"/>
    <w:rsid w:val="00995B93"/>
    <w:rsid w:val="00997F3E"/>
    <w:rsid w:val="009A04BB"/>
    <w:rsid w:val="009A0D5E"/>
    <w:rsid w:val="009A1A0C"/>
    <w:rsid w:val="009A21A4"/>
    <w:rsid w:val="009A2E4D"/>
    <w:rsid w:val="009A31AD"/>
    <w:rsid w:val="009A324E"/>
    <w:rsid w:val="009A3440"/>
    <w:rsid w:val="009A3506"/>
    <w:rsid w:val="009A368D"/>
    <w:rsid w:val="009A3A15"/>
    <w:rsid w:val="009A3EBD"/>
    <w:rsid w:val="009A636A"/>
    <w:rsid w:val="009A6C14"/>
    <w:rsid w:val="009A7960"/>
    <w:rsid w:val="009B1A6B"/>
    <w:rsid w:val="009B1B92"/>
    <w:rsid w:val="009B35DC"/>
    <w:rsid w:val="009B467F"/>
    <w:rsid w:val="009B5BFB"/>
    <w:rsid w:val="009B6E34"/>
    <w:rsid w:val="009B7A7A"/>
    <w:rsid w:val="009B7E92"/>
    <w:rsid w:val="009C110B"/>
    <w:rsid w:val="009C1449"/>
    <w:rsid w:val="009C1B43"/>
    <w:rsid w:val="009C2936"/>
    <w:rsid w:val="009C32DD"/>
    <w:rsid w:val="009C33AE"/>
    <w:rsid w:val="009C37A4"/>
    <w:rsid w:val="009C3895"/>
    <w:rsid w:val="009C4536"/>
    <w:rsid w:val="009C4BC7"/>
    <w:rsid w:val="009C4F3D"/>
    <w:rsid w:val="009C5403"/>
    <w:rsid w:val="009C5C1D"/>
    <w:rsid w:val="009D0AB0"/>
    <w:rsid w:val="009D166A"/>
    <w:rsid w:val="009D192F"/>
    <w:rsid w:val="009D2EBE"/>
    <w:rsid w:val="009D387E"/>
    <w:rsid w:val="009D3B5D"/>
    <w:rsid w:val="009D4DCF"/>
    <w:rsid w:val="009D4E88"/>
    <w:rsid w:val="009D518B"/>
    <w:rsid w:val="009D599B"/>
    <w:rsid w:val="009D6DF9"/>
    <w:rsid w:val="009E0C75"/>
    <w:rsid w:val="009E0E5E"/>
    <w:rsid w:val="009E0F29"/>
    <w:rsid w:val="009E3AC8"/>
    <w:rsid w:val="009E406E"/>
    <w:rsid w:val="009E6917"/>
    <w:rsid w:val="009E6980"/>
    <w:rsid w:val="009E7E29"/>
    <w:rsid w:val="009F0545"/>
    <w:rsid w:val="009F0B2C"/>
    <w:rsid w:val="009F4641"/>
    <w:rsid w:val="009F495A"/>
    <w:rsid w:val="009F50E6"/>
    <w:rsid w:val="009F57CA"/>
    <w:rsid w:val="009F6579"/>
    <w:rsid w:val="009F6A4B"/>
    <w:rsid w:val="009F6FB2"/>
    <w:rsid w:val="00A000EF"/>
    <w:rsid w:val="00A00F4B"/>
    <w:rsid w:val="00A0107F"/>
    <w:rsid w:val="00A010DC"/>
    <w:rsid w:val="00A01509"/>
    <w:rsid w:val="00A025FB"/>
    <w:rsid w:val="00A037C2"/>
    <w:rsid w:val="00A037C7"/>
    <w:rsid w:val="00A04CAC"/>
    <w:rsid w:val="00A04E58"/>
    <w:rsid w:val="00A051F8"/>
    <w:rsid w:val="00A05C50"/>
    <w:rsid w:val="00A05E5C"/>
    <w:rsid w:val="00A062CF"/>
    <w:rsid w:val="00A0681B"/>
    <w:rsid w:val="00A07CDC"/>
    <w:rsid w:val="00A07EA3"/>
    <w:rsid w:val="00A10CA7"/>
    <w:rsid w:val="00A119F9"/>
    <w:rsid w:val="00A11A23"/>
    <w:rsid w:val="00A11FBF"/>
    <w:rsid w:val="00A123E9"/>
    <w:rsid w:val="00A12A85"/>
    <w:rsid w:val="00A12CF4"/>
    <w:rsid w:val="00A141B0"/>
    <w:rsid w:val="00A155A7"/>
    <w:rsid w:val="00A156DE"/>
    <w:rsid w:val="00A16159"/>
    <w:rsid w:val="00A1750A"/>
    <w:rsid w:val="00A178F9"/>
    <w:rsid w:val="00A17BEF"/>
    <w:rsid w:val="00A2026A"/>
    <w:rsid w:val="00A20D34"/>
    <w:rsid w:val="00A236DD"/>
    <w:rsid w:val="00A24C21"/>
    <w:rsid w:val="00A2517C"/>
    <w:rsid w:val="00A2533F"/>
    <w:rsid w:val="00A25904"/>
    <w:rsid w:val="00A25CAF"/>
    <w:rsid w:val="00A26663"/>
    <w:rsid w:val="00A26BEA"/>
    <w:rsid w:val="00A300EE"/>
    <w:rsid w:val="00A303A5"/>
    <w:rsid w:val="00A31361"/>
    <w:rsid w:val="00A32D6B"/>
    <w:rsid w:val="00A34382"/>
    <w:rsid w:val="00A34487"/>
    <w:rsid w:val="00A3565C"/>
    <w:rsid w:val="00A37152"/>
    <w:rsid w:val="00A3724C"/>
    <w:rsid w:val="00A37253"/>
    <w:rsid w:val="00A375AA"/>
    <w:rsid w:val="00A400F7"/>
    <w:rsid w:val="00A40719"/>
    <w:rsid w:val="00A40FE2"/>
    <w:rsid w:val="00A41C35"/>
    <w:rsid w:val="00A4268E"/>
    <w:rsid w:val="00A4384F"/>
    <w:rsid w:val="00A43C8C"/>
    <w:rsid w:val="00A43CAC"/>
    <w:rsid w:val="00A445EC"/>
    <w:rsid w:val="00A4600F"/>
    <w:rsid w:val="00A46984"/>
    <w:rsid w:val="00A46C58"/>
    <w:rsid w:val="00A47111"/>
    <w:rsid w:val="00A473FC"/>
    <w:rsid w:val="00A51418"/>
    <w:rsid w:val="00A51AE8"/>
    <w:rsid w:val="00A52EE2"/>
    <w:rsid w:val="00A53B0D"/>
    <w:rsid w:val="00A549BF"/>
    <w:rsid w:val="00A54BD0"/>
    <w:rsid w:val="00A55116"/>
    <w:rsid w:val="00A56EED"/>
    <w:rsid w:val="00A57396"/>
    <w:rsid w:val="00A57F4C"/>
    <w:rsid w:val="00A609DA"/>
    <w:rsid w:val="00A60E52"/>
    <w:rsid w:val="00A61109"/>
    <w:rsid w:val="00A6152F"/>
    <w:rsid w:val="00A6181A"/>
    <w:rsid w:val="00A620FD"/>
    <w:rsid w:val="00A625FD"/>
    <w:rsid w:val="00A62EC2"/>
    <w:rsid w:val="00A640D1"/>
    <w:rsid w:val="00A6427A"/>
    <w:rsid w:val="00A645B7"/>
    <w:rsid w:val="00A6474D"/>
    <w:rsid w:val="00A64CEC"/>
    <w:rsid w:val="00A65122"/>
    <w:rsid w:val="00A70434"/>
    <w:rsid w:val="00A70967"/>
    <w:rsid w:val="00A71278"/>
    <w:rsid w:val="00A7187C"/>
    <w:rsid w:val="00A73635"/>
    <w:rsid w:val="00A73803"/>
    <w:rsid w:val="00A73B96"/>
    <w:rsid w:val="00A74ADF"/>
    <w:rsid w:val="00A74F5F"/>
    <w:rsid w:val="00A75910"/>
    <w:rsid w:val="00A76715"/>
    <w:rsid w:val="00A778BE"/>
    <w:rsid w:val="00A81272"/>
    <w:rsid w:val="00A82261"/>
    <w:rsid w:val="00A82322"/>
    <w:rsid w:val="00A82946"/>
    <w:rsid w:val="00A83737"/>
    <w:rsid w:val="00A83898"/>
    <w:rsid w:val="00A83B78"/>
    <w:rsid w:val="00A8438B"/>
    <w:rsid w:val="00A84D65"/>
    <w:rsid w:val="00A84E93"/>
    <w:rsid w:val="00A85BE5"/>
    <w:rsid w:val="00A85D54"/>
    <w:rsid w:val="00A85E17"/>
    <w:rsid w:val="00A86006"/>
    <w:rsid w:val="00A86BDB"/>
    <w:rsid w:val="00A87209"/>
    <w:rsid w:val="00A874F6"/>
    <w:rsid w:val="00A901EF"/>
    <w:rsid w:val="00A903C4"/>
    <w:rsid w:val="00A904BD"/>
    <w:rsid w:val="00A90F84"/>
    <w:rsid w:val="00A90FCC"/>
    <w:rsid w:val="00A915AB"/>
    <w:rsid w:val="00A9171A"/>
    <w:rsid w:val="00A9293A"/>
    <w:rsid w:val="00A92CE2"/>
    <w:rsid w:val="00A92CE8"/>
    <w:rsid w:val="00A94085"/>
    <w:rsid w:val="00A942C1"/>
    <w:rsid w:val="00A943B6"/>
    <w:rsid w:val="00A946CE"/>
    <w:rsid w:val="00A94703"/>
    <w:rsid w:val="00A96125"/>
    <w:rsid w:val="00A96407"/>
    <w:rsid w:val="00A97099"/>
    <w:rsid w:val="00A9731D"/>
    <w:rsid w:val="00AA0051"/>
    <w:rsid w:val="00AA05E8"/>
    <w:rsid w:val="00AA185A"/>
    <w:rsid w:val="00AA2604"/>
    <w:rsid w:val="00AA297E"/>
    <w:rsid w:val="00AA3F1C"/>
    <w:rsid w:val="00AA4B90"/>
    <w:rsid w:val="00AA4F10"/>
    <w:rsid w:val="00AA5DC4"/>
    <w:rsid w:val="00AA71FC"/>
    <w:rsid w:val="00AA756B"/>
    <w:rsid w:val="00AA7873"/>
    <w:rsid w:val="00AB0F38"/>
    <w:rsid w:val="00AB11AE"/>
    <w:rsid w:val="00AB177C"/>
    <w:rsid w:val="00AB229F"/>
    <w:rsid w:val="00AB3357"/>
    <w:rsid w:val="00AB359E"/>
    <w:rsid w:val="00AB536C"/>
    <w:rsid w:val="00AB568C"/>
    <w:rsid w:val="00AB6E8E"/>
    <w:rsid w:val="00AB708C"/>
    <w:rsid w:val="00AB7B43"/>
    <w:rsid w:val="00AB7DBB"/>
    <w:rsid w:val="00AC0095"/>
    <w:rsid w:val="00AC04BA"/>
    <w:rsid w:val="00AC130B"/>
    <w:rsid w:val="00AC134A"/>
    <w:rsid w:val="00AC181A"/>
    <w:rsid w:val="00AC2A10"/>
    <w:rsid w:val="00AC3CFD"/>
    <w:rsid w:val="00AC5AF8"/>
    <w:rsid w:val="00AC6054"/>
    <w:rsid w:val="00AC63EF"/>
    <w:rsid w:val="00AC7162"/>
    <w:rsid w:val="00AD0060"/>
    <w:rsid w:val="00AD070F"/>
    <w:rsid w:val="00AD0958"/>
    <w:rsid w:val="00AD0BEE"/>
    <w:rsid w:val="00AD0F05"/>
    <w:rsid w:val="00AD298C"/>
    <w:rsid w:val="00AD2FF4"/>
    <w:rsid w:val="00AD3AEE"/>
    <w:rsid w:val="00AD428C"/>
    <w:rsid w:val="00AD42E0"/>
    <w:rsid w:val="00AD4415"/>
    <w:rsid w:val="00AD6D43"/>
    <w:rsid w:val="00AD6DBD"/>
    <w:rsid w:val="00AD734C"/>
    <w:rsid w:val="00AE0150"/>
    <w:rsid w:val="00AE031C"/>
    <w:rsid w:val="00AE0470"/>
    <w:rsid w:val="00AE3ADA"/>
    <w:rsid w:val="00AE3E88"/>
    <w:rsid w:val="00AE3ECD"/>
    <w:rsid w:val="00AE4C31"/>
    <w:rsid w:val="00AE592A"/>
    <w:rsid w:val="00AF2FC4"/>
    <w:rsid w:val="00AF36F6"/>
    <w:rsid w:val="00AF38DE"/>
    <w:rsid w:val="00AF38EB"/>
    <w:rsid w:val="00AF4882"/>
    <w:rsid w:val="00B003B3"/>
    <w:rsid w:val="00B00647"/>
    <w:rsid w:val="00B022BF"/>
    <w:rsid w:val="00B04D70"/>
    <w:rsid w:val="00B05A60"/>
    <w:rsid w:val="00B062CD"/>
    <w:rsid w:val="00B066E8"/>
    <w:rsid w:val="00B1039A"/>
    <w:rsid w:val="00B109FE"/>
    <w:rsid w:val="00B10B8B"/>
    <w:rsid w:val="00B118D5"/>
    <w:rsid w:val="00B140FE"/>
    <w:rsid w:val="00B14B81"/>
    <w:rsid w:val="00B15A07"/>
    <w:rsid w:val="00B15BE8"/>
    <w:rsid w:val="00B15F2F"/>
    <w:rsid w:val="00B17968"/>
    <w:rsid w:val="00B20A09"/>
    <w:rsid w:val="00B20E76"/>
    <w:rsid w:val="00B21978"/>
    <w:rsid w:val="00B22125"/>
    <w:rsid w:val="00B22425"/>
    <w:rsid w:val="00B2379B"/>
    <w:rsid w:val="00B2379F"/>
    <w:rsid w:val="00B237EC"/>
    <w:rsid w:val="00B250FE"/>
    <w:rsid w:val="00B2579D"/>
    <w:rsid w:val="00B25EAD"/>
    <w:rsid w:val="00B260BA"/>
    <w:rsid w:val="00B26C1C"/>
    <w:rsid w:val="00B27E7D"/>
    <w:rsid w:val="00B30A44"/>
    <w:rsid w:val="00B32785"/>
    <w:rsid w:val="00B327FD"/>
    <w:rsid w:val="00B32C4B"/>
    <w:rsid w:val="00B338F8"/>
    <w:rsid w:val="00B339E7"/>
    <w:rsid w:val="00B33EB6"/>
    <w:rsid w:val="00B35810"/>
    <w:rsid w:val="00B35929"/>
    <w:rsid w:val="00B35A68"/>
    <w:rsid w:val="00B35E29"/>
    <w:rsid w:val="00B36470"/>
    <w:rsid w:val="00B3660E"/>
    <w:rsid w:val="00B37697"/>
    <w:rsid w:val="00B379D3"/>
    <w:rsid w:val="00B41212"/>
    <w:rsid w:val="00B41446"/>
    <w:rsid w:val="00B41CCE"/>
    <w:rsid w:val="00B41D07"/>
    <w:rsid w:val="00B42249"/>
    <w:rsid w:val="00B43311"/>
    <w:rsid w:val="00B45DC4"/>
    <w:rsid w:val="00B4658D"/>
    <w:rsid w:val="00B469A8"/>
    <w:rsid w:val="00B47643"/>
    <w:rsid w:val="00B52028"/>
    <w:rsid w:val="00B52786"/>
    <w:rsid w:val="00B55E30"/>
    <w:rsid w:val="00B563DC"/>
    <w:rsid w:val="00B56DF5"/>
    <w:rsid w:val="00B57EC6"/>
    <w:rsid w:val="00B60C52"/>
    <w:rsid w:val="00B610E4"/>
    <w:rsid w:val="00B615E8"/>
    <w:rsid w:val="00B624AF"/>
    <w:rsid w:val="00B62B7A"/>
    <w:rsid w:val="00B63762"/>
    <w:rsid w:val="00B63DAC"/>
    <w:rsid w:val="00B63F22"/>
    <w:rsid w:val="00B65BE2"/>
    <w:rsid w:val="00B65CE3"/>
    <w:rsid w:val="00B664C5"/>
    <w:rsid w:val="00B678F5"/>
    <w:rsid w:val="00B718DA"/>
    <w:rsid w:val="00B71BF6"/>
    <w:rsid w:val="00B71C3C"/>
    <w:rsid w:val="00B72299"/>
    <w:rsid w:val="00B7234D"/>
    <w:rsid w:val="00B72F5D"/>
    <w:rsid w:val="00B73A49"/>
    <w:rsid w:val="00B7466C"/>
    <w:rsid w:val="00B74932"/>
    <w:rsid w:val="00B75304"/>
    <w:rsid w:val="00B758A5"/>
    <w:rsid w:val="00B75AFD"/>
    <w:rsid w:val="00B77268"/>
    <w:rsid w:val="00B77799"/>
    <w:rsid w:val="00B807D8"/>
    <w:rsid w:val="00B830C4"/>
    <w:rsid w:val="00B83189"/>
    <w:rsid w:val="00B831E8"/>
    <w:rsid w:val="00B83382"/>
    <w:rsid w:val="00B84311"/>
    <w:rsid w:val="00B8565C"/>
    <w:rsid w:val="00B85711"/>
    <w:rsid w:val="00B90283"/>
    <w:rsid w:val="00B90D50"/>
    <w:rsid w:val="00B9104F"/>
    <w:rsid w:val="00B91219"/>
    <w:rsid w:val="00B91791"/>
    <w:rsid w:val="00B92508"/>
    <w:rsid w:val="00B92941"/>
    <w:rsid w:val="00B93173"/>
    <w:rsid w:val="00B93256"/>
    <w:rsid w:val="00B9352F"/>
    <w:rsid w:val="00B949DA"/>
    <w:rsid w:val="00B94B1A"/>
    <w:rsid w:val="00B94E21"/>
    <w:rsid w:val="00B96E20"/>
    <w:rsid w:val="00B97268"/>
    <w:rsid w:val="00B9749B"/>
    <w:rsid w:val="00B97565"/>
    <w:rsid w:val="00B97FD4"/>
    <w:rsid w:val="00BA0E65"/>
    <w:rsid w:val="00BA18AF"/>
    <w:rsid w:val="00BA1AC5"/>
    <w:rsid w:val="00BA231B"/>
    <w:rsid w:val="00BA28BD"/>
    <w:rsid w:val="00BA30A5"/>
    <w:rsid w:val="00BA338A"/>
    <w:rsid w:val="00BA4237"/>
    <w:rsid w:val="00BA4BEB"/>
    <w:rsid w:val="00BA5194"/>
    <w:rsid w:val="00BA581E"/>
    <w:rsid w:val="00BA67F6"/>
    <w:rsid w:val="00BA771C"/>
    <w:rsid w:val="00BB02AD"/>
    <w:rsid w:val="00BB0D19"/>
    <w:rsid w:val="00BB1BD7"/>
    <w:rsid w:val="00BB1D1A"/>
    <w:rsid w:val="00BB2D8E"/>
    <w:rsid w:val="00BB3D86"/>
    <w:rsid w:val="00BB5A96"/>
    <w:rsid w:val="00BB6599"/>
    <w:rsid w:val="00BB6845"/>
    <w:rsid w:val="00BB6AC5"/>
    <w:rsid w:val="00BB730D"/>
    <w:rsid w:val="00BB779B"/>
    <w:rsid w:val="00BC11C8"/>
    <w:rsid w:val="00BC131C"/>
    <w:rsid w:val="00BC15BB"/>
    <w:rsid w:val="00BC1DDE"/>
    <w:rsid w:val="00BC36C6"/>
    <w:rsid w:val="00BC3E25"/>
    <w:rsid w:val="00BC4051"/>
    <w:rsid w:val="00BC4970"/>
    <w:rsid w:val="00BC4ED1"/>
    <w:rsid w:val="00BC5C4A"/>
    <w:rsid w:val="00BC75F2"/>
    <w:rsid w:val="00BD0D32"/>
    <w:rsid w:val="00BD1013"/>
    <w:rsid w:val="00BD228F"/>
    <w:rsid w:val="00BD2A38"/>
    <w:rsid w:val="00BD32C7"/>
    <w:rsid w:val="00BD3AF6"/>
    <w:rsid w:val="00BD45F1"/>
    <w:rsid w:val="00BD4C8F"/>
    <w:rsid w:val="00BD5BAB"/>
    <w:rsid w:val="00BD6601"/>
    <w:rsid w:val="00BD6C38"/>
    <w:rsid w:val="00BD78D6"/>
    <w:rsid w:val="00BD7C80"/>
    <w:rsid w:val="00BE027C"/>
    <w:rsid w:val="00BE1680"/>
    <w:rsid w:val="00BE197B"/>
    <w:rsid w:val="00BE1DE1"/>
    <w:rsid w:val="00BE2AC2"/>
    <w:rsid w:val="00BE3C1A"/>
    <w:rsid w:val="00BE3D6B"/>
    <w:rsid w:val="00BE465C"/>
    <w:rsid w:val="00BE50B6"/>
    <w:rsid w:val="00BE5247"/>
    <w:rsid w:val="00BE64B2"/>
    <w:rsid w:val="00BE65BC"/>
    <w:rsid w:val="00BE666C"/>
    <w:rsid w:val="00BE713B"/>
    <w:rsid w:val="00BE7925"/>
    <w:rsid w:val="00BF0D7E"/>
    <w:rsid w:val="00BF27F2"/>
    <w:rsid w:val="00BF3131"/>
    <w:rsid w:val="00BF47F2"/>
    <w:rsid w:val="00BF4828"/>
    <w:rsid w:val="00BF4893"/>
    <w:rsid w:val="00BF4AB9"/>
    <w:rsid w:val="00BF5425"/>
    <w:rsid w:val="00BF5F29"/>
    <w:rsid w:val="00BF6520"/>
    <w:rsid w:val="00BF70CE"/>
    <w:rsid w:val="00BF7621"/>
    <w:rsid w:val="00BF76E2"/>
    <w:rsid w:val="00C006FC"/>
    <w:rsid w:val="00C00A14"/>
    <w:rsid w:val="00C02C29"/>
    <w:rsid w:val="00C02C75"/>
    <w:rsid w:val="00C03406"/>
    <w:rsid w:val="00C037B4"/>
    <w:rsid w:val="00C04143"/>
    <w:rsid w:val="00C047C8"/>
    <w:rsid w:val="00C0501A"/>
    <w:rsid w:val="00C060C9"/>
    <w:rsid w:val="00C10A4E"/>
    <w:rsid w:val="00C10AEC"/>
    <w:rsid w:val="00C10DFA"/>
    <w:rsid w:val="00C11DE2"/>
    <w:rsid w:val="00C13818"/>
    <w:rsid w:val="00C145EC"/>
    <w:rsid w:val="00C14685"/>
    <w:rsid w:val="00C14A6E"/>
    <w:rsid w:val="00C154E0"/>
    <w:rsid w:val="00C164FD"/>
    <w:rsid w:val="00C16D97"/>
    <w:rsid w:val="00C17286"/>
    <w:rsid w:val="00C175DE"/>
    <w:rsid w:val="00C20CC3"/>
    <w:rsid w:val="00C21031"/>
    <w:rsid w:val="00C21275"/>
    <w:rsid w:val="00C23694"/>
    <w:rsid w:val="00C23DFE"/>
    <w:rsid w:val="00C27963"/>
    <w:rsid w:val="00C3049D"/>
    <w:rsid w:val="00C30D5E"/>
    <w:rsid w:val="00C30F14"/>
    <w:rsid w:val="00C314DE"/>
    <w:rsid w:val="00C31CA3"/>
    <w:rsid w:val="00C320A2"/>
    <w:rsid w:val="00C3213C"/>
    <w:rsid w:val="00C3215E"/>
    <w:rsid w:val="00C322A3"/>
    <w:rsid w:val="00C326A1"/>
    <w:rsid w:val="00C329B6"/>
    <w:rsid w:val="00C32EEA"/>
    <w:rsid w:val="00C33697"/>
    <w:rsid w:val="00C33745"/>
    <w:rsid w:val="00C33B12"/>
    <w:rsid w:val="00C3427C"/>
    <w:rsid w:val="00C34360"/>
    <w:rsid w:val="00C3468E"/>
    <w:rsid w:val="00C34D2D"/>
    <w:rsid w:val="00C361D9"/>
    <w:rsid w:val="00C369B8"/>
    <w:rsid w:val="00C37A4B"/>
    <w:rsid w:val="00C40DDE"/>
    <w:rsid w:val="00C41EB8"/>
    <w:rsid w:val="00C425C7"/>
    <w:rsid w:val="00C428DC"/>
    <w:rsid w:val="00C43AE2"/>
    <w:rsid w:val="00C43C55"/>
    <w:rsid w:val="00C44E3B"/>
    <w:rsid w:val="00C45E75"/>
    <w:rsid w:val="00C462EA"/>
    <w:rsid w:val="00C46A49"/>
    <w:rsid w:val="00C477E0"/>
    <w:rsid w:val="00C50AD3"/>
    <w:rsid w:val="00C511F4"/>
    <w:rsid w:val="00C52A72"/>
    <w:rsid w:val="00C52C1D"/>
    <w:rsid w:val="00C53963"/>
    <w:rsid w:val="00C53AC1"/>
    <w:rsid w:val="00C54308"/>
    <w:rsid w:val="00C54410"/>
    <w:rsid w:val="00C5499B"/>
    <w:rsid w:val="00C54B28"/>
    <w:rsid w:val="00C54DE9"/>
    <w:rsid w:val="00C5509B"/>
    <w:rsid w:val="00C55BDD"/>
    <w:rsid w:val="00C55C98"/>
    <w:rsid w:val="00C55ECD"/>
    <w:rsid w:val="00C5613A"/>
    <w:rsid w:val="00C564EE"/>
    <w:rsid w:val="00C56C25"/>
    <w:rsid w:val="00C6102D"/>
    <w:rsid w:val="00C61E08"/>
    <w:rsid w:val="00C63E4D"/>
    <w:rsid w:val="00C652B8"/>
    <w:rsid w:val="00C65BAB"/>
    <w:rsid w:val="00C66214"/>
    <w:rsid w:val="00C666BC"/>
    <w:rsid w:val="00C67225"/>
    <w:rsid w:val="00C67EEF"/>
    <w:rsid w:val="00C702A5"/>
    <w:rsid w:val="00C716C8"/>
    <w:rsid w:val="00C71936"/>
    <w:rsid w:val="00C71999"/>
    <w:rsid w:val="00C73398"/>
    <w:rsid w:val="00C733CA"/>
    <w:rsid w:val="00C74F85"/>
    <w:rsid w:val="00C75738"/>
    <w:rsid w:val="00C76CB4"/>
    <w:rsid w:val="00C80082"/>
    <w:rsid w:val="00C80D2A"/>
    <w:rsid w:val="00C813DA"/>
    <w:rsid w:val="00C814C5"/>
    <w:rsid w:val="00C81F14"/>
    <w:rsid w:val="00C82435"/>
    <w:rsid w:val="00C82BBF"/>
    <w:rsid w:val="00C82C5D"/>
    <w:rsid w:val="00C82D8E"/>
    <w:rsid w:val="00C82ED3"/>
    <w:rsid w:val="00C82F3B"/>
    <w:rsid w:val="00C84666"/>
    <w:rsid w:val="00C85244"/>
    <w:rsid w:val="00C85DC6"/>
    <w:rsid w:val="00C86423"/>
    <w:rsid w:val="00C87C80"/>
    <w:rsid w:val="00C87E1A"/>
    <w:rsid w:val="00C90240"/>
    <w:rsid w:val="00C90A2C"/>
    <w:rsid w:val="00C918D1"/>
    <w:rsid w:val="00C919AF"/>
    <w:rsid w:val="00C932AD"/>
    <w:rsid w:val="00C93CC3"/>
    <w:rsid w:val="00C94F1E"/>
    <w:rsid w:val="00C96C13"/>
    <w:rsid w:val="00C9725F"/>
    <w:rsid w:val="00C97EE6"/>
    <w:rsid w:val="00CA01FE"/>
    <w:rsid w:val="00CA090A"/>
    <w:rsid w:val="00CA0FF4"/>
    <w:rsid w:val="00CA13CC"/>
    <w:rsid w:val="00CA1608"/>
    <w:rsid w:val="00CA2331"/>
    <w:rsid w:val="00CA29E1"/>
    <w:rsid w:val="00CA5343"/>
    <w:rsid w:val="00CA5662"/>
    <w:rsid w:val="00CA6480"/>
    <w:rsid w:val="00CA687C"/>
    <w:rsid w:val="00CB0ACB"/>
    <w:rsid w:val="00CB0E82"/>
    <w:rsid w:val="00CB0F15"/>
    <w:rsid w:val="00CB12AE"/>
    <w:rsid w:val="00CB1524"/>
    <w:rsid w:val="00CB2849"/>
    <w:rsid w:val="00CB30BB"/>
    <w:rsid w:val="00CB336C"/>
    <w:rsid w:val="00CB4EA3"/>
    <w:rsid w:val="00CB54FD"/>
    <w:rsid w:val="00CB6427"/>
    <w:rsid w:val="00CB6C05"/>
    <w:rsid w:val="00CB7A61"/>
    <w:rsid w:val="00CB7DC1"/>
    <w:rsid w:val="00CC058F"/>
    <w:rsid w:val="00CC0A17"/>
    <w:rsid w:val="00CC3BAD"/>
    <w:rsid w:val="00CC3DCA"/>
    <w:rsid w:val="00CC4BE8"/>
    <w:rsid w:val="00CC7C67"/>
    <w:rsid w:val="00CD056F"/>
    <w:rsid w:val="00CD0687"/>
    <w:rsid w:val="00CD26F5"/>
    <w:rsid w:val="00CD3BAC"/>
    <w:rsid w:val="00CD445F"/>
    <w:rsid w:val="00CD49A2"/>
    <w:rsid w:val="00CD5BB7"/>
    <w:rsid w:val="00CD5DBF"/>
    <w:rsid w:val="00CD7016"/>
    <w:rsid w:val="00CE033F"/>
    <w:rsid w:val="00CE0F80"/>
    <w:rsid w:val="00CE1472"/>
    <w:rsid w:val="00CE1976"/>
    <w:rsid w:val="00CE5EF8"/>
    <w:rsid w:val="00CE5FA7"/>
    <w:rsid w:val="00CE6786"/>
    <w:rsid w:val="00CE67DE"/>
    <w:rsid w:val="00CE6F9B"/>
    <w:rsid w:val="00CE7523"/>
    <w:rsid w:val="00CE7DEE"/>
    <w:rsid w:val="00CF047F"/>
    <w:rsid w:val="00CF0D42"/>
    <w:rsid w:val="00CF211A"/>
    <w:rsid w:val="00CF21FE"/>
    <w:rsid w:val="00CF2817"/>
    <w:rsid w:val="00CF2FE5"/>
    <w:rsid w:val="00CF3240"/>
    <w:rsid w:val="00CF377D"/>
    <w:rsid w:val="00CF3B3C"/>
    <w:rsid w:val="00CF3C2E"/>
    <w:rsid w:val="00CF3FC8"/>
    <w:rsid w:val="00CF436B"/>
    <w:rsid w:val="00CF438A"/>
    <w:rsid w:val="00CF4D93"/>
    <w:rsid w:val="00CF5078"/>
    <w:rsid w:val="00CF5F50"/>
    <w:rsid w:val="00CF649F"/>
    <w:rsid w:val="00CF7238"/>
    <w:rsid w:val="00CF74CD"/>
    <w:rsid w:val="00D00CE0"/>
    <w:rsid w:val="00D014C0"/>
    <w:rsid w:val="00D0184D"/>
    <w:rsid w:val="00D01F59"/>
    <w:rsid w:val="00D04BA0"/>
    <w:rsid w:val="00D04F8E"/>
    <w:rsid w:val="00D052CA"/>
    <w:rsid w:val="00D05681"/>
    <w:rsid w:val="00D066A4"/>
    <w:rsid w:val="00D068F6"/>
    <w:rsid w:val="00D07C0E"/>
    <w:rsid w:val="00D10877"/>
    <w:rsid w:val="00D10DA4"/>
    <w:rsid w:val="00D11A69"/>
    <w:rsid w:val="00D12213"/>
    <w:rsid w:val="00D13508"/>
    <w:rsid w:val="00D14D70"/>
    <w:rsid w:val="00D150B5"/>
    <w:rsid w:val="00D1560D"/>
    <w:rsid w:val="00D15717"/>
    <w:rsid w:val="00D17ADA"/>
    <w:rsid w:val="00D204DC"/>
    <w:rsid w:val="00D20543"/>
    <w:rsid w:val="00D20D0A"/>
    <w:rsid w:val="00D2222D"/>
    <w:rsid w:val="00D23F95"/>
    <w:rsid w:val="00D2449F"/>
    <w:rsid w:val="00D24544"/>
    <w:rsid w:val="00D248DA"/>
    <w:rsid w:val="00D31137"/>
    <w:rsid w:val="00D31D2A"/>
    <w:rsid w:val="00D31E05"/>
    <w:rsid w:val="00D31EFE"/>
    <w:rsid w:val="00D3200B"/>
    <w:rsid w:val="00D3461C"/>
    <w:rsid w:val="00D3486C"/>
    <w:rsid w:val="00D34CB7"/>
    <w:rsid w:val="00D35658"/>
    <w:rsid w:val="00D35EBD"/>
    <w:rsid w:val="00D36666"/>
    <w:rsid w:val="00D37D5D"/>
    <w:rsid w:val="00D41E71"/>
    <w:rsid w:val="00D44E34"/>
    <w:rsid w:val="00D46820"/>
    <w:rsid w:val="00D47CE1"/>
    <w:rsid w:val="00D501F9"/>
    <w:rsid w:val="00D5193B"/>
    <w:rsid w:val="00D54063"/>
    <w:rsid w:val="00D551B8"/>
    <w:rsid w:val="00D552DA"/>
    <w:rsid w:val="00D55A45"/>
    <w:rsid w:val="00D56450"/>
    <w:rsid w:val="00D569D4"/>
    <w:rsid w:val="00D56EDA"/>
    <w:rsid w:val="00D5785D"/>
    <w:rsid w:val="00D6498E"/>
    <w:rsid w:val="00D657E2"/>
    <w:rsid w:val="00D66A54"/>
    <w:rsid w:val="00D66E3E"/>
    <w:rsid w:val="00D676F6"/>
    <w:rsid w:val="00D7059D"/>
    <w:rsid w:val="00D7076F"/>
    <w:rsid w:val="00D71FBA"/>
    <w:rsid w:val="00D7344E"/>
    <w:rsid w:val="00D73836"/>
    <w:rsid w:val="00D74537"/>
    <w:rsid w:val="00D74E14"/>
    <w:rsid w:val="00D74F84"/>
    <w:rsid w:val="00D75ACC"/>
    <w:rsid w:val="00D762DD"/>
    <w:rsid w:val="00D76BAD"/>
    <w:rsid w:val="00D76CB5"/>
    <w:rsid w:val="00D76FE8"/>
    <w:rsid w:val="00D7782E"/>
    <w:rsid w:val="00D80B40"/>
    <w:rsid w:val="00D81AD5"/>
    <w:rsid w:val="00D81FDD"/>
    <w:rsid w:val="00D8221C"/>
    <w:rsid w:val="00D83D28"/>
    <w:rsid w:val="00D8775E"/>
    <w:rsid w:val="00D90B7E"/>
    <w:rsid w:val="00D91004"/>
    <w:rsid w:val="00D91527"/>
    <w:rsid w:val="00D91974"/>
    <w:rsid w:val="00D923F8"/>
    <w:rsid w:val="00D92D80"/>
    <w:rsid w:val="00D942DA"/>
    <w:rsid w:val="00D95210"/>
    <w:rsid w:val="00D956FD"/>
    <w:rsid w:val="00DA0049"/>
    <w:rsid w:val="00DA0FA1"/>
    <w:rsid w:val="00DA2CBA"/>
    <w:rsid w:val="00DA32F8"/>
    <w:rsid w:val="00DA5010"/>
    <w:rsid w:val="00DA51FE"/>
    <w:rsid w:val="00DA5C20"/>
    <w:rsid w:val="00DA798D"/>
    <w:rsid w:val="00DA7FCB"/>
    <w:rsid w:val="00DB0348"/>
    <w:rsid w:val="00DB0C77"/>
    <w:rsid w:val="00DB1397"/>
    <w:rsid w:val="00DB2BC1"/>
    <w:rsid w:val="00DB369D"/>
    <w:rsid w:val="00DB5BF8"/>
    <w:rsid w:val="00DB716D"/>
    <w:rsid w:val="00DB71D8"/>
    <w:rsid w:val="00DB727F"/>
    <w:rsid w:val="00DB76DD"/>
    <w:rsid w:val="00DB78D1"/>
    <w:rsid w:val="00DC031E"/>
    <w:rsid w:val="00DC03C3"/>
    <w:rsid w:val="00DC11D5"/>
    <w:rsid w:val="00DC24BE"/>
    <w:rsid w:val="00DC2982"/>
    <w:rsid w:val="00DC37D6"/>
    <w:rsid w:val="00DC480F"/>
    <w:rsid w:val="00DC48FA"/>
    <w:rsid w:val="00DC5610"/>
    <w:rsid w:val="00DC5893"/>
    <w:rsid w:val="00DC5E36"/>
    <w:rsid w:val="00DC743F"/>
    <w:rsid w:val="00DC79D3"/>
    <w:rsid w:val="00DD0789"/>
    <w:rsid w:val="00DD12AC"/>
    <w:rsid w:val="00DD197B"/>
    <w:rsid w:val="00DD1D91"/>
    <w:rsid w:val="00DD29AC"/>
    <w:rsid w:val="00DD2EE7"/>
    <w:rsid w:val="00DD42AB"/>
    <w:rsid w:val="00DD4C84"/>
    <w:rsid w:val="00DD4EB2"/>
    <w:rsid w:val="00DD570A"/>
    <w:rsid w:val="00DD7871"/>
    <w:rsid w:val="00DE028C"/>
    <w:rsid w:val="00DE043A"/>
    <w:rsid w:val="00DE046A"/>
    <w:rsid w:val="00DE091B"/>
    <w:rsid w:val="00DE1898"/>
    <w:rsid w:val="00DE218A"/>
    <w:rsid w:val="00DE2E44"/>
    <w:rsid w:val="00DE36EE"/>
    <w:rsid w:val="00DE37B1"/>
    <w:rsid w:val="00DE3BE5"/>
    <w:rsid w:val="00DE3D2C"/>
    <w:rsid w:val="00DE49E5"/>
    <w:rsid w:val="00DE504D"/>
    <w:rsid w:val="00DE53CB"/>
    <w:rsid w:val="00DE54C7"/>
    <w:rsid w:val="00DF05DE"/>
    <w:rsid w:val="00DF152E"/>
    <w:rsid w:val="00DF2629"/>
    <w:rsid w:val="00DF2834"/>
    <w:rsid w:val="00DF29AD"/>
    <w:rsid w:val="00DF29E0"/>
    <w:rsid w:val="00DF3ECD"/>
    <w:rsid w:val="00DF4349"/>
    <w:rsid w:val="00DF4C98"/>
    <w:rsid w:val="00DF547E"/>
    <w:rsid w:val="00DF5BC5"/>
    <w:rsid w:val="00DF74F2"/>
    <w:rsid w:val="00E00345"/>
    <w:rsid w:val="00E00AC4"/>
    <w:rsid w:val="00E025AB"/>
    <w:rsid w:val="00E02ADD"/>
    <w:rsid w:val="00E04B29"/>
    <w:rsid w:val="00E0523A"/>
    <w:rsid w:val="00E06F9F"/>
    <w:rsid w:val="00E109D1"/>
    <w:rsid w:val="00E10B6F"/>
    <w:rsid w:val="00E129EF"/>
    <w:rsid w:val="00E13C9F"/>
    <w:rsid w:val="00E14AEA"/>
    <w:rsid w:val="00E14CAA"/>
    <w:rsid w:val="00E15008"/>
    <w:rsid w:val="00E1504D"/>
    <w:rsid w:val="00E16C63"/>
    <w:rsid w:val="00E20426"/>
    <w:rsid w:val="00E213BC"/>
    <w:rsid w:val="00E218CE"/>
    <w:rsid w:val="00E22157"/>
    <w:rsid w:val="00E22609"/>
    <w:rsid w:val="00E22B2C"/>
    <w:rsid w:val="00E22CCB"/>
    <w:rsid w:val="00E22FCF"/>
    <w:rsid w:val="00E2311F"/>
    <w:rsid w:val="00E23C76"/>
    <w:rsid w:val="00E248F0"/>
    <w:rsid w:val="00E2539F"/>
    <w:rsid w:val="00E2626A"/>
    <w:rsid w:val="00E2706B"/>
    <w:rsid w:val="00E27F15"/>
    <w:rsid w:val="00E314F5"/>
    <w:rsid w:val="00E317F6"/>
    <w:rsid w:val="00E31A64"/>
    <w:rsid w:val="00E32A98"/>
    <w:rsid w:val="00E3521B"/>
    <w:rsid w:val="00E3525C"/>
    <w:rsid w:val="00E3569E"/>
    <w:rsid w:val="00E35E68"/>
    <w:rsid w:val="00E37687"/>
    <w:rsid w:val="00E42250"/>
    <w:rsid w:val="00E4311B"/>
    <w:rsid w:val="00E440FE"/>
    <w:rsid w:val="00E44315"/>
    <w:rsid w:val="00E444F4"/>
    <w:rsid w:val="00E45B19"/>
    <w:rsid w:val="00E45B2B"/>
    <w:rsid w:val="00E45EE4"/>
    <w:rsid w:val="00E4612E"/>
    <w:rsid w:val="00E471A6"/>
    <w:rsid w:val="00E478BB"/>
    <w:rsid w:val="00E47F2B"/>
    <w:rsid w:val="00E50420"/>
    <w:rsid w:val="00E5049E"/>
    <w:rsid w:val="00E51565"/>
    <w:rsid w:val="00E5168E"/>
    <w:rsid w:val="00E5192B"/>
    <w:rsid w:val="00E52497"/>
    <w:rsid w:val="00E525DD"/>
    <w:rsid w:val="00E543A3"/>
    <w:rsid w:val="00E55045"/>
    <w:rsid w:val="00E556A0"/>
    <w:rsid w:val="00E56029"/>
    <w:rsid w:val="00E56178"/>
    <w:rsid w:val="00E56E84"/>
    <w:rsid w:val="00E57033"/>
    <w:rsid w:val="00E57B00"/>
    <w:rsid w:val="00E6004C"/>
    <w:rsid w:val="00E61367"/>
    <w:rsid w:val="00E6150A"/>
    <w:rsid w:val="00E615F7"/>
    <w:rsid w:val="00E620B5"/>
    <w:rsid w:val="00E64E07"/>
    <w:rsid w:val="00E65D01"/>
    <w:rsid w:val="00E66502"/>
    <w:rsid w:val="00E67688"/>
    <w:rsid w:val="00E679E2"/>
    <w:rsid w:val="00E7067C"/>
    <w:rsid w:val="00E7339D"/>
    <w:rsid w:val="00E7404D"/>
    <w:rsid w:val="00E74E7E"/>
    <w:rsid w:val="00E75041"/>
    <w:rsid w:val="00E75E74"/>
    <w:rsid w:val="00E769B8"/>
    <w:rsid w:val="00E81218"/>
    <w:rsid w:val="00E8162D"/>
    <w:rsid w:val="00E8265A"/>
    <w:rsid w:val="00E83406"/>
    <w:rsid w:val="00E8474A"/>
    <w:rsid w:val="00E851CF"/>
    <w:rsid w:val="00E85902"/>
    <w:rsid w:val="00E862A7"/>
    <w:rsid w:val="00E8643B"/>
    <w:rsid w:val="00E8673C"/>
    <w:rsid w:val="00E86CF3"/>
    <w:rsid w:val="00E90DFF"/>
    <w:rsid w:val="00E91179"/>
    <w:rsid w:val="00E913C5"/>
    <w:rsid w:val="00E91B28"/>
    <w:rsid w:val="00E91CCA"/>
    <w:rsid w:val="00E92AFA"/>
    <w:rsid w:val="00E92CC2"/>
    <w:rsid w:val="00E92E18"/>
    <w:rsid w:val="00E941F1"/>
    <w:rsid w:val="00E946D2"/>
    <w:rsid w:val="00E953A6"/>
    <w:rsid w:val="00E97B6A"/>
    <w:rsid w:val="00E97CD4"/>
    <w:rsid w:val="00EA17E5"/>
    <w:rsid w:val="00EA2141"/>
    <w:rsid w:val="00EA3791"/>
    <w:rsid w:val="00EA3C11"/>
    <w:rsid w:val="00EA3F5F"/>
    <w:rsid w:val="00EA41AA"/>
    <w:rsid w:val="00EA45A0"/>
    <w:rsid w:val="00EA552D"/>
    <w:rsid w:val="00EA648B"/>
    <w:rsid w:val="00EA6859"/>
    <w:rsid w:val="00EB1360"/>
    <w:rsid w:val="00EB24DC"/>
    <w:rsid w:val="00EB25CC"/>
    <w:rsid w:val="00EB40F4"/>
    <w:rsid w:val="00EB4C2F"/>
    <w:rsid w:val="00EB67E2"/>
    <w:rsid w:val="00EB7A67"/>
    <w:rsid w:val="00EB7B50"/>
    <w:rsid w:val="00EB7D5B"/>
    <w:rsid w:val="00EC0E0B"/>
    <w:rsid w:val="00EC169B"/>
    <w:rsid w:val="00EC2171"/>
    <w:rsid w:val="00EC4F91"/>
    <w:rsid w:val="00EC5141"/>
    <w:rsid w:val="00EC5155"/>
    <w:rsid w:val="00EC5D38"/>
    <w:rsid w:val="00EC62A1"/>
    <w:rsid w:val="00EC755E"/>
    <w:rsid w:val="00ED0D69"/>
    <w:rsid w:val="00ED1A2E"/>
    <w:rsid w:val="00ED1D54"/>
    <w:rsid w:val="00ED1E5C"/>
    <w:rsid w:val="00ED2159"/>
    <w:rsid w:val="00ED2721"/>
    <w:rsid w:val="00ED3145"/>
    <w:rsid w:val="00ED40C9"/>
    <w:rsid w:val="00ED7049"/>
    <w:rsid w:val="00EE05C2"/>
    <w:rsid w:val="00EE1614"/>
    <w:rsid w:val="00EE1650"/>
    <w:rsid w:val="00EE203B"/>
    <w:rsid w:val="00EE247B"/>
    <w:rsid w:val="00EE2FD8"/>
    <w:rsid w:val="00EE32B0"/>
    <w:rsid w:val="00EE3552"/>
    <w:rsid w:val="00EE36DC"/>
    <w:rsid w:val="00EE4079"/>
    <w:rsid w:val="00EE4202"/>
    <w:rsid w:val="00EE474A"/>
    <w:rsid w:val="00EE47CC"/>
    <w:rsid w:val="00EE6BB3"/>
    <w:rsid w:val="00EE728D"/>
    <w:rsid w:val="00EF0686"/>
    <w:rsid w:val="00EF06EA"/>
    <w:rsid w:val="00EF1BF9"/>
    <w:rsid w:val="00EF1C33"/>
    <w:rsid w:val="00EF3938"/>
    <w:rsid w:val="00EF431C"/>
    <w:rsid w:val="00EF475D"/>
    <w:rsid w:val="00EF602F"/>
    <w:rsid w:val="00EF65DD"/>
    <w:rsid w:val="00EF6751"/>
    <w:rsid w:val="00EF6DB3"/>
    <w:rsid w:val="00EF6FC5"/>
    <w:rsid w:val="00EF7401"/>
    <w:rsid w:val="00EF7649"/>
    <w:rsid w:val="00F00655"/>
    <w:rsid w:val="00F01FF8"/>
    <w:rsid w:val="00F0213D"/>
    <w:rsid w:val="00F02DE2"/>
    <w:rsid w:val="00F035A2"/>
    <w:rsid w:val="00F03B47"/>
    <w:rsid w:val="00F03E2B"/>
    <w:rsid w:val="00F04AB2"/>
    <w:rsid w:val="00F04CD3"/>
    <w:rsid w:val="00F05102"/>
    <w:rsid w:val="00F06606"/>
    <w:rsid w:val="00F067D5"/>
    <w:rsid w:val="00F0696E"/>
    <w:rsid w:val="00F073D1"/>
    <w:rsid w:val="00F077A4"/>
    <w:rsid w:val="00F07D31"/>
    <w:rsid w:val="00F101E9"/>
    <w:rsid w:val="00F11F4D"/>
    <w:rsid w:val="00F12812"/>
    <w:rsid w:val="00F12E68"/>
    <w:rsid w:val="00F137B0"/>
    <w:rsid w:val="00F1390D"/>
    <w:rsid w:val="00F14308"/>
    <w:rsid w:val="00F14998"/>
    <w:rsid w:val="00F14B00"/>
    <w:rsid w:val="00F1677D"/>
    <w:rsid w:val="00F20454"/>
    <w:rsid w:val="00F20536"/>
    <w:rsid w:val="00F219C1"/>
    <w:rsid w:val="00F22594"/>
    <w:rsid w:val="00F24A1D"/>
    <w:rsid w:val="00F25C88"/>
    <w:rsid w:val="00F264B8"/>
    <w:rsid w:val="00F268A6"/>
    <w:rsid w:val="00F27775"/>
    <w:rsid w:val="00F30047"/>
    <w:rsid w:val="00F301A6"/>
    <w:rsid w:val="00F31CCB"/>
    <w:rsid w:val="00F31F82"/>
    <w:rsid w:val="00F322B6"/>
    <w:rsid w:val="00F32364"/>
    <w:rsid w:val="00F325E1"/>
    <w:rsid w:val="00F328EC"/>
    <w:rsid w:val="00F3300B"/>
    <w:rsid w:val="00F33EE3"/>
    <w:rsid w:val="00F3402D"/>
    <w:rsid w:val="00F346A9"/>
    <w:rsid w:val="00F34EA1"/>
    <w:rsid w:val="00F35282"/>
    <w:rsid w:val="00F35EB4"/>
    <w:rsid w:val="00F36C72"/>
    <w:rsid w:val="00F370A5"/>
    <w:rsid w:val="00F406D7"/>
    <w:rsid w:val="00F40DB4"/>
    <w:rsid w:val="00F427F1"/>
    <w:rsid w:val="00F42AE5"/>
    <w:rsid w:val="00F42E63"/>
    <w:rsid w:val="00F43EFE"/>
    <w:rsid w:val="00F44049"/>
    <w:rsid w:val="00F44294"/>
    <w:rsid w:val="00F4456B"/>
    <w:rsid w:val="00F44D30"/>
    <w:rsid w:val="00F451DA"/>
    <w:rsid w:val="00F45539"/>
    <w:rsid w:val="00F45992"/>
    <w:rsid w:val="00F50FA0"/>
    <w:rsid w:val="00F515C1"/>
    <w:rsid w:val="00F515F8"/>
    <w:rsid w:val="00F52B6A"/>
    <w:rsid w:val="00F55F75"/>
    <w:rsid w:val="00F569A7"/>
    <w:rsid w:val="00F56D73"/>
    <w:rsid w:val="00F5723F"/>
    <w:rsid w:val="00F607F7"/>
    <w:rsid w:val="00F60BA0"/>
    <w:rsid w:val="00F60BA9"/>
    <w:rsid w:val="00F611E1"/>
    <w:rsid w:val="00F61C0A"/>
    <w:rsid w:val="00F632A6"/>
    <w:rsid w:val="00F6333C"/>
    <w:rsid w:val="00F64E33"/>
    <w:rsid w:val="00F653D4"/>
    <w:rsid w:val="00F6656F"/>
    <w:rsid w:val="00F66D54"/>
    <w:rsid w:val="00F66E47"/>
    <w:rsid w:val="00F714B9"/>
    <w:rsid w:val="00F72229"/>
    <w:rsid w:val="00F745C5"/>
    <w:rsid w:val="00F74855"/>
    <w:rsid w:val="00F751E3"/>
    <w:rsid w:val="00F76730"/>
    <w:rsid w:val="00F8091F"/>
    <w:rsid w:val="00F81D0B"/>
    <w:rsid w:val="00F8307E"/>
    <w:rsid w:val="00F84EC2"/>
    <w:rsid w:val="00F86024"/>
    <w:rsid w:val="00F87355"/>
    <w:rsid w:val="00F87BD0"/>
    <w:rsid w:val="00F90FCC"/>
    <w:rsid w:val="00F913A8"/>
    <w:rsid w:val="00F95365"/>
    <w:rsid w:val="00F953B1"/>
    <w:rsid w:val="00F97EC3"/>
    <w:rsid w:val="00FA0F4A"/>
    <w:rsid w:val="00FA13ED"/>
    <w:rsid w:val="00FA3BB0"/>
    <w:rsid w:val="00FA459D"/>
    <w:rsid w:val="00FA487C"/>
    <w:rsid w:val="00FA51F8"/>
    <w:rsid w:val="00FA56D3"/>
    <w:rsid w:val="00FA6358"/>
    <w:rsid w:val="00FA6BAE"/>
    <w:rsid w:val="00FA78EF"/>
    <w:rsid w:val="00FB15A1"/>
    <w:rsid w:val="00FB15B7"/>
    <w:rsid w:val="00FB2FF1"/>
    <w:rsid w:val="00FB3A5D"/>
    <w:rsid w:val="00FB4A2F"/>
    <w:rsid w:val="00FB5771"/>
    <w:rsid w:val="00FB6985"/>
    <w:rsid w:val="00FB71DA"/>
    <w:rsid w:val="00FB7F5C"/>
    <w:rsid w:val="00FC0CE9"/>
    <w:rsid w:val="00FC1138"/>
    <w:rsid w:val="00FC20E8"/>
    <w:rsid w:val="00FC5128"/>
    <w:rsid w:val="00FC5195"/>
    <w:rsid w:val="00FC5402"/>
    <w:rsid w:val="00FC5B07"/>
    <w:rsid w:val="00FC5F84"/>
    <w:rsid w:val="00FC6B68"/>
    <w:rsid w:val="00FC747A"/>
    <w:rsid w:val="00FC794D"/>
    <w:rsid w:val="00FC7BAB"/>
    <w:rsid w:val="00FD1DDF"/>
    <w:rsid w:val="00FD23C8"/>
    <w:rsid w:val="00FD61AF"/>
    <w:rsid w:val="00FD6797"/>
    <w:rsid w:val="00FD73E9"/>
    <w:rsid w:val="00FE057D"/>
    <w:rsid w:val="00FE21E7"/>
    <w:rsid w:val="00FE25DD"/>
    <w:rsid w:val="00FE2606"/>
    <w:rsid w:val="00FE298C"/>
    <w:rsid w:val="00FE2E29"/>
    <w:rsid w:val="00FE40C6"/>
    <w:rsid w:val="00FE461F"/>
    <w:rsid w:val="00FE47D6"/>
    <w:rsid w:val="00FE5C35"/>
    <w:rsid w:val="00FE5EEC"/>
    <w:rsid w:val="00FE68C0"/>
    <w:rsid w:val="00FE6F9E"/>
    <w:rsid w:val="00FE764A"/>
    <w:rsid w:val="00FE7DE7"/>
    <w:rsid w:val="00FE7E26"/>
    <w:rsid w:val="00FF2E77"/>
    <w:rsid w:val="00FF3266"/>
    <w:rsid w:val="00FF38F9"/>
    <w:rsid w:val="00FF4205"/>
    <w:rsid w:val="00FF42AD"/>
    <w:rsid w:val="00FF5859"/>
    <w:rsid w:val="00FF5AA8"/>
    <w:rsid w:val="00FF5FDD"/>
    <w:rsid w:val="00FF691A"/>
    <w:rsid w:val="00FF6CAD"/>
    <w:rsid w:val="00FF6EF5"/>
    <w:rsid w:val="011C6D26"/>
    <w:rsid w:val="0127018A"/>
    <w:rsid w:val="01291C45"/>
    <w:rsid w:val="012B24CC"/>
    <w:rsid w:val="01415E5C"/>
    <w:rsid w:val="014462E0"/>
    <w:rsid w:val="0146424A"/>
    <w:rsid w:val="01501EDC"/>
    <w:rsid w:val="01544466"/>
    <w:rsid w:val="015D1953"/>
    <w:rsid w:val="01687A0A"/>
    <w:rsid w:val="016D2B5B"/>
    <w:rsid w:val="01884495"/>
    <w:rsid w:val="018B5FED"/>
    <w:rsid w:val="018E3B22"/>
    <w:rsid w:val="01BF3B35"/>
    <w:rsid w:val="01CC118E"/>
    <w:rsid w:val="01CC23B0"/>
    <w:rsid w:val="01D95E25"/>
    <w:rsid w:val="01E4506C"/>
    <w:rsid w:val="01FE513B"/>
    <w:rsid w:val="021921D2"/>
    <w:rsid w:val="021F5D5D"/>
    <w:rsid w:val="02260294"/>
    <w:rsid w:val="023D4970"/>
    <w:rsid w:val="023D54D1"/>
    <w:rsid w:val="02435B41"/>
    <w:rsid w:val="024714C9"/>
    <w:rsid w:val="026B44F7"/>
    <w:rsid w:val="026E4C0E"/>
    <w:rsid w:val="02962597"/>
    <w:rsid w:val="029A3ADE"/>
    <w:rsid w:val="02A33F20"/>
    <w:rsid w:val="02C959A0"/>
    <w:rsid w:val="02D538A6"/>
    <w:rsid w:val="02E271D0"/>
    <w:rsid w:val="02EB0DFA"/>
    <w:rsid w:val="02ED2C6B"/>
    <w:rsid w:val="02F946AF"/>
    <w:rsid w:val="030B18BA"/>
    <w:rsid w:val="030C3B45"/>
    <w:rsid w:val="030E783C"/>
    <w:rsid w:val="031E31A7"/>
    <w:rsid w:val="034443F1"/>
    <w:rsid w:val="034477E2"/>
    <w:rsid w:val="034B7CE7"/>
    <w:rsid w:val="034D34D4"/>
    <w:rsid w:val="034F6A0B"/>
    <w:rsid w:val="03561D60"/>
    <w:rsid w:val="036F4725"/>
    <w:rsid w:val="037E6E7A"/>
    <w:rsid w:val="0384650D"/>
    <w:rsid w:val="039E5309"/>
    <w:rsid w:val="03C50F5D"/>
    <w:rsid w:val="03EC1248"/>
    <w:rsid w:val="03F14D6F"/>
    <w:rsid w:val="0402635F"/>
    <w:rsid w:val="041C009B"/>
    <w:rsid w:val="041D5FA8"/>
    <w:rsid w:val="042C6E78"/>
    <w:rsid w:val="04483109"/>
    <w:rsid w:val="044D46C5"/>
    <w:rsid w:val="04522CD3"/>
    <w:rsid w:val="04551064"/>
    <w:rsid w:val="046D6B16"/>
    <w:rsid w:val="04774695"/>
    <w:rsid w:val="04915577"/>
    <w:rsid w:val="04983EF7"/>
    <w:rsid w:val="04A44ADE"/>
    <w:rsid w:val="04A55983"/>
    <w:rsid w:val="04AD63CC"/>
    <w:rsid w:val="04B21CA5"/>
    <w:rsid w:val="04B93FDC"/>
    <w:rsid w:val="04BF7BDA"/>
    <w:rsid w:val="04CE640B"/>
    <w:rsid w:val="04D975FC"/>
    <w:rsid w:val="04E905EF"/>
    <w:rsid w:val="050369A1"/>
    <w:rsid w:val="050A7337"/>
    <w:rsid w:val="050C1694"/>
    <w:rsid w:val="05104A54"/>
    <w:rsid w:val="05261561"/>
    <w:rsid w:val="052838AD"/>
    <w:rsid w:val="052E6EE8"/>
    <w:rsid w:val="05347F85"/>
    <w:rsid w:val="0557718D"/>
    <w:rsid w:val="05821CB5"/>
    <w:rsid w:val="058E17D6"/>
    <w:rsid w:val="059A4E90"/>
    <w:rsid w:val="05A0788A"/>
    <w:rsid w:val="05AD6E7B"/>
    <w:rsid w:val="05D5366F"/>
    <w:rsid w:val="05DD246D"/>
    <w:rsid w:val="05F917C0"/>
    <w:rsid w:val="05FE23E4"/>
    <w:rsid w:val="060C5A14"/>
    <w:rsid w:val="06100944"/>
    <w:rsid w:val="06102EAD"/>
    <w:rsid w:val="06144636"/>
    <w:rsid w:val="06615E6B"/>
    <w:rsid w:val="066C1332"/>
    <w:rsid w:val="068C5E09"/>
    <w:rsid w:val="06AA72E9"/>
    <w:rsid w:val="06E22B80"/>
    <w:rsid w:val="06EB373B"/>
    <w:rsid w:val="06F07F7E"/>
    <w:rsid w:val="06FF2923"/>
    <w:rsid w:val="07077180"/>
    <w:rsid w:val="07200DC5"/>
    <w:rsid w:val="0728250B"/>
    <w:rsid w:val="073914A4"/>
    <w:rsid w:val="075641FC"/>
    <w:rsid w:val="0760765B"/>
    <w:rsid w:val="07737B77"/>
    <w:rsid w:val="0777244E"/>
    <w:rsid w:val="077D4383"/>
    <w:rsid w:val="07906D4E"/>
    <w:rsid w:val="07AF1BE8"/>
    <w:rsid w:val="080069FE"/>
    <w:rsid w:val="080D6719"/>
    <w:rsid w:val="08220551"/>
    <w:rsid w:val="08257ABC"/>
    <w:rsid w:val="083C19F8"/>
    <w:rsid w:val="087E539B"/>
    <w:rsid w:val="088A7EA6"/>
    <w:rsid w:val="089A7252"/>
    <w:rsid w:val="08A02450"/>
    <w:rsid w:val="08A71EEC"/>
    <w:rsid w:val="08B17BE1"/>
    <w:rsid w:val="08C43471"/>
    <w:rsid w:val="08C658BD"/>
    <w:rsid w:val="08E52071"/>
    <w:rsid w:val="08EC0C19"/>
    <w:rsid w:val="08F409D7"/>
    <w:rsid w:val="08FC394D"/>
    <w:rsid w:val="09015A90"/>
    <w:rsid w:val="09195A71"/>
    <w:rsid w:val="09242879"/>
    <w:rsid w:val="093419CA"/>
    <w:rsid w:val="094F114F"/>
    <w:rsid w:val="09552FEF"/>
    <w:rsid w:val="096E552C"/>
    <w:rsid w:val="09985DAA"/>
    <w:rsid w:val="09A360A9"/>
    <w:rsid w:val="09AF744D"/>
    <w:rsid w:val="09B21E34"/>
    <w:rsid w:val="09BB08C2"/>
    <w:rsid w:val="09BC4B32"/>
    <w:rsid w:val="09BF4F2C"/>
    <w:rsid w:val="09C95E6A"/>
    <w:rsid w:val="09E225C4"/>
    <w:rsid w:val="09EE5071"/>
    <w:rsid w:val="09F61759"/>
    <w:rsid w:val="09FE2305"/>
    <w:rsid w:val="0A0478F7"/>
    <w:rsid w:val="0A0F01C5"/>
    <w:rsid w:val="0A1C4368"/>
    <w:rsid w:val="0A3455AA"/>
    <w:rsid w:val="0A3746EE"/>
    <w:rsid w:val="0A5B782B"/>
    <w:rsid w:val="0A7D2ACE"/>
    <w:rsid w:val="0A8377B3"/>
    <w:rsid w:val="0A8870AA"/>
    <w:rsid w:val="0A9B02A8"/>
    <w:rsid w:val="0AD333D1"/>
    <w:rsid w:val="0AE2338C"/>
    <w:rsid w:val="0B192A10"/>
    <w:rsid w:val="0B33306F"/>
    <w:rsid w:val="0B3C1FD2"/>
    <w:rsid w:val="0B4B7D28"/>
    <w:rsid w:val="0B58327E"/>
    <w:rsid w:val="0B6047BE"/>
    <w:rsid w:val="0B6500C7"/>
    <w:rsid w:val="0B7950F1"/>
    <w:rsid w:val="0B80456E"/>
    <w:rsid w:val="0B8920BD"/>
    <w:rsid w:val="0B980953"/>
    <w:rsid w:val="0BB4512B"/>
    <w:rsid w:val="0BD61FC7"/>
    <w:rsid w:val="0BE87A70"/>
    <w:rsid w:val="0BF26D12"/>
    <w:rsid w:val="0C0D156A"/>
    <w:rsid w:val="0C125CFE"/>
    <w:rsid w:val="0C165ABC"/>
    <w:rsid w:val="0C1E0A88"/>
    <w:rsid w:val="0C272D68"/>
    <w:rsid w:val="0C2A0B66"/>
    <w:rsid w:val="0C695836"/>
    <w:rsid w:val="0C736A47"/>
    <w:rsid w:val="0C7C6902"/>
    <w:rsid w:val="0C9629C4"/>
    <w:rsid w:val="0C9D4D03"/>
    <w:rsid w:val="0CC22768"/>
    <w:rsid w:val="0CC35E55"/>
    <w:rsid w:val="0CCF2525"/>
    <w:rsid w:val="0CD03EB8"/>
    <w:rsid w:val="0CD745F8"/>
    <w:rsid w:val="0CFA3CA4"/>
    <w:rsid w:val="0CFB65F7"/>
    <w:rsid w:val="0D1439D3"/>
    <w:rsid w:val="0D150BC1"/>
    <w:rsid w:val="0D152507"/>
    <w:rsid w:val="0D1A39AA"/>
    <w:rsid w:val="0D2A1D10"/>
    <w:rsid w:val="0D4121D4"/>
    <w:rsid w:val="0D4370E0"/>
    <w:rsid w:val="0D475F26"/>
    <w:rsid w:val="0D4C612B"/>
    <w:rsid w:val="0D60680B"/>
    <w:rsid w:val="0D613EF5"/>
    <w:rsid w:val="0D6C6DB8"/>
    <w:rsid w:val="0D705A65"/>
    <w:rsid w:val="0D8B516C"/>
    <w:rsid w:val="0D9A50E8"/>
    <w:rsid w:val="0DC253DE"/>
    <w:rsid w:val="0DCD2DC7"/>
    <w:rsid w:val="0DE535FC"/>
    <w:rsid w:val="0DEE4E1F"/>
    <w:rsid w:val="0DF73547"/>
    <w:rsid w:val="0E024A7B"/>
    <w:rsid w:val="0E0268B4"/>
    <w:rsid w:val="0E124DF0"/>
    <w:rsid w:val="0E134409"/>
    <w:rsid w:val="0E1C51DE"/>
    <w:rsid w:val="0E34288F"/>
    <w:rsid w:val="0E3D0910"/>
    <w:rsid w:val="0E4D3F08"/>
    <w:rsid w:val="0E5324ED"/>
    <w:rsid w:val="0E56649B"/>
    <w:rsid w:val="0E805AE4"/>
    <w:rsid w:val="0E865E79"/>
    <w:rsid w:val="0E943355"/>
    <w:rsid w:val="0EAD177A"/>
    <w:rsid w:val="0EB70E71"/>
    <w:rsid w:val="0EEB61EF"/>
    <w:rsid w:val="0EF16C95"/>
    <w:rsid w:val="0F1872AB"/>
    <w:rsid w:val="0F2912F7"/>
    <w:rsid w:val="0F374AD0"/>
    <w:rsid w:val="0F4E5867"/>
    <w:rsid w:val="0F66513F"/>
    <w:rsid w:val="0F6E4C0A"/>
    <w:rsid w:val="0F7F76C6"/>
    <w:rsid w:val="0F93045C"/>
    <w:rsid w:val="0F9E1BF3"/>
    <w:rsid w:val="0FAB0145"/>
    <w:rsid w:val="0FBE6E4D"/>
    <w:rsid w:val="0FC14A6B"/>
    <w:rsid w:val="0FC8212A"/>
    <w:rsid w:val="102526CA"/>
    <w:rsid w:val="10266544"/>
    <w:rsid w:val="1028470A"/>
    <w:rsid w:val="102C30B0"/>
    <w:rsid w:val="10324148"/>
    <w:rsid w:val="10344F9F"/>
    <w:rsid w:val="103C0BB2"/>
    <w:rsid w:val="104A395D"/>
    <w:rsid w:val="105B1359"/>
    <w:rsid w:val="108A750B"/>
    <w:rsid w:val="108D652E"/>
    <w:rsid w:val="10AE7D4F"/>
    <w:rsid w:val="10B21556"/>
    <w:rsid w:val="10B95885"/>
    <w:rsid w:val="10C12B5E"/>
    <w:rsid w:val="10D67FDE"/>
    <w:rsid w:val="10E52811"/>
    <w:rsid w:val="10FA21B5"/>
    <w:rsid w:val="111009D9"/>
    <w:rsid w:val="111A383A"/>
    <w:rsid w:val="112A19D0"/>
    <w:rsid w:val="11302522"/>
    <w:rsid w:val="113327F9"/>
    <w:rsid w:val="11493297"/>
    <w:rsid w:val="115D69DF"/>
    <w:rsid w:val="116D012E"/>
    <w:rsid w:val="11A07C4B"/>
    <w:rsid w:val="11A64AD8"/>
    <w:rsid w:val="11C12C43"/>
    <w:rsid w:val="11C218F3"/>
    <w:rsid w:val="11CC6249"/>
    <w:rsid w:val="11DB0DC6"/>
    <w:rsid w:val="11F66DAE"/>
    <w:rsid w:val="120C5269"/>
    <w:rsid w:val="120D64E7"/>
    <w:rsid w:val="122936D7"/>
    <w:rsid w:val="124811F8"/>
    <w:rsid w:val="12580F31"/>
    <w:rsid w:val="12664707"/>
    <w:rsid w:val="126778DC"/>
    <w:rsid w:val="126A62F9"/>
    <w:rsid w:val="12707DB7"/>
    <w:rsid w:val="12720813"/>
    <w:rsid w:val="127A7AF2"/>
    <w:rsid w:val="12AE4369"/>
    <w:rsid w:val="12D41D12"/>
    <w:rsid w:val="12DF0C4C"/>
    <w:rsid w:val="12E81979"/>
    <w:rsid w:val="12F8758E"/>
    <w:rsid w:val="132813D9"/>
    <w:rsid w:val="1332629C"/>
    <w:rsid w:val="13404ED0"/>
    <w:rsid w:val="134B78F6"/>
    <w:rsid w:val="135D0A2F"/>
    <w:rsid w:val="13732270"/>
    <w:rsid w:val="13761F78"/>
    <w:rsid w:val="137748DD"/>
    <w:rsid w:val="13945133"/>
    <w:rsid w:val="13B45CA1"/>
    <w:rsid w:val="13BC50C9"/>
    <w:rsid w:val="13C14F4B"/>
    <w:rsid w:val="13D435FB"/>
    <w:rsid w:val="13E71751"/>
    <w:rsid w:val="13ED67B0"/>
    <w:rsid w:val="13FE40C4"/>
    <w:rsid w:val="14075F90"/>
    <w:rsid w:val="140E1A67"/>
    <w:rsid w:val="14290FCF"/>
    <w:rsid w:val="14347CC5"/>
    <w:rsid w:val="143847CB"/>
    <w:rsid w:val="14650FE2"/>
    <w:rsid w:val="14794982"/>
    <w:rsid w:val="14837285"/>
    <w:rsid w:val="14AB768F"/>
    <w:rsid w:val="14B35574"/>
    <w:rsid w:val="14BB2877"/>
    <w:rsid w:val="14BB7F49"/>
    <w:rsid w:val="14BF329A"/>
    <w:rsid w:val="14C01F75"/>
    <w:rsid w:val="14D73235"/>
    <w:rsid w:val="14E4168F"/>
    <w:rsid w:val="14F25AE0"/>
    <w:rsid w:val="151B29EE"/>
    <w:rsid w:val="151C013A"/>
    <w:rsid w:val="151C399A"/>
    <w:rsid w:val="154422C9"/>
    <w:rsid w:val="15550EDB"/>
    <w:rsid w:val="15576B89"/>
    <w:rsid w:val="15635B68"/>
    <w:rsid w:val="15652C51"/>
    <w:rsid w:val="15963BED"/>
    <w:rsid w:val="15976249"/>
    <w:rsid w:val="15BC4432"/>
    <w:rsid w:val="15D4199D"/>
    <w:rsid w:val="15D80E2F"/>
    <w:rsid w:val="15E97409"/>
    <w:rsid w:val="16146351"/>
    <w:rsid w:val="161A62B1"/>
    <w:rsid w:val="16200919"/>
    <w:rsid w:val="163A6097"/>
    <w:rsid w:val="164C14F4"/>
    <w:rsid w:val="165D64E9"/>
    <w:rsid w:val="16673923"/>
    <w:rsid w:val="16767AF1"/>
    <w:rsid w:val="16793C3C"/>
    <w:rsid w:val="167A7865"/>
    <w:rsid w:val="16822A87"/>
    <w:rsid w:val="16846935"/>
    <w:rsid w:val="1686225E"/>
    <w:rsid w:val="169270FD"/>
    <w:rsid w:val="16985A91"/>
    <w:rsid w:val="16A31611"/>
    <w:rsid w:val="16AD3005"/>
    <w:rsid w:val="16AE6A2B"/>
    <w:rsid w:val="16BF3319"/>
    <w:rsid w:val="16C343FD"/>
    <w:rsid w:val="16C44468"/>
    <w:rsid w:val="16CB2EB8"/>
    <w:rsid w:val="16E935DC"/>
    <w:rsid w:val="16FF5FE4"/>
    <w:rsid w:val="170267BF"/>
    <w:rsid w:val="1719074F"/>
    <w:rsid w:val="172F6CF3"/>
    <w:rsid w:val="173336E0"/>
    <w:rsid w:val="174D0FE3"/>
    <w:rsid w:val="1756149C"/>
    <w:rsid w:val="175D35EC"/>
    <w:rsid w:val="176E561B"/>
    <w:rsid w:val="17A675FA"/>
    <w:rsid w:val="17AA4285"/>
    <w:rsid w:val="17AF6BE7"/>
    <w:rsid w:val="17B52BC5"/>
    <w:rsid w:val="17C1448E"/>
    <w:rsid w:val="17DE0FB8"/>
    <w:rsid w:val="17E01F51"/>
    <w:rsid w:val="17E366F1"/>
    <w:rsid w:val="17F42A8C"/>
    <w:rsid w:val="17F94C98"/>
    <w:rsid w:val="180B1223"/>
    <w:rsid w:val="1815668B"/>
    <w:rsid w:val="182678FB"/>
    <w:rsid w:val="18860AED"/>
    <w:rsid w:val="18892E80"/>
    <w:rsid w:val="189228ED"/>
    <w:rsid w:val="18924BEC"/>
    <w:rsid w:val="18961E73"/>
    <w:rsid w:val="18A25A2F"/>
    <w:rsid w:val="18A628BF"/>
    <w:rsid w:val="18B950C6"/>
    <w:rsid w:val="18DA283C"/>
    <w:rsid w:val="18E41B40"/>
    <w:rsid w:val="19007209"/>
    <w:rsid w:val="19080981"/>
    <w:rsid w:val="190842A8"/>
    <w:rsid w:val="190F698A"/>
    <w:rsid w:val="19103F7F"/>
    <w:rsid w:val="19157E3E"/>
    <w:rsid w:val="19251C51"/>
    <w:rsid w:val="192F0901"/>
    <w:rsid w:val="19320BB6"/>
    <w:rsid w:val="19377C8F"/>
    <w:rsid w:val="19406B43"/>
    <w:rsid w:val="194102B9"/>
    <w:rsid w:val="19467ED2"/>
    <w:rsid w:val="194E7192"/>
    <w:rsid w:val="195A748D"/>
    <w:rsid w:val="197034C0"/>
    <w:rsid w:val="19781BD4"/>
    <w:rsid w:val="19A2573A"/>
    <w:rsid w:val="19AB4FA8"/>
    <w:rsid w:val="19B968FB"/>
    <w:rsid w:val="19DF0A84"/>
    <w:rsid w:val="19EC1EAC"/>
    <w:rsid w:val="19F44BAE"/>
    <w:rsid w:val="19FD6510"/>
    <w:rsid w:val="19FE48FB"/>
    <w:rsid w:val="1A0969C7"/>
    <w:rsid w:val="1A0B7E1B"/>
    <w:rsid w:val="1A383479"/>
    <w:rsid w:val="1A431405"/>
    <w:rsid w:val="1A463E40"/>
    <w:rsid w:val="1A4C3C2B"/>
    <w:rsid w:val="1A592F98"/>
    <w:rsid w:val="1A5E2776"/>
    <w:rsid w:val="1A612ED9"/>
    <w:rsid w:val="1A8136F2"/>
    <w:rsid w:val="1A8F76F9"/>
    <w:rsid w:val="1A9627E8"/>
    <w:rsid w:val="1A9849B9"/>
    <w:rsid w:val="1A99534E"/>
    <w:rsid w:val="1AA407B4"/>
    <w:rsid w:val="1AAA203C"/>
    <w:rsid w:val="1AAD3C9A"/>
    <w:rsid w:val="1ABC6DEE"/>
    <w:rsid w:val="1ACF379F"/>
    <w:rsid w:val="1ACF7A25"/>
    <w:rsid w:val="1AF30679"/>
    <w:rsid w:val="1AF702DF"/>
    <w:rsid w:val="1AF8665D"/>
    <w:rsid w:val="1B1F6C2C"/>
    <w:rsid w:val="1B231CE8"/>
    <w:rsid w:val="1B3136C2"/>
    <w:rsid w:val="1B366159"/>
    <w:rsid w:val="1B4906D3"/>
    <w:rsid w:val="1B4971FD"/>
    <w:rsid w:val="1B4A5E98"/>
    <w:rsid w:val="1B527241"/>
    <w:rsid w:val="1B67085D"/>
    <w:rsid w:val="1B687FD7"/>
    <w:rsid w:val="1B813730"/>
    <w:rsid w:val="1B8E0E7B"/>
    <w:rsid w:val="1B9C27DA"/>
    <w:rsid w:val="1BB9429A"/>
    <w:rsid w:val="1BFD0FEB"/>
    <w:rsid w:val="1C0C221D"/>
    <w:rsid w:val="1C172B27"/>
    <w:rsid w:val="1C1979B2"/>
    <w:rsid w:val="1C235A5A"/>
    <w:rsid w:val="1C246727"/>
    <w:rsid w:val="1C307DEF"/>
    <w:rsid w:val="1C5446B4"/>
    <w:rsid w:val="1C5D17BA"/>
    <w:rsid w:val="1C780E08"/>
    <w:rsid w:val="1C7C73CC"/>
    <w:rsid w:val="1C8151B3"/>
    <w:rsid w:val="1C8F6C07"/>
    <w:rsid w:val="1CA1608E"/>
    <w:rsid w:val="1CA46A19"/>
    <w:rsid w:val="1CAD1CD2"/>
    <w:rsid w:val="1CBD2690"/>
    <w:rsid w:val="1CDC4C05"/>
    <w:rsid w:val="1CEA38DA"/>
    <w:rsid w:val="1CF127FC"/>
    <w:rsid w:val="1CF245CC"/>
    <w:rsid w:val="1D3613B3"/>
    <w:rsid w:val="1D3D2E9C"/>
    <w:rsid w:val="1D4B7234"/>
    <w:rsid w:val="1D555811"/>
    <w:rsid w:val="1D660707"/>
    <w:rsid w:val="1D711301"/>
    <w:rsid w:val="1D726562"/>
    <w:rsid w:val="1D967F8B"/>
    <w:rsid w:val="1D99200F"/>
    <w:rsid w:val="1D9A65DF"/>
    <w:rsid w:val="1D9D3AC9"/>
    <w:rsid w:val="1D9F062B"/>
    <w:rsid w:val="1DA56CB5"/>
    <w:rsid w:val="1DBD307B"/>
    <w:rsid w:val="1DC1465E"/>
    <w:rsid w:val="1DE45C6C"/>
    <w:rsid w:val="1DEE1608"/>
    <w:rsid w:val="1DFB6CF8"/>
    <w:rsid w:val="1E06268E"/>
    <w:rsid w:val="1E3015D8"/>
    <w:rsid w:val="1E38671E"/>
    <w:rsid w:val="1E476D04"/>
    <w:rsid w:val="1E632503"/>
    <w:rsid w:val="1E636E30"/>
    <w:rsid w:val="1E6B0327"/>
    <w:rsid w:val="1E8A2C9A"/>
    <w:rsid w:val="1E8C167C"/>
    <w:rsid w:val="1E8E5BB1"/>
    <w:rsid w:val="1E955E76"/>
    <w:rsid w:val="1EBC4C06"/>
    <w:rsid w:val="1ECB3353"/>
    <w:rsid w:val="1EF53E0F"/>
    <w:rsid w:val="1EF60852"/>
    <w:rsid w:val="1F010A53"/>
    <w:rsid w:val="1F160CA2"/>
    <w:rsid w:val="1F160D9D"/>
    <w:rsid w:val="1F1E68C4"/>
    <w:rsid w:val="1F2E26AA"/>
    <w:rsid w:val="1F3D6595"/>
    <w:rsid w:val="1F5A6D1C"/>
    <w:rsid w:val="1F8368BB"/>
    <w:rsid w:val="1F8F5A84"/>
    <w:rsid w:val="1F927584"/>
    <w:rsid w:val="1FB37916"/>
    <w:rsid w:val="1FC5348B"/>
    <w:rsid w:val="1FCB4E15"/>
    <w:rsid w:val="1FCF39B8"/>
    <w:rsid w:val="1FD0371D"/>
    <w:rsid w:val="1FD90FE6"/>
    <w:rsid w:val="1FE848BB"/>
    <w:rsid w:val="20011F52"/>
    <w:rsid w:val="200277D8"/>
    <w:rsid w:val="20147375"/>
    <w:rsid w:val="201E4D18"/>
    <w:rsid w:val="20231B20"/>
    <w:rsid w:val="202C62F7"/>
    <w:rsid w:val="202D3DB6"/>
    <w:rsid w:val="202D42CE"/>
    <w:rsid w:val="2031158F"/>
    <w:rsid w:val="20602330"/>
    <w:rsid w:val="20796DDF"/>
    <w:rsid w:val="20B0346B"/>
    <w:rsid w:val="20CA5AF5"/>
    <w:rsid w:val="20CF0AC0"/>
    <w:rsid w:val="20ED3D0B"/>
    <w:rsid w:val="20F027A6"/>
    <w:rsid w:val="21030475"/>
    <w:rsid w:val="210B1A9A"/>
    <w:rsid w:val="212903FF"/>
    <w:rsid w:val="214B42D7"/>
    <w:rsid w:val="214F04DB"/>
    <w:rsid w:val="216C6F96"/>
    <w:rsid w:val="21884540"/>
    <w:rsid w:val="219F7581"/>
    <w:rsid w:val="21A53BB7"/>
    <w:rsid w:val="21AE1FA1"/>
    <w:rsid w:val="21AF521C"/>
    <w:rsid w:val="21B955E0"/>
    <w:rsid w:val="21BF4251"/>
    <w:rsid w:val="21C37A84"/>
    <w:rsid w:val="21C56A58"/>
    <w:rsid w:val="21CF2A86"/>
    <w:rsid w:val="21E06973"/>
    <w:rsid w:val="21EC1225"/>
    <w:rsid w:val="22114A71"/>
    <w:rsid w:val="221B0E34"/>
    <w:rsid w:val="222266FB"/>
    <w:rsid w:val="222F628B"/>
    <w:rsid w:val="22482775"/>
    <w:rsid w:val="22523C7E"/>
    <w:rsid w:val="22575C40"/>
    <w:rsid w:val="22816E86"/>
    <w:rsid w:val="22C82BBE"/>
    <w:rsid w:val="22D303DA"/>
    <w:rsid w:val="22FA678F"/>
    <w:rsid w:val="23053E3A"/>
    <w:rsid w:val="23162311"/>
    <w:rsid w:val="231A58CF"/>
    <w:rsid w:val="231D093A"/>
    <w:rsid w:val="2337127B"/>
    <w:rsid w:val="2339456A"/>
    <w:rsid w:val="23435CBF"/>
    <w:rsid w:val="236F0C50"/>
    <w:rsid w:val="23767DBC"/>
    <w:rsid w:val="2379560C"/>
    <w:rsid w:val="238C320E"/>
    <w:rsid w:val="238F230B"/>
    <w:rsid w:val="23AF7BB7"/>
    <w:rsid w:val="23B51741"/>
    <w:rsid w:val="23C80186"/>
    <w:rsid w:val="23C86060"/>
    <w:rsid w:val="23E10A49"/>
    <w:rsid w:val="23F524B0"/>
    <w:rsid w:val="243406A0"/>
    <w:rsid w:val="243C5AF7"/>
    <w:rsid w:val="244103A6"/>
    <w:rsid w:val="244D21DD"/>
    <w:rsid w:val="245541D9"/>
    <w:rsid w:val="245F07C4"/>
    <w:rsid w:val="24606EC0"/>
    <w:rsid w:val="247026F4"/>
    <w:rsid w:val="248C63D0"/>
    <w:rsid w:val="248F3D02"/>
    <w:rsid w:val="24BA47D1"/>
    <w:rsid w:val="24CB50B5"/>
    <w:rsid w:val="24CF4177"/>
    <w:rsid w:val="24D6539D"/>
    <w:rsid w:val="24DA5FF9"/>
    <w:rsid w:val="250D244C"/>
    <w:rsid w:val="250E7D93"/>
    <w:rsid w:val="251A35FE"/>
    <w:rsid w:val="25215B94"/>
    <w:rsid w:val="25241378"/>
    <w:rsid w:val="2540210C"/>
    <w:rsid w:val="25492B93"/>
    <w:rsid w:val="2549300C"/>
    <w:rsid w:val="254F5C36"/>
    <w:rsid w:val="25815CC6"/>
    <w:rsid w:val="259470CE"/>
    <w:rsid w:val="25950217"/>
    <w:rsid w:val="25CB76DF"/>
    <w:rsid w:val="25D743FF"/>
    <w:rsid w:val="25E41A29"/>
    <w:rsid w:val="262A09DF"/>
    <w:rsid w:val="2631799C"/>
    <w:rsid w:val="26422A25"/>
    <w:rsid w:val="264D126F"/>
    <w:rsid w:val="26620522"/>
    <w:rsid w:val="267435E4"/>
    <w:rsid w:val="26760048"/>
    <w:rsid w:val="26940D7A"/>
    <w:rsid w:val="26941E80"/>
    <w:rsid w:val="26A91B04"/>
    <w:rsid w:val="26AB48B8"/>
    <w:rsid w:val="26B7215D"/>
    <w:rsid w:val="26BC4150"/>
    <w:rsid w:val="26C0177B"/>
    <w:rsid w:val="26CC0647"/>
    <w:rsid w:val="26DE6D46"/>
    <w:rsid w:val="26E54978"/>
    <w:rsid w:val="26EB27E9"/>
    <w:rsid w:val="270333C5"/>
    <w:rsid w:val="27143EF2"/>
    <w:rsid w:val="272037E9"/>
    <w:rsid w:val="273137B7"/>
    <w:rsid w:val="274C73B3"/>
    <w:rsid w:val="27640051"/>
    <w:rsid w:val="279878EC"/>
    <w:rsid w:val="279A307D"/>
    <w:rsid w:val="279A5F02"/>
    <w:rsid w:val="27B3232A"/>
    <w:rsid w:val="27CC7A8C"/>
    <w:rsid w:val="27E459B5"/>
    <w:rsid w:val="27EC6007"/>
    <w:rsid w:val="27F34575"/>
    <w:rsid w:val="27F639F5"/>
    <w:rsid w:val="2804061D"/>
    <w:rsid w:val="28162351"/>
    <w:rsid w:val="28215773"/>
    <w:rsid w:val="283106DE"/>
    <w:rsid w:val="28354A0B"/>
    <w:rsid w:val="283F59AE"/>
    <w:rsid w:val="28457A4F"/>
    <w:rsid w:val="287C422C"/>
    <w:rsid w:val="288662BD"/>
    <w:rsid w:val="28A702EB"/>
    <w:rsid w:val="28B21847"/>
    <w:rsid w:val="28B514E6"/>
    <w:rsid w:val="28B83BB3"/>
    <w:rsid w:val="28B93959"/>
    <w:rsid w:val="28BF0C98"/>
    <w:rsid w:val="28D600A4"/>
    <w:rsid w:val="28D601F1"/>
    <w:rsid w:val="28D927AE"/>
    <w:rsid w:val="28EC3006"/>
    <w:rsid w:val="28FA4011"/>
    <w:rsid w:val="29006B5A"/>
    <w:rsid w:val="29193852"/>
    <w:rsid w:val="291A443F"/>
    <w:rsid w:val="29341AF5"/>
    <w:rsid w:val="29395A8E"/>
    <w:rsid w:val="29584902"/>
    <w:rsid w:val="29847444"/>
    <w:rsid w:val="29867C38"/>
    <w:rsid w:val="298C2B1A"/>
    <w:rsid w:val="2996455E"/>
    <w:rsid w:val="29A0500D"/>
    <w:rsid w:val="29B201E0"/>
    <w:rsid w:val="29B955F6"/>
    <w:rsid w:val="29E23624"/>
    <w:rsid w:val="29EB114B"/>
    <w:rsid w:val="29EC7247"/>
    <w:rsid w:val="29F10DCF"/>
    <w:rsid w:val="2A1C23D5"/>
    <w:rsid w:val="2A227B21"/>
    <w:rsid w:val="2A257690"/>
    <w:rsid w:val="2A2747FF"/>
    <w:rsid w:val="2A2F12D4"/>
    <w:rsid w:val="2A3304E3"/>
    <w:rsid w:val="2A3701FB"/>
    <w:rsid w:val="2A410B92"/>
    <w:rsid w:val="2A5242FB"/>
    <w:rsid w:val="2A6216A2"/>
    <w:rsid w:val="2A670E91"/>
    <w:rsid w:val="2A816FA5"/>
    <w:rsid w:val="2A977921"/>
    <w:rsid w:val="2AC15AA6"/>
    <w:rsid w:val="2AF3642A"/>
    <w:rsid w:val="2AF60A18"/>
    <w:rsid w:val="2B263EE9"/>
    <w:rsid w:val="2B270625"/>
    <w:rsid w:val="2B415039"/>
    <w:rsid w:val="2B572073"/>
    <w:rsid w:val="2B5D0576"/>
    <w:rsid w:val="2B747684"/>
    <w:rsid w:val="2B75299A"/>
    <w:rsid w:val="2B940778"/>
    <w:rsid w:val="2B972807"/>
    <w:rsid w:val="2BA94FE7"/>
    <w:rsid w:val="2BC475AE"/>
    <w:rsid w:val="2BD06BA2"/>
    <w:rsid w:val="2BE05F28"/>
    <w:rsid w:val="2BE611E1"/>
    <w:rsid w:val="2BF034ED"/>
    <w:rsid w:val="2BF0734C"/>
    <w:rsid w:val="2BFC6064"/>
    <w:rsid w:val="2BFC6FB8"/>
    <w:rsid w:val="2C0652E7"/>
    <w:rsid w:val="2C0944DA"/>
    <w:rsid w:val="2C164CDD"/>
    <w:rsid w:val="2C19040F"/>
    <w:rsid w:val="2C3F63F4"/>
    <w:rsid w:val="2C54659A"/>
    <w:rsid w:val="2C713697"/>
    <w:rsid w:val="2C754285"/>
    <w:rsid w:val="2C7B3577"/>
    <w:rsid w:val="2C934D84"/>
    <w:rsid w:val="2CB45EBD"/>
    <w:rsid w:val="2CE55D92"/>
    <w:rsid w:val="2CE73BDF"/>
    <w:rsid w:val="2CE74B07"/>
    <w:rsid w:val="2CF107FD"/>
    <w:rsid w:val="2CF46FFE"/>
    <w:rsid w:val="2D0E7E3F"/>
    <w:rsid w:val="2D331968"/>
    <w:rsid w:val="2D385019"/>
    <w:rsid w:val="2D3E49F8"/>
    <w:rsid w:val="2D4842CC"/>
    <w:rsid w:val="2D4E4952"/>
    <w:rsid w:val="2D547E04"/>
    <w:rsid w:val="2D5918BD"/>
    <w:rsid w:val="2D9251E5"/>
    <w:rsid w:val="2DAD2271"/>
    <w:rsid w:val="2DB946B8"/>
    <w:rsid w:val="2DC33530"/>
    <w:rsid w:val="2DD0071E"/>
    <w:rsid w:val="2DFE2E5E"/>
    <w:rsid w:val="2E452378"/>
    <w:rsid w:val="2E571151"/>
    <w:rsid w:val="2E5C3C2C"/>
    <w:rsid w:val="2E5C65A6"/>
    <w:rsid w:val="2E5F7EBD"/>
    <w:rsid w:val="2E677365"/>
    <w:rsid w:val="2E6F5BC7"/>
    <w:rsid w:val="2E782061"/>
    <w:rsid w:val="2E8F4F19"/>
    <w:rsid w:val="2E9B5F1C"/>
    <w:rsid w:val="2EA6211A"/>
    <w:rsid w:val="2EB84F76"/>
    <w:rsid w:val="2EC35DCA"/>
    <w:rsid w:val="2EDE1B97"/>
    <w:rsid w:val="2EF72580"/>
    <w:rsid w:val="2F0373D6"/>
    <w:rsid w:val="2F0456B0"/>
    <w:rsid w:val="2F0815D5"/>
    <w:rsid w:val="2F2434DB"/>
    <w:rsid w:val="2F292929"/>
    <w:rsid w:val="2F297EFF"/>
    <w:rsid w:val="2F2C1574"/>
    <w:rsid w:val="2F690896"/>
    <w:rsid w:val="2F6F4418"/>
    <w:rsid w:val="2F735F72"/>
    <w:rsid w:val="2F7C5E33"/>
    <w:rsid w:val="2FBD0C85"/>
    <w:rsid w:val="2FCC3D32"/>
    <w:rsid w:val="2FD95F39"/>
    <w:rsid w:val="2FF639F4"/>
    <w:rsid w:val="2FF73803"/>
    <w:rsid w:val="30260330"/>
    <w:rsid w:val="302665E3"/>
    <w:rsid w:val="302E2488"/>
    <w:rsid w:val="304C06E1"/>
    <w:rsid w:val="305579C3"/>
    <w:rsid w:val="306935BC"/>
    <w:rsid w:val="306F627B"/>
    <w:rsid w:val="308254C2"/>
    <w:rsid w:val="30940A6A"/>
    <w:rsid w:val="309F5563"/>
    <w:rsid w:val="30B07269"/>
    <w:rsid w:val="30BE1B54"/>
    <w:rsid w:val="30CB2D3F"/>
    <w:rsid w:val="30CC5D9A"/>
    <w:rsid w:val="30E10396"/>
    <w:rsid w:val="31020612"/>
    <w:rsid w:val="310E5321"/>
    <w:rsid w:val="3115186D"/>
    <w:rsid w:val="312A5DDF"/>
    <w:rsid w:val="31317EFC"/>
    <w:rsid w:val="31415F4E"/>
    <w:rsid w:val="3153066B"/>
    <w:rsid w:val="31620B74"/>
    <w:rsid w:val="318677A7"/>
    <w:rsid w:val="31867E76"/>
    <w:rsid w:val="319943BC"/>
    <w:rsid w:val="31A6735A"/>
    <w:rsid w:val="31B7249F"/>
    <w:rsid w:val="31C46093"/>
    <w:rsid w:val="31D03451"/>
    <w:rsid w:val="31D3631E"/>
    <w:rsid w:val="31E00C7F"/>
    <w:rsid w:val="31F1724E"/>
    <w:rsid w:val="31F308A8"/>
    <w:rsid w:val="31F5038A"/>
    <w:rsid w:val="32212CED"/>
    <w:rsid w:val="3248625F"/>
    <w:rsid w:val="325315EF"/>
    <w:rsid w:val="32570D08"/>
    <w:rsid w:val="32627609"/>
    <w:rsid w:val="328D5C31"/>
    <w:rsid w:val="32A64C89"/>
    <w:rsid w:val="32C32165"/>
    <w:rsid w:val="32C825F4"/>
    <w:rsid w:val="32C903CA"/>
    <w:rsid w:val="32C91500"/>
    <w:rsid w:val="32D65DD2"/>
    <w:rsid w:val="32DD02BB"/>
    <w:rsid w:val="32E32140"/>
    <w:rsid w:val="32E4045E"/>
    <w:rsid w:val="32E42C1D"/>
    <w:rsid w:val="32EA0322"/>
    <w:rsid w:val="32EC7D9A"/>
    <w:rsid w:val="33044F74"/>
    <w:rsid w:val="33070523"/>
    <w:rsid w:val="330B1B18"/>
    <w:rsid w:val="33385FD1"/>
    <w:rsid w:val="333B2EA5"/>
    <w:rsid w:val="33460DAF"/>
    <w:rsid w:val="335330AE"/>
    <w:rsid w:val="33691027"/>
    <w:rsid w:val="338164CE"/>
    <w:rsid w:val="339A32A7"/>
    <w:rsid w:val="33B327A2"/>
    <w:rsid w:val="33B92513"/>
    <w:rsid w:val="33C83887"/>
    <w:rsid w:val="33D576A0"/>
    <w:rsid w:val="33E00D4C"/>
    <w:rsid w:val="33E2146C"/>
    <w:rsid w:val="33F011C6"/>
    <w:rsid w:val="33F37BFA"/>
    <w:rsid w:val="33F6562E"/>
    <w:rsid w:val="343B2581"/>
    <w:rsid w:val="343D3BCD"/>
    <w:rsid w:val="34495A87"/>
    <w:rsid w:val="344F639D"/>
    <w:rsid w:val="345F5937"/>
    <w:rsid w:val="34605AC2"/>
    <w:rsid w:val="346D7A76"/>
    <w:rsid w:val="347831C8"/>
    <w:rsid w:val="34797972"/>
    <w:rsid w:val="349807C1"/>
    <w:rsid w:val="34A37AE2"/>
    <w:rsid w:val="350C136B"/>
    <w:rsid w:val="35573E24"/>
    <w:rsid w:val="355A0B35"/>
    <w:rsid w:val="355B01BB"/>
    <w:rsid w:val="356532FE"/>
    <w:rsid w:val="35715787"/>
    <w:rsid w:val="357B379A"/>
    <w:rsid w:val="35827FE5"/>
    <w:rsid w:val="359917B0"/>
    <w:rsid w:val="35AA0379"/>
    <w:rsid w:val="35B47437"/>
    <w:rsid w:val="35D7668A"/>
    <w:rsid w:val="35E503F6"/>
    <w:rsid w:val="35EE76EC"/>
    <w:rsid w:val="35F53911"/>
    <w:rsid w:val="35FA07C1"/>
    <w:rsid w:val="36043358"/>
    <w:rsid w:val="36064BC4"/>
    <w:rsid w:val="361C7505"/>
    <w:rsid w:val="36284539"/>
    <w:rsid w:val="362D28DF"/>
    <w:rsid w:val="364D51F8"/>
    <w:rsid w:val="36560E11"/>
    <w:rsid w:val="36586D01"/>
    <w:rsid w:val="36767F81"/>
    <w:rsid w:val="36A57061"/>
    <w:rsid w:val="36D624E5"/>
    <w:rsid w:val="36EE100D"/>
    <w:rsid w:val="370F5D1B"/>
    <w:rsid w:val="371121DE"/>
    <w:rsid w:val="371B762C"/>
    <w:rsid w:val="37457A2F"/>
    <w:rsid w:val="374A2CF7"/>
    <w:rsid w:val="3751208C"/>
    <w:rsid w:val="376501BF"/>
    <w:rsid w:val="376E09A1"/>
    <w:rsid w:val="37812750"/>
    <w:rsid w:val="37830E79"/>
    <w:rsid w:val="37913CBE"/>
    <w:rsid w:val="3799307A"/>
    <w:rsid w:val="37A658F0"/>
    <w:rsid w:val="37B210B0"/>
    <w:rsid w:val="37B53242"/>
    <w:rsid w:val="37B617D0"/>
    <w:rsid w:val="37C33BBF"/>
    <w:rsid w:val="38034C98"/>
    <w:rsid w:val="381E659D"/>
    <w:rsid w:val="38286415"/>
    <w:rsid w:val="382A0F21"/>
    <w:rsid w:val="383A40BF"/>
    <w:rsid w:val="384D62FC"/>
    <w:rsid w:val="3859365D"/>
    <w:rsid w:val="385D6FF7"/>
    <w:rsid w:val="38644F6B"/>
    <w:rsid w:val="388D55C6"/>
    <w:rsid w:val="38951719"/>
    <w:rsid w:val="389621C6"/>
    <w:rsid w:val="38A1734A"/>
    <w:rsid w:val="38A661FF"/>
    <w:rsid w:val="38B42F2D"/>
    <w:rsid w:val="38C70EC5"/>
    <w:rsid w:val="38D26E82"/>
    <w:rsid w:val="38D65A97"/>
    <w:rsid w:val="38D67CAB"/>
    <w:rsid w:val="38E84B45"/>
    <w:rsid w:val="38F117DE"/>
    <w:rsid w:val="38F27552"/>
    <w:rsid w:val="38F7266F"/>
    <w:rsid w:val="39060C56"/>
    <w:rsid w:val="39123B58"/>
    <w:rsid w:val="391D3FA7"/>
    <w:rsid w:val="395A6579"/>
    <w:rsid w:val="39640588"/>
    <w:rsid w:val="396E713A"/>
    <w:rsid w:val="3980223B"/>
    <w:rsid w:val="39AA459B"/>
    <w:rsid w:val="39C01064"/>
    <w:rsid w:val="39C4509D"/>
    <w:rsid w:val="39D3080C"/>
    <w:rsid w:val="39EB12FB"/>
    <w:rsid w:val="39FD414E"/>
    <w:rsid w:val="3A026317"/>
    <w:rsid w:val="3A121E97"/>
    <w:rsid w:val="3A391D20"/>
    <w:rsid w:val="3A5250D4"/>
    <w:rsid w:val="3A5B510B"/>
    <w:rsid w:val="3A7309F9"/>
    <w:rsid w:val="3A7A780D"/>
    <w:rsid w:val="3A8F4F4D"/>
    <w:rsid w:val="3AA648D5"/>
    <w:rsid w:val="3AA81F63"/>
    <w:rsid w:val="3AAC3BE1"/>
    <w:rsid w:val="3AB20E24"/>
    <w:rsid w:val="3ADC3A79"/>
    <w:rsid w:val="3AE12B34"/>
    <w:rsid w:val="3AE841B0"/>
    <w:rsid w:val="3AF00D1E"/>
    <w:rsid w:val="3AFA3490"/>
    <w:rsid w:val="3B0000D1"/>
    <w:rsid w:val="3B0234F4"/>
    <w:rsid w:val="3B057155"/>
    <w:rsid w:val="3B0E6756"/>
    <w:rsid w:val="3B1B3556"/>
    <w:rsid w:val="3B212441"/>
    <w:rsid w:val="3B2E0A9A"/>
    <w:rsid w:val="3B3B2678"/>
    <w:rsid w:val="3B41243E"/>
    <w:rsid w:val="3B735720"/>
    <w:rsid w:val="3B7407E5"/>
    <w:rsid w:val="3B863B7A"/>
    <w:rsid w:val="3BA10E0B"/>
    <w:rsid w:val="3BA26604"/>
    <w:rsid w:val="3BC23504"/>
    <w:rsid w:val="3BDC12B7"/>
    <w:rsid w:val="3BEA2089"/>
    <w:rsid w:val="3C234C0C"/>
    <w:rsid w:val="3C3D4818"/>
    <w:rsid w:val="3C641005"/>
    <w:rsid w:val="3C6C1E55"/>
    <w:rsid w:val="3C810093"/>
    <w:rsid w:val="3C89510A"/>
    <w:rsid w:val="3C8D5ECF"/>
    <w:rsid w:val="3CA3458E"/>
    <w:rsid w:val="3CA51BF5"/>
    <w:rsid w:val="3CA939B1"/>
    <w:rsid w:val="3CBC6C50"/>
    <w:rsid w:val="3CCC2294"/>
    <w:rsid w:val="3CCF3150"/>
    <w:rsid w:val="3CE52B94"/>
    <w:rsid w:val="3CF2752D"/>
    <w:rsid w:val="3D1718D7"/>
    <w:rsid w:val="3D1B6CD9"/>
    <w:rsid w:val="3D30445A"/>
    <w:rsid w:val="3D5D3F2B"/>
    <w:rsid w:val="3D712D95"/>
    <w:rsid w:val="3D826AE1"/>
    <w:rsid w:val="3D85292F"/>
    <w:rsid w:val="3D8B5202"/>
    <w:rsid w:val="3D97103C"/>
    <w:rsid w:val="3D9831E9"/>
    <w:rsid w:val="3D9D7149"/>
    <w:rsid w:val="3DAA0180"/>
    <w:rsid w:val="3DD33263"/>
    <w:rsid w:val="3DD43307"/>
    <w:rsid w:val="3DD72972"/>
    <w:rsid w:val="3DE261B7"/>
    <w:rsid w:val="3DEC2F23"/>
    <w:rsid w:val="3DFD372C"/>
    <w:rsid w:val="3E292BA1"/>
    <w:rsid w:val="3E4055B8"/>
    <w:rsid w:val="3E4F0775"/>
    <w:rsid w:val="3E5B5D0F"/>
    <w:rsid w:val="3E5E7586"/>
    <w:rsid w:val="3E8519EA"/>
    <w:rsid w:val="3E9C60B3"/>
    <w:rsid w:val="3EA47D9F"/>
    <w:rsid w:val="3EAD1892"/>
    <w:rsid w:val="3EB85412"/>
    <w:rsid w:val="3EB92924"/>
    <w:rsid w:val="3EBB7940"/>
    <w:rsid w:val="3EC02D93"/>
    <w:rsid w:val="3EC9424D"/>
    <w:rsid w:val="3ED217B7"/>
    <w:rsid w:val="3EE76E02"/>
    <w:rsid w:val="3EEE635B"/>
    <w:rsid w:val="3F062322"/>
    <w:rsid w:val="3F2A42FF"/>
    <w:rsid w:val="3F6A645E"/>
    <w:rsid w:val="3F7E20D9"/>
    <w:rsid w:val="3F8350B7"/>
    <w:rsid w:val="3FB87DC3"/>
    <w:rsid w:val="3FC26B54"/>
    <w:rsid w:val="3FD042B1"/>
    <w:rsid w:val="3FDA62D3"/>
    <w:rsid w:val="3FE95012"/>
    <w:rsid w:val="3FEC774B"/>
    <w:rsid w:val="3FED795B"/>
    <w:rsid w:val="4008628E"/>
    <w:rsid w:val="400D1940"/>
    <w:rsid w:val="40274885"/>
    <w:rsid w:val="40423DC1"/>
    <w:rsid w:val="405F3563"/>
    <w:rsid w:val="40625811"/>
    <w:rsid w:val="40635B48"/>
    <w:rsid w:val="40656BE8"/>
    <w:rsid w:val="40663969"/>
    <w:rsid w:val="40707630"/>
    <w:rsid w:val="4075552E"/>
    <w:rsid w:val="407A208B"/>
    <w:rsid w:val="407C5C3C"/>
    <w:rsid w:val="40884C1D"/>
    <w:rsid w:val="408B4B2D"/>
    <w:rsid w:val="408E0A23"/>
    <w:rsid w:val="40963EDF"/>
    <w:rsid w:val="40A51B20"/>
    <w:rsid w:val="40B77445"/>
    <w:rsid w:val="40BA7F77"/>
    <w:rsid w:val="40CC6CD3"/>
    <w:rsid w:val="40CD1DE2"/>
    <w:rsid w:val="40D0429F"/>
    <w:rsid w:val="40DE0272"/>
    <w:rsid w:val="40F12F54"/>
    <w:rsid w:val="40FF3D2F"/>
    <w:rsid w:val="41004FEC"/>
    <w:rsid w:val="4109156B"/>
    <w:rsid w:val="411A73CB"/>
    <w:rsid w:val="411C7D2D"/>
    <w:rsid w:val="41392F05"/>
    <w:rsid w:val="413B7B01"/>
    <w:rsid w:val="413E461A"/>
    <w:rsid w:val="4140426A"/>
    <w:rsid w:val="415267F2"/>
    <w:rsid w:val="4160600C"/>
    <w:rsid w:val="417C5D41"/>
    <w:rsid w:val="41805862"/>
    <w:rsid w:val="41BA00AF"/>
    <w:rsid w:val="41DB420C"/>
    <w:rsid w:val="41F1598F"/>
    <w:rsid w:val="42075659"/>
    <w:rsid w:val="420E44D8"/>
    <w:rsid w:val="421502BE"/>
    <w:rsid w:val="421A7A85"/>
    <w:rsid w:val="423B18DE"/>
    <w:rsid w:val="425A3EF7"/>
    <w:rsid w:val="42790AC8"/>
    <w:rsid w:val="42D11B76"/>
    <w:rsid w:val="42DA1C20"/>
    <w:rsid w:val="42EF1C36"/>
    <w:rsid w:val="433D2176"/>
    <w:rsid w:val="4355195D"/>
    <w:rsid w:val="437503A4"/>
    <w:rsid w:val="438B09F5"/>
    <w:rsid w:val="43AC3539"/>
    <w:rsid w:val="43C8672C"/>
    <w:rsid w:val="442951EF"/>
    <w:rsid w:val="44300D68"/>
    <w:rsid w:val="44386C46"/>
    <w:rsid w:val="445552E9"/>
    <w:rsid w:val="445F6F5C"/>
    <w:rsid w:val="4466055F"/>
    <w:rsid w:val="44740839"/>
    <w:rsid w:val="448259B3"/>
    <w:rsid w:val="448E48BF"/>
    <w:rsid w:val="44991636"/>
    <w:rsid w:val="44BA4A68"/>
    <w:rsid w:val="44BB2C6B"/>
    <w:rsid w:val="44BB52A5"/>
    <w:rsid w:val="44F2035B"/>
    <w:rsid w:val="44F24D34"/>
    <w:rsid w:val="44FA3CB5"/>
    <w:rsid w:val="44FD06D9"/>
    <w:rsid w:val="45230073"/>
    <w:rsid w:val="452D7DEE"/>
    <w:rsid w:val="45305E41"/>
    <w:rsid w:val="45484CF6"/>
    <w:rsid w:val="454B5AC6"/>
    <w:rsid w:val="45505AB1"/>
    <w:rsid w:val="4568779B"/>
    <w:rsid w:val="45712347"/>
    <w:rsid w:val="45762EC9"/>
    <w:rsid w:val="45765603"/>
    <w:rsid w:val="45872199"/>
    <w:rsid w:val="45902800"/>
    <w:rsid w:val="459238F6"/>
    <w:rsid w:val="45961716"/>
    <w:rsid w:val="459D5497"/>
    <w:rsid w:val="45A5531C"/>
    <w:rsid w:val="45C4399F"/>
    <w:rsid w:val="45CD2714"/>
    <w:rsid w:val="45CF14C5"/>
    <w:rsid w:val="45D52222"/>
    <w:rsid w:val="45E7288E"/>
    <w:rsid w:val="460F35A1"/>
    <w:rsid w:val="46283B61"/>
    <w:rsid w:val="46307345"/>
    <w:rsid w:val="46475DC6"/>
    <w:rsid w:val="465E0F8C"/>
    <w:rsid w:val="46717F45"/>
    <w:rsid w:val="46725DB4"/>
    <w:rsid w:val="4682613E"/>
    <w:rsid w:val="46990117"/>
    <w:rsid w:val="469B245E"/>
    <w:rsid w:val="46B22F74"/>
    <w:rsid w:val="46B400E1"/>
    <w:rsid w:val="46E84D55"/>
    <w:rsid w:val="47064F3D"/>
    <w:rsid w:val="470F76FD"/>
    <w:rsid w:val="47104510"/>
    <w:rsid w:val="47404C55"/>
    <w:rsid w:val="474A6ABA"/>
    <w:rsid w:val="474F1676"/>
    <w:rsid w:val="47530814"/>
    <w:rsid w:val="476158C0"/>
    <w:rsid w:val="47743F1C"/>
    <w:rsid w:val="47855610"/>
    <w:rsid w:val="4793357D"/>
    <w:rsid w:val="47E5678D"/>
    <w:rsid w:val="47FF0F3A"/>
    <w:rsid w:val="47FF6682"/>
    <w:rsid w:val="480034D8"/>
    <w:rsid w:val="4805395B"/>
    <w:rsid w:val="481128CC"/>
    <w:rsid w:val="481612B9"/>
    <w:rsid w:val="482566E7"/>
    <w:rsid w:val="483E4EDB"/>
    <w:rsid w:val="48424357"/>
    <w:rsid w:val="48442644"/>
    <w:rsid w:val="484D202D"/>
    <w:rsid w:val="48746B34"/>
    <w:rsid w:val="488B5238"/>
    <w:rsid w:val="48903BFB"/>
    <w:rsid w:val="48AE3317"/>
    <w:rsid w:val="48B32B2A"/>
    <w:rsid w:val="48BD1D7D"/>
    <w:rsid w:val="48DF47B0"/>
    <w:rsid w:val="48DF7626"/>
    <w:rsid w:val="48E35327"/>
    <w:rsid w:val="49033C21"/>
    <w:rsid w:val="49084DEE"/>
    <w:rsid w:val="49147C3E"/>
    <w:rsid w:val="491C5B5F"/>
    <w:rsid w:val="49244774"/>
    <w:rsid w:val="492711CD"/>
    <w:rsid w:val="493705B0"/>
    <w:rsid w:val="494E0F85"/>
    <w:rsid w:val="495E0044"/>
    <w:rsid w:val="497F1C13"/>
    <w:rsid w:val="49864412"/>
    <w:rsid w:val="499109C7"/>
    <w:rsid w:val="49C33F7D"/>
    <w:rsid w:val="49C87ED2"/>
    <w:rsid w:val="49D10BEC"/>
    <w:rsid w:val="4A056458"/>
    <w:rsid w:val="4A1A53A4"/>
    <w:rsid w:val="4A2D62BF"/>
    <w:rsid w:val="4A34774F"/>
    <w:rsid w:val="4A3E7605"/>
    <w:rsid w:val="4A404346"/>
    <w:rsid w:val="4A457800"/>
    <w:rsid w:val="4A481D12"/>
    <w:rsid w:val="4A4F02C0"/>
    <w:rsid w:val="4A570884"/>
    <w:rsid w:val="4A5B0BFD"/>
    <w:rsid w:val="4A6A4F73"/>
    <w:rsid w:val="4A6F6E29"/>
    <w:rsid w:val="4A7810B6"/>
    <w:rsid w:val="4A960778"/>
    <w:rsid w:val="4A9854D2"/>
    <w:rsid w:val="4A9C102A"/>
    <w:rsid w:val="4AA03044"/>
    <w:rsid w:val="4AB6427C"/>
    <w:rsid w:val="4AC705C3"/>
    <w:rsid w:val="4AD37CE1"/>
    <w:rsid w:val="4AF8031A"/>
    <w:rsid w:val="4B053B89"/>
    <w:rsid w:val="4B090582"/>
    <w:rsid w:val="4B1C1820"/>
    <w:rsid w:val="4B317A95"/>
    <w:rsid w:val="4B321EE0"/>
    <w:rsid w:val="4B344644"/>
    <w:rsid w:val="4B431D3F"/>
    <w:rsid w:val="4B5172A1"/>
    <w:rsid w:val="4B58600E"/>
    <w:rsid w:val="4B6725B4"/>
    <w:rsid w:val="4B904E59"/>
    <w:rsid w:val="4B9E0656"/>
    <w:rsid w:val="4BA20FAF"/>
    <w:rsid w:val="4BA74E3A"/>
    <w:rsid w:val="4BAA6AAB"/>
    <w:rsid w:val="4BBE02F1"/>
    <w:rsid w:val="4BCD3963"/>
    <w:rsid w:val="4BD74836"/>
    <w:rsid w:val="4BF912F6"/>
    <w:rsid w:val="4C161EC1"/>
    <w:rsid w:val="4C5B1681"/>
    <w:rsid w:val="4C671F25"/>
    <w:rsid w:val="4C7158D6"/>
    <w:rsid w:val="4C771E78"/>
    <w:rsid w:val="4C7E2017"/>
    <w:rsid w:val="4C8513CE"/>
    <w:rsid w:val="4C933116"/>
    <w:rsid w:val="4C990BE6"/>
    <w:rsid w:val="4C9D797A"/>
    <w:rsid w:val="4CB82478"/>
    <w:rsid w:val="4CBE67FA"/>
    <w:rsid w:val="4CD22B5D"/>
    <w:rsid w:val="4CDC0459"/>
    <w:rsid w:val="4CE84589"/>
    <w:rsid w:val="4CF5479A"/>
    <w:rsid w:val="4CF80F08"/>
    <w:rsid w:val="4CFC7362"/>
    <w:rsid w:val="4D186672"/>
    <w:rsid w:val="4D1D5279"/>
    <w:rsid w:val="4D443808"/>
    <w:rsid w:val="4D446151"/>
    <w:rsid w:val="4D5B373E"/>
    <w:rsid w:val="4D693F7D"/>
    <w:rsid w:val="4D6941AE"/>
    <w:rsid w:val="4D6E6031"/>
    <w:rsid w:val="4D73619F"/>
    <w:rsid w:val="4D80480C"/>
    <w:rsid w:val="4D885BA4"/>
    <w:rsid w:val="4D9049C0"/>
    <w:rsid w:val="4D990E8F"/>
    <w:rsid w:val="4DA774A5"/>
    <w:rsid w:val="4DBF0806"/>
    <w:rsid w:val="4DBF3B37"/>
    <w:rsid w:val="4DCB5EB8"/>
    <w:rsid w:val="4DDA2F10"/>
    <w:rsid w:val="4DEE3BEC"/>
    <w:rsid w:val="4DFD79A2"/>
    <w:rsid w:val="4E15008E"/>
    <w:rsid w:val="4E153A08"/>
    <w:rsid w:val="4E1A79CB"/>
    <w:rsid w:val="4E1C29D4"/>
    <w:rsid w:val="4E2839F4"/>
    <w:rsid w:val="4E2B51C4"/>
    <w:rsid w:val="4E382AE4"/>
    <w:rsid w:val="4E48363C"/>
    <w:rsid w:val="4E487F71"/>
    <w:rsid w:val="4E54216E"/>
    <w:rsid w:val="4E5964BF"/>
    <w:rsid w:val="4E5E123E"/>
    <w:rsid w:val="4E6C165A"/>
    <w:rsid w:val="4E824F2D"/>
    <w:rsid w:val="4E9630E0"/>
    <w:rsid w:val="4EB95CBE"/>
    <w:rsid w:val="4EC660C6"/>
    <w:rsid w:val="4ED565C3"/>
    <w:rsid w:val="4EE9224F"/>
    <w:rsid w:val="4EEB66E8"/>
    <w:rsid w:val="4EF64DDC"/>
    <w:rsid w:val="4EF7009E"/>
    <w:rsid w:val="4F043540"/>
    <w:rsid w:val="4F0664B0"/>
    <w:rsid w:val="4F073950"/>
    <w:rsid w:val="4F0C4E8A"/>
    <w:rsid w:val="4F0D23C0"/>
    <w:rsid w:val="4F12306A"/>
    <w:rsid w:val="4F1D3643"/>
    <w:rsid w:val="4F2B29DA"/>
    <w:rsid w:val="4F30283E"/>
    <w:rsid w:val="4F3627ED"/>
    <w:rsid w:val="4F5D2B65"/>
    <w:rsid w:val="4F6F188E"/>
    <w:rsid w:val="4F71210A"/>
    <w:rsid w:val="4F731EBD"/>
    <w:rsid w:val="4F8201F9"/>
    <w:rsid w:val="4F9D2725"/>
    <w:rsid w:val="4FBF2154"/>
    <w:rsid w:val="4FDA6E9D"/>
    <w:rsid w:val="4FDC4295"/>
    <w:rsid w:val="50143DDD"/>
    <w:rsid w:val="501B3203"/>
    <w:rsid w:val="502510A8"/>
    <w:rsid w:val="50296C31"/>
    <w:rsid w:val="503251B2"/>
    <w:rsid w:val="503A6DBB"/>
    <w:rsid w:val="504673A8"/>
    <w:rsid w:val="506E2B83"/>
    <w:rsid w:val="508738B2"/>
    <w:rsid w:val="50C7793D"/>
    <w:rsid w:val="50E83021"/>
    <w:rsid w:val="50E9436F"/>
    <w:rsid w:val="50EA5E64"/>
    <w:rsid w:val="51040200"/>
    <w:rsid w:val="51420FDD"/>
    <w:rsid w:val="5142600B"/>
    <w:rsid w:val="51781EFB"/>
    <w:rsid w:val="518F4F91"/>
    <w:rsid w:val="519F579E"/>
    <w:rsid w:val="51A16940"/>
    <w:rsid w:val="51A46E07"/>
    <w:rsid w:val="51A850A9"/>
    <w:rsid w:val="51AF069D"/>
    <w:rsid w:val="51B23D06"/>
    <w:rsid w:val="51B86CEB"/>
    <w:rsid w:val="51BB52A2"/>
    <w:rsid w:val="51BF4622"/>
    <w:rsid w:val="51C7193B"/>
    <w:rsid w:val="51C817CA"/>
    <w:rsid w:val="51C90A83"/>
    <w:rsid w:val="51CA7E05"/>
    <w:rsid w:val="51E57D81"/>
    <w:rsid w:val="51E94B2A"/>
    <w:rsid w:val="51F93A5E"/>
    <w:rsid w:val="51FC4FF6"/>
    <w:rsid w:val="52157FFA"/>
    <w:rsid w:val="52205A06"/>
    <w:rsid w:val="523E6C23"/>
    <w:rsid w:val="527B09F8"/>
    <w:rsid w:val="528B77F4"/>
    <w:rsid w:val="52B313F3"/>
    <w:rsid w:val="52B87354"/>
    <w:rsid w:val="52BA5567"/>
    <w:rsid w:val="52BF7742"/>
    <w:rsid w:val="52EA5E1E"/>
    <w:rsid w:val="52EF2767"/>
    <w:rsid w:val="53046C4E"/>
    <w:rsid w:val="53274EB0"/>
    <w:rsid w:val="53397B84"/>
    <w:rsid w:val="535557E4"/>
    <w:rsid w:val="5357748A"/>
    <w:rsid w:val="53626212"/>
    <w:rsid w:val="53752921"/>
    <w:rsid w:val="5384059F"/>
    <w:rsid w:val="53AA19A6"/>
    <w:rsid w:val="53B30B14"/>
    <w:rsid w:val="53BE73B1"/>
    <w:rsid w:val="53C26E85"/>
    <w:rsid w:val="53CC0622"/>
    <w:rsid w:val="53D3166A"/>
    <w:rsid w:val="53E0112B"/>
    <w:rsid w:val="53F41509"/>
    <w:rsid w:val="53FB6776"/>
    <w:rsid w:val="53FE0629"/>
    <w:rsid w:val="53FE7C93"/>
    <w:rsid w:val="540C1E35"/>
    <w:rsid w:val="542C584A"/>
    <w:rsid w:val="542E018D"/>
    <w:rsid w:val="542F596D"/>
    <w:rsid w:val="542F7E0B"/>
    <w:rsid w:val="5434055C"/>
    <w:rsid w:val="54344A7E"/>
    <w:rsid w:val="54347AA8"/>
    <w:rsid w:val="54461EC6"/>
    <w:rsid w:val="5456057D"/>
    <w:rsid w:val="5468152B"/>
    <w:rsid w:val="546C088A"/>
    <w:rsid w:val="548462A5"/>
    <w:rsid w:val="549C5C70"/>
    <w:rsid w:val="54D64EF6"/>
    <w:rsid w:val="54F002C1"/>
    <w:rsid w:val="54FA037C"/>
    <w:rsid w:val="55020582"/>
    <w:rsid w:val="55071CDD"/>
    <w:rsid w:val="55143CD2"/>
    <w:rsid w:val="55174B07"/>
    <w:rsid w:val="551B0816"/>
    <w:rsid w:val="551C4E00"/>
    <w:rsid w:val="552C34A6"/>
    <w:rsid w:val="55422942"/>
    <w:rsid w:val="55447499"/>
    <w:rsid w:val="5545789C"/>
    <w:rsid w:val="555D239D"/>
    <w:rsid w:val="5569330C"/>
    <w:rsid w:val="55717AF4"/>
    <w:rsid w:val="55757752"/>
    <w:rsid w:val="55815EA7"/>
    <w:rsid w:val="55885F3A"/>
    <w:rsid w:val="55AB04A1"/>
    <w:rsid w:val="55E51A6A"/>
    <w:rsid w:val="55E967F6"/>
    <w:rsid w:val="55F5670D"/>
    <w:rsid w:val="55F84B33"/>
    <w:rsid w:val="560A0002"/>
    <w:rsid w:val="560A669C"/>
    <w:rsid w:val="561344C0"/>
    <w:rsid w:val="562C2CD2"/>
    <w:rsid w:val="5639529B"/>
    <w:rsid w:val="564A0663"/>
    <w:rsid w:val="565A053D"/>
    <w:rsid w:val="56747969"/>
    <w:rsid w:val="569E354D"/>
    <w:rsid w:val="56AF1E93"/>
    <w:rsid w:val="56B705A5"/>
    <w:rsid w:val="56C4305D"/>
    <w:rsid w:val="56CD218A"/>
    <w:rsid w:val="56DF3124"/>
    <w:rsid w:val="56FC6241"/>
    <w:rsid w:val="571B5247"/>
    <w:rsid w:val="57524269"/>
    <w:rsid w:val="57543F3C"/>
    <w:rsid w:val="57547826"/>
    <w:rsid w:val="575A60D5"/>
    <w:rsid w:val="57692705"/>
    <w:rsid w:val="576E74C5"/>
    <w:rsid w:val="578163D5"/>
    <w:rsid w:val="57954D64"/>
    <w:rsid w:val="57DD182C"/>
    <w:rsid w:val="57E551AA"/>
    <w:rsid w:val="57ED2D4D"/>
    <w:rsid w:val="58070B3A"/>
    <w:rsid w:val="581326A2"/>
    <w:rsid w:val="581A15EA"/>
    <w:rsid w:val="582819A1"/>
    <w:rsid w:val="58295339"/>
    <w:rsid w:val="582A6310"/>
    <w:rsid w:val="582B40FA"/>
    <w:rsid w:val="58362DBC"/>
    <w:rsid w:val="585C6A7C"/>
    <w:rsid w:val="58677BC6"/>
    <w:rsid w:val="586D373B"/>
    <w:rsid w:val="586D549E"/>
    <w:rsid w:val="587815C7"/>
    <w:rsid w:val="588732F0"/>
    <w:rsid w:val="58984FED"/>
    <w:rsid w:val="58C13D25"/>
    <w:rsid w:val="58C17B03"/>
    <w:rsid w:val="58C4673C"/>
    <w:rsid w:val="58C8303D"/>
    <w:rsid w:val="58CF2C1F"/>
    <w:rsid w:val="58D230F0"/>
    <w:rsid w:val="58E355B7"/>
    <w:rsid w:val="58E42340"/>
    <w:rsid w:val="58EB7332"/>
    <w:rsid w:val="590637D2"/>
    <w:rsid w:val="592438DB"/>
    <w:rsid w:val="59367F9A"/>
    <w:rsid w:val="593C2C2E"/>
    <w:rsid w:val="595302BF"/>
    <w:rsid w:val="59603CE4"/>
    <w:rsid w:val="59653D5D"/>
    <w:rsid w:val="597C0D96"/>
    <w:rsid w:val="598777DC"/>
    <w:rsid w:val="598B759C"/>
    <w:rsid w:val="599C2C1B"/>
    <w:rsid w:val="59A12C38"/>
    <w:rsid w:val="59A536B7"/>
    <w:rsid w:val="59E81868"/>
    <w:rsid w:val="59E94969"/>
    <w:rsid w:val="5A08013D"/>
    <w:rsid w:val="5A093C53"/>
    <w:rsid w:val="5A0A2754"/>
    <w:rsid w:val="5A142848"/>
    <w:rsid w:val="5A1A765E"/>
    <w:rsid w:val="5A3C4093"/>
    <w:rsid w:val="5A46558B"/>
    <w:rsid w:val="5A5F7B94"/>
    <w:rsid w:val="5A60798F"/>
    <w:rsid w:val="5A653715"/>
    <w:rsid w:val="5A6B0459"/>
    <w:rsid w:val="5A754E69"/>
    <w:rsid w:val="5A86032E"/>
    <w:rsid w:val="5A880DC4"/>
    <w:rsid w:val="5A8B450F"/>
    <w:rsid w:val="5AA13C36"/>
    <w:rsid w:val="5AB848CA"/>
    <w:rsid w:val="5AB963BC"/>
    <w:rsid w:val="5AC91949"/>
    <w:rsid w:val="5ACB0039"/>
    <w:rsid w:val="5ACD0B74"/>
    <w:rsid w:val="5AD50D3F"/>
    <w:rsid w:val="5AD55143"/>
    <w:rsid w:val="5ADF7B01"/>
    <w:rsid w:val="5B052AA9"/>
    <w:rsid w:val="5B1333FB"/>
    <w:rsid w:val="5B175FE7"/>
    <w:rsid w:val="5B1E0469"/>
    <w:rsid w:val="5B25330A"/>
    <w:rsid w:val="5B374AB6"/>
    <w:rsid w:val="5B662527"/>
    <w:rsid w:val="5B676BF2"/>
    <w:rsid w:val="5B81585E"/>
    <w:rsid w:val="5BB41CCA"/>
    <w:rsid w:val="5BB5024C"/>
    <w:rsid w:val="5BB64587"/>
    <w:rsid w:val="5BCB58E6"/>
    <w:rsid w:val="5BD527CC"/>
    <w:rsid w:val="5BE96BD7"/>
    <w:rsid w:val="5BEF1342"/>
    <w:rsid w:val="5BEF2682"/>
    <w:rsid w:val="5BF271C3"/>
    <w:rsid w:val="5BFF2059"/>
    <w:rsid w:val="5C183641"/>
    <w:rsid w:val="5C1F0C92"/>
    <w:rsid w:val="5C325EC5"/>
    <w:rsid w:val="5C4740B7"/>
    <w:rsid w:val="5C49489F"/>
    <w:rsid w:val="5C5A6513"/>
    <w:rsid w:val="5C5E1B5B"/>
    <w:rsid w:val="5C614839"/>
    <w:rsid w:val="5C630B5A"/>
    <w:rsid w:val="5C730C62"/>
    <w:rsid w:val="5C774624"/>
    <w:rsid w:val="5C8259E8"/>
    <w:rsid w:val="5C826F01"/>
    <w:rsid w:val="5C883F20"/>
    <w:rsid w:val="5C896125"/>
    <w:rsid w:val="5CBD35D4"/>
    <w:rsid w:val="5CCC3C9C"/>
    <w:rsid w:val="5D042FB1"/>
    <w:rsid w:val="5D495F6E"/>
    <w:rsid w:val="5D51206D"/>
    <w:rsid w:val="5D5153DF"/>
    <w:rsid w:val="5D577E11"/>
    <w:rsid w:val="5D5C3621"/>
    <w:rsid w:val="5D6576D4"/>
    <w:rsid w:val="5D6B4FA6"/>
    <w:rsid w:val="5DC74E51"/>
    <w:rsid w:val="5DCF005F"/>
    <w:rsid w:val="5DD5494D"/>
    <w:rsid w:val="5DE4631A"/>
    <w:rsid w:val="5E044529"/>
    <w:rsid w:val="5E0A1458"/>
    <w:rsid w:val="5E117637"/>
    <w:rsid w:val="5E1D6E01"/>
    <w:rsid w:val="5E2B2667"/>
    <w:rsid w:val="5E3920C7"/>
    <w:rsid w:val="5E3C3C56"/>
    <w:rsid w:val="5E3D0927"/>
    <w:rsid w:val="5E5B3029"/>
    <w:rsid w:val="5E5D2161"/>
    <w:rsid w:val="5E5E24C4"/>
    <w:rsid w:val="5E6C2E94"/>
    <w:rsid w:val="5E787A2C"/>
    <w:rsid w:val="5E812CF5"/>
    <w:rsid w:val="5E825F48"/>
    <w:rsid w:val="5E963023"/>
    <w:rsid w:val="5EAD4FDA"/>
    <w:rsid w:val="5EB0569E"/>
    <w:rsid w:val="5EB25EEB"/>
    <w:rsid w:val="5EB509C7"/>
    <w:rsid w:val="5ECB0AC3"/>
    <w:rsid w:val="5ED41FCC"/>
    <w:rsid w:val="5EDD7B47"/>
    <w:rsid w:val="5EEF0873"/>
    <w:rsid w:val="5EF90CB2"/>
    <w:rsid w:val="5EFC6E7C"/>
    <w:rsid w:val="5F1F116C"/>
    <w:rsid w:val="5F3E4355"/>
    <w:rsid w:val="5F4B2999"/>
    <w:rsid w:val="5F4C3297"/>
    <w:rsid w:val="5F536110"/>
    <w:rsid w:val="5F5B3708"/>
    <w:rsid w:val="5F632136"/>
    <w:rsid w:val="5F6B36D7"/>
    <w:rsid w:val="5F6C361C"/>
    <w:rsid w:val="5F780271"/>
    <w:rsid w:val="5F7B5CE9"/>
    <w:rsid w:val="5F827D54"/>
    <w:rsid w:val="5F96567D"/>
    <w:rsid w:val="5F9C0D3F"/>
    <w:rsid w:val="5FAD5B35"/>
    <w:rsid w:val="5FB158E8"/>
    <w:rsid w:val="5FB94EF1"/>
    <w:rsid w:val="5FDC09BA"/>
    <w:rsid w:val="5FDC644A"/>
    <w:rsid w:val="5FDE54F3"/>
    <w:rsid w:val="5FEF2980"/>
    <w:rsid w:val="5FF429C0"/>
    <w:rsid w:val="60057FA2"/>
    <w:rsid w:val="60140CD3"/>
    <w:rsid w:val="60202908"/>
    <w:rsid w:val="60384B52"/>
    <w:rsid w:val="608757AF"/>
    <w:rsid w:val="60894C1D"/>
    <w:rsid w:val="609A02DA"/>
    <w:rsid w:val="60B47AA0"/>
    <w:rsid w:val="60D378F4"/>
    <w:rsid w:val="60E71ECF"/>
    <w:rsid w:val="60EB4E86"/>
    <w:rsid w:val="60ED34AA"/>
    <w:rsid w:val="60EE1DBD"/>
    <w:rsid w:val="60F6099C"/>
    <w:rsid w:val="60FD5BE3"/>
    <w:rsid w:val="60FF5A80"/>
    <w:rsid w:val="61190927"/>
    <w:rsid w:val="611D2DBA"/>
    <w:rsid w:val="6122093E"/>
    <w:rsid w:val="6123293C"/>
    <w:rsid w:val="612C6744"/>
    <w:rsid w:val="613F4682"/>
    <w:rsid w:val="61432765"/>
    <w:rsid w:val="61565A8C"/>
    <w:rsid w:val="617C561B"/>
    <w:rsid w:val="61855B2E"/>
    <w:rsid w:val="61A403A7"/>
    <w:rsid w:val="61C711E6"/>
    <w:rsid w:val="61DF3532"/>
    <w:rsid w:val="61F9332A"/>
    <w:rsid w:val="62053A38"/>
    <w:rsid w:val="620859EB"/>
    <w:rsid w:val="620C0016"/>
    <w:rsid w:val="62110DD7"/>
    <w:rsid w:val="62704268"/>
    <w:rsid w:val="62733FCC"/>
    <w:rsid w:val="629C694A"/>
    <w:rsid w:val="62A755F4"/>
    <w:rsid w:val="62A81254"/>
    <w:rsid w:val="62A84658"/>
    <w:rsid w:val="62E26446"/>
    <w:rsid w:val="62F50C76"/>
    <w:rsid w:val="62FC1142"/>
    <w:rsid w:val="63197453"/>
    <w:rsid w:val="63257D7A"/>
    <w:rsid w:val="63374C03"/>
    <w:rsid w:val="633C5E5A"/>
    <w:rsid w:val="633E0B17"/>
    <w:rsid w:val="6362718F"/>
    <w:rsid w:val="63637DA1"/>
    <w:rsid w:val="63661B63"/>
    <w:rsid w:val="6369414F"/>
    <w:rsid w:val="637A769B"/>
    <w:rsid w:val="637E3778"/>
    <w:rsid w:val="638104FC"/>
    <w:rsid w:val="63831537"/>
    <w:rsid w:val="638C06D0"/>
    <w:rsid w:val="63AA33F3"/>
    <w:rsid w:val="63B329BC"/>
    <w:rsid w:val="63C476B1"/>
    <w:rsid w:val="63C861A3"/>
    <w:rsid w:val="63E86D88"/>
    <w:rsid w:val="64022A94"/>
    <w:rsid w:val="6412488E"/>
    <w:rsid w:val="641A4698"/>
    <w:rsid w:val="641E7AD9"/>
    <w:rsid w:val="6420519D"/>
    <w:rsid w:val="64244D06"/>
    <w:rsid w:val="643F479E"/>
    <w:rsid w:val="64753F9A"/>
    <w:rsid w:val="64801979"/>
    <w:rsid w:val="64801A45"/>
    <w:rsid w:val="648655FC"/>
    <w:rsid w:val="64935AAE"/>
    <w:rsid w:val="64A324E1"/>
    <w:rsid w:val="64EB28CD"/>
    <w:rsid w:val="650373DB"/>
    <w:rsid w:val="65040B04"/>
    <w:rsid w:val="65103DDA"/>
    <w:rsid w:val="6521335A"/>
    <w:rsid w:val="652335B2"/>
    <w:rsid w:val="652A7C27"/>
    <w:rsid w:val="6538238F"/>
    <w:rsid w:val="65510D70"/>
    <w:rsid w:val="656144F3"/>
    <w:rsid w:val="65672064"/>
    <w:rsid w:val="657C5AE0"/>
    <w:rsid w:val="658126A6"/>
    <w:rsid w:val="65A40BA5"/>
    <w:rsid w:val="65C72AF6"/>
    <w:rsid w:val="65CF3E44"/>
    <w:rsid w:val="65D77AC2"/>
    <w:rsid w:val="65E27481"/>
    <w:rsid w:val="65F31F76"/>
    <w:rsid w:val="65FF0042"/>
    <w:rsid w:val="66124991"/>
    <w:rsid w:val="661C0CF4"/>
    <w:rsid w:val="66272C8A"/>
    <w:rsid w:val="663B06C5"/>
    <w:rsid w:val="663B43AA"/>
    <w:rsid w:val="6643457E"/>
    <w:rsid w:val="664D48EC"/>
    <w:rsid w:val="666371CD"/>
    <w:rsid w:val="666C22F2"/>
    <w:rsid w:val="667F2D54"/>
    <w:rsid w:val="6691173B"/>
    <w:rsid w:val="66970079"/>
    <w:rsid w:val="669D5C1C"/>
    <w:rsid w:val="66B44E1D"/>
    <w:rsid w:val="66BE7F27"/>
    <w:rsid w:val="66D103A8"/>
    <w:rsid w:val="66D9084E"/>
    <w:rsid w:val="66DA7C78"/>
    <w:rsid w:val="66DD62F0"/>
    <w:rsid w:val="66E25BEF"/>
    <w:rsid w:val="66EB0511"/>
    <w:rsid w:val="66EB53B1"/>
    <w:rsid w:val="66EB6EBD"/>
    <w:rsid w:val="66EC3434"/>
    <w:rsid w:val="67003DAA"/>
    <w:rsid w:val="6705758C"/>
    <w:rsid w:val="67104D60"/>
    <w:rsid w:val="67485CFF"/>
    <w:rsid w:val="675104F5"/>
    <w:rsid w:val="67590D5C"/>
    <w:rsid w:val="67673B16"/>
    <w:rsid w:val="67681AD8"/>
    <w:rsid w:val="676C2EFE"/>
    <w:rsid w:val="6775558F"/>
    <w:rsid w:val="67A930D3"/>
    <w:rsid w:val="67B30846"/>
    <w:rsid w:val="67B92797"/>
    <w:rsid w:val="67D8705E"/>
    <w:rsid w:val="67DD1888"/>
    <w:rsid w:val="67F32EE3"/>
    <w:rsid w:val="67F85127"/>
    <w:rsid w:val="68134509"/>
    <w:rsid w:val="681A189F"/>
    <w:rsid w:val="682F5AC2"/>
    <w:rsid w:val="683C7AA3"/>
    <w:rsid w:val="68416F20"/>
    <w:rsid w:val="68744C07"/>
    <w:rsid w:val="68E95C55"/>
    <w:rsid w:val="69092E45"/>
    <w:rsid w:val="6909671B"/>
    <w:rsid w:val="690A11AA"/>
    <w:rsid w:val="693F1DCD"/>
    <w:rsid w:val="6958711D"/>
    <w:rsid w:val="695F3EC3"/>
    <w:rsid w:val="69665A40"/>
    <w:rsid w:val="69686849"/>
    <w:rsid w:val="69767D88"/>
    <w:rsid w:val="698B1F3D"/>
    <w:rsid w:val="69904095"/>
    <w:rsid w:val="699F3A81"/>
    <w:rsid w:val="69BC5693"/>
    <w:rsid w:val="69C00A0D"/>
    <w:rsid w:val="69CB67AB"/>
    <w:rsid w:val="69CB7F0D"/>
    <w:rsid w:val="69D26314"/>
    <w:rsid w:val="69EA3053"/>
    <w:rsid w:val="69F470C4"/>
    <w:rsid w:val="6A005E6D"/>
    <w:rsid w:val="6A206444"/>
    <w:rsid w:val="6A2A0444"/>
    <w:rsid w:val="6A2F5989"/>
    <w:rsid w:val="6A331122"/>
    <w:rsid w:val="6A4349F1"/>
    <w:rsid w:val="6A4A4AC9"/>
    <w:rsid w:val="6A6E46CD"/>
    <w:rsid w:val="6A735CFE"/>
    <w:rsid w:val="6A783BDB"/>
    <w:rsid w:val="6A807A05"/>
    <w:rsid w:val="6A8402FE"/>
    <w:rsid w:val="6A8F5A44"/>
    <w:rsid w:val="6A916F72"/>
    <w:rsid w:val="6A9736B6"/>
    <w:rsid w:val="6A9870C1"/>
    <w:rsid w:val="6A99244C"/>
    <w:rsid w:val="6AA4355D"/>
    <w:rsid w:val="6AB2525C"/>
    <w:rsid w:val="6AC02C3E"/>
    <w:rsid w:val="6AC415F1"/>
    <w:rsid w:val="6AD10B25"/>
    <w:rsid w:val="6AE4336E"/>
    <w:rsid w:val="6B2221F1"/>
    <w:rsid w:val="6B2F5AF1"/>
    <w:rsid w:val="6B300AD4"/>
    <w:rsid w:val="6B311654"/>
    <w:rsid w:val="6B325A13"/>
    <w:rsid w:val="6B35605F"/>
    <w:rsid w:val="6B3C75F9"/>
    <w:rsid w:val="6B527B30"/>
    <w:rsid w:val="6B5445C4"/>
    <w:rsid w:val="6B6820DE"/>
    <w:rsid w:val="6B6C6156"/>
    <w:rsid w:val="6B9F64C8"/>
    <w:rsid w:val="6BAE24CA"/>
    <w:rsid w:val="6BB16FA6"/>
    <w:rsid w:val="6BB74995"/>
    <w:rsid w:val="6BC014B1"/>
    <w:rsid w:val="6C13293F"/>
    <w:rsid w:val="6C292214"/>
    <w:rsid w:val="6C2E7ED3"/>
    <w:rsid w:val="6C32216F"/>
    <w:rsid w:val="6C435F5C"/>
    <w:rsid w:val="6C63542B"/>
    <w:rsid w:val="6C6D7E5A"/>
    <w:rsid w:val="6C783417"/>
    <w:rsid w:val="6C7D2F10"/>
    <w:rsid w:val="6C9053FD"/>
    <w:rsid w:val="6C985CE4"/>
    <w:rsid w:val="6C9F4650"/>
    <w:rsid w:val="6CA40ECD"/>
    <w:rsid w:val="6CA420AB"/>
    <w:rsid w:val="6CA87DC4"/>
    <w:rsid w:val="6CB17D12"/>
    <w:rsid w:val="6CC666B4"/>
    <w:rsid w:val="6CCB7218"/>
    <w:rsid w:val="6CCF214E"/>
    <w:rsid w:val="6CD25C0F"/>
    <w:rsid w:val="6CFA534F"/>
    <w:rsid w:val="6D072DF4"/>
    <w:rsid w:val="6D0B692B"/>
    <w:rsid w:val="6D3320D7"/>
    <w:rsid w:val="6D3D638A"/>
    <w:rsid w:val="6D3F4BEE"/>
    <w:rsid w:val="6D68740C"/>
    <w:rsid w:val="6D824990"/>
    <w:rsid w:val="6D8534C3"/>
    <w:rsid w:val="6D8A16A4"/>
    <w:rsid w:val="6DA35AAE"/>
    <w:rsid w:val="6DA60EDC"/>
    <w:rsid w:val="6DAA1831"/>
    <w:rsid w:val="6DAD72E8"/>
    <w:rsid w:val="6DD83472"/>
    <w:rsid w:val="6DEC19C0"/>
    <w:rsid w:val="6DED7FB4"/>
    <w:rsid w:val="6DF90235"/>
    <w:rsid w:val="6DFE6668"/>
    <w:rsid w:val="6E0D57D9"/>
    <w:rsid w:val="6E0E7BD2"/>
    <w:rsid w:val="6E1E08FE"/>
    <w:rsid w:val="6E2639FC"/>
    <w:rsid w:val="6E287758"/>
    <w:rsid w:val="6E3321FC"/>
    <w:rsid w:val="6E3D4575"/>
    <w:rsid w:val="6E4E4AB3"/>
    <w:rsid w:val="6E5E30FB"/>
    <w:rsid w:val="6EB95C2A"/>
    <w:rsid w:val="6EBC7C03"/>
    <w:rsid w:val="6ED37816"/>
    <w:rsid w:val="6EE40DC0"/>
    <w:rsid w:val="6F1B0170"/>
    <w:rsid w:val="6F222590"/>
    <w:rsid w:val="6F385608"/>
    <w:rsid w:val="6F426202"/>
    <w:rsid w:val="6F4F3F62"/>
    <w:rsid w:val="6F73277C"/>
    <w:rsid w:val="6F7F0C60"/>
    <w:rsid w:val="6FB4657E"/>
    <w:rsid w:val="6FB6771C"/>
    <w:rsid w:val="6FBB4EFE"/>
    <w:rsid w:val="6FDE175A"/>
    <w:rsid w:val="6FE63AE7"/>
    <w:rsid w:val="7017270A"/>
    <w:rsid w:val="702456FE"/>
    <w:rsid w:val="703803A1"/>
    <w:rsid w:val="703B7251"/>
    <w:rsid w:val="7044397D"/>
    <w:rsid w:val="704B2781"/>
    <w:rsid w:val="7060055D"/>
    <w:rsid w:val="70643322"/>
    <w:rsid w:val="706E2B60"/>
    <w:rsid w:val="707C5F0F"/>
    <w:rsid w:val="7080557D"/>
    <w:rsid w:val="70847EA5"/>
    <w:rsid w:val="70871AD7"/>
    <w:rsid w:val="70933ED1"/>
    <w:rsid w:val="70A94143"/>
    <w:rsid w:val="70B55B0F"/>
    <w:rsid w:val="70BA7342"/>
    <w:rsid w:val="70D50A94"/>
    <w:rsid w:val="70FE244A"/>
    <w:rsid w:val="7104482D"/>
    <w:rsid w:val="711900B6"/>
    <w:rsid w:val="7170221D"/>
    <w:rsid w:val="71725C8C"/>
    <w:rsid w:val="717A5840"/>
    <w:rsid w:val="718758BB"/>
    <w:rsid w:val="71963396"/>
    <w:rsid w:val="71974579"/>
    <w:rsid w:val="719B773C"/>
    <w:rsid w:val="71A11A70"/>
    <w:rsid w:val="71A83BF7"/>
    <w:rsid w:val="71B237F0"/>
    <w:rsid w:val="71B61942"/>
    <w:rsid w:val="71CB3DD0"/>
    <w:rsid w:val="71D3503B"/>
    <w:rsid w:val="71F161E2"/>
    <w:rsid w:val="71F83D9F"/>
    <w:rsid w:val="71FD6B4D"/>
    <w:rsid w:val="72037125"/>
    <w:rsid w:val="720D6BD9"/>
    <w:rsid w:val="721713AB"/>
    <w:rsid w:val="722A2553"/>
    <w:rsid w:val="722B77AF"/>
    <w:rsid w:val="72460451"/>
    <w:rsid w:val="724E4A57"/>
    <w:rsid w:val="725019EE"/>
    <w:rsid w:val="726B0F24"/>
    <w:rsid w:val="727211B7"/>
    <w:rsid w:val="72A43849"/>
    <w:rsid w:val="72B234ED"/>
    <w:rsid w:val="72B76F6E"/>
    <w:rsid w:val="72BC24A9"/>
    <w:rsid w:val="72CE038D"/>
    <w:rsid w:val="72D63DE5"/>
    <w:rsid w:val="72E049EC"/>
    <w:rsid w:val="72EB37D5"/>
    <w:rsid w:val="73050016"/>
    <w:rsid w:val="73245CB5"/>
    <w:rsid w:val="733502CB"/>
    <w:rsid w:val="7347432A"/>
    <w:rsid w:val="7361306A"/>
    <w:rsid w:val="73656550"/>
    <w:rsid w:val="737E2C98"/>
    <w:rsid w:val="737E7C80"/>
    <w:rsid w:val="738D1D5E"/>
    <w:rsid w:val="73986153"/>
    <w:rsid w:val="739B2C18"/>
    <w:rsid w:val="739D3753"/>
    <w:rsid w:val="73A825F6"/>
    <w:rsid w:val="73AD1DF4"/>
    <w:rsid w:val="73AE3B62"/>
    <w:rsid w:val="73AF63B1"/>
    <w:rsid w:val="73B12A86"/>
    <w:rsid w:val="73B979AA"/>
    <w:rsid w:val="73E30ED5"/>
    <w:rsid w:val="73E505B0"/>
    <w:rsid w:val="73F27259"/>
    <w:rsid w:val="73F51937"/>
    <w:rsid w:val="73F80E57"/>
    <w:rsid w:val="74120850"/>
    <w:rsid w:val="742A631F"/>
    <w:rsid w:val="743B7D82"/>
    <w:rsid w:val="743C5C77"/>
    <w:rsid w:val="744401FF"/>
    <w:rsid w:val="74440D24"/>
    <w:rsid w:val="744854DA"/>
    <w:rsid w:val="745B5A16"/>
    <w:rsid w:val="746A3762"/>
    <w:rsid w:val="74724E6C"/>
    <w:rsid w:val="747E6906"/>
    <w:rsid w:val="7489738A"/>
    <w:rsid w:val="748D178C"/>
    <w:rsid w:val="7496478B"/>
    <w:rsid w:val="749E2C61"/>
    <w:rsid w:val="74A93966"/>
    <w:rsid w:val="74F939BD"/>
    <w:rsid w:val="74FA7C03"/>
    <w:rsid w:val="75205C78"/>
    <w:rsid w:val="75263FB5"/>
    <w:rsid w:val="754A76B5"/>
    <w:rsid w:val="755F2052"/>
    <w:rsid w:val="757C70F3"/>
    <w:rsid w:val="75A45EAF"/>
    <w:rsid w:val="75C80C3C"/>
    <w:rsid w:val="75D04997"/>
    <w:rsid w:val="75D4062F"/>
    <w:rsid w:val="75E33DE8"/>
    <w:rsid w:val="75E514F3"/>
    <w:rsid w:val="76077611"/>
    <w:rsid w:val="76257724"/>
    <w:rsid w:val="76350381"/>
    <w:rsid w:val="76514BFC"/>
    <w:rsid w:val="76590D37"/>
    <w:rsid w:val="76723781"/>
    <w:rsid w:val="76873E85"/>
    <w:rsid w:val="769129BB"/>
    <w:rsid w:val="76985571"/>
    <w:rsid w:val="76A80C21"/>
    <w:rsid w:val="76AE3F73"/>
    <w:rsid w:val="76B13FAF"/>
    <w:rsid w:val="76B6035A"/>
    <w:rsid w:val="76B7429E"/>
    <w:rsid w:val="76BE349F"/>
    <w:rsid w:val="76C718B4"/>
    <w:rsid w:val="76CA1CCB"/>
    <w:rsid w:val="76D065FD"/>
    <w:rsid w:val="76DA469C"/>
    <w:rsid w:val="76DC09A5"/>
    <w:rsid w:val="76E51B6B"/>
    <w:rsid w:val="770E0369"/>
    <w:rsid w:val="77107906"/>
    <w:rsid w:val="771A4DC7"/>
    <w:rsid w:val="772240BF"/>
    <w:rsid w:val="77263D6F"/>
    <w:rsid w:val="772C33D8"/>
    <w:rsid w:val="772E7A42"/>
    <w:rsid w:val="77584FEA"/>
    <w:rsid w:val="77626CAD"/>
    <w:rsid w:val="776F0E0A"/>
    <w:rsid w:val="77727769"/>
    <w:rsid w:val="779C33FA"/>
    <w:rsid w:val="77BF751D"/>
    <w:rsid w:val="77D63EC2"/>
    <w:rsid w:val="77DA68B2"/>
    <w:rsid w:val="77E71F3E"/>
    <w:rsid w:val="77FB35D7"/>
    <w:rsid w:val="7808174F"/>
    <w:rsid w:val="78151B60"/>
    <w:rsid w:val="782533FB"/>
    <w:rsid w:val="782B3690"/>
    <w:rsid w:val="78331282"/>
    <w:rsid w:val="784A042E"/>
    <w:rsid w:val="78554155"/>
    <w:rsid w:val="785C02B7"/>
    <w:rsid w:val="7864541F"/>
    <w:rsid w:val="786B4806"/>
    <w:rsid w:val="788C6C8E"/>
    <w:rsid w:val="78A50831"/>
    <w:rsid w:val="78A85BD5"/>
    <w:rsid w:val="78AC5F5A"/>
    <w:rsid w:val="78B3509B"/>
    <w:rsid w:val="78B74132"/>
    <w:rsid w:val="78BF2450"/>
    <w:rsid w:val="78C40A58"/>
    <w:rsid w:val="78C54D4E"/>
    <w:rsid w:val="78CB295C"/>
    <w:rsid w:val="78E55C45"/>
    <w:rsid w:val="78E82033"/>
    <w:rsid w:val="78EF09FD"/>
    <w:rsid w:val="78F7032D"/>
    <w:rsid w:val="790549F8"/>
    <w:rsid w:val="790B573C"/>
    <w:rsid w:val="79321618"/>
    <w:rsid w:val="793A3075"/>
    <w:rsid w:val="793B184C"/>
    <w:rsid w:val="79486047"/>
    <w:rsid w:val="794B6C2D"/>
    <w:rsid w:val="797E6C8F"/>
    <w:rsid w:val="798E6150"/>
    <w:rsid w:val="79B043E1"/>
    <w:rsid w:val="79B272E6"/>
    <w:rsid w:val="79B952F0"/>
    <w:rsid w:val="79C50FEF"/>
    <w:rsid w:val="79C62153"/>
    <w:rsid w:val="79F236AC"/>
    <w:rsid w:val="79FE5BCF"/>
    <w:rsid w:val="7A06754E"/>
    <w:rsid w:val="7A1251E5"/>
    <w:rsid w:val="7A173A0C"/>
    <w:rsid w:val="7A1A5058"/>
    <w:rsid w:val="7A6C49C3"/>
    <w:rsid w:val="7A9C0A6A"/>
    <w:rsid w:val="7AA170DD"/>
    <w:rsid w:val="7AA8616B"/>
    <w:rsid w:val="7AB325ED"/>
    <w:rsid w:val="7AB351E3"/>
    <w:rsid w:val="7AC45E59"/>
    <w:rsid w:val="7ACD2D40"/>
    <w:rsid w:val="7AEA242D"/>
    <w:rsid w:val="7AEA6C09"/>
    <w:rsid w:val="7AEE70D5"/>
    <w:rsid w:val="7AF0112B"/>
    <w:rsid w:val="7AFD4225"/>
    <w:rsid w:val="7B037A7F"/>
    <w:rsid w:val="7B1D5996"/>
    <w:rsid w:val="7B22607B"/>
    <w:rsid w:val="7B2E6D32"/>
    <w:rsid w:val="7B340AAD"/>
    <w:rsid w:val="7B3E2A4D"/>
    <w:rsid w:val="7B5251A0"/>
    <w:rsid w:val="7B605282"/>
    <w:rsid w:val="7B937041"/>
    <w:rsid w:val="7B993402"/>
    <w:rsid w:val="7B9A6B62"/>
    <w:rsid w:val="7B9D6005"/>
    <w:rsid w:val="7BA31D83"/>
    <w:rsid w:val="7BA827C4"/>
    <w:rsid w:val="7BAA59DD"/>
    <w:rsid w:val="7BB93F79"/>
    <w:rsid w:val="7BBC42E9"/>
    <w:rsid w:val="7BBE43B3"/>
    <w:rsid w:val="7BC142B1"/>
    <w:rsid w:val="7BC569F3"/>
    <w:rsid w:val="7BCA3EC9"/>
    <w:rsid w:val="7BD11E1A"/>
    <w:rsid w:val="7BE02D68"/>
    <w:rsid w:val="7BE3117E"/>
    <w:rsid w:val="7BFD526B"/>
    <w:rsid w:val="7C1126C5"/>
    <w:rsid w:val="7C144D07"/>
    <w:rsid w:val="7C1A45EC"/>
    <w:rsid w:val="7C2F3D20"/>
    <w:rsid w:val="7C307712"/>
    <w:rsid w:val="7C3A67D1"/>
    <w:rsid w:val="7C497755"/>
    <w:rsid w:val="7C4B2615"/>
    <w:rsid w:val="7C5A1D80"/>
    <w:rsid w:val="7C5B7E75"/>
    <w:rsid w:val="7C696A6A"/>
    <w:rsid w:val="7C6B72AB"/>
    <w:rsid w:val="7C745052"/>
    <w:rsid w:val="7C882693"/>
    <w:rsid w:val="7C8A0779"/>
    <w:rsid w:val="7C8C61A3"/>
    <w:rsid w:val="7C9D7668"/>
    <w:rsid w:val="7C9F53E9"/>
    <w:rsid w:val="7CAB5519"/>
    <w:rsid w:val="7CBC5BC3"/>
    <w:rsid w:val="7CBC6DC9"/>
    <w:rsid w:val="7CC1772F"/>
    <w:rsid w:val="7CC6688D"/>
    <w:rsid w:val="7CD142B3"/>
    <w:rsid w:val="7CD47AF2"/>
    <w:rsid w:val="7CF33FF7"/>
    <w:rsid w:val="7CFB5C0E"/>
    <w:rsid w:val="7D077D28"/>
    <w:rsid w:val="7D1172F8"/>
    <w:rsid w:val="7D3857D0"/>
    <w:rsid w:val="7D87482F"/>
    <w:rsid w:val="7D8A52A7"/>
    <w:rsid w:val="7D982277"/>
    <w:rsid w:val="7DA64C22"/>
    <w:rsid w:val="7DAA179B"/>
    <w:rsid w:val="7DAC333A"/>
    <w:rsid w:val="7DAE7039"/>
    <w:rsid w:val="7DBB0E7A"/>
    <w:rsid w:val="7DC80CCE"/>
    <w:rsid w:val="7DD7064D"/>
    <w:rsid w:val="7E1003AB"/>
    <w:rsid w:val="7E112A46"/>
    <w:rsid w:val="7E234E46"/>
    <w:rsid w:val="7E244B0A"/>
    <w:rsid w:val="7E2A4BA1"/>
    <w:rsid w:val="7E655884"/>
    <w:rsid w:val="7E723376"/>
    <w:rsid w:val="7E7579CC"/>
    <w:rsid w:val="7E7D5B97"/>
    <w:rsid w:val="7E7E7ED5"/>
    <w:rsid w:val="7EAF1CF3"/>
    <w:rsid w:val="7EC678FC"/>
    <w:rsid w:val="7EC746E1"/>
    <w:rsid w:val="7ECF7C18"/>
    <w:rsid w:val="7EDD133F"/>
    <w:rsid w:val="7EE55E92"/>
    <w:rsid w:val="7EF368D3"/>
    <w:rsid w:val="7EF9515A"/>
    <w:rsid w:val="7F0F6791"/>
    <w:rsid w:val="7F116B90"/>
    <w:rsid w:val="7F201070"/>
    <w:rsid w:val="7F24167F"/>
    <w:rsid w:val="7F257F43"/>
    <w:rsid w:val="7F2807DD"/>
    <w:rsid w:val="7F3563E1"/>
    <w:rsid w:val="7F4339B5"/>
    <w:rsid w:val="7F63760F"/>
    <w:rsid w:val="7F7426B5"/>
    <w:rsid w:val="7F7B207C"/>
    <w:rsid w:val="7F7E0265"/>
    <w:rsid w:val="7F8B06CB"/>
    <w:rsid w:val="7F9A4578"/>
    <w:rsid w:val="7FBC7ACD"/>
    <w:rsid w:val="7FCE17B7"/>
    <w:rsid w:val="7FE10D75"/>
    <w:rsid w:val="7FFD3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6"/>
    <w:qFormat/>
    <w:uiPriority w:val="0"/>
    <w:pPr>
      <w:keepNext/>
      <w:keepLines/>
      <w:spacing w:before="200" w:after="200" w:line="360" w:lineRule="auto"/>
      <w:outlineLvl w:val="1"/>
    </w:pPr>
    <w:rPr>
      <w:rFonts w:ascii="楷体_GB2312" w:hAnsi="楷体_GB2312" w:eastAsia="楷体_GB2312"/>
      <w:b/>
      <w:bCs/>
      <w:kern w:val="0"/>
      <w:sz w:val="28"/>
      <w:szCs w:val="28"/>
    </w:rPr>
  </w:style>
  <w:style w:type="paragraph" w:styleId="7">
    <w:name w:val="heading 3"/>
    <w:basedOn w:val="1"/>
    <w:next w:val="1"/>
    <w:link w:val="57"/>
    <w:qFormat/>
    <w:uiPriority w:val="0"/>
    <w:pPr>
      <w:keepNext/>
      <w:keepLines/>
      <w:spacing w:before="200" w:after="200" w:line="360" w:lineRule="auto"/>
      <w:outlineLvl w:val="2"/>
    </w:pPr>
    <w:rPr>
      <w:rFonts w:ascii="Arial" w:hAnsi="Arial" w:cs="Arial"/>
      <w:b/>
      <w:color w:val="000000"/>
      <w:sz w:val="28"/>
      <w:szCs w:val="20"/>
    </w:rPr>
  </w:style>
  <w:style w:type="paragraph" w:styleId="8">
    <w:name w:val="heading 4"/>
    <w:basedOn w:val="1"/>
    <w:next w:val="1"/>
    <w:link w:val="58"/>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59"/>
    <w:qFormat/>
    <w:uiPriority w:val="0"/>
    <w:pPr>
      <w:keepNext/>
      <w:keepLines/>
      <w:spacing w:before="280" w:after="290" w:line="376" w:lineRule="auto"/>
      <w:outlineLvl w:val="4"/>
    </w:pPr>
    <w:rPr>
      <w:b/>
      <w:bCs/>
      <w:sz w:val="28"/>
      <w:szCs w:val="28"/>
    </w:rPr>
  </w:style>
  <w:style w:type="paragraph" w:styleId="10">
    <w:name w:val="heading 6"/>
    <w:basedOn w:val="1"/>
    <w:next w:val="1"/>
    <w:link w:val="60"/>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link w:val="61"/>
    <w:qFormat/>
    <w:uiPriority w:val="0"/>
    <w:pPr>
      <w:keepNext/>
      <w:keepLines/>
      <w:spacing w:before="240" w:after="64" w:line="320" w:lineRule="auto"/>
      <w:ind w:firstLine="200" w:firstLineChars="200"/>
      <w:outlineLvl w:val="6"/>
    </w:pPr>
    <w:rPr>
      <w:rFonts w:eastAsia="仿宋"/>
      <w:b/>
      <w:bCs/>
      <w:sz w:val="24"/>
    </w:rPr>
  </w:style>
  <w:style w:type="paragraph" w:styleId="12">
    <w:name w:val="heading 8"/>
    <w:basedOn w:val="1"/>
    <w:next w:val="1"/>
    <w:qFormat/>
    <w:uiPriority w:val="0"/>
    <w:pPr>
      <w:keepNext/>
      <w:keepLines/>
      <w:spacing w:before="240" w:after="64" w:line="320" w:lineRule="auto"/>
      <w:ind w:left="1440" w:hanging="1440" w:firstLineChars="200"/>
      <w:jc w:val="left"/>
      <w:outlineLvl w:val="7"/>
    </w:pPr>
    <w:rPr>
      <w:rFonts w:ascii="Cambria" w:hAnsi="Cambria"/>
      <w:sz w:val="24"/>
    </w:rPr>
  </w:style>
  <w:style w:type="paragraph" w:styleId="13">
    <w:name w:val="heading 9"/>
    <w:basedOn w:val="1"/>
    <w:next w:val="1"/>
    <w:qFormat/>
    <w:uiPriority w:val="0"/>
    <w:pPr>
      <w:keepNext/>
      <w:keepLines/>
      <w:spacing w:before="240" w:after="64" w:line="320" w:lineRule="auto"/>
      <w:ind w:left="1584" w:hanging="1584" w:firstLineChars="200"/>
      <w:jc w:val="left"/>
      <w:outlineLvl w:val="8"/>
    </w:pPr>
    <w:rPr>
      <w:rFonts w:ascii="Cambria" w:hAnsi="Cambria"/>
      <w:szCs w:val="21"/>
    </w:rPr>
  </w:style>
  <w:style w:type="character" w:default="1" w:styleId="47">
    <w:name w:val="Default Paragraph Font"/>
    <w:semiHidden/>
    <w:uiPriority w:val="0"/>
  </w:style>
  <w:style w:type="table" w:default="1" w:styleId="45">
    <w:name w:val="Normal Table"/>
    <w:semiHidden/>
    <w:uiPriority w:val="0"/>
    <w:tblPr>
      <w:tblStyle w:val="45"/>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uiPriority w:val="0"/>
    <w:pPr>
      <w:ind w:left="420" w:leftChars="200" w:firstLine="480" w:firstLineChars="200"/>
    </w:pPr>
    <w:rPr>
      <w:sz w:val="24"/>
    </w:rPr>
  </w:style>
  <w:style w:type="paragraph" w:styleId="4">
    <w:name w:val="Normal Indent"/>
    <w:basedOn w:val="1"/>
    <w:next w:val="3"/>
    <w:link w:val="54"/>
    <w:uiPriority w:val="0"/>
    <w:pPr>
      <w:spacing w:after="50" w:afterLines="50" w:line="360" w:lineRule="auto"/>
      <w:ind w:firstLine="200" w:firstLineChars="200"/>
    </w:pPr>
    <w:rPr>
      <w:sz w:val="24"/>
    </w:rPr>
  </w:style>
  <w:style w:type="paragraph" w:styleId="14">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uiPriority w:val="0"/>
    <w:pPr>
      <w:widowControl/>
      <w:numPr>
        <w:ilvl w:val="0"/>
        <w:numId w:val="1"/>
      </w:numPr>
      <w:spacing w:before="100" w:beforeAutospacing="1" w:after="100" w:afterLines="50" w:afterAutospacing="1"/>
      <w:jc w:val="left"/>
    </w:pPr>
    <w:rPr>
      <w:kern w:val="0"/>
      <w:szCs w:val="20"/>
    </w:rPr>
  </w:style>
  <w:style w:type="paragraph" w:styleId="17">
    <w:name w:val="Document Map"/>
    <w:basedOn w:val="1"/>
    <w:link w:val="62"/>
    <w:semiHidden/>
    <w:uiPriority w:val="0"/>
    <w:pPr>
      <w:shd w:val="clear" w:color="auto" w:fill="000080"/>
    </w:pPr>
  </w:style>
  <w:style w:type="paragraph" w:styleId="18">
    <w:name w:val="annotation text"/>
    <w:basedOn w:val="1"/>
    <w:semiHidden/>
    <w:uiPriority w:val="0"/>
    <w:pPr>
      <w:jc w:val="left"/>
    </w:pPr>
  </w:style>
  <w:style w:type="paragraph" w:styleId="19">
    <w:name w:val="Salutation"/>
    <w:basedOn w:val="1"/>
    <w:next w:val="1"/>
    <w:uiPriority w:val="0"/>
    <w:pPr>
      <w:numPr>
        <w:ilvl w:val="0"/>
        <w:numId w:val="2"/>
      </w:numPr>
      <w:tabs>
        <w:tab w:val="clear" w:pos="1500"/>
      </w:tabs>
      <w:ind w:left="0" w:firstLine="0"/>
    </w:pPr>
    <w:rPr>
      <w:szCs w:val="20"/>
    </w:rPr>
  </w:style>
  <w:style w:type="paragraph" w:styleId="20">
    <w:name w:val="Body Text 3"/>
    <w:basedOn w:val="1"/>
    <w:uiPriority w:val="0"/>
    <w:pPr>
      <w:spacing w:after="120"/>
    </w:pPr>
    <w:rPr>
      <w:sz w:val="16"/>
      <w:szCs w:val="16"/>
    </w:rPr>
  </w:style>
  <w:style w:type="paragraph" w:styleId="21">
    <w:name w:val="Body Text"/>
    <w:basedOn w:val="1"/>
    <w:next w:val="22"/>
    <w:link w:val="63"/>
    <w:uiPriority w:val="0"/>
    <w:pPr>
      <w:adjustRightInd w:val="0"/>
      <w:spacing w:line="315" w:lineRule="atLeast"/>
      <w:jc w:val="left"/>
      <w:textAlignment w:val="baseline"/>
    </w:pPr>
    <w:rPr>
      <w:rFonts w:ascii="仿宋_GB2312" w:eastAsia="仿宋_GB2312"/>
      <w:kern w:val="0"/>
      <w:sz w:val="28"/>
      <w:szCs w:val="20"/>
    </w:rPr>
  </w:style>
  <w:style w:type="paragraph" w:styleId="22">
    <w:name w:val="Body Text First Indent"/>
    <w:basedOn w:val="21"/>
    <w:link w:val="64"/>
    <w:uiPriority w:val="0"/>
    <w:pPr>
      <w:adjustRightInd/>
      <w:spacing w:after="120" w:line="240" w:lineRule="auto"/>
      <w:ind w:firstLine="420" w:firstLineChars="100"/>
      <w:jc w:val="both"/>
      <w:textAlignment w:val="auto"/>
    </w:pPr>
    <w:rPr>
      <w:rFonts w:ascii="Calibri" w:eastAsia="宋体"/>
      <w:kern w:val="2"/>
      <w:sz w:val="21"/>
      <w:szCs w:val="22"/>
    </w:rPr>
  </w:style>
  <w:style w:type="paragraph" w:styleId="23">
    <w:name w:val="List Number 3"/>
    <w:basedOn w:val="1"/>
    <w:uiPriority w:val="0"/>
    <w:pPr>
      <w:numPr>
        <w:ilvl w:val="0"/>
        <w:numId w:val="3"/>
      </w:numPr>
    </w:pPr>
  </w:style>
  <w:style w:type="paragraph" w:styleId="24">
    <w:name w:val="List 2"/>
    <w:basedOn w:val="1"/>
    <w:uiPriority w:val="0"/>
    <w:pPr>
      <w:ind w:left="100" w:leftChars="200" w:hanging="200" w:hangingChars="200"/>
    </w:pPr>
    <w:rPr>
      <w:sz w:val="28"/>
    </w:rPr>
  </w:style>
  <w:style w:type="paragraph" w:styleId="25">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6">
    <w:name w:val="Plain Text"/>
    <w:basedOn w:val="1"/>
    <w:link w:val="65"/>
    <w:uiPriority w:val="0"/>
    <w:rPr>
      <w:rFonts w:ascii="宋体" w:hAnsi="Courier New"/>
      <w:szCs w:val="20"/>
    </w:rPr>
  </w:style>
  <w:style w:type="paragraph" w:styleId="27">
    <w:name w:val="Date"/>
    <w:basedOn w:val="1"/>
    <w:next w:val="1"/>
    <w:uiPriority w:val="0"/>
    <w:pPr>
      <w:ind w:left="100" w:leftChars="2500"/>
    </w:pPr>
    <w:rPr>
      <w:sz w:val="24"/>
    </w:rPr>
  </w:style>
  <w:style w:type="paragraph" w:styleId="28">
    <w:name w:val="Body Text Indent 2"/>
    <w:basedOn w:val="1"/>
    <w:uiPriority w:val="0"/>
    <w:pPr>
      <w:ind w:firstLine="435"/>
    </w:pPr>
    <w:rPr>
      <w:sz w:val="24"/>
    </w:rPr>
  </w:style>
  <w:style w:type="paragraph" w:styleId="29">
    <w:name w:val="endnote text"/>
    <w:basedOn w:val="1"/>
    <w:semiHidden/>
    <w:uiPriority w:val="0"/>
    <w:pPr>
      <w:snapToGrid w:val="0"/>
      <w:spacing w:after="50" w:afterLines="50"/>
      <w:jc w:val="left"/>
    </w:pPr>
    <w:rPr>
      <w:rFonts w:ascii="宋体"/>
      <w:snapToGrid w:val="0"/>
      <w:kern w:val="0"/>
      <w:szCs w:val="20"/>
    </w:rPr>
  </w:style>
  <w:style w:type="paragraph" w:styleId="30">
    <w:name w:val="Balloon Text"/>
    <w:basedOn w:val="1"/>
    <w:semiHidden/>
    <w:uiPriority w:val="0"/>
    <w:rPr>
      <w:sz w:val="18"/>
      <w:szCs w:val="18"/>
    </w:rPr>
  </w:style>
  <w:style w:type="paragraph" w:styleId="31">
    <w:name w:val="footer"/>
    <w:basedOn w:val="1"/>
    <w:link w:val="66"/>
    <w:uiPriority w:val="0"/>
    <w:pPr>
      <w:tabs>
        <w:tab w:val="center" w:pos="4153"/>
        <w:tab w:val="right" w:pos="8306"/>
      </w:tabs>
      <w:adjustRightInd w:val="0"/>
      <w:spacing w:line="240" w:lineRule="atLeast"/>
      <w:jc w:val="left"/>
      <w:textAlignment w:val="baseline"/>
    </w:pPr>
    <w:rPr>
      <w:rFonts w:ascii="宋体"/>
      <w:kern w:val="0"/>
      <w:sz w:val="18"/>
      <w:szCs w:val="20"/>
    </w:rPr>
  </w:style>
  <w:style w:type="paragraph" w:styleId="32">
    <w:name w:val="envelope return"/>
    <w:basedOn w:val="1"/>
    <w:qFormat/>
    <w:uiPriority w:val="99"/>
    <w:pPr>
      <w:snapToGrid w:val="0"/>
    </w:pPr>
    <w:rPr>
      <w:rFonts w:ascii="Arial" w:hAnsi="Arial" w:cs="Arial"/>
    </w:rPr>
  </w:style>
  <w:style w:type="paragraph" w:styleId="33">
    <w:name w:val="header"/>
    <w:basedOn w:val="1"/>
    <w:link w:val="67"/>
    <w:uiPriority w:val="0"/>
    <w:pPr>
      <w:pBdr>
        <w:bottom w:val="single" w:color="auto" w:sz="6" w:space="1"/>
      </w:pBdr>
      <w:tabs>
        <w:tab w:val="center" w:pos="4819"/>
        <w:tab w:val="right" w:pos="9071"/>
      </w:tabs>
      <w:adjustRightInd w:val="0"/>
      <w:spacing w:line="240" w:lineRule="atLeast"/>
      <w:jc w:val="center"/>
      <w:textAlignment w:val="baseline"/>
    </w:pPr>
    <w:rPr>
      <w:rFonts w:ascii="宋体"/>
      <w:kern w:val="0"/>
      <w:sz w:val="18"/>
      <w:szCs w:val="20"/>
    </w:rPr>
  </w:style>
  <w:style w:type="paragraph" w:styleId="34">
    <w:name w:val="toc 1"/>
    <w:basedOn w:val="1"/>
    <w:next w:val="1"/>
    <w:semiHidden/>
    <w:uiPriority w:val="0"/>
    <w:rPr>
      <w:rFonts w:eastAsia="黑体"/>
      <w:b/>
      <w:bCs/>
      <w:sz w:val="28"/>
    </w:rPr>
  </w:style>
  <w:style w:type="paragraph" w:styleId="35">
    <w:name w:val="Subtitle"/>
    <w:basedOn w:val="1"/>
    <w:qFormat/>
    <w:uiPriority w:val="0"/>
    <w:pPr>
      <w:numPr>
        <w:ilvl w:val="0"/>
        <w:numId w:val="4"/>
      </w:numPr>
      <w:tabs>
        <w:tab w:val="clear" w:pos="360"/>
      </w:tabs>
      <w:spacing w:after="60" w:afterLines="50"/>
      <w:ind w:left="0" w:firstLine="0"/>
      <w:jc w:val="center"/>
    </w:pPr>
    <w:rPr>
      <w:rFonts w:ascii="宋体"/>
      <w:i/>
      <w:snapToGrid w:val="0"/>
      <w:kern w:val="0"/>
      <w:sz w:val="36"/>
      <w:szCs w:val="20"/>
      <w:lang w:val="en-AU"/>
    </w:rPr>
  </w:style>
  <w:style w:type="paragraph" w:styleId="36">
    <w:name w:val="List"/>
    <w:basedOn w:val="1"/>
    <w:uiPriority w:val="0"/>
    <w:pPr>
      <w:ind w:left="200" w:hanging="200" w:hangingChars="200"/>
    </w:pPr>
    <w:rPr>
      <w:sz w:val="28"/>
    </w:rPr>
  </w:style>
  <w:style w:type="paragraph" w:styleId="37">
    <w:name w:val="Body Text Indent 3"/>
    <w:basedOn w:val="1"/>
    <w:uiPriority w:val="0"/>
    <w:pPr>
      <w:widowControl/>
      <w:spacing w:line="360" w:lineRule="auto"/>
      <w:ind w:firstLine="540" w:firstLineChars="225"/>
      <w:jc w:val="left"/>
    </w:pPr>
    <w:rPr>
      <w:sz w:val="24"/>
      <w:szCs w:val="20"/>
    </w:rPr>
  </w:style>
  <w:style w:type="paragraph" w:styleId="38">
    <w:name w:val="toc 2"/>
    <w:basedOn w:val="1"/>
    <w:next w:val="1"/>
    <w:semiHidden/>
    <w:uiPriority w:val="0"/>
    <w:pPr>
      <w:tabs>
        <w:tab w:val="right" w:leader="dot" w:pos="8296"/>
      </w:tabs>
      <w:ind w:left="210"/>
      <w:jc w:val="left"/>
    </w:pPr>
    <w:rPr>
      <w:b/>
      <w:smallCaps/>
      <w:lang/>
    </w:rPr>
  </w:style>
  <w:style w:type="paragraph" w:styleId="39">
    <w:name w:val="Body Text 2"/>
    <w:basedOn w:val="1"/>
    <w:uiPriority w:val="0"/>
    <w:rPr>
      <w:b/>
      <w:bCs/>
    </w:rPr>
  </w:style>
  <w:style w:type="paragraph" w:styleId="4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iPriority w:val="0"/>
    <w:pPr>
      <w:widowControl/>
      <w:spacing w:before="100" w:beforeAutospacing="1" w:after="100" w:afterAutospacing="1"/>
      <w:jc w:val="left"/>
    </w:pPr>
    <w:rPr>
      <w:rFonts w:ascii="宋体" w:hAnsi="宋体"/>
      <w:kern w:val="0"/>
      <w:sz w:val="24"/>
      <w:szCs w:val="20"/>
    </w:rPr>
  </w:style>
  <w:style w:type="paragraph" w:styleId="42">
    <w:name w:val="index 1"/>
    <w:basedOn w:val="1"/>
    <w:next w:val="1"/>
    <w:semiHidden/>
    <w:uiPriority w:val="0"/>
    <w:rPr>
      <w:szCs w:val="20"/>
    </w:rPr>
  </w:style>
  <w:style w:type="paragraph" w:styleId="43">
    <w:name w:val="Title"/>
    <w:basedOn w:val="1"/>
    <w:qFormat/>
    <w:uiPriority w:val="0"/>
    <w:pPr>
      <w:widowControl/>
      <w:numPr>
        <w:ilvl w:val="4"/>
        <w:numId w:val="5"/>
      </w:numPr>
      <w:tabs>
        <w:tab w:val="clear" w:pos="2040"/>
      </w:tabs>
      <w:overflowPunct w:val="0"/>
      <w:autoSpaceDE w:val="0"/>
      <w:autoSpaceDN w:val="0"/>
      <w:adjustRightInd w:val="0"/>
      <w:ind w:left="0" w:firstLine="0"/>
      <w:jc w:val="center"/>
      <w:textAlignment w:val="baseline"/>
    </w:pPr>
    <w:rPr>
      <w:b/>
      <w:kern w:val="0"/>
      <w:sz w:val="24"/>
      <w:szCs w:val="20"/>
      <w:lang w:val="en-GB"/>
    </w:rPr>
  </w:style>
  <w:style w:type="paragraph" w:styleId="44">
    <w:name w:val="annotation subject"/>
    <w:basedOn w:val="18"/>
    <w:next w:val="18"/>
    <w:semiHidden/>
    <w:uiPriority w:val="0"/>
    <w:rPr>
      <w:b/>
      <w:bCs/>
    </w:rPr>
  </w:style>
  <w:style w:type="table" w:styleId="46">
    <w:name w:val="Table Grid"/>
    <w:basedOn w:val="45"/>
    <w:uiPriority w:val="0"/>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uiPriority w:val="0"/>
  </w:style>
  <w:style w:type="character" w:styleId="50">
    <w:name w:val="FollowedHyperlink"/>
    <w:uiPriority w:val="0"/>
    <w:rPr>
      <w:color w:val="800080"/>
      <w:u w:val="single"/>
    </w:rPr>
  </w:style>
  <w:style w:type="character" w:styleId="51">
    <w:name w:val="Emphasis"/>
    <w:qFormat/>
    <w:uiPriority w:val="0"/>
    <w:rPr>
      <w:color w:val="CC0033"/>
    </w:rPr>
  </w:style>
  <w:style w:type="character" w:styleId="52">
    <w:name w:val="Hyperlink"/>
    <w:uiPriority w:val="0"/>
    <w:rPr>
      <w:color w:val="574D31"/>
      <w:u w:val="none"/>
    </w:rPr>
  </w:style>
  <w:style w:type="character" w:styleId="53">
    <w:name w:val="annotation reference"/>
    <w:semiHidden/>
    <w:uiPriority w:val="0"/>
    <w:rPr>
      <w:sz w:val="21"/>
      <w:szCs w:val="21"/>
    </w:rPr>
  </w:style>
  <w:style w:type="character" w:customStyle="1" w:styleId="54">
    <w:name w:val="正文缩进 Char"/>
    <w:link w:val="4"/>
    <w:uiPriority w:val="0"/>
    <w:rPr>
      <w:rFonts w:eastAsia="宋体"/>
      <w:kern w:val="2"/>
      <w:sz w:val="24"/>
      <w:szCs w:val="24"/>
      <w:lang w:val="en-US" w:eastAsia="zh-CN" w:bidi="ar-SA"/>
    </w:rPr>
  </w:style>
  <w:style w:type="character" w:customStyle="1" w:styleId="55">
    <w:name w:val="标题 1 Char"/>
    <w:link w:val="5"/>
    <w:uiPriority w:val="0"/>
    <w:rPr>
      <w:rFonts w:eastAsia="宋体"/>
      <w:b/>
      <w:bCs/>
      <w:kern w:val="44"/>
      <w:sz w:val="44"/>
      <w:szCs w:val="44"/>
      <w:lang w:val="en-US" w:eastAsia="zh-CN" w:bidi="ar-SA"/>
    </w:rPr>
  </w:style>
  <w:style w:type="character" w:customStyle="1" w:styleId="56">
    <w:name w:val="标题 2 Char"/>
    <w:link w:val="6"/>
    <w:uiPriority w:val="0"/>
    <w:rPr>
      <w:rFonts w:ascii="楷体_GB2312" w:hAnsi="楷体_GB2312" w:eastAsia="楷体_GB2312"/>
      <w:b/>
      <w:bCs/>
      <w:sz w:val="28"/>
      <w:szCs w:val="28"/>
      <w:lang w:val="en-US" w:eastAsia="zh-CN" w:bidi="ar-SA"/>
    </w:rPr>
  </w:style>
  <w:style w:type="character" w:customStyle="1" w:styleId="57">
    <w:name w:val="标题 3 Char1"/>
    <w:link w:val="7"/>
    <w:uiPriority w:val="0"/>
    <w:rPr>
      <w:rFonts w:ascii="Arial" w:hAnsi="Arial" w:eastAsia="宋体" w:cs="Arial"/>
      <w:b/>
      <w:color w:val="000000"/>
      <w:kern w:val="2"/>
      <w:sz w:val="28"/>
      <w:lang w:val="en-US" w:eastAsia="zh-CN" w:bidi="ar-SA"/>
    </w:rPr>
  </w:style>
  <w:style w:type="character" w:customStyle="1" w:styleId="58">
    <w:name w:val="标题 4 Char"/>
    <w:link w:val="8"/>
    <w:uiPriority w:val="0"/>
    <w:rPr>
      <w:rFonts w:ascii="Cambria" w:hAnsi="Cambria" w:eastAsia="宋体"/>
      <w:b/>
      <w:bCs/>
      <w:kern w:val="2"/>
      <w:sz w:val="28"/>
      <w:szCs w:val="28"/>
      <w:lang w:val="en-US" w:eastAsia="zh-CN" w:bidi="ar-SA"/>
    </w:rPr>
  </w:style>
  <w:style w:type="character" w:customStyle="1" w:styleId="59">
    <w:name w:val="标题 5 Char"/>
    <w:link w:val="9"/>
    <w:uiPriority w:val="0"/>
    <w:rPr>
      <w:rFonts w:ascii="Calibri" w:hAnsi="Calibri" w:eastAsia="宋体"/>
      <w:b/>
      <w:bCs/>
      <w:kern w:val="2"/>
      <w:sz w:val="28"/>
      <w:szCs w:val="28"/>
      <w:lang w:val="en-US" w:eastAsia="zh-CN" w:bidi="ar-SA"/>
    </w:rPr>
  </w:style>
  <w:style w:type="character" w:customStyle="1" w:styleId="60">
    <w:name w:val="标题 6 Char"/>
    <w:link w:val="10"/>
    <w:uiPriority w:val="0"/>
    <w:rPr>
      <w:rFonts w:ascii="Cambria" w:hAnsi="Cambria" w:eastAsia="宋体"/>
      <w:b/>
      <w:bCs/>
      <w:kern w:val="2"/>
      <w:sz w:val="24"/>
      <w:szCs w:val="24"/>
      <w:lang w:val="en-US" w:eastAsia="zh-CN" w:bidi="ar-SA"/>
    </w:rPr>
  </w:style>
  <w:style w:type="character" w:customStyle="1" w:styleId="61">
    <w:name w:val="标题 7 Char"/>
    <w:link w:val="11"/>
    <w:uiPriority w:val="0"/>
    <w:rPr>
      <w:rFonts w:ascii="Calibri" w:hAnsi="Calibri" w:eastAsia="仿宋"/>
      <w:b/>
      <w:bCs/>
      <w:kern w:val="2"/>
      <w:sz w:val="24"/>
      <w:szCs w:val="24"/>
      <w:lang w:val="en-US" w:eastAsia="zh-CN" w:bidi="ar-SA"/>
    </w:rPr>
  </w:style>
  <w:style w:type="character" w:customStyle="1" w:styleId="62">
    <w:name w:val="文档结构图 Char"/>
    <w:link w:val="17"/>
    <w:semiHidden/>
    <w:uiPriority w:val="0"/>
    <w:rPr>
      <w:rFonts w:eastAsia="宋体"/>
      <w:kern w:val="2"/>
      <w:sz w:val="21"/>
      <w:szCs w:val="24"/>
      <w:lang w:val="en-US" w:eastAsia="zh-CN" w:bidi="ar-SA"/>
    </w:rPr>
  </w:style>
  <w:style w:type="character" w:customStyle="1" w:styleId="63">
    <w:name w:val="正文文本 Char"/>
    <w:link w:val="21"/>
    <w:semiHidden/>
    <w:uiPriority w:val="0"/>
    <w:rPr>
      <w:rFonts w:ascii="仿宋_GB2312" w:eastAsia="仿宋_GB2312"/>
      <w:sz w:val="28"/>
      <w:lang w:val="en-US" w:eastAsia="zh-CN" w:bidi="ar-SA"/>
    </w:rPr>
  </w:style>
  <w:style w:type="character" w:customStyle="1" w:styleId="64">
    <w:name w:val="正文首行缩进 Char"/>
    <w:link w:val="22"/>
    <w:uiPriority w:val="0"/>
    <w:rPr>
      <w:rFonts w:ascii="Calibri" w:hAnsi="Calibri" w:eastAsia="宋体"/>
      <w:kern w:val="2"/>
      <w:sz w:val="21"/>
      <w:szCs w:val="22"/>
      <w:lang w:val="en-US" w:eastAsia="zh-CN" w:bidi="ar-SA"/>
    </w:rPr>
  </w:style>
  <w:style w:type="character" w:customStyle="1" w:styleId="65">
    <w:name w:val="纯文本 Char"/>
    <w:link w:val="26"/>
    <w:uiPriority w:val="0"/>
    <w:rPr>
      <w:rFonts w:ascii="宋体" w:hAnsi="Courier New" w:eastAsia="宋体"/>
      <w:kern w:val="2"/>
      <w:sz w:val="21"/>
      <w:lang w:val="en-US" w:eastAsia="zh-CN" w:bidi="ar-SA"/>
    </w:rPr>
  </w:style>
  <w:style w:type="character" w:customStyle="1" w:styleId="66">
    <w:name w:val="页脚 Char"/>
    <w:link w:val="31"/>
    <w:semiHidden/>
    <w:uiPriority w:val="0"/>
    <w:rPr>
      <w:rFonts w:ascii="宋体" w:eastAsia="宋体"/>
      <w:sz w:val="18"/>
      <w:lang w:val="en-US" w:eastAsia="zh-CN" w:bidi="ar-SA"/>
    </w:rPr>
  </w:style>
  <w:style w:type="character" w:customStyle="1" w:styleId="67">
    <w:name w:val="页眉 Char"/>
    <w:link w:val="33"/>
    <w:semiHidden/>
    <w:uiPriority w:val="0"/>
    <w:rPr>
      <w:rFonts w:ascii="宋体" w:eastAsia="宋体"/>
      <w:sz w:val="18"/>
      <w:lang w:val="en-US" w:eastAsia="zh-CN" w:bidi="ar-SA"/>
    </w:rPr>
  </w:style>
  <w:style w:type="character" w:customStyle="1" w:styleId="68">
    <w:name w:val=" Char Char1"/>
    <w:uiPriority w:val="0"/>
    <w:rPr>
      <w:kern w:val="2"/>
      <w:sz w:val="18"/>
      <w:szCs w:val="18"/>
    </w:rPr>
  </w:style>
  <w:style w:type="character" w:customStyle="1" w:styleId="69">
    <w:name w:val="Bullet list Char"/>
    <w:aliases w:val="H6 Char,BOD 4 Char,L6 Char,第五层条 Char,PIM 6 Char,h6 Char,Third Subheading Char,Legal Level 1. Char,Bullet (Single Lines) Char,正文六级标题 Char Char"/>
    <w:uiPriority w:val="0"/>
    <w:rPr>
      <w:rFonts w:ascii="Cambria" w:hAnsi="Cambria" w:eastAsia="宋体"/>
      <w:b/>
      <w:bCs/>
      <w:kern w:val="2"/>
      <w:sz w:val="24"/>
      <w:szCs w:val="24"/>
      <w:lang w:val="en-US" w:eastAsia="zh-CN" w:bidi="ar-SA"/>
    </w:rPr>
  </w:style>
  <w:style w:type="character" w:customStyle="1" w:styleId="70">
    <w:name w:val="font21"/>
    <w:uiPriority w:val="0"/>
    <w:rPr>
      <w:rFonts w:hint="eastAsia" w:ascii="黑体" w:hAnsi="宋体" w:eastAsia="黑体" w:cs="黑体"/>
      <w:color w:val="000000"/>
      <w:sz w:val="20"/>
      <w:szCs w:val="20"/>
      <w:u w:val="none"/>
    </w:rPr>
  </w:style>
  <w:style w:type="character" w:customStyle="1" w:styleId="71">
    <w:name w:val="title14"/>
    <w:uiPriority w:val="0"/>
  </w:style>
  <w:style w:type="character" w:customStyle="1" w:styleId="72">
    <w:name w:val="font3"/>
    <w:uiPriority w:val="0"/>
  </w:style>
  <w:style w:type="character" w:customStyle="1" w:styleId="73">
    <w:name w:val="line1"/>
    <w:uiPriority w:val="0"/>
    <w:rPr>
      <w:u w:val="none"/>
    </w:rPr>
  </w:style>
  <w:style w:type="character" w:customStyle="1" w:styleId="74">
    <w:name w:val="A C"/>
    <w:uiPriority w:val="0"/>
    <w:rPr>
      <w:rFonts w:ascii="仿宋_GB2312"/>
      <w:bCs/>
      <w:iCs/>
      <w:sz w:val="24"/>
    </w:rPr>
  </w:style>
  <w:style w:type="character" w:customStyle="1" w:styleId="75">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四号 Char1"/>
    <w:uiPriority w:val="0"/>
    <w:rPr>
      <w:rFonts w:eastAsia="宋体"/>
      <w:kern w:val="2"/>
      <w:sz w:val="21"/>
      <w:lang w:val="en-US" w:eastAsia="zh-CN" w:bidi="ar-SA"/>
    </w:rPr>
  </w:style>
  <w:style w:type="character" w:customStyle="1" w:styleId="76">
    <w:name w:val="font01"/>
    <w:uiPriority w:val="0"/>
    <w:rPr>
      <w:rFonts w:hint="default" w:ascii="Calibri" w:hAnsi="Calibri" w:cs="Calibri"/>
      <w:color w:val="000000"/>
      <w:sz w:val="20"/>
      <w:szCs w:val="20"/>
      <w:u w:val="none"/>
    </w:rPr>
  </w:style>
  <w:style w:type="character" w:customStyle="1" w:styleId="77">
    <w:name w:val="正文2 Char Char"/>
    <w:link w:val="78"/>
    <w:uiPriority w:val="0"/>
    <w:rPr>
      <w:kern w:val="2"/>
      <w:sz w:val="24"/>
    </w:rPr>
  </w:style>
  <w:style w:type="paragraph" w:customStyle="1" w:styleId="78">
    <w:name w:val="正文2"/>
    <w:basedOn w:val="1"/>
    <w:link w:val="77"/>
    <w:uiPriority w:val="0"/>
    <w:pPr>
      <w:adjustRightInd w:val="0"/>
      <w:spacing w:before="156" w:line="360" w:lineRule="auto"/>
      <w:ind w:firstLine="510" w:firstLineChars="200"/>
    </w:pPr>
    <w:rPr>
      <w:sz w:val="24"/>
      <w:szCs w:val="20"/>
    </w:rPr>
  </w:style>
  <w:style w:type="character" w:customStyle="1" w:styleId="79">
    <w:name w:val="普通文字 Char Char3"/>
    <w:aliases w:val="纯文本 Char Char Char2,普通文字 Char Char Char3,普通文字 Char Char Char Char3,普通文字 Char Char Char Char Char2,普通文字 Char3,Plain Text Char2,Texte Char2,普通文字1 Char2,普通文字2 Char2,普通文字3 Char2,普通文字4 Char2,普通文字5 Char2,普通文字6 Char2,普通文字11 Char1,普通文字21 Char1"/>
    <w:locked/>
    <w:uiPriority w:val="0"/>
    <w:rPr>
      <w:rFonts w:ascii="宋体" w:hAnsi="Courier New" w:eastAsia="宋体"/>
      <w:kern w:val="2"/>
      <w:sz w:val="21"/>
      <w:lang w:val="en-US" w:eastAsia="zh-CN" w:bidi="ar-SA"/>
    </w:rPr>
  </w:style>
  <w:style w:type="character" w:customStyle="1" w:styleId="80">
    <w:name w:val=" Char Char2"/>
    <w:uiPriority w:val="0"/>
    <w:rPr>
      <w:rFonts w:ascii="宋体" w:hAnsi="Courier New" w:eastAsia="宋体"/>
      <w:sz w:val="21"/>
      <w:lang w:val="en-US" w:eastAsia="zh-CN" w:bidi="ar-SA"/>
    </w:rPr>
  </w:style>
  <w:style w:type="character" w:customStyle="1" w:styleId="81">
    <w:name w:val="content"/>
    <w:uiPriority w:val="0"/>
  </w:style>
  <w:style w:type="character" w:customStyle="1" w:styleId="82">
    <w:name w:val="letter list Char"/>
    <w:aliases w:val="PIM 7 Char,L7 Char,Legal Level 1.1. Char,1.标题 6 Char,（1） Char,不用 Char,H TIMES1 Char,正文七级标题 Char Char"/>
    <w:uiPriority w:val="0"/>
    <w:rPr>
      <w:rFonts w:ascii="Calibri" w:hAnsi="Calibri" w:eastAsia="仿宋"/>
      <w:b/>
      <w:bCs/>
      <w:kern w:val="2"/>
      <w:sz w:val="24"/>
      <w:szCs w:val="24"/>
      <w:lang w:val="en-US" w:eastAsia="zh-CN" w:bidi="ar-SA"/>
    </w:rPr>
  </w:style>
  <w:style w:type="character" w:customStyle="1" w:styleId="83">
    <w:name w:val="button1"/>
    <w:uiPriority w:val="0"/>
    <w:rPr>
      <w:rFonts w:hint="default" w:ascii="Verdana" w:hAnsi="Verdana"/>
      <w:b/>
      <w:bCs/>
      <w:sz w:val="20"/>
      <w:szCs w:val="20"/>
    </w:rPr>
  </w:style>
  <w:style w:type="character" w:customStyle="1" w:styleId="84">
    <w:name w:val="列表1、 Char"/>
    <w:link w:val="85"/>
    <w:locked/>
    <w:uiPriority w:val="0"/>
    <w:rPr>
      <w:rFonts w:ascii="仿宋" w:hAnsi="仿宋" w:eastAsia="仿宋"/>
      <w:kern w:val="2"/>
      <w:sz w:val="28"/>
      <w:szCs w:val="21"/>
      <w:lang w:val="en-US" w:eastAsia="zh-CN" w:bidi="ar-SA"/>
    </w:rPr>
  </w:style>
  <w:style w:type="paragraph" w:customStyle="1" w:styleId="85">
    <w:name w:val="列表1、"/>
    <w:basedOn w:val="86"/>
    <w:link w:val="84"/>
    <w:uiPriority w:val="0"/>
    <w:pPr>
      <w:numPr>
        <w:ilvl w:val="0"/>
        <w:numId w:val="6"/>
      </w:numPr>
      <w:tabs>
        <w:tab w:val="left" w:pos="1276"/>
      </w:tabs>
      <w:spacing w:line="360" w:lineRule="auto"/>
      <w:ind w:firstLineChars="0"/>
      <w:jc w:val="left"/>
    </w:pPr>
    <w:rPr>
      <w:rFonts w:ascii="仿宋" w:hAnsi="仿宋" w:eastAsia="仿宋"/>
      <w:sz w:val="28"/>
      <w:szCs w:val="21"/>
    </w:rPr>
  </w:style>
  <w:style w:type="paragraph" w:styleId="86">
    <w:name w:val="List Paragraph"/>
    <w:basedOn w:val="1"/>
    <w:link w:val="87"/>
    <w:qFormat/>
    <w:uiPriority w:val="0"/>
    <w:pPr>
      <w:ind w:firstLine="420" w:firstLineChars="200"/>
    </w:pPr>
    <w:rPr>
      <w:szCs w:val="22"/>
    </w:rPr>
  </w:style>
  <w:style w:type="character" w:customStyle="1" w:styleId="87">
    <w:name w:val="列出段落 Char"/>
    <w:link w:val="86"/>
    <w:locked/>
    <w:uiPriority w:val="0"/>
    <w:rPr>
      <w:rFonts w:ascii="Calibri" w:hAnsi="Calibri" w:eastAsia="宋体"/>
      <w:kern w:val="2"/>
      <w:sz w:val="21"/>
      <w:szCs w:val="22"/>
      <w:lang w:val="en-US" w:eastAsia="zh-CN" w:bidi="ar-SA"/>
    </w:rPr>
  </w:style>
  <w:style w:type="character" w:customStyle="1" w:styleId="88">
    <w:name w:val="表正文 Char1"/>
    <w:aliases w:val="正文非缩进 Char1,标题4 Char1,特点 Char2,正文不缩进 Char1,段1 Char1,no-step Char,ALT+Z Char1,特点 Char Char1,水上软件 Char1,特点标题 Char,特点正文 Char,PI Char,正文文字首行缩进 Char,bt Char2,Indent 1 Char1,四号 Char2,正文（首行缩进两字） Char Char1,缩进 Char1,特点1 Char,表正文1 Char,正文非缩进1 Char"/>
    <w:uiPriority w:val="0"/>
    <w:rPr>
      <w:rFonts w:eastAsia="宋体"/>
      <w:kern w:val="2"/>
      <w:sz w:val="24"/>
      <w:szCs w:val="24"/>
      <w:lang w:val="en-US" w:eastAsia="zh-CN" w:bidi="ar-SA"/>
    </w:rPr>
  </w:style>
  <w:style w:type="character" w:customStyle="1" w:styleId="89">
    <w:name w:val="style1"/>
    <w:uiPriority w:val="0"/>
  </w:style>
  <w:style w:type="character" w:customStyle="1" w:styleId="90">
    <w:name w:val="2.标题 2"/>
    <w:aliases w:val="Fab-2,ISO1"/>
    <w:uiPriority w:val="0"/>
    <w:rPr>
      <w:rFonts w:ascii="仿宋_GB2312"/>
      <w:bCs/>
      <w:iCs/>
      <w:sz w:val="24"/>
    </w:rPr>
  </w:style>
  <w:style w:type="character" w:customStyle="1" w:styleId="91">
    <w:name w:val="font41"/>
    <w:uiPriority w:val="0"/>
    <w:rPr>
      <w:rFonts w:hint="eastAsia" w:ascii="宋体" w:hAnsi="宋体" w:eastAsia="宋体" w:cs="宋体"/>
      <w:color w:val="000000"/>
      <w:sz w:val="21"/>
      <w:szCs w:val="21"/>
      <w:u w:val="none"/>
    </w:rPr>
  </w:style>
  <w:style w:type="character" w:customStyle="1" w:styleId="92">
    <w:name w:val="样式 小四"/>
    <w:uiPriority w:val="0"/>
    <w:rPr>
      <w:sz w:val="21"/>
    </w:rPr>
  </w:style>
  <w:style w:type="character" w:customStyle="1" w:styleId="93">
    <w:name w:val="hei16b1"/>
    <w:uiPriority w:val="0"/>
    <w:rPr>
      <w:rFonts w:hint="default" w:ascii="Arial" w:hAnsi="Arial" w:cs="Arial"/>
      <w:b/>
      <w:bCs/>
      <w:color w:val="000000"/>
      <w:sz w:val="24"/>
      <w:szCs w:val="24"/>
    </w:rPr>
  </w:style>
  <w:style w:type="character" w:customStyle="1" w:styleId="94">
    <w:name w:val="huide001"/>
    <w:uiPriority w:val="0"/>
    <w:rPr>
      <w:rFonts w:hint="default" w:ascii="Arial" w:hAnsi="Arial" w:cs="Arial"/>
      <w:color w:val="666666"/>
      <w:sz w:val="18"/>
      <w:szCs w:val="18"/>
    </w:rPr>
  </w:style>
  <w:style w:type="character" w:customStyle="1" w:styleId="95">
    <w:name w:val="H4 Char"/>
    <w:aliases w:val="heading 4 Char,h4 Char,PIM 4 Char,bullet Char,bl Char,bb Char,H41 Char,H42 Char,H43 Char,H44 Char,H45 Char,H46 Char,H47 Char,H48 Char,H49 Char,H410 Char,H411 Char,H421 Char,H431 Char,H441 Char,H451 Char,H461 Char,H471 Char,H481 Char,H491 Char"/>
    <w:uiPriority w:val="0"/>
    <w:rPr>
      <w:rFonts w:ascii="Cambria" w:hAnsi="Cambria" w:eastAsia="宋体"/>
      <w:b/>
      <w:bCs/>
      <w:kern w:val="2"/>
      <w:sz w:val="28"/>
      <w:szCs w:val="28"/>
      <w:lang w:val="en-US" w:eastAsia="zh-CN" w:bidi="ar-SA"/>
    </w:rPr>
  </w:style>
  <w:style w:type="character" w:customStyle="1" w:styleId="96">
    <w:name w:val="tw4winExternal"/>
    <w:uiPriority w:val="0"/>
    <w:rPr>
      <w:rFonts w:ascii="Courier New" w:hAnsi="Courier New"/>
      <w:color w:val="808080"/>
    </w:rPr>
  </w:style>
  <w:style w:type="character" w:customStyle="1" w:styleId="97">
    <w:name w:val="bt Char1"/>
    <w:aliases w:val="Body Text(ch) Char1, ändrad Char1, ändrad Char Char,正文文字(ALT+W) Char,body text Char1,ändrad Char1,EHPT Char1,Body Text2 Char1,正文文字 Char1 Char,Body Text(ch) Char Char,body text Char Char,bt Char Char,ändrad Char Char,EHPT Char Char,Indent 1 Char"/>
    <w:uiPriority w:val="0"/>
    <w:rPr>
      <w:rFonts w:eastAsia="宋体"/>
      <w:kern w:val="2"/>
      <w:sz w:val="28"/>
      <w:szCs w:val="24"/>
      <w:lang w:val="en-US" w:eastAsia="zh-CN" w:bidi="ar-SA"/>
    </w:rPr>
  </w:style>
  <w:style w:type="character" w:customStyle="1" w:styleId="98">
    <w:name w:val="a Char"/>
    <w:link w:val="99"/>
    <w:uiPriority w:val="0"/>
    <w:rPr>
      <w:rFonts w:ascii="宋体" w:hAnsi="宋体" w:eastAsia="仿宋_GB2312"/>
      <w:sz w:val="24"/>
      <w:lang w:val="en-US" w:eastAsia="zh-CN" w:bidi="ar-SA"/>
    </w:rPr>
  </w:style>
  <w:style w:type="paragraph" w:customStyle="1" w:styleId="99">
    <w:name w:val="a"/>
    <w:basedOn w:val="1"/>
    <w:link w:val="98"/>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0">
    <w:name w:val="wz1"/>
    <w:uiPriority w:val="0"/>
  </w:style>
  <w:style w:type="character" w:customStyle="1" w:styleId="101">
    <w:name w:val="point_normal1"/>
    <w:uiPriority w:val="0"/>
    <w:rPr>
      <w:rFonts w:hint="default" w:ascii="Arial" w:hAnsi="Arial" w:cs="Arial"/>
      <w:sz w:val="18"/>
      <w:szCs w:val="18"/>
    </w:rPr>
  </w:style>
  <w:style w:type="character" w:customStyle="1" w:styleId="102">
    <w:name w:val="font11"/>
    <w:uiPriority w:val="0"/>
    <w:rPr>
      <w:rFonts w:hint="default" w:ascii="Times New Roman" w:hAnsi="Times New Roman" w:cs="Times New Roman"/>
      <w:color w:val="000000"/>
      <w:sz w:val="21"/>
      <w:szCs w:val="21"/>
      <w:u w:val="none"/>
    </w:rPr>
  </w:style>
  <w:style w:type="character" w:customStyle="1" w:styleId="103">
    <w:name w:val="flname7"/>
    <w:uiPriority w:val="0"/>
  </w:style>
  <w:style w:type="character" w:customStyle="1" w:styleId="104">
    <w:name w:val="s"/>
    <w:uiPriority w:val="0"/>
  </w:style>
  <w:style w:type="character" w:customStyle="1" w:styleId="105">
    <w:name w:val="标题 3 Char"/>
    <w:uiPriority w:val="0"/>
    <w:rPr>
      <w:rFonts w:eastAsia="宋体"/>
      <w:b/>
      <w:kern w:val="2"/>
      <w:sz w:val="32"/>
      <w:lang w:val="en-US" w:eastAsia="zh-CN"/>
    </w:rPr>
  </w:style>
  <w:style w:type="character" w:customStyle="1" w:styleId="106">
    <w:name w:val="dash Char"/>
    <w:aliases w:val="ds Char,dd Char,heading 5 Char,H5 Char,Level 3 - i Char,Roman list Char,Appendix A  Heading 5 Char,h5 Char,PIM 5 Char,h51 Char,heading 51 Char,h52 Char,heading 52 Char,h53 Char,heading 53 Char,Heading5 Char,l5 Char,5 Char,ITT t5 Char,口 Char"/>
    <w:uiPriority w:val="0"/>
    <w:rPr>
      <w:rFonts w:ascii="Calibri" w:hAnsi="Calibri" w:eastAsia="宋体"/>
      <w:b/>
      <w:bCs/>
      <w:kern w:val="2"/>
      <w:sz w:val="28"/>
      <w:szCs w:val="28"/>
      <w:lang w:val="en-US" w:eastAsia="zh-CN" w:bidi="ar-SA"/>
    </w:rPr>
  </w:style>
  <w:style w:type="character" w:customStyle="1" w:styleId="107">
    <w:name w:val="para"/>
    <w:uiPriority w:val="0"/>
  </w:style>
  <w:style w:type="character" w:customStyle="1" w:styleId="108">
    <w:name w:val="unnamed11"/>
    <w:uiPriority w:val="0"/>
    <w:rPr>
      <w:sz w:val="20"/>
      <w:szCs w:val="20"/>
    </w:rPr>
  </w:style>
  <w:style w:type="character" w:customStyle="1" w:styleId="109">
    <w:name w:val="tw4winTerm"/>
    <w:uiPriority w:val="0"/>
    <w:rPr>
      <w:color w:val="0000FF"/>
    </w:rPr>
  </w:style>
  <w:style w:type="character" w:customStyle="1" w:styleId="110">
    <w:name w:val="search_content1"/>
    <w:uiPriority w:val="0"/>
    <w:rPr>
      <w:sz w:val="20"/>
      <w:szCs w:val="20"/>
    </w:rPr>
  </w:style>
  <w:style w:type="character" w:customStyle="1" w:styleId="111">
    <w:name w:val="body001"/>
    <w:uiPriority w:val="0"/>
    <w:rPr>
      <w:rFonts w:hint="default" w:ascii="ˎ̥" w:hAnsi="ˎ̥"/>
      <w:color w:val="333333"/>
      <w:sz w:val="18"/>
      <w:szCs w:val="18"/>
    </w:rPr>
  </w:style>
  <w:style w:type="character" w:customStyle="1" w:styleId="112">
    <w:name w:val="huei12b1"/>
    <w:uiPriority w:val="0"/>
    <w:rPr>
      <w:b/>
      <w:bCs/>
      <w:color w:val="333333"/>
      <w:sz w:val="20"/>
      <w:szCs w:val="20"/>
    </w:rPr>
  </w:style>
  <w:style w:type="character" w:customStyle="1" w:styleId="113">
    <w:name w:val="font51"/>
    <w:uiPriority w:val="0"/>
    <w:rPr>
      <w:rFonts w:hint="default" w:ascii="Calibri" w:hAnsi="Calibri" w:cs="Calibri"/>
      <w:color w:val="000000"/>
      <w:sz w:val="21"/>
      <w:szCs w:val="21"/>
      <w:u w:val="none"/>
    </w:rPr>
  </w:style>
  <w:style w:type="character" w:customStyle="1" w:styleId="114">
    <w:name w:val="style8"/>
    <w:uiPriority w:val="0"/>
  </w:style>
  <w:style w:type="character" w:customStyle="1" w:styleId="115">
    <w:name w:val="l17"/>
    <w:uiPriority w:val="0"/>
  </w:style>
  <w:style w:type="character" w:customStyle="1" w:styleId="116">
    <w:name w:val="tpc_content1"/>
    <w:uiPriority w:val="0"/>
    <w:rPr>
      <w:sz w:val="20"/>
      <w:szCs w:val="20"/>
    </w:rPr>
  </w:style>
  <w:style w:type="character" w:customStyle="1" w:styleId="117">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118">
    <w:name w:val="standdate1"/>
    <w:uiPriority w:val="0"/>
    <w:rPr>
      <w:rFonts w:ascii="黑体" w:hAnsi="Times New Roman" w:eastAsia="黑体"/>
      <w:color w:val="auto"/>
      <w:sz w:val="24"/>
      <w:u w:val="none"/>
    </w:rPr>
  </w:style>
  <w:style w:type="character" w:customStyle="1" w:styleId="119">
    <w:name w:val="List Paragraph Char"/>
    <w:link w:val="120"/>
    <w:uiPriority w:val="0"/>
    <w:rPr>
      <w:rFonts w:eastAsia="宋体"/>
      <w:kern w:val="2"/>
      <w:sz w:val="21"/>
      <w:szCs w:val="24"/>
      <w:lang w:val="en-US" w:eastAsia="zh-CN" w:bidi="ar-SA"/>
    </w:rPr>
  </w:style>
  <w:style w:type="paragraph" w:customStyle="1" w:styleId="120">
    <w:name w:val="List Paragraph"/>
    <w:basedOn w:val="1"/>
    <w:link w:val="119"/>
    <w:uiPriority w:val="0"/>
    <w:pPr>
      <w:ind w:firstLine="420" w:firstLineChars="200"/>
    </w:pPr>
  </w:style>
  <w:style w:type="character" w:customStyle="1" w:styleId="121">
    <w:name w:val="unnamed1"/>
    <w:uiPriority w:val="0"/>
  </w:style>
  <w:style w:type="character" w:customStyle="1" w:styleId="122">
    <w:name w:val="style181"/>
    <w:uiPriority w:val="0"/>
    <w:rPr>
      <w:rFonts w:hint="default" w:ascii="Arial" w:hAnsi="Arial" w:cs="Arial"/>
      <w:color w:val="000000"/>
      <w:sz w:val="18"/>
      <w:szCs w:val="18"/>
    </w:rPr>
  </w:style>
  <w:style w:type="character" w:customStyle="1" w:styleId="123">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24">
    <w:name w:val="b titlename wangputoptitle"/>
    <w:uiPriority w:val="0"/>
  </w:style>
  <w:style w:type="character" w:customStyle="1" w:styleId="125">
    <w:name w:val="tw4winJump"/>
    <w:uiPriority w:val="0"/>
    <w:rPr>
      <w:rFonts w:ascii="Courier New" w:hAnsi="Courier New"/>
      <w:color w:val="008080"/>
    </w:rPr>
  </w:style>
  <w:style w:type="character" w:customStyle="1" w:styleId="126">
    <w:name w:val="tw4winMark"/>
    <w:uiPriority w:val="0"/>
    <w:rPr>
      <w:rFonts w:ascii="Courier New" w:hAnsi="Courier New"/>
      <w:vanish/>
      <w:color w:val="800080"/>
      <w:vertAlign w:val="subscript"/>
    </w:rPr>
  </w:style>
  <w:style w:type="character" w:customStyle="1" w:styleId="127">
    <w:name w:val="标题 1 Char Char"/>
    <w:uiPriority w:val="0"/>
    <w:rPr>
      <w:rFonts w:eastAsia="宋体"/>
      <w:b/>
      <w:spacing w:val="-2"/>
      <w:sz w:val="24"/>
      <w:lang w:val="en-US" w:eastAsia="zh-CN" w:bidi="ar-SA"/>
    </w:rPr>
  </w:style>
  <w:style w:type="character" w:customStyle="1" w:styleId="128">
    <w:name w:val="tw4winError"/>
    <w:uiPriority w:val="0"/>
    <w:rPr>
      <w:rFonts w:ascii="Courier New" w:hAnsi="Courier New"/>
      <w:color w:val="00FF00"/>
      <w:sz w:val="40"/>
    </w:rPr>
  </w:style>
  <w:style w:type="character" w:customStyle="1" w:styleId="129">
    <w:name w:val="maywed421"/>
    <w:uiPriority w:val="0"/>
    <w:rPr>
      <w:color w:val="366FB6"/>
      <w:u w:val="none"/>
    </w:rPr>
  </w:style>
  <w:style w:type="character" w:customStyle="1" w:styleId="130">
    <w:name w:val="样式(-) Char"/>
    <w:link w:val="131"/>
    <w:locked/>
    <w:uiPriority w:val="0"/>
    <w:rPr>
      <w:rFonts w:ascii="Calibri" w:hAnsi="Calibri" w:eastAsia="仿宋"/>
      <w:b/>
      <w:kern w:val="2"/>
      <w:sz w:val="28"/>
      <w:szCs w:val="21"/>
      <w:lang w:val="en-US" w:eastAsia="zh-CN" w:bidi="ar-SA"/>
    </w:rPr>
  </w:style>
  <w:style w:type="paragraph" w:customStyle="1" w:styleId="131">
    <w:name w:val="样式(-)"/>
    <w:basedOn w:val="86"/>
    <w:link w:val="130"/>
    <w:uiPriority w:val="0"/>
    <w:pPr>
      <w:numPr>
        <w:ilvl w:val="0"/>
        <w:numId w:val="7"/>
      </w:numPr>
      <w:spacing w:line="360" w:lineRule="auto"/>
      <w:ind w:firstLineChars="0"/>
      <w:jc w:val="left"/>
    </w:pPr>
    <w:rPr>
      <w:rFonts w:eastAsia="仿宋"/>
      <w:b/>
      <w:sz w:val="28"/>
      <w:szCs w:val="21"/>
    </w:rPr>
  </w:style>
  <w:style w:type="character" w:customStyle="1" w:styleId="132">
    <w:name w:val="tw4winPopup"/>
    <w:uiPriority w:val="0"/>
    <w:rPr>
      <w:rFonts w:ascii="Courier New" w:hAnsi="Courier New"/>
      <w:color w:val="008000"/>
    </w:rPr>
  </w:style>
  <w:style w:type="character" w:customStyle="1" w:styleId="133">
    <w:name w:val="font61"/>
    <w:uiPriority w:val="0"/>
    <w:rPr>
      <w:rFonts w:hint="eastAsia" w:ascii="宋体" w:hAnsi="宋体" w:eastAsia="宋体" w:cs="宋体"/>
      <w:color w:val="000000"/>
      <w:sz w:val="21"/>
      <w:szCs w:val="21"/>
      <w:u w:val="none"/>
    </w:rPr>
  </w:style>
  <w:style w:type="character" w:customStyle="1" w:styleId="134">
    <w:name w:val="tw4winInternal"/>
    <w:uiPriority w:val="0"/>
    <w:rPr>
      <w:rFonts w:ascii="Courier New" w:hAnsi="Courier New"/>
      <w:color w:val="FF0000"/>
    </w:rPr>
  </w:style>
  <w:style w:type="character" w:customStyle="1" w:styleId="135">
    <w:name w:val="H1 Char"/>
    <w:aliases w:val="Heading 0 Char,h1 Char,1. Char,PIM 1 Char,section Char,heading 1.1 Char,L1 Char,dd heading 1 Char,dh1 Char,SITA Char,Section Head Char,Header1 Char,章节 Char,Level 1 Topic Heading Char,Level 1 Head Char,H11 Char,H12 Char,H111 Char,H13 Char,l1 Char"/>
    <w:uiPriority w:val="0"/>
    <w:rPr>
      <w:rFonts w:eastAsia="宋体"/>
      <w:b/>
      <w:bCs/>
      <w:kern w:val="44"/>
      <w:sz w:val="44"/>
      <w:szCs w:val="44"/>
      <w:lang w:val="en-US" w:eastAsia="zh-CN" w:bidi="ar-SA"/>
    </w:rPr>
  </w:style>
  <w:style w:type="paragraph" w:customStyle="1" w:styleId="136">
    <w:name w:val="样式 标题 3Chapter X.X.X. + 五号 段后: 0.5 行"/>
    <w:basedOn w:val="7"/>
    <w:uiPriority w:val="0"/>
    <w:pPr>
      <w:keepLines w:val="0"/>
      <w:spacing w:before="120" w:after="120" w:afterLines="50" w:line="240" w:lineRule="auto"/>
      <w:jc w:val="left"/>
    </w:pPr>
    <w:rPr>
      <w:rFonts w:ascii="宋体" w:hAnsi="Times New Roman" w:cs="宋体"/>
      <w:bCs/>
      <w:snapToGrid w:val="0"/>
      <w:color w:val="auto"/>
      <w:kern w:val="0"/>
      <w:sz w:val="21"/>
    </w:rPr>
  </w:style>
  <w:style w:type="paragraph" w:customStyle="1" w:styleId="137">
    <w:name w:val="标题3"/>
    <w:basedOn w:val="7"/>
    <w:uiPriority w:val="0"/>
    <w:pPr>
      <w:spacing w:before="260" w:after="260" w:line="416" w:lineRule="auto"/>
    </w:pPr>
    <w:rPr>
      <w:rFonts w:ascii="宋体" w:hAnsi="宋体" w:cs="Times New Roman"/>
      <w:bCs/>
      <w:color w:val="auto"/>
      <w:szCs w:val="28"/>
    </w:rPr>
  </w:style>
  <w:style w:type="paragraph" w:customStyle="1" w:styleId="138">
    <w:name w:val="此正文"/>
    <w:basedOn w:val="1"/>
    <w:uiPriority w:val="0"/>
    <w:pPr>
      <w:spacing w:line="360" w:lineRule="auto"/>
      <w:ind w:firstLine="200" w:firstLineChars="200"/>
    </w:pPr>
    <w:rPr>
      <w:sz w:val="24"/>
      <w:szCs w:val="20"/>
    </w:rPr>
  </w:style>
  <w:style w:type="paragraph" w:customStyle="1" w:styleId="139">
    <w:name w:val="样式 样式 标题 3Chapter X.X.X. + 段后: 0.5 行 + 段后: 0.5 行"/>
    <w:basedOn w:val="140"/>
    <w:uiPriority w:val="0"/>
  </w:style>
  <w:style w:type="paragraph" w:customStyle="1" w:styleId="140">
    <w:name w:val="样式 标题 3Chapter X.X.X. + 段后: 0.5 行"/>
    <w:basedOn w:val="7"/>
    <w:uiPriority w:val="0"/>
    <w:pPr>
      <w:keepLines w:val="0"/>
      <w:spacing w:before="120" w:after="50" w:afterLines="50" w:line="240" w:lineRule="auto"/>
      <w:jc w:val="left"/>
    </w:pPr>
    <w:rPr>
      <w:rFonts w:ascii="宋体" w:hAnsi="Times New Roman" w:cs="宋体"/>
      <w:bCs/>
      <w:snapToGrid w:val="0"/>
      <w:color w:val="auto"/>
      <w:kern w:val="0"/>
      <w:sz w:val="24"/>
    </w:rPr>
  </w:style>
  <w:style w:type="paragraph" w:customStyle="1" w:styleId="141">
    <w:name w:val="表格内容"/>
    <w:basedOn w:val="21"/>
    <w:uiPriority w:val="0"/>
    <w:pPr>
      <w:numPr>
        <w:ilvl w:val="0"/>
        <w:numId w:val="8"/>
      </w:numPr>
      <w:suppressLineNumbers/>
      <w:tabs>
        <w:tab w:val="clear" w:pos="360"/>
      </w:tabs>
      <w:suppressAutoHyphens/>
      <w:adjustRightInd/>
      <w:spacing w:after="120" w:line="240" w:lineRule="auto"/>
      <w:ind w:left="0" w:firstLine="0"/>
      <w:jc w:val="both"/>
      <w:textAlignment w:val="auto"/>
    </w:pPr>
    <w:rPr>
      <w:rFonts w:ascii="Times New Roman" w:eastAsia="宋体"/>
      <w:kern w:val="1"/>
      <w:sz w:val="21"/>
      <w:szCs w:val="24"/>
      <w:lang w:eastAsia="ar-SA"/>
    </w:rPr>
  </w:style>
  <w:style w:type="paragraph" w:customStyle="1" w:styleId="142">
    <w:name w:val="样式 左侧:  1 厘米 段后: 0.5 行"/>
    <w:basedOn w:val="1"/>
    <w:uiPriority w:val="0"/>
    <w:pPr>
      <w:spacing w:after="50" w:afterLines="50"/>
      <w:ind w:firstLine="425"/>
      <w:jc w:val="left"/>
    </w:pPr>
    <w:rPr>
      <w:rFonts w:ascii="宋体" w:cs="宋体"/>
      <w:snapToGrid w:val="0"/>
      <w:kern w:val="0"/>
      <w:szCs w:val="20"/>
    </w:rPr>
  </w:style>
  <w:style w:type="paragraph" w:customStyle="1" w:styleId="143">
    <w:name w:val="样式 首行缩进:  2 字符"/>
    <w:basedOn w:val="1"/>
    <w:uiPriority w:val="0"/>
    <w:pPr>
      <w:ind w:firstLine="420" w:firstLineChars="200"/>
    </w:pPr>
    <w:rPr>
      <w:sz w:val="28"/>
      <w:szCs w:val="20"/>
    </w:rPr>
  </w:style>
  <w:style w:type="paragraph" w:customStyle="1" w:styleId="144">
    <w:name w:val="正文段"/>
    <w:basedOn w:val="1"/>
    <w:uiPriority w:val="0"/>
    <w:pPr>
      <w:widowControl/>
      <w:snapToGrid w:val="0"/>
      <w:spacing w:after="50" w:afterLines="50"/>
      <w:ind w:firstLine="200" w:firstLineChars="200"/>
    </w:pPr>
    <w:rPr>
      <w:kern w:val="0"/>
      <w:sz w:val="24"/>
      <w:szCs w:val="20"/>
    </w:rPr>
  </w:style>
  <w:style w:type="paragraph" w:customStyle="1" w:styleId="145">
    <w:name w:val="样式 标题 1 + 段后: 0.5 行"/>
    <w:basedOn w:val="5"/>
    <w:uiPriority w:val="0"/>
    <w:pPr>
      <w:keepLines w:val="0"/>
      <w:spacing w:before="120" w:after="120" w:afterLines="50" w:line="240" w:lineRule="auto"/>
      <w:jc w:val="left"/>
    </w:pPr>
    <w:rPr>
      <w:rFonts w:ascii="宋体" w:cs="宋体"/>
      <w:snapToGrid w:val="0"/>
      <w:kern w:val="0"/>
      <w:sz w:val="28"/>
      <w:szCs w:val="20"/>
    </w:rPr>
  </w:style>
  <w:style w:type="paragraph" w:customStyle="1" w:styleId="146">
    <w:name w:val="段"/>
    <w:uiPriority w:val="0"/>
    <w:pPr>
      <w:autoSpaceDE w:val="0"/>
      <w:autoSpaceDN w:val="0"/>
      <w:ind w:firstLine="200" w:firstLineChars="200"/>
      <w:jc w:val="both"/>
    </w:pPr>
    <w:rPr>
      <w:rFonts w:ascii="宋体"/>
      <w:sz w:val="21"/>
      <w:lang w:val="en-US" w:eastAsia="zh-CN" w:bidi="ar-SA"/>
    </w:rPr>
  </w:style>
  <w:style w:type="paragraph" w:customStyle="1" w:styleId="147">
    <w:name w:val="样式 标题 4"/>
    <w:basedOn w:val="148"/>
    <w:next w:val="150"/>
    <w:uiPriority w:val="0"/>
    <w:pPr>
      <w:numPr>
        <w:ilvl w:val="3"/>
        <w:numId w:val="9"/>
      </w:numPr>
      <w:spacing w:after="50"/>
    </w:pPr>
  </w:style>
  <w:style w:type="paragraph" w:customStyle="1" w:styleId="148">
    <w:name w:val="样式 标题 4Chapter X.X.X.X. + 段后: 0.5 行1"/>
    <w:basedOn w:val="149"/>
    <w:uiPriority w:val="0"/>
    <w:pPr>
      <w:spacing w:after="120"/>
    </w:pPr>
  </w:style>
  <w:style w:type="paragraph" w:customStyle="1" w:styleId="149">
    <w:name w:val="样式 标题 4 + 段后: 0.5 行"/>
    <w:basedOn w:val="8"/>
    <w:uiPriority w:val="0"/>
    <w:pPr>
      <w:keepLines w:val="0"/>
      <w:spacing w:before="120" w:after="50" w:afterLines="50" w:line="240" w:lineRule="auto"/>
      <w:jc w:val="left"/>
    </w:pPr>
    <w:rPr>
      <w:rFonts w:ascii="宋体" w:hAnsi="Times New Roman" w:cs="宋体"/>
      <w:snapToGrid w:val="0"/>
      <w:kern w:val="0"/>
      <w:sz w:val="21"/>
      <w:szCs w:val="20"/>
    </w:rPr>
  </w:style>
  <w:style w:type="paragraph" w:customStyle="1" w:styleId="150">
    <w:name w:val="样式 正文"/>
    <w:basedOn w:val="1"/>
    <w:next w:val="1"/>
    <w:uiPriority w:val="0"/>
    <w:pPr>
      <w:numPr>
        <w:ilvl w:val="3"/>
        <w:numId w:val="10"/>
      </w:numPr>
      <w:spacing w:after="120" w:afterLines="50"/>
      <w:jc w:val="left"/>
    </w:pPr>
    <w:rPr>
      <w:rFonts w:ascii="宋体" w:cs="宋体"/>
      <w:snapToGrid w:val="0"/>
      <w:kern w:val="0"/>
      <w:szCs w:val="20"/>
    </w:rPr>
  </w:style>
  <w:style w:type="paragraph" w:customStyle="1" w:styleId="151">
    <w:name w:val="最新标题4"/>
    <w:basedOn w:val="147"/>
    <w:next w:val="1"/>
    <w:uiPriority w:val="0"/>
    <w:pPr>
      <w:numPr>
        <w:ilvl w:val="3"/>
        <w:numId w:val="11"/>
      </w:numPr>
      <w:spacing w:after="120"/>
    </w:pPr>
  </w:style>
  <w:style w:type="paragraph" w:customStyle="1" w:styleId="15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3">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4">
    <w:name w:val="文本框内文字"/>
    <w:basedOn w:val="1"/>
    <w:uiPriority w:val="0"/>
    <w:pPr>
      <w:spacing w:line="0" w:lineRule="atLeast"/>
    </w:pPr>
    <w:rPr>
      <w:rFonts w:eastAsia="仿宋_GB2312"/>
      <w:sz w:val="22"/>
    </w:rPr>
  </w:style>
  <w:style w:type="paragraph" w:customStyle="1" w:styleId="155">
    <w:name w:val="Paragraph4"/>
    <w:basedOn w:val="1"/>
    <w:uiPriority w:val="0"/>
    <w:pPr>
      <w:spacing w:before="80" w:after="50" w:afterLines="50"/>
      <w:ind w:left="2250"/>
    </w:pPr>
    <w:rPr>
      <w:rFonts w:ascii="宋体"/>
      <w:snapToGrid w:val="0"/>
      <w:kern w:val="0"/>
      <w:szCs w:val="20"/>
    </w:rPr>
  </w:style>
  <w:style w:type="paragraph" w:customStyle="1" w:styleId="156">
    <w:name w:val="圆点"/>
    <w:basedOn w:val="1"/>
    <w:uiPriority w:val="0"/>
    <w:pPr>
      <w:spacing w:before="120" w:beforeLines="50" w:after="120" w:afterLines="50" w:line="360" w:lineRule="auto"/>
      <w:ind w:firstLine="480" w:firstLineChars="200"/>
    </w:pPr>
    <w:rPr>
      <w:rFonts w:ascii="仿宋_GB2312" w:eastAsia="仿宋_GB2312"/>
      <w:sz w:val="24"/>
    </w:rPr>
  </w:style>
  <w:style w:type="paragraph" w:customStyle="1" w:styleId="157">
    <w:name w:val=" 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158">
    <w:name w:val=" Char Char Char"/>
    <w:basedOn w:val="1"/>
    <w:uiPriority w:val="0"/>
    <w:rPr>
      <w:rFonts w:ascii="Tahoma" w:hAnsi="Tahoma"/>
      <w:sz w:val="24"/>
      <w:szCs w:val="20"/>
    </w:rPr>
  </w:style>
  <w:style w:type="paragraph" w:customStyle="1" w:styleId="159">
    <w:name w:val="1 Char Char Char Char"/>
    <w:basedOn w:val="1"/>
    <w:uiPriority w:val="0"/>
    <w:rPr>
      <w:rFonts w:ascii="Tahoma" w:hAnsi="Tahoma"/>
      <w:sz w:val="24"/>
      <w:szCs w:val="20"/>
    </w:rPr>
  </w:style>
  <w:style w:type="paragraph" w:customStyle="1" w:styleId="160">
    <w:name w:val="Item List"/>
    <w:uiPriority w:val="0"/>
    <w:pPr>
      <w:numPr>
        <w:ilvl w:val="0"/>
        <w:numId w:val="12"/>
      </w:numPr>
      <w:spacing w:line="300" w:lineRule="auto"/>
      <w:jc w:val="both"/>
    </w:pPr>
    <w:rPr>
      <w:rFonts w:ascii="Arial" w:hAnsi="Arial"/>
      <w:sz w:val="21"/>
      <w:lang w:val="en-US" w:eastAsia="en-US" w:bidi="ar-SA"/>
    </w:rPr>
  </w:style>
  <w:style w:type="paragraph" w:customStyle="1" w:styleId="161">
    <w:name w:val="最新标题3"/>
    <w:basedOn w:val="162"/>
    <w:next w:val="151"/>
    <w:uiPriority w:val="0"/>
    <w:pPr>
      <w:tabs>
        <w:tab w:val="left" w:pos="720"/>
      </w:tabs>
      <w:spacing w:after="120"/>
    </w:pPr>
  </w:style>
  <w:style w:type="paragraph" w:customStyle="1" w:styleId="162">
    <w:name w:val="样式 标题 3"/>
    <w:basedOn w:val="7"/>
    <w:next w:val="151"/>
    <w:uiPriority w:val="0"/>
    <w:pPr>
      <w:keepLines w:val="0"/>
      <w:numPr>
        <w:ilvl w:val="2"/>
        <w:numId w:val="10"/>
      </w:numPr>
      <w:spacing w:before="120" w:after="50" w:afterLines="50" w:line="240" w:lineRule="auto"/>
      <w:jc w:val="left"/>
    </w:pPr>
    <w:rPr>
      <w:rFonts w:ascii="宋体" w:hAnsi="Times New Roman" w:cs="宋体"/>
      <w:bCs/>
      <w:snapToGrid w:val="0"/>
      <w:color w:val="auto"/>
      <w:kern w:val="0"/>
      <w:sz w:val="24"/>
    </w:rPr>
  </w:style>
  <w:style w:type="paragraph" w:customStyle="1" w:styleId="163">
    <w:name w:val="样式 标题 2Chapter X.X. Statementh22Header 2l2Level 2 Headhea...1"/>
    <w:basedOn w:val="7"/>
    <w:uiPriority w:val="0"/>
    <w:pPr>
      <w:keepLines w:val="0"/>
      <w:spacing w:before="120" w:after="120" w:afterLines="50" w:line="240" w:lineRule="auto"/>
      <w:jc w:val="left"/>
    </w:pPr>
    <w:rPr>
      <w:rFonts w:ascii="宋体" w:hAnsi="Times New Roman" w:cs="宋体"/>
      <w:bCs/>
      <w:snapToGrid w:val="0"/>
      <w:color w:val="auto"/>
      <w:kern w:val="0"/>
      <w:sz w:val="24"/>
    </w:rPr>
  </w:style>
  <w:style w:type="paragraph" w:customStyle="1" w:styleId="164">
    <w:name w:val="S4-L15-No"/>
    <w:basedOn w:val="165"/>
    <w:uiPriority w:val="0"/>
    <w:pPr>
      <w:numPr>
        <w:ilvl w:val="0"/>
        <w:numId w:val="13"/>
      </w:numPr>
    </w:pPr>
  </w:style>
  <w:style w:type="paragraph" w:customStyle="1" w:styleId="165">
    <w:name w:val="S4-L15"/>
    <w:basedOn w:val="1"/>
    <w:uiPriority w:val="0"/>
    <w:pPr>
      <w:spacing w:after="120" w:line="360" w:lineRule="auto"/>
      <w:ind w:left="720" w:firstLine="392"/>
    </w:pPr>
    <w:rPr>
      <w:szCs w:val="21"/>
      <w:lang w:val="fr-FR"/>
    </w:rPr>
  </w:style>
  <w:style w:type="paragraph" w:customStyle="1" w:styleId="166">
    <w:name w:val=" Char Char Char Char Char Char Char Char"/>
    <w:basedOn w:val="1"/>
    <w:uiPriority w:val="0"/>
    <w:pPr>
      <w:tabs>
        <w:tab w:val="left" w:pos="360"/>
      </w:tabs>
    </w:pPr>
    <w:rPr>
      <w:szCs w:val="20"/>
    </w:rPr>
  </w:style>
  <w:style w:type="paragraph" w:customStyle="1" w:styleId="167">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168">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69">
    <w:name w:val="五号正文项目（标准）"/>
    <w:basedOn w:val="1"/>
    <w:uiPriority w:val="0"/>
    <w:pPr>
      <w:numPr>
        <w:ilvl w:val="1"/>
        <w:numId w:val="14"/>
      </w:numPr>
      <w:tabs>
        <w:tab w:val="left" w:pos="900"/>
      </w:tabs>
      <w:spacing w:line="400" w:lineRule="exact"/>
      <w:ind w:left="900" w:hanging="540"/>
      <w:jc w:val="left"/>
    </w:pPr>
    <w:rPr>
      <w:rFonts w:ascii="宋体" w:hAnsi="宋体"/>
      <w:color w:val="000000"/>
      <w:szCs w:val="20"/>
      <w:lang/>
    </w:rPr>
  </w:style>
  <w:style w:type="paragraph" w:customStyle="1" w:styleId="170">
    <w:name w:val="样式 正文文本缩进 + 仿宋_GB2312 小四 首行缩进:  0 厘米 行距: 1.5 倍行距"/>
    <w:basedOn w:val="3"/>
    <w:uiPriority w:val="0"/>
    <w:pPr>
      <w:spacing w:line="360" w:lineRule="auto"/>
      <w:ind w:left="0" w:leftChars="0" w:firstLine="0" w:firstLineChars="0"/>
    </w:pPr>
    <w:rPr>
      <w:rFonts w:ascii="仿宋_GB2312" w:eastAsia="新宋体"/>
      <w:szCs w:val="20"/>
    </w:rPr>
  </w:style>
  <w:style w:type="paragraph" w:customStyle="1" w:styleId="171">
    <w:name w:val="默认段落字体 Para Char Char Char Char Char Char Char Char Char Char"/>
    <w:basedOn w:val="1"/>
    <w:uiPriority w:val="0"/>
    <w:rPr>
      <w:rFonts w:ascii="Tahoma" w:hAnsi="Tahoma"/>
      <w:sz w:val="24"/>
      <w:szCs w:val="20"/>
    </w:rPr>
  </w:style>
  <w:style w:type="paragraph" w:customStyle="1" w:styleId="172">
    <w:name w:val="最新标题1"/>
    <w:basedOn w:val="173"/>
    <w:next w:val="174"/>
    <w:uiPriority w:val="0"/>
    <w:pPr>
      <w:tabs>
        <w:tab w:val="left" w:pos="720"/>
      </w:tabs>
      <w:spacing w:after="120"/>
    </w:pPr>
    <w:rPr>
      <w:bCs/>
    </w:rPr>
  </w:style>
  <w:style w:type="paragraph" w:customStyle="1" w:styleId="173">
    <w:name w:val="样式 标题1"/>
    <w:basedOn w:val="145"/>
    <w:next w:val="174"/>
    <w:uiPriority w:val="0"/>
    <w:pPr>
      <w:numPr>
        <w:ilvl w:val="0"/>
        <w:numId w:val="9"/>
      </w:numPr>
      <w:spacing w:after="50"/>
    </w:pPr>
    <w:rPr>
      <w:bCs w:val="0"/>
      <w:sz w:val="32"/>
    </w:rPr>
  </w:style>
  <w:style w:type="paragraph" w:customStyle="1" w:styleId="174">
    <w:name w:val="最新标题2"/>
    <w:basedOn w:val="175"/>
    <w:next w:val="161"/>
    <w:uiPriority w:val="0"/>
    <w:pPr>
      <w:numPr>
        <w:ilvl w:val="2"/>
        <w:numId w:val="11"/>
      </w:numPr>
      <w:tabs>
        <w:tab w:val="left" w:pos="360"/>
      </w:tabs>
      <w:spacing w:after="120"/>
      <w:ind w:left="380" w:hanging="380"/>
    </w:pPr>
  </w:style>
  <w:style w:type="paragraph" w:customStyle="1" w:styleId="175">
    <w:name w:val="样式 标题 2"/>
    <w:basedOn w:val="6"/>
    <w:next w:val="161"/>
    <w:uiPriority w:val="0"/>
    <w:pPr>
      <w:keepLines w:val="0"/>
      <w:numPr>
        <w:ilvl w:val="0"/>
        <w:numId w:val="10"/>
      </w:numPr>
      <w:spacing w:before="120" w:after="50" w:afterLines="50" w:line="240" w:lineRule="auto"/>
      <w:ind w:left="380" w:hanging="380"/>
      <w:jc w:val="left"/>
    </w:pPr>
    <w:rPr>
      <w:rFonts w:ascii="宋体" w:hAnsi="Times New Roman" w:eastAsia="宋体" w:cs="宋体"/>
      <w:snapToGrid w:val="0"/>
      <w:szCs w:val="20"/>
    </w:rPr>
  </w:style>
  <w:style w:type="paragraph" w:customStyle="1" w:styleId="176">
    <w:name w:val="Char"/>
    <w:basedOn w:val="1"/>
    <w:uiPriority w:val="0"/>
    <w:rPr>
      <w:rFonts w:ascii="仿宋_GB2312" w:hAnsi="Courier New" w:eastAsia="仿宋_GB2312" w:cs="Courier New"/>
      <w:b/>
      <w:color w:val="000000"/>
      <w:sz w:val="32"/>
      <w:szCs w:val="32"/>
    </w:rPr>
  </w:style>
  <w:style w:type="paragraph" w:customStyle="1" w:styleId="17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8">
    <w:name w:val="表3"/>
    <w:basedOn w:val="1"/>
    <w:qFormat/>
    <w:uiPriority w:val="0"/>
    <w:pPr>
      <w:jc w:val="center"/>
    </w:pPr>
    <w:rPr>
      <w:rFonts w:ascii="宋体" w:hAnsi="宋体"/>
      <w:b/>
      <w:bCs/>
      <w:sz w:val="28"/>
      <w:szCs w:val="20"/>
    </w:rPr>
  </w:style>
  <w:style w:type="paragraph" w:customStyle="1" w:styleId="179">
    <w:name w:val="样式 标题 4Chapter X.X.X. + 段后: 0.5 行1 + 段后: 0.5 行"/>
    <w:basedOn w:val="180"/>
    <w:uiPriority w:val="0"/>
    <w:rPr>
      <w:szCs w:val="21"/>
    </w:rPr>
  </w:style>
  <w:style w:type="paragraph" w:customStyle="1" w:styleId="180">
    <w:name w:val="样式 标题 4Chapter X.X.X. + 段后: 0.5 行1"/>
    <w:basedOn w:val="8"/>
    <w:next w:val="8"/>
    <w:uiPriority w:val="0"/>
    <w:pPr>
      <w:keepLines w:val="0"/>
      <w:spacing w:before="120" w:after="50" w:afterLines="50" w:line="240" w:lineRule="auto"/>
      <w:ind w:left="425" w:hanging="425"/>
      <w:jc w:val="left"/>
    </w:pPr>
    <w:rPr>
      <w:rFonts w:ascii="宋体" w:hAnsi="Times New Roman" w:cs="宋体"/>
      <w:snapToGrid w:val="0"/>
      <w:kern w:val="0"/>
      <w:sz w:val="21"/>
      <w:szCs w:val="20"/>
    </w:rPr>
  </w:style>
  <w:style w:type="paragraph" w:customStyle="1" w:styleId="181">
    <w:name w:val="标书_正文"/>
    <w:basedOn w:val="1"/>
    <w:uiPriority w:val="0"/>
    <w:pPr>
      <w:spacing w:line="360" w:lineRule="auto"/>
      <w:ind w:firstLine="480" w:firstLineChars="200"/>
    </w:pPr>
    <w:rPr>
      <w:rFonts w:ascii="宋体"/>
      <w:kern w:val="0"/>
      <w:sz w:val="24"/>
      <w:szCs w:val="20"/>
    </w:rPr>
  </w:style>
  <w:style w:type="paragraph" w:customStyle="1" w:styleId="18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3">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84">
    <w:name w:val="标准小四"/>
    <w:basedOn w:val="1"/>
    <w:uiPriority w:val="0"/>
    <w:pPr>
      <w:spacing w:line="360" w:lineRule="auto"/>
      <w:ind w:firstLine="480" w:firstLineChars="200"/>
    </w:pPr>
    <w:rPr>
      <w:rFonts w:ascii="Arial" w:hAnsi="Arial"/>
      <w:sz w:val="24"/>
      <w:szCs w:val="21"/>
    </w:rPr>
  </w:style>
  <w:style w:type="paragraph" w:customStyle="1" w:styleId="185">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186">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87">
    <w:name w:val="表格文字"/>
    <w:basedOn w:val="1"/>
    <w:uiPriority w:val="0"/>
    <w:pPr>
      <w:jc w:val="left"/>
      <w:textAlignment w:val="top"/>
    </w:pPr>
    <w:rPr>
      <w:sz w:val="18"/>
    </w:rPr>
  </w:style>
  <w:style w:type="paragraph" w:customStyle="1" w:styleId="188">
    <w:name w:val="金保文档标准正文 Char"/>
    <w:basedOn w:val="1"/>
    <w:uiPriority w:val="0"/>
    <w:pPr>
      <w:numPr>
        <w:ilvl w:val="0"/>
        <w:numId w:val="15"/>
      </w:numPr>
      <w:spacing w:line="360" w:lineRule="auto"/>
      <w:jc w:val="left"/>
    </w:pPr>
    <w:rPr>
      <w:color w:val="000000"/>
      <w:sz w:val="24"/>
    </w:rPr>
  </w:style>
  <w:style w:type="paragraph" w:customStyle="1" w:styleId="189">
    <w:name w:val="样式 样式 样式 标题 3Chapter X.X.X. + 段后: 0.5 行 + 段后: 0.5 行 + 段后: 0.5 行"/>
    <w:basedOn w:val="139"/>
    <w:uiPriority w:val="0"/>
    <w:pPr>
      <w:spacing w:after="120"/>
    </w:pPr>
  </w:style>
  <w:style w:type="paragraph" w:customStyle="1" w:styleId="190">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91">
    <w:name w:val="font7"/>
    <w:basedOn w:val="1"/>
    <w:uiPriority w:val="0"/>
    <w:pPr>
      <w:widowControl/>
      <w:spacing w:before="100" w:beforeAutospacing="1" w:after="100" w:afterAutospacing="1"/>
      <w:jc w:val="left"/>
    </w:pPr>
    <w:rPr>
      <w:rFonts w:eastAsia="Arial Unicode MS"/>
      <w:kern w:val="0"/>
      <w:sz w:val="20"/>
      <w:szCs w:val="20"/>
    </w:rPr>
  </w:style>
  <w:style w:type="paragraph" w:customStyle="1" w:styleId="192">
    <w:name w:val="Tabletext"/>
    <w:basedOn w:val="1"/>
    <w:uiPriority w:val="0"/>
    <w:pPr>
      <w:keepLines/>
      <w:spacing w:after="120" w:afterLines="50"/>
      <w:jc w:val="left"/>
    </w:pPr>
    <w:rPr>
      <w:rFonts w:ascii="宋体"/>
      <w:snapToGrid w:val="0"/>
      <w:kern w:val="0"/>
      <w:szCs w:val="20"/>
    </w:rPr>
  </w:style>
  <w:style w:type="paragraph" w:customStyle="1" w:styleId="193">
    <w:name w:val="样式 样式 标题 4 + 段后: 0.5 行 + 段后: 0.5 行"/>
    <w:basedOn w:val="149"/>
    <w:uiPriority w:val="0"/>
  </w:style>
  <w:style w:type="paragraph" w:customStyle="1" w:styleId="194">
    <w:name w:val="表中文字"/>
    <w:basedOn w:val="1"/>
    <w:uiPriority w:val="0"/>
    <w:rPr>
      <w:sz w:val="24"/>
    </w:rPr>
  </w:style>
  <w:style w:type="paragraph" w:customStyle="1" w:styleId="195">
    <w:name w:val="样式 标题 2Chapter X.X. Statementh22Header 2l2Level 2 Headhea..."/>
    <w:basedOn w:val="6"/>
    <w:uiPriority w:val="0"/>
    <w:pPr>
      <w:keepLines w:val="0"/>
      <w:numPr>
        <w:ilvl w:val="0"/>
        <w:numId w:val="16"/>
      </w:numPr>
      <w:tabs>
        <w:tab w:val="clear" w:pos="360"/>
      </w:tabs>
      <w:spacing w:before="120" w:after="50" w:afterLines="50" w:line="240" w:lineRule="auto"/>
      <w:ind w:left="0" w:firstLine="0"/>
      <w:jc w:val="left"/>
    </w:pPr>
    <w:rPr>
      <w:rFonts w:ascii="宋体" w:hAnsi="Times New Roman" w:eastAsia="宋体" w:cs="宋体"/>
      <w:snapToGrid w:val="0"/>
      <w:sz w:val="24"/>
      <w:szCs w:val="24"/>
    </w:rPr>
  </w:style>
  <w:style w:type="paragraph" w:customStyle="1" w:styleId="196">
    <w:name w:val="Blockquote"/>
    <w:basedOn w:val="1"/>
    <w:uiPriority w:val="0"/>
    <w:pPr>
      <w:widowControl/>
      <w:spacing w:before="100" w:after="100" w:afterLines="50"/>
      <w:ind w:left="360" w:right="360"/>
      <w:jc w:val="left"/>
    </w:pPr>
    <w:rPr>
      <w:rFonts w:ascii="宋体"/>
      <w:snapToGrid w:val="0"/>
      <w:kern w:val="0"/>
      <w:sz w:val="24"/>
      <w:szCs w:val="20"/>
      <w:lang w:val="en-CA"/>
    </w:rPr>
  </w:style>
  <w:style w:type="paragraph" w:customStyle="1" w:styleId="19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98">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99">
    <w:name w:val="S4-I-U-L15-No-dot"/>
    <w:basedOn w:val="1"/>
    <w:uiPriority w:val="0"/>
    <w:pPr>
      <w:numPr>
        <w:ilvl w:val="1"/>
        <w:numId w:val="17"/>
      </w:numPr>
      <w:tabs>
        <w:tab w:val="left" w:pos="1112"/>
      </w:tabs>
      <w:spacing w:after="120" w:line="360" w:lineRule="auto"/>
      <w:ind w:left="1112"/>
    </w:pPr>
    <w:rPr>
      <w:i/>
      <w:sz w:val="24"/>
      <w:u w:val="single"/>
    </w:rPr>
  </w:style>
  <w:style w:type="paragraph" w:customStyle="1" w:styleId="200">
    <w:name w:val=" Char Char Char Char Char Char Char"/>
    <w:basedOn w:val="1"/>
    <w:uiPriority w:val="0"/>
    <w:pPr>
      <w:tabs>
        <w:tab w:val="left" w:pos="432"/>
      </w:tabs>
      <w:ind w:left="432" w:hanging="432"/>
    </w:pPr>
    <w:rPr>
      <w:rFonts w:ascii="Tahoma" w:hAnsi="Tahoma"/>
      <w:sz w:val="24"/>
      <w:szCs w:val="20"/>
    </w:rPr>
  </w:style>
  <w:style w:type="paragraph" w:customStyle="1" w:styleId="201">
    <w:name w:val="封面标准文稿编辑信息"/>
    <w:uiPriority w:val="0"/>
    <w:pPr>
      <w:spacing w:before="180" w:line="180" w:lineRule="exact"/>
      <w:jc w:val="center"/>
    </w:pPr>
    <w:rPr>
      <w:rFonts w:ascii="宋体"/>
      <w:sz w:val="21"/>
      <w:lang w:val="en-US" w:eastAsia="zh-CN" w:bidi="ar-SA"/>
    </w:rPr>
  </w:style>
  <w:style w:type="paragraph" w:customStyle="1" w:styleId="202">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203">
    <w:name w:val="样式 标题 2 + 五号"/>
    <w:basedOn w:val="6"/>
    <w:uiPriority w:val="0"/>
    <w:pPr>
      <w:spacing w:before="0" w:after="0" w:line="240" w:lineRule="auto"/>
    </w:pPr>
    <w:rPr>
      <w:rFonts w:ascii="宋体" w:hAnsi="宋体" w:eastAsia="宋体"/>
      <w:kern w:val="2"/>
      <w:sz w:val="21"/>
      <w:szCs w:val="32"/>
    </w:rPr>
  </w:style>
  <w:style w:type="paragraph" w:customStyle="1" w:styleId="204">
    <w:name w:val="Table Description"/>
    <w:next w:val="1"/>
    <w:uiPriority w:val="0"/>
    <w:pPr>
      <w:keepNext/>
      <w:numPr>
        <w:ilvl w:val="5"/>
        <w:numId w:val="18"/>
      </w:numPr>
      <w:snapToGrid w:val="0"/>
      <w:spacing w:before="160" w:after="80"/>
      <w:jc w:val="center"/>
    </w:pPr>
    <w:rPr>
      <w:rFonts w:ascii="Arial" w:hAnsi="Arial" w:eastAsia="黑体"/>
      <w:sz w:val="18"/>
      <w:lang w:val="en-US" w:eastAsia="en-US" w:bidi="ar-SA"/>
    </w:rPr>
  </w:style>
  <w:style w:type="paragraph" w:customStyle="1" w:styleId="205">
    <w:name w:val=" Char"/>
    <w:basedOn w:val="1"/>
    <w:uiPriority w:val="0"/>
    <w:rPr>
      <w:rFonts w:ascii="仿宋_GB2312" w:eastAsia="仿宋_GB2312"/>
      <w:b/>
      <w:sz w:val="32"/>
      <w:szCs w:val="32"/>
    </w:rPr>
  </w:style>
  <w:style w:type="paragraph" w:customStyle="1" w:styleId="206">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07">
    <w:name w:val="xl3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8">
    <w:name w:val="样式 标题 3Chapter X.X.X"/>
    <w:basedOn w:val="209"/>
    <w:uiPriority w:val="0"/>
    <w:pPr>
      <w:spacing w:after="120"/>
    </w:pPr>
  </w:style>
  <w:style w:type="paragraph" w:customStyle="1" w:styleId="209">
    <w:name w:val="标题 3Chapter X.X.X. + 段后: 0.5 行 + 段后: 0.5 行 + 段后: 0.5 行1"/>
    <w:basedOn w:val="139"/>
    <w:uiPriority w:val="0"/>
    <w:pPr>
      <w:numPr>
        <w:ilvl w:val="0"/>
        <w:numId w:val="19"/>
      </w:numPr>
      <w:tabs>
        <w:tab w:val="clear" w:pos="360"/>
      </w:tabs>
      <w:ind w:left="0" w:firstLine="0" w:firstLineChars="0"/>
    </w:pPr>
  </w:style>
  <w:style w:type="paragraph" w:customStyle="1" w:styleId="210">
    <w:name w:val="text"/>
    <w:basedOn w:val="1"/>
    <w:uiPriority w:val="0"/>
    <w:pPr>
      <w:adjustRightInd w:val="0"/>
      <w:spacing w:before="120" w:line="360" w:lineRule="auto"/>
      <w:ind w:firstLine="425"/>
      <w:jc w:val="left"/>
      <w:textAlignment w:val="baseline"/>
    </w:pPr>
    <w:rPr>
      <w:rFonts w:ascii="宋体" w:hAnsi="Arial" w:cs="Arial"/>
      <w:bCs/>
      <w:kern w:val="0"/>
      <w:sz w:val="26"/>
      <w:szCs w:val="32"/>
      <w:lang/>
    </w:rPr>
  </w:style>
  <w:style w:type="paragraph" w:customStyle="1" w:styleId="211">
    <w:name w:val="二级项目符号"/>
    <w:basedOn w:val="1"/>
    <w:uiPriority w:val="0"/>
    <w:pPr>
      <w:widowControl/>
      <w:numPr>
        <w:ilvl w:val="0"/>
        <w:numId w:val="20"/>
      </w:numPr>
      <w:spacing w:line="360" w:lineRule="auto"/>
    </w:pPr>
    <w:rPr>
      <w:kern w:val="0"/>
      <w:sz w:val="24"/>
      <w:szCs w:val="20"/>
    </w:rPr>
  </w:style>
  <w:style w:type="paragraph" w:customStyle="1" w:styleId="212">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213">
    <w:name w:val="Table Text Char"/>
    <w:uiPriority w:val="0"/>
    <w:pPr>
      <w:snapToGrid w:val="0"/>
      <w:spacing w:before="80" w:after="80"/>
    </w:pPr>
    <w:rPr>
      <w:rFonts w:ascii="Arial" w:hAnsi="Arial"/>
      <w:sz w:val="18"/>
      <w:lang w:val="en-US" w:eastAsia="zh-CN" w:bidi="ar-SA"/>
    </w:rPr>
  </w:style>
  <w:style w:type="paragraph" w:customStyle="1" w:styleId="214">
    <w:name w:val="Char Char Char Char Char Char Char"/>
    <w:basedOn w:val="1"/>
    <w:uiPriority w:val="0"/>
    <w:pPr>
      <w:tabs>
        <w:tab w:val="left" w:pos="432"/>
      </w:tabs>
      <w:ind w:left="432" w:hanging="432"/>
    </w:pPr>
    <w:rPr>
      <w:rFonts w:ascii="Tahoma" w:hAnsi="Tahoma"/>
      <w:sz w:val="24"/>
      <w:szCs w:val="20"/>
    </w:rPr>
  </w:style>
  <w:style w:type="paragraph" w:customStyle="1" w:styleId="21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szCs w:val="20"/>
    </w:rPr>
  </w:style>
  <w:style w:type="paragraph" w:customStyle="1" w:styleId="216">
    <w:name w:val="S4-I-L15-U"/>
    <w:basedOn w:val="1"/>
    <w:uiPriority w:val="0"/>
    <w:pPr>
      <w:spacing w:line="360" w:lineRule="auto"/>
    </w:pPr>
    <w:rPr>
      <w:b/>
      <w:i/>
      <w:sz w:val="24"/>
      <w:u w:val="single"/>
    </w:rPr>
  </w:style>
  <w:style w:type="paragraph" w:customStyle="1" w:styleId="217">
    <w:name w:val="标准有序列表（L1）"/>
    <w:basedOn w:val="4"/>
    <w:uiPriority w:val="0"/>
    <w:pPr>
      <w:numPr>
        <w:ilvl w:val="4"/>
        <w:numId w:val="21"/>
      </w:numPr>
      <w:tabs>
        <w:tab w:val="left" w:pos="0"/>
      </w:tabs>
      <w:spacing w:after="0" w:afterLines="0"/>
      <w:ind w:left="0" w:firstLine="0" w:firstLineChars="0"/>
    </w:pPr>
    <w:rPr>
      <w:rFonts w:ascii="黑体" w:eastAsia="黑体"/>
      <w:color w:val="000000"/>
      <w:szCs w:val="20"/>
    </w:rPr>
  </w:style>
  <w:style w:type="paragraph" w:customStyle="1" w:styleId="218">
    <w:name w:val="样式 标题 3Chapter X.X.X. + 段后: 0.5 行1"/>
    <w:basedOn w:val="7"/>
    <w:next w:val="1"/>
    <w:uiPriority w:val="0"/>
    <w:pPr>
      <w:keepLines w:val="0"/>
      <w:spacing w:before="120" w:after="120" w:afterLines="50" w:line="240" w:lineRule="auto"/>
      <w:jc w:val="left"/>
    </w:pPr>
    <w:rPr>
      <w:rFonts w:ascii="宋体" w:hAnsi="Times New Roman" w:cs="宋体"/>
      <w:bCs/>
      <w:snapToGrid w:val="0"/>
      <w:color w:val="auto"/>
      <w:kern w:val="0"/>
      <w:sz w:val="24"/>
    </w:rPr>
  </w:style>
  <w:style w:type="paragraph" w:customStyle="1" w:styleId="219">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20">
    <w:name w:val="paragraph1"/>
    <w:basedOn w:val="1"/>
    <w:uiPriority w:val="0"/>
    <w:pPr>
      <w:spacing w:after="93" w:afterLines="30" w:line="360" w:lineRule="auto"/>
      <w:ind w:firstLine="420" w:firstLineChars="200"/>
    </w:pPr>
    <w:rPr>
      <w:rFonts w:eastAsia="楷体_GB2312"/>
      <w:sz w:val="24"/>
      <w:szCs w:val="20"/>
    </w:rPr>
  </w:style>
  <w:style w:type="paragraph" w:customStyle="1" w:styleId="221">
    <w:name w:val="小标题2"/>
    <w:basedOn w:val="1"/>
    <w:next w:val="1"/>
    <w:uiPriority w:val="0"/>
    <w:pPr>
      <w:spacing w:before="20" w:beforeLines="20" w:after="20" w:afterLines="20" w:line="400" w:lineRule="exact"/>
      <w:ind w:firstLine="200" w:firstLineChars="200"/>
    </w:pPr>
    <w:rPr>
      <w:rFonts w:eastAsia="楷体_GB2312"/>
      <w:sz w:val="24"/>
    </w:rPr>
  </w:style>
  <w:style w:type="paragraph" w:customStyle="1" w:styleId="222">
    <w:name w:val="标3"/>
    <w:basedOn w:val="1"/>
    <w:uiPriority w:val="0"/>
    <w:pPr>
      <w:adjustRightInd w:val="0"/>
      <w:outlineLvl w:val="2"/>
    </w:pPr>
    <w:rPr>
      <w:rFonts w:ascii="宋体" w:hAnsi="宋体"/>
      <w:bCs/>
      <w:szCs w:val="21"/>
    </w:rPr>
  </w:style>
  <w:style w:type="paragraph" w:customStyle="1" w:styleId="223">
    <w:name w:val="首行缩进"/>
    <w:basedOn w:val="1"/>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224">
    <w:name w:val="标准标题1"/>
    <w:basedOn w:val="5"/>
    <w:uiPriority w:val="0"/>
    <w:pPr>
      <w:pageBreakBefore/>
      <w:tabs>
        <w:tab w:val="left" w:pos="1080"/>
      </w:tabs>
      <w:ind w:left="425" w:hanging="425"/>
    </w:pPr>
    <w:rPr>
      <w:rFonts w:eastAsia="仿宋_GB2312"/>
      <w:sz w:val="32"/>
    </w:rPr>
  </w:style>
  <w:style w:type="paragraph" w:customStyle="1" w:styleId="225">
    <w:name w:val="Paragraph2"/>
    <w:basedOn w:val="1"/>
    <w:uiPriority w:val="0"/>
    <w:pPr>
      <w:spacing w:before="80" w:after="50" w:afterLines="50"/>
      <w:ind w:left="720"/>
    </w:pPr>
    <w:rPr>
      <w:rFonts w:ascii="宋体"/>
      <w:snapToGrid w:val="0"/>
      <w:color w:val="000000"/>
      <w:kern w:val="0"/>
      <w:szCs w:val="20"/>
      <w:lang w:val="en-AU"/>
    </w:rPr>
  </w:style>
  <w:style w:type="paragraph" w:customStyle="1" w:styleId="226">
    <w:name w:val="样式　标题4"/>
    <w:basedOn w:val="180"/>
    <w:next w:val="1"/>
    <w:uiPriority w:val="0"/>
    <w:pPr>
      <w:numPr>
        <w:ilvl w:val="1"/>
        <w:numId w:val="11"/>
      </w:numPr>
      <w:ind w:left="425" w:hanging="425"/>
    </w:pPr>
  </w:style>
  <w:style w:type="paragraph" w:customStyle="1" w:styleId="227">
    <w:name w:val="Bullet2"/>
    <w:basedOn w:val="1"/>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22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229">
    <w:name w:val="样式 标题 5H5ITT t5PA Pico Section5H5-Heading 5h5l5heading5...1"/>
    <w:basedOn w:val="9"/>
    <w:uiPriority w:val="0"/>
    <w:pPr>
      <w:widowControl/>
      <w:tabs>
        <w:tab w:val="left" w:pos="1800"/>
      </w:tabs>
      <w:spacing w:before="0" w:after="0" w:line="360" w:lineRule="auto"/>
      <w:ind w:left="346"/>
      <w:jc w:val="left"/>
    </w:pPr>
    <w:rPr>
      <w:rFonts w:ascii="宋体" w:hAnsi="宋体"/>
      <w:bCs w:val="0"/>
      <w:spacing w:val="-2"/>
      <w:kern w:val="28"/>
      <w:sz w:val="30"/>
      <w:szCs w:val="30"/>
    </w:rPr>
  </w:style>
  <w:style w:type="paragraph" w:customStyle="1" w:styleId="230">
    <w:name w:val="Table - Text"/>
    <w:basedOn w:val="1"/>
    <w:uiPriority w:val="0"/>
    <w:pPr>
      <w:widowControl/>
      <w:spacing w:before="60" w:after="60" w:afterLines="50"/>
      <w:jc w:val="left"/>
    </w:pPr>
    <w:rPr>
      <w:kern w:val="0"/>
      <w:szCs w:val="20"/>
      <w:lang w:eastAsia="en-US"/>
    </w:rPr>
  </w:style>
  <w:style w:type="paragraph" w:customStyle="1" w:styleId="231">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2">
    <w:name w:val="Bullet"/>
    <w:basedOn w:val="1"/>
    <w:uiPriority w:val="0"/>
    <w:pPr>
      <w:widowControl/>
      <w:numPr>
        <w:ilvl w:val="0"/>
        <w:numId w:val="20"/>
      </w:numPr>
      <w:tabs>
        <w:tab w:val="left" w:pos="720"/>
      </w:tabs>
      <w:spacing w:before="120" w:after="50" w:afterLines="50"/>
      <w:ind w:left="720" w:right="360"/>
    </w:pPr>
    <w:rPr>
      <w:rFonts w:ascii="宋体"/>
      <w:snapToGrid w:val="0"/>
      <w:kern w:val="0"/>
      <w:szCs w:val="20"/>
    </w:rPr>
  </w:style>
  <w:style w:type="paragraph" w:customStyle="1" w:styleId="233">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234">
    <w:name w:val="Char Char Char Char Char Char Char Char"/>
    <w:basedOn w:val="1"/>
    <w:uiPriority w:val="0"/>
    <w:pPr>
      <w:tabs>
        <w:tab w:val="left" w:pos="360"/>
      </w:tabs>
    </w:pPr>
    <w:rPr>
      <w:szCs w:val="20"/>
    </w:rPr>
  </w:style>
  <w:style w:type="paragraph" w:customStyle="1" w:styleId="235">
    <w:name w:val="Table Text"/>
    <w:basedOn w:val="1"/>
    <w:uiPriority w:val="0"/>
    <w:pPr>
      <w:widowControl/>
      <w:spacing w:before="60" w:after="60"/>
      <w:jc w:val="left"/>
    </w:pPr>
    <w:rPr>
      <w:kern w:val="0"/>
      <w:sz w:val="24"/>
    </w:rPr>
  </w:style>
  <w:style w:type="paragraph" w:customStyle="1" w:styleId="236">
    <w:name w:val="样式 样式 正文文本缩进 + 仿宋_GB2312 小四 首行缩进:  0 厘米 行距: 1.5 倍行距 + (中文) 仿宋_GB... Char Char"/>
    <w:basedOn w:val="170"/>
    <w:uiPriority w:val="0"/>
    <w:pPr>
      <w:ind w:firstLine="480" w:firstLineChars="200"/>
    </w:pPr>
  </w:style>
  <w:style w:type="paragraph" w:customStyle="1" w:styleId="237">
    <w:name w:val="样式 样式 正文文本缩进 + 仿宋_GB2312 小四 首行缩进:  0 厘米 行距: 1.5 倍行距 + (中文) 仿宋_GB..."/>
    <w:basedOn w:val="170"/>
    <w:uiPriority w:val="0"/>
    <w:pPr>
      <w:ind w:firstLine="480" w:firstLineChars="200"/>
    </w:pPr>
  </w:style>
  <w:style w:type="paragraph" w:customStyle="1" w:styleId="238">
    <w:name w:val=" Char1 Char Char Char"/>
    <w:basedOn w:val="1"/>
    <w:uiPriority w:val="0"/>
    <w:rPr>
      <w:rFonts w:ascii="Tahoma" w:hAnsi="Tahoma"/>
      <w:sz w:val="24"/>
      <w:szCs w:val="20"/>
    </w:rPr>
  </w:style>
  <w:style w:type="paragraph" w:customStyle="1" w:styleId="239">
    <w:name w:val="P1"/>
    <w:basedOn w:val="1"/>
    <w:uiPriority w:val="0"/>
    <w:pPr>
      <w:widowControl/>
      <w:spacing w:before="240" w:line="240" w:lineRule="atLeast"/>
      <w:jc w:val="left"/>
    </w:pPr>
    <w:rPr>
      <w:b/>
      <w:kern w:val="0"/>
      <w:szCs w:val="21"/>
      <w:lang w:val="en-AU" w:eastAsia="en-US"/>
    </w:rPr>
  </w:style>
  <w:style w:type="paragraph" w:customStyle="1" w:styleId="240">
    <w:name w:val="Body"/>
    <w:basedOn w:val="1"/>
    <w:uiPriority w:val="0"/>
    <w:pPr>
      <w:widowControl/>
      <w:spacing w:before="120" w:after="50" w:afterLines="50"/>
    </w:pPr>
    <w:rPr>
      <w:rFonts w:ascii="宋体"/>
      <w:snapToGrid w:val="0"/>
      <w:kern w:val="0"/>
      <w:szCs w:val="20"/>
    </w:rPr>
  </w:style>
  <w:style w:type="paragraph" w:customStyle="1" w:styleId="241">
    <w:name w:val="样式 样式3 + 宋体 五号 Char Char Char"/>
    <w:basedOn w:val="1"/>
    <w:uiPriority w:val="0"/>
    <w:pPr>
      <w:keepNext/>
      <w:keepLines/>
      <w:numPr>
        <w:ilvl w:val="2"/>
        <w:numId w:val="3"/>
      </w:numPr>
      <w:jc w:val="left"/>
      <w:outlineLvl w:val="7"/>
    </w:pPr>
    <w:rPr>
      <w:rFonts w:ascii="宋体" w:hAnsi="宋体"/>
      <w:b/>
      <w:bCs/>
    </w:rPr>
  </w:style>
  <w:style w:type="paragraph" w:customStyle="1" w:styleId="242">
    <w:name w:val=" Char1"/>
    <w:basedOn w:val="17"/>
    <w:uiPriority w:val="0"/>
    <w:rPr>
      <w:rFonts w:ascii="Tahoma" w:hAnsi="Tahoma"/>
      <w:sz w:val="24"/>
    </w:rPr>
  </w:style>
  <w:style w:type="paragraph" w:customStyle="1" w:styleId="243">
    <w:name w:val="样式 三号 加粗 段后: 0.5 行"/>
    <w:basedOn w:val="1"/>
    <w:uiPriority w:val="0"/>
    <w:pPr>
      <w:spacing w:after="50" w:afterLines="50"/>
      <w:jc w:val="left"/>
    </w:pPr>
    <w:rPr>
      <w:rFonts w:ascii="宋体" w:cs="宋体"/>
      <w:b/>
      <w:bCs/>
      <w:snapToGrid w:val="0"/>
      <w:kern w:val="0"/>
      <w:sz w:val="32"/>
      <w:szCs w:val="20"/>
    </w:rPr>
  </w:style>
  <w:style w:type="paragraph" w:customStyle="1" w:styleId="244">
    <w:name w:val="标准标题3"/>
    <w:basedOn w:val="7"/>
    <w:uiPriority w:val="0"/>
    <w:pPr>
      <w:numPr>
        <w:ilvl w:val="0"/>
        <w:numId w:val="3"/>
      </w:numPr>
      <w:spacing w:before="260" w:after="260" w:line="240" w:lineRule="auto"/>
      <w:ind w:left="0" w:leftChars="-258" w:firstLine="0"/>
    </w:pPr>
    <w:rPr>
      <w:rFonts w:ascii="Times New Roman" w:hAnsi="Times New Roman" w:eastAsia="仿宋_GB2312" w:cs="Times New Roman"/>
      <w:bCs/>
      <w:color w:val="auto"/>
      <w:szCs w:val="32"/>
    </w:rPr>
  </w:style>
  <w:style w:type="paragraph" w:customStyle="1" w:styleId="245">
    <w:name w:val="样式6"/>
    <w:basedOn w:val="1"/>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246">
    <w:name w:val="样式 标题 1 + 五号"/>
    <w:basedOn w:val="5"/>
    <w:uiPriority w:val="0"/>
    <w:pPr>
      <w:spacing w:before="0" w:after="0" w:line="240" w:lineRule="auto"/>
      <w:jc w:val="center"/>
    </w:pPr>
    <w:rPr>
      <w:sz w:val="32"/>
      <w:szCs w:val="32"/>
    </w:rPr>
  </w:style>
  <w:style w:type="paragraph" w:customStyle="1" w:styleId="24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8">
    <w:name w:val=" Char2"/>
    <w:basedOn w:val="1"/>
    <w:uiPriority w:val="0"/>
    <w:pPr>
      <w:widowControl/>
      <w:spacing w:after="160" w:line="240" w:lineRule="exact"/>
      <w:jc w:val="left"/>
    </w:pPr>
    <w:rPr>
      <w:rFonts w:ascii="Verdana" w:hAnsi="Verdana"/>
      <w:kern w:val="0"/>
      <w:sz w:val="20"/>
      <w:szCs w:val="20"/>
      <w:lang w:eastAsia="en-US"/>
    </w:rPr>
  </w:style>
  <w:style w:type="paragraph" w:customStyle="1" w:styleId="249">
    <w:name w:val="Char1"/>
    <w:basedOn w:val="1"/>
    <w:uiPriority w:val="0"/>
    <w:rPr>
      <w:rFonts w:ascii="仿宋_GB2312" w:eastAsia="仿宋_GB2312"/>
      <w:b/>
      <w:sz w:val="32"/>
      <w:szCs w:val="32"/>
    </w:rPr>
  </w:style>
  <w:style w:type="paragraph" w:customStyle="1" w:styleId="250">
    <w:name w:val="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51">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252">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800080"/>
      <w:kern w:val="0"/>
      <w:sz w:val="20"/>
      <w:szCs w:val="20"/>
    </w:rPr>
  </w:style>
  <w:style w:type="paragraph" w:customStyle="1" w:styleId="253">
    <w:name w:val="样式 模板描述"/>
    <w:basedOn w:val="1"/>
    <w:next w:val="150"/>
    <w:uiPriority w:val="0"/>
    <w:pPr>
      <w:numPr>
        <w:ilvl w:val="3"/>
        <w:numId w:val="22"/>
      </w:numPr>
      <w:spacing w:after="120" w:afterLines="50"/>
      <w:jc w:val="left"/>
    </w:pPr>
    <w:rPr>
      <w:rFonts w:ascii="宋体" w:cs="宋体"/>
      <w:i/>
      <w:iCs/>
      <w:snapToGrid w:val="0"/>
      <w:color w:val="0000FF"/>
      <w:kern w:val="0"/>
      <w:szCs w:val="21"/>
    </w:rPr>
  </w:style>
  <w:style w:type="paragraph" w:customStyle="1" w:styleId="254">
    <w:name w:val="Char Char Char Char Char Char"/>
    <w:basedOn w:val="1"/>
    <w:uiPriority w:val="0"/>
    <w:pPr>
      <w:ind w:firstLine="200" w:firstLineChars="200"/>
    </w:pPr>
    <w:rPr>
      <w:rFonts w:ascii="Tahoma" w:hAnsi="Tahoma"/>
      <w:sz w:val="24"/>
      <w:szCs w:val="20"/>
    </w:rPr>
  </w:style>
  <w:style w:type="paragraph" w:customStyle="1" w:styleId="255">
    <w:name w:val=" Char Char Char Char Char Char Char Char Char Char Char Char Char"/>
    <w:basedOn w:val="1"/>
    <w:uiPriority w:val="0"/>
    <w:pPr>
      <w:tabs>
        <w:tab w:val="left" w:pos="432"/>
      </w:tabs>
      <w:ind w:left="432" w:hanging="432"/>
    </w:pPr>
    <w:rPr>
      <w:rFonts w:ascii="Tahoma" w:hAnsi="Tahoma"/>
      <w:sz w:val="24"/>
      <w:szCs w:val="20"/>
    </w:rPr>
  </w:style>
  <w:style w:type="paragraph" w:customStyle="1" w:styleId="256">
    <w:name w:val="默认段落字体 Para Char Char Char Char Char Char Char Char Char1 Char Char Char Char"/>
    <w:basedOn w:val="1"/>
    <w:uiPriority w:val="0"/>
    <w:rPr>
      <w:rFonts w:ascii="Tahoma" w:hAnsi="Tahoma"/>
      <w:sz w:val="24"/>
      <w:szCs w:val="20"/>
    </w:rPr>
  </w:style>
  <w:style w:type="paragraph" w:customStyle="1" w:styleId="257">
    <w:name w:val="样式6 正文"/>
    <w:qFormat/>
    <w:uiPriority w:val="0"/>
    <w:pPr>
      <w:spacing w:line="360" w:lineRule="auto"/>
      <w:ind w:firstLine="528" w:firstLineChars="220"/>
      <w:jc w:val="both"/>
    </w:pPr>
    <w:rPr>
      <w:sz w:val="24"/>
      <w:szCs w:val="22"/>
      <w:lang w:val="en-US" w:eastAsia="zh-CN" w:bidi="ar-SA"/>
    </w:rPr>
  </w:style>
  <w:style w:type="paragraph" w:customStyle="1" w:styleId="258">
    <w:name w:val="1"/>
    <w:basedOn w:val="1"/>
    <w:next w:val="41"/>
    <w:uiPriority w:val="0"/>
    <w:pPr>
      <w:widowControl/>
      <w:spacing w:before="100" w:beforeAutospacing="1" w:after="100" w:afterAutospacing="1"/>
      <w:jc w:val="left"/>
    </w:pPr>
    <w:rPr>
      <w:rFonts w:hint="eastAsia" w:ascii="宋体" w:hAnsi="宋体"/>
      <w:kern w:val="0"/>
      <w:sz w:val="24"/>
    </w:rPr>
  </w:style>
  <w:style w:type="paragraph" w:customStyle="1" w:styleId="259">
    <w:name w:val="font6"/>
    <w:basedOn w:val="1"/>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260">
    <w:name w:val="InfoBlue"/>
    <w:basedOn w:val="1"/>
    <w:next w:val="21"/>
    <w:uiPriority w:val="0"/>
    <w:pPr>
      <w:spacing w:after="120" w:afterLines="50"/>
      <w:ind w:left="720"/>
      <w:jc w:val="left"/>
    </w:pPr>
    <w:rPr>
      <w:rFonts w:ascii="宋体"/>
      <w:i/>
      <w:snapToGrid w:val="0"/>
      <w:color w:val="0000FF"/>
      <w:kern w:val="0"/>
      <w:szCs w:val="20"/>
    </w:rPr>
  </w:style>
  <w:style w:type="paragraph" w:customStyle="1" w:styleId="261">
    <w:name w:val="Horizontal Bar"/>
    <w:basedOn w:val="1"/>
    <w:uiPriority w:val="0"/>
    <w:pPr>
      <w:kinsoku w:val="0"/>
      <w:overflowPunct w:val="0"/>
      <w:topLinePunct/>
      <w:spacing w:line="0" w:lineRule="atLeast"/>
      <w:jc w:val="left"/>
    </w:pPr>
    <w:rPr>
      <w:rFonts w:ascii="ScalaSansLF-Regular" w:hAnsi="ScalaSansLF-Regular" w:eastAsia="ScalaSansLF-Regular" w:cs="ScalaSansLF-Regular"/>
      <w:bCs/>
      <w:sz w:val="16"/>
      <w:szCs w:val="16"/>
      <w:lang w:eastAsia="ja-JP"/>
    </w:rPr>
  </w:style>
  <w:style w:type="paragraph" w:customStyle="1" w:styleId="262">
    <w:name w:val=" Char3 Char Char Char"/>
    <w:basedOn w:val="1"/>
    <w:uiPriority w:val="0"/>
    <w:pPr>
      <w:widowControl/>
      <w:numPr>
        <w:ilvl w:val="0"/>
        <w:numId w:val="23"/>
      </w:numPr>
      <w:spacing w:after="160" w:line="240" w:lineRule="exact"/>
      <w:ind w:left="0" w:firstLine="0"/>
      <w:jc w:val="left"/>
    </w:pPr>
    <w:rPr>
      <w:rFonts w:ascii="Verdana" w:hAnsi="Verdana"/>
      <w:kern w:val="0"/>
      <w:sz w:val="20"/>
      <w:szCs w:val="20"/>
      <w:lang w:eastAsia="en-US"/>
    </w:rPr>
  </w:style>
  <w:style w:type="paragraph" w:customStyle="1" w:styleId="263">
    <w:name w:val="xl3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264">
    <w:name w:val=" Char Char Char Char Char Char Char Char Char Char"/>
    <w:basedOn w:val="17"/>
    <w:uiPriority w:val="0"/>
    <w:rPr>
      <w:rFonts w:ascii="Tahoma" w:hAnsi="Tahoma"/>
      <w:sz w:val="24"/>
    </w:rPr>
  </w:style>
  <w:style w:type="paragraph" w:customStyle="1" w:styleId="265">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66">
    <w:name w:val="Char Char Char"/>
    <w:basedOn w:val="1"/>
    <w:uiPriority w:val="0"/>
    <w:rPr>
      <w:rFonts w:ascii="Tahoma" w:hAnsi="Tahoma"/>
      <w:sz w:val="24"/>
      <w:szCs w:val="20"/>
    </w:rPr>
  </w:style>
  <w:style w:type="paragraph" w:customStyle="1" w:styleId="267">
    <w:name w:val="IBM 正文"/>
    <w:basedOn w:val="1"/>
    <w:uiPriority w:val="0"/>
    <w:pPr>
      <w:spacing w:line="360" w:lineRule="atLeast"/>
    </w:pPr>
    <w:rPr>
      <w:sz w:val="24"/>
      <w:szCs w:val="20"/>
    </w:rPr>
  </w:style>
  <w:style w:type="paragraph" w:customStyle="1" w:styleId="268">
    <w:name w:val="P3"/>
    <w:basedOn w:val="1"/>
    <w:uiPriority w:val="0"/>
    <w:pPr>
      <w:widowControl/>
      <w:spacing w:before="240" w:line="240" w:lineRule="atLeast"/>
      <w:ind w:left="1152"/>
      <w:jc w:val="left"/>
    </w:pPr>
    <w:rPr>
      <w:b/>
      <w:kern w:val="0"/>
      <w:szCs w:val="21"/>
      <w:lang w:val="en-AU" w:eastAsia="en-US"/>
    </w:rPr>
  </w:style>
  <w:style w:type="paragraph" w:customStyle="1" w:styleId="269">
    <w:name w:val="标准标题2"/>
    <w:basedOn w:val="6"/>
    <w:uiPriority w:val="0"/>
    <w:pPr>
      <w:spacing w:before="260" w:after="260"/>
    </w:pPr>
    <w:rPr>
      <w:rFonts w:ascii="Arial" w:hAnsi="Arial" w:eastAsia="仿宋_GB2312"/>
      <w:bCs w:val="0"/>
      <w:kern w:val="2"/>
      <w:szCs w:val="32"/>
    </w:rPr>
  </w:style>
  <w:style w:type="paragraph" w:customStyle="1" w:styleId="270">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71">
    <w:name w:val="默认段落字体 Para Char Char Char Char"/>
    <w:basedOn w:val="1"/>
    <w:uiPriority w:val="0"/>
  </w:style>
  <w:style w:type="paragraph" w:customStyle="1" w:styleId="272">
    <w:name w:val="标书_标题2"/>
    <w:basedOn w:val="6"/>
    <w:uiPriority w:val="0"/>
    <w:pPr>
      <w:spacing w:before="260" w:after="0" w:line="415" w:lineRule="auto"/>
    </w:pPr>
    <w:rPr>
      <w:rFonts w:ascii="Arial" w:hAnsi="Arial" w:eastAsia="黑体"/>
      <w:kern w:val="2"/>
      <w:szCs w:val="20"/>
    </w:rPr>
  </w:style>
  <w:style w:type="paragraph" w:customStyle="1" w:styleId="273">
    <w:name w:val="Paragraph3"/>
    <w:basedOn w:val="1"/>
    <w:uiPriority w:val="0"/>
    <w:pPr>
      <w:spacing w:before="80" w:after="50" w:afterLines="50"/>
      <w:ind w:left="1530"/>
    </w:pPr>
    <w:rPr>
      <w:rFonts w:ascii="宋体"/>
      <w:snapToGrid w:val="0"/>
      <w:kern w:val="0"/>
      <w:szCs w:val="20"/>
    </w:rPr>
  </w:style>
  <w:style w:type="paragraph" w:customStyle="1" w:styleId="27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800080"/>
      <w:kern w:val="0"/>
      <w:sz w:val="20"/>
      <w:szCs w:val="20"/>
    </w:rPr>
  </w:style>
  <w:style w:type="paragraph" w:customStyle="1" w:styleId="275">
    <w:name w:val="样式 样式 标题 4 + 段后: 0.5 行1"/>
    <w:basedOn w:val="149"/>
    <w:next w:val="29"/>
    <w:uiPriority w:val="0"/>
    <w:pPr>
      <w:spacing w:after="120"/>
    </w:pPr>
  </w:style>
  <w:style w:type="paragraph" w:customStyle="1" w:styleId="2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277">
    <w:name w:val="xl37"/>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78">
    <w:name w:val="样式7"/>
    <w:basedOn w:val="1"/>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279">
    <w:name w:val="P2"/>
    <w:basedOn w:val="1"/>
    <w:uiPriority w:val="0"/>
    <w:pPr>
      <w:widowControl/>
      <w:spacing w:before="240" w:line="240" w:lineRule="atLeast"/>
      <w:ind w:left="578"/>
      <w:jc w:val="left"/>
    </w:pPr>
    <w:rPr>
      <w:b/>
      <w:kern w:val="0"/>
      <w:szCs w:val="21"/>
      <w:lang w:val="en-AU" w:eastAsia="en-US"/>
    </w:rPr>
  </w:style>
  <w:style w:type="paragraph" w:customStyle="1" w:styleId="280">
    <w:name w:val="S4-B-L15"/>
    <w:basedOn w:val="1"/>
    <w:uiPriority w:val="0"/>
    <w:pPr>
      <w:spacing w:line="360" w:lineRule="auto"/>
    </w:pPr>
    <w:rPr>
      <w:b/>
      <w:bCs/>
      <w:sz w:val="24"/>
    </w:rPr>
  </w:style>
  <w:style w:type="paragraph" w:customStyle="1" w:styleId="281">
    <w:name w:val="样式 标题 3(A-3)sect1.2.3h3H3level_3PIM 3Level 3 HeadHeading..."/>
    <w:basedOn w:val="7"/>
    <w:uiPriority w:val="0"/>
    <w:pPr>
      <w:numPr>
        <w:ilvl w:val="2"/>
        <w:numId w:val="0"/>
      </w:numPr>
      <w:spacing w:before="260" w:after="260" w:line="416" w:lineRule="auto"/>
    </w:pPr>
    <w:rPr>
      <w:rFonts w:cs="Times New Roman"/>
      <w:bCs/>
      <w:color w:val="auto"/>
      <w:sz w:val="30"/>
      <w:szCs w:val="32"/>
    </w:rPr>
  </w:style>
  <w:style w:type="paragraph" w:customStyle="1" w:styleId="282">
    <w:name w:val="段(正文）"/>
    <w:uiPriority w:val="0"/>
    <w:pPr>
      <w:autoSpaceDE w:val="0"/>
      <w:autoSpaceDN w:val="0"/>
      <w:ind w:firstLine="420"/>
      <w:jc w:val="both"/>
    </w:pPr>
    <w:rPr>
      <w:rFonts w:ascii="宋体"/>
      <w:sz w:val="21"/>
      <w:lang w:val="en-US" w:eastAsia="zh-CN" w:bidi="ar-SA"/>
    </w:rPr>
  </w:style>
  <w:style w:type="paragraph" w:customStyle="1" w:styleId="283">
    <w:name w:val="文字"/>
    <w:basedOn w:val="1"/>
    <w:uiPriority w:val="0"/>
    <w:pPr>
      <w:tabs>
        <w:tab w:val="left" w:pos="8520"/>
      </w:tabs>
      <w:spacing w:line="312" w:lineRule="auto"/>
      <w:ind w:right="-210" w:firstLine="556"/>
    </w:pPr>
    <w:rPr>
      <w:rFonts w:ascii="楷体_GB2312" w:eastAsia="楷体_GB2312"/>
      <w:sz w:val="28"/>
      <w:szCs w:val="20"/>
    </w:rPr>
  </w:style>
  <w:style w:type="paragraph" w:customStyle="1" w:styleId="284">
    <w:name w:val="S4-L15-C"/>
    <w:basedOn w:val="1"/>
    <w:uiPriority w:val="0"/>
    <w:pPr>
      <w:spacing w:after="120" w:line="360" w:lineRule="auto"/>
      <w:jc w:val="center"/>
    </w:pPr>
    <w:rPr>
      <w:szCs w:val="21"/>
    </w:rPr>
  </w:style>
  <w:style w:type="paragraph" w:customStyle="1" w:styleId="285">
    <w:name w:val="Style-正文"/>
    <w:basedOn w:val="1"/>
    <w:uiPriority w:val="0"/>
    <w:pPr>
      <w:numPr>
        <w:ilvl w:val="2"/>
        <w:numId w:val="22"/>
      </w:numPr>
      <w:spacing w:line="360" w:lineRule="auto"/>
      <w:ind w:firstLine="420"/>
    </w:pPr>
    <w:rPr>
      <w:rFonts w:ascii="宋体" w:hAnsi="宋体"/>
      <w:sz w:val="24"/>
    </w:rPr>
  </w:style>
  <w:style w:type="paragraph" w:customStyle="1" w:styleId="286">
    <w:name w:val="表格标题"/>
    <w:basedOn w:val="141"/>
    <w:uiPriority w:val="0"/>
    <w:pPr>
      <w:numPr>
        <w:ilvl w:val="0"/>
        <w:numId w:val="24"/>
      </w:numPr>
      <w:ind w:left="0" w:firstLine="0"/>
      <w:jc w:val="center"/>
    </w:pPr>
    <w:rPr>
      <w:b/>
      <w:bCs/>
      <w:i/>
      <w:iCs/>
    </w:rPr>
  </w:style>
  <w:style w:type="paragraph" w:customStyle="1" w:styleId="287">
    <w:name w:val="font9"/>
    <w:basedOn w:val="1"/>
    <w:uiPriority w:val="0"/>
    <w:pPr>
      <w:widowControl/>
      <w:spacing w:before="100" w:beforeAutospacing="1" w:after="100" w:afterAutospacing="1"/>
      <w:jc w:val="left"/>
    </w:pPr>
    <w:rPr>
      <w:rFonts w:hint="eastAsia" w:ascii="宋体" w:hAnsi="宋体" w:cs="Arial Unicode MS"/>
      <w:color w:val="FF0000"/>
      <w:kern w:val="0"/>
      <w:sz w:val="20"/>
      <w:szCs w:val="20"/>
    </w:rPr>
  </w:style>
  <w:style w:type="paragraph" w:customStyle="1" w:styleId="288">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289">
    <w:name w:val="Bullet1"/>
    <w:basedOn w:val="1"/>
    <w:uiPriority w:val="0"/>
    <w:pPr>
      <w:numPr>
        <w:ilvl w:val="0"/>
        <w:numId w:val="0"/>
      </w:numPr>
      <w:spacing w:after="50" w:afterLines="50"/>
      <w:ind w:left="720" w:hanging="432"/>
      <w:jc w:val="left"/>
    </w:pPr>
    <w:rPr>
      <w:rFonts w:ascii="宋体"/>
      <w:snapToGrid w:val="0"/>
      <w:kern w:val="0"/>
      <w:szCs w:val="20"/>
    </w:rPr>
  </w:style>
  <w:style w:type="paragraph" w:customStyle="1" w:styleId="290">
    <w:name w:val="Paragraph1"/>
    <w:basedOn w:val="1"/>
    <w:uiPriority w:val="0"/>
    <w:pPr>
      <w:spacing w:before="80" w:after="50" w:afterLines="50"/>
    </w:pPr>
    <w:rPr>
      <w:rFonts w:ascii="宋体"/>
      <w:snapToGrid w:val="0"/>
      <w:kern w:val="0"/>
      <w:szCs w:val="20"/>
    </w:rPr>
  </w:style>
  <w:style w:type="paragraph" w:customStyle="1" w:styleId="291">
    <w:name w:val="Table - Col. Head"/>
    <w:basedOn w:val="1"/>
    <w:uiPriority w:val="0"/>
    <w:pPr>
      <w:keepNext/>
      <w:widowControl/>
      <w:numPr>
        <w:ilvl w:val="0"/>
        <w:numId w:val="25"/>
      </w:numPr>
      <w:spacing w:before="60" w:after="60" w:afterLines="50"/>
      <w:ind w:left="0" w:firstLine="0"/>
      <w:jc w:val="left"/>
    </w:pPr>
    <w:rPr>
      <w:rFonts w:ascii="Arial" w:hAnsi="Arial"/>
      <w:b/>
      <w:kern w:val="0"/>
      <w:sz w:val="18"/>
      <w:szCs w:val="20"/>
      <w:lang w:eastAsia="en-US"/>
    </w:rPr>
  </w:style>
  <w:style w:type="paragraph" w:customStyle="1" w:styleId="292">
    <w:name w:val="Char Char3 Char Char Char Char"/>
    <w:basedOn w:val="1"/>
    <w:uiPriority w:val="0"/>
    <w:pPr>
      <w:widowControl/>
      <w:numPr>
        <w:ilvl w:val="1"/>
        <w:numId w:val="22"/>
      </w:numPr>
      <w:spacing w:after="160" w:line="360" w:lineRule="auto"/>
      <w:ind w:left="0" w:firstLine="0"/>
      <w:jc w:val="left"/>
    </w:pPr>
    <w:rPr>
      <w:rFonts w:ascii="Verdana" w:hAnsi="Verdana"/>
      <w:kern w:val="0"/>
      <w:sz w:val="24"/>
      <w:szCs w:val="20"/>
      <w:lang w:eastAsia="en-US"/>
    </w:rPr>
  </w:style>
  <w:style w:type="paragraph" w:customStyle="1" w:styleId="293">
    <w:name w:val="样式 标题 1 + 五号1 Char Char Char Char Char Char Char Char Char Char Char Char Char Char Char Char Char"/>
    <w:basedOn w:val="5"/>
    <w:uiPriority w:val="0"/>
    <w:pPr>
      <w:spacing w:before="0" w:after="0" w:line="480" w:lineRule="auto"/>
    </w:pPr>
    <w:rPr>
      <w:sz w:val="21"/>
    </w:rPr>
  </w:style>
  <w:style w:type="paragraph" w:customStyle="1" w:styleId="294">
    <w:name w:val="font8"/>
    <w:basedOn w:val="1"/>
    <w:uiPriority w:val="0"/>
    <w:pPr>
      <w:widowControl/>
      <w:spacing w:before="100" w:beforeAutospacing="1" w:after="100" w:afterAutospacing="1"/>
      <w:jc w:val="left"/>
    </w:pPr>
    <w:rPr>
      <w:rFonts w:eastAsia="Arial Unicode MS"/>
      <w:color w:val="FF0000"/>
      <w:kern w:val="0"/>
      <w:sz w:val="20"/>
      <w:szCs w:val="20"/>
    </w:rPr>
  </w:style>
  <w:style w:type="paragraph" w:customStyle="1" w:styleId="295">
    <w:name w:val="Figure Description"/>
    <w:next w:val="1"/>
    <w:uiPriority w:val="0"/>
    <w:pPr>
      <w:numPr>
        <w:ilvl w:val="4"/>
        <w:numId w:val="18"/>
      </w:numPr>
      <w:snapToGrid w:val="0"/>
      <w:spacing w:before="80" w:after="320"/>
      <w:jc w:val="center"/>
    </w:pPr>
    <w:rPr>
      <w:rFonts w:ascii="Arial" w:hAnsi="Arial" w:eastAsia="黑体"/>
      <w:sz w:val="18"/>
      <w:lang w:val="en-US" w:eastAsia="en-US" w:bidi="ar-SA"/>
    </w:rPr>
  </w:style>
  <w:style w:type="paragraph" w:customStyle="1" w:styleId="296">
    <w:name w:val="Main Title"/>
    <w:basedOn w:val="1"/>
    <w:uiPriority w:val="0"/>
    <w:pPr>
      <w:spacing w:before="480" w:after="60" w:afterLines="50"/>
      <w:jc w:val="center"/>
    </w:pPr>
    <w:rPr>
      <w:rFonts w:ascii="宋体"/>
      <w:b/>
      <w:snapToGrid w:val="0"/>
      <w:kern w:val="28"/>
      <w:sz w:val="32"/>
      <w:szCs w:val="20"/>
    </w:rPr>
  </w:style>
  <w:style w:type="paragraph" w:customStyle="1" w:styleId="297">
    <w:name w:val="章正文"/>
    <w:basedOn w:val="1"/>
    <w:uiPriority w:val="0"/>
    <w:pPr>
      <w:spacing w:before="156" w:beforeLines="50" w:after="120" w:line="300" w:lineRule="auto"/>
      <w:ind w:firstLine="480"/>
    </w:pPr>
    <w:rPr>
      <w:rFonts w:ascii="Helvetica" w:hAnsi="Helvetica"/>
      <w:kern w:val="0"/>
      <w:sz w:val="24"/>
    </w:rPr>
  </w:style>
  <w:style w:type="paragraph" w:customStyle="1" w:styleId="298">
    <w:name w:val="沈标题四"/>
    <w:basedOn w:val="8"/>
    <w:next w:val="1"/>
    <w:uiPriority w:val="0"/>
    <w:pPr>
      <w:keepNext w:val="0"/>
      <w:keepLines w:val="0"/>
      <w:spacing w:line="377" w:lineRule="auto"/>
    </w:pPr>
    <w:rPr>
      <w:rFonts w:ascii="Arial Narrow" w:hAnsi="Arial Narrow" w:eastAsia="方正姚体"/>
      <w:b w:val="0"/>
      <w:sz w:val="24"/>
      <w:szCs w:val="24"/>
    </w:rPr>
  </w:style>
  <w:style w:type="paragraph" w:customStyle="1" w:styleId="299">
    <w:name w:val="正文缩进1"/>
    <w:basedOn w:val="1"/>
    <w:next w:val="3"/>
    <w:uiPriority w:val="0"/>
    <w:pPr>
      <w:autoSpaceDE w:val="0"/>
      <w:autoSpaceDN w:val="0"/>
      <w:adjustRightInd w:val="0"/>
      <w:snapToGrid w:val="0"/>
      <w:spacing w:after="120" w:line="360" w:lineRule="auto"/>
      <w:ind w:left="420" w:firstLine="480"/>
    </w:pPr>
    <w:rPr>
      <w:sz w:val="24"/>
      <w:szCs w:val="20"/>
    </w:rPr>
  </w:style>
  <w:style w:type="paragraph" w:customStyle="1" w:styleId="300">
    <w:name w:val="防指正文"/>
    <w:basedOn w:val="1"/>
    <w:uiPriority w:val="0"/>
    <w:pPr>
      <w:tabs>
        <w:tab w:val="left" w:pos="540"/>
      </w:tabs>
      <w:adjustRightInd w:val="0"/>
      <w:snapToGrid w:val="0"/>
      <w:spacing w:line="360" w:lineRule="auto"/>
    </w:pPr>
    <w:rPr>
      <w:rFonts w:ascii="宋体" w:hAnsi="宋体"/>
      <w:bCs/>
      <w:sz w:val="24"/>
    </w:rPr>
  </w:style>
  <w:style w:type="paragraph" w:customStyle="1" w:styleId="301">
    <w:name w:val="正文1"/>
    <w:basedOn w:val="1"/>
    <w:next w:val="1"/>
    <w:uiPriority w:val="0"/>
    <w:pPr>
      <w:spacing w:before="100" w:after="100" w:line="400" w:lineRule="exact"/>
      <w:ind w:firstLine="480"/>
      <w:jc w:val="left"/>
    </w:pPr>
    <w:rPr>
      <w:rFonts w:ascii="Arial" w:hAnsi="Arial"/>
      <w:sz w:val="24"/>
      <w:szCs w:val="20"/>
    </w:rPr>
  </w:style>
  <w:style w:type="paragraph" w:customStyle="1" w:styleId="302">
    <w:name w:val="表格1"/>
    <w:basedOn w:val="1"/>
    <w:uiPriority w:val="0"/>
    <w:pPr>
      <w:adjustRightInd w:val="0"/>
      <w:spacing w:before="100" w:beforeAutospacing="1" w:after="120" w:line="420" w:lineRule="atLeast"/>
      <w:ind w:left="90" w:leftChars="30" w:right="90" w:rightChars="30"/>
      <w:jc w:val="center"/>
      <w:textAlignment w:val="baseline"/>
    </w:pPr>
    <w:rPr>
      <w:rFonts w:eastAsia="仿宋_GB2312"/>
      <w:kern w:val="0"/>
      <w:sz w:val="28"/>
      <w:szCs w:val="20"/>
    </w:rPr>
  </w:style>
  <w:style w:type="paragraph" w:customStyle="1" w:styleId="303">
    <w:name w:val="样式 标题 3h33rd levelHeading 3 - oldH3Fab-3level_3PIM 3Leve..."/>
    <w:basedOn w:val="7"/>
    <w:uiPriority w:val="0"/>
    <w:pPr>
      <w:widowControl/>
      <w:spacing w:before="0" w:after="0"/>
      <w:jc w:val="left"/>
    </w:pPr>
    <w:rPr>
      <w:rFonts w:ascii="宋体" w:hAnsi="宋体" w:cs="宋体"/>
      <w:spacing w:val="-5"/>
      <w:kern w:val="28"/>
      <w:sz w:val="30"/>
      <w:szCs w:val="30"/>
    </w:rPr>
  </w:style>
  <w:style w:type="paragraph" w:customStyle="1" w:styleId="304">
    <w:name w:val="样式2"/>
    <w:basedOn w:val="6"/>
    <w:uiPriority w:val="0"/>
    <w:pPr>
      <w:numPr>
        <w:ilvl w:val="0"/>
        <w:numId w:val="22"/>
      </w:numPr>
      <w:tabs>
        <w:tab w:val="left" w:pos="840"/>
      </w:tabs>
      <w:spacing w:before="260" w:after="260" w:line="416" w:lineRule="auto"/>
      <w:ind w:left="840" w:hanging="420"/>
    </w:pPr>
    <w:rPr>
      <w:rFonts w:ascii="Arial" w:hAnsi="Arial" w:eastAsia="宋体"/>
      <w:kern w:val="2"/>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103</Pages>
  <Words>60882</Words>
  <Characters>63306</Characters>
  <Lines>499</Lines>
  <Paragraphs>140</Paragraphs>
  <TotalTime>31</TotalTime>
  <ScaleCrop>false</ScaleCrop>
  <LinksUpToDate>false</LinksUpToDate>
  <CharactersWithSpaces>66059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2020-09-27T04:43:00Z</dcterms:created>
  <dc:creator>曹红</dc:creator>
  <cp:lastModifiedBy>＞眺望未来-</cp:lastModifiedBy>
  <cp:lastPrinted>2020-09-16T01:48:00Z</cp:lastPrinted>
  <dcterms:modified xsi:type="dcterms:W3CDTF">2024-01-31T02:16:48Z</dcterms:modified>
  <cp:revision>2</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D47CBB44833C4C46839CE2C786F752B2_13</vt:lpwstr>
  </property>
</Properties>
</file>