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bCs/>
          <w:color w:val="auto"/>
          <w:sz w:val="48"/>
          <w:szCs w:val="48"/>
          <w:u w:val="single"/>
        </w:rPr>
      </w:pPr>
    </w:p>
    <w:p>
      <w:pPr>
        <w:pStyle w:val="2"/>
        <w:rPr>
          <w:rFonts w:cs="Times New Roman"/>
          <w:color w:val="auto"/>
        </w:rPr>
      </w:pPr>
    </w:p>
    <w:p>
      <w:pPr>
        <w:spacing w:line="360" w:lineRule="auto"/>
        <w:jc w:val="center"/>
        <w:rPr>
          <w:rFonts w:hint="eastAsia" w:ascii="宋体" w:eastAsia="宋体"/>
          <w:b/>
          <w:bCs/>
          <w:color w:val="auto"/>
          <w:sz w:val="44"/>
          <w:szCs w:val="44"/>
          <w:lang w:eastAsia="zh-CN"/>
        </w:rPr>
      </w:pPr>
      <w:r>
        <w:rPr>
          <w:rFonts w:hint="eastAsia" w:ascii="宋体" w:hAnsi="宋体" w:cs="宋体"/>
          <w:b/>
          <w:bCs/>
          <w:color w:val="auto"/>
          <w:sz w:val="44"/>
          <w:szCs w:val="44"/>
          <w:lang w:eastAsia="zh-CN"/>
        </w:rPr>
        <w:t>道墟街道工业集聚区地下水污染扩散排查</w:t>
      </w:r>
    </w:p>
    <w:p>
      <w:pPr>
        <w:jc w:val="center"/>
        <w:rPr>
          <w:rFonts w:ascii="宋体"/>
          <w:b/>
          <w:bCs/>
          <w:color w:val="auto"/>
          <w:sz w:val="44"/>
          <w:szCs w:val="44"/>
        </w:rPr>
      </w:pPr>
    </w:p>
    <w:p>
      <w:pPr>
        <w:pStyle w:val="2"/>
        <w:rPr>
          <w:rFonts w:hAnsi="宋体" w:cs="Times New Roman"/>
          <w:color w:val="auto"/>
          <w:sz w:val="44"/>
          <w:szCs w:val="44"/>
        </w:rPr>
      </w:pPr>
    </w:p>
    <w:p>
      <w:pPr>
        <w:pStyle w:val="3"/>
        <w:rPr>
          <w:rFonts w:ascii="宋体"/>
          <w:b/>
          <w:bCs/>
          <w:color w:val="auto"/>
          <w:sz w:val="44"/>
          <w:szCs w:val="44"/>
        </w:rPr>
      </w:pPr>
    </w:p>
    <w:p>
      <w:pPr>
        <w:pStyle w:val="3"/>
        <w:rPr>
          <w:rFonts w:ascii="宋体"/>
          <w:b/>
          <w:bCs/>
          <w:color w:val="auto"/>
          <w:sz w:val="44"/>
          <w:szCs w:val="44"/>
        </w:rPr>
      </w:pPr>
    </w:p>
    <w:p>
      <w:pPr>
        <w:pStyle w:val="3"/>
        <w:rPr>
          <w:rFonts w:ascii="宋体"/>
          <w:b/>
          <w:bCs/>
          <w:color w:val="auto"/>
          <w:sz w:val="44"/>
          <w:szCs w:val="44"/>
        </w:rPr>
      </w:pPr>
    </w:p>
    <w:p>
      <w:pPr>
        <w:pStyle w:val="3"/>
        <w:rPr>
          <w:color w:val="auto"/>
        </w:rPr>
      </w:pPr>
    </w:p>
    <w:p>
      <w:pPr>
        <w:spacing w:line="360" w:lineRule="auto"/>
        <w:jc w:val="center"/>
        <w:rPr>
          <w:rFonts w:ascii="宋体"/>
          <w:b/>
          <w:bCs/>
          <w:color w:val="auto"/>
          <w:sz w:val="24"/>
          <w:szCs w:val="24"/>
        </w:rPr>
      </w:pPr>
      <w:r>
        <w:rPr>
          <w:rFonts w:hint="eastAsia" w:ascii="宋体" w:hAnsi="宋体" w:cs="宋体"/>
          <w:b/>
          <w:bCs/>
          <w:color w:val="auto"/>
          <w:sz w:val="72"/>
          <w:szCs w:val="72"/>
        </w:rPr>
        <w:t>竞争性磋商文件</w:t>
      </w:r>
    </w:p>
    <w:p>
      <w:pPr>
        <w:spacing w:line="360" w:lineRule="auto"/>
        <w:jc w:val="center"/>
        <w:rPr>
          <w:rFonts w:ascii="宋体"/>
          <w:b/>
          <w:bCs/>
          <w:color w:val="auto"/>
          <w:sz w:val="24"/>
          <w:szCs w:val="24"/>
        </w:rPr>
      </w:pPr>
    </w:p>
    <w:p>
      <w:pPr>
        <w:snapToGrid w:val="0"/>
        <w:spacing w:line="360" w:lineRule="auto"/>
        <w:ind w:firstLine="2301" w:firstLineChars="767"/>
        <w:jc w:val="left"/>
        <w:rPr>
          <w:rFonts w:ascii="宋体"/>
          <w:color w:val="auto"/>
          <w:sz w:val="30"/>
          <w:szCs w:val="30"/>
          <w:u w:val="single"/>
        </w:rPr>
      </w:pPr>
      <w:r>
        <w:rPr>
          <w:rFonts w:hint="eastAsia" w:ascii="宋体" w:hAnsi="宋体" w:cs="宋体"/>
          <w:color w:val="auto"/>
          <w:sz w:val="30"/>
          <w:szCs w:val="30"/>
        </w:rPr>
        <w:t>项目编号：</w:t>
      </w:r>
      <w:r>
        <w:rPr>
          <w:rFonts w:hint="eastAsia" w:ascii="宋体" w:hAnsi="宋体" w:cs="宋体"/>
          <w:color w:val="auto"/>
          <w:sz w:val="30"/>
          <w:szCs w:val="30"/>
          <w:u w:val="single"/>
          <w:lang w:eastAsia="zh-CN"/>
        </w:rPr>
        <w:t>FSJZCS20210</w:t>
      </w:r>
      <w:r>
        <w:rPr>
          <w:rFonts w:hint="eastAsia" w:ascii="宋体" w:hAnsi="宋体" w:cs="宋体"/>
          <w:color w:val="auto"/>
          <w:sz w:val="30"/>
          <w:szCs w:val="30"/>
          <w:u w:val="single"/>
          <w:lang w:val="en-US" w:eastAsia="zh-CN"/>
        </w:rPr>
        <w:t>41</w:t>
      </w:r>
      <w:r>
        <w:rPr>
          <w:rFonts w:ascii="宋体" w:hAnsi="宋体" w:cs="宋体"/>
          <w:color w:val="auto"/>
          <w:sz w:val="30"/>
          <w:szCs w:val="30"/>
          <w:u w:val="single"/>
        </w:rPr>
        <w:t xml:space="preserve"> </w:t>
      </w:r>
    </w:p>
    <w:p>
      <w:pPr>
        <w:snapToGrid w:val="0"/>
        <w:spacing w:line="360" w:lineRule="auto"/>
        <w:ind w:firstLine="2301" w:firstLineChars="767"/>
        <w:jc w:val="left"/>
        <w:rPr>
          <w:rFonts w:ascii="宋体"/>
          <w:color w:val="auto"/>
          <w:sz w:val="30"/>
          <w:szCs w:val="30"/>
        </w:rPr>
      </w:pPr>
    </w:p>
    <w:p>
      <w:pPr>
        <w:spacing w:line="360" w:lineRule="auto"/>
        <w:rPr>
          <w:rFonts w:ascii="宋体"/>
          <w:color w:val="auto"/>
          <w:sz w:val="28"/>
          <w:szCs w:val="28"/>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jc w:val="center"/>
        <w:rPr>
          <w:rFonts w:ascii="宋体"/>
          <w:color w:val="auto"/>
          <w:sz w:val="24"/>
          <w:szCs w:val="24"/>
        </w:rPr>
      </w:pPr>
    </w:p>
    <w:p>
      <w:pPr>
        <w:spacing w:line="360" w:lineRule="auto"/>
        <w:rPr>
          <w:rFonts w:ascii="宋体"/>
          <w:color w:val="auto"/>
          <w:sz w:val="24"/>
          <w:szCs w:val="24"/>
        </w:rPr>
      </w:pPr>
    </w:p>
    <w:p>
      <w:pPr>
        <w:snapToGrid w:val="0"/>
        <w:spacing w:line="360" w:lineRule="auto"/>
        <w:ind w:firstLine="964" w:firstLineChars="300"/>
        <w:rPr>
          <w:rFonts w:hint="eastAsia" w:ascii="宋体" w:eastAsia="宋体"/>
          <w:b/>
          <w:bCs/>
          <w:color w:val="auto"/>
          <w:sz w:val="22"/>
          <w:szCs w:val="22"/>
          <w:u w:val="single"/>
          <w:lang w:eastAsia="zh-CN"/>
        </w:rPr>
      </w:pPr>
      <w:r>
        <w:rPr>
          <w:rFonts w:hint="eastAsia" w:ascii="宋体" w:hAnsi="宋体" w:cs="宋体"/>
          <w:b/>
          <w:bCs/>
          <w:color w:val="auto"/>
          <w:sz w:val="32"/>
          <w:szCs w:val="32"/>
        </w:rPr>
        <w:t>采</w:t>
      </w:r>
      <w:r>
        <w:rPr>
          <w:rFonts w:ascii="宋体" w:hAnsi="宋体" w:cs="宋体"/>
          <w:b/>
          <w:bCs/>
          <w:color w:val="auto"/>
          <w:sz w:val="32"/>
          <w:szCs w:val="32"/>
        </w:rPr>
        <w:t xml:space="preserve">   </w:t>
      </w:r>
      <w:r>
        <w:rPr>
          <w:rFonts w:hint="eastAsia" w:ascii="宋体" w:hAnsi="宋体" w:cs="宋体"/>
          <w:b/>
          <w:bCs/>
          <w:color w:val="auto"/>
          <w:sz w:val="32"/>
          <w:szCs w:val="32"/>
        </w:rPr>
        <w:t>购</w:t>
      </w:r>
      <w:r>
        <w:rPr>
          <w:rFonts w:ascii="宋体" w:hAnsi="宋体" w:cs="宋体"/>
          <w:b/>
          <w:bCs/>
          <w:color w:val="auto"/>
          <w:sz w:val="32"/>
          <w:szCs w:val="32"/>
        </w:rPr>
        <w:t xml:space="preserve">   </w:t>
      </w:r>
      <w:r>
        <w:rPr>
          <w:rFonts w:hint="eastAsia" w:ascii="宋体" w:hAnsi="宋体" w:cs="宋体"/>
          <w:b/>
          <w:bCs/>
          <w:color w:val="auto"/>
          <w:sz w:val="32"/>
          <w:szCs w:val="32"/>
        </w:rPr>
        <w:t>人：</w:t>
      </w:r>
      <w:r>
        <w:rPr>
          <w:rFonts w:hint="eastAsia" w:ascii="宋体" w:hAnsi="宋体" w:cs="宋体"/>
          <w:b/>
          <w:bCs/>
          <w:color w:val="auto"/>
          <w:sz w:val="32"/>
          <w:szCs w:val="32"/>
          <w:lang w:eastAsia="zh-CN"/>
        </w:rPr>
        <w:t>绍兴市上虞区道墟街道办事处</w:t>
      </w:r>
    </w:p>
    <w:p>
      <w:pPr>
        <w:snapToGrid w:val="0"/>
        <w:spacing w:line="360" w:lineRule="auto"/>
        <w:ind w:firstLine="964" w:firstLineChars="300"/>
        <w:rPr>
          <w:rFonts w:hint="eastAsia" w:ascii="宋体" w:eastAsia="宋体"/>
          <w:b/>
          <w:bCs/>
          <w:color w:val="auto"/>
          <w:sz w:val="32"/>
          <w:szCs w:val="32"/>
          <w:lang w:eastAsia="zh-CN"/>
        </w:rPr>
      </w:pPr>
      <w:r>
        <w:rPr>
          <w:rFonts w:hint="eastAsia" w:ascii="宋体" w:hAnsi="宋体" w:cs="宋体"/>
          <w:b/>
          <w:bCs/>
          <w:color w:val="auto"/>
          <w:sz w:val="32"/>
          <w:szCs w:val="32"/>
        </w:rPr>
        <w:t>采购代理机构：</w:t>
      </w:r>
      <w:r>
        <w:rPr>
          <w:rFonts w:hint="eastAsia" w:ascii="宋体" w:hAnsi="宋体" w:cs="宋体"/>
          <w:b/>
          <w:bCs/>
          <w:color w:val="auto"/>
          <w:sz w:val="32"/>
          <w:szCs w:val="32"/>
          <w:lang w:eastAsia="zh-CN"/>
        </w:rPr>
        <w:t>浙江新诚信工程咨询有限公司</w:t>
      </w:r>
    </w:p>
    <w:p>
      <w:pPr>
        <w:jc w:val="center"/>
        <w:rPr>
          <w:rFonts w:ascii="宋体"/>
          <w:b/>
          <w:bCs/>
          <w:color w:val="auto"/>
          <w:sz w:val="32"/>
          <w:szCs w:val="32"/>
        </w:rPr>
        <w:sectPr>
          <w:pgSz w:w="11906" w:h="16838"/>
          <w:pgMar w:top="1440" w:right="1800" w:bottom="1440" w:left="1800" w:header="851" w:footer="992" w:gutter="0"/>
          <w:cols w:space="425" w:num="1"/>
          <w:docGrid w:type="lines" w:linePitch="312" w:charSpace="0"/>
        </w:sectPr>
      </w:pPr>
      <w:r>
        <w:rPr>
          <w:rFonts w:hint="eastAsia" w:ascii="宋体" w:hAnsi="宋体" w:cs="宋体"/>
          <w:b/>
          <w:bCs/>
          <w:color w:val="auto"/>
          <w:sz w:val="32"/>
          <w:szCs w:val="32"/>
        </w:rPr>
        <w:t>二〇二一年</w:t>
      </w:r>
      <w:r>
        <w:rPr>
          <w:rFonts w:hint="eastAsia" w:ascii="宋体" w:hAnsi="宋体" w:cs="宋体"/>
          <w:b/>
          <w:bCs/>
          <w:color w:val="auto"/>
          <w:sz w:val="32"/>
          <w:szCs w:val="32"/>
          <w:lang w:eastAsia="zh-CN"/>
        </w:rPr>
        <w:t>七</w:t>
      </w:r>
      <w:r>
        <w:rPr>
          <w:rFonts w:hint="eastAsia" w:ascii="宋体" w:hAnsi="宋体" w:cs="宋体"/>
          <w:b/>
          <w:bCs/>
          <w:color w:val="auto"/>
          <w:sz w:val="32"/>
          <w:szCs w:val="32"/>
        </w:rPr>
        <w:t>月</w:t>
      </w:r>
    </w:p>
    <w:p>
      <w:pPr>
        <w:spacing w:line="360" w:lineRule="auto"/>
        <w:jc w:val="center"/>
        <w:rPr>
          <w:rFonts w:ascii="宋体" w:hAnsi="宋体" w:cs="宋体"/>
          <w:color w:val="auto"/>
          <w:sz w:val="44"/>
          <w:szCs w:val="44"/>
        </w:rPr>
      </w:pPr>
      <w:r>
        <w:rPr>
          <w:rFonts w:hint="eastAsia" w:ascii="宋体" w:hAnsi="宋体" w:cs="宋体"/>
          <w:color w:val="auto"/>
          <w:sz w:val="44"/>
          <w:szCs w:val="44"/>
        </w:rPr>
        <w:t>目录</w:t>
      </w:r>
    </w:p>
    <w:p>
      <w:pPr>
        <w:pStyle w:val="17"/>
        <w:tabs>
          <w:tab w:val="right" w:leader="dot" w:pos="8306"/>
        </w:tabs>
        <w:spacing w:line="360" w:lineRule="auto"/>
        <w:rPr>
          <w:rFonts w:ascii="宋体" w:hAnsi="宋体" w:cs="宋体"/>
          <w:color w:val="auto"/>
          <w:sz w:val="24"/>
          <w:szCs w:val="24"/>
        </w:rPr>
      </w:pP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TOC \o "1-3" \h \u </w:instrText>
      </w:r>
      <w:r>
        <w:rPr>
          <w:rFonts w:hint="eastAsia" w:ascii="宋体" w:hAnsi="宋体" w:cs="宋体"/>
          <w:color w:val="auto"/>
          <w:sz w:val="24"/>
          <w:szCs w:val="24"/>
        </w:rPr>
        <w:fldChar w:fldCharType="separate"/>
      </w:r>
      <w:r>
        <w:rPr>
          <w:color w:val="auto"/>
        </w:rPr>
        <w:fldChar w:fldCharType="begin"/>
      </w:r>
      <w:r>
        <w:rPr>
          <w:color w:val="auto"/>
        </w:rPr>
        <w:instrText xml:space="preserve"> HYPERLINK \l "_Toc24059" </w:instrText>
      </w:r>
      <w:r>
        <w:rPr>
          <w:color w:val="auto"/>
        </w:rPr>
        <w:fldChar w:fldCharType="separate"/>
      </w:r>
      <w:r>
        <w:rPr>
          <w:rFonts w:hint="eastAsia" w:ascii="宋体" w:hAnsi="宋体" w:cs="宋体"/>
          <w:color w:val="auto"/>
          <w:sz w:val="24"/>
          <w:szCs w:val="44"/>
        </w:rPr>
        <w:t>第一部分 磋商公告</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_Toc24059 \h </w:instrText>
      </w:r>
      <w:r>
        <w:rPr>
          <w:rFonts w:hint="eastAsia" w:ascii="宋体" w:hAnsi="宋体" w:cs="宋体"/>
          <w:color w:val="auto"/>
          <w:sz w:val="24"/>
          <w:szCs w:val="24"/>
        </w:rPr>
        <w:fldChar w:fldCharType="separate"/>
      </w:r>
      <w:r>
        <w:rPr>
          <w:rFonts w:hint="eastAsia" w:ascii="宋体" w:hAnsi="宋体" w:cs="宋体"/>
          <w:color w:val="auto"/>
          <w:sz w:val="24"/>
          <w:szCs w:val="24"/>
        </w:rPr>
        <w:t>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7"/>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"_Toc14689" </w:instrText>
      </w:r>
      <w:r>
        <w:rPr>
          <w:color w:val="auto"/>
        </w:rPr>
        <w:fldChar w:fldCharType="separate"/>
      </w:r>
      <w:r>
        <w:rPr>
          <w:rFonts w:hint="eastAsia" w:ascii="宋体" w:hAnsi="宋体" w:cs="宋体"/>
          <w:color w:val="auto"/>
          <w:sz w:val="24"/>
          <w:szCs w:val="44"/>
        </w:rPr>
        <w:t>第二部分 供应商须知</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_Toc14689 \h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"_Toc11852" </w:instrText>
      </w:r>
      <w:r>
        <w:rPr>
          <w:color w:val="auto"/>
        </w:rPr>
        <w:fldChar w:fldCharType="separate"/>
      </w:r>
      <w:r>
        <w:rPr>
          <w:rFonts w:hint="eastAsia" w:ascii="宋体" w:hAnsi="宋体" w:cs="宋体"/>
          <w:color w:val="auto"/>
          <w:sz w:val="24"/>
          <w:szCs w:val="24"/>
        </w:rPr>
        <w:t>一、 总则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_Toc11852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"_Toc20197" </w:instrText>
      </w:r>
      <w:r>
        <w:rPr>
          <w:color w:val="auto"/>
        </w:rPr>
        <w:fldChar w:fldCharType="separate"/>
      </w:r>
      <w:r>
        <w:rPr>
          <w:rFonts w:hint="eastAsia" w:ascii="宋体" w:hAnsi="宋体" w:cs="宋体"/>
          <w:color w:val="auto"/>
          <w:sz w:val="24"/>
          <w:szCs w:val="24"/>
        </w:rPr>
        <w:t>二、 竞争性磋商文件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_Toc20197 \h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"_Toc28930" </w:instrText>
      </w:r>
      <w:r>
        <w:rPr>
          <w:color w:val="auto"/>
        </w:rPr>
        <w:fldChar w:fldCharType="separate"/>
      </w:r>
      <w:r>
        <w:rPr>
          <w:rFonts w:hint="eastAsia" w:ascii="宋体" w:hAnsi="宋体" w:cs="宋体"/>
          <w:color w:val="auto"/>
          <w:sz w:val="24"/>
          <w:szCs w:val="24"/>
        </w:rPr>
        <w:t>三、 竞争性磋商响应文件的编写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_Toc28930 \h </w:instrText>
      </w:r>
      <w:r>
        <w:rPr>
          <w:rFonts w:hint="eastAsia" w:ascii="宋体" w:hAnsi="宋体" w:cs="宋体"/>
          <w:color w:val="auto"/>
          <w:sz w:val="24"/>
          <w:szCs w:val="24"/>
        </w:rPr>
        <w:fldChar w:fldCharType="separate"/>
      </w:r>
      <w:r>
        <w:rPr>
          <w:rFonts w:hint="eastAsia" w:ascii="宋体" w:hAnsi="宋体" w:cs="宋体"/>
          <w:color w:val="auto"/>
          <w:sz w:val="24"/>
          <w:szCs w:val="24"/>
        </w:rPr>
        <w:t>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"_Toc14626" </w:instrText>
      </w:r>
      <w:r>
        <w:rPr>
          <w:color w:val="auto"/>
        </w:rPr>
        <w:fldChar w:fldCharType="separate"/>
      </w:r>
      <w:r>
        <w:rPr>
          <w:rFonts w:hint="eastAsia" w:ascii="宋体" w:hAnsi="宋体" w:cs="宋体"/>
          <w:color w:val="auto"/>
          <w:sz w:val="24"/>
          <w:szCs w:val="24"/>
        </w:rPr>
        <w:t>四、 响应文件的递交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_Toc14626 \h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"_Toc26321" </w:instrText>
      </w:r>
      <w:r>
        <w:rPr>
          <w:color w:val="auto"/>
        </w:rPr>
        <w:fldChar w:fldCharType="separate"/>
      </w:r>
      <w:r>
        <w:rPr>
          <w:rFonts w:hint="eastAsia" w:ascii="宋体" w:hAnsi="宋体" w:cs="宋体"/>
          <w:color w:val="auto"/>
          <w:sz w:val="24"/>
          <w:szCs w:val="24"/>
        </w:rPr>
        <w:t>五、 磋商无效的情形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_Toc26321 \h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"_Toc22342" </w:instrText>
      </w:r>
      <w:r>
        <w:rPr>
          <w:color w:val="auto"/>
        </w:rPr>
        <w:fldChar w:fldCharType="separate"/>
      </w:r>
      <w:r>
        <w:rPr>
          <w:rFonts w:hint="eastAsia" w:ascii="宋体" w:hAnsi="宋体" w:cs="宋体"/>
          <w:color w:val="auto"/>
          <w:sz w:val="24"/>
          <w:szCs w:val="24"/>
        </w:rPr>
        <w:t>六、 采购中止的情形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_Toc22342 \h </w:instrText>
      </w:r>
      <w:r>
        <w:rPr>
          <w:rFonts w:hint="eastAsia" w:ascii="宋体" w:hAnsi="宋体" w:cs="宋体"/>
          <w:color w:val="auto"/>
          <w:sz w:val="24"/>
          <w:szCs w:val="24"/>
        </w:rPr>
        <w:fldChar w:fldCharType="separate"/>
      </w:r>
      <w:r>
        <w:rPr>
          <w:rFonts w:hint="eastAsia" w:ascii="宋体" w:hAnsi="宋体" w:cs="宋体"/>
          <w:color w:val="auto"/>
          <w:sz w:val="24"/>
          <w:szCs w:val="24"/>
        </w:rPr>
        <w:t>15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"_Toc13903" </w:instrText>
      </w:r>
      <w:r>
        <w:rPr>
          <w:color w:val="auto"/>
        </w:rPr>
        <w:fldChar w:fldCharType="separate"/>
      </w:r>
      <w:r>
        <w:rPr>
          <w:rFonts w:hint="eastAsia" w:ascii="宋体" w:hAnsi="宋体" w:cs="宋体"/>
          <w:color w:val="auto"/>
          <w:sz w:val="24"/>
          <w:szCs w:val="24"/>
        </w:rPr>
        <w:t>七、 确定成交供应商与签订合同</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_Toc13903 \h </w:instrText>
      </w:r>
      <w:r>
        <w:rPr>
          <w:rFonts w:hint="eastAsia" w:ascii="宋体" w:hAnsi="宋体" w:cs="宋体"/>
          <w:color w:val="auto"/>
          <w:sz w:val="24"/>
          <w:szCs w:val="24"/>
        </w:rPr>
        <w:fldChar w:fldCharType="separate"/>
      </w:r>
      <w:r>
        <w:rPr>
          <w:rFonts w:hint="eastAsia" w:ascii="宋体" w:hAnsi="宋体" w:cs="宋体"/>
          <w:color w:val="auto"/>
          <w:sz w:val="24"/>
          <w:szCs w:val="24"/>
        </w:rPr>
        <w:t>15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7"/>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"_Toc28969" </w:instrText>
      </w:r>
      <w:r>
        <w:rPr>
          <w:color w:val="auto"/>
        </w:rPr>
        <w:fldChar w:fldCharType="separate"/>
      </w:r>
      <w:r>
        <w:rPr>
          <w:rFonts w:hint="eastAsia" w:ascii="宋体" w:hAnsi="宋体" w:cs="宋体"/>
          <w:color w:val="auto"/>
          <w:sz w:val="24"/>
          <w:szCs w:val="44"/>
        </w:rPr>
        <w:t>第三部分 采购内容及要求</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_Toc28969 \h </w:instrText>
      </w:r>
      <w:r>
        <w:rPr>
          <w:rFonts w:hint="eastAsia" w:ascii="宋体" w:hAnsi="宋体" w:cs="宋体"/>
          <w:color w:val="auto"/>
          <w:sz w:val="24"/>
          <w:szCs w:val="24"/>
        </w:rPr>
        <w:fldChar w:fldCharType="separate"/>
      </w:r>
      <w:r>
        <w:rPr>
          <w:rFonts w:hint="eastAsia" w:ascii="宋体" w:hAnsi="宋体" w:cs="宋体"/>
          <w:color w:val="auto"/>
          <w:sz w:val="24"/>
          <w:szCs w:val="24"/>
        </w:rPr>
        <w:t>17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7"/>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"_Toc15656" </w:instrText>
      </w:r>
      <w:r>
        <w:rPr>
          <w:color w:val="auto"/>
        </w:rPr>
        <w:fldChar w:fldCharType="separate"/>
      </w:r>
      <w:r>
        <w:rPr>
          <w:rFonts w:hint="eastAsia" w:ascii="宋体" w:hAnsi="宋体" w:cs="宋体"/>
          <w:color w:val="auto"/>
          <w:sz w:val="24"/>
          <w:szCs w:val="44"/>
        </w:rPr>
        <w:t>第四部分 磋商原则及磋商方法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_Toc15656 \h </w:instrText>
      </w:r>
      <w:r>
        <w:rPr>
          <w:rFonts w:hint="eastAsia" w:ascii="宋体" w:hAnsi="宋体" w:cs="宋体"/>
          <w:color w:val="auto"/>
          <w:sz w:val="24"/>
          <w:szCs w:val="24"/>
        </w:rPr>
        <w:fldChar w:fldCharType="separate"/>
      </w:r>
      <w:r>
        <w:rPr>
          <w:rFonts w:hint="eastAsia" w:ascii="宋体" w:hAnsi="宋体" w:cs="宋体"/>
          <w:color w:val="auto"/>
          <w:sz w:val="24"/>
          <w:szCs w:val="24"/>
        </w:rPr>
        <w:t>19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"_Toc5685" </w:instrText>
      </w:r>
      <w:r>
        <w:rPr>
          <w:color w:val="auto"/>
        </w:rPr>
        <w:fldChar w:fldCharType="separate"/>
      </w:r>
      <w:r>
        <w:rPr>
          <w:rFonts w:hint="eastAsia" w:ascii="宋体" w:hAnsi="宋体" w:cs="宋体"/>
          <w:color w:val="auto"/>
          <w:sz w:val="24"/>
          <w:szCs w:val="24"/>
        </w:rPr>
        <w:t>一、 磋商原则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_Toc5685 \h </w:instrText>
      </w:r>
      <w:r>
        <w:rPr>
          <w:rFonts w:hint="eastAsia" w:ascii="宋体" w:hAnsi="宋体" w:cs="宋体"/>
          <w:color w:val="auto"/>
          <w:sz w:val="24"/>
          <w:szCs w:val="24"/>
        </w:rPr>
        <w:fldChar w:fldCharType="separate"/>
      </w:r>
      <w:r>
        <w:rPr>
          <w:rFonts w:hint="eastAsia" w:ascii="宋体" w:hAnsi="宋体" w:cs="宋体"/>
          <w:color w:val="auto"/>
          <w:sz w:val="24"/>
          <w:szCs w:val="24"/>
        </w:rPr>
        <w:t>19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"_Toc31715" </w:instrText>
      </w:r>
      <w:r>
        <w:rPr>
          <w:color w:val="auto"/>
        </w:rPr>
        <w:fldChar w:fldCharType="separate"/>
      </w:r>
      <w:r>
        <w:rPr>
          <w:rFonts w:hint="eastAsia" w:ascii="宋体" w:hAnsi="宋体" w:cs="宋体"/>
          <w:color w:val="auto"/>
          <w:sz w:val="24"/>
          <w:szCs w:val="24"/>
        </w:rPr>
        <w:t>二、 磋商程序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_Toc31715 \h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"_Toc16523" </w:instrText>
      </w:r>
      <w:r>
        <w:rPr>
          <w:color w:val="auto"/>
        </w:rPr>
        <w:fldChar w:fldCharType="separate"/>
      </w:r>
      <w:r>
        <w:rPr>
          <w:rFonts w:hint="eastAsia" w:ascii="宋体" w:hAnsi="宋体" w:cs="宋体"/>
          <w:color w:val="auto"/>
          <w:sz w:val="24"/>
          <w:szCs w:val="24"/>
        </w:rPr>
        <w:t>三、 注意事项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_Toc16523 \h </w:instrText>
      </w:r>
      <w:r>
        <w:rPr>
          <w:rFonts w:hint="eastAsia" w:ascii="宋体" w:hAnsi="宋体" w:cs="宋体"/>
          <w:color w:val="auto"/>
          <w:sz w:val="24"/>
          <w:szCs w:val="24"/>
        </w:rPr>
        <w:fldChar w:fldCharType="separate"/>
      </w:r>
      <w:r>
        <w:rPr>
          <w:rFonts w:hint="eastAsia" w:ascii="宋体" w:hAnsi="宋体" w:cs="宋体"/>
          <w:color w:val="auto"/>
          <w:sz w:val="24"/>
          <w:szCs w:val="24"/>
        </w:rPr>
        <w:t>23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8"/>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"_Toc30953" </w:instrText>
      </w:r>
      <w:r>
        <w:rPr>
          <w:color w:val="auto"/>
        </w:rPr>
        <w:fldChar w:fldCharType="separate"/>
      </w:r>
      <w:r>
        <w:rPr>
          <w:rFonts w:hint="eastAsia" w:ascii="宋体" w:hAnsi="宋体" w:cs="宋体"/>
          <w:color w:val="auto"/>
          <w:sz w:val="24"/>
          <w:szCs w:val="24"/>
        </w:rPr>
        <w:t>四、 评分细则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_Toc30953 \h </w:instrText>
      </w:r>
      <w:r>
        <w:rPr>
          <w:rFonts w:hint="eastAsia" w:ascii="宋体" w:hAnsi="宋体" w:cs="宋体"/>
          <w:color w:val="auto"/>
          <w:sz w:val="24"/>
          <w:szCs w:val="24"/>
        </w:rPr>
        <w:fldChar w:fldCharType="separate"/>
      </w:r>
      <w:r>
        <w:rPr>
          <w:rFonts w:hint="eastAsia" w:ascii="宋体" w:hAnsi="宋体" w:cs="宋体"/>
          <w:color w:val="auto"/>
          <w:sz w:val="24"/>
          <w:szCs w:val="24"/>
        </w:rPr>
        <w:t>24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7"/>
        <w:tabs>
          <w:tab w:val="right" w:leader="dot" w:pos="8306"/>
        </w:tabs>
        <w:spacing w:line="360" w:lineRule="auto"/>
        <w:rPr>
          <w:rFonts w:ascii="宋体" w:hAnsi="宋体" w:cs="宋体"/>
          <w:color w:val="auto"/>
          <w:sz w:val="24"/>
          <w:szCs w:val="24"/>
        </w:rPr>
      </w:pPr>
      <w:r>
        <w:rPr>
          <w:color w:val="auto"/>
        </w:rPr>
        <w:fldChar w:fldCharType="begin"/>
      </w:r>
      <w:r>
        <w:rPr>
          <w:color w:val="auto"/>
        </w:rPr>
        <w:instrText xml:space="preserve"> HYPERLINK \l "_Toc18045" </w:instrText>
      </w:r>
      <w:r>
        <w:rPr>
          <w:color w:val="auto"/>
        </w:rPr>
        <w:fldChar w:fldCharType="separate"/>
      </w:r>
      <w:r>
        <w:rPr>
          <w:rFonts w:hint="eastAsia" w:ascii="宋体" w:hAnsi="宋体" w:cs="宋体"/>
          <w:color w:val="auto"/>
          <w:sz w:val="24"/>
          <w:szCs w:val="44"/>
        </w:rPr>
        <w:t>第五部分 采购合同</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_Toc18045 \h </w:instrText>
      </w:r>
      <w:r>
        <w:rPr>
          <w:rFonts w:hint="eastAsia" w:ascii="宋体" w:hAnsi="宋体" w:cs="宋体"/>
          <w:color w:val="auto"/>
          <w:sz w:val="24"/>
          <w:szCs w:val="24"/>
        </w:rPr>
        <w:fldChar w:fldCharType="separate"/>
      </w:r>
      <w:r>
        <w:rPr>
          <w:rFonts w:hint="eastAsia" w:ascii="宋体" w:hAnsi="宋体" w:cs="宋体"/>
          <w:color w:val="auto"/>
          <w:sz w:val="24"/>
          <w:szCs w:val="24"/>
        </w:rPr>
        <w:t>28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17"/>
        <w:tabs>
          <w:tab w:val="right" w:leader="dot" w:pos="8306"/>
        </w:tabs>
        <w:spacing w:line="360" w:lineRule="auto"/>
        <w:rPr>
          <w:color w:val="auto"/>
        </w:rPr>
      </w:pPr>
      <w:r>
        <w:rPr>
          <w:color w:val="auto"/>
        </w:rPr>
        <w:fldChar w:fldCharType="begin"/>
      </w:r>
      <w:r>
        <w:rPr>
          <w:color w:val="auto"/>
        </w:rPr>
        <w:instrText xml:space="preserve"> HYPERLINK \l "_Toc7341" </w:instrText>
      </w:r>
      <w:r>
        <w:rPr>
          <w:color w:val="auto"/>
        </w:rPr>
        <w:fldChar w:fldCharType="separate"/>
      </w:r>
      <w:r>
        <w:rPr>
          <w:rFonts w:hint="eastAsia" w:ascii="宋体" w:hAnsi="宋体" w:cs="宋体"/>
          <w:color w:val="auto"/>
          <w:sz w:val="24"/>
          <w:szCs w:val="44"/>
        </w:rPr>
        <w:t>第六部分 应提交的有关格式范例</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_Toc7341 \h </w:instrText>
      </w:r>
      <w:r>
        <w:rPr>
          <w:rFonts w:hint="eastAsia" w:ascii="宋体" w:hAnsi="宋体" w:cs="宋体"/>
          <w:color w:val="auto"/>
          <w:sz w:val="24"/>
          <w:szCs w:val="24"/>
        </w:rPr>
        <w:fldChar w:fldCharType="separate"/>
      </w:r>
      <w:r>
        <w:rPr>
          <w:rFonts w:hint="eastAsia" w:ascii="宋体" w:hAnsi="宋体" w:cs="宋体"/>
          <w:color w:val="auto"/>
          <w:sz w:val="24"/>
          <w:szCs w:val="24"/>
        </w:rPr>
        <w:t>31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
        <w:spacing w:line="360" w:lineRule="auto"/>
        <w:rPr>
          <w:rFonts w:cs="Times New Roman"/>
          <w:color w:val="auto"/>
        </w:rPr>
      </w:pPr>
      <w:r>
        <w:rPr>
          <w:rFonts w:hint="eastAsia" w:hAnsi="宋体"/>
          <w:color w:val="auto"/>
          <w:szCs w:val="24"/>
        </w:rPr>
        <w:fldChar w:fldCharType="end"/>
      </w:r>
    </w:p>
    <w:p>
      <w:pPr>
        <w:rPr>
          <w:color w:val="auto"/>
        </w:rPr>
      </w:pPr>
    </w:p>
    <w:p>
      <w:pPr>
        <w:rPr>
          <w:color w:val="auto"/>
        </w:rPr>
      </w:pPr>
    </w:p>
    <w:p>
      <w:pPr>
        <w:rPr>
          <w:color w:val="auto"/>
        </w:rPr>
      </w:pPr>
    </w:p>
    <w:p>
      <w:pPr>
        <w:rPr>
          <w:color w:val="auto"/>
        </w:rPr>
      </w:pPr>
    </w:p>
    <w:p>
      <w:pPr>
        <w:tabs>
          <w:tab w:val="left" w:pos="3148"/>
        </w:tabs>
        <w:jc w:val="left"/>
        <w:rPr>
          <w:color w:val="auto"/>
        </w:rPr>
        <w:sectPr>
          <w:footerReference r:id="rId3" w:type="default"/>
          <w:pgSz w:w="11906" w:h="16838"/>
          <w:pgMar w:top="1440" w:right="1800" w:bottom="1440" w:left="1800" w:header="851" w:footer="992" w:gutter="0"/>
          <w:pgNumType w:start="1"/>
          <w:cols w:space="425" w:num="1"/>
          <w:docGrid w:type="lines" w:linePitch="312" w:charSpace="0"/>
        </w:sectPr>
      </w:pPr>
      <w:r>
        <w:rPr>
          <w:color w:val="auto"/>
        </w:rPr>
        <w:tab/>
      </w:r>
    </w:p>
    <w:p>
      <w:pPr>
        <w:pStyle w:val="4"/>
        <w:jc w:val="center"/>
        <w:rPr>
          <w:rFonts w:ascii="宋体" w:cs="Times New Roman"/>
          <w:color w:val="auto"/>
        </w:rPr>
      </w:pPr>
      <w:bookmarkStart w:id="0" w:name="_Toc31034"/>
      <w:bookmarkStart w:id="1" w:name="_Toc32199"/>
      <w:bookmarkStart w:id="2" w:name="_Toc24059"/>
      <w:bookmarkStart w:id="3" w:name="第二部分"/>
      <w:bookmarkStart w:id="4" w:name="_Toc91899870"/>
      <w:r>
        <w:rPr>
          <w:rFonts w:hint="eastAsia" w:cs="宋体"/>
          <w:color w:val="auto"/>
          <w:sz w:val="36"/>
          <w:szCs w:val="36"/>
        </w:rPr>
        <w:t>第一部分</w:t>
      </w:r>
      <w:r>
        <w:rPr>
          <w:color w:val="auto"/>
          <w:sz w:val="36"/>
          <w:szCs w:val="36"/>
        </w:rPr>
        <w:t xml:space="preserve"> </w:t>
      </w:r>
      <w:r>
        <w:rPr>
          <w:rFonts w:hint="eastAsia" w:cs="宋体"/>
          <w:color w:val="auto"/>
          <w:sz w:val="36"/>
          <w:szCs w:val="36"/>
        </w:rPr>
        <w:t>磋商公告</w:t>
      </w:r>
      <w:bookmarkEnd w:id="0"/>
      <w:bookmarkEnd w:id="1"/>
      <w:bookmarkEnd w:id="2"/>
    </w:p>
    <w:p>
      <w:pPr>
        <w:adjustRightInd w:val="0"/>
        <w:spacing w:line="360" w:lineRule="auto"/>
        <w:jc w:val="center"/>
        <w:rPr>
          <w:rFonts w:ascii="宋体"/>
          <w:color w:val="auto"/>
          <w:sz w:val="28"/>
          <w:szCs w:val="28"/>
        </w:rPr>
      </w:pPr>
      <w:r>
        <w:rPr>
          <w:rFonts w:hint="eastAsia" w:ascii="宋体" w:hAnsi="宋体" w:cs="宋体"/>
          <w:color w:val="auto"/>
          <w:sz w:val="28"/>
          <w:szCs w:val="28"/>
          <w:lang w:eastAsia="zh-CN"/>
        </w:rPr>
        <w:t>浙江新诚信工程咨询有限公司</w:t>
      </w:r>
      <w:r>
        <w:rPr>
          <w:rFonts w:hint="eastAsia" w:ascii="宋体" w:hAnsi="宋体" w:cs="宋体"/>
          <w:color w:val="auto"/>
          <w:sz w:val="28"/>
          <w:szCs w:val="28"/>
        </w:rPr>
        <w:t>关于</w:t>
      </w:r>
      <w:r>
        <w:rPr>
          <w:rFonts w:hint="eastAsia" w:ascii="宋体" w:hAnsi="宋体" w:cs="宋体"/>
          <w:color w:val="auto"/>
          <w:sz w:val="28"/>
          <w:szCs w:val="28"/>
          <w:lang w:eastAsia="zh-CN"/>
        </w:rPr>
        <w:t>绍兴市上虞区道墟街道办事处道墟街道工业集聚区地下水污染扩散排查</w:t>
      </w:r>
      <w:r>
        <w:rPr>
          <w:rFonts w:hint="eastAsia" w:ascii="宋体" w:hAnsi="宋体" w:cs="宋体"/>
          <w:color w:val="auto"/>
          <w:sz w:val="28"/>
          <w:szCs w:val="28"/>
        </w:rPr>
        <w:t>的竞争性磋商公告</w:t>
      </w:r>
    </w:p>
    <w:p>
      <w:pPr>
        <w:adjustRightInd w:val="0"/>
        <w:spacing w:line="360" w:lineRule="auto"/>
        <w:jc w:val="center"/>
        <w:rPr>
          <w:rFonts w:hint="eastAsia" w:ascii="宋体" w:hAnsi="宋体" w:cs="宋体"/>
          <w:color w:val="auto"/>
          <w:sz w:val="28"/>
          <w:szCs w:val="28"/>
          <w:u w:val="none"/>
          <w:lang w:val="en-US" w:eastAsia="zh-CN"/>
        </w:rPr>
      </w:pPr>
      <w:r>
        <w:rPr>
          <w:rFonts w:hint="eastAsia" w:ascii="宋体" w:hAnsi="宋体" w:cs="宋体"/>
          <w:color w:val="auto"/>
          <w:sz w:val="28"/>
          <w:szCs w:val="28"/>
        </w:rPr>
        <w:t>公告日</w:t>
      </w:r>
      <w:r>
        <w:rPr>
          <w:rFonts w:hint="eastAsia" w:ascii="宋体" w:hAnsi="宋体" w:cs="宋体"/>
          <w:color w:val="auto"/>
          <w:sz w:val="28"/>
          <w:szCs w:val="28"/>
          <w:lang w:eastAsia="zh-CN"/>
        </w:rPr>
        <w:t>期：</w:t>
      </w:r>
      <w:r>
        <w:rPr>
          <w:rFonts w:hint="eastAsia" w:ascii="宋体" w:hAnsi="宋体" w:cs="宋体"/>
          <w:color w:val="auto"/>
          <w:sz w:val="28"/>
          <w:szCs w:val="28"/>
          <w:u w:val="none"/>
          <w:lang w:val="en-US" w:eastAsia="zh-CN"/>
        </w:rPr>
        <w:t>2021年7 月26日</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根据《中华人民共和国政府采购法》等有关规定，</w:t>
      </w:r>
      <w:r>
        <w:rPr>
          <w:rFonts w:hint="eastAsia" w:ascii="宋体" w:hAnsi="宋体" w:cs="宋体"/>
          <w:color w:val="auto"/>
          <w:sz w:val="24"/>
          <w:szCs w:val="24"/>
          <w:u w:val="single"/>
          <w:lang w:eastAsia="zh-CN"/>
        </w:rPr>
        <w:t>浙江新诚信工程咨询有限公司</w:t>
      </w:r>
      <w:r>
        <w:rPr>
          <w:rFonts w:hint="eastAsia" w:ascii="宋体" w:hAnsi="宋体" w:cs="宋体"/>
          <w:color w:val="auto"/>
          <w:sz w:val="24"/>
          <w:szCs w:val="24"/>
        </w:rPr>
        <w:t>受</w:t>
      </w:r>
      <w:r>
        <w:rPr>
          <w:rFonts w:hint="eastAsia" w:ascii="宋体" w:hAnsi="宋体" w:cs="宋体"/>
          <w:color w:val="auto"/>
          <w:sz w:val="24"/>
          <w:szCs w:val="24"/>
          <w:u w:val="single"/>
          <w:lang w:eastAsia="zh-CN"/>
        </w:rPr>
        <w:t>绍兴市上虞区道墟街道办事处</w:t>
      </w:r>
      <w:r>
        <w:rPr>
          <w:rFonts w:hint="eastAsia" w:ascii="宋体" w:hAnsi="宋体" w:cs="宋体"/>
          <w:color w:val="auto"/>
          <w:sz w:val="24"/>
          <w:szCs w:val="24"/>
        </w:rPr>
        <w:t>委托，现就</w:t>
      </w:r>
      <w:r>
        <w:rPr>
          <w:rFonts w:hint="eastAsia" w:ascii="宋体" w:hAnsi="宋体" w:cs="宋体"/>
          <w:color w:val="auto"/>
          <w:sz w:val="24"/>
          <w:szCs w:val="24"/>
          <w:u w:val="single"/>
          <w:lang w:eastAsia="zh-CN"/>
        </w:rPr>
        <w:t>道墟街道工业集聚区地下水污染扩散排查</w:t>
      </w:r>
      <w:r>
        <w:rPr>
          <w:rFonts w:hint="eastAsia" w:ascii="宋体" w:hAnsi="宋体" w:cs="宋体"/>
          <w:color w:val="auto"/>
          <w:sz w:val="24"/>
          <w:szCs w:val="24"/>
        </w:rPr>
        <w:t>进行竞争性磋商采购，欢迎国内合格的供应商参加本次采购活动。</w:t>
      </w:r>
    </w:p>
    <w:p>
      <w:pPr>
        <w:adjustRightInd w:val="0"/>
        <w:spacing w:line="360" w:lineRule="auto"/>
        <w:ind w:firstLine="480" w:firstLineChars="200"/>
        <w:rPr>
          <w:rFonts w:ascii="宋体"/>
          <w:color w:val="auto"/>
          <w:sz w:val="24"/>
          <w:szCs w:val="24"/>
          <w:u w:val="single"/>
        </w:rPr>
      </w:pPr>
      <w:r>
        <w:rPr>
          <w:rFonts w:hint="eastAsia" w:ascii="宋体" w:hAnsi="宋体" w:cs="宋体"/>
          <w:color w:val="auto"/>
          <w:sz w:val="24"/>
          <w:szCs w:val="24"/>
        </w:rPr>
        <w:t>一．</w:t>
      </w:r>
      <w:r>
        <w:rPr>
          <w:rFonts w:ascii="宋体" w:hAnsi="宋体" w:cs="宋体"/>
          <w:color w:val="auto"/>
          <w:sz w:val="24"/>
          <w:szCs w:val="24"/>
        </w:rPr>
        <w:t xml:space="preserve"> </w:t>
      </w:r>
      <w:r>
        <w:rPr>
          <w:rFonts w:hint="eastAsia" w:ascii="宋体" w:hAnsi="宋体" w:cs="宋体"/>
          <w:color w:val="auto"/>
          <w:sz w:val="24"/>
          <w:szCs w:val="24"/>
        </w:rPr>
        <w:t>磋商项目编号：</w:t>
      </w:r>
      <w:r>
        <w:rPr>
          <w:rFonts w:hint="eastAsia" w:ascii="宋体" w:hAnsi="宋体" w:cs="宋体"/>
          <w:color w:val="auto"/>
          <w:sz w:val="24"/>
          <w:szCs w:val="24"/>
          <w:u w:val="single"/>
          <w:lang w:eastAsia="zh-CN"/>
        </w:rPr>
        <w:t>FSJZCS</w:t>
      </w:r>
      <w:r>
        <w:rPr>
          <w:rFonts w:hint="eastAsia" w:ascii="宋体" w:hAnsi="宋体" w:cs="宋体"/>
          <w:color w:val="auto"/>
          <w:sz w:val="24"/>
          <w:szCs w:val="24"/>
          <w:u w:val="single"/>
          <w:lang w:val="en-US" w:eastAsia="zh-CN"/>
        </w:rPr>
        <w:t>2021041</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二．</w:t>
      </w:r>
      <w:r>
        <w:rPr>
          <w:rFonts w:ascii="宋体" w:hAnsi="宋体" w:cs="宋体"/>
          <w:color w:val="auto"/>
          <w:sz w:val="24"/>
          <w:szCs w:val="24"/>
        </w:rPr>
        <w:t xml:space="preserve"> </w:t>
      </w:r>
      <w:r>
        <w:rPr>
          <w:rFonts w:hint="eastAsia" w:ascii="宋体" w:hAnsi="宋体" w:cs="宋体"/>
          <w:color w:val="auto"/>
          <w:sz w:val="24"/>
          <w:szCs w:val="24"/>
        </w:rPr>
        <w:t>采购组织类型：</w:t>
      </w:r>
      <w:r>
        <w:rPr>
          <w:rFonts w:ascii="宋体" w:hAnsi="宋体" w:cs="宋体"/>
          <w:color w:val="auto"/>
          <w:sz w:val="24"/>
          <w:szCs w:val="24"/>
          <w:u w:val="single"/>
        </w:rPr>
        <w:t xml:space="preserve"> </w:t>
      </w:r>
      <w:r>
        <w:rPr>
          <w:rFonts w:hint="eastAsia" w:ascii="宋体" w:hAnsi="宋体" w:cs="宋体"/>
          <w:color w:val="auto"/>
          <w:sz w:val="24"/>
          <w:szCs w:val="24"/>
          <w:u w:val="single"/>
        </w:rPr>
        <w:t>分散采购</w:t>
      </w:r>
      <w:r>
        <w:rPr>
          <w:rFonts w:ascii="宋体" w:hAnsi="宋体" w:cs="宋体"/>
          <w:color w:val="auto"/>
          <w:sz w:val="24"/>
          <w:szCs w:val="24"/>
          <w:u w:val="single"/>
        </w:rPr>
        <w:t xml:space="preserve"> </w:t>
      </w:r>
      <w:r>
        <w:rPr>
          <w:rFonts w:ascii="宋体" w:hAnsi="宋体" w:cs="宋体"/>
          <w:color w:val="auto"/>
          <w:sz w:val="24"/>
          <w:szCs w:val="24"/>
        </w:rPr>
        <w:t xml:space="preserve"> </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三．</w:t>
      </w:r>
      <w:r>
        <w:rPr>
          <w:rFonts w:ascii="宋体" w:hAnsi="宋体" w:cs="宋体"/>
          <w:color w:val="auto"/>
          <w:sz w:val="24"/>
          <w:szCs w:val="24"/>
        </w:rPr>
        <w:t xml:space="preserve"> </w:t>
      </w:r>
      <w:r>
        <w:rPr>
          <w:rFonts w:hint="eastAsia" w:ascii="宋体" w:hAnsi="宋体" w:cs="宋体"/>
          <w:color w:val="auto"/>
          <w:sz w:val="24"/>
          <w:szCs w:val="24"/>
        </w:rPr>
        <w:t>磋商项目概况</w:t>
      </w:r>
      <w:r>
        <w:rPr>
          <w:rFonts w:ascii="宋体" w:hAnsi="宋体" w:cs="宋体"/>
          <w:color w:val="auto"/>
          <w:sz w:val="24"/>
          <w:szCs w:val="24"/>
        </w:rPr>
        <w:t>:</w:t>
      </w:r>
    </w:p>
    <w:tbl>
      <w:tblPr>
        <w:tblStyle w:val="22"/>
        <w:tblW w:w="8519"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4"/>
        <w:gridCol w:w="2079"/>
        <w:gridCol w:w="450"/>
        <w:gridCol w:w="488"/>
        <w:gridCol w:w="1184"/>
        <w:gridCol w:w="2176"/>
        <w:gridCol w:w="1211"/>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PrEx>
        <w:trPr>
          <w:trHeight w:val="977" w:hRule="atLeast"/>
          <w:jc w:val="center"/>
        </w:trPr>
        <w:tc>
          <w:tcPr>
            <w:tcW w:w="464"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序号</w:t>
            </w:r>
          </w:p>
        </w:tc>
        <w:tc>
          <w:tcPr>
            <w:tcW w:w="2079"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项目名称</w:t>
            </w:r>
          </w:p>
        </w:tc>
        <w:tc>
          <w:tcPr>
            <w:tcW w:w="450"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数量</w:t>
            </w:r>
          </w:p>
        </w:tc>
        <w:tc>
          <w:tcPr>
            <w:tcW w:w="488"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单位</w:t>
            </w:r>
          </w:p>
        </w:tc>
        <w:tc>
          <w:tcPr>
            <w:tcW w:w="1184"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预算金额</w:t>
            </w:r>
            <w:r>
              <w:rPr>
                <w:rFonts w:ascii="宋体" w:hAnsi="宋体" w:cs="宋体"/>
                <w:color w:val="auto"/>
                <w:sz w:val="24"/>
                <w:szCs w:val="24"/>
              </w:rPr>
              <w:t>(</w:t>
            </w:r>
            <w:r>
              <w:rPr>
                <w:rFonts w:hint="eastAsia" w:ascii="宋体" w:hAnsi="宋体" w:cs="宋体"/>
                <w:color w:val="auto"/>
                <w:sz w:val="24"/>
                <w:szCs w:val="24"/>
              </w:rPr>
              <w:t>万元</w:t>
            </w:r>
            <w:r>
              <w:rPr>
                <w:rFonts w:ascii="宋体" w:hAnsi="宋体" w:cs="宋体"/>
                <w:color w:val="auto"/>
                <w:sz w:val="24"/>
                <w:szCs w:val="24"/>
              </w:rPr>
              <w:t>)</w:t>
            </w:r>
          </w:p>
        </w:tc>
        <w:tc>
          <w:tcPr>
            <w:tcW w:w="2176"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简要规格描述或标项基本概况介绍</w:t>
            </w:r>
          </w:p>
        </w:tc>
        <w:tc>
          <w:tcPr>
            <w:tcW w:w="1211"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最高限价</w:t>
            </w:r>
            <w:r>
              <w:rPr>
                <w:rFonts w:ascii="宋体" w:hAnsi="宋体" w:cs="宋体"/>
                <w:color w:val="auto"/>
                <w:sz w:val="24"/>
                <w:szCs w:val="24"/>
              </w:rPr>
              <w:t>(</w:t>
            </w:r>
            <w:r>
              <w:rPr>
                <w:rFonts w:hint="eastAsia" w:ascii="宋体" w:hAnsi="宋体" w:cs="宋体"/>
                <w:color w:val="auto"/>
                <w:sz w:val="24"/>
                <w:szCs w:val="24"/>
              </w:rPr>
              <w:t>万元</w:t>
            </w:r>
            <w:r>
              <w:rPr>
                <w:rFonts w:ascii="宋体" w:hAnsi="宋体" w:cs="宋体"/>
                <w:color w:val="auto"/>
                <w:sz w:val="24"/>
                <w:szCs w:val="24"/>
              </w:rPr>
              <w:t>)</w:t>
            </w:r>
          </w:p>
        </w:tc>
        <w:tc>
          <w:tcPr>
            <w:tcW w:w="467" w:type="dxa"/>
            <w:tcBorders>
              <w:top w:val="single" w:color="000000" w:sz="4" w:space="0"/>
            </w:tcBorders>
            <w:vAlign w:val="center"/>
          </w:tcPr>
          <w:p>
            <w:pPr>
              <w:adjustRightInd w:val="0"/>
              <w:spacing w:line="360" w:lineRule="auto"/>
              <w:jc w:val="center"/>
              <w:rPr>
                <w:rFonts w:ascii="宋体"/>
                <w:color w:val="auto"/>
                <w:sz w:val="24"/>
                <w:szCs w:val="24"/>
              </w:rPr>
            </w:pPr>
            <w:r>
              <w:rPr>
                <w:rFonts w:hint="eastAsia" w:ascii="宋体"/>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PrEx>
        <w:trPr>
          <w:jc w:val="center"/>
        </w:trPr>
        <w:tc>
          <w:tcPr>
            <w:tcW w:w="464" w:type="dxa"/>
            <w:tcBorders>
              <w:bottom w:val="single" w:color="000000" w:sz="4" w:space="0"/>
            </w:tcBorders>
            <w:vAlign w:val="center"/>
          </w:tcPr>
          <w:p>
            <w:pPr>
              <w:adjustRightInd w:val="0"/>
              <w:spacing w:line="360" w:lineRule="auto"/>
              <w:jc w:val="center"/>
              <w:rPr>
                <w:rFonts w:ascii="宋体"/>
                <w:color w:val="auto"/>
                <w:sz w:val="24"/>
                <w:szCs w:val="24"/>
              </w:rPr>
            </w:pPr>
            <w:r>
              <w:rPr>
                <w:rFonts w:ascii="宋体" w:hAnsi="宋体" w:cs="宋体"/>
                <w:color w:val="auto"/>
                <w:sz w:val="24"/>
                <w:szCs w:val="24"/>
              </w:rPr>
              <w:t>1</w:t>
            </w:r>
          </w:p>
        </w:tc>
        <w:tc>
          <w:tcPr>
            <w:tcW w:w="2079" w:type="dxa"/>
            <w:tcBorders>
              <w:bottom w:val="single" w:color="000000" w:sz="4" w:space="0"/>
            </w:tcBorders>
            <w:vAlign w:val="center"/>
          </w:tcPr>
          <w:p>
            <w:pPr>
              <w:adjustRightInd w:val="0"/>
              <w:spacing w:line="360" w:lineRule="auto"/>
              <w:jc w:val="center"/>
              <w:rPr>
                <w:rFonts w:hint="eastAsia" w:ascii="宋体" w:eastAsia="宋体"/>
                <w:color w:val="auto"/>
                <w:sz w:val="24"/>
                <w:szCs w:val="24"/>
                <w:lang w:eastAsia="zh-CN"/>
              </w:rPr>
            </w:pPr>
            <w:r>
              <w:rPr>
                <w:rFonts w:hint="eastAsia" w:ascii="宋体" w:hAnsi="宋体" w:cs="宋体"/>
                <w:color w:val="auto"/>
                <w:sz w:val="24"/>
                <w:szCs w:val="24"/>
                <w:lang w:eastAsia="zh-CN"/>
              </w:rPr>
              <w:t>道墟街道工业集聚区地下水污染扩散排查</w:t>
            </w:r>
          </w:p>
        </w:tc>
        <w:tc>
          <w:tcPr>
            <w:tcW w:w="450" w:type="dxa"/>
            <w:tcBorders>
              <w:bottom w:val="single" w:color="000000" w:sz="4" w:space="0"/>
            </w:tcBorders>
            <w:vAlign w:val="center"/>
          </w:tcPr>
          <w:p>
            <w:pPr>
              <w:adjustRightInd w:val="0"/>
              <w:spacing w:line="360" w:lineRule="auto"/>
              <w:jc w:val="center"/>
              <w:rPr>
                <w:rFonts w:ascii="宋体"/>
                <w:color w:val="auto"/>
                <w:sz w:val="24"/>
                <w:szCs w:val="24"/>
              </w:rPr>
            </w:pPr>
            <w:r>
              <w:rPr>
                <w:rFonts w:ascii="宋体" w:hAnsi="宋体" w:cs="宋体"/>
                <w:color w:val="auto"/>
                <w:sz w:val="24"/>
                <w:szCs w:val="24"/>
              </w:rPr>
              <w:t>1</w:t>
            </w:r>
          </w:p>
        </w:tc>
        <w:tc>
          <w:tcPr>
            <w:tcW w:w="488" w:type="dxa"/>
            <w:tcBorders>
              <w:bottom w:val="single" w:color="000000" w:sz="4" w:space="0"/>
            </w:tcBorders>
            <w:vAlign w:val="center"/>
          </w:tcPr>
          <w:p>
            <w:pPr>
              <w:adjustRightInd w:val="0"/>
              <w:spacing w:line="360" w:lineRule="auto"/>
              <w:jc w:val="center"/>
              <w:rPr>
                <w:rFonts w:ascii="宋体"/>
                <w:color w:val="auto"/>
                <w:sz w:val="24"/>
                <w:szCs w:val="24"/>
              </w:rPr>
            </w:pPr>
            <w:r>
              <w:rPr>
                <w:rFonts w:hint="eastAsia" w:ascii="宋体" w:hAnsi="宋体" w:cs="宋体"/>
                <w:color w:val="auto"/>
                <w:sz w:val="24"/>
                <w:szCs w:val="24"/>
              </w:rPr>
              <w:t>项</w:t>
            </w:r>
          </w:p>
        </w:tc>
        <w:tc>
          <w:tcPr>
            <w:tcW w:w="1184" w:type="dxa"/>
            <w:tcBorders>
              <w:bottom w:val="single" w:color="000000" w:sz="4" w:space="0"/>
            </w:tcBorders>
            <w:vAlign w:val="center"/>
          </w:tcPr>
          <w:p>
            <w:pPr>
              <w:widowControl/>
              <w:spacing w:before="100" w:after="100" w:line="312" w:lineRule="auto"/>
              <w:jc w:val="center"/>
              <w:rPr>
                <w:rFonts w:hint="default" w:ascii="宋体" w:eastAsia="宋体"/>
                <w:color w:val="auto"/>
                <w:sz w:val="24"/>
                <w:szCs w:val="24"/>
                <w:lang w:val="en-US" w:eastAsia="zh-CN"/>
              </w:rPr>
            </w:pPr>
            <w:r>
              <w:rPr>
                <w:rFonts w:hint="eastAsia" w:ascii="宋体" w:hAnsi="宋体" w:cs="宋体"/>
                <w:color w:val="auto"/>
                <w:kern w:val="0"/>
                <w:sz w:val="24"/>
                <w:szCs w:val="24"/>
                <w:lang w:val="en-US" w:eastAsia="zh-CN"/>
              </w:rPr>
              <w:t>130</w:t>
            </w:r>
          </w:p>
        </w:tc>
        <w:tc>
          <w:tcPr>
            <w:tcW w:w="2176" w:type="dxa"/>
            <w:tcBorders>
              <w:bottom w:val="single" w:color="000000" w:sz="4" w:space="0"/>
            </w:tcBorders>
            <w:vAlign w:val="center"/>
          </w:tcPr>
          <w:p>
            <w:pPr>
              <w:pStyle w:val="12"/>
              <w:snapToGrid w:val="0"/>
              <w:spacing w:before="120" w:after="120"/>
              <w:jc w:val="center"/>
              <w:rPr>
                <w:rFonts w:hint="eastAsia" w:hAnsi="宋体" w:eastAsia="宋体" w:cs="Times New Roman"/>
                <w:color w:val="auto"/>
                <w:sz w:val="24"/>
                <w:szCs w:val="24"/>
                <w:lang w:eastAsia="zh-CN"/>
              </w:rPr>
            </w:pPr>
            <w:r>
              <w:rPr>
                <w:rFonts w:hint="eastAsia" w:ascii="宋体" w:hAnsi="宋体" w:cs="宋体"/>
                <w:color w:val="auto"/>
                <w:sz w:val="24"/>
                <w:szCs w:val="24"/>
                <w:lang w:eastAsia="zh-CN"/>
              </w:rPr>
              <w:t>道墟街道工业集聚区地下水污染扩散排查</w:t>
            </w:r>
          </w:p>
        </w:tc>
        <w:tc>
          <w:tcPr>
            <w:tcW w:w="1211" w:type="dxa"/>
            <w:tcBorders>
              <w:bottom w:val="single" w:color="000000" w:sz="4" w:space="0"/>
            </w:tcBorders>
            <w:vAlign w:val="center"/>
          </w:tcPr>
          <w:p>
            <w:pPr>
              <w:adjustRightInd w:val="0"/>
              <w:spacing w:line="360" w:lineRule="auto"/>
              <w:jc w:val="center"/>
              <w:rPr>
                <w:rFonts w:hint="default" w:ascii="宋体" w:eastAsia="宋体"/>
                <w:color w:val="auto"/>
                <w:sz w:val="24"/>
                <w:szCs w:val="24"/>
                <w:lang w:val="en-US" w:eastAsia="zh-CN"/>
              </w:rPr>
            </w:pPr>
            <w:r>
              <w:rPr>
                <w:rFonts w:hint="eastAsia" w:ascii="宋体" w:hAnsi="宋体" w:cs="宋体"/>
                <w:color w:val="auto"/>
                <w:kern w:val="0"/>
                <w:sz w:val="24"/>
                <w:szCs w:val="24"/>
                <w:lang w:val="en-US" w:eastAsia="zh-CN"/>
              </w:rPr>
              <w:t>130</w:t>
            </w:r>
          </w:p>
        </w:tc>
        <w:tc>
          <w:tcPr>
            <w:tcW w:w="467" w:type="dxa"/>
            <w:tcBorders>
              <w:bottom w:val="single" w:color="000000" w:sz="4" w:space="0"/>
            </w:tcBorders>
            <w:vAlign w:val="center"/>
          </w:tcPr>
          <w:p>
            <w:pPr>
              <w:adjustRightInd w:val="0"/>
              <w:spacing w:line="360" w:lineRule="auto"/>
              <w:jc w:val="center"/>
              <w:rPr>
                <w:rFonts w:ascii="宋体"/>
                <w:color w:val="auto"/>
                <w:sz w:val="24"/>
                <w:szCs w:val="24"/>
              </w:rPr>
            </w:pPr>
          </w:p>
        </w:tc>
      </w:tr>
    </w:tbl>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四．</w:t>
      </w:r>
      <w:r>
        <w:rPr>
          <w:rFonts w:ascii="宋体" w:hAnsi="宋体" w:cs="宋体"/>
          <w:color w:val="auto"/>
          <w:sz w:val="24"/>
          <w:szCs w:val="24"/>
        </w:rPr>
        <w:t xml:space="preserve"> </w:t>
      </w:r>
      <w:r>
        <w:rPr>
          <w:rFonts w:hint="eastAsia" w:ascii="宋体" w:hAnsi="宋体" w:cs="宋体"/>
          <w:color w:val="auto"/>
          <w:sz w:val="24"/>
          <w:szCs w:val="24"/>
        </w:rPr>
        <w:t>合格供应商资格要求</w:t>
      </w:r>
      <w:r>
        <w:rPr>
          <w:rFonts w:ascii="宋体" w:hAnsi="宋体" w:cs="宋体"/>
          <w:color w:val="auto"/>
          <w:sz w:val="24"/>
          <w:szCs w:val="24"/>
        </w:rPr>
        <w:t>:</w:t>
      </w:r>
    </w:p>
    <w:p>
      <w:pPr>
        <w:numPr>
          <w:ilvl w:val="0"/>
          <w:numId w:val="2"/>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符合政府采购法第二十二条，且未被“信用中国”（</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）列入失信被执行人、重大税收违法案件当事人名单、政府采购严重违法失信行为记录名单。</w:t>
      </w:r>
      <w:r>
        <w:rPr>
          <w:rFonts w:ascii="宋体"/>
          <w:color w:val="auto"/>
          <w:sz w:val="24"/>
          <w:szCs w:val="24"/>
        </w:rPr>
        <w:t> </w:t>
      </w:r>
      <w:bookmarkStart w:id="104" w:name="_GoBack"/>
      <w:bookmarkEnd w:id="104"/>
    </w:p>
    <w:p>
      <w:pPr>
        <w:numPr>
          <w:ilvl w:val="0"/>
          <w:numId w:val="2"/>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本项目</w:t>
      </w:r>
      <w:r>
        <w:rPr>
          <w:rFonts w:hint="eastAsia" w:ascii="宋体" w:hAnsi="宋体" w:cs="宋体"/>
          <w:color w:val="auto"/>
          <w:sz w:val="24"/>
          <w:szCs w:val="24"/>
          <w:u w:val="single"/>
          <w:lang w:val="en-US" w:eastAsia="zh-CN"/>
        </w:rPr>
        <w:t xml:space="preserve"> 不</w:t>
      </w:r>
      <w:r>
        <w:rPr>
          <w:rFonts w:hint="eastAsia" w:ascii="宋体" w:hAnsi="宋体" w:cs="宋体"/>
          <w:color w:val="auto"/>
          <w:sz w:val="24"/>
          <w:szCs w:val="24"/>
          <w:u w:val="single"/>
        </w:rPr>
        <w:t>接受</w:t>
      </w:r>
      <w:r>
        <w:rPr>
          <w:rFonts w:ascii="宋体" w:hAnsi="宋体" w:cs="宋体"/>
          <w:color w:val="auto"/>
          <w:sz w:val="24"/>
          <w:szCs w:val="24"/>
          <w:u w:val="single"/>
        </w:rPr>
        <w:t xml:space="preserve"> </w:t>
      </w:r>
      <w:r>
        <w:rPr>
          <w:rFonts w:hint="eastAsia" w:ascii="宋体" w:hAnsi="宋体" w:cs="宋体"/>
          <w:color w:val="auto"/>
          <w:sz w:val="24"/>
          <w:szCs w:val="24"/>
        </w:rPr>
        <w:t>联合体参加磋商。</w:t>
      </w:r>
    </w:p>
    <w:p>
      <w:pPr>
        <w:numPr>
          <w:ilvl w:val="0"/>
          <w:numId w:val="2"/>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本项目采用资格后审的审查方式，由磋商小组负责审查。</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五．获取磋商文件</w:t>
      </w:r>
    </w:p>
    <w:p>
      <w:pPr>
        <w:numPr>
          <w:ilvl w:val="0"/>
          <w:numId w:val="3"/>
        </w:numPr>
        <w:adjustRightInd w:val="0"/>
        <w:spacing w:line="360" w:lineRule="auto"/>
        <w:ind w:firstLine="480" w:firstLineChars="200"/>
        <w:rPr>
          <w:rFonts w:ascii="宋体"/>
          <w:color w:val="auto"/>
          <w:sz w:val="24"/>
          <w:szCs w:val="24"/>
        </w:rPr>
      </w:pPr>
      <w:bookmarkStart w:id="5" w:name="报名开始时间1"/>
      <w:r>
        <w:rPr>
          <w:rFonts w:hint="eastAsia" w:ascii="宋体" w:hAnsi="宋体" w:cs="宋体"/>
          <w:color w:val="auto"/>
          <w:sz w:val="24"/>
          <w:szCs w:val="24"/>
        </w:rPr>
        <w:t>获取磋商文件时间</w:t>
      </w:r>
      <w:r>
        <w:rPr>
          <w:rFonts w:ascii="宋体" w:hAnsi="宋体" w:cs="宋体"/>
          <w:color w:val="auto"/>
          <w:sz w:val="24"/>
          <w:szCs w:val="24"/>
        </w:rPr>
        <w:t>:</w:t>
      </w:r>
      <w:bookmarkEnd w:id="5"/>
      <w:r>
        <w:rPr>
          <w:rFonts w:ascii="宋体" w:hAnsi="宋体" w:cs="宋体"/>
          <w:color w:val="auto"/>
          <w:sz w:val="24"/>
          <w:szCs w:val="24"/>
          <w:u w:val="single"/>
        </w:rPr>
        <w:t>20</w:t>
      </w:r>
      <w:r>
        <w:rPr>
          <w:rFonts w:hint="eastAsia" w:ascii="宋体" w:hAnsi="宋体" w:cs="宋体"/>
          <w:color w:val="auto"/>
          <w:sz w:val="24"/>
          <w:szCs w:val="24"/>
          <w:u w:val="single"/>
        </w:rPr>
        <w:t>21年</w:t>
      </w:r>
      <w:r>
        <w:rPr>
          <w:rFonts w:hint="eastAsia" w:ascii="宋体" w:hAnsi="宋体" w:cs="宋体"/>
          <w:color w:val="auto"/>
          <w:sz w:val="24"/>
          <w:szCs w:val="24"/>
          <w:u w:val="single"/>
          <w:lang w:val="en-US" w:eastAsia="zh-CN"/>
        </w:rPr>
        <w:t xml:space="preserve">8 </w:t>
      </w:r>
      <w:r>
        <w:rPr>
          <w:rFonts w:hint="eastAsia" w:ascii="宋体" w:hAnsi="宋体" w:cs="宋体"/>
          <w:color w:val="auto"/>
          <w:sz w:val="24"/>
          <w:szCs w:val="24"/>
          <w:u w:val="single"/>
        </w:rPr>
        <w:t>月</w:t>
      </w:r>
      <w:r>
        <w:rPr>
          <w:rFonts w:hint="eastAsia" w:ascii="宋体" w:hAnsi="宋体" w:cs="宋体"/>
          <w:color w:val="auto"/>
          <w:sz w:val="24"/>
          <w:szCs w:val="24"/>
          <w:u w:val="single"/>
          <w:lang w:val="en-US" w:eastAsia="zh-CN"/>
        </w:rPr>
        <w:t>5</w:t>
      </w:r>
      <w:r>
        <w:rPr>
          <w:rFonts w:hint="eastAsia" w:ascii="宋体" w:hAnsi="宋体" w:cs="宋体"/>
          <w:color w:val="auto"/>
          <w:sz w:val="24"/>
          <w:szCs w:val="24"/>
          <w:u w:val="single"/>
        </w:rPr>
        <w:t>日</w:t>
      </w:r>
      <w:r>
        <w:rPr>
          <w:rFonts w:hint="eastAsia" w:ascii="宋体" w:hAnsi="宋体" w:cs="宋体"/>
          <w:color w:val="auto"/>
          <w:sz w:val="24"/>
          <w:szCs w:val="24"/>
          <w:u w:val="single"/>
          <w:lang w:val="en-US" w:eastAsia="zh-CN"/>
        </w:rPr>
        <w:t>9</w:t>
      </w:r>
      <w:r>
        <w:rPr>
          <w:rFonts w:ascii="宋体" w:hAnsi="宋体" w:cs="宋体"/>
          <w:color w:val="auto"/>
          <w:sz w:val="24"/>
          <w:szCs w:val="24"/>
          <w:u w:val="single"/>
        </w:rPr>
        <w:t>:</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之前获取</w:t>
      </w:r>
      <w:r>
        <w:rPr>
          <w:rFonts w:hint="eastAsia" w:ascii="宋体" w:hAnsi="宋体" w:cs="宋体"/>
          <w:color w:val="auto"/>
          <w:sz w:val="24"/>
          <w:szCs w:val="24"/>
        </w:rPr>
        <w:t>。</w:t>
      </w:r>
    </w:p>
    <w:p>
      <w:pPr>
        <w:numPr>
          <w:ilvl w:val="0"/>
          <w:numId w:val="3"/>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获取磋商文件方式：供应商登陆政采云平台</w:t>
      </w:r>
      <w:r>
        <w:rPr>
          <w:rFonts w:ascii="宋体" w:hAnsi="宋体" w:cs="宋体"/>
          <w:color w:val="auto"/>
          <w:sz w:val="24"/>
          <w:szCs w:val="24"/>
        </w:rPr>
        <w:t>http://www.zcygov.cn/</w:t>
      </w:r>
      <w:r>
        <w:rPr>
          <w:rFonts w:hint="eastAsia" w:ascii="宋体" w:hAnsi="宋体" w:cs="宋体"/>
          <w:color w:val="auto"/>
          <w:sz w:val="24"/>
          <w:szCs w:val="24"/>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提示：</w:t>
      </w:r>
    </w:p>
    <w:p>
      <w:pPr>
        <w:numPr>
          <w:ilvl w:val="0"/>
          <w:numId w:val="4"/>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磋商文件及更正补充公告请自行登录浙江政府采购网或绍兴市上虞区公共资源交易中心网站，在采购公告页面中下载。</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rPr>
        <w:t>六．</w:t>
      </w:r>
      <w:r>
        <w:rPr>
          <w:rFonts w:hint="eastAsia" w:ascii="宋体" w:hAnsi="宋体" w:eastAsia="宋体" w:cs="宋体"/>
          <w:color w:val="auto"/>
          <w:sz w:val="24"/>
          <w:szCs w:val="24"/>
        </w:rPr>
        <w:t>投标与开标注意事项：</w:t>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本项目实行</w:t>
      </w:r>
      <w:r>
        <w:rPr>
          <w:rFonts w:hint="eastAsia" w:ascii="宋体" w:hAnsi="宋体" w:eastAsia="宋体" w:cs="宋体"/>
          <w:b/>
          <w:bCs/>
          <w:color w:val="auto"/>
          <w:sz w:val="24"/>
          <w:szCs w:val="24"/>
        </w:rPr>
        <w:t>网上投标</w:t>
      </w:r>
      <w:r>
        <w:rPr>
          <w:rFonts w:hint="eastAsia" w:ascii="宋体" w:hAnsi="宋体" w:eastAsia="宋体" w:cs="宋体"/>
          <w:color w:val="auto"/>
          <w:sz w:val="24"/>
          <w:szCs w:val="24"/>
        </w:rPr>
        <w:t>，采用电子投标文件</w:t>
      </w:r>
      <w:r>
        <w:rPr>
          <w:rFonts w:hint="eastAsia" w:ascii="宋体" w:hAnsi="宋体" w:eastAsia="宋体" w:cs="宋体"/>
          <w:color w:val="auto"/>
          <w:sz w:val="24"/>
          <w:szCs w:val="24"/>
          <w:lang w:eastAsia="zh-CN"/>
        </w:rPr>
        <w:t>，若供应商参与投标，自行承担投标一切费用。</w:t>
      </w:r>
    </w:p>
    <w:p>
      <w:pPr>
        <w:keepNext w:val="0"/>
        <w:keepLines w:val="0"/>
        <w:pageBreakBefore w:val="0"/>
        <w:widowControl w:val="0"/>
        <w:numPr>
          <w:ilvl w:val="0"/>
          <w:numId w:val="5"/>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hint="eastAsia" w:ascii="宋体" w:hAnsi="宋体" w:eastAsia="宋体" w:cs="宋体"/>
          <w:color w:val="auto"/>
          <w:sz w:val="24"/>
          <w:szCs w:val="21"/>
        </w:rPr>
      </w:pPr>
      <w:r>
        <w:rPr>
          <w:rFonts w:hint="eastAsia" w:ascii="宋体" w:hAnsi="宋体" w:eastAsia="宋体" w:cs="宋体"/>
          <w:color w:val="auto"/>
          <w:sz w:val="24"/>
          <w:szCs w:val="21"/>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hint="eastAsia" w:ascii="宋体" w:hAnsi="宋体" w:eastAsia="宋体" w:cs="宋体"/>
          <w:color w:val="auto"/>
          <w:sz w:val="24"/>
          <w:szCs w:val="21"/>
        </w:rPr>
      </w:pPr>
      <w:r>
        <w:rPr>
          <w:rFonts w:hint="eastAsia" w:ascii="宋体" w:hAnsi="宋体" w:eastAsia="宋体" w:cs="宋体"/>
          <w:color w:val="auto"/>
          <w:sz w:val="24"/>
          <w:szCs w:val="21"/>
        </w:rPr>
        <w:t>注：供应商先要申领CA，取得CA后需要在政采云平台进行绑定，CA相关操作可参考《CA</w:t>
      </w:r>
      <w:r>
        <w:rPr>
          <w:rFonts w:hint="eastAsia" w:ascii="宋体" w:hAnsi="宋体" w:eastAsia="宋体" w:cs="宋体"/>
          <w:color w:val="auto"/>
          <w:sz w:val="24"/>
          <w:szCs w:val="21"/>
          <w:lang w:eastAsia="zh-CN"/>
        </w:rPr>
        <w:t>管理学习专题</w:t>
      </w:r>
      <w:r>
        <w:rPr>
          <w:rFonts w:hint="eastAsia" w:ascii="宋体" w:hAnsi="宋体" w:eastAsia="宋体" w:cs="宋体"/>
          <w:color w:val="auto"/>
          <w:sz w:val="24"/>
          <w:szCs w:val="21"/>
        </w:rPr>
        <w:t>》。完成CA数字证书办理在资料齐全的情况下预计7个工作日左右，建议供应商获取招标文件后立即办理。</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《CA</w:t>
      </w:r>
      <w:r>
        <w:rPr>
          <w:rFonts w:hint="eastAsia" w:ascii="宋体" w:hAnsi="宋体" w:eastAsia="宋体" w:cs="宋体"/>
          <w:color w:val="auto"/>
          <w:sz w:val="24"/>
          <w:szCs w:val="21"/>
          <w:lang w:eastAsia="zh-CN"/>
        </w:rPr>
        <w:t>管理学习专题</w:t>
      </w:r>
      <w:r>
        <w:rPr>
          <w:rFonts w:hint="eastAsia" w:ascii="宋体" w:hAnsi="宋体" w:eastAsia="宋体" w:cs="宋体"/>
          <w:color w:val="auto"/>
          <w:sz w:val="24"/>
          <w:szCs w:val="21"/>
        </w:rPr>
        <w:t>》：</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auto"/>
          <w:sz w:val="24"/>
          <w:szCs w:val="21"/>
          <w:lang w:val="en-US" w:eastAsia="zh-CN"/>
        </w:rPr>
      </w:pPr>
      <w:r>
        <w:rPr>
          <w:rFonts w:hint="eastAsia" w:ascii="宋体" w:hAnsi="宋体" w:eastAsia="宋体" w:cs="宋体"/>
          <w:color w:val="auto"/>
          <w:sz w:val="24"/>
          <w:szCs w:val="21"/>
        </w:rPr>
        <w:t>https://edu.zcygov.cn/luban/ca?utm=web-government-front.380aac0a.0.0.fc2b6aa0b6e211ebbdb0dd007730dd44</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auto"/>
          <w:sz w:val="24"/>
          <w:szCs w:val="21"/>
        </w:rPr>
      </w:pPr>
      <w:r>
        <w:rPr>
          <w:rFonts w:hint="eastAsia" w:ascii="宋体" w:hAnsi="宋体" w:eastAsia="宋体" w:cs="宋体"/>
          <w:color w:val="auto"/>
          <w:sz w:val="24"/>
          <w:szCs w:val="21"/>
        </w:rPr>
        <w:t>《CA驱动和申领流程》:</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1"/>
        </w:rPr>
        <w:fldChar w:fldCharType="begin"/>
      </w:r>
      <w:r>
        <w:rPr>
          <w:rFonts w:hint="eastAsia" w:ascii="宋体" w:hAnsi="宋体" w:eastAsia="宋体" w:cs="宋体"/>
          <w:color w:val="auto"/>
          <w:sz w:val="24"/>
          <w:szCs w:val="21"/>
        </w:rPr>
        <w:instrText xml:space="preserve"> HYPERLINK "http://zfcg.czt.zj.gov.cn/bidClientTemplate/2019-05-27/12945.html" </w:instrText>
      </w:r>
      <w:r>
        <w:rPr>
          <w:rFonts w:hint="eastAsia" w:ascii="宋体" w:hAnsi="宋体" w:eastAsia="宋体" w:cs="宋体"/>
          <w:color w:val="auto"/>
          <w:sz w:val="24"/>
          <w:szCs w:val="21"/>
        </w:rPr>
        <w:fldChar w:fldCharType="separate"/>
      </w:r>
      <w:r>
        <w:rPr>
          <w:rFonts w:hint="eastAsia" w:ascii="宋体" w:hAnsi="宋体" w:eastAsia="宋体" w:cs="宋体"/>
          <w:color w:val="auto"/>
          <w:sz w:val="24"/>
          <w:szCs w:val="21"/>
        </w:rPr>
        <w:t>http://zfcg.czt.zj.gov.cn/bidClientTemplate/2019-05-27/12945.html</w:t>
      </w:r>
      <w:r>
        <w:rPr>
          <w:rFonts w:hint="eastAsia" w:ascii="宋体" w:hAnsi="宋体" w:eastAsia="宋体" w:cs="宋体"/>
          <w:color w:val="auto"/>
          <w:sz w:val="24"/>
          <w:szCs w:val="21"/>
        </w:rPr>
        <w:fldChar w:fldCharType="end"/>
      </w:r>
    </w:p>
    <w:p>
      <w:pPr>
        <w:keepNext w:val="0"/>
        <w:keepLines w:val="0"/>
        <w:pageBreakBefore w:val="0"/>
        <w:widowControl w:val="0"/>
        <w:numPr>
          <w:ilvl w:val="0"/>
          <w:numId w:val="5"/>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投标文件制作：</w:t>
      </w:r>
    </w:p>
    <w:p>
      <w:pPr>
        <w:keepNext w:val="0"/>
        <w:keepLines w:val="0"/>
        <w:pageBreakBefore w:val="0"/>
        <w:widowControl w:val="0"/>
        <w:numPr>
          <w:ilvl w:val="0"/>
          <w:numId w:val="6"/>
        </w:numPr>
        <w:kinsoku/>
        <w:wordWrap/>
        <w:overflowPunct/>
        <w:topLinePunct w:val="0"/>
        <w:autoSpaceDE/>
        <w:autoSpaceDN/>
        <w:bidi w:val="0"/>
        <w:adjustRightInd w:val="0"/>
        <w:spacing w:line="360" w:lineRule="auto"/>
        <w:ind w:left="0" w:leftChars="0"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color w:val="auto"/>
          <w:sz w:val="24"/>
          <w:szCs w:val="24"/>
        </w:rPr>
        <w:t>应按照本项目招标文件和政采云平台的要求编制、加密并递交投标文件。供应商在使用系统进行投标的过程中遇到涉及平台使用的任何问题，可致电政采云平台技术支持热</w:t>
      </w:r>
      <w:r>
        <w:rPr>
          <w:rFonts w:hint="eastAsia" w:ascii="宋体" w:hAnsi="宋体" w:eastAsia="宋体" w:cs="宋体"/>
          <w:b w:val="0"/>
          <w:bCs w:val="0"/>
          <w:color w:val="auto"/>
          <w:sz w:val="24"/>
          <w:szCs w:val="24"/>
        </w:rPr>
        <w:t>线咨询，联系方式：400-881-7190。</w:t>
      </w:r>
    </w:p>
    <w:p>
      <w:pPr>
        <w:keepNext w:val="0"/>
        <w:keepLines w:val="0"/>
        <w:pageBreakBefore w:val="0"/>
        <w:widowControl w:val="0"/>
        <w:numPr>
          <w:ilvl w:val="0"/>
          <w:numId w:val="6"/>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b w:val="0"/>
          <w:bCs w:val="0"/>
          <w:color w:val="auto"/>
          <w:sz w:val="24"/>
          <w:szCs w:val="24"/>
        </w:rPr>
        <w:t>投标人通过“政采云”平台电子</w:t>
      </w:r>
      <w:r>
        <w:rPr>
          <w:rFonts w:hint="eastAsia" w:ascii="宋体" w:hAnsi="宋体" w:eastAsia="宋体" w:cs="宋体"/>
          <w:color w:val="auto"/>
          <w:sz w:val="24"/>
          <w:szCs w:val="24"/>
        </w:rPr>
        <w:t>投标工具制作投标文件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《电子投标工具》：</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"http://zfcg.czt.zj.gov.cn/bidClientTemplate/2019-09-24/12975.html"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lang w:eastAsia="zh-CN"/>
        </w:rPr>
        <w:t>http://zfcg.czt.zj.gov.cn/bidClientTemplate/2019-09-24/12975.html</w:t>
      </w:r>
      <w:r>
        <w:rPr>
          <w:rFonts w:hint="eastAsia" w:ascii="宋体" w:hAnsi="宋体" w:eastAsia="宋体" w:cs="宋体"/>
          <w:color w:val="auto"/>
          <w:sz w:val="24"/>
          <w:szCs w:val="24"/>
          <w:lang w:eastAsia="zh-CN"/>
        </w:rPr>
        <w:fldChar w:fldCharType="end"/>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《供应商-政府采购项目电子交易操作指南》：</w:t>
      </w:r>
      <w:r>
        <w:rPr>
          <w:rFonts w:hint="eastAsia" w:ascii="宋体" w:hAnsi="宋体" w:eastAsia="宋体" w:cs="宋体"/>
          <w:color w:val="auto"/>
          <w:sz w:val="24"/>
          <w:szCs w:val="24"/>
          <w:lang w:val="en-US" w:eastAsia="zh-CN"/>
        </w:rPr>
        <w:t>(需登录账号后查看)</w:t>
      </w:r>
    </w:p>
    <w:p>
      <w:pPr>
        <w:keepNext w:val="0"/>
        <w:keepLines w:val="0"/>
        <w:pageBreakBefore w:val="0"/>
        <w:widowControl w:val="0"/>
        <w:kinsoku/>
        <w:wordWrap/>
        <w:overflowPunct/>
        <w:topLinePunct w:val="0"/>
        <w:autoSpaceDE/>
        <w:autoSpaceDN/>
        <w:bidi w:val="0"/>
        <w:adjustRightInd w:val="0"/>
        <w:spacing w:line="360" w:lineRule="auto"/>
        <w:ind w:firstLine="480" w:firstLineChars="20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fldChar w:fldCharType="begin"/>
      </w:r>
      <w:r>
        <w:rPr>
          <w:rFonts w:hint="eastAsia" w:ascii="宋体" w:hAnsi="宋体" w:eastAsia="宋体" w:cs="宋体"/>
          <w:color w:val="auto"/>
          <w:sz w:val="24"/>
          <w:szCs w:val="24"/>
          <w:lang w:eastAsia="zh-CN"/>
        </w:rPr>
        <w:instrText xml:space="preserve"> HYPERLINK "https://service.zcygov.cn/#/knowledges/tree?tag=AG1DtGwBFdiHxlNdhY0r" </w:instrText>
      </w:r>
      <w:r>
        <w:rPr>
          <w:rFonts w:hint="eastAsia" w:ascii="宋体" w:hAnsi="宋体" w:eastAsia="宋体" w:cs="宋体"/>
          <w:color w:val="auto"/>
          <w:sz w:val="24"/>
          <w:szCs w:val="24"/>
          <w:lang w:eastAsia="zh-CN"/>
        </w:rPr>
        <w:fldChar w:fldCharType="separate"/>
      </w:r>
      <w:r>
        <w:rPr>
          <w:rFonts w:hint="eastAsia" w:ascii="宋体" w:hAnsi="宋体" w:eastAsia="宋体" w:cs="宋体"/>
          <w:color w:val="auto"/>
          <w:sz w:val="24"/>
          <w:szCs w:val="24"/>
          <w:lang w:eastAsia="zh-CN"/>
        </w:rPr>
        <w:t>https://service.zcygov.cn/#/knowledges/tree?tag=AG1DtGwBFdiHxlNdhY0r</w:t>
      </w:r>
      <w:r>
        <w:rPr>
          <w:rFonts w:hint="eastAsia" w:ascii="宋体" w:hAnsi="宋体" w:eastAsia="宋体" w:cs="宋体"/>
          <w:color w:val="auto"/>
          <w:sz w:val="24"/>
          <w:szCs w:val="24"/>
          <w:lang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供应商在法定质疑期内应一次性提出针对同一采购程序环节的质疑。否则质疑将不予受理。</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投标人可指派授权代表递交备份文件，授权代表递交备份文件需携带法定代表人授权书原件，于投标截止时间前到达开标地点递交。</w:t>
      </w:r>
    </w:p>
    <w:p>
      <w:pPr>
        <w:keepNext w:val="0"/>
        <w:keepLines w:val="0"/>
        <w:pageBreakBefore w:val="0"/>
        <w:widowControl w:val="0"/>
        <w:numPr>
          <w:ilvl w:val="0"/>
          <w:numId w:val="0"/>
        </w:numPr>
        <w:kinsoku/>
        <w:wordWrap/>
        <w:overflowPunct/>
        <w:topLinePunct w:val="0"/>
        <w:autoSpaceDE/>
        <w:autoSpaceDN/>
        <w:bidi w:val="0"/>
        <w:adjustRightInd w:val="0"/>
        <w:spacing w:line="360" w:lineRule="auto"/>
        <w:ind w:left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特别提醒</w:t>
      </w:r>
    </w:p>
    <w:p>
      <w:pPr>
        <w:keepNext w:val="0"/>
        <w:keepLines w:val="0"/>
        <w:pageBreakBefore w:val="0"/>
        <w:widowControl w:val="0"/>
        <w:numPr>
          <w:ilvl w:val="0"/>
          <w:numId w:val="7"/>
        </w:numPr>
        <w:kinsoku/>
        <w:wordWrap w:val="0"/>
        <w:overflowPunct/>
        <w:topLinePunct w:val="0"/>
        <w:autoSpaceDE/>
        <w:autoSpaceDN/>
        <w:bidi w:val="0"/>
        <w:adjustRightInd w:val="0"/>
        <w:snapToGrid/>
        <w:spacing w:line="360" w:lineRule="auto"/>
        <w:ind w:left="0" w:leftChars="0" w:firstLine="400" w:firstLineChars="0"/>
        <w:textAlignment w:val="auto"/>
        <w:rPr>
          <w:rFonts w:hint="eastAsia"/>
          <w:color w:val="auto"/>
        </w:rPr>
      </w:pPr>
      <w:r>
        <w:rPr>
          <w:rFonts w:hint="eastAsia" w:ascii="宋体" w:hAnsi="宋体" w:eastAsia="宋体" w:cs="宋体"/>
          <w:color w:val="auto"/>
          <w:sz w:val="24"/>
          <w:szCs w:val="24"/>
        </w:rPr>
        <w:t>单位负责人为同一人或者存在直接控股、管理关系的不同供应商，不得参加同一合同项下的政府采购活动。</w:t>
      </w:r>
    </w:p>
    <w:p>
      <w:pPr>
        <w:numPr>
          <w:ilvl w:val="0"/>
          <w:numId w:val="7"/>
        </w:numPr>
        <w:adjustRightInd w:val="0"/>
        <w:spacing w:line="360" w:lineRule="auto"/>
        <w:ind w:left="0" w:leftChars="0" w:firstLine="400" w:firstLineChars="0"/>
        <w:jc w:val="left"/>
        <w:rPr>
          <w:rFonts w:ascii="宋体"/>
          <w:color w:val="auto"/>
          <w:sz w:val="24"/>
          <w:szCs w:val="24"/>
        </w:rPr>
      </w:pPr>
      <w:r>
        <w:rPr>
          <w:rFonts w:hint="eastAsia" w:ascii="宋体" w:hAnsi="宋体" w:eastAsia="宋体" w:cs="宋体"/>
          <w:color w:val="auto"/>
          <w:sz w:val="24"/>
          <w:szCs w:val="24"/>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七．磋商响应截止时间及要求：</w:t>
      </w:r>
      <w:r>
        <w:rPr>
          <w:rFonts w:ascii="宋体" w:hAnsi="宋体" w:cs="宋体"/>
          <w:color w:val="auto"/>
          <w:sz w:val="24"/>
          <w:szCs w:val="24"/>
          <w:u w:val="single"/>
        </w:rPr>
        <w:t xml:space="preserve"> 202</w:t>
      </w:r>
      <w:r>
        <w:rPr>
          <w:rFonts w:hint="eastAsia" w:ascii="宋体" w:hAnsi="宋体" w:cs="宋体"/>
          <w:color w:val="auto"/>
          <w:sz w:val="24"/>
          <w:szCs w:val="24"/>
          <w:u w:val="single"/>
        </w:rPr>
        <w:t>1</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hint="eastAsia" w:ascii="宋体" w:hAnsi="宋体" w:cs="宋体"/>
          <w:color w:val="auto"/>
          <w:sz w:val="24"/>
          <w:szCs w:val="24"/>
          <w:u w:val="single"/>
          <w:lang w:val="en-US" w:eastAsia="zh-CN"/>
        </w:rPr>
        <w:t>8</w:t>
      </w:r>
      <w:r>
        <w:rPr>
          <w:rFonts w:hint="eastAsia" w:ascii="宋体" w:hAnsi="宋体" w:cs="宋体"/>
          <w:color w:val="auto"/>
          <w:sz w:val="24"/>
          <w:szCs w:val="24"/>
        </w:rPr>
        <w:t>月</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5</w:t>
      </w:r>
      <w:r>
        <w:rPr>
          <w:rFonts w:ascii="宋体" w:hAnsi="宋体" w:cs="宋体"/>
          <w:color w:val="auto"/>
          <w:sz w:val="24"/>
          <w:szCs w:val="24"/>
          <w:u w:val="single"/>
        </w:rPr>
        <w:t xml:space="preserve"> </w:t>
      </w:r>
      <w:r>
        <w:rPr>
          <w:rFonts w:hint="eastAsia" w:ascii="宋体" w:hAnsi="宋体" w:cs="宋体"/>
          <w:color w:val="auto"/>
          <w:sz w:val="24"/>
          <w:szCs w:val="24"/>
        </w:rPr>
        <w:t>日</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9 </w:t>
      </w:r>
      <w:r>
        <w:rPr>
          <w:rFonts w:hint="eastAsia" w:ascii="宋体" w:hAnsi="宋体" w:cs="宋体"/>
          <w:color w:val="auto"/>
          <w:sz w:val="24"/>
          <w:szCs w:val="24"/>
        </w:rPr>
        <w:t>时</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分</w:t>
      </w:r>
      <w:r>
        <w:rPr>
          <w:rFonts w:hint="eastAsia" w:ascii="宋体" w:hAnsi="宋体" w:cs="宋体"/>
          <w:color w:val="auto"/>
          <w:sz w:val="24"/>
          <w:szCs w:val="24"/>
        </w:rPr>
        <w:t>整</w:t>
      </w:r>
      <w:r>
        <w:rPr>
          <w:rFonts w:hint="eastAsia" w:ascii="宋体" w:hAnsi="宋体" w:cs="宋体"/>
          <w:color w:val="auto"/>
          <w:kern w:val="0"/>
          <w:sz w:val="24"/>
          <w:szCs w:val="24"/>
        </w:rPr>
        <w:t>之前将电子磋商响应文件上传到“政采云”平台。</w:t>
      </w:r>
    </w:p>
    <w:p>
      <w:pPr>
        <w:adjustRightInd w:val="0"/>
        <w:spacing w:line="360" w:lineRule="auto"/>
        <w:ind w:firstLine="482" w:firstLineChars="200"/>
        <w:jc w:val="left"/>
        <w:rPr>
          <w:rFonts w:ascii="宋体"/>
          <w:color w:val="auto"/>
          <w:sz w:val="24"/>
          <w:szCs w:val="24"/>
        </w:rPr>
      </w:pPr>
      <w:r>
        <w:rPr>
          <w:rFonts w:hint="eastAsia" w:ascii="宋体" w:hAnsi="宋体" w:cs="宋体"/>
          <w:b/>
          <w:bCs/>
          <w:color w:val="auto"/>
          <w:sz w:val="24"/>
          <w:szCs w:val="24"/>
        </w:rPr>
        <w:t>八．递交首次响应文件时间及地点：</w:t>
      </w:r>
      <w:r>
        <w:rPr>
          <w:rFonts w:ascii="宋体" w:hAnsi="宋体" w:cs="宋体"/>
          <w:color w:val="auto"/>
          <w:sz w:val="24"/>
          <w:szCs w:val="24"/>
          <w:u w:val="single"/>
        </w:rPr>
        <w:t xml:space="preserve"> </w:t>
      </w:r>
      <w:bookmarkStart w:id="6" w:name="B30_开标地点"/>
      <w:r>
        <w:rPr>
          <w:rFonts w:ascii="宋体" w:hAnsi="宋体" w:cs="宋体"/>
          <w:color w:val="auto"/>
          <w:sz w:val="24"/>
          <w:szCs w:val="24"/>
          <w:u w:val="single"/>
        </w:rPr>
        <w:t>202</w:t>
      </w:r>
      <w:r>
        <w:rPr>
          <w:rFonts w:hint="eastAsia" w:ascii="宋体" w:hAnsi="宋体" w:cs="宋体"/>
          <w:color w:val="auto"/>
          <w:sz w:val="24"/>
          <w:szCs w:val="24"/>
          <w:u w:val="single"/>
        </w:rPr>
        <w:t>1</w:t>
      </w:r>
      <w:r>
        <w:rPr>
          <w:rFonts w:ascii="宋体" w:hAnsi="宋体" w:cs="宋体"/>
          <w:color w:val="auto"/>
          <w:sz w:val="24"/>
          <w:szCs w:val="24"/>
          <w:u w:val="single"/>
        </w:rPr>
        <w:t xml:space="preserve"> </w:t>
      </w:r>
      <w:r>
        <w:rPr>
          <w:rFonts w:hint="eastAsia" w:ascii="宋体" w:hAnsi="宋体" w:cs="宋体"/>
          <w:color w:val="auto"/>
          <w:sz w:val="24"/>
          <w:szCs w:val="24"/>
        </w:rPr>
        <w:t>年</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8</w:t>
      </w:r>
      <w:r>
        <w:rPr>
          <w:rFonts w:ascii="宋体" w:hAnsi="宋体" w:cs="宋体"/>
          <w:color w:val="auto"/>
          <w:sz w:val="24"/>
          <w:szCs w:val="24"/>
          <w:u w:val="single"/>
        </w:rPr>
        <w:t xml:space="preserve"> </w:t>
      </w:r>
      <w:r>
        <w:rPr>
          <w:rFonts w:hint="eastAsia" w:ascii="宋体" w:hAnsi="宋体" w:cs="宋体"/>
          <w:color w:val="auto"/>
          <w:sz w:val="24"/>
          <w:szCs w:val="24"/>
        </w:rPr>
        <w:t>月</w:t>
      </w:r>
      <w:r>
        <w:rPr>
          <w:rFonts w:hint="eastAsia" w:ascii="宋体" w:hAnsi="宋体" w:cs="宋体"/>
          <w:color w:val="auto"/>
          <w:sz w:val="24"/>
          <w:szCs w:val="24"/>
          <w:u w:val="single"/>
          <w:lang w:val="en-US" w:eastAsia="zh-CN"/>
        </w:rPr>
        <w:t>5</w:t>
      </w:r>
      <w:r>
        <w:rPr>
          <w:rFonts w:hint="eastAsia" w:ascii="宋体" w:hAnsi="宋体" w:cs="宋体"/>
          <w:color w:val="auto"/>
          <w:sz w:val="24"/>
          <w:szCs w:val="24"/>
        </w:rPr>
        <w:t>日</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9 </w:t>
      </w:r>
      <w:r>
        <w:rPr>
          <w:rFonts w:hint="eastAsia" w:ascii="宋体" w:hAnsi="宋体" w:cs="宋体"/>
          <w:color w:val="auto"/>
          <w:sz w:val="24"/>
          <w:szCs w:val="24"/>
        </w:rPr>
        <w:t>时</w:t>
      </w:r>
      <w:r>
        <w:rPr>
          <w:rFonts w:hint="eastAsia" w:ascii="宋体" w:hAnsi="宋体" w:cs="宋体"/>
          <w:color w:val="auto"/>
          <w:sz w:val="24"/>
          <w:szCs w:val="24"/>
          <w:u w:val="single"/>
          <w:lang w:val="en-US" w:eastAsia="zh-CN"/>
        </w:rPr>
        <w:t>30</w:t>
      </w:r>
      <w:r>
        <w:rPr>
          <w:rFonts w:hint="eastAsia" w:ascii="宋体" w:hAnsi="宋体" w:cs="宋体"/>
          <w:color w:val="auto"/>
          <w:sz w:val="24"/>
          <w:szCs w:val="24"/>
        </w:rPr>
        <w:t>分</w:t>
      </w:r>
      <w:r>
        <w:rPr>
          <w:rFonts w:hint="eastAsia" w:ascii="宋体" w:hAnsi="宋体" w:cs="宋体"/>
          <w:color w:val="auto"/>
          <w:sz w:val="24"/>
          <w:szCs w:val="24"/>
        </w:rPr>
        <w:t>整在绍兴市上虞区公共资源交易中心三楼</w:t>
      </w:r>
      <w:r>
        <w:rPr>
          <w:rFonts w:hint="eastAsia" w:ascii="宋体" w:hAnsi="宋体" w:cs="宋体"/>
          <w:color w:val="auto"/>
          <w:sz w:val="24"/>
          <w:szCs w:val="24"/>
          <w:u w:val="single"/>
          <w:lang w:val="en-US" w:eastAsia="zh-CN"/>
        </w:rPr>
        <w:t>301</w:t>
      </w:r>
      <w:r>
        <w:rPr>
          <w:rFonts w:ascii="宋体" w:hAnsi="宋体" w:cs="宋体"/>
          <w:color w:val="auto"/>
          <w:sz w:val="24"/>
          <w:szCs w:val="24"/>
          <w:u w:val="single"/>
        </w:rPr>
        <w:t xml:space="preserve"> </w:t>
      </w:r>
      <w:r>
        <w:rPr>
          <w:rFonts w:hint="eastAsia" w:ascii="宋体" w:hAnsi="宋体" w:cs="宋体"/>
          <w:color w:val="auto"/>
          <w:sz w:val="24"/>
          <w:szCs w:val="24"/>
        </w:rPr>
        <w:t>开标室开标</w:t>
      </w:r>
      <w:r>
        <w:rPr>
          <w:rFonts w:hint="eastAsia" w:ascii="宋体" w:hAnsi="宋体" w:cs="宋体"/>
          <w:color w:val="auto"/>
          <w:sz w:val="24"/>
          <w:szCs w:val="24"/>
        </w:rPr>
        <w:t>。</w:t>
      </w:r>
      <w:bookmarkEnd w:id="6"/>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开标时间后</w:t>
      </w:r>
      <w:r>
        <w:rPr>
          <w:rFonts w:ascii="宋体" w:hAnsi="宋体" w:cs="宋体"/>
          <w:color w:val="auto"/>
          <w:sz w:val="24"/>
          <w:szCs w:val="24"/>
        </w:rPr>
        <w:t>30</w:t>
      </w:r>
      <w:r>
        <w:rPr>
          <w:rFonts w:hint="eastAsia" w:ascii="宋体" w:hAnsi="宋体" w:cs="宋体"/>
          <w:color w:val="auto"/>
          <w:sz w:val="24"/>
          <w:szCs w:val="24"/>
        </w:rPr>
        <w:t>分钟内（</w:t>
      </w:r>
      <w:r>
        <w:rPr>
          <w:rFonts w:ascii="宋体" w:hAnsi="宋体" w:cs="宋体"/>
          <w:color w:val="auto"/>
          <w:sz w:val="24"/>
          <w:szCs w:val="24"/>
        </w:rPr>
        <w:t>202</w:t>
      </w:r>
      <w:r>
        <w:rPr>
          <w:rFonts w:hint="eastAsia" w:ascii="宋体" w:hAnsi="宋体" w:cs="宋体"/>
          <w:color w:val="auto"/>
          <w:sz w:val="24"/>
          <w:szCs w:val="24"/>
        </w:rPr>
        <w:t>1年</w:t>
      </w:r>
      <w:r>
        <w:rPr>
          <w:rFonts w:hint="eastAsia" w:ascii="宋体" w:hAnsi="宋体" w:cs="宋体"/>
          <w:color w:val="auto"/>
          <w:sz w:val="24"/>
          <w:szCs w:val="24"/>
          <w:lang w:val="en-US" w:eastAsia="zh-CN"/>
        </w:rPr>
        <w:t xml:space="preserve">8 </w:t>
      </w:r>
      <w:r>
        <w:rPr>
          <w:rFonts w:hint="eastAsia" w:ascii="宋体" w:hAnsi="宋体" w:cs="宋体"/>
          <w:color w:val="auto"/>
          <w:sz w:val="24"/>
          <w:szCs w:val="24"/>
        </w:rPr>
        <w:t>月</w:t>
      </w:r>
      <w:r>
        <w:rPr>
          <w:rFonts w:hint="eastAsia" w:ascii="宋体" w:hAnsi="宋体" w:cs="宋体"/>
          <w:color w:val="auto"/>
          <w:sz w:val="24"/>
          <w:szCs w:val="24"/>
          <w:lang w:val="en-US" w:eastAsia="zh-CN"/>
        </w:rPr>
        <w:t xml:space="preserve">5 </w:t>
      </w:r>
      <w:r>
        <w:rPr>
          <w:rFonts w:hint="eastAsia" w:ascii="宋体" w:hAnsi="宋体" w:cs="宋体"/>
          <w:color w:val="auto"/>
          <w:sz w:val="24"/>
          <w:szCs w:val="24"/>
        </w:rPr>
        <w:t>日</w:t>
      </w:r>
      <w:r>
        <w:rPr>
          <w:rFonts w:hint="eastAsia" w:ascii="宋体" w:hAnsi="宋体" w:cs="宋体"/>
          <w:color w:val="auto"/>
          <w:sz w:val="24"/>
          <w:szCs w:val="24"/>
          <w:lang w:val="en-US" w:eastAsia="zh-CN"/>
        </w:rPr>
        <w:t>10</w:t>
      </w:r>
      <w:r>
        <w:rPr>
          <w:rFonts w:ascii="宋体" w:hAnsi="宋体" w:cs="宋体"/>
          <w:color w:val="auto"/>
          <w:sz w:val="24"/>
          <w:szCs w:val="24"/>
        </w:rPr>
        <w:t>:</w:t>
      </w:r>
      <w:r>
        <w:rPr>
          <w:rFonts w:hint="eastAsia" w:ascii="宋体" w:hAnsi="宋体" w:cs="宋体"/>
          <w:color w:val="auto"/>
          <w:sz w:val="24"/>
          <w:szCs w:val="24"/>
          <w:lang w:val="en-US" w:eastAsia="zh-CN"/>
        </w:rPr>
        <w:t>00</w:t>
      </w:r>
      <w:r>
        <w:rPr>
          <w:rFonts w:hint="eastAsia" w:ascii="宋体" w:hAnsi="宋体" w:cs="宋体"/>
          <w:color w:val="auto"/>
          <w:sz w:val="24"/>
          <w:szCs w:val="24"/>
        </w:rPr>
        <w:t>前）</w:t>
      </w:r>
      <w:r>
        <w:rPr>
          <w:rFonts w:hint="eastAsia" w:ascii="宋体" w:hAnsi="宋体" w:cs="宋体"/>
          <w:color w:val="auto"/>
          <w:sz w:val="24"/>
          <w:szCs w:val="24"/>
        </w:rPr>
        <w:t>供应商可以登录“政采云”平台，用“项目采购</w:t>
      </w:r>
      <w:r>
        <w:rPr>
          <w:rFonts w:ascii="宋体" w:cs="宋体"/>
          <w:color w:val="auto"/>
          <w:sz w:val="24"/>
          <w:szCs w:val="24"/>
        </w:rPr>
        <w:t>-</w:t>
      </w:r>
      <w:r>
        <w:rPr>
          <w:rFonts w:hint="eastAsia" w:ascii="宋体" w:hAnsi="宋体" w:cs="宋体"/>
          <w:color w:val="auto"/>
          <w:sz w:val="24"/>
          <w:szCs w:val="24"/>
        </w:rPr>
        <w:t>开标评标”功能进行解密响应文件。若供应商在规定时间内（</w:t>
      </w:r>
      <w:r>
        <w:rPr>
          <w:rFonts w:ascii="宋体" w:hAnsi="宋体" w:cs="宋体"/>
          <w:color w:val="auto"/>
          <w:sz w:val="24"/>
          <w:szCs w:val="24"/>
        </w:rPr>
        <w:t>202</w:t>
      </w:r>
      <w:r>
        <w:rPr>
          <w:rFonts w:hint="eastAsia" w:ascii="宋体" w:hAnsi="宋体" w:cs="宋体"/>
          <w:color w:val="auto"/>
          <w:sz w:val="24"/>
          <w:szCs w:val="24"/>
        </w:rPr>
        <w:t>1年</w:t>
      </w:r>
      <w:r>
        <w:rPr>
          <w:rFonts w:hint="eastAsia" w:ascii="宋体" w:hAnsi="宋体" w:cs="宋体"/>
          <w:color w:val="auto"/>
          <w:sz w:val="24"/>
          <w:szCs w:val="24"/>
          <w:lang w:val="en-US" w:eastAsia="zh-CN"/>
        </w:rPr>
        <w:t>8</w:t>
      </w:r>
      <w:r>
        <w:rPr>
          <w:rFonts w:hint="eastAsia" w:ascii="宋体" w:hAnsi="宋体" w:cs="宋体"/>
          <w:color w:val="auto"/>
          <w:sz w:val="24"/>
          <w:szCs w:val="24"/>
        </w:rPr>
        <w:t>月</w:t>
      </w:r>
      <w:r>
        <w:rPr>
          <w:rFonts w:hint="eastAsia" w:ascii="宋体" w:hAnsi="宋体" w:cs="宋体"/>
          <w:color w:val="auto"/>
          <w:sz w:val="24"/>
          <w:szCs w:val="24"/>
          <w:lang w:val="en-US" w:eastAsia="zh-CN"/>
        </w:rPr>
        <w:t>5</w:t>
      </w:r>
      <w:r>
        <w:rPr>
          <w:rFonts w:hint="eastAsia" w:ascii="宋体" w:hAnsi="宋体" w:cs="宋体"/>
          <w:color w:val="auto"/>
          <w:sz w:val="24"/>
          <w:szCs w:val="24"/>
        </w:rPr>
        <w:t>日</w:t>
      </w:r>
      <w:r>
        <w:rPr>
          <w:rFonts w:hint="eastAsia" w:ascii="宋体" w:hAnsi="宋体" w:cs="宋体"/>
          <w:color w:val="auto"/>
          <w:sz w:val="24"/>
          <w:szCs w:val="24"/>
          <w:lang w:val="en-US" w:eastAsia="zh-CN"/>
        </w:rPr>
        <w:t>10</w:t>
      </w:r>
      <w:r>
        <w:rPr>
          <w:rFonts w:ascii="宋体" w:hAnsi="宋体" w:cs="宋体"/>
          <w:color w:val="auto"/>
          <w:sz w:val="24"/>
          <w:szCs w:val="24"/>
        </w:rPr>
        <w:t>:</w:t>
      </w:r>
      <w:r>
        <w:rPr>
          <w:rFonts w:hint="eastAsia" w:ascii="宋体" w:hAnsi="宋体" w:cs="宋体"/>
          <w:color w:val="auto"/>
          <w:sz w:val="24"/>
          <w:szCs w:val="24"/>
          <w:lang w:val="en-US" w:eastAsia="zh-CN"/>
        </w:rPr>
        <w:t>00</w:t>
      </w:r>
      <w:r>
        <w:rPr>
          <w:rFonts w:hint="eastAsia" w:ascii="宋体" w:hAnsi="宋体" w:cs="宋体"/>
          <w:color w:val="auto"/>
          <w:sz w:val="24"/>
          <w:szCs w:val="24"/>
        </w:rPr>
        <w:t>前）</w:t>
      </w:r>
      <w:r>
        <w:rPr>
          <w:rFonts w:hint="eastAsia" w:ascii="宋体" w:hAnsi="宋体" w:cs="宋体"/>
          <w:color w:val="auto"/>
          <w:sz w:val="24"/>
          <w:szCs w:val="24"/>
        </w:rPr>
        <w:t>解密失败，则由采购代理机构工作人员上传供应商提供的备份文件。备份文件（后缀名为</w:t>
      </w:r>
      <w:r>
        <w:rPr>
          <w:rFonts w:ascii="宋体" w:hAnsi="宋体" w:cs="宋体"/>
          <w:color w:val="auto"/>
          <w:sz w:val="24"/>
          <w:szCs w:val="24"/>
        </w:rPr>
        <w:t>.bfbs</w:t>
      </w:r>
      <w:r>
        <w:rPr>
          <w:rFonts w:hint="eastAsia" w:ascii="宋体" w:hAnsi="宋体" w:cs="宋体"/>
          <w:color w:val="auto"/>
          <w:sz w:val="24"/>
          <w:szCs w:val="24"/>
        </w:rPr>
        <w:t>）须存储在</w:t>
      </w:r>
      <w:r>
        <w:rPr>
          <w:rFonts w:ascii="宋体" w:hAnsi="宋体" w:cs="宋体"/>
          <w:color w:val="auto"/>
          <w:sz w:val="24"/>
          <w:szCs w:val="24"/>
        </w:rPr>
        <w:t>U</w:t>
      </w:r>
      <w:r>
        <w:rPr>
          <w:rFonts w:hint="eastAsia" w:ascii="宋体" w:hAnsi="宋体" w:cs="宋体"/>
          <w:color w:val="auto"/>
          <w:sz w:val="24"/>
          <w:szCs w:val="24"/>
        </w:rPr>
        <w:t>盘中，与上传的电子磋商响应文件一致，用信封进行密封并盖章</w:t>
      </w:r>
      <w:r>
        <w:rPr>
          <w:rFonts w:hint="eastAsia" w:ascii="宋体" w:hAnsi="宋体" w:cs="宋体"/>
          <w:b/>
          <w:bCs/>
          <w:color w:val="auto"/>
          <w:sz w:val="24"/>
          <w:szCs w:val="24"/>
        </w:rPr>
        <w:t>（信封内仅需放入存储备份文件的</w:t>
      </w:r>
      <w:r>
        <w:rPr>
          <w:rFonts w:ascii="宋体" w:hAnsi="宋体" w:cs="宋体"/>
          <w:b/>
          <w:bCs/>
          <w:color w:val="auto"/>
          <w:sz w:val="24"/>
          <w:szCs w:val="24"/>
        </w:rPr>
        <w:t>U</w:t>
      </w:r>
      <w:r>
        <w:rPr>
          <w:rFonts w:hint="eastAsia" w:ascii="宋体" w:hAnsi="宋体" w:cs="宋体"/>
          <w:b/>
          <w:bCs/>
          <w:color w:val="auto"/>
          <w:sz w:val="24"/>
          <w:szCs w:val="24"/>
        </w:rPr>
        <w:t>盘）</w:t>
      </w:r>
      <w:r>
        <w:rPr>
          <w:rFonts w:hint="eastAsia" w:ascii="宋体" w:hAnsi="宋体" w:cs="宋体"/>
          <w:color w:val="auto"/>
          <w:sz w:val="24"/>
          <w:szCs w:val="24"/>
        </w:rPr>
        <w:t>，由授权代表在磋商响应截止时间前递交至开标地点。若电子磋商响应文件正常解锁，则</w:t>
      </w:r>
      <w:r>
        <w:rPr>
          <w:rFonts w:ascii="宋体" w:hAnsi="宋体" w:cs="宋体"/>
          <w:color w:val="auto"/>
          <w:sz w:val="24"/>
          <w:szCs w:val="24"/>
        </w:rPr>
        <w:t>U</w:t>
      </w:r>
      <w:r>
        <w:rPr>
          <w:rFonts w:hint="eastAsia" w:ascii="宋体" w:hAnsi="宋体" w:cs="宋体"/>
          <w:color w:val="auto"/>
          <w:sz w:val="24"/>
          <w:szCs w:val="24"/>
        </w:rPr>
        <w:t>盘退还给供应商；若解锁失败，则由采购代理机构将</w:t>
      </w:r>
      <w:r>
        <w:rPr>
          <w:rFonts w:ascii="宋体" w:hAnsi="宋体" w:cs="宋体"/>
          <w:color w:val="auto"/>
          <w:sz w:val="24"/>
          <w:szCs w:val="24"/>
        </w:rPr>
        <w:t>U</w:t>
      </w:r>
      <w:r>
        <w:rPr>
          <w:rFonts w:hint="eastAsia" w:ascii="宋体" w:hAnsi="宋体" w:cs="宋体"/>
          <w:color w:val="auto"/>
          <w:sz w:val="24"/>
          <w:szCs w:val="24"/>
        </w:rPr>
        <w:t>盘中的备份文件上传，该</w:t>
      </w:r>
      <w:r>
        <w:rPr>
          <w:rFonts w:ascii="宋体" w:hAnsi="宋体" w:cs="宋体"/>
          <w:color w:val="auto"/>
          <w:sz w:val="24"/>
          <w:szCs w:val="24"/>
        </w:rPr>
        <w:t>U</w:t>
      </w:r>
      <w:r>
        <w:rPr>
          <w:rFonts w:hint="eastAsia" w:ascii="宋体" w:hAnsi="宋体" w:cs="宋体"/>
          <w:color w:val="auto"/>
          <w:sz w:val="24"/>
          <w:szCs w:val="24"/>
        </w:rPr>
        <w:t>盘将由采购代理机构保存。</w:t>
      </w:r>
    </w:p>
    <w:p>
      <w:pPr>
        <w:adjustRightInd w:val="0"/>
        <w:spacing w:line="360" w:lineRule="auto"/>
        <w:ind w:firstLine="480" w:firstLineChars="200"/>
        <w:rPr>
          <w:rFonts w:ascii="宋体"/>
          <w:color w:val="auto"/>
          <w:kern w:val="0"/>
          <w:sz w:val="24"/>
          <w:szCs w:val="24"/>
        </w:rPr>
      </w:pPr>
      <w:r>
        <w:rPr>
          <w:rFonts w:hint="eastAsia" w:ascii="宋体" w:hAnsi="宋体" w:cs="宋体"/>
          <w:color w:val="auto"/>
          <w:sz w:val="24"/>
          <w:szCs w:val="24"/>
        </w:rPr>
        <w:t>本次开标不提供现场视频。</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九．磋商保证金：无</w:t>
      </w:r>
    </w:p>
    <w:p>
      <w:pPr>
        <w:adjustRightInd w:val="0"/>
        <w:spacing w:line="36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十．公告期限：3个工作日</w:t>
      </w:r>
    </w:p>
    <w:p>
      <w:pPr>
        <w:adjustRightInd w:val="0"/>
        <w:spacing w:line="360" w:lineRule="auto"/>
        <w:ind w:firstLine="480" w:firstLineChars="200"/>
        <w:rPr>
          <w:rFonts w:hint="eastAsia"/>
        </w:rPr>
      </w:pPr>
      <w:r>
        <w:rPr>
          <w:rFonts w:hint="eastAsia" w:ascii="宋体" w:hAnsi="宋体" w:cs="宋体"/>
          <w:sz w:val="24"/>
          <w:szCs w:val="24"/>
        </w:rPr>
        <w:t>十一．其他事项：</w:t>
      </w:r>
    </w:p>
    <w:p>
      <w:pPr>
        <w:numPr>
          <w:ilvl w:val="0"/>
          <w:numId w:val="8"/>
        </w:numPr>
        <w:adjustRightInd w:val="0"/>
        <w:spacing w:line="360" w:lineRule="auto"/>
        <w:ind w:firstLine="480" w:firstLineChars="200"/>
        <w:rPr>
          <w:rFonts w:ascii="宋体"/>
          <w:sz w:val="24"/>
          <w:szCs w:val="24"/>
        </w:rPr>
      </w:pPr>
      <w:bookmarkStart w:id="7" w:name="B31_其他事项"/>
      <w:r>
        <w:rPr>
          <w:rFonts w:hint="eastAsia" w:ascii="宋体"/>
          <w:sz w:val="24"/>
          <w:szCs w:val="24"/>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bookmarkEnd w:id="7"/>
    <w:p>
      <w:pPr>
        <w:numPr>
          <w:ilvl w:val="0"/>
          <w:numId w:val="8"/>
        </w:numPr>
        <w:adjustRightInd w:val="0"/>
        <w:spacing w:line="360" w:lineRule="auto"/>
        <w:ind w:firstLine="482" w:firstLineChars="200"/>
        <w:rPr>
          <w:rFonts w:ascii="宋体"/>
          <w:b/>
          <w:bCs/>
          <w:sz w:val="24"/>
          <w:szCs w:val="24"/>
          <w:u w:val="single"/>
        </w:rPr>
      </w:pPr>
      <w:r>
        <w:rPr>
          <w:rFonts w:hint="eastAsia" w:ascii="宋体" w:hAnsi="宋体" w:cs="宋体"/>
          <w:b/>
          <w:bCs/>
          <w:sz w:val="24"/>
          <w:szCs w:val="24"/>
          <w:u w:val="single"/>
        </w:rPr>
        <w:t>若供应商需要进行开标现场解密等操作，则需携带笔记本（同时携带</w:t>
      </w:r>
      <w:r>
        <w:rPr>
          <w:rFonts w:ascii="宋体" w:hAnsi="宋体" w:cs="宋体"/>
          <w:b/>
          <w:bCs/>
          <w:sz w:val="24"/>
          <w:szCs w:val="24"/>
          <w:u w:val="single"/>
        </w:rPr>
        <w:t>CA</w:t>
      </w:r>
      <w:r>
        <w:rPr>
          <w:rFonts w:hint="eastAsia" w:ascii="宋体" w:hAnsi="宋体" w:cs="宋体"/>
          <w:b/>
          <w:bCs/>
          <w:sz w:val="24"/>
          <w:szCs w:val="24"/>
          <w:u w:val="single"/>
        </w:rPr>
        <w:t>）至开标现场进行操作。开标时使用的电脑需安装谷歌浏览器、配置</w:t>
      </w:r>
      <w:r>
        <w:rPr>
          <w:rFonts w:ascii="宋体" w:hAnsi="宋体" w:cs="宋体"/>
          <w:b/>
          <w:bCs/>
          <w:sz w:val="24"/>
          <w:szCs w:val="24"/>
          <w:u w:val="single"/>
        </w:rPr>
        <w:t>win7</w:t>
      </w:r>
      <w:r>
        <w:rPr>
          <w:rFonts w:hint="eastAsia" w:ascii="宋体" w:hAnsi="宋体" w:cs="宋体"/>
          <w:b/>
          <w:bCs/>
          <w:sz w:val="24"/>
          <w:szCs w:val="24"/>
          <w:u w:val="single"/>
        </w:rPr>
        <w:t>及以上</w:t>
      </w:r>
      <w:r>
        <w:rPr>
          <w:rFonts w:ascii="宋体" w:hAnsi="宋体" w:cs="宋体"/>
          <w:b/>
          <w:bCs/>
          <w:sz w:val="24"/>
          <w:szCs w:val="24"/>
          <w:u w:val="single"/>
        </w:rPr>
        <w:t>64</w:t>
      </w:r>
      <w:r>
        <w:rPr>
          <w:rFonts w:hint="eastAsia" w:ascii="宋体" w:hAnsi="宋体" w:cs="宋体"/>
          <w:b/>
          <w:bCs/>
          <w:sz w:val="24"/>
          <w:szCs w:val="24"/>
          <w:u w:val="single"/>
        </w:rPr>
        <w:t>位、对应的</w:t>
      </w:r>
      <w:r>
        <w:rPr>
          <w:rFonts w:ascii="宋体" w:hAnsi="宋体" w:cs="宋体"/>
          <w:b/>
          <w:bCs/>
          <w:sz w:val="24"/>
          <w:szCs w:val="24"/>
          <w:u w:val="single"/>
        </w:rPr>
        <w:t>CA</w:t>
      </w:r>
      <w:r>
        <w:rPr>
          <w:rFonts w:hint="eastAsia" w:ascii="宋体" w:hAnsi="宋体" w:cs="宋体"/>
          <w:b/>
          <w:bCs/>
          <w:sz w:val="24"/>
          <w:szCs w:val="24"/>
          <w:u w:val="single"/>
        </w:rPr>
        <w:t>驱动和插件及投标客户端，网络须自备。</w:t>
      </w:r>
    </w:p>
    <w:p>
      <w:pPr>
        <w:adjustRightInd w:val="0"/>
        <w:spacing w:line="360" w:lineRule="auto"/>
        <w:ind w:firstLine="480" w:firstLineChars="200"/>
      </w:pPr>
      <w:r>
        <w:rPr>
          <w:rFonts w:hint="eastAsia" w:ascii="宋体" w:hAnsi="宋体" w:cs="宋体"/>
          <w:sz w:val="24"/>
          <w:szCs w:val="24"/>
        </w:rPr>
        <w:t>十二．联系方式：</w:t>
      </w:r>
    </w:p>
    <w:p>
      <w:pPr>
        <w:adjustRightInd w:val="0"/>
        <w:spacing w:line="360" w:lineRule="auto"/>
        <w:ind w:firstLine="480" w:firstLineChars="200"/>
        <w:rPr>
          <w:rFonts w:hint="eastAsia" w:ascii="宋体" w:eastAsia="宋体"/>
          <w:color w:val="auto"/>
          <w:sz w:val="24"/>
          <w:szCs w:val="24"/>
          <w:lang w:eastAsia="zh-CN"/>
        </w:rPr>
      </w:pPr>
      <w:r>
        <w:rPr>
          <w:rFonts w:ascii="宋体" w:hAnsi="宋体" w:cs="宋体"/>
          <w:color w:val="auto"/>
          <w:sz w:val="24"/>
          <w:szCs w:val="24"/>
        </w:rPr>
        <w:t>1</w:t>
      </w:r>
      <w:r>
        <w:rPr>
          <w:rFonts w:hint="eastAsia" w:ascii="宋体" w:hAnsi="宋体" w:cs="宋体"/>
          <w:color w:val="auto"/>
          <w:sz w:val="24"/>
          <w:szCs w:val="24"/>
        </w:rPr>
        <w:t>．采购代理机构名称：</w:t>
      </w:r>
      <w:r>
        <w:rPr>
          <w:rFonts w:hint="eastAsia" w:ascii="宋体" w:hAnsi="宋体" w:cs="宋体"/>
          <w:color w:val="auto"/>
          <w:sz w:val="24"/>
          <w:szCs w:val="24"/>
          <w:lang w:eastAsia="zh-CN"/>
        </w:rPr>
        <w:t>浙江新诚信工程咨询有限公司</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w:t>
      </w:r>
      <w:r>
        <w:rPr>
          <w:rFonts w:hint="eastAsia" w:ascii="宋体" w:hAnsi="宋体" w:cs="宋体"/>
          <w:color w:val="auto"/>
          <w:sz w:val="24"/>
          <w:szCs w:val="24"/>
          <w:u w:val="none"/>
          <w:lang w:eastAsia="zh-CN"/>
        </w:rPr>
        <w:t>叶靓靓</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联系方式：</w:t>
      </w:r>
      <w:r>
        <w:rPr>
          <w:rFonts w:hint="eastAsia" w:ascii="宋体" w:hAnsi="宋体" w:cs="宋体"/>
          <w:color w:val="auto"/>
          <w:sz w:val="24"/>
          <w:szCs w:val="24"/>
          <w:u w:val="none"/>
          <w:lang w:val="en-US" w:eastAsia="zh-CN"/>
        </w:rPr>
        <w:t>15257534860</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宋体" w:eastAsia="宋体"/>
          <w:color w:val="auto"/>
          <w:sz w:val="24"/>
          <w:szCs w:val="24"/>
          <w:lang w:val="en-US" w:eastAsia="zh-CN"/>
        </w:rPr>
      </w:pPr>
      <w:r>
        <w:rPr>
          <w:rFonts w:hint="eastAsia" w:ascii="宋体" w:hAnsi="宋体" w:eastAsia="宋体" w:cs="宋体"/>
          <w:color w:val="auto"/>
          <w:sz w:val="24"/>
          <w:szCs w:val="24"/>
        </w:rPr>
        <w:t>地址：</w:t>
      </w:r>
      <w:r>
        <w:rPr>
          <w:rFonts w:hint="eastAsia" w:ascii="宋体" w:hAnsi="宋体" w:cs="宋体"/>
          <w:color w:val="auto"/>
          <w:sz w:val="24"/>
          <w:szCs w:val="24"/>
          <w:u w:val="none"/>
        </w:rPr>
        <w:t>上虞区百官街道</w:t>
      </w:r>
      <w:r>
        <w:rPr>
          <w:rFonts w:hint="eastAsia" w:ascii="宋体" w:hAnsi="宋体" w:cs="宋体"/>
          <w:color w:val="auto"/>
          <w:sz w:val="24"/>
          <w:szCs w:val="24"/>
          <w:u w:val="none"/>
          <w:lang w:eastAsia="zh-CN"/>
        </w:rPr>
        <w:t>都悦大厦</w:t>
      </w:r>
      <w:r>
        <w:rPr>
          <w:rFonts w:hint="eastAsia" w:ascii="宋体" w:hAnsi="宋体" w:cs="宋体"/>
          <w:color w:val="auto"/>
          <w:sz w:val="24"/>
          <w:szCs w:val="24"/>
          <w:u w:val="none"/>
          <w:lang w:val="en-US" w:eastAsia="zh-CN"/>
        </w:rPr>
        <w:t>23楼</w:t>
      </w:r>
    </w:p>
    <w:p>
      <w:pPr>
        <w:adjustRightInd w:val="0"/>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．采购人名称：</w:t>
      </w:r>
      <w:r>
        <w:rPr>
          <w:rFonts w:hint="eastAsia" w:ascii="宋体" w:hAnsi="宋体" w:cs="宋体"/>
          <w:color w:val="auto"/>
          <w:sz w:val="24"/>
          <w:szCs w:val="24"/>
          <w:lang w:eastAsia="zh-CN"/>
        </w:rPr>
        <w:t>绍兴市上虞区道墟街道办事处</w:t>
      </w:r>
      <w:r>
        <w:rPr>
          <w:rFonts w:ascii="宋体" w:hAnsi="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联系人：刘伟峰</w:t>
      </w:r>
      <w:r>
        <w:rPr>
          <w:rFonts w:hint="eastAsia" w:ascii="宋体" w:hAnsi="宋体" w:cs="宋体"/>
          <w:color w:val="auto"/>
          <w:sz w:val="24"/>
          <w:szCs w:val="24"/>
          <w:u w:val="none"/>
          <w:lang w:val="en-US" w:eastAsia="zh-CN"/>
        </w:rPr>
        <w:t xml:space="preserve"> </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联系方式：13967533787</w:t>
      </w:r>
    </w:p>
    <w:p>
      <w:pPr>
        <w:keepNext w:val="0"/>
        <w:keepLines w:val="0"/>
        <w:pageBreakBefore w:val="0"/>
        <w:widowControl w:val="0"/>
        <w:kinsoku/>
        <w:wordWrap/>
        <w:overflowPunct/>
        <w:topLinePunct w:val="0"/>
        <w:autoSpaceDE/>
        <w:autoSpaceDN/>
        <w:bidi w:val="0"/>
        <w:adjustRightInd w:val="0"/>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地址：</w:t>
      </w:r>
      <w:r>
        <w:rPr>
          <w:rFonts w:hint="eastAsia" w:ascii="宋体" w:hAnsi="宋体" w:cs="宋体"/>
          <w:color w:val="auto"/>
          <w:sz w:val="24"/>
          <w:szCs w:val="24"/>
          <w:u w:val="none"/>
          <w:lang w:eastAsia="zh-CN"/>
        </w:rPr>
        <w:t>上虞区道墟街道办事处</w:t>
      </w:r>
    </w:p>
    <w:p>
      <w:pPr>
        <w:adjustRightInd w:val="0"/>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．同级政府采购监督管理部门名称：上虞区财政局政府采购监管科</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联系人：谷先生</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监督投诉电话：</w:t>
      </w:r>
      <w:r>
        <w:rPr>
          <w:rFonts w:ascii="宋体" w:hAnsi="宋体" w:cs="宋体"/>
          <w:color w:val="auto"/>
          <w:sz w:val="24"/>
          <w:szCs w:val="24"/>
        </w:rPr>
        <w:t>0575-82130212</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传真：</w:t>
      </w:r>
      <w:r>
        <w:rPr>
          <w:rFonts w:ascii="宋体" w:hAnsi="宋体" w:cs="宋体"/>
          <w:color w:val="auto"/>
          <w:sz w:val="24"/>
          <w:szCs w:val="24"/>
        </w:rPr>
        <w:t>0575-82130212</w:t>
      </w:r>
    </w:p>
    <w:p>
      <w:pPr>
        <w:adjustRightInd w:val="0"/>
        <w:spacing w:line="360" w:lineRule="auto"/>
        <w:ind w:firstLine="480" w:firstLineChars="200"/>
        <w:rPr>
          <w:rFonts w:ascii="宋体"/>
          <w:color w:val="auto"/>
          <w:sz w:val="24"/>
          <w:szCs w:val="24"/>
        </w:rPr>
      </w:pPr>
      <w:r>
        <w:rPr>
          <w:rFonts w:hint="eastAsia" w:ascii="宋体" w:hAnsi="宋体" w:cs="宋体"/>
          <w:color w:val="auto"/>
          <w:sz w:val="24"/>
          <w:szCs w:val="24"/>
        </w:rPr>
        <w:t>地址：绍兴市上虞区体育场路</w:t>
      </w:r>
      <w:r>
        <w:rPr>
          <w:rFonts w:ascii="宋体" w:hAnsi="宋体" w:cs="宋体"/>
          <w:color w:val="auto"/>
          <w:sz w:val="24"/>
          <w:szCs w:val="24"/>
        </w:rPr>
        <w:t>18</w:t>
      </w:r>
      <w:r>
        <w:rPr>
          <w:rFonts w:hint="eastAsia" w:ascii="宋体" w:hAnsi="宋体" w:cs="宋体"/>
          <w:color w:val="auto"/>
          <w:sz w:val="24"/>
          <w:szCs w:val="24"/>
        </w:rPr>
        <w:t>号</w:t>
      </w:r>
    </w:p>
    <w:p>
      <w:pPr>
        <w:spacing w:line="360" w:lineRule="auto"/>
        <w:jc w:val="center"/>
        <w:outlineLvl w:val="0"/>
        <w:rPr>
          <w:rFonts w:ascii="宋体"/>
          <w:b/>
          <w:bCs/>
          <w:color w:val="auto"/>
          <w:sz w:val="36"/>
          <w:szCs w:val="36"/>
        </w:rPr>
      </w:pPr>
      <w:r>
        <w:rPr>
          <w:rFonts w:ascii="宋体"/>
          <w:b/>
          <w:bCs/>
          <w:color w:val="auto"/>
          <w:sz w:val="36"/>
          <w:szCs w:val="36"/>
        </w:rPr>
        <w:br w:type="page"/>
      </w:r>
      <w:bookmarkStart w:id="8" w:name="_Toc29834"/>
      <w:bookmarkStart w:id="9" w:name="_Toc546"/>
      <w:bookmarkStart w:id="10" w:name="_Toc14689"/>
      <w:r>
        <w:rPr>
          <w:rStyle w:val="31"/>
          <w:rFonts w:hint="eastAsia" w:cs="宋体"/>
          <w:color w:val="auto"/>
          <w:sz w:val="36"/>
          <w:szCs w:val="36"/>
        </w:rPr>
        <w:t>第二部分</w:t>
      </w:r>
      <w:bookmarkEnd w:id="3"/>
      <w:r>
        <w:rPr>
          <w:rStyle w:val="31"/>
          <w:color w:val="auto"/>
          <w:sz w:val="36"/>
          <w:szCs w:val="36"/>
        </w:rPr>
        <w:t xml:space="preserve"> </w:t>
      </w:r>
      <w:bookmarkEnd w:id="4"/>
      <w:r>
        <w:rPr>
          <w:rStyle w:val="31"/>
          <w:rFonts w:hint="eastAsia" w:cs="宋体"/>
          <w:color w:val="auto"/>
          <w:sz w:val="36"/>
          <w:szCs w:val="36"/>
        </w:rPr>
        <w:t>供应商须知</w:t>
      </w:r>
      <w:bookmarkEnd w:id="8"/>
      <w:bookmarkEnd w:id="9"/>
      <w:bookmarkEnd w:id="10"/>
    </w:p>
    <w:p>
      <w:pPr>
        <w:widowControl/>
        <w:adjustRightInd w:val="0"/>
        <w:snapToGrid w:val="0"/>
        <w:spacing w:line="360" w:lineRule="auto"/>
        <w:jc w:val="center"/>
        <w:rPr>
          <w:rFonts w:ascii="宋体"/>
          <w:b/>
          <w:bCs/>
          <w:snapToGrid w:val="0"/>
          <w:color w:val="auto"/>
          <w:kern w:val="0"/>
          <w:sz w:val="32"/>
          <w:szCs w:val="32"/>
        </w:rPr>
      </w:pPr>
      <w:r>
        <w:rPr>
          <w:rFonts w:hint="eastAsia" w:ascii="宋体" w:hAnsi="宋体" w:cs="宋体"/>
          <w:b/>
          <w:bCs/>
          <w:snapToGrid w:val="0"/>
          <w:color w:val="auto"/>
          <w:kern w:val="0"/>
          <w:sz w:val="30"/>
          <w:szCs w:val="30"/>
        </w:rPr>
        <w:t>供应商须知前附表</w:t>
      </w:r>
    </w:p>
    <w:tbl>
      <w:tblPr>
        <w:tblStyle w:val="22"/>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930"/>
        <w:gridCol w:w="65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rPr>
            </w:pPr>
            <w:r>
              <w:rPr>
                <w:rFonts w:hint="eastAsia" w:ascii="宋体" w:hAnsi="宋体" w:cs="宋体"/>
                <w:b/>
                <w:bCs/>
                <w:snapToGrid w:val="0"/>
                <w:color w:val="auto"/>
                <w:kern w:val="0"/>
              </w:rPr>
              <w:t>序号</w:t>
            </w:r>
          </w:p>
        </w:tc>
        <w:tc>
          <w:tcPr>
            <w:tcW w:w="1930" w:type="dxa"/>
            <w:tcBorders>
              <w:top w:val="double" w:color="auto" w:sz="4" w:space="0"/>
            </w:tcBorders>
            <w:vAlign w:val="center"/>
          </w:tcPr>
          <w:p>
            <w:pPr>
              <w:snapToGrid w:val="0"/>
              <w:jc w:val="center"/>
              <w:rPr>
                <w:rFonts w:ascii="宋体"/>
                <w:b/>
                <w:bCs/>
                <w:snapToGrid w:val="0"/>
                <w:color w:val="auto"/>
                <w:kern w:val="0"/>
              </w:rPr>
            </w:pPr>
            <w:r>
              <w:rPr>
                <w:rFonts w:hint="eastAsia" w:ascii="宋体" w:hAnsi="宋体" w:cs="宋体"/>
                <w:b/>
                <w:bCs/>
                <w:snapToGrid w:val="0"/>
                <w:color w:val="auto"/>
                <w:kern w:val="0"/>
              </w:rPr>
              <w:t>项目</w:t>
            </w:r>
          </w:p>
        </w:tc>
        <w:tc>
          <w:tcPr>
            <w:tcW w:w="6552" w:type="dxa"/>
            <w:tcBorders>
              <w:top w:val="double" w:color="auto" w:sz="4" w:space="0"/>
            </w:tcBorders>
            <w:vAlign w:val="center"/>
          </w:tcPr>
          <w:p>
            <w:pPr>
              <w:snapToGrid w:val="0"/>
              <w:jc w:val="center"/>
              <w:rPr>
                <w:rFonts w:ascii="宋体"/>
                <w:b/>
                <w:bCs/>
                <w:snapToGrid w:val="0"/>
                <w:color w:val="auto"/>
                <w:kern w:val="0"/>
              </w:rPr>
            </w:pPr>
            <w:r>
              <w:rPr>
                <w:rFonts w:hint="eastAsia" w:ascii="宋体" w:hAnsi="宋体" w:cs="宋体"/>
                <w:b/>
                <w:bCs/>
                <w:snapToGrid w:val="0"/>
                <w:color w:val="auto"/>
                <w:kern w:val="0"/>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项目名称</w:t>
            </w:r>
          </w:p>
        </w:tc>
        <w:tc>
          <w:tcPr>
            <w:tcW w:w="6552" w:type="dxa"/>
            <w:vAlign w:val="center"/>
          </w:tcPr>
          <w:p>
            <w:pPr>
              <w:snapToGrid w:val="0"/>
              <w:ind w:firstLine="420" w:firstLineChars="200"/>
              <w:rPr>
                <w:rFonts w:hint="eastAsia" w:ascii="宋体" w:eastAsia="宋体"/>
                <w:snapToGrid w:val="0"/>
                <w:color w:val="auto"/>
                <w:kern w:val="0"/>
                <w:lang w:eastAsia="zh-CN"/>
              </w:rPr>
            </w:pPr>
            <w:r>
              <w:rPr>
                <w:rFonts w:hint="eastAsia" w:ascii="宋体" w:hAnsi="宋体" w:cs="宋体"/>
                <w:snapToGrid w:val="0"/>
                <w:color w:val="auto"/>
                <w:kern w:val="0"/>
                <w:lang w:eastAsia="zh-CN"/>
              </w:rPr>
              <w:t>道墟街道工业集聚区地下水污染扩散排查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2</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服务周期</w:t>
            </w:r>
          </w:p>
        </w:tc>
        <w:tc>
          <w:tcPr>
            <w:tcW w:w="6552" w:type="dxa"/>
            <w:vAlign w:val="center"/>
          </w:tcPr>
          <w:p>
            <w:pPr>
              <w:ind w:firstLine="422" w:firstLineChars="200"/>
              <w:rPr>
                <w:rFonts w:ascii="宋体"/>
                <w:color w:val="auto"/>
              </w:rPr>
            </w:pPr>
            <w:r>
              <w:rPr>
                <w:rFonts w:hint="eastAsia" w:ascii="宋体" w:hAnsi="宋体" w:cs="宋体"/>
                <w:b/>
                <w:bCs/>
                <w:snapToGrid w:val="0"/>
                <w:color w:val="auto"/>
                <w:kern w:val="0"/>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3</w:t>
            </w:r>
          </w:p>
        </w:tc>
        <w:tc>
          <w:tcPr>
            <w:tcW w:w="1930" w:type="dxa"/>
            <w:vAlign w:val="center"/>
          </w:tcPr>
          <w:p>
            <w:pPr>
              <w:snapToGrid w:val="0"/>
              <w:jc w:val="center"/>
              <w:rPr>
                <w:rFonts w:ascii="宋体"/>
                <w:b/>
                <w:bCs/>
                <w:snapToGrid w:val="0"/>
                <w:color w:val="auto"/>
                <w:kern w:val="0"/>
              </w:rPr>
            </w:pPr>
            <w:r>
              <w:rPr>
                <w:rFonts w:hint="eastAsia" w:ascii="宋体" w:hAnsi="宋体" w:cs="宋体"/>
                <w:b/>
                <w:bCs/>
                <w:snapToGrid w:val="0"/>
                <w:color w:val="auto"/>
                <w:kern w:val="0"/>
              </w:rPr>
              <w:t>最高限价</w:t>
            </w:r>
          </w:p>
        </w:tc>
        <w:tc>
          <w:tcPr>
            <w:tcW w:w="6552" w:type="dxa"/>
            <w:vAlign w:val="center"/>
          </w:tcPr>
          <w:p>
            <w:pPr>
              <w:snapToGrid w:val="0"/>
              <w:ind w:firstLine="420" w:firstLineChars="200"/>
              <w:rPr>
                <w:rFonts w:ascii="宋体"/>
                <w:b/>
                <w:bCs/>
                <w:snapToGrid w:val="0"/>
                <w:color w:val="auto"/>
                <w:kern w:val="0"/>
              </w:rPr>
            </w:pPr>
            <w:r>
              <w:rPr>
                <w:rFonts w:hint="eastAsia" w:ascii="宋体" w:hAnsi="宋体" w:cs="宋体"/>
                <w:color w:val="auto"/>
              </w:rPr>
              <w:t>本项目最高限价人民币</w:t>
            </w:r>
            <w:r>
              <w:rPr>
                <w:rFonts w:ascii="宋体" w:hAnsi="宋体" w:cs="宋体"/>
                <w:color w:val="auto"/>
                <w:u w:val="single"/>
              </w:rPr>
              <w:t xml:space="preserve"> </w:t>
            </w:r>
            <w:r>
              <w:rPr>
                <w:rFonts w:hint="eastAsia" w:ascii="宋体" w:hAnsi="宋体" w:cs="宋体"/>
                <w:color w:val="auto"/>
                <w:u w:val="single"/>
                <w:lang w:val="en-US" w:eastAsia="zh-CN"/>
              </w:rPr>
              <w:t>130</w:t>
            </w:r>
            <w:r>
              <w:rPr>
                <w:rFonts w:ascii="宋体" w:hAnsi="宋体" w:cs="宋体"/>
                <w:color w:val="auto"/>
                <w:u w:val="single"/>
              </w:rPr>
              <w:t xml:space="preserve"> </w:t>
            </w:r>
            <w:r>
              <w:rPr>
                <w:rFonts w:hint="eastAsia" w:ascii="宋体" w:hAnsi="宋体" w:cs="宋体"/>
                <w:color w:val="auto"/>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 xml:space="preserve">                                                                                                   4</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资格审查方式</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5</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踏勘现场</w:t>
            </w:r>
          </w:p>
        </w:tc>
        <w:tc>
          <w:tcPr>
            <w:tcW w:w="6552" w:type="dxa"/>
            <w:vAlign w:val="center"/>
          </w:tcPr>
          <w:p>
            <w:pPr>
              <w:snapToGrid w:val="0"/>
              <w:ind w:firstLine="422" w:firstLineChars="200"/>
              <w:rPr>
                <w:rFonts w:ascii="宋体"/>
                <w:snapToGrid w:val="0"/>
                <w:color w:val="auto"/>
                <w:kern w:val="0"/>
              </w:rPr>
            </w:pPr>
            <w:r>
              <w:rPr>
                <w:rFonts w:hint="eastAsia" w:ascii="宋体" w:hAnsi="宋体" w:cs="宋体"/>
                <w:b/>
                <w:bCs/>
                <w:snapToGrid w:val="0"/>
                <w:color w:val="auto"/>
                <w:kern w:val="0"/>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6</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询问</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供应商对政府采购活动事项有疑问的，可以向采购机构提出询问，采购人或者招标代理机构应当在</w:t>
            </w:r>
            <w:r>
              <w:rPr>
                <w:rFonts w:ascii="宋体" w:hAnsi="宋体" w:cs="宋体"/>
                <w:snapToGrid w:val="0"/>
                <w:color w:val="auto"/>
                <w:kern w:val="0"/>
              </w:rPr>
              <w:t>3</w:t>
            </w:r>
            <w:r>
              <w:rPr>
                <w:rFonts w:hint="eastAsia" w:ascii="宋体" w:hAnsi="宋体" w:cs="宋体"/>
                <w:snapToGrid w:val="0"/>
                <w:color w:val="auto"/>
                <w:kern w:val="0"/>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7</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磋商文件的澄清与修改</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采购单位可以对已发出的磋商文件进行必要澄清或者修改，澄清或者修改的内容可能影响响应文件编制的，应当在提交首次响应文件截至时间至少</w:t>
            </w:r>
            <w:r>
              <w:rPr>
                <w:rFonts w:ascii="宋体" w:hAnsi="宋体" w:cs="宋体"/>
                <w:snapToGrid w:val="0"/>
                <w:color w:val="auto"/>
                <w:kern w:val="0"/>
              </w:rPr>
              <w:t>5</w:t>
            </w:r>
            <w:r>
              <w:rPr>
                <w:rFonts w:hint="eastAsia" w:ascii="宋体" w:hAnsi="宋体" w:cs="宋体"/>
                <w:snapToGrid w:val="0"/>
                <w:color w:val="auto"/>
                <w:kern w:val="0"/>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8</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磋商响应文件组成</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9</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评标办法</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10</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磋商响应文件递交地址及截止时间</w:t>
            </w:r>
          </w:p>
        </w:tc>
        <w:tc>
          <w:tcPr>
            <w:tcW w:w="6552" w:type="dxa"/>
            <w:vAlign w:val="center"/>
          </w:tcPr>
          <w:p>
            <w:pPr>
              <w:snapToGrid w:val="0"/>
              <w:ind w:firstLine="420" w:firstLineChars="200"/>
              <w:rPr>
                <w:rFonts w:ascii="宋体"/>
                <w:color w:val="auto"/>
                <w:kern w:val="0"/>
              </w:rPr>
            </w:pPr>
            <w:r>
              <w:rPr>
                <w:rFonts w:hint="eastAsia" w:ascii="宋体" w:hAnsi="宋体" w:cs="宋体"/>
                <w:snapToGrid w:val="0"/>
                <w:color w:val="auto"/>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11</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开标时间、地点</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开标时间：</w:t>
            </w:r>
            <w:r>
              <w:rPr>
                <w:rFonts w:hint="eastAsia" w:ascii="宋体" w:hAnsi="宋体" w:cs="宋体"/>
                <w:color w:val="auto"/>
                <w:kern w:val="0"/>
              </w:rPr>
              <w:t>详见磋商公告</w:t>
            </w:r>
          </w:p>
          <w:p>
            <w:pPr>
              <w:snapToGrid w:val="0"/>
              <w:ind w:firstLine="420" w:firstLineChars="200"/>
              <w:rPr>
                <w:rFonts w:ascii="宋体"/>
                <w:color w:val="auto"/>
                <w:kern w:val="0"/>
              </w:rPr>
            </w:pPr>
            <w:r>
              <w:rPr>
                <w:rFonts w:hint="eastAsia" w:ascii="宋体" w:hAnsi="宋体" w:cs="宋体"/>
                <w:snapToGrid w:val="0"/>
                <w:color w:val="auto"/>
                <w:kern w:val="0"/>
              </w:rPr>
              <w:t>开标地点：</w:t>
            </w:r>
            <w:r>
              <w:rPr>
                <w:rFonts w:hint="eastAsia" w:ascii="宋体" w:hAnsi="宋体" w:cs="宋体"/>
                <w:color w:val="auto"/>
                <w:kern w:val="0"/>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12</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磋商响应文件有效期</w:t>
            </w:r>
          </w:p>
        </w:tc>
        <w:tc>
          <w:tcPr>
            <w:tcW w:w="6552" w:type="dxa"/>
            <w:vAlign w:val="center"/>
          </w:tcPr>
          <w:p>
            <w:pPr>
              <w:snapToGrid w:val="0"/>
              <w:ind w:firstLine="420" w:firstLineChars="200"/>
              <w:rPr>
                <w:rFonts w:ascii="宋体"/>
                <w:snapToGrid w:val="0"/>
                <w:color w:val="auto"/>
                <w:kern w:val="0"/>
              </w:rPr>
            </w:pPr>
            <w:r>
              <w:rPr>
                <w:rFonts w:hint="eastAsia" w:ascii="宋体" w:hAnsi="宋体" w:cs="宋体"/>
                <w:snapToGrid w:val="0"/>
                <w:color w:val="auto"/>
                <w:kern w:val="0"/>
              </w:rPr>
              <w:t>响应文件有效期为从提交响应文件的截止之日起</w:t>
            </w:r>
            <w:r>
              <w:rPr>
                <w:rFonts w:ascii="宋体" w:hAnsi="宋体" w:cs="宋体"/>
                <w:snapToGrid w:val="0"/>
                <w:color w:val="auto"/>
                <w:kern w:val="0"/>
              </w:rPr>
              <w:t>90</w:t>
            </w:r>
            <w:r>
              <w:rPr>
                <w:rFonts w:hint="eastAsia" w:ascii="宋体" w:hAnsi="宋体" w:cs="宋体"/>
                <w:snapToGrid w:val="0"/>
                <w:color w:val="auto"/>
                <w:kern w:val="0"/>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13</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履约保证金</w:t>
            </w:r>
          </w:p>
        </w:tc>
        <w:tc>
          <w:tcPr>
            <w:tcW w:w="6552" w:type="dxa"/>
            <w:vAlign w:val="center"/>
          </w:tcPr>
          <w:p>
            <w:pPr>
              <w:pStyle w:val="12"/>
              <w:snapToGrid w:val="0"/>
              <w:ind w:firstLine="420" w:firstLineChars="200"/>
              <w:rPr>
                <w:rFonts w:hAnsi="宋体"/>
                <w:color w:val="auto"/>
                <w:kern w:val="0"/>
              </w:rPr>
            </w:pPr>
            <w:r>
              <w:rPr>
                <w:rFonts w:hint="eastAsia" w:hAnsi="宋体"/>
                <w:color w:val="auto"/>
                <w:kern w:val="0"/>
              </w:rPr>
              <w:t>中标人在收到中标通知书后，需向采购人提供合同总价</w:t>
            </w:r>
            <w:r>
              <w:rPr>
                <w:rFonts w:hint="eastAsia" w:hAnsi="宋体"/>
                <w:color w:val="auto"/>
                <w:kern w:val="0"/>
                <w:u w:val="single"/>
              </w:rPr>
              <w:t>　5　</w:t>
            </w:r>
            <w:r>
              <w:rPr>
                <w:rFonts w:hint="eastAsia" w:hAnsi="宋体"/>
                <w:color w:val="auto"/>
                <w:kern w:val="0"/>
              </w:rPr>
              <w:t>%的履约保证金，在中标人与采购人签订合同前递交。（投标人应当以支票、汇票、本票或者金融机构、保险公司、担保机构出具的保函等非现金形式提交）</w:t>
            </w:r>
          </w:p>
          <w:p>
            <w:pPr>
              <w:pStyle w:val="12"/>
              <w:snapToGrid w:val="0"/>
              <w:ind w:firstLine="420" w:firstLineChars="200"/>
              <w:rPr>
                <w:rFonts w:hAnsi="宋体" w:cs="Times New Roman"/>
                <w:color w:val="auto"/>
                <w:kern w:val="0"/>
              </w:rPr>
            </w:pPr>
            <w:r>
              <w:rPr>
                <w:rFonts w:hint="eastAsia" w:hAnsi="宋体"/>
                <w:color w:val="auto"/>
                <w:kern w:val="0"/>
              </w:rPr>
              <w:t>履约保证金在合同履行完毕后20个工作日内无息退还。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14</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磋商公告及成交结果公告发布媒体</w:t>
            </w:r>
          </w:p>
        </w:tc>
        <w:tc>
          <w:tcPr>
            <w:tcW w:w="6552" w:type="dxa"/>
            <w:vAlign w:val="center"/>
          </w:tcPr>
          <w:p>
            <w:pPr>
              <w:pStyle w:val="12"/>
              <w:snapToGrid w:val="0"/>
              <w:ind w:firstLine="420" w:firstLineChars="200"/>
              <w:jc w:val="left"/>
              <w:rPr>
                <w:rFonts w:hAnsi="宋体" w:cs="Times New Roman"/>
                <w:color w:val="auto"/>
                <w:kern w:val="0"/>
              </w:rPr>
            </w:pPr>
            <w:r>
              <w:rPr>
                <w:rFonts w:hint="eastAsia" w:hAnsi="宋体"/>
                <w:color w:val="auto"/>
                <w:kern w:val="0"/>
              </w:rPr>
              <w:t>浙江省政府采购网、</w:t>
            </w:r>
            <w:r>
              <w:rPr>
                <w:rFonts w:hAnsi="宋体"/>
                <w:color w:val="auto"/>
                <w:kern w:val="0"/>
              </w:rPr>
              <w:t xml:space="preserve"> </w:t>
            </w:r>
            <w:r>
              <w:rPr>
                <w:rFonts w:hint="eastAsia" w:hAnsi="宋体"/>
                <w:color w:val="auto"/>
                <w:kern w:val="0"/>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rPr>
            </w:pPr>
            <w:r>
              <w:rPr>
                <w:rFonts w:ascii="宋体" w:hAnsi="宋体" w:cs="宋体"/>
                <w:color w:val="auto"/>
              </w:rPr>
              <w:t>15</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质疑</w:t>
            </w:r>
          </w:p>
        </w:tc>
        <w:tc>
          <w:tcPr>
            <w:tcW w:w="6552" w:type="dxa"/>
            <w:vAlign w:val="center"/>
          </w:tcPr>
          <w:p>
            <w:pPr>
              <w:ind w:firstLine="420" w:firstLineChars="200"/>
              <w:jc w:val="left"/>
              <w:rPr>
                <w:rFonts w:ascii="宋体"/>
                <w:color w:val="auto"/>
              </w:rPr>
            </w:pPr>
            <w:r>
              <w:rPr>
                <w:rFonts w:hint="eastAsia" w:ascii="宋体" w:hAnsi="宋体" w:cs="宋体"/>
                <w:color w:val="auto"/>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color w:val="auto"/>
              </w:rPr>
            </w:pPr>
            <w:r>
              <w:rPr>
                <w:rFonts w:hint="eastAsia" w:ascii="宋体" w:hAnsi="宋体" w:cs="宋体"/>
                <w:color w:val="auto"/>
              </w:rPr>
              <w:t>供应商认为磋商文件使自己的权益受到损害的，可以在磋商文件公告期限届满之日（公告发布后的第</w:t>
            </w:r>
            <w:r>
              <w:rPr>
                <w:rFonts w:ascii="宋体" w:hAnsi="宋体" w:cs="宋体"/>
                <w:color w:val="auto"/>
              </w:rPr>
              <w:t>6</w:t>
            </w:r>
            <w:r>
              <w:rPr>
                <w:rFonts w:hint="eastAsia" w:ascii="宋体" w:hAnsi="宋体" w:cs="宋体"/>
                <w:color w:val="auto"/>
              </w:rPr>
              <w:t>个工作日）起</w:t>
            </w:r>
            <w:r>
              <w:rPr>
                <w:rFonts w:ascii="宋体" w:hAnsi="宋体" w:cs="宋体"/>
                <w:color w:val="auto"/>
              </w:rPr>
              <w:t>7</w:t>
            </w:r>
            <w:r>
              <w:rPr>
                <w:rFonts w:hint="eastAsia" w:ascii="宋体" w:hAnsi="宋体" w:cs="宋体"/>
                <w:color w:val="auto"/>
              </w:rPr>
              <w:t>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color w:val="auto"/>
              </w:rPr>
            </w:pPr>
            <w:r>
              <w:rPr>
                <w:rFonts w:hint="eastAsia" w:ascii="宋体" w:hAnsi="宋体" w:cs="宋体"/>
                <w:color w:val="auto"/>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snapToGrid w:val="0"/>
                <w:color w:val="auto"/>
                <w:kern w:val="0"/>
              </w:rPr>
            </w:pPr>
            <w:r>
              <w:rPr>
                <w:rFonts w:hint="eastAsia" w:ascii="宋体" w:hAnsi="宋体" w:cs="宋体"/>
                <w:color w:val="auto"/>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16</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投诉</w:t>
            </w:r>
          </w:p>
        </w:tc>
        <w:tc>
          <w:tcPr>
            <w:tcW w:w="6552" w:type="dxa"/>
            <w:vAlign w:val="center"/>
          </w:tcPr>
          <w:p>
            <w:pPr>
              <w:snapToGrid w:val="0"/>
              <w:ind w:firstLine="420" w:firstLineChars="200"/>
              <w:jc w:val="left"/>
              <w:rPr>
                <w:rFonts w:ascii="宋体"/>
                <w:snapToGrid w:val="0"/>
                <w:color w:val="auto"/>
                <w:kern w:val="0"/>
              </w:rPr>
            </w:pPr>
            <w:r>
              <w:rPr>
                <w:rFonts w:hint="eastAsia" w:ascii="宋体" w:hAnsi="宋体" w:cs="宋体"/>
                <w:snapToGrid w:val="0"/>
                <w:color w:val="auto"/>
                <w:kern w:val="0"/>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17</w:t>
            </w:r>
          </w:p>
        </w:tc>
        <w:tc>
          <w:tcPr>
            <w:tcW w:w="1930" w:type="dxa"/>
            <w:vAlign w:val="center"/>
          </w:tcPr>
          <w:p>
            <w:pPr>
              <w:snapToGrid w:val="0"/>
              <w:jc w:val="center"/>
              <w:rPr>
                <w:rFonts w:ascii="宋体"/>
                <w:snapToGrid w:val="0"/>
                <w:color w:val="auto"/>
                <w:kern w:val="0"/>
              </w:rPr>
            </w:pPr>
            <w:r>
              <w:rPr>
                <w:rFonts w:hint="eastAsia" w:ascii="宋体" w:hAnsi="宋体" w:cs="宋体"/>
                <w:snapToGrid w:val="0"/>
                <w:color w:val="auto"/>
                <w:kern w:val="0"/>
              </w:rPr>
              <w:t>特别说明</w:t>
            </w:r>
          </w:p>
        </w:tc>
        <w:tc>
          <w:tcPr>
            <w:tcW w:w="6552" w:type="dxa"/>
            <w:vAlign w:val="center"/>
          </w:tcPr>
          <w:p>
            <w:pPr>
              <w:pStyle w:val="12"/>
              <w:snapToGrid w:val="0"/>
              <w:ind w:firstLine="420" w:firstLineChars="200"/>
              <w:jc w:val="left"/>
              <w:rPr>
                <w:rFonts w:hAnsi="宋体" w:cs="Times New Roman"/>
                <w:color w:val="auto"/>
                <w:kern w:val="0"/>
              </w:rPr>
            </w:pPr>
            <w:r>
              <w:rPr>
                <w:rFonts w:hint="eastAsia" w:hAnsi="宋体"/>
                <w:color w:val="auto"/>
                <w:kern w:val="0"/>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2"/>
              <w:snapToGrid w:val="0"/>
              <w:ind w:firstLine="420" w:firstLineChars="200"/>
              <w:jc w:val="left"/>
              <w:rPr>
                <w:rFonts w:hAnsi="宋体" w:cs="Times New Roman"/>
                <w:color w:val="auto"/>
                <w:kern w:val="0"/>
              </w:rPr>
            </w:pPr>
            <w:r>
              <w:rPr>
                <w:rFonts w:hint="eastAsia" w:hAnsi="宋体"/>
                <w:color w:val="auto"/>
                <w:kern w:val="0"/>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2"/>
              <w:snapToGrid w:val="0"/>
              <w:ind w:firstLine="420" w:firstLineChars="200"/>
              <w:jc w:val="left"/>
              <w:rPr>
                <w:rFonts w:hAnsi="宋体" w:cs="Times New Roman"/>
                <w:color w:val="auto"/>
                <w:kern w:val="0"/>
              </w:rPr>
            </w:pPr>
            <w:r>
              <w:rPr>
                <w:rFonts w:hint="eastAsia" w:hAnsi="宋体"/>
                <w:color w:val="auto"/>
                <w:kern w:val="0"/>
              </w:rPr>
              <w:t>质疑、投诉人未按前列进行质疑、投诉（申诉），均属于扰乱政府采购市场不良行为。</w:t>
            </w:r>
          </w:p>
          <w:p>
            <w:pPr>
              <w:pStyle w:val="12"/>
              <w:snapToGrid w:val="0"/>
              <w:ind w:firstLine="420" w:firstLineChars="200"/>
              <w:jc w:val="left"/>
              <w:rPr>
                <w:rFonts w:hAnsi="宋体" w:cs="Times New Roman"/>
                <w:b/>
                <w:bCs/>
                <w:color w:val="auto"/>
                <w:kern w:val="0"/>
              </w:rPr>
            </w:pPr>
            <w:r>
              <w:rPr>
                <w:rFonts w:hint="eastAsia" w:hAnsi="宋体"/>
                <w:color w:val="auto"/>
                <w:kern w:val="0"/>
              </w:rPr>
              <w:t>磋商文件中凡标注“</w:t>
            </w:r>
            <w:r>
              <w:rPr>
                <w:rFonts w:hint="eastAsia" w:hAnsi="宋体"/>
                <w:color w:val="auto"/>
              </w:rPr>
              <w:t>★</w:t>
            </w:r>
            <w:r>
              <w:rPr>
                <w:rFonts w:hint="eastAsia" w:hAnsi="宋体"/>
                <w:color w:val="auto"/>
                <w:kern w:val="0"/>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rPr>
            </w:pPr>
            <w:r>
              <w:rPr>
                <w:rFonts w:ascii="宋体" w:hAnsi="宋体" w:cs="宋体"/>
                <w:snapToGrid w:val="0"/>
                <w:color w:val="auto"/>
                <w:kern w:val="0"/>
              </w:rPr>
              <w:t>1</w:t>
            </w:r>
            <w:r>
              <w:rPr>
                <w:rFonts w:hint="eastAsia" w:ascii="宋体" w:hAnsi="宋体" w:cs="宋体"/>
                <w:snapToGrid w:val="0"/>
                <w:color w:val="auto"/>
                <w:kern w:val="0"/>
              </w:rPr>
              <w:t>8</w:t>
            </w:r>
          </w:p>
        </w:tc>
        <w:tc>
          <w:tcPr>
            <w:tcW w:w="1930" w:type="dxa"/>
            <w:vAlign w:val="center"/>
          </w:tcPr>
          <w:p>
            <w:pPr>
              <w:snapToGrid w:val="0"/>
              <w:jc w:val="center"/>
              <w:rPr>
                <w:rFonts w:ascii="宋体"/>
                <w:color w:val="auto"/>
              </w:rPr>
            </w:pPr>
            <w:r>
              <w:rPr>
                <w:rFonts w:hint="eastAsia" w:ascii="宋体" w:hAnsi="宋体" w:cs="宋体"/>
                <w:color w:val="auto"/>
              </w:rPr>
              <w:t>支</w:t>
            </w:r>
          </w:p>
          <w:p>
            <w:pPr>
              <w:snapToGrid w:val="0"/>
              <w:jc w:val="center"/>
              <w:rPr>
                <w:rFonts w:ascii="宋体"/>
                <w:color w:val="auto"/>
              </w:rPr>
            </w:pPr>
            <w:r>
              <w:rPr>
                <w:rFonts w:hint="eastAsia" w:ascii="宋体" w:hAnsi="宋体" w:cs="宋体"/>
                <w:color w:val="auto"/>
              </w:rPr>
              <w:t>持</w:t>
            </w:r>
          </w:p>
          <w:p>
            <w:pPr>
              <w:snapToGrid w:val="0"/>
              <w:jc w:val="center"/>
              <w:rPr>
                <w:rFonts w:ascii="宋体"/>
                <w:color w:val="auto"/>
              </w:rPr>
            </w:pPr>
            <w:r>
              <w:rPr>
                <w:rFonts w:hint="eastAsia" w:ascii="宋体" w:hAnsi="宋体" w:cs="宋体"/>
                <w:color w:val="auto"/>
              </w:rPr>
              <w:t>中</w:t>
            </w:r>
          </w:p>
          <w:p>
            <w:pPr>
              <w:snapToGrid w:val="0"/>
              <w:jc w:val="center"/>
              <w:rPr>
                <w:rFonts w:ascii="宋体"/>
                <w:color w:val="auto"/>
              </w:rPr>
            </w:pPr>
            <w:r>
              <w:rPr>
                <w:rFonts w:hint="eastAsia" w:ascii="宋体" w:hAnsi="宋体" w:cs="宋体"/>
                <w:color w:val="auto"/>
              </w:rPr>
              <w:t>小</w:t>
            </w:r>
          </w:p>
          <w:p>
            <w:pPr>
              <w:snapToGrid w:val="0"/>
              <w:jc w:val="center"/>
              <w:rPr>
                <w:rFonts w:ascii="宋体"/>
                <w:color w:val="auto"/>
              </w:rPr>
            </w:pPr>
            <w:r>
              <w:rPr>
                <w:rFonts w:hint="eastAsia" w:ascii="宋体" w:hAnsi="宋体" w:cs="宋体"/>
                <w:color w:val="auto"/>
              </w:rPr>
              <w:t>企</w:t>
            </w:r>
          </w:p>
          <w:p>
            <w:pPr>
              <w:snapToGrid w:val="0"/>
              <w:jc w:val="center"/>
              <w:rPr>
                <w:rFonts w:ascii="宋体"/>
                <w:color w:val="auto"/>
              </w:rPr>
            </w:pPr>
            <w:r>
              <w:rPr>
                <w:rFonts w:hint="eastAsia" w:ascii="宋体" w:hAnsi="宋体" w:cs="宋体"/>
                <w:color w:val="auto"/>
              </w:rPr>
              <w:t>业</w:t>
            </w:r>
          </w:p>
          <w:p>
            <w:pPr>
              <w:snapToGrid w:val="0"/>
              <w:jc w:val="center"/>
              <w:rPr>
                <w:rFonts w:ascii="宋体"/>
                <w:color w:val="auto"/>
              </w:rPr>
            </w:pPr>
          </w:p>
        </w:tc>
        <w:tc>
          <w:tcPr>
            <w:tcW w:w="6552" w:type="dxa"/>
            <w:vAlign w:val="center"/>
          </w:tcPr>
          <w:p>
            <w:pPr>
              <w:ind w:firstLine="420" w:firstLineChars="200"/>
              <w:rPr>
                <w:rFonts w:ascii="宋体" w:hAnsi="宋体" w:cs="宋体"/>
                <w:color w:val="auto"/>
              </w:rPr>
            </w:pPr>
            <w:r>
              <w:rPr>
                <w:rFonts w:hint="eastAsia" w:ascii="宋体" w:hAnsi="宋体" w:cs="宋体"/>
                <w:color w:val="auto"/>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rPr>
            </w:pPr>
            <w:r>
              <w:rPr>
                <w:rFonts w:hint="eastAsia" w:ascii="宋体" w:hAnsi="宋体" w:cs="宋体"/>
                <w:color w:val="auto"/>
              </w:rPr>
              <w:t>符合中小企业划分标准的个体工商户，在政府采购活动中视同中小企业。</w:t>
            </w:r>
          </w:p>
          <w:p>
            <w:pPr>
              <w:ind w:firstLine="420" w:firstLineChars="200"/>
              <w:rPr>
                <w:color w:val="auto"/>
              </w:rPr>
            </w:pPr>
            <w:r>
              <w:rPr>
                <w:rFonts w:hint="eastAsia"/>
                <w:color w:val="auto"/>
              </w:rPr>
              <w:t>在货物采购项目中，货物由小微企业制造，即货物由小微企业生产且使用该小微企业商号或者注册商标。供应商提供的货物既有中小企业制造货物，也有大型企业制造货物的，不享受中小企业扶持政策。</w:t>
            </w:r>
          </w:p>
          <w:p>
            <w:pPr>
              <w:pStyle w:val="3"/>
              <w:rPr>
                <w:bCs/>
                <w:color w:val="auto"/>
              </w:rPr>
            </w:pPr>
            <w:r>
              <w:rPr>
                <w:bCs/>
                <w:color w:val="auto"/>
              </w:rPr>
              <w:t>在服务采购项目中，服务由小微企业承接，即提供服务的人员为小微企业依照《中华人民共和国劳动合同法》订立劳动合同的从业人员。</w:t>
            </w:r>
          </w:p>
          <w:p>
            <w:pPr>
              <w:ind w:firstLine="420" w:firstLineChars="200"/>
              <w:rPr>
                <w:color w:val="auto"/>
                <w:sz w:val="18"/>
                <w:szCs w:val="18"/>
              </w:rPr>
            </w:pPr>
            <w:r>
              <w:rPr>
                <w:rFonts w:hint="eastAsia"/>
                <w:color w:val="auto"/>
              </w:rPr>
              <w:t>联合体各方均为小型、微型企业的，联合体视同为小型、微型企业。</w:t>
            </w:r>
          </w:p>
          <w:p>
            <w:pPr>
              <w:ind w:firstLine="420" w:firstLineChars="200"/>
              <w:rPr>
                <w:rFonts w:ascii="宋体" w:hAnsi="宋体" w:cs="宋体"/>
                <w:color w:val="auto"/>
              </w:rPr>
            </w:pPr>
            <w:r>
              <w:rPr>
                <w:rFonts w:hint="eastAsia" w:ascii="宋体" w:hAnsi="宋体" w:cs="宋体"/>
                <w:color w:val="auto"/>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ind w:firstLine="420" w:firstLineChars="200"/>
              <w:rPr>
                <w:rFonts w:ascii="宋体" w:hAnsi="宋体" w:cs="宋体"/>
                <w:color w:val="auto"/>
              </w:rPr>
            </w:pPr>
            <w:r>
              <w:rPr>
                <w:rFonts w:hint="eastAsia" w:ascii="宋体" w:hAnsi="宋体" w:cs="宋体"/>
                <w:color w:val="auto"/>
              </w:rPr>
              <w:t>根据财政部发布的《政府采购促进中小企业发展管理办法》（财库﹝2020﹞46 号）规定，对于非专门面向此类企业的项目，对小型和微型企业产品的投标价格给予6%的扣除，用扣除后的价格参与评审。</w:t>
            </w:r>
          </w:p>
          <w:p>
            <w:pPr>
              <w:ind w:firstLine="420" w:firstLineChars="200"/>
              <w:rPr>
                <w:rFonts w:ascii="宋体"/>
                <w:color w:val="auto"/>
              </w:rPr>
            </w:pPr>
            <w:r>
              <w:rPr>
                <w:rFonts w:hint="eastAsia" w:ascii="宋体" w:hAnsi="宋体" w:cs="宋体"/>
                <w:color w:val="auto"/>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snapToGrid w:val="0"/>
                <w:color w:val="auto"/>
                <w:kern w:val="0"/>
              </w:rPr>
            </w:pPr>
            <w:r>
              <w:rPr>
                <w:rFonts w:hint="eastAsia" w:ascii="宋体" w:hAnsi="宋体" w:cs="宋体"/>
                <w:snapToGrid w:val="0"/>
                <w:color w:val="auto"/>
                <w:kern w:val="0"/>
              </w:rPr>
              <w:t>19</w:t>
            </w:r>
          </w:p>
        </w:tc>
        <w:tc>
          <w:tcPr>
            <w:tcW w:w="1930" w:type="dxa"/>
            <w:vAlign w:val="center"/>
          </w:tcPr>
          <w:p>
            <w:pPr>
              <w:snapToGrid w:val="0"/>
              <w:jc w:val="center"/>
              <w:rPr>
                <w:rFonts w:ascii="宋体" w:hAnsi="宋体" w:cs="宋体"/>
                <w:color w:val="auto"/>
              </w:rPr>
            </w:pPr>
            <w:r>
              <w:rPr>
                <w:rFonts w:hint="eastAsia" w:ascii="宋体" w:hAnsi="宋体" w:cs="宋体"/>
                <w:color w:val="auto"/>
              </w:rPr>
              <w:t>招标代理服务费</w:t>
            </w:r>
          </w:p>
        </w:tc>
        <w:tc>
          <w:tcPr>
            <w:tcW w:w="6552" w:type="dxa"/>
            <w:vAlign w:val="center"/>
          </w:tcPr>
          <w:p>
            <w:pPr>
              <w:autoSpaceDN w:val="0"/>
              <w:spacing w:line="340" w:lineRule="exact"/>
              <w:rPr>
                <w:rFonts w:ascii="宋体" w:hAnsi="宋体" w:cs="宋体"/>
                <w:snapToGrid w:val="0"/>
                <w:color w:val="auto"/>
                <w:kern w:val="0"/>
              </w:rPr>
            </w:pPr>
            <w:r>
              <w:rPr>
                <w:rFonts w:hint="eastAsia" w:ascii="宋体" w:hAnsi="宋体" w:cs="宋体"/>
                <w:snapToGrid w:val="0"/>
                <w:color w:val="auto"/>
                <w:kern w:val="0"/>
              </w:rPr>
              <w:t>招标代理服务费由成交供应商支付，按下列服务招标计算方式计取。</w:t>
            </w:r>
          </w:p>
          <w:tbl>
            <w:tblPr>
              <w:tblStyle w:val="22"/>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46"/>
              <w:gridCol w:w="988"/>
              <w:gridCol w:w="988"/>
              <w:gridCol w:w="9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19"/>
                    <w:jc w:val="center"/>
                    <w:rPr>
                      <w:color w:val="auto"/>
                      <w:sz w:val="21"/>
                      <w:szCs w:val="21"/>
                    </w:rPr>
                  </w:pPr>
                  <w:r>
                    <w:rPr>
                      <w:rFonts w:hint="eastAsia"/>
                      <w:color w:val="auto"/>
                      <w:sz w:val="21"/>
                      <w:szCs w:val="21"/>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rPr>
                  </w:pPr>
                  <w:r>
                    <w:rPr>
                      <w:rFonts w:hint="eastAsia" w:ascii="宋体" w:hAnsi="宋体" w:cs="宋体"/>
                      <w:color w:val="auto"/>
                    </w:rPr>
                    <w:t>0.01％</w:t>
                  </w:r>
                </w:p>
              </w:tc>
            </w:tr>
          </w:tbl>
          <w:p>
            <w:pPr>
              <w:spacing w:line="340" w:lineRule="exact"/>
              <w:ind w:firstLine="420" w:firstLineChars="200"/>
              <w:rPr>
                <w:rFonts w:ascii="宋体" w:hAnsi="宋体" w:cs="宋体"/>
                <w:snapToGrid w:val="0"/>
                <w:color w:val="auto"/>
                <w:kern w:val="0"/>
              </w:rPr>
            </w:pPr>
            <w:r>
              <w:rPr>
                <w:rFonts w:hint="eastAsia" w:ascii="宋体" w:hAnsi="宋体" w:cs="宋体"/>
                <w:snapToGrid w:val="0"/>
                <w:color w:val="auto"/>
                <w:kern w:val="0"/>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rPr>
            </w:pPr>
            <w:r>
              <w:rPr>
                <w:rFonts w:hint="eastAsia" w:ascii="宋体" w:hAnsi="宋体" w:cs="宋体"/>
                <w:snapToGrid w:val="0"/>
                <w:color w:val="auto"/>
                <w:kern w:val="0"/>
              </w:rPr>
              <w:t>20</w:t>
            </w:r>
          </w:p>
        </w:tc>
        <w:tc>
          <w:tcPr>
            <w:tcW w:w="1930" w:type="dxa"/>
            <w:vAlign w:val="center"/>
          </w:tcPr>
          <w:p>
            <w:pPr>
              <w:snapToGrid w:val="0"/>
              <w:jc w:val="center"/>
              <w:rPr>
                <w:rFonts w:ascii="宋体"/>
                <w:color w:val="auto"/>
              </w:rPr>
            </w:pPr>
            <w:r>
              <w:rPr>
                <w:rFonts w:hint="eastAsia" w:ascii="宋体" w:hAnsi="宋体" w:cs="宋体"/>
                <w:color w:val="auto"/>
              </w:rPr>
              <w:t>是否允许分包</w:t>
            </w:r>
          </w:p>
        </w:tc>
        <w:tc>
          <w:tcPr>
            <w:tcW w:w="6552" w:type="dxa"/>
            <w:vAlign w:val="center"/>
          </w:tcPr>
          <w:p>
            <w:pPr>
              <w:ind w:firstLine="420" w:firstLineChars="200"/>
              <w:rPr>
                <w:rFonts w:ascii="宋体"/>
                <w:color w:val="auto"/>
              </w:rPr>
            </w:pPr>
            <w:r>
              <w:rPr>
                <w:rFonts w:hint="eastAsia" w:ascii="宋体" w:hAnsi="宋体" w:cs="宋体"/>
                <w:color w:val="auto"/>
              </w:rPr>
              <w:t>本项目</w:t>
            </w:r>
            <w:r>
              <w:rPr>
                <w:rFonts w:hint="eastAsia" w:ascii="宋体" w:hAnsi="宋体" w:cs="宋体"/>
                <w:color w:val="auto"/>
                <w:u w:val="single"/>
              </w:rPr>
              <w:t>不允许</w:t>
            </w:r>
            <w:r>
              <w:rPr>
                <w:rFonts w:hint="eastAsia" w:ascii="宋体" w:hAnsi="宋体" w:cs="宋体"/>
                <w:color w:val="auto"/>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ascii="宋体"/>
                <w:snapToGrid w:val="0"/>
                <w:color w:val="auto"/>
                <w:kern w:val="0"/>
              </w:rPr>
            </w:pPr>
            <w:r>
              <w:rPr>
                <w:rFonts w:hint="eastAsia" w:ascii="宋体" w:hAnsi="宋体" w:cs="宋体"/>
                <w:snapToGrid w:val="0"/>
                <w:color w:val="auto"/>
                <w:kern w:val="0"/>
              </w:rPr>
              <w:t>21</w:t>
            </w:r>
          </w:p>
        </w:tc>
        <w:tc>
          <w:tcPr>
            <w:tcW w:w="1930" w:type="dxa"/>
            <w:tcBorders>
              <w:top w:val="single" w:color="auto" w:sz="4" w:space="0"/>
            </w:tcBorders>
            <w:vAlign w:val="center"/>
          </w:tcPr>
          <w:p>
            <w:pPr>
              <w:snapToGrid w:val="0"/>
              <w:jc w:val="center"/>
              <w:rPr>
                <w:rFonts w:ascii="宋体"/>
                <w:color w:val="auto"/>
              </w:rPr>
            </w:pPr>
            <w:r>
              <w:rPr>
                <w:rFonts w:hint="eastAsia" w:ascii="宋体" w:hAnsi="宋体" w:cs="宋体"/>
                <w:color w:val="auto"/>
              </w:rPr>
              <w:t>是否提供演示</w:t>
            </w:r>
          </w:p>
        </w:tc>
        <w:tc>
          <w:tcPr>
            <w:tcW w:w="6552" w:type="dxa"/>
            <w:tcBorders>
              <w:top w:val="single" w:color="auto" w:sz="4" w:space="0"/>
            </w:tcBorders>
            <w:vAlign w:val="center"/>
          </w:tcPr>
          <w:p>
            <w:pPr>
              <w:ind w:firstLine="420" w:firstLineChars="200"/>
              <w:rPr>
                <w:rFonts w:ascii="宋体"/>
                <w:color w:val="auto"/>
              </w:rPr>
            </w:pPr>
            <w:r>
              <w:rPr>
                <w:rFonts w:hint="eastAsia" w:ascii="宋体" w:hAnsi="宋体" w:cs="宋体"/>
                <w:color w:val="auto"/>
              </w:rPr>
              <w:t>本项目</w:t>
            </w:r>
            <w:r>
              <w:rPr>
                <w:rFonts w:hint="eastAsia" w:ascii="宋体" w:hAnsi="宋体" w:cs="宋体"/>
                <w:color w:val="auto"/>
                <w:u w:val="single"/>
              </w:rPr>
              <w:t>不需要</w:t>
            </w:r>
            <w:r>
              <w:rPr>
                <w:rFonts w:hint="eastAsia" w:ascii="宋体" w:hAnsi="宋体" w:cs="宋体"/>
                <w:color w:val="auto"/>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hint="eastAsia" w:ascii="宋体" w:hAnsi="宋体" w:cs="宋体"/>
                <w:snapToGrid w:val="0"/>
                <w:color w:val="auto"/>
                <w:kern w:val="0"/>
              </w:rPr>
              <w:t>22</w:t>
            </w:r>
          </w:p>
        </w:tc>
        <w:tc>
          <w:tcPr>
            <w:tcW w:w="1930" w:type="dxa"/>
            <w:vAlign w:val="center"/>
          </w:tcPr>
          <w:p>
            <w:pPr>
              <w:snapToGrid w:val="0"/>
              <w:jc w:val="center"/>
              <w:rPr>
                <w:rFonts w:ascii="宋体"/>
                <w:color w:val="auto"/>
              </w:rPr>
            </w:pPr>
            <w:r>
              <w:rPr>
                <w:rFonts w:hint="eastAsia" w:ascii="宋体" w:hAnsi="宋体" w:cs="宋体"/>
                <w:color w:val="auto"/>
              </w:rPr>
              <w:t>供应商信用信息查询渠道及截止时点、信用信息查询记录和证据留存的具体方式、信用信息的使用规则</w:t>
            </w:r>
          </w:p>
        </w:tc>
        <w:tc>
          <w:tcPr>
            <w:tcW w:w="6552" w:type="dxa"/>
            <w:vAlign w:val="center"/>
          </w:tcPr>
          <w:p>
            <w:pPr>
              <w:ind w:firstLine="420" w:firstLineChars="200"/>
              <w:rPr>
                <w:rFonts w:ascii="宋体"/>
                <w:color w:val="auto"/>
              </w:rPr>
            </w:pPr>
            <w:r>
              <w:rPr>
                <w:rFonts w:ascii="宋体" w:hAnsi="宋体" w:cs="宋体"/>
                <w:color w:val="auto"/>
              </w:rPr>
              <w:t>1</w:t>
            </w:r>
            <w:r>
              <w:rPr>
                <w:rFonts w:hint="eastAsia" w:ascii="宋体" w:hAnsi="宋体" w:cs="宋体"/>
                <w:color w:val="auto"/>
              </w:rPr>
              <w:t>、查询渠道：信用中国（网址：</w:t>
            </w:r>
            <w:r>
              <w:rPr>
                <w:rFonts w:ascii="宋体" w:hAnsi="宋体" w:cs="宋体"/>
                <w:color w:val="auto"/>
              </w:rPr>
              <w:t>http://www.creditchina.gov.cn</w:t>
            </w:r>
            <w:r>
              <w:rPr>
                <w:rFonts w:hint="eastAsia" w:ascii="宋体" w:hAnsi="宋体" w:cs="宋体"/>
                <w:color w:val="auto"/>
              </w:rPr>
              <w:t>）、中国政府采购网</w:t>
            </w:r>
            <w:r>
              <w:rPr>
                <w:rFonts w:ascii="宋体" w:hAnsi="宋体" w:cs="宋体"/>
                <w:color w:val="auto"/>
              </w:rPr>
              <w:t>(</w:t>
            </w:r>
            <w:r>
              <w:rPr>
                <w:rFonts w:hint="eastAsia" w:ascii="宋体" w:hAnsi="宋体" w:cs="宋体"/>
                <w:color w:val="auto"/>
              </w:rPr>
              <w:t>网址：</w:t>
            </w:r>
            <w:r>
              <w:rPr>
                <w:rFonts w:ascii="宋体" w:hAnsi="宋体" w:cs="宋体"/>
                <w:color w:val="auto"/>
              </w:rPr>
              <w:t>http://www.ccgp.gov.cn</w:t>
            </w:r>
            <w:r>
              <w:rPr>
                <w:rFonts w:hint="eastAsia" w:ascii="宋体" w:hAnsi="宋体" w:cs="宋体"/>
                <w:color w:val="auto"/>
              </w:rPr>
              <w:t>）。</w:t>
            </w:r>
          </w:p>
          <w:p>
            <w:pPr>
              <w:ind w:firstLine="420" w:firstLineChars="200"/>
              <w:rPr>
                <w:rFonts w:ascii="宋体"/>
                <w:color w:val="auto"/>
              </w:rPr>
            </w:pPr>
            <w:r>
              <w:rPr>
                <w:rFonts w:ascii="宋体" w:hAnsi="宋体" w:cs="宋体"/>
                <w:color w:val="auto"/>
              </w:rPr>
              <w:t>2</w:t>
            </w:r>
            <w:r>
              <w:rPr>
                <w:rFonts w:hint="eastAsia" w:ascii="宋体" w:hAnsi="宋体" w:cs="宋体"/>
                <w:color w:val="auto"/>
              </w:rPr>
              <w:t>、截止时点：开标后评标前。</w:t>
            </w:r>
          </w:p>
          <w:p>
            <w:pPr>
              <w:ind w:firstLine="420" w:firstLineChars="200"/>
              <w:rPr>
                <w:rFonts w:ascii="宋体"/>
                <w:color w:val="auto"/>
              </w:rPr>
            </w:pPr>
            <w:r>
              <w:rPr>
                <w:rFonts w:ascii="宋体" w:hAnsi="宋体" w:cs="宋体"/>
                <w:color w:val="auto"/>
              </w:rPr>
              <w:t>3</w:t>
            </w:r>
            <w:r>
              <w:rPr>
                <w:rFonts w:hint="eastAsia" w:ascii="宋体" w:hAnsi="宋体" w:cs="宋体"/>
                <w:color w:val="auto"/>
              </w:rPr>
              <w:t>、信用信息查询记录和证据留存的具体方式：由采购组织机构在规定查询时间内打印信用信息查询记录并归入项目档案。</w:t>
            </w:r>
          </w:p>
          <w:p>
            <w:pPr>
              <w:ind w:firstLine="420" w:firstLineChars="200"/>
              <w:rPr>
                <w:rFonts w:ascii="宋体"/>
                <w:color w:val="auto"/>
              </w:rPr>
            </w:pPr>
            <w:r>
              <w:rPr>
                <w:rFonts w:ascii="宋体" w:hAnsi="宋体" w:cs="宋体"/>
                <w:color w:val="auto"/>
              </w:rPr>
              <w:t>4</w:t>
            </w:r>
            <w:r>
              <w:rPr>
                <w:rFonts w:hint="eastAsia" w:ascii="宋体" w:hAnsi="宋体" w:cs="宋体"/>
                <w:color w:val="auto"/>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rPr>
            </w:pPr>
            <w:r>
              <w:rPr>
                <w:rFonts w:hint="eastAsia" w:ascii="宋体" w:hAnsi="宋体" w:cs="宋体"/>
                <w:snapToGrid w:val="0"/>
                <w:color w:val="auto"/>
                <w:kern w:val="0"/>
              </w:rPr>
              <w:t>23</w:t>
            </w:r>
          </w:p>
        </w:tc>
        <w:tc>
          <w:tcPr>
            <w:tcW w:w="1930" w:type="dxa"/>
            <w:vAlign w:val="center"/>
          </w:tcPr>
          <w:p>
            <w:pPr>
              <w:snapToGrid w:val="0"/>
              <w:jc w:val="center"/>
              <w:rPr>
                <w:rFonts w:ascii="宋体"/>
                <w:color w:val="auto"/>
              </w:rPr>
            </w:pPr>
            <w:r>
              <w:rPr>
                <w:rFonts w:hint="eastAsia" w:ascii="宋体" w:hAnsi="宋体" w:cs="宋体"/>
                <w:color w:val="auto"/>
              </w:rPr>
              <w:t>金融支持</w:t>
            </w:r>
          </w:p>
        </w:tc>
        <w:tc>
          <w:tcPr>
            <w:tcW w:w="6552" w:type="dxa"/>
            <w:vAlign w:val="center"/>
          </w:tcPr>
          <w:p>
            <w:pPr>
              <w:ind w:firstLine="420" w:firstLineChars="200"/>
              <w:rPr>
                <w:rFonts w:ascii="宋体"/>
                <w:color w:val="auto"/>
              </w:rPr>
            </w:pPr>
            <w:r>
              <w:rPr>
                <w:rFonts w:hint="eastAsia" w:ascii="宋体" w:hAnsi="宋体" w:cs="宋体"/>
                <w:color w:val="auto"/>
              </w:rPr>
              <w:t>为支持和促进中小企业发展，进一步发挥政府采购政策功能，浙江省财政厅出台浙财采监〔</w:t>
            </w:r>
            <w:r>
              <w:rPr>
                <w:rFonts w:ascii="宋体" w:hAnsi="宋体" w:cs="宋体"/>
                <w:color w:val="auto"/>
              </w:rPr>
              <w:t>2020</w:t>
            </w:r>
            <w:r>
              <w:rPr>
                <w:rFonts w:hint="eastAsia" w:ascii="宋体" w:hAnsi="宋体" w:cs="宋体"/>
                <w:color w:val="auto"/>
              </w:rPr>
              <w:t>〕</w:t>
            </w:r>
            <w:r>
              <w:rPr>
                <w:rFonts w:ascii="宋体" w:hAnsi="宋体" w:cs="宋体"/>
                <w:color w:val="auto"/>
              </w:rPr>
              <w:t xml:space="preserve">3 </w:t>
            </w:r>
            <w:r>
              <w:rPr>
                <w:rFonts w:hint="eastAsia" w:ascii="宋体" w:hAnsi="宋体" w:cs="宋体"/>
                <w:color w:val="auto"/>
              </w:rPr>
              <w:t>号文件，企业若有融资意向，可登陆政采云平台融资服务（</w:t>
            </w:r>
            <w:r>
              <w:rPr>
                <w:rFonts w:ascii="宋体" w:hAnsi="宋体" w:cs="宋体"/>
                <w:color w:val="auto"/>
              </w:rPr>
              <w:t>https://jinrong.zcygov.cn/</w:t>
            </w:r>
            <w:r>
              <w:rPr>
                <w:rFonts w:hint="eastAsia" w:ascii="宋体" w:hAnsi="宋体" w:cs="宋体"/>
                <w:color w:val="auto"/>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ascii="宋体"/>
                <w:snapToGrid w:val="0"/>
                <w:color w:val="auto"/>
                <w:kern w:val="0"/>
              </w:rPr>
            </w:pPr>
            <w:r>
              <w:rPr>
                <w:rFonts w:hint="eastAsia" w:ascii="宋体" w:hAnsi="宋体" w:cs="宋体"/>
                <w:snapToGrid w:val="0"/>
                <w:color w:val="auto"/>
                <w:kern w:val="0"/>
              </w:rPr>
              <w:t>24</w:t>
            </w:r>
          </w:p>
        </w:tc>
        <w:tc>
          <w:tcPr>
            <w:tcW w:w="1930" w:type="dxa"/>
            <w:tcBorders>
              <w:bottom w:val="double" w:color="auto" w:sz="4" w:space="0"/>
            </w:tcBorders>
            <w:vAlign w:val="center"/>
          </w:tcPr>
          <w:p>
            <w:pPr>
              <w:snapToGrid w:val="0"/>
              <w:jc w:val="center"/>
              <w:rPr>
                <w:rFonts w:ascii="宋体"/>
                <w:color w:val="auto"/>
              </w:rPr>
            </w:pPr>
            <w:r>
              <w:rPr>
                <w:rFonts w:hint="eastAsia" w:ascii="宋体" w:hAnsi="宋体" w:cs="宋体"/>
                <w:color w:val="auto"/>
              </w:rPr>
              <w:t>其他</w:t>
            </w:r>
          </w:p>
        </w:tc>
        <w:tc>
          <w:tcPr>
            <w:tcW w:w="6552" w:type="dxa"/>
            <w:tcBorders>
              <w:bottom w:val="double" w:color="auto" w:sz="4" w:space="0"/>
            </w:tcBorders>
            <w:vAlign w:val="center"/>
          </w:tcPr>
          <w:p>
            <w:pPr>
              <w:ind w:firstLine="422" w:firstLineChars="200"/>
              <w:rPr>
                <w:rFonts w:ascii="宋体"/>
                <w:b/>
                <w:bCs/>
                <w:color w:val="auto"/>
              </w:rPr>
            </w:pPr>
            <w:r>
              <w:rPr>
                <w:rFonts w:hint="eastAsia" w:ascii="宋体" w:hAnsi="宋体" w:cs="宋体"/>
                <w:b/>
                <w:bCs/>
                <w:color w:val="auto"/>
              </w:rPr>
              <w:t>本磋商文件要求提供的身份证复印件皆需提供正反面，否则按不提供处理。</w:t>
            </w:r>
          </w:p>
        </w:tc>
      </w:tr>
    </w:tbl>
    <w:p>
      <w:pPr>
        <w:pStyle w:val="3"/>
        <w:spacing w:line="360" w:lineRule="auto"/>
        <w:rPr>
          <w:rFonts w:ascii="宋体"/>
          <w:color w:val="auto"/>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rPr>
        <w:t>注：以上内容如有变化将另行通知。如通知其中某一内容发生变化，其余未提及的将不作变动。</w:t>
      </w:r>
    </w:p>
    <w:p>
      <w:pPr>
        <w:pStyle w:val="2"/>
        <w:numPr>
          <w:ilvl w:val="0"/>
          <w:numId w:val="9"/>
        </w:numPr>
        <w:spacing w:line="336" w:lineRule="auto"/>
        <w:jc w:val="center"/>
        <w:rPr>
          <w:rFonts w:hAnsi="宋体" w:cs="Times New Roman"/>
          <w:color w:val="auto"/>
        </w:rPr>
      </w:pPr>
      <w:r>
        <w:rPr>
          <w:rFonts w:hAnsi="宋体"/>
          <w:color w:val="auto"/>
        </w:rPr>
        <w:t xml:space="preserve"> </w:t>
      </w:r>
      <w:bookmarkStart w:id="11" w:name="_Toc11852"/>
      <w:bookmarkStart w:id="12" w:name="_Toc25187"/>
      <w:r>
        <w:rPr>
          <w:rFonts w:hint="eastAsia" w:hAnsi="宋体"/>
          <w:color w:val="auto"/>
        </w:rPr>
        <w:t>总则</w:t>
      </w:r>
      <w:bookmarkEnd w:id="11"/>
      <w:bookmarkEnd w:id="12"/>
    </w:p>
    <w:p>
      <w:pPr>
        <w:spacing w:line="336" w:lineRule="auto"/>
        <w:ind w:firstLine="480" w:firstLineChars="200"/>
        <w:rPr>
          <w:color w:val="auto"/>
        </w:rPr>
      </w:pPr>
      <w:r>
        <w:rPr>
          <w:rFonts w:hint="eastAsia" w:cs="宋体"/>
          <w:color w:val="auto"/>
          <w:sz w:val="24"/>
          <w:szCs w:val="24"/>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、适用范围</w:t>
      </w:r>
    </w:p>
    <w:p>
      <w:pPr>
        <w:spacing w:line="336" w:lineRule="auto"/>
        <w:ind w:firstLine="480" w:firstLineChars="20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本次磋商工作仅适用于</w:t>
      </w:r>
      <w:r>
        <w:rPr>
          <w:rFonts w:hint="eastAsia" w:ascii="宋体" w:hAnsi="宋体" w:cs="宋体"/>
          <w:color w:val="auto"/>
          <w:sz w:val="24"/>
          <w:szCs w:val="24"/>
          <w:u w:val="single"/>
          <w:lang w:eastAsia="zh-CN"/>
        </w:rPr>
        <w:t>道墟街道工业集聚区地下水污染扩散排查</w:t>
      </w:r>
      <w:r>
        <w:rPr>
          <w:rFonts w:hint="eastAsia" w:ascii="宋体" w:hAnsi="宋体" w:cs="宋体"/>
          <w:color w:val="auto"/>
          <w:sz w:val="24"/>
          <w:szCs w:val="24"/>
        </w:rPr>
        <w:t>。</w:t>
      </w:r>
    </w:p>
    <w:p>
      <w:pPr>
        <w:pStyle w:val="20"/>
        <w:spacing w:line="336" w:lineRule="auto"/>
        <w:ind w:firstLine="480" w:firstLineChars="200"/>
        <w:rPr>
          <w:color w:val="auto"/>
        </w:rPr>
      </w:pPr>
      <w:r>
        <w:rPr>
          <w:rFonts w:ascii="宋体" w:hAnsi="宋体" w:cs="宋体"/>
          <w:color w:val="auto"/>
          <w:sz w:val="24"/>
          <w:szCs w:val="24"/>
        </w:rPr>
        <w:t>1.2</w:t>
      </w:r>
      <w:r>
        <w:rPr>
          <w:rFonts w:hint="eastAsia" w:ascii="宋体" w:hAnsi="宋体" w:cs="宋体"/>
          <w:color w:val="auto"/>
          <w:sz w:val="24"/>
          <w:szCs w:val="24"/>
        </w:rPr>
        <w:t>本项目采购方式采用竞争性磋商方式。</w:t>
      </w:r>
    </w:p>
    <w:p>
      <w:pPr>
        <w:spacing w:line="336" w:lineRule="auto"/>
        <w:ind w:firstLine="482" w:firstLineChars="200"/>
        <w:rPr>
          <w:rFonts w:ascii="宋体"/>
          <w:b/>
          <w:bCs/>
          <w:color w:val="auto"/>
          <w:sz w:val="24"/>
          <w:szCs w:val="24"/>
        </w:rPr>
      </w:pPr>
      <w:r>
        <w:rPr>
          <w:rFonts w:ascii="宋体" w:hAnsi="宋体" w:cs="宋体"/>
          <w:b/>
          <w:bCs/>
          <w:color w:val="auto"/>
          <w:sz w:val="24"/>
          <w:szCs w:val="24"/>
        </w:rPr>
        <w:t>2</w:t>
      </w:r>
      <w:r>
        <w:rPr>
          <w:rFonts w:hint="eastAsia" w:ascii="宋体" w:hAnsi="宋体" w:cs="宋体"/>
          <w:b/>
          <w:bCs/>
          <w:color w:val="auto"/>
          <w:sz w:val="24"/>
          <w:szCs w:val="24"/>
        </w:rPr>
        <w:t>、定义</w:t>
      </w:r>
    </w:p>
    <w:p>
      <w:pPr>
        <w:spacing w:line="336" w:lineRule="auto"/>
        <w:ind w:firstLine="480" w:firstLineChars="200"/>
        <w:rPr>
          <w:rFonts w:ascii="宋体"/>
          <w:color w:val="auto"/>
          <w:sz w:val="24"/>
          <w:szCs w:val="24"/>
          <w:u w:val="single"/>
        </w:rPr>
      </w:pPr>
      <w:r>
        <w:rPr>
          <w:rFonts w:ascii="宋体" w:hAnsi="宋体" w:cs="宋体"/>
          <w:color w:val="auto"/>
          <w:sz w:val="24"/>
          <w:szCs w:val="24"/>
        </w:rPr>
        <w:t>2.1</w:t>
      </w:r>
      <w:r>
        <w:rPr>
          <w:rFonts w:hint="eastAsia" w:ascii="宋体" w:hAnsi="宋体" w:cs="宋体"/>
          <w:color w:val="auto"/>
          <w:sz w:val="24"/>
          <w:szCs w:val="24"/>
        </w:rPr>
        <w:t>“</w:t>
      </w:r>
      <w:r>
        <w:rPr>
          <w:rFonts w:hint="eastAsia" w:ascii="宋体" w:hAnsi="宋体" w:cs="宋体"/>
          <w:color w:val="auto"/>
          <w:sz w:val="24"/>
          <w:szCs w:val="24"/>
          <w:lang w:val="zh-CN"/>
        </w:rPr>
        <w:t>采购人”系指</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绍兴市上虞区道墟街道办事处</w:t>
      </w:r>
      <w:r>
        <w:rPr>
          <w:rFonts w:ascii="宋体" w:hAnsi="宋体" w:cs="宋体"/>
          <w:color w:val="auto"/>
          <w:sz w:val="24"/>
          <w:szCs w:val="24"/>
          <w:u w:val="none"/>
        </w:rPr>
        <w:t xml:space="preserve"> </w:t>
      </w:r>
      <w:r>
        <w:rPr>
          <w:rFonts w:hint="eastAsia" w:ascii="宋体" w:hAnsi="宋体" w:cs="宋体"/>
          <w:color w:val="auto"/>
          <w:sz w:val="24"/>
          <w:szCs w:val="24"/>
          <w:u w:val="none"/>
          <w:lang w:eastAsia="zh-CN"/>
        </w:rPr>
        <w:t>，</w:t>
      </w:r>
      <w:r>
        <w:rPr>
          <w:rFonts w:hint="eastAsia" w:ascii="宋体" w:hAnsi="宋体" w:cs="宋体"/>
          <w:color w:val="auto"/>
          <w:sz w:val="24"/>
          <w:szCs w:val="24"/>
        </w:rPr>
        <w:t>采购人委托</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浙江新诚信工程咨询有限公司</w:t>
      </w:r>
      <w:r>
        <w:rPr>
          <w:rFonts w:ascii="宋体" w:hAnsi="宋体" w:cs="宋体"/>
          <w:color w:val="auto"/>
          <w:sz w:val="24"/>
          <w:szCs w:val="24"/>
          <w:u w:val="single"/>
        </w:rPr>
        <w:t xml:space="preserve"> </w:t>
      </w:r>
      <w:r>
        <w:rPr>
          <w:rFonts w:hint="eastAsia" w:ascii="宋体" w:hAnsi="宋体" w:cs="宋体"/>
          <w:color w:val="auto"/>
          <w:sz w:val="24"/>
          <w:szCs w:val="24"/>
        </w:rPr>
        <w:t>为本项目采购代理机构。</w:t>
      </w:r>
    </w:p>
    <w:p>
      <w:pPr>
        <w:spacing w:line="336" w:lineRule="auto"/>
        <w:ind w:firstLine="480" w:firstLineChars="200"/>
        <w:rPr>
          <w:rFonts w:ascii="宋体"/>
          <w:color w:val="auto"/>
          <w:sz w:val="24"/>
          <w:szCs w:val="24"/>
        </w:rPr>
      </w:pPr>
      <w:r>
        <w:rPr>
          <w:rFonts w:ascii="宋体" w:hAnsi="宋体" w:cs="宋体"/>
          <w:color w:val="auto"/>
          <w:sz w:val="24"/>
          <w:szCs w:val="24"/>
        </w:rPr>
        <w:t>2.2</w:t>
      </w:r>
      <w:r>
        <w:rPr>
          <w:rFonts w:hint="eastAsia" w:ascii="宋体" w:hAnsi="宋体" w:cs="宋体"/>
          <w:color w:val="auto"/>
          <w:sz w:val="24"/>
          <w:szCs w:val="24"/>
        </w:rPr>
        <w:t>“磋商供应商”系指响应本次采购，参加本次竞争性磋商的供应商。</w:t>
      </w:r>
    </w:p>
    <w:p>
      <w:pPr>
        <w:spacing w:line="336" w:lineRule="auto"/>
        <w:ind w:firstLine="480" w:firstLineChars="200"/>
        <w:rPr>
          <w:rFonts w:ascii="宋体"/>
          <w:color w:val="auto"/>
          <w:sz w:val="24"/>
          <w:szCs w:val="24"/>
          <w:lang w:val="zh-CN"/>
        </w:rPr>
      </w:pPr>
      <w:r>
        <w:rPr>
          <w:rFonts w:ascii="宋体" w:hAnsi="宋体" w:cs="宋体"/>
          <w:color w:val="auto"/>
          <w:sz w:val="24"/>
          <w:szCs w:val="24"/>
        </w:rPr>
        <w:t>2.3</w:t>
      </w:r>
      <w:r>
        <w:rPr>
          <w:rFonts w:hint="eastAsia" w:ascii="宋体" w:hAnsi="宋体" w:cs="宋体"/>
          <w:color w:val="auto"/>
          <w:sz w:val="24"/>
          <w:szCs w:val="24"/>
          <w:lang w:val="zh-CN"/>
        </w:rPr>
        <w:t>“服务”系指</w:t>
      </w:r>
      <w:r>
        <w:rPr>
          <w:rFonts w:hint="eastAsia" w:ascii="宋体" w:hAnsi="宋体" w:cs="宋体"/>
          <w:color w:val="auto"/>
          <w:sz w:val="24"/>
          <w:szCs w:val="24"/>
        </w:rPr>
        <w:t>磋商供应商按合同规定，须承担的服务的义务</w:t>
      </w:r>
      <w:r>
        <w:rPr>
          <w:rFonts w:hint="eastAsia" w:ascii="宋体" w:hAnsi="宋体" w:cs="宋体"/>
          <w:color w:val="auto"/>
          <w:sz w:val="24"/>
          <w:szCs w:val="24"/>
          <w:lang w:val="zh-CN"/>
        </w:rPr>
        <w:t>。</w:t>
      </w:r>
    </w:p>
    <w:p>
      <w:pPr>
        <w:spacing w:line="336" w:lineRule="auto"/>
        <w:ind w:firstLine="482" w:firstLineChars="200"/>
        <w:rPr>
          <w:rFonts w:ascii="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、采购项目概况</w:t>
      </w:r>
      <w:r>
        <w:rPr>
          <w:rFonts w:ascii="宋体"/>
          <w:b/>
          <w:bCs/>
          <w:color w:val="auto"/>
          <w:sz w:val="24"/>
          <w:szCs w:val="24"/>
        </w:rPr>
        <w:tab/>
      </w:r>
      <w:r>
        <w:rPr>
          <w:rFonts w:ascii="宋体"/>
          <w:b/>
          <w:bCs/>
          <w:color w:val="auto"/>
          <w:sz w:val="24"/>
          <w:szCs w:val="24"/>
        </w:rPr>
        <w:tab/>
      </w:r>
    </w:p>
    <w:p>
      <w:pPr>
        <w:spacing w:line="336" w:lineRule="auto"/>
        <w:ind w:firstLine="480" w:firstLineChars="200"/>
        <w:rPr>
          <w:rFonts w:ascii="宋体"/>
          <w:color w:val="auto"/>
          <w:sz w:val="24"/>
          <w:szCs w:val="24"/>
        </w:rPr>
      </w:pPr>
      <w:r>
        <w:rPr>
          <w:rFonts w:hint="eastAsia" w:ascii="宋体" w:hAnsi="宋体" w:cs="宋体"/>
          <w:color w:val="auto"/>
          <w:sz w:val="24"/>
          <w:szCs w:val="24"/>
        </w:rPr>
        <w:t>详见竞争性磋商公告相关内容，主要要求参见本文件第</w:t>
      </w:r>
      <w:r>
        <w:rPr>
          <w:rFonts w:ascii="宋体" w:hAnsi="宋体" w:cs="宋体"/>
          <w:color w:val="auto"/>
          <w:sz w:val="24"/>
          <w:szCs w:val="24"/>
          <w:u w:val="single"/>
        </w:rPr>
        <w:t xml:space="preserve"> </w:t>
      </w:r>
      <w:r>
        <w:rPr>
          <w:rFonts w:hint="eastAsia" w:ascii="宋体" w:hAnsi="宋体" w:cs="宋体"/>
          <w:color w:val="auto"/>
          <w:sz w:val="24"/>
          <w:szCs w:val="24"/>
          <w:u w:val="single"/>
        </w:rPr>
        <w:t>三</w:t>
      </w:r>
      <w:r>
        <w:rPr>
          <w:rFonts w:ascii="宋体" w:hAnsi="宋体" w:cs="宋体"/>
          <w:color w:val="auto"/>
          <w:sz w:val="24"/>
          <w:szCs w:val="24"/>
          <w:u w:val="single"/>
        </w:rPr>
        <w:t xml:space="preserve"> </w:t>
      </w:r>
      <w:r>
        <w:rPr>
          <w:rFonts w:hint="eastAsia" w:ascii="宋体" w:hAnsi="宋体" w:cs="宋体"/>
          <w:color w:val="auto"/>
          <w:sz w:val="24"/>
          <w:szCs w:val="24"/>
        </w:rPr>
        <w:t>部分。</w:t>
      </w:r>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、合格的磋商供应商</w:t>
      </w:r>
    </w:p>
    <w:p>
      <w:pPr>
        <w:spacing w:line="336" w:lineRule="auto"/>
        <w:ind w:firstLine="480" w:firstLineChars="200"/>
        <w:rPr>
          <w:rFonts w:ascii="宋体"/>
          <w:color w:val="auto"/>
          <w:sz w:val="24"/>
          <w:szCs w:val="24"/>
        </w:rPr>
      </w:pPr>
      <w:bookmarkStart w:id="13" w:name="_Toc197657950"/>
      <w:bookmarkStart w:id="14" w:name="_Toc209435242"/>
      <w:bookmarkStart w:id="15" w:name="_Toc208287611"/>
      <w:bookmarkStart w:id="16" w:name="_Toc207946571"/>
      <w:bookmarkStart w:id="17" w:name="_Toc204683265"/>
      <w:bookmarkStart w:id="18" w:name="_Toc197156227"/>
      <w:bookmarkStart w:id="19" w:name="_Toc209520993"/>
      <w:bookmarkStart w:id="20" w:name="_Toc193538208"/>
      <w:bookmarkStart w:id="21" w:name="_Toc209504018"/>
      <w:bookmarkStart w:id="22" w:name="_Toc208913145"/>
      <w:bookmarkStart w:id="23" w:name="_Toc197163261"/>
      <w:bookmarkStart w:id="24" w:name="_Toc211412066"/>
      <w:bookmarkStart w:id="25" w:name="_Toc193523219"/>
      <w:bookmarkStart w:id="26" w:name="_Toc197053926"/>
      <w:r>
        <w:rPr>
          <w:rFonts w:hint="eastAsia" w:ascii="宋体" w:hAnsi="宋体" w:cs="宋体"/>
          <w:color w:val="auto"/>
          <w:sz w:val="24"/>
          <w:szCs w:val="24"/>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36" w:lineRule="auto"/>
        <w:ind w:firstLine="482" w:firstLineChars="200"/>
        <w:rPr>
          <w:rFonts w:ascii="宋体"/>
          <w:b/>
          <w:bCs/>
          <w:color w:val="auto"/>
          <w:sz w:val="24"/>
          <w:szCs w:val="24"/>
        </w:rPr>
      </w:pPr>
      <w:r>
        <w:rPr>
          <w:rFonts w:ascii="宋体" w:hAnsi="宋体" w:cs="宋体"/>
          <w:b/>
          <w:bCs/>
          <w:color w:val="auto"/>
          <w:sz w:val="24"/>
          <w:szCs w:val="24"/>
        </w:rPr>
        <w:t>5</w:t>
      </w:r>
      <w:r>
        <w:rPr>
          <w:rFonts w:hint="eastAsia" w:ascii="宋体" w:hAnsi="宋体" w:cs="宋体"/>
          <w:b/>
          <w:bCs/>
          <w:color w:val="auto"/>
          <w:sz w:val="24"/>
          <w:szCs w:val="24"/>
        </w:rPr>
        <w:t>、磋商费用</w:t>
      </w:r>
    </w:p>
    <w:p>
      <w:pPr>
        <w:spacing w:line="336" w:lineRule="auto"/>
        <w:ind w:firstLine="480" w:firstLineChars="200"/>
        <w:rPr>
          <w:rFonts w:ascii="宋体"/>
          <w:color w:val="auto"/>
          <w:sz w:val="24"/>
          <w:szCs w:val="24"/>
        </w:rPr>
      </w:pPr>
      <w:r>
        <w:rPr>
          <w:rFonts w:hint="eastAsia" w:ascii="宋体" w:hAnsi="宋体" w:cs="宋体"/>
          <w:color w:val="auto"/>
          <w:sz w:val="24"/>
          <w:szCs w:val="24"/>
        </w:rPr>
        <w:t>磋商供应商应承担其参加磋商所涉及的一切费用，不管结果如何，采购人对上述费用不负任何责任。</w:t>
      </w:r>
    </w:p>
    <w:p>
      <w:pPr>
        <w:pStyle w:val="2"/>
        <w:numPr>
          <w:ilvl w:val="0"/>
          <w:numId w:val="9"/>
        </w:numPr>
        <w:spacing w:line="336" w:lineRule="auto"/>
        <w:jc w:val="center"/>
        <w:rPr>
          <w:rFonts w:cs="Times New Roman"/>
          <w:color w:val="auto"/>
        </w:rPr>
      </w:pPr>
      <w:bookmarkStart w:id="27" w:name="_Toc32689"/>
      <w:bookmarkStart w:id="28" w:name="_Toc416992151"/>
      <w:bookmarkStart w:id="29" w:name="_Toc25923"/>
      <w:r>
        <w:rPr>
          <w:color w:val="auto"/>
        </w:rPr>
        <w:t xml:space="preserve"> </w:t>
      </w:r>
      <w:bookmarkStart w:id="30" w:name="_Toc20197"/>
      <w:bookmarkStart w:id="31" w:name="_Toc11814"/>
      <w:r>
        <w:rPr>
          <w:rFonts w:hint="eastAsia"/>
          <w:color w:val="auto"/>
        </w:rPr>
        <w:t>竞争性磋商文件</w:t>
      </w:r>
      <w:bookmarkEnd w:id="27"/>
      <w:bookmarkEnd w:id="28"/>
      <w:bookmarkEnd w:id="29"/>
      <w:bookmarkEnd w:id="30"/>
      <w:bookmarkEnd w:id="31"/>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、磋商文件的组成</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6.1</w:t>
      </w:r>
      <w:r>
        <w:rPr>
          <w:rFonts w:hint="eastAsia" w:ascii="宋体" w:hAnsi="宋体" w:cs="宋体"/>
          <w:color w:val="auto"/>
          <w:sz w:val="24"/>
          <w:szCs w:val="24"/>
        </w:rPr>
        <w:t>本磋商文件包括目录所示内容及所有按本须知发出的补充资料（如果有）。</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6.2</w:t>
      </w:r>
      <w:r>
        <w:rPr>
          <w:rFonts w:hint="eastAsia" w:ascii="宋体" w:hAnsi="宋体" w:cs="宋体"/>
          <w:color w:val="auto"/>
          <w:sz w:val="24"/>
          <w:szCs w:val="24"/>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6.3</w:t>
      </w:r>
      <w:r>
        <w:rPr>
          <w:rFonts w:hint="eastAsia" w:ascii="宋体" w:hAnsi="宋体" w:cs="宋体"/>
          <w:color w:val="auto"/>
          <w:sz w:val="24"/>
          <w:szCs w:val="24"/>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rPr>
      </w:pPr>
      <w:r>
        <w:rPr>
          <w:rFonts w:ascii="宋体" w:hAnsi="宋体" w:cs="宋体"/>
          <w:color w:val="auto"/>
          <w:sz w:val="24"/>
          <w:szCs w:val="24"/>
        </w:rPr>
        <w:t>6.4</w:t>
      </w:r>
      <w:r>
        <w:rPr>
          <w:rFonts w:hint="eastAsia" w:ascii="宋体" w:hAnsi="宋体" w:cs="宋体"/>
          <w:color w:val="auto"/>
          <w:sz w:val="24"/>
          <w:szCs w:val="24"/>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、磋商文件的澄清与修改</w:t>
      </w:r>
    </w:p>
    <w:p>
      <w:pPr>
        <w:pStyle w:val="10"/>
        <w:spacing w:line="336" w:lineRule="auto"/>
        <w:ind w:firstLine="480" w:firstLineChars="200"/>
        <w:rPr>
          <w:rFonts w:cs="Times New Roman"/>
          <w:color w:val="auto"/>
        </w:rPr>
      </w:pPr>
      <w:r>
        <w:rPr>
          <w:color w:val="auto"/>
        </w:rPr>
        <w:t>7.1</w:t>
      </w:r>
      <w:r>
        <w:rPr>
          <w:rFonts w:hint="eastAsia"/>
          <w:color w:val="auto"/>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0"/>
        <w:spacing w:line="336" w:lineRule="auto"/>
        <w:ind w:right="-252" w:rightChars="-120" w:firstLine="480" w:firstLineChars="200"/>
        <w:rPr>
          <w:rFonts w:cs="Times New Roman"/>
          <w:color w:val="auto"/>
        </w:rPr>
      </w:pPr>
      <w:r>
        <w:rPr>
          <w:color w:val="auto"/>
        </w:rPr>
        <w:t>7.2</w:t>
      </w:r>
      <w:r>
        <w:rPr>
          <w:rFonts w:hint="eastAsia"/>
          <w:color w:val="auto"/>
        </w:rPr>
        <w:t>磋商供应商要求解释或澄清的问题应以书面形式，并加盖公章、写明日期。</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7.3</w:t>
      </w:r>
      <w:r>
        <w:rPr>
          <w:rFonts w:hint="eastAsia" w:ascii="宋体" w:hAnsi="宋体" w:cs="宋体"/>
          <w:color w:val="auto"/>
          <w:sz w:val="24"/>
          <w:szCs w:val="24"/>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7.4</w:t>
      </w:r>
      <w:r>
        <w:rPr>
          <w:rFonts w:hint="eastAsia" w:ascii="宋体" w:hAnsi="宋体" w:cs="宋体"/>
          <w:color w:val="auto"/>
          <w:sz w:val="24"/>
          <w:szCs w:val="24"/>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7.5</w:t>
      </w:r>
      <w:r>
        <w:rPr>
          <w:rFonts w:hint="eastAsia" w:ascii="宋体" w:hAnsi="宋体" w:cs="宋体"/>
          <w:color w:val="auto"/>
          <w:sz w:val="24"/>
          <w:szCs w:val="24"/>
        </w:rPr>
        <w:t>澄清或者修改的内容可能影响响应文件编制的，采购人、采购代理机构将在提交响应文件截止时间至少</w:t>
      </w:r>
      <w:r>
        <w:rPr>
          <w:rFonts w:ascii="宋体" w:hAnsi="宋体" w:cs="宋体"/>
          <w:color w:val="auto"/>
          <w:sz w:val="24"/>
          <w:szCs w:val="24"/>
        </w:rPr>
        <w:t>5</w:t>
      </w:r>
      <w:r>
        <w:rPr>
          <w:rFonts w:hint="eastAsia" w:ascii="宋体" w:hAnsi="宋体" w:cs="宋体"/>
          <w:color w:val="auto"/>
          <w:sz w:val="24"/>
          <w:szCs w:val="24"/>
        </w:rPr>
        <w:t>日前，以公告形式通知所有获取磋商文件的供应商；不足</w:t>
      </w:r>
      <w:r>
        <w:rPr>
          <w:rFonts w:ascii="宋体" w:hAnsi="宋体" w:cs="宋体"/>
          <w:color w:val="auto"/>
          <w:sz w:val="24"/>
          <w:szCs w:val="24"/>
        </w:rPr>
        <w:t>5</w:t>
      </w:r>
      <w:r>
        <w:rPr>
          <w:rFonts w:hint="eastAsia" w:ascii="宋体" w:hAnsi="宋体" w:cs="宋体"/>
          <w:color w:val="auto"/>
          <w:sz w:val="24"/>
          <w:szCs w:val="24"/>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7.6</w:t>
      </w:r>
      <w:r>
        <w:rPr>
          <w:rFonts w:hint="eastAsia" w:ascii="宋体" w:hAnsi="宋体" w:cs="宋体"/>
          <w:color w:val="auto"/>
          <w:sz w:val="24"/>
          <w:szCs w:val="24"/>
        </w:rPr>
        <w:t>竞争性磋商文件澄清、答复、修改、补充的内容为竞争性磋商文件的组成部分。</w:t>
      </w:r>
    </w:p>
    <w:p>
      <w:pPr>
        <w:pStyle w:val="3"/>
        <w:spacing w:line="336" w:lineRule="auto"/>
        <w:rPr>
          <w:rFonts w:ascii="宋体"/>
          <w:color w:val="auto"/>
          <w:sz w:val="24"/>
          <w:szCs w:val="24"/>
        </w:rPr>
      </w:pPr>
      <w:r>
        <w:rPr>
          <w:rFonts w:ascii="宋体" w:hAnsi="宋体" w:cs="宋体"/>
          <w:color w:val="auto"/>
          <w:sz w:val="24"/>
          <w:szCs w:val="24"/>
        </w:rPr>
        <w:t>7.7</w:t>
      </w:r>
      <w:r>
        <w:rPr>
          <w:rFonts w:hint="eastAsia" w:ascii="宋体" w:hAnsi="宋体" w:cs="宋体"/>
          <w:color w:val="auto"/>
          <w:sz w:val="24"/>
          <w:szCs w:val="24"/>
        </w:rPr>
        <w:t>磋商文件发售截止日后，经采购人同意后购买磋商文件的磋商供应商不得对磋商文件和补充文件提出答疑或质疑。</w:t>
      </w:r>
    </w:p>
    <w:p>
      <w:pPr>
        <w:pStyle w:val="2"/>
        <w:numPr>
          <w:ilvl w:val="0"/>
          <w:numId w:val="9"/>
        </w:numPr>
        <w:spacing w:line="336" w:lineRule="auto"/>
        <w:jc w:val="center"/>
        <w:rPr>
          <w:rFonts w:cs="Times New Roman"/>
          <w:color w:val="auto"/>
        </w:rPr>
      </w:pPr>
      <w:bookmarkStart w:id="32" w:name="_Toc1729"/>
      <w:bookmarkStart w:id="33" w:name="_Toc26027"/>
      <w:bookmarkStart w:id="34" w:name="_Toc10669"/>
      <w:bookmarkStart w:id="35" w:name="_Toc24622"/>
      <w:bookmarkStart w:id="36" w:name="_Toc26603"/>
      <w:bookmarkStart w:id="37" w:name="_Toc8860"/>
      <w:bookmarkStart w:id="38" w:name="_Toc6273"/>
      <w:bookmarkStart w:id="39" w:name="_Toc6079"/>
      <w:bookmarkStart w:id="40" w:name="_Toc23975"/>
      <w:bookmarkStart w:id="41" w:name="_Toc11669"/>
      <w:bookmarkStart w:id="42" w:name="_Toc11692"/>
      <w:bookmarkStart w:id="43" w:name="_Toc14650"/>
      <w:bookmarkStart w:id="44" w:name="_Toc7126"/>
      <w:bookmarkStart w:id="45" w:name="_Toc10810"/>
      <w:bookmarkStart w:id="46" w:name="_Toc18702"/>
      <w:bookmarkStart w:id="47" w:name="_Toc11093"/>
      <w:bookmarkStart w:id="48" w:name="_Toc1828"/>
      <w:bookmarkStart w:id="49" w:name="_Toc391298957"/>
      <w:bookmarkStart w:id="50" w:name="_Toc23135"/>
      <w:bookmarkStart w:id="51" w:name="_Toc31748"/>
      <w:bookmarkStart w:id="52" w:name="_Toc1202"/>
      <w:bookmarkStart w:id="53" w:name="_Toc6457"/>
      <w:r>
        <w:rPr>
          <w:color w:val="auto"/>
        </w:rPr>
        <w:t xml:space="preserve"> </w:t>
      </w:r>
      <w:bookmarkStart w:id="54" w:name="_Toc28930"/>
      <w:bookmarkStart w:id="55" w:name="_Toc11515"/>
      <w:r>
        <w:rPr>
          <w:rFonts w:hint="eastAsia"/>
          <w:color w:val="auto"/>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36"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、要求</w:t>
      </w:r>
    </w:p>
    <w:p>
      <w:pPr>
        <w:spacing w:line="336" w:lineRule="auto"/>
        <w:ind w:firstLine="480" w:firstLineChars="200"/>
        <w:rPr>
          <w:rFonts w:ascii="宋体"/>
          <w:color w:val="auto"/>
          <w:sz w:val="24"/>
          <w:szCs w:val="24"/>
        </w:rPr>
      </w:pPr>
      <w:r>
        <w:rPr>
          <w:rFonts w:ascii="宋体" w:hAnsi="宋体" w:cs="宋体"/>
          <w:color w:val="auto"/>
          <w:sz w:val="24"/>
          <w:szCs w:val="24"/>
        </w:rPr>
        <w:t>8.1</w:t>
      </w:r>
      <w:r>
        <w:rPr>
          <w:rFonts w:hint="eastAsia" w:ascii="宋体" w:hAnsi="宋体" w:cs="宋体"/>
          <w:color w:val="auto"/>
          <w:sz w:val="24"/>
          <w:szCs w:val="24"/>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rPr>
      </w:pPr>
      <w:r>
        <w:rPr>
          <w:rFonts w:ascii="宋体" w:hAnsi="宋体" w:cs="宋体"/>
          <w:color w:val="auto"/>
          <w:sz w:val="24"/>
          <w:szCs w:val="24"/>
        </w:rPr>
        <w:t>8.2</w:t>
      </w:r>
      <w:r>
        <w:rPr>
          <w:rFonts w:hint="eastAsia" w:ascii="宋体" w:hAnsi="宋体" w:cs="宋体"/>
          <w:color w:val="auto"/>
          <w:sz w:val="24"/>
          <w:szCs w:val="24"/>
        </w:rPr>
        <w:t>报价</w:t>
      </w:r>
    </w:p>
    <w:p>
      <w:pPr>
        <w:spacing w:line="336" w:lineRule="auto"/>
        <w:ind w:firstLine="480" w:firstLineChars="200"/>
        <w:rPr>
          <w:rFonts w:ascii="宋体"/>
          <w:b/>
          <w:bCs/>
          <w:color w:val="auto"/>
          <w:sz w:val="24"/>
          <w:szCs w:val="24"/>
          <w:shd w:val="clear" w:color="FFFFFF" w:fill="D9D9D9"/>
        </w:rPr>
      </w:pPr>
      <w:r>
        <w:rPr>
          <w:rFonts w:ascii="宋体" w:hAnsi="宋体" w:cs="宋体"/>
          <w:color w:val="auto"/>
          <w:sz w:val="24"/>
          <w:szCs w:val="24"/>
        </w:rPr>
        <w:t>8.2.1</w:t>
      </w:r>
      <w:r>
        <w:rPr>
          <w:rFonts w:hint="eastAsia" w:ascii="宋体" w:hAnsi="宋体" w:cs="宋体"/>
          <w:color w:val="auto"/>
          <w:sz w:val="24"/>
          <w:szCs w:val="24"/>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rPr>
        <w:t>如果供应商在规定时间</w:t>
      </w:r>
      <w:r>
        <w:rPr>
          <w:rFonts w:ascii="宋体" w:hAnsi="宋体" w:cs="宋体"/>
          <w:b/>
          <w:bCs/>
          <w:color w:val="auto"/>
          <w:sz w:val="24"/>
          <w:szCs w:val="24"/>
        </w:rPr>
        <w:t>30</w:t>
      </w:r>
      <w:r>
        <w:rPr>
          <w:rFonts w:hint="eastAsia" w:ascii="宋体" w:hAnsi="宋体" w:cs="宋体"/>
          <w:b/>
          <w:bCs/>
          <w:color w:val="auto"/>
          <w:sz w:val="24"/>
          <w:szCs w:val="24"/>
        </w:rPr>
        <w:t>分钟内未提交第二次报价，视该供应商放弃本次投标，作无效标处理</w:t>
      </w:r>
      <w:r>
        <w:rPr>
          <w:rFonts w:hint="eastAsia" w:ascii="宋体" w:hAnsi="宋体" w:cs="宋体"/>
          <w:color w:val="auto"/>
          <w:sz w:val="24"/>
          <w:szCs w:val="24"/>
        </w:rPr>
        <w:t>。</w:t>
      </w:r>
    </w:p>
    <w:p>
      <w:pPr>
        <w:pStyle w:val="47"/>
        <w:tabs>
          <w:tab w:val="left" w:pos="0"/>
        </w:tabs>
        <w:spacing w:line="336" w:lineRule="auto"/>
        <w:ind w:firstLine="480"/>
        <w:rPr>
          <w:rFonts w:ascii="宋体"/>
          <w:color w:val="auto"/>
          <w:u w:val="single"/>
        </w:rPr>
      </w:pPr>
      <w:r>
        <w:rPr>
          <w:rFonts w:ascii="宋体" w:hAnsi="宋体" w:cs="宋体"/>
          <w:color w:val="auto"/>
          <w:u w:val="single"/>
        </w:rPr>
        <w:t>8.2.2</w:t>
      </w:r>
      <w:r>
        <w:rPr>
          <w:rFonts w:hint="eastAsia" w:ascii="宋体" w:hAnsi="宋体" w:cs="宋体"/>
          <w:color w:val="auto"/>
          <w:highlight w:val="none"/>
          <w:u w:val="single"/>
        </w:rPr>
        <w:t>本次报价应包含项目所需全部服务，不得缺漏，是履行合同的最终价格（包括服务费、调研费、评审费、培训费、人员工资福利费、差旅费、交通费、税金费、风险费、不可预见费等一切项目实施所需费用）</w:t>
      </w:r>
      <w:r>
        <w:rPr>
          <w:rFonts w:hint="eastAsia" w:ascii="宋体" w:hAnsi="宋体" w:cs="宋体"/>
          <w:color w:val="auto"/>
          <w:highlight w:val="none"/>
          <w:u w:val="single"/>
          <w:lang w:eastAsia="zh-CN"/>
        </w:rPr>
        <w:t>，</w:t>
      </w:r>
      <w:r>
        <w:rPr>
          <w:rFonts w:hint="eastAsia" w:cs="宋体"/>
          <w:color w:val="auto"/>
        </w:rPr>
        <w:t>投标报价为供应商所能承受的最低、最终报价，供应商不得再要求追加任何费用。</w:t>
      </w:r>
    </w:p>
    <w:p>
      <w:pPr>
        <w:spacing w:line="336" w:lineRule="auto"/>
        <w:ind w:firstLine="480" w:firstLineChars="200"/>
        <w:rPr>
          <w:rFonts w:ascii="宋体"/>
          <w:color w:val="auto"/>
          <w:sz w:val="24"/>
          <w:szCs w:val="24"/>
        </w:rPr>
      </w:pPr>
      <w:r>
        <w:rPr>
          <w:rFonts w:hint="eastAsia" w:ascii="宋体" w:hAnsi="宋体" w:cs="宋体"/>
          <w:color w:val="auto"/>
          <w:sz w:val="24"/>
          <w:szCs w:val="24"/>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rPr>
      </w:pPr>
      <w:r>
        <w:rPr>
          <w:rFonts w:ascii="宋体" w:hAnsi="宋体" w:cs="宋体"/>
          <w:color w:val="auto"/>
          <w:sz w:val="24"/>
          <w:szCs w:val="24"/>
        </w:rPr>
        <w:t>8.2.3</w:t>
      </w:r>
      <w:r>
        <w:rPr>
          <w:rFonts w:hint="eastAsia" w:ascii="宋体" w:hAnsi="宋体" w:cs="宋体"/>
          <w:color w:val="auto"/>
          <w:sz w:val="24"/>
          <w:szCs w:val="24"/>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2"/>
        <w:spacing w:line="336" w:lineRule="auto"/>
        <w:ind w:firstLine="482" w:firstLineChars="200"/>
        <w:rPr>
          <w:rFonts w:hAnsi="宋体" w:cs="Times New Roman"/>
          <w:b/>
          <w:bCs/>
          <w:color w:val="auto"/>
          <w:sz w:val="24"/>
          <w:szCs w:val="24"/>
          <w:u w:val="single"/>
        </w:rPr>
      </w:pPr>
      <w:r>
        <w:rPr>
          <w:rFonts w:hAnsi="宋体"/>
          <w:b/>
          <w:bCs/>
          <w:color w:val="auto"/>
          <w:sz w:val="24"/>
          <w:szCs w:val="24"/>
        </w:rPr>
        <w:t>9</w:t>
      </w:r>
      <w:r>
        <w:rPr>
          <w:rFonts w:hint="eastAsia" w:hAnsi="宋体"/>
          <w:b/>
          <w:bCs/>
          <w:color w:val="auto"/>
          <w:sz w:val="24"/>
          <w:szCs w:val="24"/>
        </w:rPr>
        <w:t>、响应文件的组成</w:t>
      </w:r>
      <w:r>
        <w:rPr>
          <w:rFonts w:hint="eastAsia" w:hAnsi="宋体"/>
          <w:b/>
          <w:bCs/>
          <w:color w:val="auto"/>
          <w:sz w:val="24"/>
          <w:szCs w:val="24"/>
          <w:u w:val="single"/>
        </w:rPr>
        <w:t>（供应商应根据采购文件的要求提供相应的内容且设置关联定位，供应商可查看《供应商</w:t>
      </w:r>
      <w:r>
        <w:rPr>
          <w:rFonts w:hAnsi="宋体"/>
          <w:b/>
          <w:bCs/>
          <w:color w:val="auto"/>
          <w:sz w:val="24"/>
          <w:szCs w:val="24"/>
          <w:u w:val="single"/>
        </w:rPr>
        <w:t>-</w:t>
      </w:r>
      <w:r>
        <w:rPr>
          <w:rFonts w:hint="eastAsia" w:hAnsi="宋体"/>
          <w:b/>
          <w:bCs/>
          <w:color w:val="auto"/>
          <w:sz w:val="24"/>
          <w:szCs w:val="24"/>
          <w:u w:val="single"/>
        </w:rPr>
        <w:t>政府采购项目电子交易操作指南》进行操作：</w:t>
      </w:r>
      <w:r>
        <w:rPr>
          <w:rFonts w:hAnsi="宋体"/>
          <w:b/>
          <w:bCs/>
          <w:color w:val="auto"/>
          <w:sz w:val="24"/>
          <w:szCs w:val="24"/>
          <w:u w:val="single"/>
        </w:rPr>
        <w:t>https://help.zcygov.cn/web/site_2/2018/12-28/2573.html</w:t>
      </w:r>
      <w:r>
        <w:rPr>
          <w:rFonts w:hint="eastAsia" w:hAnsi="宋体"/>
          <w:b/>
          <w:bCs/>
          <w:color w:val="auto"/>
          <w:sz w:val="24"/>
          <w:szCs w:val="24"/>
          <w:u w:val="single"/>
        </w:rPr>
        <w:t>）</w:t>
      </w:r>
    </w:p>
    <w:p>
      <w:pPr>
        <w:pStyle w:val="47"/>
        <w:tabs>
          <w:tab w:val="left" w:pos="0"/>
        </w:tabs>
        <w:spacing w:before="0" w:line="336" w:lineRule="auto"/>
        <w:ind w:firstLine="480"/>
        <w:rPr>
          <w:rFonts w:ascii="宋体"/>
          <w:color w:val="auto"/>
        </w:rPr>
      </w:pPr>
      <w:r>
        <w:rPr>
          <w:rFonts w:hint="eastAsia" w:ascii="宋体" w:hAnsi="宋体" w:cs="宋体"/>
          <w:color w:val="auto"/>
        </w:rPr>
        <w:t>响应文件应当包括以下主要内容：资格文件、商务技术文件、报价文件。</w:t>
      </w:r>
    </w:p>
    <w:p>
      <w:pPr>
        <w:pStyle w:val="47"/>
        <w:numPr>
          <w:ilvl w:val="0"/>
          <w:numId w:val="10"/>
        </w:numPr>
        <w:spacing w:before="0" w:line="336" w:lineRule="auto"/>
        <w:ind w:firstLine="480"/>
        <w:rPr>
          <w:rFonts w:ascii="宋体"/>
          <w:color w:val="auto"/>
        </w:rPr>
      </w:pPr>
      <w:r>
        <w:rPr>
          <w:rFonts w:hint="eastAsia" w:ascii="宋体" w:hAnsi="宋体" w:cs="宋体"/>
          <w:color w:val="auto"/>
        </w:rPr>
        <w:t>资格文件包括以下内容：</w:t>
      </w:r>
    </w:p>
    <w:p>
      <w:pPr>
        <w:pStyle w:val="47"/>
        <w:numPr>
          <w:ilvl w:val="0"/>
          <w:numId w:val="11"/>
        </w:numPr>
        <w:spacing w:before="0" w:line="336" w:lineRule="auto"/>
        <w:ind w:firstLine="480"/>
        <w:rPr>
          <w:rFonts w:ascii="宋体"/>
          <w:color w:val="auto"/>
        </w:rPr>
      </w:pPr>
      <w:r>
        <w:rPr>
          <w:rFonts w:hint="eastAsia" w:ascii="宋体" w:hAnsi="宋体" w:cs="宋体"/>
          <w:color w:val="auto"/>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47"/>
        <w:numPr>
          <w:ilvl w:val="0"/>
          <w:numId w:val="11"/>
        </w:numPr>
        <w:spacing w:before="0" w:line="336" w:lineRule="auto"/>
        <w:ind w:firstLine="480"/>
        <w:rPr>
          <w:rFonts w:ascii="宋体"/>
          <w:color w:val="auto"/>
        </w:rPr>
      </w:pPr>
      <w:r>
        <w:rPr>
          <w:rFonts w:hint="eastAsia" w:ascii="宋体" w:hAnsi="宋体" w:cs="宋体"/>
          <w:color w:val="auto"/>
        </w:rPr>
        <w:t>声明书；（格式见附件）</w:t>
      </w:r>
    </w:p>
    <w:p>
      <w:pPr>
        <w:pStyle w:val="47"/>
        <w:numPr>
          <w:ilvl w:val="0"/>
          <w:numId w:val="11"/>
        </w:numPr>
        <w:spacing w:before="0" w:line="336" w:lineRule="auto"/>
        <w:ind w:firstLine="480"/>
        <w:rPr>
          <w:rFonts w:ascii="宋体"/>
          <w:color w:val="auto"/>
        </w:rPr>
      </w:pPr>
      <w:r>
        <w:rPr>
          <w:rFonts w:hint="eastAsia" w:ascii="宋体" w:hAnsi="宋体" w:cs="宋体"/>
          <w:color w:val="auto"/>
        </w:rPr>
        <w:t>营业执照</w:t>
      </w:r>
      <w:r>
        <w:rPr>
          <w:rFonts w:ascii="宋体" w:hAnsi="宋体" w:cs="宋体"/>
          <w:color w:val="auto"/>
        </w:rPr>
        <w:t>(</w:t>
      </w:r>
      <w:r>
        <w:rPr>
          <w:rFonts w:hint="eastAsia" w:ascii="宋体" w:hAnsi="宋体" w:cs="宋体"/>
          <w:color w:val="auto"/>
        </w:rPr>
        <w:t>或事业法人登记证或其他工商等登记证明材料</w:t>
      </w:r>
      <w:r>
        <w:rPr>
          <w:rFonts w:ascii="宋体" w:hAnsi="宋体" w:cs="宋体"/>
          <w:color w:val="auto"/>
        </w:rPr>
        <w:t>)</w:t>
      </w:r>
      <w:r>
        <w:rPr>
          <w:rFonts w:hint="eastAsia" w:ascii="宋体" w:hAnsi="宋体" w:cs="宋体"/>
          <w:color w:val="auto"/>
        </w:rPr>
        <w:t>复印件、税务登记证</w:t>
      </w:r>
      <w:r>
        <w:rPr>
          <w:rFonts w:ascii="宋体" w:hAnsi="宋体" w:cs="宋体"/>
          <w:color w:val="auto"/>
        </w:rPr>
        <w:t>(</w:t>
      </w:r>
      <w:r>
        <w:rPr>
          <w:rFonts w:hint="eastAsia" w:ascii="宋体" w:hAnsi="宋体" w:cs="宋体"/>
          <w:color w:val="auto"/>
        </w:rPr>
        <w:t>或其它缴纳证明材料</w:t>
      </w:r>
      <w:r>
        <w:rPr>
          <w:rFonts w:ascii="宋体" w:hAnsi="宋体" w:cs="宋体"/>
          <w:color w:val="auto"/>
        </w:rPr>
        <w:t>)</w:t>
      </w:r>
      <w:r>
        <w:rPr>
          <w:rFonts w:hint="eastAsia" w:ascii="宋体" w:hAnsi="宋体" w:cs="宋体"/>
          <w:color w:val="auto"/>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47"/>
        <w:numPr>
          <w:ilvl w:val="0"/>
          <w:numId w:val="11"/>
        </w:numPr>
        <w:spacing w:before="0" w:line="336" w:lineRule="auto"/>
        <w:ind w:firstLine="480"/>
        <w:rPr>
          <w:rFonts w:ascii="宋体"/>
          <w:color w:val="auto"/>
        </w:rPr>
      </w:pPr>
      <w:r>
        <w:rPr>
          <w:rFonts w:hint="eastAsia" w:ascii="宋体" w:hAnsi="宋体" w:cs="宋体"/>
          <w:color w:val="auto"/>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47"/>
        <w:numPr>
          <w:ilvl w:val="0"/>
          <w:numId w:val="11"/>
        </w:numPr>
        <w:spacing w:before="0" w:line="336" w:lineRule="auto"/>
        <w:ind w:firstLine="480"/>
        <w:rPr>
          <w:rFonts w:ascii="宋体"/>
          <w:color w:val="auto"/>
        </w:rPr>
      </w:pPr>
      <w:r>
        <w:rPr>
          <w:rFonts w:hint="eastAsia" w:ascii="宋体" w:hAnsi="宋体" w:cs="宋体"/>
          <w:color w:val="auto"/>
        </w:rPr>
        <w:t>前一年度资产负债表等财务报表资料文件；</w:t>
      </w:r>
      <w:r>
        <w:rPr>
          <w:rFonts w:ascii="宋体" w:hAnsi="宋体" w:cs="宋体"/>
          <w:color w:val="auto"/>
        </w:rPr>
        <w:t>(</w:t>
      </w:r>
      <w:r>
        <w:rPr>
          <w:rFonts w:hint="eastAsia" w:ascii="宋体" w:hAnsi="宋体" w:cs="宋体"/>
          <w:color w:val="auto"/>
        </w:rPr>
        <w:t>新成立的公司，必须提供情况说明</w:t>
      </w:r>
      <w:r>
        <w:rPr>
          <w:rFonts w:ascii="宋体" w:hAnsi="宋体" w:cs="宋体"/>
          <w:color w:val="auto"/>
        </w:rPr>
        <w:t>)</w:t>
      </w:r>
    </w:p>
    <w:p>
      <w:pPr>
        <w:pStyle w:val="47"/>
        <w:numPr>
          <w:ilvl w:val="0"/>
          <w:numId w:val="11"/>
        </w:numPr>
        <w:spacing w:before="0" w:line="336" w:lineRule="auto"/>
        <w:ind w:firstLine="480"/>
        <w:rPr>
          <w:rFonts w:ascii="宋体"/>
          <w:color w:val="auto"/>
        </w:rPr>
      </w:pPr>
      <w:r>
        <w:rPr>
          <w:rFonts w:hint="eastAsia" w:ascii="宋体" w:hAnsi="宋体" w:cs="宋体"/>
          <w:color w:val="auto"/>
        </w:rPr>
        <w:t>具有履行合同所必需的产品和专业技术能力的承诺函；</w:t>
      </w:r>
    </w:p>
    <w:p>
      <w:pPr>
        <w:pStyle w:val="47"/>
        <w:numPr>
          <w:ilvl w:val="0"/>
          <w:numId w:val="11"/>
        </w:numPr>
        <w:spacing w:before="0" w:line="336" w:lineRule="auto"/>
        <w:ind w:firstLine="480"/>
        <w:rPr>
          <w:rFonts w:ascii="宋体"/>
          <w:color w:val="auto"/>
        </w:rPr>
      </w:pPr>
      <w:r>
        <w:rPr>
          <w:rFonts w:hint="eastAsia" w:ascii="宋体" w:hAnsi="宋体" w:cs="宋体"/>
          <w:color w:val="auto"/>
        </w:rPr>
        <w:t>提供有效的依法缴纳税收证明（完税凭证或税务部门出具的证明）和提供有效的依法缴纳社会保障资金证明（缴纳凭证或人社部门出具的证明）；</w:t>
      </w:r>
    </w:p>
    <w:p>
      <w:pPr>
        <w:pStyle w:val="47"/>
        <w:numPr>
          <w:ilvl w:val="0"/>
          <w:numId w:val="11"/>
        </w:numPr>
        <w:spacing w:before="0" w:line="336" w:lineRule="auto"/>
        <w:ind w:firstLine="480"/>
        <w:rPr>
          <w:rFonts w:ascii="宋体"/>
          <w:color w:val="auto"/>
        </w:rPr>
      </w:pPr>
      <w:r>
        <w:rPr>
          <w:rFonts w:hint="eastAsia" w:ascii="宋体" w:hAnsi="宋体" w:cs="宋体"/>
          <w:color w:val="auto"/>
        </w:rPr>
        <w:t>参加政府采购活动前三年内，在经营活动中没有重大违法记录的声明；</w:t>
      </w:r>
    </w:p>
    <w:p>
      <w:pPr>
        <w:pStyle w:val="47"/>
        <w:numPr>
          <w:ilvl w:val="0"/>
          <w:numId w:val="10"/>
        </w:numPr>
        <w:spacing w:before="0" w:line="336" w:lineRule="auto"/>
        <w:ind w:firstLine="480"/>
        <w:rPr>
          <w:rFonts w:ascii="宋体"/>
          <w:color w:val="auto"/>
        </w:rPr>
      </w:pPr>
      <w:r>
        <w:rPr>
          <w:rFonts w:hint="eastAsia" w:ascii="宋体" w:hAnsi="宋体" w:cs="宋体"/>
          <w:color w:val="auto"/>
        </w:rPr>
        <w:t>商务技术文件，本次磋商需要供应商提供以下项所列的技术文件：</w:t>
      </w:r>
    </w:p>
    <w:p>
      <w:pPr>
        <w:pStyle w:val="47"/>
        <w:numPr>
          <w:ilvl w:val="0"/>
          <w:numId w:val="12"/>
        </w:numPr>
        <w:spacing w:before="0" w:line="336" w:lineRule="auto"/>
        <w:ind w:firstLine="480"/>
        <w:rPr>
          <w:rFonts w:ascii="宋体"/>
          <w:color w:val="auto"/>
        </w:rPr>
      </w:pPr>
      <w:r>
        <w:rPr>
          <w:rFonts w:hint="eastAsia" w:ascii="宋体" w:hAnsi="宋体" w:cs="宋体"/>
          <w:color w:val="auto"/>
        </w:rPr>
        <w:t>评分对应表（格式见附件，主要用于评委对应评分内容）</w:t>
      </w:r>
    </w:p>
    <w:p>
      <w:pPr>
        <w:pStyle w:val="47"/>
        <w:numPr>
          <w:ilvl w:val="0"/>
          <w:numId w:val="12"/>
        </w:numPr>
        <w:spacing w:before="0" w:line="336" w:lineRule="auto"/>
        <w:ind w:firstLine="480"/>
        <w:rPr>
          <w:rFonts w:ascii="宋体"/>
          <w:color w:val="auto"/>
        </w:rPr>
      </w:pPr>
      <w:r>
        <w:rPr>
          <w:rFonts w:hint="eastAsia" w:ascii="宋体" w:hAnsi="宋体" w:cs="宋体"/>
          <w:color w:val="auto"/>
        </w:rPr>
        <w:t>供应商商务技术文件中资信分自评表（格式见附件）；</w:t>
      </w:r>
    </w:p>
    <w:p>
      <w:pPr>
        <w:pStyle w:val="47"/>
        <w:numPr>
          <w:ilvl w:val="0"/>
          <w:numId w:val="12"/>
        </w:numPr>
        <w:spacing w:before="0" w:line="336" w:lineRule="auto"/>
        <w:ind w:firstLine="480"/>
        <w:rPr>
          <w:rFonts w:ascii="宋体"/>
          <w:color w:val="auto"/>
        </w:rPr>
      </w:pPr>
      <w:r>
        <w:rPr>
          <w:rFonts w:hint="eastAsia" w:ascii="宋体" w:hAnsi="宋体" w:cs="宋体"/>
          <w:color w:val="auto"/>
        </w:rPr>
        <w:t>磋商项目明细清单（格式见附件）；</w:t>
      </w:r>
    </w:p>
    <w:p>
      <w:pPr>
        <w:pStyle w:val="47"/>
        <w:numPr>
          <w:ilvl w:val="0"/>
          <w:numId w:val="12"/>
        </w:numPr>
        <w:spacing w:before="0" w:line="336" w:lineRule="auto"/>
        <w:ind w:firstLine="480"/>
        <w:rPr>
          <w:rFonts w:ascii="宋体"/>
          <w:color w:val="auto"/>
        </w:rPr>
      </w:pPr>
      <w:r>
        <w:rPr>
          <w:rFonts w:hint="eastAsia" w:ascii="宋体" w:hAnsi="宋体" w:cs="宋体"/>
          <w:color w:val="auto"/>
        </w:rPr>
        <w:t>技术响应及建议表（格式见附件）；</w:t>
      </w:r>
    </w:p>
    <w:p>
      <w:pPr>
        <w:pStyle w:val="47"/>
        <w:numPr>
          <w:ilvl w:val="0"/>
          <w:numId w:val="12"/>
        </w:numPr>
        <w:spacing w:before="0" w:line="336" w:lineRule="auto"/>
        <w:ind w:firstLine="480"/>
        <w:rPr>
          <w:rFonts w:ascii="宋体"/>
          <w:color w:val="auto"/>
        </w:rPr>
      </w:pPr>
      <w:r>
        <w:rPr>
          <w:rFonts w:hint="eastAsia" w:ascii="宋体" w:hAnsi="宋体" w:cs="宋体"/>
          <w:color w:val="auto"/>
        </w:rPr>
        <w:t>商务响应表（格式见附件）；</w:t>
      </w:r>
    </w:p>
    <w:p>
      <w:pPr>
        <w:pStyle w:val="47"/>
        <w:numPr>
          <w:ilvl w:val="0"/>
          <w:numId w:val="12"/>
        </w:numPr>
        <w:spacing w:before="0" w:line="336" w:lineRule="auto"/>
        <w:ind w:firstLine="480"/>
        <w:rPr>
          <w:rFonts w:ascii="宋体"/>
          <w:color w:val="auto"/>
        </w:rPr>
      </w:pPr>
      <w:r>
        <w:rPr>
          <w:rFonts w:hint="eastAsia" w:ascii="宋体"/>
          <w:color w:val="auto"/>
          <w:lang w:eastAsia="zh-CN"/>
        </w:rPr>
        <w:t>现状分析</w:t>
      </w:r>
      <w:r>
        <w:rPr>
          <w:rFonts w:hint="eastAsia" w:ascii="宋体"/>
          <w:color w:val="auto"/>
        </w:rPr>
        <w:t>；</w:t>
      </w:r>
    </w:p>
    <w:p>
      <w:pPr>
        <w:pStyle w:val="47"/>
        <w:numPr>
          <w:ilvl w:val="0"/>
          <w:numId w:val="12"/>
        </w:numPr>
        <w:spacing w:before="0" w:line="336" w:lineRule="auto"/>
        <w:ind w:firstLine="480"/>
        <w:rPr>
          <w:rFonts w:ascii="宋体"/>
          <w:color w:val="auto"/>
        </w:rPr>
      </w:pPr>
      <w:r>
        <w:rPr>
          <w:rFonts w:hint="eastAsia" w:ascii="宋体"/>
          <w:color w:val="auto"/>
          <w:lang w:eastAsia="zh-CN"/>
        </w:rPr>
        <w:t>实施</w:t>
      </w:r>
      <w:r>
        <w:rPr>
          <w:rFonts w:hint="eastAsia" w:ascii="宋体"/>
          <w:color w:val="auto"/>
        </w:rPr>
        <w:t>方案</w:t>
      </w:r>
      <w:r>
        <w:rPr>
          <w:rFonts w:hint="eastAsia" w:ascii="宋体"/>
          <w:color w:val="auto"/>
          <w:lang w:eastAsia="zh-CN"/>
        </w:rPr>
        <w:t>；</w:t>
      </w:r>
    </w:p>
    <w:p>
      <w:pPr>
        <w:pStyle w:val="47"/>
        <w:numPr>
          <w:ilvl w:val="0"/>
          <w:numId w:val="12"/>
        </w:numPr>
        <w:spacing w:before="0" w:line="336" w:lineRule="auto"/>
        <w:ind w:firstLine="480"/>
        <w:rPr>
          <w:rFonts w:ascii="宋体"/>
          <w:color w:val="auto"/>
        </w:rPr>
      </w:pPr>
      <w:r>
        <w:rPr>
          <w:rFonts w:hint="eastAsia" w:ascii="宋体" w:hAnsi="宋体" w:cs="宋体"/>
          <w:color w:val="auto"/>
          <w:lang w:eastAsia="zh-CN"/>
        </w:rPr>
        <w:t>重点难点分析及解决方案</w:t>
      </w:r>
      <w:r>
        <w:rPr>
          <w:rFonts w:hint="eastAsia" w:ascii="宋体" w:hAnsi="宋体" w:cs="宋体"/>
          <w:color w:val="auto"/>
        </w:rPr>
        <w:t>；</w:t>
      </w:r>
    </w:p>
    <w:p>
      <w:pPr>
        <w:pStyle w:val="47"/>
        <w:numPr>
          <w:ilvl w:val="0"/>
          <w:numId w:val="12"/>
        </w:numPr>
        <w:spacing w:before="0" w:line="336" w:lineRule="auto"/>
        <w:ind w:firstLine="480"/>
        <w:rPr>
          <w:rFonts w:ascii="宋体"/>
          <w:color w:val="auto"/>
        </w:rPr>
      </w:pPr>
      <w:r>
        <w:rPr>
          <w:rFonts w:hint="eastAsia" w:ascii="宋体" w:hAnsi="宋体" w:cs="宋体"/>
          <w:color w:val="auto"/>
          <w:lang w:eastAsia="zh-CN"/>
        </w:rPr>
        <w:t>保证措施</w:t>
      </w:r>
      <w:r>
        <w:rPr>
          <w:rFonts w:hint="eastAsia" w:ascii="宋体" w:hAnsi="宋体" w:cs="宋体"/>
          <w:color w:val="auto"/>
        </w:rPr>
        <w:t>；</w:t>
      </w:r>
    </w:p>
    <w:p>
      <w:pPr>
        <w:pStyle w:val="47"/>
        <w:numPr>
          <w:ilvl w:val="0"/>
          <w:numId w:val="12"/>
        </w:numPr>
        <w:spacing w:before="0" w:line="336" w:lineRule="auto"/>
        <w:ind w:firstLine="480"/>
        <w:rPr>
          <w:rFonts w:ascii="宋体"/>
          <w:color w:val="auto"/>
        </w:rPr>
      </w:pPr>
      <w:r>
        <w:rPr>
          <w:rFonts w:hint="eastAsia" w:ascii="宋体" w:hAnsi="宋体" w:cs="宋体"/>
          <w:color w:val="auto"/>
          <w:lang w:eastAsia="zh-CN"/>
        </w:rPr>
        <w:t>团队实力</w:t>
      </w:r>
      <w:r>
        <w:rPr>
          <w:rFonts w:hint="eastAsia" w:ascii="宋体" w:hAnsi="宋体" w:cs="宋体"/>
          <w:color w:val="auto"/>
        </w:rPr>
        <w:t>；</w:t>
      </w:r>
    </w:p>
    <w:p>
      <w:pPr>
        <w:pStyle w:val="47"/>
        <w:numPr>
          <w:ilvl w:val="0"/>
          <w:numId w:val="12"/>
        </w:numPr>
        <w:spacing w:before="0" w:line="336" w:lineRule="auto"/>
        <w:ind w:firstLine="480"/>
        <w:rPr>
          <w:rFonts w:ascii="宋体"/>
          <w:color w:val="auto"/>
        </w:rPr>
      </w:pPr>
      <w:r>
        <w:rPr>
          <w:rFonts w:hint="eastAsia" w:ascii="宋体" w:hAnsi="宋体" w:cs="宋体"/>
          <w:color w:val="auto"/>
          <w:lang w:eastAsia="zh-CN"/>
        </w:rPr>
        <w:t>服务响应保障措施</w:t>
      </w:r>
      <w:r>
        <w:rPr>
          <w:rFonts w:hint="eastAsia" w:ascii="宋体" w:hAnsi="宋体" w:cs="宋体"/>
          <w:color w:val="auto"/>
        </w:rPr>
        <w:t>；</w:t>
      </w:r>
    </w:p>
    <w:p>
      <w:pPr>
        <w:pStyle w:val="47"/>
        <w:numPr>
          <w:ilvl w:val="0"/>
          <w:numId w:val="12"/>
        </w:numPr>
        <w:spacing w:before="0" w:line="336" w:lineRule="auto"/>
        <w:ind w:firstLine="480"/>
        <w:rPr>
          <w:rFonts w:ascii="宋体"/>
          <w:color w:val="auto"/>
        </w:rPr>
      </w:pPr>
      <w:r>
        <w:rPr>
          <w:rFonts w:hint="eastAsia" w:ascii="宋体" w:hAnsi="宋体" w:cs="宋体"/>
          <w:color w:val="auto"/>
          <w:spacing w:val="1"/>
          <w:sz w:val="24"/>
          <w:szCs w:val="24"/>
          <w:lang w:eastAsia="zh-CN"/>
        </w:rPr>
        <w:t>企业业绩</w:t>
      </w:r>
      <w:r>
        <w:rPr>
          <w:rFonts w:hint="eastAsia" w:ascii="宋体" w:hAnsi="宋体" w:cs="宋体"/>
          <w:color w:val="auto"/>
        </w:rPr>
        <w:t>；</w:t>
      </w:r>
    </w:p>
    <w:p>
      <w:pPr>
        <w:pStyle w:val="47"/>
        <w:numPr>
          <w:ilvl w:val="0"/>
          <w:numId w:val="12"/>
        </w:numPr>
        <w:spacing w:before="0" w:line="336" w:lineRule="auto"/>
        <w:ind w:firstLine="484"/>
        <w:rPr>
          <w:rFonts w:ascii="宋体"/>
          <w:color w:val="auto"/>
        </w:rPr>
      </w:pPr>
      <w:r>
        <w:rPr>
          <w:rFonts w:hint="eastAsia" w:ascii="宋体" w:hAnsi="宋体" w:cs="宋体"/>
          <w:color w:val="auto"/>
          <w:sz w:val="24"/>
          <w:szCs w:val="24"/>
          <w:lang w:eastAsia="zh-CN"/>
        </w:rPr>
        <w:t>体系认证</w:t>
      </w:r>
      <w:r>
        <w:rPr>
          <w:rFonts w:hint="eastAsia" w:ascii="宋体" w:hAnsi="宋体" w:cs="宋体"/>
          <w:color w:val="auto"/>
        </w:rPr>
        <w:t>；</w:t>
      </w:r>
    </w:p>
    <w:p>
      <w:pPr>
        <w:pStyle w:val="47"/>
        <w:numPr>
          <w:ilvl w:val="0"/>
          <w:numId w:val="12"/>
        </w:numPr>
        <w:spacing w:before="0" w:line="336" w:lineRule="auto"/>
        <w:ind w:firstLine="484"/>
        <w:rPr>
          <w:rFonts w:ascii="宋体"/>
          <w:color w:val="auto"/>
        </w:rPr>
      </w:pPr>
      <w:r>
        <w:rPr>
          <w:rFonts w:hint="eastAsia" w:ascii="宋体" w:hAnsi="宋体" w:cs="宋体"/>
          <w:color w:val="auto"/>
          <w:sz w:val="24"/>
          <w:szCs w:val="24"/>
          <w:lang w:eastAsia="zh-CN"/>
        </w:rPr>
        <w:t>软件著作权</w:t>
      </w:r>
      <w:r>
        <w:rPr>
          <w:rFonts w:hint="eastAsia" w:ascii="宋体" w:hAnsi="宋体" w:cs="宋体"/>
          <w:color w:val="auto"/>
        </w:rPr>
        <w:t>；</w:t>
      </w:r>
    </w:p>
    <w:p>
      <w:pPr>
        <w:pStyle w:val="47"/>
        <w:numPr>
          <w:ilvl w:val="0"/>
          <w:numId w:val="12"/>
        </w:numPr>
        <w:spacing w:before="0" w:line="336" w:lineRule="auto"/>
        <w:ind w:firstLine="480"/>
        <w:rPr>
          <w:rFonts w:ascii="宋体"/>
          <w:color w:val="auto"/>
        </w:rPr>
      </w:pPr>
      <w:r>
        <w:rPr>
          <w:rFonts w:hint="eastAsia" w:ascii="宋体"/>
          <w:color w:val="auto"/>
          <w:lang w:eastAsia="zh-CN"/>
        </w:rPr>
        <w:t>人员配置；</w:t>
      </w:r>
    </w:p>
    <w:p>
      <w:pPr>
        <w:pStyle w:val="47"/>
        <w:numPr>
          <w:ilvl w:val="0"/>
          <w:numId w:val="12"/>
        </w:numPr>
        <w:spacing w:before="0" w:line="336" w:lineRule="auto"/>
        <w:ind w:firstLine="480"/>
        <w:rPr>
          <w:rFonts w:ascii="宋体"/>
          <w:color w:val="auto"/>
        </w:rPr>
      </w:pPr>
      <w:r>
        <w:rPr>
          <w:rFonts w:hint="eastAsia" w:ascii="宋体" w:hAnsi="宋体" w:cs="宋体"/>
          <w:color w:val="auto"/>
        </w:rPr>
        <w:t>供应商认为需要的其他文件资料。</w:t>
      </w:r>
      <w:r>
        <w:rPr>
          <w:rFonts w:ascii="宋体" w:hAnsi="宋体" w:cs="宋体"/>
          <w:color w:val="auto"/>
        </w:rPr>
        <w:t xml:space="preserve"> </w:t>
      </w:r>
    </w:p>
    <w:p>
      <w:pPr>
        <w:pStyle w:val="47"/>
        <w:tabs>
          <w:tab w:val="left" w:pos="0"/>
        </w:tabs>
        <w:spacing w:before="0" w:line="336" w:lineRule="auto"/>
        <w:ind w:firstLine="480"/>
        <w:rPr>
          <w:rFonts w:ascii="宋体"/>
          <w:color w:val="auto"/>
        </w:rPr>
      </w:pPr>
      <w:r>
        <w:rPr>
          <w:rFonts w:hint="eastAsia" w:ascii="宋体" w:hAnsi="宋体" w:cs="宋体"/>
          <w:color w:val="auto"/>
        </w:rPr>
        <w:t>注：以上内容应与评标办法中内容具有一致性。</w:t>
      </w:r>
    </w:p>
    <w:p>
      <w:pPr>
        <w:pStyle w:val="47"/>
        <w:tabs>
          <w:tab w:val="left" w:pos="0"/>
        </w:tabs>
        <w:spacing w:before="0" w:line="336" w:lineRule="auto"/>
        <w:ind w:firstLine="480"/>
        <w:rPr>
          <w:rFonts w:ascii="宋体"/>
          <w:color w:val="auto"/>
        </w:rPr>
      </w:pPr>
      <w:r>
        <w:rPr>
          <w:rFonts w:hint="eastAsia" w:ascii="宋体" w:hAnsi="宋体" w:cs="宋体"/>
          <w:color w:val="auto"/>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47"/>
        <w:tabs>
          <w:tab w:val="left" w:pos="0"/>
        </w:tabs>
        <w:spacing w:before="0" w:line="336" w:lineRule="auto"/>
        <w:ind w:firstLine="480"/>
        <w:rPr>
          <w:rFonts w:ascii="宋体"/>
          <w:color w:val="auto"/>
        </w:rPr>
      </w:pPr>
      <w:r>
        <w:rPr>
          <w:rFonts w:hint="eastAsia" w:ascii="宋体" w:hAnsi="宋体" w:cs="宋体"/>
          <w:color w:val="auto"/>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47"/>
        <w:numPr>
          <w:ilvl w:val="0"/>
          <w:numId w:val="10"/>
        </w:numPr>
        <w:spacing w:before="0" w:line="336" w:lineRule="auto"/>
        <w:ind w:firstLine="480"/>
        <w:rPr>
          <w:rFonts w:ascii="宋体"/>
          <w:color w:val="auto"/>
        </w:rPr>
      </w:pPr>
      <w:r>
        <w:rPr>
          <w:rFonts w:hint="eastAsia" w:ascii="宋体" w:hAnsi="宋体" w:cs="宋体"/>
          <w:color w:val="auto"/>
        </w:rPr>
        <w:t>报价文件包括以下内容：</w:t>
      </w:r>
    </w:p>
    <w:p>
      <w:pPr>
        <w:pStyle w:val="47"/>
        <w:numPr>
          <w:ilvl w:val="0"/>
          <w:numId w:val="13"/>
        </w:numPr>
        <w:spacing w:before="0" w:line="336" w:lineRule="auto"/>
        <w:ind w:firstLine="480"/>
        <w:rPr>
          <w:rFonts w:ascii="宋体"/>
          <w:color w:val="auto"/>
        </w:rPr>
      </w:pPr>
      <w:r>
        <w:rPr>
          <w:rFonts w:hint="eastAsia" w:ascii="宋体" w:hAnsi="宋体" w:cs="宋体"/>
          <w:color w:val="auto"/>
        </w:rPr>
        <w:t>磋商函（格式见附件）；</w:t>
      </w:r>
    </w:p>
    <w:p>
      <w:pPr>
        <w:pStyle w:val="47"/>
        <w:numPr>
          <w:ilvl w:val="0"/>
          <w:numId w:val="13"/>
        </w:numPr>
        <w:spacing w:before="0" w:line="336" w:lineRule="auto"/>
        <w:ind w:firstLine="480"/>
        <w:rPr>
          <w:rFonts w:ascii="宋体"/>
          <w:color w:val="auto"/>
        </w:rPr>
      </w:pPr>
      <w:r>
        <w:rPr>
          <w:rFonts w:hint="eastAsia" w:ascii="宋体" w:hAnsi="宋体" w:cs="宋体"/>
          <w:color w:val="auto"/>
        </w:rPr>
        <w:t>报价一览表（格式见附件）；</w:t>
      </w:r>
    </w:p>
    <w:p>
      <w:pPr>
        <w:pStyle w:val="47"/>
        <w:numPr>
          <w:ilvl w:val="0"/>
          <w:numId w:val="13"/>
        </w:numPr>
        <w:spacing w:before="0" w:line="336" w:lineRule="auto"/>
        <w:ind w:firstLine="480"/>
        <w:rPr>
          <w:rFonts w:ascii="宋体"/>
          <w:color w:val="auto"/>
        </w:rPr>
      </w:pPr>
      <w:r>
        <w:rPr>
          <w:rFonts w:hint="eastAsia" w:ascii="宋体" w:hAnsi="宋体" w:cs="宋体"/>
          <w:color w:val="auto"/>
        </w:rPr>
        <w:t>磋商报价明细表（格式见附件）；</w:t>
      </w:r>
    </w:p>
    <w:p>
      <w:pPr>
        <w:pStyle w:val="47"/>
        <w:numPr>
          <w:ilvl w:val="0"/>
          <w:numId w:val="13"/>
        </w:numPr>
        <w:spacing w:before="0" w:line="336" w:lineRule="auto"/>
        <w:ind w:firstLine="480"/>
        <w:rPr>
          <w:rFonts w:ascii="宋体"/>
          <w:color w:val="auto"/>
        </w:rPr>
      </w:pPr>
      <w:r>
        <w:rPr>
          <w:rFonts w:hint="eastAsia" w:ascii="宋体" w:hAnsi="宋体" w:cs="宋体"/>
          <w:color w:val="auto"/>
        </w:rPr>
        <w:t>中小企业声明函</w:t>
      </w:r>
      <w:r>
        <w:rPr>
          <w:rFonts w:ascii="宋体" w:hAnsi="宋体" w:cs="宋体"/>
          <w:color w:val="auto"/>
        </w:rPr>
        <w:t>(</w:t>
      </w:r>
      <w:r>
        <w:rPr>
          <w:rFonts w:hint="eastAsia" w:ascii="宋体" w:hAnsi="宋体" w:cs="宋体"/>
          <w:color w:val="auto"/>
        </w:rPr>
        <w:t>如有</w:t>
      </w:r>
      <w:r>
        <w:rPr>
          <w:rFonts w:ascii="宋体" w:hAnsi="宋体" w:cs="宋体"/>
          <w:color w:val="auto"/>
        </w:rPr>
        <w:t>)</w:t>
      </w:r>
      <w:r>
        <w:rPr>
          <w:rFonts w:hint="eastAsia" w:ascii="宋体" w:hAnsi="宋体" w:cs="宋体"/>
          <w:color w:val="auto"/>
        </w:rPr>
        <w:t>（格式见附件）；</w:t>
      </w:r>
    </w:p>
    <w:p>
      <w:pPr>
        <w:pStyle w:val="47"/>
        <w:numPr>
          <w:ilvl w:val="0"/>
          <w:numId w:val="13"/>
        </w:numPr>
        <w:spacing w:before="0" w:line="336" w:lineRule="auto"/>
        <w:ind w:firstLine="480"/>
        <w:rPr>
          <w:rFonts w:ascii="宋体"/>
          <w:color w:val="auto"/>
        </w:rPr>
      </w:pPr>
      <w:r>
        <w:rPr>
          <w:rFonts w:hint="eastAsia" w:ascii="宋体" w:hAnsi="宋体" w:cs="宋体"/>
          <w:color w:val="auto"/>
        </w:rPr>
        <w:t>残疾人福利性单位声明函</w:t>
      </w:r>
      <w:r>
        <w:rPr>
          <w:rFonts w:ascii="宋体" w:hAnsi="宋体" w:cs="宋体"/>
          <w:color w:val="auto"/>
        </w:rPr>
        <w:t>(</w:t>
      </w:r>
      <w:r>
        <w:rPr>
          <w:rFonts w:hint="eastAsia" w:ascii="宋体" w:hAnsi="宋体" w:cs="宋体"/>
          <w:color w:val="auto"/>
        </w:rPr>
        <w:t>如有</w:t>
      </w:r>
      <w:r>
        <w:rPr>
          <w:rFonts w:ascii="宋体" w:hAnsi="宋体" w:cs="宋体"/>
          <w:color w:val="auto"/>
        </w:rPr>
        <w:t>)</w:t>
      </w:r>
      <w:r>
        <w:rPr>
          <w:rFonts w:hint="eastAsia" w:ascii="宋体" w:hAnsi="宋体" w:cs="宋体"/>
          <w:color w:val="auto"/>
        </w:rPr>
        <w:t>（格式见附件）；</w:t>
      </w:r>
    </w:p>
    <w:p>
      <w:pPr>
        <w:pStyle w:val="47"/>
        <w:numPr>
          <w:ilvl w:val="0"/>
          <w:numId w:val="13"/>
        </w:numPr>
        <w:spacing w:before="0" w:line="336" w:lineRule="auto"/>
        <w:ind w:firstLine="480"/>
        <w:rPr>
          <w:rFonts w:ascii="宋体"/>
          <w:color w:val="auto"/>
        </w:rPr>
      </w:pPr>
      <w:r>
        <w:rPr>
          <w:rFonts w:hint="eastAsia" w:ascii="宋体" w:hAnsi="宋体" w:cs="宋体"/>
          <w:color w:val="auto"/>
        </w:rPr>
        <w:t>监狱企业证明文件</w:t>
      </w:r>
      <w:r>
        <w:rPr>
          <w:rFonts w:ascii="宋体" w:hAnsi="宋体" w:cs="宋体"/>
          <w:color w:val="auto"/>
        </w:rPr>
        <w:t>(</w:t>
      </w:r>
      <w:r>
        <w:rPr>
          <w:rFonts w:hint="eastAsia" w:ascii="宋体" w:hAnsi="宋体" w:cs="宋体"/>
          <w:color w:val="auto"/>
        </w:rPr>
        <w:t>如有</w:t>
      </w:r>
      <w:r>
        <w:rPr>
          <w:rFonts w:ascii="宋体" w:hAnsi="宋体" w:cs="宋体"/>
          <w:color w:val="auto"/>
        </w:rPr>
        <w:t>)</w:t>
      </w:r>
      <w:r>
        <w:rPr>
          <w:rFonts w:hint="eastAsia" w:ascii="宋体" w:hAnsi="宋体" w:cs="宋体"/>
          <w:color w:val="auto"/>
        </w:rPr>
        <w:t>（格式见附件）。</w:t>
      </w:r>
    </w:p>
    <w:p>
      <w:pPr>
        <w:pStyle w:val="47"/>
        <w:spacing w:before="0" w:line="336" w:lineRule="auto"/>
        <w:ind w:firstLine="241" w:firstLineChars="100"/>
        <w:rPr>
          <w:rFonts w:ascii="宋体"/>
          <w:b/>
          <w:bCs/>
          <w:color w:val="auto"/>
          <w:u w:val="single"/>
        </w:rPr>
      </w:pPr>
      <w:r>
        <w:rPr>
          <w:rFonts w:hint="eastAsia" w:ascii="宋体" w:hAnsi="宋体" w:cs="宋体"/>
          <w:b/>
          <w:bCs/>
          <w:color w:val="auto"/>
          <w:u w:val="single"/>
        </w:rPr>
        <w:t>注：“资格文件”、“商务技术文件”、“报价文件”须分</w:t>
      </w:r>
      <w:r>
        <w:rPr>
          <w:rFonts w:ascii="宋体" w:hAnsi="宋体" w:cs="宋体"/>
          <w:b/>
          <w:bCs/>
          <w:color w:val="auto"/>
          <w:u w:val="single"/>
        </w:rPr>
        <w:t>3</w:t>
      </w:r>
      <w:r>
        <w:rPr>
          <w:rFonts w:hint="eastAsia" w:ascii="宋体" w:hAnsi="宋体" w:cs="宋体"/>
          <w:b/>
          <w:bCs/>
          <w:color w:val="auto"/>
          <w:u w:val="single"/>
        </w:rPr>
        <w:t>个</w:t>
      </w:r>
      <w:r>
        <w:rPr>
          <w:rFonts w:ascii="宋体" w:hAnsi="宋体" w:cs="宋体"/>
          <w:b/>
          <w:bCs/>
          <w:color w:val="auto"/>
          <w:u w:val="single"/>
        </w:rPr>
        <w:t>PDF</w:t>
      </w:r>
      <w:r>
        <w:rPr>
          <w:rFonts w:hint="eastAsia" w:ascii="宋体" w:hAnsi="宋体" w:cs="宋体"/>
          <w:b/>
          <w:bCs/>
          <w:color w:val="auto"/>
          <w:u w:val="single"/>
        </w:rPr>
        <w:t>格式分别导入。</w:t>
      </w:r>
    </w:p>
    <w:p>
      <w:pPr>
        <w:pStyle w:val="47"/>
        <w:spacing w:before="0" w:line="336" w:lineRule="auto"/>
        <w:ind w:left="420" w:leftChars="200" w:firstLine="0" w:firstLineChars="0"/>
        <w:rPr>
          <w:rFonts w:ascii="宋体"/>
          <w:b/>
          <w:bCs/>
          <w:color w:val="auto"/>
        </w:rPr>
      </w:pPr>
      <w:r>
        <w:rPr>
          <w:rFonts w:ascii="宋体" w:hAnsi="宋体" w:cs="宋体"/>
          <w:b/>
          <w:bCs/>
          <w:color w:val="auto"/>
        </w:rPr>
        <w:t>10</w:t>
      </w:r>
      <w:r>
        <w:rPr>
          <w:rFonts w:hint="eastAsia" w:ascii="宋体" w:hAnsi="宋体" w:cs="宋体"/>
          <w:b/>
          <w:bCs/>
          <w:color w:val="auto"/>
        </w:rPr>
        <w:t>、响应文件有效期</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10.1 </w:t>
      </w:r>
      <w:r>
        <w:rPr>
          <w:rFonts w:hint="eastAsia" w:ascii="宋体" w:hAnsi="宋体" w:cs="宋体"/>
          <w:color w:val="auto"/>
        </w:rPr>
        <w:t>响应文件未在磋商响应截止时间前完成传输的或者未按时解密的，视为放弃磋商；响应文件解密失败后未提供备份文件或者备份文件也出现异常情况无法进行评审的，亦视为放弃磋商。</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10.2 </w:t>
      </w:r>
      <w:r>
        <w:rPr>
          <w:rFonts w:hint="eastAsia" w:ascii="宋体" w:hAnsi="宋体" w:cs="宋体"/>
          <w:color w:val="auto"/>
        </w:rPr>
        <w:t>响应文件上传后，自磋商响应截止日期起，在前附表所列的磋商响应文件有效期内有效。</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10.3 </w:t>
      </w:r>
      <w:r>
        <w:rPr>
          <w:rFonts w:hint="eastAsia" w:ascii="宋体" w:hAnsi="宋体" w:cs="宋体"/>
          <w:color w:val="auto"/>
        </w:rPr>
        <w:t>在原定有效期满之前，如果出现特殊情况，采购代理机构可以以书面形式向磋商供应商提出延长磋商有效期的要求，磋商供应商对此须以书面形式予以答复。</w:t>
      </w:r>
    </w:p>
    <w:p>
      <w:pPr>
        <w:pStyle w:val="47"/>
        <w:spacing w:before="0" w:line="336" w:lineRule="auto"/>
        <w:ind w:left="420" w:leftChars="200" w:firstLine="0" w:firstLineChars="0"/>
        <w:rPr>
          <w:rFonts w:ascii="宋体"/>
          <w:b/>
          <w:bCs/>
          <w:color w:val="auto"/>
        </w:rPr>
      </w:pPr>
      <w:r>
        <w:rPr>
          <w:rFonts w:ascii="宋体" w:hAnsi="宋体" w:cs="宋体"/>
          <w:b/>
          <w:bCs/>
          <w:color w:val="auto"/>
        </w:rPr>
        <w:t>11</w:t>
      </w:r>
      <w:r>
        <w:rPr>
          <w:rFonts w:hint="eastAsia" w:ascii="宋体" w:hAnsi="宋体" w:cs="宋体"/>
          <w:b/>
          <w:bCs/>
          <w:color w:val="auto"/>
        </w:rPr>
        <w:t>、供应商如有下列情况之一者列入不良行为记录：</w:t>
      </w:r>
    </w:p>
    <w:p>
      <w:pPr>
        <w:pStyle w:val="47"/>
        <w:spacing w:before="0" w:line="336" w:lineRule="auto"/>
        <w:ind w:left="420" w:leftChars="200" w:firstLine="0" w:firstLineChars="0"/>
        <w:rPr>
          <w:rFonts w:ascii="宋体"/>
          <w:color w:val="auto"/>
        </w:rPr>
      </w:pPr>
      <w:r>
        <w:rPr>
          <w:rFonts w:ascii="宋体" w:hAnsi="宋体" w:cs="宋体"/>
          <w:color w:val="auto"/>
        </w:rPr>
        <w:t xml:space="preserve">11.1 </w:t>
      </w:r>
      <w:r>
        <w:rPr>
          <w:rFonts w:hint="eastAsia" w:ascii="宋体" w:hAnsi="宋体" w:cs="宋体"/>
          <w:color w:val="auto"/>
        </w:rPr>
        <w:t>供应商在磋商响应文件有效期内撤回投标的；</w:t>
      </w:r>
    </w:p>
    <w:p>
      <w:pPr>
        <w:pStyle w:val="47"/>
        <w:spacing w:before="0" w:line="336" w:lineRule="auto"/>
        <w:ind w:left="420" w:leftChars="200" w:firstLine="0" w:firstLineChars="0"/>
        <w:rPr>
          <w:rFonts w:ascii="宋体"/>
          <w:color w:val="auto"/>
        </w:rPr>
      </w:pPr>
      <w:r>
        <w:rPr>
          <w:rFonts w:ascii="宋体" w:hAnsi="宋体" w:cs="宋体"/>
          <w:color w:val="auto"/>
        </w:rPr>
        <w:t xml:space="preserve">11.2 </w:t>
      </w:r>
      <w:r>
        <w:rPr>
          <w:rFonts w:hint="eastAsia" w:ascii="宋体" w:hAnsi="宋体" w:cs="宋体"/>
          <w:color w:val="auto"/>
        </w:rPr>
        <w:t>供应商或中标候选人放弃中标或中标候选人资格的；</w:t>
      </w:r>
    </w:p>
    <w:p>
      <w:pPr>
        <w:pStyle w:val="47"/>
        <w:spacing w:before="0" w:line="336" w:lineRule="auto"/>
        <w:ind w:left="420" w:leftChars="200" w:firstLine="0" w:firstLineChars="0"/>
        <w:rPr>
          <w:rFonts w:ascii="宋体"/>
          <w:color w:val="auto"/>
        </w:rPr>
      </w:pPr>
      <w:r>
        <w:rPr>
          <w:rFonts w:ascii="宋体" w:hAnsi="宋体" w:cs="宋体"/>
          <w:color w:val="auto"/>
        </w:rPr>
        <w:t xml:space="preserve">11.3 </w:t>
      </w:r>
      <w:r>
        <w:rPr>
          <w:rFonts w:hint="eastAsia" w:ascii="宋体" w:hAnsi="宋体" w:cs="宋体"/>
          <w:color w:val="auto"/>
        </w:rPr>
        <w:t>擅自修改或拒绝接受已经确认的条款；</w:t>
      </w:r>
    </w:p>
    <w:p>
      <w:pPr>
        <w:pStyle w:val="47"/>
        <w:spacing w:before="0" w:line="336" w:lineRule="auto"/>
        <w:ind w:left="420" w:leftChars="200" w:firstLine="0" w:firstLineChars="0"/>
        <w:rPr>
          <w:rFonts w:ascii="宋体"/>
          <w:color w:val="auto"/>
        </w:rPr>
      </w:pPr>
      <w:r>
        <w:rPr>
          <w:rFonts w:ascii="宋体" w:hAnsi="宋体" w:cs="宋体"/>
          <w:color w:val="auto"/>
        </w:rPr>
        <w:t xml:space="preserve">11.4 </w:t>
      </w:r>
      <w:r>
        <w:rPr>
          <w:rFonts w:hint="eastAsia" w:ascii="宋体" w:hAnsi="宋体" w:cs="宋体"/>
          <w:color w:val="auto"/>
        </w:rPr>
        <w:t>成交供应商未按规定与采购人签订合同；</w:t>
      </w:r>
    </w:p>
    <w:p>
      <w:pPr>
        <w:pStyle w:val="47"/>
        <w:spacing w:before="0" w:line="336" w:lineRule="auto"/>
        <w:ind w:left="420" w:leftChars="200" w:firstLine="0" w:firstLineChars="0"/>
        <w:rPr>
          <w:rFonts w:ascii="宋体"/>
          <w:color w:val="auto"/>
        </w:rPr>
      </w:pPr>
      <w:r>
        <w:rPr>
          <w:rFonts w:ascii="宋体" w:hAnsi="宋体" w:cs="宋体"/>
          <w:color w:val="auto"/>
        </w:rPr>
        <w:t>11.</w:t>
      </w:r>
      <w:r>
        <w:rPr>
          <w:rFonts w:hint="eastAsia" w:ascii="宋体" w:hAnsi="宋体" w:cs="宋体"/>
          <w:color w:val="auto"/>
        </w:rPr>
        <w:t>5</w:t>
      </w:r>
      <w:r>
        <w:rPr>
          <w:rFonts w:ascii="宋体" w:hAnsi="宋体" w:cs="宋体"/>
          <w:color w:val="auto"/>
        </w:rPr>
        <w:t xml:space="preserve"> </w:t>
      </w:r>
      <w:r>
        <w:rPr>
          <w:rFonts w:hint="eastAsia" w:ascii="宋体" w:hAnsi="宋体" w:cs="宋体"/>
          <w:color w:val="auto"/>
        </w:rPr>
        <w:t>供应商采取提供虚假资料等不正当手段的；</w:t>
      </w:r>
    </w:p>
    <w:p>
      <w:pPr>
        <w:pStyle w:val="47"/>
        <w:spacing w:before="0" w:line="336" w:lineRule="auto"/>
        <w:ind w:left="420" w:leftChars="200" w:firstLine="0" w:firstLineChars="0"/>
        <w:rPr>
          <w:rFonts w:ascii="宋体"/>
          <w:color w:val="auto"/>
        </w:rPr>
      </w:pPr>
      <w:r>
        <w:rPr>
          <w:rFonts w:ascii="宋体" w:hAnsi="宋体" w:cs="宋体"/>
          <w:color w:val="auto"/>
        </w:rPr>
        <w:t>11.</w:t>
      </w:r>
      <w:r>
        <w:rPr>
          <w:rFonts w:hint="eastAsia" w:ascii="宋体" w:hAnsi="宋体" w:cs="宋体"/>
          <w:color w:val="auto"/>
        </w:rPr>
        <w:t>6</w:t>
      </w:r>
      <w:r>
        <w:rPr>
          <w:rFonts w:ascii="宋体" w:hAnsi="宋体" w:cs="宋体"/>
          <w:color w:val="auto"/>
        </w:rPr>
        <w:t xml:space="preserve"> </w:t>
      </w:r>
      <w:r>
        <w:rPr>
          <w:rFonts w:hint="eastAsia" w:ascii="宋体" w:hAnsi="宋体" w:cs="宋体"/>
          <w:color w:val="auto"/>
        </w:rPr>
        <w:t>供应商在投标过程中串通投标的。</w:t>
      </w:r>
    </w:p>
    <w:p>
      <w:pPr>
        <w:pStyle w:val="47"/>
        <w:spacing w:before="0" w:line="336" w:lineRule="auto"/>
        <w:ind w:left="420" w:leftChars="200" w:firstLine="0" w:firstLineChars="0"/>
        <w:rPr>
          <w:rFonts w:ascii="宋体"/>
          <w:b/>
          <w:bCs/>
          <w:color w:val="auto"/>
        </w:rPr>
      </w:pPr>
      <w:r>
        <w:rPr>
          <w:rFonts w:ascii="宋体" w:hAnsi="宋体" w:cs="宋体"/>
          <w:b/>
          <w:bCs/>
          <w:color w:val="auto"/>
        </w:rPr>
        <w:t>12</w:t>
      </w:r>
      <w:r>
        <w:rPr>
          <w:rFonts w:hint="eastAsia" w:ascii="宋体" w:hAnsi="宋体" w:cs="宋体"/>
          <w:b/>
          <w:bCs/>
          <w:color w:val="auto"/>
        </w:rPr>
        <w:t>、响应文件的编制和签署</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12.1 </w:t>
      </w:r>
      <w:r>
        <w:rPr>
          <w:rFonts w:hint="eastAsia" w:ascii="宋体" w:hAnsi="宋体" w:cs="宋体"/>
          <w:color w:val="auto"/>
        </w:rPr>
        <w:t>按磋商文件</w:t>
      </w:r>
      <w:r>
        <w:rPr>
          <w:rFonts w:ascii="宋体" w:hAnsi="宋体" w:cs="宋体"/>
          <w:color w:val="auto"/>
        </w:rPr>
        <w:t>9.1</w:t>
      </w:r>
      <w:r>
        <w:rPr>
          <w:rFonts w:hint="eastAsia" w:ascii="宋体" w:hAnsi="宋体" w:cs="宋体"/>
          <w:color w:val="auto"/>
        </w:rPr>
        <w:t>条、</w:t>
      </w:r>
      <w:r>
        <w:rPr>
          <w:rFonts w:ascii="宋体" w:hAnsi="宋体" w:cs="宋体"/>
          <w:color w:val="auto"/>
        </w:rPr>
        <w:t>9.2</w:t>
      </w:r>
      <w:r>
        <w:rPr>
          <w:rFonts w:hint="eastAsia" w:ascii="宋体" w:hAnsi="宋体" w:cs="宋体"/>
          <w:color w:val="auto"/>
        </w:rPr>
        <w:t>条、</w:t>
      </w:r>
      <w:r>
        <w:rPr>
          <w:rFonts w:ascii="宋体" w:hAnsi="宋体" w:cs="宋体"/>
          <w:color w:val="auto"/>
        </w:rPr>
        <w:t>9.3</w:t>
      </w:r>
      <w:r>
        <w:rPr>
          <w:rFonts w:hint="eastAsia" w:ascii="宋体" w:hAnsi="宋体" w:cs="宋体"/>
          <w:color w:val="auto"/>
        </w:rPr>
        <w:t>条要求提供的各种文件，响应文件分为资格文件、商务技术文件和报价文件三部分。</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12.2 </w:t>
      </w:r>
      <w:r>
        <w:rPr>
          <w:rFonts w:hint="eastAsia" w:ascii="宋体" w:hAnsi="宋体" w:cs="宋体"/>
          <w:color w:val="auto"/>
        </w:rPr>
        <w:t>响应文件须按附件格式要求进行电子签章，供应商应写全称。（电子磋商响应文件中所须加盖公章部分均应采用电子签章）</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12.3 </w:t>
      </w:r>
      <w:r>
        <w:rPr>
          <w:rFonts w:hint="eastAsia" w:ascii="宋体" w:hAnsi="宋体" w:cs="宋体"/>
          <w:color w:val="auto"/>
        </w:rPr>
        <w:t>全套响应文件应无涂改和行间插字，除非这些删改是根据采购代理机构要求进行，或者是供应商造成的必须修改的错误。所修改处应由法定代表人或其授权代表签字盖章予以确认。</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ascii="宋体" w:hAnsi="宋体" w:cs="宋体"/>
          <w:color w:val="auto"/>
        </w:rPr>
        <w:t xml:space="preserve">12.4 </w:t>
      </w:r>
      <w:r>
        <w:rPr>
          <w:rFonts w:hint="eastAsia" w:ascii="宋体" w:hAnsi="宋体" w:cs="宋体"/>
          <w:color w:val="auto"/>
        </w:rPr>
        <w:t>由于字迹模糊或表达不清引起的后果由供应商负责。</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2" w:firstLineChars="200"/>
        <w:textAlignment w:val="auto"/>
        <w:rPr>
          <w:rFonts w:ascii="宋体"/>
          <w:b/>
          <w:bCs/>
          <w:color w:val="auto"/>
        </w:rPr>
      </w:pPr>
      <w:r>
        <w:rPr>
          <w:rFonts w:ascii="宋体" w:hAnsi="宋体" w:cs="宋体"/>
          <w:b/>
          <w:bCs/>
          <w:color w:val="auto"/>
        </w:rPr>
        <w:t>13</w:t>
      </w:r>
      <w:r>
        <w:rPr>
          <w:rFonts w:hint="eastAsia" w:ascii="宋体" w:hAnsi="宋体" w:cs="宋体"/>
          <w:b/>
          <w:bCs/>
          <w:color w:val="auto"/>
        </w:rPr>
        <w:t>、响应文件的形式</w:t>
      </w:r>
    </w:p>
    <w:p>
      <w:pPr>
        <w:pStyle w:val="47"/>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ascii="宋体"/>
          <w:color w:val="auto"/>
        </w:rPr>
      </w:pPr>
      <w:r>
        <w:rPr>
          <w:rFonts w:hint="eastAsia" w:ascii="宋体" w:hAnsi="宋体" w:cs="宋体"/>
          <w:color w:val="auto"/>
        </w:rPr>
        <w:t>响应文件为电子磋商响应文件，电子磋商响应文件按“政采云供应商项目采购</w:t>
      </w:r>
      <w:r>
        <w:rPr>
          <w:rFonts w:ascii="宋体" w:cs="宋体"/>
          <w:color w:val="auto"/>
        </w:rPr>
        <w:t>-</w:t>
      </w:r>
      <w:r>
        <w:rPr>
          <w:rFonts w:hint="eastAsia" w:ascii="宋体" w:hAnsi="宋体" w:cs="宋体"/>
          <w:color w:val="auto"/>
        </w:rPr>
        <w:t>电子招投标操作指南”及本磋商文件要求制作、加密传输。</w:t>
      </w:r>
    </w:p>
    <w:p>
      <w:pPr>
        <w:pStyle w:val="2"/>
        <w:numPr>
          <w:ilvl w:val="0"/>
          <w:numId w:val="9"/>
        </w:numPr>
        <w:spacing w:line="336" w:lineRule="auto"/>
        <w:jc w:val="center"/>
        <w:rPr>
          <w:rFonts w:cs="Times New Roman"/>
          <w:color w:val="auto"/>
        </w:rPr>
      </w:pPr>
      <w:bookmarkStart w:id="56" w:name="_Toc1420"/>
      <w:r>
        <w:rPr>
          <w:color w:val="auto"/>
        </w:rPr>
        <w:t xml:space="preserve"> </w:t>
      </w:r>
      <w:bookmarkStart w:id="57" w:name="_Toc14626"/>
      <w:bookmarkStart w:id="58" w:name="_Toc21266"/>
      <w:r>
        <w:rPr>
          <w:rFonts w:hint="eastAsia"/>
          <w:color w:val="auto"/>
        </w:rPr>
        <w:t>响应文件的递交</w:t>
      </w:r>
      <w:bookmarkEnd w:id="56"/>
      <w:bookmarkEnd w:id="57"/>
      <w:bookmarkEnd w:id="58"/>
    </w:p>
    <w:p>
      <w:pPr>
        <w:pStyle w:val="12"/>
        <w:spacing w:line="336" w:lineRule="auto"/>
        <w:ind w:left="420" w:leftChars="200"/>
        <w:rPr>
          <w:rFonts w:hAnsi="宋体" w:cs="Times New Roman"/>
          <w:b/>
          <w:bCs/>
          <w:color w:val="auto"/>
          <w:sz w:val="24"/>
          <w:szCs w:val="24"/>
        </w:rPr>
      </w:pPr>
      <w:r>
        <w:rPr>
          <w:rFonts w:hAnsi="宋体"/>
          <w:b/>
          <w:bCs/>
          <w:color w:val="auto"/>
          <w:sz w:val="24"/>
          <w:szCs w:val="24"/>
        </w:rPr>
        <w:t>14</w:t>
      </w:r>
      <w:r>
        <w:rPr>
          <w:rFonts w:hint="eastAsia" w:hAnsi="宋体"/>
          <w:b/>
          <w:bCs/>
          <w:color w:val="auto"/>
          <w:sz w:val="24"/>
          <w:szCs w:val="24"/>
        </w:rPr>
        <w:t>、磋商响应截止期</w:t>
      </w:r>
    </w:p>
    <w:p>
      <w:pPr>
        <w:pStyle w:val="47"/>
        <w:numPr>
          <w:ilvl w:val="0"/>
          <w:numId w:val="14"/>
        </w:numPr>
        <w:spacing w:before="0" w:line="336" w:lineRule="auto"/>
        <w:ind w:firstLine="480"/>
        <w:rPr>
          <w:rFonts w:ascii="宋体"/>
          <w:color w:val="auto"/>
        </w:rPr>
      </w:pPr>
      <w:r>
        <w:rPr>
          <w:rFonts w:hint="eastAsia" w:ascii="宋体" w:hAnsi="宋体" w:cs="宋体"/>
          <w:color w:val="auto"/>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47"/>
        <w:numPr>
          <w:ilvl w:val="0"/>
          <w:numId w:val="14"/>
        </w:numPr>
        <w:spacing w:before="0" w:line="336" w:lineRule="auto"/>
        <w:ind w:firstLine="480"/>
        <w:rPr>
          <w:rFonts w:ascii="宋体"/>
          <w:color w:val="auto"/>
        </w:rPr>
      </w:pPr>
      <w:r>
        <w:rPr>
          <w:rFonts w:hint="eastAsia" w:ascii="宋体" w:hAnsi="宋体" w:cs="宋体"/>
          <w:color w:val="auto"/>
        </w:rPr>
        <w:t>采购人因故推迟磋商响应截止时间，将以公告形式通知。在这种情况下，采购人和供应商的权利和义务将受到新的截止时间的约束。</w:t>
      </w:r>
    </w:p>
    <w:p>
      <w:pPr>
        <w:pStyle w:val="12"/>
        <w:spacing w:line="336" w:lineRule="auto"/>
        <w:ind w:left="420" w:leftChars="200"/>
        <w:rPr>
          <w:rFonts w:hAnsi="宋体" w:cs="Times New Roman"/>
          <w:b/>
          <w:bCs/>
          <w:color w:val="auto"/>
          <w:sz w:val="24"/>
          <w:szCs w:val="24"/>
        </w:rPr>
      </w:pPr>
      <w:r>
        <w:rPr>
          <w:rFonts w:hAnsi="宋体"/>
          <w:b/>
          <w:bCs/>
          <w:color w:val="auto"/>
          <w:sz w:val="24"/>
          <w:szCs w:val="24"/>
        </w:rPr>
        <w:t>15</w:t>
      </w:r>
      <w:r>
        <w:rPr>
          <w:rFonts w:hint="eastAsia" w:hAnsi="宋体"/>
          <w:b/>
          <w:bCs/>
          <w:color w:val="auto"/>
          <w:sz w:val="24"/>
          <w:szCs w:val="24"/>
        </w:rPr>
        <w:t>、响应文件的修改、撤销</w:t>
      </w:r>
    </w:p>
    <w:p>
      <w:pPr>
        <w:pStyle w:val="12"/>
        <w:spacing w:line="336" w:lineRule="auto"/>
        <w:ind w:firstLine="480" w:firstLineChars="200"/>
        <w:rPr>
          <w:rFonts w:hAnsi="宋体" w:cs="Times New Roman"/>
          <w:color w:val="auto"/>
          <w:sz w:val="24"/>
          <w:szCs w:val="24"/>
        </w:rPr>
      </w:pPr>
      <w:r>
        <w:rPr>
          <w:rFonts w:hint="eastAsia" w:hAnsi="宋体"/>
          <w:color w:val="auto"/>
          <w:sz w:val="24"/>
          <w:szCs w:val="24"/>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numPr>
          <w:ilvl w:val="0"/>
          <w:numId w:val="9"/>
        </w:numPr>
        <w:spacing w:line="336" w:lineRule="auto"/>
        <w:jc w:val="center"/>
        <w:rPr>
          <w:rFonts w:hAnsi="宋体" w:cs="Times New Roman"/>
          <w:color w:val="auto"/>
        </w:rPr>
      </w:pPr>
      <w:r>
        <w:rPr>
          <w:color w:val="auto"/>
        </w:rPr>
        <w:t xml:space="preserve"> </w:t>
      </w:r>
      <w:bookmarkStart w:id="59" w:name="_Toc24120"/>
      <w:bookmarkStart w:id="60" w:name="_Toc26321"/>
      <w:r>
        <w:rPr>
          <w:rFonts w:hint="eastAsia"/>
          <w:color w:val="auto"/>
        </w:rPr>
        <w:t>磋商无效的情形</w:t>
      </w:r>
      <w:bookmarkEnd w:id="59"/>
      <w:bookmarkEnd w:id="60"/>
    </w:p>
    <w:p>
      <w:pPr>
        <w:pStyle w:val="12"/>
        <w:snapToGrid w:val="0"/>
        <w:spacing w:line="336" w:lineRule="auto"/>
        <w:ind w:firstLine="482" w:firstLineChars="200"/>
        <w:rPr>
          <w:rFonts w:hAnsi="宋体" w:cs="Times New Roman"/>
          <w:b/>
          <w:bCs/>
          <w:color w:val="auto"/>
          <w:sz w:val="24"/>
          <w:szCs w:val="24"/>
        </w:rPr>
      </w:pPr>
      <w:r>
        <w:rPr>
          <w:rFonts w:hAnsi="宋体"/>
          <w:b/>
          <w:bCs/>
          <w:color w:val="auto"/>
          <w:sz w:val="24"/>
          <w:szCs w:val="24"/>
        </w:rPr>
        <w:t>16</w:t>
      </w:r>
      <w:r>
        <w:rPr>
          <w:rFonts w:hint="eastAsia" w:hAnsi="宋体"/>
          <w:b/>
          <w:bCs/>
          <w:color w:val="auto"/>
          <w:sz w:val="24"/>
          <w:szCs w:val="24"/>
        </w:rPr>
        <w:t>、无效响应</w:t>
      </w:r>
    </w:p>
    <w:p>
      <w:pPr>
        <w:pStyle w:val="12"/>
        <w:snapToGrid w:val="0"/>
        <w:spacing w:line="336" w:lineRule="auto"/>
        <w:ind w:firstLine="480" w:firstLineChars="200"/>
        <w:rPr>
          <w:rFonts w:hAnsi="宋体" w:cs="Times New Roman"/>
          <w:color w:val="auto"/>
          <w:sz w:val="24"/>
          <w:szCs w:val="24"/>
        </w:rPr>
      </w:pPr>
      <w:r>
        <w:rPr>
          <w:rFonts w:hint="eastAsia" w:hAnsi="宋体"/>
          <w:color w:val="auto"/>
          <w:sz w:val="24"/>
          <w:szCs w:val="24"/>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w:t>
      </w:r>
      <w:r>
        <w:rPr>
          <w:rFonts w:hint="eastAsia" w:ascii="宋体" w:hAnsi="宋体" w:cs="宋体"/>
          <w:b/>
          <w:bCs/>
          <w:color w:val="auto"/>
          <w:sz w:val="24"/>
          <w:szCs w:val="24"/>
        </w:rPr>
        <w:t>未按照磋商文件规定要求签署、盖章的；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16.2</w:t>
      </w:r>
      <w:r>
        <w:rPr>
          <w:rFonts w:hint="eastAsia" w:ascii="宋体" w:hAnsi="宋体" w:cs="宋体"/>
          <w:b/>
          <w:bCs/>
          <w:color w:val="auto"/>
          <w:sz w:val="24"/>
          <w:szCs w:val="24"/>
        </w:rPr>
        <w:t>《法定代表人授权书》填写不全、错误、未加盖供应商公章（公章和签字或盖章缺一不可）；</w:t>
      </w:r>
      <w:r>
        <w:rPr>
          <w:rFonts w:ascii="宋体" w:hAnsi="宋体" w:cs="宋体"/>
          <w:b/>
          <w:bCs/>
          <w:color w:val="auto"/>
          <w:sz w:val="24"/>
          <w:szCs w:val="24"/>
        </w:rPr>
        <w:t xml:space="preserve"> </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16.3</w:t>
      </w:r>
      <w:r>
        <w:rPr>
          <w:rFonts w:hint="eastAsia" w:ascii="宋体" w:hAnsi="宋体" w:cs="宋体"/>
          <w:b/>
          <w:bCs/>
          <w:color w:val="auto"/>
          <w:sz w:val="24"/>
          <w:szCs w:val="24"/>
        </w:rPr>
        <w:t>个体工商户的身份证明与营业执照不一致的；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16.4</w:t>
      </w:r>
      <w:r>
        <w:rPr>
          <w:rFonts w:hint="eastAsia" w:ascii="宋体" w:hAnsi="宋体" w:cs="宋体"/>
          <w:b/>
          <w:bCs/>
          <w:color w:val="auto"/>
          <w:sz w:val="24"/>
          <w:szCs w:val="24"/>
        </w:rPr>
        <w:t>响应文件中的磋商函未加盖供应商的企业公章或填写不全的；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16.5</w:t>
      </w:r>
      <w:r>
        <w:rPr>
          <w:rFonts w:hint="eastAsia" w:ascii="宋体" w:hAnsi="宋体" w:cs="宋体"/>
          <w:b/>
          <w:bCs/>
          <w:color w:val="auto"/>
          <w:sz w:val="24"/>
          <w:szCs w:val="24"/>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16.6</w:t>
      </w:r>
      <w:r>
        <w:rPr>
          <w:rFonts w:hint="eastAsia" w:ascii="宋体" w:hAnsi="宋体" w:cs="宋体"/>
          <w:b/>
          <w:bCs/>
          <w:color w:val="auto"/>
          <w:sz w:val="24"/>
          <w:szCs w:val="24"/>
        </w:rPr>
        <w:t>因未按规定的格式填写，内容不全或主要实质性内容字迹模糊辨认不清</w:t>
      </w:r>
      <w:r>
        <w:rPr>
          <w:rFonts w:ascii="宋体" w:cs="宋体"/>
          <w:b/>
          <w:bCs/>
          <w:color w:val="auto"/>
          <w:sz w:val="24"/>
          <w:szCs w:val="24"/>
        </w:rPr>
        <w:t>,</w:t>
      </w:r>
      <w:r>
        <w:rPr>
          <w:rFonts w:hint="eastAsia" w:ascii="宋体" w:hAnsi="宋体" w:cs="宋体"/>
          <w:b/>
          <w:bCs/>
          <w:color w:val="auto"/>
          <w:sz w:val="24"/>
          <w:szCs w:val="24"/>
        </w:rPr>
        <w:t>经评标委员会认定为无法评审的；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16.7</w:t>
      </w:r>
      <w:r>
        <w:rPr>
          <w:rFonts w:hint="eastAsia" w:ascii="宋体" w:hAnsi="宋体" w:cs="宋体"/>
          <w:b/>
          <w:bCs/>
          <w:color w:val="auto"/>
          <w:sz w:val="24"/>
          <w:szCs w:val="24"/>
        </w:rPr>
        <w:t>出现同一标的物或本次采购产品</w:t>
      </w:r>
      <w:r>
        <w:rPr>
          <w:rFonts w:ascii="宋体" w:hAnsi="宋体" w:cs="宋体"/>
          <w:b/>
          <w:bCs/>
          <w:color w:val="auto"/>
          <w:sz w:val="24"/>
          <w:szCs w:val="24"/>
        </w:rPr>
        <w:t>(</w:t>
      </w:r>
      <w:r>
        <w:rPr>
          <w:rFonts w:hint="eastAsia" w:ascii="宋体" w:hAnsi="宋体" w:cs="宋体"/>
          <w:b/>
          <w:bCs/>
          <w:color w:val="auto"/>
          <w:sz w:val="24"/>
          <w:szCs w:val="24"/>
        </w:rPr>
        <w:t>服务</w:t>
      </w:r>
      <w:r>
        <w:rPr>
          <w:rFonts w:ascii="宋体" w:hAnsi="宋体" w:cs="宋体"/>
          <w:b/>
          <w:bCs/>
          <w:color w:val="auto"/>
          <w:sz w:val="24"/>
          <w:szCs w:val="24"/>
        </w:rPr>
        <w:t>)</w:t>
      </w:r>
      <w:r>
        <w:rPr>
          <w:rFonts w:hint="eastAsia" w:ascii="宋体" w:hAnsi="宋体" w:cs="宋体"/>
          <w:b/>
          <w:bCs/>
          <w:color w:val="auto"/>
          <w:sz w:val="24"/>
          <w:szCs w:val="24"/>
        </w:rPr>
        <w:t>内的主要产品</w:t>
      </w:r>
      <w:r>
        <w:rPr>
          <w:rFonts w:ascii="宋体" w:hAnsi="宋体" w:cs="宋体"/>
          <w:b/>
          <w:bCs/>
          <w:color w:val="auto"/>
          <w:sz w:val="24"/>
          <w:szCs w:val="24"/>
        </w:rPr>
        <w:t>(</w:t>
      </w:r>
      <w:r>
        <w:rPr>
          <w:rFonts w:hint="eastAsia" w:ascii="宋体" w:hAnsi="宋体" w:cs="宋体"/>
          <w:b/>
          <w:bCs/>
          <w:color w:val="auto"/>
          <w:sz w:val="24"/>
          <w:szCs w:val="24"/>
        </w:rPr>
        <w:t>重要组成部分</w:t>
      </w:r>
      <w:r>
        <w:rPr>
          <w:rFonts w:ascii="宋体" w:hAnsi="宋体" w:cs="宋体"/>
          <w:b/>
          <w:bCs/>
          <w:color w:val="auto"/>
          <w:sz w:val="24"/>
          <w:szCs w:val="24"/>
        </w:rPr>
        <w:t>)</w:t>
      </w:r>
      <w:r>
        <w:rPr>
          <w:rFonts w:hint="eastAsia" w:ascii="宋体" w:hAnsi="宋体" w:cs="宋体"/>
          <w:b/>
          <w:bCs/>
          <w:color w:val="auto"/>
          <w:sz w:val="24"/>
          <w:szCs w:val="24"/>
        </w:rPr>
        <w:t>出现技术、商务描述不一致或前后描述不一致，经评标委员会认定后为无法评审的；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16.8</w:t>
      </w:r>
      <w:r>
        <w:rPr>
          <w:rFonts w:hint="eastAsia" w:ascii="宋体" w:hAnsi="宋体" w:cs="宋体"/>
          <w:b/>
          <w:bCs/>
          <w:color w:val="auto"/>
          <w:sz w:val="24"/>
          <w:szCs w:val="24"/>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16.9</w:t>
      </w:r>
      <w:r>
        <w:rPr>
          <w:rFonts w:hint="eastAsia" w:ascii="宋体" w:hAnsi="宋体" w:cs="宋体"/>
          <w:b/>
          <w:bCs/>
          <w:color w:val="auto"/>
          <w:sz w:val="24"/>
          <w:szCs w:val="24"/>
        </w:rPr>
        <w:t>对采购产品技术规格未详细应答，致使其技术文件无法评审的；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16.10</w:t>
      </w:r>
      <w:r>
        <w:rPr>
          <w:rFonts w:hint="eastAsia" w:ascii="宋体" w:hAnsi="宋体" w:cs="宋体"/>
          <w:b/>
          <w:bCs/>
          <w:color w:val="auto"/>
          <w:sz w:val="24"/>
          <w:szCs w:val="24"/>
        </w:rPr>
        <w:t>响应文件有采购方不能接受的条件；</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16.11</w:t>
      </w:r>
      <w:r>
        <w:rPr>
          <w:rFonts w:hint="eastAsia" w:ascii="宋体" w:hAnsi="宋体" w:cs="宋体"/>
          <w:b/>
          <w:bCs/>
          <w:color w:val="auto"/>
          <w:sz w:val="24"/>
          <w:szCs w:val="24"/>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16.12</w:t>
      </w:r>
      <w:r>
        <w:rPr>
          <w:rFonts w:hint="eastAsia" w:ascii="宋体" w:hAnsi="宋体" w:cs="宋体"/>
          <w:b/>
          <w:bCs/>
          <w:color w:val="auto"/>
          <w:sz w:val="24"/>
          <w:szCs w:val="24"/>
        </w:rPr>
        <w:t>磋商报价超过预算金额或最高限价的；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16.13</w:t>
      </w:r>
      <w:r>
        <w:rPr>
          <w:rFonts w:hint="eastAsia" w:ascii="宋体" w:hAnsi="宋体" w:cs="宋体"/>
          <w:b/>
          <w:bCs/>
          <w:color w:val="auto"/>
          <w:sz w:val="24"/>
          <w:szCs w:val="24"/>
        </w:rPr>
        <w:t>响应文件“商务技术文件资料”部分中出现《报价一览表》或《磋商报价明细表》相关内容的；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16.14</w:t>
      </w:r>
      <w:r>
        <w:rPr>
          <w:rFonts w:hint="eastAsia" w:ascii="宋体" w:hAnsi="宋体" w:cs="宋体"/>
          <w:b/>
          <w:bCs/>
          <w:color w:val="auto"/>
          <w:sz w:val="24"/>
          <w:szCs w:val="24"/>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16.15</w:t>
      </w:r>
      <w:r>
        <w:rPr>
          <w:rFonts w:hint="eastAsia" w:ascii="宋体" w:hAnsi="宋体" w:cs="宋体"/>
          <w:b/>
          <w:bCs/>
          <w:color w:val="auto"/>
          <w:sz w:val="24"/>
          <w:szCs w:val="24"/>
        </w:rPr>
        <w:t>供应商拒绝按磋商文件规定的修正原则对响应文件进行修改的；</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w:t>
      </w:r>
      <w:r>
        <w:rPr>
          <w:rFonts w:hint="eastAsia" w:ascii="宋体" w:hAnsi="宋体" w:cs="宋体"/>
          <w:b/>
          <w:bCs/>
          <w:color w:val="auto"/>
          <w:sz w:val="24"/>
          <w:szCs w:val="24"/>
        </w:rPr>
        <w:t>有下列情形之一的，视为供应商串通投标，其投标无效：</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16.16.1</w:t>
      </w:r>
      <w:r>
        <w:rPr>
          <w:rFonts w:hint="eastAsia" w:ascii="宋体" w:hAnsi="宋体" w:cs="宋体"/>
          <w:b/>
          <w:bCs/>
          <w:color w:val="auto"/>
          <w:sz w:val="24"/>
          <w:szCs w:val="24"/>
        </w:rPr>
        <w:t>不同供应商的响应文件由同一单位或者个人编制；</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16.16.2</w:t>
      </w:r>
      <w:r>
        <w:rPr>
          <w:rFonts w:hint="eastAsia" w:ascii="宋体" w:hAnsi="宋体" w:cs="宋体"/>
          <w:b/>
          <w:bCs/>
          <w:color w:val="auto"/>
          <w:sz w:val="24"/>
          <w:szCs w:val="24"/>
        </w:rPr>
        <w:t>不同供应商委托同一单位或者个人办理投标事宜；</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16.16.3</w:t>
      </w:r>
      <w:r>
        <w:rPr>
          <w:rFonts w:hint="eastAsia" w:ascii="宋体" w:hAnsi="宋体" w:cs="宋体"/>
          <w:b/>
          <w:bCs/>
          <w:color w:val="auto"/>
          <w:sz w:val="24"/>
          <w:szCs w:val="24"/>
        </w:rPr>
        <w:t>不同供应商的响应文件载明的项目管理成员或者联系人员为同一人；</w:t>
      </w:r>
    </w:p>
    <w:p>
      <w:pPr>
        <w:spacing w:line="336" w:lineRule="auto"/>
        <w:ind w:firstLine="482" w:firstLineChars="200"/>
        <w:rPr>
          <w:rFonts w:ascii="宋体"/>
          <w:b/>
          <w:bCs/>
          <w:color w:val="auto"/>
          <w:sz w:val="24"/>
          <w:szCs w:val="24"/>
        </w:rPr>
      </w:pPr>
      <w:r>
        <w:rPr>
          <w:rFonts w:ascii="宋体" w:hAnsi="宋体" w:cs="宋体"/>
          <w:b/>
          <w:bCs/>
          <w:color w:val="auto"/>
          <w:sz w:val="24"/>
          <w:szCs w:val="24"/>
        </w:rPr>
        <w:t>16.16.4</w:t>
      </w:r>
      <w:r>
        <w:rPr>
          <w:rFonts w:hint="eastAsia" w:ascii="宋体" w:hAnsi="宋体" w:cs="宋体"/>
          <w:b/>
          <w:bCs/>
          <w:color w:val="auto"/>
          <w:sz w:val="24"/>
          <w:szCs w:val="24"/>
        </w:rPr>
        <w:t>不同供应商的响应文件异常一致或者投标报价呈规律性差异；</w:t>
      </w:r>
    </w:p>
    <w:p>
      <w:pPr>
        <w:spacing w:line="336" w:lineRule="auto"/>
        <w:ind w:firstLine="482" w:firstLineChars="200"/>
        <w:rPr>
          <w:rFonts w:ascii="宋体" w:hAnsi="宋体" w:cs="宋体"/>
          <w:b/>
          <w:bCs/>
          <w:color w:val="auto"/>
          <w:sz w:val="24"/>
          <w:szCs w:val="24"/>
        </w:rPr>
      </w:pPr>
      <w:r>
        <w:rPr>
          <w:rFonts w:ascii="宋体" w:hAnsi="宋体" w:cs="宋体"/>
          <w:b/>
          <w:bCs/>
          <w:color w:val="auto"/>
          <w:sz w:val="24"/>
          <w:szCs w:val="24"/>
        </w:rPr>
        <w:t>16.16.5</w:t>
      </w:r>
      <w:r>
        <w:rPr>
          <w:rFonts w:hint="eastAsia" w:ascii="宋体" w:hAnsi="宋体" w:cs="宋体"/>
          <w:b/>
          <w:bCs/>
          <w:color w:val="auto"/>
          <w:sz w:val="24"/>
          <w:szCs w:val="24"/>
        </w:rPr>
        <w:t>不同供应商提供的响应文件出自同一终端设备的，或在相同</w:t>
      </w:r>
      <w:r>
        <w:rPr>
          <w:rFonts w:ascii="宋体" w:hAnsi="宋体" w:cs="宋体"/>
          <w:b/>
          <w:bCs/>
          <w:color w:val="auto"/>
          <w:sz w:val="24"/>
          <w:szCs w:val="24"/>
        </w:rPr>
        <w:t>Internet</w:t>
      </w:r>
      <w:r>
        <w:rPr>
          <w:rFonts w:hint="eastAsia" w:ascii="宋体" w:hAnsi="宋体" w:cs="宋体"/>
          <w:b/>
          <w:bCs/>
          <w:color w:val="auto"/>
          <w:sz w:val="24"/>
          <w:szCs w:val="24"/>
        </w:rPr>
        <w:t>主机分配地址（相同</w:t>
      </w:r>
      <w:r>
        <w:rPr>
          <w:rFonts w:ascii="宋体" w:hAnsi="宋体" w:cs="宋体"/>
          <w:b/>
          <w:bCs/>
          <w:color w:val="auto"/>
          <w:sz w:val="24"/>
          <w:szCs w:val="24"/>
        </w:rPr>
        <w:t>IP</w:t>
      </w:r>
      <w:r>
        <w:rPr>
          <w:rFonts w:hint="eastAsia" w:ascii="宋体" w:hAnsi="宋体" w:cs="宋体"/>
          <w:b/>
          <w:bCs/>
          <w:color w:val="auto"/>
          <w:sz w:val="24"/>
          <w:szCs w:val="24"/>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color w:val="auto"/>
          <w:sz w:val="24"/>
        </w:rPr>
      </w:pPr>
      <w:r>
        <w:rPr>
          <w:rFonts w:hint="eastAsia" w:ascii="宋体" w:hAnsi="宋体" w:cs="宋体"/>
          <w:b/>
          <w:bCs/>
          <w:color w:val="auto"/>
          <w:sz w:val="24"/>
          <w:szCs w:val="24"/>
        </w:rPr>
        <w:t>16.17</w:t>
      </w:r>
      <w:r>
        <w:rPr>
          <w:rFonts w:hint="eastAsia" w:ascii="宋体" w:hAnsi="宋体" w:cs="宋体"/>
          <w:b/>
          <w:color w:val="auto"/>
          <w:sz w:val="24"/>
        </w:rPr>
        <w:t>员工工资标准低于上虞区最低工资标准的；</w:t>
      </w:r>
    </w:p>
    <w:p>
      <w:pPr>
        <w:tabs>
          <w:tab w:val="left" w:pos="3870"/>
          <w:tab w:val="left" w:pos="4085"/>
        </w:tabs>
        <w:snapToGrid w:val="0"/>
        <w:spacing w:line="336" w:lineRule="auto"/>
        <w:ind w:firstLine="482" w:firstLineChars="200"/>
        <w:jc w:val="left"/>
        <w:rPr>
          <w:rFonts w:ascii="宋体" w:hAnsi="宋体" w:cs="宋体"/>
          <w:b/>
          <w:bCs/>
          <w:color w:val="auto"/>
          <w:sz w:val="24"/>
          <w:szCs w:val="24"/>
        </w:rPr>
      </w:pPr>
      <w:r>
        <w:rPr>
          <w:rFonts w:hint="eastAsia" w:ascii="宋体" w:hAnsi="宋体" w:cs="宋体"/>
          <w:b/>
          <w:bCs/>
          <w:color w:val="auto"/>
          <w:sz w:val="24"/>
          <w:szCs w:val="24"/>
        </w:rPr>
        <w:t>16.18 其他违反法律、法规的情形。</w:t>
      </w:r>
    </w:p>
    <w:p>
      <w:pPr>
        <w:pStyle w:val="2"/>
        <w:numPr>
          <w:ilvl w:val="0"/>
          <w:numId w:val="9"/>
        </w:numPr>
        <w:spacing w:line="336" w:lineRule="auto"/>
        <w:jc w:val="center"/>
        <w:rPr>
          <w:rFonts w:cs="Times New Roman"/>
          <w:color w:val="auto"/>
        </w:rPr>
      </w:pPr>
      <w:r>
        <w:rPr>
          <w:color w:val="auto"/>
        </w:rPr>
        <w:t xml:space="preserve"> </w:t>
      </w:r>
      <w:bookmarkStart w:id="61" w:name="_Toc21752"/>
      <w:bookmarkStart w:id="62" w:name="_Toc22342"/>
      <w:r>
        <w:rPr>
          <w:rFonts w:hint="eastAsia"/>
          <w:color w:val="auto"/>
        </w:rPr>
        <w:t>采购中止的情形</w:t>
      </w:r>
      <w:bookmarkEnd w:id="61"/>
      <w:bookmarkEnd w:id="62"/>
    </w:p>
    <w:p>
      <w:pPr>
        <w:pStyle w:val="12"/>
        <w:spacing w:line="336" w:lineRule="auto"/>
        <w:ind w:left="420" w:leftChars="200"/>
        <w:rPr>
          <w:rFonts w:hAnsi="宋体" w:cs="Times New Roman"/>
          <w:b/>
          <w:bCs/>
          <w:color w:val="auto"/>
          <w:sz w:val="24"/>
          <w:szCs w:val="24"/>
        </w:rPr>
      </w:pPr>
      <w:r>
        <w:rPr>
          <w:rFonts w:hAnsi="宋体"/>
          <w:b/>
          <w:bCs/>
          <w:color w:val="auto"/>
          <w:sz w:val="24"/>
          <w:szCs w:val="24"/>
        </w:rPr>
        <w:t>17</w:t>
      </w:r>
      <w:r>
        <w:rPr>
          <w:rFonts w:hint="eastAsia" w:hAnsi="宋体"/>
          <w:b/>
          <w:bCs/>
          <w:color w:val="auto"/>
          <w:sz w:val="24"/>
          <w:szCs w:val="24"/>
        </w:rPr>
        <w:t>、</w:t>
      </w:r>
      <w:r>
        <w:rPr>
          <w:rFonts w:hint="eastAsia" w:hAnsi="宋体"/>
          <w:b/>
          <w:bCs/>
          <w:color w:val="auto"/>
          <w:sz w:val="24"/>
          <w:szCs w:val="24"/>
          <w:lang w:val="zh-CN"/>
        </w:rPr>
        <w:t>中止电子交易活动和</w:t>
      </w:r>
      <w:r>
        <w:rPr>
          <w:rFonts w:hint="eastAsia" w:hAnsi="宋体"/>
          <w:b/>
          <w:bCs/>
          <w:color w:val="auto"/>
          <w:sz w:val="24"/>
          <w:szCs w:val="24"/>
        </w:rPr>
        <w:t>重新组织采购</w:t>
      </w:r>
    </w:p>
    <w:p>
      <w:pPr>
        <w:pStyle w:val="47"/>
        <w:tabs>
          <w:tab w:val="left" w:pos="0"/>
        </w:tabs>
        <w:spacing w:before="0" w:line="336" w:lineRule="auto"/>
        <w:ind w:left="420" w:leftChars="200" w:firstLine="0" w:firstLineChars="0"/>
        <w:rPr>
          <w:rFonts w:ascii="宋体"/>
          <w:color w:val="auto"/>
          <w:lang w:val="zh-CN"/>
        </w:rPr>
      </w:pPr>
      <w:r>
        <w:rPr>
          <w:rFonts w:ascii="宋体" w:hAnsi="宋体" w:cs="宋体"/>
          <w:color w:val="auto"/>
        </w:rPr>
        <w:t>17.1</w:t>
      </w:r>
      <w:r>
        <w:rPr>
          <w:rFonts w:hint="eastAsia" w:ascii="宋体" w:hAnsi="宋体" w:cs="宋体"/>
          <w:color w:val="auto"/>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电子交易平台发生故障而无法登录访问的；</w:t>
      </w:r>
      <w:r>
        <w:rPr>
          <w:rFonts w:ascii="宋体" w:hAnsi="宋体" w:cs="宋体"/>
          <w:color w:val="auto"/>
          <w:sz w:val="24"/>
          <w:szCs w:val="24"/>
        </w:rPr>
        <w:t xml:space="preserve"> </w:t>
      </w:r>
    </w:p>
    <w:p>
      <w:pPr>
        <w:numPr>
          <w:ilvl w:val="0"/>
          <w:numId w:val="15"/>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电子交易平台应用或数据库出现错误，不能进行正常操作的；</w:t>
      </w:r>
    </w:p>
    <w:p>
      <w:pPr>
        <w:numPr>
          <w:ilvl w:val="0"/>
          <w:numId w:val="15"/>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电子交易平台发现严重安全漏洞，有潜在泄密危险的；</w:t>
      </w:r>
    </w:p>
    <w:p>
      <w:pPr>
        <w:numPr>
          <w:ilvl w:val="0"/>
          <w:numId w:val="15"/>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病毒发作导致不能进行正常操作的；</w:t>
      </w:r>
      <w:r>
        <w:rPr>
          <w:rFonts w:ascii="宋体" w:hAnsi="宋体" w:cs="宋体"/>
          <w:color w:val="auto"/>
          <w:sz w:val="24"/>
          <w:szCs w:val="24"/>
        </w:rPr>
        <w:t xml:space="preserve"> </w:t>
      </w:r>
    </w:p>
    <w:p>
      <w:pPr>
        <w:numPr>
          <w:ilvl w:val="0"/>
          <w:numId w:val="15"/>
        </w:numPr>
        <w:tabs>
          <w:tab w:val="left" w:pos="0"/>
        </w:tabs>
        <w:spacing w:line="336" w:lineRule="auto"/>
        <w:ind w:firstLine="480" w:firstLineChars="200"/>
        <w:rPr>
          <w:rFonts w:ascii="宋体"/>
          <w:color w:val="auto"/>
          <w:sz w:val="24"/>
          <w:szCs w:val="24"/>
        </w:rPr>
      </w:pPr>
      <w:r>
        <w:rPr>
          <w:rFonts w:hint="eastAsia" w:ascii="宋体" w:hAnsi="宋体" w:cs="宋体"/>
          <w:color w:val="auto"/>
          <w:sz w:val="24"/>
          <w:szCs w:val="24"/>
        </w:rPr>
        <w:t>其他无法保证电子交易的公平、公正和安全的情况。</w:t>
      </w:r>
    </w:p>
    <w:p>
      <w:pPr>
        <w:pStyle w:val="47"/>
        <w:tabs>
          <w:tab w:val="left" w:pos="0"/>
        </w:tabs>
        <w:spacing w:before="0" w:line="336" w:lineRule="auto"/>
        <w:ind w:firstLine="480"/>
        <w:rPr>
          <w:rFonts w:ascii="宋体"/>
          <w:color w:val="auto"/>
        </w:rPr>
      </w:pPr>
      <w:r>
        <w:rPr>
          <w:rFonts w:ascii="宋体" w:hAnsi="宋体" w:cs="宋体"/>
          <w:color w:val="auto"/>
        </w:rPr>
        <w:t>17.2</w:t>
      </w:r>
      <w:r>
        <w:rPr>
          <w:rFonts w:hint="eastAsia" w:ascii="宋体" w:hAnsi="宋体" w:cs="宋体"/>
          <w:color w:val="auto"/>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numPr>
          <w:ilvl w:val="0"/>
          <w:numId w:val="9"/>
        </w:numPr>
        <w:spacing w:line="336" w:lineRule="auto"/>
        <w:jc w:val="center"/>
        <w:rPr>
          <w:rFonts w:cs="Times New Roman"/>
          <w:color w:val="auto"/>
        </w:rPr>
      </w:pPr>
      <w:r>
        <w:rPr>
          <w:color w:val="auto"/>
        </w:rPr>
        <w:t xml:space="preserve"> </w:t>
      </w:r>
      <w:bookmarkStart w:id="63" w:name="_Toc14029"/>
      <w:bookmarkStart w:id="64" w:name="_Toc13903"/>
      <w:r>
        <w:rPr>
          <w:rFonts w:hint="eastAsia"/>
          <w:color w:val="auto"/>
        </w:rPr>
        <w:t>确定成交供应商与签订合同</w:t>
      </w:r>
      <w:bookmarkEnd w:id="63"/>
      <w:bookmarkEnd w:id="64"/>
    </w:p>
    <w:p>
      <w:pPr>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18</w:t>
      </w:r>
      <w:r>
        <w:rPr>
          <w:rFonts w:hint="eastAsia" w:ascii="宋体" w:hAnsi="宋体" w:cs="宋体"/>
          <w:b/>
          <w:bCs/>
          <w:color w:val="auto"/>
          <w:sz w:val="24"/>
          <w:szCs w:val="24"/>
        </w:rPr>
        <w:t>、推荐成交候选供应商</w:t>
      </w:r>
    </w:p>
    <w:p>
      <w:pPr>
        <w:snapToGrid w:val="0"/>
        <w:spacing w:line="336" w:lineRule="auto"/>
        <w:ind w:firstLine="480" w:firstLineChars="200"/>
        <w:rPr>
          <w:rFonts w:ascii="宋体"/>
          <w:color w:val="auto"/>
          <w:sz w:val="24"/>
          <w:szCs w:val="24"/>
        </w:rPr>
      </w:pPr>
      <w:r>
        <w:rPr>
          <w:rFonts w:ascii="宋体" w:hAnsi="宋体" w:cs="宋体"/>
          <w:color w:val="auto"/>
          <w:sz w:val="24"/>
          <w:szCs w:val="24"/>
        </w:rPr>
        <w:t xml:space="preserve">18.1 </w:t>
      </w:r>
      <w:r>
        <w:rPr>
          <w:rFonts w:hint="eastAsia" w:ascii="宋体" w:hAnsi="宋体" w:cs="宋体"/>
          <w:color w:val="auto"/>
          <w:sz w:val="24"/>
          <w:szCs w:val="24"/>
        </w:rPr>
        <w:t>磋商小组应当根据综合评分情况，按照评审得分由高到低顺序推荐</w:t>
      </w:r>
      <w:r>
        <w:rPr>
          <w:rFonts w:ascii="宋体" w:hAnsi="宋体" w:cs="宋体"/>
          <w:color w:val="auto"/>
          <w:sz w:val="24"/>
          <w:szCs w:val="24"/>
        </w:rPr>
        <w:t>1</w:t>
      </w:r>
      <w:r>
        <w:rPr>
          <w:rFonts w:hint="eastAsia" w:ascii="宋体" w:hAnsi="宋体" w:cs="宋体"/>
          <w:color w:val="auto"/>
          <w:sz w:val="24"/>
          <w:szCs w:val="24"/>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rPr>
      </w:pPr>
      <w:r>
        <w:rPr>
          <w:rFonts w:ascii="宋体" w:hAnsi="宋体" w:cs="宋体"/>
          <w:color w:val="auto"/>
          <w:sz w:val="24"/>
          <w:szCs w:val="24"/>
        </w:rPr>
        <w:t xml:space="preserve">18.2 </w:t>
      </w:r>
      <w:r>
        <w:rPr>
          <w:rFonts w:hint="eastAsia" w:ascii="宋体" w:hAnsi="宋体" w:cs="宋体"/>
          <w:color w:val="auto"/>
          <w:sz w:val="24"/>
          <w:szCs w:val="24"/>
        </w:rPr>
        <w:t>采购代理机构应当在评审结束后</w:t>
      </w:r>
      <w:r>
        <w:rPr>
          <w:rFonts w:ascii="宋体" w:hAnsi="宋体" w:cs="宋体"/>
          <w:color w:val="auto"/>
          <w:sz w:val="24"/>
          <w:szCs w:val="24"/>
        </w:rPr>
        <w:t>2</w:t>
      </w:r>
      <w:r>
        <w:rPr>
          <w:rFonts w:hint="eastAsia" w:ascii="宋体" w:hAnsi="宋体" w:cs="宋体"/>
          <w:color w:val="auto"/>
          <w:sz w:val="24"/>
          <w:szCs w:val="24"/>
        </w:rPr>
        <w:t>个工作日内将评审报告送采购人确认。</w:t>
      </w:r>
    </w:p>
    <w:p>
      <w:pPr>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19</w:t>
      </w:r>
      <w:r>
        <w:rPr>
          <w:rFonts w:hint="eastAsia" w:ascii="宋体" w:hAnsi="宋体" w:cs="宋体"/>
          <w:b/>
          <w:bCs/>
          <w:color w:val="auto"/>
          <w:sz w:val="24"/>
          <w:szCs w:val="24"/>
        </w:rPr>
        <w:t>、确定成交供应商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19.1</w:t>
      </w:r>
      <w:r>
        <w:rPr>
          <w:rFonts w:hint="eastAsia" w:ascii="宋体" w:hAnsi="宋体" w:cs="宋体"/>
          <w:color w:val="auto"/>
          <w:sz w:val="24"/>
          <w:szCs w:val="24"/>
        </w:rPr>
        <w:t>采购人应当在收到评审报告后</w:t>
      </w:r>
      <w:r>
        <w:rPr>
          <w:rFonts w:ascii="宋体" w:hAnsi="宋体" w:cs="宋体"/>
          <w:color w:val="auto"/>
          <w:sz w:val="24"/>
          <w:szCs w:val="24"/>
        </w:rPr>
        <w:t>5</w:t>
      </w:r>
      <w:r>
        <w:rPr>
          <w:rFonts w:hint="eastAsia" w:ascii="宋体" w:hAnsi="宋体" w:cs="宋体"/>
          <w:color w:val="auto"/>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rPr>
      </w:pPr>
      <w:r>
        <w:rPr>
          <w:rFonts w:ascii="宋体" w:hAnsi="宋体" w:cs="宋体"/>
          <w:color w:val="auto"/>
          <w:sz w:val="24"/>
          <w:szCs w:val="24"/>
        </w:rPr>
        <w:t>19.2</w:t>
      </w:r>
      <w:r>
        <w:rPr>
          <w:rFonts w:hint="eastAsia" w:ascii="宋体" w:hAnsi="宋体" w:cs="宋体"/>
          <w:color w:val="auto"/>
          <w:sz w:val="24"/>
          <w:szCs w:val="24"/>
        </w:rPr>
        <w:t>采购人或者采购代理机构应当在成交供应商确定后</w:t>
      </w:r>
      <w:r>
        <w:rPr>
          <w:rFonts w:ascii="宋体" w:hAnsi="宋体" w:cs="宋体"/>
          <w:color w:val="auto"/>
          <w:sz w:val="24"/>
          <w:szCs w:val="24"/>
        </w:rPr>
        <w:t>2</w:t>
      </w:r>
      <w:r>
        <w:rPr>
          <w:rFonts w:hint="eastAsia" w:ascii="宋体" w:hAnsi="宋体" w:cs="宋体"/>
          <w:color w:val="auto"/>
          <w:sz w:val="24"/>
          <w:szCs w:val="24"/>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rPr>
      </w:pPr>
      <w:r>
        <w:rPr>
          <w:rFonts w:ascii="宋体" w:hAnsi="宋体" w:cs="宋体"/>
          <w:b/>
          <w:bCs/>
          <w:color w:val="auto"/>
          <w:sz w:val="24"/>
          <w:szCs w:val="24"/>
        </w:rPr>
        <w:t>20</w:t>
      </w:r>
      <w:r>
        <w:rPr>
          <w:rFonts w:hint="eastAsia" w:ascii="宋体" w:hAnsi="宋体" w:cs="宋体"/>
          <w:b/>
          <w:bCs/>
          <w:color w:val="auto"/>
          <w:sz w:val="24"/>
          <w:szCs w:val="24"/>
        </w:rPr>
        <w:t>、签订合同</w:t>
      </w:r>
    </w:p>
    <w:p>
      <w:pPr>
        <w:pStyle w:val="47"/>
        <w:snapToGrid w:val="0"/>
        <w:spacing w:before="0" w:line="336" w:lineRule="auto"/>
        <w:ind w:firstLine="480"/>
        <w:rPr>
          <w:rFonts w:ascii="宋体"/>
          <w:color w:val="auto"/>
        </w:rPr>
      </w:pPr>
      <w:r>
        <w:rPr>
          <w:rFonts w:ascii="宋体" w:hAnsi="宋体" w:cs="宋体"/>
          <w:color w:val="auto"/>
        </w:rPr>
        <w:t xml:space="preserve">20.1. </w:t>
      </w:r>
      <w:r>
        <w:rPr>
          <w:rFonts w:hint="eastAsia" w:ascii="宋体" w:hAnsi="宋体" w:cs="宋体"/>
          <w:color w:val="auto"/>
        </w:rPr>
        <w:t>采购人与成交供应商应当在成交通知书发出之日起</w:t>
      </w:r>
      <w:r>
        <w:rPr>
          <w:rFonts w:ascii="宋体" w:hAnsi="宋体" w:cs="宋体"/>
          <w:color w:val="auto"/>
        </w:rPr>
        <w:t>30</w:t>
      </w:r>
      <w:r>
        <w:rPr>
          <w:rFonts w:hint="eastAsia" w:ascii="宋体" w:hAnsi="宋体" w:cs="宋体"/>
          <w:color w:val="auto"/>
        </w:rPr>
        <w:t>日内，按照磋商文件确定的合同文本以及采购标的、规格型号、采购金额、采购数量、技术和服务要求等事项签订政府采购合同。</w:t>
      </w:r>
    </w:p>
    <w:p>
      <w:pPr>
        <w:pStyle w:val="47"/>
        <w:snapToGrid w:val="0"/>
        <w:spacing w:before="0" w:line="336" w:lineRule="auto"/>
        <w:ind w:firstLine="480"/>
        <w:rPr>
          <w:rFonts w:ascii="宋体"/>
          <w:color w:val="auto"/>
        </w:rPr>
      </w:pPr>
      <w:r>
        <w:rPr>
          <w:rFonts w:ascii="宋体" w:hAnsi="宋体" w:cs="宋体"/>
          <w:color w:val="auto"/>
        </w:rPr>
        <w:t xml:space="preserve">20.2. </w:t>
      </w:r>
      <w:r>
        <w:rPr>
          <w:rFonts w:hint="eastAsia" w:ascii="宋体" w:hAnsi="宋体" w:cs="宋体"/>
          <w:color w:val="auto"/>
        </w:rPr>
        <w:t>成交供应商拒绝签订政府采购合同的，采购人可以按照《政府采购竞争性磋商采购方式管理暂行办法》（财库〔</w:t>
      </w:r>
      <w:r>
        <w:rPr>
          <w:rFonts w:ascii="宋体" w:hAnsi="宋体" w:cs="宋体"/>
          <w:color w:val="auto"/>
        </w:rPr>
        <w:t>2014</w:t>
      </w:r>
      <w:r>
        <w:rPr>
          <w:rFonts w:hint="eastAsia" w:ascii="宋体" w:hAnsi="宋体" w:cs="宋体"/>
          <w:color w:val="auto"/>
        </w:rPr>
        <w:t>〕</w:t>
      </w:r>
      <w:r>
        <w:rPr>
          <w:rFonts w:ascii="宋体" w:hAnsi="宋体" w:cs="宋体"/>
          <w:color w:val="auto"/>
        </w:rPr>
        <w:t>214</w:t>
      </w:r>
      <w:r>
        <w:rPr>
          <w:rFonts w:hint="eastAsia" w:ascii="宋体" w:hAnsi="宋体" w:cs="宋体"/>
          <w:color w:val="auto"/>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rPr>
      </w:pPr>
      <w:r>
        <w:rPr>
          <w:rFonts w:ascii="宋体" w:hAnsi="宋体" w:cs="宋体"/>
          <w:b/>
          <w:bCs/>
          <w:color w:val="auto"/>
          <w:sz w:val="24"/>
          <w:szCs w:val="24"/>
        </w:rPr>
        <w:t>21</w:t>
      </w:r>
      <w:r>
        <w:rPr>
          <w:rFonts w:hint="eastAsia" w:ascii="宋体" w:hAnsi="宋体" w:cs="宋体"/>
          <w:b/>
          <w:bCs/>
          <w:color w:val="auto"/>
          <w:sz w:val="24"/>
          <w:szCs w:val="24"/>
        </w:rPr>
        <w:t>、解释权</w:t>
      </w:r>
    </w:p>
    <w:p>
      <w:pPr>
        <w:adjustRightInd w:val="0"/>
        <w:spacing w:line="336" w:lineRule="auto"/>
        <w:ind w:firstLine="480" w:firstLineChars="200"/>
        <w:rPr>
          <w:rFonts w:ascii="宋体"/>
          <w:color w:val="auto"/>
          <w:sz w:val="24"/>
          <w:szCs w:val="24"/>
        </w:rPr>
      </w:pPr>
      <w:r>
        <w:rPr>
          <w:rFonts w:hint="eastAsia" w:ascii="宋体" w:hAnsi="宋体" w:cs="宋体"/>
          <w:color w:val="auto"/>
          <w:sz w:val="24"/>
          <w:szCs w:val="24"/>
        </w:rPr>
        <w:t>磋商文件的解释权均属于</w:t>
      </w:r>
      <w:r>
        <w:rPr>
          <w:rFonts w:hint="eastAsia" w:ascii="宋体" w:hAnsi="宋体" w:cs="宋体"/>
          <w:color w:val="auto"/>
          <w:sz w:val="24"/>
          <w:szCs w:val="24"/>
          <w:u w:val="single"/>
          <w:lang w:eastAsia="zh-CN"/>
        </w:rPr>
        <w:t>绍兴市上虞区道墟街道办事处</w:t>
      </w:r>
      <w:r>
        <w:rPr>
          <w:rFonts w:hint="eastAsia" w:ascii="宋体" w:hAnsi="宋体" w:cs="宋体"/>
          <w:color w:val="auto"/>
          <w:sz w:val="24"/>
          <w:szCs w:val="24"/>
        </w:rPr>
        <w:t>和</w:t>
      </w:r>
      <w:r>
        <w:rPr>
          <w:rFonts w:ascii="宋体" w:hAnsi="宋体" w:cs="宋体"/>
          <w:color w:val="auto"/>
          <w:sz w:val="24"/>
          <w:szCs w:val="24"/>
          <w:u w:val="single"/>
        </w:rPr>
        <w:t xml:space="preserve"> </w:t>
      </w:r>
      <w:r>
        <w:rPr>
          <w:rFonts w:hint="eastAsia" w:ascii="宋体" w:hAnsi="宋体" w:cs="宋体"/>
          <w:color w:val="auto"/>
          <w:sz w:val="24"/>
          <w:szCs w:val="24"/>
          <w:u w:val="single"/>
          <w:lang w:eastAsia="zh-CN"/>
        </w:rPr>
        <w:t>浙江新诚信工程咨询有限公司</w:t>
      </w:r>
      <w:r>
        <w:rPr>
          <w:rFonts w:ascii="宋体" w:hAnsi="宋体" w:cs="宋体"/>
          <w:color w:val="auto"/>
          <w:sz w:val="24"/>
          <w:szCs w:val="24"/>
          <w:u w:val="single"/>
        </w:rPr>
        <w:t xml:space="preserve"> </w:t>
      </w:r>
      <w:r>
        <w:rPr>
          <w:rFonts w:hint="eastAsia" w:ascii="宋体" w:hAnsi="宋体" w:cs="宋体"/>
          <w:color w:val="auto"/>
          <w:sz w:val="24"/>
          <w:szCs w:val="24"/>
        </w:rPr>
        <w:t>。</w:t>
      </w:r>
    </w:p>
    <w:p>
      <w:pPr>
        <w:pStyle w:val="10"/>
        <w:rPr>
          <w:rFonts w:cs="Times New Roman"/>
          <w:color w:val="auto"/>
        </w:rPr>
      </w:pPr>
    </w:p>
    <w:p>
      <w:pPr>
        <w:pStyle w:val="4"/>
        <w:numPr>
          <w:ilvl w:val="0"/>
          <w:numId w:val="16"/>
        </w:numPr>
        <w:jc w:val="center"/>
        <w:rPr>
          <w:rFonts w:hint="eastAsia"/>
          <w:color w:val="auto"/>
          <w:sz w:val="28"/>
          <w:szCs w:val="28"/>
          <w:lang w:eastAsia="zh-CN"/>
        </w:rPr>
      </w:pPr>
      <w:r>
        <w:rPr>
          <w:color w:val="auto"/>
          <w:sz w:val="36"/>
          <w:szCs w:val="36"/>
        </w:rPr>
        <w:br w:type="page"/>
      </w:r>
      <w:bookmarkStart w:id="65" w:name="_Toc28969"/>
      <w:bookmarkStart w:id="66" w:name="_Toc21248"/>
      <w:r>
        <w:rPr>
          <w:rFonts w:hint="eastAsia" w:cs="宋体"/>
          <w:color w:val="auto"/>
          <w:sz w:val="36"/>
          <w:szCs w:val="36"/>
        </w:rPr>
        <w:t>采购</w:t>
      </w:r>
      <w:bookmarkEnd w:id="65"/>
      <w:bookmarkEnd w:id="66"/>
      <w:r>
        <w:rPr>
          <w:rFonts w:hint="eastAsia" w:cs="宋体"/>
          <w:color w:val="auto"/>
          <w:sz w:val="36"/>
          <w:szCs w:val="36"/>
          <w:lang w:eastAsia="zh-CN"/>
        </w:rPr>
        <w:t>内容及要求</w:t>
      </w:r>
    </w:p>
    <w:p>
      <w:pPr>
        <w:numPr>
          <w:ilvl w:val="0"/>
          <w:numId w:val="0"/>
        </w:numPr>
        <w:jc w:val="center"/>
        <w:rPr>
          <w:rFonts w:hint="default" w:eastAsia="宋体"/>
          <w:color w:val="auto"/>
          <w:sz w:val="28"/>
          <w:szCs w:val="28"/>
          <w:lang w:val="en-US" w:eastAsia="zh-CN"/>
        </w:rPr>
      </w:pPr>
      <w:r>
        <w:rPr>
          <w:rFonts w:hint="eastAsia"/>
          <w:color w:val="auto"/>
          <w:sz w:val="28"/>
          <w:szCs w:val="28"/>
          <w:lang w:eastAsia="zh-CN"/>
        </w:rPr>
        <w:t>第一章</w:t>
      </w:r>
      <w:r>
        <w:rPr>
          <w:rFonts w:hint="eastAsia"/>
          <w:color w:val="auto"/>
          <w:sz w:val="28"/>
          <w:szCs w:val="28"/>
          <w:lang w:val="en-US" w:eastAsia="zh-CN"/>
        </w:rPr>
        <w:t xml:space="preserve">  采购内容及要求</w:t>
      </w:r>
    </w:p>
    <w:p>
      <w:pPr>
        <w:spacing w:line="336" w:lineRule="auto"/>
        <w:ind w:firstLine="562" w:firstLineChars="200"/>
        <w:rPr>
          <w:rFonts w:hint="eastAsia" w:ascii="Times New Roman" w:hAnsi="Times New Roman" w:eastAsia="宋体" w:cs="Times New Roman"/>
          <w:b/>
          <w:bCs/>
          <w:color w:val="auto"/>
          <w:sz w:val="28"/>
          <w:szCs w:val="36"/>
          <w:lang w:eastAsia="zh-CN"/>
        </w:rPr>
      </w:pPr>
      <w:bookmarkStart w:id="67" w:name="_Toc15284"/>
      <w:r>
        <w:rPr>
          <w:rFonts w:hint="eastAsia" w:ascii="宋体" w:hAnsi="宋体" w:cs="宋体"/>
          <w:b/>
          <w:bCs/>
          <w:color w:val="auto"/>
          <w:sz w:val="28"/>
          <w:szCs w:val="28"/>
          <w:lang w:eastAsia="zh-CN"/>
        </w:rPr>
        <w:t>一、</w:t>
      </w:r>
      <w:r>
        <w:rPr>
          <w:rFonts w:hint="eastAsia" w:ascii="宋体" w:hAnsi="宋体" w:cs="宋体"/>
          <w:b/>
          <w:bCs/>
          <w:color w:val="auto"/>
          <w:sz w:val="28"/>
          <w:szCs w:val="28"/>
        </w:rPr>
        <w:t>项目概况</w:t>
      </w:r>
      <w:r>
        <w:rPr>
          <w:rFonts w:hint="eastAsia" w:ascii="宋体" w:hAnsi="宋体" w:cs="宋体"/>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rPr>
      </w:pPr>
      <w:r>
        <w:rPr>
          <w:rFonts w:hint="eastAsia" w:ascii="Times New Roman" w:cs="Times New Roman" w:hAnsiTheme="minorEastAsia"/>
          <w:color w:val="auto"/>
          <w:sz w:val="24"/>
          <w:szCs w:val="32"/>
        </w:rPr>
        <w:t>为了贯彻落实</w:t>
      </w:r>
      <w:r>
        <w:rPr>
          <w:rFonts w:ascii="Times New Roman" w:cs="Times New Roman" w:hAnsiTheme="minorEastAsia"/>
          <w:color w:val="auto"/>
          <w:sz w:val="24"/>
          <w:szCs w:val="32"/>
        </w:rPr>
        <w:t>《中华人民共和国土壤污染防治法》</w:t>
      </w:r>
      <w:r>
        <w:rPr>
          <w:rFonts w:hint="eastAsia" w:cs="Times New Roman" w:hAnsiTheme="minorEastAsia"/>
          <w:color w:val="auto"/>
          <w:sz w:val="24"/>
          <w:szCs w:val="32"/>
          <w:lang w:eastAsia="zh-CN"/>
        </w:rPr>
        <w:t>、</w:t>
      </w:r>
      <w:r>
        <w:rPr>
          <w:rFonts w:ascii="Times New Roman" w:cs="Times New Roman" w:hAnsiTheme="minorEastAsia"/>
          <w:color w:val="auto"/>
          <w:sz w:val="24"/>
          <w:szCs w:val="32"/>
        </w:rPr>
        <w:t>《浙江省地下水污染防治实施方案》等法规文件精神，</w:t>
      </w:r>
      <w:r>
        <w:rPr>
          <w:rFonts w:hint="eastAsia" w:ascii="Times New Roman" w:cs="Times New Roman" w:hAnsiTheme="minorEastAsia"/>
          <w:color w:val="auto"/>
          <w:sz w:val="24"/>
          <w:szCs w:val="32"/>
        </w:rPr>
        <w:t>根据《浙江省</w:t>
      </w:r>
      <w:r>
        <w:rPr>
          <w:rFonts w:ascii="Times New Roman" w:cs="Times New Roman" w:hAnsiTheme="minorEastAsia"/>
          <w:color w:val="auto"/>
          <w:sz w:val="24"/>
          <w:szCs w:val="32"/>
        </w:rPr>
        <w:t>土壤、地下水和农业农村污染防治</w:t>
      </w:r>
      <w:r>
        <w:rPr>
          <w:rFonts w:hint="eastAsia" w:ascii="Times New Roman" w:cs="Times New Roman" w:hAnsiTheme="minorEastAsia"/>
          <w:color w:val="auto"/>
          <w:sz w:val="24"/>
          <w:szCs w:val="32"/>
        </w:rPr>
        <w:t>2021年工作计划》相关要求，绍兴市上虞区道墟镇工业集聚区需开展沿江沿河重点工业园区地下水污染扩散排查，查明地下水污染向地表水扩散状况。</w:t>
      </w:r>
    </w:p>
    <w:p>
      <w:pPr>
        <w:pStyle w:val="2"/>
        <w:ind w:firstLine="281" w:firstLineChars="100"/>
        <w:rPr>
          <w:color w:val="auto"/>
          <w:sz w:val="32"/>
          <w:szCs w:val="32"/>
        </w:rPr>
      </w:pPr>
      <w:r>
        <w:rPr>
          <w:rFonts w:hint="eastAsia" w:ascii="Times New Roman" w:cs="Times New Roman" w:hAnsiTheme="minorEastAsia"/>
          <w:b/>
          <w:bCs/>
          <w:color w:val="auto"/>
          <w:sz w:val="28"/>
          <w:szCs w:val="36"/>
          <w:lang w:eastAsia="zh-CN"/>
        </w:rPr>
        <w:t>二</w:t>
      </w:r>
      <w:r>
        <w:rPr>
          <w:rFonts w:ascii="Times New Roman" w:cs="Times New Roman" w:hAnsiTheme="minorEastAsia"/>
          <w:b/>
          <w:bCs/>
          <w:color w:val="auto"/>
          <w:sz w:val="28"/>
          <w:szCs w:val="36"/>
        </w:rPr>
        <w:t>、服务内容：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ascii="Times New Roman" w:cs="Times New Roman" w:hAnsiTheme="minorEastAsia"/>
          <w:color w:val="auto"/>
          <w:sz w:val="24"/>
          <w:szCs w:val="32"/>
        </w:rPr>
        <w:t>开展的具体工作如下：</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ascii="Times New Roman" w:cs="Times New Roman" w:hAnsiTheme="minorEastAsia"/>
          <w:color w:val="auto"/>
          <w:sz w:val="24"/>
          <w:szCs w:val="32"/>
        </w:rPr>
        <w:t>收集资料、现场踏勘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cs="Times New Roman" w:hAnsiTheme="minorEastAsia"/>
          <w:color w:val="auto"/>
          <w:sz w:val="24"/>
          <w:szCs w:val="32"/>
          <w:lang w:eastAsia="zh-CN"/>
        </w:rPr>
      </w:pPr>
      <w:r>
        <w:rPr>
          <w:rFonts w:hint="eastAsia" w:hAnsi="宋体"/>
          <w:color w:val="auto"/>
          <w:sz w:val="24"/>
          <w:szCs w:val="24"/>
        </w:rPr>
        <w:t>（1）</w:t>
      </w:r>
      <w:r>
        <w:rPr>
          <w:rFonts w:hint="eastAsia" w:ascii="Times New Roman" w:cs="Times New Roman" w:hAnsiTheme="minorEastAsia"/>
          <w:color w:val="auto"/>
          <w:sz w:val="24"/>
          <w:szCs w:val="32"/>
        </w:rPr>
        <w:t>收集园区基础资料、产排污资料、地下水相关监测资料和辅助资料（企业地下水环境污染事故记录、企业责令改正地下水违法行为决定书等），了解园区企业分布和企业工艺流程及产污环节、园区地质及水文地质条件、地下水和地表水历史水质等</w:t>
      </w:r>
      <w:r>
        <w:rPr>
          <w:rFonts w:hint="eastAsia" w:cs="Times New Roman" w:hAnsiTheme="minor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cs="Times New Roman" w:hAnsiTheme="minorEastAsia"/>
          <w:color w:val="auto"/>
          <w:sz w:val="24"/>
          <w:szCs w:val="32"/>
          <w:lang w:eastAsia="zh-CN"/>
        </w:rPr>
      </w:pPr>
      <w:r>
        <w:rPr>
          <w:rFonts w:hint="eastAsia" w:hAnsi="宋体"/>
          <w:color w:val="auto"/>
          <w:sz w:val="24"/>
          <w:szCs w:val="24"/>
        </w:rPr>
        <w:t>（2）</w:t>
      </w:r>
      <w:r>
        <w:rPr>
          <w:rFonts w:hint="eastAsia" w:ascii="Times New Roman" w:cs="Times New Roman" w:hAnsiTheme="minorEastAsia"/>
          <w:color w:val="auto"/>
          <w:sz w:val="24"/>
          <w:szCs w:val="32"/>
        </w:rPr>
        <w:t>在此基础上开展现场踏勘，现场识别关注区域和地表水体信息等，核实相关数据，访谈园区及企业工作人员</w:t>
      </w:r>
      <w:r>
        <w:rPr>
          <w:rFonts w:hint="eastAsia" w:cs="Times New Roman" w:hAnsiTheme="minorEastAsia"/>
          <w:color w:val="auto"/>
          <w:sz w:val="24"/>
          <w:szCs w:val="32"/>
          <w:lang w:eastAsia="zh-CN"/>
        </w:rPr>
        <w:t>。</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ascii="Times New Roman" w:cs="Times New Roman" w:hAnsiTheme="minorEastAsia"/>
          <w:color w:val="auto"/>
          <w:sz w:val="24"/>
          <w:szCs w:val="32"/>
        </w:rPr>
        <w:t>方案编制、建井采样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hAnsi="宋体"/>
          <w:color w:val="auto"/>
          <w:sz w:val="24"/>
          <w:szCs w:val="24"/>
        </w:rPr>
        <w:t>（1）</w:t>
      </w:r>
      <w:r>
        <w:rPr>
          <w:rFonts w:hint="eastAsia" w:ascii="Times New Roman" w:cs="Times New Roman" w:hAnsiTheme="minorEastAsia"/>
          <w:color w:val="auto"/>
          <w:sz w:val="24"/>
          <w:szCs w:val="32"/>
        </w:rPr>
        <w:t>根据地勘报告及上述现场调查结果，分析汇总园区土壤及地下水重点污染源分布及特征污染物，开展采样布点方案制定、监测指标筛选与确定，最终编制形成《道墟镇工业集聚区地下水污染扩散排查方案》，并通过生态环境部门组织的专家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hAnsi="宋体"/>
          <w:color w:val="auto"/>
          <w:sz w:val="24"/>
          <w:szCs w:val="24"/>
        </w:rPr>
        <w:t>（2）</w:t>
      </w:r>
      <w:r>
        <w:rPr>
          <w:rFonts w:hint="eastAsia" w:ascii="Times New Roman" w:cs="Times New Roman" w:hAnsiTheme="minorEastAsia"/>
          <w:color w:val="auto"/>
          <w:sz w:val="24"/>
          <w:szCs w:val="32"/>
        </w:rPr>
        <w:t>地表水和地下水</w:t>
      </w:r>
      <w:r>
        <w:rPr>
          <w:rFonts w:ascii="Times New Roman" w:cs="Times New Roman" w:hAnsiTheme="minorEastAsia"/>
          <w:color w:val="auto"/>
          <w:sz w:val="24"/>
          <w:szCs w:val="32"/>
        </w:rPr>
        <w:t>样品</w:t>
      </w:r>
      <w:r>
        <w:rPr>
          <w:rFonts w:hint="eastAsia" w:ascii="Times New Roman" w:cs="Times New Roman" w:hAnsiTheme="minorEastAsia"/>
          <w:color w:val="auto"/>
          <w:sz w:val="24"/>
          <w:szCs w:val="32"/>
        </w:rPr>
        <w:t>采集</w:t>
      </w:r>
      <w:r>
        <w:rPr>
          <w:rFonts w:ascii="Times New Roman" w:cs="Times New Roman" w:hAnsiTheme="minorEastAsia"/>
          <w:color w:val="auto"/>
          <w:sz w:val="24"/>
          <w:szCs w:val="32"/>
        </w:rPr>
        <w:t>分析测试：</w:t>
      </w:r>
      <w:r>
        <w:rPr>
          <w:rFonts w:hint="eastAsia" w:ascii="Times New Roman" w:cs="Times New Roman" w:hAnsiTheme="minorEastAsia"/>
          <w:color w:val="auto"/>
          <w:sz w:val="24"/>
          <w:szCs w:val="32"/>
        </w:rPr>
        <w:t>地表水</w:t>
      </w:r>
      <w:r>
        <w:rPr>
          <w:rFonts w:ascii="Times New Roman" w:cs="Times New Roman" w:hAnsiTheme="minorEastAsia"/>
          <w:color w:val="auto"/>
          <w:sz w:val="24"/>
          <w:szCs w:val="32"/>
        </w:rPr>
        <w:t>地下水</w:t>
      </w:r>
      <w:r>
        <w:rPr>
          <w:rFonts w:hint="eastAsia" w:ascii="Times New Roman" w:cs="Times New Roman" w:hAnsiTheme="minorEastAsia"/>
          <w:color w:val="auto"/>
          <w:sz w:val="24"/>
          <w:szCs w:val="32"/>
        </w:rPr>
        <w:t>样品采集分别依据《地表水和污水监测技术规范》和《地下水环境监测技术规范》执行</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并</w:t>
      </w:r>
      <w:r>
        <w:rPr>
          <w:rFonts w:ascii="Times New Roman" w:cs="Times New Roman" w:hAnsiTheme="minorEastAsia"/>
          <w:color w:val="auto"/>
          <w:sz w:val="24"/>
          <w:szCs w:val="32"/>
        </w:rPr>
        <w:t>根据前期调查结果筛选本次</w:t>
      </w:r>
      <w:r>
        <w:rPr>
          <w:rFonts w:hint="eastAsia" w:ascii="Times New Roman" w:cs="Times New Roman" w:hAnsiTheme="minorEastAsia"/>
          <w:color w:val="auto"/>
          <w:sz w:val="24"/>
          <w:szCs w:val="32"/>
        </w:rPr>
        <w:t>监测</w:t>
      </w:r>
      <w:r>
        <w:rPr>
          <w:rFonts w:ascii="Times New Roman" w:cs="Times New Roman" w:hAnsiTheme="minorEastAsia"/>
          <w:color w:val="auto"/>
          <w:sz w:val="24"/>
          <w:szCs w:val="32"/>
        </w:rPr>
        <w:t>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ascii="Times New Roman" w:cs="Times New Roman" w:hAnsiTheme="minorEastAsia"/>
          <w:color w:val="auto"/>
          <w:sz w:val="24"/>
          <w:szCs w:val="32"/>
        </w:rPr>
        <w:t xml:space="preserve">3、地表地下水补排关系分析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hAnsi="宋体"/>
          <w:color w:val="auto"/>
          <w:sz w:val="24"/>
          <w:szCs w:val="24"/>
        </w:rPr>
        <w:t>（</w:t>
      </w:r>
      <w:r>
        <w:rPr>
          <w:rFonts w:hint="eastAsia" w:hAnsi="宋体"/>
          <w:color w:val="auto"/>
          <w:sz w:val="24"/>
          <w:szCs w:val="24"/>
          <w:lang w:val="en-US" w:eastAsia="zh-CN"/>
        </w:rPr>
        <w:t>1</w:t>
      </w:r>
      <w:r>
        <w:rPr>
          <w:rFonts w:hint="eastAsia" w:hAnsi="宋体"/>
          <w:color w:val="auto"/>
          <w:sz w:val="24"/>
          <w:szCs w:val="24"/>
        </w:rPr>
        <w:t>）</w:t>
      </w:r>
      <w:r>
        <w:rPr>
          <w:rFonts w:hint="eastAsia" w:ascii="Times New Roman" w:cs="Times New Roman" w:hAnsiTheme="minorEastAsia"/>
          <w:color w:val="auto"/>
          <w:sz w:val="24"/>
          <w:szCs w:val="32"/>
        </w:rPr>
        <w:t>定期监测地表水体及周边范围内地下水监测井水位，结合水质数据分析园区内地表水地下水水力联系，构建地下水-地表水交互关系和运移模型，分析不同情景下地下水与地表水体之间的补排关系。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ascii="Times New Roman" w:cs="Times New Roman" w:hAnsiTheme="minorEastAsia"/>
          <w:color w:val="auto"/>
          <w:sz w:val="24"/>
          <w:szCs w:val="32"/>
        </w:rPr>
        <w:t>4、扩散排查报告编制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cs="Times New Roman" w:hAnsiTheme="minorEastAsia"/>
          <w:color w:val="auto"/>
          <w:sz w:val="24"/>
          <w:szCs w:val="32"/>
        </w:rPr>
      </w:pPr>
      <w:r>
        <w:rPr>
          <w:rFonts w:hint="eastAsia" w:hAnsi="宋体"/>
          <w:color w:val="auto"/>
          <w:sz w:val="24"/>
          <w:szCs w:val="24"/>
        </w:rPr>
        <w:t>（</w:t>
      </w:r>
      <w:r>
        <w:rPr>
          <w:rFonts w:hint="eastAsia" w:hAnsi="宋体"/>
          <w:color w:val="auto"/>
          <w:sz w:val="24"/>
          <w:szCs w:val="24"/>
          <w:lang w:val="en-US" w:eastAsia="zh-CN"/>
        </w:rPr>
        <w:t>1</w:t>
      </w:r>
      <w:r>
        <w:rPr>
          <w:rFonts w:hint="eastAsia" w:hAnsi="宋体"/>
          <w:color w:val="auto"/>
          <w:sz w:val="24"/>
          <w:szCs w:val="24"/>
        </w:rPr>
        <w:t>）</w:t>
      </w:r>
      <w:r>
        <w:rPr>
          <w:rFonts w:ascii="Times New Roman" w:cs="Times New Roman" w:hAnsiTheme="minorEastAsia"/>
          <w:color w:val="auto"/>
          <w:sz w:val="24"/>
          <w:szCs w:val="32"/>
        </w:rPr>
        <w:t>获得监测数据后，按照指标分类</w:t>
      </w:r>
      <w:r>
        <w:rPr>
          <w:rFonts w:hint="eastAsia" w:ascii="Times New Roman" w:cs="Times New Roman" w:hAnsiTheme="minorEastAsia"/>
          <w:color w:val="auto"/>
          <w:sz w:val="24"/>
          <w:szCs w:val="32"/>
        </w:rPr>
        <w:t>统计</w:t>
      </w:r>
      <w:r>
        <w:rPr>
          <w:rFonts w:ascii="Times New Roman" w:cs="Times New Roman" w:hAnsiTheme="minorEastAsia"/>
          <w:color w:val="auto"/>
          <w:sz w:val="24"/>
          <w:szCs w:val="32"/>
        </w:rPr>
        <w:t>，绘制</w:t>
      </w:r>
      <w:r>
        <w:rPr>
          <w:rFonts w:hint="eastAsia" w:ascii="Times New Roman" w:cs="Times New Roman" w:hAnsiTheme="minorEastAsia"/>
          <w:color w:val="auto"/>
          <w:sz w:val="24"/>
          <w:szCs w:val="32"/>
        </w:rPr>
        <w:t>污染物</w:t>
      </w:r>
      <w:r>
        <w:rPr>
          <w:rFonts w:ascii="Times New Roman" w:cs="Times New Roman" w:hAnsiTheme="minorEastAsia"/>
          <w:color w:val="auto"/>
          <w:sz w:val="24"/>
          <w:szCs w:val="32"/>
        </w:rPr>
        <w:t>浓度分布图、指标相关性分析图等图件，分别进行</w:t>
      </w:r>
      <w:r>
        <w:rPr>
          <w:rFonts w:hint="eastAsia" w:ascii="Times New Roman" w:cs="Times New Roman" w:hAnsiTheme="minorEastAsia"/>
          <w:color w:val="auto"/>
          <w:sz w:val="24"/>
          <w:szCs w:val="32"/>
        </w:rPr>
        <w:t>地表水</w:t>
      </w:r>
      <w:r>
        <w:rPr>
          <w:rFonts w:ascii="Times New Roman" w:cs="Times New Roman" w:hAnsiTheme="minorEastAsia"/>
          <w:color w:val="auto"/>
          <w:sz w:val="24"/>
          <w:szCs w:val="32"/>
        </w:rPr>
        <w:t>、地下水指标的环境质量分析；在此基础上，开展污染来源识别、污染途径和污染物释放特征分析、污染物迁移转化机制分析等的地下水污染趋势分析，在摸清地下水</w:t>
      </w:r>
      <w:r>
        <w:rPr>
          <w:rFonts w:hint="eastAsia" w:ascii="Times New Roman" w:cs="Times New Roman" w:hAnsiTheme="minorEastAsia"/>
          <w:color w:val="auto"/>
          <w:sz w:val="24"/>
          <w:szCs w:val="32"/>
        </w:rPr>
        <w:t>向地表水扩散</w:t>
      </w:r>
      <w:r>
        <w:rPr>
          <w:rFonts w:ascii="Times New Roman" w:cs="Times New Roman" w:hAnsiTheme="minorEastAsia"/>
          <w:color w:val="auto"/>
          <w:sz w:val="24"/>
          <w:szCs w:val="32"/>
        </w:rPr>
        <w:t>污染范围和程度、分析污染成因并甄别重点污染区域的基础上，评估地下水长期污染风险，最终汇总形成《</w:t>
      </w:r>
      <w:r>
        <w:rPr>
          <w:rFonts w:hint="eastAsia" w:ascii="Times New Roman" w:cs="Times New Roman" w:hAnsiTheme="minorEastAsia"/>
          <w:color w:val="auto"/>
          <w:sz w:val="24"/>
          <w:szCs w:val="32"/>
        </w:rPr>
        <w:t>道墟镇工业集聚区地下水污染扩散排查报告</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，并通过生态环境部门组织的专家评审</w:t>
      </w:r>
      <w:r>
        <w:rPr>
          <w:rFonts w:ascii="Times New Roman" w:cs="Times New Roman" w:hAnsiTheme="minorEastAsia"/>
          <w:color w:val="auto"/>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cs="Times New Roman" w:hAnsiTheme="minorEastAsia"/>
          <w:b/>
          <w:bCs/>
          <w:color w:val="auto"/>
          <w:sz w:val="28"/>
          <w:szCs w:val="36"/>
          <w:lang w:eastAsia="zh-CN"/>
        </w:rPr>
      </w:pPr>
      <w:r>
        <w:rPr>
          <w:rFonts w:hint="eastAsia" w:ascii="Times New Roman" w:cs="Times New Roman" w:hAnsiTheme="minorEastAsia"/>
          <w:b/>
          <w:bCs/>
          <w:color w:val="auto"/>
          <w:sz w:val="28"/>
          <w:szCs w:val="36"/>
          <w:lang w:eastAsia="zh-CN"/>
        </w:rPr>
        <w:t>三、</w:t>
      </w:r>
      <w:r>
        <w:rPr>
          <w:rFonts w:hint="eastAsia" w:ascii="Times New Roman" w:cs="Times New Roman" w:hAnsiTheme="minorEastAsia"/>
          <w:b/>
          <w:bCs/>
          <w:color w:val="auto"/>
          <w:sz w:val="28"/>
          <w:szCs w:val="36"/>
        </w:rPr>
        <w:t>服务基本要求</w:t>
      </w:r>
      <w:r>
        <w:rPr>
          <w:rFonts w:hint="eastAsia" w:ascii="Times New Roman" w:cs="Times New Roman" w:hAnsiTheme="minorEastAsia"/>
          <w:b/>
          <w:bCs/>
          <w:color w:val="auto"/>
          <w:sz w:val="28"/>
          <w:szCs w:val="36"/>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rPr>
      </w:pPr>
      <w:r>
        <w:rPr>
          <w:rFonts w:hint="eastAsia" w:ascii="Times New Roman" w:cs="Times New Roman" w:hAnsiTheme="minorEastAsia"/>
          <w:color w:val="auto"/>
          <w:sz w:val="24"/>
          <w:szCs w:val="32"/>
          <w:lang w:val="en-US" w:eastAsia="zh-CN"/>
        </w:rPr>
        <w:t>1、</w:t>
      </w:r>
      <w:r>
        <w:rPr>
          <w:rFonts w:hint="eastAsia" w:ascii="Times New Roman" w:cs="Times New Roman" w:hAnsiTheme="minorEastAsia"/>
          <w:color w:val="auto"/>
          <w:sz w:val="24"/>
          <w:szCs w:val="32"/>
        </w:rPr>
        <w:t>服务期限：合同签订生效后一年</w:t>
      </w:r>
      <w:r>
        <w:rPr>
          <w:rFonts w:hint="eastAsia" w:ascii="Times New Roman" w:cs="Times New Roman" w:hAnsiTheme="minor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lang w:val="en-US" w:eastAsia="zh-CN"/>
        </w:rPr>
      </w:pPr>
      <w:r>
        <w:rPr>
          <w:rFonts w:hint="eastAsia" w:ascii="Times New Roman" w:cs="Times New Roman" w:hAnsiTheme="minorEastAsia"/>
          <w:color w:val="auto"/>
          <w:sz w:val="24"/>
          <w:szCs w:val="32"/>
          <w:lang w:val="en-US" w:eastAsia="zh-CN"/>
        </w:rPr>
        <w:t>2</w:t>
      </w:r>
      <w:r>
        <w:rPr>
          <w:rFonts w:hint="eastAsia" w:cs="Times New Roman" w:hAnsiTheme="minorEastAsia"/>
          <w:color w:val="auto"/>
          <w:sz w:val="24"/>
          <w:szCs w:val="32"/>
          <w:lang w:val="en-US" w:eastAsia="zh-CN"/>
        </w:rPr>
        <w:t>、</w:t>
      </w:r>
      <w:r>
        <w:rPr>
          <w:rFonts w:hint="eastAsia" w:ascii="Times New Roman" w:cs="Times New Roman" w:hAnsiTheme="minorEastAsia"/>
          <w:color w:val="auto"/>
          <w:sz w:val="24"/>
          <w:szCs w:val="32"/>
        </w:rPr>
        <w:t>2</w:t>
      </w:r>
      <w:r>
        <w:rPr>
          <w:rFonts w:ascii="Times New Roman" w:cs="Times New Roman" w:hAnsiTheme="minorEastAsia"/>
          <w:color w:val="auto"/>
          <w:sz w:val="24"/>
          <w:szCs w:val="32"/>
        </w:rPr>
        <w:t>021</w:t>
      </w:r>
      <w:r>
        <w:rPr>
          <w:rFonts w:hint="eastAsia" w:ascii="Times New Roman" w:cs="Times New Roman" w:hAnsiTheme="minorEastAsia"/>
          <w:color w:val="auto"/>
          <w:sz w:val="24"/>
          <w:szCs w:val="32"/>
        </w:rPr>
        <w:t>年</w:t>
      </w:r>
      <w:r>
        <w:rPr>
          <w:rFonts w:ascii="Times New Roman" w:cs="Times New Roman" w:hAnsiTheme="minorEastAsia"/>
          <w:color w:val="auto"/>
          <w:sz w:val="24"/>
          <w:szCs w:val="32"/>
        </w:rPr>
        <w:t>8</w:t>
      </w:r>
      <w:r>
        <w:rPr>
          <w:rFonts w:hint="eastAsia" w:ascii="Times New Roman" w:cs="Times New Roman" w:hAnsiTheme="minorEastAsia"/>
          <w:color w:val="auto"/>
          <w:sz w:val="24"/>
          <w:szCs w:val="32"/>
        </w:rPr>
        <w:t>月完成《道墟镇工业集聚区地下水污染扩散排查方案》并通过专家评审。2</w:t>
      </w:r>
      <w:r>
        <w:rPr>
          <w:rFonts w:ascii="Times New Roman" w:cs="Times New Roman" w:hAnsiTheme="minorEastAsia"/>
          <w:color w:val="auto"/>
          <w:sz w:val="24"/>
          <w:szCs w:val="32"/>
        </w:rPr>
        <w:t>021</w:t>
      </w:r>
      <w:r>
        <w:rPr>
          <w:rFonts w:hint="eastAsia" w:ascii="Times New Roman" w:cs="Times New Roman" w:hAnsiTheme="minorEastAsia"/>
          <w:color w:val="auto"/>
          <w:sz w:val="24"/>
          <w:szCs w:val="32"/>
        </w:rPr>
        <w:t>年1</w:t>
      </w:r>
      <w:r>
        <w:rPr>
          <w:rFonts w:ascii="Times New Roman" w:cs="Times New Roman" w:hAnsiTheme="minorEastAsia"/>
          <w:color w:val="auto"/>
          <w:sz w:val="24"/>
          <w:szCs w:val="32"/>
        </w:rPr>
        <w:t>0</w:t>
      </w:r>
      <w:r>
        <w:rPr>
          <w:rFonts w:hint="eastAsia" w:ascii="Times New Roman" w:cs="Times New Roman" w:hAnsiTheme="minorEastAsia"/>
          <w:color w:val="auto"/>
          <w:sz w:val="24"/>
          <w:szCs w:val="32"/>
        </w:rPr>
        <w:t>月底完成</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道墟镇工业集聚区地下水污染扩散排查报告</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并通过专家评审。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rPr>
      </w:pPr>
      <w:r>
        <w:rPr>
          <w:rFonts w:hint="eastAsia" w:ascii="Times New Roman" w:cs="Times New Roman" w:hAnsiTheme="minorEastAsia"/>
          <w:color w:val="auto"/>
          <w:sz w:val="24"/>
          <w:szCs w:val="32"/>
          <w:lang w:val="en-US" w:eastAsia="zh-CN"/>
        </w:rPr>
        <w:t>3</w:t>
      </w:r>
      <w:r>
        <w:rPr>
          <w:rFonts w:hint="eastAsia" w:cs="Times New Roman" w:hAnsiTheme="minorEastAsia"/>
          <w:color w:val="auto"/>
          <w:sz w:val="24"/>
          <w:szCs w:val="32"/>
          <w:lang w:eastAsia="zh-CN"/>
        </w:rPr>
        <w:t>、</w:t>
      </w:r>
      <w:r>
        <w:rPr>
          <w:rFonts w:hint="eastAsia" w:ascii="Times New Roman" w:cs="Times New Roman" w:hAnsiTheme="minorEastAsia"/>
          <w:color w:val="auto"/>
          <w:sz w:val="24"/>
          <w:szCs w:val="32"/>
        </w:rPr>
        <w:t>成果要求：成果质量需满足上级生态环境部门对报告的要求，提交《道墟镇工业集聚区地下水污染扩散排查方案》 、</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道墟镇工业集聚区地下水污染扩散排查报告</w:t>
      </w:r>
      <w:r>
        <w:rPr>
          <w:rFonts w:ascii="Times New Roman" w:cs="Times New Roman" w:hAnsiTheme="minorEastAsia"/>
          <w:color w:val="auto"/>
          <w:sz w:val="24"/>
          <w:szCs w:val="32"/>
        </w:rPr>
        <w:t>》</w:t>
      </w:r>
      <w:r>
        <w:rPr>
          <w:rFonts w:hint="eastAsia" w:ascii="Times New Roman" w:cs="Times New Roman" w:hAnsiTheme="minorEastAsia"/>
          <w:color w:val="auto"/>
          <w:sz w:val="24"/>
          <w:szCs w:val="32"/>
        </w:rPr>
        <w:t>，各4套，电子版各1份。并为业主提供后期地下水污染防治相关专业技术咨询。</w:t>
      </w:r>
    </w:p>
    <w:p>
      <w:pPr>
        <w:numPr>
          <w:ilvl w:val="0"/>
          <w:numId w:val="0"/>
        </w:numPr>
        <w:jc w:val="both"/>
        <w:rPr>
          <w:rFonts w:hint="eastAsia"/>
          <w:color w:val="auto"/>
          <w:sz w:val="28"/>
          <w:szCs w:val="28"/>
          <w:lang w:eastAsia="zh-CN"/>
        </w:rPr>
      </w:pPr>
    </w:p>
    <w:p>
      <w:pPr>
        <w:numPr>
          <w:ilvl w:val="0"/>
          <w:numId w:val="0"/>
        </w:numPr>
        <w:jc w:val="center"/>
        <w:rPr>
          <w:rFonts w:hint="eastAsia"/>
          <w:color w:val="auto"/>
          <w:sz w:val="28"/>
          <w:szCs w:val="28"/>
          <w:lang w:eastAsia="zh-CN"/>
        </w:rPr>
      </w:pPr>
      <w:r>
        <w:rPr>
          <w:rFonts w:hint="eastAsia"/>
          <w:color w:val="auto"/>
          <w:sz w:val="28"/>
          <w:szCs w:val="28"/>
          <w:lang w:eastAsia="zh-CN"/>
        </w:rPr>
        <w:t>第二章</w:t>
      </w:r>
      <w:r>
        <w:rPr>
          <w:rFonts w:hint="eastAsia"/>
          <w:color w:val="auto"/>
          <w:sz w:val="28"/>
          <w:szCs w:val="28"/>
          <w:lang w:val="en-US" w:eastAsia="zh-CN"/>
        </w:rPr>
        <w:t xml:space="preserve">   </w:t>
      </w:r>
      <w:r>
        <w:rPr>
          <w:rFonts w:hint="eastAsia"/>
          <w:color w:val="auto"/>
          <w:sz w:val="28"/>
          <w:szCs w:val="28"/>
          <w:lang w:eastAsia="zh-CN"/>
        </w:rPr>
        <w:t>付款方式及要求</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imes New Roman" w:cs="Times New Roman" w:hAnsiTheme="minorEastAsia"/>
          <w:b/>
          <w:bCs/>
          <w:color w:val="auto"/>
          <w:sz w:val="28"/>
          <w:szCs w:val="36"/>
          <w:lang w:eastAsia="zh-CN"/>
        </w:rPr>
      </w:pPr>
      <w:r>
        <w:rPr>
          <w:rFonts w:hint="eastAsia" w:ascii="Times New Roman" w:cs="Times New Roman" w:hAnsiTheme="minorEastAsia"/>
          <w:b/>
          <w:bCs/>
          <w:color w:val="auto"/>
          <w:sz w:val="28"/>
          <w:szCs w:val="36"/>
          <w:lang w:eastAsia="zh-CN"/>
        </w:rPr>
        <w:t>一、付款方式及要求：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cs="Times New Roman" w:hAnsiTheme="minorEastAsia"/>
          <w:color w:val="auto"/>
          <w:sz w:val="24"/>
          <w:szCs w:val="32"/>
          <w:lang w:eastAsia="zh-CN"/>
        </w:rPr>
      </w:pPr>
      <w:r>
        <w:rPr>
          <w:rFonts w:hint="eastAsia" w:ascii="Times New Roman" w:cs="Times New Roman" w:hAnsiTheme="minorEastAsia"/>
          <w:color w:val="auto"/>
          <w:sz w:val="24"/>
          <w:szCs w:val="32"/>
          <w:lang w:val="en-US" w:eastAsia="zh-CN"/>
        </w:rPr>
        <w:t>1、</w:t>
      </w:r>
      <w:r>
        <w:rPr>
          <w:rFonts w:hint="eastAsia" w:ascii="Times New Roman" w:cs="Times New Roman" w:hAnsiTheme="minorEastAsia"/>
          <w:color w:val="auto"/>
          <w:sz w:val="24"/>
          <w:szCs w:val="32"/>
        </w:rPr>
        <w:t>签订合同后十个工作日内支付合同价款的30%</w:t>
      </w:r>
      <w:r>
        <w:rPr>
          <w:rFonts w:hint="eastAsia" w:cs="Times New Roman" w:hAnsiTheme="minor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lang w:eastAsia="zh-CN"/>
        </w:rPr>
      </w:pPr>
      <w:r>
        <w:rPr>
          <w:rFonts w:hint="eastAsia" w:ascii="Times New Roman" w:cs="Times New Roman" w:hAnsiTheme="minorEastAsia"/>
          <w:color w:val="auto"/>
          <w:sz w:val="24"/>
          <w:szCs w:val="32"/>
          <w:lang w:val="en-US" w:eastAsia="zh-CN"/>
        </w:rPr>
        <w:t>2、出具</w:t>
      </w:r>
      <w:r>
        <w:rPr>
          <w:rFonts w:hint="eastAsia" w:ascii="Times New Roman" w:cs="Times New Roman" w:hAnsiTheme="minorEastAsia"/>
          <w:color w:val="auto"/>
          <w:sz w:val="24"/>
          <w:szCs w:val="32"/>
        </w:rPr>
        <w:t>地下水污染扩散排查方案并通过专家评审</w:t>
      </w:r>
      <w:r>
        <w:rPr>
          <w:rFonts w:hint="eastAsia" w:ascii="Times New Roman" w:cs="Times New Roman" w:hAnsiTheme="minorEastAsia"/>
          <w:color w:val="auto"/>
          <w:sz w:val="24"/>
          <w:szCs w:val="32"/>
          <w:lang w:eastAsia="zh-CN"/>
        </w:rPr>
        <w:t>，</w:t>
      </w:r>
      <w:r>
        <w:rPr>
          <w:rFonts w:hint="eastAsia" w:ascii="Times New Roman" w:cs="Times New Roman" w:hAnsiTheme="minorEastAsia"/>
          <w:color w:val="auto"/>
          <w:sz w:val="24"/>
          <w:szCs w:val="32"/>
        </w:rPr>
        <w:t>完成园区地下水样品采集后十个工作日内支付合同金额的40%；</w:t>
      </w:r>
    </w:p>
    <w:p>
      <w:pPr>
        <w:spacing w:line="336" w:lineRule="auto"/>
        <w:ind w:firstLine="480" w:firstLineChars="200"/>
        <w:rPr>
          <w:rFonts w:hint="eastAsia" w:ascii="宋体" w:hAnsi="宋体" w:cs="宋体"/>
          <w:color w:val="auto"/>
          <w:sz w:val="24"/>
          <w:szCs w:val="24"/>
        </w:rPr>
      </w:pPr>
      <w:r>
        <w:rPr>
          <w:rFonts w:hint="eastAsia" w:ascii="Times New Roman" w:cs="Times New Roman" w:hAnsiTheme="minorEastAsia"/>
          <w:color w:val="auto"/>
          <w:sz w:val="24"/>
          <w:szCs w:val="32"/>
          <w:lang w:val="en-US" w:eastAsia="zh-CN"/>
        </w:rPr>
        <w:t>3、</w:t>
      </w:r>
      <w:r>
        <w:rPr>
          <w:rFonts w:hint="eastAsia" w:ascii="宋体" w:hAnsi="宋体" w:cs="宋体"/>
          <w:color w:val="auto"/>
          <w:sz w:val="24"/>
          <w:szCs w:val="24"/>
        </w:rPr>
        <w:t>出具</w:t>
      </w:r>
      <w:r>
        <w:rPr>
          <w:rFonts w:hint="eastAsia" w:ascii="宋体" w:hAnsi="宋体" w:cs="宋体"/>
          <w:color w:val="auto"/>
          <w:sz w:val="24"/>
          <w:szCs w:val="24"/>
          <w:highlight w:val="none"/>
        </w:rPr>
        <w:t>地下水污染扩</w:t>
      </w:r>
      <w:r>
        <w:rPr>
          <w:rFonts w:hint="eastAsia" w:ascii="宋体" w:hAnsi="宋体" w:cs="宋体"/>
          <w:color w:val="auto"/>
          <w:sz w:val="24"/>
          <w:szCs w:val="24"/>
        </w:rPr>
        <w:t>散排查报告后并通过专家评审后十个工作日内支付合同金额的30%；</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eastAsia="宋体" w:cs="Times New Roman" w:hAnsiTheme="minorEastAsia"/>
          <w:color w:val="auto"/>
          <w:sz w:val="24"/>
          <w:szCs w:val="32"/>
          <w:lang w:eastAsia="zh-CN"/>
        </w:rPr>
      </w:pPr>
      <w:r>
        <w:rPr>
          <w:rFonts w:hint="eastAsia" w:ascii="Times New Roman" w:cs="Times New Roman" w:hAnsiTheme="minorEastAsia"/>
          <w:color w:val="auto"/>
          <w:sz w:val="24"/>
          <w:szCs w:val="32"/>
          <w:lang w:val="en-US" w:eastAsia="zh-CN"/>
        </w:rPr>
        <w:t>4、</w:t>
      </w:r>
      <w:r>
        <w:rPr>
          <w:rFonts w:hint="eastAsia" w:ascii="Times New Roman" w:cs="Times New Roman" w:hAnsiTheme="minorEastAsia"/>
          <w:color w:val="auto"/>
          <w:sz w:val="24"/>
          <w:szCs w:val="32"/>
        </w:rPr>
        <w:t>报告完成后</w:t>
      </w:r>
      <w:r>
        <w:rPr>
          <w:rFonts w:hint="eastAsia" w:cs="Times New Roman" w:hAnsiTheme="minorEastAsia"/>
          <w:color w:val="auto"/>
          <w:sz w:val="24"/>
          <w:szCs w:val="32"/>
          <w:lang w:eastAsia="zh-CN"/>
        </w:rPr>
        <w:t>一</w:t>
      </w:r>
      <w:r>
        <w:rPr>
          <w:rFonts w:hint="eastAsia" w:ascii="Times New Roman" w:cs="Times New Roman" w:hAnsiTheme="minorEastAsia"/>
          <w:color w:val="auto"/>
          <w:sz w:val="24"/>
          <w:szCs w:val="32"/>
        </w:rPr>
        <w:t>年内为采购人提供地下水污染防治政策、技术相关顾问咨询</w:t>
      </w:r>
      <w:r>
        <w:rPr>
          <w:rFonts w:hint="eastAsia" w:cs="Times New Roman" w:hAnsiTheme="minorEastAsia"/>
          <w:color w:val="auto"/>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cs="Times New Roman" w:hAnsiTheme="minorEastAsia"/>
          <w:color w:val="auto"/>
          <w:sz w:val="24"/>
          <w:szCs w:val="32"/>
        </w:rPr>
      </w:pPr>
      <w:r>
        <w:rPr>
          <w:rFonts w:hint="eastAsia" w:ascii="Times New Roman" w:cs="Times New Roman" w:hAnsiTheme="minorEastAsia"/>
          <w:color w:val="auto"/>
          <w:sz w:val="24"/>
          <w:szCs w:val="32"/>
          <w:lang w:val="en-US" w:eastAsia="zh-CN"/>
        </w:rPr>
        <w:t>5、</w:t>
      </w:r>
      <w:r>
        <w:rPr>
          <w:rFonts w:hint="eastAsia" w:ascii="Times New Roman" w:cs="Times New Roman" w:hAnsiTheme="minorEastAsia"/>
          <w:color w:val="auto"/>
          <w:sz w:val="24"/>
          <w:szCs w:val="32"/>
        </w:rPr>
        <w:t>合同履行完毕后20个工作日内无息退还履约保证金</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color w:val="auto"/>
          <w:sz w:val="24"/>
          <w:szCs w:val="24"/>
        </w:rPr>
      </w:pPr>
      <w:r>
        <w:rPr>
          <w:rFonts w:hint="eastAsia"/>
          <w:color w:val="auto"/>
          <w:sz w:val="24"/>
          <w:szCs w:val="24"/>
        </w:rPr>
        <w:br w:type="page"/>
      </w:r>
    </w:p>
    <w:p>
      <w:pPr>
        <w:pStyle w:val="4"/>
        <w:jc w:val="center"/>
        <w:rPr>
          <w:rFonts w:cs="Times New Roman"/>
          <w:color w:val="auto"/>
          <w:sz w:val="36"/>
          <w:szCs w:val="36"/>
        </w:rPr>
      </w:pPr>
      <w:bookmarkStart w:id="68" w:name="_Toc15656"/>
      <w:r>
        <w:rPr>
          <w:rFonts w:hint="eastAsia" w:cs="宋体"/>
          <w:color w:val="auto"/>
          <w:sz w:val="36"/>
          <w:szCs w:val="36"/>
        </w:rPr>
        <w:t>第四部分 磋商原则及磋商方法</w:t>
      </w:r>
      <w:bookmarkEnd w:id="67"/>
      <w:bookmarkEnd w:id="68"/>
    </w:p>
    <w:p>
      <w:pPr>
        <w:pStyle w:val="2"/>
        <w:numPr>
          <w:ilvl w:val="0"/>
          <w:numId w:val="18"/>
        </w:numPr>
        <w:jc w:val="center"/>
        <w:rPr>
          <w:rFonts w:cs="Times New Roman"/>
          <w:color w:val="auto"/>
        </w:rPr>
      </w:pPr>
      <w:bookmarkStart w:id="69" w:name="_Toc1265"/>
      <w:r>
        <w:rPr>
          <w:rFonts w:hint="eastAsia"/>
          <w:color w:val="auto"/>
        </w:rPr>
        <w:t xml:space="preserve"> </w:t>
      </w:r>
      <w:bookmarkStart w:id="70" w:name="_Toc5685"/>
      <w:r>
        <w:rPr>
          <w:rFonts w:hint="eastAsia"/>
          <w:color w:val="auto"/>
        </w:rPr>
        <w:t>磋商原则</w:t>
      </w:r>
      <w:bookmarkEnd w:id="69"/>
      <w:bookmarkEnd w:id="70"/>
    </w:p>
    <w:p>
      <w:pPr>
        <w:pStyle w:val="3"/>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、本次竞争性磋商本着公平、公正、科学、择优的原则，邀请各磋商方参加报价。</w:t>
      </w:r>
    </w:p>
    <w:p>
      <w:pPr>
        <w:pStyle w:val="3"/>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、磋商小组按照统一的磋商原则和磋商方法，用同一标准对所有响应性文件进行评审。</w:t>
      </w:r>
    </w:p>
    <w:p>
      <w:pPr>
        <w:pStyle w:val="12"/>
        <w:spacing w:line="360" w:lineRule="auto"/>
        <w:ind w:firstLine="482" w:firstLineChars="200"/>
        <w:rPr>
          <w:rFonts w:hAnsi="宋体" w:cs="Times New Roman"/>
          <w:b/>
          <w:bCs/>
          <w:color w:val="auto"/>
          <w:sz w:val="24"/>
          <w:szCs w:val="24"/>
        </w:rPr>
      </w:pPr>
      <w:r>
        <w:rPr>
          <w:rFonts w:hAnsi="宋体"/>
          <w:b/>
          <w:bCs/>
          <w:color w:val="auto"/>
          <w:sz w:val="24"/>
          <w:szCs w:val="24"/>
        </w:rPr>
        <w:t>4</w:t>
      </w:r>
      <w:r>
        <w:rPr>
          <w:rFonts w:hint="eastAsia" w:hAnsi="宋体"/>
          <w:b/>
          <w:bCs/>
          <w:color w:val="auto"/>
          <w:sz w:val="24"/>
          <w:szCs w:val="24"/>
        </w:rPr>
        <w:t>、评审</w:t>
      </w:r>
    </w:p>
    <w:p>
      <w:pPr>
        <w:pStyle w:val="12"/>
        <w:spacing w:line="360" w:lineRule="auto"/>
        <w:ind w:firstLine="480" w:firstLineChars="200"/>
        <w:rPr>
          <w:rFonts w:hAnsi="宋体" w:cs="Times New Roman"/>
          <w:color w:val="auto"/>
          <w:sz w:val="24"/>
          <w:szCs w:val="24"/>
        </w:rPr>
      </w:pPr>
      <w:r>
        <w:rPr>
          <w:rFonts w:hAnsi="宋体"/>
          <w:color w:val="auto"/>
          <w:sz w:val="24"/>
          <w:szCs w:val="24"/>
        </w:rPr>
        <w:t>4.1</w:t>
      </w:r>
      <w:r>
        <w:rPr>
          <w:rFonts w:hint="eastAsia" w:hAnsi="宋体"/>
          <w:color w:val="auto"/>
          <w:sz w:val="24"/>
          <w:szCs w:val="24"/>
        </w:rPr>
        <w:t>在磋商响应截止时间前按规定提交响应文件的供应商在三家（含）以上的，由采购人或采购代理机构组织进行开标。</w:t>
      </w:r>
    </w:p>
    <w:p>
      <w:pPr>
        <w:pStyle w:val="12"/>
        <w:spacing w:line="360" w:lineRule="auto"/>
        <w:ind w:firstLine="482" w:firstLineChars="200"/>
        <w:rPr>
          <w:rFonts w:hAnsi="宋体" w:cs="Times New Roman"/>
          <w:color w:val="auto"/>
          <w:sz w:val="24"/>
          <w:szCs w:val="24"/>
        </w:rPr>
      </w:pPr>
      <w:r>
        <w:rPr>
          <w:rFonts w:hAnsi="宋体"/>
          <w:b/>
          <w:bCs/>
          <w:color w:val="auto"/>
          <w:sz w:val="24"/>
          <w:szCs w:val="24"/>
        </w:rPr>
        <w:t>4.2</w:t>
      </w:r>
      <w:r>
        <w:rPr>
          <w:rFonts w:hint="eastAsia" w:hAnsi="宋体"/>
          <w:b/>
          <w:bCs/>
          <w:color w:val="auto"/>
          <w:sz w:val="24"/>
          <w:szCs w:val="24"/>
        </w:rPr>
        <w:t>供应商登录政采云平台，用“项目采购</w:t>
      </w:r>
      <w:r>
        <w:rPr>
          <w:rFonts w:hAnsi="宋体"/>
          <w:b/>
          <w:bCs/>
          <w:color w:val="auto"/>
          <w:sz w:val="24"/>
          <w:szCs w:val="24"/>
        </w:rPr>
        <w:t>-</w:t>
      </w:r>
      <w:r>
        <w:rPr>
          <w:rFonts w:hint="eastAsia" w:hAnsi="宋体"/>
          <w:b/>
          <w:bCs/>
          <w:color w:val="auto"/>
          <w:sz w:val="24"/>
          <w:szCs w:val="24"/>
        </w:rPr>
        <w:t>开标评标”功能对电子磋商响应文件进行在线解密。在线解密电子磋商响应文件时间为开标时间起</w:t>
      </w:r>
      <w:r>
        <w:rPr>
          <w:rFonts w:hAnsi="宋体"/>
          <w:b/>
          <w:bCs/>
          <w:color w:val="auto"/>
          <w:sz w:val="24"/>
          <w:szCs w:val="24"/>
        </w:rPr>
        <w:t>30</w:t>
      </w:r>
      <w:r>
        <w:rPr>
          <w:rFonts w:hint="eastAsia" w:hAnsi="宋体"/>
          <w:b/>
          <w:bCs/>
          <w:color w:val="auto"/>
          <w:sz w:val="24"/>
          <w:szCs w:val="24"/>
        </w:rPr>
        <w:t>分钟内。若电子磋商响应文件解密失败，则由采购代理机构工作人员上传供应商提供的备份文件。</w:t>
      </w:r>
      <w:r>
        <w:rPr>
          <w:rFonts w:hint="eastAsia" w:hAnsi="宋体"/>
          <w:color w:val="auto"/>
          <w:sz w:val="24"/>
          <w:szCs w:val="24"/>
        </w:rPr>
        <w:t>备份文件（后缀名为</w:t>
      </w:r>
      <w:r>
        <w:rPr>
          <w:rFonts w:hAnsi="宋体"/>
          <w:color w:val="auto"/>
          <w:sz w:val="24"/>
          <w:szCs w:val="24"/>
        </w:rPr>
        <w:t>.bfbs</w:t>
      </w:r>
      <w:r>
        <w:rPr>
          <w:rFonts w:hint="eastAsia" w:hAnsi="宋体"/>
          <w:color w:val="auto"/>
          <w:sz w:val="24"/>
          <w:szCs w:val="24"/>
        </w:rPr>
        <w:t>）须存储在</w:t>
      </w:r>
      <w:r>
        <w:rPr>
          <w:rFonts w:hAnsi="宋体"/>
          <w:color w:val="auto"/>
          <w:sz w:val="24"/>
          <w:szCs w:val="24"/>
        </w:rPr>
        <w:t>U</w:t>
      </w:r>
      <w:r>
        <w:rPr>
          <w:rFonts w:hint="eastAsia" w:hAnsi="宋体"/>
          <w:color w:val="auto"/>
          <w:sz w:val="24"/>
          <w:szCs w:val="24"/>
        </w:rPr>
        <w:t>盘中，与上传的电子磋商响应文件一致，用信封进行密封并盖章</w:t>
      </w:r>
      <w:r>
        <w:rPr>
          <w:rFonts w:hint="eastAsia" w:hAnsi="宋体"/>
          <w:b/>
          <w:bCs/>
          <w:color w:val="auto"/>
          <w:sz w:val="24"/>
          <w:szCs w:val="24"/>
        </w:rPr>
        <w:t>（信封内仅需放入存储备份文件的</w:t>
      </w:r>
      <w:r>
        <w:rPr>
          <w:rFonts w:hAnsi="宋体"/>
          <w:b/>
          <w:bCs/>
          <w:color w:val="auto"/>
          <w:sz w:val="24"/>
          <w:szCs w:val="24"/>
        </w:rPr>
        <w:t>U</w:t>
      </w:r>
      <w:r>
        <w:rPr>
          <w:rFonts w:hint="eastAsia" w:hAnsi="宋体"/>
          <w:b/>
          <w:bCs/>
          <w:color w:val="auto"/>
          <w:sz w:val="24"/>
          <w:szCs w:val="24"/>
        </w:rPr>
        <w:t>盘）</w:t>
      </w:r>
      <w:r>
        <w:rPr>
          <w:rFonts w:hint="eastAsia" w:hAnsi="宋体"/>
          <w:color w:val="auto"/>
          <w:sz w:val="24"/>
          <w:szCs w:val="24"/>
        </w:rPr>
        <w:t>，由授权代表在磋商响应截止时间前递交至开标地点。</w:t>
      </w:r>
    </w:p>
    <w:p>
      <w:pPr>
        <w:pStyle w:val="12"/>
        <w:spacing w:line="360" w:lineRule="auto"/>
        <w:ind w:firstLine="480" w:firstLineChars="200"/>
        <w:rPr>
          <w:rFonts w:hAnsi="宋体" w:cs="Times New Roman"/>
          <w:color w:val="auto"/>
          <w:sz w:val="24"/>
          <w:szCs w:val="24"/>
        </w:rPr>
      </w:pPr>
      <w:r>
        <w:rPr>
          <w:rFonts w:hAnsi="宋体"/>
          <w:color w:val="auto"/>
          <w:sz w:val="24"/>
          <w:szCs w:val="24"/>
        </w:rPr>
        <w:t>4.3</w:t>
      </w:r>
      <w:r>
        <w:rPr>
          <w:rFonts w:hint="eastAsia" w:hAnsi="宋体"/>
          <w:color w:val="auto"/>
          <w:sz w:val="24"/>
          <w:szCs w:val="24"/>
        </w:rPr>
        <w:t>采购人按磋商文件规定的时间、地点公开开标。开标仪式由采购人或采购代理机构主持及有关人员参加。</w:t>
      </w:r>
    </w:p>
    <w:p>
      <w:pPr>
        <w:pStyle w:val="47"/>
        <w:spacing w:before="0"/>
        <w:ind w:firstLine="480"/>
        <w:rPr>
          <w:rFonts w:ascii="宋体"/>
          <w:color w:val="auto"/>
        </w:rPr>
      </w:pPr>
      <w:r>
        <w:rPr>
          <w:rFonts w:ascii="宋体" w:hAnsi="宋体" w:cs="宋体"/>
          <w:color w:val="auto"/>
        </w:rPr>
        <w:t>4.4</w:t>
      </w:r>
      <w:r>
        <w:rPr>
          <w:rFonts w:hint="eastAsia" w:ascii="宋体" w:hAnsi="宋体" w:cs="宋体"/>
          <w:color w:val="auto"/>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rPr>
        <w:t>磋商响应</w:t>
      </w:r>
      <w:r>
        <w:rPr>
          <w:rFonts w:hint="eastAsia" w:ascii="宋体" w:hAnsi="宋体" w:cs="宋体"/>
          <w:color w:val="auto"/>
        </w:rPr>
        <w:t>截止时间前到达开标地点递交备份文件。若电子磋商响应文件正常解锁，则</w:t>
      </w:r>
      <w:r>
        <w:rPr>
          <w:rFonts w:ascii="宋体" w:hAnsi="宋体" w:cs="宋体"/>
          <w:color w:val="auto"/>
        </w:rPr>
        <w:t>U</w:t>
      </w:r>
      <w:r>
        <w:rPr>
          <w:rFonts w:hint="eastAsia" w:ascii="宋体" w:hAnsi="宋体" w:cs="宋体"/>
          <w:color w:val="auto"/>
        </w:rPr>
        <w:t>盘退还给供应商；若解锁失败，则由采购代理机构将</w:t>
      </w:r>
      <w:r>
        <w:rPr>
          <w:rFonts w:ascii="宋体" w:hAnsi="宋体" w:cs="宋体"/>
          <w:color w:val="auto"/>
        </w:rPr>
        <w:t>U</w:t>
      </w:r>
      <w:r>
        <w:rPr>
          <w:rFonts w:hint="eastAsia" w:ascii="宋体" w:hAnsi="宋体" w:cs="宋体"/>
          <w:color w:val="auto"/>
        </w:rPr>
        <w:t>盘中的备份文件上传，该</w:t>
      </w:r>
      <w:r>
        <w:rPr>
          <w:rFonts w:ascii="宋体" w:hAnsi="宋体" w:cs="宋体"/>
          <w:color w:val="auto"/>
        </w:rPr>
        <w:t>U</w:t>
      </w:r>
      <w:r>
        <w:rPr>
          <w:rFonts w:hint="eastAsia" w:ascii="宋体" w:hAnsi="宋体" w:cs="宋体"/>
          <w:color w:val="auto"/>
        </w:rPr>
        <w:t>盘将由采购代理机构保存。</w:t>
      </w:r>
    </w:p>
    <w:p>
      <w:pPr>
        <w:pStyle w:val="47"/>
        <w:spacing w:before="0"/>
        <w:ind w:firstLine="480"/>
        <w:rPr>
          <w:rFonts w:ascii="宋体"/>
          <w:color w:val="auto"/>
        </w:rPr>
      </w:pPr>
      <w:r>
        <w:rPr>
          <w:rFonts w:ascii="宋体" w:hAnsi="宋体" w:cs="宋体"/>
          <w:color w:val="auto"/>
        </w:rPr>
        <w:t>4.5</w:t>
      </w:r>
      <w:r>
        <w:rPr>
          <w:rFonts w:hint="eastAsia" w:ascii="宋体" w:hAnsi="宋体" w:cs="宋体"/>
          <w:color w:val="auto"/>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、组建磋商小组</w:t>
      </w:r>
    </w:p>
    <w:p>
      <w:pPr>
        <w:pStyle w:val="47"/>
        <w:spacing w:before="0"/>
        <w:ind w:firstLine="480"/>
        <w:rPr>
          <w:rFonts w:ascii="宋体"/>
          <w:color w:val="auto"/>
        </w:rPr>
      </w:pPr>
      <w:r>
        <w:rPr>
          <w:rFonts w:ascii="宋体" w:hAnsi="宋体" w:cs="宋体"/>
          <w:color w:val="auto"/>
        </w:rPr>
        <w:t>5.1</w:t>
      </w:r>
      <w:r>
        <w:rPr>
          <w:rFonts w:hint="eastAsia" w:ascii="宋体" w:hAnsi="宋体" w:cs="宋体"/>
          <w:color w:val="auto"/>
        </w:rPr>
        <w:t>磋商小组由采购人代表和评审专家共</w:t>
      </w:r>
      <w:r>
        <w:rPr>
          <w:rFonts w:ascii="宋体" w:hAnsi="宋体" w:cs="宋体"/>
          <w:color w:val="auto"/>
        </w:rPr>
        <w:t>3</w:t>
      </w:r>
      <w:r>
        <w:rPr>
          <w:rFonts w:hint="eastAsia" w:ascii="宋体" w:hAnsi="宋体" w:cs="宋体"/>
          <w:color w:val="auto"/>
        </w:rPr>
        <w:t>人或以上单数组成，其中评审专家人数不少于磋商小组成员总数的</w:t>
      </w:r>
      <w:r>
        <w:rPr>
          <w:rFonts w:ascii="宋体" w:hAnsi="宋体" w:cs="宋体"/>
          <w:color w:val="auto"/>
        </w:rPr>
        <w:t>2/3</w:t>
      </w:r>
      <w:r>
        <w:rPr>
          <w:rFonts w:hint="eastAsia" w:ascii="宋体" w:hAnsi="宋体" w:cs="宋体"/>
          <w:color w:val="auto"/>
        </w:rPr>
        <w:t>。</w:t>
      </w:r>
    </w:p>
    <w:p>
      <w:pPr>
        <w:pStyle w:val="47"/>
        <w:tabs>
          <w:tab w:val="left" w:pos="0"/>
        </w:tabs>
        <w:spacing w:before="0"/>
        <w:ind w:firstLine="480"/>
        <w:rPr>
          <w:rFonts w:ascii="宋体"/>
          <w:color w:val="auto"/>
          <w:lang w:val="zh-CN"/>
        </w:rPr>
      </w:pPr>
      <w:r>
        <w:rPr>
          <w:rFonts w:ascii="宋体" w:hAnsi="宋体" w:cs="宋体"/>
          <w:color w:val="auto"/>
        </w:rPr>
        <w:t>5.2</w:t>
      </w:r>
      <w:r>
        <w:rPr>
          <w:rFonts w:hint="eastAsia" w:ascii="宋体" w:hAnsi="宋体" w:cs="宋体"/>
          <w:color w:val="auto"/>
          <w:lang w:val="zh-CN"/>
        </w:rPr>
        <w:t>评标工作由评标委员会负责，并推选产生的组长主持；</w:t>
      </w:r>
    </w:p>
    <w:p>
      <w:pPr>
        <w:pStyle w:val="3"/>
        <w:spacing w:line="360" w:lineRule="auto"/>
        <w:ind w:firstLine="480" w:firstLineChars="200"/>
        <w:rPr>
          <w:rFonts w:ascii="宋体"/>
          <w:color w:val="auto"/>
          <w:sz w:val="24"/>
          <w:szCs w:val="24"/>
        </w:rPr>
      </w:pPr>
      <w:r>
        <w:rPr>
          <w:rFonts w:ascii="宋体" w:hAnsi="宋体" w:cs="宋体"/>
          <w:color w:val="auto"/>
          <w:sz w:val="24"/>
          <w:szCs w:val="24"/>
        </w:rPr>
        <w:t>5.3</w:t>
      </w:r>
      <w:r>
        <w:rPr>
          <w:rFonts w:hint="eastAsia" w:ascii="宋体" w:hAnsi="宋体" w:cs="宋体"/>
          <w:color w:val="auto"/>
          <w:sz w:val="24"/>
          <w:szCs w:val="24"/>
          <w:lang w:val="zh-CN"/>
        </w:rPr>
        <w:t>本次评标为在线评标。</w:t>
      </w:r>
    </w:p>
    <w:p>
      <w:pPr>
        <w:pStyle w:val="2"/>
        <w:numPr>
          <w:ilvl w:val="0"/>
          <w:numId w:val="18"/>
        </w:numPr>
        <w:jc w:val="center"/>
        <w:rPr>
          <w:rFonts w:cs="Times New Roman"/>
          <w:color w:val="auto"/>
        </w:rPr>
      </w:pPr>
      <w:r>
        <w:rPr>
          <w:color w:val="auto"/>
        </w:rPr>
        <w:t xml:space="preserve"> </w:t>
      </w:r>
      <w:bookmarkStart w:id="71" w:name="_Toc31715"/>
      <w:bookmarkStart w:id="72" w:name="_Toc10093"/>
      <w:r>
        <w:rPr>
          <w:rFonts w:hint="eastAsia"/>
          <w:color w:val="auto"/>
        </w:rPr>
        <w:t>磋商程序</w:t>
      </w:r>
      <w:bookmarkEnd w:id="71"/>
      <w:bookmarkEnd w:id="72"/>
    </w:p>
    <w:p>
      <w:pPr>
        <w:snapToGrid w:val="0"/>
        <w:spacing w:line="360" w:lineRule="auto"/>
        <w:ind w:firstLine="480"/>
        <w:rPr>
          <w:rFonts w:ascii="宋体"/>
          <w:b/>
          <w:bCs/>
          <w:color w:val="auto"/>
          <w:sz w:val="24"/>
          <w:szCs w:val="24"/>
        </w:rPr>
      </w:pPr>
      <w:r>
        <w:rPr>
          <w:rFonts w:ascii="宋体" w:hAnsi="宋体" w:cs="宋体"/>
          <w:b/>
          <w:bCs/>
          <w:color w:val="auto"/>
          <w:sz w:val="24"/>
          <w:szCs w:val="24"/>
        </w:rPr>
        <w:t>1</w:t>
      </w:r>
      <w:r>
        <w:rPr>
          <w:rFonts w:hint="eastAsia" w:ascii="宋体" w:hAnsi="宋体" w:cs="宋体"/>
          <w:b/>
          <w:bCs/>
          <w:color w:val="auto"/>
          <w:sz w:val="24"/>
          <w:szCs w:val="24"/>
        </w:rPr>
        <w:t>、对所有响应文件的初审</w:t>
      </w:r>
    </w:p>
    <w:p>
      <w:pPr>
        <w:adjustRightInd w:val="0"/>
        <w:snapToGrid w:val="0"/>
        <w:spacing w:line="360" w:lineRule="auto"/>
        <w:ind w:firstLine="480"/>
        <w:rPr>
          <w:rFonts w:ascii="宋体"/>
          <w:color w:val="auto"/>
          <w:sz w:val="24"/>
          <w:szCs w:val="24"/>
        </w:rPr>
      </w:pPr>
      <w:r>
        <w:rPr>
          <w:rFonts w:ascii="宋体" w:hAnsi="宋体" w:cs="宋体"/>
          <w:color w:val="auto"/>
          <w:sz w:val="24"/>
          <w:szCs w:val="24"/>
        </w:rPr>
        <w:t>1.1</w:t>
      </w:r>
      <w:r>
        <w:rPr>
          <w:rFonts w:hint="eastAsia" w:ascii="宋体" w:hAnsi="宋体" w:cs="宋体"/>
          <w:color w:val="auto"/>
          <w:sz w:val="24"/>
          <w:szCs w:val="24"/>
        </w:rPr>
        <w:t>资格审查</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）开标后，磋商小组将依法对供应商的资格进行审查。</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rPr>
        <w:t>.</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）采购人或采购代理机构将通过“信用中国”网站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rPr>
      </w:pPr>
      <w:r>
        <w:rPr>
          <w:rFonts w:ascii="宋体" w:hAnsi="宋体" w:cs="宋体"/>
          <w:color w:val="auto"/>
          <w:sz w:val="24"/>
          <w:szCs w:val="24"/>
        </w:rPr>
        <w:t>1.2</w:t>
      </w:r>
      <w:r>
        <w:rPr>
          <w:rFonts w:hint="eastAsia" w:ascii="宋体" w:hAnsi="宋体" w:cs="宋体"/>
          <w:color w:val="auto"/>
          <w:sz w:val="24"/>
          <w:szCs w:val="24"/>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）响应文件无法定代表人或其委托授权代表签名或盖章。</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）响应文件内容虚假的。</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）响应文件有采购人不能接受的附加条件的。</w:t>
      </w:r>
    </w:p>
    <w:p>
      <w:pPr>
        <w:adjustRightInd w:val="0"/>
        <w:snapToGrid w:val="0"/>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）磋商有效期、服务期等商务条款不能满足磋商文件要求的。</w:t>
      </w:r>
    </w:p>
    <w:p>
      <w:pPr>
        <w:widowControl/>
        <w:spacing w:line="360" w:lineRule="auto"/>
        <w:ind w:firstLine="482"/>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）投标价格超出预算或最高限价，导致采购单位无法支付的。</w:t>
      </w:r>
    </w:p>
    <w:p>
      <w:pPr>
        <w:widowControl/>
        <w:spacing w:line="360" w:lineRule="auto"/>
        <w:ind w:firstLine="482"/>
        <w:jc w:val="left"/>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）磋商文件明确规定的其他无效条款的。</w:t>
      </w:r>
    </w:p>
    <w:p>
      <w:pPr>
        <w:adjustRightInd w:val="0"/>
        <w:snapToGrid w:val="0"/>
        <w:spacing w:line="360" w:lineRule="auto"/>
        <w:ind w:firstLine="480"/>
        <w:rPr>
          <w:rFonts w:ascii="宋体"/>
          <w:color w:val="auto"/>
          <w:sz w:val="24"/>
          <w:szCs w:val="24"/>
        </w:rPr>
      </w:pPr>
      <w:r>
        <w:rPr>
          <w:rFonts w:ascii="宋体" w:hAnsi="宋体" w:cs="宋体"/>
          <w:color w:val="auto"/>
          <w:sz w:val="24"/>
          <w:szCs w:val="24"/>
        </w:rPr>
        <w:t xml:space="preserve">1.3 </w:t>
      </w:r>
      <w:r>
        <w:rPr>
          <w:rFonts w:hint="eastAsia" w:ascii="宋体" w:hAnsi="宋体" w:cs="宋体"/>
          <w:color w:val="auto"/>
          <w:sz w:val="24"/>
          <w:szCs w:val="24"/>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47"/>
        <w:tabs>
          <w:tab w:val="left" w:pos="0"/>
        </w:tabs>
        <w:spacing w:before="0"/>
        <w:ind w:firstLine="480"/>
        <w:rPr>
          <w:rFonts w:ascii="宋体"/>
          <w:color w:val="auto"/>
        </w:rPr>
      </w:pPr>
      <w:r>
        <w:rPr>
          <w:rFonts w:ascii="宋体" w:hAnsi="宋体" w:cs="宋体"/>
          <w:color w:val="auto"/>
        </w:rPr>
        <w:t>1.4</w:t>
      </w:r>
      <w:r>
        <w:rPr>
          <w:rFonts w:hint="eastAsia" w:ascii="宋体" w:hAnsi="宋体" w:cs="宋体"/>
          <w:color w:val="auto"/>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lang w:val="zh-CN"/>
        </w:rPr>
      </w:pPr>
      <w:r>
        <w:rPr>
          <w:rFonts w:ascii="宋体" w:hAnsi="宋体" w:cs="宋体"/>
          <w:b/>
          <w:bCs/>
          <w:color w:val="auto"/>
          <w:sz w:val="24"/>
          <w:szCs w:val="24"/>
        </w:rPr>
        <w:t>2</w:t>
      </w:r>
      <w:r>
        <w:rPr>
          <w:rFonts w:hint="eastAsia" w:ascii="宋体" w:hAnsi="宋体" w:cs="宋体"/>
          <w:b/>
          <w:bCs/>
          <w:color w:val="auto"/>
          <w:sz w:val="24"/>
          <w:szCs w:val="24"/>
          <w:lang w:val="zh-CN"/>
        </w:rPr>
        <w:t>、磋商</w:t>
      </w:r>
    </w:p>
    <w:p>
      <w:pPr>
        <w:snapToGrid w:val="0"/>
        <w:spacing w:line="360" w:lineRule="auto"/>
        <w:ind w:firstLine="480"/>
        <w:rPr>
          <w:rFonts w:ascii="宋体"/>
          <w:color w:val="auto"/>
          <w:sz w:val="24"/>
          <w:szCs w:val="24"/>
        </w:rPr>
      </w:pPr>
      <w:r>
        <w:rPr>
          <w:rFonts w:ascii="宋体" w:hAnsi="宋体" w:cs="宋体"/>
          <w:color w:val="auto"/>
          <w:sz w:val="24"/>
          <w:szCs w:val="24"/>
        </w:rPr>
        <w:t xml:space="preserve">2.1 </w:t>
      </w:r>
      <w:r>
        <w:rPr>
          <w:rFonts w:hint="eastAsia" w:ascii="宋体" w:hAnsi="宋体" w:cs="宋体"/>
          <w:color w:val="auto"/>
          <w:sz w:val="24"/>
          <w:szCs w:val="24"/>
        </w:rPr>
        <w:t>初审合格的供应商进入下一步的磋商活动。</w:t>
      </w:r>
    </w:p>
    <w:p>
      <w:pPr>
        <w:snapToGrid w:val="0"/>
        <w:spacing w:line="360" w:lineRule="auto"/>
        <w:ind w:firstLine="480"/>
        <w:rPr>
          <w:rFonts w:ascii="宋体"/>
          <w:color w:val="auto"/>
          <w:sz w:val="24"/>
          <w:szCs w:val="24"/>
        </w:rPr>
      </w:pPr>
      <w:r>
        <w:rPr>
          <w:rFonts w:ascii="宋体" w:hAnsi="宋体" w:cs="宋体"/>
          <w:color w:val="auto"/>
          <w:sz w:val="24"/>
          <w:szCs w:val="24"/>
        </w:rPr>
        <w:t xml:space="preserve">2.2 </w:t>
      </w:r>
      <w:r>
        <w:rPr>
          <w:rFonts w:hint="eastAsia" w:ascii="宋体" w:hAnsi="宋体" w:cs="宋体"/>
          <w:color w:val="auto"/>
          <w:sz w:val="24"/>
          <w:szCs w:val="24"/>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rPr>
      </w:pPr>
      <w:r>
        <w:rPr>
          <w:rFonts w:ascii="宋体" w:hAnsi="宋体" w:cs="宋体"/>
          <w:color w:val="auto"/>
          <w:sz w:val="24"/>
          <w:szCs w:val="24"/>
        </w:rPr>
        <w:t xml:space="preserve">2.3 </w:t>
      </w:r>
      <w:r>
        <w:rPr>
          <w:rFonts w:hint="eastAsia" w:ascii="宋体" w:hAnsi="宋体" w:cs="宋体"/>
          <w:color w:val="auto"/>
          <w:sz w:val="24"/>
          <w:szCs w:val="24"/>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rPr>
        <w:t xml:space="preserve"> </w:t>
      </w:r>
    </w:p>
    <w:p>
      <w:pPr>
        <w:snapToGrid w:val="0"/>
        <w:spacing w:line="360" w:lineRule="auto"/>
        <w:ind w:firstLine="480"/>
        <w:rPr>
          <w:rFonts w:ascii="宋体"/>
          <w:color w:val="auto"/>
          <w:sz w:val="24"/>
          <w:szCs w:val="24"/>
        </w:rPr>
      </w:pPr>
      <w:r>
        <w:rPr>
          <w:rFonts w:ascii="宋体" w:hAnsi="宋体" w:cs="宋体"/>
          <w:color w:val="auto"/>
          <w:sz w:val="24"/>
          <w:szCs w:val="24"/>
        </w:rPr>
        <w:t xml:space="preserve">2.4 </w:t>
      </w:r>
      <w:r>
        <w:rPr>
          <w:rFonts w:hint="eastAsia" w:ascii="宋体" w:hAnsi="宋体" w:cs="宋体"/>
          <w:color w:val="auto"/>
          <w:sz w:val="24"/>
          <w:szCs w:val="24"/>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2.5 </w:t>
      </w:r>
      <w:r>
        <w:rPr>
          <w:rFonts w:hint="eastAsia" w:ascii="宋体" w:hAnsi="宋体" w:cs="宋体"/>
          <w:color w:val="auto"/>
          <w:sz w:val="24"/>
          <w:szCs w:val="24"/>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2.6 </w:t>
      </w:r>
      <w:r>
        <w:rPr>
          <w:rFonts w:hint="eastAsia" w:ascii="宋体" w:hAnsi="宋体" w:cs="宋体"/>
          <w:color w:val="auto"/>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2.7 </w:t>
      </w:r>
      <w:r>
        <w:rPr>
          <w:rFonts w:hint="eastAsia" w:ascii="宋体" w:hAnsi="宋体" w:cs="宋体"/>
          <w:color w:val="auto"/>
          <w:sz w:val="24"/>
          <w:szCs w:val="24"/>
        </w:rPr>
        <w:t>符合《政府采购竞争性磋商采购方式管理暂行办法》（财库〔</w:t>
      </w:r>
      <w:r>
        <w:rPr>
          <w:rFonts w:ascii="宋体" w:hAnsi="宋体" w:cs="宋体"/>
          <w:color w:val="auto"/>
          <w:sz w:val="24"/>
          <w:szCs w:val="24"/>
        </w:rPr>
        <w:t>2014</w:t>
      </w:r>
      <w:r>
        <w:rPr>
          <w:rFonts w:hint="eastAsia" w:ascii="宋体" w:hAnsi="宋体" w:cs="宋体"/>
          <w:color w:val="auto"/>
          <w:sz w:val="24"/>
          <w:szCs w:val="24"/>
        </w:rPr>
        <w:t>〕</w:t>
      </w:r>
      <w:r>
        <w:rPr>
          <w:rFonts w:ascii="宋体" w:hAnsi="宋体" w:cs="宋体"/>
          <w:color w:val="auto"/>
          <w:sz w:val="24"/>
          <w:szCs w:val="24"/>
        </w:rPr>
        <w:t>214</w:t>
      </w:r>
      <w:r>
        <w:rPr>
          <w:rFonts w:hint="eastAsia" w:ascii="宋体" w:hAnsi="宋体" w:cs="宋体"/>
          <w:color w:val="auto"/>
          <w:sz w:val="24"/>
          <w:szCs w:val="24"/>
        </w:rPr>
        <w:t>号）第三条第四项即“市场竞争不充分的科研项目，以及需要扶持的科技成果转化项目”情形的，提交最后报价的供应商可以为</w:t>
      </w:r>
      <w:r>
        <w:rPr>
          <w:rFonts w:ascii="宋体" w:hAnsi="宋体" w:cs="宋体"/>
          <w:color w:val="auto"/>
          <w:sz w:val="24"/>
          <w:szCs w:val="24"/>
        </w:rPr>
        <w:t>2</w:t>
      </w:r>
      <w:r>
        <w:rPr>
          <w:rFonts w:hint="eastAsia" w:ascii="宋体" w:hAnsi="宋体" w:cs="宋体"/>
          <w:color w:val="auto"/>
          <w:sz w:val="24"/>
          <w:szCs w:val="24"/>
        </w:rPr>
        <w:t>家。</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 xml:space="preserve">2.8 </w:t>
      </w:r>
      <w:r>
        <w:rPr>
          <w:rFonts w:hint="eastAsia" w:ascii="宋体" w:hAnsi="宋体" w:cs="宋体"/>
          <w:color w:val="auto"/>
          <w:sz w:val="24"/>
          <w:szCs w:val="24"/>
        </w:rPr>
        <w:t>采用竞争性磋商采购方式采购的政府购买服务项目（含政府和社会资本合作项目），在采购过程中符合要求的供应商（社会资本）只有</w:t>
      </w:r>
      <w:r>
        <w:rPr>
          <w:rFonts w:ascii="宋体" w:hAnsi="宋体" w:cs="宋体"/>
          <w:color w:val="auto"/>
          <w:sz w:val="24"/>
          <w:szCs w:val="24"/>
        </w:rPr>
        <w:t>2</w:t>
      </w:r>
      <w:r>
        <w:rPr>
          <w:rFonts w:hint="eastAsia" w:ascii="宋体" w:hAnsi="宋体" w:cs="宋体"/>
          <w:color w:val="auto"/>
          <w:sz w:val="24"/>
          <w:szCs w:val="24"/>
        </w:rPr>
        <w:t>家的，竞争性磋商采购活动可以继续进行。采购过程中符合要求的供应商（社会资本）只有</w:t>
      </w:r>
      <w:r>
        <w:rPr>
          <w:rFonts w:ascii="宋体" w:hAnsi="宋体" w:cs="宋体"/>
          <w:color w:val="auto"/>
          <w:sz w:val="24"/>
          <w:szCs w:val="24"/>
        </w:rPr>
        <w:t>1</w:t>
      </w:r>
      <w:r>
        <w:rPr>
          <w:rFonts w:hint="eastAsia" w:ascii="宋体" w:hAnsi="宋体" w:cs="宋体"/>
          <w:color w:val="auto"/>
          <w:sz w:val="24"/>
          <w:szCs w:val="24"/>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lang w:val="zh-CN"/>
        </w:rPr>
      </w:pPr>
      <w:r>
        <w:rPr>
          <w:rFonts w:ascii="宋体" w:hAnsi="宋体" w:cs="宋体"/>
          <w:b/>
          <w:bCs/>
          <w:color w:val="auto"/>
          <w:sz w:val="24"/>
          <w:szCs w:val="24"/>
        </w:rPr>
        <w:t>3</w:t>
      </w:r>
      <w:r>
        <w:rPr>
          <w:rFonts w:hint="eastAsia" w:ascii="宋体" w:hAnsi="宋体" w:cs="宋体"/>
          <w:b/>
          <w:bCs/>
          <w:color w:val="auto"/>
          <w:sz w:val="24"/>
          <w:szCs w:val="24"/>
          <w:lang w:val="zh-CN"/>
        </w:rPr>
        <w:t>、最后报价</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3.1</w:t>
      </w:r>
      <w:r>
        <w:rPr>
          <w:rFonts w:hint="eastAsia" w:ascii="宋体" w:hAnsi="宋体" w:cs="宋体"/>
          <w:color w:val="auto"/>
          <w:sz w:val="24"/>
          <w:szCs w:val="24"/>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3.2</w:t>
      </w:r>
      <w:r>
        <w:rPr>
          <w:rFonts w:hint="eastAsia" w:ascii="宋体" w:hAnsi="宋体" w:cs="宋体"/>
          <w:color w:val="auto"/>
          <w:sz w:val="24"/>
          <w:szCs w:val="24"/>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rPr>
      </w:pPr>
      <w:r>
        <w:rPr>
          <w:rFonts w:ascii="宋体" w:hAnsi="宋体" w:cs="宋体"/>
          <w:color w:val="auto"/>
          <w:sz w:val="24"/>
          <w:szCs w:val="24"/>
        </w:rPr>
        <w:t>3.3</w:t>
      </w:r>
      <w:r>
        <w:rPr>
          <w:rFonts w:hint="eastAsia" w:ascii="宋体" w:hAnsi="宋体" w:cs="宋体"/>
          <w:color w:val="auto"/>
          <w:sz w:val="24"/>
          <w:szCs w:val="24"/>
        </w:rPr>
        <w:t>已提交响应文件的供应商，在提交最后报价之前，若因磋商文件实质性变动导致供应商无法满足采购需求的，允许供应商退出磋商。</w:t>
      </w:r>
    </w:p>
    <w:p>
      <w:pPr>
        <w:pStyle w:val="3"/>
        <w:spacing w:line="360" w:lineRule="auto"/>
        <w:ind w:firstLine="482" w:firstLineChars="200"/>
        <w:rPr>
          <w:rFonts w:ascii="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、电子评标</w:t>
      </w:r>
    </w:p>
    <w:p>
      <w:pPr>
        <w:pStyle w:val="3"/>
        <w:spacing w:line="360" w:lineRule="auto"/>
        <w:ind w:firstLine="0"/>
        <w:rPr>
          <w:rFonts w:ascii="宋体"/>
          <w:color w:val="auto"/>
          <w:sz w:val="24"/>
          <w:szCs w:val="24"/>
        </w:rPr>
      </w:pPr>
      <w:r>
        <w:rPr>
          <w:rFonts w:ascii="宋体" w:hAnsi="宋体" w:cs="宋体"/>
          <w:color w:val="auto"/>
          <w:sz w:val="24"/>
          <w:szCs w:val="24"/>
        </w:rPr>
        <w:t xml:space="preserve">    4.1</w:t>
      </w:r>
      <w:r>
        <w:rPr>
          <w:rFonts w:hint="eastAsia" w:ascii="宋体" w:hAnsi="宋体" w:cs="宋体"/>
          <w:color w:val="auto"/>
          <w:sz w:val="24"/>
          <w:szCs w:val="24"/>
        </w:rPr>
        <w:t>磋商活动由采购代理机构主持</w:t>
      </w:r>
      <w:r>
        <w:rPr>
          <w:rFonts w:ascii="宋体" w:cs="宋体"/>
          <w:color w:val="auto"/>
          <w:sz w:val="24"/>
          <w:szCs w:val="24"/>
        </w:rPr>
        <w:t>,</w:t>
      </w:r>
      <w:r>
        <w:rPr>
          <w:rFonts w:hint="eastAsia" w:ascii="宋体" w:hAnsi="宋体" w:cs="宋体"/>
          <w:color w:val="auto"/>
          <w:sz w:val="24"/>
          <w:szCs w:val="24"/>
        </w:rPr>
        <w:t>磋商响应截止时间后</w:t>
      </w:r>
      <w:r>
        <w:rPr>
          <w:rFonts w:ascii="宋体" w:cs="宋体"/>
          <w:color w:val="auto"/>
          <w:sz w:val="24"/>
          <w:szCs w:val="24"/>
        </w:rPr>
        <w:t>,</w:t>
      </w:r>
      <w:r>
        <w:rPr>
          <w:rFonts w:hint="eastAsia" w:ascii="宋体" w:hAnsi="宋体" w:cs="宋体"/>
          <w:color w:val="auto"/>
          <w:sz w:val="24"/>
          <w:szCs w:val="24"/>
        </w:rPr>
        <w:t>供应商登录政采云平台对电子响应文件进行在线解密；</w:t>
      </w:r>
    </w:p>
    <w:p>
      <w:pPr>
        <w:pStyle w:val="3"/>
        <w:spacing w:line="360" w:lineRule="auto"/>
        <w:ind w:firstLine="480" w:firstLineChars="200"/>
        <w:rPr>
          <w:rFonts w:ascii="宋体"/>
          <w:color w:val="auto"/>
          <w:sz w:val="24"/>
          <w:szCs w:val="24"/>
        </w:rPr>
      </w:pPr>
      <w:r>
        <w:rPr>
          <w:rFonts w:ascii="宋体" w:hAnsi="宋体" w:cs="宋体"/>
          <w:color w:val="auto"/>
          <w:sz w:val="24"/>
          <w:szCs w:val="24"/>
        </w:rPr>
        <w:t>4.2</w:t>
      </w:r>
      <w:r>
        <w:rPr>
          <w:rFonts w:hint="eastAsia" w:ascii="宋体" w:hAnsi="宋体" w:cs="宋体"/>
          <w:color w:val="auto"/>
          <w:sz w:val="24"/>
          <w:szCs w:val="24"/>
        </w:rPr>
        <w:t>响应文件解密结束</w:t>
      </w:r>
      <w:r>
        <w:rPr>
          <w:rFonts w:ascii="宋体" w:cs="宋体"/>
          <w:color w:val="auto"/>
          <w:sz w:val="24"/>
          <w:szCs w:val="24"/>
        </w:rPr>
        <w:t>,</w:t>
      </w:r>
      <w:r>
        <w:rPr>
          <w:rFonts w:hint="eastAsia" w:ascii="宋体" w:hAnsi="宋体" w:cs="宋体"/>
          <w:color w:val="auto"/>
          <w:sz w:val="24"/>
          <w:szCs w:val="24"/>
        </w:rPr>
        <w:t>开启响应文件</w:t>
      </w:r>
      <w:r>
        <w:rPr>
          <w:rFonts w:ascii="宋体" w:cs="宋体"/>
          <w:color w:val="auto"/>
          <w:sz w:val="24"/>
          <w:szCs w:val="24"/>
        </w:rPr>
        <w:t>,</w:t>
      </w:r>
      <w:r>
        <w:rPr>
          <w:rFonts w:hint="eastAsia" w:ascii="宋体" w:hAnsi="宋体" w:cs="宋体"/>
          <w:color w:val="auto"/>
          <w:sz w:val="24"/>
          <w:szCs w:val="24"/>
        </w:rPr>
        <w:t>磋商小组对资格和商务技术响应文件进行资格审查和符合性审查；</w:t>
      </w:r>
    </w:p>
    <w:p>
      <w:pPr>
        <w:pStyle w:val="3"/>
        <w:spacing w:line="360" w:lineRule="auto"/>
        <w:ind w:firstLine="480" w:firstLineChars="200"/>
        <w:rPr>
          <w:rFonts w:ascii="宋体"/>
          <w:color w:val="auto"/>
          <w:sz w:val="24"/>
          <w:szCs w:val="24"/>
        </w:rPr>
      </w:pPr>
      <w:r>
        <w:rPr>
          <w:rFonts w:ascii="宋体" w:hAnsi="宋体" w:cs="宋体"/>
          <w:color w:val="auto"/>
          <w:sz w:val="24"/>
          <w:szCs w:val="24"/>
        </w:rPr>
        <w:t>4.3</w:t>
      </w:r>
      <w:r>
        <w:rPr>
          <w:rFonts w:hint="eastAsia" w:ascii="宋体" w:hAnsi="宋体" w:cs="宋体"/>
          <w:color w:val="auto"/>
          <w:sz w:val="24"/>
          <w:szCs w:val="24"/>
        </w:rPr>
        <w:t>供应商按递交磋商响应文件的前后顺序决定磋商的顺序</w:t>
      </w:r>
      <w:r>
        <w:rPr>
          <w:rFonts w:ascii="宋体" w:cs="宋体"/>
          <w:color w:val="auto"/>
          <w:sz w:val="24"/>
          <w:szCs w:val="24"/>
        </w:rPr>
        <w:t>,</w:t>
      </w:r>
      <w:r>
        <w:rPr>
          <w:rFonts w:hint="eastAsia" w:ascii="宋体" w:hAnsi="宋体" w:cs="宋体"/>
          <w:color w:val="auto"/>
          <w:sz w:val="24"/>
          <w:szCs w:val="24"/>
        </w:rPr>
        <w:t>就价格、服务等认为需要磋商的内容进行磋商</w:t>
      </w:r>
      <w:r>
        <w:rPr>
          <w:rFonts w:ascii="宋体" w:cs="宋体"/>
          <w:color w:val="auto"/>
          <w:sz w:val="24"/>
          <w:szCs w:val="24"/>
        </w:rPr>
        <w:t>,</w:t>
      </w:r>
      <w:r>
        <w:rPr>
          <w:rFonts w:hint="eastAsia" w:ascii="宋体" w:hAnsi="宋体" w:cs="宋体"/>
          <w:color w:val="auto"/>
          <w:sz w:val="24"/>
          <w:szCs w:val="24"/>
        </w:rPr>
        <w:t>供应商逐家回答磋商小组的提问</w:t>
      </w:r>
      <w:r>
        <w:rPr>
          <w:rFonts w:ascii="宋体" w:cs="宋体"/>
          <w:color w:val="auto"/>
          <w:sz w:val="24"/>
          <w:szCs w:val="24"/>
        </w:rPr>
        <w:t>,</w:t>
      </w:r>
      <w:r>
        <w:rPr>
          <w:rFonts w:hint="eastAsia" w:ascii="宋体" w:hAnsi="宋体" w:cs="宋体"/>
          <w:color w:val="auto"/>
          <w:sz w:val="24"/>
          <w:szCs w:val="24"/>
        </w:rPr>
        <w:t>供应商作出最终承诺；</w:t>
      </w:r>
    </w:p>
    <w:p>
      <w:pPr>
        <w:pStyle w:val="3"/>
        <w:spacing w:line="360" w:lineRule="auto"/>
        <w:ind w:firstLine="480" w:firstLineChars="200"/>
        <w:rPr>
          <w:rFonts w:ascii="宋体"/>
          <w:color w:val="auto"/>
          <w:sz w:val="24"/>
          <w:szCs w:val="24"/>
        </w:rPr>
      </w:pPr>
      <w:r>
        <w:rPr>
          <w:rFonts w:ascii="宋体" w:hAnsi="宋体" w:cs="宋体"/>
          <w:color w:val="auto"/>
          <w:sz w:val="24"/>
          <w:szCs w:val="24"/>
        </w:rPr>
        <w:t>4.4</w:t>
      </w:r>
      <w:r>
        <w:rPr>
          <w:rFonts w:hint="eastAsia" w:ascii="宋体" w:hAnsi="宋体" w:cs="宋体"/>
          <w:color w:val="auto"/>
          <w:sz w:val="24"/>
          <w:szCs w:val="24"/>
        </w:rPr>
        <w:t>磋商小组对商务技术响应文件进行评审；</w:t>
      </w:r>
    </w:p>
    <w:p>
      <w:pPr>
        <w:pStyle w:val="3"/>
        <w:spacing w:line="360" w:lineRule="auto"/>
        <w:ind w:firstLine="480" w:firstLineChars="200"/>
        <w:rPr>
          <w:rFonts w:ascii="宋体"/>
          <w:color w:val="auto"/>
          <w:sz w:val="24"/>
          <w:szCs w:val="24"/>
        </w:rPr>
      </w:pPr>
      <w:r>
        <w:rPr>
          <w:rFonts w:ascii="宋体" w:hAnsi="宋体" w:cs="宋体"/>
          <w:color w:val="auto"/>
          <w:sz w:val="24"/>
          <w:szCs w:val="24"/>
        </w:rPr>
        <w:t>4.5</w:t>
      </w:r>
      <w:r>
        <w:rPr>
          <w:rFonts w:hint="eastAsia" w:ascii="宋体" w:hAnsi="宋体" w:cs="宋体"/>
          <w:color w:val="auto"/>
          <w:sz w:val="24"/>
          <w:szCs w:val="24"/>
        </w:rPr>
        <w:t>商务技术汇总后，供应商开启报价文件，进行磋商二次报价（最终报价），</w:t>
      </w:r>
      <w:r>
        <w:rPr>
          <w:rFonts w:hint="eastAsia" w:ascii="宋体" w:hAnsi="宋体" w:cs="宋体"/>
          <w:b/>
          <w:bCs/>
          <w:color w:val="auto"/>
          <w:sz w:val="24"/>
          <w:szCs w:val="24"/>
        </w:rPr>
        <w:t>如果供应商在规定时间</w:t>
      </w:r>
      <w:r>
        <w:rPr>
          <w:rFonts w:ascii="宋体" w:hAnsi="宋体" w:cs="宋体"/>
          <w:b/>
          <w:bCs/>
          <w:color w:val="auto"/>
          <w:sz w:val="24"/>
          <w:szCs w:val="24"/>
        </w:rPr>
        <w:t>30</w:t>
      </w:r>
      <w:r>
        <w:rPr>
          <w:rFonts w:hint="eastAsia" w:ascii="宋体" w:hAnsi="宋体" w:cs="宋体"/>
          <w:b/>
          <w:bCs/>
          <w:color w:val="auto"/>
          <w:sz w:val="24"/>
          <w:szCs w:val="24"/>
        </w:rPr>
        <w:t>分钟内未提交第二次报价，视该供应商放弃本次投标，作无效标处理</w:t>
      </w:r>
      <w:r>
        <w:rPr>
          <w:rFonts w:hint="eastAsia" w:ascii="宋体" w:hAnsi="宋体" w:cs="宋体"/>
          <w:color w:val="auto"/>
          <w:sz w:val="24"/>
          <w:szCs w:val="24"/>
        </w:rPr>
        <w:t>；</w:t>
      </w:r>
    </w:p>
    <w:p>
      <w:pPr>
        <w:pStyle w:val="3"/>
        <w:spacing w:line="360" w:lineRule="auto"/>
        <w:ind w:firstLine="480" w:firstLineChars="200"/>
        <w:rPr>
          <w:rFonts w:ascii="宋体"/>
          <w:color w:val="auto"/>
          <w:sz w:val="24"/>
          <w:szCs w:val="24"/>
        </w:rPr>
      </w:pPr>
      <w:r>
        <w:rPr>
          <w:rFonts w:ascii="宋体" w:hAnsi="宋体" w:cs="宋体"/>
          <w:color w:val="auto"/>
          <w:sz w:val="24"/>
          <w:szCs w:val="24"/>
        </w:rPr>
        <w:t>4.6</w:t>
      </w:r>
      <w:r>
        <w:rPr>
          <w:rFonts w:hint="eastAsia" w:ascii="宋体" w:hAnsi="宋体" w:cs="宋体"/>
          <w:color w:val="auto"/>
          <w:sz w:val="24"/>
          <w:szCs w:val="24"/>
        </w:rPr>
        <w:t>在系统上开启最终报价情况；</w:t>
      </w:r>
    </w:p>
    <w:p>
      <w:pPr>
        <w:pStyle w:val="3"/>
        <w:spacing w:line="360" w:lineRule="auto"/>
        <w:ind w:firstLine="480" w:firstLineChars="200"/>
        <w:rPr>
          <w:rFonts w:ascii="宋体"/>
          <w:color w:val="auto"/>
          <w:sz w:val="24"/>
          <w:szCs w:val="24"/>
        </w:rPr>
      </w:pPr>
      <w:r>
        <w:rPr>
          <w:rFonts w:ascii="宋体" w:hAnsi="宋体" w:cs="宋体"/>
          <w:color w:val="auto"/>
          <w:sz w:val="24"/>
          <w:szCs w:val="24"/>
        </w:rPr>
        <w:t>4.7</w:t>
      </w:r>
      <w:r>
        <w:rPr>
          <w:rFonts w:hint="eastAsia" w:ascii="宋体" w:hAnsi="宋体" w:cs="宋体"/>
          <w:color w:val="auto"/>
          <w:sz w:val="24"/>
          <w:szCs w:val="24"/>
        </w:rPr>
        <w:t>磋商小组对报价情况进行评审；</w:t>
      </w:r>
    </w:p>
    <w:p>
      <w:pPr>
        <w:pStyle w:val="3"/>
        <w:spacing w:line="360" w:lineRule="auto"/>
        <w:ind w:firstLine="480" w:firstLineChars="200"/>
        <w:rPr>
          <w:rFonts w:ascii="宋体"/>
          <w:color w:val="auto"/>
          <w:sz w:val="24"/>
          <w:szCs w:val="24"/>
        </w:rPr>
      </w:pPr>
      <w:r>
        <w:rPr>
          <w:rFonts w:ascii="宋体" w:hAnsi="宋体" w:cs="宋体"/>
          <w:color w:val="auto"/>
          <w:sz w:val="24"/>
          <w:szCs w:val="24"/>
        </w:rPr>
        <w:t>4.8</w:t>
      </w:r>
      <w:r>
        <w:rPr>
          <w:rFonts w:hint="eastAsia" w:ascii="宋体" w:hAnsi="宋体" w:cs="宋体"/>
          <w:color w:val="auto"/>
          <w:sz w:val="24"/>
          <w:szCs w:val="24"/>
        </w:rPr>
        <w:t>在系统上公开资格和商务技术评审结果；</w:t>
      </w:r>
    </w:p>
    <w:p>
      <w:pPr>
        <w:pStyle w:val="3"/>
        <w:spacing w:line="360" w:lineRule="auto"/>
        <w:ind w:firstLine="480" w:firstLineChars="200"/>
        <w:rPr>
          <w:rFonts w:ascii="宋体"/>
          <w:color w:val="auto"/>
          <w:sz w:val="24"/>
          <w:szCs w:val="24"/>
        </w:rPr>
      </w:pPr>
      <w:r>
        <w:rPr>
          <w:rFonts w:ascii="宋体" w:hAnsi="宋体" w:cs="宋体"/>
          <w:color w:val="auto"/>
          <w:sz w:val="24"/>
          <w:szCs w:val="24"/>
        </w:rPr>
        <w:t>4.9</w:t>
      </w:r>
      <w:r>
        <w:rPr>
          <w:rFonts w:hint="eastAsia" w:ascii="宋体" w:hAnsi="宋体" w:cs="宋体"/>
          <w:color w:val="auto"/>
          <w:sz w:val="24"/>
          <w:szCs w:val="24"/>
        </w:rPr>
        <w:t>在系统上公布评审结果。</w:t>
      </w:r>
    </w:p>
    <w:p>
      <w:pPr>
        <w:pStyle w:val="3"/>
        <w:spacing w:line="360" w:lineRule="auto"/>
        <w:ind w:firstLine="480" w:firstLineChars="200"/>
        <w:rPr>
          <w:rFonts w:ascii="宋体"/>
          <w:color w:val="auto"/>
          <w:sz w:val="24"/>
          <w:szCs w:val="24"/>
        </w:rPr>
      </w:pPr>
      <w:r>
        <w:rPr>
          <w:rFonts w:ascii="宋体" w:hAnsi="宋体" w:cs="宋体"/>
          <w:color w:val="auto"/>
          <w:sz w:val="24"/>
          <w:szCs w:val="24"/>
        </w:rPr>
        <w:t>4.10</w:t>
      </w:r>
      <w:r>
        <w:rPr>
          <w:rFonts w:hint="eastAsia" w:ascii="宋体" w:hAnsi="宋体" w:cs="宋体"/>
          <w:color w:val="auto"/>
          <w:sz w:val="24"/>
          <w:szCs w:val="24"/>
        </w:rPr>
        <w:t>开标会结束。</w:t>
      </w:r>
    </w:p>
    <w:p>
      <w:pPr>
        <w:snapToGrid w:val="0"/>
        <w:spacing w:line="360" w:lineRule="auto"/>
        <w:ind w:firstLine="480" w:firstLineChars="200"/>
        <w:rPr>
          <w:rFonts w:ascii="宋体"/>
          <w:b/>
          <w:bCs/>
          <w:color w:val="auto"/>
          <w:sz w:val="24"/>
          <w:szCs w:val="24"/>
        </w:rPr>
      </w:pPr>
      <w:r>
        <w:rPr>
          <w:rFonts w:hint="eastAsia" w:ascii="宋体" w:hAnsi="宋体" w:cs="宋体"/>
          <w:color w:val="auto"/>
          <w:sz w:val="24"/>
          <w:szCs w:val="24"/>
        </w:rPr>
        <w:t>特别说明</w:t>
      </w:r>
      <w:r>
        <w:rPr>
          <w:rFonts w:ascii="宋体" w:hAnsi="宋体" w:cs="宋体"/>
          <w:color w:val="auto"/>
          <w:sz w:val="24"/>
          <w:szCs w:val="24"/>
        </w:rPr>
        <w:t>:</w:t>
      </w:r>
      <w:r>
        <w:rPr>
          <w:rFonts w:hint="eastAsia" w:ascii="宋体" w:hAnsi="宋体" w:cs="宋体"/>
          <w:color w:val="auto"/>
          <w:sz w:val="24"/>
          <w:szCs w:val="24"/>
        </w:rPr>
        <w:t>政采云如对电子化开标及评审程序有调整的</w:t>
      </w:r>
      <w:r>
        <w:rPr>
          <w:rFonts w:ascii="宋体" w:cs="宋体"/>
          <w:color w:val="auto"/>
          <w:sz w:val="24"/>
          <w:szCs w:val="24"/>
        </w:rPr>
        <w:t>,</w:t>
      </w:r>
      <w:r>
        <w:rPr>
          <w:rFonts w:hint="eastAsia" w:ascii="宋体" w:hAnsi="宋体" w:cs="宋体"/>
          <w:color w:val="auto"/>
          <w:sz w:val="24"/>
          <w:szCs w:val="24"/>
        </w:rPr>
        <w:t>按调整后的程序操作。</w:t>
      </w:r>
    </w:p>
    <w:p>
      <w:pPr>
        <w:snapToGrid w:val="0"/>
        <w:spacing w:line="360" w:lineRule="auto"/>
        <w:ind w:firstLine="482" w:firstLineChars="200"/>
        <w:rPr>
          <w:rFonts w:ascii="宋体"/>
          <w:b/>
          <w:bCs/>
          <w:color w:val="auto"/>
          <w:sz w:val="24"/>
          <w:szCs w:val="24"/>
        </w:rPr>
      </w:pPr>
      <w:r>
        <w:rPr>
          <w:rFonts w:ascii="宋体" w:hAnsi="宋体" w:cs="宋体"/>
          <w:b/>
          <w:bCs/>
          <w:color w:val="auto"/>
          <w:sz w:val="24"/>
          <w:szCs w:val="24"/>
        </w:rPr>
        <w:t>5</w:t>
      </w:r>
      <w:r>
        <w:rPr>
          <w:rFonts w:ascii="宋体" w:cs="宋体"/>
          <w:b/>
          <w:bCs/>
          <w:color w:val="auto"/>
          <w:sz w:val="24"/>
          <w:szCs w:val="24"/>
        </w:rPr>
        <w:t>.</w:t>
      </w:r>
      <w:r>
        <w:rPr>
          <w:rFonts w:hint="eastAsia" w:ascii="宋体" w:hAnsi="宋体" w:cs="宋体"/>
          <w:b/>
          <w:bCs/>
          <w:color w:val="auto"/>
          <w:sz w:val="24"/>
          <w:szCs w:val="24"/>
        </w:rPr>
        <w:t>综合评分</w:t>
      </w:r>
    </w:p>
    <w:p>
      <w:pPr>
        <w:tabs>
          <w:tab w:val="left" w:pos="-1080"/>
          <w:tab w:val="left" w:pos="180"/>
          <w:tab w:val="left" w:pos="1080"/>
        </w:tabs>
        <w:snapToGrid w:val="0"/>
        <w:spacing w:line="360" w:lineRule="auto"/>
        <w:ind w:firstLine="480"/>
        <w:rPr>
          <w:rFonts w:ascii="宋体"/>
          <w:color w:val="auto"/>
          <w:kern w:val="0"/>
          <w:sz w:val="24"/>
          <w:szCs w:val="24"/>
        </w:rPr>
      </w:pPr>
      <w:r>
        <w:rPr>
          <w:rFonts w:ascii="宋体" w:hAnsi="宋体" w:cs="宋体"/>
          <w:color w:val="auto"/>
          <w:sz w:val="24"/>
          <w:szCs w:val="24"/>
        </w:rPr>
        <w:t>5.1</w:t>
      </w:r>
      <w:r>
        <w:rPr>
          <w:rFonts w:hint="eastAsia" w:ascii="宋体" w:hAnsi="宋体" w:cs="宋体"/>
          <w:color w:val="auto"/>
          <w:sz w:val="24"/>
          <w:szCs w:val="24"/>
        </w:rPr>
        <w:t>本评标办法采用综合评标法，由商务技术分和报价分合计组成，其中商务技术分</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85</w:t>
      </w:r>
      <w:r>
        <w:rPr>
          <w:rFonts w:ascii="宋体" w:hAnsi="宋体" w:cs="宋体"/>
          <w:color w:val="auto"/>
          <w:sz w:val="24"/>
          <w:szCs w:val="24"/>
          <w:u w:val="single"/>
        </w:rPr>
        <w:t xml:space="preserve"> </w:t>
      </w:r>
      <w:r>
        <w:rPr>
          <w:rFonts w:hint="eastAsia" w:ascii="宋体" w:hAnsi="宋体" w:cs="宋体"/>
          <w:color w:val="auto"/>
          <w:sz w:val="24"/>
          <w:szCs w:val="24"/>
        </w:rPr>
        <w:t>分、报价分</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ascii="宋体" w:hAnsi="宋体" w:cs="宋体"/>
          <w:color w:val="auto"/>
          <w:sz w:val="24"/>
          <w:szCs w:val="24"/>
          <w:u w:val="single"/>
        </w:rPr>
        <w:t xml:space="preserve"> </w:t>
      </w:r>
      <w:r>
        <w:rPr>
          <w:rFonts w:hint="eastAsia" w:ascii="宋体" w:hAnsi="宋体" w:cs="宋体"/>
          <w:color w:val="auto"/>
          <w:sz w:val="24"/>
          <w:szCs w:val="24"/>
        </w:rPr>
        <w:t>分；满分为</w:t>
      </w:r>
      <w:r>
        <w:rPr>
          <w:rFonts w:ascii="宋体" w:hAnsi="宋体" w:cs="宋体"/>
          <w:color w:val="auto"/>
          <w:sz w:val="24"/>
          <w:szCs w:val="24"/>
        </w:rPr>
        <w:t>100</w:t>
      </w:r>
      <w:r>
        <w:rPr>
          <w:rFonts w:hint="eastAsia" w:ascii="宋体" w:hAnsi="宋体" w:cs="宋体"/>
          <w:color w:val="auto"/>
          <w:sz w:val="24"/>
          <w:szCs w:val="24"/>
        </w:rPr>
        <w:t>分。</w:t>
      </w:r>
    </w:p>
    <w:p>
      <w:pPr>
        <w:spacing w:line="360" w:lineRule="auto"/>
        <w:ind w:firstLine="480"/>
        <w:rPr>
          <w:rFonts w:ascii="宋体"/>
          <w:color w:val="auto"/>
          <w:sz w:val="24"/>
          <w:szCs w:val="24"/>
        </w:rPr>
      </w:pPr>
      <w:r>
        <w:rPr>
          <w:rFonts w:ascii="宋体" w:hAnsi="宋体" w:cs="宋体"/>
          <w:color w:val="auto"/>
          <w:sz w:val="24"/>
          <w:szCs w:val="24"/>
        </w:rPr>
        <w:t>5.2</w:t>
      </w:r>
      <w:r>
        <w:rPr>
          <w:rFonts w:hint="eastAsia" w:ascii="宋体" w:hAnsi="宋体" w:cs="宋体"/>
          <w:color w:val="auto"/>
          <w:sz w:val="24"/>
          <w:szCs w:val="24"/>
        </w:rPr>
        <w:t>经初步评审合格的响应文件，磋商小组根据竞争性磋商文件确定的评审标准和方法，对其商务技术部分作进一步评审、比较、打分。</w:t>
      </w:r>
    </w:p>
    <w:p>
      <w:pPr>
        <w:pStyle w:val="12"/>
        <w:spacing w:line="360" w:lineRule="auto"/>
        <w:ind w:firstLine="480" w:firstLineChars="200"/>
        <w:rPr>
          <w:rFonts w:hAnsi="宋体" w:cs="Times New Roman"/>
          <w:color w:val="auto"/>
          <w:sz w:val="24"/>
          <w:szCs w:val="24"/>
        </w:rPr>
      </w:pPr>
      <w:r>
        <w:rPr>
          <w:rFonts w:hAnsi="宋体"/>
          <w:color w:val="auto"/>
          <w:sz w:val="24"/>
          <w:szCs w:val="24"/>
        </w:rPr>
        <w:t>5.3</w:t>
      </w:r>
      <w:r>
        <w:rPr>
          <w:rFonts w:hint="eastAsia" w:hAnsi="宋体"/>
          <w:color w:val="auto"/>
          <w:sz w:val="24"/>
          <w:szCs w:val="24"/>
        </w:rPr>
        <w:t>磋商小组成员首先分别对每个供应商商务技术部分进行评审打分，然后计算出算术平均值（保留</w:t>
      </w:r>
      <w:r>
        <w:rPr>
          <w:rFonts w:hAnsi="宋体"/>
          <w:color w:val="auto"/>
          <w:sz w:val="24"/>
          <w:szCs w:val="24"/>
        </w:rPr>
        <w:t>2</w:t>
      </w:r>
      <w:r>
        <w:rPr>
          <w:rFonts w:hint="eastAsia" w:hAnsi="宋体"/>
          <w:color w:val="auto"/>
          <w:sz w:val="24"/>
          <w:szCs w:val="24"/>
        </w:rPr>
        <w:t>位小数），即为供应商的商务技术得分，后计算二次报价，计算公式：投标价格分</w:t>
      </w:r>
      <w:r>
        <w:rPr>
          <w:rFonts w:hAnsi="宋体"/>
          <w:color w:val="auto"/>
          <w:sz w:val="24"/>
          <w:szCs w:val="24"/>
        </w:rPr>
        <w:t>=(</w:t>
      </w:r>
      <w:r>
        <w:rPr>
          <w:rFonts w:hint="eastAsia" w:hAnsi="宋体"/>
          <w:color w:val="auto"/>
          <w:sz w:val="24"/>
          <w:szCs w:val="24"/>
        </w:rPr>
        <w:t>最佳报价</w:t>
      </w:r>
      <w:r>
        <w:rPr>
          <w:rFonts w:hAnsi="宋体"/>
          <w:color w:val="auto"/>
          <w:sz w:val="24"/>
          <w:szCs w:val="24"/>
        </w:rPr>
        <w:t>/</w:t>
      </w:r>
      <w:r>
        <w:rPr>
          <w:rFonts w:hint="eastAsia" w:hAnsi="宋体"/>
          <w:color w:val="auto"/>
          <w:sz w:val="24"/>
          <w:szCs w:val="24"/>
        </w:rPr>
        <w:t>投标报价</w:t>
      </w:r>
      <w:r>
        <w:rPr>
          <w:rFonts w:hAnsi="宋体"/>
          <w:color w:val="auto"/>
          <w:sz w:val="24"/>
          <w:szCs w:val="24"/>
        </w:rPr>
        <w:t>)*</w:t>
      </w:r>
      <w:r>
        <w:rPr>
          <w:rFonts w:hint="eastAsia" w:hAnsi="宋体"/>
          <w:color w:val="auto"/>
          <w:sz w:val="24"/>
          <w:szCs w:val="24"/>
        </w:rPr>
        <w:t>价格权值</w:t>
      </w:r>
      <w:r>
        <w:rPr>
          <w:rFonts w:hAnsi="宋体"/>
          <w:color w:val="auto"/>
          <w:sz w:val="24"/>
          <w:szCs w:val="24"/>
        </w:rPr>
        <w:t>*100</w:t>
      </w:r>
      <w:r>
        <w:rPr>
          <w:rFonts w:hint="eastAsia" w:hAnsi="宋体"/>
          <w:color w:val="auto"/>
          <w:sz w:val="24"/>
          <w:szCs w:val="24"/>
        </w:rPr>
        <w:t>。，综合得分</w:t>
      </w:r>
      <w:r>
        <w:rPr>
          <w:rFonts w:hAnsi="宋体"/>
          <w:color w:val="auto"/>
          <w:sz w:val="24"/>
          <w:szCs w:val="24"/>
        </w:rPr>
        <w:t>=</w:t>
      </w:r>
      <w:r>
        <w:rPr>
          <w:rFonts w:hint="eastAsia" w:hAnsi="宋体"/>
          <w:color w:val="auto"/>
          <w:sz w:val="24"/>
          <w:szCs w:val="24"/>
        </w:rPr>
        <w:t>商务技术分</w:t>
      </w:r>
      <w:r>
        <w:rPr>
          <w:rFonts w:hAnsi="宋体"/>
          <w:color w:val="auto"/>
          <w:sz w:val="24"/>
          <w:szCs w:val="24"/>
        </w:rPr>
        <w:t>+</w:t>
      </w:r>
      <w:r>
        <w:rPr>
          <w:rFonts w:hint="eastAsia" w:hAnsi="宋体"/>
          <w:color w:val="auto"/>
          <w:sz w:val="24"/>
          <w:szCs w:val="24"/>
        </w:rPr>
        <w:t>报价分，以综合得分（保留</w:t>
      </w:r>
      <w:r>
        <w:rPr>
          <w:rFonts w:hAnsi="宋体"/>
          <w:color w:val="auto"/>
          <w:sz w:val="24"/>
          <w:szCs w:val="24"/>
        </w:rPr>
        <w:t>2</w:t>
      </w:r>
      <w:r>
        <w:rPr>
          <w:rFonts w:hint="eastAsia" w:hAnsi="宋体"/>
          <w:color w:val="auto"/>
          <w:sz w:val="24"/>
          <w:szCs w:val="24"/>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2"/>
        <w:spacing w:line="360" w:lineRule="auto"/>
        <w:ind w:left="420" w:leftChars="200"/>
        <w:rPr>
          <w:rFonts w:hAnsi="宋体" w:cs="Times New Roman"/>
          <w:b/>
          <w:bCs/>
          <w:color w:val="auto"/>
          <w:sz w:val="24"/>
          <w:szCs w:val="24"/>
        </w:rPr>
      </w:pPr>
      <w:r>
        <w:rPr>
          <w:rFonts w:hAnsi="宋体"/>
          <w:b/>
          <w:bCs/>
          <w:color w:val="auto"/>
          <w:sz w:val="24"/>
          <w:szCs w:val="24"/>
        </w:rPr>
        <w:t>6</w:t>
      </w:r>
      <w:r>
        <w:rPr>
          <w:rFonts w:hint="eastAsia" w:hAnsi="宋体"/>
          <w:b/>
          <w:bCs/>
          <w:color w:val="auto"/>
          <w:sz w:val="24"/>
          <w:szCs w:val="24"/>
        </w:rPr>
        <w:t>、修正原则</w:t>
      </w:r>
    </w:p>
    <w:p>
      <w:pPr>
        <w:pStyle w:val="47"/>
        <w:spacing w:before="0"/>
        <w:ind w:left="420" w:leftChars="200" w:firstLine="0" w:firstLineChars="0"/>
        <w:rPr>
          <w:rFonts w:ascii="宋体"/>
          <w:color w:val="auto"/>
          <w:lang w:val="zh-CN"/>
        </w:rPr>
      </w:pPr>
      <w:r>
        <w:rPr>
          <w:rFonts w:hint="eastAsia" w:ascii="宋体" w:hAnsi="宋体" w:cs="宋体"/>
          <w:color w:val="auto"/>
        </w:rPr>
        <w:t>响应</w:t>
      </w:r>
      <w:r>
        <w:rPr>
          <w:rFonts w:hint="eastAsia" w:ascii="宋体" w:hAnsi="宋体" w:cs="宋体"/>
          <w:color w:val="auto"/>
          <w:lang w:val="zh-CN"/>
        </w:rPr>
        <w:t>文件报价出现前后不一致的，按照下列规定修正：</w:t>
      </w:r>
    </w:p>
    <w:p>
      <w:pPr>
        <w:pStyle w:val="47"/>
        <w:tabs>
          <w:tab w:val="left" w:pos="0"/>
        </w:tabs>
        <w:spacing w:before="0"/>
        <w:ind w:firstLine="480"/>
        <w:rPr>
          <w:rFonts w:ascii="宋体"/>
          <w:color w:val="auto"/>
          <w:lang w:val="zh-CN"/>
        </w:rPr>
      </w:pPr>
      <w:r>
        <w:rPr>
          <w:rFonts w:ascii="宋体" w:hAnsi="宋体" w:cs="宋体"/>
          <w:color w:val="auto"/>
        </w:rPr>
        <w:t>6.1</w:t>
      </w:r>
      <w:r>
        <w:rPr>
          <w:rFonts w:hint="eastAsia" w:ascii="宋体" w:hAnsi="宋体" w:cs="宋体"/>
          <w:color w:val="auto"/>
        </w:rPr>
        <w:t>响应</w:t>
      </w:r>
      <w:r>
        <w:rPr>
          <w:rFonts w:hint="eastAsia" w:ascii="宋体" w:hAnsi="宋体" w:cs="宋体"/>
          <w:color w:val="auto"/>
          <w:lang w:val="zh-CN"/>
        </w:rPr>
        <w:t>文件中</w:t>
      </w:r>
      <w:r>
        <w:rPr>
          <w:rFonts w:hint="eastAsia" w:ascii="宋体" w:hAnsi="宋体" w:cs="宋体"/>
          <w:color w:val="auto"/>
        </w:rPr>
        <w:t>报价</w:t>
      </w:r>
      <w:r>
        <w:rPr>
          <w:rFonts w:hint="eastAsia" w:ascii="宋体" w:hAnsi="宋体" w:cs="宋体"/>
          <w:color w:val="auto"/>
          <w:lang w:val="zh-CN"/>
        </w:rPr>
        <w:t>一览表内容与</w:t>
      </w:r>
      <w:r>
        <w:rPr>
          <w:rFonts w:hint="eastAsia" w:ascii="宋体" w:hAnsi="宋体" w:cs="宋体"/>
          <w:color w:val="auto"/>
        </w:rPr>
        <w:t>响应</w:t>
      </w:r>
      <w:r>
        <w:rPr>
          <w:rFonts w:hint="eastAsia" w:ascii="宋体" w:hAnsi="宋体" w:cs="宋体"/>
          <w:color w:val="auto"/>
          <w:lang w:val="zh-CN"/>
        </w:rPr>
        <w:t>文件中相应内容不一致的，以</w:t>
      </w:r>
      <w:r>
        <w:rPr>
          <w:rFonts w:hint="eastAsia" w:ascii="宋体" w:hAnsi="宋体" w:cs="宋体"/>
          <w:color w:val="auto"/>
        </w:rPr>
        <w:t>报价</w:t>
      </w:r>
      <w:r>
        <w:rPr>
          <w:rFonts w:hint="eastAsia" w:ascii="宋体" w:hAnsi="宋体" w:cs="宋体"/>
          <w:color w:val="auto"/>
          <w:lang w:val="zh-CN"/>
        </w:rPr>
        <w:t>一览表为准；</w:t>
      </w:r>
    </w:p>
    <w:p>
      <w:pPr>
        <w:pStyle w:val="47"/>
        <w:tabs>
          <w:tab w:val="left" w:pos="0"/>
        </w:tabs>
        <w:spacing w:before="0"/>
        <w:ind w:firstLine="480"/>
        <w:rPr>
          <w:rFonts w:ascii="宋体"/>
          <w:color w:val="auto"/>
          <w:lang w:val="zh-CN"/>
        </w:rPr>
      </w:pPr>
      <w:r>
        <w:rPr>
          <w:rFonts w:ascii="宋体" w:hAnsi="宋体" w:cs="宋体"/>
          <w:color w:val="auto"/>
        </w:rPr>
        <w:t>6.2</w:t>
      </w:r>
      <w:r>
        <w:rPr>
          <w:rFonts w:hint="eastAsia" w:ascii="宋体" w:hAnsi="宋体" w:cs="宋体"/>
          <w:color w:val="auto"/>
          <w:lang w:val="zh-CN"/>
        </w:rPr>
        <w:t>大写金额和小写金额不一致的，以大写金额为准；</w:t>
      </w:r>
    </w:p>
    <w:p>
      <w:pPr>
        <w:pStyle w:val="47"/>
        <w:tabs>
          <w:tab w:val="left" w:pos="0"/>
        </w:tabs>
        <w:spacing w:before="0"/>
        <w:ind w:firstLine="480"/>
        <w:rPr>
          <w:rFonts w:ascii="宋体"/>
          <w:color w:val="auto"/>
          <w:lang w:val="zh-CN"/>
        </w:rPr>
      </w:pPr>
      <w:r>
        <w:rPr>
          <w:rFonts w:ascii="宋体" w:hAnsi="宋体" w:cs="宋体"/>
          <w:color w:val="auto"/>
        </w:rPr>
        <w:t>6.3</w:t>
      </w:r>
      <w:r>
        <w:rPr>
          <w:rFonts w:hint="eastAsia" w:ascii="宋体" w:hAnsi="宋体" w:cs="宋体"/>
          <w:color w:val="auto"/>
          <w:lang w:val="zh-CN"/>
        </w:rPr>
        <w:t>单价金额小数点或者百分比有明显错位的，以</w:t>
      </w:r>
      <w:r>
        <w:rPr>
          <w:rFonts w:hint="eastAsia" w:ascii="宋体" w:hAnsi="宋体" w:cs="宋体"/>
          <w:color w:val="auto"/>
        </w:rPr>
        <w:t>报价</w:t>
      </w:r>
      <w:r>
        <w:rPr>
          <w:rFonts w:hint="eastAsia" w:ascii="宋体" w:hAnsi="宋体" w:cs="宋体"/>
          <w:color w:val="auto"/>
          <w:lang w:val="zh-CN"/>
        </w:rPr>
        <w:t>一览表的总价为准，并修改单价；</w:t>
      </w:r>
    </w:p>
    <w:p>
      <w:pPr>
        <w:pStyle w:val="47"/>
        <w:tabs>
          <w:tab w:val="left" w:pos="0"/>
        </w:tabs>
        <w:spacing w:before="0"/>
        <w:ind w:firstLine="480"/>
        <w:rPr>
          <w:rFonts w:ascii="宋体"/>
          <w:color w:val="auto"/>
          <w:lang w:val="zh-CN"/>
        </w:rPr>
      </w:pPr>
      <w:r>
        <w:rPr>
          <w:rFonts w:ascii="宋体" w:hAnsi="宋体" w:cs="宋体"/>
          <w:color w:val="auto"/>
        </w:rPr>
        <w:t>6.4</w:t>
      </w:r>
      <w:r>
        <w:rPr>
          <w:rFonts w:hint="eastAsia" w:ascii="宋体" w:hAnsi="宋体" w:cs="宋体"/>
          <w:color w:val="auto"/>
          <w:lang w:val="zh-CN"/>
        </w:rPr>
        <w:t>总价金额与按单价汇总金额不一致的，以单价金额计算结果为准。</w:t>
      </w:r>
    </w:p>
    <w:p>
      <w:pPr>
        <w:pStyle w:val="47"/>
        <w:spacing w:before="0"/>
        <w:ind w:firstLine="480"/>
        <w:rPr>
          <w:rFonts w:ascii="宋体"/>
          <w:color w:val="auto"/>
          <w:lang w:val="zh-CN"/>
        </w:rPr>
      </w:pPr>
      <w:r>
        <w:rPr>
          <w:rFonts w:hint="eastAsia" w:ascii="宋体" w:hAnsi="宋体" w:cs="宋体"/>
          <w:color w:val="auto"/>
          <w:lang w:val="zh-CN"/>
        </w:rPr>
        <w:t>同时出现两种以上不一致的，按照前款规定的顺序修正。修正后的报价按照财政部公布第</w:t>
      </w:r>
      <w:r>
        <w:rPr>
          <w:rFonts w:ascii="宋体" w:hAnsi="宋体" w:cs="宋体"/>
          <w:color w:val="auto"/>
          <w:lang w:val="zh-CN"/>
        </w:rPr>
        <w:t>87</w:t>
      </w:r>
      <w:r>
        <w:rPr>
          <w:rFonts w:hint="eastAsia" w:ascii="宋体" w:hAnsi="宋体" w:cs="宋体"/>
          <w:color w:val="auto"/>
          <w:lang w:val="zh-CN"/>
        </w:rPr>
        <w:t>号令</w:t>
      </w:r>
      <w:r>
        <w:rPr>
          <w:rFonts w:ascii="宋体" w:hAnsi="宋体" w:cs="宋体"/>
          <w:color w:val="auto"/>
          <w:lang w:val="zh-CN"/>
        </w:rPr>
        <w:t xml:space="preserve"> </w:t>
      </w:r>
      <w:r>
        <w:rPr>
          <w:rFonts w:hint="eastAsia" w:ascii="宋体" w:hAnsi="宋体" w:cs="宋体"/>
          <w:color w:val="auto"/>
          <w:lang w:val="zh-CN"/>
        </w:rPr>
        <w:t>《政府采购产品和服务招标投标管理办法》第五十一条第二款的规定经</w:t>
      </w:r>
      <w:r>
        <w:rPr>
          <w:rFonts w:hint="eastAsia" w:ascii="宋体" w:hAnsi="宋体" w:cs="宋体"/>
          <w:color w:val="auto"/>
        </w:rPr>
        <w:t>供应商</w:t>
      </w:r>
      <w:r>
        <w:rPr>
          <w:rFonts w:hint="eastAsia" w:ascii="宋体" w:hAnsi="宋体" w:cs="宋体"/>
          <w:color w:val="auto"/>
          <w:lang w:val="zh-CN"/>
        </w:rPr>
        <w:t>确认后产生约束力，</w:t>
      </w:r>
      <w:r>
        <w:rPr>
          <w:rFonts w:hint="eastAsia" w:ascii="宋体" w:hAnsi="宋体" w:cs="宋体"/>
          <w:color w:val="auto"/>
        </w:rPr>
        <w:t>供应商</w:t>
      </w:r>
      <w:r>
        <w:rPr>
          <w:rFonts w:hint="eastAsia" w:ascii="宋体" w:hAnsi="宋体" w:cs="宋体"/>
          <w:color w:val="auto"/>
          <w:lang w:val="zh-CN"/>
        </w:rPr>
        <w:t>不确认的，其</w:t>
      </w:r>
      <w:r>
        <w:rPr>
          <w:rFonts w:hint="eastAsia" w:ascii="宋体" w:hAnsi="宋体" w:cs="宋体"/>
          <w:color w:val="auto"/>
        </w:rPr>
        <w:t>磋商</w:t>
      </w:r>
      <w:r>
        <w:rPr>
          <w:rFonts w:hint="eastAsia" w:ascii="宋体" w:hAnsi="宋体" w:cs="宋体"/>
          <w:color w:val="auto"/>
          <w:lang w:val="zh-CN"/>
        </w:rPr>
        <w:t>无效。</w:t>
      </w:r>
    </w:p>
    <w:p>
      <w:pPr>
        <w:pStyle w:val="12"/>
        <w:spacing w:line="360" w:lineRule="auto"/>
        <w:ind w:left="420" w:leftChars="200"/>
        <w:rPr>
          <w:rFonts w:hAnsi="宋体" w:cs="Times New Roman"/>
          <w:b/>
          <w:bCs/>
          <w:color w:val="auto"/>
          <w:sz w:val="24"/>
          <w:szCs w:val="24"/>
        </w:rPr>
      </w:pPr>
      <w:r>
        <w:rPr>
          <w:rFonts w:hAnsi="宋体"/>
          <w:b/>
          <w:bCs/>
          <w:color w:val="auto"/>
          <w:sz w:val="24"/>
          <w:szCs w:val="24"/>
        </w:rPr>
        <w:t>7</w:t>
      </w:r>
      <w:r>
        <w:rPr>
          <w:rFonts w:hint="eastAsia" w:hAnsi="宋体"/>
          <w:b/>
          <w:bCs/>
          <w:color w:val="auto"/>
          <w:sz w:val="24"/>
          <w:szCs w:val="24"/>
        </w:rPr>
        <w:t>、响应文件的澄清</w:t>
      </w:r>
    </w:p>
    <w:p>
      <w:pPr>
        <w:pStyle w:val="47"/>
        <w:tabs>
          <w:tab w:val="left" w:pos="0"/>
        </w:tabs>
        <w:spacing w:before="0"/>
        <w:ind w:firstLine="480"/>
        <w:rPr>
          <w:rFonts w:ascii="宋体"/>
          <w:color w:val="auto"/>
          <w:lang w:val="zh-CN"/>
        </w:rPr>
      </w:pPr>
      <w:r>
        <w:rPr>
          <w:rFonts w:ascii="宋体" w:hAnsi="宋体" w:cs="宋体"/>
          <w:color w:val="auto"/>
        </w:rPr>
        <w:t>7.1</w:t>
      </w:r>
      <w:r>
        <w:rPr>
          <w:rFonts w:hint="eastAsia" w:ascii="宋体" w:hAnsi="宋体" w:cs="宋体"/>
          <w:color w:val="auto"/>
          <w:lang w:val="zh-CN"/>
        </w:rPr>
        <w:t>评审中因</w:t>
      </w:r>
      <w:r>
        <w:rPr>
          <w:rFonts w:hint="eastAsia" w:ascii="宋体" w:hAnsi="宋体" w:cs="宋体"/>
          <w:color w:val="auto"/>
        </w:rPr>
        <w:t>响应</w:t>
      </w:r>
      <w:r>
        <w:rPr>
          <w:rFonts w:hint="eastAsia" w:ascii="宋体" w:hAnsi="宋体" w:cs="宋体"/>
          <w:color w:val="auto"/>
          <w:lang w:val="zh-CN"/>
        </w:rPr>
        <w:t>文件含义不明、表述不一致或有明显计算错误等内容需要供应商作出澄清、说明或者补正的，</w:t>
      </w:r>
      <w:r>
        <w:rPr>
          <w:rFonts w:hint="eastAsia" w:ascii="宋体" w:hAnsi="宋体" w:cs="宋体"/>
          <w:color w:val="auto"/>
        </w:rPr>
        <w:t>磋商小组</w:t>
      </w:r>
      <w:r>
        <w:rPr>
          <w:rFonts w:hint="eastAsia" w:ascii="宋体" w:hAnsi="宋体" w:cs="宋体"/>
          <w:color w:val="auto"/>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rPr>
      </w:pPr>
      <w:r>
        <w:rPr>
          <w:rFonts w:hint="eastAsia" w:ascii="宋体" w:hAnsi="宋体" w:cs="宋体"/>
          <w:color w:val="auto"/>
          <w:sz w:val="24"/>
          <w:szCs w:val="24"/>
          <w:lang w:val="zh-CN"/>
        </w:rPr>
        <w:t>供应商通过政采云平台交换的数据电文必须进行电子签章。</w:t>
      </w:r>
    </w:p>
    <w:p>
      <w:pPr>
        <w:pStyle w:val="2"/>
        <w:numPr>
          <w:ilvl w:val="0"/>
          <w:numId w:val="18"/>
        </w:numPr>
        <w:jc w:val="center"/>
        <w:rPr>
          <w:rFonts w:cs="Times New Roman"/>
          <w:color w:val="auto"/>
        </w:rPr>
      </w:pPr>
      <w:r>
        <w:rPr>
          <w:color w:val="auto"/>
        </w:rPr>
        <w:t xml:space="preserve"> </w:t>
      </w:r>
      <w:bookmarkStart w:id="73" w:name="_Toc16523"/>
      <w:bookmarkStart w:id="74" w:name="_Toc12816"/>
      <w:r>
        <w:rPr>
          <w:rFonts w:hint="eastAsia"/>
          <w:color w:val="auto"/>
        </w:rPr>
        <w:t>注意事项</w:t>
      </w:r>
      <w:bookmarkEnd w:id="73"/>
      <w:bookmarkEnd w:id="74"/>
    </w:p>
    <w:p>
      <w:pPr>
        <w:pStyle w:val="3"/>
        <w:spacing w:line="360" w:lineRule="auto"/>
        <w:rPr>
          <w:b/>
          <w:bCs/>
          <w:color w:val="auto"/>
          <w:sz w:val="24"/>
          <w:szCs w:val="24"/>
        </w:rPr>
      </w:pPr>
      <w:r>
        <w:rPr>
          <w:rFonts w:hint="eastAsia" w:cs="宋体"/>
          <w:b/>
          <w:bCs/>
          <w:color w:val="auto"/>
          <w:sz w:val="24"/>
          <w:szCs w:val="24"/>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9"/>
        </w:numPr>
        <w:jc w:val="center"/>
        <w:rPr>
          <w:rFonts w:cs="Times New Roman"/>
          <w:color w:val="auto"/>
        </w:rPr>
      </w:pPr>
      <w:r>
        <w:rPr>
          <w:color w:val="auto"/>
        </w:rPr>
        <w:t xml:space="preserve"> </w:t>
      </w:r>
      <w:bookmarkStart w:id="75" w:name="_Toc30953"/>
      <w:bookmarkStart w:id="76" w:name="_Toc13782"/>
      <w:r>
        <w:rPr>
          <w:rFonts w:hint="eastAsia"/>
          <w:color w:val="auto"/>
        </w:rPr>
        <w:t>评分细则</w:t>
      </w:r>
      <w:bookmarkEnd w:id="75"/>
      <w:bookmarkEnd w:id="76"/>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一、报价文件评分标准（</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lang w:val="en-US" w:eastAsia="zh-CN"/>
        </w:rPr>
        <w:t>15</w:t>
      </w:r>
      <w:r>
        <w:rPr>
          <w:rFonts w:hint="eastAsia" w:ascii="宋体" w:hAnsi="宋体" w:cs="宋体"/>
          <w:b/>
          <w:bCs/>
          <w:color w:val="auto"/>
          <w:sz w:val="24"/>
          <w:szCs w:val="24"/>
        </w:rPr>
        <w:t>分）</w:t>
      </w:r>
    </w:p>
    <w:p>
      <w:pPr>
        <w:spacing w:line="360" w:lineRule="auto"/>
        <w:ind w:firstLine="480" w:firstLineChars="200"/>
        <w:rPr>
          <w:rFonts w:ascii="宋体"/>
          <w:color w:val="auto"/>
          <w:sz w:val="24"/>
          <w:szCs w:val="24"/>
        </w:rPr>
      </w:pPr>
      <w:r>
        <w:rPr>
          <w:rFonts w:hint="eastAsia" w:ascii="宋体" w:hAnsi="宋体" w:cs="宋体"/>
          <w:color w:val="auto"/>
          <w:sz w:val="24"/>
          <w:szCs w:val="24"/>
        </w:rPr>
        <w:t>报价文件主要是对供应商的有效报价进行评议，其评分标准及分值设置规则如下：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、本次采购最高限价规定如下：</w:t>
      </w:r>
    </w:p>
    <w:p>
      <w:pPr>
        <w:spacing w:line="360" w:lineRule="auto"/>
        <w:ind w:firstLine="480" w:firstLineChars="200"/>
        <w:rPr>
          <w:rFonts w:ascii="宋体"/>
          <w:b/>
          <w:bCs/>
          <w:color w:val="auto"/>
          <w:sz w:val="24"/>
          <w:szCs w:val="24"/>
        </w:rPr>
      </w:pPr>
      <w:r>
        <w:rPr>
          <w:rFonts w:hint="eastAsia" w:ascii="宋体" w:hAnsi="宋体" w:cs="宋体"/>
          <w:color w:val="auto"/>
          <w:sz w:val="24"/>
          <w:szCs w:val="24"/>
        </w:rPr>
        <w:t>本项目投标报价的最高限价</w:t>
      </w:r>
      <w:r>
        <w:rPr>
          <w:rFonts w:hint="eastAsia" w:ascii="宋体" w:hAnsi="宋体" w:cs="宋体"/>
          <w:b/>
          <w:bCs/>
          <w:color w:val="auto"/>
          <w:sz w:val="24"/>
          <w:szCs w:val="24"/>
        </w:rPr>
        <w:t>为人民币</w:t>
      </w:r>
      <w:r>
        <w:rPr>
          <w:rFonts w:hint="eastAsia" w:ascii="宋体" w:hAnsi="宋体" w:cs="宋体"/>
          <w:b/>
          <w:bCs/>
          <w:color w:val="auto"/>
          <w:sz w:val="24"/>
          <w:szCs w:val="24"/>
          <w:u w:val="single"/>
        </w:rPr>
        <w:t xml:space="preserve"> </w:t>
      </w:r>
      <w:r>
        <w:rPr>
          <w:rFonts w:hint="eastAsia" w:ascii="宋体" w:hAnsi="宋体" w:cs="宋体"/>
          <w:b/>
          <w:bCs/>
          <w:color w:val="auto"/>
          <w:sz w:val="24"/>
          <w:szCs w:val="24"/>
          <w:u w:val="single"/>
          <w:lang w:eastAsia="zh-CN"/>
        </w:rPr>
        <w:t>壹佰叁拾万元整</w:t>
      </w:r>
      <w:r>
        <w:rPr>
          <w:rFonts w:hint="eastAsia" w:ascii="宋体" w:hAnsi="宋体" w:cs="宋体"/>
          <w:b/>
          <w:bCs/>
          <w:color w:val="auto"/>
          <w:sz w:val="24"/>
          <w:szCs w:val="24"/>
          <w:u w:val="single"/>
        </w:rPr>
        <w:t xml:space="preserve">  </w:t>
      </w:r>
      <w:r>
        <w:rPr>
          <w:rFonts w:hint="eastAsia" w:ascii="宋体" w:hAnsi="宋体" w:cs="宋体"/>
          <w:b/>
          <w:bCs/>
          <w:color w:val="auto"/>
          <w:sz w:val="24"/>
          <w:szCs w:val="24"/>
        </w:rPr>
        <w:t>（小写</w:t>
      </w:r>
      <w:r>
        <w:rPr>
          <w:rFonts w:hint="eastAsia" w:ascii="宋体" w:hAnsi="宋体" w:cs="宋体"/>
          <w:b/>
          <w:bCs/>
          <w:color w:val="auto"/>
          <w:sz w:val="24"/>
          <w:szCs w:val="24"/>
          <w:u w:val="single"/>
          <w:lang w:val="en-US" w:eastAsia="zh-CN"/>
        </w:rPr>
        <w:t>130</w:t>
      </w:r>
      <w:r>
        <w:rPr>
          <w:rFonts w:hint="eastAsia" w:ascii="宋体" w:hAnsi="宋体" w:cs="宋体"/>
          <w:b/>
          <w:bCs/>
          <w:color w:val="auto"/>
          <w:sz w:val="24"/>
          <w:szCs w:val="24"/>
          <w:u w:val="single"/>
        </w:rPr>
        <w:t>0000</w:t>
      </w:r>
      <w:r>
        <w:rPr>
          <w:rFonts w:ascii="宋体" w:hAnsi="宋体" w:cs="宋体"/>
          <w:b/>
          <w:bCs/>
          <w:color w:val="auto"/>
          <w:sz w:val="24"/>
          <w:szCs w:val="24"/>
          <w:u w:val="single"/>
        </w:rPr>
        <w:t xml:space="preserve">.00 </w:t>
      </w:r>
      <w:r>
        <w:rPr>
          <w:rFonts w:hint="eastAsia" w:ascii="宋体" w:hAnsi="宋体" w:cs="宋体"/>
          <w:b/>
          <w:bCs/>
          <w:color w:val="auto"/>
          <w:sz w:val="24"/>
          <w:szCs w:val="24"/>
        </w:rPr>
        <w:t>元）。最高限价由采购人根据市场价格的调查设定，并且不高于本项目财政预算。</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、供应商的报价在最高限价内的，为有效报价。</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、本次评标设有最佳报价。最佳报价确定方式：根据所有入围供应商有效报价中的最低报价作为最佳报价。</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rPr>
      </w:pPr>
      <w:r>
        <w:rPr>
          <w:rFonts w:hint="eastAsia" w:ascii="宋体" w:hAnsi="宋体" w:cs="宋体"/>
          <w:color w:val="auto"/>
          <w:sz w:val="24"/>
          <w:szCs w:val="24"/>
        </w:rPr>
        <w:t>投标价格分</w:t>
      </w:r>
      <w:r>
        <w:rPr>
          <w:rFonts w:ascii="宋体" w:hAnsi="宋体" w:cs="宋体"/>
          <w:color w:val="auto"/>
          <w:sz w:val="24"/>
          <w:szCs w:val="24"/>
        </w:rPr>
        <w:t>=(</w:t>
      </w:r>
      <w:r>
        <w:rPr>
          <w:rFonts w:hint="eastAsia" w:ascii="宋体" w:hAnsi="宋体" w:cs="宋体"/>
          <w:color w:val="auto"/>
          <w:sz w:val="24"/>
          <w:szCs w:val="24"/>
        </w:rPr>
        <w:t>最佳报价</w:t>
      </w:r>
      <w:r>
        <w:rPr>
          <w:rFonts w:ascii="宋体" w:hAnsi="宋体" w:cs="宋体"/>
          <w:color w:val="auto"/>
          <w:sz w:val="24"/>
          <w:szCs w:val="24"/>
        </w:rPr>
        <w:t>/</w:t>
      </w:r>
      <w:r>
        <w:rPr>
          <w:rFonts w:hint="eastAsia" w:ascii="宋体" w:hAnsi="宋体" w:cs="宋体"/>
          <w:color w:val="auto"/>
          <w:sz w:val="24"/>
          <w:szCs w:val="24"/>
        </w:rPr>
        <w:t>投标报价</w:t>
      </w:r>
      <w:r>
        <w:rPr>
          <w:rFonts w:ascii="宋体" w:hAnsi="宋体" w:cs="宋体"/>
          <w:color w:val="auto"/>
          <w:sz w:val="24"/>
          <w:szCs w:val="24"/>
        </w:rPr>
        <w:t>)*</w:t>
      </w:r>
      <w:r>
        <w:rPr>
          <w:rFonts w:hint="eastAsia" w:ascii="宋体" w:hAnsi="宋体" w:cs="宋体"/>
          <w:color w:val="auto"/>
          <w:sz w:val="24"/>
          <w:szCs w:val="24"/>
        </w:rPr>
        <w:t>价格权值</w:t>
      </w:r>
      <w:r>
        <w:rPr>
          <w:rFonts w:ascii="宋体" w:hAnsi="宋体" w:cs="宋体"/>
          <w:color w:val="auto"/>
          <w:sz w:val="24"/>
          <w:szCs w:val="24"/>
        </w:rPr>
        <w:t>*100</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rPr>
        <w:t>0</w:t>
      </w:r>
      <w:r>
        <w:rPr>
          <w:rFonts w:hint="eastAsia" w:ascii="宋体" w:hAnsi="宋体" w:cs="宋体"/>
          <w:color w:val="auto"/>
          <w:sz w:val="24"/>
          <w:szCs w:val="24"/>
        </w:rPr>
        <w:t>”元，视同赠送）</w:t>
      </w:r>
      <w:r>
        <w:rPr>
          <w:rFonts w:ascii="宋体" w:cs="宋体"/>
          <w:color w:val="auto"/>
          <w:sz w:val="24"/>
          <w:szCs w:val="24"/>
        </w:rPr>
        <w:t>,</w:t>
      </w:r>
      <w:r>
        <w:rPr>
          <w:rFonts w:hint="eastAsia" w:ascii="宋体" w:hAnsi="宋体" w:cs="宋体"/>
          <w:color w:val="auto"/>
          <w:sz w:val="24"/>
          <w:szCs w:val="24"/>
        </w:rPr>
        <w:t>如出现则做</w:t>
      </w:r>
      <w:r>
        <w:rPr>
          <w:rFonts w:hint="eastAsia" w:ascii="宋体" w:hAnsi="宋体" w:cs="宋体"/>
          <w:b/>
          <w:bCs/>
          <w:color w:val="auto"/>
          <w:sz w:val="24"/>
          <w:szCs w:val="24"/>
        </w:rPr>
        <w:t>无效响应</w:t>
      </w:r>
      <w:r>
        <w:rPr>
          <w:rFonts w:hint="eastAsia" w:ascii="宋体" w:hAnsi="宋体" w:cs="宋体"/>
          <w:color w:val="auto"/>
          <w:sz w:val="24"/>
          <w:szCs w:val="24"/>
        </w:rPr>
        <w:t>处理。</w:t>
      </w:r>
    </w:p>
    <w:p>
      <w:pPr>
        <w:autoSpaceDE w:val="0"/>
        <w:autoSpaceDN w:val="0"/>
        <w:spacing w:line="360" w:lineRule="auto"/>
        <w:ind w:firstLine="482"/>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w:t>
      </w:r>
      <w:r>
        <w:rPr>
          <w:rFonts w:hint="eastAsia" w:ascii="宋体" w:hAnsi="宋体" w:cs="宋体"/>
          <w:b/>
          <w:bCs/>
          <w:color w:val="auto"/>
          <w:sz w:val="24"/>
          <w:szCs w:val="24"/>
        </w:rPr>
        <w:t>投标价格的合理性</w:t>
      </w:r>
      <w:r>
        <w:rPr>
          <w:rFonts w:hint="eastAsia" w:ascii="宋体" w:hAnsi="宋体" w:cs="宋体"/>
          <w:color w:val="auto"/>
          <w:sz w:val="24"/>
          <w:szCs w:val="24"/>
        </w:rPr>
        <w:t>：</w:t>
      </w:r>
      <w:r>
        <w:rPr>
          <w:rFonts w:hint="eastAsia" w:ascii="Arial" w:hAnsi="Arial" w:cs="宋体"/>
          <w:color w:val="auto"/>
          <w:sz w:val="24"/>
          <w:szCs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8、价格扣除：小微企业是指在中华人民共和国境内依法设立，依据国务院批准的中小企业划分标准确定的小型企业和微型企业，但与大企业的负责人为同一人，或者与大企业存在直接控股、管理关系的除外。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符合中小企业划分标准的个体工商户，在政府采购活动中视同中小企业。</w:t>
      </w:r>
    </w:p>
    <w:p>
      <w:pPr>
        <w:spacing w:line="360" w:lineRule="auto"/>
        <w:ind w:firstLine="480" w:firstLineChars="200"/>
        <w:rPr>
          <w:rFonts w:ascii="宋体" w:hAnsi="宋体" w:cs="宋体"/>
          <w:bCs/>
          <w:color w:val="auto"/>
          <w:sz w:val="24"/>
          <w:szCs w:val="32"/>
        </w:rPr>
      </w:pPr>
      <w:r>
        <w:rPr>
          <w:rFonts w:hint="eastAsia"/>
          <w:color w:val="auto"/>
          <w:sz w:val="24"/>
          <w:szCs w:val="24"/>
        </w:rPr>
        <w:t>在货物采购项目中，货物由小微企业制造，即货物由小微企业生产且使用该小微企业商号或者注册商标。供应商提供的货物既有中小企业制造货物，也有大型企业制造货物的，不享受中小企业扶持政策。</w:t>
      </w:r>
    </w:p>
    <w:p>
      <w:pPr>
        <w:spacing w:line="360" w:lineRule="auto"/>
        <w:ind w:firstLine="480" w:firstLineChars="200"/>
        <w:rPr>
          <w:color w:val="auto"/>
        </w:rPr>
      </w:pPr>
      <w:r>
        <w:rPr>
          <w:rFonts w:hint="eastAsia"/>
          <w:color w:val="auto"/>
          <w:sz w:val="24"/>
          <w:szCs w:val="24"/>
        </w:rPr>
        <w:t>在服务采购项目中，服务由小微企业承接，即提供服务的人员为小微企业依照《中华人民共和国劳动合同法》订立劳动合同的从业人员。</w:t>
      </w:r>
    </w:p>
    <w:p>
      <w:pPr>
        <w:ind w:firstLine="480" w:firstLineChars="200"/>
        <w:rPr>
          <w:color w:val="auto"/>
          <w:sz w:val="24"/>
          <w:szCs w:val="24"/>
        </w:rPr>
      </w:pPr>
      <w:r>
        <w:rPr>
          <w:rFonts w:hint="eastAsia"/>
          <w:color w:val="auto"/>
          <w:sz w:val="24"/>
          <w:szCs w:val="24"/>
        </w:rPr>
        <w:t>联合体各方均为小型、微型企业的，联合体视同为小型、微型企业。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符合上述条件的中小微型企业应按照招标文件附件12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根据财政部发布的《政府采购促进中小企业发展管理办法》（财库﹝2020﹞46 号）规定，对于非专门面向此类企业的项目，对小型和微型企业产品的投标价格给予6%的扣除，用扣除后的价格参与评审。</w:t>
      </w:r>
    </w:p>
    <w:p>
      <w:pPr>
        <w:spacing w:line="360" w:lineRule="auto"/>
        <w:ind w:firstLine="480" w:firstLineChars="200"/>
        <w:rPr>
          <w:rFonts w:ascii="宋体"/>
          <w:color w:val="auto"/>
          <w:sz w:val="24"/>
          <w:szCs w:val="24"/>
        </w:rPr>
      </w:pPr>
      <w:r>
        <w:rPr>
          <w:rFonts w:hint="eastAsia" w:ascii="宋体" w:hAnsi="宋体" w:cs="宋体"/>
          <w:color w:val="auto"/>
          <w:sz w:val="24"/>
          <w:szCs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二、商务技术文件评标内容及标准（</w:t>
      </w:r>
      <w:r>
        <w:rPr>
          <w:rFonts w:ascii="宋体" w:hAnsi="宋体" w:cs="宋体"/>
          <w:b/>
          <w:bCs/>
          <w:color w:val="auto"/>
          <w:sz w:val="24"/>
          <w:szCs w:val="24"/>
          <w:u w:val="single"/>
        </w:rPr>
        <w:t xml:space="preserve"> </w:t>
      </w:r>
      <w:r>
        <w:rPr>
          <w:rFonts w:hint="eastAsia" w:ascii="宋体" w:hAnsi="宋体" w:cs="宋体"/>
          <w:b/>
          <w:bCs/>
          <w:color w:val="auto"/>
          <w:sz w:val="24"/>
          <w:szCs w:val="24"/>
          <w:u w:val="single"/>
          <w:lang w:val="en-US" w:eastAsia="zh-CN"/>
        </w:rPr>
        <w:t>85</w:t>
      </w:r>
      <w:r>
        <w:rPr>
          <w:rFonts w:ascii="宋体" w:hAnsi="宋体" w:cs="宋体"/>
          <w:b/>
          <w:bCs/>
          <w:color w:val="auto"/>
          <w:sz w:val="24"/>
          <w:szCs w:val="24"/>
          <w:u w:val="single"/>
        </w:rPr>
        <w:t xml:space="preserve"> </w:t>
      </w:r>
      <w:r>
        <w:rPr>
          <w:rFonts w:hint="eastAsia" w:ascii="宋体" w:hAnsi="宋体" w:cs="宋体"/>
          <w:b/>
          <w:bCs/>
          <w:color w:val="auto"/>
          <w:sz w:val="24"/>
          <w:szCs w:val="24"/>
        </w:rPr>
        <w:t>分）</w:t>
      </w:r>
    </w:p>
    <w:p>
      <w:pPr>
        <w:ind w:firstLine="482" w:firstLineChars="200"/>
        <w:rPr>
          <w:rFonts w:ascii="宋体" w:hAnsi="宋体" w:cs="宋体"/>
          <w:b/>
          <w:bCs/>
          <w:color w:val="auto"/>
          <w:sz w:val="24"/>
          <w:szCs w:val="24"/>
        </w:rPr>
      </w:pPr>
      <w:r>
        <w:rPr>
          <w:rFonts w:hint="eastAsia" w:ascii="宋体" w:hAnsi="宋体" w:cs="宋体"/>
          <w:b/>
          <w:bCs/>
          <w:color w:val="auto"/>
          <w:sz w:val="24"/>
          <w:szCs w:val="24"/>
        </w:rPr>
        <w:t>1、评分细则</w:t>
      </w:r>
    </w:p>
    <w:tbl>
      <w:tblPr>
        <w:tblStyle w:val="22"/>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590"/>
        <w:gridCol w:w="5003"/>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200"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jc w:val="center"/>
              <w:rPr>
                <w:rFonts w:ascii="宋体" w:hAnsi="宋体" w:cs="宋体"/>
                <w:color w:val="auto"/>
                <w:sz w:val="24"/>
                <w:szCs w:val="24"/>
              </w:rPr>
            </w:pPr>
            <w:r>
              <w:rPr>
                <w:rFonts w:hint="eastAsia" w:ascii="宋体" w:hAnsi="宋体" w:cs="宋体"/>
                <w:color w:val="auto"/>
                <w:sz w:val="24"/>
                <w:szCs w:val="24"/>
              </w:rPr>
              <w:t>评分项目</w:t>
            </w:r>
          </w:p>
        </w:tc>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before="156" w:beforeLines="50"/>
              <w:jc w:val="center"/>
              <w:rPr>
                <w:rFonts w:hint="eastAsia" w:ascii="宋体" w:hAnsi="宋体" w:cs="宋体"/>
                <w:color w:val="auto"/>
                <w:sz w:val="24"/>
                <w:szCs w:val="24"/>
              </w:rPr>
            </w:pPr>
          </w:p>
        </w:tc>
        <w:tc>
          <w:tcPr>
            <w:tcW w:w="5003" w:type="dxa"/>
            <w:tcBorders>
              <w:top w:val="single" w:color="auto" w:sz="4" w:space="0"/>
              <w:left w:val="single" w:color="auto" w:sz="4" w:space="0"/>
              <w:bottom w:val="single" w:color="auto" w:sz="4" w:space="0"/>
              <w:right w:val="single" w:color="auto" w:sz="4" w:space="0"/>
            </w:tcBorders>
          </w:tcPr>
          <w:p>
            <w:pPr>
              <w:adjustRightInd w:val="0"/>
              <w:spacing w:before="156" w:beforeLines="50"/>
              <w:jc w:val="center"/>
              <w:rPr>
                <w:rFonts w:ascii="宋体" w:hAnsi="宋体" w:cs="宋体"/>
                <w:color w:val="auto"/>
                <w:sz w:val="24"/>
                <w:szCs w:val="24"/>
              </w:rPr>
            </w:pPr>
            <w:r>
              <w:rPr>
                <w:rFonts w:hint="eastAsia" w:ascii="宋体" w:hAnsi="宋体" w:cs="宋体"/>
                <w:color w:val="auto"/>
                <w:sz w:val="24"/>
                <w:szCs w:val="24"/>
              </w:rPr>
              <w:t>评标要点及说明</w:t>
            </w:r>
          </w:p>
        </w:tc>
        <w:tc>
          <w:tcPr>
            <w:tcW w:w="1020" w:type="dxa"/>
            <w:tcBorders>
              <w:top w:val="single" w:color="auto" w:sz="4" w:space="0"/>
              <w:left w:val="single" w:color="auto" w:sz="4" w:space="0"/>
              <w:bottom w:val="single" w:color="auto" w:sz="4" w:space="0"/>
              <w:right w:val="single" w:color="auto" w:sz="4" w:space="0"/>
            </w:tcBorders>
          </w:tcPr>
          <w:p>
            <w:pPr>
              <w:adjustRightInd w:val="0"/>
              <w:spacing w:before="156" w:beforeLines="50"/>
              <w:jc w:val="center"/>
              <w:rPr>
                <w:rFonts w:ascii="宋体" w:hAnsi="宋体" w:cs="宋体"/>
                <w:color w:val="auto"/>
                <w:sz w:val="24"/>
                <w:szCs w:val="24"/>
              </w:rPr>
            </w:pPr>
            <w:r>
              <w:rPr>
                <w:rFonts w:hint="eastAsia" w:ascii="宋体" w:hAnsi="宋体" w:cs="宋体"/>
                <w:color w:val="auto"/>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00" w:type="dxa"/>
            <w:vMerge w:val="restart"/>
            <w:tcBorders>
              <w:left w:val="single" w:color="auto" w:sz="4" w:space="0"/>
              <w:right w:val="single" w:color="auto" w:sz="4" w:space="0"/>
            </w:tcBorders>
            <w:vAlign w:val="center"/>
          </w:tcPr>
          <w:p>
            <w:pPr>
              <w:snapToGrid w:val="0"/>
              <w:ind w:firstLine="210" w:firstLineChars="100"/>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eastAsia="zh-CN"/>
              </w:rPr>
              <w:t>技术</w:t>
            </w:r>
          </w:p>
          <w:p>
            <w:pPr>
              <w:snapToGrid w:val="0"/>
              <w:rPr>
                <w:rFonts w:hint="eastAsia" w:asciiTheme="minorEastAsia" w:hAnsiTheme="minorEastAsia" w:eastAsiaTheme="minorEastAsia" w:cstheme="minorEastAsia"/>
                <w:bCs/>
                <w:color w:val="auto"/>
                <w:kern w:val="0"/>
                <w:sz w:val="21"/>
                <w:szCs w:val="21"/>
                <w:lang w:eastAsia="zh-CN"/>
              </w:rPr>
            </w:pPr>
            <w:r>
              <w:rPr>
                <w:rFonts w:hint="eastAsia" w:asciiTheme="minorEastAsia" w:hAnsiTheme="minorEastAsia" w:eastAsiaTheme="minorEastAsia" w:cstheme="minorEastAsia"/>
                <w:bCs/>
                <w:color w:val="auto"/>
                <w:kern w:val="0"/>
                <w:sz w:val="21"/>
                <w:szCs w:val="21"/>
                <w:lang w:val="en-US" w:eastAsia="zh-CN"/>
              </w:rPr>
              <w:t>（75分）</w:t>
            </w:r>
          </w:p>
        </w:tc>
        <w:tc>
          <w:tcPr>
            <w:tcW w:w="1590" w:type="dxa"/>
            <w:vMerge w:val="restart"/>
            <w:tcBorders>
              <w:left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auto"/>
                <w:kern w:val="0"/>
                <w:sz w:val="21"/>
                <w:szCs w:val="21"/>
                <w:lang w:val="en-US" w:eastAsia="zh-CN" w:bidi="ar-SA"/>
              </w:rPr>
            </w:pPr>
            <w:r>
              <w:rPr>
                <w:rFonts w:hint="eastAsia" w:asciiTheme="minorEastAsia" w:hAnsiTheme="minorEastAsia" w:eastAsiaTheme="minorEastAsia" w:cstheme="minorEastAsia"/>
                <w:bCs/>
                <w:color w:val="auto"/>
                <w:kern w:val="0"/>
                <w:sz w:val="21"/>
                <w:szCs w:val="21"/>
                <w:lang w:val="en-US" w:eastAsia="zh-CN" w:bidi="ar-SA"/>
              </w:rPr>
              <w:t>现状分析</w:t>
            </w: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highlight w:val="none"/>
                <w:lang w:val="en-US" w:eastAsia="zh-CN"/>
              </w:rPr>
              <w:t>评委根据投标人对本项目现状分析的</w:t>
            </w:r>
            <w:r>
              <w:rPr>
                <w:rFonts w:hint="eastAsia" w:asciiTheme="minorEastAsia" w:hAnsiTheme="minorEastAsia" w:eastAsiaTheme="minorEastAsia" w:cstheme="minorEastAsia"/>
                <w:color w:val="auto"/>
                <w:sz w:val="21"/>
                <w:szCs w:val="21"/>
                <w:highlight w:val="none"/>
              </w:rPr>
              <w:t>总体思路是否清晰、完整</w:t>
            </w:r>
            <w:r>
              <w:rPr>
                <w:rFonts w:hint="eastAsia" w:asciiTheme="minorEastAsia" w:hAnsiTheme="minorEastAsia" w:eastAsiaTheme="minorEastAsia" w:cstheme="minorEastAsia"/>
                <w:color w:val="auto"/>
                <w:sz w:val="21"/>
                <w:szCs w:val="21"/>
                <w:highlight w:val="none"/>
                <w:lang w:val="en-US" w:eastAsia="zh-CN"/>
              </w:rPr>
              <w:t>进行打分；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0" w:type="dxa"/>
            <w:vMerge w:val="continue"/>
            <w:tcBorders>
              <w:left w:val="single" w:color="auto" w:sz="4" w:space="0"/>
              <w:right w:val="single" w:color="auto" w:sz="4" w:space="0"/>
            </w:tcBorders>
            <w:vAlign w:val="center"/>
          </w:tcPr>
          <w:p>
            <w:pPr>
              <w:snapToGrid w:val="0"/>
              <w:rPr>
                <w:rFonts w:hint="eastAsia" w:asciiTheme="minorEastAsia" w:hAnsiTheme="minorEastAsia" w:eastAsiaTheme="minorEastAsia" w:cstheme="minorEastAsia"/>
                <w:bCs/>
                <w:color w:val="auto"/>
                <w:kern w:val="0"/>
                <w:sz w:val="21"/>
                <w:szCs w:val="21"/>
              </w:rPr>
            </w:pPr>
          </w:p>
        </w:tc>
        <w:tc>
          <w:tcPr>
            <w:tcW w:w="1590" w:type="dxa"/>
            <w:vMerge w:val="continue"/>
            <w:tcBorders>
              <w:left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auto"/>
                <w:kern w:val="0"/>
                <w:sz w:val="21"/>
                <w:szCs w:val="21"/>
                <w:lang w:val="en-US" w:eastAsia="zh-CN" w:bidi="ar-SA"/>
              </w:rPr>
            </w:pP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bCs/>
                <w:color w:val="auto"/>
                <w:kern w:val="10"/>
                <w:sz w:val="21"/>
                <w:szCs w:val="21"/>
                <w:lang w:val="zh-CN"/>
              </w:rPr>
            </w:pPr>
            <w:r>
              <w:rPr>
                <w:rFonts w:hint="eastAsia" w:asciiTheme="minorEastAsia" w:hAnsiTheme="minorEastAsia" w:eastAsiaTheme="minorEastAsia" w:cstheme="minorEastAsia"/>
                <w:color w:val="auto"/>
                <w:sz w:val="21"/>
                <w:szCs w:val="21"/>
                <w:highlight w:val="none"/>
                <w:lang w:val="en-US" w:eastAsia="zh-CN"/>
              </w:rPr>
              <w:t>评委根据投标人对本项目</w:t>
            </w:r>
            <w:r>
              <w:rPr>
                <w:rFonts w:hint="eastAsia" w:asciiTheme="minorEastAsia" w:hAnsiTheme="minorEastAsia" w:eastAsiaTheme="minorEastAsia" w:cstheme="minorEastAsia"/>
                <w:bCs/>
                <w:color w:val="auto"/>
                <w:kern w:val="10"/>
                <w:sz w:val="21"/>
                <w:szCs w:val="21"/>
              </w:rPr>
              <w:t>地下水现状、存在问题</w:t>
            </w:r>
            <w:r>
              <w:rPr>
                <w:rFonts w:hint="eastAsia" w:asciiTheme="minorEastAsia" w:hAnsiTheme="minorEastAsia" w:eastAsiaTheme="minorEastAsia" w:cstheme="minorEastAsia"/>
                <w:bCs/>
                <w:color w:val="auto"/>
                <w:kern w:val="10"/>
                <w:sz w:val="21"/>
                <w:szCs w:val="21"/>
                <w:lang w:eastAsia="zh-CN"/>
              </w:rPr>
              <w:t>分析的</w:t>
            </w:r>
            <w:r>
              <w:rPr>
                <w:rFonts w:hint="eastAsia" w:asciiTheme="minorEastAsia" w:hAnsiTheme="minorEastAsia" w:eastAsiaTheme="minorEastAsia" w:cstheme="minorEastAsia"/>
                <w:bCs/>
                <w:color w:val="auto"/>
                <w:kern w:val="10"/>
                <w:sz w:val="21"/>
                <w:szCs w:val="21"/>
              </w:rPr>
              <w:t>准确性进行打分</w:t>
            </w:r>
            <w:r>
              <w:rPr>
                <w:rFonts w:hint="eastAsia" w:asciiTheme="minorEastAsia" w:hAnsiTheme="minorEastAsia" w:eastAsiaTheme="minorEastAsia" w:cstheme="minorEastAsia"/>
                <w:color w:val="auto"/>
                <w:sz w:val="21"/>
                <w:szCs w:val="21"/>
                <w:highlight w:val="none"/>
                <w:lang w:val="en-US" w:eastAsia="zh-CN"/>
              </w:rPr>
              <w:t>；</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00" w:type="dxa"/>
            <w:vMerge w:val="continue"/>
            <w:tcBorders>
              <w:left w:val="single" w:color="auto" w:sz="4" w:space="0"/>
              <w:right w:val="single" w:color="auto" w:sz="4" w:space="0"/>
            </w:tcBorders>
            <w:vAlign w:val="center"/>
          </w:tcPr>
          <w:p>
            <w:pPr>
              <w:snapToGrid w:val="0"/>
              <w:rPr>
                <w:rFonts w:hint="eastAsia" w:asciiTheme="minorEastAsia" w:hAnsiTheme="minorEastAsia" w:eastAsiaTheme="minorEastAsia" w:cstheme="minorEastAsia"/>
                <w:bCs/>
                <w:color w:val="auto"/>
                <w:kern w:val="0"/>
                <w:sz w:val="21"/>
                <w:szCs w:val="21"/>
                <w:highlight w:val="none"/>
              </w:rPr>
            </w:pPr>
          </w:p>
        </w:tc>
        <w:tc>
          <w:tcPr>
            <w:tcW w:w="1590" w:type="dxa"/>
            <w:vMerge w:val="continue"/>
            <w:tcBorders>
              <w:left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bCs/>
                <w:color w:val="auto"/>
                <w:kern w:val="0"/>
                <w:sz w:val="21"/>
                <w:szCs w:val="21"/>
                <w:highlight w:val="none"/>
                <w:lang w:val="en-US" w:eastAsia="zh-CN" w:bidi="ar-SA"/>
              </w:rPr>
            </w:pP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评委根据投标人</w:t>
            </w:r>
            <w:r>
              <w:rPr>
                <w:rFonts w:hint="eastAsia" w:asciiTheme="minorEastAsia" w:hAnsiTheme="minorEastAsia" w:eastAsiaTheme="minorEastAsia" w:cstheme="minorEastAsia"/>
                <w:color w:val="auto"/>
                <w:sz w:val="21"/>
                <w:szCs w:val="21"/>
                <w:highlight w:val="none"/>
              </w:rPr>
              <w:t>对</w:t>
            </w:r>
            <w:r>
              <w:rPr>
                <w:rFonts w:hint="eastAsia" w:asciiTheme="minorEastAsia" w:hAnsiTheme="minorEastAsia" w:eastAsiaTheme="minorEastAsia" w:cstheme="minorEastAsia"/>
                <w:color w:val="auto"/>
                <w:sz w:val="21"/>
                <w:szCs w:val="21"/>
                <w:highlight w:val="none"/>
                <w:lang w:val="en-US" w:eastAsia="zh-CN"/>
              </w:rPr>
              <w:t>本</w:t>
            </w:r>
            <w:r>
              <w:rPr>
                <w:rFonts w:hint="eastAsia" w:asciiTheme="minorEastAsia" w:hAnsiTheme="minorEastAsia" w:eastAsiaTheme="minorEastAsia" w:cstheme="minorEastAsia"/>
                <w:color w:val="auto"/>
                <w:sz w:val="21"/>
                <w:szCs w:val="21"/>
                <w:highlight w:val="none"/>
              </w:rPr>
              <w:t>项目是否根据需求目标与内容有详细的解析</w:t>
            </w:r>
            <w:r>
              <w:rPr>
                <w:rFonts w:hint="eastAsia" w:asciiTheme="minorEastAsia" w:hAnsiTheme="minorEastAsia" w:eastAsiaTheme="minorEastAsia" w:cstheme="minorEastAsia"/>
                <w:color w:val="auto"/>
                <w:sz w:val="21"/>
                <w:szCs w:val="21"/>
                <w:highlight w:val="none"/>
                <w:lang w:val="en-US" w:eastAsia="zh-CN"/>
              </w:rPr>
              <w:t>进行打分；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rPr>
            </w:pPr>
          </w:p>
        </w:tc>
        <w:tc>
          <w:tcPr>
            <w:tcW w:w="1590" w:type="dxa"/>
            <w:vMerge w:val="restart"/>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实施方案</w:t>
            </w:r>
          </w:p>
        </w:tc>
        <w:tc>
          <w:tcPr>
            <w:tcW w:w="5003" w:type="dxa"/>
            <w:tcBorders>
              <w:left w:val="single" w:color="auto" w:sz="4" w:space="0"/>
              <w:right w:val="single" w:color="auto" w:sz="4" w:space="0"/>
            </w:tcBorders>
            <w:vAlign w:val="top"/>
          </w:tcPr>
          <w:p>
            <w:pPr>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评委根据投标人对本项目需求的技术路线是否具有前瞻性、科学性、可操作性和合理性进行打分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5003" w:type="dxa"/>
            <w:tcBorders>
              <w:left w:val="single" w:color="auto" w:sz="4" w:space="0"/>
              <w:right w:val="single" w:color="auto" w:sz="4" w:space="0"/>
            </w:tcBorders>
            <w:vAlign w:val="center"/>
          </w:tcPr>
          <w:p>
            <w:pPr>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评委根据投标人对本项目的工作方法是否可行、工作内容是否全面，项目采购内容的要求符合程度进行打分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2"/>
                <w:sz w:val="21"/>
                <w:szCs w:val="21"/>
                <w:highlight w:val="none"/>
                <w:lang w:val="en-US" w:eastAsia="zh-CN" w:bidi="ar-SA"/>
              </w:rPr>
            </w:pPr>
          </w:p>
        </w:tc>
        <w:tc>
          <w:tcPr>
            <w:tcW w:w="5003" w:type="dxa"/>
            <w:tcBorders>
              <w:left w:val="single" w:color="auto" w:sz="4" w:space="0"/>
              <w:right w:val="single" w:color="auto" w:sz="4" w:space="0"/>
            </w:tcBorders>
            <w:vAlign w:val="center"/>
          </w:tcPr>
          <w:p>
            <w:pPr>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评委根据投标人对本项目提供的监测布点方案（包含监测指标确定、样品采集等）是否合理、科学性进行打分；</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restart"/>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重点难点分析</w:t>
            </w:r>
            <w:r>
              <w:rPr>
                <w:rFonts w:hint="eastAsia" w:asciiTheme="minorEastAsia" w:hAnsiTheme="minorEastAsia" w:eastAsiaTheme="minorEastAsia" w:cstheme="minorEastAsia"/>
                <w:bCs/>
                <w:color w:val="auto"/>
                <w:sz w:val="21"/>
                <w:szCs w:val="21"/>
                <w:highlight w:val="none"/>
                <w:lang w:val="en-US" w:eastAsia="zh-CN"/>
              </w:rPr>
              <w:t>及</w:t>
            </w:r>
            <w:r>
              <w:rPr>
                <w:rFonts w:hint="eastAsia" w:asciiTheme="minorEastAsia" w:hAnsiTheme="minorEastAsia" w:eastAsiaTheme="minorEastAsia" w:cstheme="minorEastAsia"/>
                <w:bCs/>
                <w:color w:val="auto"/>
                <w:sz w:val="21"/>
                <w:szCs w:val="21"/>
                <w:highlight w:val="none"/>
              </w:rPr>
              <w:t>解决方案</w:t>
            </w:r>
          </w:p>
        </w:tc>
        <w:tc>
          <w:tcPr>
            <w:tcW w:w="5003" w:type="dxa"/>
            <w:tcBorders>
              <w:left w:val="single" w:color="auto" w:sz="4" w:space="0"/>
              <w:right w:val="single" w:color="auto" w:sz="4" w:space="0"/>
            </w:tcBorders>
            <w:vAlign w:val="center"/>
          </w:tcPr>
          <w:p>
            <w:pPr>
              <w:snapToGrid w:val="0"/>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评委根据投标人对本</w:t>
            </w:r>
            <w:r>
              <w:rPr>
                <w:rFonts w:hint="eastAsia" w:asciiTheme="minorEastAsia" w:hAnsiTheme="minorEastAsia" w:eastAsiaTheme="minorEastAsia" w:cstheme="minorEastAsia"/>
                <w:color w:val="auto"/>
                <w:sz w:val="21"/>
                <w:szCs w:val="21"/>
                <w:highlight w:val="none"/>
                <w:lang w:val="zh-CN"/>
              </w:rPr>
              <w:t>项目重点、难点的分析与理解是否全面，是否合理</w:t>
            </w:r>
            <w:r>
              <w:rPr>
                <w:rFonts w:hint="eastAsia" w:asciiTheme="minorEastAsia" w:hAnsiTheme="minorEastAsia" w:eastAsiaTheme="minorEastAsia" w:cstheme="minorEastAsia"/>
                <w:color w:val="auto"/>
                <w:sz w:val="21"/>
                <w:szCs w:val="21"/>
                <w:highlight w:val="none"/>
                <w:lang w:val="en-US" w:eastAsia="zh-CN"/>
              </w:rPr>
              <w:t>进行打分；</w:t>
            </w: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pacing w:val="1"/>
                <w:sz w:val="21"/>
                <w:szCs w:val="21"/>
                <w:highlight w:val="none"/>
              </w:rPr>
            </w:pPr>
          </w:p>
        </w:tc>
        <w:tc>
          <w:tcPr>
            <w:tcW w:w="5003" w:type="dxa"/>
            <w:tcBorders>
              <w:left w:val="single" w:color="auto" w:sz="4" w:space="0"/>
              <w:right w:val="single" w:color="auto" w:sz="4" w:space="0"/>
            </w:tcBorders>
            <w:vAlign w:val="center"/>
          </w:tcPr>
          <w:p>
            <w:pPr>
              <w:snapToGrid w:val="0"/>
              <w:ind w:firstLine="420" w:firstLineChars="20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评委根据投标人对本项目</w:t>
            </w:r>
            <w:r>
              <w:rPr>
                <w:rFonts w:hint="eastAsia" w:asciiTheme="minorEastAsia" w:hAnsiTheme="minorEastAsia" w:eastAsiaTheme="minorEastAsia" w:cstheme="minorEastAsia"/>
                <w:color w:val="auto"/>
                <w:sz w:val="21"/>
                <w:szCs w:val="21"/>
                <w:highlight w:val="none"/>
                <w:lang w:val="zh-CN"/>
              </w:rPr>
              <w:t>重点、难点解决措施考虑是否全面、合理、可操作性是否科学</w:t>
            </w:r>
            <w:r>
              <w:rPr>
                <w:rFonts w:hint="eastAsia" w:asciiTheme="minorEastAsia" w:hAnsiTheme="minorEastAsia" w:eastAsiaTheme="minorEastAsia" w:cstheme="minorEastAsia"/>
                <w:color w:val="auto"/>
                <w:sz w:val="21"/>
                <w:szCs w:val="21"/>
                <w:highlight w:val="none"/>
                <w:lang w:val="en-US" w:eastAsia="zh-CN"/>
              </w:rPr>
              <w:t>进行打分；</w:t>
            </w: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restart"/>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lang w:val="zh-CN" w:eastAsia="zh-CN"/>
              </w:rPr>
            </w:pPr>
            <w:r>
              <w:rPr>
                <w:rFonts w:hint="eastAsia" w:asciiTheme="minorEastAsia" w:hAnsiTheme="minorEastAsia" w:eastAsiaTheme="minorEastAsia" w:cstheme="minorEastAsia"/>
                <w:color w:val="auto"/>
                <w:sz w:val="21"/>
                <w:szCs w:val="21"/>
                <w:highlight w:val="none"/>
                <w:lang w:val="en-US" w:eastAsia="zh-CN"/>
              </w:rPr>
              <w:t>保证措施</w:t>
            </w:r>
          </w:p>
        </w:tc>
        <w:tc>
          <w:tcPr>
            <w:tcW w:w="5003" w:type="dxa"/>
            <w:tcBorders>
              <w:left w:val="single" w:color="auto" w:sz="4" w:space="0"/>
              <w:right w:val="single" w:color="auto" w:sz="4" w:space="0"/>
            </w:tcBorders>
            <w:vAlign w:val="center"/>
          </w:tcPr>
          <w:p>
            <w:pPr>
              <w:widowControl/>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评委根据投标人对本项目服务质量保证措施是否科学、合理进行打分；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lang w:val="zh-CN" w:eastAsia="zh-CN"/>
              </w:rPr>
            </w:pPr>
          </w:p>
        </w:tc>
        <w:tc>
          <w:tcPr>
            <w:tcW w:w="5003" w:type="dxa"/>
            <w:tcBorders>
              <w:left w:val="single" w:color="auto" w:sz="4" w:space="0"/>
              <w:right w:val="single" w:color="auto" w:sz="4" w:space="0"/>
            </w:tcBorders>
            <w:vAlign w:val="center"/>
          </w:tcPr>
          <w:p>
            <w:pPr>
              <w:widowControl/>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评委根据投标人对本项目安全作业保证措施是否科学、合理进行打分；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restart"/>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2"/>
                <w:sz w:val="21"/>
                <w:szCs w:val="21"/>
                <w:highlight w:val="none"/>
                <w:lang w:val="zh-CN" w:eastAsia="zh-CN" w:bidi="ar-SA"/>
              </w:rPr>
            </w:pPr>
            <w:r>
              <w:rPr>
                <w:rFonts w:hint="eastAsia" w:asciiTheme="minorEastAsia" w:hAnsiTheme="minorEastAsia" w:eastAsiaTheme="minorEastAsia" w:cstheme="minorEastAsia"/>
                <w:bCs/>
                <w:color w:val="auto"/>
                <w:kern w:val="2"/>
                <w:sz w:val="21"/>
                <w:szCs w:val="21"/>
                <w:highlight w:val="none"/>
                <w:lang w:val="zh-CN" w:eastAsia="zh-CN" w:bidi="ar-SA"/>
              </w:rPr>
              <w:t>团队实力</w:t>
            </w: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评委根据投标人拟派项目团队人员的配备情况、从业人数、人员分工方面等进行综合打分；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lang w:eastAsia="zh-CN"/>
              </w:rPr>
              <w:t>（需</w:t>
            </w:r>
            <w:r>
              <w:rPr>
                <w:rFonts w:hint="eastAsia" w:asciiTheme="minorEastAsia" w:hAnsiTheme="minorEastAsia" w:eastAsiaTheme="minorEastAsia" w:cstheme="minorEastAsia"/>
                <w:b/>
                <w:bCs/>
                <w:color w:val="auto"/>
                <w:sz w:val="21"/>
                <w:szCs w:val="21"/>
              </w:rPr>
              <w:t>提供</w:t>
            </w:r>
            <w:r>
              <w:rPr>
                <w:rFonts w:hint="eastAsia" w:asciiTheme="minorEastAsia" w:hAnsiTheme="minorEastAsia" w:eastAsiaTheme="minorEastAsia" w:cstheme="minorEastAsia"/>
                <w:b/>
                <w:bCs/>
                <w:color w:val="auto"/>
                <w:sz w:val="21"/>
                <w:szCs w:val="21"/>
                <w:lang w:eastAsia="zh-CN"/>
              </w:rPr>
              <w:t>近</w:t>
            </w:r>
            <w:r>
              <w:rPr>
                <w:rFonts w:hint="eastAsia" w:asciiTheme="minorEastAsia" w:hAnsiTheme="minorEastAsia" w:eastAsiaTheme="minorEastAsia" w:cstheme="minorEastAsia"/>
                <w:b/>
                <w:bCs/>
                <w:color w:val="auto"/>
                <w:sz w:val="21"/>
                <w:szCs w:val="21"/>
                <w:lang w:val="en-US" w:eastAsia="zh-CN"/>
              </w:rPr>
              <w:t>3</w:t>
            </w:r>
            <w:r>
              <w:rPr>
                <w:rFonts w:hint="eastAsia" w:asciiTheme="minorEastAsia" w:hAnsiTheme="minorEastAsia" w:eastAsiaTheme="minorEastAsia" w:cstheme="minorEastAsia"/>
                <w:b/>
                <w:bCs/>
                <w:color w:val="auto"/>
                <w:sz w:val="21"/>
                <w:szCs w:val="21"/>
              </w:rPr>
              <w:t>个月的社保缴纳证明</w:t>
            </w:r>
            <w:r>
              <w:rPr>
                <w:rFonts w:hint="eastAsia" w:asciiTheme="minorEastAsia" w:hAnsiTheme="minorEastAsia" w:eastAsiaTheme="minorEastAsia" w:cstheme="minorEastAsia"/>
                <w:b/>
                <w:bCs/>
                <w:color w:val="auto"/>
                <w:sz w:val="21"/>
                <w:szCs w:val="21"/>
                <w:lang w:eastAsia="zh-CN"/>
              </w:rPr>
              <w:t>材料并</w:t>
            </w:r>
            <w:r>
              <w:rPr>
                <w:rFonts w:hint="eastAsia" w:asciiTheme="minorEastAsia" w:hAnsiTheme="minorEastAsia" w:eastAsiaTheme="minorEastAsia" w:cstheme="minorEastAsia"/>
                <w:b/>
                <w:bCs/>
                <w:color w:val="auto"/>
                <w:sz w:val="21"/>
                <w:szCs w:val="21"/>
              </w:rPr>
              <w:t>加盖单位公章</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 xml:space="preserve">   </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2"/>
                <w:sz w:val="21"/>
                <w:szCs w:val="21"/>
                <w:highlight w:val="none"/>
                <w:lang w:val="zh-CN" w:eastAsia="zh-CN" w:bidi="ar-SA"/>
              </w:rPr>
            </w:pP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评委根据投标人拟派项目团队人员(除项目负责人外）</w:t>
            </w:r>
            <w:r>
              <w:rPr>
                <w:rFonts w:hint="eastAsia" w:asciiTheme="minorEastAsia" w:hAnsiTheme="minorEastAsia" w:eastAsiaTheme="minorEastAsia" w:cstheme="minorEastAsia"/>
                <w:color w:val="auto"/>
                <w:sz w:val="21"/>
                <w:szCs w:val="21"/>
              </w:rPr>
              <w:t>的职称（中级及以上）、专业（具备环境科学专业、环境工程专业、生态学专业、水文学及水资源专业、地质工程专业、土壤学等专业）等综合情况进行打分</w:t>
            </w:r>
            <w:r>
              <w:rPr>
                <w:rFonts w:hint="eastAsia" w:asciiTheme="minorEastAsia" w:hAnsiTheme="minorEastAsia" w:eastAsiaTheme="minorEastAsia" w:cstheme="minorEastAsia"/>
                <w:color w:val="auto"/>
                <w:sz w:val="21"/>
                <w:szCs w:val="21"/>
                <w:lang w:eastAsia="zh-CN"/>
              </w:rPr>
              <w:t>；</w:t>
            </w:r>
          </w:p>
          <w:p>
            <w:pPr>
              <w:pStyle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(需</w:t>
            </w:r>
            <w:r>
              <w:rPr>
                <w:rFonts w:hint="eastAsia" w:asciiTheme="minorEastAsia" w:hAnsiTheme="minorEastAsia" w:eastAsiaTheme="minorEastAsia" w:cstheme="minorEastAsia"/>
                <w:b/>
                <w:bCs/>
                <w:color w:val="auto"/>
                <w:sz w:val="21"/>
                <w:szCs w:val="21"/>
              </w:rPr>
              <w:t>提供</w:t>
            </w:r>
            <w:r>
              <w:rPr>
                <w:rFonts w:hint="eastAsia" w:asciiTheme="minorEastAsia" w:hAnsiTheme="minorEastAsia" w:eastAsiaTheme="minorEastAsia" w:cstheme="minorEastAsia"/>
                <w:b/>
                <w:bCs/>
                <w:color w:val="auto"/>
                <w:sz w:val="21"/>
                <w:szCs w:val="21"/>
                <w:lang w:eastAsia="zh-CN"/>
              </w:rPr>
              <w:t>相关</w:t>
            </w:r>
            <w:r>
              <w:rPr>
                <w:rFonts w:hint="eastAsia" w:asciiTheme="minorEastAsia" w:hAnsiTheme="minorEastAsia" w:eastAsiaTheme="minorEastAsia" w:cstheme="minorEastAsia"/>
                <w:b/>
                <w:bCs/>
                <w:color w:val="auto"/>
                <w:sz w:val="21"/>
                <w:szCs w:val="21"/>
              </w:rPr>
              <w:t>职称证</w:t>
            </w:r>
            <w:r>
              <w:rPr>
                <w:rFonts w:hint="eastAsia" w:asciiTheme="minorEastAsia" w:hAnsiTheme="minorEastAsia" w:eastAsiaTheme="minorEastAsia" w:cstheme="minorEastAsia"/>
                <w:b/>
                <w:bCs/>
                <w:color w:val="auto"/>
                <w:sz w:val="21"/>
                <w:szCs w:val="21"/>
                <w:lang w:eastAsia="zh-CN"/>
              </w:rPr>
              <w:t>书</w:t>
            </w:r>
            <w:r>
              <w:rPr>
                <w:rFonts w:hint="eastAsia" w:asciiTheme="minorEastAsia" w:hAnsiTheme="minorEastAsia" w:eastAsiaTheme="minorEastAsia" w:cstheme="minorEastAsia"/>
                <w:b/>
                <w:bCs/>
                <w:color w:val="auto"/>
                <w:sz w:val="21"/>
                <w:szCs w:val="21"/>
              </w:rPr>
              <w:t>、</w:t>
            </w:r>
            <w:r>
              <w:rPr>
                <w:rFonts w:hint="eastAsia" w:asciiTheme="minorEastAsia" w:hAnsiTheme="minorEastAsia" w:eastAsiaTheme="minorEastAsia" w:cstheme="minorEastAsia"/>
                <w:b/>
                <w:bCs/>
                <w:color w:val="auto"/>
                <w:sz w:val="21"/>
                <w:szCs w:val="21"/>
                <w:lang w:eastAsia="zh-CN"/>
              </w:rPr>
              <w:t>毕业证书扫描件并加盖单位公章）</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20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sz w:val="21"/>
                <w:szCs w:val="21"/>
                <w:highlight w:val="none"/>
                <w:lang w:val="zh-CN"/>
              </w:rPr>
            </w:pPr>
          </w:p>
        </w:tc>
        <w:tc>
          <w:tcPr>
            <w:tcW w:w="1590" w:type="dxa"/>
            <w:vMerge w:val="continue"/>
            <w:tcBorders>
              <w:left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color w:val="auto"/>
                <w:kern w:val="2"/>
                <w:sz w:val="21"/>
                <w:szCs w:val="21"/>
                <w:highlight w:val="none"/>
                <w:lang w:val="zh-CN" w:eastAsia="zh-CN" w:bidi="ar-SA"/>
              </w:rPr>
            </w:pP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评委根据投标人拟派项目团队人员(除项目负责人外）</w:t>
            </w:r>
            <w:r>
              <w:rPr>
                <w:rFonts w:hint="eastAsia" w:asciiTheme="minorEastAsia" w:hAnsiTheme="minorEastAsia" w:eastAsiaTheme="minorEastAsia" w:cstheme="minorEastAsia"/>
                <w:color w:val="auto"/>
                <w:sz w:val="21"/>
                <w:szCs w:val="21"/>
                <w:lang w:eastAsia="zh-CN"/>
              </w:rPr>
              <w:t>的经验及个人荣誉等情况进行综合打分；</w:t>
            </w:r>
          </w:p>
          <w:p>
            <w:pPr>
              <w:pStyle w:val="2"/>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(需</w:t>
            </w:r>
            <w:r>
              <w:rPr>
                <w:rFonts w:hint="eastAsia" w:asciiTheme="minorEastAsia" w:hAnsiTheme="minorEastAsia" w:eastAsiaTheme="minorEastAsia" w:cstheme="minorEastAsia"/>
                <w:color w:val="auto"/>
                <w:kern w:val="0"/>
                <w:sz w:val="21"/>
                <w:szCs w:val="21"/>
                <w:highlight w:val="none"/>
              </w:rPr>
              <w:t>提供</w:t>
            </w:r>
            <w:r>
              <w:rPr>
                <w:rFonts w:hint="eastAsia" w:asciiTheme="minorEastAsia" w:hAnsiTheme="minorEastAsia" w:eastAsiaTheme="minorEastAsia" w:cstheme="minorEastAsia"/>
                <w:color w:val="auto"/>
                <w:kern w:val="0"/>
                <w:sz w:val="21"/>
                <w:szCs w:val="21"/>
                <w:highlight w:val="none"/>
                <w:lang w:eastAsia="zh-CN"/>
              </w:rPr>
              <w:t>相关</w:t>
            </w:r>
            <w:r>
              <w:rPr>
                <w:rFonts w:hint="eastAsia" w:asciiTheme="minorEastAsia" w:hAnsiTheme="minorEastAsia" w:eastAsiaTheme="minorEastAsia" w:cstheme="minorEastAsia"/>
                <w:color w:val="auto"/>
                <w:kern w:val="0"/>
                <w:sz w:val="21"/>
                <w:szCs w:val="21"/>
                <w:highlight w:val="none"/>
              </w:rPr>
              <w:t>证明材料</w:t>
            </w:r>
            <w:r>
              <w:rPr>
                <w:rFonts w:hint="eastAsia" w:asciiTheme="minorEastAsia" w:hAnsiTheme="minorEastAsia" w:eastAsiaTheme="minorEastAsia" w:cstheme="minorEastAsia"/>
                <w:b/>
                <w:bCs/>
                <w:color w:val="auto"/>
                <w:sz w:val="21"/>
                <w:szCs w:val="21"/>
                <w:lang w:eastAsia="zh-CN"/>
              </w:rPr>
              <w:t>扫描件并加盖单位公章）</w:t>
            </w:r>
          </w:p>
        </w:tc>
        <w:tc>
          <w:tcPr>
            <w:tcW w:w="10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vMerge w:val="restart"/>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rPr>
              <w:t>服务响应保障</w:t>
            </w:r>
            <w:r>
              <w:rPr>
                <w:rFonts w:hint="eastAsia" w:asciiTheme="minorEastAsia" w:hAnsiTheme="minorEastAsia" w:eastAsiaTheme="minorEastAsia" w:cstheme="minorEastAsia"/>
                <w:color w:val="auto"/>
                <w:sz w:val="21"/>
                <w:szCs w:val="21"/>
                <w:highlight w:val="none"/>
                <w:lang w:eastAsia="zh-CN"/>
              </w:rPr>
              <w:t>措施</w:t>
            </w: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评委根据投标人对本项目提供的</w:t>
            </w:r>
            <w:r>
              <w:rPr>
                <w:rFonts w:hint="eastAsia" w:asciiTheme="minorEastAsia" w:hAnsiTheme="minorEastAsia" w:eastAsiaTheme="minorEastAsia" w:cstheme="minorEastAsia"/>
                <w:color w:val="auto"/>
                <w:sz w:val="21"/>
                <w:szCs w:val="21"/>
                <w:lang w:val="zh-CN"/>
              </w:rPr>
              <w:t>售后服务响应方案的科学、合理性进行综合打分；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5003" w:type="dxa"/>
            <w:tcBorders>
              <w:left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评委根据投标人对本项目提供的</w:t>
            </w:r>
            <w:r>
              <w:rPr>
                <w:rFonts w:hint="eastAsia" w:asciiTheme="minorEastAsia" w:hAnsiTheme="minorEastAsia" w:eastAsiaTheme="minorEastAsia" w:cstheme="minorEastAsia"/>
                <w:color w:val="auto"/>
                <w:sz w:val="21"/>
                <w:szCs w:val="21"/>
                <w:lang w:val="zh-CN"/>
              </w:rPr>
              <w:t>售后服务响应时间长短、专业技术队伍能力等进行综合打分；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200" w:type="dxa"/>
            <w:vMerge w:val="restart"/>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资信</w:t>
            </w:r>
          </w:p>
          <w:p>
            <w:pPr>
              <w:jc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10分</w:t>
            </w:r>
            <w:r>
              <w:rPr>
                <w:rFonts w:hint="eastAsia" w:asciiTheme="minorEastAsia" w:hAnsiTheme="minorEastAsia" w:eastAsiaTheme="minorEastAsia" w:cstheme="minorEastAsia"/>
                <w:color w:val="auto"/>
                <w:sz w:val="21"/>
                <w:szCs w:val="21"/>
                <w:highlight w:val="none"/>
                <w:lang w:eastAsia="zh-CN"/>
              </w:rPr>
              <w:t>）</w:t>
            </w:r>
          </w:p>
        </w:tc>
        <w:tc>
          <w:tcPr>
            <w:tcW w:w="1590" w:type="dxa"/>
            <w:tcBorders>
              <w:left w:val="single" w:color="auto" w:sz="4" w:space="0"/>
              <w:right w:val="single" w:color="auto" w:sz="4" w:space="0"/>
            </w:tcBorders>
            <w:vAlign w:val="center"/>
          </w:tcPr>
          <w:p>
            <w:pPr>
              <w:ind w:firstLine="210" w:firstLineChars="100"/>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企业</w:t>
            </w:r>
            <w:r>
              <w:rPr>
                <w:rFonts w:hint="eastAsia" w:asciiTheme="minorEastAsia" w:hAnsiTheme="minorEastAsia" w:eastAsiaTheme="minorEastAsia" w:cstheme="minorEastAsia"/>
                <w:color w:val="auto"/>
                <w:sz w:val="21"/>
                <w:szCs w:val="21"/>
                <w:highlight w:val="none"/>
              </w:rPr>
              <w:t>业绩</w:t>
            </w:r>
          </w:p>
        </w:tc>
        <w:tc>
          <w:tcPr>
            <w:tcW w:w="5003" w:type="dxa"/>
            <w:tcBorders>
              <w:left w:val="single" w:color="auto" w:sz="4" w:space="0"/>
              <w:right w:val="single" w:color="auto" w:sz="4" w:space="0"/>
            </w:tcBorders>
            <w:vAlign w:val="center"/>
          </w:tcPr>
          <w:p>
            <w:pPr>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投标人</w:t>
            </w:r>
            <w:r>
              <w:rPr>
                <w:rFonts w:hint="eastAsia" w:asciiTheme="minorEastAsia" w:hAnsiTheme="minorEastAsia" w:eastAsiaTheme="minorEastAsia" w:cstheme="minorEastAsia"/>
                <w:color w:val="auto"/>
                <w:sz w:val="21"/>
                <w:szCs w:val="21"/>
                <w:highlight w:val="none"/>
              </w:rPr>
              <w:t>自2018年1月1日（以合同签订时间为准）</w:t>
            </w:r>
            <w:r>
              <w:rPr>
                <w:rFonts w:hint="eastAsia" w:asciiTheme="minorEastAsia" w:hAnsiTheme="minorEastAsia" w:eastAsiaTheme="minorEastAsia" w:cstheme="minorEastAsia"/>
                <w:color w:val="auto"/>
                <w:sz w:val="21"/>
                <w:szCs w:val="21"/>
                <w:highlight w:val="none"/>
                <w:lang w:eastAsia="zh-CN"/>
              </w:rPr>
              <w:t>以来</w:t>
            </w:r>
            <w:r>
              <w:rPr>
                <w:rFonts w:hint="eastAsia" w:asciiTheme="minorEastAsia" w:hAnsiTheme="minorEastAsia" w:eastAsiaTheme="minorEastAsia" w:cstheme="minorEastAsia"/>
                <w:color w:val="auto"/>
                <w:sz w:val="21"/>
                <w:szCs w:val="21"/>
                <w:highlight w:val="none"/>
              </w:rPr>
              <w:t>，已完成或正在</w:t>
            </w:r>
            <w:r>
              <w:rPr>
                <w:rFonts w:hint="eastAsia" w:asciiTheme="minorEastAsia" w:hAnsiTheme="minorEastAsia" w:eastAsiaTheme="minorEastAsia" w:cstheme="minorEastAsia"/>
                <w:color w:val="auto"/>
                <w:sz w:val="21"/>
                <w:szCs w:val="21"/>
                <w:highlight w:val="none"/>
                <w:lang w:eastAsia="zh-CN"/>
              </w:rPr>
              <w:t>履行与本项目</w:t>
            </w:r>
            <w:r>
              <w:rPr>
                <w:rFonts w:hint="eastAsia" w:asciiTheme="minorEastAsia" w:hAnsiTheme="minorEastAsia" w:eastAsiaTheme="minorEastAsia" w:cstheme="minorEastAsia"/>
                <w:color w:val="auto"/>
                <w:sz w:val="21"/>
                <w:szCs w:val="21"/>
              </w:rPr>
              <w:t>类似相关技术服务业绩的</w:t>
            </w:r>
            <w:r>
              <w:rPr>
                <w:rFonts w:hint="eastAsia" w:asciiTheme="minorEastAsia" w:hAnsiTheme="minorEastAsia" w:eastAsiaTheme="minorEastAsia" w:cstheme="minorEastAsia"/>
                <w:color w:val="auto"/>
                <w:sz w:val="21"/>
                <w:szCs w:val="21"/>
                <w:highlight w:val="none"/>
              </w:rPr>
              <w:t>，每个得</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分</w:t>
            </w:r>
            <w:r>
              <w:rPr>
                <w:rFonts w:hint="eastAsia" w:asciiTheme="minorEastAsia" w:hAnsiTheme="minorEastAsia" w:eastAsiaTheme="minorEastAsia" w:cstheme="minorEastAsia"/>
                <w:color w:val="auto"/>
                <w:sz w:val="21"/>
                <w:szCs w:val="21"/>
                <w:highlight w:val="none"/>
                <w:lang w:eastAsia="zh-CN"/>
              </w:rPr>
              <w:t>，最高得</w:t>
            </w:r>
            <w:r>
              <w:rPr>
                <w:rFonts w:hint="eastAsia" w:asciiTheme="minorEastAsia" w:hAnsiTheme="minorEastAsia" w:eastAsiaTheme="minorEastAsia" w:cstheme="minorEastAsia"/>
                <w:color w:val="auto"/>
                <w:sz w:val="21"/>
                <w:szCs w:val="21"/>
                <w:highlight w:val="none"/>
                <w:lang w:val="en-US" w:eastAsia="zh-CN"/>
              </w:rPr>
              <w:t>3分；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tcBorders>
              <w:left w:val="single" w:color="auto" w:sz="4" w:space="0"/>
              <w:right w:val="single" w:color="auto" w:sz="4" w:space="0"/>
            </w:tcBorders>
            <w:vAlign w:val="center"/>
          </w:tcPr>
          <w:p>
            <w:pPr>
              <w:widowControl/>
              <w:ind w:firstLine="210" w:firstLineChars="1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体系认证</w:t>
            </w:r>
          </w:p>
        </w:tc>
        <w:tc>
          <w:tcPr>
            <w:tcW w:w="5003" w:type="dxa"/>
            <w:tcBorders>
              <w:left w:val="single" w:color="auto" w:sz="4" w:space="0"/>
              <w:right w:val="single" w:color="auto" w:sz="4" w:space="0"/>
            </w:tcBorders>
            <w:vAlign w:val="center"/>
          </w:tcPr>
          <w:p>
            <w:pPr>
              <w:widowControl/>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投标人具有有效期内的质量管理体系认证证书、环境质量管理体系认证证书、职业健康安全管理体系认证证书的每个得0.5分，最高得1.5分；</w:t>
            </w:r>
          </w:p>
          <w:p>
            <w:pPr>
              <w:widowControl/>
              <w:ind w:firstLine="422"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
                <w:bCs/>
                <w:color w:val="auto"/>
                <w:sz w:val="21"/>
                <w:szCs w:val="21"/>
                <w:highlight w:val="none"/>
                <w:lang w:val="en-US" w:eastAsia="zh-CN"/>
              </w:rPr>
              <w:t>注：认证范围需包含水污染治理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bCs/>
                <w:color w:val="auto"/>
                <w:spacing w:val="-6"/>
                <w:sz w:val="21"/>
                <w:szCs w:val="21"/>
              </w:rPr>
              <w:t>软件著作权</w:t>
            </w:r>
          </w:p>
        </w:tc>
        <w:tc>
          <w:tcPr>
            <w:tcW w:w="5003" w:type="dxa"/>
            <w:tcBorders>
              <w:left w:val="single" w:color="auto" w:sz="4" w:space="0"/>
              <w:right w:val="single" w:color="auto" w:sz="4" w:space="0"/>
            </w:tcBorders>
            <w:vAlign w:val="center"/>
          </w:tcPr>
          <w:p>
            <w:pPr>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rPr>
              <w:t>投标人具有地下水环境污染预测相关软件著作权</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环境现状检测数据分析软件著作权的，</w:t>
            </w:r>
            <w:r>
              <w:rPr>
                <w:rFonts w:hint="eastAsia" w:asciiTheme="minorEastAsia" w:hAnsiTheme="minorEastAsia" w:eastAsiaTheme="minorEastAsia" w:cstheme="minorEastAsia"/>
                <w:color w:val="auto"/>
                <w:sz w:val="21"/>
                <w:szCs w:val="21"/>
                <w:lang w:eastAsia="zh-CN"/>
              </w:rPr>
              <w:t>每个</w:t>
            </w:r>
            <w:r>
              <w:rPr>
                <w:rFonts w:hint="eastAsia" w:asciiTheme="minorEastAsia" w:hAnsiTheme="minorEastAsia" w:eastAsiaTheme="minorEastAsia" w:cstheme="minorEastAsia"/>
                <w:color w:val="auto"/>
                <w:sz w:val="21"/>
                <w:szCs w:val="21"/>
              </w:rPr>
              <w:t>得</w:t>
            </w:r>
            <w:r>
              <w:rPr>
                <w:rFonts w:hint="eastAsia" w:asciiTheme="minorEastAsia" w:hAnsiTheme="minorEastAsia" w:eastAsia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最高</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vMerge w:val="restart"/>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人员配置</w:t>
            </w:r>
          </w:p>
        </w:tc>
        <w:tc>
          <w:tcPr>
            <w:tcW w:w="5003" w:type="dxa"/>
            <w:tcBorders>
              <w:left w:val="single" w:color="auto" w:sz="4" w:space="0"/>
              <w:right w:val="single" w:color="auto" w:sz="4" w:space="0"/>
            </w:tcBorders>
            <w:vAlign w:val="center"/>
          </w:tcPr>
          <w:p>
            <w:pPr>
              <w:snapToGrid w:val="0"/>
              <w:spacing w:line="330" w:lineRule="exact"/>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lang w:eastAsia="zh-CN"/>
              </w:rPr>
              <w:t>投标人拟派的</w:t>
            </w:r>
            <w:r>
              <w:rPr>
                <w:rFonts w:hint="eastAsia" w:asciiTheme="minorEastAsia" w:hAnsiTheme="minorEastAsia" w:eastAsiaTheme="minorEastAsia" w:cstheme="minorEastAsia"/>
                <w:color w:val="auto"/>
                <w:sz w:val="21"/>
                <w:szCs w:val="21"/>
              </w:rPr>
              <w:t>项目负责人具有正高级职称的得2分，副高级职称得1分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具有注册公用设备（给水排水）工程师职业资格</w:t>
            </w:r>
            <w:r>
              <w:rPr>
                <w:rFonts w:hint="eastAsia" w:asciiTheme="minorEastAsia" w:hAnsiTheme="minorEastAsia" w:eastAsiaTheme="minorEastAsia" w:cstheme="minorEastAsia"/>
                <w:color w:val="auto"/>
                <w:sz w:val="21"/>
                <w:szCs w:val="21"/>
                <w:lang w:eastAsia="zh-CN"/>
              </w:rPr>
              <w:t>证书</w:t>
            </w:r>
            <w:r>
              <w:rPr>
                <w:rFonts w:hint="eastAsia" w:asciiTheme="minorEastAsia" w:hAnsiTheme="minorEastAsia" w:eastAsiaTheme="minorEastAsia" w:cstheme="minorEastAsia"/>
                <w:color w:val="auto"/>
                <w:sz w:val="21"/>
                <w:szCs w:val="21"/>
              </w:rPr>
              <w:t>的得1分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highlight w:val="none"/>
                <w:lang w:val="en-US" w:eastAsia="zh-CN"/>
              </w:rPr>
              <w:t xml:space="preserve">最高得3分； </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0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rPr>
            </w:pPr>
          </w:p>
        </w:tc>
        <w:tc>
          <w:tcPr>
            <w:tcW w:w="1590"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1"/>
                <w:szCs w:val="21"/>
                <w:highlight w:val="none"/>
                <w:lang w:val="en-US" w:eastAsia="zh-CN"/>
              </w:rPr>
            </w:pPr>
          </w:p>
        </w:tc>
        <w:tc>
          <w:tcPr>
            <w:tcW w:w="5003" w:type="dxa"/>
            <w:tcBorders>
              <w:left w:val="single" w:color="auto" w:sz="4" w:space="0"/>
              <w:right w:val="single" w:color="auto" w:sz="4" w:space="0"/>
            </w:tcBorders>
            <w:vAlign w:val="center"/>
          </w:tcPr>
          <w:p>
            <w:pPr>
              <w:widowControl/>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投标人拟派的项目负责人获得过省级及以上治水相关荣誉或聘书的，每个得0.5分，最高得1.5分；</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both"/>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1.5分</w:t>
            </w:r>
          </w:p>
        </w:tc>
      </w:tr>
    </w:tbl>
    <w:p>
      <w:pPr>
        <w:ind w:firstLine="422"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2、商务要求表</w:t>
      </w:r>
      <w:r>
        <w:rPr>
          <w:rFonts w:hint="eastAsia" w:asciiTheme="minorEastAsia" w:hAnsiTheme="minorEastAsia" w:eastAsiaTheme="minorEastAsia" w:cstheme="minorEastAsia"/>
          <w:color w:val="auto"/>
          <w:sz w:val="21"/>
          <w:szCs w:val="21"/>
          <w:highlight w:val="none"/>
        </w:rPr>
        <w:t>（对应评分标准）</w:t>
      </w:r>
    </w:p>
    <w:tbl>
      <w:tblPr>
        <w:tblStyle w:val="22"/>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590"/>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33" w:type="dxa"/>
            <w:vMerge w:val="restart"/>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rPr>
              <w:t>资信</w:t>
            </w:r>
          </w:p>
        </w:tc>
        <w:tc>
          <w:tcPr>
            <w:tcW w:w="1590" w:type="dxa"/>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highlight w:val="none"/>
                <w:lang w:eastAsia="zh-CN"/>
              </w:rPr>
              <w:t>企业</w:t>
            </w:r>
            <w:r>
              <w:rPr>
                <w:rFonts w:hint="eastAsia" w:asciiTheme="minorEastAsia" w:hAnsiTheme="minorEastAsia" w:eastAsiaTheme="minorEastAsia" w:cstheme="minorEastAsia"/>
                <w:b w:val="0"/>
                <w:bCs w:val="0"/>
                <w:color w:val="auto"/>
                <w:sz w:val="21"/>
                <w:szCs w:val="21"/>
                <w:highlight w:val="none"/>
              </w:rPr>
              <w:t>业绩</w:t>
            </w:r>
          </w:p>
        </w:tc>
        <w:tc>
          <w:tcPr>
            <w:tcW w:w="5793" w:type="dxa"/>
            <w:tcBorders>
              <w:top w:val="single" w:color="auto" w:sz="4" w:space="0"/>
              <w:left w:val="single" w:color="auto" w:sz="4" w:space="0"/>
              <w:bottom w:val="single" w:color="auto" w:sz="4" w:space="0"/>
              <w:right w:val="single" w:color="auto" w:sz="4" w:space="0"/>
            </w:tcBorders>
            <w:vAlign w:val="center"/>
          </w:tcPr>
          <w:p>
            <w:pPr>
              <w:pStyle w:val="21"/>
              <w:spacing w:line="240" w:lineRule="auto"/>
              <w:ind w:firstLine="420" w:firstLineChars="20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lang w:eastAsia="zh-CN"/>
              </w:rPr>
              <w:t>需</w:t>
            </w:r>
            <w:r>
              <w:rPr>
                <w:rFonts w:hint="eastAsia" w:asciiTheme="minorEastAsia" w:hAnsiTheme="minorEastAsia" w:eastAsiaTheme="minorEastAsia" w:cstheme="minorEastAsia"/>
                <w:b w:val="0"/>
                <w:bCs w:val="0"/>
                <w:color w:val="auto"/>
                <w:sz w:val="21"/>
                <w:szCs w:val="21"/>
                <w:highlight w:val="none"/>
              </w:rPr>
              <w:t>提供合同</w:t>
            </w:r>
            <w:r>
              <w:rPr>
                <w:rFonts w:hint="eastAsia" w:asciiTheme="minorEastAsia" w:hAnsiTheme="minorEastAsia" w:eastAsiaTheme="minorEastAsia" w:cstheme="minorEastAsia"/>
                <w:b w:val="0"/>
                <w:bCs w:val="0"/>
                <w:color w:val="auto"/>
                <w:sz w:val="21"/>
                <w:szCs w:val="21"/>
              </w:rPr>
              <w:t>描件</w:t>
            </w:r>
            <w:r>
              <w:rPr>
                <w:rFonts w:hint="eastAsia" w:asciiTheme="minorEastAsia" w:hAnsiTheme="minorEastAsia" w:eastAsiaTheme="minorEastAsia" w:cstheme="minorEastAsia"/>
                <w:b w:val="0"/>
                <w:bCs w:val="0"/>
                <w:color w:val="auto"/>
                <w:sz w:val="21"/>
                <w:szCs w:val="21"/>
                <w:highlight w:val="none"/>
              </w:rPr>
              <w:t>件</w:t>
            </w:r>
            <w:r>
              <w:rPr>
                <w:rFonts w:hint="eastAsia" w:asciiTheme="minorEastAsia" w:hAnsiTheme="minorEastAsia" w:eastAsiaTheme="minorEastAsia" w:cstheme="minorEastAsia"/>
                <w:b w:val="0"/>
                <w:bCs w:val="0"/>
                <w:color w:val="auto"/>
                <w:sz w:val="21"/>
                <w:szCs w:val="21"/>
                <w:highlight w:val="none"/>
                <w:lang w:eastAsia="zh-CN"/>
              </w:rPr>
              <w:t>并</w:t>
            </w:r>
            <w:r>
              <w:rPr>
                <w:rFonts w:hint="eastAsia" w:asciiTheme="minorEastAsia" w:hAnsiTheme="minorEastAsia" w:eastAsiaTheme="minorEastAsia" w:cstheme="minorEastAsia"/>
                <w:b w:val="0"/>
                <w:bCs w:val="0"/>
                <w:color w:val="auto"/>
                <w:sz w:val="21"/>
                <w:szCs w:val="21"/>
                <w:highlight w:val="none"/>
              </w:rPr>
              <w:t>加盖</w:t>
            </w:r>
            <w:r>
              <w:rPr>
                <w:rFonts w:hint="eastAsia" w:asciiTheme="minorEastAsia" w:hAnsiTheme="minorEastAsia" w:eastAsiaTheme="minorEastAsia" w:cstheme="minorEastAsia"/>
                <w:b w:val="0"/>
                <w:bCs w:val="0"/>
                <w:color w:val="auto"/>
                <w:kern w:val="2"/>
                <w:sz w:val="21"/>
                <w:szCs w:val="21"/>
                <w:highlight w:val="none"/>
                <w:lang w:val="zh-CN" w:eastAsia="zh-CN" w:bidi="ar-SA"/>
              </w:rPr>
              <w:t>单位</w:t>
            </w:r>
            <w:r>
              <w:rPr>
                <w:rFonts w:hint="eastAsia" w:asciiTheme="minorEastAsia" w:hAnsiTheme="minorEastAsia" w:eastAsiaTheme="minorEastAsia" w:cstheme="minorEastAsia"/>
                <w:b w:val="0"/>
                <w:bCs w:val="0"/>
                <w:color w:val="auto"/>
                <w:sz w:val="21"/>
                <w:szCs w:val="21"/>
                <w:highlight w:val="none"/>
              </w:rPr>
              <w:t>公章</w:t>
            </w:r>
            <w:r>
              <w:rPr>
                <w:rFonts w:hint="eastAsia" w:asciiTheme="minorEastAsia" w:hAnsiTheme="minorEastAsia" w:eastAsiaTheme="minorEastAsia" w:cstheme="minorEastAsia"/>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33"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p>
        </w:tc>
        <w:tc>
          <w:tcPr>
            <w:tcW w:w="1590"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rPr>
              <w:t>体系认证</w:t>
            </w:r>
          </w:p>
        </w:tc>
        <w:tc>
          <w:tcPr>
            <w:tcW w:w="5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420" w:firstLineChars="20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highlight w:val="none"/>
              </w:rPr>
              <w:t>需提供</w:t>
            </w:r>
            <w:r>
              <w:rPr>
                <w:rFonts w:hint="eastAsia" w:asciiTheme="minorEastAsia" w:hAnsiTheme="minorEastAsia" w:eastAsiaTheme="minorEastAsia" w:cstheme="minorEastAsia"/>
                <w:b w:val="0"/>
                <w:bCs w:val="0"/>
                <w:color w:val="auto"/>
                <w:sz w:val="21"/>
                <w:szCs w:val="21"/>
                <w:highlight w:val="none"/>
                <w:lang w:val="en-US" w:eastAsia="zh-CN"/>
              </w:rPr>
              <w:t>证书</w:t>
            </w:r>
            <w:r>
              <w:rPr>
                <w:rFonts w:hint="eastAsia" w:asciiTheme="minorEastAsia" w:hAnsiTheme="minorEastAsia" w:eastAsiaTheme="minorEastAsia" w:cstheme="minorEastAsia"/>
                <w:b w:val="0"/>
                <w:bCs w:val="0"/>
                <w:color w:val="auto"/>
                <w:sz w:val="21"/>
                <w:szCs w:val="21"/>
              </w:rPr>
              <w:t>描件</w:t>
            </w:r>
            <w:r>
              <w:rPr>
                <w:rFonts w:hint="eastAsia" w:asciiTheme="minorEastAsia" w:hAnsiTheme="minorEastAsia" w:eastAsiaTheme="minorEastAsia" w:cstheme="minorEastAsia"/>
                <w:b w:val="0"/>
                <w:bCs w:val="0"/>
                <w:color w:val="auto"/>
                <w:sz w:val="21"/>
                <w:szCs w:val="21"/>
                <w:highlight w:val="none"/>
              </w:rPr>
              <w:t>件</w:t>
            </w:r>
            <w:r>
              <w:rPr>
                <w:rFonts w:hint="eastAsia" w:asciiTheme="minorEastAsia" w:hAnsiTheme="minorEastAsia" w:eastAsiaTheme="minorEastAsia" w:cstheme="minorEastAsia"/>
                <w:b w:val="0"/>
                <w:bCs w:val="0"/>
                <w:color w:val="auto"/>
                <w:sz w:val="21"/>
                <w:szCs w:val="21"/>
                <w:highlight w:val="none"/>
                <w:lang w:eastAsia="zh-CN"/>
              </w:rPr>
              <w:t>并</w:t>
            </w:r>
            <w:r>
              <w:rPr>
                <w:rFonts w:hint="eastAsia" w:asciiTheme="minorEastAsia" w:hAnsiTheme="minorEastAsia" w:eastAsiaTheme="minorEastAsia" w:cstheme="minorEastAsia"/>
                <w:b w:val="0"/>
                <w:bCs w:val="0"/>
                <w:color w:val="auto"/>
                <w:sz w:val="21"/>
                <w:szCs w:val="21"/>
                <w:highlight w:val="none"/>
              </w:rPr>
              <w:t>加盖</w:t>
            </w:r>
            <w:r>
              <w:rPr>
                <w:rFonts w:hint="eastAsia" w:asciiTheme="minorEastAsia" w:hAnsiTheme="minorEastAsia" w:eastAsiaTheme="minorEastAsia" w:cstheme="minorEastAsia"/>
                <w:b w:val="0"/>
                <w:bCs w:val="0"/>
                <w:color w:val="auto"/>
                <w:kern w:val="2"/>
                <w:sz w:val="21"/>
                <w:szCs w:val="21"/>
                <w:highlight w:val="none"/>
                <w:lang w:val="zh-CN" w:eastAsia="zh-CN" w:bidi="ar-SA"/>
              </w:rPr>
              <w:t>单位</w:t>
            </w:r>
            <w:r>
              <w:rPr>
                <w:rFonts w:hint="eastAsia" w:asciiTheme="minorEastAsia" w:hAnsiTheme="minorEastAsia" w:eastAsiaTheme="minorEastAsia" w:cstheme="minorEastAsia"/>
                <w:b w:val="0"/>
                <w:bCs w:val="0"/>
                <w:color w:val="auto"/>
                <w:sz w:val="21"/>
                <w:szCs w:val="21"/>
                <w:highlight w:val="none"/>
              </w:rPr>
              <w:t>公章</w:t>
            </w:r>
            <w:r>
              <w:rPr>
                <w:rFonts w:hint="eastAsia" w:asciiTheme="minorEastAsia" w:hAnsiTheme="minorEastAsia" w:eastAsiaTheme="minorEastAsia" w:cstheme="minorEastAsia"/>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33"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p>
        </w:tc>
        <w:tc>
          <w:tcPr>
            <w:tcW w:w="1590" w:type="dxa"/>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pacing w:val="-6"/>
                <w:sz w:val="21"/>
                <w:szCs w:val="21"/>
              </w:rPr>
              <w:t>软件著作权</w:t>
            </w:r>
          </w:p>
        </w:tc>
        <w:tc>
          <w:tcPr>
            <w:tcW w:w="5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420" w:firstLineChars="20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rPr>
              <w:t>需提供中华人民共和国国家版权局颁发的证书扫描件</w:t>
            </w:r>
            <w:r>
              <w:rPr>
                <w:rFonts w:hint="eastAsia" w:asciiTheme="minorEastAsia" w:hAnsiTheme="minorEastAsia" w:eastAsiaTheme="minorEastAsia" w:cstheme="minorEastAsia"/>
                <w:b w:val="0"/>
                <w:bCs w:val="0"/>
                <w:color w:val="auto"/>
                <w:sz w:val="21"/>
                <w:szCs w:val="21"/>
                <w:highlight w:val="none"/>
                <w:lang w:eastAsia="zh-CN"/>
              </w:rPr>
              <w:t>并</w:t>
            </w:r>
            <w:r>
              <w:rPr>
                <w:rFonts w:hint="eastAsia" w:asciiTheme="minorEastAsia" w:hAnsiTheme="minorEastAsia" w:eastAsiaTheme="minorEastAsia" w:cstheme="minorEastAsia"/>
                <w:b w:val="0"/>
                <w:bCs w:val="0"/>
                <w:color w:val="auto"/>
                <w:sz w:val="21"/>
                <w:szCs w:val="21"/>
                <w:highlight w:val="none"/>
              </w:rPr>
              <w:t>加盖</w:t>
            </w:r>
            <w:r>
              <w:rPr>
                <w:rFonts w:hint="eastAsia" w:asciiTheme="minorEastAsia" w:hAnsiTheme="minorEastAsia" w:eastAsiaTheme="minorEastAsia" w:cstheme="minorEastAsia"/>
                <w:b w:val="0"/>
                <w:bCs w:val="0"/>
                <w:color w:val="auto"/>
                <w:kern w:val="2"/>
                <w:sz w:val="21"/>
                <w:szCs w:val="21"/>
                <w:highlight w:val="none"/>
                <w:lang w:val="zh-CN" w:eastAsia="zh-CN" w:bidi="ar-SA"/>
              </w:rPr>
              <w:t>单位</w:t>
            </w:r>
            <w:r>
              <w:rPr>
                <w:rFonts w:hint="eastAsia" w:asciiTheme="minorEastAsia" w:hAnsiTheme="minorEastAsia" w:eastAsiaTheme="minorEastAsia" w:cstheme="minorEastAsia"/>
                <w:b w:val="0"/>
                <w:bCs w:val="0"/>
                <w:color w:val="auto"/>
                <w:sz w:val="21"/>
                <w:szCs w:val="21"/>
                <w:highlight w:val="none"/>
              </w:rPr>
              <w:t>公章</w:t>
            </w:r>
            <w:r>
              <w:rPr>
                <w:rFonts w:hint="eastAsia" w:asciiTheme="minorEastAsia" w:hAnsiTheme="minorEastAsia" w:eastAsiaTheme="minorEastAsia" w:cstheme="minorEastAsia"/>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233"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p>
        </w:tc>
        <w:tc>
          <w:tcPr>
            <w:tcW w:w="1590" w:type="dxa"/>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b w:val="0"/>
                <w:bCs w:val="0"/>
                <w:color w:val="auto"/>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lang w:val="en-US" w:eastAsia="zh-CN"/>
              </w:rPr>
              <w:t>人员配置</w:t>
            </w:r>
          </w:p>
        </w:tc>
        <w:tc>
          <w:tcPr>
            <w:tcW w:w="57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420" w:firstLineChars="200"/>
              <w:rPr>
                <w:rFonts w:hint="eastAsia" w:asciiTheme="minorEastAsia" w:hAnsiTheme="minorEastAsia" w:eastAsiaTheme="minorEastAsia" w:cstheme="minorEastAsia"/>
                <w:b w:val="0"/>
                <w:bCs w:val="0"/>
                <w:color w:val="auto"/>
                <w:sz w:val="21"/>
                <w:szCs w:val="21"/>
                <w:highlight w:val="none"/>
              </w:rPr>
            </w:pPr>
            <w:r>
              <w:rPr>
                <w:rFonts w:hint="eastAsia" w:asciiTheme="minorEastAsia" w:hAnsiTheme="minorEastAsia" w:eastAsiaTheme="minorEastAsia" w:cstheme="minorEastAsia"/>
                <w:b w:val="0"/>
                <w:bCs w:val="0"/>
                <w:color w:val="auto"/>
                <w:sz w:val="21"/>
                <w:szCs w:val="21"/>
              </w:rPr>
              <w:t>需</w:t>
            </w:r>
            <w:r>
              <w:rPr>
                <w:rFonts w:hint="eastAsia" w:asciiTheme="minorEastAsia" w:hAnsiTheme="minorEastAsia" w:eastAsiaTheme="minorEastAsia" w:cstheme="minorEastAsia"/>
                <w:b w:val="0"/>
                <w:bCs w:val="0"/>
                <w:color w:val="auto"/>
                <w:kern w:val="2"/>
                <w:sz w:val="21"/>
                <w:szCs w:val="21"/>
                <w:highlight w:val="none"/>
                <w:lang w:val="en-US" w:eastAsia="zh-CN" w:bidi="ar-SA"/>
              </w:rPr>
              <w:t>提供相应</w:t>
            </w:r>
            <w:r>
              <w:rPr>
                <w:rFonts w:hint="eastAsia" w:asciiTheme="minorEastAsia" w:hAnsiTheme="minorEastAsia" w:eastAsiaTheme="minorEastAsia" w:cstheme="minorEastAsia"/>
                <w:b w:val="0"/>
                <w:bCs w:val="0"/>
                <w:color w:val="auto"/>
                <w:kern w:val="2"/>
                <w:sz w:val="21"/>
                <w:szCs w:val="21"/>
                <w:highlight w:val="none"/>
                <w:lang w:val="zh-CN" w:eastAsia="zh-CN" w:bidi="ar-SA"/>
              </w:rPr>
              <w:t>证书</w:t>
            </w:r>
            <w:r>
              <w:rPr>
                <w:rFonts w:hint="eastAsia" w:asciiTheme="minorEastAsia" w:hAnsiTheme="minorEastAsia" w:eastAsiaTheme="minorEastAsia" w:cstheme="minorEastAsia"/>
                <w:b w:val="0"/>
                <w:bCs w:val="0"/>
                <w:color w:val="auto"/>
                <w:kern w:val="2"/>
                <w:sz w:val="21"/>
                <w:szCs w:val="21"/>
                <w:highlight w:val="none"/>
                <w:lang w:val="en-US" w:eastAsia="zh-CN" w:bidi="ar-SA"/>
              </w:rPr>
              <w:t>和</w:t>
            </w:r>
            <w:r>
              <w:rPr>
                <w:rFonts w:hint="eastAsia" w:asciiTheme="minorEastAsia" w:hAnsiTheme="minorEastAsia" w:eastAsiaTheme="minorEastAsia" w:cstheme="minorEastAsia"/>
                <w:b w:val="0"/>
                <w:bCs w:val="0"/>
                <w:color w:val="auto"/>
                <w:kern w:val="2"/>
                <w:sz w:val="21"/>
                <w:szCs w:val="21"/>
                <w:highlight w:val="none"/>
                <w:lang w:val="zh-CN" w:eastAsia="zh-CN" w:bidi="ar-SA"/>
              </w:rPr>
              <w:t>近三个月社保证明材料复印件并加盖单位公章；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233" w:type="dxa"/>
            <w:vMerge w:val="continue"/>
            <w:tcBorders>
              <w:left w:val="single" w:color="auto" w:sz="4" w:space="0"/>
              <w:right w:val="single" w:color="auto" w:sz="4" w:space="0"/>
            </w:tcBorders>
            <w:vAlign w:val="center"/>
          </w:tcPr>
          <w:p>
            <w:pPr>
              <w:jc w:val="center"/>
              <w:rPr>
                <w:rFonts w:hint="eastAsia" w:asciiTheme="minorEastAsia" w:hAnsiTheme="minorEastAsia" w:eastAsiaTheme="minorEastAsia" w:cstheme="minorEastAsia"/>
                <w:b w:val="0"/>
                <w:bCs w:val="0"/>
                <w:color w:val="auto"/>
                <w:sz w:val="21"/>
                <w:szCs w:val="21"/>
                <w:highlight w:val="none"/>
              </w:rPr>
            </w:pPr>
          </w:p>
        </w:tc>
        <w:tc>
          <w:tcPr>
            <w:tcW w:w="159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jc w:val="center"/>
              <w:rPr>
                <w:rFonts w:hint="eastAsia" w:asciiTheme="minorEastAsia" w:hAnsiTheme="minorEastAsia" w:eastAsiaTheme="minorEastAsia" w:cstheme="minorEastAsia"/>
                <w:b w:val="0"/>
                <w:bCs w:val="0"/>
                <w:color w:val="auto"/>
                <w:sz w:val="21"/>
                <w:szCs w:val="21"/>
                <w:highlight w:val="none"/>
                <w:lang w:val="en-US" w:eastAsia="zh-CN"/>
              </w:rPr>
            </w:pPr>
          </w:p>
        </w:tc>
        <w:tc>
          <w:tcPr>
            <w:tcW w:w="5793"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pacing w:line="240" w:lineRule="auto"/>
              <w:ind w:firstLine="420" w:firstLineChars="200"/>
              <w:rPr>
                <w:rFonts w:hint="eastAsia" w:asciiTheme="minorEastAsia" w:hAnsiTheme="minorEastAsia" w:eastAsiaTheme="minorEastAsia" w:cstheme="minorEastAsia"/>
                <w:b w:val="0"/>
                <w:bCs w:val="0"/>
                <w:color w:val="auto"/>
                <w:sz w:val="21"/>
                <w:szCs w:val="21"/>
                <w:highlight w:val="none"/>
                <w:lang w:eastAsia="zh-CN"/>
              </w:rPr>
            </w:pPr>
            <w:r>
              <w:rPr>
                <w:rFonts w:hint="eastAsia" w:asciiTheme="minorEastAsia" w:hAnsiTheme="minorEastAsia" w:eastAsiaTheme="minorEastAsia" w:cstheme="minorEastAsia"/>
                <w:b w:val="0"/>
                <w:bCs w:val="0"/>
                <w:color w:val="auto"/>
                <w:sz w:val="21"/>
                <w:szCs w:val="21"/>
              </w:rPr>
              <w:t>需</w:t>
            </w:r>
            <w:r>
              <w:rPr>
                <w:rFonts w:hint="eastAsia" w:asciiTheme="minorEastAsia" w:hAnsiTheme="minorEastAsia" w:eastAsiaTheme="minorEastAsia" w:cstheme="minorEastAsia"/>
                <w:b w:val="0"/>
                <w:bCs w:val="0"/>
                <w:color w:val="auto"/>
                <w:sz w:val="21"/>
                <w:szCs w:val="21"/>
                <w:highlight w:val="none"/>
                <w:lang w:val="en-US" w:eastAsia="zh-CN"/>
              </w:rPr>
              <w:t>提供</w:t>
            </w:r>
            <w:r>
              <w:rPr>
                <w:rFonts w:hint="eastAsia" w:asciiTheme="minorEastAsia" w:hAnsiTheme="minorEastAsia" w:eastAsiaTheme="minorEastAsia" w:cstheme="minorEastAsia"/>
                <w:b w:val="0"/>
                <w:bCs w:val="0"/>
                <w:color w:val="auto"/>
                <w:sz w:val="21"/>
                <w:szCs w:val="21"/>
                <w:highlight w:val="none"/>
                <w:lang w:eastAsia="zh-CN"/>
              </w:rPr>
              <w:t>相关证明材料</w:t>
            </w:r>
            <w:r>
              <w:rPr>
                <w:rFonts w:hint="eastAsia" w:asciiTheme="minorEastAsia" w:hAnsiTheme="minorEastAsia" w:eastAsiaTheme="minorEastAsia" w:cstheme="minorEastAsia"/>
                <w:b w:val="0"/>
                <w:bCs w:val="0"/>
                <w:color w:val="auto"/>
                <w:sz w:val="21"/>
                <w:szCs w:val="21"/>
                <w:highlight w:val="none"/>
              </w:rPr>
              <w:t>复印件并加盖</w:t>
            </w:r>
            <w:r>
              <w:rPr>
                <w:rFonts w:hint="eastAsia" w:asciiTheme="minorEastAsia" w:hAnsiTheme="minorEastAsia" w:eastAsiaTheme="minorEastAsia" w:cstheme="minorEastAsia"/>
                <w:b w:val="0"/>
                <w:bCs w:val="0"/>
                <w:color w:val="auto"/>
                <w:sz w:val="21"/>
                <w:szCs w:val="21"/>
                <w:highlight w:val="none"/>
                <w:lang w:val="en-US" w:eastAsia="zh-CN"/>
              </w:rPr>
              <w:t>单位</w:t>
            </w:r>
            <w:r>
              <w:rPr>
                <w:rFonts w:hint="eastAsia" w:asciiTheme="minorEastAsia" w:hAnsiTheme="minorEastAsia" w:eastAsiaTheme="minorEastAsia" w:cstheme="minorEastAsia"/>
                <w:b w:val="0"/>
                <w:bCs w:val="0"/>
                <w:color w:val="auto"/>
                <w:sz w:val="21"/>
                <w:szCs w:val="21"/>
                <w:highlight w:val="none"/>
              </w:rPr>
              <w:t>公章</w:t>
            </w:r>
            <w:r>
              <w:rPr>
                <w:rFonts w:hint="eastAsia" w:asciiTheme="minorEastAsia" w:hAnsiTheme="minorEastAsia" w:eastAsiaTheme="minorEastAsia" w:cstheme="minorEastAsia"/>
                <w:b w:val="0"/>
                <w:bCs w:val="0"/>
                <w:color w:val="auto"/>
                <w:sz w:val="21"/>
                <w:szCs w:val="21"/>
                <w:highlight w:val="none"/>
                <w:lang w:eastAsia="zh-CN"/>
              </w:rPr>
              <w:t>；</w:t>
            </w:r>
          </w:p>
        </w:tc>
      </w:tr>
    </w:tbl>
    <w:p>
      <w:pPr>
        <w:spacing w:line="360" w:lineRule="auto"/>
        <w:ind w:firstLine="480" w:firstLineChars="200"/>
        <w:rPr>
          <w:rFonts w:ascii="宋体"/>
          <w:color w:val="auto"/>
          <w:sz w:val="24"/>
          <w:szCs w:val="24"/>
        </w:rPr>
      </w:pPr>
      <w:r>
        <w:rPr>
          <w:rFonts w:hint="eastAsia" w:ascii="宋体" w:hAnsi="宋体" w:cs="宋体"/>
          <w:color w:val="auto"/>
          <w:sz w:val="24"/>
          <w:szCs w:val="24"/>
        </w:rPr>
        <w:t>注：</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color w:val="auto"/>
        </w:rPr>
      </w:pPr>
      <w:r>
        <w:rPr>
          <w:rFonts w:ascii="宋体" w:hAnsi="宋体" w:cs="宋体"/>
          <w:color w:val="auto"/>
          <w:sz w:val="24"/>
          <w:szCs w:val="24"/>
        </w:rPr>
        <w:t>2</w:t>
      </w:r>
      <w:r>
        <w:rPr>
          <w:rFonts w:hint="eastAsia" w:ascii="宋体" w:hAnsi="宋体" w:cs="宋体"/>
          <w:color w:val="auto"/>
          <w:sz w:val="24"/>
          <w:szCs w:val="24"/>
        </w:rPr>
        <w:t>、所有文件、合同、证书、资质等需要真实有效。成交供应商在中标后签订合同时需提供以上证明文件原件，若发现资料作假的取消中标资格。</w:t>
      </w:r>
    </w:p>
    <w:p>
      <w:pPr>
        <w:rPr>
          <w:rFonts w:cs="宋体"/>
          <w:color w:val="auto"/>
          <w:sz w:val="36"/>
          <w:szCs w:val="36"/>
        </w:rPr>
      </w:pPr>
      <w:bookmarkStart w:id="77" w:name="_Toc8033"/>
      <w:bookmarkStart w:id="78" w:name="_Toc4517"/>
      <w:r>
        <w:rPr>
          <w:rFonts w:hint="eastAsia" w:cs="宋体"/>
          <w:color w:val="auto"/>
          <w:sz w:val="36"/>
          <w:szCs w:val="36"/>
        </w:rPr>
        <w:br w:type="page"/>
      </w:r>
    </w:p>
    <w:p>
      <w:pPr>
        <w:pStyle w:val="4"/>
        <w:jc w:val="center"/>
        <w:rPr>
          <w:rFonts w:ascii="宋体" w:cs="Times New Roman"/>
          <w:color w:val="auto"/>
        </w:rPr>
      </w:pPr>
      <w:bookmarkStart w:id="79" w:name="_Toc18045"/>
      <w:r>
        <w:rPr>
          <w:rFonts w:hint="eastAsia" w:cs="宋体"/>
          <w:color w:val="auto"/>
          <w:sz w:val="36"/>
          <w:szCs w:val="36"/>
        </w:rPr>
        <w:t>第五部分</w:t>
      </w:r>
      <w:r>
        <w:rPr>
          <w:color w:val="auto"/>
          <w:sz w:val="36"/>
          <w:szCs w:val="36"/>
        </w:rPr>
        <w:t xml:space="preserve"> </w:t>
      </w:r>
      <w:r>
        <w:rPr>
          <w:rFonts w:hint="eastAsia" w:cs="宋体"/>
          <w:color w:val="auto"/>
          <w:sz w:val="36"/>
          <w:szCs w:val="36"/>
        </w:rPr>
        <w:t>采购合同</w:t>
      </w:r>
      <w:bookmarkEnd w:id="77"/>
      <w:bookmarkEnd w:id="78"/>
      <w:bookmarkEnd w:id="79"/>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合同编号：（2021）第　　号</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  签订日期：2021年　　月　　日</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甲方：</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w:t>
      </w:r>
    </w:p>
    <w:p>
      <w:pPr>
        <w:spacing w:line="336" w:lineRule="auto"/>
        <w:ind w:firstLine="720" w:firstLineChars="300"/>
        <w:rPr>
          <w:rFonts w:hint="eastAsia" w:ascii="宋体" w:hAnsi="宋体" w:cs="宋体"/>
          <w:color w:val="auto"/>
          <w:sz w:val="24"/>
          <w:szCs w:val="24"/>
        </w:rPr>
      </w:pPr>
      <w:r>
        <w:rPr>
          <w:rFonts w:hint="eastAsia" w:ascii="宋体" w:hAnsi="宋体" w:cs="宋体"/>
          <w:color w:val="auto"/>
          <w:sz w:val="24"/>
          <w:szCs w:val="24"/>
        </w:rPr>
        <w:t>乙方：</w:t>
      </w:r>
      <w:r>
        <w:rPr>
          <w:rFonts w:hint="eastAsia" w:ascii="宋体" w:hAnsi="宋体" w:cs="宋体"/>
          <w:color w:val="auto"/>
          <w:sz w:val="24"/>
          <w:szCs w:val="24"/>
          <w:u w:val="single"/>
        </w:rPr>
        <w:t>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　　　　　　　　　</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根据《中华人民共和国民法典》、政府采购编号为</w:t>
      </w:r>
      <w:r>
        <w:rPr>
          <w:rFonts w:hint="eastAsia" w:ascii="宋体" w:hAnsi="宋体" w:cs="宋体"/>
          <w:color w:val="auto"/>
          <w:sz w:val="24"/>
          <w:szCs w:val="24"/>
          <w:lang w:eastAsia="zh-CN"/>
        </w:rPr>
        <w:t>FSJZCS</w:t>
      </w:r>
      <w:r>
        <w:rPr>
          <w:rFonts w:hint="eastAsia" w:ascii="宋体" w:hAnsi="宋体" w:cs="宋体"/>
          <w:color w:val="auto"/>
          <w:sz w:val="24"/>
          <w:szCs w:val="24"/>
          <w:lang w:val="en-US" w:eastAsia="zh-CN"/>
        </w:rPr>
        <w:t>2021041</w:t>
      </w:r>
      <w:r>
        <w:rPr>
          <w:rFonts w:hint="eastAsia" w:ascii="宋体" w:hAnsi="宋体" w:cs="宋体"/>
          <w:color w:val="auto"/>
          <w:sz w:val="24"/>
          <w:szCs w:val="24"/>
        </w:rPr>
        <w:t>磋商文件、乙方响应文件的规定，经竞争性磋商采购，签订本合同。</w:t>
      </w:r>
    </w:p>
    <w:p>
      <w:pPr>
        <w:spacing w:line="336" w:lineRule="auto"/>
        <w:ind w:firstLine="562" w:firstLineChars="200"/>
        <w:rPr>
          <w:rFonts w:hint="eastAsia" w:ascii="宋体" w:hAnsi="宋体" w:cs="宋体"/>
          <w:b/>
          <w:bCs/>
          <w:color w:val="auto"/>
          <w:sz w:val="28"/>
          <w:szCs w:val="28"/>
          <w:lang w:eastAsia="zh-CN"/>
        </w:rPr>
      </w:pPr>
      <w:r>
        <w:rPr>
          <w:rFonts w:hint="eastAsia" w:ascii="宋体" w:hAnsi="宋体" w:cs="宋体"/>
          <w:b/>
          <w:bCs/>
          <w:color w:val="auto"/>
          <w:sz w:val="28"/>
          <w:szCs w:val="28"/>
          <w:lang w:eastAsia="zh-CN"/>
        </w:rPr>
        <w:t>一、</w:t>
      </w:r>
      <w:r>
        <w:rPr>
          <w:rFonts w:hint="eastAsia" w:ascii="宋体" w:hAnsi="宋体" w:cs="宋体"/>
          <w:b/>
          <w:bCs/>
          <w:color w:val="auto"/>
          <w:sz w:val="28"/>
          <w:szCs w:val="28"/>
        </w:rPr>
        <w:t>项目概况</w:t>
      </w:r>
      <w:r>
        <w:rPr>
          <w:rFonts w:hint="eastAsia" w:ascii="宋体" w:hAnsi="宋体" w:cs="宋体"/>
          <w:b/>
          <w:bCs/>
          <w:color w:val="auto"/>
          <w:sz w:val="28"/>
          <w:szCs w:val="28"/>
          <w:lang w:eastAsia="zh-CN"/>
        </w:rPr>
        <w:t>：</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为了贯彻落实《中华人民共和国土壤污染防治法》</w:t>
      </w:r>
      <w:r>
        <w:rPr>
          <w:rFonts w:hint="eastAsia" w:ascii="宋体" w:hAnsi="宋体" w:cs="宋体"/>
          <w:color w:val="auto"/>
          <w:sz w:val="24"/>
          <w:szCs w:val="24"/>
          <w:lang w:eastAsia="zh-CN"/>
        </w:rPr>
        <w:t>、</w:t>
      </w:r>
      <w:r>
        <w:rPr>
          <w:rFonts w:hint="eastAsia" w:ascii="宋体" w:hAnsi="宋体" w:cs="宋体"/>
          <w:color w:val="auto"/>
          <w:sz w:val="24"/>
          <w:szCs w:val="24"/>
        </w:rPr>
        <w:t>《浙江省地下水污染防治实施方案》等法规文件精神，根据《浙江省土壤、地下水和农业农村污染防治2021年工作计划》相关要求，绍兴市上虞区道墟镇工业集聚区需开展沿江沿河重点工业园区地下水污染扩散排查，查明地下水污染向地表水扩散状况。</w:t>
      </w:r>
    </w:p>
    <w:p>
      <w:pPr>
        <w:spacing w:line="336"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lang w:eastAsia="zh-CN"/>
        </w:rPr>
        <w:t>二</w:t>
      </w:r>
      <w:r>
        <w:rPr>
          <w:rFonts w:hint="eastAsia" w:ascii="宋体" w:hAnsi="宋体" w:cs="宋体"/>
          <w:b/>
          <w:bCs/>
          <w:color w:val="auto"/>
          <w:sz w:val="28"/>
          <w:szCs w:val="28"/>
        </w:rPr>
        <w:t>、服务内容：</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开展的具体工作如下：</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收集资料、现场踏勘</w:t>
      </w:r>
    </w:p>
    <w:p>
      <w:pPr>
        <w:spacing w:line="33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收集园区基础资料、产排污资料、地下水相关监测资料和辅助资料（企业地下水环境污染事故记录、企业责令改正地下水违法行为决定书等），了解园区企业分布和企业工艺流程及产污环节、园区地质及水文地质条件、地下水和地表水历史水质等</w:t>
      </w:r>
      <w:r>
        <w:rPr>
          <w:rFonts w:hint="eastAsia" w:ascii="宋体" w:hAnsi="宋体" w:cs="宋体"/>
          <w:color w:val="auto"/>
          <w:sz w:val="24"/>
          <w:szCs w:val="24"/>
          <w:lang w:eastAsia="zh-CN"/>
        </w:rPr>
        <w:t>。</w:t>
      </w:r>
    </w:p>
    <w:p>
      <w:pPr>
        <w:spacing w:line="33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在此基础上开展现场踏勘，现场识别关注区域和地表水体信息等，核实相关数据，访谈园区及企业工作人员</w:t>
      </w:r>
      <w:r>
        <w:rPr>
          <w:rFonts w:hint="eastAsia" w:ascii="宋体" w:hAnsi="宋体" w:cs="宋体"/>
          <w:color w:val="auto"/>
          <w:sz w:val="24"/>
          <w:szCs w:val="24"/>
          <w:lang w:eastAsia="zh-CN"/>
        </w:rPr>
        <w:t>。</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方案编制、建井采样</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根据地勘报告及上述现场调查结果，分析汇总园区土壤及地下水重点污染源分布及特征污染物，开展采样布点方案制定、监测指标筛选与确定，最终编制形成《道墟镇工业集聚区地下水污染扩散排查方案》，并通过生态环境部门组织的专家评审。</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地表水和地下水样品采集分析测试：地表水地下水样品采集分别依据《地表水和污水监测技术规范》和《地下水环境监测技术规范》执行，并根据前期调查结果筛选本次监测指标。</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 xml:space="preserve">3、地表地下水补排关系分析 </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定期监测地表水体及周边范围内地下水监测井水位，结合水质数据分析园区内地表水地下水水力联系，构建地下水-地表水交互关系和运移模型，分析不同情景下地下水与地表水体之间的补排关系。</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4、扩散排查报告编制</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1</w:t>
      </w:r>
      <w:r>
        <w:rPr>
          <w:rFonts w:hint="eastAsia" w:ascii="宋体" w:hAnsi="宋体" w:cs="宋体"/>
          <w:color w:val="auto"/>
          <w:sz w:val="24"/>
          <w:szCs w:val="24"/>
          <w:lang w:eastAsia="zh-CN"/>
        </w:rPr>
        <w:t>）</w:t>
      </w:r>
      <w:r>
        <w:rPr>
          <w:rFonts w:hint="eastAsia" w:ascii="宋体" w:hAnsi="宋体" w:cs="宋体"/>
          <w:color w:val="auto"/>
          <w:sz w:val="24"/>
          <w:szCs w:val="24"/>
        </w:rPr>
        <w:t>获得监测数据后，按照指标分类统计，绘制污染物浓度分布图、指标相关性分析图等图件，分别进行地表水、地下水指标的环境质量分析；在此基础上，开展污染来源识别、污染途径和污染物释放特征分析、污染物迁移转化机制分析等的地下水污染趋势分析，在摸清地下水向地表水扩散污染范围和程度、分析污染成因并甄别重点污染区域的基础上，评估地下水长期污染风险，最终汇总形成《道墟镇工业集聚区地下水污染扩散排查报告》，并通过生态环境部门组织的专家评审。</w:t>
      </w:r>
    </w:p>
    <w:p>
      <w:pPr>
        <w:spacing w:line="336" w:lineRule="auto"/>
        <w:ind w:firstLine="562" w:firstLineChars="200"/>
        <w:rPr>
          <w:rFonts w:hint="eastAsia" w:ascii="宋体" w:hAnsi="宋体" w:cs="宋体"/>
          <w:b/>
          <w:bCs/>
          <w:color w:val="auto"/>
          <w:sz w:val="28"/>
          <w:szCs w:val="28"/>
          <w:lang w:eastAsia="zh-CN"/>
        </w:rPr>
      </w:pPr>
      <w:r>
        <w:rPr>
          <w:rFonts w:hint="eastAsia" w:ascii="宋体" w:hAnsi="宋体" w:cs="宋体"/>
          <w:b/>
          <w:bCs/>
          <w:color w:val="auto"/>
          <w:sz w:val="28"/>
          <w:szCs w:val="28"/>
          <w:lang w:eastAsia="zh-CN"/>
        </w:rPr>
        <w:t>三、</w:t>
      </w:r>
      <w:r>
        <w:rPr>
          <w:rFonts w:hint="eastAsia" w:ascii="宋体" w:hAnsi="宋体" w:cs="宋体"/>
          <w:b/>
          <w:bCs/>
          <w:color w:val="auto"/>
          <w:sz w:val="28"/>
          <w:szCs w:val="28"/>
        </w:rPr>
        <w:t>服务基本要求</w:t>
      </w:r>
      <w:r>
        <w:rPr>
          <w:rFonts w:hint="eastAsia" w:ascii="宋体" w:hAnsi="宋体" w:cs="宋体"/>
          <w:b/>
          <w:bCs/>
          <w:color w:val="auto"/>
          <w:sz w:val="28"/>
          <w:szCs w:val="28"/>
          <w:lang w:eastAsia="zh-CN"/>
        </w:rPr>
        <w:t>：</w:t>
      </w:r>
    </w:p>
    <w:p>
      <w:pPr>
        <w:spacing w:line="336"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服务期限：合同签订生效后一年</w:t>
      </w:r>
      <w:r>
        <w:rPr>
          <w:rFonts w:hint="eastAsia" w:ascii="宋体" w:hAnsi="宋体" w:cs="宋体"/>
          <w:color w:val="auto"/>
          <w:sz w:val="24"/>
          <w:szCs w:val="24"/>
          <w:lang w:eastAsia="zh-CN"/>
        </w:rPr>
        <w:t>，</w:t>
      </w:r>
      <w:r>
        <w:rPr>
          <w:rFonts w:hint="eastAsia" w:ascii="宋体" w:hAnsi="宋体" w:cs="宋体"/>
          <w:color w:val="auto"/>
          <w:sz w:val="24"/>
          <w:szCs w:val="24"/>
          <w:u w:val="single"/>
          <w:lang w:val="en-US" w:eastAsia="zh-CN"/>
        </w:rPr>
        <w:t>2021</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日至</w:t>
      </w:r>
      <w:r>
        <w:rPr>
          <w:rFonts w:hint="eastAsia" w:ascii="宋体" w:hAnsi="宋体" w:cs="宋体"/>
          <w:color w:val="auto"/>
          <w:sz w:val="24"/>
          <w:szCs w:val="24"/>
          <w:u w:val="single"/>
          <w:lang w:val="en-US" w:eastAsia="zh-CN"/>
        </w:rPr>
        <w:t>2022</w:t>
      </w:r>
      <w:r>
        <w:rPr>
          <w:rFonts w:hint="eastAsia" w:ascii="宋体" w:hAnsi="宋体" w:cs="宋体"/>
          <w:color w:val="auto"/>
          <w:sz w:val="24"/>
          <w:szCs w:val="24"/>
          <w:lang w:val="en-US" w:eastAsia="zh-CN"/>
        </w:rPr>
        <w:t>年</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月</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lang w:val="en-US" w:eastAsia="zh-CN"/>
        </w:rPr>
        <w:t>日</w:t>
      </w:r>
    </w:p>
    <w:p>
      <w:pPr>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cs="宋体"/>
          <w:color w:val="auto"/>
          <w:sz w:val="24"/>
          <w:szCs w:val="24"/>
        </w:rPr>
        <w:t>2021年8月完成《道墟镇工业集聚区地下水污染扩散排查方案》并通过专家评审。2021年10月底完成《道墟镇工业集聚区地下水污染扩散排查报告》并通过专家评审。</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lang w:eastAsia="zh-CN"/>
        </w:rPr>
        <w:t>、</w:t>
      </w:r>
      <w:r>
        <w:rPr>
          <w:rFonts w:hint="eastAsia" w:ascii="宋体" w:hAnsi="宋体" w:cs="宋体"/>
          <w:color w:val="auto"/>
          <w:sz w:val="24"/>
          <w:szCs w:val="24"/>
        </w:rPr>
        <w:t>成果要求：成果质量需满足上级生态环境部门对报告的要求，提交《道墟镇工业集聚区地下水污染扩散排查方案》 、《道墟镇工业集聚区地下水污染扩散排查报告》，各4套，电子版各1份。并为业主提供后期地下水污染防治相关专业技术咨询。</w:t>
      </w:r>
    </w:p>
    <w:p>
      <w:pPr>
        <w:spacing w:line="336"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lang w:val="en-US" w:eastAsia="zh-CN"/>
        </w:rPr>
        <w:t>四、</w:t>
      </w:r>
      <w:r>
        <w:rPr>
          <w:rFonts w:hint="eastAsia" w:ascii="宋体" w:hAnsi="宋体" w:cs="宋体"/>
          <w:b/>
          <w:bCs/>
          <w:color w:val="auto"/>
          <w:sz w:val="28"/>
          <w:szCs w:val="28"/>
        </w:rPr>
        <w:t>合同价及付款方式</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本项目的</w:t>
      </w:r>
      <w:r>
        <w:rPr>
          <w:rFonts w:hint="eastAsia" w:ascii="宋体" w:hAnsi="宋体" w:cs="宋体"/>
          <w:color w:val="auto"/>
          <w:sz w:val="24"/>
          <w:szCs w:val="24"/>
          <w:lang w:eastAsia="zh-CN"/>
        </w:rPr>
        <w:t>中标</w:t>
      </w:r>
      <w:r>
        <w:rPr>
          <w:rFonts w:hint="eastAsia" w:ascii="宋体" w:hAnsi="宋体" w:cs="宋体"/>
          <w:color w:val="auto"/>
          <w:sz w:val="24"/>
          <w:szCs w:val="24"/>
        </w:rPr>
        <w:t>金额为 大写：</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（小写：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rPr>
        <w:t>本项目采取的付款方式为：</w:t>
      </w:r>
    </w:p>
    <w:p>
      <w:pPr>
        <w:spacing w:line="33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（1）</w:t>
      </w:r>
      <w:r>
        <w:rPr>
          <w:rFonts w:hint="eastAsia" w:ascii="宋体" w:hAnsi="宋体" w:cs="宋体"/>
          <w:color w:val="auto"/>
          <w:sz w:val="24"/>
          <w:szCs w:val="24"/>
        </w:rPr>
        <w:t>签订合同后十个工作日内支付合同价款的30%</w:t>
      </w:r>
      <w:r>
        <w:rPr>
          <w:rFonts w:hint="eastAsia" w:ascii="宋体" w:hAnsi="宋体" w:cs="宋体"/>
          <w:color w:val="auto"/>
          <w:sz w:val="24"/>
          <w:szCs w:val="24"/>
          <w:lang w:eastAsia="zh-CN"/>
        </w:rPr>
        <w:t>；</w:t>
      </w:r>
    </w:p>
    <w:p>
      <w:pPr>
        <w:spacing w:line="33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（2）出具</w:t>
      </w:r>
      <w:r>
        <w:rPr>
          <w:rFonts w:hint="eastAsia" w:ascii="宋体" w:hAnsi="宋体" w:cs="宋体"/>
          <w:color w:val="auto"/>
          <w:sz w:val="24"/>
          <w:szCs w:val="24"/>
        </w:rPr>
        <w:t>地下水污染扩散排查方案并通过专家评审</w:t>
      </w:r>
      <w:r>
        <w:rPr>
          <w:rFonts w:hint="eastAsia" w:ascii="宋体" w:hAnsi="宋体" w:cs="宋体"/>
          <w:color w:val="auto"/>
          <w:sz w:val="24"/>
          <w:szCs w:val="24"/>
          <w:lang w:eastAsia="zh-CN"/>
        </w:rPr>
        <w:t>，</w:t>
      </w:r>
      <w:r>
        <w:rPr>
          <w:rFonts w:hint="eastAsia" w:ascii="宋体" w:hAnsi="宋体" w:cs="宋体"/>
          <w:color w:val="auto"/>
          <w:sz w:val="24"/>
          <w:szCs w:val="24"/>
        </w:rPr>
        <w:t>完成园区地下水样品采集后十个工作日内支付合同金额的40%；</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出具</w:t>
      </w:r>
      <w:r>
        <w:rPr>
          <w:rFonts w:hint="eastAsia" w:ascii="宋体" w:hAnsi="宋体" w:cs="宋体"/>
          <w:color w:val="auto"/>
          <w:sz w:val="24"/>
          <w:szCs w:val="24"/>
          <w:highlight w:val="none"/>
        </w:rPr>
        <w:t>地下水污染扩</w:t>
      </w:r>
      <w:r>
        <w:rPr>
          <w:rFonts w:hint="eastAsia" w:ascii="宋体" w:hAnsi="宋体" w:cs="宋体"/>
          <w:color w:val="auto"/>
          <w:sz w:val="24"/>
          <w:szCs w:val="24"/>
        </w:rPr>
        <w:t>散排查报告后并通过专家评审后十个工作日内支付合同金额的30%；</w:t>
      </w:r>
    </w:p>
    <w:p>
      <w:pPr>
        <w:spacing w:line="336"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lang w:val="en-US" w:eastAsia="zh-CN"/>
        </w:rPr>
        <w:t>（4）</w:t>
      </w:r>
      <w:r>
        <w:rPr>
          <w:rFonts w:hint="eastAsia" w:ascii="宋体" w:hAnsi="宋体" w:cs="宋体"/>
          <w:color w:val="auto"/>
          <w:sz w:val="24"/>
          <w:szCs w:val="24"/>
        </w:rPr>
        <w:t>报告完成后</w:t>
      </w:r>
      <w:r>
        <w:rPr>
          <w:rFonts w:hint="eastAsia" w:ascii="宋体" w:hAnsi="宋体" w:cs="宋体"/>
          <w:color w:val="auto"/>
          <w:sz w:val="24"/>
          <w:szCs w:val="24"/>
          <w:lang w:eastAsia="zh-CN"/>
        </w:rPr>
        <w:t>一</w:t>
      </w:r>
      <w:r>
        <w:rPr>
          <w:rFonts w:hint="eastAsia" w:ascii="宋体" w:hAnsi="宋体" w:cs="宋体"/>
          <w:color w:val="auto"/>
          <w:sz w:val="24"/>
          <w:szCs w:val="24"/>
        </w:rPr>
        <w:t>年内为采购人提供地下水污染防治政策、技术相关顾问咨询</w:t>
      </w:r>
      <w:r>
        <w:rPr>
          <w:rFonts w:hint="eastAsia" w:ascii="宋体" w:hAnsi="宋体" w:cs="宋体"/>
          <w:color w:val="auto"/>
          <w:sz w:val="24"/>
          <w:szCs w:val="24"/>
          <w:lang w:eastAsia="zh-CN"/>
        </w:rPr>
        <w:t>；</w:t>
      </w:r>
    </w:p>
    <w:p>
      <w:pPr>
        <w:spacing w:line="336"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（5）</w:t>
      </w:r>
      <w:r>
        <w:rPr>
          <w:rFonts w:hint="eastAsia" w:ascii="宋体" w:hAnsi="宋体" w:cs="宋体"/>
          <w:color w:val="auto"/>
          <w:sz w:val="24"/>
          <w:szCs w:val="24"/>
        </w:rPr>
        <w:t>合同履行完毕后20个工作日内无息退还履约保证金</w:t>
      </w:r>
      <w:r>
        <w:rPr>
          <w:rFonts w:hint="eastAsia" w:ascii="宋体" w:hAnsi="宋体" w:cs="宋体"/>
          <w:color w:val="auto"/>
          <w:sz w:val="24"/>
          <w:szCs w:val="24"/>
          <w:lang w:eastAsia="zh-CN"/>
        </w:rPr>
        <w:t>；</w:t>
      </w:r>
    </w:p>
    <w:p>
      <w:pPr>
        <w:spacing w:line="336"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lang w:eastAsia="zh-CN"/>
        </w:rPr>
        <w:t>五</w:t>
      </w:r>
      <w:r>
        <w:rPr>
          <w:rFonts w:hint="eastAsia" w:ascii="宋体" w:hAnsi="宋体" w:cs="宋体"/>
          <w:b/>
          <w:bCs/>
          <w:color w:val="auto"/>
          <w:sz w:val="28"/>
          <w:szCs w:val="28"/>
        </w:rPr>
        <w:t>、违约责任</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lang w:eastAsia="zh-CN"/>
        </w:rPr>
        <w:t>、</w:t>
      </w:r>
      <w:r>
        <w:rPr>
          <w:rFonts w:hint="eastAsia" w:ascii="宋体" w:hAnsi="宋体" w:cs="宋体"/>
          <w:color w:val="auto"/>
          <w:sz w:val="24"/>
          <w:szCs w:val="24"/>
        </w:rPr>
        <w:t>甲方无正当理由拒收接受服务的，乙方有要求甲方赔偿的权利。</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w:t>
      </w:r>
      <w:r>
        <w:rPr>
          <w:rFonts w:hint="eastAsia" w:ascii="宋体" w:hAnsi="宋体" w:cs="宋体"/>
          <w:color w:val="auto"/>
          <w:sz w:val="24"/>
          <w:szCs w:val="24"/>
          <w:lang w:eastAsia="zh-CN"/>
        </w:rPr>
        <w:t>、</w:t>
      </w:r>
      <w:r>
        <w:rPr>
          <w:rFonts w:hint="eastAsia" w:ascii="宋体" w:hAnsi="宋体" w:cs="宋体"/>
          <w:color w:val="auto"/>
          <w:sz w:val="24"/>
          <w:szCs w:val="24"/>
        </w:rPr>
        <w:t>乙方未能如期提供服务的，每日向甲方支付合同款项的千分之</w:t>
      </w:r>
      <w:r>
        <w:rPr>
          <w:rFonts w:hint="eastAsia" w:ascii="宋体" w:hAnsi="宋体" w:cs="宋体"/>
          <w:color w:val="auto"/>
          <w:sz w:val="24"/>
          <w:szCs w:val="24"/>
          <w:lang w:eastAsia="zh-CN"/>
        </w:rPr>
        <w:t>五</w:t>
      </w:r>
      <w:r>
        <w:rPr>
          <w:rFonts w:hint="eastAsia" w:ascii="宋体" w:hAnsi="宋体" w:cs="宋体"/>
          <w:color w:val="auto"/>
          <w:sz w:val="24"/>
          <w:szCs w:val="24"/>
        </w:rPr>
        <w:t>作为违约金。</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乙方超过约定日期10个工作日仍不能提供服务的，甲方可解除本合同。</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80" w:firstLineChars="200"/>
        <w:textAlignment w:val="auto"/>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乙方因未能如期提供服务或因其他违约行为导致甲方解除合同的，乙方应向甲方支付合同总值5%的违约金，如造成甲方损失超过违约金的，超出部分由乙方继续承担赔偿责任。</w:t>
      </w:r>
    </w:p>
    <w:p>
      <w:pPr>
        <w:spacing w:line="336" w:lineRule="auto"/>
        <w:ind w:firstLine="562" w:firstLineChars="200"/>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六、其他</w:t>
      </w:r>
    </w:p>
    <w:p>
      <w:pPr>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1、乙方所有人员的事故由乙方自行全权负责，甲方不承担任何责任。在乙方的责任区内由于乙方原因导致第三方的事故由乙方负责，甲方不承担任何责任。</w:t>
      </w:r>
    </w:p>
    <w:p>
      <w:pPr>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2、本合同中所述通知，必须为书面形式，并有送达签收。</w:t>
      </w:r>
    </w:p>
    <w:p>
      <w:pPr>
        <w:spacing w:line="336" w:lineRule="auto"/>
        <w:ind w:firstLine="480" w:firstLineChars="20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3、关于本合同争议，应双方友好协调解决，协商不一致，任何一方均可提起仲裁或诉讼，仲裁或诉讼按合同履行地原则。</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 xml:space="preserve"> 本合同包括以下文件:（1）竞争性磋商文件（2）乙方响应文件（3）中标通知书（4）补充协议（5）双方认可的文件。</w:t>
      </w:r>
      <w:r>
        <w:rPr>
          <w:rFonts w:hint="eastAsia" w:ascii="宋体" w:hAnsi="宋体" w:cs="宋体"/>
          <w:color w:val="auto"/>
          <w:sz w:val="24"/>
          <w:szCs w:val="24"/>
          <w:lang w:val="en-US" w:eastAsia="zh-CN"/>
        </w:rPr>
        <w:t>未尽事宜由双方协商解决，并以书面修改或补充本合同条款;合同的附件、修改(补充)件均与本主合同同效。</w:t>
      </w:r>
    </w:p>
    <w:p>
      <w:pPr>
        <w:spacing w:line="336" w:lineRule="auto"/>
        <w:ind w:firstLine="562" w:firstLineChars="200"/>
        <w:rPr>
          <w:rFonts w:hint="eastAsia" w:ascii="宋体" w:hAnsi="宋体" w:cs="宋体"/>
          <w:b/>
          <w:bCs/>
          <w:color w:val="auto"/>
          <w:sz w:val="28"/>
          <w:szCs w:val="28"/>
        </w:rPr>
      </w:pPr>
      <w:r>
        <w:rPr>
          <w:rFonts w:hint="eastAsia" w:ascii="宋体" w:hAnsi="宋体" w:cs="宋体"/>
          <w:b/>
          <w:bCs/>
          <w:color w:val="auto"/>
          <w:sz w:val="28"/>
          <w:szCs w:val="28"/>
          <w:lang w:val="en-US" w:eastAsia="zh-CN"/>
        </w:rPr>
        <w:t>七</w:t>
      </w:r>
      <w:r>
        <w:rPr>
          <w:rFonts w:hint="eastAsia" w:ascii="宋体" w:hAnsi="宋体" w:cs="宋体"/>
          <w:b/>
          <w:bCs/>
          <w:color w:val="auto"/>
          <w:sz w:val="28"/>
          <w:szCs w:val="28"/>
        </w:rPr>
        <w:t>、</w:t>
      </w:r>
      <w:r>
        <w:rPr>
          <w:rFonts w:hint="eastAsia" w:ascii="宋体" w:hAnsi="宋体" w:cs="宋体"/>
          <w:b/>
          <w:bCs/>
          <w:color w:val="auto"/>
          <w:sz w:val="28"/>
          <w:szCs w:val="28"/>
          <w:lang w:val="en-US" w:eastAsia="zh-CN"/>
        </w:rPr>
        <w:t>合同签订</w:t>
      </w:r>
    </w:p>
    <w:p>
      <w:pPr>
        <w:spacing w:line="336"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本合同依法签订，即具有法律效力。双方必须全面履行，不得单方擅自变更或解除。因故需要变更或解除合同，应双方协商，依法另立协议。</w:t>
      </w:r>
    </w:p>
    <w:p>
      <w:pPr>
        <w:spacing w:line="336" w:lineRule="auto"/>
        <w:ind w:firstLine="480" w:firstLineChars="200"/>
        <w:rPr>
          <w:rFonts w:hint="eastAsia"/>
          <w:color w:val="auto"/>
        </w:rPr>
      </w:pPr>
      <w:r>
        <w:rPr>
          <w:rFonts w:hint="eastAsia" w:ascii="宋体" w:hAnsi="宋体" w:cs="宋体"/>
          <w:color w:val="auto"/>
          <w:sz w:val="24"/>
          <w:szCs w:val="24"/>
          <w:lang w:val="en-US" w:eastAsia="zh-CN"/>
        </w:rPr>
        <w:t>2、</w:t>
      </w:r>
      <w:r>
        <w:rPr>
          <w:rFonts w:hint="eastAsia" w:ascii="宋体" w:hAnsi="宋体" w:cs="宋体"/>
          <w:color w:val="auto"/>
          <w:sz w:val="24"/>
          <w:szCs w:val="24"/>
        </w:rPr>
        <w:t xml:space="preserve"> 本合同一式</w:t>
      </w:r>
      <w:r>
        <w:rPr>
          <w:rFonts w:hint="eastAsia" w:ascii="宋体" w:hAnsi="宋体" w:cs="宋体"/>
          <w:color w:val="auto"/>
          <w:sz w:val="24"/>
          <w:szCs w:val="24"/>
          <w:u w:val="single"/>
        </w:rPr>
        <w:t xml:space="preserve">　　　 </w:t>
      </w:r>
      <w:r>
        <w:rPr>
          <w:rFonts w:hint="eastAsia" w:ascii="宋体" w:hAnsi="宋体" w:cs="宋体"/>
          <w:color w:val="auto"/>
          <w:sz w:val="24"/>
          <w:szCs w:val="24"/>
        </w:rPr>
        <w:t>份，其中正本两份，甲方和乙方各执</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份，并由甲方在30日内做好政采云平台网上合同创建及备案。</w:t>
      </w:r>
    </w:p>
    <w:tbl>
      <w:tblPr>
        <w:tblStyle w:val="22"/>
        <w:tblW w:w="810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甲方单位</w:t>
            </w:r>
          </w:p>
        </w:tc>
        <w:tc>
          <w:tcPr>
            <w:tcW w:w="23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（盖章）</w:t>
            </w: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乙方单位</w:t>
            </w:r>
          </w:p>
        </w:tc>
        <w:tc>
          <w:tcPr>
            <w:tcW w:w="270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代表签名</w:t>
            </w:r>
          </w:p>
        </w:tc>
        <w:tc>
          <w:tcPr>
            <w:tcW w:w="2340" w:type="dxa"/>
            <w:vAlign w:val="center"/>
          </w:tcPr>
          <w:p>
            <w:pPr>
              <w:snapToGrid w:val="0"/>
              <w:spacing w:line="360" w:lineRule="auto"/>
              <w:jc w:val="center"/>
              <w:rPr>
                <w:rFonts w:ascii="宋体"/>
                <w:snapToGrid w:val="0"/>
                <w:color w:val="auto"/>
                <w:kern w:val="0"/>
              </w:rPr>
            </w:pP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代表签名</w:t>
            </w:r>
          </w:p>
        </w:tc>
        <w:tc>
          <w:tcPr>
            <w:tcW w:w="2700" w:type="dxa"/>
            <w:vAlign w:val="center"/>
          </w:tcPr>
          <w:p>
            <w:pPr>
              <w:snapToGrid w:val="0"/>
              <w:spacing w:line="360" w:lineRule="auto"/>
              <w:jc w:val="center"/>
              <w:rPr>
                <w:rFonts w:ascii="宋体"/>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地址</w:t>
            </w:r>
          </w:p>
        </w:tc>
        <w:tc>
          <w:tcPr>
            <w:tcW w:w="2340" w:type="dxa"/>
            <w:vAlign w:val="center"/>
          </w:tcPr>
          <w:p>
            <w:pPr>
              <w:snapToGrid w:val="0"/>
              <w:spacing w:line="360" w:lineRule="auto"/>
              <w:jc w:val="center"/>
              <w:rPr>
                <w:rFonts w:ascii="宋体"/>
                <w:snapToGrid w:val="0"/>
                <w:color w:val="auto"/>
                <w:kern w:val="0"/>
              </w:rPr>
            </w:pP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地址</w:t>
            </w:r>
          </w:p>
        </w:tc>
        <w:tc>
          <w:tcPr>
            <w:tcW w:w="2700" w:type="dxa"/>
            <w:vAlign w:val="center"/>
          </w:tcPr>
          <w:p>
            <w:pPr>
              <w:snapToGrid w:val="0"/>
              <w:spacing w:line="360" w:lineRule="auto"/>
              <w:jc w:val="center"/>
              <w:rPr>
                <w:rFonts w:ascii="宋体"/>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电话</w:t>
            </w:r>
          </w:p>
        </w:tc>
        <w:tc>
          <w:tcPr>
            <w:tcW w:w="2340" w:type="dxa"/>
            <w:vAlign w:val="center"/>
          </w:tcPr>
          <w:p>
            <w:pPr>
              <w:snapToGrid w:val="0"/>
              <w:spacing w:line="360" w:lineRule="auto"/>
              <w:jc w:val="center"/>
              <w:rPr>
                <w:rFonts w:ascii="宋体"/>
                <w:snapToGrid w:val="0"/>
                <w:color w:val="auto"/>
                <w:kern w:val="0"/>
              </w:rPr>
            </w:pP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电话</w:t>
            </w:r>
          </w:p>
        </w:tc>
        <w:tc>
          <w:tcPr>
            <w:tcW w:w="2700" w:type="dxa"/>
            <w:vAlign w:val="center"/>
          </w:tcPr>
          <w:p>
            <w:pPr>
              <w:snapToGrid w:val="0"/>
              <w:spacing w:line="360" w:lineRule="auto"/>
              <w:jc w:val="center"/>
              <w:rPr>
                <w:rFonts w:ascii="宋体"/>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开户银行</w:t>
            </w:r>
          </w:p>
        </w:tc>
        <w:tc>
          <w:tcPr>
            <w:tcW w:w="2340" w:type="dxa"/>
            <w:vAlign w:val="center"/>
          </w:tcPr>
          <w:p>
            <w:pPr>
              <w:snapToGrid w:val="0"/>
              <w:spacing w:line="360" w:lineRule="auto"/>
              <w:jc w:val="center"/>
              <w:rPr>
                <w:rFonts w:ascii="宋体"/>
                <w:snapToGrid w:val="0"/>
                <w:color w:val="auto"/>
                <w:kern w:val="0"/>
              </w:rPr>
            </w:pP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开户银行</w:t>
            </w:r>
          </w:p>
        </w:tc>
        <w:tc>
          <w:tcPr>
            <w:tcW w:w="2700" w:type="dxa"/>
            <w:vAlign w:val="center"/>
          </w:tcPr>
          <w:p>
            <w:pPr>
              <w:snapToGrid w:val="0"/>
              <w:spacing w:line="360" w:lineRule="auto"/>
              <w:jc w:val="center"/>
              <w:rPr>
                <w:rFonts w:ascii="宋体"/>
                <w:snapToGrid w:val="0"/>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帐号</w:t>
            </w:r>
          </w:p>
        </w:tc>
        <w:tc>
          <w:tcPr>
            <w:tcW w:w="2340" w:type="dxa"/>
            <w:vAlign w:val="center"/>
          </w:tcPr>
          <w:p>
            <w:pPr>
              <w:snapToGrid w:val="0"/>
              <w:spacing w:line="360" w:lineRule="auto"/>
              <w:jc w:val="center"/>
              <w:rPr>
                <w:rFonts w:ascii="宋体"/>
                <w:snapToGrid w:val="0"/>
                <w:color w:val="auto"/>
                <w:kern w:val="0"/>
              </w:rPr>
            </w:pPr>
          </w:p>
        </w:tc>
        <w:tc>
          <w:tcPr>
            <w:tcW w:w="1620" w:type="dxa"/>
            <w:vAlign w:val="center"/>
          </w:tcPr>
          <w:p>
            <w:pPr>
              <w:snapToGrid w:val="0"/>
              <w:spacing w:line="360" w:lineRule="auto"/>
              <w:jc w:val="center"/>
              <w:rPr>
                <w:rFonts w:ascii="宋体"/>
                <w:snapToGrid w:val="0"/>
                <w:color w:val="auto"/>
                <w:kern w:val="0"/>
              </w:rPr>
            </w:pPr>
            <w:r>
              <w:rPr>
                <w:rFonts w:hint="eastAsia" w:ascii="宋体" w:hAnsi="宋体" w:cs="宋体"/>
                <w:snapToGrid w:val="0"/>
                <w:color w:val="auto"/>
                <w:kern w:val="0"/>
              </w:rPr>
              <w:t>帐号</w:t>
            </w:r>
          </w:p>
        </w:tc>
        <w:tc>
          <w:tcPr>
            <w:tcW w:w="2700" w:type="dxa"/>
            <w:vAlign w:val="center"/>
          </w:tcPr>
          <w:p>
            <w:pPr>
              <w:snapToGrid w:val="0"/>
              <w:spacing w:line="360" w:lineRule="auto"/>
              <w:jc w:val="center"/>
              <w:rPr>
                <w:rFonts w:ascii="宋体"/>
                <w:snapToGrid w:val="0"/>
                <w:color w:val="auto"/>
                <w:kern w:val="0"/>
              </w:rPr>
            </w:pPr>
          </w:p>
        </w:tc>
      </w:tr>
    </w:tbl>
    <w:p>
      <w:pPr>
        <w:rPr>
          <w:color w:val="auto"/>
        </w:rPr>
      </w:pPr>
      <w:r>
        <w:rPr>
          <w:color w:val="auto"/>
        </w:rPr>
        <w:br w:type="page"/>
      </w:r>
    </w:p>
    <w:p>
      <w:pPr>
        <w:pStyle w:val="4"/>
        <w:jc w:val="center"/>
        <w:rPr>
          <w:rFonts w:cs="Times New Roman"/>
          <w:color w:val="auto"/>
          <w:sz w:val="36"/>
          <w:szCs w:val="36"/>
        </w:rPr>
      </w:pPr>
      <w:bookmarkStart w:id="80" w:name="_Toc7341"/>
      <w:bookmarkStart w:id="81" w:name="_Toc7690"/>
      <w:bookmarkStart w:id="82" w:name="_Toc4669"/>
      <w:r>
        <w:rPr>
          <w:rFonts w:hint="eastAsia" w:cs="宋体"/>
          <w:color w:val="auto"/>
          <w:sz w:val="36"/>
          <w:szCs w:val="36"/>
        </w:rPr>
        <w:t>第六部分</w:t>
      </w:r>
      <w:r>
        <w:rPr>
          <w:color w:val="auto"/>
          <w:sz w:val="36"/>
          <w:szCs w:val="36"/>
        </w:rPr>
        <w:t xml:space="preserve"> </w:t>
      </w:r>
      <w:r>
        <w:rPr>
          <w:rFonts w:hint="eastAsia" w:cs="宋体"/>
          <w:color w:val="auto"/>
          <w:sz w:val="36"/>
          <w:szCs w:val="36"/>
        </w:rPr>
        <w:t>应提交的有关格式范例</w:t>
      </w:r>
      <w:bookmarkEnd w:id="80"/>
      <w:bookmarkEnd w:id="81"/>
      <w:bookmarkEnd w:id="82"/>
    </w:p>
    <w:p>
      <w:pPr>
        <w:spacing w:line="360" w:lineRule="auto"/>
        <w:ind w:firstLine="480" w:firstLineChars="200"/>
        <w:outlineLvl w:val="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供应商按照以下格式编制响应文件，</w:t>
      </w:r>
      <w:r>
        <w:rPr>
          <w:rFonts w:hint="eastAsia" w:ascii="宋体" w:hAnsi="宋体" w:cs="宋体"/>
          <w:b/>
          <w:bCs/>
          <w:color w:val="auto"/>
          <w:sz w:val="24"/>
          <w:szCs w:val="24"/>
        </w:rPr>
        <w:t>“资格文件”、“商务技术文件”、“报价文件”须分</w:t>
      </w:r>
      <w:r>
        <w:rPr>
          <w:rFonts w:ascii="宋体" w:hAnsi="宋体" w:cs="宋体"/>
          <w:b/>
          <w:bCs/>
          <w:color w:val="auto"/>
          <w:sz w:val="24"/>
          <w:szCs w:val="24"/>
        </w:rPr>
        <w:t>3</w:t>
      </w:r>
      <w:r>
        <w:rPr>
          <w:rFonts w:hint="eastAsia" w:ascii="宋体" w:hAnsi="宋体" w:cs="宋体"/>
          <w:b/>
          <w:bCs/>
          <w:color w:val="auto"/>
          <w:sz w:val="24"/>
          <w:szCs w:val="24"/>
        </w:rPr>
        <w:t>个</w:t>
      </w:r>
      <w:r>
        <w:rPr>
          <w:rFonts w:ascii="宋体" w:hAnsi="宋体" w:cs="宋体"/>
          <w:b/>
          <w:bCs/>
          <w:color w:val="auto"/>
          <w:sz w:val="24"/>
          <w:szCs w:val="24"/>
        </w:rPr>
        <w:t>PDF</w:t>
      </w:r>
      <w:r>
        <w:rPr>
          <w:rFonts w:hint="eastAsia" w:ascii="宋体" w:hAnsi="宋体" w:cs="宋体"/>
          <w:b/>
          <w:bCs/>
          <w:color w:val="auto"/>
          <w:sz w:val="24"/>
          <w:szCs w:val="24"/>
        </w:rPr>
        <w:t>格式分别导入。</w:t>
      </w:r>
    </w:p>
    <w:p>
      <w:pPr>
        <w:spacing w:line="360" w:lineRule="auto"/>
        <w:ind w:firstLine="482" w:firstLineChars="200"/>
        <w:rPr>
          <w:rFonts w:ascii="宋体"/>
          <w:b/>
          <w:bCs/>
          <w:color w:val="auto"/>
          <w:sz w:val="24"/>
          <w:szCs w:val="24"/>
        </w:rPr>
      </w:pPr>
      <w:r>
        <w:rPr>
          <w:rFonts w:hint="eastAsia" w:ascii="宋体" w:hAnsi="宋体" w:cs="宋体"/>
          <w:b/>
          <w:bCs/>
          <w:color w:val="auto"/>
          <w:sz w:val="24"/>
          <w:szCs w:val="24"/>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rPr>
      </w:pPr>
      <w:r>
        <w:rPr>
          <w:rFonts w:ascii="宋体"/>
          <w:b/>
          <w:bCs/>
          <w:color w:val="auto"/>
          <w:sz w:val="24"/>
          <w:szCs w:val="24"/>
        </w:rPr>
        <w:br w:type="page"/>
      </w:r>
      <w:r>
        <w:rPr>
          <w:rFonts w:hint="eastAsia" w:ascii="宋体" w:hAnsi="宋体" w:cs="宋体"/>
          <w:b/>
          <w:bCs/>
          <w:color w:val="auto"/>
          <w:kern w:val="0"/>
          <w:sz w:val="36"/>
          <w:szCs w:val="36"/>
        </w:rPr>
        <w:t>资格文件部分</w:t>
      </w:r>
    </w:p>
    <w:p>
      <w:pPr>
        <w:spacing w:line="360" w:lineRule="auto"/>
        <w:jc w:val="center"/>
        <w:rPr>
          <w:rFonts w:ascii="宋体"/>
          <w:b/>
          <w:bCs/>
          <w:color w:val="auto"/>
          <w:kern w:val="0"/>
          <w:sz w:val="36"/>
          <w:szCs w:val="36"/>
        </w:rPr>
      </w:pPr>
    </w:p>
    <w:p>
      <w:pPr>
        <w:spacing w:line="360" w:lineRule="auto"/>
        <w:jc w:val="center"/>
        <w:rPr>
          <w:rFonts w:ascii="宋体"/>
          <w:b/>
          <w:bCs/>
          <w:color w:val="auto"/>
          <w:kern w:val="0"/>
          <w:sz w:val="36"/>
          <w:szCs w:val="36"/>
        </w:rPr>
      </w:pPr>
      <w:r>
        <w:rPr>
          <w:rFonts w:hint="eastAsia" w:ascii="宋体" w:hAnsi="宋体" w:cs="宋体"/>
          <w:b/>
          <w:bCs/>
          <w:color w:val="auto"/>
          <w:kern w:val="0"/>
          <w:sz w:val="36"/>
          <w:szCs w:val="36"/>
        </w:rPr>
        <w:t>目录</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）法定代表人授权书；（格式见附件）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）声明书；（格式见附件）</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）营业执照</w:t>
      </w:r>
      <w:r>
        <w:rPr>
          <w:rFonts w:ascii="宋体" w:hAnsi="宋体" w:cs="宋体"/>
          <w:color w:val="auto"/>
          <w:sz w:val="24"/>
          <w:szCs w:val="24"/>
        </w:rPr>
        <w:t>(</w:t>
      </w:r>
      <w:r>
        <w:rPr>
          <w:rFonts w:hint="eastAsia" w:ascii="宋体" w:hAnsi="宋体" w:cs="宋体"/>
          <w:color w:val="auto"/>
          <w:sz w:val="24"/>
          <w:szCs w:val="24"/>
        </w:rPr>
        <w:t>或事业法人登记证或其他工商等登记证明材料</w:t>
      </w:r>
      <w:r>
        <w:rPr>
          <w:rFonts w:ascii="宋体" w:hAnsi="宋体" w:cs="宋体"/>
          <w:color w:val="auto"/>
          <w:sz w:val="24"/>
          <w:szCs w:val="24"/>
        </w:rPr>
        <w:t>)</w:t>
      </w:r>
      <w:r>
        <w:rPr>
          <w:rFonts w:hint="eastAsia" w:ascii="宋体" w:hAnsi="宋体" w:cs="宋体"/>
          <w:color w:val="auto"/>
          <w:sz w:val="24"/>
          <w:szCs w:val="24"/>
        </w:rPr>
        <w:t>复印件、税务登记证</w:t>
      </w:r>
      <w:r>
        <w:rPr>
          <w:rFonts w:ascii="宋体" w:hAnsi="宋体" w:cs="宋体"/>
          <w:color w:val="auto"/>
          <w:sz w:val="24"/>
          <w:szCs w:val="24"/>
        </w:rPr>
        <w:t>(</w:t>
      </w:r>
      <w:r>
        <w:rPr>
          <w:rFonts w:hint="eastAsia" w:ascii="宋体" w:hAnsi="宋体" w:cs="宋体"/>
          <w:color w:val="auto"/>
          <w:sz w:val="24"/>
          <w:szCs w:val="24"/>
        </w:rPr>
        <w:t>或其它缴纳证明材料</w:t>
      </w:r>
      <w:r>
        <w:rPr>
          <w:rFonts w:ascii="宋体" w:hAnsi="宋体" w:cs="宋体"/>
          <w:color w:val="auto"/>
          <w:sz w:val="24"/>
          <w:szCs w:val="24"/>
        </w:rPr>
        <w:t>)</w:t>
      </w:r>
      <w:r>
        <w:rPr>
          <w:rFonts w:hint="eastAsia" w:ascii="宋体" w:hAnsi="宋体" w:cs="宋体"/>
          <w:color w:val="auto"/>
          <w:sz w:val="24"/>
          <w:szCs w:val="24"/>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）前一年度资产负债表等财务报表资料文件；</w:t>
      </w:r>
      <w:r>
        <w:rPr>
          <w:rFonts w:ascii="宋体" w:hAnsi="宋体" w:cs="宋体"/>
          <w:color w:val="auto"/>
          <w:sz w:val="24"/>
          <w:szCs w:val="24"/>
        </w:rPr>
        <w:t>(</w:t>
      </w:r>
      <w:r>
        <w:rPr>
          <w:rFonts w:hint="eastAsia" w:ascii="宋体" w:hAnsi="宋体" w:cs="宋体"/>
          <w:color w:val="auto"/>
          <w:sz w:val="24"/>
          <w:szCs w:val="24"/>
        </w:rPr>
        <w:t>新成立的公司，必须提供情况说明</w:t>
      </w:r>
      <w:r>
        <w:rPr>
          <w:rFonts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）具有履行合同所必需的产品和专业技术能力的承诺函；</w:t>
      </w:r>
    </w:p>
    <w:p>
      <w:pPr>
        <w:spacing w:line="360" w:lineRule="auto"/>
        <w:ind w:firstLine="480" w:firstLineChars="200"/>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）提供有效的依法缴纳税收证明（完税凭证或税务部门出具的证明）和提供有效的依法缴纳社会保障资金证明（缴纳凭证或人社部门出具的证明）；</w:t>
      </w:r>
    </w:p>
    <w:p>
      <w:pPr>
        <w:spacing w:line="360" w:lineRule="auto"/>
        <w:ind w:firstLine="480" w:firstLineChars="200"/>
        <w:rPr>
          <w:rFonts w:hint="eastAsia" w:ascii="宋体" w:hAnsi="宋体" w:cs="宋体"/>
          <w:color w:val="auto"/>
          <w:sz w:val="24"/>
          <w:szCs w:val="24"/>
          <w:lang w:eastAsia="zh-CN"/>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）参加政府采购活动前三年内，在经营活动中没有重大违法记录的声明</w:t>
      </w:r>
      <w:r>
        <w:rPr>
          <w:rFonts w:hint="eastAsia" w:ascii="宋体" w:hAnsi="宋体" w:cs="宋体"/>
          <w:color w:val="auto"/>
          <w:sz w:val="24"/>
          <w:szCs w:val="24"/>
          <w:lang w:eastAsia="zh-CN"/>
        </w:rPr>
        <w:t>；</w:t>
      </w:r>
    </w:p>
    <w:p>
      <w:pPr>
        <w:pStyle w:val="10"/>
        <w:ind w:firstLine="486"/>
        <w:rPr>
          <w:rFonts w:cs="Times New Roman"/>
          <w:color w:val="auto"/>
        </w:rPr>
      </w:pPr>
    </w:p>
    <w:p>
      <w:pPr>
        <w:rPr>
          <w:rFonts w:ascii="宋体"/>
          <w:color w:val="auto"/>
        </w:rPr>
      </w:pPr>
      <w:r>
        <w:rPr>
          <w:rFonts w:ascii="宋体"/>
          <w:color w:val="auto"/>
        </w:rPr>
        <w:br w:type="page"/>
      </w:r>
      <w:bookmarkStart w:id="83" w:name="_Toc24699"/>
    </w:p>
    <w:p>
      <w:pPr>
        <w:rPr>
          <w:b/>
          <w:bCs/>
          <w:color w:val="auto"/>
        </w:rPr>
      </w:pPr>
      <w:r>
        <w:rPr>
          <w:rFonts w:hint="eastAsia" w:cs="宋体"/>
          <w:b/>
          <w:bCs/>
          <w:color w:val="auto"/>
        </w:rPr>
        <w:t>附件一：</w:t>
      </w:r>
    </w:p>
    <w:p>
      <w:pPr>
        <w:spacing w:line="360" w:lineRule="auto"/>
        <w:jc w:val="center"/>
        <w:rPr>
          <w:rFonts w:ascii="宋体"/>
          <w:b/>
          <w:bCs/>
          <w:color w:val="auto"/>
          <w:sz w:val="32"/>
          <w:szCs w:val="32"/>
        </w:rPr>
      </w:pPr>
      <w:r>
        <w:rPr>
          <w:rFonts w:hint="eastAsia" w:ascii="宋体" w:hAnsi="宋体" w:cs="宋体"/>
          <w:b/>
          <w:bCs/>
          <w:color w:val="auto"/>
          <w:sz w:val="32"/>
          <w:szCs w:val="32"/>
        </w:rPr>
        <w:t>法定代表人授权书</w:t>
      </w:r>
      <w:bookmarkEnd w:id="83"/>
    </w:p>
    <w:p>
      <w:pPr>
        <w:pStyle w:val="3"/>
        <w:spacing w:line="360" w:lineRule="auto"/>
        <w:rPr>
          <w:rFonts w:ascii="宋体"/>
          <w:color w:val="auto"/>
        </w:rPr>
      </w:pP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绍兴市上虞区道墟街道办事处</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浙江新诚信工程咨询有限公司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u w:val="single"/>
        </w:rPr>
        <w:t xml:space="preserve">  </w:t>
      </w:r>
      <w:r>
        <w:rPr>
          <w:rFonts w:hint="eastAsia" w:ascii="宋体" w:hAnsi="宋体" w:cs="宋体"/>
          <w:color w:val="auto"/>
          <w:sz w:val="24"/>
          <w:szCs w:val="24"/>
          <w:u w:val="single"/>
        </w:rPr>
        <w:t>（供应商全称）</w:t>
      </w:r>
      <w:r>
        <w:rPr>
          <w:rFonts w:ascii="宋体" w:hAnsi="宋体" w:cs="宋体"/>
          <w:color w:val="auto"/>
          <w:sz w:val="24"/>
          <w:szCs w:val="24"/>
          <w:u w:val="single"/>
        </w:rPr>
        <w:t xml:space="preserve"> </w:t>
      </w:r>
      <w:r>
        <w:rPr>
          <w:rFonts w:hint="eastAsia" w:ascii="宋体" w:hAnsi="宋体" w:cs="宋体"/>
          <w:color w:val="auto"/>
          <w:sz w:val="24"/>
          <w:szCs w:val="24"/>
        </w:rPr>
        <w:t>法定代表人</w:t>
      </w:r>
      <w:r>
        <w:rPr>
          <w:rFonts w:ascii="宋体" w:hAnsi="宋体" w:cs="宋体"/>
          <w:color w:val="auto"/>
          <w:sz w:val="24"/>
          <w:szCs w:val="24"/>
          <w:u w:val="single"/>
        </w:rPr>
        <w:t xml:space="preserve">         </w:t>
      </w:r>
      <w:r>
        <w:rPr>
          <w:rFonts w:hint="eastAsia" w:ascii="宋体" w:hAnsi="宋体" w:cs="宋体"/>
          <w:color w:val="auto"/>
          <w:sz w:val="24"/>
          <w:szCs w:val="24"/>
        </w:rPr>
        <w:t>授权</w:t>
      </w:r>
      <w:r>
        <w:rPr>
          <w:rFonts w:hint="eastAsia" w:ascii="宋体" w:hAnsi="宋体" w:cs="宋体"/>
          <w:color w:val="auto"/>
          <w:sz w:val="24"/>
          <w:szCs w:val="24"/>
          <w:u w:val="single"/>
        </w:rPr>
        <w:t>（授权代表名称）</w:t>
      </w:r>
      <w:r>
        <w:rPr>
          <w:rFonts w:hint="eastAsia" w:ascii="宋体" w:hAnsi="宋体" w:cs="宋体"/>
          <w:color w:val="auto"/>
          <w:sz w:val="24"/>
          <w:szCs w:val="24"/>
        </w:rPr>
        <w:t>为授权代表，参加贵处组织的</w:t>
      </w:r>
      <w:r>
        <w:rPr>
          <w:rFonts w:ascii="宋体" w:hAnsi="宋体" w:cs="宋体"/>
          <w:color w:val="auto"/>
          <w:sz w:val="24"/>
          <w:szCs w:val="24"/>
          <w:u w:val="single"/>
        </w:rPr>
        <w:t xml:space="preserve">         </w:t>
      </w:r>
      <w:r>
        <w:rPr>
          <w:rFonts w:hint="eastAsia" w:ascii="宋体" w:hAnsi="宋体" w:cs="宋体"/>
          <w:color w:val="auto"/>
          <w:sz w:val="24"/>
          <w:szCs w:val="24"/>
        </w:rPr>
        <w:t>项目</w:t>
      </w:r>
      <w:r>
        <w:rPr>
          <w:rFonts w:hint="eastAsia" w:ascii="宋体" w:hAnsi="宋体" w:cs="宋体"/>
          <w:color w:val="auto"/>
          <w:sz w:val="24"/>
          <w:szCs w:val="24"/>
          <w:u w:val="single"/>
        </w:rPr>
        <w:t>（括号内填写招标编号）</w:t>
      </w:r>
      <w:r>
        <w:rPr>
          <w:rFonts w:hint="eastAsia" w:ascii="宋体" w:hAnsi="宋体" w:cs="宋体"/>
          <w:color w:val="auto"/>
          <w:sz w:val="24"/>
          <w:szCs w:val="24"/>
        </w:rPr>
        <w:t>，授权处理招投标活动中的一切事宜。</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法定代表人签字：</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供应商全称：（盖章）</w:t>
      </w:r>
    </w:p>
    <w:p>
      <w:pPr>
        <w:spacing w:line="360" w:lineRule="auto"/>
        <w:ind w:firstLine="480" w:firstLineChars="200"/>
        <w:rPr>
          <w:rFonts w:ascii="宋体"/>
          <w:color w:val="auto"/>
          <w:sz w:val="24"/>
          <w:szCs w:val="24"/>
        </w:rPr>
      </w:pPr>
      <w:r>
        <w:rPr>
          <w:rFonts w:hint="eastAsia" w:ascii="宋体" w:hAnsi="宋体" w:cs="宋体"/>
          <w:color w:val="auto"/>
          <w:sz w:val="24"/>
          <w:szCs w:val="24"/>
        </w:rPr>
        <w:t>日期：</w:t>
      </w:r>
    </w:p>
    <w:p>
      <w:pPr>
        <w:spacing w:line="360" w:lineRule="auto"/>
        <w:ind w:firstLine="480" w:firstLineChars="200"/>
        <w:rPr>
          <w:rFonts w:ascii="宋体"/>
          <w:color w:val="auto"/>
          <w:sz w:val="24"/>
          <w:szCs w:val="24"/>
        </w:rPr>
      </w:pPr>
      <w:r>
        <w:rPr>
          <w:rFonts w:hint="eastAsia" w:ascii="宋体" w:hAnsi="宋体" w:cs="宋体"/>
          <w:color w:val="auto"/>
          <w:sz w:val="24"/>
          <w:szCs w:val="24"/>
        </w:rPr>
        <w:t>附：</w:t>
      </w:r>
    </w:p>
    <w:p>
      <w:pPr>
        <w:spacing w:line="360" w:lineRule="auto"/>
        <w:ind w:firstLine="480" w:firstLineChars="200"/>
        <w:rPr>
          <w:rFonts w:ascii="宋体"/>
          <w:color w:val="auto"/>
          <w:sz w:val="24"/>
          <w:szCs w:val="24"/>
        </w:rPr>
      </w:pPr>
      <w:r>
        <w:rPr>
          <w:rFonts w:hint="eastAsia" w:ascii="宋体" w:hAnsi="宋体" w:cs="宋体"/>
          <w:color w:val="auto"/>
          <w:sz w:val="24"/>
          <w:szCs w:val="24"/>
        </w:rPr>
        <w:t>授权代表姓名：</w:t>
      </w:r>
    </w:p>
    <w:p>
      <w:pPr>
        <w:spacing w:line="360" w:lineRule="auto"/>
        <w:ind w:firstLine="480" w:firstLineChars="200"/>
        <w:rPr>
          <w:rFonts w:ascii="宋体"/>
          <w:color w:val="auto"/>
          <w:sz w:val="24"/>
          <w:szCs w:val="24"/>
        </w:rPr>
      </w:pPr>
      <w:r>
        <w:rPr>
          <w:rFonts w:hint="eastAsia" w:ascii="宋体" w:hAnsi="宋体" w:cs="宋体"/>
          <w:color w:val="auto"/>
          <w:sz w:val="24"/>
          <w:szCs w:val="24"/>
        </w:rPr>
        <w:t>职务：</w:t>
      </w:r>
    </w:p>
    <w:p>
      <w:pPr>
        <w:spacing w:line="360" w:lineRule="auto"/>
        <w:ind w:firstLine="480" w:firstLineChars="200"/>
        <w:rPr>
          <w:rFonts w:ascii="宋体"/>
          <w:color w:val="auto"/>
          <w:sz w:val="24"/>
          <w:szCs w:val="24"/>
        </w:rPr>
      </w:pPr>
      <w:r>
        <w:rPr>
          <w:rFonts w:hint="eastAsia" w:ascii="宋体" w:hAnsi="宋体" w:cs="宋体"/>
          <w:color w:val="auto"/>
          <w:sz w:val="24"/>
          <w:szCs w:val="24"/>
        </w:rPr>
        <w:t>详细通讯地址：</w:t>
      </w:r>
    </w:p>
    <w:p>
      <w:pPr>
        <w:spacing w:line="360" w:lineRule="auto"/>
        <w:ind w:firstLine="480" w:firstLineChars="200"/>
        <w:rPr>
          <w:rFonts w:ascii="宋体"/>
          <w:color w:val="auto"/>
          <w:sz w:val="24"/>
          <w:szCs w:val="24"/>
        </w:rPr>
      </w:pPr>
      <w:r>
        <w:rPr>
          <w:rFonts w:hint="eastAsia" w:ascii="宋体" w:hAnsi="宋体" w:cs="宋体"/>
          <w:color w:val="auto"/>
          <w:sz w:val="24"/>
          <w:szCs w:val="24"/>
        </w:rPr>
        <w:t>传真：</w:t>
      </w:r>
    </w:p>
    <w:p>
      <w:pPr>
        <w:spacing w:line="360" w:lineRule="auto"/>
        <w:ind w:firstLine="480" w:firstLineChars="200"/>
        <w:rPr>
          <w:rFonts w:ascii="宋体"/>
          <w:color w:val="auto"/>
          <w:sz w:val="24"/>
          <w:szCs w:val="24"/>
        </w:rPr>
      </w:pPr>
      <w:r>
        <w:rPr>
          <w:rFonts w:hint="eastAsia" w:ascii="宋体" w:hAnsi="宋体" w:cs="宋体"/>
          <w:color w:val="auto"/>
          <w:sz w:val="24"/>
          <w:szCs w:val="24"/>
        </w:rPr>
        <w:t>电话：</w:t>
      </w:r>
    </w:p>
    <w:p>
      <w:pPr>
        <w:spacing w:line="360" w:lineRule="auto"/>
        <w:ind w:firstLine="480" w:firstLineChars="200"/>
        <w:rPr>
          <w:rFonts w:ascii="宋体"/>
          <w:color w:val="auto"/>
          <w:sz w:val="24"/>
          <w:szCs w:val="24"/>
        </w:rPr>
      </w:pPr>
      <w:r>
        <w:rPr>
          <w:rFonts w:hint="eastAsia" w:ascii="宋体" w:hAnsi="宋体" w:cs="宋体"/>
          <w:color w:val="auto"/>
          <w:sz w:val="24"/>
          <w:szCs w:val="24"/>
        </w:rPr>
        <w:t>邮政编码：</w:t>
      </w:r>
    </w:p>
    <w:p>
      <w:pPr>
        <w:pStyle w:val="12"/>
        <w:snapToGrid w:val="0"/>
        <w:spacing w:line="360" w:lineRule="auto"/>
        <w:rPr>
          <w:rFonts w:hAnsi="宋体" w:cs="Times New Roman"/>
          <w:color w:val="auto"/>
          <w:sz w:val="24"/>
          <w:szCs w:val="24"/>
        </w:rPr>
      </w:pPr>
    </w:p>
    <w:p>
      <w:pPr>
        <w:pStyle w:val="12"/>
        <w:snapToGrid w:val="0"/>
        <w:spacing w:line="360" w:lineRule="auto"/>
        <w:rPr>
          <w:rFonts w:hAnsi="宋体" w:cs="Times New Roman"/>
          <w:color w:val="auto"/>
          <w:sz w:val="24"/>
          <w:szCs w:val="24"/>
        </w:rPr>
      </w:pPr>
    </w:p>
    <w:p>
      <w:pPr>
        <w:pStyle w:val="12"/>
        <w:snapToGrid w:val="0"/>
        <w:spacing w:line="360" w:lineRule="auto"/>
        <w:rPr>
          <w:rFonts w:hAnsi="宋体" w:cs="Times New Roman"/>
          <w:color w:val="auto"/>
          <w:sz w:val="24"/>
          <w:szCs w:val="24"/>
        </w:rPr>
      </w:pPr>
    </w:p>
    <w:p>
      <w:pPr>
        <w:spacing w:line="360" w:lineRule="auto"/>
        <w:rPr>
          <w:rFonts w:ascii="宋体"/>
          <w:b/>
          <w:bCs/>
          <w:color w:val="auto"/>
          <w:sz w:val="24"/>
          <w:szCs w:val="24"/>
        </w:rPr>
      </w:pPr>
      <w:r>
        <w:rPr>
          <w:rFonts w:hint="eastAsia" w:ascii="宋体" w:hAnsi="宋体" w:cs="宋体"/>
          <w:b/>
          <w:bCs/>
          <w:color w:val="auto"/>
          <w:sz w:val="24"/>
          <w:szCs w:val="24"/>
        </w:rPr>
        <w:t>附：授权代表身份证复印件（正反面）</w:t>
      </w:r>
    </w:p>
    <w:p>
      <w:pPr>
        <w:pStyle w:val="10"/>
        <w:ind w:firstLine="486"/>
        <w:rPr>
          <w:rFonts w:cs="Times New Roman"/>
          <w:color w:val="auto"/>
        </w:rPr>
      </w:pPr>
    </w:p>
    <w:p>
      <w:pPr>
        <w:snapToGrid w:val="0"/>
        <w:spacing w:before="50" w:afterLines="50"/>
        <w:jc w:val="left"/>
        <w:rPr>
          <w:rFonts w:ascii="宋体"/>
          <w:b/>
          <w:bCs/>
          <w:color w:val="auto"/>
          <w:sz w:val="24"/>
          <w:szCs w:val="24"/>
          <w:lang w:val="zh-CN"/>
        </w:rPr>
      </w:pPr>
      <w:r>
        <w:rPr>
          <w:rFonts w:ascii="宋体"/>
          <w:b/>
          <w:bCs/>
          <w:color w:val="auto"/>
          <w:sz w:val="24"/>
          <w:szCs w:val="24"/>
        </w:rPr>
        <w:br w:type="page"/>
      </w:r>
      <w:r>
        <w:rPr>
          <w:rFonts w:hint="eastAsia" w:ascii="宋体" w:hAnsi="宋体" w:cs="宋体"/>
          <w:b/>
          <w:bCs/>
          <w:color w:val="auto"/>
          <w:sz w:val="24"/>
          <w:szCs w:val="24"/>
          <w:lang w:val="zh-CN"/>
        </w:rPr>
        <w:t>附件二：</w:t>
      </w:r>
    </w:p>
    <w:p>
      <w:pPr>
        <w:spacing w:line="360" w:lineRule="auto"/>
        <w:jc w:val="center"/>
        <w:rPr>
          <w:rFonts w:ascii="宋体"/>
          <w:b/>
          <w:bCs/>
          <w:color w:val="auto"/>
          <w:sz w:val="32"/>
          <w:szCs w:val="32"/>
        </w:rPr>
      </w:pPr>
      <w:r>
        <w:rPr>
          <w:rFonts w:hint="eastAsia" w:ascii="宋体" w:hAnsi="宋体" w:cs="宋体"/>
          <w:b/>
          <w:bCs/>
          <w:color w:val="auto"/>
          <w:sz w:val="32"/>
          <w:szCs w:val="32"/>
        </w:rPr>
        <w:t>声</w:t>
      </w:r>
      <w:r>
        <w:rPr>
          <w:rFonts w:ascii="宋体" w:hAnsi="宋体" w:cs="宋体"/>
          <w:b/>
          <w:bCs/>
          <w:color w:val="auto"/>
          <w:sz w:val="32"/>
          <w:szCs w:val="32"/>
        </w:rPr>
        <w:t xml:space="preserve"> </w:t>
      </w:r>
      <w:r>
        <w:rPr>
          <w:rFonts w:hint="eastAsia" w:ascii="宋体" w:hAnsi="宋体" w:cs="宋体"/>
          <w:b/>
          <w:bCs/>
          <w:color w:val="auto"/>
          <w:sz w:val="32"/>
          <w:szCs w:val="32"/>
        </w:rPr>
        <w:t>明</w:t>
      </w:r>
      <w:r>
        <w:rPr>
          <w:rFonts w:ascii="宋体" w:hAnsi="宋体" w:cs="宋体"/>
          <w:b/>
          <w:bCs/>
          <w:color w:val="auto"/>
          <w:sz w:val="32"/>
          <w:szCs w:val="32"/>
        </w:rPr>
        <w:t xml:space="preserve"> </w:t>
      </w:r>
      <w:r>
        <w:rPr>
          <w:rFonts w:hint="eastAsia" w:ascii="宋体" w:hAnsi="宋体" w:cs="宋体"/>
          <w:b/>
          <w:bCs/>
          <w:color w:val="auto"/>
          <w:sz w:val="32"/>
          <w:szCs w:val="32"/>
        </w:rPr>
        <w:t>书</w:t>
      </w:r>
    </w:p>
    <w:p>
      <w:pPr>
        <w:spacing w:line="360" w:lineRule="auto"/>
        <w:ind w:firstLine="420" w:firstLineChars="200"/>
        <w:rPr>
          <w:rFonts w:ascii="宋体"/>
          <w:color w:val="auto"/>
        </w:rPr>
      </w:pP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绍兴市上虞区道墟街道办事处</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浙江新诚信工程咨询有限公司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u w:val="single"/>
        </w:rPr>
        <w:t>（供应商名称）</w:t>
      </w:r>
      <w:r>
        <w:rPr>
          <w:rFonts w:hint="eastAsia" w:ascii="宋体" w:hAnsi="宋体" w:cs="宋体"/>
          <w:color w:val="auto"/>
          <w:sz w:val="24"/>
          <w:szCs w:val="24"/>
        </w:rPr>
        <w:t>系中华人民共和国合法企业，经营地址</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rPr>
        <w:t>我</w:t>
      </w:r>
      <w:r>
        <w:rPr>
          <w:rFonts w:hint="eastAsia" w:ascii="宋体" w:hAnsi="宋体" w:cs="宋体"/>
          <w:color w:val="auto"/>
          <w:sz w:val="24"/>
          <w:szCs w:val="24"/>
          <w:u w:val="single"/>
        </w:rPr>
        <w:t>（姓名）</w:t>
      </w:r>
      <w:r>
        <w:rPr>
          <w:rFonts w:hint="eastAsia" w:ascii="宋体" w:hAnsi="宋体" w:cs="宋体"/>
          <w:color w:val="auto"/>
          <w:sz w:val="24"/>
          <w:szCs w:val="24"/>
        </w:rPr>
        <w:t>系</w:t>
      </w:r>
      <w:r>
        <w:rPr>
          <w:rFonts w:hint="eastAsia" w:ascii="宋体" w:hAnsi="宋体" w:cs="宋体"/>
          <w:color w:val="auto"/>
          <w:sz w:val="24"/>
          <w:szCs w:val="24"/>
          <w:u w:val="single"/>
        </w:rPr>
        <w:t>（供应商名称）</w:t>
      </w:r>
      <w:r>
        <w:rPr>
          <w:rFonts w:hint="eastAsia" w:ascii="宋体" w:hAnsi="宋体" w:cs="宋体"/>
          <w:color w:val="auto"/>
          <w:sz w:val="24"/>
          <w:szCs w:val="24"/>
        </w:rPr>
        <w:t>的法定代表人，我方愿意参加贵方组织的</w:t>
      </w:r>
      <w:r>
        <w:rPr>
          <w:rFonts w:hint="eastAsia" w:ascii="宋体" w:hAnsi="宋体" w:cs="宋体"/>
          <w:color w:val="auto"/>
          <w:sz w:val="24"/>
          <w:szCs w:val="24"/>
          <w:u w:val="single"/>
        </w:rPr>
        <w:t>（招标项目名称）（编号为）</w:t>
      </w:r>
      <w:r>
        <w:rPr>
          <w:rFonts w:hint="eastAsia" w:ascii="宋体" w:hAnsi="宋体" w:cs="宋体"/>
          <w:color w:val="auto"/>
          <w:sz w:val="24"/>
          <w:szCs w:val="24"/>
        </w:rPr>
        <w:t>的投标，为此，我方就本次投标有关事项郑重声明如下：</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color w:val="auto"/>
          <w:sz w:val="24"/>
          <w:szCs w:val="24"/>
        </w:rPr>
        <w:t>、我方已详细审查全部磋商文件，同意磋商文件的各项要求。</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、我方向贵方提交的所有响应文件、资料都是准确的和真实的。</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、若中标，我方将按磋商文件规定履行合同责任和义务。</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、我方不是采购人的附属机构；在获知本项目采购信息后，与采购人聘请的为此项目提供咨询服务的公司及其附属机构没有任何联系。</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、响应文件自开标日起有效期为</w:t>
      </w:r>
      <w:r>
        <w:rPr>
          <w:rFonts w:ascii="宋体" w:hAnsi="宋体" w:cs="宋体"/>
          <w:color w:val="auto"/>
          <w:sz w:val="24"/>
          <w:szCs w:val="24"/>
        </w:rPr>
        <w:t>90</w:t>
      </w:r>
      <w:r>
        <w:rPr>
          <w:rFonts w:hint="eastAsia" w:ascii="宋体" w:hAnsi="宋体" w:cs="宋体"/>
          <w:color w:val="auto"/>
          <w:sz w:val="24"/>
          <w:szCs w:val="24"/>
        </w:rPr>
        <w:t>天。</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、我方参与本项目前</w:t>
      </w:r>
      <w:r>
        <w:rPr>
          <w:rFonts w:ascii="宋体" w:hAnsi="宋体" w:cs="宋体"/>
          <w:color w:val="auto"/>
          <w:sz w:val="24"/>
          <w:szCs w:val="24"/>
        </w:rPr>
        <w:t>3</w:t>
      </w:r>
      <w:r>
        <w:rPr>
          <w:rFonts w:hint="eastAsia" w:ascii="宋体" w:hAnsi="宋体" w:cs="宋体"/>
          <w:color w:val="auto"/>
          <w:sz w:val="24"/>
          <w:szCs w:val="24"/>
        </w:rPr>
        <w:t>年内的经营活动中没有重大违法记录；</w:t>
      </w:r>
    </w:p>
    <w:p>
      <w:pPr>
        <w:spacing w:line="360" w:lineRule="auto"/>
        <w:ind w:firstLine="480" w:firstLineChars="200"/>
        <w:rPr>
          <w:rFonts w:ascii="宋体"/>
          <w:color w:val="auto"/>
          <w:sz w:val="24"/>
          <w:szCs w:val="24"/>
        </w:rPr>
      </w:pPr>
      <w:r>
        <w:rPr>
          <w:rFonts w:ascii="宋体" w:hAnsi="宋体" w:cs="宋体"/>
          <w:color w:val="auto"/>
          <w:sz w:val="24"/>
          <w:szCs w:val="24"/>
        </w:rPr>
        <w:t>7</w:t>
      </w:r>
      <w:r>
        <w:rPr>
          <w:rFonts w:hint="eastAsia" w:ascii="宋体" w:hAnsi="宋体" w:cs="宋体"/>
          <w:color w:val="auto"/>
          <w:sz w:val="24"/>
          <w:szCs w:val="24"/>
        </w:rPr>
        <w:t>、我方通过“信用中国”网站（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w:t>
      </w:r>
      <w:r>
        <w:rPr>
          <w:rFonts w:ascii="宋体" w:hAnsi="宋体" w:cs="宋体"/>
          <w:color w:val="auto"/>
          <w:sz w:val="24"/>
          <w:szCs w:val="24"/>
        </w:rPr>
        <w:t>www.ccgp.gov.cn</w:t>
      </w:r>
      <w:r>
        <w:rPr>
          <w:rFonts w:hint="eastAsia" w:ascii="宋体" w:hAnsi="宋体" w:cs="宋体"/>
          <w:color w:val="auto"/>
          <w:sz w:val="24"/>
          <w:szCs w:val="24"/>
        </w:rPr>
        <w:t>）查询，未被列入失信被执行人、重大税收违法案件当事人名单、政府采购严重违法失信行为记录名单。</w:t>
      </w:r>
    </w:p>
    <w:p>
      <w:pPr>
        <w:spacing w:line="360" w:lineRule="auto"/>
        <w:ind w:firstLine="480" w:firstLineChars="200"/>
        <w:rPr>
          <w:rFonts w:ascii="宋体"/>
          <w:color w:val="auto"/>
          <w:sz w:val="24"/>
          <w:szCs w:val="24"/>
        </w:rPr>
      </w:pPr>
      <w:r>
        <w:rPr>
          <w:rFonts w:ascii="宋体" w:hAnsi="宋体" w:cs="宋体"/>
          <w:color w:val="auto"/>
          <w:sz w:val="24"/>
          <w:szCs w:val="24"/>
        </w:rPr>
        <w:t>8</w:t>
      </w:r>
      <w:r>
        <w:rPr>
          <w:rFonts w:hint="eastAsia" w:ascii="宋体" w:hAnsi="宋体" w:cs="宋体"/>
          <w:color w:val="auto"/>
          <w:sz w:val="24"/>
          <w:szCs w:val="24"/>
        </w:rPr>
        <w:t>、以上事项如有虚假或隐瞒，我方愿意承担一切后果，并不再寻求任何旨在减轻或免除法律责任的辩解。</w:t>
      </w:r>
    </w:p>
    <w:p>
      <w:pPr>
        <w:pStyle w:val="10"/>
        <w:rPr>
          <w:rFonts w:cs="Times New Roman"/>
          <w:color w:val="auto"/>
        </w:rPr>
      </w:pPr>
    </w:p>
    <w:p>
      <w:pPr>
        <w:pStyle w:val="10"/>
        <w:rPr>
          <w:rFonts w:cs="Times New Roman"/>
          <w:color w:val="auto"/>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pStyle w:val="10"/>
        <w:ind w:firstLine="566"/>
        <w:rPr>
          <w:rFonts w:cs="Times New Roman"/>
          <w:color w:val="auto"/>
          <w:sz w:val="28"/>
          <w:szCs w:val="28"/>
        </w:rPr>
      </w:pPr>
    </w:p>
    <w:p>
      <w:pPr>
        <w:pStyle w:val="3"/>
        <w:rPr>
          <w:rFonts w:ascii="宋体"/>
          <w:color w:val="auto"/>
        </w:rPr>
      </w:pPr>
    </w:p>
    <w:p>
      <w:pPr>
        <w:spacing w:line="360" w:lineRule="auto"/>
        <w:rPr>
          <w:rFonts w:ascii="宋体"/>
          <w:b/>
          <w:bCs/>
          <w:color w:val="auto"/>
          <w:kern w:val="0"/>
          <w:sz w:val="36"/>
          <w:szCs w:val="36"/>
        </w:rPr>
        <w:sectPr>
          <w:pgSz w:w="11906" w:h="16838"/>
          <w:pgMar w:top="1440" w:right="1800" w:bottom="1440" w:left="1800" w:header="851" w:footer="992" w:gutter="0"/>
          <w:cols w:space="425" w:num="1"/>
          <w:docGrid w:type="lines" w:linePitch="312" w:charSpace="0"/>
        </w:sectPr>
      </w:pPr>
    </w:p>
    <w:p>
      <w:pPr>
        <w:rPr>
          <w:color w:val="auto"/>
        </w:rPr>
      </w:pPr>
    </w:p>
    <w:p>
      <w:pPr>
        <w:widowControl/>
        <w:jc w:val="left"/>
        <w:rPr>
          <w:rFonts w:ascii="宋体"/>
          <w:b/>
          <w:bCs/>
          <w:color w:val="auto"/>
          <w:sz w:val="24"/>
          <w:szCs w:val="24"/>
          <w:lang w:val="zh-CN"/>
        </w:rPr>
      </w:pPr>
    </w:p>
    <w:p>
      <w:pPr>
        <w:spacing w:line="360" w:lineRule="auto"/>
        <w:jc w:val="center"/>
        <w:rPr>
          <w:rFonts w:ascii="宋体"/>
          <w:b/>
          <w:bCs/>
          <w:color w:val="auto"/>
          <w:kern w:val="0"/>
          <w:sz w:val="36"/>
          <w:szCs w:val="36"/>
        </w:rPr>
      </w:pPr>
      <w:r>
        <w:rPr>
          <w:rFonts w:hint="eastAsia" w:ascii="宋体" w:hAnsi="宋体" w:cs="宋体"/>
          <w:b/>
          <w:bCs/>
          <w:color w:val="auto"/>
          <w:kern w:val="0"/>
          <w:sz w:val="36"/>
          <w:szCs w:val="36"/>
        </w:rPr>
        <w:t>商务技术文件</w:t>
      </w:r>
    </w:p>
    <w:p>
      <w:pPr>
        <w:spacing w:line="360" w:lineRule="auto"/>
        <w:jc w:val="center"/>
        <w:rPr>
          <w:rFonts w:ascii="宋体"/>
          <w:b/>
          <w:bCs/>
          <w:color w:val="auto"/>
          <w:kern w:val="0"/>
          <w:sz w:val="36"/>
          <w:szCs w:val="36"/>
        </w:rPr>
      </w:pPr>
    </w:p>
    <w:p>
      <w:pPr>
        <w:spacing w:line="360" w:lineRule="auto"/>
        <w:jc w:val="center"/>
        <w:rPr>
          <w:rFonts w:ascii="宋体"/>
          <w:b/>
          <w:bCs/>
          <w:color w:val="auto"/>
          <w:kern w:val="0"/>
          <w:sz w:val="36"/>
          <w:szCs w:val="36"/>
        </w:rPr>
      </w:pPr>
      <w:r>
        <w:rPr>
          <w:rFonts w:hint="eastAsia" w:ascii="宋体" w:hAnsi="宋体" w:cs="宋体"/>
          <w:b/>
          <w:bCs/>
          <w:color w:val="auto"/>
          <w:kern w:val="0"/>
          <w:sz w:val="36"/>
          <w:szCs w:val="36"/>
        </w:rPr>
        <w:t>目录</w:t>
      </w:r>
    </w:p>
    <w:p>
      <w:pPr>
        <w:pStyle w:val="10"/>
        <w:ind w:left="426" w:firstLine="486"/>
        <w:rPr>
          <w:rFonts w:cs="Times New Roman"/>
          <w:color w:val="auto"/>
        </w:rPr>
      </w:pP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评分对应表（格式见附件，主要用于评委对应评分内容）</w:t>
      </w: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供应商商务技术文件中资信分自评表（格式见附件）；</w:t>
      </w: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磋商项目明细清单（格式见附件）；</w:t>
      </w: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技术响应及建议表（格式见附件）；</w:t>
      </w: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商务响应表（格式见附件）；</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现状分析</w:t>
      </w:r>
      <w:r>
        <w:rPr>
          <w:rFonts w:hint="eastAsia" w:ascii="宋体"/>
          <w:color w:val="auto"/>
          <w:sz w:val="24"/>
          <w:szCs w:val="24"/>
        </w:rPr>
        <w:t>；</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实施</w:t>
      </w:r>
      <w:r>
        <w:rPr>
          <w:rFonts w:hint="eastAsia" w:ascii="宋体"/>
          <w:color w:val="auto"/>
          <w:sz w:val="24"/>
          <w:szCs w:val="24"/>
        </w:rPr>
        <w:t>方案；</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重点难点分析及解决方案</w:t>
      </w:r>
      <w:r>
        <w:rPr>
          <w:rFonts w:hint="eastAsia" w:ascii="宋体"/>
          <w:color w:val="auto"/>
          <w:sz w:val="24"/>
          <w:szCs w:val="24"/>
        </w:rPr>
        <w:t>；</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保证措施</w:t>
      </w:r>
      <w:r>
        <w:rPr>
          <w:rFonts w:hint="eastAsia" w:ascii="宋体"/>
          <w:color w:val="auto"/>
          <w:sz w:val="24"/>
          <w:szCs w:val="24"/>
        </w:rPr>
        <w:t>；</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团队实力</w:t>
      </w:r>
      <w:r>
        <w:rPr>
          <w:rFonts w:hint="eastAsia" w:ascii="宋体"/>
          <w:color w:val="auto"/>
          <w:sz w:val="24"/>
          <w:szCs w:val="24"/>
        </w:rPr>
        <w:t>；</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服务响应保障措</w:t>
      </w:r>
      <w:r>
        <w:rPr>
          <w:rFonts w:hint="eastAsia" w:ascii="宋体"/>
          <w:color w:val="auto"/>
          <w:sz w:val="24"/>
          <w:szCs w:val="24"/>
        </w:rPr>
        <w:t>施；</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企业业绩</w:t>
      </w:r>
      <w:r>
        <w:rPr>
          <w:rFonts w:hint="eastAsia" w:ascii="宋体"/>
          <w:color w:val="auto"/>
          <w:sz w:val="24"/>
          <w:szCs w:val="24"/>
        </w:rPr>
        <w:t>；</w:t>
      </w:r>
    </w:p>
    <w:p>
      <w:pPr>
        <w:numPr>
          <w:ilvl w:val="0"/>
          <w:numId w:val="20"/>
        </w:numPr>
        <w:spacing w:line="360" w:lineRule="auto"/>
        <w:ind w:firstLine="480" w:firstLineChars="200"/>
        <w:rPr>
          <w:rFonts w:hint="eastAsia" w:ascii="宋体"/>
          <w:color w:val="auto"/>
          <w:sz w:val="24"/>
          <w:szCs w:val="24"/>
        </w:rPr>
      </w:pPr>
      <w:r>
        <w:rPr>
          <w:rFonts w:hint="eastAsia" w:ascii="宋体"/>
          <w:color w:val="auto"/>
          <w:sz w:val="24"/>
          <w:szCs w:val="24"/>
          <w:lang w:eastAsia="zh-CN"/>
        </w:rPr>
        <w:t>体系认证</w:t>
      </w:r>
      <w:r>
        <w:rPr>
          <w:rFonts w:hint="eastAsia" w:ascii="宋体"/>
          <w:color w:val="auto"/>
          <w:sz w:val="24"/>
          <w:szCs w:val="24"/>
        </w:rPr>
        <w:t>；</w:t>
      </w:r>
    </w:p>
    <w:p>
      <w:pPr>
        <w:numPr>
          <w:ilvl w:val="0"/>
          <w:numId w:val="20"/>
        </w:numPr>
        <w:spacing w:line="360" w:lineRule="auto"/>
        <w:ind w:firstLine="480" w:firstLineChars="200"/>
        <w:rPr>
          <w:rFonts w:ascii="宋体"/>
          <w:color w:val="auto"/>
          <w:sz w:val="24"/>
          <w:szCs w:val="24"/>
        </w:rPr>
      </w:pPr>
      <w:r>
        <w:rPr>
          <w:rFonts w:hint="eastAsia" w:ascii="宋体"/>
          <w:color w:val="auto"/>
          <w:sz w:val="24"/>
          <w:szCs w:val="24"/>
          <w:lang w:eastAsia="zh-CN"/>
        </w:rPr>
        <w:t>软件著作权</w:t>
      </w:r>
      <w:r>
        <w:rPr>
          <w:rFonts w:hint="eastAsia" w:ascii="宋体"/>
          <w:color w:val="auto"/>
          <w:sz w:val="24"/>
          <w:szCs w:val="24"/>
        </w:rPr>
        <w:t>；</w:t>
      </w:r>
    </w:p>
    <w:p>
      <w:pPr>
        <w:numPr>
          <w:ilvl w:val="0"/>
          <w:numId w:val="20"/>
        </w:numPr>
        <w:spacing w:line="360" w:lineRule="auto"/>
        <w:ind w:firstLine="480" w:firstLineChars="200"/>
        <w:rPr>
          <w:rFonts w:ascii="宋体"/>
          <w:color w:val="auto"/>
          <w:sz w:val="24"/>
          <w:szCs w:val="24"/>
        </w:rPr>
      </w:pPr>
      <w:r>
        <w:rPr>
          <w:rFonts w:hint="eastAsia" w:ascii="宋体"/>
          <w:color w:val="auto"/>
          <w:sz w:val="24"/>
          <w:szCs w:val="24"/>
          <w:lang w:eastAsia="zh-CN"/>
        </w:rPr>
        <w:t>人员配置</w:t>
      </w:r>
      <w:r>
        <w:rPr>
          <w:rFonts w:hint="eastAsia" w:ascii="宋体"/>
          <w:color w:val="auto"/>
          <w:sz w:val="24"/>
          <w:szCs w:val="24"/>
        </w:rPr>
        <w:t>；</w:t>
      </w:r>
    </w:p>
    <w:p>
      <w:pPr>
        <w:numPr>
          <w:ilvl w:val="0"/>
          <w:numId w:val="20"/>
        </w:numPr>
        <w:spacing w:line="360" w:lineRule="auto"/>
        <w:ind w:firstLine="480" w:firstLineChars="200"/>
        <w:rPr>
          <w:rFonts w:ascii="宋体"/>
          <w:color w:val="auto"/>
          <w:sz w:val="24"/>
          <w:szCs w:val="24"/>
        </w:rPr>
      </w:pPr>
      <w:r>
        <w:rPr>
          <w:rFonts w:hint="eastAsia" w:ascii="宋体" w:hAnsi="宋体" w:cs="宋体"/>
          <w:color w:val="auto"/>
          <w:sz w:val="24"/>
          <w:szCs w:val="24"/>
        </w:rPr>
        <w:t>供应商认为需要的其他文件资料。</w:t>
      </w:r>
      <w:r>
        <w:rPr>
          <w:rFonts w:ascii="宋体" w:hAnsi="宋体" w:cs="宋体"/>
          <w:color w:val="auto"/>
          <w:sz w:val="24"/>
          <w:szCs w:val="24"/>
        </w:rPr>
        <w:t xml:space="preserve"> </w:t>
      </w:r>
    </w:p>
    <w:p>
      <w:pPr>
        <w:pStyle w:val="12"/>
        <w:spacing w:line="500" w:lineRule="exact"/>
        <w:ind w:firstLine="480" w:firstLineChars="200"/>
        <w:rPr>
          <w:rFonts w:hAnsi="宋体" w:cs="Times New Roman"/>
          <w:color w:val="auto"/>
          <w:sz w:val="24"/>
          <w:szCs w:val="24"/>
        </w:rPr>
      </w:pPr>
    </w:p>
    <w:p>
      <w:pPr>
        <w:pStyle w:val="10"/>
        <w:ind w:firstLine="566"/>
        <w:rPr>
          <w:rFonts w:cs="Times New Roman"/>
          <w:color w:val="auto"/>
          <w:sz w:val="28"/>
          <w:szCs w:val="28"/>
        </w:rPr>
      </w:pPr>
    </w:p>
    <w:p>
      <w:pPr>
        <w:pStyle w:val="10"/>
        <w:ind w:firstLine="566"/>
        <w:rPr>
          <w:rFonts w:cs="Times New Roman"/>
          <w:color w:val="auto"/>
          <w:sz w:val="28"/>
          <w:szCs w:val="28"/>
        </w:rPr>
      </w:pPr>
    </w:p>
    <w:p>
      <w:pPr>
        <w:rPr>
          <w:rFonts w:ascii="宋体"/>
          <w:color w:val="auto"/>
          <w:sz w:val="28"/>
          <w:szCs w:val="28"/>
        </w:rPr>
      </w:pPr>
      <w:r>
        <w:rPr>
          <w:rFonts w:ascii="宋体"/>
          <w:color w:val="auto"/>
          <w:sz w:val="28"/>
          <w:szCs w:val="28"/>
        </w:rPr>
        <w:br w:type="page"/>
      </w:r>
    </w:p>
    <w:p>
      <w:pPr>
        <w:snapToGrid w:val="0"/>
        <w:spacing w:before="50" w:after="50"/>
        <w:jc w:val="left"/>
        <w:rPr>
          <w:rFonts w:ascii="宋体"/>
          <w:b/>
          <w:bCs/>
          <w:color w:val="auto"/>
          <w:sz w:val="24"/>
          <w:szCs w:val="24"/>
          <w:lang w:val="zh-CN"/>
        </w:rPr>
      </w:pPr>
      <w:bookmarkStart w:id="84" w:name="_Toc10131"/>
      <w:r>
        <w:rPr>
          <w:rFonts w:hint="eastAsia" w:ascii="宋体" w:hAnsi="宋体" w:cs="宋体"/>
          <w:b/>
          <w:bCs/>
          <w:color w:val="auto"/>
          <w:sz w:val="24"/>
          <w:szCs w:val="24"/>
          <w:lang w:val="zh-CN"/>
        </w:rPr>
        <w:t>附件三：</w:t>
      </w:r>
    </w:p>
    <w:p>
      <w:pPr>
        <w:spacing w:line="360" w:lineRule="auto"/>
        <w:jc w:val="center"/>
        <w:rPr>
          <w:rFonts w:ascii="宋体"/>
          <w:b/>
          <w:bCs/>
          <w:color w:val="auto"/>
          <w:sz w:val="32"/>
          <w:szCs w:val="32"/>
        </w:rPr>
      </w:pPr>
      <w:r>
        <w:rPr>
          <w:rFonts w:hint="eastAsia" w:ascii="宋体" w:hAnsi="宋体" w:cs="宋体"/>
          <w:b/>
          <w:bCs/>
          <w:color w:val="auto"/>
          <w:sz w:val="32"/>
          <w:szCs w:val="32"/>
        </w:rPr>
        <w:t>评分对应表</w:t>
      </w:r>
    </w:p>
    <w:p>
      <w:pPr>
        <w:snapToGrid w:val="0"/>
        <w:spacing w:before="50"/>
        <w:jc w:val="center"/>
        <w:rPr>
          <w:rFonts w:ascii="宋体"/>
          <w:b/>
          <w:bCs/>
          <w:color w:val="auto"/>
          <w:sz w:val="32"/>
          <w:szCs w:val="32"/>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对应评分办法及评分标准</w:t>
            </w:r>
          </w:p>
          <w:p>
            <w:pPr>
              <w:jc w:val="center"/>
              <w:rPr>
                <w:rFonts w:ascii="宋体"/>
                <w:color w:val="auto"/>
                <w:sz w:val="24"/>
                <w:szCs w:val="24"/>
              </w:rPr>
            </w:pPr>
            <w:r>
              <w:rPr>
                <w:rFonts w:hint="eastAsia" w:ascii="宋体" w:hAnsi="宋体" w:cs="宋体"/>
                <w:color w:val="auto"/>
                <w:sz w:val="24"/>
                <w:szCs w:val="24"/>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rPr>
            </w:pPr>
          </w:p>
        </w:tc>
      </w:tr>
    </w:tbl>
    <w:p>
      <w:pPr>
        <w:spacing w:line="360" w:lineRule="auto"/>
        <w:ind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rPr>
          <w:color w:val="auto"/>
          <w:lang w:val="zh-CN"/>
        </w:rPr>
      </w:pPr>
    </w:p>
    <w:p>
      <w:pPr>
        <w:rPr>
          <w:b/>
          <w:bCs/>
          <w:color w:val="auto"/>
          <w:sz w:val="24"/>
          <w:szCs w:val="24"/>
          <w:lang w:val="zh-CN"/>
        </w:rPr>
      </w:pPr>
      <w:r>
        <w:rPr>
          <w:rFonts w:hint="eastAsia" w:cs="宋体"/>
          <w:b/>
          <w:bCs/>
          <w:color w:val="auto"/>
          <w:sz w:val="24"/>
          <w:szCs w:val="24"/>
          <w:lang w:val="zh-CN"/>
        </w:rPr>
        <w:t>附件</w:t>
      </w:r>
      <w:r>
        <w:rPr>
          <w:rFonts w:hint="eastAsia" w:cs="宋体"/>
          <w:b/>
          <w:bCs/>
          <w:color w:val="auto"/>
          <w:sz w:val="24"/>
          <w:szCs w:val="24"/>
        </w:rPr>
        <w:t>四：</w:t>
      </w:r>
    </w:p>
    <w:p>
      <w:pPr>
        <w:spacing w:line="360" w:lineRule="auto"/>
        <w:jc w:val="center"/>
        <w:rPr>
          <w:rFonts w:ascii="宋体"/>
          <w:b/>
          <w:bCs/>
          <w:color w:val="auto"/>
          <w:sz w:val="32"/>
          <w:szCs w:val="32"/>
        </w:rPr>
      </w:pPr>
      <w:r>
        <w:rPr>
          <w:rFonts w:hint="eastAsia" w:ascii="宋体" w:hAnsi="宋体" w:cs="宋体"/>
          <w:b/>
          <w:bCs/>
          <w:color w:val="auto"/>
          <w:sz w:val="32"/>
          <w:szCs w:val="32"/>
        </w:rPr>
        <w:t>供应商商务技术文件中资信分自评表</w:t>
      </w:r>
      <w:bookmarkEnd w:id="84"/>
    </w:p>
    <w:p>
      <w:pPr>
        <w:snapToGrid w:val="0"/>
        <w:spacing w:before="50"/>
        <w:jc w:val="center"/>
        <w:rPr>
          <w:rFonts w:ascii="宋体"/>
          <w:b/>
          <w:bCs/>
          <w:color w:val="auto"/>
          <w:sz w:val="32"/>
          <w:szCs w:val="32"/>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hint="eastAsia" w:ascii="宋体" w:hAnsi="宋体" w:cs="宋体"/>
                <w:color w:val="auto"/>
                <w:sz w:val="24"/>
                <w:szCs w:val="24"/>
              </w:rPr>
              <w:t>序号</w:t>
            </w:r>
          </w:p>
        </w:tc>
        <w:tc>
          <w:tcPr>
            <w:tcW w:w="2387" w:type="dxa"/>
            <w:vAlign w:val="center"/>
          </w:tcPr>
          <w:p>
            <w:pPr>
              <w:jc w:val="center"/>
              <w:rPr>
                <w:rFonts w:ascii="宋体"/>
                <w:color w:val="auto"/>
                <w:sz w:val="24"/>
                <w:szCs w:val="24"/>
              </w:rPr>
            </w:pPr>
            <w:r>
              <w:rPr>
                <w:rFonts w:hint="eastAsia" w:ascii="宋体" w:hAnsi="宋体" w:cs="宋体"/>
                <w:color w:val="auto"/>
                <w:sz w:val="24"/>
                <w:szCs w:val="24"/>
              </w:rPr>
              <w:t>资信分内容</w:t>
            </w:r>
          </w:p>
        </w:tc>
        <w:tc>
          <w:tcPr>
            <w:tcW w:w="1462" w:type="dxa"/>
            <w:vAlign w:val="center"/>
          </w:tcPr>
          <w:p>
            <w:pPr>
              <w:jc w:val="center"/>
              <w:rPr>
                <w:rFonts w:ascii="宋体"/>
                <w:color w:val="auto"/>
                <w:sz w:val="24"/>
                <w:szCs w:val="24"/>
              </w:rPr>
            </w:pPr>
            <w:r>
              <w:rPr>
                <w:rFonts w:hint="eastAsia" w:ascii="宋体" w:hAnsi="宋体" w:cs="宋体"/>
                <w:color w:val="auto"/>
                <w:sz w:val="24"/>
                <w:szCs w:val="24"/>
              </w:rPr>
              <w:t>自评得分</w:t>
            </w:r>
          </w:p>
        </w:tc>
        <w:tc>
          <w:tcPr>
            <w:tcW w:w="2415" w:type="dxa"/>
            <w:tcBorders>
              <w:righ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响应文件对应资料</w:t>
            </w:r>
          </w:p>
        </w:tc>
        <w:tc>
          <w:tcPr>
            <w:tcW w:w="1746" w:type="dxa"/>
            <w:tcBorders>
              <w:left w:val="single" w:color="auto" w:sz="4" w:space="0"/>
            </w:tcBorders>
            <w:vAlign w:val="center"/>
          </w:tcPr>
          <w:p>
            <w:pPr>
              <w:jc w:val="center"/>
              <w:rPr>
                <w:rFonts w:ascii="宋体"/>
                <w:color w:val="auto"/>
                <w:sz w:val="24"/>
                <w:szCs w:val="24"/>
              </w:rPr>
            </w:pPr>
            <w:r>
              <w:rPr>
                <w:rFonts w:hint="eastAsia" w:ascii="宋体" w:hAnsi="宋体" w:cs="宋体"/>
                <w:color w:val="auto"/>
                <w:sz w:val="24"/>
                <w:szCs w:val="24"/>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1</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2</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3</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4</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5</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6</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7</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ascii="宋体" w:hAnsi="宋体" w:cs="宋体"/>
                <w:color w:val="auto"/>
                <w:sz w:val="24"/>
                <w:szCs w:val="24"/>
              </w:rPr>
              <w:t>8</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rPr>
            </w:pPr>
            <w:r>
              <w:rPr>
                <w:rFonts w:hint="eastAsia" w:ascii="宋体" w:hAnsi="宋体" w:cs="宋体"/>
                <w:color w:val="auto"/>
                <w:sz w:val="24"/>
                <w:szCs w:val="24"/>
              </w:rPr>
              <w:t>合计</w:t>
            </w:r>
          </w:p>
        </w:tc>
        <w:tc>
          <w:tcPr>
            <w:tcW w:w="2387" w:type="dxa"/>
          </w:tcPr>
          <w:p>
            <w:pPr>
              <w:jc w:val="center"/>
              <w:rPr>
                <w:rFonts w:ascii="宋体"/>
                <w:color w:val="auto"/>
                <w:sz w:val="24"/>
                <w:szCs w:val="24"/>
              </w:rPr>
            </w:pPr>
          </w:p>
        </w:tc>
        <w:tc>
          <w:tcPr>
            <w:tcW w:w="1462" w:type="dxa"/>
          </w:tcPr>
          <w:p>
            <w:pPr>
              <w:jc w:val="center"/>
              <w:rPr>
                <w:rFonts w:ascii="宋体"/>
                <w:color w:val="auto"/>
                <w:sz w:val="24"/>
                <w:szCs w:val="24"/>
              </w:rPr>
            </w:pPr>
          </w:p>
        </w:tc>
        <w:tc>
          <w:tcPr>
            <w:tcW w:w="2415" w:type="dxa"/>
            <w:tcBorders>
              <w:right w:val="single" w:color="auto" w:sz="4" w:space="0"/>
            </w:tcBorders>
          </w:tcPr>
          <w:p>
            <w:pPr>
              <w:jc w:val="center"/>
              <w:rPr>
                <w:rFonts w:ascii="宋体"/>
                <w:color w:val="auto"/>
                <w:sz w:val="24"/>
                <w:szCs w:val="24"/>
              </w:rPr>
            </w:pPr>
          </w:p>
        </w:tc>
        <w:tc>
          <w:tcPr>
            <w:tcW w:w="1746" w:type="dxa"/>
            <w:tcBorders>
              <w:left w:val="single" w:color="auto" w:sz="4" w:space="0"/>
            </w:tcBorders>
          </w:tcPr>
          <w:p>
            <w:pPr>
              <w:jc w:val="center"/>
              <w:rPr>
                <w:rFonts w:ascii="宋体"/>
                <w:color w:val="auto"/>
                <w:sz w:val="24"/>
                <w:szCs w:val="24"/>
              </w:rPr>
            </w:pPr>
          </w:p>
        </w:tc>
      </w:tr>
    </w:tbl>
    <w:p>
      <w:pPr>
        <w:spacing w:line="360" w:lineRule="auto"/>
        <w:ind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napToGrid w:val="0"/>
        <w:spacing w:before="50" w:afterLines="50"/>
        <w:jc w:val="left"/>
        <w:rPr>
          <w:rFonts w:ascii="宋体"/>
          <w:b/>
          <w:bCs/>
          <w:color w:val="auto"/>
          <w:sz w:val="24"/>
          <w:szCs w:val="24"/>
          <w:lang w:val="zh-CN"/>
        </w:rPr>
      </w:pPr>
      <w:r>
        <w:rPr>
          <w:rFonts w:ascii="宋体"/>
          <w:b/>
          <w:bCs/>
          <w:color w:val="auto"/>
          <w:sz w:val="30"/>
          <w:szCs w:val="30"/>
        </w:rPr>
        <w:br w:type="page"/>
      </w:r>
      <w:r>
        <w:rPr>
          <w:rFonts w:hint="eastAsia" w:ascii="宋体" w:hAnsi="宋体" w:cs="宋体"/>
          <w:b/>
          <w:bCs/>
          <w:color w:val="auto"/>
          <w:sz w:val="24"/>
          <w:szCs w:val="24"/>
          <w:lang w:val="zh-CN"/>
        </w:rPr>
        <w:t>附件五：</w:t>
      </w:r>
    </w:p>
    <w:p>
      <w:pPr>
        <w:spacing w:line="360" w:lineRule="auto"/>
        <w:jc w:val="center"/>
        <w:rPr>
          <w:rFonts w:ascii="宋体"/>
          <w:b/>
          <w:bCs/>
          <w:color w:val="auto"/>
          <w:sz w:val="32"/>
          <w:szCs w:val="32"/>
        </w:rPr>
      </w:pPr>
      <w:r>
        <w:rPr>
          <w:rFonts w:hint="eastAsia" w:ascii="宋体" w:hAnsi="宋体" w:cs="宋体"/>
          <w:b/>
          <w:bCs/>
          <w:color w:val="auto"/>
          <w:sz w:val="32"/>
          <w:szCs w:val="32"/>
        </w:rPr>
        <w:t>投标项目明细清单</w:t>
      </w:r>
    </w:p>
    <w:p>
      <w:pPr>
        <w:spacing w:line="360" w:lineRule="auto"/>
        <w:ind w:firstLine="480" w:firstLineChars="200"/>
        <w:rPr>
          <w:rFonts w:ascii="宋体"/>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bl>
    <w:p>
      <w:pPr>
        <w:snapToGrid w:val="0"/>
        <w:spacing w:beforeLines="50" w:line="360" w:lineRule="auto"/>
        <w:ind w:firstLine="480" w:firstLineChars="200"/>
        <w:rPr>
          <w:rFonts w:ascii="宋体"/>
          <w:color w:val="auto"/>
          <w:sz w:val="24"/>
          <w:szCs w:val="24"/>
        </w:rPr>
      </w:pPr>
      <w:r>
        <w:rPr>
          <w:rFonts w:hint="eastAsia" w:ascii="宋体" w:hAnsi="宋体" w:cs="宋体"/>
          <w:color w:val="auto"/>
          <w:sz w:val="24"/>
          <w:szCs w:val="24"/>
        </w:rPr>
        <w:t>注：在填写时，如上表不适合本项目的实际情况，可在确保投标明细内容完整的情况下，根据上表格式自行划表填写。</w:t>
      </w:r>
    </w:p>
    <w:p>
      <w:pPr>
        <w:pStyle w:val="10"/>
        <w:rPr>
          <w:rFonts w:cs="Times New Roman"/>
          <w:color w:val="auto"/>
        </w:rPr>
      </w:pPr>
    </w:p>
    <w:p>
      <w:pPr>
        <w:pStyle w:val="10"/>
        <w:rPr>
          <w:rFonts w:cs="Times New Roman"/>
          <w:color w:val="auto"/>
        </w:rPr>
      </w:pPr>
    </w:p>
    <w:p>
      <w:pPr>
        <w:pStyle w:val="10"/>
        <w:rPr>
          <w:rFonts w:cs="Times New Roman"/>
          <w:color w:val="auto"/>
        </w:rPr>
      </w:pPr>
    </w:p>
    <w:p>
      <w:pPr>
        <w:snapToGrid w:val="0"/>
        <w:spacing w:beforeLines="50"/>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napToGrid w:val="0"/>
        <w:spacing w:before="50" w:after="50"/>
        <w:rPr>
          <w:rFonts w:ascii="宋体"/>
          <w:color w:val="auto"/>
          <w:spacing w:val="20"/>
          <w:sz w:val="24"/>
          <w:szCs w:val="24"/>
        </w:rPr>
      </w:pPr>
    </w:p>
    <w:p>
      <w:pPr>
        <w:snapToGrid w:val="0"/>
        <w:spacing w:before="50" w:after="50"/>
        <w:rPr>
          <w:rFonts w:ascii="宋体"/>
          <w:color w:val="auto"/>
          <w:spacing w:val="20"/>
          <w:sz w:val="30"/>
          <w:szCs w:val="30"/>
        </w:rPr>
      </w:pPr>
    </w:p>
    <w:p>
      <w:pPr>
        <w:pStyle w:val="10"/>
        <w:ind w:firstLine="686"/>
        <w:rPr>
          <w:rFonts w:cs="Times New Roman"/>
          <w:color w:val="auto"/>
          <w:spacing w:val="20"/>
          <w:sz w:val="30"/>
          <w:szCs w:val="30"/>
        </w:rPr>
      </w:pPr>
    </w:p>
    <w:p>
      <w:pPr>
        <w:pStyle w:val="10"/>
        <w:ind w:firstLine="686"/>
        <w:rPr>
          <w:rFonts w:cs="Times New Roman"/>
          <w:color w:val="auto"/>
          <w:spacing w:val="20"/>
          <w:sz w:val="30"/>
          <w:szCs w:val="30"/>
        </w:rPr>
        <w:sectPr>
          <w:pgSz w:w="11906" w:h="16838"/>
          <w:pgMar w:top="1440" w:right="1800" w:bottom="1440" w:left="1800" w:header="851" w:footer="992" w:gutter="0"/>
          <w:cols w:space="425" w:num="1"/>
          <w:docGrid w:type="lines" w:linePitch="312" w:charSpace="0"/>
        </w:sectPr>
      </w:pPr>
    </w:p>
    <w:p>
      <w:pPr>
        <w:rPr>
          <w:b/>
          <w:bCs/>
          <w:color w:val="auto"/>
          <w:sz w:val="24"/>
          <w:szCs w:val="24"/>
        </w:rPr>
      </w:pPr>
      <w:bookmarkStart w:id="85" w:name="_Toc2823"/>
      <w:r>
        <w:rPr>
          <w:rFonts w:hint="eastAsia" w:cs="宋体"/>
          <w:b/>
          <w:bCs/>
          <w:color w:val="auto"/>
          <w:sz w:val="24"/>
          <w:szCs w:val="24"/>
        </w:rPr>
        <w:t>附件六：</w:t>
      </w:r>
    </w:p>
    <w:p>
      <w:pPr>
        <w:spacing w:line="360" w:lineRule="auto"/>
        <w:jc w:val="center"/>
        <w:rPr>
          <w:rFonts w:ascii="宋体"/>
          <w:b/>
          <w:bCs/>
          <w:color w:val="auto"/>
          <w:sz w:val="32"/>
          <w:szCs w:val="32"/>
        </w:rPr>
      </w:pPr>
      <w:r>
        <w:rPr>
          <w:rFonts w:hint="eastAsia" w:ascii="宋体" w:hAnsi="宋体" w:cs="宋体"/>
          <w:b/>
          <w:bCs/>
          <w:color w:val="auto"/>
          <w:sz w:val="32"/>
          <w:szCs w:val="32"/>
        </w:rPr>
        <w:t>技术响应及建议表</w:t>
      </w:r>
      <w:bookmarkEnd w:id="85"/>
    </w:p>
    <w:p>
      <w:pPr>
        <w:spacing w:line="360" w:lineRule="auto"/>
        <w:ind w:firstLine="480" w:firstLineChars="200"/>
        <w:rPr>
          <w:rFonts w:ascii="宋体"/>
          <w:color w:val="auto"/>
          <w:sz w:val="24"/>
          <w:szCs w:val="24"/>
        </w:rPr>
      </w:pPr>
      <w:r>
        <w:rPr>
          <w:rFonts w:ascii="宋体" w:hAnsi="宋体" w:cs="宋体"/>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序号</w:t>
            </w:r>
          </w:p>
        </w:tc>
        <w:tc>
          <w:tcPr>
            <w:tcW w:w="1440" w:type="dxa"/>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名称</w:t>
            </w:r>
          </w:p>
        </w:tc>
        <w:tc>
          <w:tcPr>
            <w:tcW w:w="1980" w:type="dxa"/>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磋商文件要求</w:t>
            </w:r>
          </w:p>
        </w:tc>
        <w:tc>
          <w:tcPr>
            <w:tcW w:w="2520" w:type="dxa"/>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响应文件响应</w:t>
            </w:r>
          </w:p>
        </w:tc>
        <w:tc>
          <w:tcPr>
            <w:tcW w:w="1953" w:type="dxa"/>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p>
        </w:tc>
        <w:tc>
          <w:tcPr>
            <w:tcW w:w="1440" w:type="dxa"/>
            <w:vAlign w:val="center"/>
          </w:tcPr>
          <w:p>
            <w:pPr>
              <w:snapToGrid w:val="0"/>
              <w:spacing w:before="50" w:after="50"/>
              <w:jc w:val="center"/>
              <w:rPr>
                <w:rFonts w:ascii="宋体"/>
                <w:color w:val="auto"/>
                <w:sz w:val="24"/>
                <w:szCs w:val="24"/>
              </w:rPr>
            </w:pPr>
          </w:p>
        </w:tc>
        <w:tc>
          <w:tcPr>
            <w:tcW w:w="1980" w:type="dxa"/>
            <w:vAlign w:val="center"/>
          </w:tcPr>
          <w:p>
            <w:pPr>
              <w:snapToGrid w:val="0"/>
              <w:spacing w:before="50" w:after="50"/>
              <w:jc w:val="center"/>
              <w:rPr>
                <w:rFonts w:ascii="宋体"/>
                <w:color w:val="auto"/>
                <w:sz w:val="24"/>
                <w:szCs w:val="24"/>
              </w:rPr>
            </w:pPr>
          </w:p>
        </w:tc>
        <w:tc>
          <w:tcPr>
            <w:tcW w:w="2520" w:type="dxa"/>
            <w:vAlign w:val="center"/>
          </w:tcPr>
          <w:p>
            <w:pPr>
              <w:snapToGrid w:val="0"/>
              <w:spacing w:before="50" w:after="50"/>
              <w:jc w:val="center"/>
              <w:rPr>
                <w:rFonts w:ascii="宋体"/>
                <w:color w:val="auto"/>
                <w:sz w:val="24"/>
                <w:szCs w:val="24"/>
              </w:rPr>
            </w:pPr>
          </w:p>
        </w:tc>
        <w:tc>
          <w:tcPr>
            <w:tcW w:w="1953" w:type="dxa"/>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p>
        </w:tc>
        <w:tc>
          <w:tcPr>
            <w:tcW w:w="1440" w:type="dxa"/>
            <w:vAlign w:val="center"/>
          </w:tcPr>
          <w:p>
            <w:pPr>
              <w:snapToGrid w:val="0"/>
              <w:spacing w:before="50" w:after="50"/>
              <w:jc w:val="center"/>
              <w:rPr>
                <w:rFonts w:ascii="宋体"/>
                <w:color w:val="auto"/>
                <w:sz w:val="24"/>
                <w:szCs w:val="24"/>
              </w:rPr>
            </w:pPr>
          </w:p>
        </w:tc>
        <w:tc>
          <w:tcPr>
            <w:tcW w:w="1980" w:type="dxa"/>
            <w:vAlign w:val="center"/>
          </w:tcPr>
          <w:p>
            <w:pPr>
              <w:snapToGrid w:val="0"/>
              <w:spacing w:before="50" w:after="50"/>
              <w:jc w:val="center"/>
              <w:rPr>
                <w:rFonts w:ascii="宋体"/>
                <w:color w:val="auto"/>
                <w:sz w:val="24"/>
                <w:szCs w:val="24"/>
              </w:rPr>
            </w:pPr>
          </w:p>
        </w:tc>
        <w:tc>
          <w:tcPr>
            <w:tcW w:w="2520" w:type="dxa"/>
            <w:vAlign w:val="center"/>
          </w:tcPr>
          <w:p>
            <w:pPr>
              <w:snapToGrid w:val="0"/>
              <w:spacing w:before="50" w:after="50"/>
              <w:jc w:val="center"/>
              <w:rPr>
                <w:rFonts w:ascii="宋体"/>
                <w:color w:val="auto"/>
                <w:sz w:val="24"/>
                <w:szCs w:val="24"/>
              </w:rPr>
            </w:pPr>
          </w:p>
        </w:tc>
        <w:tc>
          <w:tcPr>
            <w:tcW w:w="1953" w:type="dxa"/>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p>
        </w:tc>
        <w:tc>
          <w:tcPr>
            <w:tcW w:w="1440" w:type="dxa"/>
            <w:vAlign w:val="center"/>
          </w:tcPr>
          <w:p>
            <w:pPr>
              <w:snapToGrid w:val="0"/>
              <w:spacing w:before="50" w:after="50"/>
              <w:jc w:val="center"/>
              <w:rPr>
                <w:rFonts w:ascii="宋体"/>
                <w:color w:val="auto"/>
                <w:sz w:val="24"/>
                <w:szCs w:val="24"/>
              </w:rPr>
            </w:pPr>
          </w:p>
        </w:tc>
        <w:tc>
          <w:tcPr>
            <w:tcW w:w="1980" w:type="dxa"/>
            <w:vAlign w:val="center"/>
          </w:tcPr>
          <w:p>
            <w:pPr>
              <w:snapToGrid w:val="0"/>
              <w:spacing w:before="50" w:after="50"/>
              <w:jc w:val="center"/>
              <w:rPr>
                <w:rFonts w:ascii="宋体"/>
                <w:color w:val="auto"/>
                <w:sz w:val="24"/>
                <w:szCs w:val="24"/>
              </w:rPr>
            </w:pPr>
          </w:p>
        </w:tc>
        <w:tc>
          <w:tcPr>
            <w:tcW w:w="2520" w:type="dxa"/>
            <w:vAlign w:val="center"/>
          </w:tcPr>
          <w:p>
            <w:pPr>
              <w:snapToGrid w:val="0"/>
              <w:spacing w:before="50" w:after="50"/>
              <w:jc w:val="center"/>
              <w:rPr>
                <w:rFonts w:ascii="宋体"/>
                <w:color w:val="auto"/>
                <w:sz w:val="24"/>
                <w:szCs w:val="24"/>
              </w:rPr>
            </w:pPr>
          </w:p>
        </w:tc>
        <w:tc>
          <w:tcPr>
            <w:tcW w:w="1953" w:type="dxa"/>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p>
        </w:tc>
        <w:tc>
          <w:tcPr>
            <w:tcW w:w="1440" w:type="dxa"/>
            <w:vAlign w:val="center"/>
          </w:tcPr>
          <w:p>
            <w:pPr>
              <w:snapToGrid w:val="0"/>
              <w:spacing w:before="50" w:after="50"/>
              <w:jc w:val="center"/>
              <w:rPr>
                <w:rFonts w:ascii="宋体"/>
                <w:color w:val="auto"/>
                <w:sz w:val="24"/>
                <w:szCs w:val="24"/>
              </w:rPr>
            </w:pPr>
          </w:p>
        </w:tc>
        <w:tc>
          <w:tcPr>
            <w:tcW w:w="1980" w:type="dxa"/>
            <w:vAlign w:val="center"/>
          </w:tcPr>
          <w:p>
            <w:pPr>
              <w:snapToGrid w:val="0"/>
              <w:spacing w:before="50" w:after="50"/>
              <w:jc w:val="center"/>
              <w:rPr>
                <w:rFonts w:ascii="宋体"/>
                <w:color w:val="auto"/>
                <w:sz w:val="24"/>
                <w:szCs w:val="24"/>
              </w:rPr>
            </w:pPr>
          </w:p>
        </w:tc>
        <w:tc>
          <w:tcPr>
            <w:tcW w:w="2520" w:type="dxa"/>
            <w:vAlign w:val="center"/>
          </w:tcPr>
          <w:p>
            <w:pPr>
              <w:snapToGrid w:val="0"/>
              <w:spacing w:before="50" w:after="50"/>
              <w:jc w:val="center"/>
              <w:rPr>
                <w:rFonts w:ascii="宋体"/>
                <w:color w:val="auto"/>
                <w:sz w:val="24"/>
                <w:szCs w:val="24"/>
              </w:rPr>
            </w:pPr>
          </w:p>
        </w:tc>
        <w:tc>
          <w:tcPr>
            <w:tcW w:w="1953" w:type="dxa"/>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rPr>
            </w:pPr>
          </w:p>
        </w:tc>
        <w:tc>
          <w:tcPr>
            <w:tcW w:w="1440" w:type="dxa"/>
            <w:vAlign w:val="center"/>
          </w:tcPr>
          <w:p>
            <w:pPr>
              <w:snapToGrid w:val="0"/>
              <w:spacing w:before="50" w:after="50"/>
              <w:jc w:val="center"/>
              <w:rPr>
                <w:rFonts w:ascii="宋体"/>
                <w:color w:val="auto"/>
                <w:sz w:val="24"/>
                <w:szCs w:val="24"/>
              </w:rPr>
            </w:pPr>
          </w:p>
        </w:tc>
        <w:tc>
          <w:tcPr>
            <w:tcW w:w="1980" w:type="dxa"/>
            <w:vAlign w:val="center"/>
          </w:tcPr>
          <w:p>
            <w:pPr>
              <w:snapToGrid w:val="0"/>
              <w:spacing w:before="50" w:after="50"/>
              <w:jc w:val="center"/>
              <w:rPr>
                <w:rFonts w:ascii="宋体"/>
                <w:color w:val="auto"/>
                <w:sz w:val="24"/>
                <w:szCs w:val="24"/>
              </w:rPr>
            </w:pPr>
          </w:p>
        </w:tc>
        <w:tc>
          <w:tcPr>
            <w:tcW w:w="2520" w:type="dxa"/>
            <w:vAlign w:val="center"/>
          </w:tcPr>
          <w:p>
            <w:pPr>
              <w:snapToGrid w:val="0"/>
              <w:spacing w:before="50" w:after="50"/>
              <w:jc w:val="center"/>
              <w:rPr>
                <w:rFonts w:ascii="宋体"/>
                <w:color w:val="auto"/>
                <w:sz w:val="24"/>
                <w:szCs w:val="24"/>
              </w:rPr>
            </w:pPr>
          </w:p>
        </w:tc>
        <w:tc>
          <w:tcPr>
            <w:tcW w:w="1953" w:type="dxa"/>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投标建议</w:t>
            </w:r>
          </w:p>
        </w:tc>
        <w:tc>
          <w:tcPr>
            <w:tcW w:w="6453" w:type="dxa"/>
            <w:gridSpan w:val="3"/>
            <w:vAlign w:val="center"/>
          </w:tcPr>
          <w:p>
            <w:pPr>
              <w:spacing w:line="360" w:lineRule="auto"/>
              <w:jc w:val="center"/>
              <w:rPr>
                <w:rFonts w:ascii="宋体"/>
                <w:color w:val="auto"/>
                <w:sz w:val="24"/>
                <w:szCs w:val="24"/>
              </w:rPr>
            </w:pPr>
          </w:p>
        </w:tc>
      </w:tr>
    </w:tbl>
    <w:p>
      <w:pPr>
        <w:snapToGrid w:val="0"/>
        <w:spacing w:line="360" w:lineRule="auto"/>
        <w:rPr>
          <w:rFonts w:ascii="宋体"/>
          <w:color w:val="auto"/>
          <w:sz w:val="24"/>
          <w:szCs w:val="24"/>
        </w:rPr>
      </w:pPr>
    </w:p>
    <w:p>
      <w:pPr>
        <w:pStyle w:val="12"/>
        <w:spacing w:line="360" w:lineRule="auto"/>
        <w:rPr>
          <w:rFonts w:hAnsi="宋体" w:cs="Times New Roman"/>
          <w:color w:val="auto"/>
          <w:sz w:val="24"/>
          <w:szCs w:val="24"/>
        </w:rPr>
      </w:pPr>
      <w:r>
        <w:rPr>
          <w:rFonts w:hint="eastAsia" w:hAnsi="宋体"/>
          <w:color w:val="auto"/>
          <w:sz w:val="24"/>
          <w:szCs w:val="24"/>
        </w:rPr>
        <w:t>注：名称可基于项目清单根据供应商实际情况调整。</w:t>
      </w:r>
    </w:p>
    <w:p>
      <w:pPr>
        <w:rPr>
          <w:rFonts w:ascii="宋体"/>
          <w:color w:val="auto"/>
          <w:sz w:val="24"/>
          <w:szCs w:val="24"/>
        </w:rPr>
      </w:pPr>
    </w:p>
    <w:p>
      <w:pPr>
        <w:pStyle w:val="10"/>
        <w:rPr>
          <w:rFonts w:cs="Times New Roman"/>
          <w:color w:val="auto"/>
        </w:rPr>
      </w:pPr>
    </w:p>
    <w:p>
      <w:pPr>
        <w:snapToGrid w:val="0"/>
        <w:spacing w:line="360" w:lineRule="auto"/>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rPr>
          <w:color w:val="auto"/>
          <w:sz w:val="24"/>
          <w:szCs w:val="24"/>
        </w:rPr>
      </w:pPr>
      <w:r>
        <w:rPr>
          <w:color w:val="auto"/>
          <w:sz w:val="24"/>
          <w:szCs w:val="24"/>
        </w:rPr>
        <w:br w:type="page"/>
      </w:r>
    </w:p>
    <w:p>
      <w:pPr>
        <w:rPr>
          <w:b/>
          <w:bCs/>
          <w:color w:val="auto"/>
          <w:sz w:val="24"/>
          <w:szCs w:val="24"/>
        </w:rPr>
      </w:pPr>
      <w:r>
        <w:rPr>
          <w:rFonts w:hint="eastAsia" w:cs="宋体"/>
          <w:b/>
          <w:bCs/>
          <w:color w:val="auto"/>
          <w:sz w:val="24"/>
          <w:szCs w:val="24"/>
        </w:rPr>
        <w:t>附件七：</w:t>
      </w:r>
    </w:p>
    <w:p>
      <w:pPr>
        <w:spacing w:line="360" w:lineRule="auto"/>
        <w:jc w:val="center"/>
        <w:rPr>
          <w:rFonts w:ascii="宋体"/>
          <w:b/>
          <w:bCs/>
          <w:color w:val="auto"/>
          <w:sz w:val="32"/>
          <w:szCs w:val="32"/>
        </w:rPr>
      </w:pPr>
      <w:r>
        <w:rPr>
          <w:rFonts w:hint="eastAsia" w:ascii="宋体" w:hAnsi="宋体" w:cs="宋体"/>
          <w:b/>
          <w:bCs/>
          <w:color w:val="auto"/>
          <w:sz w:val="32"/>
          <w:szCs w:val="32"/>
        </w:rPr>
        <w:t>商务响应表</w:t>
      </w:r>
    </w:p>
    <w:p>
      <w:pPr>
        <w:snapToGrid w:val="0"/>
        <w:spacing w:before="50"/>
        <w:jc w:val="center"/>
        <w:rPr>
          <w:rFonts w:ascii="宋体"/>
          <w:b/>
          <w:bCs/>
          <w:color w:val="auto"/>
          <w:sz w:val="32"/>
          <w:szCs w:val="32"/>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是否</w:t>
            </w:r>
          </w:p>
          <w:p>
            <w:pPr>
              <w:snapToGrid w:val="0"/>
              <w:spacing w:before="50" w:after="50"/>
              <w:jc w:val="center"/>
              <w:rPr>
                <w:rFonts w:ascii="宋体"/>
                <w:color w:val="auto"/>
                <w:sz w:val="24"/>
                <w:szCs w:val="24"/>
              </w:rPr>
            </w:pPr>
            <w:r>
              <w:rPr>
                <w:rFonts w:hint="eastAsia" w:ascii="宋体" w:hAnsi="宋体" w:cs="宋体"/>
                <w:color w:val="auto"/>
                <w:sz w:val="24"/>
                <w:szCs w:val="24"/>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p>
        </w:tc>
      </w:tr>
    </w:tbl>
    <w:p>
      <w:pPr>
        <w:spacing w:line="360" w:lineRule="auto"/>
        <w:ind w:left="3780" w:leftChars="1800"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napToGrid w:val="0"/>
        <w:spacing w:before="50" w:after="50"/>
        <w:rPr>
          <w:rFonts w:ascii="宋体"/>
          <w:b/>
          <w:bCs/>
          <w:color w:val="auto"/>
          <w:sz w:val="24"/>
          <w:szCs w:val="24"/>
          <w:lang w:val="zh-CN"/>
        </w:rPr>
      </w:pPr>
      <w:r>
        <w:rPr>
          <w:rFonts w:ascii="宋体"/>
          <w:color w:val="auto"/>
          <w:sz w:val="24"/>
          <w:szCs w:val="24"/>
        </w:rPr>
        <w:br w:type="page"/>
      </w:r>
      <w:r>
        <w:rPr>
          <w:rFonts w:hint="eastAsia" w:ascii="宋体" w:hAnsi="宋体" w:cs="宋体"/>
          <w:b/>
          <w:bCs/>
          <w:color w:val="auto"/>
          <w:sz w:val="24"/>
          <w:szCs w:val="24"/>
          <w:lang w:val="zh-CN"/>
        </w:rPr>
        <w:t>附件八：</w:t>
      </w:r>
    </w:p>
    <w:p>
      <w:pPr>
        <w:spacing w:line="360" w:lineRule="auto"/>
        <w:jc w:val="center"/>
        <w:rPr>
          <w:rFonts w:ascii="宋体"/>
          <w:b/>
          <w:bCs/>
          <w:color w:val="auto"/>
          <w:sz w:val="32"/>
          <w:szCs w:val="32"/>
        </w:rPr>
      </w:pPr>
      <w:r>
        <w:rPr>
          <w:rFonts w:hint="eastAsia" w:ascii="宋体" w:hAnsi="宋体" w:cs="宋体"/>
          <w:b/>
          <w:bCs/>
          <w:color w:val="auto"/>
          <w:sz w:val="32"/>
          <w:szCs w:val="32"/>
        </w:rPr>
        <w:t>项目组人员清单</w:t>
      </w:r>
    </w:p>
    <w:p>
      <w:pPr>
        <w:snapToGrid w:val="0"/>
        <w:spacing w:beforeLines="50" w:after="50"/>
        <w:jc w:val="center"/>
        <w:rPr>
          <w:rFonts w:ascii="宋体"/>
          <w:b/>
          <w:bCs/>
          <w:color w:val="auto"/>
          <w:sz w:val="30"/>
          <w:szCs w:val="30"/>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p>
    <w:tbl>
      <w:tblPr>
        <w:tblStyle w:val="22"/>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rPr>
            </w:pPr>
            <w:r>
              <w:rPr>
                <w:rFonts w:hint="eastAsia" w:ascii="宋体" w:hAnsi="宋体" w:cs="宋体"/>
                <w:color w:val="auto"/>
                <w:sz w:val="24"/>
                <w:szCs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pStyle w:val="13"/>
              <w:snapToGrid w:val="0"/>
              <w:spacing w:beforeLines="50" w:after="50" w:line="460" w:lineRule="exact"/>
              <w:ind w:left="5250"/>
              <w:rPr>
                <w:rFonts w:cs="Times New Roman"/>
                <w:color w:val="auto"/>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color w:val="auto"/>
                <w:sz w:val="24"/>
                <w:szCs w:val="24"/>
              </w:rPr>
            </w:pPr>
          </w:p>
        </w:tc>
        <w:tc>
          <w:tcPr>
            <w:tcW w:w="1800" w:type="dxa"/>
            <w:tcBorders>
              <w:top w:val="single" w:color="auto" w:sz="4" w:space="0"/>
              <w:left w:val="single" w:color="auto" w:sz="4" w:space="0"/>
              <w:bottom w:val="single" w:color="auto" w:sz="4" w:space="0"/>
            </w:tcBorders>
          </w:tcPr>
          <w:p>
            <w:pPr>
              <w:snapToGrid w:val="0"/>
              <w:spacing w:beforeLines="50" w:after="50" w:line="460" w:lineRule="exact"/>
              <w:rPr>
                <w:rFonts w:ascii="宋体"/>
                <w:color w:val="auto"/>
                <w:sz w:val="24"/>
                <w:szCs w:val="24"/>
              </w:rPr>
            </w:pPr>
          </w:p>
        </w:tc>
      </w:tr>
    </w:tbl>
    <w:p>
      <w:pPr>
        <w:adjustRightInd w:val="0"/>
        <w:snapToGrid w:val="0"/>
        <w:spacing w:line="360" w:lineRule="auto"/>
        <w:jc w:val="left"/>
        <w:rPr>
          <w:rFonts w:ascii="宋体"/>
          <w:color w:val="auto"/>
          <w:sz w:val="24"/>
          <w:szCs w:val="24"/>
        </w:rPr>
      </w:pPr>
    </w:p>
    <w:p>
      <w:pPr>
        <w:adjustRightInd w:val="0"/>
        <w:snapToGrid w:val="0"/>
        <w:spacing w:line="360" w:lineRule="auto"/>
        <w:ind w:firstLine="480" w:firstLineChars="200"/>
        <w:jc w:val="left"/>
        <w:rPr>
          <w:rFonts w:ascii="宋体"/>
          <w:color w:val="auto"/>
          <w:sz w:val="24"/>
          <w:szCs w:val="24"/>
        </w:rPr>
      </w:pPr>
      <w:r>
        <w:rPr>
          <w:rFonts w:hint="eastAsia" w:ascii="宋体" w:hAnsi="宋体" w:cs="宋体"/>
          <w:color w:val="auto"/>
          <w:sz w:val="24"/>
          <w:szCs w:val="24"/>
        </w:rPr>
        <w:t>注：在填写时，如本表格不适合投标单位的实际情况，可根据本表格式自行划表填写。</w:t>
      </w:r>
      <w:r>
        <w:rPr>
          <w:rFonts w:ascii="宋体" w:hAnsi="宋体" w:cs="宋体"/>
          <w:color w:val="auto"/>
          <w:sz w:val="24"/>
          <w:szCs w:val="24"/>
        </w:rPr>
        <w:t xml:space="preserve"> </w:t>
      </w:r>
    </w:p>
    <w:p>
      <w:pPr>
        <w:snapToGrid w:val="0"/>
        <w:spacing w:before="50" w:afterLines="50" w:line="460" w:lineRule="exact"/>
        <w:jc w:val="left"/>
        <w:rPr>
          <w:rFonts w:ascii="宋体"/>
          <w:color w:val="auto"/>
          <w:sz w:val="24"/>
          <w:szCs w:val="24"/>
        </w:rPr>
      </w:pPr>
    </w:p>
    <w:p>
      <w:pPr>
        <w:pStyle w:val="10"/>
        <w:rPr>
          <w:rFonts w:cs="Times New Roman"/>
          <w:color w:val="auto"/>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pacing w:line="360" w:lineRule="auto"/>
        <w:jc w:val="center"/>
        <w:rPr>
          <w:rFonts w:ascii="宋体"/>
          <w:b/>
          <w:bCs/>
          <w:color w:val="auto"/>
          <w:kern w:val="0"/>
          <w:sz w:val="36"/>
          <w:szCs w:val="36"/>
        </w:rPr>
      </w:pPr>
      <w:r>
        <w:rPr>
          <w:rFonts w:ascii="宋体"/>
          <w:color w:val="auto"/>
          <w:spacing w:val="20"/>
          <w:sz w:val="30"/>
          <w:szCs w:val="30"/>
        </w:rPr>
        <w:br w:type="page"/>
      </w:r>
      <w:r>
        <w:rPr>
          <w:rFonts w:hint="eastAsia" w:ascii="宋体" w:hAnsi="宋体" w:cs="宋体"/>
          <w:b/>
          <w:bCs/>
          <w:color w:val="auto"/>
          <w:kern w:val="0"/>
          <w:sz w:val="36"/>
          <w:szCs w:val="36"/>
        </w:rPr>
        <w:t>报价文件</w:t>
      </w:r>
    </w:p>
    <w:p>
      <w:pPr>
        <w:spacing w:line="360" w:lineRule="auto"/>
        <w:jc w:val="center"/>
        <w:rPr>
          <w:rFonts w:ascii="宋体"/>
          <w:b/>
          <w:bCs/>
          <w:color w:val="auto"/>
          <w:kern w:val="0"/>
          <w:sz w:val="36"/>
          <w:szCs w:val="36"/>
        </w:rPr>
      </w:pPr>
    </w:p>
    <w:p>
      <w:pPr>
        <w:spacing w:line="360" w:lineRule="auto"/>
        <w:jc w:val="center"/>
        <w:rPr>
          <w:rFonts w:ascii="宋体"/>
          <w:b/>
          <w:bCs/>
          <w:color w:val="auto"/>
          <w:kern w:val="0"/>
          <w:sz w:val="36"/>
          <w:szCs w:val="36"/>
        </w:rPr>
      </w:pPr>
      <w:r>
        <w:rPr>
          <w:rFonts w:hint="eastAsia" w:ascii="宋体" w:hAnsi="宋体" w:cs="宋体"/>
          <w:b/>
          <w:bCs/>
          <w:color w:val="auto"/>
          <w:kern w:val="0"/>
          <w:sz w:val="36"/>
          <w:szCs w:val="36"/>
        </w:rPr>
        <w:t>目录</w:t>
      </w:r>
    </w:p>
    <w:p>
      <w:pPr>
        <w:pStyle w:val="10"/>
        <w:ind w:firstLine="723"/>
        <w:rPr>
          <w:rFonts w:cs="Times New Roman"/>
          <w:b/>
          <w:bCs/>
          <w:color w:val="auto"/>
          <w:kern w:val="0"/>
          <w:sz w:val="36"/>
          <w:szCs w:val="36"/>
        </w:rPr>
      </w:pP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）磋商函（格式见附件）；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）报价一览表（格式见附件）；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）磋商报价明细表（格式见附件）；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）中小企业声明函</w:t>
      </w:r>
      <w:r>
        <w:rPr>
          <w:rFonts w:ascii="宋体" w:hAnsi="宋体" w:cs="宋体"/>
          <w:color w:val="auto"/>
          <w:sz w:val="24"/>
          <w:szCs w:val="24"/>
        </w:rPr>
        <w:t>(</w:t>
      </w:r>
      <w:r>
        <w:rPr>
          <w:rFonts w:hint="eastAsia" w:ascii="宋体" w:hAnsi="宋体" w:cs="宋体"/>
          <w:color w:val="auto"/>
          <w:sz w:val="24"/>
          <w:szCs w:val="24"/>
        </w:rPr>
        <w:t>如有</w:t>
      </w:r>
      <w:r>
        <w:rPr>
          <w:rFonts w:ascii="宋体" w:hAnsi="宋体" w:cs="宋体"/>
          <w:color w:val="auto"/>
          <w:sz w:val="24"/>
          <w:szCs w:val="24"/>
        </w:rPr>
        <w:t>)</w:t>
      </w:r>
      <w:r>
        <w:rPr>
          <w:rFonts w:hint="eastAsia" w:ascii="宋体" w:hAnsi="宋体" w:cs="宋体"/>
          <w:color w:val="auto"/>
          <w:sz w:val="24"/>
          <w:szCs w:val="24"/>
        </w:rPr>
        <w:t>（格式见附件）；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）残疾人福利性单位声明函</w:t>
      </w:r>
      <w:r>
        <w:rPr>
          <w:rFonts w:ascii="宋体" w:hAnsi="宋体" w:cs="宋体"/>
          <w:color w:val="auto"/>
          <w:sz w:val="24"/>
          <w:szCs w:val="24"/>
        </w:rPr>
        <w:t>(</w:t>
      </w:r>
      <w:r>
        <w:rPr>
          <w:rFonts w:hint="eastAsia" w:ascii="宋体" w:hAnsi="宋体" w:cs="宋体"/>
          <w:color w:val="auto"/>
          <w:sz w:val="24"/>
          <w:szCs w:val="24"/>
        </w:rPr>
        <w:t>如有</w:t>
      </w:r>
      <w:r>
        <w:rPr>
          <w:rFonts w:ascii="宋体" w:hAnsi="宋体" w:cs="宋体"/>
          <w:color w:val="auto"/>
          <w:sz w:val="24"/>
          <w:szCs w:val="24"/>
        </w:rPr>
        <w:t>)</w:t>
      </w:r>
      <w:r>
        <w:rPr>
          <w:rFonts w:hint="eastAsia" w:ascii="宋体" w:hAnsi="宋体" w:cs="宋体"/>
          <w:color w:val="auto"/>
          <w:sz w:val="24"/>
          <w:szCs w:val="24"/>
        </w:rPr>
        <w:t>（格式见附件）；</w:t>
      </w:r>
    </w:p>
    <w:p>
      <w:pPr>
        <w:spacing w:line="360" w:lineRule="auto"/>
        <w:rPr>
          <w:rFonts w:ascii="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）监狱企业证明文件</w:t>
      </w:r>
      <w:r>
        <w:rPr>
          <w:rFonts w:ascii="宋体" w:hAnsi="宋体" w:cs="宋体"/>
          <w:color w:val="auto"/>
          <w:sz w:val="24"/>
          <w:szCs w:val="24"/>
        </w:rPr>
        <w:t>(</w:t>
      </w:r>
      <w:r>
        <w:rPr>
          <w:rFonts w:hint="eastAsia" w:ascii="宋体" w:hAnsi="宋体" w:cs="宋体"/>
          <w:color w:val="auto"/>
          <w:sz w:val="24"/>
          <w:szCs w:val="24"/>
        </w:rPr>
        <w:t>如有</w:t>
      </w:r>
      <w:r>
        <w:rPr>
          <w:rFonts w:ascii="宋体" w:hAnsi="宋体" w:cs="宋体"/>
          <w:color w:val="auto"/>
          <w:sz w:val="24"/>
          <w:szCs w:val="24"/>
        </w:rPr>
        <w:t>)</w:t>
      </w:r>
      <w:r>
        <w:rPr>
          <w:rFonts w:hint="eastAsia" w:ascii="宋体" w:hAnsi="宋体" w:cs="宋体"/>
          <w:color w:val="auto"/>
          <w:sz w:val="24"/>
          <w:szCs w:val="24"/>
        </w:rPr>
        <w:t>（格式见附件）。</w:t>
      </w:r>
    </w:p>
    <w:p>
      <w:pPr>
        <w:rPr>
          <w:rFonts w:ascii="宋体"/>
          <w:color w:val="auto"/>
        </w:rPr>
      </w:pPr>
    </w:p>
    <w:p>
      <w:pPr>
        <w:rPr>
          <w:rFonts w:hint="eastAsia" w:cs="宋体"/>
          <w:b/>
          <w:bCs/>
          <w:color w:val="auto"/>
          <w:sz w:val="24"/>
          <w:szCs w:val="24"/>
          <w:lang w:val="zh-CN"/>
        </w:rPr>
      </w:pPr>
      <w:bookmarkStart w:id="86" w:name="_Toc3094"/>
      <w:r>
        <w:rPr>
          <w:rFonts w:hint="eastAsia" w:cs="宋体"/>
          <w:b/>
          <w:bCs/>
          <w:color w:val="auto"/>
          <w:sz w:val="24"/>
          <w:szCs w:val="24"/>
          <w:lang w:val="zh-CN"/>
        </w:rPr>
        <w:br w:type="page"/>
      </w:r>
    </w:p>
    <w:p>
      <w:pPr>
        <w:rPr>
          <w:rFonts w:ascii="宋体"/>
          <w:b/>
          <w:bCs/>
          <w:color w:val="auto"/>
          <w:lang w:val="zh-CN"/>
        </w:rPr>
      </w:pPr>
      <w:r>
        <w:rPr>
          <w:rFonts w:hint="eastAsia" w:cs="宋体"/>
          <w:b/>
          <w:bCs/>
          <w:color w:val="auto"/>
          <w:sz w:val="24"/>
          <w:szCs w:val="24"/>
          <w:lang w:val="zh-CN"/>
        </w:rPr>
        <w:t>附件</w:t>
      </w:r>
      <w:bookmarkStart w:id="87" w:name="_Toc130094924"/>
      <w:bookmarkStart w:id="88" w:name="_Toc98731770"/>
      <w:r>
        <w:rPr>
          <w:rFonts w:hint="eastAsia" w:cs="宋体"/>
          <w:b/>
          <w:bCs/>
          <w:color w:val="auto"/>
          <w:sz w:val="24"/>
          <w:szCs w:val="24"/>
        </w:rPr>
        <w:t>九：</w:t>
      </w:r>
    </w:p>
    <w:p>
      <w:pPr>
        <w:spacing w:line="360" w:lineRule="auto"/>
        <w:jc w:val="center"/>
        <w:rPr>
          <w:rFonts w:ascii="宋体"/>
          <w:b/>
          <w:bCs/>
          <w:color w:val="auto"/>
          <w:sz w:val="32"/>
          <w:szCs w:val="32"/>
        </w:rPr>
      </w:pPr>
      <w:r>
        <w:rPr>
          <w:rFonts w:hint="eastAsia" w:ascii="宋体" w:hAnsi="宋体" w:cs="宋体"/>
          <w:b/>
          <w:bCs/>
          <w:color w:val="auto"/>
          <w:sz w:val="32"/>
          <w:szCs w:val="32"/>
        </w:rPr>
        <w:t>磋</w:t>
      </w:r>
      <w:r>
        <w:rPr>
          <w:rFonts w:ascii="宋体" w:hAnsi="宋体" w:cs="宋体"/>
          <w:b/>
          <w:bCs/>
          <w:color w:val="auto"/>
          <w:sz w:val="32"/>
          <w:szCs w:val="32"/>
        </w:rPr>
        <w:t xml:space="preserve"> </w:t>
      </w:r>
      <w:r>
        <w:rPr>
          <w:rFonts w:hint="eastAsia" w:ascii="宋体" w:hAnsi="宋体" w:cs="宋体"/>
          <w:b/>
          <w:bCs/>
          <w:color w:val="auto"/>
          <w:sz w:val="32"/>
          <w:szCs w:val="32"/>
        </w:rPr>
        <w:t>商</w:t>
      </w:r>
      <w:r>
        <w:rPr>
          <w:rFonts w:ascii="宋体" w:hAnsi="宋体" w:cs="宋体"/>
          <w:b/>
          <w:bCs/>
          <w:color w:val="auto"/>
          <w:sz w:val="32"/>
          <w:szCs w:val="32"/>
        </w:rPr>
        <w:t xml:space="preserve"> </w:t>
      </w:r>
      <w:r>
        <w:rPr>
          <w:rFonts w:hint="eastAsia" w:ascii="宋体" w:hAnsi="宋体" w:cs="宋体"/>
          <w:b/>
          <w:bCs/>
          <w:color w:val="auto"/>
          <w:sz w:val="32"/>
          <w:szCs w:val="32"/>
        </w:rPr>
        <w:t>函</w:t>
      </w:r>
      <w:bookmarkEnd w:id="86"/>
      <w:bookmarkEnd w:id="87"/>
      <w:bookmarkEnd w:id="88"/>
    </w:p>
    <w:p>
      <w:pPr>
        <w:spacing w:line="360" w:lineRule="auto"/>
        <w:ind w:firstLine="480" w:firstLineChars="200"/>
        <w:rPr>
          <w:rFonts w:ascii="宋体"/>
          <w:color w:val="auto"/>
          <w:sz w:val="24"/>
          <w:szCs w:val="24"/>
          <w:u w:val="single"/>
        </w:rPr>
      </w:pP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绍兴市上虞区道墟街道办事处</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hint="eastAsia" w:ascii="宋体" w:hAnsi="宋体" w:cs="宋体"/>
          <w:color w:val="auto"/>
          <w:sz w:val="24"/>
          <w:szCs w:val="24"/>
          <w:lang w:eastAsia="zh-CN"/>
        </w:rPr>
        <w:t>浙江新诚信工程咨询有限公司</w:t>
      </w:r>
      <w:r>
        <w:rPr>
          <w:rFonts w:hint="eastAsia" w:ascii="宋体" w:hAnsi="宋体" w:cs="宋体"/>
          <w:color w:val="auto"/>
          <w:sz w:val="24"/>
          <w:szCs w:val="24"/>
        </w:rPr>
        <w:t>：</w:t>
      </w:r>
    </w:p>
    <w:p>
      <w:pPr>
        <w:spacing w:line="360" w:lineRule="auto"/>
        <w:ind w:firstLine="480"/>
        <w:jc w:val="left"/>
        <w:rPr>
          <w:rFonts w:ascii="宋体"/>
          <w:color w:val="auto"/>
          <w:sz w:val="24"/>
          <w:szCs w:val="24"/>
        </w:rPr>
      </w:pPr>
      <w:r>
        <w:rPr>
          <w:rFonts w:hint="eastAsia" w:ascii="宋体" w:hAnsi="宋体" w:cs="宋体"/>
          <w:color w:val="auto"/>
          <w:sz w:val="24"/>
          <w:szCs w:val="24"/>
        </w:rPr>
        <w:t>我单位认真研究了关于</w:t>
      </w:r>
      <w:r>
        <w:rPr>
          <w:rFonts w:ascii="宋体" w:hAnsi="宋体" w:cs="宋体"/>
          <w:color w:val="auto"/>
          <w:sz w:val="24"/>
          <w:szCs w:val="24"/>
          <w:u w:val="single"/>
        </w:rPr>
        <w:t xml:space="preserve">                      </w:t>
      </w:r>
      <w:r>
        <w:rPr>
          <w:rFonts w:hint="eastAsia" w:ascii="宋体" w:hAnsi="宋体" w:cs="宋体"/>
          <w:color w:val="auto"/>
          <w:sz w:val="24"/>
          <w:szCs w:val="24"/>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rPr>
      </w:pPr>
      <w:r>
        <w:rPr>
          <w:color w:val="auto"/>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rPr>
        <w:t>1</w:t>
      </w:r>
      <w:r>
        <w:rPr>
          <w:rFonts w:hint="eastAsia" w:ascii="宋体" w:hAnsi="宋体" w:cs="宋体"/>
          <w:color w:val="auto"/>
          <w:sz w:val="24"/>
          <w:szCs w:val="24"/>
        </w:rPr>
        <w:t>、一旦我单位中标，我单位愿意承接报价一览表中所列的技术服务，服务期为：</w:t>
      </w:r>
      <w:r>
        <w:rPr>
          <w:rFonts w:ascii="宋体" w:hAnsi="宋体" w:cs="宋体"/>
          <w:color w:val="auto"/>
          <w:sz w:val="24"/>
          <w:szCs w:val="24"/>
          <w:u w:val="single"/>
        </w:rPr>
        <w:t xml:space="preserve">            </w:t>
      </w:r>
      <w:r>
        <w:rPr>
          <w:rFonts w:hint="eastAsia" w:ascii="宋体" w:hAnsi="宋体" w:cs="宋体"/>
          <w:color w:val="auto"/>
          <w:sz w:val="24"/>
          <w:szCs w:val="24"/>
        </w:rPr>
        <w:t>天。</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color w:val="auto"/>
          <w:sz w:val="24"/>
          <w:szCs w:val="24"/>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rPr>
      </w:pPr>
      <w:r>
        <w:rPr>
          <w:rFonts w:ascii="宋体" w:hAnsi="宋体" w:cs="宋体"/>
          <w:color w:val="auto"/>
          <w:sz w:val="24"/>
          <w:szCs w:val="24"/>
        </w:rPr>
        <w:t>3</w:t>
      </w:r>
      <w:r>
        <w:rPr>
          <w:rFonts w:hint="eastAsia" w:ascii="宋体" w:hAnsi="宋体" w:cs="宋体"/>
          <w:color w:val="auto"/>
          <w:sz w:val="24"/>
          <w:szCs w:val="24"/>
        </w:rPr>
        <w:t>、一旦我单位中标，我们保证按照磋商文件的要求，完成服务。</w:t>
      </w:r>
    </w:p>
    <w:p>
      <w:pPr>
        <w:spacing w:line="360" w:lineRule="auto"/>
        <w:ind w:firstLine="480" w:firstLineChars="200"/>
        <w:rPr>
          <w:rFonts w:ascii="宋体"/>
          <w:color w:val="auto"/>
          <w:sz w:val="24"/>
          <w:szCs w:val="24"/>
        </w:rPr>
      </w:pPr>
      <w:r>
        <w:rPr>
          <w:rFonts w:ascii="宋体" w:hAnsi="宋体" w:cs="宋体"/>
          <w:color w:val="auto"/>
          <w:sz w:val="24"/>
          <w:szCs w:val="24"/>
        </w:rPr>
        <w:t>4</w:t>
      </w:r>
      <w:r>
        <w:rPr>
          <w:rFonts w:hint="eastAsia" w:ascii="宋体" w:hAnsi="宋体" w:cs="宋体"/>
          <w:color w:val="auto"/>
          <w:sz w:val="24"/>
          <w:szCs w:val="24"/>
        </w:rPr>
        <w:t>、如果我单位中标，我方将按照要求严格履行合同义务。</w:t>
      </w:r>
    </w:p>
    <w:p>
      <w:pPr>
        <w:spacing w:line="360" w:lineRule="auto"/>
        <w:ind w:firstLine="480" w:firstLineChars="200"/>
        <w:rPr>
          <w:rFonts w:ascii="宋体"/>
          <w:color w:val="auto"/>
          <w:sz w:val="24"/>
          <w:szCs w:val="24"/>
        </w:rPr>
      </w:pPr>
      <w:r>
        <w:rPr>
          <w:rFonts w:ascii="宋体" w:hAnsi="宋体" w:cs="宋体"/>
          <w:color w:val="auto"/>
          <w:sz w:val="24"/>
          <w:szCs w:val="24"/>
        </w:rPr>
        <w:t>5</w:t>
      </w:r>
      <w:r>
        <w:rPr>
          <w:rFonts w:hint="eastAsia" w:ascii="宋体" w:hAnsi="宋体" w:cs="宋体"/>
          <w:color w:val="auto"/>
          <w:sz w:val="24"/>
          <w:szCs w:val="24"/>
        </w:rPr>
        <w:t>、除非另行达成协议并生效，你方的成交通知书和本磋商函将构成约束你我双方的合同。</w:t>
      </w:r>
    </w:p>
    <w:p>
      <w:pPr>
        <w:spacing w:line="360" w:lineRule="auto"/>
        <w:ind w:firstLine="480" w:firstLineChars="200"/>
        <w:rPr>
          <w:rFonts w:ascii="宋体"/>
          <w:color w:val="auto"/>
          <w:sz w:val="24"/>
          <w:szCs w:val="24"/>
        </w:rPr>
      </w:pPr>
      <w:r>
        <w:rPr>
          <w:rFonts w:ascii="宋体" w:hAnsi="宋体" w:cs="宋体"/>
          <w:color w:val="auto"/>
          <w:sz w:val="24"/>
          <w:szCs w:val="24"/>
        </w:rPr>
        <w:t>6</w:t>
      </w:r>
      <w:r>
        <w:rPr>
          <w:rFonts w:hint="eastAsia" w:ascii="宋体" w:hAnsi="宋体" w:cs="宋体"/>
          <w:color w:val="auto"/>
          <w:sz w:val="24"/>
          <w:szCs w:val="24"/>
        </w:rPr>
        <w:t>、我单位承诺，一旦发生磋商文件第二部分第</w:t>
      </w:r>
      <w:r>
        <w:rPr>
          <w:rFonts w:ascii="宋体" w:hAnsi="宋体" w:cs="宋体"/>
          <w:color w:val="auto"/>
          <w:sz w:val="24"/>
          <w:szCs w:val="24"/>
        </w:rPr>
        <w:t>11</w:t>
      </w:r>
      <w:r>
        <w:rPr>
          <w:rFonts w:hint="eastAsia" w:ascii="宋体" w:hAnsi="宋体" w:cs="宋体"/>
          <w:color w:val="auto"/>
          <w:sz w:val="24"/>
          <w:szCs w:val="24"/>
        </w:rPr>
        <w:t>条规定情形之一的，承担该条款约定的责任。</w:t>
      </w:r>
    </w:p>
    <w:p>
      <w:pPr>
        <w:pStyle w:val="12"/>
        <w:snapToGrid w:val="0"/>
        <w:spacing w:line="360" w:lineRule="auto"/>
        <w:ind w:left="480"/>
        <w:jc w:val="left"/>
        <w:rPr>
          <w:rFonts w:hAnsi="宋体"/>
          <w:color w:val="auto"/>
          <w:sz w:val="24"/>
          <w:szCs w:val="24"/>
        </w:rPr>
      </w:pPr>
      <w:r>
        <w:rPr>
          <w:rFonts w:hAnsi="宋体"/>
          <w:color w:val="auto"/>
          <w:sz w:val="24"/>
          <w:szCs w:val="24"/>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地址：</w:t>
      </w:r>
      <w:r>
        <w:rPr>
          <w:rFonts w:ascii="宋体" w:hAnsi="宋体" w:cs="宋体"/>
          <w:color w:val="auto"/>
          <w:sz w:val="24"/>
          <w:szCs w:val="24"/>
          <w:u w:val="single"/>
        </w:rPr>
        <w:t xml:space="preserve">                               </w:t>
      </w:r>
      <w:r>
        <w:rPr>
          <w:rFonts w:hint="eastAsia" w:ascii="宋体" w:hAnsi="宋体" w:cs="宋体"/>
          <w:color w:val="auto"/>
          <w:sz w:val="24"/>
          <w:szCs w:val="24"/>
        </w:rPr>
        <w:t>邮编：</w:t>
      </w:r>
      <w:r>
        <w:rPr>
          <w:rFonts w:ascii="宋体" w:hAnsi="宋体" w:cs="宋体"/>
          <w:color w:val="auto"/>
          <w:sz w:val="24"/>
          <w:szCs w:val="24"/>
          <w:u w:val="single"/>
        </w:rPr>
        <w:t xml:space="preserve">                 </w:t>
      </w:r>
    </w:p>
    <w:p>
      <w:pPr>
        <w:spacing w:line="360" w:lineRule="auto"/>
        <w:ind w:firstLine="480" w:firstLineChars="200"/>
        <w:rPr>
          <w:rFonts w:ascii="宋体"/>
          <w:color w:val="auto"/>
          <w:sz w:val="24"/>
          <w:szCs w:val="24"/>
          <w:u w:val="single"/>
        </w:rPr>
      </w:pPr>
      <w:r>
        <w:rPr>
          <w:rFonts w:hint="eastAsia" w:ascii="宋体" w:hAnsi="宋体" w:cs="宋体"/>
          <w:color w:val="auto"/>
          <w:sz w:val="24"/>
          <w:szCs w:val="24"/>
        </w:rPr>
        <w:t>电话：</w:t>
      </w:r>
      <w:r>
        <w:rPr>
          <w:rFonts w:ascii="宋体" w:hAnsi="宋体" w:cs="宋体"/>
          <w:color w:val="auto"/>
          <w:sz w:val="24"/>
          <w:szCs w:val="24"/>
          <w:u w:val="single"/>
        </w:rPr>
        <w:t xml:space="preserve">                               </w:t>
      </w:r>
      <w:r>
        <w:rPr>
          <w:rFonts w:hint="eastAsia" w:ascii="宋体" w:hAnsi="宋体" w:cs="宋体"/>
          <w:color w:val="auto"/>
          <w:sz w:val="24"/>
          <w:szCs w:val="24"/>
        </w:rPr>
        <w:t>传真：</w:t>
      </w:r>
      <w:r>
        <w:rPr>
          <w:rFonts w:ascii="宋体" w:hAnsi="宋体" w:cs="宋体"/>
          <w:color w:val="auto"/>
          <w:sz w:val="24"/>
          <w:szCs w:val="24"/>
          <w:u w:val="single"/>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供应商代表姓名：</w:t>
      </w:r>
      <w:r>
        <w:rPr>
          <w:rFonts w:ascii="宋体" w:hAnsi="宋体" w:cs="宋体"/>
          <w:color w:val="auto"/>
          <w:sz w:val="24"/>
          <w:szCs w:val="24"/>
          <w:u w:val="single"/>
        </w:rPr>
        <w:t xml:space="preserve">                     </w:t>
      </w:r>
      <w:r>
        <w:rPr>
          <w:rFonts w:hint="eastAsia" w:ascii="宋体" w:hAnsi="宋体" w:cs="宋体"/>
          <w:color w:val="auto"/>
          <w:sz w:val="24"/>
          <w:szCs w:val="24"/>
        </w:rPr>
        <w:t>职务：</w:t>
      </w:r>
      <w:r>
        <w:rPr>
          <w:rFonts w:ascii="宋体" w:hAnsi="宋体" w:cs="宋体"/>
          <w:color w:val="auto"/>
          <w:sz w:val="24"/>
          <w:szCs w:val="24"/>
          <w:u w:val="single"/>
        </w:rPr>
        <w:t xml:space="preserve">                 </w:t>
      </w:r>
    </w:p>
    <w:p>
      <w:pPr>
        <w:spacing w:line="360" w:lineRule="auto"/>
        <w:ind w:firstLine="480" w:firstLineChars="200"/>
        <w:rPr>
          <w:rFonts w:ascii="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w:t>
      </w:r>
      <w:r>
        <w:rPr>
          <w:rFonts w:ascii="宋体" w:hAnsi="宋体" w:cs="宋体"/>
          <w:color w:val="auto"/>
          <w:sz w:val="24"/>
          <w:szCs w:val="24"/>
          <w:u w:val="single"/>
        </w:rPr>
        <w:t xml:space="preserve">                   </w:t>
      </w:r>
      <w:r>
        <w:rPr>
          <w:rFonts w:hint="eastAsia" w:ascii="宋体" w:hAnsi="宋体" w:cs="宋体"/>
          <w:color w:val="auto"/>
          <w:sz w:val="24"/>
          <w:szCs w:val="24"/>
          <w:u w:val="single"/>
        </w:rPr>
        <w:t>　　　</w:t>
      </w:r>
    </w:p>
    <w:p>
      <w:pPr>
        <w:spacing w:line="360" w:lineRule="auto"/>
        <w:ind w:firstLine="480" w:firstLineChars="200"/>
        <w:rPr>
          <w:rFonts w:ascii="宋体"/>
          <w:color w:val="auto"/>
          <w:sz w:val="24"/>
          <w:szCs w:val="24"/>
        </w:rPr>
      </w:pPr>
      <w:r>
        <w:rPr>
          <w:rFonts w:hint="eastAsia" w:ascii="宋体" w:hAnsi="宋体" w:cs="宋体"/>
          <w:color w:val="auto"/>
          <w:sz w:val="24"/>
          <w:szCs w:val="24"/>
        </w:rPr>
        <w:t>（公章）：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firstLine="5280" w:firstLineChars="2200"/>
        <w:rPr>
          <w:rFonts w:ascii="宋体"/>
          <w:color w:val="auto"/>
          <w:sz w:val="24"/>
          <w:szCs w:val="24"/>
        </w:rPr>
      </w:pPr>
    </w:p>
    <w:p>
      <w:pPr>
        <w:rPr>
          <w:color w:val="auto"/>
          <w:sz w:val="24"/>
          <w:szCs w:val="24"/>
          <w:lang w:val="zh-CN"/>
        </w:rPr>
      </w:pPr>
      <w:bookmarkStart w:id="89" w:name="_Toc12011"/>
      <w:r>
        <w:rPr>
          <w:color w:val="auto"/>
          <w:sz w:val="24"/>
          <w:szCs w:val="24"/>
          <w:lang w:val="zh-CN"/>
        </w:rPr>
        <w:br w:type="page"/>
      </w:r>
    </w:p>
    <w:p>
      <w:pPr>
        <w:rPr>
          <w:b/>
          <w:bCs/>
          <w:color w:val="auto"/>
          <w:sz w:val="24"/>
          <w:szCs w:val="24"/>
          <w:lang w:val="zh-CN"/>
        </w:rPr>
      </w:pPr>
      <w:r>
        <w:rPr>
          <w:rFonts w:hint="eastAsia" w:cs="宋体"/>
          <w:b/>
          <w:bCs/>
          <w:color w:val="auto"/>
          <w:sz w:val="24"/>
          <w:szCs w:val="24"/>
          <w:lang w:val="zh-CN"/>
        </w:rPr>
        <w:t>附件</w:t>
      </w:r>
      <w:bookmarkStart w:id="90" w:name="_Toc98731771"/>
      <w:bookmarkStart w:id="91" w:name="_Toc130094925"/>
      <w:r>
        <w:rPr>
          <w:rFonts w:hint="eastAsia" w:cs="宋体"/>
          <w:b/>
          <w:bCs/>
          <w:color w:val="auto"/>
          <w:sz w:val="24"/>
          <w:szCs w:val="24"/>
        </w:rPr>
        <w:t>十：</w:t>
      </w:r>
    </w:p>
    <w:p>
      <w:pPr>
        <w:spacing w:line="360" w:lineRule="auto"/>
        <w:jc w:val="center"/>
        <w:rPr>
          <w:rFonts w:ascii="宋体"/>
          <w:b/>
          <w:bCs/>
          <w:color w:val="auto"/>
          <w:sz w:val="32"/>
          <w:szCs w:val="32"/>
        </w:rPr>
      </w:pPr>
      <w:r>
        <w:rPr>
          <w:rFonts w:hint="eastAsia" w:ascii="宋体" w:hAnsi="宋体" w:cs="宋体"/>
          <w:b/>
          <w:bCs/>
          <w:color w:val="auto"/>
          <w:sz w:val="32"/>
          <w:szCs w:val="32"/>
        </w:rPr>
        <w:t>报价一览表</w:t>
      </w:r>
      <w:bookmarkEnd w:id="89"/>
      <w:bookmarkEnd w:id="90"/>
      <w:bookmarkEnd w:id="91"/>
    </w:p>
    <w:p>
      <w:pPr>
        <w:pStyle w:val="12"/>
        <w:spacing w:line="360" w:lineRule="auto"/>
        <w:rPr>
          <w:rFonts w:hAnsi="宋体" w:cs="Times New Roman"/>
          <w:color w:val="auto"/>
          <w:sz w:val="24"/>
          <w:szCs w:val="24"/>
        </w:rPr>
      </w:pP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r>
        <w:rPr>
          <w:rFonts w:ascii="宋体" w:hAnsi="宋体" w:cs="宋体"/>
          <w:color w:val="auto"/>
          <w:sz w:val="24"/>
          <w:szCs w:val="24"/>
        </w:rPr>
        <w:t xml:space="preserve">               </w:t>
      </w:r>
    </w:p>
    <w:tbl>
      <w:tblPr>
        <w:tblStyle w:val="22"/>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2"/>
              <w:spacing w:line="360" w:lineRule="auto"/>
              <w:jc w:val="center"/>
              <w:rPr>
                <w:rFonts w:hAnsi="宋体" w:cs="Times New Roman"/>
                <w:b/>
                <w:bCs/>
                <w:color w:val="auto"/>
                <w:sz w:val="24"/>
                <w:szCs w:val="24"/>
              </w:rPr>
            </w:pPr>
            <w:r>
              <w:rPr>
                <w:rFonts w:hint="eastAsia" w:hAnsi="宋体"/>
                <w:b/>
                <w:bCs/>
                <w:color w:val="auto"/>
                <w:sz w:val="24"/>
                <w:szCs w:val="24"/>
              </w:rPr>
              <w:t>投标总价</w:t>
            </w:r>
          </w:p>
        </w:tc>
        <w:tc>
          <w:tcPr>
            <w:tcW w:w="6707" w:type="dxa"/>
            <w:vAlign w:val="center"/>
          </w:tcPr>
          <w:p>
            <w:pPr>
              <w:pStyle w:val="12"/>
              <w:spacing w:line="360" w:lineRule="auto"/>
              <w:jc w:val="center"/>
              <w:rPr>
                <w:rFonts w:hAnsi="宋体" w:cs="Times New Roman"/>
                <w:b/>
                <w:bCs/>
                <w:color w:val="auto"/>
                <w:sz w:val="24"/>
                <w:szCs w:val="24"/>
              </w:rPr>
            </w:pPr>
            <w:r>
              <w:rPr>
                <w:rFonts w:hint="eastAsia" w:hAnsi="宋体"/>
                <w:b/>
                <w:bCs/>
                <w:color w:val="auto"/>
                <w:sz w:val="24"/>
                <w:szCs w:val="24"/>
              </w:rPr>
              <w:t>大写：</w:t>
            </w:r>
            <w:r>
              <w:rPr>
                <w:rFonts w:hint="eastAsia" w:hAnsi="宋体"/>
                <w:b/>
                <w:bCs/>
                <w:color w:val="auto"/>
                <w:sz w:val="24"/>
                <w:szCs w:val="24"/>
                <w:u w:val="single"/>
              </w:rPr>
              <w:t>　　　　</w:t>
            </w:r>
            <w:r>
              <w:rPr>
                <w:rFonts w:hAnsi="宋体"/>
                <w:b/>
                <w:bCs/>
                <w:color w:val="auto"/>
                <w:sz w:val="24"/>
                <w:szCs w:val="24"/>
                <w:u w:val="single"/>
              </w:rPr>
              <w:t xml:space="preserve">            </w:t>
            </w:r>
            <w:r>
              <w:rPr>
                <w:rFonts w:hint="eastAsia" w:hAnsi="宋体"/>
                <w:b/>
                <w:bCs/>
                <w:color w:val="auto"/>
                <w:sz w:val="24"/>
                <w:szCs w:val="24"/>
              </w:rPr>
              <w:t>元（小写：</w:t>
            </w:r>
            <w:r>
              <w:rPr>
                <w:rFonts w:hint="eastAsia" w:hAnsi="宋体"/>
                <w:b/>
                <w:bCs/>
                <w:color w:val="auto"/>
                <w:sz w:val="24"/>
                <w:szCs w:val="24"/>
                <w:u w:val="single"/>
              </w:rPr>
              <w:t>　　　　</w:t>
            </w:r>
            <w:r>
              <w:rPr>
                <w:rFonts w:hAnsi="宋体"/>
                <w:b/>
                <w:bCs/>
                <w:color w:val="auto"/>
                <w:sz w:val="24"/>
                <w:szCs w:val="24"/>
                <w:u w:val="single"/>
              </w:rPr>
              <w:t xml:space="preserve"> </w:t>
            </w:r>
            <w:r>
              <w:rPr>
                <w:rFonts w:hint="eastAsia" w:hAnsi="宋体"/>
                <w:b/>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2"/>
              <w:spacing w:line="360" w:lineRule="auto"/>
              <w:ind w:firstLine="482" w:firstLineChars="200"/>
              <w:rPr>
                <w:rFonts w:hAnsi="宋体" w:cs="Times New Roman"/>
                <w:b/>
                <w:bCs/>
                <w:color w:val="auto"/>
                <w:sz w:val="24"/>
                <w:szCs w:val="24"/>
              </w:rPr>
            </w:pPr>
            <w:r>
              <w:rPr>
                <w:rFonts w:hint="eastAsia" w:hAnsi="宋体" w:cs="Times New Roman"/>
                <w:b/>
                <w:bCs/>
                <w:color w:val="auto"/>
                <w:sz w:val="24"/>
                <w:szCs w:val="24"/>
              </w:rPr>
              <w:t>本次报价应包含项目所需全部服务，不得缺漏，是履行合同的最终价格（包括服务费、调研费、评审费、培训费、人员工资福利费、差旅费、交通费、税金费、风险费、不可预见费等一切项目实施所需费用）</w:t>
            </w:r>
          </w:p>
        </w:tc>
      </w:tr>
    </w:tbl>
    <w:p>
      <w:pPr>
        <w:pStyle w:val="12"/>
        <w:spacing w:line="360" w:lineRule="auto"/>
        <w:rPr>
          <w:rFonts w:hAnsi="宋体" w:cs="Times New Roman"/>
          <w:color w:val="auto"/>
          <w:sz w:val="24"/>
          <w:szCs w:val="24"/>
        </w:rPr>
      </w:pPr>
    </w:p>
    <w:p>
      <w:pPr>
        <w:pStyle w:val="12"/>
        <w:spacing w:line="360" w:lineRule="auto"/>
        <w:rPr>
          <w:rFonts w:hAnsi="宋体" w:cs="Times New Roman"/>
          <w:color w:val="auto"/>
          <w:sz w:val="24"/>
          <w:szCs w:val="24"/>
        </w:rPr>
      </w:pPr>
    </w:p>
    <w:p>
      <w:pPr>
        <w:pStyle w:val="12"/>
        <w:spacing w:line="360" w:lineRule="auto"/>
        <w:rPr>
          <w:rFonts w:hAnsi="宋体" w:cs="Times New Roman"/>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napToGrid w:val="0"/>
        <w:spacing w:line="360" w:lineRule="auto"/>
        <w:ind w:firstLine="435"/>
        <w:rPr>
          <w:rFonts w:ascii="宋体"/>
          <w:color w:val="auto"/>
        </w:rPr>
      </w:pPr>
    </w:p>
    <w:p>
      <w:pPr>
        <w:spacing w:line="360" w:lineRule="auto"/>
        <w:jc w:val="left"/>
        <w:rPr>
          <w:rFonts w:ascii="宋体"/>
          <w:b/>
          <w:bCs/>
          <w:color w:val="auto"/>
          <w:sz w:val="24"/>
          <w:szCs w:val="24"/>
          <w:lang w:val="zh-CN"/>
        </w:rPr>
      </w:pPr>
      <w:r>
        <w:rPr>
          <w:rFonts w:ascii="宋体"/>
          <w:color w:val="auto"/>
        </w:rPr>
        <w:br w:type="page"/>
      </w:r>
      <w:bookmarkStart w:id="92" w:name="_Toc7196"/>
      <w:r>
        <w:rPr>
          <w:rFonts w:hint="eastAsia" w:ascii="宋体" w:hAnsi="宋体" w:cs="宋体"/>
          <w:b/>
          <w:bCs/>
          <w:color w:val="auto"/>
          <w:sz w:val="24"/>
          <w:szCs w:val="24"/>
          <w:lang w:val="zh-CN"/>
        </w:rPr>
        <w:t>附件十</w:t>
      </w:r>
      <w:r>
        <w:rPr>
          <w:rFonts w:hint="eastAsia" w:hAnsi="宋体" w:cs="宋体"/>
          <w:b/>
          <w:bCs/>
          <w:color w:val="auto"/>
          <w:sz w:val="24"/>
          <w:szCs w:val="24"/>
          <w:lang w:val="zh-CN"/>
        </w:rPr>
        <w:t>一</w:t>
      </w:r>
      <w:r>
        <w:rPr>
          <w:rFonts w:hint="eastAsia" w:ascii="宋体" w:hAnsi="宋体" w:cs="宋体"/>
          <w:b/>
          <w:bCs/>
          <w:color w:val="auto"/>
          <w:sz w:val="24"/>
          <w:szCs w:val="24"/>
          <w:lang w:val="zh-CN"/>
        </w:rPr>
        <w:t>：</w:t>
      </w:r>
    </w:p>
    <w:p>
      <w:pPr>
        <w:spacing w:line="360" w:lineRule="auto"/>
        <w:jc w:val="center"/>
        <w:rPr>
          <w:rFonts w:ascii="宋体"/>
          <w:b/>
          <w:bCs/>
          <w:color w:val="auto"/>
          <w:sz w:val="32"/>
          <w:szCs w:val="32"/>
        </w:rPr>
      </w:pPr>
      <w:r>
        <w:rPr>
          <w:rFonts w:hint="eastAsia" w:ascii="宋体" w:hAnsi="宋体" w:cs="宋体"/>
          <w:b/>
          <w:bCs/>
          <w:color w:val="auto"/>
          <w:sz w:val="32"/>
          <w:szCs w:val="32"/>
        </w:rPr>
        <w:t>磋商报价明细表</w:t>
      </w:r>
    </w:p>
    <w:p>
      <w:pPr>
        <w:spacing w:line="360" w:lineRule="auto"/>
        <w:ind w:firstLine="480" w:firstLineChars="200"/>
        <w:rPr>
          <w:rFonts w:ascii="宋体"/>
          <w:color w:val="auto"/>
          <w:sz w:val="24"/>
          <w:szCs w:val="24"/>
        </w:rPr>
      </w:pPr>
      <w:r>
        <w:rPr>
          <w:rFonts w:hint="eastAsia" w:ascii="宋体" w:hAnsi="宋体" w:cs="宋体"/>
          <w:color w:val="auto"/>
          <w:sz w:val="24"/>
          <w:szCs w:val="24"/>
        </w:rPr>
        <w:t>项目名称：</w:t>
      </w:r>
    </w:p>
    <w:p>
      <w:pPr>
        <w:spacing w:line="360" w:lineRule="auto"/>
        <w:ind w:firstLine="480" w:firstLineChars="200"/>
        <w:rPr>
          <w:rFonts w:ascii="宋体"/>
          <w:color w:val="auto"/>
          <w:sz w:val="24"/>
          <w:szCs w:val="24"/>
        </w:rPr>
      </w:pPr>
      <w:r>
        <w:rPr>
          <w:rFonts w:hint="eastAsia" w:ascii="宋体" w:hAnsi="宋体" w:cs="宋体"/>
          <w:color w:val="auto"/>
          <w:sz w:val="24"/>
          <w:szCs w:val="24"/>
        </w:rPr>
        <w:t>采购编号：</w:t>
      </w:r>
      <w:r>
        <w:rPr>
          <w:rFonts w:ascii="宋体" w:hAnsi="宋体" w:cs="宋体"/>
          <w:color w:val="auto"/>
          <w:sz w:val="24"/>
          <w:szCs w:val="24"/>
        </w:rPr>
        <w:t xml:space="preserve">               </w:t>
      </w:r>
    </w:p>
    <w:tbl>
      <w:tblPr>
        <w:tblStyle w:val="22"/>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2490"/>
        <w:gridCol w:w="915"/>
        <w:gridCol w:w="1875"/>
        <w:gridCol w:w="495"/>
        <w:gridCol w:w="49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9"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序</w:t>
            </w:r>
          </w:p>
          <w:p>
            <w:pPr>
              <w:pStyle w:val="12"/>
              <w:spacing w:line="360" w:lineRule="auto"/>
              <w:jc w:val="center"/>
              <w:rPr>
                <w:rFonts w:hAnsi="宋体"/>
                <w:color w:val="auto"/>
                <w:sz w:val="22"/>
                <w:szCs w:val="22"/>
              </w:rPr>
            </w:pPr>
            <w:r>
              <w:rPr>
                <w:rFonts w:hint="eastAsia" w:hAnsi="宋体"/>
                <w:color w:val="auto"/>
                <w:sz w:val="22"/>
                <w:szCs w:val="22"/>
              </w:rPr>
              <w:t>号</w:t>
            </w:r>
          </w:p>
        </w:tc>
        <w:tc>
          <w:tcPr>
            <w:tcW w:w="2490"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名称</w:t>
            </w:r>
          </w:p>
        </w:tc>
        <w:tc>
          <w:tcPr>
            <w:tcW w:w="915"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内容</w:t>
            </w:r>
          </w:p>
        </w:tc>
        <w:tc>
          <w:tcPr>
            <w:tcW w:w="1875"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其他</w:t>
            </w:r>
          </w:p>
        </w:tc>
        <w:tc>
          <w:tcPr>
            <w:tcW w:w="495"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单</w:t>
            </w:r>
          </w:p>
          <w:p>
            <w:pPr>
              <w:pStyle w:val="12"/>
              <w:spacing w:line="360" w:lineRule="auto"/>
              <w:jc w:val="center"/>
              <w:rPr>
                <w:rFonts w:hAnsi="宋体"/>
                <w:color w:val="auto"/>
                <w:sz w:val="22"/>
                <w:szCs w:val="22"/>
              </w:rPr>
            </w:pPr>
            <w:r>
              <w:rPr>
                <w:rFonts w:hint="eastAsia" w:hAnsi="宋体"/>
                <w:color w:val="auto"/>
                <w:sz w:val="22"/>
                <w:szCs w:val="22"/>
              </w:rPr>
              <w:t>位</w:t>
            </w:r>
          </w:p>
        </w:tc>
        <w:tc>
          <w:tcPr>
            <w:tcW w:w="498" w:type="dxa"/>
            <w:vMerge w:val="restart"/>
            <w:vAlign w:val="center"/>
          </w:tcPr>
          <w:p>
            <w:pPr>
              <w:pStyle w:val="12"/>
              <w:spacing w:line="360" w:lineRule="auto"/>
              <w:jc w:val="center"/>
              <w:rPr>
                <w:rFonts w:hAnsi="宋体"/>
                <w:color w:val="auto"/>
                <w:sz w:val="22"/>
                <w:szCs w:val="22"/>
              </w:rPr>
            </w:pPr>
            <w:r>
              <w:rPr>
                <w:rFonts w:hint="eastAsia" w:hAnsi="宋体"/>
                <w:color w:val="auto"/>
                <w:sz w:val="22"/>
                <w:szCs w:val="22"/>
              </w:rPr>
              <w:t>数量</w:t>
            </w:r>
          </w:p>
        </w:tc>
        <w:tc>
          <w:tcPr>
            <w:tcW w:w="2270" w:type="dxa"/>
            <w:gridSpan w:val="2"/>
            <w:vAlign w:val="center"/>
          </w:tcPr>
          <w:p>
            <w:pPr>
              <w:pStyle w:val="12"/>
              <w:spacing w:line="360" w:lineRule="auto"/>
              <w:jc w:val="center"/>
              <w:rPr>
                <w:rFonts w:hAnsi="宋体"/>
                <w:color w:val="auto"/>
                <w:sz w:val="22"/>
                <w:szCs w:val="22"/>
              </w:rPr>
            </w:pPr>
            <w:r>
              <w:rPr>
                <w:rFonts w:hint="eastAsia" w:hAnsi="宋体"/>
                <w:color w:val="auto"/>
                <w:sz w:val="22"/>
                <w:szCs w:val="22"/>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9" w:type="dxa"/>
            <w:vMerge w:val="continue"/>
            <w:vAlign w:val="center"/>
          </w:tcPr>
          <w:p>
            <w:pPr>
              <w:pStyle w:val="12"/>
              <w:spacing w:line="360" w:lineRule="auto"/>
              <w:jc w:val="center"/>
              <w:rPr>
                <w:rFonts w:hAnsi="宋体"/>
                <w:color w:val="auto"/>
                <w:sz w:val="22"/>
                <w:szCs w:val="22"/>
              </w:rPr>
            </w:pPr>
          </w:p>
        </w:tc>
        <w:tc>
          <w:tcPr>
            <w:tcW w:w="2490" w:type="dxa"/>
            <w:vMerge w:val="continue"/>
            <w:vAlign w:val="center"/>
          </w:tcPr>
          <w:p>
            <w:pPr>
              <w:pStyle w:val="12"/>
              <w:spacing w:line="360" w:lineRule="auto"/>
              <w:jc w:val="center"/>
              <w:rPr>
                <w:rFonts w:hAnsi="宋体"/>
                <w:color w:val="auto"/>
                <w:sz w:val="22"/>
                <w:szCs w:val="22"/>
              </w:rPr>
            </w:pPr>
          </w:p>
        </w:tc>
        <w:tc>
          <w:tcPr>
            <w:tcW w:w="915" w:type="dxa"/>
            <w:vMerge w:val="continue"/>
            <w:vAlign w:val="center"/>
          </w:tcPr>
          <w:p>
            <w:pPr>
              <w:pStyle w:val="12"/>
              <w:spacing w:line="360" w:lineRule="auto"/>
              <w:jc w:val="center"/>
              <w:rPr>
                <w:rFonts w:hAnsi="宋体"/>
                <w:color w:val="auto"/>
                <w:sz w:val="22"/>
                <w:szCs w:val="22"/>
              </w:rPr>
            </w:pPr>
          </w:p>
        </w:tc>
        <w:tc>
          <w:tcPr>
            <w:tcW w:w="1875" w:type="dxa"/>
            <w:vMerge w:val="continue"/>
            <w:vAlign w:val="center"/>
          </w:tcPr>
          <w:p>
            <w:pPr>
              <w:pStyle w:val="12"/>
              <w:spacing w:line="360" w:lineRule="auto"/>
              <w:jc w:val="center"/>
              <w:rPr>
                <w:rFonts w:hAnsi="宋体"/>
                <w:color w:val="auto"/>
                <w:sz w:val="22"/>
                <w:szCs w:val="22"/>
              </w:rPr>
            </w:pPr>
          </w:p>
        </w:tc>
        <w:tc>
          <w:tcPr>
            <w:tcW w:w="495" w:type="dxa"/>
            <w:vMerge w:val="continue"/>
            <w:vAlign w:val="center"/>
          </w:tcPr>
          <w:p>
            <w:pPr>
              <w:pStyle w:val="12"/>
              <w:spacing w:line="360" w:lineRule="auto"/>
              <w:jc w:val="center"/>
              <w:rPr>
                <w:rFonts w:hAnsi="宋体"/>
                <w:color w:val="auto"/>
                <w:sz w:val="22"/>
                <w:szCs w:val="22"/>
              </w:rPr>
            </w:pPr>
          </w:p>
        </w:tc>
        <w:tc>
          <w:tcPr>
            <w:tcW w:w="498" w:type="dxa"/>
            <w:vMerge w:val="continue"/>
            <w:vAlign w:val="center"/>
          </w:tcPr>
          <w:p>
            <w:pPr>
              <w:pStyle w:val="12"/>
              <w:spacing w:line="360" w:lineRule="auto"/>
              <w:jc w:val="center"/>
              <w:rPr>
                <w:rFonts w:hAnsi="宋体"/>
                <w:color w:val="auto"/>
                <w:sz w:val="22"/>
                <w:szCs w:val="22"/>
              </w:rPr>
            </w:pPr>
          </w:p>
        </w:tc>
        <w:tc>
          <w:tcPr>
            <w:tcW w:w="1147" w:type="dxa"/>
            <w:vAlign w:val="center"/>
          </w:tcPr>
          <w:p>
            <w:pPr>
              <w:pStyle w:val="12"/>
              <w:spacing w:line="360" w:lineRule="auto"/>
              <w:jc w:val="center"/>
              <w:rPr>
                <w:rFonts w:hAnsi="宋体"/>
                <w:color w:val="auto"/>
                <w:sz w:val="22"/>
                <w:szCs w:val="22"/>
              </w:rPr>
            </w:pPr>
            <w:r>
              <w:rPr>
                <w:rFonts w:hint="eastAsia" w:hAnsi="宋体"/>
                <w:color w:val="auto"/>
                <w:sz w:val="22"/>
                <w:szCs w:val="22"/>
              </w:rPr>
              <w:t>单价</w:t>
            </w:r>
          </w:p>
        </w:tc>
        <w:tc>
          <w:tcPr>
            <w:tcW w:w="1123" w:type="dxa"/>
            <w:vAlign w:val="center"/>
          </w:tcPr>
          <w:p>
            <w:pPr>
              <w:pStyle w:val="12"/>
              <w:spacing w:line="360" w:lineRule="auto"/>
              <w:jc w:val="center"/>
              <w:rPr>
                <w:rFonts w:hAnsi="宋体"/>
                <w:color w:val="auto"/>
                <w:sz w:val="22"/>
                <w:szCs w:val="22"/>
              </w:rPr>
            </w:pPr>
            <w:r>
              <w:rPr>
                <w:rFonts w:hint="eastAsia" w:hAnsi="宋体"/>
                <w:color w:val="auto"/>
                <w:sz w:val="22"/>
                <w:szCs w:val="2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9" w:type="dxa"/>
            <w:vAlign w:val="center"/>
          </w:tcPr>
          <w:p>
            <w:pPr>
              <w:pStyle w:val="12"/>
              <w:jc w:val="center"/>
              <w:rPr>
                <w:rFonts w:hAnsi="宋体"/>
                <w:color w:val="auto"/>
                <w:sz w:val="22"/>
                <w:szCs w:val="22"/>
              </w:rPr>
            </w:pPr>
            <w:r>
              <w:rPr>
                <w:rFonts w:hint="eastAsia" w:hAnsi="宋体"/>
                <w:color w:val="auto"/>
                <w:sz w:val="22"/>
                <w:szCs w:val="22"/>
              </w:rPr>
              <w:t>1</w:t>
            </w:r>
          </w:p>
        </w:tc>
        <w:tc>
          <w:tcPr>
            <w:tcW w:w="2490" w:type="dxa"/>
            <w:vAlign w:val="center"/>
          </w:tcPr>
          <w:p>
            <w:pPr>
              <w:pStyle w:val="12"/>
              <w:rPr>
                <w:rFonts w:hAnsi="宋体"/>
                <w:color w:val="auto"/>
                <w:sz w:val="22"/>
                <w:szCs w:val="22"/>
              </w:rPr>
            </w:pPr>
          </w:p>
        </w:tc>
        <w:tc>
          <w:tcPr>
            <w:tcW w:w="915" w:type="dxa"/>
            <w:vAlign w:val="center"/>
          </w:tcPr>
          <w:p>
            <w:pPr>
              <w:pStyle w:val="12"/>
              <w:spacing w:line="360" w:lineRule="auto"/>
              <w:rPr>
                <w:rFonts w:hAnsi="宋体"/>
                <w:b/>
                <w:bCs/>
                <w:color w:val="auto"/>
                <w:sz w:val="22"/>
                <w:szCs w:val="22"/>
              </w:rPr>
            </w:pPr>
          </w:p>
        </w:tc>
        <w:tc>
          <w:tcPr>
            <w:tcW w:w="1875" w:type="dxa"/>
            <w:vAlign w:val="center"/>
          </w:tcPr>
          <w:p>
            <w:pPr>
              <w:pStyle w:val="12"/>
              <w:spacing w:line="360" w:lineRule="auto"/>
              <w:rPr>
                <w:rFonts w:hAnsi="宋体"/>
                <w:b/>
                <w:bCs/>
                <w:color w:val="auto"/>
                <w:sz w:val="22"/>
                <w:szCs w:val="22"/>
              </w:rPr>
            </w:pPr>
          </w:p>
        </w:tc>
        <w:tc>
          <w:tcPr>
            <w:tcW w:w="495" w:type="dxa"/>
            <w:vAlign w:val="center"/>
          </w:tcPr>
          <w:p>
            <w:pPr>
              <w:pStyle w:val="12"/>
              <w:spacing w:line="360" w:lineRule="auto"/>
              <w:rPr>
                <w:rFonts w:hAnsi="宋体"/>
                <w:b/>
                <w:bCs/>
                <w:color w:val="auto"/>
                <w:sz w:val="22"/>
                <w:szCs w:val="22"/>
              </w:rPr>
            </w:pPr>
          </w:p>
        </w:tc>
        <w:tc>
          <w:tcPr>
            <w:tcW w:w="498" w:type="dxa"/>
            <w:vAlign w:val="center"/>
          </w:tcPr>
          <w:p>
            <w:pPr>
              <w:pStyle w:val="12"/>
              <w:spacing w:line="360" w:lineRule="auto"/>
              <w:rPr>
                <w:rFonts w:hAnsi="宋体"/>
                <w:b/>
                <w:bCs/>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9" w:type="dxa"/>
            <w:vAlign w:val="center"/>
          </w:tcPr>
          <w:p>
            <w:pPr>
              <w:pStyle w:val="12"/>
              <w:jc w:val="center"/>
              <w:rPr>
                <w:rFonts w:hAnsi="宋体"/>
                <w:color w:val="auto"/>
                <w:sz w:val="22"/>
                <w:szCs w:val="22"/>
              </w:rPr>
            </w:pPr>
            <w:r>
              <w:rPr>
                <w:rFonts w:hint="eastAsia" w:hAnsi="宋体"/>
                <w:color w:val="auto"/>
                <w:sz w:val="22"/>
                <w:szCs w:val="22"/>
              </w:rPr>
              <w:t>2</w:t>
            </w:r>
          </w:p>
        </w:tc>
        <w:tc>
          <w:tcPr>
            <w:tcW w:w="2490" w:type="dxa"/>
            <w:vAlign w:val="center"/>
          </w:tcPr>
          <w:p>
            <w:pPr>
              <w:pStyle w:val="12"/>
              <w:rPr>
                <w:rFonts w:hAnsi="宋体"/>
                <w:color w:val="auto"/>
                <w:sz w:val="22"/>
                <w:szCs w:val="22"/>
              </w:rPr>
            </w:pPr>
          </w:p>
        </w:tc>
        <w:tc>
          <w:tcPr>
            <w:tcW w:w="915" w:type="dxa"/>
            <w:vAlign w:val="center"/>
          </w:tcPr>
          <w:p>
            <w:pPr>
              <w:pStyle w:val="12"/>
              <w:spacing w:line="360" w:lineRule="auto"/>
              <w:rPr>
                <w:rFonts w:hAnsi="宋体"/>
                <w:b/>
                <w:bCs/>
                <w:color w:val="auto"/>
                <w:sz w:val="22"/>
                <w:szCs w:val="22"/>
              </w:rPr>
            </w:pPr>
          </w:p>
        </w:tc>
        <w:tc>
          <w:tcPr>
            <w:tcW w:w="1875" w:type="dxa"/>
            <w:vAlign w:val="center"/>
          </w:tcPr>
          <w:p>
            <w:pPr>
              <w:pStyle w:val="12"/>
              <w:spacing w:line="360" w:lineRule="auto"/>
              <w:rPr>
                <w:rFonts w:hAnsi="宋体"/>
                <w:b/>
                <w:bCs/>
                <w:color w:val="auto"/>
                <w:sz w:val="22"/>
                <w:szCs w:val="22"/>
              </w:rPr>
            </w:pPr>
          </w:p>
        </w:tc>
        <w:tc>
          <w:tcPr>
            <w:tcW w:w="495" w:type="dxa"/>
            <w:vAlign w:val="center"/>
          </w:tcPr>
          <w:p>
            <w:pPr>
              <w:pStyle w:val="12"/>
              <w:spacing w:line="360" w:lineRule="auto"/>
              <w:rPr>
                <w:rFonts w:hAnsi="宋体"/>
                <w:b/>
                <w:bCs/>
                <w:color w:val="auto"/>
                <w:sz w:val="22"/>
                <w:szCs w:val="22"/>
              </w:rPr>
            </w:pPr>
          </w:p>
        </w:tc>
        <w:tc>
          <w:tcPr>
            <w:tcW w:w="498" w:type="dxa"/>
            <w:vAlign w:val="center"/>
          </w:tcPr>
          <w:p>
            <w:pPr>
              <w:pStyle w:val="12"/>
              <w:spacing w:line="360" w:lineRule="auto"/>
              <w:rPr>
                <w:rFonts w:hAnsi="宋体"/>
                <w:b/>
                <w:bCs/>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89" w:type="dxa"/>
            <w:vAlign w:val="center"/>
          </w:tcPr>
          <w:p>
            <w:pPr>
              <w:pStyle w:val="12"/>
              <w:jc w:val="center"/>
              <w:rPr>
                <w:rFonts w:hAnsi="宋体"/>
                <w:color w:val="auto"/>
                <w:sz w:val="22"/>
                <w:szCs w:val="22"/>
              </w:rPr>
            </w:pPr>
            <w:r>
              <w:rPr>
                <w:rFonts w:hint="eastAsia" w:hAnsi="宋体"/>
                <w:color w:val="auto"/>
                <w:sz w:val="22"/>
                <w:szCs w:val="22"/>
              </w:rPr>
              <w:t>3</w:t>
            </w:r>
          </w:p>
        </w:tc>
        <w:tc>
          <w:tcPr>
            <w:tcW w:w="2490" w:type="dxa"/>
            <w:vAlign w:val="center"/>
          </w:tcPr>
          <w:p>
            <w:pPr>
              <w:pStyle w:val="12"/>
              <w:rPr>
                <w:rFonts w:hAnsi="宋体"/>
                <w:color w:val="auto"/>
                <w:sz w:val="22"/>
                <w:szCs w:val="22"/>
              </w:rPr>
            </w:pPr>
          </w:p>
        </w:tc>
        <w:tc>
          <w:tcPr>
            <w:tcW w:w="915" w:type="dxa"/>
            <w:vAlign w:val="center"/>
          </w:tcPr>
          <w:p>
            <w:pPr>
              <w:pStyle w:val="12"/>
              <w:spacing w:line="360" w:lineRule="auto"/>
              <w:rPr>
                <w:rFonts w:hAnsi="宋体"/>
                <w:b/>
                <w:bCs/>
                <w:color w:val="auto"/>
                <w:sz w:val="22"/>
                <w:szCs w:val="22"/>
              </w:rPr>
            </w:pPr>
          </w:p>
        </w:tc>
        <w:tc>
          <w:tcPr>
            <w:tcW w:w="1875" w:type="dxa"/>
            <w:vAlign w:val="center"/>
          </w:tcPr>
          <w:p>
            <w:pPr>
              <w:pStyle w:val="12"/>
              <w:spacing w:line="360" w:lineRule="auto"/>
              <w:rPr>
                <w:rFonts w:hAnsi="宋体"/>
                <w:b/>
                <w:bCs/>
                <w:color w:val="auto"/>
                <w:sz w:val="22"/>
                <w:szCs w:val="22"/>
              </w:rPr>
            </w:pPr>
          </w:p>
        </w:tc>
        <w:tc>
          <w:tcPr>
            <w:tcW w:w="495" w:type="dxa"/>
            <w:vAlign w:val="center"/>
          </w:tcPr>
          <w:p>
            <w:pPr>
              <w:pStyle w:val="12"/>
              <w:spacing w:line="360" w:lineRule="auto"/>
              <w:rPr>
                <w:rFonts w:hAnsi="宋体"/>
                <w:b/>
                <w:bCs/>
                <w:color w:val="auto"/>
                <w:sz w:val="22"/>
                <w:szCs w:val="22"/>
              </w:rPr>
            </w:pPr>
          </w:p>
        </w:tc>
        <w:tc>
          <w:tcPr>
            <w:tcW w:w="498" w:type="dxa"/>
            <w:vAlign w:val="center"/>
          </w:tcPr>
          <w:p>
            <w:pPr>
              <w:pStyle w:val="12"/>
              <w:spacing w:line="360" w:lineRule="auto"/>
              <w:rPr>
                <w:rFonts w:hAnsi="宋体"/>
                <w:b/>
                <w:bCs/>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dxa"/>
            <w:vAlign w:val="center"/>
          </w:tcPr>
          <w:p>
            <w:pPr>
              <w:pStyle w:val="12"/>
              <w:jc w:val="center"/>
              <w:rPr>
                <w:rFonts w:hAnsi="宋体"/>
                <w:color w:val="auto"/>
                <w:sz w:val="22"/>
                <w:szCs w:val="22"/>
              </w:rPr>
            </w:pPr>
            <w:r>
              <w:rPr>
                <w:rFonts w:hint="eastAsia" w:hAnsi="宋体"/>
                <w:color w:val="auto"/>
                <w:sz w:val="22"/>
                <w:szCs w:val="22"/>
              </w:rPr>
              <w:t>4</w:t>
            </w:r>
          </w:p>
        </w:tc>
        <w:tc>
          <w:tcPr>
            <w:tcW w:w="2490" w:type="dxa"/>
            <w:vAlign w:val="center"/>
          </w:tcPr>
          <w:p>
            <w:pPr>
              <w:pStyle w:val="12"/>
              <w:rPr>
                <w:rFonts w:hAnsi="宋体"/>
                <w:color w:val="auto"/>
                <w:sz w:val="22"/>
                <w:szCs w:val="22"/>
              </w:rPr>
            </w:pPr>
          </w:p>
        </w:tc>
        <w:tc>
          <w:tcPr>
            <w:tcW w:w="915" w:type="dxa"/>
            <w:vAlign w:val="center"/>
          </w:tcPr>
          <w:p>
            <w:pPr>
              <w:pStyle w:val="12"/>
              <w:spacing w:line="360" w:lineRule="auto"/>
              <w:jc w:val="center"/>
              <w:rPr>
                <w:rFonts w:hAnsi="宋体"/>
                <w:color w:val="auto"/>
                <w:sz w:val="22"/>
                <w:szCs w:val="22"/>
              </w:rPr>
            </w:pPr>
          </w:p>
        </w:tc>
        <w:tc>
          <w:tcPr>
            <w:tcW w:w="1875" w:type="dxa"/>
            <w:vAlign w:val="center"/>
          </w:tcPr>
          <w:p>
            <w:pPr>
              <w:pStyle w:val="12"/>
              <w:spacing w:line="360" w:lineRule="auto"/>
              <w:jc w:val="center"/>
              <w:rPr>
                <w:rFonts w:hAnsi="宋体"/>
                <w:color w:val="auto"/>
                <w:sz w:val="22"/>
                <w:szCs w:val="22"/>
              </w:rPr>
            </w:pPr>
          </w:p>
        </w:tc>
        <w:tc>
          <w:tcPr>
            <w:tcW w:w="495" w:type="dxa"/>
            <w:vAlign w:val="center"/>
          </w:tcPr>
          <w:p>
            <w:pPr>
              <w:pStyle w:val="12"/>
              <w:spacing w:line="360" w:lineRule="auto"/>
              <w:jc w:val="center"/>
              <w:rPr>
                <w:rFonts w:hAnsi="宋体"/>
                <w:color w:val="auto"/>
                <w:sz w:val="22"/>
                <w:szCs w:val="22"/>
              </w:rPr>
            </w:pPr>
          </w:p>
        </w:tc>
        <w:tc>
          <w:tcPr>
            <w:tcW w:w="498" w:type="dxa"/>
            <w:vAlign w:val="center"/>
          </w:tcPr>
          <w:p>
            <w:pPr>
              <w:pStyle w:val="12"/>
              <w:spacing w:line="360" w:lineRule="auto"/>
              <w:jc w:val="center"/>
              <w:rPr>
                <w:rFonts w:hAnsi="宋体"/>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dxa"/>
            <w:vAlign w:val="center"/>
          </w:tcPr>
          <w:p>
            <w:pPr>
              <w:pStyle w:val="12"/>
              <w:spacing w:line="360" w:lineRule="auto"/>
              <w:jc w:val="center"/>
              <w:rPr>
                <w:rFonts w:hAnsi="宋体"/>
                <w:color w:val="auto"/>
                <w:sz w:val="22"/>
                <w:szCs w:val="22"/>
              </w:rPr>
            </w:pPr>
            <w:r>
              <w:rPr>
                <w:rFonts w:hint="eastAsia" w:hAnsi="宋体"/>
                <w:color w:val="auto"/>
                <w:sz w:val="22"/>
                <w:szCs w:val="22"/>
              </w:rPr>
              <w:t>5</w:t>
            </w:r>
          </w:p>
        </w:tc>
        <w:tc>
          <w:tcPr>
            <w:tcW w:w="2490" w:type="dxa"/>
            <w:vAlign w:val="center"/>
          </w:tcPr>
          <w:p>
            <w:pPr>
              <w:pStyle w:val="12"/>
              <w:spacing w:line="360" w:lineRule="auto"/>
              <w:rPr>
                <w:rFonts w:hAnsi="宋体"/>
                <w:color w:val="auto"/>
                <w:sz w:val="22"/>
                <w:szCs w:val="22"/>
              </w:rPr>
            </w:pPr>
          </w:p>
        </w:tc>
        <w:tc>
          <w:tcPr>
            <w:tcW w:w="915" w:type="dxa"/>
            <w:vAlign w:val="center"/>
          </w:tcPr>
          <w:p>
            <w:pPr>
              <w:jc w:val="center"/>
              <w:rPr>
                <w:rFonts w:ascii="宋体" w:hAnsi="宋体" w:cs="宋体"/>
                <w:color w:val="auto"/>
                <w:sz w:val="22"/>
                <w:szCs w:val="22"/>
              </w:rPr>
            </w:pPr>
          </w:p>
        </w:tc>
        <w:tc>
          <w:tcPr>
            <w:tcW w:w="1875" w:type="dxa"/>
            <w:vAlign w:val="center"/>
          </w:tcPr>
          <w:p>
            <w:pPr>
              <w:jc w:val="center"/>
              <w:rPr>
                <w:rFonts w:ascii="宋体" w:hAnsi="宋体" w:cs="宋体"/>
                <w:color w:val="auto"/>
                <w:sz w:val="22"/>
                <w:szCs w:val="22"/>
              </w:rPr>
            </w:pPr>
          </w:p>
        </w:tc>
        <w:tc>
          <w:tcPr>
            <w:tcW w:w="495" w:type="dxa"/>
            <w:vAlign w:val="center"/>
          </w:tcPr>
          <w:p>
            <w:pPr>
              <w:pStyle w:val="12"/>
              <w:spacing w:line="360" w:lineRule="auto"/>
              <w:jc w:val="center"/>
              <w:rPr>
                <w:rFonts w:hAnsi="宋体"/>
                <w:color w:val="auto"/>
                <w:sz w:val="22"/>
                <w:szCs w:val="22"/>
              </w:rPr>
            </w:pPr>
          </w:p>
        </w:tc>
        <w:tc>
          <w:tcPr>
            <w:tcW w:w="498" w:type="dxa"/>
            <w:vAlign w:val="center"/>
          </w:tcPr>
          <w:p>
            <w:pPr>
              <w:pStyle w:val="12"/>
              <w:spacing w:line="360" w:lineRule="auto"/>
              <w:jc w:val="center"/>
              <w:rPr>
                <w:rFonts w:hAnsi="宋体"/>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dxa"/>
          </w:tcPr>
          <w:p>
            <w:pPr>
              <w:pStyle w:val="12"/>
              <w:spacing w:line="360" w:lineRule="auto"/>
              <w:rPr>
                <w:rFonts w:hAnsi="宋体"/>
                <w:color w:val="auto"/>
                <w:sz w:val="22"/>
                <w:szCs w:val="22"/>
              </w:rPr>
            </w:pPr>
          </w:p>
        </w:tc>
        <w:tc>
          <w:tcPr>
            <w:tcW w:w="2490" w:type="dxa"/>
            <w:vAlign w:val="center"/>
          </w:tcPr>
          <w:p>
            <w:pPr>
              <w:pStyle w:val="12"/>
              <w:spacing w:line="360" w:lineRule="auto"/>
              <w:jc w:val="center"/>
              <w:rPr>
                <w:rFonts w:hAnsi="宋体"/>
                <w:color w:val="auto"/>
                <w:sz w:val="22"/>
                <w:szCs w:val="22"/>
              </w:rPr>
            </w:pPr>
            <w:r>
              <w:rPr>
                <w:rFonts w:hint="eastAsia" w:hAnsi="宋体"/>
                <w:color w:val="auto"/>
                <w:sz w:val="22"/>
                <w:szCs w:val="22"/>
              </w:rPr>
              <w:t>……</w:t>
            </w:r>
          </w:p>
        </w:tc>
        <w:tc>
          <w:tcPr>
            <w:tcW w:w="915" w:type="dxa"/>
            <w:vAlign w:val="center"/>
          </w:tcPr>
          <w:p>
            <w:pPr>
              <w:jc w:val="center"/>
              <w:rPr>
                <w:rFonts w:ascii="宋体" w:hAnsi="宋体" w:cs="宋体"/>
                <w:color w:val="auto"/>
                <w:sz w:val="22"/>
                <w:szCs w:val="22"/>
              </w:rPr>
            </w:pPr>
          </w:p>
        </w:tc>
        <w:tc>
          <w:tcPr>
            <w:tcW w:w="1875" w:type="dxa"/>
            <w:vAlign w:val="center"/>
          </w:tcPr>
          <w:p>
            <w:pPr>
              <w:jc w:val="center"/>
              <w:rPr>
                <w:rFonts w:ascii="宋体" w:hAnsi="宋体" w:cs="宋体"/>
                <w:color w:val="auto"/>
                <w:sz w:val="22"/>
                <w:szCs w:val="22"/>
              </w:rPr>
            </w:pPr>
          </w:p>
        </w:tc>
        <w:tc>
          <w:tcPr>
            <w:tcW w:w="495" w:type="dxa"/>
            <w:vAlign w:val="center"/>
          </w:tcPr>
          <w:p>
            <w:pPr>
              <w:pStyle w:val="12"/>
              <w:spacing w:line="360" w:lineRule="auto"/>
              <w:jc w:val="center"/>
              <w:rPr>
                <w:rFonts w:hAnsi="宋体"/>
                <w:color w:val="auto"/>
                <w:sz w:val="22"/>
                <w:szCs w:val="22"/>
              </w:rPr>
            </w:pPr>
          </w:p>
        </w:tc>
        <w:tc>
          <w:tcPr>
            <w:tcW w:w="498" w:type="dxa"/>
            <w:vAlign w:val="center"/>
          </w:tcPr>
          <w:p>
            <w:pPr>
              <w:pStyle w:val="12"/>
              <w:spacing w:line="360" w:lineRule="auto"/>
              <w:jc w:val="center"/>
              <w:rPr>
                <w:rFonts w:hAnsi="宋体"/>
                <w:color w:val="auto"/>
                <w:sz w:val="22"/>
                <w:szCs w:val="22"/>
              </w:rPr>
            </w:pPr>
          </w:p>
        </w:tc>
        <w:tc>
          <w:tcPr>
            <w:tcW w:w="1147" w:type="dxa"/>
          </w:tcPr>
          <w:p>
            <w:pPr>
              <w:pStyle w:val="12"/>
              <w:spacing w:line="360" w:lineRule="auto"/>
              <w:rPr>
                <w:rFonts w:hAnsi="宋体"/>
                <w:color w:val="auto"/>
                <w:sz w:val="22"/>
                <w:szCs w:val="22"/>
              </w:rPr>
            </w:pPr>
          </w:p>
        </w:tc>
        <w:tc>
          <w:tcPr>
            <w:tcW w:w="1123" w:type="dxa"/>
          </w:tcPr>
          <w:p>
            <w:pPr>
              <w:pStyle w:val="12"/>
              <w:spacing w:line="360" w:lineRule="auto"/>
              <w:rPr>
                <w:rFonts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979" w:type="dxa"/>
            <w:gridSpan w:val="2"/>
            <w:vAlign w:val="center"/>
          </w:tcPr>
          <w:p>
            <w:pPr>
              <w:pStyle w:val="12"/>
              <w:spacing w:line="360" w:lineRule="auto"/>
              <w:jc w:val="center"/>
              <w:rPr>
                <w:rFonts w:hAnsi="宋体"/>
                <w:color w:val="auto"/>
                <w:sz w:val="22"/>
                <w:szCs w:val="22"/>
              </w:rPr>
            </w:pPr>
            <w:r>
              <w:rPr>
                <w:rFonts w:hint="eastAsia" w:hAnsi="宋体"/>
                <w:color w:val="auto"/>
                <w:sz w:val="22"/>
                <w:szCs w:val="22"/>
              </w:rPr>
              <w:t>投标总价</w:t>
            </w:r>
          </w:p>
        </w:tc>
        <w:tc>
          <w:tcPr>
            <w:tcW w:w="6053" w:type="dxa"/>
            <w:gridSpan w:val="6"/>
            <w:vAlign w:val="center"/>
          </w:tcPr>
          <w:p>
            <w:pPr>
              <w:pStyle w:val="12"/>
              <w:spacing w:line="360" w:lineRule="auto"/>
              <w:jc w:val="center"/>
              <w:rPr>
                <w:rFonts w:hAnsi="宋体"/>
                <w:color w:val="auto"/>
                <w:sz w:val="22"/>
                <w:szCs w:val="22"/>
              </w:rPr>
            </w:pPr>
            <w:r>
              <w:rPr>
                <w:rFonts w:hint="eastAsia" w:hAnsi="宋体"/>
                <w:color w:val="auto"/>
                <w:sz w:val="22"/>
                <w:szCs w:val="22"/>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2"/>
              <w:spacing w:line="360" w:lineRule="auto"/>
              <w:ind w:firstLine="440" w:firstLineChars="200"/>
              <w:rPr>
                <w:rFonts w:hAnsi="宋体"/>
                <w:color w:val="auto"/>
                <w:sz w:val="22"/>
                <w:szCs w:val="22"/>
              </w:rPr>
            </w:pPr>
            <w:r>
              <w:rPr>
                <w:rFonts w:hint="eastAsia" w:hAnsi="宋体"/>
                <w:color w:val="auto"/>
                <w:sz w:val="22"/>
                <w:szCs w:val="22"/>
              </w:rPr>
              <w:t>本次报价应包含项目所需全部服务，不得缺漏，是履行合同的最终价格（包括服务费、调研费、评审费、培训费、人员工资福利费、差旅费、交通费、税金费、风险费、不可预见费等一切项目实施所需费用）</w:t>
            </w:r>
          </w:p>
        </w:tc>
      </w:tr>
    </w:tbl>
    <w:p>
      <w:pPr>
        <w:pStyle w:val="12"/>
        <w:spacing w:line="360" w:lineRule="auto"/>
        <w:ind w:firstLine="480" w:firstLineChars="200"/>
        <w:rPr>
          <w:rFonts w:hAnsi="宋体" w:cs="Times New Roman"/>
          <w:color w:val="auto"/>
          <w:sz w:val="24"/>
          <w:szCs w:val="24"/>
        </w:rPr>
      </w:pPr>
      <w:r>
        <w:rPr>
          <w:rFonts w:hint="eastAsia" w:hAnsi="宋体"/>
          <w:color w:val="auto"/>
          <w:sz w:val="24"/>
          <w:szCs w:val="24"/>
        </w:rPr>
        <w:t>注：内容可根据供应商实际情况自行调整。</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hAnsi="宋体" w:cs="宋体"/>
          <w:color w:val="auto"/>
          <w:sz w:val="24"/>
          <w:szCs w:val="24"/>
        </w:rPr>
      </w:pPr>
      <w:r>
        <w:rPr>
          <w:rFonts w:hint="eastAsia" w:ascii="宋体" w:hAnsi="宋体" w:cs="宋体"/>
          <w:color w:val="auto"/>
          <w:sz w:val="24"/>
          <w:szCs w:val="24"/>
        </w:rPr>
        <w:t>供应商全称（公章）：</w:t>
      </w:r>
    </w:p>
    <w:p>
      <w:pPr>
        <w:rPr>
          <w:rFonts w:ascii="宋体" w:hAnsi="宋体" w:cs="宋体"/>
          <w:color w:val="auto"/>
          <w:sz w:val="24"/>
          <w:szCs w:val="24"/>
        </w:rPr>
      </w:pPr>
      <w:r>
        <w:rPr>
          <w:rFonts w:hint="eastAsia" w:ascii="宋体" w:hAnsi="宋体" w:cs="宋体"/>
          <w:color w:val="auto"/>
          <w:sz w:val="24"/>
          <w:szCs w:val="24"/>
        </w:rPr>
        <w:br w:type="page"/>
      </w:r>
    </w:p>
    <w:p>
      <w:pPr>
        <w:spacing w:line="360" w:lineRule="auto"/>
        <w:jc w:val="left"/>
        <w:rPr>
          <w:rFonts w:ascii="宋体"/>
          <w:b/>
          <w:bCs/>
          <w:color w:val="auto"/>
          <w:sz w:val="32"/>
          <w:szCs w:val="32"/>
        </w:rPr>
      </w:pPr>
      <w:r>
        <w:rPr>
          <w:rFonts w:hint="eastAsia" w:ascii="宋体" w:hAnsi="宋体" w:cs="宋体"/>
          <w:b/>
          <w:bCs/>
          <w:color w:val="auto"/>
          <w:sz w:val="24"/>
          <w:szCs w:val="24"/>
          <w:lang w:val="zh-CN"/>
        </w:rPr>
        <w:t>附件十</w:t>
      </w:r>
      <w:r>
        <w:rPr>
          <w:rFonts w:hint="eastAsia" w:hAnsi="宋体" w:cs="宋体"/>
          <w:b/>
          <w:bCs/>
          <w:color w:val="auto"/>
          <w:sz w:val="24"/>
          <w:szCs w:val="24"/>
        </w:rPr>
        <w:t>二</w:t>
      </w:r>
      <w:r>
        <w:rPr>
          <w:rFonts w:hint="eastAsia" w:ascii="宋体" w:hAnsi="宋体" w:cs="宋体"/>
          <w:b/>
          <w:bCs/>
          <w:color w:val="auto"/>
          <w:sz w:val="24"/>
          <w:szCs w:val="24"/>
          <w:lang w:val="zh-CN"/>
        </w:rPr>
        <w:t>：</w:t>
      </w:r>
    </w:p>
    <w:p>
      <w:pPr>
        <w:spacing w:line="360" w:lineRule="auto"/>
        <w:jc w:val="center"/>
        <w:rPr>
          <w:rFonts w:ascii="宋体"/>
          <w:b/>
          <w:bCs/>
          <w:color w:val="auto"/>
          <w:sz w:val="32"/>
          <w:szCs w:val="32"/>
        </w:rPr>
      </w:pPr>
      <w:r>
        <w:rPr>
          <w:rFonts w:hint="eastAsia" w:ascii="宋体" w:hAnsi="宋体" w:cs="宋体"/>
          <w:b/>
          <w:bCs/>
          <w:color w:val="auto"/>
          <w:sz w:val="32"/>
          <w:szCs w:val="32"/>
        </w:rPr>
        <w:t>中小企业声明函</w:t>
      </w:r>
    </w:p>
    <w:p>
      <w:pPr>
        <w:widowControl/>
        <w:snapToGrid w:val="0"/>
        <w:spacing w:line="324" w:lineRule="auto"/>
        <w:ind w:firstLine="480" w:firstLineChars="200"/>
        <w:jc w:val="center"/>
        <w:rPr>
          <w:rFonts w:ascii="宋体"/>
          <w:color w:val="auto"/>
          <w:kern w:val="0"/>
          <w:sz w:val="24"/>
          <w:szCs w:val="24"/>
        </w:rPr>
      </w:pPr>
      <w:r>
        <w:rPr>
          <w:rFonts w:hint="eastAsia" w:ascii="宋体" w:hAnsi="宋体" w:cs="宋体"/>
          <w:color w:val="auto"/>
          <w:kern w:val="0"/>
          <w:sz w:val="24"/>
          <w:szCs w:val="24"/>
        </w:rPr>
        <w:t>【不属于中小企业的无需填写、递交】</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本公司（联合体）郑重声明，根据《政府采购促进中小企业发展管理办法》 （财库﹝2020﹞46 号）的规定，本公司（联合体）参加</w:t>
      </w:r>
      <w:r>
        <w:rPr>
          <w:rFonts w:hint="eastAsia" w:ascii="宋体" w:hAnsi="宋体" w:cs="宋体"/>
          <w:color w:val="auto"/>
          <w:sz w:val="24"/>
          <w:szCs w:val="24"/>
          <w:u w:val="single"/>
        </w:rPr>
        <w:t xml:space="preserve"> （采购人名称） </w:t>
      </w:r>
      <w:r>
        <w:rPr>
          <w:rFonts w:hint="eastAsia" w:ascii="宋体" w:hAnsi="宋体" w:cs="宋体"/>
          <w:color w:val="auto"/>
          <w:sz w:val="24"/>
          <w:szCs w:val="24"/>
        </w:rPr>
        <w:t>的</w:t>
      </w:r>
      <w:r>
        <w:rPr>
          <w:rFonts w:hint="eastAsia" w:ascii="宋体" w:hAnsi="宋体" w:cs="宋体"/>
          <w:color w:val="auto"/>
          <w:sz w:val="24"/>
          <w:szCs w:val="24"/>
          <w:u w:val="single"/>
        </w:rPr>
        <w:t xml:space="preserve"> （项目名称）     </w:t>
      </w:r>
      <w:r>
        <w:rPr>
          <w:rFonts w:hint="eastAsia" w:ascii="宋体" w:hAnsi="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rPr>
      </w:pPr>
      <w:r>
        <w:rPr>
          <w:rFonts w:hint="eastAsia" w:ascii="宋体" w:hAnsi="宋体" w:cs="宋体"/>
          <w:color w:val="auto"/>
          <w:sz w:val="24"/>
          <w:szCs w:val="24"/>
        </w:rPr>
        <w:t>1.</w:t>
      </w:r>
      <w:r>
        <w:rPr>
          <w:rFonts w:hint="eastAsia" w:ascii="宋体" w:hAnsi="宋体" w:cs="宋体"/>
          <w:color w:val="auto"/>
          <w:sz w:val="24"/>
          <w:szCs w:val="24"/>
          <w:u w:val="single"/>
        </w:rPr>
        <w:t xml:space="preserve">  （项目名称）</w:t>
      </w:r>
      <w:r>
        <w:rPr>
          <w:rFonts w:hint="eastAsia" w:ascii="宋体" w:hAnsi="宋体" w:cs="宋体"/>
          <w:color w:val="auto"/>
          <w:sz w:val="24"/>
          <w:szCs w:val="24"/>
        </w:rPr>
        <w:t>，属于</w:t>
      </w:r>
      <w:r>
        <w:rPr>
          <w:rFonts w:hint="eastAsia" w:ascii="宋体" w:hAnsi="宋体" w:cs="宋体"/>
          <w:color w:val="auto"/>
          <w:sz w:val="24"/>
          <w:szCs w:val="24"/>
          <w:u w:val="single"/>
        </w:rPr>
        <w:t xml:space="preserve">                  （采购文件中明确的所属行业）</w:t>
      </w:r>
      <w:r>
        <w:rPr>
          <w:rFonts w:hint="eastAsia" w:ascii="宋体" w:hAnsi="宋体" w:cs="宋体"/>
          <w:color w:val="auto"/>
          <w:sz w:val="24"/>
          <w:szCs w:val="24"/>
        </w:rPr>
        <w:t>；承建（承接）企业为</w:t>
      </w:r>
      <w:r>
        <w:rPr>
          <w:rFonts w:hint="eastAsia" w:ascii="宋体" w:hAnsi="宋体" w:cs="宋体"/>
          <w:color w:val="auto"/>
          <w:sz w:val="24"/>
          <w:szCs w:val="24"/>
          <w:u w:val="single"/>
        </w:rPr>
        <w:t xml:space="preserve">           （企业名称） </w:t>
      </w:r>
      <w:r>
        <w:rPr>
          <w:rFonts w:hint="eastAsia" w:ascii="宋体" w:hAnsi="宋体" w:cs="宋体"/>
          <w:color w:val="auto"/>
          <w:sz w:val="24"/>
          <w:szCs w:val="24"/>
        </w:rPr>
        <w:t>，从业人员</w:t>
      </w:r>
      <w:r>
        <w:rPr>
          <w:rFonts w:hint="eastAsia" w:ascii="宋体" w:hAnsi="宋体" w:cs="宋体"/>
          <w:color w:val="auto"/>
          <w:sz w:val="24"/>
          <w:szCs w:val="24"/>
          <w:u w:val="single"/>
        </w:rPr>
        <w:t xml:space="preserve">   </w:t>
      </w:r>
      <w:r>
        <w:rPr>
          <w:rFonts w:hint="eastAsia" w:ascii="宋体" w:hAnsi="宋体" w:cs="宋体"/>
          <w:color w:val="auto"/>
          <w:sz w:val="24"/>
          <w:szCs w:val="24"/>
        </w:rPr>
        <w:t>人，营业收入为</w:t>
      </w:r>
      <w:r>
        <w:rPr>
          <w:rFonts w:hint="eastAsia" w:ascii="宋体" w:hAnsi="宋体" w:cs="宋体"/>
          <w:color w:val="auto"/>
          <w:sz w:val="24"/>
          <w:szCs w:val="24"/>
          <w:u w:val="single"/>
        </w:rPr>
        <w:t xml:space="preserve">  </w:t>
      </w:r>
      <w:r>
        <w:rPr>
          <w:rFonts w:hint="eastAsia" w:ascii="宋体" w:hAnsi="宋体" w:cs="宋体"/>
          <w:color w:val="auto"/>
          <w:sz w:val="24"/>
          <w:szCs w:val="24"/>
        </w:rPr>
        <w:t>万元，资产总额为</w:t>
      </w:r>
      <w:r>
        <w:rPr>
          <w:rFonts w:hint="eastAsia" w:ascii="宋体" w:hAnsi="宋体" w:cs="宋体"/>
          <w:color w:val="auto"/>
          <w:sz w:val="24"/>
          <w:szCs w:val="24"/>
          <w:u w:val="single"/>
        </w:rPr>
        <w:t xml:space="preserve">  </w:t>
      </w:r>
      <w:r>
        <w:rPr>
          <w:rFonts w:hint="eastAsia" w:ascii="宋体" w:hAnsi="宋体" w:cs="宋体"/>
          <w:color w:val="auto"/>
          <w:sz w:val="24"/>
          <w:szCs w:val="24"/>
        </w:rPr>
        <w:t>万元 ，属于</w:t>
      </w:r>
      <w:r>
        <w:rPr>
          <w:rFonts w:hint="eastAsia" w:ascii="宋体" w:hAnsi="宋体" w:cs="宋体"/>
          <w:color w:val="auto"/>
          <w:sz w:val="24"/>
          <w:szCs w:val="24"/>
          <w:u w:val="single"/>
        </w:rPr>
        <w:t xml:space="preserve">       （中型企业、小型企业、微型企业）</w:t>
      </w:r>
      <w:r>
        <w:rPr>
          <w:rFonts w:hint="eastAsia" w:ascii="宋体" w:hAnsi="宋体" w:cs="宋体"/>
          <w:color w:val="auto"/>
          <w:sz w:val="24"/>
          <w:szCs w:val="24"/>
        </w:rPr>
        <w:t xml:space="preserve"> ；</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rPr>
      </w:pPr>
    </w:p>
    <w:p>
      <w:pPr>
        <w:spacing w:line="288" w:lineRule="auto"/>
        <w:ind w:right="420" w:firstLine="4320" w:firstLineChars="1800"/>
        <w:rPr>
          <w:rFonts w:ascii="宋体" w:hAnsi="宋体" w:cs="宋体"/>
          <w:color w:val="auto"/>
          <w:sz w:val="24"/>
          <w:szCs w:val="24"/>
        </w:rPr>
      </w:pPr>
    </w:p>
    <w:p>
      <w:pPr>
        <w:spacing w:line="288" w:lineRule="auto"/>
        <w:ind w:right="420" w:firstLine="4800" w:firstLineChars="2000"/>
        <w:rPr>
          <w:rFonts w:ascii="宋体" w:hAnsi="宋体" w:cs="宋体"/>
          <w:color w:val="auto"/>
          <w:sz w:val="24"/>
          <w:szCs w:val="24"/>
        </w:rPr>
      </w:pPr>
      <w:r>
        <w:rPr>
          <w:rFonts w:hint="eastAsia" w:ascii="宋体" w:hAnsi="宋体" w:cs="宋体"/>
          <w:color w:val="auto"/>
          <w:sz w:val="24"/>
          <w:szCs w:val="24"/>
        </w:rPr>
        <w:t xml:space="preserve">企业名称（盖章）： </w:t>
      </w:r>
    </w:p>
    <w:p>
      <w:pPr>
        <w:spacing w:line="288" w:lineRule="auto"/>
        <w:ind w:left="3780" w:leftChars="1800" w:firstLine="960" w:firstLineChars="400"/>
        <w:rPr>
          <w:rFonts w:ascii="宋体" w:hAnsi="宋体" w:cs="宋体"/>
          <w:color w:val="auto"/>
          <w:sz w:val="24"/>
          <w:szCs w:val="24"/>
        </w:rPr>
      </w:pPr>
      <w:r>
        <w:rPr>
          <w:rFonts w:hint="eastAsia" w:ascii="宋体" w:hAnsi="宋体" w:cs="宋体"/>
          <w:color w:val="auto"/>
          <w:sz w:val="24"/>
          <w:szCs w:val="24"/>
        </w:rPr>
        <w:t>日期：   年     月     日</w:t>
      </w:r>
    </w:p>
    <w:p>
      <w:pPr>
        <w:pStyle w:val="3"/>
        <w:spacing w:line="288" w:lineRule="auto"/>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p>
    <w:p>
      <w:pPr>
        <w:spacing w:line="288" w:lineRule="auto"/>
        <w:ind w:firstLine="480" w:firstLineChars="200"/>
        <w:jc w:val="left"/>
        <w:rPr>
          <w:rFonts w:ascii="宋体" w:hAnsi="宋体" w:cs="宋体"/>
          <w:color w:val="auto"/>
          <w:sz w:val="24"/>
          <w:szCs w:val="24"/>
        </w:rPr>
      </w:pPr>
      <w:r>
        <w:rPr>
          <w:rFonts w:hint="eastAsia" w:ascii="宋体" w:hAnsi="宋体" w:cs="宋体"/>
          <w:color w:val="auto"/>
          <w:sz w:val="24"/>
          <w:szCs w:val="24"/>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rPr>
      </w:pPr>
    </w:p>
    <w:p>
      <w:pPr>
        <w:pStyle w:val="2"/>
        <w:spacing w:line="360" w:lineRule="auto"/>
        <w:jc w:val="center"/>
        <w:rPr>
          <w:rFonts w:hAnsi="宋体" w:cs="Times New Roman"/>
          <w:color w:val="auto"/>
          <w:sz w:val="24"/>
          <w:szCs w:val="24"/>
        </w:rPr>
      </w:pPr>
    </w:p>
    <w:p>
      <w:pPr>
        <w:pStyle w:val="2"/>
        <w:spacing w:line="360" w:lineRule="auto"/>
        <w:jc w:val="center"/>
        <w:rPr>
          <w:rFonts w:hAnsi="宋体" w:cs="Times New Roman"/>
          <w:color w:val="auto"/>
          <w:sz w:val="24"/>
          <w:szCs w:val="24"/>
        </w:rPr>
      </w:pPr>
    </w:p>
    <w:p>
      <w:pPr>
        <w:jc w:val="center"/>
        <w:rPr>
          <w:color w:val="auto"/>
          <w:lang w:val="zh-CN"/>
        </w:rPr>
      </w:pPr>
      <w:bookmarkStart w:id="93" w:name="_Toc30916"/>
      <w:bookmarkStart w:id="94" w:name="_Toc2071"/>
      <w:bookmarkStart w:id="95" w:name="_Toc3295"/>
      <w:r>
        <w:rPr>
          <w:rFonts w:hAnsi="宋体"/>
          <w:color w:val="auto"/>
        </w:rPr>
        <w:br w:type="page"/>
      </w:r>
      <w:bookmarkEnd w:id="93"/>
      <w:bookmarkEnd w:id="94"/>
      <w:bookmarkEnd w:id="95"/>
    </w:p>
    <w:bookmarkEnd w:id="92"/>
    <w:p>
      <w:pPr>
        <w:rPr>
          <w:b/>
          <w:bCs/>
          <w:color w:val="auto"/>
          <w:sz w:val="24"/>
          <w:szCs w:val="24"/>
          <w:lang w:val="zh-CN"/>
        </w:rPr>
      </w:pPr>
      <w:bookmarkStart w:id="96" w:name="_Toc25017"/>
      <w:bookmarkStart w:id="97" w:name="_Toc9715"/>
      <w:bookmarkStart w:id="98" w:name="_Toc16150"/>
      <w:bookmarkStart w:id="99" w:name="_Toc31472"/>
      <w:r>
        <w:rPr>
          <w:rFonts w:hint="eastAsia" w:cs="宋体"/>
          <w:b/>
          <w:bCs/>
          <w:color w:val="auto"/>
          <w:sz w:val="24"/>
          <w:szCs w:val="24"/>
          <w:lang w:val="zh-CN"/>
        </w:rPr>
        <w:t>附件十</w:t>
      </w:r>
      <w:r>
        <w:rPr>
          <w:rFonts w:hint="eastAsia" w:cs="宋体"/>
          <w:b/>
          <w:bCs/>
          <w:color w:val="auto"/>
          <w:sz w:val="24"/>
          <w:szCs w:val="24"/>
        </w:rPr>
        <w:t>三：</w:t>
      </w:r>
    </w:p>
    <w:p>
      <w:pPr>
        <w:spacing w:line="360" w:lineRule="auto"/>
        <w:jc w:val="center"/>
        <w:rPr>
          <w:rFonts w:ascii="宋体"/>
          <w:b/>
          <w:bCs/>
          <w:color w:val="auto"/>
          <w:sz w:val="32"/>
          <w:szCs w:val="32"/>
        </w:rPr>
      </w:pPr>
      <w:r>
        <w:rPr>
          <w:rFonts w:hint="eastAsia" w:ascii="宋体" w:hAnsi="宋体" w:cs="宋体"/>
          <w:b/>
          <w:bCs/>
          <w:color w:val="auto"/>
          <w:sz w:val="32"/>
          <w:szCs w:val="32"/>
        </w:rPr>
        <w:t>残疾人福利性单位声明函</w:t>
      </w:r>
      <w:bookmarkEnd w:id="96"/>
      <w:bookmarkEnd w:id="97"/>
      <w:bookmarkEnd w:id="98"/>
      <w:bookmarkEnd w:id="99"/>
    </w:p>
    <w:p>
      <w:pPr>
        <w:widowControl/>
        <w:snapToGrid w:val="0"/>
        <w:spacing w:line="324" w:lineRule="auto"/>
        <w:ind w:firstLine="480" w:firstLineChars="200"/>
        <w:jc w:val="center"/>
        <w:rPr>
          <w:rFonts w:ascii="宋体"/>
          <w:color w:val="auto"/>
          <w:kern w:val="0"/>
          <w:sz w:val="24"/>
          <w:szCs w:val="24"/>
        </w:rPr>
      </w:pPr>
      <w:r>
        <w:rPr>
          <w:rFonts w:hint="eastAsia" w:ascii="宋体" w:hAnsi="宋体" w:cs="宋体"/>
          <w:color w:val="auto"/>
          <w:kern w:val="0"/>
          <w:sz w:val="24"/>
          <w:szCs w:val="24"/>
        </w:rPr>
        <w:t>【不属于残疾人福利性单位的无需填写、递交】</w:t>
      </w:r>
    </w:p>
    <w:p>
      <w:pPr>
        <w:spacing w:line="588" w:lineRule="exact"/>
        <w:rPr>
          <w:rFonts w:ascii="宋体"/>
          <w:b/>
          <w:bCs/>
          <w:color w:val="auto"/>
          <w:spacing w:val="6"/>
          <w:sz w:val="30"/>
          <w:szCs w:val="30"/>
        </w:rPr>
      </w:pPr>
    </w:p>
    <w:p>
      <w:pPr>
        <w:spacing w:line="588" w:lineRule="exact"/>
        <w:ind w:firstLine="480" w:firstLineChars="200"/>
        <w:rPr>
          <w:rFonts w:ascii="宋体"/>
          <w:color w:val="auto"/>
          <w:sz w:val="24"/>
          <w:szCs w:val="24"/>
        </w:rPr>
      </w:pPr>
      <w:r>
        <w:rPr>
          <w:rFonts w:hint="eastAsia" w:ascii="宋体" w:hAnsi="宋体" w:cs="宋体"/>
          <w:color w:val="auto"/>
          <w:sz w:val="24"/>
          <w:szCs w:val="24"/>
        </w:rPr>
        <w:t>本单位郑重声明，根据《财政部</w:t>
      </w:r>
      <w:r>
        <w:rPr>
          <w:rFonts w:ascii="宋体" w:hAnsi="宋体" w:cs="宋体"/>
          <w:color w:val="auto"/>
          <w:sz w:val="24"/>
          <w:szCs w:val="24"/>
        </w:rPr>
        <w:t xml:space="preserve"> </w:t>
      </w:r>
      <w:r>
        <w:rPr>
          <w:rFonts w:hint="eastAsia" w:ascii="宋体" w:hAnsi="宋体" w:cs="宋体"/>
          <w:color w:val="auto"/>
          <w:sz w:val="24"/>
          <w:szCs w:val="24"/>
        </w:rPr>
        <w:t>民政部</w:t>
      </w:r>
      <w:r>
        <w:rPr>
          <w:rFonts w:ascii="宋体" w:hAnsi="宋体" w:cs="宋体"/>
          <w:color w:val="auto"/>
          <w:sz w:val="24"/>
          <w:szCs w:val="24"/>
        </w:rPr>
        <w:t xml:space="preserve"> </w:t>
      </w:r>
      <w:r>
        <w:rPr>
          <w:rFonts w:hint="eastAsia" w:ascii="宋体" w:hAnsi="宋体" w:cs="宋体"/>
          <w:color w:val="auto"/>
          <w:sz w:val="24"/>
          <w:szCs w:val="24"/>
        </w:rPr>
        <w:t>中国残疾人联合会关于促进残疾人就业政府采购政策的通知》（财库〔</w:t>
      </w:r>
      <w:r>
        <w:rPr>
          <w:rFonts w:ascii="宋体" w:hAnsi="宋体" w:cs="宋体"/>
          <w:color w:val="auto"/>
          <w:sz w:val="24"/>
          <w:szCs w:val="24"/>
        </w:rPr>
        <w:t>2017</w:t>
      </w:r>
      <w:r>
        <w:rPr>
          <w:rFonts w:hint="eastAsia" w:ascii="宋体" w:hAnsi="宋体" w:cs="宋体"/>
          <w:color w:val="auto"/>
          <w:sz w:val="24"/>
          <w:szCs w:val="24"/>
        </w:rPr>
        <w:t>〕</w:t>
      </w:r>
      <w:r>
        <w:rPr>
          <w:rFonts w:ascii="宋体" w:hAnsi="宋体" w:cs="宋体"/>
          <w:color w:val="auto"/>
          <w:sz w:val="24"/>
          <w:szCs w:val="24"/>
        </w:rPr>
        <w:t xml:space="preserve"> 141</w:t>
      </w:r>
      <w:r>
        <w:rPr>
          <w:rFonts w:hint="eastAsia" w:ascii="宋体" w:hAnsi="宋体" w:cs="宋体"/>
          <w:color w:val="auto"/>
          <w:sz w:val="24"/>
          <w:szCs w:val="24"/>
        </w:rPr>
        <w:t>号）的规定，本单位为符合条件的残疾人福利性单位，且本单位参加</w:t>
      </w:r>
      <w:r>
        <w:rPr>
          <w:rFonts w:ascii="宋体" w:hAnsi="宋体" w:cs="宋体"/>
          <w:color w:val="auto"/>
          <w:sz w:val="24"/>
          <w:szCs w:val="24"/>
        </w:rPr>
        <w:t>______</w:t>
      </w:r>
      <w:r>
        <w:rPr>
          <w:rFonts w:hint="eastAsia" w:ascii="宋体" w:hAnsi="宋体" w:cs="宋体"/>
          <w:color w:val="auto"/>
          <w:sz w:val="24"/>
          <w:szCs w:val="24"/>
        </w:rPr>
        <w:t>单位的</w:t>
      </w:r>
      <w:r>
        <w:rPr>
          <w:rFonts w:ascii="宋体" w:hAnsi="宋体" w:cs="宋体"/>
          <w:color w:val="auto"/>
          <w:sz w:val="24"/>
          <w:szCs w:val="24"/>
        </w:rPr>
        <w:t>______</w:t>
      </w:r>
      <w:r>
        <w:rPr>
          <w:rFonts w:hint="eastAsia" w:ascii="宋体" w:hAnsi="宋体" w:cs="宋体"/>
          <w:color w:val="auto"/>
          <w:sz w:val="24"/>
          <w:szCs w:val="24"/>
        </w:rPr>
        <w:t>项目采购活动提供本单位服务，或者提供其他残疾人福利性单位提供的服务。本单位对上述声明的真实性负责。如有虚假，将依法承担相应责任。</w:t>
      </w:r>
    </w:p>
    <w:p>
      <w:pPr>
        <w:pStyle w:val="2"/>
        <w:rPr>
          <w:rFonts w:cs="Times New Roman"/>
          <w:color w:val="auto"/>
        </w:rPr>
      </w:pPr>
    </w:p>
    <w:p>
      <w:pPr>
        <w:pStyle w:val="3"/>
        <w:rPr>
          <w:color w:val="auto"/>
        </w:rPr>
      </w:pPr>
    </w:p>
    <w:p>
      <w:pPr>
        <w:spacing w:line="588" w:lineRule="exact"/>
        <w:rPr>
          <w:rFonts w:ascii="宋体"/>
          <w:color w:val="auto"/>
          <w:sz w:val="24"/>
          <w:szCs w:val="24"/>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rPr>
          <w:b/>
          <w:bCs/>
          <w:color w:val="auto"/>
          <w:sz w:val="24"/>
          <w:szCs w:val="24"/>
          <w:lang w:val="zh-CN"/>
        </w:rPr>
      </w:pPr>
      <w:bookmarkStart w:id="100" w:name="_Toc15966"/>
      <w:bookmarkStart w:id="101" w:name="_Toc24"/>
      <w:bookmarkStart w:id="102" w:name="_Toc2386"/>
      <w:bookmarkStart w:id="103" w:name="_Toc5441"/>
      <w:r>
        <w:rPr>
          <w:color w:val="auto"/>
          <w:sz w:val="24"/>
          <w:szCs w:val="24"/>
          <w:lang w:val="zh-CN"/>
        </w:rPr>
        <w:br w:type="page"/>
      </w:r>
      <w:r>
        <w:rPr>
          <w:rFonts w:hint="eastAsia" w:cs="宋体"/>
          <w:b/>
          <w:bCs/>
          <w:color w:val="auto"/>
          <w:sz w:val="24"/>
          <w:szCs w:val="24"/>
          <w:lang w:val="zh-CN"/>
        </w:rPr>
        <w:t>附件十</w:t>
      </w:r>
      <w:r>
        <w:rPr>
          <w:rFonts w:hint="eastAsia" w:cs="宋体"/>
          <w:b/>
          <w:bCs/>
          <w:color w:val="auto"/>
          <w:sz w:val="24"/>
          <w:szCs w:val="24"/>
        </w:rPr>
        <w:t>四：</w:t>
      </w:r>
    </w:p>
    <w:p>
      <w:pPr>
        <w:spacing w:line="360" w:lineRule="auto"/>
        <w:jc w:val="center"/>
        <w:rPr>
          <w:rFonts w:ascii="宋体"/>
          <w:b/>
          <w:bCs/>
          <w:color w:val="auto"/>
          <w:sz w:val="32"/>
          <w:szCs w:val="32"/>
        </w:rPr>
      </w:pPr>
      <w:r>
        <w:rPr>
          <w:rFonts w:hint="eastAsia" w:ascii="宋体" w:hAnsi="宋体" w:cs="宋体"/>
          <w:b/>
          <w:bCs/>
          <w:color w:val="auto"/>
          <w:sz w:val="32"/>
          <w:szCs w:val="32"/>
        </w:rPr>
        <w:t>监狱企业证明文件</w:t>
      </w:r>
      <w:bookmarkEnd w:id="100"/>
      <w:bookmarkEnd w:id="101"/>
      <w:bookmarkEnd w:id="102"/>
      <w:bookmarkEnd w:id="103"/>
    </w:p>
    <w:p>
      <w:pPr>
        <w:widowControl/>
        <w:snapToGrid w:val="0"/>
        <w:spacing w:line="360" w:lineRule="auto"/>
        <w:jc w:val="center"/>
        <w:rPr>
          <w:rFonts w:ascii="宋体"/>
          <w:color w:val="auto"/>
          <w:kern w:val="0"/>
          <w:sz w:val="28"/>
          <w:szCs w:val="28"/>
        </w:rPr>
      </w:pPr>
      <w:r>
        <w:rPr>
          <w:rFonts w:hint="eastAsia" w:ascii="宋体" w:hAnsi="宋体" w:cs="宋体"/>
          <w:color w:val="auto"/>
          <w:kern w:val="0"/>
          <w:sz w:val="28"/>
          <w:szCs w:val="28"/>
        </w:rPr>
        <w:t>【不属于监狱企业的无需填写、递交】</w:t>
      </w:r>
    </w:p>
    <w:p>
      <w:pPr>
        <w:widowControl/>
        <w:snapToGrid w:val="0"/>
        <w:spacing w:line="324" w:lineRule="auto"/>
        <w:jc w:val="center"/>
        <w:rPr>
          <w:rFonts w:ascii="宋体"/>
          <w:color w:val="auto"/>
          <w:kern w:val="0"/>
          <w:sz w:val="24"/>
          <w:szCs w:val="24"/>
        </w:rPr>
      </w:pPr>
    </w:p>
    <w:p>
      <w:pPr>
        <w:spacing w:line="588" w:lineRule="exact"/>
        <w:ind w:firstLine="480" w:firstLineChars="200"/>
        <w:rPr>
          <w:rFonts w:ascii="宋体"/>
          <w:color w:val="auto"/>
          <w:sz w:val="24"/>
          <w:szCs w:val="24"/>
        </w:rPr>
      </w:pPr>
    </w:p>
    <w:p>
      <w:pPr>
        <w:adjustRightInd w:val="0"/>
        <w:snapToGrid w:val="0"/>
        <w:spacing w:beforeLines="50" w:line="360" w:lineRule="auto"/>
        <w:ind w:firstLine="480" w:firstLineChars="200"/>
        <w:rPr>
          <w:rFonts w:ascii="宋体"/>
          <w:color w:val="auto"/>
          <w:sz w:val="24"/>
          <w:szCs w:val="24"/>
        </w:rPr>
      </w:pPr>
      <w:r>
        <w:rPr>
          <w:rFonts w:hint="eastAsia" w:ascii="宋体" w:hAnsi="宋体" w:cs="宋体"/>
          <w:color w:val="auto"/>
          <w:sz w:val="24"/>
          <w:szCs w:val="24"/>
        </w:rPr>
        <w:t>监狱企业需提供省级以上的监狱管理局、戒毒管理局（含新疆生产建设兵团）出具的属于监狱企业的证明文件。</w:t>
      </w:r>
      <w:r>
        <w:rPr>
          <w:rFonts w:ascii="宋体" w:hAnsi="宋体" w:cs="宋体"/>
          <w:color w:val="auto"/>
          <w:sz w:val="24"/>
          <w:szCs w:val="24"/>
        </w:rPr>
        <w:t xml:space="preserve">  </w:t>
      </w:r>
    </w:p>
    <w:p>
      <w:pPr>
        <w:pStyle w:val="2"/>
        <w:rPr>
          <w:rFonts w:cs="Times New Roman"/>
          <w:color w:val="auto"/>
        </w:rPr>
      </w:pPr>
    </w:p>
    <w:p>
      <w:pPr>
        <w:pStyle w:val="3"/>
        <w:rPr>
          <w:color w:val="auto"/>
        </w:rPr>
      </w:pP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法定代表人签名（或签名章）：</w:t>
      </w:r>
      <w:r>
        <w:rPr>
          <w:rFonts w:ascii="宋体" w:hAnsi="宋体" w:cs="宋体"/>
          <w:color w:val="auto"/>
          <w:sz w:val="24"/>
          <w:szCs w:val="24"/>
        </w:rPr>
        <w:t xml:space="preserve">                       </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日</w:t>
      </w:r>
      <w:r>
        <w:rPr>
          <w:rFonts w:ascii="宋体" w:hAnsi="宋体" w:cs="宋体"/>
          <w:color w:val="auto"/>
          <w:sz w:val="24"/>
          <w:szCs w:val="24"/>
        </w:rPr>
        <w:t xml:space="preserve"> </w:t>
      </w:r>
      <w:r>
        <w:rPr>
          <w:rFonts w:hint="eastAsia" w:ascii="宋体" w:hAnsi="宋体" w:cs="宋体"/>
          <w:color w:val="auto"/>
          <w:sz w:val="24"/>
          <w:szCs w:val="24"/>
        </w:rPr>
        <w:t>期：</w:t>
      </w:r>
    </w:p>
    <w:p>
      <w:pPr>
        <w:spacing w:line="360" w:lineRule="auto"/>
        <w:ind w:left="3780" w:leftChars="1800" w:firstLine="480" w:firstLineChars="200"/>
        <w:rPr>
          <w:rFonts w:ascii="宋体"/>
          <w:color w:val="auto"/>
          <w:sz w:val="24"/>
          <w:szCs w:val="24"/>
        </w:rPr>
      </w:pPr>
      <w:r>
        <w:rPr>
          <w:rFonts w:hint="eastAsia" w:ascii="宋体" w:hAnsi="宋体" w:cs="宋体"/>
          <w:color w:val="auto"/>
          <w:sz w:val="24"/>
          <w:szCs w:val="24"/>
        </w:rPr>
        <w:t>供应商全称（公章）：</w:t>
      </w:r>
    </w:p>
    <w:p>
      <w:pPr>
        <w:spacing w:line="360" w:lineRule="auto"/>
        <w:jc w:val="center"/>
        <w:rPr>
          <w:rFonts w:ascii="宋体"/>
          <w:b/>
          <w:bCs/>
          <w:color w:val="auto"/>
          <w:sz w:val="24"/>
          <w:szCs w:val="24"/>
        </w:rPr>
      </w:pPr>
    </w:p>
    <w:p>
      <w:pPr>
        <w:spacing w:line="360" w:lineRule="auto"/>
        <w:rPr>
          <w:color w:val="auto"/>
          <w:sz w:val="36"/>
          <w:szCs w:val="36"/>
        </w:rPr>
      </w:pPr>
    </w:p>
    <w:p>
      <w:pPr>
        <w:pStyle w:val="20"/>
        <w:ind w:firstLine="210"/>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20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20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B00A6C"/>
    <w:multiLevelType w:val="singleLevel"/>
    <w:tmpl w:val="82B00A6C"/>
    <w:lvl w:ilvl="0" w:tentative="0">
      <w:start w:val="1"/>
      <w:numFmt w:val="decimal"/>
      <w:suff w:val="nothing"/>
      <w:lvlText w:val="%1、"/>
      <w:lvlJc w:val="left"/>
    </w:lvl>
  </w:abstractNum>
  <w:abstractNum w:abstractNumId="1">
    <w:nsid w:val="91799C87"/>
    <w:multiLevelType w:val="singleLevel"/>
    <w:tmpl w:val="91799C87"/>
    <w:lvl w:ilvl="0" w:tentative="0">
      <w:start w:val="1"/>
      <w:numFmt w:val="decimal"/>
      <w:suff w:val="nothing"/>
      <w:lvlText w:val="（%1）"/>
      <w:lvlJc w:val="left"/>
    </w:lvl>
  </w:abstractNum>
  <w:abstractNum w:abstractNumId="2">
    <w:nsid w:val="93B993BA"/>
    <w:multiLevelType w:val="singleLevel"/>
    <w:tmpl w:val="93B993BA"/>
    <w:lvl w:ilvl="0" w:tentative="0">
      <w:start w:val="1"/>
      <w:numFmt w:val="decimal"/>
      <w:suff w:val="nothing"/>
      <w:lvlText w:val="%1．"/>
      <w:lvlJc w:val="left"/>
      <w:pPr>
        <w:ind w:firstLine="397"/>
      </w:pPr>
      <w:rPr>
        <w:rFonts w:hint="default"/>
      </w:rPr>
    </w:lvl>
  </w:abstractNum>
  <w:abstractNum w:abstractNumId="3">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4">
    <w:nsid w:val="9E7D436F"/>
    <w:multiLevelType w:val="singleLevel"/>
    <w:tmpl w:val="9E7D436F"/>
    <w:lvl w:ilvl="0" w:tentative="0">
      <w:start w:val="1"/>
      <w:numFmt w:val="chineseCounting"/>
      <w:suff w:val="nothing"/>
      <w:lvlText w:val="%1、"/>
      <w:lvlJc w:val="left"/>
      <w:rPr>
        <w:rFonts w:hint="eastAsia"/>
      </w:rPr>
    </w:lvl>
  </w:abstractNum>
  <w:abstractNum w:abstractNumId="5">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6">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7">
    <w:nsid w:val="12F353C5"/>
    <w:multiLevelType w:val="singleLevel"/>
    <w:tmpl w:val="12F353C5"/>
    <w:lvl w:ilvl="0" w:tentative="0">
      <w:start w:val="1"/>
      <w:numFmt w:val="chineseCounting"/>
      <w:suff w:val="nothing"/>
      <w:lvlText w:val="%1、"/>
      <w:lvlJc w:val="left"/>
      <w:rPr>
        <w:rFonts w:hint="eastAsia"/>
      </w:rPr>
    </w:lvl>
  </w:abstractNum>
  <w:abstractNum w:abstractNumId="8">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9">
    <w:nsid w:val="15B52056"/>
    <w:multiLevelType w:val="singleLevel"/>
    <w:tmpl w:val="15B52056"/>
    <w:lvl w:ilvl="0" w:tentative="0">
      <w:start w:val="3"/>
      <w:numFmt w:val="chineseCounting"/>
      <w:suff w:val="space"/>
      <w:lvlText w:val="第%1部分"/>
      <w:lvlJc w:val="left"/>
      <w:rPr>
        <w:rFonts w:hint="eastAsia"/>
      </w:rPr>
    </w:lvl>
  </w:abstractNum>
  <w:abstractNum w:abstractNumId="10">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2">
    <w:nsid w:val="24F02FEC"/>
    <w:multiLevelType w:val="singleLevel"/>
    <w:tmpl w:val="24F02FEC"/>
    <w:lvl w:ilvl="0" w:tentative="0">
      <w:start w:val="1"/>
      <w:numFmt w:val="decimalEnclosedCircleChinese"/>
      <w:suff w:val="nothing"/>
      <w:lvlText w:val="%1　"/>
      <w:lvlJc w:val="left"/>
      <w:pPr>
        <w:ind w:left="0" w:firstLine="400"/>
      </w:pPr>
      <w:rPr>
        <w:rFonts w:hint="eastAsia"/>
      </w:rPr>
    </w:lvl>
  </w:abstractNum>
  <w:abstractNum w:abstractNumId="13">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4">
    <w:nsid w:val="31213A5A"/>
    <w:multiLevelType w:val="singleLevel"/>
    <w:tmpl w:val="31213A5A"/>
    <w:lvl w:ilvl="0" w:tentative="0">
      <w:start w:val="4"/>
      <w:numFmt w:val="chineseCounting"/>
      <w:suff w:val="nothing"/>
      <w:lvlText w:val="%1、"/>
      <w:lvlJc w:val="left"/>
      <w:rPr>
        <w:rFonts w:hint="eastAsia"/>
      </w:rPr>
    </w:lvl>
  </w:abstractNum>
  <w:abstractNum w:abstractNumId="15">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7">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8">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9">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6"/>
  </w:num>
  <w:num w:numId="2">
    <w:abstractNumId w:val="6"/>
  </w:num>
  <w:num w:numId="3">
    <w:abstractNumId w:val="18"/>
  </w:num>
  <w:num w:numId="4">
    <w:abstractNumId w:val="10"/>
  </w:num>
  <w:num w:numId="5">
    <w:abstractNumId w:val="19"/>
  </w:num>
  <w:num w:numId="6">
    <w:abstractNumId w:val="11"/>
  </w:num>
  <w:num w:numId="7">
    <w:abstractNumId w:val="12"/>
  </w:num>
  <w:num w:numId="8">
    <w:abstractNumId w:val="2"/>
  </w:num>
  <w:num w:numId="9">
    <w:abstractNumId w:val="7"/>
  </w:num>
  <w:num w:numId="10">
    <w:abstractNumId w:val="8"/>
  </w:num>
  <w:num w:numId="11">
    <w:abstractNumId w:val="17"/>
  </w:num>
  <w:num w:numId="12">
    <w:abstractNumId w:val="15"/>
  </w:num>
  <w:num w:numId="13">
    <w:abstractNumId w:val="5"/>
  </w:num>
  <w:num w:numId="14">
    <w:abstractNumId w:val="3"/>
  </w:num>
  <w:num w:numId="15">
    <w:abstractNumId w:val="13"/>
  </w:num>
  <w:num w:numId="16">
    <w:abstractNumId w:val="9"/>
  </w:num>
  <w:num w:numId="17">
    <w:abstractNumId w:val="0"/>
  </w:num>
  <w:num w:numId="18">
    <w:abstractNumId w:val="4"/>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12FE"/>
    <w:rsid w:val="00085ECB"/>
    <w:rsid w:val="001039CA"/>
    <w:rsid w:val="00223E24"/>
    <w:rsid w:val="00273F1A"/>
    <w:rsid w:val="003470DA"/>
    <w:rsid w:val="003914B1"/>
    <w:rsid w:val="00392B4C"/>
    <w:rsid w:val="00393C1C"/>
    <w:rsid w:val="003A0D36"/>
    <w:rsid w:val="003D07BA"/>
    <w:rsid w:val="00402FF9"/>
    <w:rsid w:val="004277E5"/>
    <w:rsid w:val="00463C96"/>
    <w:rsid w:val="004E63AF"/>
    <w:rsid w:val="004E7DB7"/>
    <w:rsid w:val="00542925"/>
    <w:rsid w:val="005456AD"/>
    <w:rsid w:val="005617C4"/>
    <w:rsid w:val="006E4D94"/>
    <w:rsid w:val="007C1988"/>
    <w:rsid w:val="007C36F2"/>
    <w:rsid w:val="007D1674"/>
    <w:rsid w:val="00804A32"/>
    <w:rsid w:val="00816086"/>
    <w:rsid w:val="008651FF"/>
    <w:rsid w:val="008C2439"/>
    <w:rsid w:val="00913BA9"/>
    <w:rsid w:val="00913DF5"/>
    <w:rsid w:val="009241BF"/>
    <w:rsid w:val="00A06FE3"/>
    <w:rsid w:val="00AE721D"/>
    <w:rsid w:val="00AF40FC"/>
    <w:rsid w:val="00B1386B"/>
    <w:rsid w:val="00B34795"/>
    <w:rsid w:val="00B47103"/>
    <w:rsid w:val="00C70180"/>
    <w:rsid w:val="00C93598"/>
    <w:rsid w:val="00CA29A3"/>
    <w:rsid w:val="00CC3A61"/>
    <w:rsid w:val="00D208F6"/>
    <w:rsid w:val="00D40761"/>
    <w:rsid w:val="00DE7CF8"/>
    <w:rsid w:val="00E109DA"/>
    <w:rsid w:val="00E53562"/>
    <w:rsid w:val="00F673E5"/>
    <w:rsid w:val="0149271B"/>
    <w:rsid w:val="01A237CD"/>
    <w:rsid w:val="02710CE9"/>
    <w:rsid w:val="02FB0AA9"/>
    <w:rsid w:val="02FB1EF4"/>
    <w:rsid w:val="08D4331D"/>
    <w:rsid w:val="09A27D61"/>
    <w:rsid w:val="0F9E5390"/>
    <w:rsid w:val="104145F9"/>
    <w:rsid w:val="10BA6CED"/>
    <w:rsid w:val="113C27FB"/>
    <w:rsid w:val="11CF6577"/>
    <w:rsid w:val="129F37E3"/>
    <w:rsid w:val="12E30368"/>
    <w:rsid w:val="12FC45DD"/>
    <w:rsid w:val="13495BED"/>
    <w:rsid w:val="13623CA3"/>
    <w:rsid w:val="155D552F"/>
    <w:rsid w:val="157D7686"/>
    <w:rsid w:val="15830AE2"/>
    <w:rsid w:val="15A07E8D"/>
    <w:rsid w:val="1648774C"/>
    <w:rsid w:val="16EB43B2"/>
    <w:rsid w:val="185132C5"/>
    <w:rsid w:val="19061AA7"/>
    <w:rsid w:val="19B91A5C"/>
    <w:rsid w:val="19E267A0"/>
    <w:rsid w:val="1B155261"/>
    <w:rsid w:val="1BDB27A5"/>
    <w:rsid w:val="1CFF0A9F"/>
    <w:rsid w:val="1D9842B5"/>
    <w:rsid w:val="1DFC3C33"/>
    <w:rsid w:val="1E2B5B5B"/>
    <w:rsid w:val="1EDA1EFB"/>
    <w:rsid w:val="1F2B0346"/>
    <w:rsid w:val="1F431821"/>
    <w:rsid w:val="1F890C4B"/>
    <w:rsid w:val="201B2695"/>
    <w:rsid w:val="205B73C3"/>
    <w:rsid w:val="20D34487"/>
    <w:rsid w:val="215A3622"/>
    <w:rsid w:val="21FF3D3B"/>
    <w:rsid w:val="22514430"/>
    <w:rsid w:val="261423FD"/>
    <w:rsid w:val="26451EEA"/>
    <w:rsid w:val="26704F2E"/>
    <w:rsid w:val="28C62F56"/>
    <w:rsid w:val="28DA203A"/>
    <w:rsid w:val="28F0407A"/>
    <w:rsid w:val="291A7D32"/>
    <w:rsid w:val="29655706"/>
    <w:rsid w:val="2C24767B"/>
    <w:rsid w:val="2CE36442"/>
    <w:rsid w:val="2D346E5C"/>
    <w:rsid w:val="2E664953"/>
    <w:rsid w:val="2E8827F2"/>
    <w:rsid w:val="30FB7A19"/>
    <w:rsid w:val="310261A7"/>
    <w:rsid w:val="32A75185"/>
    <w:rsid w:val="33340B4D"/>
    <w:rsid w:val="335411E4"/>
    <w:rsid w:val="349413EA"/>
    <w:rsid w:val="35FD2E45"/>
    <w:rsid w:val="36385D9E"/>
    <w:rsid w:val="36CE34E8"/>
    <w:rsid w:val="37020770"/>
    <w:rsid w:val="3904514B"/>
    <w:rsid w:val="397364A4"/>
    <w:rsid w:val="3A481921"/>
    <w:rsid w:val="3B2C33D8"/>
    <w:rsid w:val="3B68707C"/>
    <w:rsid w:val="3BAF180C"/>
    <w:rsid w:val="3DCE50EF"/>
    <w:rsid w:val="3E1918E3"/>
    <w:rsid w:val="3E3759DF"/>
    <w:rsid w:val="3E98229E"/>
    <w:rsid w:val="40E80A95"/>
    <w:rsid w:val="41131941"/>
    <w:rsid w:val="41C50CBF"/>
    <w:rsid w:val="42234900"/>
    <w:rsid w:val="42310D45"/>
    <w:rsid w:val="42914373"/>
    <w:rsid w:val="4297507F"/>
    <w:rsid w:val="42A44E8B"/>
    <w:rsid w:val="433E4DDD"/>
    <w:rsid w:val="43495ACF"/>
    <w:rsid w:val="436C497E"/>
    <w:rsid w:val="46562959"/>
    <w:rsid w:val="467F690A"/>
    <w:rsid w:val="46B85F59"/>
    <w:rsid w:val="47DC0644"/>
    <w:rsid w:val="48621071"/>
    <w:rsid w:val="492D7C31"/>
    <w:rsid w:val="498B48F2"/>
    <w:rsid w:val="499D0869"/>
    <w:rsid w:val="49A50688"/>
    <w:rsid w:val="49C134CC"/>
    <w:rsid w:val="4AD245F0"/>
    <w:rsid w:val="4B5C045F"/>
    <w:rsid w:val="4BE44EED"/>
    <w:rsid w:val="4C347AA3"/>
    <w:rsid w:val="4D782815"/>
    <w:rsid w:val="509D71ED"/>
    <w:rsid w:val="50CF6D10"/>
    <w:rsid w:val="54A90D98"/>
    <w:rsid w:val="54F65EBA"/>
    <w:rsid w:val="554E7ED7"/>
    <w:rsid w:val="56F203B4"/>
    <w:rsid w:val="57FC55AA"/>
    <w:rsid w:val="580928E7"/>
    <w:rsid w:val="582552B9"/>
    <w:rsid w:val="58551F7D"/>
    <w:rsid w:val="5A38104A"/>
    <w:rsid w:val="5AA412FE"/>
    <w:rsid w:val="5AC72F10"/>
    <w:rsid w:val="5D217374"/>
    <w:rsid w:val="5DE81AA6"/>
    <w:rsid w:val="5E2B51A2"/>
    <w:rsid w:val="5F5B667A"/>
    <w:rsid w:val="5FD125EC"/>
    <w:rsid w:val="603D2D4A"/>
    <w:rsid w:val="61162C50"/>
    <w:rsid w:val="61375302"/>
    <w:rsid w:val="634B16C2"/>
    <w:rsid w:val="638717D9"/>
    <w:rsid w:val="64A14715"/>
    <w:rsid w:val="64F70EA9"/>
    <w:rsid w:val="65240916"/>
    <w:rsid w:val="6559389C"/>
    <w:rsid w:val="671B6AB8"/>
    <w:rsid w:val="67996221"/>
    <w:rsid w:val="681E7F53"/>
    <w:rsid w:val="69A14E77"/>
    <w:rsid w:val="6B200C69"/>
    <w:rsid w:val="6C7966C2"/>
    <w:rsid w:val="6CC47A6F"/>
    <w:rsid w:val="6CCB526E"/>
    <w:rsid w:val="6D88336F"/>
    <w:rsid w:val="6DEB3218"/>
    <w:rsid w:val="6E957640"/>
    <w:rsid w:val="6E9B66A6"/>
    <w:rsid w:val="70BA3726"/>
    <w:rsid w:val="71A969F5"/>
    <w:rsid w:val="72EA0AEA"/>
    <w:rsid w:val="73EB3D22"/>
    <w:rsid w:val="75126D7A"/>
    <w:rsid w:val="75BA5477"/>
    <w:rsid w:val="77537603"/>
    <w:rsid w:val="78937CF7"/>
    <w:rsid w:val="799E4EDF"/>
    <w:rsid w:val="79B64634"/>
    <w:rsid w:val="79ED6971"/>
    <w:rsid w:val="7AA33536"/>
    <w:rsid w:val="7AE8472F"/>
    <w:rsid w:val="7BFE1E83"/>
    <w:rsid w:val="7DBF21A5"/>
    <w:rsid w:val="7DE93C59"/>
    <w:rsid w:val="7F3F61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1"/>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32"/>
    <w:qFormat/>
    <w:uiPriority w:val="99"/>
    <w:pPr>
      <w:keepNext/>
      <w:spacing w:line="216" w:lineRule="auto"/>
      <w:outlineLvl w:val="1"/>
    </w:pPr>
    <w:rPr>
      <w:rFonts w:ascii="宋体" w:hAnsi="Calibri" w:cs="宋体"/>
      <w:b/>
      <w:bCs/>
      <w:sz w:val="28"/>
      <w:szCs w:val="28"/>
    </w:rPr>
  </w:style>
  <w:style w:type="paragraph" w:styleId="5">
    <w:name w:val="heading 3"/>
    <w:basedOn w:val="1"/>
    <w:next w:val="6"/>
    <w:link w:val="33"/>
    <w:qFormat/>
    <w:uiPriority w:val="99"/>
    <w:pPr>
      <w:keepNext/>
      <w:numPr>
        <w:ilvl w:val="0"/>
        <w:numId w:val="1"/>
      </w:numPr>
      <w:spacing w:line="216" w:lineRule="auto"/>
      <w:outlineLvl w:val="2"/>
    </w:pPr>
    <w:rPr>
      <w:rFonts w:ascii="宋体" w:hAnsi="Calibri" w:cs="宋体"/>
      <w:b/>
      <w:bCs/>
      <w:sz w:val="28"/>
      <w:szCs w:val="28"/>
    </w:rPr>
  </w:style>
  <w:style w:type="paragraph" w:styleId="7">
    <w:name w:val="heading 4"/>
    <w:basedOn w:val="1"/>
    <w:next w:val="1"/>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customStyle="1" w:styleId="6">
    <w:name w:val="正文缩进1"/>
    <w:basedOn w:val="1"/>
    <w:qFormat/>
    <w:uiPriority w:val="0"/>
    <w:pPr>
      <w:ind w:firstLine="420" w:firstLineChars="200"/>
    </w:pPr>
  </w:style>
  <w:style w:type="paragraph" w:styleId="8">
    <w:name w:val="Body Text"/>
    <w:basedOn w:val="1"/>
    <w:next w:val="9"/>
    <w:link w:val="34"/>
    <w:qFormat/>
    <w:uiPriority w:val="99"/>
  </w:style>
  <w:style w:type="paragraph" w:customStyle="1" w:styleId="9">
    <w:name w:val="Body Text First Indent1"/>
    <w:basedOn w:val="8"/>
    <w:qFormat/>
    <w:uiPriority w:val="0"/>
    <w:pPr>
      <w:tabs>
        <w:tab w:val="left" w:pos="1275"/>
      </w:tabs>
      <w:ind w:firstLine="420" w:firstLineChars="100"/>
    </w:pPr>
  </w:style>
  <w:style w:type="paragraph" w:styleId="10">
    <w:name w:val="Body Text Indent"/>
    <w:basedOn w:val="1"/>
    <w:link w:val="40"/>
    <w:qFormat/>
    <w:uiPriority w:val="99"/>
    <w:pPr>
      <w:adjustRightInd w:val="0"/>
      <w:spacing w:line="360" w:lineRule="auto"/>
      <w:ind w:firstLine="490"/>
      <w:jc w:val="left"/>
    </w:pPr>
    <w:rPr>
      <w:rFonts w:ascii="宋体" w:hAnsi="宋体" w:cs="宋体"/>
      <w:sz w:val="24"/>
      <w:szCs w:val="24"/>
    </w:rPr>
  </w:style>
  <w:style w:type="paragraph" w:styleId="11">
    <w:name w:val="toc 3"/>
    <w:basedOn w:val="1"/>
    <w:next w:val="1"/>
    <w:semiHidden/>
    <w:qFormat/>
    <w:uiPriority w:val="99"/>
    <w:pPr>
      <w:ind w:left="840" w:leftChars="400"/>
    </w:pPr>
  </w:style>
  <w:style w:type="paragraph" w:styleId="12">
    <w:name w:val="Plain Text"/>
    <w:basedOn w:val="1"/>
    <w:next w:val="1"/>
    <w:link w:val="41"/>
    <w:qFormat/>
    <w:uiPriority w:val="99"/>
    <w:rPr>
      <w:rFonts w:ascii="宋体" w:hAnsi="Courier New" w:cs="宋体"/>
    </w:rPr>
  </w:style>
  <w:style w:type="paragraph" w:styleId="13">
    <w:name w:val="Date"/>
    <w:basedOn w:val="1"/>
    <w:next w:val="1"/>
    <w:link w:val="42"/>
    <w:qFormat/>
    <w:uiPriority w:val="99"/>
    <w:pPr>
      <w:ind w:left="100" w:leftChars="2500"/>
    </w:pPr>
    <w:rPr>
      <w:rFonts w:ascii="宋体" w:hAnsi="宋体" w:cs="宋体"/>
      <w:color w:val="000000"/>
      <w:sz w:val="24"/>
      <w:szCs w:val="24"/>
    </w:rPr>
  </w:style>
  <w:style w:type="paragraph" w:styleId="14">
    <w:name w:val="Balloon Text"/>
    <w:basedOn w:val="1"/>
    <w:link w:val="43"/>
    <w:semiHidden/>
    <w:qFormat/>
    <w:uiPriority w:val="99"/>
    <w:rPr>
      <w:sz w:val="18"/>
      <w:szCs w:val="18"/>
    </w:rPr>
  </w:style>
  <w:style w:type="paragraph" w:styleId="15">
    <w:name w:val="footer"/>
    <w:basedOn w:val="1"/>
    <w:link w:val="44"/>
    <w:qFormat/>
    <w:uiPriority w:val="99"/>
    <w:pPr>
      <w:tabs>
        <w:tab w:val="center" w:pos="4153"/>
        <w:tab w:val="right" w:pos="8306"/>
      </w:tabs>
      <w:snapToGrid w:val="0"/>
      <w:jc w:val="left"/>
    </w:pPr>
    <w:rPr>
      <w:sz w:val="18"/>
      <w:szCs w:val="18"/>
    </w:rPr>
  </w:style>
  <w:style w:type="paragraph" w:styleId="16">
    <w:name w:val="header"/>
    <w:basedOn w:val="1"/>
    <w:link w:val="45"/>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17">
    <w:name w:val="toc 1"/>
    <w:basedOn w:val="1"/>
    <w:next w:val="1"/>
    <w:semiHidden/>
    <w:qFormat/>
    <w:uiPriority w:val="99"/>
  </w:style>
  <w:style w:type="paragraph" w:styleId="18">
    <w:name w:val="toc 2"/>
    <w:basedOn w:val="1"/>
    <w:next w:val="1"/>
    <w:semiHidden/>
    <w:qFormat/>
    <w:uiPriority w:val="99"/>
    <w:pPr>
      <w:ind w:left="420" w:leftChars="200"/>
    </w:pPr>
  </w:style>
  <w:style w:type="paragraph" w:styleId="19">
    <w:name w:val="Normal (Web)"/>
    <w:basedOn w:val="1"/>
    <w:qFormat/>
    <w:uiPriority w:val="99"/>
    <w:pPr>
      <w:widowControl/>
      <w:spacing w:before="100" w:beforeAutospacing="1" w:after="100" w:afterAutospacing="1"/>
      <w:jc w:val="left"/>
    </w:pPr>
    <w:rPr>
      <w:rFonts w:ascii="宋体" w:hAnsi="宋体" w:cs="宋体"/>
      <w:sz w:val="24"/>
      <w:szCs w:val="24"/>
    </w:rPr>
  </w:style>
  <w:style w:type="paragraph" w:styleId="20">
    <w:name w:val="Body Text First Indent"/>
    <w:basedOn w:val="8"/>
    <w:link w:val="46"/>
    <w:qFormat/>
    <w:uiPriority w:val="99"/>
    <w:pPr>
      <w:ind w:firstLine="420" w:firstLineChars="100"/>
    </w:pPr>
  </w:style>
  <w:style w:type="paragraph" w:styleId="21">
    <w:name w:val="Body Text First Indent 2"/>
    <w:basedOn w:val="10"/>
    <w:qFormat/>
    <w:uiPriority w:val="0"/>
    <w:pPr>
      <w:ind w:firstLine="420"/>
    </w:pPr>
  </w:style>
  <w:style w:type="table" w:styleId="23">
    <w:name w:val="Table Grid"/>
    <w:basedOn w:val="22"/>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99"/>
    <w:rPr>
      <w:b/>
      <w:bCs/>
    </w:rPr>
  </w:style>
  <w:style w:type="character" w:styleId="26">
    <w:name w:val="page number"/>
    <w:basedOn w:val="24"/>
    <w:qFormat/>
    <w:uiPriority w:val="99"/>
  </w:style>
  <w:style w:type="character" w:styleId="27">
    <w:name w:val="Hyperlink"/>
    <w:basedOn w:val="24"/>
    <w:qFormat/>
    <w:uiPriority w:val="99"/>
    <w:rPr>
      <w:color w:val="0000FF"/>
      <w:u w:val="single"/>
    </w:rPr>
  </w:style>
  <w:style w:type="paragraph" w:customStyle="1" w:styleId="28">
    <w:name w:val="BodyText1I2"/>
    <w:basedOn w:val="29"/>
    <w:qFormat/>
    <w:uiPriority w:val="0"/>
    <w:pPr>
      <w:ind w:firstLine="420"/>
    </w:pPr>
    <w:rPr>
      <w:sz w:val="21"/>
    </w:rPr>
  </w:style>
  <w:style w:type="paragraph" w:customStyle="1" w:styleId="29">
    <w:name w:val="BodyTextIndent"/>
    <w:basedOn w:val="1"/>
    <w:qFormat/>
    <w:uiPriority w:val="0"/>
    <w:pPr>
      <w:spacing w:line="360" w:lineRule="auto"/>
      <w:ind w:firstLine="490"/>
      <w:jc w:val="left"/>
    </w:pPr>
    <w:rPr>
      <w:rFonts w:ascii="宋体" w:hAnsi="宋体"/>
      <w:sz w:val="24"/>
    </w:rPr>
  </w:style>
  <w:style w:type="paragraph" w:customStyle="1" w:styleId="30">
    <w:name w:val="表格文字"/>
    <w:basedOn w:val="1"/>
    <w:next w:val="8"/>
    <w:qFormat/>
    <w:uiPriority w:val="0"/>
    <w:pPr>
      <w:adjustRightInd w:val="0"/>
      <w:spacing w:line="420" w:lineRule="atLeast"/>
      <w:textAlignment w:val="baseline"/>
    </w:pPr>
  </w:style>
  <w:style w:type="character" w:customStyle="1" w:styleId="31">
    <w:name w:val="标题 1 Char"/>
    <w:basedOn w:val="24"/>
    <w:link w:val="4"/>
    <w:qFormat/>
    <w:locked/>
    <w:uiPriority w:val="99"/>
    <w:rPr>
      <w:b/>
      <w:bCs/>
      <w:kern w:val="44"/>
      <w:sz w:val="44"/>
      <w:szCs w:val="44"/>
    </w:rPr>
  </w:style>
  <w:style w:type="character" w:customStyle="1" w:styleId="32">
    <w:name w:val="标题 2 Char"/>
    <w:basedOn w:val="24"/>
    <w:link w:val="2"/>
    <w:qFormat/>
    <w:locked/>
    <w:uiPriority w:val="99"/>
    <w:rPr>
      <w:rFonts w:ascii="宋体" w:cs="宋体"/>
      <w:b/>
      <w:bCs/>
      <w:kern w:val="2"/>
      <w:sz w:val="28"/>
      <w:szCs w:val="28"/>
    </w:rPr>
  </w:style>
  <w:style w:type="character" w:customStyle="1" w:styleId="33">
    <w:name w:val="标题 3 Char"/>
    <w:basedOn w:val="24"/>
    <w:link w:val="5"/>
    <w:qFormat/>
    <w:locked/>
    <w:uiPriority w:val="99"/>
    <w:rPr>
      <w:rFonts w:ascii="宋体" w:cs="宋体"/>
      <w:b/>
      <w:bCs/>
      <w:kern w:val="2"/>
      <w:sz w:val="28"/>
      <w:szCs w:val="28"/>
    </w:rPr>
  </w:style>
  <w:style w:type="character" w:customStyle="1" w:styleId="34">
    <w:name w:val="正文文本 Char"/>
    <w:basedOn w:val="24"/>
    <w:link w:val="8"/>
    <w:semiHidden/>
    <w:qFormat/>
    <w:uiPriority w:val="99"/>
    <w:rPr>
      <w:rFonts w:ascii="Times New Roman" w:hAnsi="Times New Roman"/>
      <w:szCs w:val="21"/>
    </w:rPr>
  </w:style>
  <w:style w:type="paragraph" w:customStyle="1" w:styleId="35">
    <w:name w:val="样式 表格正文 + 两端对齐"/>
    <w:basedOn w:val="1"/>
    <w:next w:val="36"/>
    <w:qFormat/>
    <w:uiPriority w:val="99"/>
    <w:pPr>
      <w:spacing w:line="300" w:lineRule="auto"/>
    </w:pPr>
    <w:rPr>
      <w:sz w:val="24"/>
      <w:szCs w:val="24"/>
    </w:rPr>
  </w:style>
  <w:style w:type="paragraph" w:customStyle="1" w:styleId="36">
    <w:name w:val="正文1"/>
    <w:basedOn w:val="1"/>
    <w:next w:val="37"/>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7">
    <w:name w:val="自动更正"/>
    <w:next w:val="38"/>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8">
    <w:name w:val="xl39"/>
    <w:basedOn w:val="1"/>
    <w:next w:val="39"/>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39">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character" w:customStyle="1" w:styleId="40">
    <w:name w:val="正文文本缩进 Char"/>
    <w:basedOn w:val="24"/>
    <w:link w:val="10"/>
    <w:semiHidden/>
    <w:qFormat/>
    <w:uiPriority w:val="99"/>
    <w:rPr>
      <w:rFonts w:ascii="Times New Roman" w:hAnsi="Times New Roman"/>
      <w:szCs w:val="21"/>
    </w:rPr>
  </w:style>
  <w:style w:type="character" w:customStyle="1" w:styleId="41">
    <w:name w:val="纯文本 Char"/>
    <w:basedOn w:val="24"/>
    <w:link w:val="12"/>
    <w:semiHidden/>
    <w:qFormat/>
    <w:uiPriority w:val="99"/>
    <w:rPr>
      <w:rFonts w:ascii="宋体" w:hAnsi="Courier New" w:cs="Courier New"/>
      <w:szCs w:val="21"/>
    </w:rPr>
  </w:style>
  <w:style w:type="character" w:customStyle="1" w:styleId="42">
    <w:name w:val="日期 Char"/>
    <w:basedOn w:val="24"/>
    <w:link w:val="13"/>
    <w:semiHidden/>
    <w:qFormat/>
    <w:uiPriority w:val="99"/>
    <w:rPr>
      <w:rFonts w:ascii="Times New Roman" w:hAnsi="Times New Roman"/>
      <w:szCs w:val="21"/>
    </w:rPr>
  </w:style>
  <w:style w:type="character" w:customStyle="1" w:styleId="43">
    <w:name w:val="批注框文本 Char"/>
    <w:basedOn w:val="24"/>
    <w:link w:val="14"/>
    <w:qFormat/>
    <w:locked/>
    <w:uiPriority w:val="99"/>
    <w:rPr>
      <w:kern w:val="2"/>
      <w:sz w:val="18"/>
      <w:szCs w:val="18"/>
    </w:rPr>
  </w:style>
  <w:style w:type="character" w:customStyle="1" w:styleId="44">
    <w:name w:val="页脚 Char"/>
    <w:basedOn w:val="24"/>
    <w:link w:val="15"/>
    <w:semiHidden/>
    <w:qFormat/>
    <w:uiPriority w:val="99"/>
    <w:rPr>
      <w:rFonts w:ascii="Times New Roman" w:hAnsi="Times New Roman"/>
      <w:sz w:val="18"/>
      <w:szCs w:val="18"/>
    </w:rPr>
  </w:style>
  <w:style w:type="character" w:customStyle="1" w:styleId="45">
    <w:name w:val="页眉 Char"/>
    <w:basedOn w:val="24"/>
    <w:link w:val="16"/>
    <w:semiHidden/>
    <w:qFormat/>
    <w:uiPriority w:val="99"/>
    <w:rPr>
      <w:rFonts w:ascii="Times New Roman" w:hAnsi="Times New Roman"/>
      <w:sz w:val="18"/>
      <w:szCs w:val="18"/>
    </w:rPr>
  </w:style>
  <w:style w:type="character" w:customStyle="1" w:styleId="46">
    <w:name w:val="正文首行缩进 Char"/>
    <w:basedOn w:val="34"/>
    <w:link w:val="20"/>
    <w:semiHidden/>
    <w:qFormat/>
    <w:uiPriority w:val="99"/>
    <w:rPr>
      <w:rFonts w:ascii="Times New Roman" w:hAnsi="Times New Roman"/>
      <w:szCs w:val="21"/>
    </w:rPr>
  </w:style>
  <w:style w:type="paragraph" w:customStyle="1" w:styleId="47">
    <w:name w:val="正文2"/>
    <w:basedOn w:val="1"/>
    <w:qFormat/>
    <w:uiPriority w:val="99"/>
    <w:pPr>
      <w:adjustRightInd w:val="0"/>
      <w:spacing w:before="156" w:line="360" w:lineRule="auto"/>
      <w:ind w:firstLine="510" w:firstLineChars="200"/>
    </w:pPr>
    <w:rPr>
      <w:sz w:val="24"/>
      <w:szCs w:val="24"/>
    </w:rPr>
  </w:style>
  <w:style w:type="paragraph" w:customStyle="1" w:styleId="48">
    <w:name w:val="List Paragraph1"/>
    <w:basedOn w:val="1"/>
    <w:qFormat/>
    <w:uiPriority w:val="99"/>
    <w:pPr>
      <w:widowControl/>
      <w:ind w:firstLine="420" w:firstLineChars="200"/>
      <w:jc w:val="left"/>
    </w:pPr>
    <w:rPr>
      <w:rFonts w:ascii="Calibri" w:hAnsi="Calibri" w:cs="Calibri"/>
    </w:rPr>
  </w:style>
  <w:style w:type="character" w:customStyle="1" w:styleId="49">
    <w:name w:val="style81"/>
    <w:qFormat/>
    <w:uiPriority w:val="99"/>
    <w:rPr>
      <w:sz w:val="20"/>
      <w:szCs w:val="20"/>
    </w:rPr>
  </w:style>
  <w:style w:type="paragraph" w:customStyle="1" w:styleId="50">
    <w:name w:val="列出段落1"/>
    <w:basedOn w:val="1"/>
    <w:qFormat/>
    <w:uiPriority w:val="99"/>
    <w:pPr>
      <w:ind w:firstLine="420"/>
      <w:jc w:val="left"/>
    </w:pPr>
  </w:style>
  <w:style w:type="paragraph" w:customStyle="1" w:styleId="51">
    <w:name w:val="表格"/>
    <w:basedOn w:val="1"/>
    <w:qFormat/>
    <w:uiPriority w:val="99"/>
    <w:pPr>
      <w:autoSpaceDE w:val="0"/>
      <w:autoSpaceDN w:val="0"/>
      <w:jc w:val="center"/>
      <w:textAlignment w:val="baseline"/>
    </w:pPr>
    <w:rPr>
      <w:color w:val="000000"/>
      <w:kern w:val="0"/>
    </w:rPr>
  </w:style>
  <w:style w:type="character" w:customStyle="1" w:styleId="52">
    <w:name w:val="02 Char"/>
    <w:link w:val="53"/>
    <w:qFormat/>
    <w:locked/>
    <w:uiPriority w:val="99"/>
    <w:rPr>
      <w:rFonts w:ascii="宋体" w:cs="宋体"/>
      <w:b/>
      <w:bCs/>
      <w:color w:val="FF0000"/>
      <w:kern w:val="2"/>
      <w:sz w:val="28"/>
      <w:szCs w:val="28"/>
    </w:rPr>
  </w:style>
  <w:style w:type="paragraph" w:customStyle="1" w:styleId="53">
    <w:name w:val="02"/>
    <w:basedOn w:val="2"/>
    <w:link w:val="52"/>
    <w:qFormat/>
    <w:uiPriority w:val="99"/>
    <w:pPr>
      <w:jc w:val="center"/>
    </w:pPr>
    <w:rPr>
      <w:color w:val="FF0000"/>
    </w:rPr>
  </w:style>
  <w:style w:type="character" w:customStyle="1" w:styleId="54">
    <w:name w:val="03 Char"/>
    <w:link w:val="55"/>
    <w:qFormat/>
    <w:locked/>
    <w:uiPriority w:val="99"/>
    <w:rPr>
      <w:rFonts w:ascii="宋体" w:cs="宋体"/>
      <w:b/>
      <w:bCs/>
      <w:kern w:val="2"/>
      <w:sz w:val="28"/>
      <w:szCs w:val="28"/>
    </w:rPr>
  </w:style>
  <w:style w:type="paragraph" w:customStyle="1" w:styleId="55">
    <w:name w:val="03"/>
    <w:basedOn w:val="5"/>
    <w:link w:val="54"/>
    <w:qFormat/>
    <w:uiPriority w:val="99"/>
    <w:pPr>
      <w:numPr>
        <w:ilvl w:val="0"/>
        <w:numId w:val="0"/>
      </w:numPr>
    </w:pPr>
  </w:style>
  <w:style w:type="character" w:customStyle="1" w:styleId="56">
    <w:name w:val="宋体小四 Char"/>
    <w:link w:val="57"/>
    <w:qFormat/>
    <w:locked/>
    <w:uiPriority w:val="99"/>
    <w:rPr>
      <w:rFonts w:ascii="宋体" w:eastAsia="宋体" w:cs="宋体"/>
      <w:kern w:val="2"/>
      <w:sz w:val="24"/>
      <w:szCs w:val="24"/>
    </w:rPr>
  </w:style>
  <w:style w:type="paragraph" w:customStyle="1" w:styleId="57">
    <w:name w:val="宋体小四"/>
    <w:basedOn w:val="1"/>
    <w:link w:val="56"/>
    <w:qFormat/>
    <w:uiPriority w:val="99"/>
    <w:pPr>
      <w:spacing w:line="360" w:lineRule="auto"/>
      <w:ind w:firstLine="480" w:firstLineChars="200"/>
    </w:pPr>
    <w:rPr>
      <w:rFonts w:ascii="宋体" w:hAnsi="宋体" w:cs="宋体"/>
      <w:sz w:val="24"/>
      <w:szCs w:val="24"/>
    </w:rPr>
  </w:style>
  <w:style w:type="character" w:customStyle="1" w:styleId="58">
    <w:name w:val="fontstyle01"/>
    <w:basedOn w:val="24"/>
    <w:qFormat/>
    <w:uiPriority w:val="99"/>
    <w:rPr>
      <w:rFonts w:ascii="宋体" w:eastAsia="宋体" w:cs="宋体"/>
      <w:color w:val="000000"/>
      <w:sz w:val="22"/>
      <w:szCs w:val="22"/>
    </w:rPr>
  </w:style>
  <w:style w:type="paragraph" w:customStyle="1" w:styleId="59">
    <w:name w:val="正文首行缩进2字符"/>
    <w:basedOn w:val="1"/>
    <w:qFormat/>
    <w:uiPriority w:val="99"/>
    <w:pPr>
      <w:spacing w:line="360" w:lineRule="auto"/>
      <w:ind w:firstLine="200" w:firstLineChars="200"/>
    </w:pPr>
  </w:style>
  <w:style w:type="paragraph" w:customStyle="1" w:styleId="60">
    <w:name w:val="居中表格内容标题"/>
    <w:basedOn w:val="61"/>
    <w:qFormat/>
    <w:uiPriority w:val="0"/>
    <w:pPr>
      <w:jc w:val="center"/>
    </w:pPr>
    <w:rPr>
      <w:b/>
    </w:rPr>
  </w:style>
  <w:style w:type="paragraph" w:customStyle="1" w:styleId="61">
    <w:name w:val="居中表格内容"/>
    <w:basedOn w:val="1"/>
    <w:next w:val="1"/>
    <w:qFormat/>
    <w:uiPriority w:val="0"/>
    <w:pPr>
      <w:jc w:val="left"/>
    </w:pPr>
    <w:rPr>
      <w:szCs w:val="28"/>
    </w:rPr>
  </w:style>
  <w:style w:type="paragraph" w:customStyle="1" w:styleId="62">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63">
    <w:name w:val="Body text|2"/>
    <w:basedOn w:val="1"/>
    <w:qFormat/>
    <w:uiPriority w:val="0"/>
    <w:pPr>
      <w:spacing w:line="360" w:lineRule="auto"/>
      <w:ind w:firstLine="660"/>
    </w:pPr>
    <w:rPr>
      <w:sz w:val="32"/>
      <w:szCs w:val="32"/>
      <w:lang w:val="zh-TW" w:eastAsia="zh-TW" w:bidi="zh-TW"/>
    </w:rPr>
  </w:style>
  <w:style w:type="paragraph" w:customStyle="1" w:styleId="64">
    <w:name w:val="Body Text Indent"/>
    <w:basedOn w:val="1"/>
    <w:qFormat/>
    <w:uiPriority w:val="0"/>
    <w:pPr>
      <w:adjustRightInd w:val="0"/>
      <w:spacing w:line="360" w:lineRule="auto"/>
      <w:ind w:firstLine="490"/>
      <w:jc w:val="left"/>
    </w:pPr>
    <w:rPr>
      <w:rFonts w:hint="eastAsia"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26645</Words>
  <Characters>5026</Characters>
  <Lines>41</Lines>
  <Paragraphs>63</Paragraphs>
  <TotalTime>13</TotalTime>
  <ScaleCrop>false</ScaleCrop>
  <LinksUpToDate>false</LinksUpToDate>
  <CharactersWithSpaces>31608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2021-05-18T02:26:00Z</dcterms:created>
  <dc:creator>陈圣楠</dc:creator>
  <cp:lastModifiedBy>Ctao</cp:lastModifiedBy>
  <cp:lastPrinted>2021-07-20T03:23:00Z</cp:lastPrinted>
  <dcterms:modified xsi:type="dcterms:W3CDTF">2021-07-26T02:10:23Z</dcterms:modified>
  <dc:title>上虞区自然资源变更监测项目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F8856AEF0C5242B7A7E1A7595B4F9A55</vt:lpwstr>
  </property>
</Properties>
</file>